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charts/chart2.xml" ContentType="application/vnd.openxmlformats-officedocument.drawingml.chart+xml"/>
  <Override PartName="/word/theme/theme1.xml" ContentType="application/vnd.openxmlformats-officedocument.theme+xml"/>
  <Override PartName="/word/charts/chart3.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bookmarkStart w:id="0" w:name="_GoBack"/>
      <w:bookmarkEnd w:id="0"/>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49521F" w:rsidP="00CC1A4D">
      <w:pPr>
        <w:spacing w:after="0" w:line="240" w:lineRule="atLeast"/>
        <w:ind w:left="1134" w:right="1134"/>
        <w:jc w:val="both"/>
        <w:rPr>
          <w:rFonts w:ascii="Times New Roman" w:eastAsia="Calibri" w:hAnsi="Times New Roman" w:cs="Times New Roman"/>
          <w:sz w:val="24"/>
          <w:szCs w:val="20"/>
          <w:lang w:val="es-ES" w:eastAsia="es-ES"/>
        </w:rPr>
      </w:pPr>
      <w:r>
        <w:rPr>
          <w:rFonts w:ascii="Times New Roman" w:eastAsia="Calibri" w:hAnsi="Times New Roman" w:cs="Times New Roman"/>
          <w:noProof/>
          <w:sz w:val="24"/>
          <w:szCs w:val="20"/>
          <w:lang w:val="en-GB" w:eastAsia="en-GB"/>
        </w:rPr>
        <w:drawing>
          <wp:anchor distT="0" distB="0" distL="114300" distR="114300" simplePos="0" relativeHeight="251658240" behindDoc="1" locked="0" layoutInCell="1" allowOverlap="1" wp14:anchorId="4B063F2F" wp14:editId="49B2BE8C">
            <wp:simplePos x="0" y="0"/>
            <wp:positionH relativeFrom="column">
              <wp:posOffset>163195</wp:posOffset>
            </wp:positionH>
            <wp:positionV relativeFrom="paragraph">
              <wp:posOffset>102870</wp:posOffset>
            </wp:positionV>
            <wp:extent cx="1057275" cy="1057275"/>
            <wp:effectExtent l="0" t="0" r="9525" b="9525"/>
            <wp:wrapTight wrapText="bothSides">
              <wp:wrapPolygon edited="0">
                <wp:start x="0" y="0"/>
                <wp:lineTo x="0" y="21405"/>
                <wp:lineTo x="21405" y="21405"/>
                <wp:lineTo x="2140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page">
              <wp14:pctWidth>0</wp14:pctWidth>
            </wp14:sizeRelH>
            <wp14:sizeRelV relativeFrom="page">
              <wp14:pctHeight>0</wp14:pctHeight>
            </wp14:sizeRelV>
          </wp:anchor>
        </w:drawing>
      </w: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tLeast"/>
        <w:ind w:left="1134" w:right="1134"/>
        <w:jc w:val="both"/>
        <w:rPr>
          <w:rFonts w:ascii="Times New Roman" w:eastAsia="Calibri" w:hAnsi="Times New Roman" w:cs="Times New Roman"/>
          <w:sz w:val="24"/>
          <w:szCs w:val="20"/>
          <w:lang w:val="es-ES" w:eastAsia="es-ES"/>
        </w:rPr>
      </w:pPr>
    </w:p>
    <w:p w:rsidR="00CC1A4D" w:rsidRPr="00CC1A4D" w:rsidRDefault="00CC1A4D" w:rsidP="00CC1A4D">
      <w:pPr>
        <w:spacing w:after="0" w:line="240" w:lineRule="auto"/>
        <w:ind w:right="-360"/>
        <w:jc w:val="right"/>
        <w:rPr>
          <w:rFonts w:ascii="Times New Roman" w:eastAsia="Calibri" w:hAnsi="Times New Roman" w:cs="Times New Roman"/>
          <w:sz w:val="24"/>
          <w:szCs w:val="20"/>
          <w:lang w:val="es-ES" w:eastAsia="es-ES"/>
        </w:rPr>
      </w:pPr>
    </w:p>
    <w:p w:rsidR="00CC1A4D" w:rsidRDefault="00CC1A4D"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Pr="00846ECB" w:rsidRDefault="00846ECB" w:rsidP="00CC1A4D">
      <w:pPr>
        <w:spacing w:after="0" w:line="240" w:lineRule="auto"/>
        <w:ind w:right="-360"/>
        <w:jc w:val="right"/>
        <w:rPr>
          <w:rFonts w:ascii="Times New Roman" w:eastAsia="Calibri" w:hAnsi="Times New Roman" w:cs="Times New Roman"/>
          <w:sz w:val="96"/>
          <w:szCs w:val="96"/>
          <w:lang w:val="es-ES" w:eastAsia="es-ES"/>
        </w:rPr>
      </w:pPr>
      <w:r w:rsidRPr="00846ECB">
        <w:rPr>
          <w:rFonts w:ascii="Times New Roman" w:eastAsia="Calibri" w:hAnsi="Times New Roman" w:cs="Times New Roman"/>
          <w:sz w:val="96"/>
          <w:szCs w:val="96"/>
          <w:lang w:val="es-ES" w:eastAsia="es-ES"/>
        </w:rPr>
        <w:t>ANEXOS</w:t>
      </w: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B764CB" w:rsidRDefault="00B764CB" w:rsidP="00CC1A4D">
      <w:pPr>
        <w:spacing w:after="0" w:line="240" w:lineRule="auto"/>
        <w:ind w:right="-360"/>
        <w:jc w:val="right"/>
        <w:rPr>
          <w:rFonts w:ascii="Times New Roman" w:eastAsia="Calibri" w:hAnsi="Times New Roman" w:cs="Times New Roman"/>
          <w:sz w:val="24"/>
          <w:szCs w:val="20"/>
          <w:lang w:val="es-ES" w:eastAsia="es-ES"/>
        </w:rPr>
      </w:pPr>
    </w:p>
    <w:p w:rsidR="00CC1A4D" w:rsidRPr="00CC1A4D" w:rsidRDefault="00CC1A4D" w:rsidP="00CC1A4D">
      <w:pPr>
        <w:spacing w:after="0" w:line="240" w:lineRule="auto"/>
        <w:ind w:right="-360"/>
        <w:jc w:val="right"/>
        <w:rPr>
          <w:rFonts w:ascii="Times New Roman" w:eastAsia="Calibri" w:hAnsi="Times New Roman" w:cs="Times New Roman"/>
          <w:sz w:val="24"/>
          <w:szCs w:val="20"/>
          <w:lang w:val="es-ES" w:eastAsia="es-ES"/>
        </w:rPr>
      </w:pPr>
    </w:p>
    <w:p w:rsidR="00F33B83" w:rsidRDefault="00CC1A4D" w:rsidP="0049521F">
      <w:pPr>
        <w:spacing w:after="0" w:line="240" w:lineRule="auto"/>
        <w:ind w:right="-2"/>
        <w:jc w:val="right"/>
        <w:rPr>
          <w:rFonts w:ascii="Times New Roman" w:eastAsia="Times New Roman" w:hAnsi="Times New Roman" w:cs="Arial"/>
          <w:bCs/>
          <w:sz w:val="28"/>
          <w:szCs w:val="28"/>
          <w:lang w:val="es-ES" w:eastAsia="en-US"/>
        </w:rPr>
      </w:pPr>
      <w:r w:rsidRPr="00CC1A4D">
        <w:rPr>
          <w:rFonts w:ascii="Times New Roman" w:eastAsia="Times New Roman" w:hAnsi="Times New Roman" w:cs="Times New Roman"/>
          <w:sz w:val="28"/>
          <w:szCs w:val="28"/>
          <w:lang w:val="es-ES" w:eastAsia="es-ES"/>
        </w:rPr>
        <w:t>Re</w:t>
      </w:r>
      <w:r w:rsidRPr="00CC1A4D">
        <w:rPr>
          <w:rFonts w:ascii="Times New Roman" w:eastAsia="Times New Roman" w:hAnsi="Times New Roman" w:cs="Arial"/>
          <w:bCs/>
          <w:sz w:val="28"/>
          <w:szCs w:val="28"/>
          <w:lang w:val="es-ES" w:eastAsia="en-US"/>
        </w:rPr>
        <w:t xml:space="preserve">spuesta a Lista de cuestiones que deben abordarse al examinar </w:t>
      </w:r>
    </w:p>
    <w:p w:rsidR="00F33B83" w:rsidRDefault="00CC1A4D" w:rsidP="0049521F">
      <w:pPr>
        <w:spacing w:after="0" w:line="240" w:lineRule="auto"/>
        <w:ind w:right="-2"/>
        <w:jc w:val="right"/>
        <w:rPr>
          <w:rFonts w:ascii="Times New Roman" w:eastAsia="Times New Roman" w:hAnsi="Times New Roman" w:cs="Arial"/>
          <w:bCs/>
          <w:sz w:val="28"/>
          <w:szCs w:val="28"/>
          <w:lang w:val="es-ES" w:eastAsia="en-US"/>
        </w:rPr>
      </w:pPr>
      <w:proofErr w:type="gramStart"/>
      <w:r w:rsidRPr="00CC1A4D">
        <w:rPr>
          <w:rFonts w:ascii="Times New Roman" w:eastAsia="Times New Roman" w:hAnsi="Times New Roman" w:cs="Arial"/>
          <w:bCs/>
          <w:sz w:val="28"/>
          <w:szCs w:val="28"/>
          <w:lang w:val="es-ES" w:eastAsia="en-US"/>
        </w:rPr>
        <w:t>el</w:t>
      </w:r>
      <w:proofErr w:type="gramEnd"/>
      <w:r w:rsidRPr="00CC1A4D">
        <w:rPr>
          <w:rFonts w:ascii="Times New Roman" w:eastAsia="Times New Roman" w:hAnsi="Times New Roman" w:cs="Arial"/>
          <w:bCs/>
          <w:sz w:val="28"/>
          <w:szCs w:val="28"/>
          <w:lang w:val="es-ES" w:eastAsia="en-US"/>
        </w:rPr>
        <w:t xml:space="preserve"> </w:t>
      </w:r>
      <w:r w:rsidR="00B764CB">
        <w:rPr>
          <w:rFonts w:ascii="Times New Roman" w:eastAsia="Times New Roman" w:hAnsi="Times New Roman" w:cs="Arial"/>
          <w:bCs/>
          <w:sz w:val="28"/>
          <w:szCs w:val="28"/>
          <w:lang w:val="es-ES" w:eastAsia="en-US"/>
        </w:rPr>
        <w:t xml:space="preserve">Cuarto </w:t>
      </w:r>
      <w:r w:rsidRPr="00CC1A4D">
        <w:rPr>
          <w:rFonts w:ascii="Times New Roman" w:eastAsia="Times New Roman" w:hAnsi="Times New Roman" w:cs="Arial"/>
          <w:bCs/>
          <w:sz w:val="28"/>
          <w:szCs w:val="28"/>
          <w:lang w:val="es-ES" w:eastAsia="en-US"/>
        </w:rPr>
        <w:t xml:space="preserve">Informe </w:t>
      </w:r>
      <w:r w:rsidR="00E22773">
        <w:rPr>
          <w:rFonts w:ascii="Times New Roman" w:eastAsia="Times New Roman" w:hAnsi="Times New Roman" w:cs="Arial"/>
          <w:bCs/>
          <w:sz w:val="28"/>
          <w:szCs w:val="28"/>
          <w:lang w:val="es-ES" w:eastAsia="en-US"/>
        </w:rPr>
        <w:t>P</w:t>
      </w:r>
      <w:r w:rsidRPr="00CC1A4D">
        <w:rPr>
          <w:rFonts w:ascii="Times New Roman" w:eastAsia="Times New Roman" w:hAnsi="Times New Roman" w:cs="Arial"/>
          <w:bCs/>
          <w:sz w:val="28"/>
          <w:szCs w:val="28"/>
          <w:lang w:val="es-ES" w:eastAsia="en-US"/>
        </w:rPr>
        <w:t xml:space="preserve">eriódico de Chile </w:t>
      </w:r>
    </w:p>
    <w:p w:rsidR="00CC1A4D" w:rsidRDefault="00CC1A4D" w:rsidP="0049521F">
      <w:pPr>
        <w:spacing w:after="0" w:line="240" w:lineRule="auto"/>
        <w:ind w:right="-2"/>
        <w:jc w:val="right"/>
        <w:rPr>
          <w:rFonts w:ascii="Times New Roman" w:eastAsia="Times New Roman" w:hAnsi="Times New Roman" w:cs="Arial"/>
          <w:bCs/>
          <w:sz w:val="28"/>
          <w:szCs w:val="28"/>
          <w:lang w:val="es-ES" w:eastAsia="en-US"/>
        </w:rPr>
      </w:pPr>
      <w:proofErr w:type="gramStart"/>
      <w:r w:rsidRPr="00CC1A4D">
        <w:rPr>
          <w:rFonts w:ascii="Times New Roman" w:eastAsia="Times New Roman" w:hAnsi="Times New Roman" w:cs="Arial"/>
          <w:bCs/>
          <w:sz w:val="28"/>
          <w:szCs w:val="28"/>
          <w:lang w:val="es-ES" w:eastAsia="en-US"/>
        </w:rPr>
        <w:t>sobre</w:t>
      </w:r>
      <w:proofErr w:type="gramEnd"/>
      <w:r w:rsidRPr="00CC1A4D">
        <w:rPr>
          <w:rFonts w:ascii="Times New Roman" w:eastAsia="Times New Roman" w:hAnsi="Times New Roman" w:cs="Arial"/>
          <w:bCs/>
          <w:sz w:val="28"/>
          <w:szCs w:val="28"/>
          <w:lang w:val="es-ES" w:eastAsia="en-US"/>
        </w:rPr>
        <w:t xml:space="preserve"> el Pacto </w:t>
      </w:r>
      <w:r w:rsidR="00B764CB">
        <w:rPr>
          <w:rFonts w:ascii="Times New Roman" w:eastAsia="Times New Roman" w:hAnsi="Times New Roman" w:cs="Arial"/>
          <w:bCs/>
          <w:sz w:val="28"/>
          <w:szCs w:val="28"/>
          <w:lang w:val="es-ES" w:eastAsia="en-US"/>
        </w:rPr>
        <w:t>de Derechos Económicos, Sociales y Culturales</w:t>
      </w:r>
    </w:p>
    <w:p w:rsidR="006A7641" w:rsidRDefault="006A7641" w:rsidP="0049521F">
      <w:pPr>
        <w:spacing w:after="0" w:line="240" w:lineRule="auto"/>
        <w:ind w:right="-2"/>
        <w:jc w:val="right"/>
        <w:rPr>
          <w:rFonts w:ascii="Times New Roman" w:eastAsia="Times New Roman" w:hAnsi="Times New Roman" w:cs="Arial"/>
          <w:bCs/>
          <w:sz w:val="28"/>
          <w:szCs w:val="28"/>
          <w:lang w:val="es-ES" w:eastAsia="en-US"/>
        </w:rPr>
      </w:pPr>
    </w:p>
    <w:p w:rsidR="006A7641" w:rsidRDefault="006A7641" w:rsidP="0049521F">
      <w:pPr>
        <w:spacing w:after="0" w:line="240" w:lineRule="auto"/>
        <w:ind w:right="-2"/>
        <w:jc w:val="right"/>
        <w:rPr>
          <w:rFonts w:ascii="Times New Roman" w:eastAsia="Times New Roman" w:hAnsi="Times New Roman" w:cs="Arial"/>
          <w:bCs/>
          <w:sz w:val="28"/>
          <w:szCs w:val="28"/>
          <w:lang w:val="es-ES" w:eastAsia="en-US"/>
        </w:rPr>
      </w:pPr>
    </w:p>
    <w:p w:rsidR="006A7641" w:rsidRPr="00CC1A4D" w:rsidRDefault="006A7641" w:rsidP="0049521F">
      <w:pPr>
        <w:spacing w:after="0" w:line="240" w:lineRule="auto"/>
        <w:ind w:right="-2"/>
        <w:jc w:val="right"/>
        <w:rPr>
          <w:rFonts w:ascii="Times New Roman" w:eastAsia="Times New Roman" w:hAnsi="Times New Roman" w:cs="Arial"/>
          <w:bCs/>
          <w:sz w:val="28"/>
          <w:szCs w:val="28"/>
          <w:lang w:val="es-ES" w:eastAsia="en-US"/>
        </w:rPr>
      </w:pPr>
      <w:r>
        <w:rPr>
          <w:rFonts w:ascii="Times New Roman" w:eastAsia="Times New Roman" w:hAnsi="Times New Roman" w:cs="Arial"/>
          <w:bCs/>
          <w:sz w:val="28"/>
          <w:szCs w:val="28"/>
          <w:lang w:val="es-ES" w:eastAsia="en-US"/>
        </w:rPr>
        <w:t>02 de abril de 2015</w:t>
      </w:r>
    </w:p>
    <w:p w:rsidR="00B764CB" w:rsidRDefault="00B764CB" w:rsidP="00CC1A4D">
      <w:pPr>
        <w:spacing w:after="0" w:line="240" w:lineRule="auto"/>
        <w:rPr>
          <w:rFonts w:ascii="Times New Roman" w:eastAsia="Times New Roman" w:hAnsi="Times New Roman" w:cs="Times New Roman"/>
          <w:sz w:val="24"/>
          <w:szCs w:val="24"/>
          <w:lang w:val="es-ES" w:eastAsia="es-ES"/>
        </w:rPr>
      </w:pPr>
    </w:p>
    <w:p w:rsidR="006A7641" w:rsidRPr="00CC1A4D" w:rsidRDefault="006A7641" w:rsidP="00CC1A4D">
      <w:pPr>
        <w:spacing w:after="0" w:line="240" w:lineRule="auto"/>
        <w:rPr>
          <w:rFonts w:ascii="Times New Roman" w:eastAsia="Times New Roman" w:hAnsi="Times New Roman" w:cs="Times New Roman"/>
          <w:sz w:val="24"/>
          <w:szCs w:val="24"/>
          <w:lang w:val="es-ES" w:eastAsia="es-ES"/>
        </w:rPr>
      </w:pPr>
    </w:p>
    <w:p w:rsidR="00775EF3" w:rsidRPr="00625D55" w:rsidRDefault="00775EF3" w:rsidP="00775EF3">
      <w:pPr>
        <w:rPr>
          <w:rFonts w:ascii="Times New Roman" w:hAnsi="Times New Roman" w:cs="Times New Roman"/>
          <w:b/>
          <w:sz w:val="24"/>
          <w:szCs w:val="24"/>
        </w:rPr>
      </w:pPr>
      <w:r w:rsidRPr="00625D55">
        <w:rPr>
          <w:rFonts w:ascii="Times New Roman" w:hAnsi="Times New Roman" w:cs="Times New Roman"/>
          <w:b/>
          <w:sz w:val="24"/>
          <w:szCs w:val="24"/>
        </w:rPr>
        <w:t>Índice</w:t>
      </w:r>
    </w:p>
    <w:p w:rsidR="00775EF3" w:rsidRDefault="00775EF3" w:rsidP="00775EF3">
      <w:pPr>
        <w:rPr>
          <w:rFonts w:ascii="Times New Roman" w:hAnsi="Times New Roman" w:cs="Times New Roman"/>
          <w:b/>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6"/>
        <w:gridCol w:w="1276"/>
      </w:tblGrid>
      <w:tr w:rsidR="00775EF3" w:rsidRPr="00E5363A" w:rsidTr="00775EF3">
        <w:trPr>
          <w:trHeight w:val="522"/>
        </w:trPr>
        <w:tc>
          <w:tcPr>
            <w:tcW w:w="8046" w:type="dxa"/>
          </w:tcPr>
          <w:p w:rsidR="00775EF3" w:rsidRPr="00E5363A" w:rsidRDefault="00775EF3" w:rsidP="00775EF3">
            <w:pPr>
              <w:spacing w:line="360" w:lineRule="auto"/>
              <w:rPr>
                <w:rFonts w:ascii="Times New Roman" w:hAnsi="Times New Roman" w:cs="Times New Roman"/>
                <w:b/>
              </w:rPr>
            </w:pPr>
          </w:p>
        </w:tc>
        <w:tc>
          <w:tcPr>
            <w:tcW w:w="1276" w:type="dxa"/>
          </w:tcPr>
          <w:p w:rsidR="00775EF3" w:rsidRPr="00E5363A" w:rsidRDefault="00775EF3" w:rsidP="00775EF3">
            <w:pPr>
              <w:spacing w:line="360" w:lineRule="auto"/>
              <w:rPr>
                <w:rFonts w:ascii="Times New Roman" w:hAnsi="Times New Roman" w:cs="Times New Roman"/>
                <w:b/>
              </w:rPr>
            </w:pPr>
            <w:r>
              <w:rPr>
                <w:rFonts w:ascii="Times New Roman" w:hAnsi="Times New Roman" w:cs="Times New Roman"/>
                <w:b/>
              </w:rPr>
              <w:t>Página</w:t>
            </w:r>
          </w:p>
        </w:tc>
      </w:tr>
      <w:tr w:rsidR="00775EF3" w:rsidRPr="00E5363A" w:rsidTr="00775EF3">
        <w:trPr>
          <w:trHeight w:val="522"/>
        </w:trPr>
        <w:tc>
          <w:tcPr>
            <w:tcW w:w="8046" w:type="dxa"/>
          </w:tcPr>
          <w:p w:rsidR="00775EF3" w:rsidRPr="00775EF3" w:rsidRDefault="00775EF3" w:rsidP="00775EF3">
            <w:pPr>
              <w:spacing w:line="360" w:lineRule="auto"/>
              <w:rPr>
                <w:rFonts w:ascii="Times New Roman" w:hAnsi="Times New Roman" w:cs="Times New Roman"/>
              </w:rPr>
            </w:pPr>
            <w:r w:rsidRPr="00775EF3">
              <w:rPr>
                <w:rFonts w:ascii="Times New Roman" w:hAnsi="Times New Roman" w:cs="Times New Roman"/>
              </w:rPr>
              <w:lastRenderedPageBreak/>
              <w:t>Abreviaturas y Siglas</w:t>
            </w:r>
          </w:p>
        </w:tc>
        <w:tc>
          <w:tcPr>
            <w:tcW w:w="1276" w:type="dxa"/>
          </w:tcPr>
          <w:p w:rsidR="00775EF3" w:rsidRPr="00E5363A" w:rsidRDefault="0044144B" w:rsidP="00775EF3">
            <w:pPr>
              <w:spacing w:line="360" w:lineRule="auto"/>
              <w:rPr>
                <w:rFonts w:ascii="Times New Roman" w:hAnsi="Times New Roman" w:cs="Times New Roman"/>
                <w:b/>
              </w:rPr>
            </w:pPr>
            <w:r>
              <w:rPr>
                <w:rFonts w:ascii="Times New Roman" w:hAnsi="Times New Roman" w:cs="Times New Roman"/>
                <w:b/>
              </w:rPr>
              <w:t>3</w:t>
            </w:r>
          </w:p>
        </w:tc>
      </w:tr>
      <w:tr w:rsidR="00775EF3" w:rsidRPr="00E5363A" w:rsidTr="00775EF3">
        <w:trPr>
          <w:trHeight w:val="522"/>
        </w:trPr>
        <w:tc>
          <w:tcPr>
            <w:tcW w:w="8046" w:type="dxa"/>
          </w:tcPr>
          <w:p w:rsidR="00775EF3" w:rsidRPr="00775EF3" w:rsidRDefault="00775EF3" w:rsidP="00775EF3">
            <w:pPr>
              <w:spacing w:line="360" w:lineRule="auto"/>
              <w:rPr>
                <w:rFonts w:ascii="Times New Roman" w:hAnsi="Times New Roman" w:cs="Times New Roman"/>
              </w:rPr>
            </w:pPr>
            <w:r w:rsidRPr="00775EF3">
              <w:rPr>
                <w:rFonts w:ascii="Times New Roman" w:hAnsi="Times New Roman" w:cs="Times New Roman"/>
              </w:rPr>
              <w:t>I.</w:t>
            </w:r>
            <w:r>
              <w:rPr>
                <w:rFonts w:ascii="Times New Roman" w:hAnsi="Times New Roman" w:cs="Times New Roman"/>
              </w:rPr>
              <w:t xml:space="preserve">   </w:t>
            </w:r>
            <w:r w:rsidRPr="00775EF3">
              <w:rPr>
                <w:rFonts w:ascii="Times New Roman" w:hAnsi="Times New Roman" w:cs="Times New Roman"/>
              </w:rPr>
              <w:t>Información general</w:t>
            </w:r>
          </w:p>
        </w:tc>
        <w:tc>
          <w:tcPr>
            <w:tcW w:w="1276" w:type="dxa"/>
          </w:tcPr>
          <w:p w:rsidR="00775EF3" w:rsidRPr="00E5363A" w:rsidRDefault="0044144B" w:rsidP="00775EF3">
            <w:pPr>
              <w:spacing w:line="360" w:lineRule="auto"/>
              <w:rPr>
                <w:rFonts w:ascii="Times New Roman" w:hAnsi="Times New Roman" w:cs="Times New Roman"/>
                <w:b/>
              </w:rPr>
            </w:pPr>
            <w:r>
              <w:rPr>
                <w:rFonts w:ascii="Times New Roman" w:hAnsi="Times New Roman" w:cs="Times New Roman"/>
                <w:b/>
              </w:rPr>
              <w:t>4</w:t>
            </w:r>
          </w:p>
        </w:tc>
      </w:tr>
      <w:tr w:rsidR="00775EF3" w:rsidRPr="00E5363A" w:rsidTr="00775EF3">
        <w:trPr>
          <w:trHeight w:val="522"/>
        </w:trPr>
        <w:tc>
          <w:tcPr>
            <w:tcW w:w="8046" w:type="dxa"/>
          </w:tcPr>
          <w:p w:rsidR="00775EF3" w:rsidRPr="00775EF3" w:rsidRDefault="00775EF3" w:rsidP="00775EF3">
            <w:pPr>
              <w:spacing w:line="360" w:lineRule="auto"/>
              <w:rPr>
                <w:rFonts w:ascii="Times New Roman" w:hAnsi="Times New Roman" w:cs="Times New Roman"/>
              </w:rPr>
            </w:pPr>
            <w:r>
              <w:rPr>
                <w:rFonts w:ascii="Times New Roman" w:hAnsi="Times New Roman" w:cs="Times New Roman"/>
              </w:rPr>
              <w:t xml:space="preserve">II.  </w:t>
            </w:r>
            <w:r w:rsidRPr="00775EF3">
              <w:rPr>
                <w:rFonts w:ascii="Times New Roman" w:hAnsi="Times New Roman" w:cs="Times New Roman"/>
              </w:rPr>
              <w:t>Cuestiones relativas a las disposiciones generales del Pacto (artículos 1 a 5)</w:t>
            </w:r>
          </w:p>
        </w:tc>
        <w:tc>
          <w:tcPr>
            <w:tcW w:w="1276" w:type="dxa"/>
          </w:tcPr>
          <w:p w:rsidR="00775EF3" w:rsidRPr="00E5363A" w:rsidRDefault="0044144B" w:rsidP="00775EF3">
            <w:pPr>
              <w:spacing w:line="360" w:lineRule="auto"/>
              <w:rPr>
                <w:rFonts w:ascii="Times New Roman" w:hAnsi="Times New Roman" w:cs="Times New Roman"/>
                <w:b/>
              </w:rPr>
            </w:pPr>
            <w:r>
              <w:rPr>
                <w:rFonts w:ascii="Times New Roman" w:hAnsi="Times New Roman" w:cs="Times New Roman"/>
                <w:b/>
              </w:rPr>
              <w:t>5</w:t>
            </w:r>
          </w:p>
        </w:tc>
      </w:tr>
      <w:tr w:rsidR="00775EF3" w:rsidRPr="00E5363A" w:rsidTr="00775EF3">
        <w:trPr>
          <w:trHeight w:val="522"/>
        </w:trPr>
        <w:tc>
          <w:tcPr>
            <w:tcW w:w="8046" w:type="dxa"/>
          </w:tcPr>
          <w:p w:rsidR="00775EF3" w:rsidRPr="00775EF3" w:rsidRDefault="00775EF3" w:rsidP="00775EF3">
            <w:pPr>
              <w:spacing w:line="360" w:lineRule="auto"/>
              <w:rPr>
                <w:rFonts w:ascii="Times New Roman" w:hAnsi="Times New Roman" w:cs="Times New Roman"/>
              </w:rPr>
            </w:pPr>
            <w:r>
              <w:rPr>
                <w:rFonts w:ascii="Times New Roman" w:hAnsi="Times New Roman" w:cs="Times New Roman"/>
              </w:rPr>
              <w:t xml:space="preserve">III. </w:t>
            </w:r>
            <w:r w:rsidRPr="00775EF3">
              <w:rPr>
                <w:rFonts w:ascii="Times New Roman" w:hAnsi="Times New Roman" w:cs="Times New Roman"/>
              </w:rPr>
              <w:t>Cuestiones relativas a disposiciones específicas del Pacto (arts. 6 a 15)</w:t>
            </w:r>
          </w:p>
        </w:tc>
        <w:tc>
          <w:tcPr>
            <w:tcW w:w="1276" w:type="dxa"/>
          </w:tcPr>
          <w:p w:rsidR="00775EF3" w:rsidRPr="00E5363A" w:rsidRDefault="0044144B" w:rsidP="00775EF3">
            <w:pPr>
              <w:spacing w:line="360" w:lineRule="auto"/>
              <w:rPr>
                <w:rFonts w:ascii="Times New Roman" w:hAnsi="Times New Roman" w:cs="Times New Roman"/>
                <w:b/>
              </w:rPr>
            </w:pPr>
            <w:r>
              <w:rPr>
                <w:rFonts w:ascii="Times New Roman" w:hAnsi="Times New Roman" w:cs="Times New Roman"/>
                <w:b/>
              </w:rPr>
              <w:t>11</w:t>
            </w:r>
          </w:p>
        </w:tc>
      </w:tr>
      <w:tr w:rsidR="00775EF3" w:rsidRPr="00E5363A" w:rsidTr="00775EF3">
        <w:trPr>
          <w:trHeight w:val="522"/>
        </w:trPr>
        <w:tc>
          <w:tcPr>
            <w:tcW w:w="8046" w:type="dxa"/>
          </w:tcPr>
          <w:p w:rsidR="00775EF3" w:rsidRPr="00775EF3" w:rsidRDefault="00775EF3" w:rsidP="00775EF3">
            <w:pPr>
              <w:spacing w:line="360" w:lineRule="auto"/>
              <w:rPr>
                <w:rFonts w:ascii="Times New Roman" w:hAnsi="Times New Roman" w:cs="Times New Roman"/>
              </w:rPr>
            </w:pPr>
            <w:r w:rsidRPr="00775EF3">
              <w:rPr>
                <w:rFonts w:ascii="Times New Roman" w:hAnsi="Times New Roman" w:cs="Times New Roman"/>
              </w:rPr>
              <w:t>Anexos</w:t>
            </w:r>
          </w:p>
        </w:tc>
        <w:tc>
          <w:tcPr>
            <w:tcW w:w="1276" w:type="dxa"/>
          </w:tcPr>
          <w:p w:rsidR="00775EF3" w:rsidRPr="00E5363A" w:rsidRDefault="00E22773" w:rsidP="00775EF3">
            <w:pPr>
              <w:spacing w:line="360" w:lineRule="auto"/>
              <w:rPr>
                <w:rFonts w:ascii="Times New Roman" w:hAnsi="Times New Roman" w:cs="Times New Roman"/>
                <w:b/>
              </w:rPr>
            </w:pPr>
            <w:r>
              <w:rPr>
                <w:rFonts w:ascii="Times New Roman" w:hAnsi="Times New Roman" w:cs="Times New Roman"/>
                <w:b/>
              </w:rPr>
              <w:t>38</w:t>
            </w:r>
          </w:p>
        </w:tc>
      </w:tr>
    </w:tbl>
    <w:p w:rsidR="0044144B" w:rsidRDefault="0044144B" w:rsidP="00D96FA5">
      <w:pPr>
        <w:spacing w:line="360" w:lineRule="auto"/>
        <w:jc w:val="both"/>
        <w:rPr>
          <w:rFonts w:ascii="Times New Roman" w:eastAsiaTheme="minorHAnsi" w:hAnsi="Times New Roman" w:cs="Times New Roman"/>
          <w:sz w:val="24"/>
          <w:szCs w:val="24"/>
          <w:lang w:eastAsia="en-US"/>
        </w:rPr>
      </w:pPr>
    </w:p>
    <w:p w:rsidR="0044144B" w:rsidRDefault="0044144B" w:rsidP="00D96FA5">
      <w:pPr>
        <w:spacing w:line="360" w:lineRule="auto"/>
        <w:jc w:val="both"/>
        <w:rPr>
          <w:rFonts w:ascii="Times New Roman" w:eastAsiaTheme="minorHAnsi" w:hAnsi="Times New Roman" w:cs="Times New Roman"/>
          <w:sz w:val="24"/>
          <w:szCs w:val="24"/>
          <w:lang w:eastAsia="en-US"/>
        </w:rPr>
      </w:pPr>
    </w:p>
    <w:p w:rsidR="00E36BB8" w:rsidRPr="00CB428E" w:rsidRDefault="00E36BB8" w:rsidP="00E36BB8">
      <w:pPr>
        <w:rPr>
          <w:rFonts w:ascii="Times New Roman" w:hAnsi="Times New Roman" w:cs="Times New Roman"/>
          <w:b/>
          <w:sz w:val="28"/>
          <w:szCs w:val="28"/>
        </w:rPr>
      </w:pPr>
      <w:r w:rsidRPr="00CB428E">
        <w:rPr>
          <w:rFonts w:ascii="Times New Roman" w:hAnsi="Times New Roman" w:cs="Times New Roman"/>
          <w:b/>
          <w:sz w:val="28"/>
          <w:szCs w:val="28"/>
        </w:rPr>
        <w:t xml:space="preserve">ANEXOS </w:t>
      </w:r>
    </w:p>
    <w:p w:rsidR="00E36BB8" w:rsidRPr="000C0458" w:rsidRDefault="00E36BB8" w:rsidP="00E36BB8">
      <w:pPr>
        <w:pStyle w:val="Default"/>
      </w:pPr>
      <w:r w:rsidRPr="00735DED">
        <w:br w:type="page"/>
      </w:r>
    </w:p>
    <w:p w:rsidR="00E36BB8" w:rsidRDefault="00E36BB8" w:rsidP="00E36BB8">
      <w:pPr>
        <w:rPr>
          <w:b/>
          <w:u w:val="single"/>
        </w:rPr>
      </w:pPr>
      <w:r w:rsidRPr="000C0458">
        <w:rPr>
          <w:rFonts w:ascii="Times New Roman" w:hAnsi="Times New Roman" w:cs="Times New Roman"/>
          <w:b/>
          <w:sz w:val="24"/>
          <w:szCs w:val="24"/>
        </w:rPr>
        <w:lastRenderedPageBreak/>
        <w:t>ANEXO I</w:t>
      </w:r>
    </w:p>
    <w:p w:rsidR="00E36BB8" w:rsidRDefault="00E36BB8" w:rsidP="00E36BB8">
      <w:pPr>
        <w:jc w:val="center"/>
        <w:rPr>
          <w:b/>
          <w:u w:val="single"/>
        </w:rPr>
      </w:pPr>
      <w:r>
        <w:rPr>
          <w:b/>
          <w:noProof/>
          <w:u w:val="single"/>
          <w:lang w:val="en-GB" w:eastAsia="en-GB"/>
        </w:rPr>
        <w:drawing>
          <wp:inline distT="0" distB="0" distL="0" distR="0" wp14:anchorId="0EBC3761" wp14:editId="65A52DE5">
            <wp:extent cx="5608955" cy="33045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955" cy="3304540"/>
                    </a:xfrm>
                    <a:prstGeom prst="rect">
                      <a:avLst/>
                    </a:prstGeom>
                    <a:noFill/>
                  </pic:spPr>
                </pic:pic>
              </a:graphicData>
            </a:graphic>
          </wp:inline>
        </w:drawing>
      </w:r>
    </w:p>
    <w:p w:rsidR="00E36BB8" w:rsidRDefault="00E36BB8" w:rsidP="00E36BB8">
      <w:pPr>
        <w:spacing w:after="0" w:line="240" w:lineRule="auto"/>
        <w:jc w:val="center"/>
        <w:rPr>
          <w:rFonts w:ascii="Book Antiqua" w:eastAsia="Batang" w:hAnsi="Book Antiqua" w:cs="Calibri"/>
          <w:b/>
          <w:color w:val="000000"/>
          <w:sz w:val="24"/>
          <w:szCs w:val="24"/>
        </w:rPr>
      </w:pPr>
    </w:p>
    <w:p w:rsidR="00E36BB8" w:rsidRDefault="00E36BB8" w:rsidP="00E36BB8">
      <w:pPr>
        <w:spacing w:after="0" w:line="240" w:lineRule="auto"/>
        <w:jc w:val="center"/>
        <w:rPr>
          <w:rFonts w:ascii="Book Antiqua" w:eastAsia="Batang" w:hAnsi="Book Antiqua" w:cs="Calibri"/>
          <w:b/>
          <w:color w:val="000000"/>
          <w:sz w:val="24"/>
          <w:szCs w:val="24"/>
        </w:rPr>
      </w:pPr>
    </w:p>
    <w:p w:rsidR="00E36BB8" w:rsidRDefault="00E36BB8" w:rsidP="00E36BB8">
      <w:pPr>
        <w:spacing w:after="0" w:line="240" w:lineRule="auto"/>
        <w:jc w:val="center"/>
        <w:rPr>
          <w:rFonts w:ascii="Book Antiqua" w:eastAsia="Batang" w:hAnsi="Book Antiqua" w:cs="Calibri"/>
          <w:b/>
          <w:color w:val="000000"/>
          <w:sz w:val="24"/>
          <w:szCs w:val="24"/>
        </w:rPr>
      </w:pPr>
    </w:p>
    <w:p w:rsidR="00E36BB8" w:rsidRPr="005C7FB0" w:rsidRDefault="00E36BB8" w:rsidP="00E36BB8">
      <w:pPr>
        <w:spacing w:after="0" w:line="240" w:lineRule="auto"/>
        <w:jc w:val="center"/>
        <w:rPr>
          <w:rFonts w:ascii="Book Antiqua" w:eastAsia="Batang" w:hAnsi="Book Antiqua" w:cs="Calibri"/>
          <w:b/>
          <w:color w:val="000000"/>
          <w:sz w:val="24"/>
          <w:szCs w:val="24"/>
        </w:rPr>
      </w:pPr>
    </w:p>
    <w:p w:rsidR="00E36BB8" w:rsidRDefault="00E36BB8" w:rsidP="00E36BB8">
      <w:pPr>
        <w:spacing w:after="0" w:line="240" w:lineRule="auto"/>
        <w:jc w:val="center"/>
        <w:rPr>
          <w:b/>
        </w:rPr>
      </w:pPr>
      <w:r w:rsidRPr="005C7FB0">
        <w:rPr>
          <w:b/>
        </w:rPr>
        <w:t>CORTE SUPREMA</w:t>
      </w:r>
    </w:p>
    <w:p w:rsidR="00E36BB8" w:rsidRDefault="00E36BB8" w:rsidP="00E36BB8">
      <w:pPr>
        <w:spacing w:after="0" w:line="240" w:lineRule="auto"/>
        <w:jc w:val="center"/>
        <w:rPr>
          <w:b/>
        </w:rPr>
      </w:pPr>
    </w:p>
    <w:p w:rsidR="00E36BB8" w:rsidRPr="005C7FB0" w:rsidRDefault="00E36BB8" w:rsidP="00E36BB8">
      <w:pPr>
        <w:spacing w:after="0" w:line="240" w:lineRule="auto"/>
        <w:jc w:val="center"/>
        <w:rPr>
          <w:b/>
        </w:rPr>
      </w:pPr>
      <w:r w:rsidRPr="005C7FB0">
        <w:rPr>
          <w:b/>
        </w:rPr>
        <w:t>DIRECCIÓN DE ESTUDIO, ANÁLISIS Y EVALUACIÓN</w:t>
      </w:r>
    </w:p>
    <w:p w:rsidR="00E36BB8" w:rsidRDefault="00E36BB8" w:rsidP="00E36BB8">
      <w:pPr>
        <w:spacing w:after="0" w:line="240" w:lineRule="auto"/>
        <w:ind w:right="-522"/>
        <w:jc w:val="center"/>
      </w:pPr>
    </w:p>
    <w:p w:rsidR="00E36BB8" w:rsidRDefault="00E36BB8" w:rsidP="00E36BB8">
      <w:pPr>
        <w:spacing w:after="0" w:line="240" w:lineRule="auto"/>
        <w:ind w:right="-522"/>
        <w:jc w:val="center"/>
      </w:pPr>
    </w:p>
    <w:p w:rsidR="00E36BB8" w:rsidRDefault="00E36BB8" w:rsidP="00E36BB8">
      <w:pPr>
        <w:spacing w:after="0" w:line="240" w:lineRule="auto"/>
        <w:ind w:right="-522"/>
        <w:jc w:val="center"/>
      </w:pPr>
    </w:p>
    <w:p w:rsidR="00E36BB8" w:rsidRDefault="00E36BB8" w:rsidP="00E36BB8">
      <w:pPr>
        <w:spacing w:after="0" w:line="240" w:lineRule="auto"/>
        <w:ind w:right="-522"/>
        <w:jc w:val="center"/>
      </w:pPr>
    </w:p>
    <w:p w:rsidR="00E36BB8" w:rsidRDefault="00E36BB8" w:rsidP="00E36BB8">
      <w:pPr>
        <w:spacing w:after="0" w:line="240" w:lineRule="auto"/>
        <w:ind w:right="-522"/>
        <w:jc w:val="center"/>
      </w:pPr>
    </w:p>
    <w:p w:rsidR="00E36BB8" w:rsidRDefault="00E36BB8" w:rsidP="00E36BB8">
      <w:pPr>
        <w:spacing w:after="0" w:line="240" w:lineRule="auto"/>
        <w:ind w:right="-522"/>
        <w:jc w:val="center"/>
      </w:pPr>
    </w:p>
    <w:p w:rsidR="00E36BB8" w:rsidRPr="005C7FB0" w:rsidRDefault="00E36BB8" w:rsidP="00E36BB8">
      <w:pPr>
        <w:spacing w:after="0" w:line="240" w:lineRule="auto"/>
        <w:ind w:right="-522"/>
        <w:jc w:val="center"/>
      </w:pPr>
    </w:p>
    <w:p w:rsidR="00E36BB8" w:rsidRPr="005C7FB0" w:rsidRDefault="00E36BB8" w:rsidP="00E36BB8">
      <w:pPr>
        <w:spacing w:after="0" w:line="240" w:lineRule="auto"/>
        <w:ind w:right="-522"/>
        <w:jc w:val="center"/>
      </w:pPr>
    </w:p>
    <w:p w:rsidR="00E36BB8" w:rsidRDefault="00E36BB8" w:rsidP="00E36BB8">
      <w:pPr>
        <w:spacing w:after="0" w:line="240" w:lineRule="auto"/>
        <w:jc w:val="center"/>
      </w:pPr>
      <w:r>
        <w:t>Reporte preparatorio para el</w:t>
      </w:r>
      <w:r w:rsidRPr="005C7FB0">
        <w:t xml:space="preserve"> 4º Informe Periódico de </w:t>
      </w:r>
      <w:r>
        <w:t xml:space="preserve">Chile sobre el </w:t>
      </w:r>
      <w:r w:rsidRPr="005C7FB0">
        <w:t>cumplimiento del P</w:t>
      </w:r>
      <w:r>
        <w:t>acto Internacional de Derechos Económicos, Sociales y Culturales</w:t>
      </w:r>
      <w:r w:rsidRPr="005C7FB0">
        <w:t xml:space="preserve"> de las Naciones Unidas</w:t>
      </w:r>
    </w:p>
    <w:p w:rsidR="00E36BB8" w:rsidRPr="005C7FB0" w:rsidRDefault="00E36BB8" w:rsidP="00E36BB8">
      <w:pPr>
        <w:spacing w:after="0" w:line="240" w:lineRule="auto"/>
        <w:jc w:val="center"/>
      </w:pPr>
    </w:p>
    <w:p w:rsidR="00E36BB8" w:rsidRPr="005C7FB0" w:rsidRDefault="00E36BB8" w:rsidP="00E36BB8">
      <w:pPr>
        <w:spacing w:after="0" w:line="240" w:lineRule="auto"/>
        <w:jc w:val="center"/>
      </w:pPr>
      <w:r>
        <w:t>Marzo</w:t>
      </w:r>
      <w:r w:rsidRPr="005C7FB0">
        <w:t xml:space="preserve"> – 2015</w:t>
      </w:r>
    </w:p>
    <w:p w:rsidR="00E36BB8" w:rsidRPr="005B4D92" w:rsidRDefault="00E36BB8" w:rsidP="00E36BB8">
      <w:pPr>
        <w:spacing w:after="0" w:line="360" w:lineRule="auto"/>
      </w:pPr>
      <w:r w:rsidRPr="005C7FB0">
        <w:br w:type="page"/>
      </w:r>
    </w:p>
    <w:p w:rsidR="00E36BB8" w:rsidRDefault="00E36BB8" w:rsidP="00E36BB8">
      <w:pPr>
        <w:jc w:val="center"/>
        <w:rPr>
          <w:b/>
          <w:u w:val="single"/>
        </w:rPr>
      </w:pPr>
    </w:p>
    <w:p w:rsidR="00E36BB8" w:rsidRDefault="00E36BB8" w:rsidP="00E36BB8">
      <w:pPr>
        <w:jc w:val="center"/>
        <w:rPr>
          <w:b/>
          <w:u w:val="single"/>
        </w:rPr>
      </w:pPr>
    </w:p>
    <w:p w:rsidR="00E36BB8" w:rsidRPr="005B4D92" w:rsidRDefault="00E36BB8" w:rsidP="00D47933">
      <w:pPr>
        <w:pStyle w:val="ListParagraph"/>
        <w:numPr>
          <w:ilvl w:val="0"/>
          <w:numId w:val="30"/>
        </w:numPr>
        <w:jc w:val="center"/>
        <w:rPr>
          <w:b/>
        </w:rPr>
      </w:pPr>
      <w:r w:rsidRPr="005B4D92">
        <w:rPr>
          <w:b/>
        </w:rPr>
        <w:t>ANTECEDENTES</w:t>
      </w:r>
    </w:p>
    <w:p w:rsidR="00E36BB8" w:rsidRPr="005B4D92" w:rsidRDefault="00E36BB8" w:rsidP="00E36BB8">
      <w:pPr>
        <w:spacing w:line="240" w:lineRule="auto"/>
        <w:jc w:val="both"/>
        <w:rPr>
          <w:b/>
        </w:rPr>
      </w:pPr>
      <w:r w:rsidRPr="005B4D92">
        <w:rPr>
          <w:b/>
        </w:rPr>
        <w:t>1) OBSERVACIONES FINALES DEL COMITÉ DE DERECHOS ECONÓMICOS, SOCIALES Y CULTURALES- CHILE (2004)</w:t>
      </w:r>
      <w:r w:rsidRPr="005B4D92">
        <w:rPr>
          <w:rStyle w:val="FootnoteReference"/>
          <w:rFonts w:asciiTheme="minorHAnsi" w:hAnsiTheme="minorHAnsi"/>
          <w:b/>
          <w:sz w:val="22"/>
        </w:rPr>
        <w:footnoteReference w:id="1"/>
      </w:r>
    </w:p>
    <w:p w:rsidR="00E36BB8" w:rsidRPr="005B4D92" w:rsidRDefault="00E36BB8" w:rsidP="00E36BB8">
      <w:pPr>
        <w:spacing w:line="240" w:lineRule="auto"/>
        <w:jc w:val="both"/>
      </w:pPr>
      <w:r w:rsidRPr="005B4D92">
        <w:t xml:space="preserve">D. Principales motivos de preocupación: </w:t>
      </w:r>
    </w:p>
    <w:p w:rsidR="00E36BB8" w:rsidRPr="005B4D92" w:rsidRDefault="00E36BB8" w:rsidP="00E36BB8">
      <w:pPr>
        <w:spacing w:line="240" w:lineRule="auto"/>
        <w:jc w:val="both"/>
      </w:pPr>
      <w:r w:rsidRPr="005B4D92">
        <w:t xml:space="preserve">12. El Comité observa que la enmienda del artículo 5 de la Constitución efectuada en 1989 amplía la serie de derechos consagrados en el artículo 19 de la Constitución al incorporar los derechos garantizados en los tratados internacionales en que Chile es Parte. Sin embargo, </w:t>
      </w:r>
      <w:r w:rsidRPr="005B4D92">
        <w:rPr>
          <w:u w:val="single"/>
        </w:rPr>
        <w:t>al Comité le preocupa que algunos derechos económicos, sociales y culturales, como el derecho a la vivienda, no se consideren justiciables en el Estado Parte</w:t>
      </w:r>
      <w:r w:rsidRPr="005B4D92">
        <w:t xml:space="preserve">. A este respecto, el Comité </w:t>
      </w:r>
      <w:r w:rsidRPr="005B4D92">
        <w:rPr>
          <w:i/>
        </w:rPr>
        <w:t>observa la escasez de jurisprudencia en que los derechos enunciados en el Pacto se han invocado ante los tribunales nacionales, o en que éstos les han dado cumplimiento directamente.</w:t>
      </w:r>
    </w:p>
    <w:p w:rsidR="00E36BB8" w:rsidRPr="005B4D92" w:rsidRDefault="00E36BB8" w:rsidP="00E36BB8">
      <w:pPr>
        <w:spacing w:line="240" w:lineRule="auto"/>
        <w:jc w:val="both"/>
      </w:pPr>
      <w:r w:rsidRPr="005B4D92">
        <w:t xml:space="preserve">E. Sugerencias y recomendaciones: </w:t>
      </w:r>
    </w:p>
    <w:p w:rsidR="00E36BB8" w:rsidRPr="005B4D92" w:rsidRDefault="00E36BB8" w:rsidP="00E36BB8">
      <w:pPr>
        <w:spacing w:line="240" w:lineRule="auto"/>
        <w:jc w:val="both"/>
      </w:pPr>
      <w:r w:rsidRPr="005B4D92">
        <w:t xml:space="preserve">29. El Comité recomienda al Estado Parte que prosiga sus esfuerzos para dar pleno efecto al Pacto en las leyes internas, y </w:t>
      </w:r>
      <w:r w:rsidRPr="005B4D92">
        <w:rPr>
          <w:u w:val="single"/>
        </w:rPr>
        <w:t>que siga aclarando la aplicabilidad directa del Pacto en los tribunales nacionales y comunique la jurisprudencia pertinente en su próximo informe periódico.</w:t>
      </w:r>
      <w:r w:rsidRPr="005B4D92">
        <w:t xml:space="preserve"> A este respecto, el Comité remite al Estado Parte a su Observación general Nº 9 sobre la aplicación interna del Pacto. El Estado Parte </w:t>
      </w:r>
      <w:r w:rsidRPr="005B4D92">
        <w:rPr>
          <w:i/>
        </w:rPr>
        <w:t>debería velar por que en la formación judicial se tenga plenamente en cuenta la exigibilidad de los derechos enunciados en el Pacto, y adoptar medidas para que se conozca mejor la posibilidad de invocar sus disposiciones ante los tribunales.</w:t>
      </w:r>
      <w:r w:rsidRPr="005B4D92">
        <w:t xml:space="preserve"> </w:t>
      </w:r>
    </w:p>
    <w:p w:rsidR="00E36BB8" w:rsidRPr="005B4D92" w:rsidRDefault="00E36BB8" w:rsidP="00E36BB8">
      <w:pPr>
        <w:spacing w:line="240" w:lineRule="auto"/>
        <w:jc w:val="both"/>
      </w:pPr>
      <w:r w:rsidRPr="005B4D92">
        <w:t>30. El Comité recomienda al Estado Parte que garantice la existencia de un marco jurídico e institucional eficaz para la promoción y protección de todos los derechos enunciados en el Pacto.</w:t>
      </w:r>
    </w:p>
    <w:p w:rsidR="00E36BB8" w:rsidRPr="005B4D92" w:rsidRDefault="00E36BB8" w:rsidP="00E36BB8">
      <w:pPr>
        <w:spacing w:line="240" w:lineRule="auto"/>
        <w:jc w:val="both"/>
      </w:pPr>
      <w:r w:rsidRPr="005B4D92">
        <w:t xml:space="preserve">60. El Comité alienta al Estado Parte a que imparta educación sobre los derechos humanos en las escuelas a todos los niveles y a que </w:t>
      </w:r>
      <w:r w:rsidRPr="005B4D92">
        <w:rPr>
          <w:i/>
        </w:rPr>
        <w:t>dé a conocer mejor los derechos humanos, en particular los derechos económicos, sociales y culturales, entre los funcionarios públicos, con inclusión de las fuerzas armadas, el personal encargado de hacer cumplir la ley y el poder judicial</w:t>
      </w:r>
      <w:r w:rsidRPr="005B4D92">
        <w:t>.</w:t>
      </w:r>
    </w:p>
    <w:p w:rsidR="00E36BB8" w:rsidRPr="005B4D92" w:rsidRDefault="00E36BB8" w:rsidP="00E36BB8">
      <w:pPr>
        <w:spacing w:line="240" w:lineRule="auto"/>
        <w:jc w:val="both"/>
        <w:rPr>
          <w:b/>
        </w:rPr>
      </w:pPr>
    </w:p>
    <w:p w:rsidR="00E36BB8" w:rsidRPr="005B4D92" w:rsidRDefault="00E36BB8" w:rsidP="00E36BB8">
      <w:pPr>
        <w:spacing w:line="240" w:lineRule="auto"/>
        <w:jc w:val="both"/>
        <w:rPr>
          <w:b/>
        </w:rPr>
      </w:pPr>
      <w:r w:rsidRPr="005B4D92">
        <w:rPr>
          <w:b/>
        </w:rPr>
        <w:t>2) LISTA DE CUESTIONES RELATIVA AL CUARTO INFORME PERIÓDICO DE CHILE (2014)</w:t>
      </w:r>
      <w:r w:rsidRPr="005B4D92">
        <w:rPr>
          <w:rStyle w:val="FootnoteReference"/>
          <w:rFonts w:asciiTheme="minorHAnsi" w:hAnsiTheme="minorHAnsi"/>
          <w:b/>
          <w:sz w:val="22"/>
        </w:rPr>
        <w:footnoteReference w:id="2"/>
      </w:r>
    </w:p>
    <w:p w:rsidR="00E36BB8" w:rsidRPr="005B4D92" w:rsidRDefault="00E36BB8" w:rsidP="00E36BB8">
      <w:pPr>
        <w:spacing w:line="240" w:lineRule="auto"/>
        <w:jc w:val="both"/>
      </w:pPr>
      <w:r w:rsidRPr="005B4D92">
        <w:t xml:space="preserve">I. Información general: </w:t>
      </w:r>
    </w:p>
    <w:p w:rsidR="00E36BB8" w:rsidRPr="005B4D92" w:rsidRDefault="00E36BB8" w:rsidP="00E36BB8">
      <w:pPr>
        <w:spacing w:line="240" w:lineRule="auto"/>
        <w:jc w:val="both"/>
      </w:pPr>
      <w:r w:rsidRPr="005B4D92">
        <w:t xml:space="preserve">1. Sírvanse informar sobre las </w:t>
      </w:r>
      <w:r w:rsidRPr="005B4D92">
        <w:rPr>
          <w:u w:val="single"/>
        </w:rPr>
        <w:t>medidas adoptadas para sensibilizar</w:t>
      </w:r>
      <w:r w:rsidRPr="005B4D92">
        <w:t xml:space="preserve"> al poder judicial y a la población en general respecto de los derechos económicos, sociales y culturales contenidos en el Pacto. Sírvanse asimismo proporcionar información sobre </w:t>
      </w:r>
      <w:r w:rsidRPr="005B4D92">
        <w:rPr>
          <w:u w:val="single"/>
        </w:rPr>
        <w:t>casos específicos de jurisprudencia</w:t>
      </w:r>
      <w:r w:rsidRPr="005B4D92">
        <w:t xml:space="preserve"> en que los derechos consagrados en el Pacto hayan sido invocados y directamente aplicados por los tribunales nacionales.</w:t>
      </w:r>
    </w:p>
    <w:p w:rsidR="00E36BB8" w:rsidRPr="005B4D92" w:rsidRDefault="00E36BB8" w:rsidP="00E36BB8">
      <w:pPr>
        <w:ind w:left="360"/>
        <w:rPr>
          <w:b/>
        </w:rPr>
      </w:pPr>
    </w:p>
    <w:p w:rsidR="00E36BB8" w:rsidRPr="005B4D92" w:rsidRDefault="00E36BB8" w:rsidP="00E36BB8">
      <w:pPr>
        <w:ind w:left="360"/>
        <w:rPr>
          <w:b/>
        </w:rPr>
      </w:pPr>
    </w:p>
    <w:p w:rsidR="008F4A22" w:rsidRDefault="00E36BB8" w:rsidP="008F4A22">
      <w:pPr>
        <w:pStyle w:val="ListParagraph"/>
        <w:numPr>
          <w:ilvl w:val="0"/>
          <w:numId w:val="30"/>
        </w:numPr>
        <w:jc w:val="center"/>
        <w:rPr>
          <w:b/>
        </w:rPr>
      </w:pPr>
      <w:r w:rsidRPr="005B4D92">
        <w:rPr>
          <w:b/>
        </w:rPr>
        <w:t>JURISPRUDENCIA</w:t>
      </w:r>
    </w:p>
    <w:p w:rsidR="008F4A22" w:rsidRDefault="008F4A22" w:rsidP="008F4A22">
      <w:pPr>
        <w:pStyle w:val="ListParagraph"/>
        <w:rPr>
          <w:b/>
        </w:rPr>
      </w:pPr>
    </w:p>
    <w:p w:rsidR="00E36BB8" w:rsidRPr="008F4A22" w:rsidRDefault="00E36BB8" w:rsidP="008F4A22">
      <w:pPr>
        <w:jc w:val="center"/>
        <w:rPr>
          <w:b/>
        </w:rPr>
      </w:pPr>
      <w:r w:rsidRPr="008F4A22">
        <w:rPr>
          <w:b/>
        </w:rPr>
        <w:t>INTRODUCCIÓN</w:t>
      </w:r>
    </w:p>
    <w:p w:rsidR="00E36BB8" w:rsidRPr="005B4D92" w:rsidRDefault="00E36BB8" w:rsidP="00E36BB8">
      <w:pPr>
        <w:ind w:firstLine="360"/>
        <w:jc w:val="both"/>
      </w:pPr>
      <w:r w:rsidRPr="005B4D92">
        <w:t>El Comité de Derechos Económicos, Sociales y Culturales (en adelante “CDESC”), en sus Observaciones Finales respecto del 3er Informe Periódico de Chile, manifestó su preocupación en torno a que “algunos derechos económicos, sociales y culturales, como el derecho a la vivienda, no se consideren justiciables en el Estado Parte”</w:t>
      </w:r>
      <w:r w:rsidRPr="005B4D92">
        <w:rPr>
          <w:rStyle w:val="FootnoteReference"/>
          <w:rFonts w:asciiTheme="minorHAnsi" w:hAnsiTheme="minorHAnsi"/>
          <w:sz w:val="22"/>
        </w:rPr>
        <w:footnoteReference w:id="3"/>
      </w:r>
      <w:r w:rsidRPr="005B4D92">
        <w:t xml:space="preserve"> y a “la escasez de jurisprudencia en que los derechos enunciados en el Pacto se han invocado ante los tribunales nacionales, o en que éstos le han dado cumplimiento directamente”</w:t>
      </w:r>
      <w:r w:rsidRPr="005B4D92">
        <w:rPr>
          <w:rStyle w:val="FootnoteReference"/>
          <w:rFonts w:asciiTheme="minorHAnsi" w:hAnsiTheme="minorHAnsi"/>
          <w:sz w:val="22"/>
        </w:rPr>
        <w:footnoteReference w:id="4"/>
      </w:r>
      <w:r w:rsidRPr="005B4D92">
        <w:t>.  En relación a dicha observación, y con la finalidad de contextualizar los avances en la materia que se presentarán en este Informe, es pertinente señalar que el marco normativo nacional entrega efectivamente una protección jurídica limitada y asimétrica a los derechos consagrados en el Pacto Internacional de Derechos Económicos, Sociales y Culturales (en adelante “el Pacto” o “PIDESC”). Esto principalmente por dos razones. En primer lugar, la Constitución Política de la República de Chile (en adelante “la Constitución”) consagra en su Capítulo III un catálogo incompleto de derechos económicos, sociales y culturales (en adelante “DESC”), en el sentido de que ciertas garantías, como el derecho a la vivienda adecuada o el derecho al agua, no se encuentran expresamente señaladas. Por otra parte, el denominado “recurso de protección” que ha establecido el constituyente para tutelar la observancia de garantías fundamentales, exclusivamente protege algunas de ellas consagradas en el artículo 19 de la Constitución, lo que limita aún más la protección constitucional de los derechos consagrados en el PIDESC.</w:t>
      </w:r>
    </w:p>
    <w:p w:rsidR="00E36BB8" w:rsidRPr="005B4D92" w:rsidRDefault="00E36BB8" w:rsidP="00E36BB8">
      <w:pPr>
        <w:ind w:firstLine="360"/>
        <w:jc w:val="both"/>
      </w:pPr>
      <w:r w:rsidRPr="005B4D92">
        <w:t xml:space="preserve">A pesar de ello, el poder judicial y en particular los distintos tribunales del país, entienden que su objetivo principal es proteger la dignidad de los individuos sometidos a su jurisdicción y en esta función, el respeto, protección y realización de los derechos económicos, sociales y culturales </w:t>
      </w:r>
      <w:r w:rsidR="00033F9B" w:rsidRPr="005B4D92">
        <w:t>es</w:t>
      </w:r>
      <w:r w:rsidRPr="005B4D92">
        <w:t xml:space="preserve"> un eje esencial. Los compromisos de derecho internacional asumidos por el Estado de Chile, junto al artículo 5° inciso 2º de la Constitución</w:t>
      </w:r>
      <w:r w:rsidRPr="005B4D92">
        <w:rPr>
          <w:rStyle w:val="FootnoteReference"/>
          <w:rFonts w:asciiTheme="minorHAnsi" w:hAnsiTheme="minorHAnsi"/>
          <w:sz w:val="22"/>
        </w:rPr>
        <w:footnoteReference w:id="5"/>
      </w:r>
      <w:r w:rsidRPr="005B4D92">
        <w:t xml:space="preserve"> que consagra la aplicabilidad directa de los tratados internacionales ratificados por Chile, no sólo amplían el catálogo de derechos que tutela nuestra Constitución, sino que también aseguran un marco normativo que hace jurídicamente procedente la </w:t>
      </w:r>
      <w:proofErr w:type="spellStart"/>
      <w:r w:rsidRPr="005B4D92">
        <w:t>justiciabilidad</w:t>
      </w:r>
      <w:proofErr w:type="spellEnd"/>
      <w:r w:rsidRPr="005B4D92">
        <w:t xml:space="preserve"> de los derechos contenidos en el Pacto. En efecto, una interpretación distinta que excluya los derechos económicos, sociales y culturales del ámbito de protección de los tribunales de justicia, sería una decisión arbitraria e incompatible con estándares de derechos humanos, que </w:t>
      </w:r>
      <w:r w:rsidRPr="005B4D92">
        <w:lastRenderedPageBreak/>
        <w:t>además reduciría drásticamente su capacidad y eficacia para proteger los derechos de los grupos más vulnerables y desfavorecidos de la sociedad en los términos que ha señalado el CDESC.</w:t>
      </w:r>
      <w:r w:rsidRPr="005B4D92">
        <w:rPr>
          <w:rStyle w:val="FootnoteReference"/>
          <w:rFonts w:asciiTheme="minorHAnsi" w:hAnsiTheme="minorHAnsi"/>
          <w:sz w:val="22"/>
        </w:rPr>
        <w:footnoteReference w:id="6"/>
      </w:r>
    </w:p>
    <w:p w:rsidR="00E36BB8" w:rsidRPr="005B4D92" w:rsidRDefault="00E36BB8" w:rsidP="00E36BB8">
      <w:pPr>
        <w:ind w:firstLine="360"/>
        <w:jc w:val="both"/>
      </w:pPr>
      <w:r w:rsidRPr="005B4D92">
        <w:t>Sin dejar de reconocer el desafío de seguir avanzando hacia una efectiva tutela, superando las falencias en la protección judicial de los derechos consagrados en el PIDESC, el presente Informe dará cuenta de los avances que han existido en favor de la judicialización de estos derechos y en el desarrollo de su contenido normativo a través de la actividad jurisdiccional. En términos generales, cabe destacar que los tribunales nacionales han evolucionado hacia una interpretación amplia e inclusiva, que recoge el carácter universal, indivisible, interdependiente e interrelacionado</w:t>
      </w:r>
      <w:r w:rsidRPr="005B4D92">
        <w:rPr>
          <w:rStyle w:val="FootnoteReference"/>
          <w:rFonts w:asciiTheme="minorHAnsi" w:hAnsiTheme="minorHAnsi"/>
          <w:sz w:val="22"/>
        </w:rPr>
        <w:footnoteReference w:id="7"/>
      </w:r>
      <w:r w:rsidRPr="005B4D92">
        <w:t xml:space="preserve"> de los distintos derechos humanos, lo que en conjunto con el ya mencionado artículo 5° inciso 2º de la Constitución permite garantizar la </w:t>
      </w:r>
      <w:proofErr w:type="spellStart"/>
      <w:r w:rsidRPr="005B4D92">
        <w:t>justiciabilidad</w:t>
      </w:r>
      <w:proofErr w:type="spellEnd"/>
      <w:r w:rsidRPr="005B4D92">
        <w:t xml:space="preserve"> de aquellos derechos consagrados en el PIDESC, aun cuando no se encuentran expresamente enumerados en la Constitución.</w:t>
      </w:r>
    </w:p>
    <w:p w:rsidR="00E36BB8" w:rsidRPr="005B4D92" w:rsidRDefault="00E36BB8" w:rsidP="00E36BB8">
      <w:pPr>
        <w:ind w:firstLine="360"/>
        <w:jc w:val="both"/>
      </w:pPr>
      <w:r w:rsidRPr="005B4D92">
        <w:t xml:space="preserve">Finalmente cabe señalar que este informe se construyó a partir de una muestra de 126.555 sentencias de la Corte Suprema y de las Cortes de Apelaciones del país, relativas a los derechos recogidos por el Pacto y adoptadas en el período posterior al 33º Período de Sesiones del Comité de Derechos Económicos, Sociales y Culturales (1º de Diciembre del año 2004) y hasta el mes de Febrero de 2015 inclusive. Este reporte presentará entonces, en concreto, la manera en que los tribunales superiores de </w:t>
      </w:r>
      <w:r w:rsidR="00033F9B" w:rsidRPr="005B4D92">
        <w:t>justicia</w:t>
      </w:r>
      <w:r w:rsidRPr="005B4D92">
        <w:t xml:space="preserve"> del país han argumentado la </w:t>
      </w:r>
      <w:proofErr w:type="spellStart"/>
      <w:r w:rsidRPr="005B4D92">
        <w:t>justiciabilidad</w:t>
      </w:r>
      <w:proofErr w:type="spellEnd"/>
      <w:r w:rsidRPr="005B4D92">
        <w:t xml:space="preserve"> de los DESC y los distintos criterios, definiciones y principios jurisprudenciales que han desarrollado con el fin de elaborar el contenido normativo de los derechos consagrados en el Pacto, mencionando casos específicos donde dichos elementos han sido reconocidos.  </w:t>
      </w:r>
    </w:p>
    <w:p w:rsidR="00E36BB8" w:rsidRPr="005B4D92" w:rsidRDefault="00E36BB8" w:rsidP="00E36BB8">
      <w:pPr>
        <w:rPr>
          <w:b/>
        </w:rPr>
      </w:pPr>
    </w:p>
    <w:p w:rsidR="00E36BB8" w:rsidRPr="005B4D92" w:rsidRDefault="00E36BB8" w:rsidP="00E36BB8">
      <w:pPr>
        <w:pStyle w:val="ListParagraph"/>
        <w:jc w:val="center"/>
        <w:rPr>
          <w:b/>
        </w:rPr>
      </w:pPr>
      <w:r w:rsidRPr="005B4D92">
        <w:rPr>
          <w:b/>
        </w:rPr>
        <w:t>LOS DERECHOS ECONÓMICOS, SOCIALES Y CULTURALES DEL PIDESC EN LA JURISPRUDENCIA CHILENA</w:t>
      </w:r>
    </w:p>
    <w:p w:rsidR="00E36BB8" w:rsidRPr="005B4D92" w:rsidRDefault="00E36BB8" w:rsidP="00E36BB8">
      <w:pPr>
        <w:pStyle w:val="ListParagraph"/>
        <w:rPr>
          <w:b/>
        </w:rPr>
      </w:pPr>
    </w:p>
    <w:p w:rsidR="00E36BB8" w:rsidRPr="005B4D92" w:rsidRDefault="00E36BB8" w:rsidP="00D47933">
      <w:pPr>
        <w:pStyle w:val="ListParagraph"/>
        <w:numPr>
          <w:ilvl w:val="0"/>
          <w:numId w:val="32"/>
        </w:numPr>
        <w:jc w:val="both"/>
        <w:rPr>
          <w:b/>
        </w:rPr>
      </w:pPr>
      <w:r w:rsidRPr="005B4D92">
        <w:rPr>
          <w:b/>
        </w:rPr>
        <w:t>DERECHO A TRABAJAR Y A UNAS CONDICIONES DE TRABAJO EQUITATIVAS Y SATISFACTORIAS</w:t>
      </w:r>
      <w:r w:rsidRPr="005B4D92">
        <w:rPr>
          <w:rStyle w:val="FootnoteReference"/>
          <w:rFonts w:asciiTheme="minorHAnsi" w:hAnsiTheme="minorHAnsi"/>
          <w:b/>
          <w:sz w:val="22"/>
        </w:rPr>
        <w:footnoteReference w:id="8"/>
      </w:r>
    </w:p>
    <w:p w:rsidR="00E36BB8" w:rsidRPr="005B4D92" w:rsidRDefault="00E36BB8" w:rsidP="00E36BB8">
      <w:pPr>
        <w:ind w:firstLine="360"/>
        <w:jc w:val="both"/>
      </w:pPr>
      <w:r w:rsidRPr="005B4D92">
        <w:t xml:space="preserve">La protección judicial de este derecho se ha visto fortalecida por la entrada en vigencia de la Ley 20.087, publicada en Enero de 2006, que regula el denominado Procedimiento de Tutela Laboral. Este otorga protección a distintos derechos fundamentales de los trabajadores ante vulneraciones originadas en una relación laboral, y también directamente tutela el derecho a trabajar, en cuanto ofrece protección judicial, entre otros, a la libertad de trabajo, su libre elección y a la prohibición de discriminación en materia laboral. En este contexto este Reporte destacará los avances jurisprudenciales más relevantes de los últimos años respecto al derecho humano a trabajar. </w:t>
      </w:r>
    </w:p>
    <w:p w:rsidR="00E36BB8" w:rsidRPr="005B4D92" w:rsidRDefault="00E36BB8" w:rsidP="00D47933">
      <w:pPr>
        <w:pStyle w:val="ListParagraph"/>
        <w:numPr>
          <w:ilvl w:val="0"/>
          <w:numId w:val="39"/>
        </w:numPr>
        <w:jc w:val="both"/>
      </w:pPr>
      <w:r w:rsidRPr="005B4D92">
        <w:lastRenderedPageBreak/>
        <w:t>Universalidad del derecho al trabajo</w:t>
      </w:r>
    </w:p>
    <w:p w:rsidR="00E36BB8" w:rsidRPr="005B4D92" w:rsidRDefault="00E36BB8" w:rsidP="00E36BB8">
      <w:pPr>
        <w:ind w:firstLine="360"/>
        <w:jc w:val="both"/>
      </w:pPr>
      <w:r w:rsidRPr="005B4D92">
        <w:t>En primer lugar cabe señalar que la jurisprudencia ha conceptualizado el derecho al trabajo desde una perspectiva amplia. En este sentido, los tribunales entienden que al ser el trabajo el medio a través del cual el individuo humaniza la realidad y se constituye en miembro activo de la comunidad,</w:t>
      </w:r>
      <w:r w:rsidRPr="005B4D92">
        <w:rPr>
          <w:rStyle w:val="FootnoteReference"/>
          <w:rFonts w:asciiTheme="minorHAnsi" w:hAnsiTheme="minorHAnsi"/>
          <w:sz w:val="22"/>
        </w:rPr>
        <w:footnoteReference w:id="9"/>
      </w:r>
      <w:r w:rsidRPr="005B4D92">
        <w:t xml:space="preserve"> su protección debe ser universal y en condiciones de igualdad para todos los trabajadores. Esto ha significado en concreto, entre otros, que la Corte Suprema ha interpretado recientemente que el procedimiento de tutela de derechos fundamentales aplica también a los trabajadores de la Administración del Estado, porque ellos a pesar de estar sujetos a un régimen normativo laboral especial, deben gozar de una igual protección de sus derechos fundamentales sin distinción alguna.</w:t>
      </w:r>
      <w:r w:rsidRPr="005B4D92">
        <w:rPr>
          <w:rStyle w:val="FootnoteReference"/>
          <w:rFonts w:asciiTheme="minorHAnsi" w:hAnsiTheme="minorHAnsi"/>
          <w:sz w:val="22"/>
        </w:rPr>
        <w:footnoteReference w:id="10"/>
      </w:r>
      <w:r w:rsidRPr="005B4D92">
        <w:t xml:space="preserve"> En este sentido la Corte argumenta que  </w:t>
      </w:r>
      <w:r w:rsidRPr="005B4D92">
        <w:rPr>
          <w:i/>
        </w:rPr>
        <w:t>“el trabajo es una institución amparada por la comunidad jurídica universal en documentos tales como el Pacto Internacional de Derechos Económicos, Sociales y Culturales. Cualquiera sea la modalidad que asuma -v. g., función pública en un Poder del Estado- le son aplicables principios que hogaño indiscutidamente lo informan, como el de la estabilidad”</w:t>
      </w:r>
      <w:r w:rsidRPr="005B4D92">
        <w:t>.</w:t>
      </w:r>
      <w:r w:rsidRPr="005B4D92">
        <w:rPr>
          <w:rStyle w:val="FootnoteReference"/>
          <w:rFonts w:asciiTheme="minorHAnsi" w:hAnsiTheme="minorHAnsi"/>
          <w:sz w:val="22"/>
        </w:rPr>
        <w:footnoteReference w:id="11"/>
      </w:r>
    </w:p>
    <w:p w:rsidR="00E36BB8" w:rsidRPr="005B4D92" w:rsidRDefault="00E36BB8" w:rsidP="00D47933">
      <w:pPr>
        <w:pStyle w:val="ListParagraph"/>
        <w:numPr>
          <w:ilvl w:val="0"/>
          <w:numId w:val="39"/>
        </w:numPr>
        <w:jc w:val="both"/>
      </w:pPr>
      <w:r w:rsidRPr="005B4D92">
        <w:t>Libertad de trabajo</w:t>
      </w:r>
    </w:p>
    <w:p w:rsidR="00E36BB8" w:rsidRPr="005B4D92" w:rsidRDefault="00E36BB8" w:rsidP="00E36BB8">
      <w:pPr>
        <w:ind w:firstLine="360"/>
        <w:jc w:val="both"/>
      </w:pPr>
      <w:r w:rsidRPr="005B4D92">
        <w:t xml:space="preserve">La Constitución expresamente reconoce el derecho a la libertad de trabajo y lo protege particularmente a través del recurso de protección. Ello ha sido fundamental para elaborar su contenido a través de la litigación, la que se ha incrementado en los últimos años debido a que su protección también procede a través del procedimiento de tutela laboral. Es precisamente en esta sede que la jurisprudencia la ha definido como </w:t>
      </w:r>
      <w:r w:rsidRPr="005B4D92">
        <w:rPr>
          <w:i/>
        </w:rPr>
        <w:t>“la facultad de toda persona a trabajar si lo desea”</w:t>
      </w:r>
      <w:r w:rsidRPr="005B4D92">
        <w:t>.</w:t>
      </w:r>
      <w:r w:rsidRPr="005B4D92">
        <w:rPr>
          <w:rStyle w:val="FootnoteReference"/>
          <w:rFonts w:asciiTheme="minorHAnsi" w:hAnsiTheme="minorHAnsi"/>
          <w:sz w:val="22"/>
        </w:rPr>
        <w:footnoteReference w:id="12"/>
      </w:r>
      <w:r w:rsidRPr="005B4D92">
        <w:t xml:space="preserve"> Su naturaleza de derecho fundamental se ha reconocido cuando los tribunales han entendido que las actividades que se desarrollan entre empleador y trabajador, en el contexto de una relación laboral, deben cumplir con estándares de derechos humanos. </w:t>
      </w:r>
    </w:p>
    <w:p w:rsidR="00E36BB8" w:rsidRPr="005B4D92" w:rsidRDefault="00E36BB8" w:rsidP="00E36BB8">
      <w:pPr>
        <w:ind w:firstLine="360"/>
        <w:jc w:val="both"/>
      </w:pPr>
      <w:r w:rsidRPr="005B4D92">
        <w:t>A modo de ejemplo, la jurisprudencia ha entendido que dichos estándares exigen que el juez, con ocasión de un despido, debe evaluar si el término del vínculo laboral afecta o no, considerando el contexto de este, a la libertad de trabajo. Las facultades que la ley le otorga al empleador no pueden ser ejercidas lesionando los derechos fundamentales del trabajador sin justificación suficiente, en forma arbitraria, desproporcionada o sin respeto a su contenido esencial. Los estándares normativos actuales demandan que la protección de los derechos humanos sea el valor predominante y ello se respeta exclusivamente ejerciendo las atribuciones legales con fundamento o justificación suficiente.</w:t>
      </w:r>
      <w:r w:rsidRPr="005B4D92">
        <w:rPr>
          <w:rStyle w:val="FootnoteReference"/>
          <w:rFonts w:asciiTheme="minorHAnsi" w:hAnsiTheme="minorHAnsi"/>
          <w:sz w:val="22"/>
        </w:rPr>
        <w:footnoteReference w:id="13"/>
      </w:r>
    </w:p>
    <w:p w:rsidR="00E36BB8" w:rsidRPr="005B4D92" w:rsidRDefault="00E36BB8" w:rsidP="00D47933">
      <w:pPr>
        <w:pStyle w:val="ListParagraph"/>
        <w:numPr>
          <w:ilvl w:val="0"/>
          <w:numId w:val="39"/>
        </w:numPr>
        <w:jc w:val="both"/>
      </w:pPr>
      <w:r w:rsidRPr="005B4D92">
        <w:t>No discriminación laboral</w:t>
      </w:r>
    </w:p>
    <w:p w:rsidR="00E36BB8" w:rsidRPr="005B4D92" w:rsidRDefault="00E36BB8" w:rsidP="00E36BB8">
      <w:pPr>
        <w:ind w:firstLine="360"/>
        <w:jc w:val="both"/>
      </w:pPr>
      <w:r w:rsidRPr="005B4D92">
        <w:lastRenderedPageBreak/>
        <w:t>El procedimiento de tutela laboral ha generado desarrollo jurisprudencial no sólo en cuanto ha permitido a los tribunales superiores conocer de violaciones a derechos fundamentales en sede laboral, sino también porque ha fortalecido el rol de los tribunales de primera instancia como órganos protectores de los derechos humanos de los trabajadores. A partir de la entrada en vigencia de la Ley 20.087, los tribunales laborales se han visto  involucrados en litigios desarrollados y argumentados bajo la narrativa de derechos humanos, lo que ha generado que esta disciplina permee su función jurisdiccional.</w:t>
      </w:r>
    </w:p>
    <w:p w:rsidR="00E36BB8" w:rsidRPr="005B4D92" w:rsidRDefault="00E36BB8" w:rsidP="00E36BB8">
      <w:pPr>
        <w:ind w:firstLine="360"/>
        <w:jc w:val="both"/>
      </w:pPr>
      <w:r w:rsidRPr="005B4D92">
        <w:t>A este respecto cabe mencionar, a modo de ejemplo, la sentencia del Primer Juzgado de Letras del Trabajo de Santiago, sobre el derecho a no discriminación y el trato arbitrario que recibió una trabajadora que profesa la religión musulmana en un “centro de llamados”, caso que tuvo un impacto significativo tanto para la jurisprudencia nacional como para la opinión pública.</w:t>
      </w:r>
      <w:r w:rsidRPr="005B4D92">
        <w:rPr>
          <w:rStyle w:val="FootnoteReference"/>
          <w:rFonts w:asciiTheme="minorHAnsi" w:hAnsiTheme="minorHAnsi"/>
          <w:sz w:val="22"/>
        </w:rPr>
        <w:footnoteReference w:id="14"/>
      </w:r>
      <w:r w:rsidRPr="005B4D92">
        <w:t xml:space="preserve"> En esta sentencia, el tribunal laboral estableció criterios para especificar el contenido normativo del derecho a la no discriminación en sede laboral. Así, señala que de acuerdo a la legislación nacional e internacional, instrumentos entre los cuales se invoca el PIDESC, el establecer un tratamiento diferente y arbitrario a un trabajador fundado en la religión que este profesa, es un hecho que se encuentra prohibido ya que es contrario al principio de igualdad, el derecho a igualdad ante la ley y a la no discriminación arbitraria. De hecho, la sentencia señala que cualquier diferenciación por motivo de raza, color, sexo, idioma, religión, opinión política y otras, debe ser en principio considerada ilegítima y por tanto sometida a un riguroso análisis de racionalidad y proporcionalidad.</w:t>
      </w:r>
      <w:r w:rsidRPr="005B4D92">
        <w:rPr>
          <w:rStyle w:val="FootnoteReference"/>
          <w:rFonts w:asciiTheme="minorHAnsi" w:hAnsiTheme="minorHAnsi"/>
          <w:sz w:val="22"/>
        </w:rPr>
        <w:footnoteReference w:id="15"/>
      </w:r>
      <w:r w:rsidRPr="005B4D92">
        <w:t xml:space="preserve"> Lo que prohíbe la ley es la discriminación o diferencia arbitraria, a saber, un tratamiento distinto y carente de justificación objetiva y razonable.</w:t>
      </w:r>
      <w:r w:rsidRPr="005B4D92">
        <w:rPr>
          <w:rStyle w:val="FootnoteReference"/>
          <w:rFonts w:asciiTheme="minorHAnsi" w:hAnsiTheme="minorHAnsi"/>
          <w:sz w:val="22"/>
        </w:rPr>
        <w:footnoteReference w:id="16"/>
      </w:r>
      <w:r w:rsidRPr="005B4D92">
        <w:t xml:space="preserve"> En sede laboral, por tanto, tan solo se permite hacer distinciones basadas en la capacidad e idoneidad personal, por ello, lo que se va a buscar es garantizar </w:t>
      </w:r>
      <w:r w:rsidRPr="005B4D92">
        <w:rPr>
          <w:i/>
        </w:rPr>
        <w:t>“la protección de la dignidad del trabajador, fundado en la no diferenciación arbitraria e injusta de aquel en el trato al interior de la empresa, teniendo derecho a un tratamiento igual al de sus compañeros, que se encuentren en similares condiciones”</w:t>
      </w:r>
      <w:r w:rsidRPr="005B4D92">
        <w:rPr>
          <w:rStyle w:val="FootnoteReference"/>
          <w:rFonts w:asciiTheme="minorHAnsi" w:hAnsiTheme="minorHAnsi"/>
          <w:sz w:val="22"/>
        </w:rPr>
        <w:footnoteReference w:id="17"/>
      </w:r>
    </w:p>
    <w:p w:rsidR="00E36BB8" w:rsidRPr="005B4D92" w:rsidRDefault="00E36BB8" w:rsidP="00D47933">
      <w:pPr>
        <w:pStyle w:val="ListParagraph"/>
        <w:numPr>
          <w:ilvl w:val="0"/>
          <w:numId w:val="39"/>
        </w:numPr>
        <w:jc w:val="both"/>
      </w:pPr>
      <w:r w:rsidRPr="005B4D92">
        <w:t>Derechos de la madre en el trabajo</w:t>
      </w:r>
    </w:p>
    <w:p w:rsidR="00E36BB8" w:rsidRPr="005B4D92" w:rsidRDefault="00E36BB8" w:rsidP="00E36BB8">
      <w:pPr>
        <w:ind w:firstLine="360"/>
        <w:jc w:val="both"/>
      </w:pPr>
      <w:r w:rsidRPr="005B4D92">
        <w:t xml:space="preserve">Por último, y en relación a los derechos de la madre trabajadora, la jurisprudencia nacional ha entendido que el objetivo principal de dicha protección es resguardar el embarazo, la recuperación física luego del parto, el apego y el cuidado del hijo recién nacido, contemplando como derechos de la madre trabajadora, entre otros, un descanso de maternidad, pre y post nacimiento. Se debe garantizar a la madre su tranquilidad económica y emocional con miras a proteger la vida y mejor desarrollo del ser que está por nacer. Por tanto, en caso de ser necesario, y a modo de ejemplo, aquellas medidas disciplinarias de carácter administrativo que puedan significar el despido de la madre deben de ser postergadas en cuanto a su aplicación, con el fin de </w:t>
      </w:r>
      <w:r w:rsidRPr="005B4D92">
        <w:lastRenderedPageBreak/>
        <w:t>no afectar en lo esencial aquellos derechos fundamentales de la madre y su hijo.</w:t>
      </w:r>
      <w:r w:rsidRPr="005B4D92">
        <w:rPr>
          <w:rStyle w:val="FootnoteReference"/>
          <w:rFonts w:asciiTheme="minorHAnsi" w:hAnsiTheme="minorHAnsi"/>
          <w:sz w:val="22"/>
        </w:rPr>
        <w:footnoteReference w:id="18"/>
      </w:r>
      <w:r w:rsidRPr="005B4D92">
        <w:t xml:space="preserve"> La jurisprudencia ha entendido que esta interpretación es congruente con el derecho a trabajar y con el derecho establecido en</w:t>
      </w:r>
      <w:r>
        <w:t xml:space="preserve"> el artículo 10 nº 2 del Pacto.</w:t>
      </w:r>
    </w:p>
    <w:p w:rsidR="00E36BB8" w:rsidRPr="005B4D92" w:rsidRDefault="00E36BB8" w:rsidP="00D47933">
      <w:pPr>
        <w:pStyle w:val="ListParagraph"/>
        <w:numPr>
          <w:ilvl w:val="0"/>
          <w:numId w:val="32"/>
        </w:numPr>
        <w:rPr>
          <w:b/>
        </w:rPr>
      </w:pPr>
      <w:r w:rsidRPr="005B4D92">
        <w:rPr>
          <w:b/>
        </w:rPr>
        <w:t>DERECHOS SINDICALES</w:t>
      </w:r>
      <w:r w:rsidRPr="005B4D92">
        <w:rPr>
          <w:rStyle w:val="FootnoteReference"/>
          <w:rFonts w:asciiTheme="minorHAnsi" w:hAnsiTheme="minorHAnsi"/>
          <w:b/>
          <w:sz w:val="22"/>
        </w:rPr>
        <w:footnoteReference w:id="19"/>
      </w:r>
    </w:p>
    <w:p w:rsidR="00E36BB8" w:rsidRPr="005B4D92" w:rsidRDefault="00E36BB8" w:rsidP="00E36BB8">
      <w:pPr>
        <w:ind w:firstLine="360"/>
        <w:jc w:val="both"/>
      </w:pPr>
      <w:r w:rsidRPr="005B4D92">
        <w:t>La Constitución y el recurso de protección protegen expresamente el derecho de sindicarse, el que siempre será un acto voluntario, tanto para afiliarse a alguna organización sindical como para renunciar a ser parte de esta. Ambos actos deben ser voluntarios, personales e indelegables, y de acuerdo a lo señalado por la jurisprudencia los trabajadores están facultados para ejercer su derecho a afiliarse o desafiliarse en el momento en que lo estimen conveniente conforme a sus intereses. Por tanto, son contrarios a estándares de derechos humanos aquellos actos del empleador y/u órganos del Estado que perturban el derecho a ser parte de dichas organizaciones, como también aquellas conductas sindicales que niegan la recepción y tramitación de renuncias, ya que la voluntariedad de la actividad sindical es contraria a la obligación de mantenerse en ella.</w:t>
      </w:r>
      <w:r w:rsidRPr="005B4D92">
        <w:rPr>
          <w:rStyle w:val="FootnoteReference"/>
          <w:rFonts w:asciiTheme="minorHAnsi" w:hAnsiTheme="minorHAnsi"/>
          <w:sz w:val="22"/>
        </w:rPr>
        <w:footnoteReference w:id="20"/>
      </w:r>
    </w:p>
    <w:p w:rsidR="00E36BB8" w:rsidRPr="005B4D92" w:rsidRDefault="00E36BB8" w:rsidP="00E36BB8">
      <w:pPr>
        <w:ind w:firstLine="360"/>
        <w:jc w:val="both"/>
      </w:pPr>
      <w:r w:rsidRPr="005B4D92">
        <w:t>Los tribunales superiores de justica también han elaborado la denominada doble dimensión del derecho a la libertad sindical. Primero, en su aspecto individual este significa que el trabajador no puede ser sancionado por sus actuaciones en el proceso de negociación colectiva, ni mientras presta apoyo directo en la huelga legal; y segundo, desde un aspecto colectivo, no puede inhibir la existencia y desarrollo de la organización sindical desde lo societario.</w:t>
      </w:r>
      <w:r w:rsidRPr="005B4D92">
        <w:rPr>
          <w:rStyle w:val="FootnoteReference"/>
          <w:rFonts w:asciiTheme="minorHAnsi" w:hAnsiTheme="minorHAnsi"/>
          <w:sz w:val="22"/>
        </w:rPr>
        <w:footnoteReference w:id="21"/>
      </w:r>
      <w:r w:rsidRPr="005B4D92">
        <w:t xml:space="preserve"> </w:t>
      </w:r>
    </w:p>
    <w:p w:rsidR="00E36BB8" w:rsidRPr="005B4D92" w:rsidRDefault="00E36BB8" w:rsidP="00D47933">
      <w:pPr>
        <w:pStyle w:val="ListParagraph"/>
        <w:numPr>
          <w:ilvl w:val="0"/>
          <w:numId w:val="40"/>
        </w:numPr>
        <w:jc w:val="both"/>
      </w:pPr>
      <w:r w:rsidRPr="005B4D92">
        <w:t>Derecho a la huelga</w:t>
      </w:r>
    </w:p>
    <w:p w:rsidR="00E36BB8" w:rsidRPr="005B4D92" w:rsidRDefault="00E36BB8" w:rsidP="00E36BB8">
      <w:pPr>
        <w:ind w:firstLine="360"/>
        <w:jc w:val="both"/>
      </w:pPr>
      <w:r w:rsidRPr="005B4D92">
        <w:t xml:space="preserve">A través del análisis de las sentencias objeto de este reporte, se concluye que la actividad jurisdiccional ha reconocido el derecho a la huelga desde una perspectiva histórica y bajo estándares de derechos humanos. En este sentido, la Corte Suprema ha concluido que se ha ido desarrollando </w:t>
      </w:r>
      <w:r w:rsidRPr="005B4D92">
        <w:rPr>
          <w:i/>
        </w:rPr>
        <w:t>“una tendencia histórico-normativa hacia la plena reafirmación de la huelga como principio básico del catálogo de derechos económicos sociales y culturales y como prerrogativa irrenunciable del derecho laboral”</w:t>
      </w:r>
      <w:r w:rsidRPr="005B4D92">
        <w:rPr>
          <w:rStyle w:val="FootnoteReference"/>
          <w:rFonts w:asciiTheme="minorHAnsi" w:hAnsiTheme="minorHAnsi"/>
          <w:sz w:val="22"/>
        </w:rPr>
        <w:footnoteReference w:id="22"/>
      </w:r>
      <w:r w:rsidRPr="005B4D92">
        <w:t>. Por tanto, el Estado debe respetar este derecho, revestirlo con el carácter de irrenunciable y establecer la prohibición de regularlo mediante leyes que terminen por abolirlo.</w:t>
      </w:r>
      <w:r w:rsidRPr="005B4D92">
        <w:rPr>
          <w:rStyle w:val="FootnoteReference"/>
          <w:rFonts w:asciiTheme="minorHAnsi" w:hAnsiTheme="minorHAnsi"/>
          <w:sz w:val="22"/>
        </w:rPr>
        <w:footnoteReference w:id="23"/>
      </w:r>
      <w:r w:rsidRPr="005B4D92">
        <w:t xml:space="preserve"> Esto porque el derecho a la declaración de la huelga legal es una suerte de coronación esencial del de libertad sindical, a través del normado  ejercicio del de negociación colectiva.</w:t>
      </w:r>
      <w:r w:rsidRPr="005B4D92">
        <w:rPr>
          <w:rStyle w:val="FootnoteReference"/>
          <w:rFonts w:asciiTheme="minorHAnsi" w:hAnsiTheme="minorHAnsi"/>
          <w:sz w:val="22"/>
        </w:rPr>
        <w:footnoteReference w:id="24"/>
      </w:r>
      <w:r w:rsidRPr="005B4D92">
        <w:t xml:space="preserve"> Es un derecho humano que se ha </w:t>
      </w:r>
      <w:r w:rsidRPr="005B4D92">
        <w:rPr>
          <w:i/>
        </w:rPr>
        <w:t xml:space="preserve">“legitimado como un recurso ineludible para obtener </w:t>
      </w:r>
      <w:r w:rsidRPr="005B4D92">
        <w:rPr>
          <w:i/>
        </w:rPr>
        <w:lastRenderedPageBreak/>
        <w:t xml:space="preserve">lo que el segmento laboral percibe necesario; surge una vez constatada la ineficacia de las demás modalidades destinadas a superar los desacuerdos entre los dos componentes </w:t>
      </w:r>
      <w:proofErr w:type="spellStart"/>
      <w:r w:rsidRPr="005B4D92">
        <w:rPr>
          <w:i/>
        </w:rPr>
        <w:t>configurantes</w:t>
      </w:r>
      <w:proofErr w:type="spellEnd"/>
      <w:r w:rsidRPr="005B4D92">
        <w:rPr>
          <w:i/>
        </w:rPr>
        <w:t xml:space="preserve"> de la empresa, concebida ésta como grupo productivo, a saber, el capital y el trabajo”</w:t>
      </w:r>
      <w:r w:rsidRPr="005B4D92">
        <w:rPr>
          <w:rStyle w:val="FootnoteReference"/>
          <w:rFonts w:asciiTheme="minorHAnsi" w:hAnsiTheme="minorHAnsi"/>
          <w:sz w:val="22"/>
        </w:rPr>
        <w:footnoteReference w:id="25"/>
      </w:r>
      <w:r w:rsidRPr="005B4D92">
        <w:t xml:space="preserve"> Es por ello el ultimátum que puede dar el factor trabajo con miras a mejorar sus condiciones y situación social cuando ellas han sido desestimadas por el capital. Es la última herramienta pacifica que es capaz de contrapesar la autonomía y poder de la propiedad.</w:t>
      </w:r>
      <w:r w:rsidRPr="005B4D92">
        <w:rPr>
          <w:rStyle w:val="FootnoteReference"/>
          <w:rFonts w:asciiTheme="minorHAnsi" w:hAnsiTheme="minorHAnsi"/>
          <w:sz w:val="22"/>
        </w:rPr>
        <w:footnoteReference w:id="26"/>
      </w:r>
    </w:p>
    <w:p w:rsidR="00E36BB8" w:rsidRPr="005B4D92" w:rsidRDefault="00E36BB8" w:rsidP="00D47933">
      <w:pPr>
        <w:pStyle w:val="ListParagraph"/>
        <w:numPr>
          <w:ilvl w:val="0"/>
          <w:numId w:val="40"/>
        </w:numPr>
        <w:jc w:val="both"/>
      </w:pPr>
      <w:r w:rsidRPr="005B4D92">
        <w:t>Remplazo de trabajadores en huelga</w:t>
      </w:r>
    </w:p>
    <w:p w:rsidR="00E36BB8" w:rsidRPr="005B4D92" w:rsidRDefault="00E36BB8" w:rsidP="00E36BB8">
      <w:pPr>
        <w:ind w:firstLine="360"/>
        <w:jc w:val="both"/>
      </w:pPr>
      <w:r w:rsidRPr="005B4D92">
        <w:t>A este respecto la jurisprudencia en los últimos años ha ido avanzado hacia definir criterios de interpretación y principios que garanticen su efectividad en conformidad a la legislación existente.  A modo de ejemplo, respecto a la posibilidad de remplazar a los trabajadores que se encuentran en huelga, la Corte Suprema ha establecido que aun cuando la huelga constituye un desenlace no deseado para una negociación colectiva, ningún sentido tiene ese derecho reconocido a favor de los trabajadores, si el empleador, en cualquier situación, puede realizar el remplazo y continuar con el funcionamiento de la empresa, sin mayores tropiezos, pues ello importa atentar contra la eficacia de la huelga y el derecho a la asociación garantizado constitucionalmente. Por ello el empleador debe ceñirse estrictamente a los requisitos legales si es que pretende celebrar contratos de trabajo con terceros ajenos a la empresa.</w:t>
      </w:r>
      <w:r w:rsidRPr="005B4D92">
        <w:rPr>
          <w:rStyle w:val="FootnoteReference"/>
          <w:rFonts w:asciiTheme="minorHAnsi" w:hAnsiTheme="minorHAnsi"/>
          <w:sz w:val="22"/>
        </w:rPr>
        <w:footnoteReference w:id="27"/>
      </w:r>
      <w:r w:rsidRPr="005B4D92">
        <w:t xml:space="preserve">  La jurisprudencia ha señalado que similares argumentos son aplicables al remplazo de trabajadores huelguista por trabajadores de la misma empresa por lo que </w:t>
      </w:r>
      <w:proofErr w:type="spellStart"/>
      <w:r w:rsidRPr="005B4D92">
        <w:t>esta</w:t>
      </w:r>
      <w:proofErr w:type="spellEnd"/>
      <w:r w:rsidRPr="005B4D92">
        <w:t xml:space="preserve"> también ha de declararse una práctica antisindical y por tanto vulner</w:t>
      </w:r>
      <w:r>
        <w:t>adora del derecho a sindicarse.</w:t>
      </w:r>
    </w:p>
    <w:p w:rsidR="00E36BB8" w:rsidRPr="005B4D92" w:rsidRDefault="00E36BB8" w:rsidP="00D47933">
      <w:pPr>
        <w:pStyle w:val="ListParagraph"/>
        <w:numPr>
          <w:ilvl w:val="0"/>
          <w:numId w:val="32"/>
        </w:numPr>
        <w:rPr>
          <w:b/>
        </w:rPr>
      </w:pPr>
      <w:r w:rsidRPr="005B4D92">
        <w:rPr>
          <w:b/>
        </w:rPr>
        <w:t>DERECHO A LA SEGURIDAD SOCIAL</w:t>
      </w:r>
      <w:r w:rsidRPr="005B4D92">
        <w:rPr>
          <w:rStyle w:val="FootnoteReference"/>
          <w:rFonts w:asciiTheme="minorHAnsi" w:hAnsiTheme="minorHAnsi"/>
          <w:b/>
          <w:sz w:val="22"/>
        </w:rPr>
        <w:footnoteReference w:id="28"/>
      </w:r>
    </w:p>
    <w:p w:rsidR="00E36BB8" w:rsidRPr="005B4D92" w:rsidRDefault="00E36BB8" w:rsidP="00E36BB8">
      <w:pPr>
        <w:ind w:firstLine="360"/>
        <w:jc w:val="both"/>
      </w:pPr>
      <w:r w:rsidRPr="005B4D92">
        <w:t xml:space="preserve">La Constitución reconoce expresamente el derecho a la seguridad social a pesar de no considerarla como objeto del recurso de protección de garantías constitucionales. Sin embargo eso no ha impedido el surgimiento de extensa jurisprudencia relativa a este derecho desde sus distintas aristas, como pensiones por vejez y/o invalidez o controversias surgidas en el ámbito laboral, lo que finalmente ha resultado en una amplia judicialización de este derecho. Dicho esto, este Reporte se enfocará en la manera en que la jurisprudencia de los tribunales superiores de </w:t>
      </w:r>
      <w:r w:rsidR="00033F9B" w:rsidRPr="005B4D92">
        <w:t>justicia</w:t>
      </w:r>
      <w:r w:rsidRPr="005B4D92">
        <w:t xml:space="preserve"> ha entendido la seguridad social como un derecho humano, la correspondiente obligación del Estado a este respecto y los principios que se han ido desarrollando para garantizar su protección, respeto y realización.</w:t>
      </w:r>
    </w:p>
    <w:p w:rsidR="00E36BB8" w:rsidRPr="005B4D92" w:rsidRDefault="00E36BB8" w:rsidP="00D47933">
      <w:pPr>
        <w:pStyle w:val="ListParagraph"/>
        <w:numPr>
          <w:ilvl w:val="0"/>
          <w:numId w:val="33"/>
        </w:numPr>
        <w:jc w:val="both"/>
      </w:pPr>
      <w:r w:rsidRPr="005B4D92">
        <w:t>La Seguridad Social como un derecho humano</w:t>
      </w:r>
    </w:p>
    <w:p w:rsidR="00E36BB8" w:rsidRPr="005B4D92" w:rsidRDefault="00E36BB8" w:rsidP="00E36BB8">
      <w:pPr>
        <w:ind w:firstLine="360"/>
        <w:jc w:val="both"/>
      </w:pPr>
      <w:r w:rsidRPr="005B4D92">
        <w:t xml:space="preserve">La seguridad social ha sido entendida en la jurisprudencia nacional como un derecho humano, porque su fin último es salvaguardar la dignidad y esencia de toda persona humana por su </w:t>
      </w:r>
      <w:r w:rsidRPr="005B4D92">
        <w:lastRenderedPageBreak/>
        <w:t>condición de tal.</w:t>
      </w:r>
      <w:r w:rsidRPr="005B4D92">
        <w:rPr>
          <w:rStyle w:val="FootnoteReference"/>
          <w:rFonts w:asciiTheme="minorHAnsi" w:hAnsiTheme="minorHAnsi"/>
          <w:sz w:val="22"/>
        </w:rPr>
        <w:footnoteReference w:id="29"/>
      </w:r>
      <w:r w:rsidRPr="005B4D92">
        <w:t xml:space="preserve"> Por ello, los derechos que emanan de la seguridad social para las personas, como el derecho a pensionar o jubilarse, son irrenunciables, inalienables, imprescriptibles</w:t>
      </w:r>
      <w:r w:rsidRPr="005B4D92">
        <w:rPr>
          <w:rStyle w:val="FootnoteReference"/>
          <w:rFonts w:asciiTheme="minorHAnsi" w:hAnsiTheme="minorHAnsi"/>
          <w:sz w:val="22"/>
        </w:rPr>
        <w:footnoteReference w:id="30"/>
      </w:r>
      <w:r w:rsidRPr="005B4D92">
        <w:t xml:space="preserve"> y protectores del individuo.</w:t>
      </w:r>
      <w:r w:rsidRPr="005B4D92">
        <w:rPr>
          <w:rStyle w:val="FootnoteReference"/>
          <w:rFonts w:asciiTheme="minorHAnsi" w:hAnsiTheme="minorHAnsi"/>
          <w:sz w:val="22"/>
        </w:rPr>
        <w:footnoteReference w:id="31"/>
      </w:r>
      <w:r w:rsidRPr="005B4D92">
        <w:t xml:space="preserve"> Estos estándares se han construido a partir de la aplicación del principio de hermenéutica constitucional que establece una interpretación amplia y no restringida de los derechos constitucionales, que además entiende que las normas son un medio para un fin, por lo que deben interpretarse de acuerdo a este.</w:t>
      </w:r>
      <w:r w:rsidRPr="005B4D92">
        <w:rPr>
          <w:rStyle w:val="FootnoteReference"/>
          <w:rFonts w:asciiTheme="minorHAnsi" w:hAnsiTheme="minorHAnsi"/>
          <w:sz w:val="22"/>
        </w:rPr>
        <w:footnoteReference w:id="32"/>
      </w:r>
    </w:p>
    <w:p w:rsidR="00E36BB8" w:rsidRPr="005B4D92" w:rsidRDefault="00E36BB8" w:rsidP="00E36BB8">
      <w:pPr>
        <w:ind w:firstLine="360"/>
        <w:jc w:val="both"/>
      </w:pPr>
      <w:r w:rsidRPr="005B4D92">
        <w:t xml:space="preserve">Como consecuencia del derecho en comento nace la correspondiente obligación del Estado de garantizar el respeto y goce de este derecho. Este deber ha sido definido por la Corte Suprema como la obligación legal del </w:t>
      </w:r>
      <w:r w:rsidR="00033F9B" w:rsidRPr="005B4D92">
        <w:t>aparato</w:t>
      </w:r>
      <w:r w:rsidRPr="005B4D92">
        <w:t xml:space="preserve"> estatal de asegurar a su población un mínimo de protección frente a las contingencias o estados de necesidad</w:t>
      </w:r>
      <w:r w:rsidRPr="005B4D92">
        <w:rPr>
          <w:i/>
        </w:rPr>
        <w:t>.</w:t>
      </w:r>
      <w:r w:rsidRPr="005B4D92">
        <w:rPr>
          <w:rStyle w:val="FootnoteReference"/>
          <w:rFonts w:asciiTheme="minorHAnsi" w:hAnsiTheme="minorHAnsi"/>
          <w:sz w:val="22"/>
        </w:rPr>
        <w:footnoteReference w:id="33"/>
      </w:r>
      <w:r w:rsidRPr="005B4D92">
        <w:rPr>
          <w:i/>
        </w:rPr>
        <w:t xml:space="preserve"> </w:t>
      </w:r>
      <w:r w:rsidRPr="005B4D92">
        <w:t>La construcción del sistema de seguridad social deberá entonces cumplir con estándares de derechos humanos y por tanto fundarse en los principios de solidaridad, universalidad, participación e igualdad que garanticen el acceso de todos los habitantes al goce de prestaciones básicas uniformes.</w:t>
      </w:r>
      <w:r w:rsidRPr="005B4D92">
        <w:rPr>
          <w:rStyle w:val="FootnoteReference"/>
          <w:rFonts w:asciiTheme="minorHAnsi" w:hAnsiTheme="minorHAnsi"/>
          <w:sz w:val="22"/>
        </w:rPr>
        <w:footnoteReference w:id="34"/>
      </w:r>
      <w:r w:rsidRPr="005B4D92">
        <w:t xml:space="preserve"> </w:t>
      </w:r>
    </w:p>
    <w:p w:rsidR="00E36BB8" w:rsidRPr="005B4D92" w:rsidRDefault="00E36BB8" w:rsidP="00D47933">
      <w:pPr>
        <w:pStyle w:val="ListParagraph"/>
        <w:numPr>
          <w:ilvl w:val="0"/>
          <w:numId w:val="33"/>
        </w:numPr>
        <w:jc w:val="both"/>
      </w:pPr>
      <w:r w:rsidRPr="005B4D92">
        <w:t>La evolución progresiva</w:t>
      </w:r>
    </w:p>
    <w:p w:rsidR="00E36BB8" w:rsidRPr="005B4D92" w:rsidRDefault="00E36BB8" w:rsidP="00E36BB8">
      <w:pPr>
        <w:ind w:firstLine="360"/>
        <w:jc w:val="both"/>
      </w:pPr>
      <w:r w:rsidRPr="005B4D92">
        <w:t>En línea con el contenido normativo de las obligaciones generadas por el PIDESC, particularmente aquel definido por su artículo 2(1), la jurisprudencia ha señalado que el deber del Estado relacionado con el derecho a la seguridad social es de una naturaleza progresiva</w:t>
      </w:r>
      <w:r w:rsidRPr="005B4D92">
        <w:rPr>
          <w:i/>
        </w:rPr>
        <w:t>.</w:t>
      </w:r>
      <w:r w:rsidRPr="005B4D92">
        <w:t xml:space="preserve"> Esto genera en la práctica una doble obligación para el órgano estatal, ya que por una parte </w:t>
      </w:r>
      <w:r w:rsidRPr="005B4D92">
        <w:rPr>
          <w:i/>
        </w:rPr>
        <w:t>“los beneficios de la seguridad social deben crearse paulatinamente y continuar elevando progresivamente las mejoras más allá de los niveles mínimos de protección, y en segundo término, una vez superada una fase evolutiva en relación con el contenido de las prestaciones, no es posible retroceder a una etapa anterior.”</w:t>
      </w:r>
      <w:r w:rsidRPr="005B4D92">
        <w:rPr>
          <w:rStyle w:val="FootnoteReference"/>
          <w:rFonts w:asciiTheme="minorHAnsi" w:hAnsiTheme="minorHAnsi"/>
          <w:sz w:val="22"/>
        </w:rPr>
        <w:footnoteReference w:id="35"/>
      </w:r>
      <w:r w:rsidRPr="005B4D92">
        <w:t xml:space="preserve"> </w:t>
      </w:r>
    </w:p>
    <w:p w:rsidR="00E36BB8" w:rsidRPr="005B4D92" w:rsidRDefault="00E36BB8" w:rsidP="00E36BB8">
      <w:pPr>
        <w:ind w:firstLine="360"/>
        <w:jc w:val="both"/>
      </w:pPr>
      <w:r w:rsidRPr="005B4D92">
        <w:t xml:space="preserve">Esta naturaleza progresiva de las obligaciones surgidas del derecho a la seguridad social, también encuentran fundamento jurídico en el principio de </w:t>
      </w:r>
      <w:r w:rsidRPr="005B4D92">
        <w:rPr>
          <w:i/>
        </w:rPr>
        <w:t>retroactividad de la ley</w:t>
      </w:r>
      <w:r w:rsidRPr="005B4D92">
        <w:t xml:space="preserve"> porque </w:t>
      </w:r>
      <w:r w:rsidRPr="005B4D92">
        <w:rPr>
          <w:i/>
        </w:rPr>
        <w:t>“si los referidos provechos se modifican cualitativa y cuantitativamente en favor de los interesados deben otorgarse, pero si por el contrario, se modifican en su perjuicio, entonces esa alteración o enmienda no deberá aplicarse, bajo ninguna circunstancia, porque iría en contra de fin último que busca el Estado a través del Derecho a la Seguridad Social”</w:t>
      </w:r>
      <w:r w:rsidRPr="005B4D92">
        <w:t>.</w:t>
      </w:r>
      <w:r w:rsidRPr="005B4D92">
        <w:rPr>
          <w:rStyle w:val="FootnoteReference"/>
          <w:rFonts w:asciiTheme="minorHAnsi" w:hAnsiTheme="minorHAnsi"/>
          <w:sz w:val="22"/>
        </w:rPr>
        <w:footnoteReference w:id="36"/>
      </w:r>
      <w:r>
        <w:t xml:space="preserve"> </w:t>
      </w:r>
    </w:p>
    <w:p w:rsidR="00E36BB8" w:rsidRPr="005B4D92" w:rsidRDefault="00E36BB8" w:rsidP="00D47933">
      <w:pPr>
        <w:pStyle w:val="ListParagraph"/>
        <w:numPr>
          <w:ilvl w:val="0"/>
          <w:numId w:val="32"/>
        </w:numPr>
        <w:rPr>
          <w:b/>
        </w:rPr>
      </w:pPr>
      <w:r w:rsidRPr="005B4D92">
        <w:rPr>
          <w:b/>
        </w:rPr>
        <w:lastRenderedPageBreak/>
        <w:t>DERECHO A UN NIVEL DE VIDA ADECUADO</w:t>
      </w:r>
      <w:r w:rsidRPr="005B4D92">
        <w:rPr>
          <w:rStyle w:val="FootnoteReference"/>
          <w:rFonts w:asciiTheme="minorHAnsi" w:hAnsiTheme="minorHAnsi"/>
          <w:b/>
          <w:sz w:val="22"/>
        </w:rPr>
        <w:footnoteReference w:id="37"/>
      </w:r>
    </w:p>
    <w:p w:rsidR="00E36BB8" w:rsidRPr="005B4D92" w:rsidRDefault="00E36BB8" w:rsidP="00E36BB8">
      <w:pPr>
        <w:ind w:firstLine="360"/>
        <w:jc w:val="both"/>
      </w:pPr>
      <w:r w:rsidRPr="005B4D92">
        <w:t xml:space="preserve">El derecho a un nivel de vida adecuado es tal vez aquella garantía reconocida por el Pacto que presenta una protección constitucional más débil, al no ser considerado dentro del catálogo de derechos del artículo 19 de nuestra Constitución. Sin embargo, los tribunales han ido avanzando hacia el reconocimiento de su </w:t>
      </w:r>
      <w:proofErr w:type="spellStart"/>
      <w:r w:rsidRPr="005B4D92">
        <w:t>justiciabilidad</w:t>
      </w:r>
      <w:proofErr w:type="spellEnd"/>
      <w:r w:rsidRPr="005B4D92">
        <w:t>, basados en el marco normativo que entrega el ya mencionado artículo 5° inciso 2º de la Constitución y en la estrecha relación que este derecho, y aquellos que derivan de éste como el derecho al agua y a una vivienda adecuada, tienen para el goce efectivo de otras garantías fundamentales como el derecho a la vida.</w:t>
      </w:r>
    </w:p>
    <w:p w:rsidR="00E36BB8" w:rsidRPr="005B4D92" w:rsidRDefault="00E36BB8" w:rsidP="00E36BB8">
      <w:pPr>
        <w:ind w:firstLine="360"/>
        <w:jc w:val="both"/>
      </w:pPr>
      <w:r w:rsidRPr="005B4D92">
        <w:t>A este respecto cabe destacar que la jurisprudencia nacional ha entendido que el derecho a un nivel de vida adecuado debe ser garantizado no sólo como un derecho individual, sino también como un derecho que debe conceder la más amplia protección y asistencia posible a la familia, de acuerdo a los estándares fijados por el PIDESC en sus artículos 10(1) y 11 y la Convención de Derechos del Niño en su artículo 9(1). Por ello, en vez de por ejemplo sancionar a aquellas familias viviendo en situación de pobreza con la internación de sus hijos en centros asistenciales, los tribunales superiores han entendido que  el derecho en comento significa que el Estado tiene la obligación de fortalecer a la familia y mejorar sus condiciones de vida especialmente en las áreas de salud, educación, dinámica familiar, habitabilidad, trabajo e ingresos e incorporar a aquellas familias más vulnerables a su sistema de protección y servicios sociales.</w:t>
      </w:r>
      <w:r w:rsidRPr="005B4D92">
        <w:rPr>
          <w:rStyle w:val="FootnoteReference"/>
          <w:rFonts w:asciiTheme="minorHAnsi" w:hAnsiTheme="minorHAnsi"/>
          <w:sz w:val="22"/>
        </w:rPr>
        <w:footnoteReference w:id="38"/>
      </w:r>
      <w:r>
        <w:t xml:space="preserve"> </w:t>
      </w:r>
    </w:p>
    <w:p w:rsidR="00E36BB8" w:rsidRPr="005B4D92" w:rsidRDefault="00E36BB8" w:rsidP="00D47933">
      <w:pPr>
        <w:pStyle w:val="ListParagraph"/>
        <w:numPr>
          <w:ilvl w:val="0"/>
          <w:numId w:val="31"/>
        </w:numPr>
        <w:rPr>
          <w:b/>
        </w:rPr>
      </w:pPr>
      <w:r w:rsidRPr="005B4D92">
        <w:rPr>
          <w:b/>
        </w:rPr>
        <w:t>DERECHO AL AGUA</w:t>
      </w:r>
    </w:p>
    <w:p w:rsidR="00E36BB8" w:rsidRPr="005B4D92" w:rsidRDefault="00E36BB8" w:rsidP="00E36BB8">
      <w:pPr>
        <w:ind w:firstLine="708"/>
        <w:jc w:val="both"/>
      </w:pPr>
      <w:r w:rsidRPr="005B4D92">
        <w:t>El derecho humano al agua ha sido tutelado por la jurisprudencia mediante una interpretación extensiva del derecho a la vida que sí encuentra protección expresa a nivel constitucional. En este sentido los tribunales superiores de justicia entienden que el agua es una “condición natural, necesaria e indispensable para que la vida exista”</w:t>
      </w:r>
      <w:r w:rsidRPr="005B4D92">
        <w:rPr>
          <w:rStyle w:val="FootnoteReference"/>
          <w:rFonts w:asciiTheme="minorHAnsi" w:hAnsiTheme="minorHAnsi"/>
          <w:sz w:val="22"/>
        </w:rPr>
        <w:footnoteReference w:id="39"/>
      </w:r>
      <w:r w:rsidRPr="005B4D92">
        <w:t xml:space="preserve"> por lo que su privación resulta en la violación de este derecho al producir la muerte del individuo. Además se entiende que su protección es condición previa para la realización de otros derechos humanos como el derecho a disfrutar del más alto nivel posible de salud física y mental por tanto es un bien jurídico que debe ser protegido judicialmente, a pesar de no estar expresamente reconocido como tal por el catálogo de derechos de la Constitución.</w:t>
      </w:r>
      <w:r w:rsidRPr="005B4D92">
        <w:rPr>
          <w:rStyle w:val="FootnoteReference"/>
          <w:rFonts w:asciiTheme="minorHAnsi" w:hAnsiTheme="minorHAnsi"/>
          <w:sz w:val="22"/>
        </w:rPr>
        <w:t xml:space="preserve"> </w:t>
      </w:r>
      <w:r w:rsidRPr="005B4D92">
        <w:rPr>
          <w:rStyle w:val="FootnoteReference"/>
          <w:rFonts w:asciiTheme="minorHAnsi" w:hAnsiTheme="minorHAnsi"/>
          <w:sz w:val="22"/>
        </w:rPr>
        <w:footnoteReference w:id="40"/>
      </w:r>
    </w:p>
    <w:p w:rsidR="00E36BB8" w:rsidRPr="005B4D92" w:rsidRDefault="00E36BB8" w:rsidP="00D47933">
      <w:pPr>
        <w:pStyle w:val="ListParagraph"/>
        <w:numPr>
          <w:ilvl w:val="0"/>
          <w:numId w:val="34"/>
        </w:numPr>
        <w:jc w:val="both"/>
      </w:pPr>
      <w:r w:rsidRPr="005B4D92">
        <w:t>Estándares del derecho humano al agua</w:t>
      </w:r>
    </w:p>
    <w:p w:rsidR="00E36BB8" w:rsidRPr="005B4D92" w:rsidRDefault="00E36BB8" w:rsidP="00E36BB8">
      <w:pPr>
        <w:ind w:firstLine="708"/>
        <w:jc w:val="both"/>
      </w:pPr>
      <w:r w:rsidRPr="005B4D92">
        <w:t xml:space="preserve">Teniendo presente lo consagrado por el artículo 5º inciso 2º de la Constitución, la jurisprudencia ha entendido que el agua debe ser entendida como un derecho humano, no sólo en cuanto a su valor instrumental sino también en cuanto a su valor intrínseco como garantía </w:t>
      </w:r>
      <w:r w:rsidRPr="005B4D92">
        <w:lastRenderedPageBreak/>
        <w:t>fundamental, ya que la redacción del artículo 11.1 del PIDESC “</w:t>
      </w:r>
      <w:r w:rsidRPr="005B4D92">
        <w:rPr>
          <w:i/>
        </w:rPr>
        <w:t>al referirse a las condiciones que se requieren para alcanzar un nivel de vida adecuado, no es taxativa”</w:t>
      </w:r>
      <w:r w:rsidRPr="005B4D92">
        <w:t>.</w:t>
      </w:r>
      <w:r w:rsidRPr="005B4D92">
        <w:rPr>
          <w:rStyle w:val="FootnoteReference"/>
          <w:rFonts w:asciiTheme="minorHAnsi" w:hAnsiTheme="minorHAnsi"/>
          <w:sz w:val="22"/>
        </w:rPr>
        <w:footnoteReference w:id="41"/>
      </w:r>
      <w:r w:rsidRPr="005B4D92">
        <w:t xml:space="preserve"> Para definir su contenido normativo, los tribunales nacionales han incorporado los estándares determinados por el CDESC en su Observación General número 15. De esta forma, han elaborado que el derecho al agua potable presupone los siguientes contenidos: disponibilidad, calidad y accesibilidad. Este último significa no sólo que el agua esté al alcance físico de toda persona y en cantidad suficiente, sino también garantizar la accesibilidad económica, la no discriminación y la accesibilidad a la información.</w:t>
      </w:r>
      <w:r w:rsidRPr="005B4D92">
        <w:rPr>
          <w:rStyle w:val="FootnoteTextChar"/>
          <w:rFonts w:asciiTheme="minorHAnsi" w:eastAsiaTheme="minorEastAsia" w:hAnsiTheme="minorHAnsi"/>
          <w:sz w:val="22"/>
          <w:szCs w:val="22"/>
        </w:rPr>
        <w:t xml:space="preserve"> </w:t>
      </w:r>
      <w:r w:rsidRPr="005B4D92">
        <w:rPr>
          <w:rStyle w:val="FootnoteReference"/>
          <w:rFonts w:asciiTheme="minorHAnsi" w:hAnsiTheme="minorHAnsi"/>
          <w:sz w:val="22"/>
        </w:rPr>
        <w:footnoteReference w:id="42"/>
      </w:r>
      <w:r w:rsidRPr="005B4D92">
        <w:rPr>
          <w:rStyle w:val="FootnoteTextChar"/>
          <w:rFonts w:asciiTheme="minorHAnsi" w:eastAsiaTheme="minorEastAsia" w:hAnsiTheme="minorHAnsi"/>
          <w:sz w:val="22"/>
          <w:szCs w:val="22"/>
        </w:rPr>
        <w:t xml:space="preserve"> </w:t>
      </w:r>
      <w:r w:rsidRPr="005B4D92">
        <w:t>De este modo, la obligación del Estado respecto a esta garantía es respetar, proteger y cumplir el ejercicio de este derecho e impedir que terceros, sean estos particulares, grupos o empresas, afecten el derecho de acceso al agua potable en forma discriminatoria o arbitraria.</w:t>
      </w:r>
      <w:r w:rsidRPr="005B4D92">
        <w:rPr>
          <w:rStyle w:val="FootnoteReference"/>
          <w:rFonts w:asciiTheme="minorHAnsi" w:hAnsiTheme="minorHAnsi"/>
          <w:sz w:val="22"/>
        </w:rPr>
        <w:footnoteReference w:id="43"/>
      </w:r>
    </w:p>
    <w:p w:rsidR="00E36BB8" w:rsidRPr="005B4D92" w:rsidRDefault="00E36BB8" w:rsidP="00D47933">
      <w:pPr>
        <w:pStyle w:val="ListParagraph"/>
        <w:numPr>
          <w:ilvl w:val="0"/>
          <w:numId w:val="34"/>
        </w:numPr>
        <w:jc w:val="both"/>
      </w:pPr>
      <w:r w:rsidRPr="005B4D92">
        <w:t>Violaciones al derecho al agua por particulares</w:t>
      </w:r>
    </w:p>
    <w:p w:rsidR="00E36BB8" w:rsidRPr="005B4D92" w:rsidRDefault="00E36BB8" w:rsidP="008F4A22">
      <w:pPr>
        <w:ind w:firstLine="708"/>
        <w:jc w:val="both"/>
      </w:pPr>
      <w:r w:rsidRPr="005B4D92">
        <w:t>A partir de dicha conceptualización, la jurisprudencia ha entendido que debe proteger el derecho humano al agua no sólo ante violaciones por parte del aparato estatal sino que también de aquellas privaciones ocasionadas por particulares. De este modo, ha sido resuelto en particular que el hecho de suspender el suministro de agua potable, aun existiendo deudas pendientes y/o invocando disposiciones legales, es un acto de auto tutela proscrito en nuestro ordenamiento jurídico que pugna con el carácter jerárquico del derecho a la vida consagrado en la Constitución, con lo señalado por el PIDESC y por el CDESC. Las cortes han estimado que esta interpretación es congruente además con lo establecido en el artículo 26 de la Constitución que impide que disposiciones legales afecten los derechos humanos en su esencia o impongan condiciones, tributos o requisitos que impidan su libre ejercicio.</w:t>
      </w:r>
      <w:r w:rsidRPr="005B4D92">
        <w:rPr>
          <w:rStyle w:val="FootnoteReference"/>
          <w:rFonts w:asciiTheme="minorHAnsi" w:hAnsiTheme="minorHAnsi"/>
          <w:sz w:val="22"/>
        </w:rPr>
        <w:footnoteReference w:id="44"/>
      </w:r>
    </w:p>
    <w:p w:rsidR="00E36BB8" w:rsidRPr="005B4D92" w:rsidRDefault="00E36BB8" w:rsidP="00D47933">
      <w:pPr>
        <w:pStyle w:val="ListParagraph"/>
        <w:numPr>
          <w:ilvl w:val="0"/>
          <w:numId w:val="31"/>
        </w:numPr>
        <w:rPr>
          <w:b/>
        </w:rPr>
      </w:pPr>
      <w:r w:rsidRPr="005B4D92">
        <w:rPr>
          <w:b/>
        </w:rPr>
        <w:t>DERECHO A UNA VIVIENDA ADECUADA</w:t>
      </w:r>
    </w:p>
    <w:p w:rsidR="00E36BB8" w:rsidRPr="005B4D92" w:rsidRDefault="00E36BB8" w:rsidP="00E36BB8">
      <w:pPr>
        <w:ind w:firstLine="360"/>
        <w:jc w:val="both"/>
      </w:pPr>
      <w:r w:rsidRPr="005B4D92">
        <w:t>En sus Observaciones Finales sobre el 3er Informe Periódico de Chile, el CDESC manifestó su preocupación sobre el hecho que algunos derechos recogidos por el PIDESC no se consideren justiciables, y en ello menciona a modo de ejemplo el derecho a la vivienda.</w:t>
      </w:r>
      <w:r w:rsidRPr="005B4D92">
        <w:rPr>
          <w:rStyle w:val="FootnoteReference"/>
          <w:rFonts w:asciiTheme="minorHAnsi" w:hAnsiTheme="minorHAnsi"/>
          <w:sz w:val="22"/>
        </w:rPr>
        <w:footnoteReference w:id="45"/>
      </w:r>
      <w:r w:rsidRPr="005B4D92">
        <w:t xml:space="preserve"> A pesar de que como se ha señalado efectivamente este derecho tiene un tratamiento normativo limitado, la vivienda adecuada ha ido progresivamente siendo recogido por los tribunales superiores de justica como un derecho humano justiciable.</w:t>
      </w:r>
    </w:p>
    <w:p w:rsidR="00E36BB8" w:rsidRPr="005B4D92" w:rsidRDefault="00E36BB8" w:rsidP="00D47933">
      <w:pPr>
        <w:pStyle w:val="ListParagraph"/>
        <w:numPr>
          <w:ilvl w:val="0"/>
          <w:numId w:val="35"/>
        </w:numPr>
        <w:jc w:val="both"/>
      </w:pPr>
      <w:r w:rsidRPr="005B4D92">
        <w:t xml:space="preserve">La </w:t>
      </w:r>
      <w:proofErr w:type="spellStart"/>
      <w:r w:rsidRPr="005B4D92">
        <w:t>justiciabilidad</w:t>
      </w:r>
      <w:proofErr w:type="spellEnd"/>
      <w:r w:rsidRPr="005B4D92">
        <w:t xml:space="preserve"> del derecho a la vivienda</w:t>
      </w:r>
    </w:p>
    <w:p w:rsidR="00E36BB8" w:rsidRPr="005B4D92" w:rsidRDefault="00E36BB8" w:rsidP="00E36BB8">
      <w:pPr>
        <w:ind w:firstLine="360"/>
        <w:jc w:val="both"/>
      </w:pPr>
      <w:r w:rsidRPr="005B4D92">
        <w:t xml:space="preserve">El principal argumento jurídico para la </w:t>
      </w:r>
      <w:proofErr w:type="spellStart"/>
      <w:r w:rsidRPr="005B4D92">
        <w:t>justiciabilidad</w:t>
      </w:r>
      <w:proofErr w:type="spellEnd"/>
      <w:r w:rsidRPr="005B4D92">
        <w:t xml:space="preserve"> de este derecho (los otros fundamentos se han señalado con ocasión del derecho a un nivel de vida adecuado) se construye desde el principio de interdependencia de los derechos humanos, toda vez que el derecho a una vivienda </w:t>
      </w:r>
      <w:r w:rsidRPr="005B4D92">
        <w:lastRenderedPageBreak/>
        <w:t>adecuada es esencial para garantizar el derecho a la familia, a la no injerencia en la vida privada, a la seguridad personal, a la salud y sobre todo el derecho a la vida y a la integridad física y síquica, ya que es parte del conjunto de garantías que componen este derecho.</w:t>
      </w:r>
      <w:r w:rsidRPr="005B4D92">
        <w:rPr>
          <w:rStyle w:val="FootnoteReference"/>
          <w:rFonts w:asciiTheme="minorHAnsi" w:hAnsiTheme="minorHAnsi"/>
          <w:sz w:val="22"/>
        </w:rPr>
        <w:footnoteReference w:id="46"/>
      </w:r>
      <w:r w:rsidRPr="005B4D92">
        <w:t xml:space="preserve"> </w:t>
      </w:r>
    </w:p>
    <w:p w:rsidR="00E36BB8" w:rsidRPr="005B4D92" w:rsidRDefault="00E36BB8" w:rsidP="00E36BB8">
      <w:pPr>
        <w:ind w:firstLine="360"/>
        <w:jc w:val="both"/>
      </w:pPr>
      <w:r w:rsidRPr="005B4D92">
        <w:t>De este modo, entendiendo el valor instrumental del derecho a la vivienda, pero también el valor substantivo</w:t>
      </w:r>
      <w:r w:rsidRPr="005B4D92">
        <w:rPr>
          <w:i/>
        </w:rPr>
        <w:t xml:space="preserve"> </w:t>
      </w:r>
      <w:r w:rsidRPr="005B4D92">
        <w:t xml:space="preserve">que tiene en sí mismo como derecho humano garantizado expresamente por el PIDESC en su artículo 11, la jurisprudencia ha señalado que la obligación del Estado en relación al acceso a la vivienda </w:t>
      </w:r>
      <w:r w:rsidRPr="005B4D92">
        <w:rPr>
          <w:i/>
        </w:rPr>
        <w:t>es “desarrollar políticas que garanticen este derecho, priorizando la atención a los grupos más vulnerables”</w:t>
      </w:r>
      <w:r w:rsidRPr="005B4D92">
        <w:t>.</w:t>
      </w:r>
      <w:r w:rsidRPr="005B4D92">
        <w:rPr>
          <w:rStyle w:val="FootnoteReference"/>
          <w:rFonts w:asciiTheme="minorHAnsi" w:hAnsiTheme="minorHAnsi"/>
          <w:sz w:val="22"/>
        </w:rPr>
        <w:footnoteReference w:id="47"/>
      </w:r>
      <w:r w:rsidRPr="005B4D92">
        <w:t xml:space="preserve"> En definitiva, al ser la vivienda entendida como un derecho y no tan solo como un bien económico, esta </w:t>
      </w:r>
      <w:r w:rsidRPr="005B4D92">
        <w:rPr>
          <w:i/>
        </w:rPr>
        <w:t>“se debe garantizar a todos, sean cuales fueren sus ingresos o su acceso a recursos económicos”</w:t>
      </w:r>
      <w:r w:rsidRPr="005B4D92">
        <w:t>.</w:t>
      </w:r>
      <w:r w:rsidRPr="005B4D92">
        <w:rPr>
          <w:rStyle w:val="FootnoteReference"/>
          <w:rFonts w:asciiTheme="minorHAnsi" w:hAnsiTheme="minorHAnsi"/>
          <w:sz w:val="22"/>
        </w:rPr>
        <w:footnoteReference w:id="48"/>
      </w:r>
    </w:p>
    <w:p w:rsidR="00E36BB8" w:rsidRPr="005B4D92" w:rsidRDefault="00E36BB8" w:rsidP="00D47933">
      <w:pPr>
        <w:pStyle w:val="ListParagraph"/>
        <w:numPr>
          <w:ilvl w:val="0"/>
          <w:numId w:val="35"/>
        </w:numPr>
        <w:jc w:val="both"/>
      </w:pPr>
      <w:r w:rsidRPr="005B4D92">
        <w:t>La vivienda adecuada</w:t>
      </w:r>
    </w:p>
    <w:p w:rsidR="00E36BB8" w:rsidRPr="005B4D92" w:rsidRDefault="00E36BB8" w:rsidP="00E36BB8">
      <w:pPr>
        <w:ind w:firstLine="360"/>
        <w:jc w:val="both"/>
      </w:pPr>
      <w:r w:rsidRPr="005B4D92">
        <w:t xml:space="preserve">En los últimos años la jurisprudencia ha progresado no sólo en cuanto entender la vivienda como un derecho justiciable sino también en considerar que ella debe cumplir ciertos estándares que se traducen en el denominado concepto de adecuación. En este sentido, las cortes han manifestado que la vivienda debe respetar los elementos mínimos que ha desarrollado el CESCR a través de su Observación General número 4 para que pueda ser considerada como  adecuada. El derecho a la vivienda no se debe interpretar en un sentido restrictivo o estricto ya que este  </w:t>
      </w:r>
      <w:r w:rsidRPr="005B4D92">
        <w:rPr>
          <w:i/>
        </w:rPr>
        <w:t>“no solo hace referencia al derecho a la persona de disponer de  cuatro paredes y un techo donde encontrar refugio, sino que también implica acceder a un hogar y a una comunidad seguras en las que vivir en paz, con dignidad y salud física y mental”</w:t>
      </w:r>
      <w:r w:rsidRPr="005B4D92">
        <w:t>.</w:t>
      </w:r>
      <w:r w:rsidRPr="005B4D92">
        <w:rPr>
          <w:rStyle w:val="FootnoteReference"/>
          <w:rFonts w:asciiTheme="minorHAnsi" w:hAnsiTheme="minorHAnsi"/>
          <w:sz w:val="22"/>
        </w:rPr>
        <w:footnoteReference w:id="49"/>
      </w:r>
      <w:r w:rsidRPr="005B4D92">
        <w:t xml:space="preserve"> En definitiva, para ser adecuada, una vivienda debe entregar seguridad jurídica de la tenencia, disponibilidad de servicios materiales e infraestructura, gastos soportables, habitabilidad, accesibilidad, lugar y adecuación cultural.</w:t>
      </w:r>
      <w:r w:rsidRPr="005B4D92">
        <w:rPr>
          <w:rStyle w:val="FootnoteReference"/>
          <w:rFonts w:asciiTheme="minorHAnsi" w:hAnsiTheme="minorHAnsi"/>
          <w:sz w:val="22"/>
        </w:rPr>
        <w:footnoteReference w:id="50"/>
      </w:r>
    </w:p>
    <w:p w:rsidR="00E36BB8" w:rsidRPr="005B4D92" w:rsidRDefault="00E36BB8" w:rsidP="00E36BB8">
      <w:pPr>
        <w:ind w:firstLine="360"/>
        <w:jc w:val="both"/>
      </w:pPr>
      <w:r w:rsidRPr="005B4D92">
        <w:t xml:space="preserve">Por tanto, los tribunales superiores han resuelto que cuando no se cumple con dicho estándar en su construcción o se afectan dichas cualidades con posterioridad, se vulnera no sólo la vivienda en </w:t>
      </w:r>
      <w:r w:rsidR="00033F9B" w:rsidRPr="005B4D92">
        <w:t>sí</w:t>
      </w:r>
      <w:r w:rsidRPr="005B4D92">
        <w:t xml:space="preserve">, sino que también inevitablemente la vida y la salud de los individuos, lo que justifica plenamente su protección  a través de los tribunales de justicia dentro del marco </w:t>
      </w:r>
      <w:r>
        <w:t>normativo aplicable en el país.</w:t>
      </w:r>
    </w:p>
    <w:p w:rsidR="00E36BB8" w:rsidRPr="005B4D92" w:rsidRDefault="00E36BB8" w:rsidP="00D47933">
      <w:pPr>
        <w:pStyle w:val="ListParagraph"/>
        <w:numPr>
          <w:ilvl w:val="0"/>
          <w:numId w:val="32"/>
        </w:numPr>
        <w:rPr>
          <w:b/>
        </w:rPr>
      </w:pPr>
      <w:r w:rsidRPr="005B4D92">
        <w:rPr>
          <w:b/>
        </w:rPr>
        <w:t>DERECHO AL MÁS ALTO NIVEL POSIBLE DE SALUD FÍSICA Y MENTAL</w:t>
      </w:r>
      <w:r w:rsidRPr="005B4D92">
        <w:rPr>
          <w:rStyle w:val="FootnoteReference"/>
          <w:rFonts w:asciiTheme="minorHAnsi" w:hAnsiTheme="minorHAnsi"/>
          <w:b/>
          <w:sz w:val="22"/>
        </w:rPr>
        <w:footnoteReference w:id="51"/>
      </w:r>
    </w:p>
    <w:p w:rsidR="00E36BB8" w:rsidRPr="005B4D92" w:rsidRDefault="00E36BB8" w:rsidP="00E36BB8">
      <w:pPr>
        <w:ind w:firstLine="360"/>
        <w:jc w:val="both"/>
      </w:pPr>
      <w:r w:rsidRPr="005B4D92">
        <w:t xml:space="preserve">En cuanto a la naturaleza de la protección de la salud, la jurisprudencia nacional ha señalado que este es un derecho humano que se encuentra directamente vinculado con el derecho a la protección a la vida y a la integridad física y psíquica de las personas. Incluso ha asegurado que </w:t>
      </w:r>
      <w:r w:rsidRPr="005B4D92">
        <w:rPr>
          <w:i/>
        </w:rPr>
        <w:t xml:space="preserve">“no </w:t>
      </w:r>
      <w:r w:rsidRPr="005B4D92">
        <w:rPr>
          <w:i/>
        </w:rPr>
        <w:lastRenderedPageBreak/>
        <w:t>puede existir salud si no hay integridad física y psíquica”</w:t>
      </w:r>
      <w:r w:rsidRPr="005B4D92">
        <w:rPr>
          <w:rStyle w:val="FootnoteReference"/>
          <w:rFonts w:asciiTheme="minorHAnsi" w:hAnsiTheme="minorHAnsi"/>
          <w:sz w:val="22"/>
        </w:rPr>
        <w:footnoteReference w:id="52"/>
      </w:r>
      <w:r w:rsidRPr="005B4D92">
        <w:t>. De esta manera, las normas relativas a estas garantías constitucionales deben interpretarse en beneficio de las personas cuya salud se encuentra en riesgo.</w:t>
      </w:r>
      <w:r w:rsidRPr="005B4D92">
        <w:rPr>
          <w:rStyle w:val="FootnoteReference"/>
          <w:rFonts w:asciiTheme="minorHAnsi" w:hAnsiTheme="minorHAnsi"/>
          <w:sz w:val="22"/>
        </w:rPr>
        <w:footnoteReference w:id="53"/>
      </w:r>
    </w:p>
    <w:p w:rsidR="00E36BB8" w:rsidRPr="005B4D92" w:rsidRDefault="00E36BB8" w:rsidP="00D47933">
      <w:pPr>
        <w:pStyle w:val="ListParagraph"/>
        <w:numPr>
          <w:ilvl w:val="0"/>
          <w:numId w:val="36"/>
        </w:numPr>
        <w:jc w:val="both"/>
      </w:pPr>
      <w:r w:rsidRPr="005B4D92">
        <w:t>Sistema de salud privado</w:t>
      </w:r>
    </w:p>
    <w:p w:rsidR="00E36BB8" w:rsidRPr="005B4D92" w:rsidRDefault="00E36BB8" w:rsidP="00E36BB8">
      <w:pPr>
        <w:ind w:firstLine="360"/>
        <w:jc w:val="both"/>
      </w:pPr>
      <w:r w:rsidRPr="005B4D92">
        <w:t xml:space="preserve">Este derecho reconocido por el PIDESC es sin duda aquel que </w:t>
      </w:r>
      <w:r w:rsidR="00033F9B" w:rsidRPr="005B4D92">
        <w:t>más</w:t>
      </w:r>
      <w:r w:rsidRPr="005B4D92">
        <w:t xml:space="preserve"> ha sido visto por los tribunales del país durante los últimos años, principalmente por conflictos suscitados con ocasión de contratos suscritos entre individuos e instituciones privadas de salud. </w:t>
      </w:r>
    </w:p>
    <w:p w:rsidR="00E36BB8" w:rsidRPr="005B4D92" w:rsidRDefault="00E36BB8" w:rsidP="00E36BB8">
      <w:pPr>
        <w:ind w:firstLine="360"/>
        <w:jc w:val="both"/>
      </w:pPr>
      <w:r w:rsidRPr="005B4D92">
        <w:t xml:space="preserve">El sistema de salud en Chile entrega un rol activo a los particulares, estableciendo un sistema privado y otro de carácter estatal. Sin embargo, la jurisprudencia ha entendido que aun cuando el acceso a la salud esté dominado por una relación entre particulares, ello no priva de su naturaleza de derecho humano a este bien jurídico. Por lo tanto este vínculo contractual va a tener un carácter especial al ser un </w:t>
      </w:r>
      <w:r w:rsidRPr="005B4D92">
        <w:rPr>
          <w:i/>
        </w:rPr>
        <w:t>“derivado del régimen de protección a la salud que creó la Constitución”</w:t>
      </w:r>
      <w:r w:rsidRPr="005B4D92">
        <w:rPr>
          <w:rStyle w:val="FootnoteReference"/>
          <w:rFonts w:asciiTheme="minorHAnsi" w:hAnsiTheme="minorHAnsi"/>
          <w:sz w:val="22"/>
        </w:rPr>
        <w:footnoteReference w:id="54"/>
      </w:r>
      <w:r w:rsidRPr="005B4D92">
        <w:t>. Es de la esencia de este vínculo el eficaz resguardo y recuperación de la salud, así como la rehabilitación del enfermo, por lo que el Estado no puede desentenderse de su obligación de asegurar que se realicen las conductas para ello conducentes.</w:t>
      </w:r>
    </w:p>
    <w:p w:rsidR="00E36BB8" w:rsidRPr="005B4D92" w:rsidRDefault="00E36BB8" w:rsidP="00E36BB8">
      <w:pPr>
        <w:ind w:firstLine="360"/>
        <w:jc w:val="both"/>
      </w:pPr>
      <w:r w:rsidRPr="005B4D92">
        <w:t>En particular, durante los últimos años los usuarios del sistema privado de salud han reclamado masivamente contra el alza unilateral del precio de sus contratos de salud efectuado por las Instituciones de Salud Previsional (ISAPRE). En este contexto, los individuos han argumentado que estas alzas no sólo afecta su derecho de propiedad, en el sentido que dicha alza importa una disminución concreta y efectiva de su patrimonio al tener que soportar una injustificada carga derivada del mayor costo de su contrato, sino que también su derecho a la protección de la salud y en específico el derecho a elegir el sistema de salud que se desee, el cual está garantizado por el recurso de protección. En términos prácticos, cabe señalar que durante el primer semestre del año 2014 fueron presentados un total de 47.759 recursos contra alzas de planes de salud por parte de las ISAPRE.</w:t>
      </w:r>
      <w:r w:rsidRPr="005B4D92">
        <w:rPr>
          <w:rStyle w:val="FootnoteReference"/>
          <w:rFonts w:asciiTheme="minorHAnsi" w:hAnsiTheme="minorHAnsi"/>
          <w:sz w:val="22"/>
        </w:rPr>
        <w:footnoteReference w:id="55"/>
      </w:r>
    </w:p>
    <w:p w:rsidR="00E36BB8" w:rsidRPr="005B4D92" w:rsidRDefault="00E36BB8" w:rsidP="00E36BB8">
      <w:pPr>
        <w:ind w:firstLine="360"/>
        <w:jc w:val="both"/>
      </w:pPr>
      <w:r w:rsidRPr="005B4D92">
        <w:t xml:space="preserve">En relación a estos recursos, los tribunales han uniformemente resuelto que a pesar del carácter privado de la relación ISAPRE-cliente, ésta debe cimentarse sobre aquellos principios constitucionales que reconocen a la salud como un derecho humano. En este sentido, el Estado tiene el deber de </w:t>
      </w:r>
      <w:r w:rsidRPr="005B4D92">
        <w:rPr>
          <w:i/>
        </w:rPr>
        <w:t xml:space="preserve">“velar por el acceso libre e igualitario a las acciones de promoción, protección y recuperación de la salud y rehabilitación del individuo, garantizando que la ejecución de tales acciones, sea que se presten a través de instituciones públicas o privadas, se lleve a cabo en la forma y términos que establecen las normas legales y administrativas que rigen la materia, disposiciones de orden público que por tanto deben ser interpretadas y aplicadas con sujeción a las </w:t>
      </w:r>
      <w:r w:rsidRPr="005B4D92">
        <w:rPr>
          <w:i/>
        </w:rPr>
        <w:lastRenderedPageBreak/>
        <w:t>exigencias previstas en la Carta Política”</w:t>
      </w:r>
      <w:r w:rsidRPr="005B4D92">
        <w:t>.</w:t>
      </w:r>
      <w:r w:rsidRPr="005B4D92">
        <w:rPr>
          <w:rStyle w:val="FootnoteReference"/>
          <w:rFonts w:asciiTheme="minorHAnsi" w:hAnsiTheme="minorHAnsi"/>
          <w:sz w:val="22"/>
        </w:rPr>
        <w:footnoteReference w:id="56"/>
      </w:r>
      <w:r w:rsidRPr="005B4D92">
        <w:t xml:space="preserve"> Por ello, cuando una de las partes decide alterar el precio del contrato de salud en virtud del principio de derecho privado de la autonomía de la voluntad, ello significa una directa vulneración al derecho humano de la otra parte de gozar del más alto nivel posible de salud física y mental de forma igualitaria y no discriminatoria.</w:t>
      </w:r>
      <w:r w:rsidRPr="005B4D92">
        <w:rPr>
          <w:rStyle w:val="FootnoteReference"/>
          <w:rFonts w:asciiTheme="minorHAnsi" w:hAnsiTheme="minorHAnsi"/>
          <w:sz w:val="22"/>
        </w:rPr>
        <w:footnoteReference w:id="57"/>
      </w:r>
    </w:p>
    <w:p w:rsidR="00E36BB8" w:rsidRPr="005B4D92" w:rsidRDefault="00E36BB8" w:rsidP="00D47933">
      <w:pPr>
        <w:pStyle w:val="ListParagraph"/>
        <w:numPr>
          <w:ilvl w:val="0"/>
          <w:numId w:val="36"/>
        </w:numPr>
        <w:jc w:val="both"/>
      </w:pPr>
      <w:r w:rsidRPr="005B4D92">
        <w:t>Sistema de salud estatal</w:t>
      </w:r>
    </w:p>
    <w:p w:rsidR="00E36BB8" w:rsidRPr="005B4D92" w:rsidRDefault="00E36BB8" w:rsidP="00E36BB8">
      <w:pPr>
        <w:ind w:firstLine="360"/>
        <w:jc w:val="both"/>
      </w:pPr>
      <w:r w:rsidRPr="005B4D92">
        <w:t xml:space="preserve">Respecto al sistema de salud público y la obligación legal del Estado a este respecto, la jurisprudencia ha sostenido que cuando la persona no cuenta con un patrimonio que le permita sufragar gastos de salud, ella debe ser </w:t>
      </w:r>
      <w:r w:rsidRPr="005B4D92">
        <w:rPr>
          <w:i/>
        </w:rPr>
        <w:t>“proporcionada por los órganos de salud con que cuenta el Estado toda vez que la Constitución asegura a todas las personas el derecho a la vida y a la integridad física y psíquica, la que implica necesariamente el derecho de toda persona al disfrute del más alto nivel posible de salud física y mental, acorde lo sostiene el Pacto Internacional de Derechos Económicos, Sociales y Culturales en su artículo 12. Comprometiéndose el Estado de Chile a la creación de condiciones que aseguren a todos asistencia médica y servicios médicos en caso de enfermedad"</w:t>
      </w:r>
      <w:r w:rsidRPr="005B4D92">
        <w:t>.</w:t>
      </w:r>
      <w:r w:rsidRPr="005B4D92">
        <w:rPr>
          <w:rStyle w:val="FootnoteReference"/>
          <w:rFonts w:asciiTheme="minorHAnsi" w:hAnsiTheme="minorHAnsi"/>
          <w:sz w:val="22"/>
        </w:rPr>
        <w:footnoteReference w:id="58"/>
      </w:r>
      <w:r w:rsidRPr="005B4D92">
        <w:t xml:space="preserve"> </w:t>
      </w:r>
    </w:p>
    <w:p w:rsidR="00E36BB8" w:rsidRPr="005B4D92" w:rsidRDefault="00E36BB8" w:rsidP="00E36BB8">
      <w:pPr>
        <w:ind w:firstLine="360"/>
        <w:jc w:val="both"/>
      </w:pPr>
      <w:r w:rsidRPr="005B4D92">
        <w:t xml:space="preserve">En este sentido la Corte Suprema ha señalado que </w:t>
      </w:r>
      <w:r w:rsidRPr="005B4D92">
        <w:rPr>
          <w:i/>
        </w:rPr>
        <w:t>“es el Estado de Chile, a través de sus organizaciones de salud, la que debe prestar asistencia sanitaria esencial a los individuos que no puedan acceder a ella por no contar con los recursos económicos o previsionales</w:t>
      </w:r>
      <w:r w:rsidRPr="005B4D92">
        <w:t>”</w:t>
      </w:r>
      <w:r w:rsidRPr="005B4D92">
        <w:rPr>
          <w:rStyle w:val="FootnoteReference"/>
          <w:rFonts w:asciiTheme="minorHAnsi" w:hAnsiTheme="minorHAnsi"/>
          <w:sz w:val="22"/>
        </w:rPr>
        <w:footnoteReference w:id="59"/>
      </w:r>
      <w:r w:rsidRPr="005B4D92">
        <w:t>. Cabe aclarar que además se ha especificado que esto considera no sólo el prestar atención de urgencia sino que realizar el tratamiento médico de forma continua, ya que lo contrario importa la desprotección a la integridad física, por lo que deben adoptarse las medidas necesarias en este sentido para asegurar una efectiva cobertura de salud.</w:t>
      </w:r>
      <w:r w:rsidRPr="005B4D92">
        <w:rPr>
          <w:rStyle w:val="FootnoteReference"/>
          <w:rFonts w:asciiTheme="minorHAnsi" w:hAnsiTheme="minorHAnsi"/>
          <w:sz w:val="22"/>
        </w:rPr>
        <w:footnoteReference w:id="60"/>
      </w:r>
    </w:p>
    <w:p w:rsidR="00E36BB8" w:rsidRPr="005B4D92" w:rsidRDefault="00E36BB8" w:rsidP="00D47933">
      <w:pPr>
        <w:pStyle w:val="ListParagraph"/>
        <w:numPr>
          <w:ilvl w:val="0"/>
          <w:numId w:val="32"/>
        </w:numPr>
        <w:rPr>
          <w:b/>
        </w:rPr>
      </w:pPr>
      <w:r w:rsidRPr="005B4D92">
        <w:rPr>
          <w:b/>
        </w:rPr>
        <w:t>DERECHO A LA EDUCACIÓN</w:t>
      </w:r>
      <w:r w:rsidRPr="005B4D92">
        <w:rPr>
          <w:rStyle w:val="FootnoteReference"/>
          <w:rFonts w:asciiTheme="minorHAnsi" w:hAnsiTheme="minorHAnsi"/>
          <w:b/>
          <w:sz w:val="22"/>
        </w:rPr>
        <w:footnoteReference w:id="61"/>
      </w:r>
    </w:p>
    <w:p w:rsidR="00E36BB8" w:rsidRPr="005B4D92" w:rsidRDefault="00E36BB8" w:rsidP="00E36BB8">
      <w:pPr>
        <w:ind w:firstLine="360"/>
        <w:jc w:val="both"/>
      </w:pPr>
      <w:r w:rsidRPr="005B4D92">
        <w:t>Debido a que el discurso de derechos fue preferentemente utilizado para levantar las demandas ciudadanas relacionadas con un acceso a una educación universal, gratuita y de calidad, la actividad jurisdiccional ha tenido durante los últimos años un rol relevante en proteger la educación como un derecho social y en definir su alcance y limitaciones. Esto ha significado que el poder judicial ha desarrollado durante los últimos años a este respecto una función de alto interés social que ha puesto a los tribunales bajo un directo escrutinio ciudadano. De este modo, los tribunales de justicia en este período no sólo han conocido más litigios relacionados al derecho en comento sino que también han debido resolver sobre nuevas temáticas que responden directamente al momento social y político que vive el país, como ha sido pronunciarse acerca de la legalidad de las denominadas “tomas” de establecimientos educacionales.</w:t>
      </w:r>
    </w:p>
    <w:p w:rsidR="00E36BB8" w:rsidRPr="005B4D92" w:rsidRDefault="00E36BB8" w:rsidP="00D47933">
      <w:pPr>
        <w:pStyle w:val="ListParagraph"/>
        <w:numPr>
          <w:ilvl w:val="0"/>
          <w:numId w:val="37"/>
        </w:numPr>
        <w:jc w:val="both"/>
      </w:pPr>
      <w:r w:rsidRPr="005B4D92">
        <w:lastRenderedPageBreak/>
        <w:t>La educación como un derecho humano</w:t>
      </w:r>
    </w:p>
    <w:p w:rsidR="00E36BB8" w:rsidRPr="005B4D92" w:rsidRDefault="00E36BB8" w:rsidP="00E36BB8">
      <w:pPr>
        <w:ind w:firstLine="360"/>
        <w:jc w:val="both"/>
      </w:pPr>
      <w:r w:rsidRPr="005B4D92">
        <w:t xml:space="preserve">Con el fin de elaborar el significado de la educación como un derecho humano, la Corte Suprema ha señalado que su definición debe ser concordante con lo establecido por el  artículo 13 del Pacto y, por tanto, el concepto debe comprender el carácter unitario y progresivo de la educación cuando ésta se entiende como </w:t>
      </w:r>
      <w:r w:rsidRPr="005B4D92">
        <w:rPr>
          <w:i/>
        </w:rPr>
        <w:t>“un proceso unitario que, en gradaciones de menor a mayor, va haciendo progresar al educando en su integridad holísticamente concedida”</w:t>
      </w:r>
      <w:r w:rsidRPr="005B4D92">
        <w:t>.</w:t>
      </w:r>
      <w:r w:rsidRPr="005B4D92">
        <w:rPr>
          <w:rStyle w:val="FootnoteReference"/>
          <w:rFonts w:asciiTheme="minorHAnsi" w:hAnsiTheme="minorHAnsi"/>
          <w:sz w:val="22"/>
        </w:rPr>
        <w:footnoteReference w:id="62"/>
      </w:r>
      <w:r w:rsidRPr="005B4D92">
        <w:t xml:space="preserve"> Así el proceso educativo es en definitiva una gradación de niveles entre los cuales el de la enseñanza básica precede inmediatamente al de la enseñanza media. Dada su naturaleza como garantía fundamental, este proceso debe orientarse hacia </w:t>
      </w:r>
      <w:r w:rsidRPr="005B4D92">
        <w:rPr>
          <w:i/>
        </w:rPr>
        <w:t>“el pleno desarrollo de la personalidad y la dignidad, fortaleciendo el respeto por los derechos y las libertades fundamentales, de tal manera de capacitar para la efectiva participación social”</w:t>
      </w:r>
      <w:r w:rsidRPr="005B4D92">
        <w:t>.</w:t>
      </w:r>
      <w:r w:rsidRPr="005B4D92">
        <w:rPr>
          <w:rStyle w:val="FootnoteReference"/>
          <w:rFonts w:asciiTheme="minorHAnsi" w:hAnsiTheme="minorHAnsi"/>
          <w:sz w:val="22"/>
        </w:rPr>
        <w:t xml:space="preserve"> </w:t>
      </w:r>
      <w:r w:rsidRPr="005B4D92">
        <w:rPr>
          <w:rStyle w:val="FootnoteReference"/>
          <w:rFonts w:asciiTheme="minorHAnsi" w:hAnsiTheme="minorHAnsi"/>
          <w:sz w:val="22"/>
        </w:rPr>
        <w:footnoteReference w:id="63"/>
      </w:r>
    </w:p>
    <w:p w:rsidR="00E36BB8" w:rsidRPr="005B4D92" w:rsidRDefault="00E36BB8" w:rsidP="00E36BB8">
      <w:pPr>
        <w:ind w:firstLine="360"/>
        <w:jc w:val="both"/>
      </w:pPr>
      <w:r w:rsidRPr="005B4D92">
        <w:t>Bajo estos estándares, y a modo de ejemplo, cabe señalar que los tribunales superiores de justicia han establecido que al ser la educación el derecho a un proceso unitario y progresivo, no cabe dejar su avance al mero arbitrio de una de las partes, atendiendo que el valor de este derecho humano es superior a la protección del principio de derecho privado de la autonomía de la voluntad. Por ello la jurisprudencia chilena ha rechazado las decisiones de establecimientos educacionales de separar a alumnos de estas instituciones cuando ello se basa en razones arbitrarias y/o discriminatorias</w:t>
      </w:r>
      <w:r w:rsidRPr="005B4D92">
        <w:rPr>
          <w:rStyle w:val="FootnoteReference"/>
          <w:rFonts w:asciiTheme="minorHAnsi" w:hAnsiTheme="minorHAnsi"/>
          <w:sz w:val="22"/>
        </w:rPr>
        <w:footnoteReference w:id="64"/>
      </w:r>
      <w:r w:rsidRPr="005B4D92">
        <w:t xml:space="preserve"> porque entiende que ello es finalmente  un problema de igualdad de oportunidades, pues la </w:t>
      </w:r>
      <w:r w:rsidRPr="005B4D92">
        <w:rPr>
          <w:i/>
        </w:rPr>
        <w:t>“decisión del educador impide que el estudiante conserve la calidad de integrante del establecimiento educacional y obtenga los beneficios educativos que su desarrollo requiere y que se espera sea completo, en circunstancias que  estos son proporcionados a los demás alumnos”</w:t>
      </w:r>
      <w:r w:rsidRPr="005B4D92">
        <w:t>.</w:t>
      </w:r>
      <w:r w:rsidRPr="005B4D92">
        <w:rPr>
          <w:rStyle w:val="FootnoteReference"/>
          <w:rFonts w:asciiTheme="minorHAnsi" w:hAnsiTheme="minorHAnsi"/>
          <w:sz w:val="22"/>
        </w:rPr>
        <w:footnoteReference w:id="65"/>
      </w:r>
      <w:r w:rsidRPr="005B4D92">
        <w:t xml:space="preserve"> La igualdad debe evaluarse desde los estándares que ha determinado el derecho internacional de los derechos humanos y los principios de proporcionalidad, razonabilidad y solidaridad. De lo contario, medidas como separar a un/a niño/a de su establecimiento educacional va a implicar un acto sancionatorio y no educativo, que va a afectar severamente su proceso educativo y será una medida contraria al principio rector del interés superior del niño/a.</w:t>
      </w:r>
      <w:r w:rsidRPr="005B4D92">
        <w:rPr>
          <w:rStyle w:val="FootnoteReference"/>
          <w:rFonts w:asciiTheme="minorHAnsi" w:hAnsiTheme="minorHAnsi"/>
          <w:sz w:val="22"/>
        </w:rPr>
        <w:footnoteReference w:id="66"/>
      </w:r>
    </w:p>
    <w:p w:rsidR="00E36BB8" w:rsidRPr="005B4D92" w:rsidRDefault="00E36BB8" w:rsidP="00D47933">
      <w:pPr>
        <w:pStyle w:val="ListParagraph"/>
        <w:numPr>
          <w:ilvl w:val="0"/>
          <w:numId w:val="37"/>
        </w:numPr>
        <w:jc w:val="both"/>
      </w:pPr>
      <w:r w:rsidRPr="005B4D92">
        <w:t>Libertad de enseñanza como componente del derecho a la educación.</w:t>
      </w:r>
    </w:p>
    <w:p w:rsidR="00E36BB8" w:rsidRPr="005B4D92" w:rsidRDefault="00E36BB8" w:rsidP="00E36BB8">
      <w:pPr>
        <w:ind w:firstLine="360"/>
        <w:jc w:val="both"/>
      </w:pPr>
      <w:r w:rsidRPr="005B4D92">
        <w:t xml:space="preserve">El principal argumento de las víctimas para cesar violaciones y obtener compensación respecto a abusos al derecho a la educación, ha sido el respeto a la libertad de enseñanza. Ello no es de extrañar cuando la Constitución reconoce el derecho a la educación pero sólo tutela a uno de sus elementos mediante el recurso de protección, precisamente a la libertad de enseñanza. Esto ha provocado que incluso muchas veces se confundan ambos derechos. Por ello es pertinente </w:t>
      </w:r>
      <w:r w:rsidRPr="005B4D92">
        <w:lastRenderedPageBreak/>
        <w:t>analizar el significado que la Corte Suprema ha atribuido a esta garantía que deriva del derecho a la educación.</w:t>
      </w:r>
    </w:p>
    <w:p w:rsidR="00E36BB8" w:rsidRPr="005B4D92" w:rsidRDefault="00E36BB8" w:rsidP="00E36BB8">
      <w:pPr>
        <w:ind w:firstLine="360"/>
        <w:jc w:val="both"/>
      </w:pPr>
      <w:r w:rsidRPr="005B4D92">
        <w:t>La Corte ha entendido que libertad de enseñanza, en su denominada vertiente pasiva,  es el derecho de los padres a escoger el establecimiento de enseñanza de sus hijos, de manera tal que estos son los primeros llamados a determinar el lugar en que se educarán sus hijos, ejerciendo plenamente su autodeterminación y libertad.</w:t>
      </w:r>
      <w:r w:rsidRPr="005B4D92">
        <w:rPr>
          <w:rStyle w:val="FootnoteReference"/>
          <w:rFonts w:asciiTheme="minorHAnsi" w:hAnsiTheme="minorHAnsi"/>
          <w:sz w:val="22"/>
        </w:rPr>
        <w:footnoteReference w:id="67"/>
      </w:r>
      <w:r w:rsidRPr="005B4D92">
        <w:t xml:space="preserve"> Esta garantía fundamental ha sido especialmente controvertida en relación al denominado sistema de educación particular subvencionado y el rol de los sostenedores que este sistema considera. En este aspecto, uno de los criterios que la jurisprudencia ha establecido es que los sostenedores tienen prohibición de cerrar el establecimiento educacional cuando este es aún reconocido como tal por la autoridad, ya que lo contrario implica una vulneración a la libertad de enseñanza.</w:t>
      </w:r>
      <w:r w:rsidRPr="005B4D92">
        <w:rPr>
          <w:rStyle w:val="FootnoteReference"/>
          <w:rFonts w:asciiTheme="minorHAnsi" w:hAnsiTheme="minorHAnsi"/>
          <w:sz w:val="22"/>
        </w:rPr>
        <w:footnoteReference w:id="68"/>
      </w:r>
      <w:r w:rsidRPr="005B4D92">
        <w:t xml:space="preserve"> Como también se señalara con anterioridad, la no renovación de la matrícula de estudios no es un conflicto de naturaleza contractual por lo que ella debe ser resuelta de acuerdo a criterios constitucionales de derecho a la educación, libertad de enseñanza y garantía de igualdad.</w:t>
      </w:r>
      <w:r w:rsidRPr="005B4D92">
        <w:rPr>
          <w:rStyle w:val="FootnoteReference"/>
          <w:rFonts w:asciiTheme="minorHAnsi" w:hAnsiTheme="minorHAnsi"/>
          <w:sz w:val="22"/>
        </w:rPr>
        <w:footnoteReference w:id="69"/>
      </w:r>
      <w:r w:rsidRPr="005B4D92">
        <w:t xml:space="preserve"> </w:t>
      </w:r>
    </w:p>
    <w:p w:rsidR="00E36BB8" w:rsidRPr="005B4D92" w:rsidRDefault="00E36BB8" w:rsidP="00D47933">
      <w:pPr>
        <w:pStyle w:val="ListParagraph"/>
        <w:numPr>
          <w:ilvl w:val="0"/>
          <w:numId w:val="37"/>
        </w:numPr>
        <w:jc w:val="both"/>
      </w:pPr>
      <w:r w:rsidRPr="005B4D92">
        <w:t>Las tomas de establecimientos educacionales.</w:t>
      </w:r>
    </w:p>
    <w:p w:rsidR="00E36BB8" w:rsidRPr="005B4D92" w:rsidRDefault="00E36BB8" w:rsidP="00E36BB8">
      <w:pPr>
        <w:ind w:firstLine="360"/>
        <w:jc w:val="both"/>
      </w:pPr>
      <w:r w:rsidRPr="005B4D92">
        <w:t xml:space="preserve">Una cuestión de alto interés social que ha sido sometida al conocimiento de los tribunales de justicia e intensamente debatida por la jurisprudencia, es la eventual vulneración al derecho a la educación mediante la toma de establecimientos educacionales. La jurisprudencia mayoritaria ha sostenido que </w:t>
      </w:r>
      <w:r w:rsidRPr="005B4D92">
        <w:rPr>
          <w:i/>
        </w:rPr>
        <w:t>“la toma de una escuela es, por definición, un acto de fuerza que no constituye un medio legítimo de emitir opinión ni forma parte del contenido del derecho a manifestarse”</w:t>
      </w:r>
      <w:r w:rsidRPr="005B4D92">
        <w:rPr>
          <w:rStyle w:val="FootnoteReference"/>
          <w:rFonts w:asciiTheme="minorHAnsi" w:hAnsiTheme="minorHAnsi"/>
          <w:sz w:val="22"/>
        </w:rPr>
        <w:footnoteReference w:id="70"/>
      </w:r>
      <w:r w:rsidRPr="005B4D92">
        <w:t>. Por tanto sería un comportamiento antijurídico que “</w:t>
      </w:r>
      <w:r w:rsidRPr="005B4D92">
        <w:rPr>
          <w:i/>
        </w:rPr>
        <w:t>vulnera el derecho de los estudiantes a recibir educación, y el de sus padres, de que ésta les sea impartida a sus hijos”</w:t>
      </w:r>
      <w:r w:rsidRPr="005B4D92">
        <w:t>,</w:t>
      </w:r>
      <w:r w:rsidRPr="005B4D92">
        <w:rPr>
          <w:rStyle w:val="FootnoteReference"/>
          <w:rFonts w:asciiTheme="minorHAnsi" w:hAnsiTheme="minorHAnsi"/>
          <w:sz w:val="22"/>
        </w:rPr>
        <w:footnoteReference w:id="71"/>
      </w:r>
      <w:r w:rsidRPr="005B4D92">
        <w:t xml:space="preserve"> aun cuando su materialización hubiere sido promovida por una mayoría de los estudiantes o los motivos que se invoquen sean socialmente valorados. Sin embargo, parte de la jurisprudencia ha sostenido una interpretación contraria manifestando que </w:t>
      </w:r>
      <w:r w:rsidRPr="005B4D92">
        <w:rPr>
          <w:i/>
        </w:rPr>
        <w:t>“la toma de un establecimiento educacional, por la fuerza, constituye un hecho en principio ilegal, puede, en circunstancias extraordinarias, no ser objeto de reproche por la sociedad y, más aún, ser considerada como forma última de la expresión de reclamo ante la necesidad de adoptar cambios urgentes en materia educacional, e incluso, como forma de protesta para la obtención de cambios políticos mayores”</w:t>
      </w:r>
      <w:r w:rsidRPr="005B4D92">
        <w:t>.</w:t>
      </w:r>
      <w:r w:rsidRPr="005B4D92">
        <w:rPr>
          <w:rStyle w:val="FootnoteReference"/>
          <w:rFonts w:asciiTheme="minorHAnsi" w:hAnsiTheme="minorHAnsi"/>
          <w:sz w:val="22"/>
        </w:rPr>
        <w:footnoteReference w:id="72"/>
      </w:r>
    </w:p>
    <w:p w:rsidR="00E36BB8" w:rsidRPr="005B4D92" w:rsidRDefault="00E36BB8" w:rsidP="00656E39">
      <w:pPr>
        <w:ind w:firstLine="360"/>
        <w:jc w:val="both"/>
      </w:pPr>
      <w:r w:rsidRPr="005B4D92">
        <w:t xml:space="preserve">A este respecto, los tribunales sí se han manifestado contestes al señalar que un juez no puede evitar que los estudiantes se reúnan a discutir la procedencia de las tomas en asambleas celebradas al efecto, ya que ello significaría un acto de censura previa que, bajo el pretexto de </w:t>
      </w:r>
      <w:r w:rsidRPr="005B4D92">
        <w:lastRenderedPageBreak/>
        <w:t>proteger el derecho a la educación, vulneraría una serie de garantías fundamentales, como el derecho a manifestarse libremente, la libertad de opinión y de reunión.</w:t>
      </w:r>
      <w:r w:rsidRPr="005B4D92">
        <w:rPr>
          <w:rStyle w:val="FootnoteReference"/>
          <w:rFonts w:asciiTheme="minorHAnsi" w:hAnsiTheme="minorHAnsi"/>
          <w:sz w:val="22"/>
        </w:rPr>
        <w:footnoteReference w:id="73"/>
      </w:r>
      <w:r w:rsidRPr="005B4D92">
        <w:t xml:space="preserve"> También los tribunales han definido el rol del órgano gubernamental respecto a las tomas y han indicado que el Estado debe velar por la protección al derecho a la educación y actuar conforme al principio de legalidad y con la razonabilidad y prudencia que resulten debidos.</w:t>
      </w:r>
      <w:r w:rsidRPr="005B4D92">
        <w:rPr>
          <w:rStyle w:val="FootnoteReference"/>
          <w:rFonts w:asciiTheme="minorHAnsi" w:hAnsiTheme="minorHAnsi"/>
          <w:sz w:val="22"/>
        </w:rPr>
        <w:footnoteReference w:id="74"/>
      </w:r>
      <w:r w:rsidR="00656E39">
        <w:t xml:space="preserve"> </w:t>
      </w:r>
    </w:p>
    <w:p w:rsidR="00E36BB8" w:rsidRPr="005B4D92" w:rsidRDefault="00E36BB8" w:rsidP="00D47933">
      <w:pPr>
        <w:pStyle w:val="ListParagraph"/>
        <w:numPr>
          <w:ilvl w:val="0"/>
          <w:numId w:val="32"/>
        </w:numPr>
        <w:jc w:val="both"/>
        <w:rPr>
          <w:b/>
        </w:rPr>
      </w:pPr>
      <w:r w:rsidRPr="005B4D92">
        <w:rPr>
          <w:b/>
        </w:rPr>
        <w:t>DERECHOS CULTURALES</w:t>
      </w:r>
      <w:r w:rsidRPr="005B4D92">
        <w:rPr>
          <w:rStyle w:val="FootnoteReference"/>
          <w:rFonts w:asciiTheme="minorHAnsi" w:hAnsiTheme="minorHAnsi"/>
          <w:b/>
          <w:sz w:val="22"/>
        </w:rPr>
        <w:footnoteReference w:id="75"/>
      </w:r>
    </w:p>
    <w:p w:rsidR="00E36BB8" w:rsidRPr="005B4D92" w:rsidRDefault="00E36BB8" w:rsidP="00E36BB8">
      <w:pPr>
        <w:ind w:firstLine="360"/>
        <w:jc w:val="both"/>
      </w:pPr>
      <w:r w:rsidRPr="005B4D92">
        <w:t xml:space="preserve">La Constitución garantiza </w:t>
      </w:r>
      <w:r w:rsidRPr="005B4D92">
        <w:rPr>
          <w:i/>
        </w:rPr>
        <w:t>“la libertad de crear y difundir las artes”</w:t>
      </w:r>
      <w:r w:rsidRPr="005B4D92">
        <w:rPr>
          <w:rStyle w:val="FootnoteReference"/>
          <w:rFonts w:asciiTheme="minorHAnsi" w:hAnsiTheme="minorHAnsi"/>
          <w:sz w:val="22"/>
        </w:rPr>
        <w:footnoteReference w:id="76"/>
      </w:r>
      <w:r w:rsidRPr="005B4D92">
        <w:t>, entregando particular protección a este derecho cultural mediante el recurso de protección. Por tanto, a partir del tratamiento jurisprudencial que se ha realizado en el país a este derecho, se han desarrollado una serie de estándares con el fin de definir el contenido normativo de los derechos culturales.</w:t>
      </w:r>
    </w:p>
    <w:p w:rsidR="00E36BB8" w:rsidRPr="005B4D92" w:rsidRDefault="00E36BB8" w:rsidP="00D47933">
      <w:pPr>
        <w:pStyle w:val="ListParagraph"/>
        <w:numPr>
          <w:ilvl w:val="0"/>
          <w:numId w:val="38"/>
        </w:numPr>
        <w:jc w:val="both"/>
      </w:pPr>
      <w:r w:rsidRPr="005B4D92">
        <w:t>Prohibición de censura previa</w:t>
      </w:r>
    </w:p>
    <w:p w:rsidR="00E36BB8" w:rsidRPr="005B4D92" w:rsidRDefault="00E36BB8" w:rsidP="00E36BB8">
      <w:pPr>
        <w:ind w:firstLine="360"/>
        <w:jc w:val="both"/>
      </w:pPr>
      <w:r w:rsidRPr="005B4D92">
        <w:t xml:space="preserve"> Los tribunales superiores de justicia han señalado que existe una  prohibición de realizar censura previa a expresiones artísticas, ya que éstas deben gozar de total libertad en su creación al ser invenciones personales y una forma de expresión del ser humano. Dado su valor intrínseco para el desarrollo de la persona, no pueden ser prohibidas previamente argumentando, por ejemplo, que su difusión será una crítica a instituciones y/o personas que dañarán su dignidad.</w:t>
      </w:r>
      <w:r w:rsidRPr="005B4D92">
        <w:rPr>
          <w:rStyle w:val="FootnoteReference"/>
          <w:rFonts w:asciiTheme="minorHAnsi" w:hAnsiTheme="minorHAnsi"/>
          <w:sz w:val="22"/>
        </w:rPr>
        <w:footnoteReference w:id="77"/>
      </w:r>
      <w:r w:rsidRPr="005B4D92">
        <w:t xml:space="preserve"> Sin perjuicio de esto, se ha establecido que el autor de toda obra artística debe enfrentar las consecuencias de su actuar y por tanto responder cuando efectivamente dañe la honra de otro individuo con ánimo o finalidad lesiva. Para que dicha responsabilidad sea procedente debe estar expresamente fijada por la ley y ser necesaria para asegurar la protección de los derechos y/o reputación de los demás, y/o la seguridad nacional, el orden público, la salud o la moral públicas.</w:t>
      </w:r>
      <w:r w:rsidRPr="005B4D92">
        <w:rPr>
          <w:rStyle w:val="FootnoteReference"/>
          <w:rFonts w:asciiTheme="minorHAnsi" w:hAnsiTheme="minorHAnsi"/>
          <w:sz w:val="22"/>
        </w:rPr>
        <w:footnoteReference w:id="78"/>
      </w:r>
      <w:r w:rsidRPr="005B4D92">
        <w:t xml:space="preserve"> En todo caso, la única circunstancia que justificaría la censura previa de espectáculos públicos artísticos, y con el exclusivo objeto de regular el acceso a ellos, es la protección moral de la infancia y la adolescencia.</w:t>
      </w:r>
      <w:r w:rsidRPr="005B4D92">
        <w:rPr>
          <w:rStyle w:val="FootnoteReference"/>
          <w:rFonts w:asciiTheme="minorHAnsi" w:hAnsiTheme="minorHAnsi"/>
          <w:sz w:val="22"/>
        </w:rPr>
        <w:footnoteReference w:id="79"/>
      </w:r>
    </w:p>
    <w:p w:rsidR="00E36BB8" w:rsidRPr="005B4D92" w:rsidRDefault="00E36BB8" w:rsidP="00D47933">
      <w:pPr>
        <w:pStyle w:val="ListParagraph"/>
        <w:numPr>
          <w:ilvl w:val="0"/>
          <w:numId w:val="38"/>
        </w:numPr>
        <w:jc w:val="both"/>
      </w:pPr>
      <w:r w:rsidRPr="005B4D92">
        <w:t>Relación con otros derechos humanos.</w:t>
      </w:r>
    </w:p>
    <w:p w:rsidR="00E36BB8" w:rsidRPr="005B4D92" w:rsidRDefault="00E36BB8" w:rsidP="00E36BB8">
      <w:pPr>
        <w:ind w:firstLine="360"/>
        <w:jc w:val="both"/>
      </w:pPr>
      <w:r w:rsidRPr="005B4D92">
        <w:t xml:space="preserve">La jurisprudencia nacional reciente también ha tratado la relación directa que existe entre el derecho a crear y difundir las artes con la libertad de expresión, señalando que el primero es una forma de ejercer el último. De esta forma, homologando aquellos estándares aplicables a la libertad de expresión, se ha señalado que se debe proteger no tan solo la creación artística sino que también se debe garantizar el derecho de acceder a actividades y manifestaciones de naturaleza artística.  </w:t>
      </w:r>
    </w:p>
    <w:p w:rsidR="00E36BB8" w:rsidRPr="005B4D92" w:rsidRDefault="00E36BB8" w:rsidP="00E36BB8">
      <w:pPr>
        <w:ind w:firstLine="360"/>
        <w:jc w:val="both"/>
      </w:pPr>
      <w:r w:rsidRPr="005B4D92">
        <w:lastRenderedPageBreak/>
        <w:t>Otro vínculo de interés para los tribunales superiores de justicia durante el último tiempo ha sido aquellos derechos que limitan la creación y difusión cultural. En este contexto, además de la responsabilidad ya señalada que puede imponer el derecho a la honra, los derechos culturales pueden confundirse con aquellos relativos a trabajar y desarrollar una actividad económica lícita. Sin embargo, la jurisprudencia ha señalado que el límite está marcado por el hecho que el desarrollar una actividad artística gratuita a cambio de un aporte voluntario cae dentro del ámbito de derechos culturales y por tanto será competencia de los derechos humanos, no de la normativa laboral.</w:t>
      </w:r>
      <w:r w:rsidRPr="005B4D92">
        <w:rPr>
          <w:rStyle w:val="FootnoteReference"/>
          <w:rFonts w:asciiTheme="minorHAnsi" w:hAnsiTheme="minorHAnsi"/>
          <w:sz w:val="22"/>
        </w:rPr>
        <w:footnoteReference w:id="80"/>
      </w:r>
      <w:r w:rsidRPr="005B4D92">
        <w:t xml:space="preserve">  </w:t>
      </w:r>
    </w:p>
    <w:p w:rsidR="00E36BB8" w:rsidRPr="005B4D92" w:rsidRDefault="00E36BB8" w:rsidP="00E36BB8">
      <w:pPr>
        <w:ind w:firstLine="360"/>
        <w:jc w:val="both"/>
        <w:rPr>
          <w:b/>
        </w:rPr>
      </w:pPr>
      <w:r w:rsidRPr="005B4D92">
        <w:t>Para decidir controversias respecto a las relaciones existentes entre derechos culturales y otros derechos humanos como los ya señalados, la jurisprudencia ha establecido como criterio rector el resolver de acuerdo al fin último de los derechos humanos, es decir la protección de los derechos de las personas. Excluyendo aquellas interpretaciones que no sean coherentes con los derechos y garantías inherentes a la naturaleza del ser humano o que deriven de la forma democrática representativa de gobierno.</w:t>
      </w:r>
      <w:r w:rsidRPr="005B4D92">
        <w:rPr>
          <w:rStyle w:val="FootnoteReference"/>
          <w:rFonts w:asciiTheme="minorHAnsi" w:hAnsiTheme="minorHAnsi"/>
          <w:sz w:val="22"/>
        </w:rPr>
        <w:footnoteReference w:id="81"/>
      </w:r>
      <w:r w:rsidRPr="005B4D92">
        <w:rPr>
          <w:b/>
        </w:rPr>
        <w:t xml:space="preserve"> </w:t>
      </w:r>
    </w:p>
    <w:p w:rsidR="00E36BB8" w:rsidRPr="005B4D92" w:rsidRDefault="00E36BB8" w:rsidP="00E36BB8">
      <w:pPr>
        <w:rPr>
          <w:b/>
        </w:rPr>
      </w:pPr>
    </w:p>
    <w:p w:rsidR="00E36BB8" w:rsidRPr="005B4D92" w:rsidRDefault="00E36BB8" w:rsidP="00D47933">
      <w:pPr>
        <w:pStyle w:val="ListParagraph"/>
        <w:numPr>
          <w:ilvl w:val="0"/>
          <w:numId w:val="30"/>
        </w:numPr>
        <w:jc w:val="center"/>
        <w:rPr>
          <w:b/>
        </w:rPr>
      </w:pPr>
      <w:r w:rsidRPr="005B4D92">
        <w:rPr>
          <w:b/>
        </w:rPr>
        <w:t>FORMACIÓN JUDICIAL Y ACTIVIDADES DE SENSIBILIZACIÓN</w:t>
      </w:r>
    </w:p>
    <w:p w:rsidR="00E36BB8" w:rsidRPr="005B4D92" w:rsidRDefault="00E36BB8" w:rsidP="00E36BB8">
      <w:pPr>
        <w:pStyle w:val="ListParagraph"/>
        <w:ind w:left="1080"/>
        <w:rPr>
          <w:b/>
        </w:rPr>
      </w:pPr>
    </w:p>
    <w:p w:rsidR="00E36BB8" w:rsidRPr="005B4D92" w:rsidRDefault="00E36BB8" w:rsidP="00E36BB8">
      <w:pPr>
        <w:jc w:val="center"/>
        <w:rPr>
          <w:b/>
        </w:rPr>
      </w:pPr>
      <w:r w:rsidRPr="005B4D92">
        <w:rPr>
          <w:b/>
        </w:rPr>
        <w:t>INTRODUCCIÓN</w:t>
      </w:r>
    </w:p>
    <w:p w:rsidR="00E36BB8" w:rsidRPr="005B4D92" w:rsidRDefault="00E36BB8" w:rsidP="00E36BB8">
      <w:pPr>
        <w:ind w:firstLine="360"/>
        <w:jc w:val="both"/>
      </w:pPr>
      <w:r w:rsidRPr="005B4D92">
        <w:t xml:space="preserve">El Poder Judicial de Chile recoge la preocupación manifestada por el Comité de Derechos Económicos, Sociales y Culturales de las Naciones Unidas, con ocasión de la revisión del 3er Informe Periódico de Chile, respecto a que </w:t>
      </w:r>
      <w:r w:rsidRPr="005B4D92">
        <w:rPr>
          <w:i/>
        </w:rPr>
        <w:t>“algunos derechos económicos, sociales y culturales, como el derecho a la vivienda, no se consideren justiciables en el Estado Parte”</w:t>
      </w:r>
      <w:r w:rsidRPr="005B4D92">
        <w:t>.</w:t>
      </w:r>
      <w:r w:rsidRPr="005B4D92">
        <w:rPr>
          <w:rStyle w:val="FootnoteReference"/>
          <w:rFonts w:asciiTheme="minorHAnsi" w:hAnsiTheme="minorHAnsi"/>
          <w:sz w:val="22"/>
        </w:rPr>
        <w:footnoteReference w:id="82"/>
      </w:r>
      <w:r w:rsidRPr="005B4D92">
        <w:t xml:space="preserve"> Así mismo reconoce que es necesario seguir aclarando la aplicabilidad directa del Pacto Internacional de Derechos Económicos, Sociales y Culturales en los tribunales nacionales, en favor del respeto, protección y realización de los derechos reconocidos por este instrumento internacional ratificado por Chile, tal y como se recomendara en el 33º Período de Sesiones del CESCR del año 2004.</w:t>
      </w:r>
    </w:p>
    <w:p w:rsidR="00E36BB8" w:rsidRPr="005B4D92" w:rsidRDefault="00E36BB8" w:rsidP="00E36BB8">
      <w:pPr>
        <w:ind w:firstLine="360"/>
        <w:jc w:val="both"/>
      </w:pPr>
      <w:r w:rsidRPr="005B4D92">
        <w:t xml:space="preserve">Más de diez años han transcurrido desde aquella sesión por lo que esta parte del Reporte viene en señalar los avances que han existido en el Poder Judicial durante este período en: </w:t>
      </w:r>
    </w:p>
    <w:p w:rsidR="00E36BB8" w:rsidRPr="005B4D92" w:rsidRDefault="00E36BB8" w:rsidP="00D47933">
      <w:pPr>
        <w:pStyle w:val="ListParagraph"/>
        <w:numPr>
          <w:ilvl w:val="0"/>
          <w:numId w:val="41"/>
        </w:numPr>
        <w:jc w:val="both"/>
      </w:pPr>
      <w:r w:rsidRPr="005B4D92">
        <w:t>La formación de los miembros de la judicatura respecto a los derechos económicos, sociales y culturales y en particular sobre su exigibilidad a través de los tribunales de justicia.</w:t>
      </w:r>
    </w:p>
    <w:p w:rsidR="00E36BB8" w:rsidRPr="005B4D92" w:rsidRDefault="00E36BB8" w:rsidP="00D47933">
      <w:pPr>
        <w:pStyle w:val="ListParagraph"/>
        <w:numPr>
          <w:ilvl w:val="0"/>
          <w:numId w:val="41"/>
        </w:numPr>
        <w:jc w:val="both"/>
      </w:pPr>
      <w:r w:rsidRPr="005B4D92">
        <w:t xml:space="preserve">La sensibilización y educación de la ciudadanía sobre los DESC y en particular la posibilidad de invocar sus disposiciones ante los tribunales de justicia. </w:t>
      </w:r>
    </w:p>
    <w:p w:rsidR="00E36BB8" w:rsidRPr="005B4D92" w:rsidRDefault="00E36BB8" w:rsidP="00E36BB8">
      <w:pPr>
        <w:jc w:val="both"/>
      </w:pPr>
    </w:p>
    <w:p w:rsidR="00E36BB8" w:rsidRPr="005B4D92" w:rsidRDefault="00E36BB8" w:rsidP="00E36BB8">
      <w:pPr>
        <w:pStyle w:val="ListParagraph"/>
        <w:jc w:val="center"/>
        <w:rPr>
          <w:b/>
        </w:rPr>
      </w:pPr>
      <w:r w:rsidRPr="005B4D92">
        <w:rPr>
          <w:b/>
        </w:rPr>
        <w:t>FORMACIÓN JUDICIAL</w:t>
      </w:r>
    </w:p>
    <w:p w:rsidR="00E36BB8" w:rsidRPr="005B4D92" w:rsidRDefault="00E36BB8" w:rsidP="00E36BB8">
      <w:pPr>
        <w:pStyle w:val="ListParagraph"/>
        <w:jc w:val="center"/>
        <w:rPr>
          <w:b/>
        </w:rPr>
      </w:pPr>
    </w:p>
    <w:p w:rsidR="00E36BB8" w:rsidRPr="005B4D92" w:rsidRDefault="00E36BB8" w:rsidP="00E36BB8">
      <w:pPr>
        <w:ind w:firstLine="360"/>
        <w:jc w:val="both"/>
      </w:pPr>
      <w:r w:rsidRPr="005B4D92">
        <w:t xml:space="preserve">Desde el último Informe Periódico de Chile, el Poder Judicial ha procurado fortalecer la educación de sus funcionarios respecto al contenido y exigibilidad de los derechos económicos, sociales y culturales. En particular ha orientado sus esfuerzos en garantizar y cumplir con los estándares fijados por el CDESC en su Observación General número 9 en cuanto a que </w:t>
      </w:r>
      <w:r w:rsidRPr="005B4D92">
        <w:rPr>
          <w:i/>
        </w:rPr>
        <w:t xml:space="preserve">“en la formación judicial se debe tener en cuenta la </w:t>
      </w:r>
      <w:proofErr w:type="spellStart"/>
      <w:r w:rsidRPr="005B4D92">
        <w:rPr>
          <w:i/>
        </w:rPr>
        <w:t>justiciabilidad</w:t>
      </w:r>
      <w:proofErr w:type="spellEnd"/>
      <w:r w:rsidRPr="005B4D92">
        <w:rPr>
          <w:i/>
        </w:rPr>
        <w:t xml:space="preserve"> del Pacto. Es especialmente importante evitar cualquier suposición </w:t>
      </w:r>
      <w:r w:rsidRPr="005B4D92">
        <w:rPr>
          <w:i/>
          <w:u w:val="single"/>
        </w:rPr>
        <w:t>a priori</w:t>
      </w:r>
      <w:r w:rsidRPr="005B4D92">
        <w:rPr>
          <w:i/>
        </w:rPr>
        <w:t xml:space="preserve"> de que las normas no deben considerarse de aplicación inmediata”</w:t>
      </w:r>
      <w:r w:rsidRPr="005B4D92">
        <w:t>.</w:t>
      </w:r>
      <w:r w:rsidRPr="005B4D92">
        <w:rPr>
          <w:rStyle w:val="FootnoteReference"/>
          <w:rFonts w:asciiTheme="minorHAnsi" w:hAnsiTheme="minorHAnsi"/>
          <w:sz w:val="22"/>
        </w:rPr>
        <w:footnoteReference w:id="83"/>
      </w:r>
    </w:p>
    <w:p w:rsidR="00E36BB8" w:rsidRPr="005B4D92" w:rsidRDefault="00E36BB8" w:rsidP="00E36BB8">
      <w:pPr>
        <w:ind w:firstLine="360"/>
        <w:jc w:val="both"/>
      </w:pPr>
      <w:r w:rsidRPr="005B4D92">
        <w:t>En concreto, el Poder Judicial ha procurado avanzar hacia la plena exigibilidad de los DESC mediante la formación especializada de los jueces a través de la Academia Judicial de Chile. Esta institución está encargada de la capacitación, tanto de los postulantes al Escalafón Primario, como de los miembros actuales del Poder Judicial. Para ello tiene tres programas: de Formación (para postulantes al Poder Judicial), de Perfeccionamiento (para quienes ya son miembros del Poder Judicial) y de Habilitación (para que jueces de primera instancia o de letras puedan ser incluidos en las ternas para asumir el cargo de Ministro de alguna de las cortes superiores). En estos programas actualmente se considera la formación especializada en derechos económicos, sociales y culturales en los términos que se expondrán a continuación:</w:t>
      </w:r>
    </w:p>
    <w:p w:rsidR="00E36BB8" w:rsidRPr="005B4D92" w:rsidRDefault="00E36BB8" w:rsidP="00D47933">
      <w:pPr>
        <w:pStyle w:val="ListParagraph"/>
        <w:numPr>
          <w:ilvl w:val="0"/>
          <w:numId w:val="42"/>
        </w:numPr>
        <w:jc w:val="both"/>
      </w:pPr>
      <w:r w:rsidRPr="005B4D92">
        <w:t xml:space="preserve">Programa de Formación </w:t>
      </w:r>
    </w:p>
    <w:p w:rsidR="00E36BB8" w:rsidRPr="005B4D92" w:rsidRDefault="00E36BB8" w:rsidP="00E36BB8">
      <w:pPr>
        <w:ind w:firstLine="360"/>
        <w:jc w:val="both"/>
      </w:pPr>
      <w:r w:rsidRPr="005B4D92">
        <w:t>En la malla de capacitación de postulantes al Poder Judicial se incluyen módulos de formación sobre derechos económicos, sociales y culturales, como los de “Derechos Fundamentales como Valores”, “Aplicación de la Constitución por la Justicia Ordinaria” y “Ponderación”. También se incluye como parte de este programa un taller a cargo del Alto Comisionado de las Naciones Unidas para los Derechos Humanos (ACNUDH) que trata sobre derecho internacional de los derechos humanos, donde se revisan los principales instrumentos y órganos internacionales y dentro de este contexto los DESC y el PIDESC.</w:t>
      </w:r>
    </w:p>
    <w:p w:rsidR="00E36BB8" w:rsidRPr="005B4D92" w:rsidRDefault="00E36BB8" w:rsidP="00D47933">
      <w:pPr>
        <w:pStyle w:val="ListParagraph"/>
        <w:numPr>
          <w:ilvl w:val="0"/>
          <w:numId w:val="42"/>
        </w:numPr>
        <w:jc w:val="both"/>
      </w:pPr>
      <w:r w:rsidRPr="005B4D92">
        <w:t xml:space="preserve">Programa de Perfeccionamiento  </w:t>
      </w:r>
    </w:p>
    <w:p w:rsidR="00E36BB8" w:rsidRPr="005B4D92" w:rsidRDefault="00E36BB8" w:rsidP="00E36BB8">
      <w:pPr>
        <w:ind w:firstLine="360"/>
        <w:jc w:val="both"/>
      </w:pPr>
      <w:r w:rsidRPr="005B4D92">
        <w:t>Para garantizar la formación actualizada y especializada de los miembros del Escalafón de empleados del Poder Judicial se realiza el curso “Derechos Económicos, Sociales y Culturales”. Este pretende extender la formación sobre DESC, por tanto, se imparte incluso para aquellos miembros del Poder Judicial que no tienen formación jurídica. El curso tiene por objeto capacitar en el marco conceptual y normativo de los derechos económicos, sociales y culturales, en su relación con otros derechos humanos  y acerca del impacto de los DESC en su trabajo diario en la unidad judicial. Este curso se imparte desde el año 2013 y en el año 2015 se impartirán 4 cursos sobre la materia entre los meses de julio y diciembre.</w:t>
      </w:r>
    </w:p>
    <w:p w:rsidR="00E36BB8" w:rsidRPr="005B4D92" w:rsidRDefault="00E36BB8" w:rsidP="00E36BB8">
      <w:pPr>
        <w:ind w:firstLine="360"/>
        <w:jc w:val="both"/>
      </w:pPr>
      <w:r w:rsidRPr="005B4D92">
        <w:lastRenderedPageBreak/>
        <w:t xml:space="preserve">Otro curso relacionado con esta temática existente en el Programa de Perfeccionamiento y dirigidos a jueces, es el de “Sistema Universal de protección de los Derechos Humanos”. Este tiene por objeto perfeccionar los conocimientos de los jueces respecto al contenido y a la importancia del derecho internacional de los derechos humanos, a los organismos de protección de las Naciones Unidas y a la utilidad que éstos tienen para la función que cumplen los operadores del sistema de justicia. Además, se revisan los principales estándares internacionales y la jurisprudencia relevante respecto de los  derechos económicos, sociales y culturales, la </w:t>
      </w:r>
      <w:proofErr w:type="spellStart"/>
      <w:r w:rsidRPr="005B4D92">
        <w:t>justiciabilidad</w:t>
      </w:r>
      <w:proofErr w:type="spellEnd"/>
      <w:r w:rsidRPr="005B4D92">
        <w:t xml:space="preserve"> de éstos y el Protocolo Facultativo del Pacto. </w:t>
      </w:r>
    </w:p>
    <w:p w:rsidR="00E36BB8" w:rsidRPr="005B4D92" w:rsidRDefault="00E36BB8" w:rsidP="00E36BB8">
      <w:pPr>
        <w:ind w:firstLine="360"/>
        <w:jc w:val="both"/>
      </w:pPr>
      <w:r w:rsidRPr="005B4D92">
        <w:t>Por último los cursos sobre “Sistema interamericano de protección de derechos y control de convencionalidad” y “Teoría General y  Dogmática de los derechos fundamentales” también dedican espacio a la formación en DESC.</w:t>
      </w:r>
    </w:p>
    <w:p w:rsidR="00E36BB8" w:rsidRPr="005B4D92" w:rsidRDefault="00E36BB8" w:rsidP="00D47933">
      <w:pPr>
        <w:pStyle w:val="ListParagraph"/>
        <w:numPr>
          <w:ilvl w:val="0"/>
          <w:numId w:val="42"/>
        </w:numPr>
        <w:jc w:val="both"/>
      </w:pPr>
      <w:r w:rsidRPr="005B4D92">
        <w:t>Programa de Habilitación</w:t>
      </w:r>
    </w:p>
    <w:p w:rsidR="00E36BB8" w:rsidRDefault="00E36BB8" w:rsidP="00E36BB8">
      <w:pPr>
        <w:ind w:firstLine="360"/>
        <w:jc w:val="both"/>
      </w:pPr>
      <w:r w:rsidRPr="005B4D92">
        <w:t>Como parte de este programa, destinado a aquellos que pretenden asumir como juez de alguno de los tribunales superiores de justic</w:t>
      </w:r>
      <w:r w:rsidR="00656E39">
        <w:t>i</w:t>
      </w:r>
      <w:r w:rsidRPr="005B4D92">
        <w:t xml:space="preserve">a, es decir Cortes de Apelaciones o Corte Suprema, se realiza un curso que se denomina  “Obligaciones del Estado de Chile adquiridas por Tratados Internacionales”. Este tiene por objeto generar análisis crítico respecto de la recepción de los tratados internacionales suscritos por Chile en el derecho interno, las obligaciones que contrae el estado, el impacto en el ejercicio de la función jurisdiccional y la participación de este en la efectiva supervisión del cumplimiento de éstas. </w:t>
      </w:r>
    </w:p>
    <w:p w:rsidR="00E36BB8" w:rsidRPr="005B4D92" w:rsidRDefault="00E36BB8" w:rsidP="00656E39">
      <w:pPr>
        <w:rPr>
          <w:b/>
        </w:rPr>
      </w:pPr>
    </w:p>
    <w:p w:rsidR="00E36BB8" w:rsidRPr="005B4D92" w:rsidRDefault="00E36BB8" w:rsidP="00E36BB8">
      <w:pPr>
        <w:jc w:val="center"/>
        <w:rPr>
          <w:b/>
        </w:rPr>
      </w:pPr>
      <w:r w:rsidRPr="005B4D92">
        <w:rPr>
          <w:b/>
        </w:rPr>
        <w:t>SENSIBILIZACIÓN DE LA POBLACIÓN</w:t>
      </w:r>
    </w:p>
    <w:p w:rsidR="00E36BB8" w:rsidRPr="005B4D92" w:rsidRDefault="00E36BB8" w:rsidP="00E36BB8">
      <w:pPr>
        <w:ind w:firstLine="360"/>
        <w:jc w:val="both"/>
      </w:pPr>
      <w:r w:rsidRPr="005B4D92">
        <w:t>El Poder Judicial entiende que para que los derechos económicos, sociales y culturales sean efectivamente tutelados por vías judiciales es necesario que no solo los miembros del Poder Judicial tengan una formación especializada, sino que también es esencial que la ciudadanía tenga el conocimiento suficiente acerca de su contenido y las vías disponibles para conseguir su protección a través de los tribunales de justicia. Si bien es responsabilidad del Estado en su conjunto formar a la población en DESC y adoptar las medidas necesarias para ello, este Reporte dará cuenta del aporte que ha realizado el Poder Judicial a este respecto.</w:t>
      </w:r>
    </w:p>
    <w:p w:rsidR="00E36BB8" w:rsidRPr="005B4D92" w:rsidRDefault="00E36BB8" w:rsidP="00D47933">
      <w:pPr>
        <w:pStyle w:val="ListParagraph"/>
        <w:numPr>
          <w:ilvl w:val="0"/>
          <w:numId w:val="43"/>
        </w:numPr>
      </w:pPr>
      <w:r w:rsidRPr="005B4D92">
        <w:t>Cursos de formación</w:t>
      </w:r>
    </w:p>
    <w:p w:rsidR="00E36BB8" w:rsidRPr="005B4D92" w:rsidRDefault="00E36BB8" w:rsidP="00E36BB8">
      <w:pPr>
        <w:ind w:firstLine="360"/>
        <w:jc w:val="both"/>
      </w:pPr>
      <w:r w:rsidRPr="005B4D92">
        <w:t>El Poder Judicial ha puesto a disposición de la ciudadanía cursos de formación en derechos humanos y derechos económicos, sociales y culturales en particular. A modo de ejemplo, cabe señalar que durante el mes de Diciembre de 2014 se difundió para todos los usuarios del portal institucional del Poder Judicial (</w:t>
      </w:r>
      <w:hyperlink r:id="rId11" w:history="1">
        <w:r w:rsidRPr="005B4D92">
          <w:rPr>
            <w:rStyle w:val="Hyperlink"/>
          </w:rPr>
          <w:t>www.pjud.cl</w:t>
        </w:r>
      </w:hyperlink>
      <w:r w:rsidRPr="005B4D92">
        <w:t xml:space="preserve">) la realización del curso on-line sobre Derecho Internacional de los Derechos Humanos, dictado por el  jurista y experto José </w:t>
      </w:r>
      <w:proofErr w:type="spellStart"/>
      <w:r w:rsidRPr="005B4D92">
        <w:t>Zalaquett</w:t>
      </w:r>
      <w:proofErr w:type="spellEnd"/>
      <w:r w:rsidRPr="005B4D92">
        <w:t xml:space="preserve">  junto al académico Juan  Francisco Lobo. Parte relevante del curso era el análisis de la normativa internacional aplicable a los DESC.</w:t>
      </w:r>
    </w:p>
    <w:p w:rsidR="00E36BB8" w:rsidRPr="005B4D92" w:rsidRDefault="00E36BB8" w:rsidP="00D47933">
      <w:pPr>
        <w:pStyle w:val="ListParagraph"/>
        <w:numPr>
          <w:ilvl w:val="0"/>
          <w:numId w:val="43"/>
        </w:numPr>
      </w:pPr>
      <w:r w:rsidRPr="005B4D92">
        <w:lastRenderedPageBreak/>
        <w:t>Análisis jurisprudencial</w:t>
      </w:r>
    </w:p>
    <w:p w:rsidR="00E36BB8" w:rsidRPr="005B4D92" w:rsidRDefault="00E36BB8" w:rsidP="00E36BB8">
      <w:pPr>
        <w:ind w:firstLine="360"/>
        <w:jc w:val="both"/>
      </w:pPr>
      <w:r w:rsidRPr="005B4D92">
        <w:t>Con el objeto de sociabilizar y sistematizar el conocimiento generado a partir del tratamiento jurisprudencial que se ha dado a los DESC en el país, el Poder Judicial ha desarrollado una serie de actividades, como las denominadas “Colecciones Jurídicas” o el Concurso de Análisis Jurisprudencial del año recién pasado.</w:t>
      </w:r>
    </w:p>
    <w:p w:rsidR="00E36BB8" w:rsidRPr="005B4D92" w:rsidRDefault="00E36BB8" w:rsidP="00E36BB8">
      <w:pPr>
        <w:ind w:firstLine="360"/>
        <w:jc w:val="both"/>
      </w:pPr>
      <w:r w:rsidRPr="005B4D92">
        <w:t>Las primeras son un análisis sistematizado, tanto cualitativo como cuantitativo, de la jurisprudencia de la Corte Suprema en temáticas de interés, realizado en conjunto con distintas Facultades de Derecho del país y con el objetivo principal de acercar a la comunidad una visión jurídica integral de estas materias. Durante el año pasado se trabajó en temáticas vinculadas a los derechos reconocidos por el PIDESC como derecho medioambiental, indígena y migrantes y se realizó un Seminario Internacional para anticipar lo que serán sus resultados. Durante 2015 se proyecta trabajar específicamente en DESC como el derecho a la educación o a la salud, expandir el trabajo que se realizó en 2014 sobre derecho al agua y generar una plataforma digital que masifique y haga accesible estos análisis. A su vez, durante al año recién pasado, se realizó el Concurso de Análisis Jurisprudencial con el fin de analizar la jurisprudencia de la Corte Suprema para recoger los principios que se han elaborado con respecto a los derechos de grupos vulnerables, con inclusión de estudios de derecho comprado.</w:t>
      </w:r>
    </w:p>
    <w:p w:rsidR="00E36BB8" w:rsidRPr="005B4D92" w:rsidRDefault="00E36BB8" w:rsidP="00D47933">
      <w:pPr>
        <w:pStyle w:val="ListParagraph"/>
        <w:numPr>
          <w:ilvl w:val="0"/>
          <w:numId w:val="43"/>
        </w:numPr>
      </w:pPr>
      <w:r w:rsidRPr="005B4D92">
        <w:t>Seminarios y otros</w:t>
      </w:r>
    </w:p>
    <w:p w:rsidR="00E36BB8" w:rsidRPr="005B4D92" w:rsidRDefault="00E36BB8" w:rsidP="00E36BB8">
      <w:pPr>
        <w:ind w:firstLine="360"/>
        <w:jc w:val="both"/>
      </w:pPr>
      <w:r w:rsidRPr="005B4D92">
        <w:t>Con el objeto de fomentar el debate público y la generación de conocimiento colectivo sobre los derechos reconocidos por el PIDESC, el Poder Judicial ha realizado una serie de actividades de extensión. Dentro de estas cabe destacar:</w:t>
      </w:r>
    </w:p>
    <w:p w:rsidR="00E36BB8" w:rsidRPr="005B4D92" w:rsidRDefault="00E36BB8" w:rsidP="00D47933">
      <w:pPr>
        <w:pStyle w:val="ListParagraph"/>
        <w:numPr>
          <w:ilvl w:val="0"/>
          <w:numId w:val="44"/>
        </w:numPr>
        <w:jc w:val="both"/>
      </w:pPr>
      <w:r w:rsidRPr="005B4D92">
        <w:t xml:space="preserve"> Seminario sobre buenas prácticas en materia de acceso a la justicia de personas y grupos en condición de vulnerabilidad y enfoque de género. Este tuvo por objeto elaborar propuestas y generar debate con expertos nacionales e internacionales en torno al acceso a la justicia de personas vulnerables. Las conclusiones generadas fueron utilizadas para la elaboración de los Protocolos Iberoamericanos de Actuación Judicial para mejorar el acceso de grupos vulnerables, producto de la XVII Cumbre Judicial Iberoamericana, realizada en el mes de Abril de 2014 en Chile.</w:t>
      </w:r>
    </w:p>
    <w:p w:rsidR="00E36BB8" w:rsidRPr="005B4D92" w:rsidRDefault="00E36BB8" w:rsidP="00D47933">
      <w:pPr>
        <w:pStyle w:val="ListParagraph"/>
        <w:numPr>
          <w:ilvl w:val="0"/>
          <w:numId w:val="44"/>
        </w:numPr>
        <w:jc w:val="both"/>
      </w:pPr>
      <w:r w:rsidRPr="005B4D92">
        <w:t xml:space="preserve">Conversatorio regional sobre utilización del derecho internacional de los derechos humanos por los tribunales nacionales. Este fue organizado por la Corte Suprema y la Oficina Regional para  América del Sur del Alto Comisionado de las Naciones Unidas para los Derechos Humanos (ACNUDH) y contó con la presencia, entre otros, del Sr. </w:t>
      </w:r>
      <w:proofErr w:type="spellStart"/>
      <w:r w:rsidRPr="005B4D92">
        <w:t>Philippe</w:t>
      </w:r>
      <w:proofErr w:type="spellEnd"/>
      <w:r w:rsidRPr="005B4D92">
        <w:t xml:space="preserve"> </w:t>
      </w:r>
      <w:proofErr w:type="spellStart"/>
      <w:r w:rsidRPr="005B4D92">
        <w:t>Texier</w:t>
      </w:r>
      <w:proofErr w:type="spellEnd"/>
      <w:r w:rsidRPr="005B4D92">
        <w:t>, ex miembro del Comité de Derechos Económicos, Sociales y Culturales, y miembro de la Corte de Casación de Francia. El objeto de este Conversatorio fue socializar y debatir las experiencias y buenas prácticas a nivel nacional y regional sobre la aplicación e interpretación del Derecho internacional de los derechos humanos a nivel nacional.</w:t>
      </w:r>
    </w:p>
    <w:p w:rsidR="00E36BB8" w:rsidRPr="005B4D92" w:rsidRDefault="00E36BB8" w:rsidP="00D47933">
      <w:pPr>
        <w:pStyle w:val="ListParagraph"/>
        <w:numPr>
          <w:ilvl w:val="0"/>
          <w:numId w:val="44"/>
        </w:numPr>
        <w:jc w:val="both"/>
      </w:pPr>
      <w:r w:rsidRPr="005B4D92">
        <w:t xml:space="preserve">Protocolo Iberoamericano de Actuación Judicial para mejorar el acceso a la Justicia de Grupos Vulnerables: de personas con discapacidad, migrantes, niñas, niños, adolescentes, comunidades y pueblos indígenas y mujeres víctimas de violencia de género. Durante el </w:t>
      </w:r>
      <w:r w:rsidRPr="005B4D92">
        <w:lastRenderedPageBreak/>
        <w:t>mes de Noviembre de 2014 se realizó la presentación de dicho documento que entre otros asuntos promueve la colaboración internacional entre poderes judiciales de la región y favorece que las personas y grupos sociales conozcan y ejerzan con plenitud, ante el sistema de justicia, los derechos reconocidos por el ordenamiento jurídico internacional.</w:t>
      </w:r>
    </w:p>
    <w:p w:rsidR="00E36BB8" w:rsidRPr="005B4D92" w:rsidRDefault="00E36BB8" w:rsidP="00D47933">
      <w:pPr>
        <w:pStyle w:val="ListParagraph"/>
        <w:numPr>
          <w:ilvl w:val="0"/>
          <w:numId w:val="44"/>
        </w:numPr>
        <w:jc w:val="both"/>
      </w:pPr>
      <w:r w:rsidRPr="005B4D92">
        <w:t>Campaña  Educativa sobre los derechos y deberes de las Personas frente a la Justicia. Esta fue lanzada por el Poder Judicial a nivel nacional en el año 2014 y tiene por objeto  promover y resguardar los derechos de todas las personas ante la justicia, sin distinción. La campaña busca  informar a la comunidad  respecto de sus derechos y deberes en tribunales, a través de la difusión de un  decálogo ciudadano que destaca, entre otros, el derecho  a recibir un trato igualitario y digno y a formular peticiones, y el deber de respetar a los funcionarios judiciales, sus procedimientos, horarios, bienes y dependencias.</w:t>
      </w:r>
    </w:p>
    <w:p w:rsidR="00E36BB8" w:rsidRPr="005B4D92"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E36BB8" w:rsidRDefault="00E36BB8"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656E39" w:rsidRDefault="00656E39" w:rsidP="00E36BB8">
      <w:pPr>
        <w:pStyle w:val="ListParagraph"/>
        <w:rPr>
          <w:b/>
        </w:rPr>
      </w:pPr>
    </w:p>
    <w:p w:rsidR="00E36BB8" w:rsidRPr="00735DED" w:rsidRDefault="00E36BB8" w:rsidP="00E36BB8">
      <w:pPr>
        <w:jc w:val="both"/>
        <w:rPr>
          <w:rFonts w:ascii="Times New Roman" w:hAnsi="Times New Roman" w:cs="Times New Roman"/>
          <w:b/>
          <w:sz w:val="24"/>
          <w:szCs w:val="24"/>
        </w:rPr>
      </w:pPr>
      <w:r w:rsidRPr="00735DED">
        <w:rPr>
          <w:rFonts w:ascii="Times New Roman" w:hAnsi="Times New Roman" w:cs="Times New Roman"/>
          <w:b/>
          <w:sz w:val="24"/>
          <w:szCs w:val="24"/>
        </w:rPr>
        <w:lastRenderedPageBreak/>
        <w:t xml:space="preserve">ANEXO II: </w:t>
      </w:r>
    </w:p>
    <w:p w:rsidR="00E36BB8" w:rsidRPr="00735DED" w:rsidRDefault="00E36BB8" w:rsidP="00E36BB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Gráfico </w:t>
      </w:r>
      <w:r w:rsidRPr="00735DED">
        <w:rPr>
          <w:rFonts w:ascii="Times New Roman" w:hAnsi="Times New Roman" w:cs="Times New Roman"/>
          <w:b/>
          <w:sz w:val="24"/>
          <w:szCs w:val="24"/>
        </w:rPr>
        <w:t>1: Evolución de la participación laboral de mujeres y hombres en Chile, promedio anual de trimestres calendario 2005-2014</w:t>
      </w:r>
    </w:p>
    <w:p w:rsidR="00E36BB8" w:rsidRPr="00735DED" w:rsidRDefault="00E36BB8" w:rsidP="00E36BB8">
      <w:pPr>
        <w:spacing w:after="0" w:line="240" w:lineRule="auto"/>
        <w:rPr>
          <w:rFonts w:ascii="Times New Roman" w:hAnsi="Times New Roman" w:cs="Times New Roman"/>
          <w:sz w:val="24"/>
          <w:szCs w:val="24"/>
        </w:rPr>
      </w:pPr>
    </w:p>
    <w:p w:rsidR="00E36BB8" w:rsidRPr="00735DED" w:rsidRDefault="00E36BB8" w:rsidP="00E36BB8">
      <w:pPr>
        <w:spacing w:after="0" w:line="240" w:lineRule="auto"/>
        <w:ind w:left="113"/>
        <w:rPr>
          <w:rFonts w:ascii="Times New Roman" w:hAnsi="Times New Roman" w:cs="Times New Roman"/>
          <w:sz w:val="24"/>
          <w:szCs w:val="24"/>
        </w:rPr>
      </w:pPr>
      <w:r w:rsidRPr="00735DED">
        <w:rPr>
          <w:rFonts w:ascii="Times New Roman" w:hAnsi="Times New Roman" w:cs="Times New Roman"/>
          <w:noProof/>
          <w:sz w:val="24"/>
          <w:szCs w:val="24"/>
          <w:lang w:val="en-GB" w:eastAsia="en-GB"/>
        </w:rPr>
        <w:drawing>
          <wp:inline distT="0" distB="0" distL="0" distR="0" wp14:anchorId="0CDEAA19" wp14:editId="553036E1">
            <wp:extent cx="5458968" cy="2551176"/>
            <wp:effectExtent l="0" t="0" r="27940" b="20955"/>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36BB8" w:rsidRDefault="00E36BB8" w:rsidP="00E36BB8">
      <w:pPr>
        <w:spacing w:after="0" w:line="240" w:lineRule="auto"/>
        <w:ind w:left="113"/>
        <w:rPr>
          <w:rFonts w:ascii="Times New Roman" w:hAnsi="Times New Roman" w:cs="Times New Roman"/>
          <w:sz w:val="24"/>
          <w:szCs w:val="24"/>
        </w:rPr>
      </w:pPr>
    </w:p>
    <w:p w:rsidR="00E36BB8" w:rsidRPr="00735DED" w:rsidRDefault="00E36BB8" w:rsidP="00E36BB8">
      <w:pPr>
        <w:spacing w:after="0" w:line="240" w:lineRule="auto"/>
        <w:ind w:left="113"/>
        <w:rPr>
          <w:rFonts w:ascii="Times New Roman" w:hAnsi="Times New Roman" w:cs="Times New Roman"/>
          <w:sz w:val="24"/>
          <w:szCs w:val="24"/>
        </w:rPr>
      </w:pPr>
      <w:r w:rsidRPr="00735DED">
        <w:rPr>
          <w:rFonts w:ascii="Times New Roman" w:hAnsi="Times New Roman" w:cs="Times New Roman"/>
          <w:sz w:val="24"/>
          <w:szCs w:val="24"/>
        </w:rPr>
        <w:t>Fuentes: Elaboración Unidad de Estudios</w:t>
      </w:r>
      <w:r>
        <w:rPr>
          <w:rFonts w:ascii="Times New Roman" w:hAnsi="Times New Roman" w:cs="Times New Roman"/>
          <w:sz w:val="24"/>
          <w:szCs w:val="24"/>
        </w:rPr>
        <w:t xml:space="preserve"> de Subsecretaría del Trabajo</w:t>
      </w:r>
      <w:r w:rsidRPr="00735DED">
        <w:rPr>
          <w:rFonts w:ascii="Times New Roman" w:hAnsi="Times New Roman" w:cs="Times New Roman"/>
          <w:sz w:val="24"/>
          <w:szCs w:val="24"/>
        </w:rPr>
        <w:t xml:space="preserve"> en base a datos OECD</w:t>
      </w:r>
      <w:r w:rsidRPr="00735DED">
        <w:rPr>
          <w:rStyle w:val="FootnoteReference"/>
          <w:rFonts w:cs="Times New Roman"/>
          <w:sz w:val="24"/>
          <w:szCs w:val="24"/>
        </w:rPr>
        <w:footnoteReference w:id="84"/>
      </w:r>
    </w:p>
    <w:p w:rsidR="00E36BB8" w:rsidRPr="00735DED" w:rsidRDefault="00E36BB8" w:rsidP="00E36BB8">
      <w:pPr>
        <w:spacing w:after="0" w:line="240" w:lineRule="auto"/>
        <w:rPr>
          <w:rFonts w:ascii="Times New Roman" w:hAnsi="Times New Roman" w:cs="Times New Roman"/>
          <w:sz w:val="24"/>
          <w:szCs w:val="24"/>
        </w:rPr>
      </w:pP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735DED" w:rsidRDefault="00E36BB8" w:rsidP="00E36BB8">
      <w:pPr>
        <w:jc w:val="both"/>
        <w:rPr>
          <w:rFonts w:ascii="Times New Roman" w:hAnsi="Times New Roman" w:cs="Times New Roman"/>
          <w:b/>
          <w:sz w:val="24"/>
          <w:szCs w:val="24"/>
        </w:rPr>
      </w:pPr>
      <w:r w:rsidRPr="00735DED">
        <w:rPr>
          <w:rFonts w:ascii="Times New Roman" w:hAnsi="Times New Roman" w:cs="Times New Roman"/>
          <w:b/>
          <w:sz w:val="24"/>
          <w:szCs w:val="24"/>
        </w:rPr>
        <w:lastRenderedPageBreak/>
        <w:t>ANEXO III</w:t>
      </w:r>
    </w:p>
    <w:p w:rsidR="00E36BB8" w:rsidRPr="00735DED" w:rsidRDefault="00E36BB8" w:rsidP="00E36BB8">
      <w:pPr>
        <w:jc w:val="both"/>
        <w:rPr>
          <w:rFonts w:ascii="Times New Roman" w:hAnsi="Times New Roman" w:cs="Times New Roman"/>
          <w:sz w:val="24"/>
          <w:szCs w:val="24"/>
        </w:rPr>
      </w:pPr>
      <w:r>
        <w:rPr>
          <w:rFonts w:ascii="Times New Roman" w:hAnsi="Times New Roman" w:cs="Times New Roman"/>
          <w:b/>
          <w:sz w:val="24"/>
          <w:szCs w:val="24"/>
        </w:rPr>
        <w:t>Gráfico 2</w:t>
      </w:r>
      <w:r w:rsidRPr="00735DED">
        <w:rPr>
          <w:rFonts w:ascii="Times New Roman" w:hAnsi="Times New Roman" w:cs="Times New Roman"/>
          <w:b/>
          <w:sz w:val="24"/>
          <w:szCs w:val="24"/>
        </w:rPr>
        <w:t>: Participación de mujeres en puestos de decisión y/o responsabilidad en las empresas, promedio anual de trimestres calendario 2010-2014</w:t>
      </w:r>
    </w:p>
    <w:p w:rsidR="00E36BB8" w:rsidRPr="00735DED" w:rsidRDefault="00E36BB8" w:rsidP="00E36BB8">
      <w:pPr>
        <w:spacing w:after="0" w:line="240" w:lineRule="auto"/>
        <w:jc w:val="center"/>
        <w:rPr>
          <w:rFonts w:ascii="Times New Roman" w:hAnsi="Times New Roman" w:cs="Times New Roman"/>
          <w:color w:val="FF0000"/>
          <w:sz w:val="24"/>
          <w:szCs w:val="24"/>
        </w:rPr>
      </w:pPr>
      <w:r w:rsidRPr="00735DED">
        <w:rPr>
          <w:rFonts w:ascii="Times New Roman" w:hAnsi="Times New Roman" w:cs="Times New Roman"/>
          <w:noProof/>
          <w:sz w:val="24"/>
          <w:szCs w:val="24"/>
          <w:lang w:val="en-GB" w:eastAsia="en-GB"/>
        </w:rPr>
        <w:drawing>
          <wp:inline distT="0" distB="0" distL="0" distR="0" wp14:anchorId="35B63F9D" wp14:editId="2BB336C3">
            <wp:extent cx="5194861" cy="1993206"/>
            <wp:effectExtent l="19050" t="0" r="24839" b="7044"/>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36BB8" w:rsidRPr="00735DED" w:rsidRDefault="00E36BB8" w:rsidP="00E36BB8">
      <w:pPr>
        <w:spacing w:after="0" w:line="240" w:lineRule="auto"/>
        <w:jc w:val="both"/>
        <w:rPr>
          <w:rFonts w:ascii="Times New Roman" w:hAnsi="Times New Roman" w:cs="Times New Roman"/>
          <w:sz w:val="24"/>
          <w:szCs w:val="24"/>
        </w:rPr>
      </w:pPr>
    </w:p>
    <w:p w:rsidR="00E36BB8" w:rsidRPr="00735DED" w:rsidRDefault="00E36BB8" w:rsidP="00E36BB8">
      <w:pPr>
        <w:spacing w:after="0" w:line="240" w:lineRule="auto"/>
        <w:jc w:val="both"/>
        <w:rPr>
          <w:rFonts w:ascii="Times New Roman" w:hAnsi="Times New Roman" w:cs="Times New Roman"/>
          <w:sz w:val="24"/>
          <w:szCs w:val="24"/>
        </w:rPr>
      </w:pPr>
      <w:r w:rsidRPr="00735DED">
        <w:rPr>
          <w:rFonts w:ascii="Times New Roman" w:hAnsi="Times New Roman" w:cs="Times New Roman"/>
          <w:sz w:val="24"/>
          <w:szCs w:val="24"/>
        </w:rPr>
        <w:t>Fuente: Elaboración Propia</w:t>
      </w:r>
      <w:r>
        <w:rPr>
          <w:rFonts w:ascii="Times New Roman" w:hAnsi="Times New Roman" w:cs="Times New Roman"/>
          <w:sz w:val="24"/>
          <w:szCs w:val="24"/>
        </w:rPr>
        <w:t>, Subsecretaría del Trabajo,</w:t>
      </w:r>
      <w:r w:rsidRPr="00735DED">
        <w:rPr>
          <w:rFonts w:ascii="Times New Roman" w:hAnsi="Times New Roman" w:cs="Times New Roman"/>
          <w:sz w:val="24"/>
          <w:szCs w:val="24"/>
        </w:rPr>
        <w:t xml:space="preserve"> a partir de Encuesta Nacional de Empleo, INE</w:t>
      </w:r>
    </w:p>
    <w:p w:rsidR="00E36BB8" w:rsidRPr="00735DED" w:rsidRDefault="00E36BB8" w:rsidP="00E36BB8">
      <w:pPr>
        <w:spacing w:after="0" w:line="240" w:lineRule="auto"/>
        <w:jc w:val="both"/>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NOTA: Grupo ocupacional según Clasificación Internacional Uniforme de Ocupaciones, CIUO 88. Cálculo: mujeres asalariadas miembros del poder ejecutivo y cuerpos legislativos y personal directivo de la administración pública y de empresas sobre el total de asalariados en esta condición</w:t>
      </w:r>
    </w:p>
    <w:p w:rsidR="00E36BB8" w:rsidRPr="00735DED" w:rsidRDefault="00E36BB8" w:rsidP="00E36BB8">
      <w:pPr>
        <w:spacing w:after="0" w:line="240" w:lineRule="auto"/>
        <w:jc w:val="both"/>
        <w:rPr>
          <w:rFonts w:ascii="Times New Roman" w:hAnsi="Times New Roman" w:cs="Times New Roman"/>
          <w:b/>
          <w:sz w:val="24"/>
          <w:szCs w:val="24"/>
        </w:rPr>
      </w:pP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735DED" w:rsidRDefault="00E36BB8" w:rsidP="00E36BB8">
      <w:pPr>
        <w:jc w:val="both"/>
        <w:rPr>
          <w:rFonts w:ascii="Times New Roman" w:hAnsi="Times New Roman" w:cs="Times New Roman"/>
          <w:b/>
          <w:sz w:val="24"/>
          <w:szCs w:val="24"/>
        </w:rPr>
      </w:pPr>
      <w:r w:rsidRPr="00735DED">
        <w:rPr>
          <w:rFonts w:ascii="Times New Roman" w:hAnsi="Times New Roman" w:cs="Times New Roman"/>
          <w:b/>
          <w:sz w:val="24"/>
          <w:szCs w:val="24"/>
        </w:rPr>
        <w:lastRenderedPageBreak/>
        <w:t>ANEXO IV</w:t>
      </w:r>
    </w:p>
    <w:p w:rsidR="00E36BB8" w:rsidRPr="00735DED" w:rsidRDefault="00E36BB8" w:rsidP="00E36BB8">
      <w:pPr>
        <w:spacing w:after="0" w:line="240" w:lineRule="auto"/>
        <w:rPr>
          <w:rFonts w:ascii="Times New Roman" w:hAnsi="Times New Roman" w:cs="Times New Roman"/>
          <w:b/>
          <w:sz w:val="24"/>
          <w:szCs w:val="24"/>
        </w:rPr>
      </w:pPr>
      <w:r w:rsidRPr="00735DED">
        <w:rPr>
          <w:rFonts w:ascii="Times New Roman" w:hAnsi="Times New Roman" w:cs="Times New Roman"/>
          <w:b/>
          <w:sz w:val="24"/>
          <w:szCs w:val="24"/>
        </w:rPr>
        <w:t>Tabla 1: Tasas de cotización previsional por sexo entre 2010 y julio 2014</w:t>
      </w:r>
    </w:p>
    <w:p w:rsidR="00E36BB8" w:rsidRPr="00735DED" w:rsidRDefault="00E36BB8" w:rsidP="00E36BB8">
      <w:pPr>
        <w:spacing w:after="0" w:line="240" w:lineRule="auto"/>
        <w:rPr>
          <w:rFonts w:ascii="Times New Roman" w:hAnsi="Times New Roman" w:cs="Times New Roman"/>
          <w:b/>
          <w:sz w:val="24"/>
          <w:szCs w:val="24"/>
        </w:rPr>
      </w:pPr>
    </w:p>
    <w:tbl>
      <w:tblPr>
        <w:tblW w:w="9000" w:type="dxa"/>
        <w:tblInd w:w="65" w:type="dxa"/>
        <w:tblCellMar>
          <w:left w:w="70" w:type="dxa"/>
          <w:right w:w="70" w:type="dxa"/>
        </w:tblCellMar>
        <w:tblLook w:val="04A0" w:firstRow="1" w:lastRow="0" w:firstColumn="1" w:lastColumn="0" w:noHBand="0" w:noVBand="1"/>
      </w:tblPr>
      <w:tblGrid>
        <w:gridCol w:w="1200"/>
        <w:gridCol w:w="1300"/>
        <w:gridCol w:w="1300"/>
        <w:gridCol w:w="1300"/>
        <w:gridCol w:w="1300"/>
        <w:gridCol w:w="1366"/>
        <w:gridCol w:w="1234"/>
      </w:tblGrid>
      <w:tr w:rsidR="00E36BB8" w:rsidRPr="00735DED" w:rsidTr="00C41C6E">
        <w:trPr>
          <w:trHeight w:val="585"/>
        </w:trPr>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Año</w:t>
            </w:r>
          </w:p>
        </w:tc>
        <w:tc>
          <w:tcPr>
            <w:tcW w:w="2600" w:type="dxa"/>
            <w:gridSpan w:val="2"/>
            <w:tcBorders>
              <w:top w:val="single" w:sz="4" w:space="0" w:color="auto"/>
              <w:left w:val="nil"/>
              <w:bottom w:val="single" w:sz="4" w:space="0" w:color="auto"/>
              <w:right w:val="nil"/>
            </w:tcBorders>
            <w:shd w:val="clear" w:color="auto" w:fill="auto"/>
            <w:noWrap/>
            <w:vAlign w:val="center"/>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Cotizantes AFP</w:t>
            </w:r>
          </w:p>
        </w:tc>
        <w:tc>
          <w:tcPr>
            <w:tcW w:w="2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Ocupados</w:t>
            </w:r>
          </w:p>
        </w:tc>
        <w:tc>
          <w:tcPr>
            <w:tcW w:w="2600" w:type="dxa"/>
            <w:gridSpan w:val="2"/>
            <w:tcBorders>
              <w:top w:val="single" w:sz="4" w:space="0" w:color="auto"/>
              <w:left w:val="nil"/>
              <w:bottom w:val="single" w:sz="4" w:space="0" w:color="auto"/>
              <w:right w:val="single" w:sz="4" w:space="0" w:color="auto"/>
            </w:tcBorders>
            <w:shd w:val="clear" w:color="auto" w:fill="auto"/>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Cotizantes respecto a ocupados</w:t>
            </w:r>
          </w:p>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p>
        </w:tc>
      </w:tr>
      <w:tr w:rsidR="00E36BB8" w:rsidRPr="00735DED" w:rsidTr="00C41C6E">
        <w:trPr>
          <w:trHeight w:val="300"/>
        </w:trPr>
        <w:tc>
          <w:tcPr>
            <w:tcW w:w="1200" w:type="dxa"/>
            <w:vMerge/>
            <w:tcBorders>
              <w:top w:val="single" w:sz="4" w:space="0" w:color="auto"/>
              <w:left w:val="single" w:sz="4" w:space="0" w:color="auto"/>
              <w:bottom w:val="single" w:sz="4" w:space="0" w:color="000000"/>
              <w:right w:val="single" w:sz="4" w:space="0" w:color="auto"/>
            </w:tcBorders>
            <w:vAlign w:val="center"/>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p>
        </w:tc>
        <w:tc>
          <w:tcPr>
            <w:tcW w:w="1300" w:type="dxa"/>
            <w:tcBorders>
              <w:top w:val="single" w:sz="4" w:space="0" w:color="auto"/>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Hombres</w:t>
            </w:r>
          </w:p>
        </w:tc>
        <w:tc>
          <w:tcPr>
            <w:tcW w:w="1300" w:type="dxa"/>
            <w:tcBorders>
              <w:top w:val="single" w:sz="4" w:space="0" w:color="auto"/>
              <w:left w:val="nil"/>
              <w:bottom w:val="single" w:sz="4" w:space="0" w:color="auto"/>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Mujeres</w:t>
            </w:r>
          </w:p>
        </w:tc>
        <w:tc>
          <w:tcPr>
            <w:tcW w:w="1300" w:type="dxa"/>
            <w:tcBorders>
              <w:top w:val="single" w:sz="4" w:space="0" w:color="auto"/>
              <w:left w:val="single" w:sz="4" w:space="0" w:color="auto"/>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Hombres</w:t>
            </w:r>
          </w:p>
        </w:tc>
        <w:tc>
          <w:tcPr>
            <w:tcW w:w="1300"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Mujeres</w:t>
            </w:r>
          </w:p>
        </w:tc>
        <w:tc>
          <w:tcPr>
            <w:tcW w:w="1366" w:type="dxa"/>
            <w:tcBorders>
              <w:top w:val="single" w:sz="4" w:space="0" w:color="auto"/>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Hombres</w:t>
            </w:r>
          </w:p>
        </w:tc>
        <w:tc>
          <w:tcPr>
            <w:tcW w:w="1234"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b/>
                <w:color w:val="000000"/>
                <w:sz w:val="24"/>
                <w:szCs w:val="24"/>
              </w:rPr>
            </w:pPr>
            <w:r w:rsidRPr="00735DED">
              <w:rPr>
                <w:rFonts w:ascii="Times New Roman" w:eastAsia="Times New Roman" w:hAnsi="Times New Roman" w:cs="Times New Roman"/>
                <w:b/>
                <w:color w:val="000000"/>
                <w:sz w:val="24"/>
                <w:szCs w:val="24"/>
              </w:rPr>
              <w:t>Mujeres</w:t>
            </w:r>
          </w:p>
        </w:tc>
      </w:tr>
      <w:tr w:rsidR="00E36BB8" w:rsidRPr="00735DED" w:rsidTr="00C41C6E">
        <w:trPr>
          <w:trHeight w:val="300"/>
        </w:trPr>
        <w:tc>
          <w:tcPr>
            <w:tcW w:w="12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2010</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2.677.033</w:t>
            </w:r>
          </w:p>
        </w:tc>
        <w:tc>
          <w:tcPr>
            <w:tcW w:w="1300" w:type="dxa"/>
            <w:tcBorders>
              <w:top w:val="nil"/>
              <w:left w:val="nil"/>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1.743.275</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4.457.486</w:t>
            </w:r>
          </w:p>
        </w:tc>
        <w:tc>
          <w:tcPr>
            <w:tcW w:w="1300"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2.896.347</w:t>
            </w:r>
          </w:p>
        </w:tc>
        <w:tc>
          <w:tcPr>
            <w:tcW w:w="1366"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60,1%</w:t>
            </w:r>
          </w:p>
        </w:tc>
        <w:tc>
          <w:tcPr>
            <w:tcW w:w="1234"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60,2%</w:t>
            </w:r>
          </w:p>
        </w:tc>
      </w:tr>
      <w:tr w:rsidR="00E36BB8" w:rsidRPr="00735DED" w:rsidTr="00C41C6E">
        <w:trPr>
          <w:trHeight w:val="300"/>
        </w:trPr>
        <w:tc>
          <w:tcPr>
            <w:tcW w:w="12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2011</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2.811.472</w:t>
            </w:r>
          </w:p>
        </w:tc>
        <w:tc>
          <w:tcPr>
            <w:tcW w:w="1300" w:type="dxa"/>
            <w:tcBorders>
              <w:top w:val="nil"/>
              <w:left w:val="nil"/>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1.828.540</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4.534.327</w:t>
            </w:r>
          </w:p>
        </w:tc>
        <w:tc>
          <w:tcPr>
            <w:tcW w:w="1300"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3.030.021</w:t>
            </w:r>
          </w:p>
        </w:tc>
        <w:tc>
          <w:tcPr>
            <w:tcW w:w="1366"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62,0%</w:t>
            </w:r>
          </w:p>
        </w:tc>
        <w:tc>
          <w:tcPr>
            <w:tcW w:w="1234"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60,3%</w:t>
            </w:r>
          </w:p>
        </w:tc>
      </w:tr>
      <w:tr w:rsidR="00E36BB8" w:rsidRPr="00735DED" w:rsidTr="00C41C6E">
        <w:trPr>
          <w:trHeight w:val="300"/>
        </w:trPr>
        <w:tc>
          <w:tcPr>
            <w:tcW w:w="12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2012</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2.929.968</w:t>
            </w:r>
          </w:p>
        </w:tc>
        <w:tc>
          <w:tcPr>
            <w:tcW w:w="1300" w:type="dxa"/>
            <w:tcBorders>
              <w:top w:val="nil"/>
              <w:left w:val="nil"/>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1.941.864</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4.603.241</w:t>
            </w:r>
          </w:p>
        </w:tc>
        <w:tc>
          <w:tcPr>
            <w:tcW w:w="1300"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3.096.191</w:t>
            </w:r>
          </w:p>
        </w:tc>
        <w:tc>
          <w:tcPr>
            <w:tcW w:w="1366"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63,7%</w:t>
            </w:r>
          </w:p>
        </w:tc>
        <w:tc>
          <w:tcPr>
            <w:tcW w:w="1234"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62,7%</w:t>
            </w:r>
          </w:p>
        </w:tc>
      </w:tr>
      <w:tr w:rsidR="00E36BB8" w:rsidRPr="00735DED" w:rsidTr="00C41C6E">
        <w:trPr>
          <w:trHeight w:val="300"/>
        </w:trPr>
        <w:tc>
          <w:tcPr>
            <w:tcW w:w="12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2013</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2.972.093</w:t>
            </w:r>
          </w:p>
        </w:tc>
        <w:tc>
          <w:tcPr>
            <w:tcW w:w="1300" w:type="dxa"/>
            <w:tcBorders>
              <w:top w:val="nil"/>
              <w:left w:val="nil"/>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2.020.226</w:t>
            </w:r>
          </w:p>
        </w:tc>
        <w:tc>
          <w:tcPr>
            <w:tcW w:w="1300"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4.692.677</w:t>
            </w:r>
          </w:p>
        </w:tc>
        <w:tc>
          <w:tcPr>
            <w:tcW w:w="1300"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3.211.371</w:t>
            </w:r>
          </w:p>
        </w:tc>
        <w:tc>
          <w:tcPr>
            <w:tcW w:w="1366"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63,3%</w:t>
            </w:r>
          </w:p>
        </w:tc>
        <w:tc>
          <w:tcPr>
            <w:tcW w:w="1234" w:type="dxa"/>
            <w:tcBorders>
              <w:top w:val="nil"/>
              <w:left w:val="nil"/>
              <w:bottom w:val="nil"/>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62,9%</w:t>
            </w:r>
          </w:p>
        </w:tc>
      </w:tr>
      <w:tr w:rsidR="00E36BB8" w:rsidRPr="00735DED" w:rsidTr="00C41C6E">
        <w:trPr>
          <w:trHeight w:val="300"/>
        </w:trPr>
        <w:tc>
          <w:tcPr>
            <w:tcW w:w="1200" w:type="dxa"/>
            <w:tcBorders>
              <w:top w:val="nil"/>
              <w:left w:val="single" w:sz="4" w:space="0" w:color="auto"/>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2014</w:t>
            </w:r>
          </w:p>
        </w:tc>
        <w:tc>
          <w:tcPr>
            <w:tcW w:w="1300" w:type="dxa"/>
            <w:tcBorders>
              <w:top w:val="nil"/>
              <w:left w:val="single" w:sz="4" w:space="0" w:color="auto"/>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2.981.034</w:t>
            </w:r>
          </w:p>
        </w:tc>
        <w:tc>
          <w:tcPr>
            <w:tcW w:w="1300" w:type="dxa"/>
            <w:tcBorders>
              <w:top w:val="nil"/>
              <w:left w:val="nil"/>
              <w:bottom w:val="single" w:sz="4" w:space="0" w:color="auto"/>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2.112.638</w:t>
            </w:r>
          </w:p>
        </w:tc>
        <w:tc>
          <w:tcPr>
            <w:tcW w:w="1300" w:type="dxa"/>
            <w:tcBorders>
              <w:top w:val="nil"/>
              <w:left w:val="single" w:sz="4" w:space="0" w:color="auto"/>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4.729.436</w:t>
            </w:r>
          </w:p>
        </w:tc>
        <w:tc>
          <w:tcPr>
            <w:tcW w:w="1300" w:type="dxa"/>
            <w:tcBorders>
              <w:top w:val="nil"/>
              <w:left w:val="nil"/>
              <w:bottom w:val="single" w:sz="4" w:space="0" w:color="auto"/>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3.284.281</w:t>
            </w:r>
          </w:p>
        </w:tc>
        <w:tc>
          <w:tcPr>
            <w:tcW w:w="1366"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63,0%</w:t>
            </w:r>
          </w:p>
        </w:tc>
        <w:tc>
          <w:tcPr>
            <w:tcW w:w="1234" w:type="dxa"/>
            <w:tcBorders>
              <w:top w:val="nil"/>
              <w:left w:val="nil"/>
              <w:bottom w:val="single" w:sz="4" w:space="0" w:color="auto"/>
              <w:right w:val="single" w:sz="4" w:space="0" w:color="auto"/>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64,3%</w:t>
            </w:r>
          </w:p>
        </w:tc>
      </w:tr>
    </w:tbl>
    <w:p w:rsidR="00E36BB8" w:rsidRPr="00735DED" w:rsidRDefault="00E36BB8" w:rsidP="00E36BB8">
      <w:pPr>
        <w:spacing w:after="0" w:line="240" w:lineRule="auto"/>
        <w:rPr>
          <w:rFonts w:ascii="Times New Roman" w:hAnsi="Times New Roman" w:cs="Times New Roman"/>
          <w:sz w:val="24"/>
          <w:szCs w:val="24"/>
        </w:rPr>
      </w:pPr>
      <w:r w:rsidRPr="00735DED">
        <w:rPr>
          <w:rFonts w:ascii="Times New Roman" w:hAnsi="Times New Roman" w:cs="Times New Roman"/>
          <w:sz w:val="24"/>
          <w:szCs w:val="24"/>
        </w:rPr>
        <w:t>Fuentes: Cotizantes AFP: Datos de diciembre: Superintendencia de Pensiones</w:t>
      </w:r>
    </w:p>
    <w:p w:rsidR="00E36BB8" w:rsidRPr="00735DED" w:rsidRDefault="00E36BB8" w:rsidP="00E36BB8">
      <w:pPr>
        <w:spacing w:after="0" w:line="240" w:lineRule="auto"/>
        <w:ind w:firstLine="567"/>
        <w:rPr>
          <w:rFonts w:ascii="Times New Roman" w:hAnsi="Times New Roman" w:cs="Times New Roman"/>
          <w:sz w:val="24"/>
          <w:szCs w:val="24"/>
        </w:rPr>
      </w:pPr>
      <w:r w:rsidRPr="00735DED">
        <w:rPr>
          <w:rFonts w:ascii="Times New Roman" w:hAnsi="Times New Roman" w:cs="Times New Roman"/>
          <w:sz w:val="24"/>
          <w:szCs w:val="24"/>
        </w:rPr>
        <w:t>Ocupados: Datos de Octubre-Diciembre. Nueva Encuesta Nacional de Empleo, INE.</w:t>
      </w: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5B4D92" w:rsidRDefault="00E36BB8" w:rsidP="0044144B">
      <w:pPr>
        <w:spacing w:after="0" w:line="240" w:lineRule="auto"/>
        <w:rPr>
          <w:rFonts w:ascii="Times New Roman" w:hAnsi="Times New Roman" w:cs="Times New Roman"/>
          <w:b/>
          <w:sz w:val="24"/>
          <w:szCs w:val="24"/>
        </w:rPr>
      </w:pPr>
      <w:r w:rsidRPr="005B4D92">
        <w:rPr>
          <w:rFonts w:ascii="Times New Roman" w:hAnsi="Times New Roman" w:cs="Times New Roman"/>
          <w:b/>
          <w:sz w:val="24"/>
          <w:szCs w:val="24"/>
        </w:rPr>
        <w:lastRenderedPageBreak/>
        <w:t>ANEXO V</w:t>
      </w:r>
    </w:p>
    <w:p w:rsidR="00E36BB8" w:rsidRPr="00735DED" w:rsidRDefault="00E36BB8" w:rsidP="00E36BB8">
      <w:pPr>
        <w:spacing w:after="0" w:line="240" w:lineRule="auto"/>
        <w:ind w:firstLine="567"/>
        <w:rPr>
          <w:rFonts w:ascii="Times New Roman" w:hAnsi="Times New Roman" w:cs="Times New Roman"/>
          <w:sz w:val="24"/>
          <w:szCs w:val="24"/>
        </w:rPr>
      </w:pPr>
    </w:p>
    <w:p w:rsidR="00E36BB8" w:rsidRPr="00735DED" w:rsidRDefault="00E36BB8" w:rsidP="00E36BB8">
      <w:pPr>
        <w:spacing w:after="0" w:line="480" w:lineRule="auto"/>
        <w:rPr>
          <w:rFonts w:ascii="Times New Roman" w:hAnsi="Times New Roman" w:cs="Times New Roman"/>
          <w:b/>
          <w:sz w:val="24"/>
          <w:szCs w:val="24"/>
        </w:rPr>
      </w:pPr>
      <w:r>
        <w:rPr>
          <w:rFonts w:ascii="Times New Roman" w:hAnsi="Times New Roman" w:cs="Times New Roman"/>
          <w:b/>
          <w:sz w:val="24"/>
          <w:szCs w:val="24"/>
        </w:rPr>
        <w:t>Grafico 3</w:t>
      </w:r>
      <w:r w:rsidRPr="00735DED">
        <w:rPr>
          <w:rFonts w:ascii="Times New Roman" w:hAnsi="Times New Roman" w:cs="Times New Roman"/>
          <w:b/>
          <w:sz w:val="24"/>
          <w:szCs w:val="24"/>
        </w:rPr>
        <w:t>: Tasa de desempleo de mujeres y hombres, promedio anual de trimestres calendario 1990 a 2014</w:t>
      </w:r>
    </w:p>
    <w:p w:rsidR="00E36BB8" w:rsidRPr="00735DED" w:rsidRDefault="00E36BB8" w:rsidP="00E36BB8">
      <w:pPr>
        <w:spacing w:after="0" w:line="240" w:lineRule="auto"/>
        <w:rPr>
          <w:rFonts w:ascii="Times New Roman" w:hAnsi="Times New Roman" w:cs="Times New Roman"/>
          <w:sz w:val="24"/>
          <w:szCs w:val="24"/>
        </w:rPr>
      </w:pPr>
      <w:r w:rsidRPr="00735DED">
        <w:rPr>
          <w:rFonts w:ascii="Times New Roman" w:hAnsi="Times New Roman" w:cs="Times New Roman"/>
          <w:noProof/>
          <w:sz w:val="24"/>
          <w:szCs w:val="24"/>
          <w:lang w:val="en-GB" w:eastAsia="en-GB"/>
        </w:rPr>
        <w:drawing>
          <wp:inline distT="0" distB="0" distL="0" distR="0" wp14:anchorId="3ED1023D" wp14:editId="734FBB25">
            <wp:extent cx="5612130" cy="2731770"/>
            <wp:effectExtent l="19050" t="0" r="2667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36BB8" w:rsidRPr="00735DED" w:rsidRDefault="00E36BB8" w:rsidP="00E36BB8">
      <w:pPr>
        <w:spacing w:after="0" w:line="240" w:lineRule="auto"/>
        <w:rPr>
          <w:rFonts w:ascii="Times New Roman" w:hAnsi="Times New Roman" w:cs="Times New Roman"/>
          <w:sz w:val="24"/>
          <w:szCs w:val="24"/>
        </w:rPr>
      </w:pPr>
      <w:r w:rsidRPr="00735DED">
        <w:rPr>
          <w:rFonts w:ascii="Times New Roman" w:hAnsi="Times New Roman" w:cs="Times New Roman"/>
          <w:sz w:val="24"/>
          <w:szCs w:val="24"/>
        </w:rPr>
        <w:t>Fuentes: Elaboración Unidad de Estudios</w:t>
      </w:r>
      <w:r>
        <w:rPr>
          <w:rFonts w:ascii="Times New Roman" w:hAnsi="Times New Roman" w:cs="Times New Roman"/>
          <w:sz w:val="24"/>
          <w:szCs w:val="24"/>
        </w:rPr>
        <w:t xml:space="preserve"> de Subsecretaría del Trabajo</w:t>
      </w:r>
      <w:r w:rsidRPr="00735DED">
        <w:rPr>
          <w:rFonts w:ascii="Times New Roman" w:hAnsi="Times New Roman" w:cs="Times New Roman"/>
          <w:sz w:val="24"/>
          <w:szCs w:val="24"/>
        </w:rPr>
        <w:t xml:space="preserve"> en base a datos OECD</w:t>
      </w:r>
    </w:p>
    <w:p w:rsidR="00E36BB8" w:rsidRPr="00735DED" w:rsidRDefault="00E36BB8" w:rsidP="00E36BB8">
      <w:pPr>
        <w:spacing w:after="0" w:line="240" w:lineRule="auto"/>
        <w:rPr>
          <w:rFonts w:ascii="Times New Roman" w:hAnsi="Times New Roman" w:cs="Times New Roman"/>
          <w:sz w:val="24"/>
          <w:szCs w:val="24"/>
        </w:rPr>
      </w:pPr>
    </w:p>
    <w:p w:rsidR="00E36BB8" w:rsidRPr="00735DED" w:rsidRDefault="00E36BB8" w:rsidP="00E36BB8">
      <w:pPr>
        <w:spacing w:after="0" w:line="240" w:lineRule="auto"/>
        <w:ind w:firstLine="567"/>
        <w:rPr>
          <w:rFonts w:ascii="Times New Roman" w:hAnsi="Times New Roman" w:cs="Times New Roman"/>
          <w:sz w:val="24"/>
          <w:szCs w:val="24"/>
        </w:rPr>
      </w:pP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735DED" w:rsidRDefault="00E36BB8" w:rsidP="00E36BB8">
      <w:pPr>
        <w:spacing w:after="0" w:line="240" w:lineRule="auto"/>
        <w:rPr>
          <w:rFonts w:ascii="Times New Roman" w:hAnsi="Times New Roman" w:cs="Times New Roman"/>
          <w:b/>
          <w:sz w:val="24"/>
          <w:szCs w:val="24"/>
        </w:rPr>
      </w:pPr>
      <w:r w:rsidRPr="00735DED">
        <w:rPr>
          <w:rFonts w:ascii="Times New Roman" w:hAnsi="Times New Roman" w:cs="Times New Roman"/>
          <w:b/>
          <w:sz w:val="24"/>
          <w:szCs w:val="24"/>
        </w:rPr>
        <w:lastRenderedPageBreak/>
        <w:t>ANEXO VI</w:t>
      </w:r>
    </w:p>
    <w:p w:rsidR="00E36BB8" w:rsidRPr="00735DED" w:rsidRDefault="00E36BB8" w:rsidP="00E36BB8">
      <w:pPr>
        <w:spacing w:after="0" w:line="240" w:lineRule="auto"/>
        <w:rPr>
          <w:rFonts w:ascii="Times New Roman" w:hAnsi="Times New Roman" w:cs="Times New Roman"/>
          <w:sz w:val="24"/>
          <w:szCs w:val="24"/>
        </w:rPr>
      </w:pPr>
    </w:p>
    <w:p w:rsidR="00E36BB8" w:rsidRPr="00735DED" w:rsidRDefault="00E36BB8" w:rsidP="00E36BB8">
      <w:pPr>
        <w:jc w:val="center"/>
        <w:rPr>
          <w:rFonts w:ascii="Times New Roman" w:hAnsi="Times New Roman" w:cs="Times New Roman"/>
          <w:b/>
          <w:color w:val="000000" w:themeColor="text1"/>
          <w:sz w:val="24"/>
          <w:szCs w:val="24"/>
        </w:rPr>
      </w:pPr>
      <w:r w:rsidRPr="00735DED">
        <w:rPr>
          <w:rFonts w:ascii="Times New Roman" w:hAnsi="Times New Roman" w:cs="Times New Roman"/>
          <w:b/>
          <w:color w:val="000000" w:themeColor="text1"/>
          <w:sz w:val="24"/>
          <w:szCs w:val="24"/>
        </w:rPr>
        <w:t>ANEXO LEGISLATIVO</w:t>
      </w:r>
    </w:p>
    <w:p w:rsidR="00E36BB8" w:rsidRPr="00735DED" w:rsidRDefault="00E36BB8" w:rsidP="00E36BB8">
      <w:pPr>
        <w:jc w:val="center"/>
        <w:rPr>
          <w:rFonts w:ascii="Times New Roman" w:hAnsi="Times New Roman" w:cs="Times New Roman"/>
          <w:b/>
          <w:color w:val="000000" w:themeColor="text1"/>
          <w:sz w:val="24"/>
          <w:szCs w:val="24"/>
        </w:rPr>
      </w:pPr>
    </w:p>
    <w:tbl>
      <w:tblPr>
        <w:tblW w:w="0" w:type="auto"/>
        <w:tblLook w:val="04A0" w:firstRow="1" w:lastRow="0" w:firstColumn="1" w:lastColumn="0" w:noHBand="0" w:noVBand="1"/>
      </w:tblPr>
      <w:tblGrid>
        <w:gridCol w:w="1466"/>
        <w:gridCol w:w="7588"/>
      </w:tblGrid>
      <w:tr w:rsidR="00E36BB8" w:rsidRPr="00735DED" w:rsidTr="00C41C6E">
        <w:trPr>
          <w:trHeight w:val="532"/>
        </w:trPr>
        <w:tc>
          <w:tcPr>
            <w:tcW w:w="1466" w:type="dxa"/>
            <w:vAlign w:val="center"/>
          </w:tcPr>
          <w:p w:rsidR="00E36BB8" w:rsidRPr="00735DED" w:rsidRDefault="00E36BB8" w:rsidP="00C41C6E">
            <w:pPr>
              <w:jc w:val="center"/>
              <w:rPr>
                <w:rFonts w:ascii="Times New Roman" w:hAnsi="Times New Roman" w:cs="Times New Roman"/>
                <w:b/>
                <w:color w:val="000000" w:themeColor="text1"/>
                <w:sz w:val="24"/>
                <w:szCs w:val="24"/>
              </w:rPr>
            </w:pPr>
            <w:r w:rsidRPr="00735DED">
              <w:rPr>
                <w:rFonts w:ascii="Times New Roman" w:hAnsi="Times New Roman" w:cs="Times New Roman"/>
                <w:b/>
                <w:color w:val="000000" w:themeColor="text1"/>
                <w:sz w:val="24"/>
                <w:szCs w:val="24"/>
              </w:rPr>
              <w:t>Año</w:t>
            </w:r>
          </w:p>
        </w:tc>
        <w:tc>
          <w:tcPr>
            <w:tcW w:w="7588" w:type="dxa"/>
            <w:vAlign w:val="center"/>
          </w:tcPr>
          <w:p w:rsidR="00E36BB8" w:rsidRPr="00735DED" w:rsidRDefault="00E36BB8" w:rsidP="00C41C6E">
            <w:pPr>
              <w:jc w:val="center"/>
              <w:rPr>
                <w:rFonts w:ascii="Times New Roman" w:hAnsi="Times New Roman" w:cs="Times New Roman"/>
                <w:b/>
                <w:color w:val="000000" w:themeColor="text1"/>
                <w:sz w:val="24"/>
                <w:szCs w:val="24"/>
              </w:rPr>
            </w:pPr>
            <w:r w:rsidRPr="00735DED">
              <w:rPr>
                <w:rFonts w:ascii="Times New Roman" w:hAnsi="Times New Roman" w:cs="Times New Roman"/>
                <w:b/>
                <w:color w:val="000000" w:themeColor="text1"/>
                <w:sz w:val="24"/>
                <w:szCs w:val="24"/>
              </w:rPr>
              <w:t>Ley</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2009</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Ley 20.348 sobre igualdad salarial entre hombres y mujeres: Este cuerpo legal, vigente desde de junio de 2009, establece que todo empleador debe dar cumplimiento al principio de igualdad de remuneraciones entre hombres y mujeres que presten un mismo trabajo, no siendo consideradas arbitrarias las diferencias objetivas en las remuneraciones que se funden, entre otras razones, en las capacidades, calificaciones, idoneidad, responsabilidad o productividad.</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2010</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La Ley 1429 de 2010, más conocida como la ley de Formalización y Generación de Empleo, establece que quienes contraten a jóvenes menores de 28 años, a mujeres mayores de 40 que no hayan cotizado en los dos años inmediatamente anteriores, madres y padres cabeza de familia con SISBEN 1 y 2, discapacitados, desplazados y reinsertados, podrán descontar de la base del impuesto de renta los parafiscales de los empleos generados.</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2011</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 xml:space="preserve">Ley N° 20.545 (Posnatal): Es Ley de la República desde el 17 de octubre de 2011, el permiso de posnatal extendido hasta seis meses. Con esta ampliación de la cobertura, se permite otorgar este beneficio a mujeres que nunca antes lo obtuvieron. Por ejemplo, una temporera que trabaja cuatro meses en el año, y que hoy no tiene derecho a absolutamente a nada en materia de pre y posnatal, ahora si tiene acceso, simplemente en la medida que cotice ocho meses durante dos años. En Chile, la pobreza tiene mucha relación con el empleo femenino. De hecho, en el quintil de menores recursos de </w:t>
            </w:r>
            <w:r>
              <w:rPr>
                <w:rFonts w:ascii="Times New Roman" w:hAnsi="Times New Roman" w:cs="Times New Roman"/>
                <w:color w:val="000000" w:themeColor="text1"/>
                <w:sz w:val="24"/>
                <w:szCs w:val="24"/>
              </w:rPr>
              <w:t>la</w:t>
            </w:r>
            <w:r w:rsidRPr="00735DED">
              <w:rPr>
                <w:rFonts w:ascii="Times New Roman" w:hAnsi="Times New Roman" w:cs="Times New Roman"/>
                <w:color w:val="000000" w:themeColor="text1"/>
                <w:sz w:val="24"/>
                <w:szCs w:val="24"/>
              </w:rPr>
              <w:t xml:space="preserve"> población cerca de un 20% de las mujeres trabaja, mientras que en el quintil más alto, lo hace aproximadamente un 60%. Esta ley de posnatal, por tanto, al permitir que los hombres asuman responsabilidades en el cuidado del hogar y de los niños, debiera posibilitar un incremento de </w:t>
            </w:r>
            <w:r w:rsidRPr="00735DED">
              <w:rPr>
                <w:rFonts w:ascii="Times New Roman" w:hAnsi="Times New Roman" w:cs="Times New Roman"/>
                <w:color w:val="000000" w:themeColor="text1"/>
                <w:sz w:val="24"/>
                <w:szCs w:val="24"/>
              </w:rPr>
              <w:lastRenderedPageBreak/>
              <w:t>la participación laboral femenina.</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lastRenderedPageBreak/>
              <w:t>2011</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Ley 20.482 que modifica el artículo 195 del código del trabajo, y aclara que el permiso laboral de 5 días a favor del padre trabajador debe tomarse en forma continua, excluyendo el descanso semanal.</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2012</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Ley de las trabajadoras de casa particular: Se modifica el régimen de descanso, jornada y remuneración de las trabajadoras domésticas. Entre las modificaciones a la ley figura lo relativo al contrato de trabajo, donde estos deberán especificar el tipo de trabajo a realizar y el domicilio específico donde se realizará. También la exigencia de realizar el contrato respectivo en la Inspección del Trabajo a más tardar 15 después de celebrarse; la prohibición del uso obligatorio de uniformes en lugares públicos, y la prohibición de rebajar la remuneración del trabajador por razones de la reducción de la jornada de trabajo. Adicionalmente, en el caso de las trabajadoras de casas particulares que utilizan el régimen de puertas afuera, se rebajó la jornada de trabajo de 72 a 45 horas semanales máximas.</w:t>
            </w:r>
          </w:p>
        </w:tc>
      </w:tr>
      <w:tr w:rsidR="00E36BB8" w:rsidRPr="00735DED" w:rsidTr="00C41C6E">
        <w:tc>
          <w:tcPr>
            <w:tcW w:w="1466" w:type="dxa"/>
          </w:tcPr>
          <w:p w:rsidR="00E36BB8" w:rsidRPr="00735DED" w:rsidRDefault="00E36BB8" w:rsidP="00C41C6E">
            <w:pPr>
              <w:jc w:val="center"/>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2012</w:t>
            </w:r>
          </w:p>
        </w:tc>
        <w:tc>
          <w:tcPr>
            <w:tcW w:w="7588" w:type="dxa"/>
          </w:tcPr>
          <w:p w:rsidR="00E36BB8" w:rsidRPr="00735DED" w:rsidRDefault="00E36BB8" w:rsidP="00C41C6E">
            <w:pPr>
              <w:spacing w:line="360" w:lineRule="auto"/>
              <w:rPr>
                <w:rFonts w:ascii="Times New Roman" w:hAnsi="Times New Roman" w:cs="Times New Roman"/>
                <w:color w:val="000000" w:themeColor="text1"/>
                <w:sz w:val="24"/>
                <w:szCs w:val="24"/>
              </w:rPr>
            </w:pPr>
            <w:r w:rsidRPr="00735DED">
              <w:rPr>
                <w:rFonts w:ascii="Times New Roman" w:hAnsi="Times New Roman" w:cs="Times New Roman"/>
                <w:color w:val="000000" w:themeColor="text1"/>
                <w:sz w:val="24"/>
                <w:szCs w:val="24"/>
              </w:rPr>
              <w:t xml:space="preserve">Extiende el postnatal de 12 semanas a 24 o incluso a 30, en el caso de que la mujer elija un postnatal parental parcial o de “media jornada”, recibiendo durante ese tiempo un subsidio. Con esta ley se establece un derecho irrenunciable para las mujeres trabajadoras, se les permite compatibilizar el trabajo con la maternidad y también, basándose en el principio de corresponsabilidad, el cuidado de los hijos por parte de los padres, estableciendo la facultad de ceder parte del postnatal parental al padre. A contar del 01 de enero de 2013, y por primera vez en la historia del país este beneficio se hace extensivo a las mujeres con trabajos estacionales o </w:t>
            </w:r>
            <w:proofErr w:type="gramStart"/>
            <w:r w:rsidRPr="00735DED">
              <w:rPr>
                <w:rFonts w:ascii="Times New Roman" w:hAnsi="Times New Roman" w:cs="Times New Roman"/>
                <w:color w:val="000000" w:themeColor="text1"/>
                <w:sz w:val="24"/>
                <w:szCs w:val="24"/>
              </w:rPr>
              <w:t>temporeras</w:t>
            </w:r>
            <w:proofErr w:type="gramEnd"/>
            <w:r w:rsidRPr="00735DED">
              <w:rPr>
                <w:rFonts w:ascii="Times New Roman" w:hAnsi="Times New Roman" w:cs="Times New Roman"/>
                <w:color w:val="000000" w:themeColor="text1"/>
                <w:sz w:val="24"/>
                <w:szCs w:val="24"/>
              </w:rPr>
              <w:t>, quienes antes no tenían ningún tipo de cobertura ni resguardo a la maternidad.</w:t>
            </w:r>
          </w:p>
        </w:tc>
      </w:tr>
    </w:tbl>
    <w:p w:rsidR="00E36BB8" w:rsidRPr="00735DED" w:rsidRDefault="00E36BB8" w:rsidP="00E36BB8">
      <w:pPr>
        <w:spacing w:line="360" w:lineRule="auto"/>
        <w:rPr>
          <w:rFonts w:ascii="Times New Roman" w:hAnsi="Times New Roman" w:cs="Times New Roman"/>
          <w:sz w:val="24"/>
          <w:szCs w:val="24"/>
        </w:rPr>
      </w:pP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735DED" w:rsidRDefault="00E36BB8" w:rsidP="00E36BB8">
      <w:pPr>
        <w:spacing w:line="360" w:lineRule="auto"/>
        <w:rPr>
          <w:rFonts w:ascii="Times New Roman" w:hAnsi="Times New Roman" w:cs="Times New Roman"/>
          <w:b/>
          <w:sz w:val="24"/>
          <w:szCs w:val="24"/>
        </w:rPr>
      </w:pPr>
      <w:r w:rsidRPr="00735DED">
        <w:rPr>
          <w:rFonts w:ascii="Times New Roman" w:hAnsi="Times New Roman" w:cs="Times New Roman"/>
          <w:b/>
          <w:sz w:val="24"/>
          <w:szCs w:val="24"/>
        </w:rPr>
        <w:lastRenderedPageBreak/>
        <w:t>ANEXO VII</w:t>
      </w:r>
    </w:p>
    <w:p w:rsidR="00E36BB8" w:rsidRPr="00735DED" w:rsidRDefault="00E36BB8" w:rsidP="00E36BB8">
      <w:pPr>
        <w:pStyle w:val="ListParagraph"/>
        <w:spacing w:line="240" w:lineRule="auto"/>
        <w:ind w:left="0"/>
        <w:rPr>
          <w:rFonts w:cs="Times New Roman"/>
          <w:b/>
        </w:rPr>
      </w:pPr>
      <w:r w:rsidRPr="00735DED">
        <w:rPr>
          <w:rFonts w:cs="Times New Roman"/>
          <w:b/>
        </w:rPr>
        <w:t xml:space="preserve">Tabla </w:t>
      </w:r>
      <w:r>
        <w:rPr>
          <w:rFonts w:cs="Times New Roman"/>
          <w:b/>
        </w:rPr>
        <w:t>2</w:t>
      </w:r>
      <w:r w:rsidRPr="00735DED">
        <w:rPr>
          <w:rFonts w:cs="Times New Roman"/>
          <w:b/>
        </w:rPr>
        <w:t>: Número de Trabajadores por sexo, según actividad económica 2013</w:t>
      </w:r>
    </w:p>
    <w:tbl>
      <w:tblPr>
        <w:tblW w:w="9330" w:type="dxa"/>
        <w:jc w:val="center"/>
        <w:tblInd w:w="544" w:type="dxa"/>
        <w:tblCellMar>
          <w:left w:w="70" w:type="dxa"/>
          <w:right w:w="70" w:type="dxa"/>
        </w:tblCellMar>
        <w:tblLook w:val="04A0" w:firstRow="1" w:lastRow="0" w:firstColumn="1" w:lastColumn="0" w:noHBand="0" w:noVBand="1"/>
      </w:tblPr>
      <w:tblGrid>
        <w:gridCol w:w="5176"/>
        <w:gridCol w:w="1132"/>
        <w:gridCol w:w="1100"/>
        <w:gridCol w:w="961"/>
        <w:gridCol w:w="1035"/>
      </w:tblGrid>
      <w:tr w:rsidR="00E36BB8" w:rsidRPr="00735DED" w:rsidTr="00C41C6E">
        <w:trPr>
          <w:trHeight w:val="255"/>
          <w:jc w:val="center"/>
        </w:trPr>
        <w:tc>
          <w:tcPr>
            <w:tcW w:w="51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Actividad Económica</w:t>
            </w:r>
          </w:p>
        </w:tc>
        <w:tc>
          <w:tcPr>
            <w:tcW w:w="215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Ocupados</w:t>
            </w:r>
          </w:p>
        </w:tc>
        <w:tc>
          <w:tcPr>
            <w:tcW w:w="199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Distribución</w:t>
            </w:r>
          </w:p>
        </w:tc>
      </w:tr>
      <w:tr w:rsidR="00E36BB8" w:rsidRPr="00735DED" w:rsidTr="00C41C6E">
        <w:trPr>
          <w:trHeight w:val="255"/>
          <w:jc w:val="center"/>
        </w:trPr>
        <w:tc>
          <w:tcPr>
            <w:tcW w:w="5176" w:type="dxa"/>
            <w:vMerge/>
            <w:tcBorders>
              <w:top w:val="single" w:sz="4" w:space="0" w:color="auto"/>
              <w:left w:val="single" w:sz="4" w:space="0" w:color="auto"/>
              <w:bottom w:val="single" w:sz="4" w:space="0" w:color="000000"/>
              <w:right w:val="single" w:sz="4" w:space="0" w:color="auto"/>
            </w:tcBorders>
            <w:vAlign w:val="center"/>
            <w:hideMark/>
          </w:tcPr>
          <w:p w:rsidR="00E36BB8" w:rsidRPr="00735DED" w:rsidRDefault="00E36BB8" w:rsidP="00C41C6E">
            <w:pPr>
              <w:spacing w:after="0" w:line="240" w:lineRule="auto"/>
              <w:rPr>
                <w:rFonts w:ascii="Times New Roman" w:eastAsia="Times New Roman" w:hAnsi="Times New Roman" w:cs="Times New Roman"/>
                <w:color w:val="000000"/>
                <w:sz w:val="24"/>
                <w:szCs w:val="24"/>
              </w:rPr>
            </w:pPr>
          </w:p>
        </w:tc>
        <w:tc>
          <w:tcPr>
            <w:tcW w:w="1132"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Mujeres</w:t>
            </w:r>
          </w:p>
        </w:tc>
        <w:tc>
          <w:tcPr>
            <w:tcW w:w="1026" w:type="dxa"/>
            <w:tcBorders>
              <w:top w:val="nil"/>
              <w:left w:val="nil"/>
              <w:bottom w:val="single" w:sz="4" w:space="0" w:color="auto"/>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Hombres</w:t>
            </w:r>
          </w:p>
        </w:tc>
        <w:tc>
          <w:tcPr>
            <w:tcW w:w="961"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Mujeres</w:t>
            </w:r>
          </w:p>
        </w:tc>
        <w:tc>
          <w:tcPr>
            <w:tcW w:w="1035" w:type="dxa"/>
            <w:tcBorders>
              <w:top w:val="nil"/>
              <w:left w:val="nil"/>
              <w:bottom w:val="single" w:sz="4" w:space="0" w:color="auto"/>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Hombres</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Agricultura, ganadería, caza y silvicultura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117.550</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431.780</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21,4%</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78,6%</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Pesca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4.706</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38.556</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10,9%</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89,1%</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Explotación de minas y canteras</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18.647</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206.146</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8,3%</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91,7%</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Industria manufacturera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276.776</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565.702</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32,9%</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67,1%</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Suministro de electricidad, gas y agua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9.509</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38.699</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19,7%</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80,3%</w:t>
            </w:r>
          </w:p>
        </w:tc>
      </w:tr>
      <w:tr w:rsidR="00E36BB8" w:rsidRPr="00735DED" w:rsidTr="00C41C6E">
        <w:trPr>
          <w:trHeight w:val="255"/>
          <w:jc w:val="center"/>
        </w:trPr>
        <w:tc>
          <w:tcPr>
            <w:tcW w:w="5176" w:type="dxa"/>
            <w:tcBorders>
              <w:top w:val="nil"/>
              <w:left w:val="single" w:sz="4" w:space="0" w:color="auto"/>
              <w:bottom w:val="nil"/>
              <w:right w:val="nil"/>
            </w:tcBorders>
            <w:shd w:val="clear" w:color="auto" w:fill="EAF1DD" w:themeFill="accent3" w:themeFillTint="33"/>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Construcción</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42.880</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545.458</w:t>
            </w:r>
          </w:p>
        </w:tc>
        <w:tc>
          <w:tcPr>
            <w:tcW w:w="961" w:type="dxa"/>
            <w:tcBorders>
              <w:top w:val="nil"/>
              <w:left w:val="nil"/>
              <w:bottom w:val="nil"/>
              <w:right w:val="nil"/>
            </w:tcBorders>
            <w:shd w:val="clear" w:color="auto" w:fill="FFFFFF" w:themeFill="background1"/>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u w:val="single"/>
              </w:rPr>
            </w:pPr>
            <w:r w:rsidRPr="00735DED">
              <w:rPr>
                <w:rFonts w:ascii="Times New Roman" w:eastAsia="Times New Roman" w:hAnsi="Times New Roman" w:cs="Times New Roman"/>
                <w:color w:val="000000"/>
                <w:sz w:val="24"/>
                <w:szCs w:val="24"/>
                <w:u w:val="single"/>
              </w:rPr>
              <w:t>7,3%</w:t>
            </w:r>
          </w:p>
        </w:tc>
        <w:tc>
          <w:tcPr>
            <w:tcW w:w="1035" w:type="dxa"/>
            <w:tcBorders>
              <w:top w:val="nil"/>
              <w:left w:val="nil"/>
              <w:bottom w:val="nil"/>
              <w:right w:val="single" w:sz="4" w:space="0" w:color="auto"/>
            </w:tcBorders>
            <w:shd w:val="clear" w:color="auto" w:fill="EAF1DD" w:themeFill="accent3"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92,7%</w:t>
            </w:r>
          </w:p>
        </w:tc>
      </w:tr>
      <w:tr w:rsidR="00E36BB8" w:rsidRPr="00735DED" w:rsidTr="00C41C6E">
        <w:trPr>
          <w:trHeight w:val="255"/>
          <w:jc w:val="center"/>
        </w:trPr>
        <w:tc>
          <w:tcPr>
            <w:tcW w:w="5176" w:type="dxa"/>
            <w:tcBorders>
              <w:top w:val="nil"/>
              <w:left w:val="single" w:sz="4" w:space="0" w:color="auto"/>
              <w:bottom w:val="nil"/>
              <w:right w:val="nil"/>
            </w:tcBorders>
            <w:shd w:val="clear" w:color="auto" w:fill="EAF1DD" w:themeFill="accent3" w:themeFillTint="33"/>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Comercio</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804.113</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750.354</w:t>
            </w:r>
          </w:p>
        </w:tc>
        <w:tc>
          <w:tcPr>
            <w:tcW w:w="961" w:type="dxa"/>
            <w:tcBorders>
              <w:top w:val="nil"/>
              <w:left w:val="nil"/>
              <w:bottom w:val="nil"/>
              <w:right w:val="nil"/>
            </w:tcBorders>
            <w:shd w:val="clear" w:color="auto" w:fill="FFFFFF" w:themeFill="background1"/>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u w:val="single"/>
              </w:rPr>
            </w:pPr>
            <w:r w:rsidRPr="00735DED">
              <w:rPr>
                <w:rFonts w:ascii="Times New Roman" w:eastAsia="Times New Roman" w:hAnsi="Times New Roman" w:cs="Times New Roman"/>
                <w:color w:val="000000"/>
                <w:sz w:val="24"/>
                <w:szCs w:val="24"/>
                <w:u w:val="single"/>
              </w:rPr>
              <w:t>51,7%</w:t>
            </w:r>
          </w:p>
        </w:tc>
        <w:tc>
          <w:tcPr>
            <w:tcW w:w="1035" w:type="dxa"/>
            <w:tcBorders>
              <w:top w:val="nil"/>
              <w:left w:val="nil"/>
              <w:bottom w:val="nil"/>
              <w:right w:val="single" w:sz="4" w:space="0" w:color="auto"/>
            </w:tcBorders>
            <w:shd w:val="clear" w:color="auto" w:fill="EAF1DD" w:themeFill="accent3"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48,3%</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Hoteles y restaurantes</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160.601</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95.855</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62,6%</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37,4%</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Transporte, almacenamiento y comunicaciones</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98.691</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435.861</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18,5%</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81,5%</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Intermediación financiera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83.534</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72.327</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53,6%</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46,4%</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Actividades inmobiliarias, empresariales y de alquiler</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209.210</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282.810</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42,5%</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57,5%</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Administración pública</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174.193</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248.988</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41,2%</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58,8%</w:t>
            </w:r>
          </w:p>
        </w:tc>
      </w:tr>
      <w:tr w:rsidR="00E36BB8" w:rsidRPr="00735DED" w:rsidTr="00C41C6E">
        <w:trPr>
          <w:trHeight w:val="255"/>
          <w:jc w:val="center"/>
        </w:trPr>
        <w:tc>
          <w:tcPr>
            <w:tcW w:w="5176" w:type="dxa"/>
            <w:tcBorders>
              <w:top w:val="nil"/>
              <w:left w:val="single" w:sz="4" w:space="0" w:color="auto"/>
              <w:bottom w:val="nil"/>
              <w:right w:val="nil"/>
            </w:tcBorders>
            <w:shd w:val="clear" w:color="auto" w:fill="F2DBDB" w:themeFill="accent2" w:themeFillTint="33"/>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Enseñanza</w:t>
            </w:r>
          </w:p>
        </w:tc>
        <w:tc>
          <w:tcPr>
            <w:tcW w:w="1132" w:type="dxa"/>
            <w:tcBorders>
              <w:top w:val="nil"/>
              <w:left w:val="single" w:sz="4" w:space="0" w:color="auto"/>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464.182</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190.050</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71,0%</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29,0%</w:t>
            </w:r>
          </w:p>
        </w:tc>
      </w:tr>
      <w:tr w:rsidR="00E36BB8" w:rsidRPr="00735DED" w:rsidTr="00C41C6E">
        <w:trPr>
          <w:trHeight w:val="255"/>
          <w:jc w:val="center"/>
        </w:trPr>
        <w:tc>
          <w:tcPr>
            <w:tcW w:w="5176" w:type="dxa"/>
            <w:tcBorders>
              <w:top w:val="nil"/>
              <w:left w:val="single" w:sz="4" w:space="0" w:color="auto"/>
              <w:bottom w:val="nil"/>
              <w:right w:val="nil"/>
            </w:tcBorders>
            <w:shd w:val="clear" w:color="auto" w:fill="F2DBDB" w:themeFill="accent2" w:themeFillTint="33"/>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Servicios sociales y de salud</w:t>
            </w:r>
          </w:p>
        </w:tc>
        <w:tc>
          <w:tcPr>
            <w:tcW w:w="1132" w:type="dxa"/>
            <w:tcBorders>
              <w:top w:val="nil"/>
              <w:left w:val="single" w:sz="4" w:space="0" w:color="auto"/>
              <w:bottom w:val="nil"/>
              <w:right w:val="nil"/>
            </w:tcBorders>
            <w:shd w:val="clear" w:color="auto" w:fill="F2DBDB" w:themeFill="accent2" w:themeFillTint="33"/>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256.871</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90.175</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u w:val="single"/>
              </w:rPr>
            </w:pPr>
            <w:r w:rsidRPr="00735DED">
              <w:rPr>
                <w:rFonts w:ascii="Times New Roman" w:eastAsia="Times New Roman" w:hAnsi="Times New Roman" w:cs="Times New Roman"/>
                <w:color w:val="000000"/>
                <w:sz w:val="24"/>
                <w:szCs w:val="24"/>
                <w:u w:val="single"/>
              </w:rPr>
              <w:t>74,0%</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26,0%</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Otras actividades de servicios comunitarios, sociales y personales</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124.162</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122.181</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50,4%</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49,6%</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Hogares privados con servicio doméstico</w:t>
            </w:r>
          </w:p>
        </w:tc>
        <w:tc>
          <w:tcPr>
            <w:tcW w:w="1132" w:type="dxa"/>
            <w:tcBorders>
              <w:top w:val="nil"/>
              <w:left w:val="single" w:sz="4" w:space="0" w:color="auto"/>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402.363</w:t>
            </w:r>
          </w:p>
        </w:tc>
        <w:tc>
          <w:tcPr>
            <w:tcW w:w="1026" w:type="dxa"/>
            <w:tcBorders>
              <w:top w:val="nil"/>
              <w:left w:val="nil"/>
              <w:bottom w:val="nil"/>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73.967</w:t>
            </w:r>
          </w:p>
        </w:tc>
        <w:tc>
          <w:tcPr>
            <w:tcW w:w="961" w:type="dxa"/>
            <w:tcBorders>
              <w:top w:val="nil"/>
              <w:left w:val="nil"/>
              <w:bottom w:val="nil"/>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84,5%</w:t>
            </w:r>
          </w:p>
        </w:tc>
        <w:tc>
          <w:tcPr>
            <w:tcW w:w="1035" w:type="dxa"/>
            <w:tcBorders>
              <w:top w:val="nil"/>
              <w:left w:val="nil"/>
              <w:bottom w:val="nil"/>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15,5%</w:t>
            </w:r>
          </w:p>
        </w:tc>
      </w:tr>
      <w:tr w:rsidR="00E36BB8" w:rsidRPr="00735DED" w:rsidTr="00C41C6E">
        <w:trPr>
          <w:trHeight w:val="255"/>
          <w:jc w:val="center"/>
        </w:trPr>
        <w:tc>
          <w:tcPr>
            <w:tcW w:w="5176" w:type="dxa"/>
            <w:tcBorders>
              <w:top w:val="nil"/>
              <w:left w:val="single" w:sz="4" w:space="0" w:color="auto"/>
              <w:bottom w:val="nil"/>
              <w:right w:val="nil"/>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Organizaciones y órganos extraterritoriales</w:t>
            </w:r>
          </w:p>
        </w:tc>
        <w:tc>
          <w:tcPr>
            <w:tcW w:w="1132" w:type="dxa"/>
            <w:tcBorders>
              <w:top w:val="nil"/>
              <w:left w:val="single" w:sz="4" w:space="0" w:color="auto"/>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w:t>
            </w:r>
          </w:p>
        </w:tc>
        <w:tc>
          <w:tcPr>
            <w:tcW w:w="1026" w:type="dxa"/>
            <w:tcBorders>
              <w:top w:val="nil"/>
              <w:left w:val="nil"/>
              <w:bottom w:val="single" w:sz="4" w:space="0" w:color="auto"/>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2.798</w:t>
            </w:r>
          </w:p>
        </w:tc>
        <w:tc>
          <w:tcPr>
            <w:tcW w:w="961"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p>
        </w:tc>
        <w:tc>
          <w:tcPr>
            <w:tcW w:w="1035" w:type="dxa"/>
            <w:tcBorders>
              <w:top w:val="nil"/>
              <w:left w:val="nil"/>
              <w:bottom w:val="single" w:sz="4" w:space="0" w:color="auto"/>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76,0%</w:t>
            </w:r>
          </w:p>
        </w:tc>
      </w:tr>
      <w:tr w:rsidR="00E36BB8" w:rsidRPr="00735DED" w:rsidTr="00C41C6E">
        <w:trPr>
          <w:trHeight w:val="255"/>
          <w:jc w:val="center"/>
        </w:trPr>
        <w:tc>
          <w:tcPr>
            <w:tcW w:w="51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BB8" w:rsidRPr="00735DED" w:rsidRDefault="00E36BB8" w:rsidP="00C41C6E">
            <w:pPr>
              <w:spacing w:after="0" w:line="240" w:lineRule="auto"/>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Total</w:t>
            </w:r>
          </w:p>
        </w:tc>
        <w:tc>
          <w:tcPr>
            <w:tcW w:w="1132"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3.248.874</w:t>
            </w:r>
          </w:p>
        </w:tc>
        <w:tc>
          <w:tcPr>
            <w:tcW w:w="1026" w:type="dxa"/>
            <w:tcBorders>
              <w:top w:val="nil"/>
              <w:left w:val="nil"/>
              <w:bottom w:val="single" w:sz="4" w:space="0" w:color="auto"/>
              <w:right w:val="single" w:sz="4" w:space="0" w:color="auto"/>
            </w:tcBorders>
            <w:shd w:val="clear" w:color="000000" w:fill="FFFFFF"/>
            <w:noWrap/>
            <w:vAlign w:val="bottom"/>
            <w:hideMark/>
          </w:tcPr>
          <w:p w:rsidR="00E36BB8" w:rsidRPr="00735DED" w:rsidRDefault="00E36BB8" w:rsidP="00C41C6E">
            <w:pPr>
              <w:spacing w:after="0" w:line="240" w:lineRule="auto"/>
              <w:jc w:val="center"/>
              <w:rPr>
                <w:rFonts w:ascii="Times New Roman" w:eastAsia="Times New Roman" w:hAnsi="Times New Roman" w:cs="Times New Roman"/>
                <w:sz w:val="24"/>
                <w:szCs w:val="24"/>
              </w:rPr>
            </w:pPr>
            <w:r w:rsidRPr="00735DED">
              <w:rPr>
                <w:rFonts w:ascii="Times New Roman" w:eastAsia="Times New Roman" w:hAnsi="Times New Roman" w:cs="Times New Roman"/>
                <w:sz w:val="24"/>
                <w:szCs w:val="24"/>
              </w:rPr>
              <w:t>4.191.708</w:t>
            </w:r>
          </w:p>
        </w:tc>
        <w:tc>
          <w:tcPr>
            <w:tcW w:w="961" w:type="dxa"/>
            <w:tcBorders>
              <w:top w:val="nil"/>
              <w:left w:val="nil"/>
              <w:bottom w:val="single" w:sz="4" w:space="0" w:color="auto"/>
              <w:right w:val="nil"/>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43,7%</w:t>
            </w:r>
          </w:p>
        </w:tc>
        <w:tc>
          <w:tcPr>
            <w:tcW w:w="1035" w:type="dxa"/>
            <w:tcBorders>
              <w:top w:val="nil"/>
              <w:left w:val="nil"/>
              <w:bottom w:val="single" w:sz="4" w:space="0" w:color="auto"/>
              <w:right w:val="single" w:sz="4" w:space="0" w:color="auto"/>
            </w:tcBorders>
            <w:shd w:val="clear" w:color="auto" w:fill="auto"/>
            <w:noWrap/>
            <w:vAlign w:val="bottom"/>
            <w:hideMark/>
          </w:tcPr>
          <w:p w:rsidR="00E36BB8" w:rsidRPr="00735DED" w:rsidRDefault="00E36BB8" w:rsidP="00C41C6E">
            <w:pPr>
              <w:spacing w:after="0" w:line="240" w:lineRule="auto"/>
              <w:jc w:val="center"/>
              <w:rPr>
                <w:rFonts w:ascii="Times New Roman" w:eastAsia="Times New Roman" w:hAnsi="Times New Roman" w:cs="Times New Roman"/>
                <w:color w:val="000000"/>
                <w:sz w:val="24"/>
                <w:szCs w:val="24"/>
              </w:rPr>
            </w:pPr>
            <w:r w:rsidRPr="00735DED">
              <w:rPr>
                <w:rFonts w:ascii="Times New Roman" w:eastAsia="Times New Roman" w:hAnsi="Times New Roman" w:cs="Times New Roman"/>
                <w:color w:val="000000"/>
                <w:sz w:val="24"/>
                <w:szCs w:val="24"/>
              </w:rPr>
              <w:t>56,3%</w:t>
            </w:r>
          </w:p>
        </w:tc>
      </w:tr>
    </w:tbl>
    <w:p w:rsidR="00E36BB8" w:rsidRPr="00735DED" w:rsidRDefault="00E36BB8" w:rsidP="00E36BB8">
      <w:pPr>
        <w:spacing w:after="0" w:line="240" w:lineRule="auto"/>
        <w:rPr>
          <w:rFonts w:ascii="Times New Roman" w:hAnsi="Times New Roman" w:cs="Times New Roman"/>
          <w:sz w:val="24"/>
          <w:szCs w:val="24"/>
        </w:rPr>
      </w:pPr>
      <w:r w:rsidRPr="00735DED">
        <w:rPr>
          <w:rFonts w:ascii="Times New Roman" w:hAnsi="Times New Roman" w:cs="Times New Roman"/>
          <w:sz w:val="24"/>
          <w:szCs w:val="24"/>
        </w:rPr>
        <w:t xml:space="preserve">Fuente: Elaborado por Unidad de Estudios </w:t>
      </w:r>
      <w:r>
        <w:rPr>
          <w:rFonts w:ascii="Times New Roman" w:hAnsi="Times New Roman" w:cs="Times New Roman"/>
          <w:sz w:val="24"/>
          <w:szCs w:val="24"/>
        </w:rPr>
        <w:t>de Subsecretaría del Trabajo</w:t>
      </w:r>
      <w:r w:rsidRPr="00735DED">
        <w:rPr>
          <w:rFonts w:ascii="Times New Roman" w:hAnsi="Times New Roman" w:cs="Times New Roman"/>
          <w:sz w:val="24"/>
          <w:szCs w:val="24"/>
        </w:rPr>
        <w:t xml:space="preserve"> en base a Encuesta Suplementaria de Ingresos, INE.</w:t>
      </w:r>
    </w:p>
    <w:p w:rsidR="00E36BB8" w:rsidRPr="00735DED" w:rsidRDefault="00E36BB8" w:rsidP="00E36BB8">
      <w:pPr>
        <w:spacing w:line="360" w:lineRule="auto"/>
        <w:rPr>
          <w:rFonts w:ascii="Times New Roman" w:hAnsi="Times New Roman" w:cs="Times New Roman"/>
          <w:sz w:val="24"/>
          <w:szCs w:val="24"/>
        </w:rPr>
      </w:pPr>
    </w:p>
    <w:p w:rsidR="00E36BB8" w:rsidRPr="00735DED" w:rsidRDefault="00E36BB8" w:rsidP="00E36BB8">
      <w:pPr>
        <w:rPr>
          <w:rFonts w:ascii="Times New Roman" w:hAnsi="Times New Roman" w:cs="Times New Roman"/>
          <w:sz w:val="24"/>
          <w:szCs w:val="24"/>
        </w:rPr>
      </w:pPr>
      <w:r w:rsidRPr="00735DED">
        <w:rPr>
          <w:rFonts w:ascii="Times New Roman" w:hAnsi="Times New Roman" w:cs="Times New Roman"/>
          <w:sz w:val="24"/>
          <w:szCs w:val="24"/>
        </w:rPr>
        <w:br w:type="page"/>
      </w:r>
    </w:p>
    <w:p w:rsidR="00E36BB8" w:rsidRPr="00735DED" w:rsidRDefault="00E36BB8" w:rsidP="00E36BB8">
      <w:pPr>
        <w:spacing w:line="360" w:lineRule="auto"/>
        <w:rPr>
          <w:rFonts w:ascii="Times New Roman" w:hAnsi="Times New Roman" w:cs="Times New Roman"/>
          <w:b/>
          <w:sz w:val="24"/>
          <w:szCs w:val="24"/>
        </w:rPr>
      </w:pPr>
      <w:r w:rsidRPr="00735DED">
        <w:rPr>
          <w:rFonts w:ascii="Times New Roman" w:hAnsi="Times New Roman" w:cs="Times New Roman"/>
          <w:b/>
          <w:sz w:val="24"/>
          <w:szCs w:val="24"/>
        </w:rPr>
        <w:lastRenderedPageBreak/>
        <w:t>ANEXO VIII</w:t>
      </w:r>
    </w:p>
    <w:p w:rsidR="00E36BB8" w:rsidRPr="00735DED" w:rsidRDefault="00E36BB8" w:rsidP="00E36BB8">
      <w:pPr>
        <w:pStyle w:val="Heading2"/>
        <w:rPr>
          <w:rFonts w:cs="Times New Roman"/>
          <w:szCs w:val="24"/>
        </w:rPr>
      </w:pPr>
      <w:bookmarkStart w:id="1" w:name="_Toc412018973"/>
      <w:r w:rsidRPr="00735DED">
        <w:rPr>
          <w:rFonts w:cs="Times New Roman"/>
          <w:szCs w:val="24"/>
        </w:rPr>
        <w:t>PROGRAMA EXTRAORDINARIO DE REACTIVACIÓN, REGULADO POR EL D.S. N° 116.</w:t>
      </w:r>
      <w:bookmarkEnd w:id="1"/>
      <w:r w:rsidRPr="00735DED">
        <w:rPr>
          <w:rFonts w:cs="Times New Roman"/>
          <w:szCs w:val="24"/>
        </w:rPr>
        <w:t xml:space="preserve"> </w:t>
      </w:r>
    </w:p>
    <w:p w:rsidR="00E36BB8" w:rsidRPr="00735DED" w:rsidRDefault="00E36BB8" w:rsidP="00E36BB8">
      <w:pPr>
        <w:rPr>
          <w:rFonts w:ascii="Times New Roman" w:hAnsi="Times New Roman" w:cs="Times New Roman"/>
          <w:sz w:val="24"/>
          <w:szCs w:val="24"/>
          <w:lang w:eastAsia="es-ES"/>
        </w:rPr>
      </w:pPr>
    </w:p>
    <w:p w:rsidR="00E36BB8" w:rsidRPr="00735DED" w:rsidRDefault="00E36BB8" w:rsidP="00E36BB8">
      <w:pPr>
        <w:spacing w:after="0" w:line="360" w:lineRule="auto"/>
        <w:jc w:val="both"/>
        <w:rPr>
          <w:rFonts w:ascii="Times New Roman" w:hAnsi="Times New Roman" w:cs="Times New Roman"/>
          <w:sz w:val="24"/>
          <w:szCs w:val="24"/>
        </w:rPr>
      </w:pPr>
      <w:r w:rsidRPr="00735DED">
        <w:rPr>
          <w:rFonts w:ascii="Times New Roman" w:hAnsi="Times New Roman" w:cs="Times New Roman"/>
          <w:sz w:val="24"/>
          <w:szCs w:val="24"/>
        </w:rPr>
        <w:t>Durante el año 2015 se ha creado este programa extraordinario, el que convoca al sector privado al desarrollo y ejecución de proyectos habitacionales bien localizados y que favorezcan la integración social.</w:t>
      </w:r>
    </w:p>
    <w:p w:rsidR="00E36BB8" w:rsidRPr="00735DED" w:rsidRDefault="00E36BB8" w:rsidP="00E36BB8">
      <w:pPr>
        <w:pStyle w:val="Default"/>
        <w:spacing w:line="360" w:lineRule="auto"/>
        <w:jc w:val="both"/>
      </w:pPr>
      <w:r w:rsidRPr="00735DED">
        <w:t>Sus principales objetivos consisten en:</w:t>
      </w:r>
    </w:p>
    <w:p w:rsidR="00E36BB8" w:rsidRPr="00735DED" w:rsidRDefault="00E36BB8" w:rsidP="00D47933">
      <w:pPr>
        <w:pStyle w:val="Default"/>
        <w:numPr>
          <w:ilvl w:val="0"/>
          <w:numId w:val="20"/>
        </w:numPr>
        <w:spacing w:before="240" w:line="360" w:lineRule="auto"/>
        <w:jc w:val="both"/>
      </w:pPr>
      <w:r w:rsidRPr="00735DED">
        <w:t xml:space="preserve">Contribuir a la reactivación económica (incentivos al sector de la construcción), atendiendo a la particularidad del tamaño de las comunas. </w:t>
      </w:r>
    </w:p>
    <w:p w:rsidR="00E36BB8" w:rsidRPr="00735DED" w:rsidRDefault="00E36BB8" w:rsidP="00D47933">
      <w:pPr>
        <w:pStyle w:val="Default"/>
        <w:numPr>
          <w:ilvl w:val="0"/>
          <w:numId w:val="20"/>
        </w:numPr>
        <w:spacing w:line="360" w:lineRule="auto"/>
        <w:jc w:val="both"/>
      </w:pPr>
      <w:r w:rsidRPr="00735DED">
        <w:t xml:space="preserve">Ampliar oferta de viviendas para familias con subsidio habitacional sin materializar (obtenido hasta el 31 de diciembre de 2014). </w:t>
      </w:r>
    </w:p>
    <w:p w:rsidR="00E36BB8" w:rsidRPr="00735DED" w:rsidRDefault="00E36BB8" w:rsidP="00D47933">
      <w:pPr>
        <w:pStyle w:val="Default"/>
        <w:numPr>
          <w:ilvl w:val="0"/>
          <w:numId w:val="20"/>
        </w:numPr>
        <w:spacing w:line="360" w:lineRule="auto"/>
        <w:jc w:val="both"/>
      </w:pPr>
      <w:r w:rsidRPr="00735DED">
        <w:t>Mejorar acceso al financiamiento para la vivienda (beneficios adicionales).</w:t>
      </w:r>
    </w:p>
    <w:p w:rsidR="00E36BB8" w:rsidRPr="00735DED" w:rsidRDefault="00E36BB8" w:rsidP="00D47933">
      <w:pPr>
        <w:pStyle w:val="Default"/>
        <w:numPr>
          <w:ilvl w:val="0"/>
          <w:numId w:val="20"/>
        </w:numPr>
        <w:spacing w:line="360" w:lineRule="auto"/>
        <w:jc w:val="both"/>
      </w:pPr>
      <w:r w:rsidRPr="00735DED">
        <w:t>Incentivar proyectos habitacionales que integren grupos familiares diversos.</w:t>
      </w:r>
    </w:p>
    <w:p w:rsidR="00E36BB8" w:rsidRPr="00735DED" w:rsidRDefault="00E36BB8" w:rsidP="00E36BB8">
      <w:pPr>
        <w:pStyle w:val="Default"/>
        <w:spacing w:before="240" w:line="360" w:lineRule="auto"/>
        <w:jc w:val="both"/>
      </w:pPr>
      <w:r w:rsidRPr="00735DED">
        <w:t>Con respecto a su cobertura, el programa contempla un total de 35.000 cupos (familias vulnerables y de sectores medios), distribuidos de la siguiente manera:</w:t>
      </w:r>
    </w:p>
    <w:p w:rsidR="00E36BB8" w:rsidRPr="00735DED" w:rsidRDefault="00E36BB8" w:rsidP="00E36BB8">
      <w:pPr>
        <w:autoSpaceDE w:val="0"/>
        <w:autoSpaceDN w:val="0"/>
        <w:adjustRightInd w:val="0"/>
        <w:spacing w:after="0" w:line="240" w:lineRule="auto"/>
        <w:rPr>
          <w:rFonts w:ascii="Times New Roman"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2263"/>
        <w:gridCol w:w="2264"/>
        <w:gridCol w:w="2264"/>
      </w:tblGrid>
      <w:tr w:rsidR="00E36BB8" w:rsidRPr="00735DED" w:rsidTr="00C41C6E">
        <w:trPr>
          <w:trHeight w:val="263"/>
        </w:trPr>
        <w:tc>
          <w:tcPr>
            <w:tcW w:w="1250" w:type="pc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b/>
                <w:bCs/>
                <w:color w:val="FFFFFF" w:themeColor="background1"/>
                <w:sz w:val="24"/>
                <w:szCs w:val="24"/>
              </w:rPr>
            </w:pPr>
            <w:r w:rsidRPr="00735DED">
              <w:rPr>
                <w:rFonts w:ascii="Times New Roman" w:hAnsi="Times New Roman" w:cs="Times New Roman"/>
                <w:b/>
                <w:bCs/>
                <w:color w:val="FFFFFF" w:themeColor="background1"/>
                <w:sz w:val="24"/>
                <w:szCs w:val="24"/>
              </w:rPr>
              <w:t>Proyectos</w:t>
            </w:r>
          </w:p>
        </w:tc>
        <w:tc>
          <w:tcPr>
            <w:tcW w:w="1250" w:type="pc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N° habitantes</w:t>
            </w:r>
          </w:p>
        </w:tc>
        <w:tc>
          <w:tcPr>
            <w:tcW w:w="1250" w:type="pc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N° viviendas total país</w:t>
            </w:r>
          </w:p>
        </w:tc>
        <w:tc>
          <w:tcPr>
            <w:tcW w:w="1250" w:type="pc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 Familias Vulnerables en cada proyecto</w:t>
            </w:r>
          </w:p>
        </w:tc>
      </w:tr>
      <w:tr w:rsidR="00E36BB8" w:rsidRPr="00735DED" w:rsidTr="00C41C6E">
        <w:trPr>
          <w:trHeight w:val="263"/>
        </w:trPr>
        <w:tc>
          <w:tcPr>
            <w:tcW w:w="1250" w:type="pct"/>
            <w:vMerge w:val="restar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b/>
                <w:bCs/>
                <w:color w:val="FFFFFF" w:themeColor="background1"/>
                <w:sz w:val="24"/>
                <w:szCs w:val="24"/>
              </w:rPr>
            </w:pPr>
            <w:r w:rsidRPr="00735DED">
              <w:rPr>
                <w:rFonts w:ascii="Times New Roman" w:hAnsi="Times New Roman" w:cs="Times New Roman"/>
                <w:b/>
                <w:bCs/>
                <w:color w:val="FFFFFF" w:themeColor="background1"/>
                <w:sz w:val="24"/>
                <w:szCs w:val="24"/>
              </w:rPr>
              <w:t>Sin Inicio de Obras</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Comunas + de 40.000 hab.</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25.000</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Mínimo 20%</w:t>
            </w:r>
          </w:p>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Máximo 40%</w:t>
            </w:r>
          </w:p>
        </w:tc>
      </w:tr>
      <w:tr w:rsidR="00E36BB8" w:rsidRPr="00735DED" w:rsidTr="00C41C6E">
        <w:trPr>
          <w:trHeight w:val="264"/>
        </w:trPr>
        <w:tc>
          <w:tcPr>
            <w:tcW w:w="1250" w:type="pct"/>
            <w:vMerge/>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b/>
                <w:bCs/>
                <w:color w:val="FFFFFF" w:themeColor="background1"/>
                <w:sz w:val="24"/>
                <w:szCs w:val="24"/>
              </w:rPr>
            </w:pP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Comunas + de 10.000 y hasta 40.000 hab.</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5.000</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Mínimo 20%</w:t>
            </w:r>
          </w:p>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Máximo 60%</w:t>
            </w:r>
          </w:p>
        </w:tc>
      </w:tr>
      <w:tr w:rsidR="00E36BB8" w:rsidRPr="00735DED" w:rsidTr="00C41C6E">
        <w:trPr>
          <w:trHeight w:val="264"/>
        </w:trPr>
        <w:tc>
          <w:tcPr>
            <w:tcW w:w="1250" w:type="pct"/>
            <w:shd w:val="clear" w:color="auto" w:fill="95B3D7" w:themeFill="accent1" w:themeFillTint="99"/>
          </w:tcPr>
          <w:p w:rsidR="00E36BB8" w:rsidRPr="00735DED" w:rsidRDefault="00E36BB8" w:rsidP="00C41C6E">
            <w:pPr>
              <w:autoSpaceDE w:val="0"/>
              <w:autoSpaceDN w:val="0"/>
              <w:adjustRightInd w:val="0"/>
              <w:spacing w:after="0" w:line="240" w:lineRule="auto"/>
              <w:jc w:val="center"/>
              <w:rPr>
                <w:rFonts w:ascii="Times New Roman" w:hAnsi="Times New Roman" w:cs="Times New Roman"/>
                <w:b/>
                <w:bCs/>
                <w:color w:val="FFFFFF" w:themeColor="background1"/>
                <w:sz w:val="24"/>
                <w:szCs w:val="24"/>
              </w:rPr>
            </w:pPr>
            <w:r w:rsidRPr="00735DED">
              <w:rPr>
                <w:rFonts w:ascii="Times New Roman" w:hAnsi="Times New Roman" w:cs="Times New Roman"/>
                <w:b/>
                <w:bCs/>
                <w:color w:val="FFFFFF" w:themeColor="background1"/>
                <w:sz w:val="24"/>
                <w:szCs w:val="24"/>
              </w:rPr>
              <w:t>Con Inicio de Obras</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bCs/>
                <w:color w:val="000000"/>
                <w:sz w:val="24"/>
                <w:szCs w:val="24"/>
              </w:rPr>
            </w:pPr>
            <w:r w:rsidRPr="00731701">
              <w:rPr>
                <w:rFonts w:ascii="Times New Roman" w:hAnsi="Times New Roman" w:cs="Times New Roman"/>
                <w:bCs/>
                <w:color w:val="000000"/>
                <w:sz w:val="24"/>
                <w:szCs w:val="24"/>
              </w:rPr>
              <w:t>Todas las comunas</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bCs/>
                <w:color w:val="000000"/>
                <w:sz w:val="24"/>
                <w:szCs w:val="24"/>
              </w:rPr>
            </w:pPr>
            <w:r w:rsidRPr="00731701">
              <w:rPr>
                <w:rFonts w:ascii="Times New Roman" w:hAnsi="Times New Roman" w:cs="Times New Roman"/>
                <w:bCs/>
                <w:color w:val="000000"/>
                <w:sz w:val="24"/>
                <w:szCs w:val="24"/>
              </w:rPr>
              <w:t>5.000</w:t>
            </w:r>
          </w:p>
        </w:tc>
        <w:tc>
          <w:tcPr>
            <w:tcW w:w="1250" w:type="pct"/>
          </w:tcPr>
          <w:p w:rsidR="00E36BB8" w:rsidRPr="00731701" w:rsidRDefault="00E36BB8" w:rsidP="00C41C6E">
            <w:pPr>
              <w:autoSpaceDE w:val="0"/>
              <w:autoSpaceDN w:val="0"/>
              <w:adjustRightInd w:val="0"/>
              <w:spacing w:after="0" w:line="240" w:lineRule="auto"/>
              <w:jc w:val="center"/>
              <w:rPr>
                <w:rFonts w:ascii="Times New Roman" w:hAnsi="Times New Roman" w:cs="Times New Roman"/>
                <w:bCs/>
                <w:color w:val="000000"/>
                <w:sz w:val="24"/>
                <w:szCs w:val="24"/>
              </w:rPr>
            </w:pPr>
            <w:r w:rsidRPr="00731701">
              <w:rPr>
                <w:rFonts w:ascii="Times New Roman" w:hAnsi="Times New Roman" w:cs="Times New Roman"/>
                <w:bCs/>
                <w:color w:val="000000"/>
                <w:sz w:val="24"/>
                <w:szCs w:val="24"/>
              </w:rPr>
              <w:t>Mínimo 10%</w:t>
            </w:r>
          </w:p>
          <w:p w:rsidR="00E36BB8" w:rsidRPr="00731701" w:rsidRDefault="00E36BB8" w:rsidP="00C41C6E">
            <w:pPr>
              <w:autoSpaceDE w:val="0"/>
              <w:autoSpaceDN w:val="0"/>
              <w:adjustRightInd w:val="0"/>
              <w:spacing w:after="0" w:line="240" w:lineRule="auto"/>
              <w:jc w:val="center"/>
              <w:rPr>
                <w:rFonts w:ascii="Times New Roman" w:hAnsi="Times New Roman" w:cs="Times New Roman"/>
                <w:bCs/>
                <w:color w:val="000000"/>
                <w:sz w:val="24"/>
                <w:szCs w:val="24"/>
              </w:rPr>
            </w:pPr>
            <w:r w:rsidRPr="00731701">
              <w:rPr>
                <w:rFonts w:ascii="Times New Roman" w:hAnsi="Times New Roman" w:cs="Times New Roman"/>
                <w:bCs/>
                <w:color w:val="000000"/>
                <w:sz w:val="24"/>
                <w:szCs w:val="24"/>
              </w:rPr>
              <w:t>Máximo 40%</w:t>
            </w:r>
          </w:p>
        </w:tc>
      </w:tr>
    </w:tbl>
    <w:p w:rsidR="00E36BB8" w:rsidRPr="00735DED" w:rsidRDefault="00E36BB8" w:rsidP="00E36BB8">
      <w:pPr>
        <w:pStyle w:val="Default"/>
        <w:spacing w:line="360" w:lineRule="auto"/>
        <w:jc w:val="both"/>
      </w:pPr>
    </w:p>
    <w:p w:rsidR="00E36BB8" w:rsidRPr="00735DED" w:rsidRDefault="00E36BB8" w:rsidP="00E36BB8">
      <w:pPr>
        <w:pStyle w:val="Default"/>
        <w:spacing w:line="360" w:lineRule="auto"/>
        <w:jc w:val="both"/>
      </w:pPr>
      <w:r w:rsidRPr="00735DED">
        <w:t>Dentro de los requisitos exigidos, se destacan los siguientes:</w:t>
      </w:r>
    </w:p>
    <w:p w:rsidR="00E36BB8" w:rsidRPr="00735DED" w:rsidRDefault="00E36BB8" w:rsidP="00E36BB8">
      <w:pPr>
        <w:pStyle w:val="Default"/>
        <w:spacing w:line="360" w:lineRule="auto"/>
        <w:jc w:val="both"/>
      </w:pPr>
    </w:p>
    <w:p w:rsidR="00E36BB8" w:rsidRPr="00735DED" w:rsidRDefault="00E36BB8" w:rsidP="00D47933">
      <w:pPr>
        <w:pStyle w:val="Default"/>
        <w:numPr>
          <w:ilvl w:val="0"/>
          <w:numId w:val="27"/>
        </w:numPr>
        <w:spacing w:line="360" w:lineRule="auto"/>
        <w:jc w:val="both"/>
        <w:rPr>
          <w:b/>
        </w:rPr>
      </w:pPr>
      <w:r w:rsidRPr="00735DED">
        <w:rPr>
          <w:b/>
        </w:rPr>
        <w:t>De los proyectos:</w:t>
      </w:r>
    </w:p>
    <w:p w:rsidR="00E36BB8" w:rsidRPr="00735DED" w:rsidRDefault="00E36BB8" w:rsidP="00D47933">
      <w:pPr>
        <w:pStyle w:val="Default"/>
        <w:numPr>
          <w:ilvl w:val="0"/>
          <w:numId w:val="21"/>
        </w:numPr>
        <w:spacing w:after="199"/>
        <w:rPr>
          <w:color w:val="auto"/>
        </w:rPr>
      </w:pPr>
      <w:r w:rsidRPr="00735DED">
        <w:rPr>
          <w:bCs/>
          <w:color w:val="auto"/>
        </w:rPr>
        <w:t>Con p</w:t>
      </w:r>
      <w:r w:rsidRPr="00735DED">
        <w:rPr>
          <w:color w:val="auto"/>
        </w:rPr>
        <w:t xml:space="preserve">ermiso de edificación, o anteproyecto aprobado, o informe favorable de revisor independiente y acreditación de ingreso a la D.O.M. </w:t>
      </w:r>
    </w:p>
    <w:p w:rsidR="00E36BB8" w:rsidRPr="00735DED" w:rsidRDefault="00E36BB8" w:rsidP="00D47933">
      <w:pPr>
        <w:pStyle w:val="Default"/>
        <w:numPr>
          <w:ilvl w:val="0"/>
          <w:numId w:val="21"/>
        </w:numPr>
        <w:spacing w:after="199"/>
        <w:rPr>
          <w:color w:val="auto"/>
        </w:rPr>
      </w:pPr>
      <w:r w:rsidRPr="00735DED">
        <w:rPr>
          <w:bCs/>
          <w:color w:val="auto"/>
        </w:rPr>
        <w:lastRenderedPageBreak/>
        <w:t xml:space="preserve">Sin </w:t>
      </w:r>
      <w:r w:rsidRPr="00735DED">
        <w:rPr>
          <w:color w:val="auto"/>
        </w:rPr>
        <w:t xml:space="preserve">inicio de obras </w:t>
      </w:r>
    </w:p>
    <w:p w:rsidR="00E36BB8" w:rsidRPr="00735DED" w:rsidRDefault="00E36BB8" w:rsidP="00D47933">
      <w:pPr>
        <w:pStyle w:val="Default"/>
        <w:numPr>
          <w:ilvl w:val="0"/>
          <w:numId w:val="21"/>
        </w:numPr>
        <w:spacing w:after="199"/>
        <w:rPr>
          <w:color w:val="auto"/>
        </w:rPr>
      </w:pPr>
      <w:r w:rsidRPr="00735DED">
        <w:rPr>
          <w:bCs/>
          <w:color w:val="auto"/>
        </w:rPr>
        <w:t xml:space="preserve">Hasta un máximo de </w:t>
      </w:r>
      <w:r w:rsidRPr="00735DED">
        <w:rPr>
          <w:color w:val="auto"/>
        </w:rPr>
        <w:t xml:space="preserve">300 viviendas </w:t>
      </w:r>
    </w:p>
    <w:p w:rsidR="00E36BB8" w:rsidRPr="00735DED" w:rsidRDefault="00E36BB8" w:rsidP="00D47933">
      <w:pPr>
        <w:pStyle w:val="Default"/>
        <w:numPr>
          <w:ilvl w:val="0"/>
          <w:numId w:val="21"/>
        </w:numPr>
        <w:spacing w:after="199"/>
        <w:rPr>
          <w:color w:val="auto"/>
        </w:rPr>
      </w:pPr>
      <w:r w:rsidRPr="00735DED">
        <w:rPr>
          <w:bCs/>
          <w:color w:val="auto"/>
        </w:rPr>
        <w:t>Plazo para inicio de obras:</w:t>
      </w:r>
      <w:r w:rsidRPr="00735DED">
        <w:rPr>
          <w:b/>
          <w:bCs/>
          <w:color w:val="auto"/>
        </w:rPr>
        <w:t xml:space="preserve"> </w:t>
      </w:r>
      <w:r w:rsidRPr="00735DED">
        <w:rPr>
          <w:color w:val="auto"/>
        </w:rPr>
        <w:t xml:space="preserve">45 días corridos desde suscripción de Convenio. </w:t>
      </w:r>
    </w:p>
    <w:p w:rsidR="00E36BB8" w:rsidRPr="00735DED" w:rsidRDefault="00E36BB8" w:rsidP="00D47933">
      <w:pPr>
        <w:pStyle w:val="Default"/>
        <w:numPr>
          <w:ilvl w:val="0"/>
          <w:numId w:val="21"/>
        </w:numPr>
        <w:spacing w:line="360" w:lineRule="auto"/>
        <w:jc w:val="both"/>
      </w:pPr>
      <w:r w:rsidRPr="00735DED">
        <w:rPr>
          <w:bCs/>
          <w:color w:val="auto"/>
        </w:rPr>
        <w:t xml:space="preserve">Plazo para recepción final obras: 18 meses desde inicio de las obras. </w:t>
      </w:r>
    </w:p>
    <w:p w:rsidR="00E36BB8" w:rsidRPr="00735DED" w:rsidRDefault="00E36BB8" w:rsidP="00D47933">
      <w:pPr>
        <w:pStyle w:val="Default"/>
        <w:numPr>
          <w:ilvl w:val="0"/>
          <w:numId w:val="27"/>
        </w:numPr>
        <w:spacing w:line="360" w:lineRule="auto"/>
        <w:jc w:val="both"/>
        <w:rPr>
          <w:b/>
        </w:rPr>
      </w:pPr>
      <w:r w:rsidRPr="00735DED">
        <w:rPr>
          <w:b/>
        </w:rPr>
        <w:t xml:space="preserve">De los terrenos: </w:t>
      </w:r>
    </w:p>
    <w:p w:rsidR="00E36BB8" w:rsidRPr="00735DED" w:rsidRDefault="00E36BB8" w:rsidP="00D47933">
      <w:pPr>
        <w:pStyle w:val="Default"/>
        <w:numPr>
          <w:ilvl w:val="0"/>
          <w:numId w:val="21"/>
        </w:numPr>
        <w:spacing w:after="199"/>
        <w:rPr>
          <w:bCs/>
          <w:color w:val="auto"/>
        </w:rPr>
      </w:pPr>
      <w:r w:rsidRPr="00735DED">
        <w:rPr>
          <w:bCs/>
          <w:color w:val="auto"/>
        </w:rPr>
        <w:t xml:space="preserve">Dentro límite urbano. </w:t>
      </w:r>
    </w:p>
    <w:p w:rsidR="00E36BB8" w:rsidRPr="00735DED" w:rsidRDefault="00E36BB8" w:rsidP="00D47933">
      <w:pPr>
        <w:pStyle w:val="Default"/>
        <w:numPr>
          <w:ilvl w:val="0"/>
          <w:numId w:val="21"/>
        </w:numPr>
        <w:spacing w:before="240" w:after="199"/>
        <w:rPr>
          <w:bCs/>
          <w:color w:val="auto"/>
        </w:rPr>
      </w:pPr>
      <w:r w:rsidRPr="00735DED">
        <w:rPr>
          <w:bCs/>
          <w:color w:val="auto"/>
        </w:rPr>
        <w:t xml:space="preserve">Dentro territorio operacional de la empresa sanitaria y/o presentar convenio de prestación de servicios. </w:t>
      </w:r>
    </w:p>
    <w:p w:rsidR="00E36BB8" w:rsidRPr="00735DED" w:rsidRDefault="00E36BB8" w:rsidP="00E36BB8">
      <w:pPr>
        <w:pStyle w:val="Default"/>
        <w:spacing w:before="240" w:after="199"/>
      </w:pPr>
    </w:p>
    <w:p w:rsidR="00E36BB8" w:rsidRPr="00735DED" w:rsidRDefault="00E36BB8" w:rsidP="00E36BB8">
      <w:pPr>
        <w:pStyle w:val="Default"/>
        <w:spacing w:before="240" w:after="199"/>
        <w:jc w:val="both"/>
      </w:pPr>
      <w:r w:rsidRPr="00735DED">
        <w:t>El precio máximo de la vivienda dependerá de la región del proyecto, de acuerdo al siguiente detalle:</w:t>
      </w:r>
    </w:p>
    <w:p w:rsidR="00E36BB8" w:rsidRPr="00735DED" w:rsidRDefault="00E36BB8" w:rsidP="00E36BB8">
      <w:pPr>
        <w:autoSpaceDE w:val="0"/>
        <w:autoSpaceDN w:val="0"/>
        <w:adjustRightInd w:val="0"/>
        <w:spacing w:after="0" w:line="240" w:lineRule="auto"/>
        <w:rPr>
          <w:rFonts w:ascii="Times New Roman" w:hAnsi="Times New Roman" w:cs="Times New Roman"/>
          <w:color w:val="FFFFFF" w:themeColor="background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720" w:firstRow="1" w:lastRow="0" w:firstColumn="0" w:lastColumn="1" w:noHBand="1" w:noVBand="1"/>
      </w:tblPr>
      <w:tblGrid>
        <w:gridCol w:w="3587"/>
        <w:gridCol w:w="2450"/>
        <w:gridCol w:w="3017"/>
      </w:tblGrid>
      <w:tr w:rsidR="00E36BB8" w:rsidRPr="00735DED" w:rsidTr="00C41C6E">
        <w:trPr>
          <w:trHeight w:val="263"/>
        </w:trPr>
        <w:tc>
          <w:tcPr>
            <w:tcW w:w="1981" w:type="pct"/>
            <w:shd w:val="clear" w:color="auto" w:fill="95B3D7" w:themeFill="accent1" w:themeFillTint="99"/>
            <w:vAlign w:val="center"/>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Regiones</w:t>
            </w:r>
          </w:p>
        </w:tc>
        <w:tc>
          <w:tcPr>
            <w:tcW w:w="1353" w:type="pct"/>
            <w:shd w:val="clear" w:color="auto" w:fill="95B3D7" w:themeFill="accent1" w:themeFillTint="99"/>
            <w:vAlign w:val="center"/>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Sectores Vulnerables (20% mínimo), hasta:</w:t>
            </w:r>
          </w:p>
        </w:tc>
        <w:tc>
          <w:tcPr>
            <w:tcW w:w="1667" w:type="pct"/>
            <w:shd w:val="clear" w:color="auto" w:fill="95B3D7" w:themeFill="accent1" w:themeFillTint="99"/>
            <w:vAlign w:val="center"/>
          </w:tcPr>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Sectores Medios,</w:t>
            </w:r>
          </w:p>
          <w:p w:rsidR="00E36BB8" w:rsidRPr="00735DED" w:rsidRDefault="00E36BB8" w:rsidP="00C41C6E">
            <w:pPr>
              <w:autoSpaceDE w:val="0"/>
              <w:autoSpaceDN w:val="0"/>
              <w:adjustRightInd w:val="0"/>
              <w:spacing w:after="0" w:line="240" w:lineRule="auto"/>
              <w:jc w:val="center"/>
              <w:rPr>
                <w:rFonts w:ascii="Times New Roman" w:hAnsi="Times New Roman" w:cs="Times New Roman"/>
                <w:color w:val="FFFFFF" w:themeColor="background1"/>
                <w:sz w:val="24"/>
                <w:szCs w:val="24"/>
              </w:rPr>
            </w:pPr>
            <w:r w:rsidRPr="00735DED">
              <w:rPr>
                <w:rFonts w:ascii="Times New Roman" w:hAnsi="Times New Roman" w:cs="Times New Roman"/>
                <w:b/>
                <w:bCs/>
                <w:color w:val="FFFFFF" w:themeColor="background1"/>
                <w:sz w:val="24"/>
                <w:szCs w:val="24"/>
              </w:rPr>
              <w:t>hasta:</w:t>
            </w:r>
          </w:p>
        </w:tc>
      </w:tr>
      <w:tr w:rsidR="00E36BB8" w:rsidRPr="00735DED" w:rsidTr="00C41C6E">
        <w:trPr>
          <w:trHeight w:val="120"/>
        </w:trPr>
        <w:tc>
          <w:tcPr>
            <w:tcW w:w="1981"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Coquimbo a Los Lagos.</w:t>
            </w:r>
          </w:p>
        </w:tc>
        <w:tc>
          <w:tcPr>
            <w:tcW w:w="1353"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900 UF</w:t>
            </w:r>
          </w:p>
        </w:tc>
        <w:tc>
          <w:tcPr>
            <w:tcW w:w="1667"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2.000 UF</w:t>
            </w:r>
          </w:p>
        </w:tc>
      </w:tr>
      <w:tr w:rsidR="00E36BB8" w:rsidRPr="00735DED" w:rsidTr="00C41C6E">
        <w:trPr>
          <w:trHeight w:val="407"/>
        </w:trPr>
        <w:tc>
          <w:tcPr>
            <w:tcW w:w="1981"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 xml:space="preserve">Arica y </w:t>
            </w:r>
            <w:proofErr w:type="spellStart"/>
            <w:r w:rsidRPr="00731701">
              <w:rPr>
                <w:rFonts w:ascii="Times New Roman" w:hAnsi="Times New Roman" w:cs="Times New Roman"/>
                <w:bCs/>
                <w:color w:val="000000"/>
                <w:sz w:val="24"/>
                <w:szCs w:val="24"/>
              </w:rPr>
              <w:t>Parinacota</w:t>
            </w:r>
            <w:proofErr w:type="spellEnd"/>
            <w:r w:rsidRPr="00731701">
              <w:rPr>
                <w:rFonts w:ascii="Times New Roman" w:hAnsi="Times New Roman" w:cs="Times New Roman"/>
                <w:bCs/>
                <w:color w:val="000000"/>
                <w:sz w:val="24"/>
                <w:szCs w:val="24"/>
              </w:rPr>
              <w:t>, Tarapacá, Antofagasta, Atacama, Aysén y Magallanes.</w:t>
            </w:r>
          </w:p>
        </w:tc>
        <w:tc>
          <w:tcPr>
            <w:tcW w:w="1353"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1.000 UF</w:t>
            </w:r>
          </w:p>
        </w:tc>
        <w:tc>
          <w:tcPr>
            <w:tcW w:w="1667" w:type="pct"/>
            <w:vAlign w:val="center"/>
          </w:tcPr>
          <w:p w:rsidR="00E36BB8" w:rsidRPr="00731701" w:rsidRDefault="00E36BB8" w:rsidP="00C41C6E">
            <w:pPr>
              <w:autoSpaceDE w:val="0"/>
              <w:autoSpaceDN w:val="0"/>
              <w:adjustRightInd w:val="0"/>
              <w:spacing w:after="0" w:line="240" w:lineRule="auto"/>
              <w:jc w:val="center"/>
              <w:rPr>
                <w:rFonts w:ascii="Times New Roman" w:hAnsi="Times New Roman" w:cs="Times New Roman"/>
                <w:color w:val="000000"/>
                <w:sz w:val="24"/>
                <w:szCs w:val="24"/>
              </w:rPr>
            </w:pPr>
            <w:r w:rsidRPr="00731701">
              <w:rPr>
                <w:rFonts w:ascii="Times New Roman" w:hAnsi="Times New Roman" w:cs="Times New Roman"/>
                <w:bCs/>
                <w:color w:val="000000"/>
                <w:sz w:val="24"/>
                <w:szCs w:val="24"/>
              </w:rPr>
              <w:t>2.200 UF</w:t>
            </w:r>
          </w:p>
        </w:tc>
      </w:tr>
    </w:tbl>
    <w:p w:rsidR="00E36BB8" w:rsidRPr="00735DED" w:rsidRDefault="00E36BB8" w:rsidP="00E36BB8">
      <w:pPr>
        <w:pStyle w:val="Default"/>
        <w:spacing w:line="360" w:lineRule="auto"/>
        <w:ind w:left="1416" w:hanging="696"/>
        <w:jc w:val="both"/>
        <w:rPr>
          <w:b/>
        </w:rPr>
      </w:pPr>
    </w:p>
    <w:p w:rsidR="00E36BB8" w:rsidRPr="00735DED" w:rsidRDefault="00E36BB8" w:rsidP="00E36BB8">
      <w:pPr>
        <w:pStyle w:val="Default"/>
        <w:spacing w:line="360" w:lineRule="auto"/>
        <w:jc w:val="both"/>
      </w:pPr>
      <w:r w:rsidRPr="00735DED">
        <w:t>En cuanto a los atributos de los proyectos, se han considerado los siguientes parámetros de evaluación:</w:t>
      </w:r>
    </w:p>
    <w:p w:rsidR="00E36BB8" w:rsidRPr="00735DED" w:rsidRDefault="00E36BB8" w:rsidP="00E36BB8">
      <w:pPr>
        <w:pStyle w:val="Default"/>
        <w:rPr>
          <w:color w:val="auto"/>
        </w:rPr>
      </w:pPr>
    </w:p>
    <w:p w:rsidR="00E36BB8" w:rsidRPr="00735DED" w:rsidRDefault="00E36BB8" w:rsidP="00D47933">
      <w:pPr>
        <w:pStyle w:val="Default"/>
        <w:numPr>
          <w:ilvl w:val="0"/>
          <w:numId w:val="29"/>
        </w:numPr>
        <w:spacing w:line="360" w:lineRule="auto"/>
        <w:jc w:val="both"/>
      </w:pPr>
      <w:r w:rsidRPr="00735DED">
        <w:t xml:space="preserve">Estándar del conjunto habitacional y viviendas: </w:t>
      </w:r>
    </w:p>
    <w:p w:rsidR="00E36BB8" w:rsidRPr="00735DED" w:rsidRDefault="00E36BB8" w:rsidP="00D47933">
      <w:pPr>
        <w:pStyle w:val="Default"/>
        <w:numPr>
          <w:ilvl w:val="0"/>
          <w:numId w:val="22"/>
        </w:numPr>
        <w:spacing w:line="360" w:lineRule="auto"/>
        <w:jc w:val="both"/>
      </w:pPr>
      <w:r w:rsidRPr="00735DED">
        <w:t xml:space="preserve">Diseño armónico. </w:t>
      </w:r>
    </w:p>
    <w:p w:rsidR="00E36BB8" w:rsidRPr="00735DED" w:rsidRDefault="00E36BB8" w:rsidP="00D47933">
      <w:pPr>
        <w:pStyle w:val="Default"/>
        <w:numPr>
          <w:ilvl w:val="0"/>
          <w:numId w:val="22"/>
        </w:numPr>
        <w:spacing w:line="360" w:lineRule="auto"/>
        <w:jc w:val="both"/>
      </w:pPr>
      <w:r w:rsidRPr="00735DED">
        <w:t xml:space="preserve">Estándares de urbanización homogéneos. </w:t>
      </w:r>
    </w:p>
    <w:p w:rsidR="00E36BB8" w:rsidRPr="00735DED" w:rsidRDefault="00E36BB8" w:rsidP="00D47933">
      <w:pPr>
        <w:pStyle w:val="Default"/>
        <w:numPr>
          <w:ilvl w:val="0"/>
          <w:numId w:val="22"/>
        </w:numPr>
        <w:spacing w:line="360" w:lineRule="auto"/>
        <w:jc w:val="both"/>
      </w:pPr>
      <w:r w:rsidRPr="00735DED">
        <w:t xml:space="preserve">Variedad de tipologías y precios. </w:t>
      </w:r>
    </w:p>
    <w:p w:rsidR="00E36BB8" w:rsidRPr="00735DED" w:rsidRDefault="00E36BB8" w:rsidP="00E36BB8">
      <w:pPr>
        <w:pStyle w:val="Default"/>
        <w:ind w:left="720"/>
      </w:pPr>
    </w:p>
    <w:p w:rsidR="00E36BB8" w:rsidRPr="00735DED" w:rsidRDefault="00E36BB8" w:rsidP="00D47933">
      <w:pPr>
        <w:pStyle w:val="Default"/>
        <w:numPr>
          <w:ilvl w:val="0"/>
          <w:numId w:val="29"/>
        </w:numPr>
        <w:spacing w:line="360" w:lineRule="auto"/>
        <w:jc w:val="both"/>
      </w:pPr>
      <w:r w:rsidRPr="00735DED">
        <w:t xml:space="preserve">Integración social: </w:t>
      </w:r>
    </w:p>
    <w:p w:rsidR="00E36BB8" w:rsidRPr="00735DED" w:rsidRDefault="00E36BB8" w:rsidP="00D47933">
      <w:pPr>
        <w:pStyle w:val="Default"/>
        <w:numPr>
          <w:ilvl w:val="0"/>
          <w:numId w:val="23"/>
        </w:numPr>
        <w:spacing w:line="360" w:lineRule="auto"/>
        <w:jc w:val="both"/>
      </w:pPr>
      <w:r w:rsidRPr="00735DED">
        <w:t xml:space="preserve">Porcentaje de viviendas para sectores vulnerables y medios. </w:t>
      </w:r>
    </w:p>
    <w:p w:rsidR="00E36BB8" w:rsidRPr="00735DED" w:rsidRDefault="00E36BB8" w:rsidP="00D47933">
      <w:pPr>
        <w:pStyle w:val="Default"/>
        <w:numPr>
          <w:ilvl w:val="0"/>
          <w:numId w:val="23"/>
        </w:numPr>
        <w:spacing w:line="360" w:lineRule="auto"/>
        <w:jc w:val="both"/>
      </w:pPr>
      <w:r w:rsidRPr="00735DED">
        <w:t xml:space="preserve">Tipologías diversas y entremezcladas. </w:t>
      </w:r>
    </w:p>
    <w:p w:rsidR="00E36BB8" w:rsidRPr="00735DED" w:rsidRDefault="00E36BB8" w:rsidP="00D47933">
      <w:pPr>
        <w:pStyle w:val="Default"/>
        <w:numPr>
          <w:ilvl w:val="0"/>
          <w:numId w:val="23"/>
        </w:numPr>
        <w:spacing w:line="360" w:lineRule="auto"/>
        <w:jc w:val="both"/>
      </w:pPr>
      <w:r w:rsidRPr="00735DED">
        <w:t>Equipamientos orientados a distintas tipologías de vivienda.</w:t>
      </w:r>
    </w:p>
    <w:p w:rsidR="00E36BB8" w:rsidRPr="00735DED" w:rsidRDefault="00E36BB8" w:rsidP="00E36BB8">
      <w:pPr>
        <w:pStyle w:val="Default"/>
        <w:spacing w:line="360" w:lineRule="auto"/>
        <w:ind w:left="720"/>
        <w:jc w:val="both"/>
      </w:pPr>
    </w:p>
    <w:p w:rsidR="00E36BB8" w:rsidRPr="00735DED" w:rsidRDefault="00E36BB8" w:rsidP="00D47933">
      <w:pPr>
        <w:pStyle w:val="Default"/>
        <w:numPr>
          <w:ilvl w:val="0"/>
          <w:numId w:val="29"/>
        </w:numPr>
        <w:spacing w:line="360" w:lineRule="auto"/>
        <w:jc w:val="both"/>
      </w:pPr>
      <w:r w:rsidRPr="00735DED">
        <w:t xml:space="preserve">Localización (*) cercanía a: </w:t>
      </w:r>
    </w:p>
    <w:p w:rsidR="00E36BB8" w:rsidRPr="00735DED" w:rsidRDefault="00E36BB8" w:rsidP="00D47933">
      <w:pPr>
        <w:pStyle w:val="Default"/>
        <w:numPr>
          <w:ilvl w:val="0"/>
          <w:numId w:val="24"/>
        </w:numPr>
        <w:spacing w:line="360" w:lineRule="auto"/>
        <w:jc w:val="both"/>
      </w:pPr>
      <w:r w:rsidRPr="00735DED">
        <w:lastRenderedPageBreak/>
        <w:t xml:space="preserve">Establecimiento educacional, (2 niveles: </w:t>
      </w:r>
      <w:r w:rsidR="00033F9B" w:rsidRPr="00735DED">
        <w:t>pre básico, básico</w:t>
      </w:r>
      <w:r w:rsidRPr="00735DED">
        <w:t xml:space="preserve"> y/o media (1.000 </w:t>
      </w:r>
      <w:proofErr w:type="spellStart"/>
      <w:r w:rsidRPr="00735DED">
        <w:t>mts</w:t>
      </w:r>
      <w:proofErr w:type="spellEnd"/>
      <w:r w:rsidRPr="00735DED">
        <w:t xml:space="preserve">.) </w:t>
      </w:r>
    </w:p>
    <w:p w:rsidR="00E36BB8" w:rsidRPr="00735DED" w:rsidRDefault="00E36BB8" w:rsidP="00D47933">
      <w:pPr>
        <w:pStyle w:val="Default"/>
        <w:numPr>
          <w:ilvl w:val="0"/>
          <w:numId w:val="24"/>
        </w:numPr>
        <w:spacing w:line="360" w:lineRule="auto"/>
        <w:jc w:val="both"/>
      </w:pPr>
      <w:r w:rsidRPr="00735DED">
        <w:t xml:space="preserve">Parvulario (1.000 </w:t>
      </w:r>
      <w:proofErr w:type="spellStart"/>
      <w:r w:rsidRPr="00735DED">
        <w:t>mts</w:t>
      </w:r>
      <w:proofErr w:type="spellEnd"/>
      <w:r w:rsidRPr="00735DED">
        <w:t xml:space="preserve">.) </w:t>
      </w:r>
    </w:p>
    <w:p w:rsidR="00E36BB8" w:rsidRPr="00735DED" w:rsidRDefault="00E36BB8" w:rsidP="00D47933">
      <w:pPr>
        <w:pStyle w:val="Default"/>
        <w:numPr>
          <w:ilvl w:val="0"/>
          <w:numId w:val="24"/>
        </w:numPr>
        <w:spacing w:line="360" w:lineRule="auto"/>
        <w:jc w:val="both"/>
      </w:pPr>
      <w:r w:rsidRPr="00735DED">
        <w:t xml:space="preserve">Establecimiento de salud, primaria o superior (2.500 m) </w:t>
      </w:r>
    </w:p>
    <w:p w:rsidR="00E36BB8" w:rsidRPr="00735DED" w:rsidRDefault="00E36BB8" w:rsidP="00D47933">
      <w:pPr>
        <w:pStyle w:val="Default"/>
        <w:numPr>
          <w:ilvl w:val="0"/>
          <w:numId w:val="24"/>
        </w:numPr>
        <w:spacing w:line="360" w:lineRule="auto"/>
        <w:jc w:val="both"/>
      </w:pPr>
      <w:r w:rsidRPr="00735DED">
        <w:t xml:space="preserve">Vía con transporte público (500 </w:t>
      </w:r>
      <w:proofErr w:type="spellStart"/>
      <w:r w:rsidRPr="00735DED">
        <w:t>mts</w:t>
      </w:r>
      <w:proofErr w:type="spellEnd"/>
      <w:r w:rsidRPr="00735DED">
        <w:t xml:space="preserve">) </w:t>
      </w:r>
    </w:p>
    <w:p w:rsidR="00E36BB8" w:rsidRPr="00735DED" w:rsidRDefault="00E36BB8" w:rsidP="00D47933">
      <w:pPr>
        <w:pStyle w:val="Default"/>
        <w:numPr>
          <w:ilvl w:val="0"/>
          <w:numId w:val="24"/>
        </w:numPr>
        <w:spacing w:line="360" w:lineRule="auto"/>
        <w:jc w:val="both"/>
      </w:pPr>
      <w:r w:rsidRPr="00735DED">
        <w:t xml:space="preserve">Equipamiento comercial, deportivo o cultural, de escala mediana (2.500 </w:t>
      </w:r>
      <w:proofErr w:type="spellStart"/>
      <w:r w:rsidRPr="00735DED">
        <w:t>mts</w:t>
      </w:r>
      <w:proofErr w:type="spellEnd"/>
      <w:r w:rsidRPr="00735DED">
        <w:t xml:space="preserve">) </w:t>
      </w:r>
    </w:p>
    <w:p w:rsidR="00E36BB8" w:rsidRPr="00735DED" w:rsidRDefault="00E36BB8" w:rsidP="00D47933">
      <w:pPr>
        <w:pStyle w:val="Default"/>
        <w:numPr>
          <w:ilvl w:val="0"/>
          <w:numId w:val="24"/>
        </w:numPr>
        <w:spacing w:line="360" w:lineRule="auto"/>
        <w:jc w:val="both"/>
      </w:pPr>
      <w:r w:rsidRPr="00735DED">
        <w:t xml:space="preserve">Área verde pública con superficie mayor a 5.000 m (1.000 </w:t>
      </w:r>
      <w:proofErr w:type="spellStart"/>
      <w:r w:rsidRPr="00735DED">
        <w:t>mts</w:t>
      </w:r>
      <w:proofErr w:type="spellEnd"/>
      <w:r w:rsidRPr="00735DED">
        <w:t xml:space="preserve">.) </w:t>
      </w:r>
    </w:p>
    <w:p w:rsidR="00E36BB8" w:rsidRPr="00735DED" w:rsidRDefault="00E36BB8" w:rsidP="00D47933">
      <w:pPr>
        <w:pStyle w:val="Default"/>
        <w:numPr>
          <w:ilvl w:val="0"/>
          <w:numId w:val="24"/>
        </w:numPr>
        <w:spacing w:line="360" w:lineRule="auto"/>
        <w:jc w:val="both"/>
      </w:pPr>
      <w:r w:rsidRPr="00735DED">
        <w:t xml:space="preserve">Acceso directo a vía de servicio o de rango superior (200 </w:t>
      </w:r>
      <w:proofErr w:type="spellStart"/>
      <w:r w:rsidRPr="00735DED">
        <w:t>mts</w:t>
      </w:r>
      <w:proofErr w:type="spellEnd"/>
      <w:r w:rsidRPr="00735DED">
        <w:t xml:space="preserve">) </w:t>
      </w:r>
    </w:p>
    <w:p w:rsidR="00E36BB8" w:rsidRPr="00735DED" w:rsidRDefault="00E36BB8" w:rsidP="00E36BB8">
      <w:pPr>
        <w:pStyle w:val="Default"/>
        <w:ind w:left="360"/>
      </w:pPr>
      <w:r w:rsidRPr="00735DED">
        <w:rPr>
          <w:i/>
          <w:iCs/>
          <w:color w:val="auto"/>
        </w:rPr>
        <w:t xml:space="preserve">(*) 6/7 criterios para comunas de + 40.000 hab. </w:t>
      </w:r>
      <w:r w:rsidR="00033F9B" w:rsidRPr="00735DED">
        <w:rPr>
          <w:i/>
          <w:iCs/>
          <w:color w:val="auto"/>
        </w:rPr>
        <w:t>Y</w:t>
      </w:r>
      <w:r w:rsidRPr="00735DED">
        <w:rPr>
          <w:i/>
          <w:iCs/>
          <w:color w:val="auto"/>
        </w:rPr>
        <w:t xml:space="preserve"> 5/7 criterios para comunas – 40.000 hab. </w:t>
      </w:r>
    </w:p>
    <w:p w:rsidR="00E36BB8" w:rsidRPr="00735DED" w:rsidRDefault="00E36BB8" w:rsidP="00E36BB8">
      <w:pPr>
        <w:pStyle w:val="Default"/>
        <w:spacing w:line="360" w:lineRule="auto"/>
        <w:jc w:val="both"/>
      </w:pPr>
    </w:p>
    <w:p w:rsidR="00E36BB8" w:rsidRPr="00735DED" w:rsidRDefault="00E36BB8" w:rsidP="00E36BB8">
      <w:pPr>
        <w:pStyle w:val="Default"/>
        <w:spacing w:line="360" w:lineRule="auto"/>
        <w:jc w:val="both"/>
      </w:pPr>
      <w:r w:rsidRPr="00735DED">
        <w:t>Para el financiamiento de las viviendas se considera un ahorro de las familias según programa habitacional:</w:t>
      </w:r>
    </w:p>
    <w:p w:rsidR="00E36BB8" w:rsidRPr="00735DED" w:rsidRDefault="00E36BB8" w:rsidP="00D47933">
      <w:pPr>
        <w:pStyle w:val="Default"/>
        <w:numPr>
          <w:ilvl w:val="0"/>
          <w:numId w:val="28"/>
        </w:numPr>
        <w:spacing w:line="360" w:lineRule="auto"/>
        <w:jc w:val="both"/>
        <w:rPr>
          <w:b/>
        </w:rPr>
      </w:pPr>
      <w:r w:rsidRPr="00735DED">
        <w:rPr>
          <w:b/>
        </w:rPr>
        <w:t xml:space="preserve">Vulnerables: </w:t>
      </w:r>
    </w:p>
    <w:p w:rsidR="00E36BB8" w:rsidRPr="00735DED" w:rsidRDefault="00E36BB8" w:rsidP="00D47933">
      <w:pPr>
        <w:pStyle w:val="Default"/>
        <w:numPr>
          <w:ilvl w:val="0"/>
          <w:numId w:val="25"/>
        </w:numPr>
        <w:spacing w:line="360" w:lineRule="auto"/>
        <w:jc w:val="both"/>
      </w:pPr>
      <w:r w:rsidRPr="00735DED">
        <w:t xml:space="preserve">20 UF (nuevas familias) </w:t>
      </w:r>
    </w:p>
    <w:p w:rsidR="00E36BB8" w:rsidRPr="00735DED" w:rsidRDefault="00E36BB8" w:rsidP="00D47933">
      <w:pPr>
        <w:pStyle w:val="Default"/>
        <w:numPr>
          <w:ilvl w:val="0"/>
          <w:numId w:val="25"/>
        </w:numPr>
        <w:spacing w:line="360" w:lineRule="auto"/>
        <w:jc w:val="both"/>
      </w:pPr>
      <w:r w:rsidRPr="00735DED">
        <w:t xml:space="preserve">Ahorro acreditado (familias con subsidio) </w:t>
      </w:r>
    </w:p>
    <w:p w:rsidR="00E36BB8" w:rsidRPr="00735DED" w:rsidRDefault="00E36BB8" w:rsidP="00D47933">
      <w:pPr>
        <w:pStyle w:val="Default"/>
        <w:numPr>
          <w:ilvl w:val="0"/>
          <w:numId w:val="28"/>
        </w:numPr>
        <w:spacing w:line="360" w:lineRule="auto"/>
        <w:jc w:val="both"/>
        <w:rPr>
          <w:b/>
        </w:rPr>
      </w:pPr>
      <w:r w:rsidRPr="00735DED">
        <w:rPr>
          <w:b/>
        </w:rPr>
        <w:t xml:space="preserve">Sectores Medios: </w:t>
      </w:r>
    </w:p>
    <w:p w:rsidR="00E36BB8" w:rsidRPr="00735DED" w:rsidRDefault="00E36BB8" w:rsidP="00D47933">
      <w:pPr>
        <w:pStyle w:val="Default"/>
        <w:numPr>
          <w:ilvl w:val="0"/>
          <w:numId w:val="26"/>
        </w:numPr>
        <w:spacing w:line="360" w:lineRule="auto"/>
        <w:jc w:val="both"/>
      </w:pPr>
      <w:r w:rsidRPr="00735DED">
        <w:t xml:space="preserve">50 UF (nuevas familias) </w:t>
      </w:r>
    </w:p>
    <w:p w:rsidR="00E36BB8" w:rsidRPr="00735DED" w:rsidRDefault="00E36BB8" w:rsidP="00D47933">
      <w:pPr>
        <w:pStyle w:val="Default"/>
        <w:numPr>
          <w:ilvl w:val="0"/>
          <w:numId w:val="26"/>
        </w:numPr>
        <w:spacing w:line="360" w:lineRule="auto"/>
        <w:jc w:val="both"/>
      </w:pPr>
      <w:r w:rsidRPr="00735DED">
        <w:t xml:space="preserve">Ahorro acreditado (familias con subsidio). </w:t>
      </w:r>
    </w:p>
    <w:p w:rsidR="00E36BB8" w:rsidRPr="00735DED" w:rsidRDefault="00E36BB8" w:rsidP="00E36BB8">
      <w:pPr>
        <w:pStyle w:val="Default"/>
        <w:spacing w:after="240" w:line="360" w:lineRule="auto"/>
        <w:jc w:val="both"/>
      </w:pPr>
      <w:r w:rsidRPr="00735DED">
        <w:t xml:space="preserve">Asimismo, se contempla un </w:t>
      </w:r>
      <w:r w:rsidRPr="00735DED">
        <w:rPr>
          <w:b/>
        </w:rPr>
        <w:t>Subsidio del Estado</w:t>
      </w:r>
      <w:r w:rsidRPr="00735DED">
        <w:t xml:space="preserve"> mejorado según nueva fórmula de cálculo, y </w:t>
      </w:r>
      <w:r w:rsidRPr="00735DED">
        <w:rPr>
          <w:b/>
        </w:rPr>
        <w:t>Crédito Hipotecario</w:t>
      </w:r>
      <w:r w:rsidRPr="00735DED">
        <w:t xml:space="preserve"> cuando corresponda. </w:t>
      </w:r>
    </w:p>
    <w:p w:rsidR="00E36BB8" w:rsidRPr="00735DED" w:rsidRDefault="00E36BB8" w:rsidP="00E36BB8">
      <w:pPr>
        <w:pStyle w:val="Default"/>
        <w:spacing w:after="240" w:line="360" w:lineRule="auto"/>
        <w:jc w:val="both"/>
      </w:pPr>
      <w:r w:rsidRPr="00735DED">
        <w:t xml:space="preserve">Este programa, además posibilita el apoyo para el financiamiento de las obras, a través de </w:t>
      </w:r>
      <w:r w:rsidRPr="00735DED">
        <w:rPr>
          <w:b/>
        </w:rPr>
        <w:t>Préstamos de Enlace</w:t>
      </w:r>
      <w:r w:rsidRPr="00735DED">
        <w:t xml:space="preserve"> opcionales paras las empresas constructoras de hasta 200 UF por vivienda.</w:t>
      </w:r>
    </w:p>
    <w:p w:rsidR="00E36BB8" w:rsidRPr="00735DED" w:rsidRDefault="00E36BB8" w:rsidP="00E36BB8">
      <w:pPr>
        <w:pStyle w:val="Default"/>
        <w:spacing w:after="240" w:line="360" w:lineRule="auto"/>
        <w:jc w:val="both"/>
      </w:pPr>
      <w:r w:rsidRPr="00735DED">
        <w:t>Otros incentivos incorporados en el diseño del Programa son el</w:t>
      </w:r>
      <w:r w:rsidRPr="00735DED">
        <w:rPr>
          <w:b/>
        </w:rPr>
        <w:t xml:space="preserve"> bono de Integración Social, </w:t>
      </w:r>
      <w:r w:rsidRPr="00735DED">
        <w:t>para familias vulnerables y de sectores medios</w:t>
      </w:r>
      <w:r w:rsidRPr="00735DED">
        <w:rPr>
          <w:b/>
        </w:rPr>
        <w:t>,</w:t>
      </w:r>
      <w:r w:rsidRPr="00735DED">
        <w:t xml:space="preserve"> y el</w:t>
      </w:r>
      <w:r w:rsidRPr="00735DED">
        <w:rPr>
          <w:b/>
        </w:rPr>
        <w:t xml:space="preserve"> bono de Captación de Subsidios</w:t>
      </w:r>
      <w:r w:rsidRPr="00735DED">
        <w:t>, para familias de sectores medios.</w:t>
      </w:r>
    </w:p>
    <w:p w:rsidR="00E36BB8" w:rsidRPr="00735DED" w:rsidRDefault="00E36BB8" w:rsidP="00E36BB8">
      <w:pPr>
        <w:spacing w:line="360" w:lineRule="auto"/>
        <w:rPr>
          <w:rFonts w:ascii="Times New Roman" w:hAnsi="Times New Roman" w:cs="Times New Roman"/>
          <w:sz w:val="24"/>
          <w:szCs w:val="24"/>
        </w:rPr>
      </w:pPr>
    </w:p>
    <w:p w:rsidR="00E36BB8" w:rsidRPr="00735DED" w:rsidRDefault="00E36BB8" w:rsidP="00E36BB8">
      <w:pPr>
        <w:spacing w:line="360" w:lineRule="auto"/>
        <w:rPr>
          <w:rFonts w:ascii="Times New Roman" w:hAnsi="Times New Roman" w:cs="Times New Roman"/>
          <w:sz w:val="24"/>
          <w:szCs w:val="24"/>
        </w:rPr>
      </w:pPr>
    </w:p>
    <w:p w:rsidR="00745326" w:rsidRPr="00D96FA5" w:rsidRDefault="00745326" w:rsidP="00D96FA5">
      <w:pPr>
        <w:spacing w:line="360" w:lineRule="auto"/>
        <w:jc w:val="both"/>
        <w:rPr>
          <w:rFonts w:ascii="Times New Roman" w:eastAsiaTheme="minorHAnsi" w:hAnsi="Times New Roman" w:cs="Times New Roman"/>
          <w:sz w:val="24"/>
          <w:szCs w:val="24"/>
          <w:lang w:eastAsia="en-US"/>
        </w:rPr>
      </w:pPr>
    </w:p>
    <w:sectPr w:rsidR="00745326" w:rsidRPr="00D96FA5" w:rsidSect="00775EF3">
      <w:footerReference w:type="default" r:id="rId15"/>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D089FC" w15:done="0"/>
  <w15:commentEx w15:paraId="764A70EB" w15:done="0"/>
  <w15:commentEx w15:paraId="20DAE88D" w15:done="0"/>
  <w15:commentEx w15:paraId="091822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A91" w:rsidRDefault="00FF6A91" w:rsidP="00212098">
      <w:pPr>
        <w:spacing w:after="0" w:line="240" w:lineRule="auto"/>
      </w:pPr>
      <w:r>
        <w:separator/>
      </w:r>
    </w:p>
  </w:endnote>
  <w:endnote w:type="continuationSeparator" w:id="0">
    <w:p w:rsidR="00FF6A91" w:rsidRDefault="00FF6A91" w:rsidP="00212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rriweather">
    <w:altName w:val="Merriweath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8616400"/>
      <w:docPartObj>
        <w:docPartGallery w:val="Page Numbers (Bottom of Page)"/>
        <w:docPartUnique/>
      </w:docPartObj>
    </w:sdtPr>
    <w:sdtEndPr/>
    <w:sdtContent>
      <w:p w:rsidR="00425C66" w:rsidRDefault="00425C66">
        <w:pPr>
          <w:pStyle w:val="Footer"/>
        </w:pPr>
        <w:r>
          <w:fldChar w:fldCharType="begin"/>
        </w:r>
        <w:r>
          <w:instrText>PAGE   \* MERGEFORMAT</w:instrText>
        </w:r>
        <w:r>
          <w:fldChar w:fldCharType="separate"/>
        </w:r>
        <w:r w:rsidR="00846ECB" w:rsidRPr="00846ECB">
          <w:rPr>
            <w:noProof/>
            <w:lang w:val="es-ES"/>
          </w:rPr>
          <w:t>1</w:t>
        </w:r>
        <w:r>
          <w:fldChar w:fldCharType="end"/>
        </w:r>
      </w:p>
    </w:sdtContent>
  </w:sdt>
  <w:p w:rsidR="00425C66" w:rsidRDefault="00425C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A91" w:rsidRDefault="00FF6A91" w:rsidP="00212098">
      <w:pPr>
        <w:spacing w:after="0" w:line="240" w:lineRule="auto"/>
      </w:pPr>
      <w:r>
        <w:separator/>
      </w:r>
    </w:p>
  </w:footnote>
  <w:footnote w:type="continuationSeparator" w:id="0">
    <w:p w:rsidR="00FF6A91" w:rsidRDefault="00FF6A91" w:rsidP="00212098">
      <w:pPr>
        <w:spacing w:after="0" w:line="240" w:lineRule="auto"/>
      </w:pPr>
      <w:r>
        <w:continuationSeparator/>
      </w:r>
    </w:p>
  </w:footnote>
  <w:footnote w:id="1">
    <w:p w:rsidR="00425C66" w:rsidRDefault="00425C66" w:rsidP="00132133">
      <w:pPr>
        <w:pStyle w:val="FootnoteText"/>
        <w:tabs>
          <w:tab w:val="left" w:pos="8789"/>
        </w:tabs>
        <w:ind w:right="49"/>
      </w:pPr>
      <w:r>
        <w:rPr>
          <w:rStyle w:val="FootnoteReference"/>
        </w:rPr>
        <w:footnoteRef/>
      </w:r>
      <w:r>
        <w:t xml:space="preserve"> 33º Período de Sesiones CESCR (1º de Diciembre de 2004) </w:t>
      </w:r>
      <w:r w:rsidR="00033F9B">
        <w:t>Doc.</w:t>
      </w:r>
      <w:r>
        <w:t xml:space="preserve"> ONU E/C.12/1/Add.105</w:t>
      </w:r>
    </w:p>
  </w:footnote>
  <w:footnote w:id="2">
    <w:p w:rsidR="00425C66" w:rsidRDefault="00425C66" w:rsidP="00132133">
      <w:pPr>
        <w:pStyle w:val="FootnoteText"/>
        <w:tabs>
          <w:tab w:val="left" w:pos="8789"/>
        </w:tabs>
        <w:ind w:right="49"/>
      </w:pPr>
      <w:r>
        <w:rPr>
          <w:rStyle w:val="FootnoteReference"/>
        </w:rPr>
        <w:footnoteRef/>
      </w:r>
      <w:r>
        <w:t xml:space="preserve"> 54º Período de Sesiones CESCR (22 de Diciembre de 2014) </w:t>
      </w:r>
      <w:r w:rsidR="00033F9B">
        <w:t>Doc.</w:t>
      </w:r>
      <w:r>
        <w:t xml:space="preserve"> ONU E/C.12/CHL/Q/4</w:t>
      </w:r>
    </w:p>
  </w:footnote>
  <w:footnote w:id="3">
    <w:p w:rsidR="00132133" w:rsidRDefault="00425C66" w:rsidP="008F4A22">
      <w:pPr>
        <w:pStyle w:val="FootnoteText"/>
        <w:ind w:right="-376"/>
        <w:jc w:val="both"/>
      </w:pPr>
      <w:r>
        <w:rPr>
          <w:rStyle w:val="FootnoteReference"/>
        </w:rPr>
        <w:footnoteRef/>
      </w:r>
      <w:r>
        <w:t xml:space="preserve"> </w:t>
      </w:r>
      <w:r w:rsidRPr="0061210B">
        <w:t>CESCR</w:t>
      </w:r>
      <w:r>
        <w:t>,</w:t>
      </w:r>
      <w:r w:rsidRPr="0061210B">
        <w:t xml:space="preserve"> </w:t>
      </w:r>
      <w:r>
        <w:t>`Observaciones finales del Comité de Derechos Económicos, Sociales y Culturales, Chile`</w:t>
      </w:r>
      <w:r w:rsidRPr="0061210B">
        <w:t xml:space="preserve"> (1º de Diciembre</w:t>
      </w:r>
    </w:p>
    <w:p w:rsidR="008F4A22" w:rsidRDefault="00425C66" w:rsidP="008F4A22">
      <w:pPr>
        <w:pStyle w:val="FootnoteText"/>
        <w:ind w:right="-376"/>
        <w:jc w:val="both"/>
      </w:pPr>
      <w:r w:rsidRPr="0061210B">
        <w:t xml:space="preserve"> de 2004) </w:t>
      </w:r>
      <w:r w:rsidR="00033F9B" w:rsidRPr="0061210B">
        <w:t>Doc.</w:t>
      </w:r>
      <w:r w:rsidRPr="0061210B">
        <w:t xml:space="preserve"> ONU E/C.12/1/Add.105</w:t>
      </w:r>
      <w:r>
        <w:t xml:space="preserve">, </w:t>
      </w:r>
      <w:proofErr w:type="spellStart"/>
      <w:r>
        <w:t>párra</w:t>
      </w:r>
      <w:proofErr w:type="spellEnd"/>
      <w:r>
        <w:t xml:space="preserve"> 12</w:t>
      </w:r>
      <w:r w:rsidR="008F4A22">
        <w:t>.</w:t>
      </w:r>
    </w:p>
  </w:footnote>
  <w:footnote w:id="4">
    <w:p w:rsidR="008F4A22" w:rsidRDefault="00425C66" w:rsidP="008F4A22">
      <w:pPr>
        <w:pStyle w:val="FootnoteText"/>
        <w:ind w:right="-376"/>
        <w:jc w:val="both"/>
      </w:pPr>
      <w:r>
        <w:rPr>
          <w:rStyle w:val="FootnoteReference"/>
        </w:rPr>
        <w:footnoteRef/>
      </w:r>
      <w:r>
        <w:t xml:space="preserve"> CESCR, `</w:t>
      </w:r>
      <w:r w:rsidRPr="002A043F">
        <w:t>Observaciones finales del Comité de Derechos Económicos, Sociales y Culturales, Chile`</w:t>
      </w:r>
      <w:r>
        <w:t xml:space="preserve">, </w:t>
      </w:r>
      <w:proofErr w:type="spellStart"/>
      <w:r>
        <w:t>párra</w:t>
      </w:r>
      <w:proofErr w:type="spellEnd"/>
      <w:r>
        <w:t xml:space="preserve"> 12</w:t>
      </w:r>
      <w:r w:rsidR="008F4A22">
        <w:t>.</w:t>
      </w:r>
    </w:p>
  </w:footnote>
  <w:footnote w:id="5">
    <w:p w:rsidR="00425C66" w:rsidRDefault="00425C66" w:rsidP="008F4A22">
      <w:pPr>
        <w:pStyle w:val="FootnoteText"/>
        <w:tabs>
          <w:tab w:val="clear" w:pos="1021"/>
          <w:tab w:val="right" w:pos="0"/>
        </w:tabs>
        <w:ind w:left="0" w:right="-376" w:firstLine="0"/>
        <w:jc w:val="both"/>
      </w:pPr>
      <w:r>
        <w:rPr>
          <w:rStyle w:val="FootnoteReference"/>
        </w:rPr>
        <w:footnoteRef/>
      </w:r>
      <w:r>
        <w:t xml:space="preserve"> </w:t>
      </w:r>
      <w:r w:rsidRPr="004977F9">
        <w:t>Constitución Política de la República de Chile, artículo 5</w:t>
      </w:r>
      <w:r>
        <w:t>º</w:t>
      </w:r>
      <w:r w:rsidRPr="004977F9">
        <w:t>, inciso 2º: “El ejercici</w:t>
      </w:r>
      <w:r w:rsidR="008F4A22">
        <w:t xml:space="preserve">o de la soberanía reconoce como </w:t>
      </w:r>
      <w:r w:rsidRPr="004977F9">
        <w:t>limitación el respeto a los derechos esenciales que emanan de la naturaleza humana. Es deber de los órganos d</w:t>
      </w:r>
      <w:r w:rsidR="008F4A22">
        <w:t xml:space="preserve">el Estado </w:t>
      </w:r>
      <w:r w:rsidRPr="004977F9">
        <w:t>respetar y promover tales derechos, garantizados por esta Constitución, así como p</w:t>
      </w:r>
      <w:r w:rsidR="008F4A22">
        <w:t xml:space="preserve">or los tratados internacionales </w:t>
      </w:r>
      <w:r w:rsidRPr="004977F9">
        <w:t>ratificados por Chil</w:t>
      </w:r>
      <w:r>
        <w:t>e y que se encuentren vigentes”</w:t>
      </w:r>
      <w:r w:rsidR="008F4A22">
        <w:t>.</w:t>
      </w:r>
    </w:p>
  </w:footnote>
  <w:footnote w:id="6">
    <w:p w:rsidR="00425C66" w:rsidRDefault="00425C66" w:rsidP="008F4A22">
      <w:pPr>
        <w:pStyle w:val="FootnoteText"/>
        <w:tabs>
          <w:tab w:val="clear" w:pos="1021"/>
          <w:tab w:val="right" w:pos="0"/>
        </w:tabs>
        <w:ind w:left="0" w:right="49" w:firstLine="0"/>
        <w:jc w:val="both"/>
      </w:pPr>
      <w:r>
        <w:rPr>
          <w:rStyle w:val="FootnoteReference"/>
        </w:rPr>
        <w:footnoteRef/>
      </w:r>
      <w:r>
        <w:t xml:space="preserve"> </w:t>
      </w:r>
      <w:r w:rsidRPr="0058078E">
        <w:t>CDESC</w:t>
      </w:r>
      <w:r>
        <w:t>, `</w:t>
      </w:r>
      <w:r w:rsidRPr="0058078E">
        <w:t xml:space="preserve">Observación General Nº9: </w:t>
      </w:r>
      <w:r>
        <w:t>La Aplicación Interna del Pacto`</w:t>
      </w:r>
      <w:r w:rsidRPr="0058078E">
        <w:t xml:space="preserve"> (3 de Diciembre de 1998), </w:t>
      </w:r>
      <w:r w:rsidR="00033F9B" w:rsidRPr="0058078E">
        <w:t>Doc.</w:t>
      </w:r>
      <w:r w:rsidRPr="0058078E">
        <w:t xml:space="preserve"> ONU  E/C.12/1998/24, </w:t>
      </w:r>
      <w:proofErr w:type="spellStart"/>
      <w:r w:rsidRPr="0058078E">
        <w:t>párra</w:t>
      </w:r>
      <w:proofErr w:type="spellEnd"/>
      <w:r w:rsidRPr="0058078E">
        <w:t xml:space="preserve"> 10</w:t>
      </w:r>
    </w:p>
  </w:footnote>
  <w:footnote w:id="7">
    <w:p w:rsidR="00425C66" w:rsidRDefault="00425C66" w:rsidP="008F4A22">
      <w:pPr>
        <w:pStyle w:val="FootnoteText"/>
        <w:tabs>
          <w:tab w:val="clear" w:pos="1021"/>
          <w:tab w:val="right" w:pos="0"/>
        </w:tabs>
        <w:ind w:left="0" w:right="49" w:firstLine="0"/>
        <w:jc w:val="both"/>
      </w:pPr>
      <w:r>
        <w:rPr>
          <w:rStyle w:val="FootnoteReference"/>
        </w:rPr>
        <w:footnoteRef/>
      </w:r>
      <w:r>
        <w:t xml:space="preserve"> AGO</w:t>
      </w:r>
      <w:r w:rsidRPr="0058078E">
        <w:t xml:space="preserve">NU, </w:t>
      </w:r>
      <w:r>
        <w:t>`</w:t>
      </w:r>
      <w:r w:rsidRPr="0058078E">
        <w:t>Declaración y Programa de Acción de Viena</w:t>
      </w:r>
      <w:r>
        <w:t>`</w:t>
      </w:r>
      <w:r w:rsidRPr="0058078E">
        <w:t xml:space="preserve"> (25 de Junio de 1993) </w:t>
      </w:r>
      <w:r w:rsidR="00033F9B" w:rsidRPr="0058078E">
        <w:t>Doc.</w:t>
      </w:r>
      <w:r w:rsidRPr="0058078E">
        <w:t xml:space="preserve"> ONU A/CONF.157/23, </w:t>
      </w:r>
      <w:proofErr w:type="spellStart"/>
      <w:r w:rsidRPr="0058078E">
        <w:t>párra</w:t>
      </w:r>
      <w:proofErr w:type="spellEnd"/>
      <w:r w:rsidRPr="0058078E">
        <w:t>. 5</w:t>
      </w:r>
      <w:r w:rsidR="008F4A22">
        <w:t>.</w:t>
      </w:r>
    </w:p>
  </w:footnote>
  <w:footnote w:id="8">
    <w:p w:rsidR="00425C66" w:rsidRDefault="00425C66" w:rsidP="008F4A22">
      <w:pPr>
        <w:pStyle w:val="FootnoteText"/>
        <w:tabs>
          <w:tab w:val="clear" w:pos="1021"/>
          <w:tab w:val="right" w:pos="0"/>
        </w:tabs>
        <w:ind w:left="0" w:right="49" w:firstLine="0"/>
        <w:jc w:val="both"/>
      </w:pPr>
      <w:r>
        <w:rPr>
          <w:rStyle w:val="FootnoteReference"/>
        </w:rPr>
        <w:footnoteRef/>
      </w:r>
      <w:r>
        <w:t xml:space="preserve"> Artículos 6 y 7 del Pacto Internacional de Derechos Económicos, Sociales y Culturales (PIDESC).</w:t>
      </w:r>
    </w:p>
  </w:footnote>
  <w:footnote w:id="9">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7F69EF">
        <w:rPr>
          <w:i/>
        </w:rPr>
        <w:t xml:space="preserve">Sindicato de Trabajadores de Empresa </w:t>
      </w:r>
      <w:proofErr w:type="spellStart"/>
      <w:r w:rsidRPr="007F69EF">
        <w:rPr>
          <w:i/>
        </w:rPr>
        <w:t>Promolinks</w:t>
      </w:r>
      <w:proofErr w:type="spellEnd"/>
      <w:r w:rsidRPr="007F69EF">
        <w:rPr>
          <w:i/>
        </w:rPr>
        <w:t xml:space="preserve"> S.</w:t>
      </w:r>
      <w:r>
        <w:rPr>
          <w:i/>
        </w:rPr>
        <w:t xml:space="preserve"> A. con Comercial </w:t>
      </w:r>
      <w:proofErr w:type="spellStart"/>
      <w:r>
        <w:rPr>
          <w:i/>
        </w:rPr>
        <w:t>Promolinks</w:t>
      </w:r>
      <w:proofErr w:type="spellEnd"/>
      <w:r>
        <w:rPr>
          <w:i/>
        </w:rPr>
        <w:t xml:space="preserve"> S.</w:t>
      </w:r>
      <w:r w:rsidRPr="007F69EF">
        <w:rPr>
          <w:i/>
        </w:rPr>
        <w:t>A.</w:t>
      </w:r>
      <w:r>
        <w:t>”, rol 3514-2014 (4 de Diciembre de 2014), considerando 10º</w:t>
      </w:r>
      <w:r w:rsidR="008F4A22">
        <w:t>.</w:t>
      </w:r>
    </w:p>
  </w:footnote>
  <w:footnote w:id="10">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6E67B0">
        <w:rPr>
          <w:i/>
        </w:rPr>
        <w:t>Bussenius</w:t>
      </w:r>
      <w:proofErr w:type="spellEnd"/>
      <w:r w:rsidRPr="006E67B0">
        <w:rPr>
          <w:i/>
        </w:rPr>
        <w:t xml:space="preserve"> Cornejo con CENABAST</w:t>
      </w:r>
      <w:r>
        <w:t>”, rol 10.972-2013 (30 de Abril de 2014)</w:t>
      </w:r>
      <w:r w:rsidR="008F4A22">
        <w:t>.</w:t>
      </w:r>
    </w:p>
  </w:footnote>
  <w:footnote w:id="11">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AC2AE7">
        <w:rPr>
          <w:i/>
        </w:rPr>
        <w:t>Quitral</w:t>
      </w:r>
      <w:proofErr w:type="spellEnd"/>
      <w:r w:rsidRPr="00AC2AE7">
        <w:rPr>
          <w:i/>
        </w:rPr>
        <w:t xml:space="preserve"> Navarro y otro con Garcés </w:t>
      </w:r>
      <w:proofErr w:type="spellStart"/>
      <w:r w:rsidRPr="00AC2AE7">
        <w:rPr>
          <w:i/>
        </w:rPr>
        <w:t>Ureta</w:t>
      </w:r>
      <w:proofErr w:type="spellEnd"/>
      <w:r>
        <w:t>”, rol 6508-2012 (19 de Diciembre de 2012), consideran</w:t>
      </w:r>
      <w:r w:rsidR="008F4A22">
        <w:t>do 3º voto Ministro señor Cerda.</w:t>
      </w:r>
    </w:p>
  </w:footnote>
  <w:footnote w:id="12">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Santiago, “</w:t>
      </w:r>
      <w:r w:rsidRPr="000C20C8">
        <w:rPr>
          <w:i/>
        </w:rPr>
        <w:t>Araos Muñoz con Express Santiago Uno S.A.</w:t>
      </w:r>
      <w:r>
        <w:t xml:space="preserve">”, </w:t>
      </w:r>
      <w:proofErr w:type="spellStart"/>
      <w:r>
        <w:t>rit</w:t>
      </w:r>
      <w:proofErr w:type="spellEnd"/>
      <w:r>
        <w:t xml:space="preserve"> </w:t>
      </w:r>
      <w:r w:rsidRPr="000C20C8">
        <w:t>T-66-2013</w:t>
      </w:r>
      <w:r>
        <w:t xml:space="preserve"> (6 de Enero de 2014), considerando 4º</w:t>
      </w:r>
      <w:r w:rsidR="008F4A22">
        <w:t>.</w:t>
      </w:r>
    </w:p>
  </w:footnote>
  <w:footnote w:id="13">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Santiago, “</w:t>
      </w:r>
      <w:r w:rsidRPr="000C20C8">
        <w:rPr>
          <w:i/>
        </w:rPr>
        <w:t>Araos Muñoz con Express Santiago Uno S.A.</w:t>
      </w:r>
      <w:r>
        <w:t>”, considerando 4º</w:t>
      </w:r>
      <w:r w:rsidR="008F4A22">
        <w:t>.</w:t>
      </w:r>
    </w:p>
  </w:footnote>
  <w:footnote w:id="14">
    <w:p w:rsidR="008F4A22" w:rsidRDefault="00425C66" w:rsidP="008F4A22">
      <w:pPr>
        <w:pStyle w:val="FootnoteText"/>
        <w:tabs>
          <w:tab w:val="left" w:pos="8789"/>
        </w:tabs>
        <w:ind w:right="-93"/>
      </w:pPr>
      <w:r>
        <w:rPr>
          <w:rStyle w:val="FootnoteReference"/>
        </w:rPr>
        <w:footnoteRef/>
      </w:r>
      <w:r>
        <w:t xml:space="preserve"> </w:t>
      </w:r>
      <w:r w:rsidRPr="008345B9">
        <w:t>Primer Juzgado de Letras del Trabajo de Santiago</w:t>
      </w:r>
      <w:r>
        <w:t>, “</w:t>
      </w:r>
      <w:r w:rsidRPr="008345B9">
        <w:rPr>
          <w:i/>
        </w:rPr>
        <w:t>Melo Iribarren con TP Chile S.A.</w:t>
      </w:r>
      <w:r>
        <w:t xml:space="preserve">”, </w:t>
      </w:r>
      <w:proofErr w:type="spellStart"/>
      <w:r>
        <w:t>rit</w:t>
      </w:r>
      <w:proofErr w:type="spellEnd"/>
      <w:r>
        <w:t xml:space="preserve"> </w:t>
      </w:r>
      <w:r w:rsidRPr="008345B9">
        <w:t>T-38-2010</w:t>
      </w:r>
      <w:r>
        <w:t xml:space="preserve"> </w:t>
      </w:r>
    </w:p>
    <w:p w:rsidR="00425C66" w:rsidRDefault="00425C66" w:rsidP="008F4A22">
      <w:pPr>
        <w:pStyle w:val="FootnoteText"/>
        <w:tabs>
          <w:tab w:val="left" w:pos="8789"/>
        </w:tabs>
        <w:ind w:left="0" w:right="-93" w:firstLine="0"/>
      </w:pPr>
      <w:r>
        <w:t>(26 de Abril de 2010)</w:t>
      </w:r>
    </w:p>
  </w:footnote>
  <w:footnote w:id="15">
    <w:p w:rsidR="00425C66" w:rsidRDefault="00425C66" w:rsidP="008F4A22">
      <w:pPr>
        <w:pStyle w:val="FootnoteText"/>
        <w:tabs>
          <w:tab w:val="left" w:pos="8789"/>
        </w:tabs>
        <w:ind w:right="-93"/>
      </w:pPr>
      <w:r>
        <w:rPr>
          <w:rStyle w:val="FootnoteReference"/>
        </w:rPr>
        <w:footnoteRef/>
      </w:r>
      <w:r>
        <w:t xml:space="preserve"> </w:t>
      </w:r>
      <w:r w:rsidRPr="00A67B7C">
        <w:t>Primer Juzgado de Letras del Trabajo de Santiago, “</w:t>
      </w:r>
      <w:r w:rsidRPr="0058078E">
        <w:rPr>
          <w:i/>
        </w:rPr>
        <w:t>Melo Iribarren con TP Chile S.A</w:t>
      </w:r>
      <w:r w:rsidRPr="00A67B7C">
        <w:t xml:space="preserve">.”, </w:t>
      </w:r>
      <w:r>
        <w:t>considerando 17º</w:t>
      </w:r>
      <w:r w:rsidR="008F4A22">
        <w:t>.</w:t>
      </w:r>
    </w:p>
  </w:footnote>
  <w:footnote w:id="16">
    <w:p w:rsidR="00425C66" w:rsidRDefault="00425C66" w:rsidP="008F4A22">
      <w:pPr>
        <w:pStyle w:val="FootnoteText"/>
        <w:tabs>
          <w:tab w:val="left" w:pos="8789"/>
        </w:tabs>
        <w:ind w:right="-93"/>
      </w:pPr>
      <w:r>
        <w:rPr>
          <w:rStyle w:val="FootnoteReference"/>
        </w:rPr>
        <w:footnoteRef/>
      </w:r>
      <w:r>
        <w:t xml:space="preserve"> </w:t>
      </w:r>
      <w:r w:rsidRPr="00DE3755">
        <w:t>Primer Juzgado de Letras del Trabajo de Santiago, considerando 17º</w:t>
      </w:r>
      <w:r w:rsidR="008F4A22">
        <w:t>.</w:t>
      </w:r>
    </w:p>
  </w:footnote>
  <w:footnote w:id="17">
    <w:p w:rsidR="00425C66" w:rsidRDefault="00425C66" w:rsidP="008F4A22">
      <w:pPr>
        <w:pStyle w:val="FootnoteText"/>
        <w:tabs>
          <w:tab w:val="left" w:pos="8789"/>
        </w:tabs>
        <w:ind w:right="-93"/>
      </w:pPr>
      <w:r>
        <w:rPr>
          <w:rStyle w:val="FootnoteReference"/>
        </w:rPr>
        <w:footnoteRef/>
      </w:r>
      <w:r>
        <w:t xml:space="preserve"> </w:t>
      </w:r>
      <w:r w:rsidR="00033F9B">
        <w:t>Ibíd.</w:t>
      </w:r>
    </w:p>
  </w:footnote>
  <w:footnote w:id="18">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Santiago, “</w:t>
      </w:r>
      <w:r w:rsidRPr="00AC2AE7">
        <w:rPr>
          <w:i/>
        </w:rPr>
        <w:t>Vivar Arévalo con Gendarmería</w:t>
      </w:r>
      <w:r>
        <w:t>”, rol 9557-2012  (26 de Julio de 2012), considerando 7º</w:t>
      </w:r>
      <w:r w:rsidR="008F4A22">
        <w:t>.</w:t>
      </w:r>
    </w:p>
  </w:footnote>
  <w:footnote w:id="19">
    <w:p w:rsidR="00425C66" w:rsidRDefault="00425C66" w:rsidP="008F4A22">
      <w:pPr>
        <w:pStyle w:val="FootnoteText"/>
        <w:tabs>
          <w:tab w:val="clear" w:pos="1021"/>
          <w:tab w:val="right" w:pos="0"/>
        </w:tabs>
        <w:ind w:left="0" w:right="49" w:firstLine="0"/>
        <w:jc w:val="both"/>
      </w:pPr>
      <w:r>
        <w:rPr>
          <w:rStyle w:val="FootnoteReference"/>
        </w:rPr>
        <w:footnoteRef/>
      </w:r>
      <w:r>
        <w:t xml:space="preserve"> Artículo 8 del PIDESC.</w:t>
      </w:r>
    </w:p>
  </w:footnote>
  <w:footnote w:id="20">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 Miguel, “</w:t>
      </w:r>
      <w:r w:rsidRPr="006F2AED">
        <w:rPr>
          <w:i/>
        </w:rPr>
        <w:t xml:space="preserve">Reyes Espinoza y otros con </w:t>
      </w:r>
      <w:proofErr w:type="spellStart"/>
      <w:r w:rsidRPr="006F2AED">
        <w:rPr>
          <w:i/>
        </w:rPr>
        <w:t>Pavez</w:t>
      </w:r>
      <w:proofErr w:type="spellEnd"/>
      <w:r w:rsidRPr="006F2AED">
        <w:rPr>
          <w:i/>
        </w:rPr>
        <w:t xml:space="preserve"> Rosales y otros</w:t>
      </w:r>
      <w:r>
        <w:t>”, rol 159-2010 (15 de Septiembre de 2010), considerando 12º</w:t>
      </w:r>
      <w:r w:rsidR="008F4A22">
        <w:t>.</w:t>
      </w:r>
    </w:p>
  </w:footnote>
  <w:footnote w:id="21">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Antofagasta, “</w:t>
      </w:r>
      <w:r w:rsidRPr="008D55AB">
        <w:rPr>
          <w:i/>
        </w:rPr>
        <w:t>Verdugo Ortiz y otros con Minera Spencer S.A.</w:t>
      </w:r>
      <w:r>
        <w:t>”, rol 22-2011 (17 de Agosto de 2011), considerando 23º</w:t>
      </w:r>
      <w:r w:rsidR="008F4A22">
        <w:t>.</w:t>
      </w:r>
    </w:p>
  </w:footnote>
  <w:footnote w:id="22">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7F69EF">
        <w:rPr>
          <w:i/>
        </w:rPr>
        <w:t xml:space="preserve">Sindicato de Trabajadores de Empresa </w:t>
      </w:r>
      <w:proofErr w:type="spellStart"/>
      <w:r w:rsidRPr="007F69EF">
        <w:rPr>
          <w:i/>
        </w:rPr>
        <w:t>Promolinks</w:t>
      </w:r>
      <w:proofErr w:type="spellEnd"/>
      <w:r w:rsidRPr="007F69EF">
        <w:rPr>
          <w:i/>
        </w:rPr>
        <w:t xml:space="preserve"> S.</w:t>
      </w:r>
      <w:r>
        <w:rPr>
          <w:i/>
        </w:rPr>
        <w:t xml:space="preserve"> A. con Comercial </w:t>
      </w:r>
      <w:proofErr w:type="spellStart"/>
      <w:r>
        <w:rPr>
          <w:i/>
        </w:rPr>
        <w:t>Promolinks</w:t>
      </w:r>
      <w:proofErr w:type="spellEnd"/>
      <w:r>
        <w:rPr>
          <w:i/>
        </w:rPr>
        <w:t xml:space="preserve"> S.</w:t>
      </w:r>
      <w:r w:rsidRPr="007F69EF">
        <w:rPr>
          <w:i/>
        </w:rPr>
        <w:t>A.</w:t>
      </w:r>
      <w:r>
        <w:t>”, rol 3514-2014 (4 de Diciembre de 2014), considerando 21º</w:t>
      </w:r>
    </w:p>
  </w:footnote>
  <w:footnote w:id="23">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7F69EF">
        <w:rPr>
          <w:i/>
        </w:rPr>
        <w:t xml:space="preserve">Sindicato de Trabajadores de Empresa </w:t>
      </w:r>
      <w:proofErr w:type="spellStart"/>
      <w:r w:rsidRPr="007F69EF">
        <w:rPr>
          <w:i/>
        </w:rPr>
        <w:t>Promolinks</w:t>
      </w:r>
      <w:proofErr w:type="spellEnd"/>
      <w:r w:rsidRPr="007F69EF">
        <w:rPr>
          <w:i/>
        </w:rPr>
        <w:t xml:space="preserve"> S.</w:t>
      </w:r>
      <w:r>
        <w:rPr>
          <w:i/>
        </w:rPr>
        <w:t xml:space="preserve"> A. con Comercial </w:t>
      </w:r>
      <w:proofErr w:type="spellStart"/>
      <w:r>
        <w:rPr>
          <w:i/>
        </w:rPr>
        <w:t>Promolinks</w:t>
      </w:r>
      <w:proofErr w:type="spellEnd"/>
      <w:r>
        <w:rPr>
          <w:i/>
        </w:rPr>
        <w:t xml:space="preserve"> S.</w:t>
      </w:r>
      <w:r w:rsidRPr="007F69EF">
        <w:rPr>
          <w:i/>
        </w:rPr>
        <w:t>A.</w:t>
      </w:r>
      <w:r>
        <w:t>”, considerando 21º</w:t>
      </w:r>
      <w:r w:rsidR="008F4A22">
        <w:t>.</w:t>
      </w:r>
    </w:p>
  </w:footnote>
  <w:footnote w:id="24">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35º</w:t>
      </w:r>
      <w:r w:rsidR="008F4A22">
        <w:t>.</w:t>
      </w:r>
    </w:p>
  </w:footnote>
  <w:footnote w:id="25">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10º</w:t>
      </w:r>
    </w:p>
  </w:footnote>
  <w:footnote w:id="26">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10º</w:t>
      </w:r>
    </w:p>
  </w:footnote>
  <w:footnote w:id="27">
    <w:p w:rsidR="00425C66" w:rsidRDefault="00425C66" w:rsidP="008F4A22">
      <w:pPr>
        <w:pStyle w:val="FootnoteText"/>
        <w:tabs>
          <w:tab w:val="clear" w:pos="1021"/>
          <w:tab w:val="right" w:pos="0"/>
        </w:tabs>
        <w:ind w:left="0" w:right="49" w:firstLine="0"/>
        <w:jc w:val="both"/>
      </w:pPr>
      <w:r>
        <w:rPr>
          <w:rStyle w:val="FootnoteReference"/>
        </w:rPr>
        <w:footnoteRef/>
      </w:r>
      <w:r>
        <w:t xml:space="preserve"> </w:t>
      </w:r>
      <w:r w:rsidRPr="00BF1E51">
        <w:t xml:space="preserve">Corte Suprema, </w:t>
      </w:r>
      <w:r w:rsidRPr="00BF1E51">
        <w:rPr>
          <w:i/>
        </w:rPr>
        <w:t>Sentencia de Unificación de Jurisprudencia</w:t>
      </w:r>
      <w:r>
        <w:t xml:space="preserve">, </w:t>
      </w:r>
      <w:r w:rsidRPr="00BF1E51">
        <w:t>rol 7239-2013</w:t>
      </w:r>
      <w:r>
        <w:t xml:space="preserve"> (11 de Marzo de 2014)</w:t>
      </w:r>
      <w:r w:rsidR="008F4A22">
        <w:t xml:space="preserve">, votos Ministros Blanco y </w:t>
      </w:r>
      <w:proofErr w:type="spellStart"/>
      <w:r w:rsidR="008F4A22">
        <w:t>Ch</w:t>
      </w:r>
      <w:r w:rsidRPr="00BF1E51">
        <w:t>evesich</w:t>
      </w:r>
      <w:proofErr w:type="spellEnd"/>
      <w:r w:rsidR="008F4A22">
        <w:t>.</w:t>
      </w:r>
    </w:p>
  </w:footnote>
  <w:footnote w:id="28">
    <w:p w:rsidR="00425C66" w:rsidRDefault="00425C66" w:rsidP="008F4A22">
      <w:pPr>
        <w:pStyle w:val="FootnoteText"/>
        <w:tabs>
          <w:tab w:val="clear" w:pos="1021"/>
          <w:tab w:val="right" w:pos="0"/>
        </w:tabs>
        <w:ind w:left="0" w:right="49" w:firstLine="0"/>
        <w:jc w:val="both"/>
      </w:pPr>
      <w:r>
        <w:rPr>
          <w:rStyle w:val="FootnoteReference"/>
        </w:rPr>
        <w:footnoteRef/>
      </w:r>
      <w:r>
        <w:t xml:space="preserve"> Artículo 9 del PIDESC.</w:t>
      </w:r>
    </w:p>
  </w:footnote>
  <w:footnote w:id="29">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E32F27">
        <w:rPr>
          <w:i/>
        </w:rPr>
        <w:t>Figueroa Muñoz con Superintendencia de Pensiones</w:t>
      </w:r>
      <w:r>
        <w:t>”, rol 16700-2014 (20 de Noviembre de 2014), considerando 3º</w:t>
      </w:r>
      <w:r w:rsidR="008F4A22">
        <w:t>.</w:t>
      </w:r>
    </w:p>
  </w:footnote>
  <w:footnote w:id="30">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453DBD">
        <w:rPr>
          <w:i/>
        </w:rPr>
        <w:t>Rosas Vergara con Instituto de Normalización Previsional</w:t>
      </w:r>
      <w:r>
        <w:t>”,</w:t>
      </w:r>
      <w:r w:rsidRPr="003A51BB">
        <w:t xml:space="preserve"> rol 22454-2014 (26 de Enero de 2015)</w:t>
      </w:r>
      <w:r>
        <w:t>,</w:t>
      </w:r>
      <w:r w:rsidRPr="00FE0BBA">
        <w:t xml:space="preserve"> </w:t>
      </w:r>
      <w:r>
        <w:t>considerando 1º</w:t>
      </w:r>
      <w:r w:rsidR="008F4A22">
        <w:t>.</w:t>
      </w:r>
    </w:p>
  </w:footnote>
  <w:footnote w:id="31">
    <w:p w:rsidR="00425C66" w:rsidRDefault="00425C66" w:rsidP="008F4A22">
      <w:pPr>
        <w:pStyle w:val="FootnoteText"/>
        <w:tabs>
          <w:tab w:val="clear" w:pos="1021"/>
          <w:tab w:val="right" w:pos="0"/>
        </w:tabs>
        <w:ind w:left="0" w:right="49" w:firstLine="0"/>
        <w:jc w:val="both"/>
      </w:pPr>
      <w:r>
        <w:rPr>
          <w:rStyle w:val="FootnoteReference"/>
        </w:rPr>
        <w:footnoteRef/>
      </w:r>
      <w:r>
        <w:t xml:space="preserve"> </w:t>
      </w:r>
      <w:r w:rsidRPr="00E32F27">
        <w:t>Corte Suprema, “</w:t>
      </w:r>
      <w:r w:rsidRPr="00E32F27">
        <w:rPr>
          <w:i/>
        </w:rPr>
        <w:t>Figueroa Muñoz con Superintendencia de Pensiones</w:t>
      </w:r>
      <w:r w:rsidRPr="00E32F27">
        <w:t>”</w:t>
      </w:r>
      <w:r>
        <w:t>, considerando 12º</w:t>
      </w:r>
      <w:r w:rsidR="008F4A22">
        <w:t>.</w:t>
      </w:r>
    </w:p>
  </w:footnote>
  <w:footnote w:id="32">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9º</w:t>
      </w:r>
      <w:r w:rsidR="008F4A22">
        <w:t>.</w:t>
      </w:r>
    </w:p>
  </w:footnote>
  <w:footnote w:id="33">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E32F27">
        <w:rPr>
          <w:i/>
        </w:rPr>
        <w:t xml:space="preserve">Rosas Vergara con Instituto de </w:t>
      </w:r>
      <w:r w:rsidR="00033F9B" w:rsidRPr="00E32F27">
        <w:rPr>
          <w:i/>
        </w:rPr>
        <w:t>Normalización</w:t>
      </w:r>
      <w:r w:rsidRPr="00E32F27">
        <w:rPr>
          <w:i/>
        </w:rPr>
        <w:t xml:space="preserve"> Previsional</w:t>
      </w:r>
      <w:r>
        <w:t xml:space="preserve">”, considerando 2º voto ministras señoras </w:t>
      </w:r>
      <w:proofErr w:type="spellStart"/>
      <w:r>
        <w:t>Chevesich</w:t>
      </w:r>
      <w:proofErr w:type="spellEnd"/>
      <w:r>
        <w:t xml:space="preserve"> y Muñoz</w:t>
      </w:r>
      <w:r w:rsidR="008F4A22">
        <w:t>.</w:t>
      </w:r>
    </w:p>
  </w:footnote>
  <w:footnote w:id="34">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w:t>
      </w:r>
      <w:r w:rsidRPr="00E32F27">
        <w:rPr>
          <w:i/>
        </w:rPr>
        <w:t>Figueroa Muñoz con Superintendencia de Pensiones</w:t>
      </w:r>
      <w:r>
        <w:t>”, considerando 3º</w:t>
      </w:r>
      <w:r w:rsidR="008F4A22">
        <w:t>.</w:t>
      </w:r>
    </w:p>
  </w:footnote>
  <w:footnote w:id="35">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9º</w:t>
      </w:r>
      <w:r w:rsidR="008F4A22">
        <w:t>.</w:t>
      </w:r>
    </w:p>
  </w:footnote>
  <w:footnote w:id="36">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Suprema, considerando 9º</w:t>
      </w:r>
      <w:r w:rsidR="008F4A22">
        <w:t>.</w:t>
      </w:r>
    </w:p>
  </w:footnote>
  <w:footnote w:id="37">
    <w:p w:rsidR="00425C66" w:rsidRDefault="00425C66" w:rsidP="008F4A22">
      <w:pPr>
        <w:pStyle w:val="FootnoteText"/>
        <w:tabs>
          <w:tab w:val="clear" w:pos="1021"/>
          <w:tab w:val="right" w:pos="0"/>
        </w:tabs>
        <w:ind w:left="0" w:right="49" w:firstLine="0"/>
        <w:jc w:val="both"/>
      </w:pPr>
      <w:r>
        <w:rPr>
          <w:rStyle w:val="FootnoteReference"/>
        </w:rPr>
        <w:footnoteRef/>
      </w:r>
      <w:r>
        <w:t xml:space="preserve"> Artículo 11 del PIDESC.</w:t>
      </w:r>
    </w:p>
  </w:footnote>
  <w:footnote w:id="38">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Valdivia, “</w:t>
      </w:r>
      <w:r w:rsidRPr="0061210B">
        <w:rPr>
          <w:i/>
        </w:rPr>
        <w:t xml:space="preserve">Garcés </w:t>
      </w:r>
      <w:proofErr w:type="spellStart"/>
      <w:r w:rsidRPr="0061210B">
        <w:rPr>
          <w:i/>
        </w:rPr>
        <w:t>Garcés</w:t>
      </w:r>
      <w:proofErr w:type="spellEnd"/>
      <w:r w:rsidRPr="0061210B">
        <w:rPr>
          <w:i/>
        </w:rPr>
        <w:t xml:space="preserve"> con Hogar Fundación Mi Casa</w:t>
      </w:r>
      <w:r>
        <w:t>”, rol 178-2008 (19 de Marzo de 2008), considerando 8º</w:t>
      </w:r>
      <w:r w:rsidR="008F4A22">
        <w:t>.</w:t>
      </w:r>
    </w:p>
  </w:footnote>
  <w:footnote w:id="39">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 Miguel, “</w:t>
      </w:r>
      <w:r w:rsidRPr="00591227">
        <w:rPr>
          <w:i/>
        </w:rPr>
        <w:t xml:space="preserve">Reyes Barraza </w:t>
      </w:r>
      <w:r>
        <w:rPr>
          <w:i/>
        </w:rPr>
        <w:t>con</w:t>
      </w:r>
      <w:r w:rsidRPr="00591227">
        <w:rPr>
          <w:i/>
        </w:rPr>
        <w:t xml:space="preserve"> Aguas Andina S.A.</w:t>
      </w:r>
      <w:r>
        <w:t>”, rol 101-2011 (14 de Octubre de 2011), considerando 3º</w:t>
      </w:r>
      <w:r w:rsidR="008F4A22">
        <w:t>.</w:t>
      </w:r>
    </w:p>
  </w:footnote>
  <w:footnote w:id="40">
    <w:p w:rsidR="00425C66" w:rsidRDefault="00425C66" w:rsidP="008F4A22">
      <w:pPr>
        <w:pStyle w:val="FootnoteText"/>
        <w:tabs>
          <w:tab w:val="clear" w:pos="1021"/>
          <w:tab w:val="right" w:pos="0"/>
        </w:tabs>
        <w:ind w:left="0" w:right="49" w:firstLine="0"/>
        <w:jc w:val="both"/>
      </w:pPr>
      <w:r>
        <w:rPr>
          <w:rStyle w:val="FootnoteReference"/>
        </w:rPr>
        <w:footnoteRef/>
      </w:r>
      <w:r>
        <w:t xml:space="preserve"> Corte de Apelaciones de San Miguel, “</w:t>
      </w:r>
      <w:r>
        <w:rPr>
          <w:i/>
        </w:rPr>
        <w:t xml:space="preserve">Orellana Aranda con </w:t>
      </w:r>
      <w:r w:rsidRPr="00591227">
        <w:rPr>
          <w:i/>
        </w:rPr>
        <w:t>Aranda Orellana</w:t>
      </w:r>
      <w:r>
        <w:t>”, rol 113-2012 (8 de Junio de 2012), considerando 8º</w:t>
      </w:r>
      <w:r w:rsidR="008F4A22">
        <w:t>.</w:t>
      </w:r>
    </w:p>
  </w:footnote>
  <w:footnote w:id="41">
    <w:p w:rsidR="00425C66" w:rsidRDefault="00425C66" w:rsidP="00656E39">
      <w:pPr>
        <w:pStyle w:val="FootnoteText"/>
        <w:tabs>
          <w:tab w:val="left" w:pos="8789"/>
        </w:tabs>
        <w:ind w:right="49"/>
        <w:jc w:val="both"/>
      </w:pPr>
      <w:r>
        <w:rPr>
          <w:rStyle w:val="FootnoteReference"/>
        </w:rPr>
        <w:footnoteRef/>
      </w:r>
      <w:r>
        <w:t xml:space="preserve"> Corte de Apelaciones de San Miguel, “</w:t>
      </w:r>
      <w:r>
        <w:rPr>
          <w:i/>
        </w:rPr>
        <w:t xml:space="preserve">Orellana Aranda con </w:t>
      </w:r>
      <w:r w:rsidRPr="00591227">
        <w:rPr>
          <w:i/>
        </w:rPr>
        <w:t>Aranda Orellana</w:t>
      </w:r>
      <w:r>
        <w:t>”, considerando 8º</w:t>
      </w:r>
    </w:p>
  </w:footnote>
  <w:footnote w:id="42">
    <w:p w:rsidR="00425C66" w:rsidRDefault="00425C66" w:rsidP="00656E39">
      <w:pPr>
        <w:pStyle w:val="FootnoteText"/>
        <w:tabs>
          <w:tab w:val="left" w:pos="8789"/>
        </w:tabs>
        <w:ind w:right="49"/>
        <w:jc w:val="both"/>
      </w:pPr>
      <w:r>
        <w:rPr>
          <w:rStyle w:val="FootnoteReference"/>
        </w:rPr>
        <w:footnoteRef/>
      </w:r>
      <w:r>
        <w:t xml:space="preserve"> </w:t>
      </w:r>
      <w:r w:rsidRPr="00591227">
        <w:t>Corte de Apelaciones de San Miguel</w:t>
      </w:r>
      <w:r>
        <w:t>,</w:t>
      </w:r>
      <w:r w:rsidRPr="00591227">
        <w:t xml:space="preserve"> </w:t>
      </w:r>
      <w:r>
        <w:t>considerando 8º.</w:t>
      </w:r>
    </w:p>
  </w:footnote>
  <w:footnote w:id="43">
    <w:p w:rsidR="00425C66" w:rsidRDefault="00425C66" w:rsidP="00656E39">
      <w:pPr>
        <w:pStyle w:val="FootnoteText"/>
        <w:tabs>
          <w:tab w:val="left" w:pos="8789"/>
        </w:tabs>
        <w:ind w:right="49"/>
        <w:jc w:val="both"/>
      </w:pPr>
      <w:r>
        <w:rPr>
          <w:rStyle w:val="FootnoteReference"/>
        </w:rPr>
        <w:footnoteRef/>
      </w:r>
      <w:r>
        <w:t xml:space="preserve"> </w:t>
      </w:r>
      <w:r w:rsidRPr="00591227">
        <w:t>Corte de Apelaciones de San Miguel</w:t>
      </w:r>
      <w:r>
        <w:t>,</w:t>
      </w:r>
      <w:r w:rsidRPr="00591227">
        <w:t xml:space="preserve"> </w:t>
      </w:r>
      <w:r>
        <w:t>considerando 8º.</w:t>
      </w:r>
    </w:p>
  </w:footnote>
  <w:footnote w:id="44">
    <w:p w:rsidR="00425C66" w:rsidRDefault="00425C66" w:rsidP="00656E39">
      <w:pPr>
        <w:pStyle w:val="FootnoteText"/>
        <w:tabs>
          <w:tab w:val="left" w:pos="8789"/>
        </w:tabs>
        <w:ind w:right="49"/>
      </w:pPr>
      <w:r>
        <w:rPr>
          <w:rStyle w:val="FootnoteReference"/>
        </w:rPr>
        <w:footnoteRef/>
      </w:r>
      <w:r>
        <w:t xml:space="preserve"> </w:t>
      </w:r>
      <w:r w:rsidRPr="00E047D4">
        <w:t>Corte de Apelaciones de San Miguel, “</w:t>
      </w:r>
      <w:r w:rsidRPr="00E047D4">
        <w:rPr>
          <w:i/>
        </w:rPr>
        <w:t>Reyes Barraza con Aguas Andina S.A.</w:t>
      </w:r>
      <w:r w:rsidRPr="00E047D4">
        <w:t>”</w:t>
      </w:r>
      <w:r>
        <w:t>, considerando 9</w:t>
      </w:r>
      <w:r w:rsidRPr="00E047D4">
        <w:t>º</w:t>
      </w:r>
    </w:p>
  </w:footnote>
  <w:footnote w:id="45">
    <w:p w:rsidR="00425C66" w:rsidRDefault="00425C66" w:rsidP="00656E39">
      <w:pPr>
        <w:pStyle w:val="FootnoteText"/>
        <w:tabs>
          <w:tab w:val="left" w:pos="8789"/>
        </w:tabs>
        <w:ind w:right="49"/>
        <w:jc w:val="both"/>
      </w:pPr>
      <w:r>
        <w:rPr>
          <w:rStyle w:val="FootnoteReference"/>
        </w:rPr>
        <w:footnoteRef/>
      </w:r>
      <w:r>
        <w:t xml:space="preserve"> </w:t>
      </w:r>
      <w:r w:rsidRPr="0061210B">
        <w:t>CESCR</w:t>
      </w:r>
      <w:r>
        <w:t>,</w:t>
      </w:r>
      <w:r w:rsidRPr="0061210B">
        <w:t xml:space="preserve"> </w:t>
      </w:r>
      <w:r>
        <w:t xml:space="preserve">`Observaciones finales del Comité de Derechos Económicos, Sociales y Culturales, Chile`, </w:t>
      </w:r>
      <w:proofErr w:type="spellStart"/>
      <w:r>
        <w:t>párra</w:t>
      </w:r>
      <w:proofErr w:type="spellEnd"/>
      <w:r>
        <w:t xml:space="preserve"> 12</w:t>
      </w:r>
    </w:p>
  </w:footnote>
  <w:footnote w:id="46">
    <w:p w:rsidR="00425C66" w:rsidRDefault="00425C66" w:rsidP="00656E39">
      <w:pPr>
        <w:pStyle w:val="FootnoteText"/>
        <w:tabs>
          <w:tab w:val="clear" w:pos="1021"/>
          <w:tab w:val="right" w:pos="0"/>
        </w:tabs>
        <w:ind w:left="0" w:right="-93" w:firstLine="0"/>
        <w:jc w:val="both"/>
      </w:pPr>
      <w:r>
        <w:rPr>
          <w:rStyle w:val="FootnoteReference"/>
        </w:rPr>
        <w:footnoteRef/>
      </w:r>
      <w:r>
        <w:t xml:space="preserve"> Corte de Apelaciones de Temuco, “</w:t>
      </w:r>
      <w:r>
        <w:rPr>
          <w:i/>
        </w:rPr>
        <w:t>Figueroa Jara y otros con</w:t>
      </w:r>
      <w:r w:rsidRPr="00083F58">
        <w:rPr>
          <w:i/>
        </w:rPr>
        <w:t xml:space="preserve"> Desarrollos Comerciales S.A</w:t>
      </w:r>
      <w:r>
        <w:rPr>
          <w:i/>
        </w:rPr>
        <w:t>.</w:t>
      </w:r>
      <w:r>
        <w:t>”, rol 8828-2013 (21 de Julio de 2014), considerando 6º</w:t>
      </w:r>
      <w:r w:rsidR="00656E39">
        <w:t>.</w:t>
      </w:r>
    </w:p>
  </w:footnote>
  <w:footnote w:id="47">
    <w:p w:rsidR="00425C66" w:rsidRDefault="00425C66" w:rsidP="00656E39">
      <w:pPr>
        <w:pStyle w:val="FootnoteText"/>
        <w:tabs>
          <w:tab w:val="clear" w:pos="1021"/>
          <w:tab w:val="right" w:pos="0"/>
        </w:tabs>
        <w:ind w:left="0" w:right="-93" w:firstLine="0"/>
        <w:jc w:val="both"/>
      </w:pPr>
      <w:r>
        <w:rPr>
          <w:rStyle w:val="FootnoteReference"/>
        </w:rPr>
        <w:footnoteRef/>
      </w:r>
      <w:r>
        <w:t xml:space="preserve"> Corte de Apelaciones de Temuco, “</w:t>
      </w:r>
      <w:r>
        <w:rPr>
          <w:i/>
        </w:rPr>
        <w:t>Figueroa Jara y otros con</w:t>
      </w:r>
      <w:r w:rsidRPr="00083F58">
        <w:rPr>
          <w:i/>
        </w:rPr>
        <w:t xml:space="preserve"> Desarrollos Comerciales S.A</w:t>
      </w:r>
      <w:r>
        <w:rPr>
          <w:i/>
        </w:rPr>
        <w:t>.</w:t>
      </w:r>
      <w:r>
        <w:t>”, considerando 6º</w:t>
      </w:r>
    </w:p>
  </w:footnote>
  <w:footnote w:id="48">
    <w:p w:rsidR="00425C66" w:rsidRDefault="00425C66" w:rsidP="00656E39">
      <w:pPr>
        <w:pStyle w:val="FootnoteText"/>
        <w:tabs>
          <w:tab w:val="clear" w:pos="1021"/>
          <w:tab w:val="right" w:pos="0"/>
        </w:tabs>
        <w:ind w:left="0" w:right="-93" w:firstLine="0"/>
        <w:jc w:val="both"/>
      </w:pPr>
      <w:r>
        <w:rPr>
          <w:rStyle w:val="FootnoteReference"/>
        </w:rPr>
        <w:footnoteRef/>
      </w:r>
      <w:r>
        <w:t xml:space="preserve"> </w:t>
      </w:r>
      <w:r w:rsidRPr="003A51BB">
        <w:t>Corte de Apelaciones de Temuco</w:t>
      </w:r>
      <w:r>
        <w:t>, considerando 6º</w:t>
      </w:r>
      <w:r w:rsidR="00656E39">
        <w:t>.</w:t>
      </w:r>
    </w:p>
  </w:footnote>
  <w:footnote w:id="49">
    <w:p w:rsidR="00425C66" w:rsidRPr="00EA7C9A" w:rsidRDefault="00425C66" w:rsidP="00656E39">
      <w:pPr>
        <w:pStyle w:val="FootnoteText"/>
        <w:tabs>
          <w:tab w:val="clear" w:pos="1021"/>
          <w:tab w:val="right" w:pos="0"/>
        </w:tabs>
        <w:ind w:left="0" w:right="-93" w:firstLine="0"/>
        <w:rPr>
          <w:highlight w:val="yellow"/>
        </w:rPr>
      </w:pPr>
      <w:r w:rsidRPr="00A0323F">
        <w:rPr>
          <w:rStyle w:val="FootnoteReference"/>
        </w:rPr>
        <w:footnoteRef/>
      </w:r>
      <w:r w:rsidRPr="00A0323F">
        <w:t xml:space="preserve"> Corte de Apelaciones de Temuco, considerando 6º</w:t>
      </w:r>
      <w:r w:rsidR="00656E39">
        <w:t>.</w:t>
      </w:r>
    </w:p>
  </w:footnote>
  <w:footnote w:id="50">
    <w:p w:rsidR="00425C66" w:rsidRDefault="00425C66" w:rsidP="00656E39">
      <w:pPr>
        <w:pStyle w:val="FootnoteText"/>
        <w:tabs>
          <w:tab w:val="clear" w:pos="1021"/>
          <w:tab w:val="right" w:pos="0"/>
        </w:tabs>
        <w:ind w:left="0" w:right="-93" w:firstLine="0"/>
      </w:pPr>
      <w:r w:rsidRPr="00A0323F">
        <w:rPr>
          <w:rStyle w:val="FootnoteReference"/>
        </w:rPr>
        <w:footnoteRef/>
      </w:r>
      <w:r w:rsidRPr="00A0323F">
        <w:t xml:space="preserve"> </w:t>
      </w:r>
      <w:r w:rsidR="00656E39">
        <w:t>ibíd.</w:t>
      </w:r>
    </w:p>
  </w:footnote>
  <w:footnote w:id="51">
    <w:p w:rsidR="00425C66" w:rsidRDefault="00425C66" w:rsidP="00656E39">
      <w:pPr>
        <w:pStyle w:val="FootnoteText"/>
        <w:tabs>
          <w:tab w:val="clear" w:pos="1021"/>
          <w:tab w:val="right" w:pos="0"/>
        </w:tabs>
        <w:ind w:left="0" w:right="-93" w:firstLine="0"/>
        <w:jc w:val="both"/>
      </w:pPr>
      <w:r>
        <w:rPr>
          <w:rStyle w:val="FootnoteReference"/>
        </w:rPr>
        <w:footnoteRef/>
      </w:r>
      <w:r>
        <w:t xml:space="preserve"> Artículo 12 del PIDESC.</w:t>
      </w:r>
    </w:p>
  </w:footnote>
  <w:footnote w:id="52">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C07E64">
        <w:rPr>
          <w:i/>
        </w:rPr>
        <w:t>Salvi</w:t>
      </w:r>
      <w:proofErr w:type="spellEnd"/>
      <w:r w:rsidRPr="00C07E64">
        <w:rPr>
          <w:i/>
        </w:rPr>
        <w:t xml:space="preserve"> Fernández con </w:t>
      </w:r>
      <w:proofErr w:type="spellStart"/>
      <w:r w:rsidRPr="00C07E64">
        <w:rPr>
          <w:i/>
        </w:rPr>
        <w:t>Isapre</w:t>
      </w:r>
      <w:proofErr w:type="spellEnd"/>
      <w:r w:rsidRPr="00C07E64">
        <w:rPr>
          <w:i/>
        </w:rPr>
        <w:t xml:space="preserve"> </w:t>
      </w:r>
      <w:proofErr w:type="spellStart"/>
      <w:r w:rsidRPr="00C07E64">
        <w:rPr>
          <w:i/>
        </w:rPr>
        <w:t>Banmédica</w:t>
      </w:r>
      <w:proofErr w:type="spellEnd"/>
      <w:r w:rsidRPr="00C07E64">
        <w:rPr>
          <w:i/>
        </w:rPr>
        <w:t xml:space="preserve"> S.A.</w:t>
      </w:r>
      <w:r>
        <w:t xml:space="preserve">”, rol 4511-2009 (24 de Septiembre de 2009), considerando 2º voto ministros señores Pozo y Ruiz </w:t>
      </w:r>
    </w:p>
  </w:footnote>
  <w:footnote w:id="53">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C07E64">
        <w:rPr>
          <w:i/>
        </w:rPr>
        <w:t>Salvi</w:t>
      </w:r>
      <w:proofErr w:type="spellEnd"/>
      <w:r w:rsidRPr="00C07E64">
        <w:rPr>
          <w:i/>
        </w:rPr>
        <w:t xml:space="preserve"> Fernández con </w:t>
      </w:r>
      <w:proofErr w:type="spellStart"/>
      <w:r w:rsidRPr="00C07E64">
        <w:rPr>
          <w:i/>
        </w:rPr>
        <w:t>Isapre</w:t>
      </w:r>
      <w:proofErr w:type="spellEnd"/>
      <w:r w:rsidRPr="00C07E64">
        <w:rPr>
          <w:i/>
        </w:rPr>
        <w:t xml:space="preserve"> </w:t>
      </w:r>
      <w:proofErr w:type="spellStart"/>
      <w:r w:rsidRPr="00C07E64">
        <w:rPr>
          <w:i/>
        </w:rPr>
        <w:t>Banmédica</w:t>
      </w:r>
      <w:proofErr w:type="spellEnd"/>
      <w:r w:rsidRPr="00C07E64">
        <w:rPr>
          <w:i/>
        </w:rPr>
        <w:t xml:space="preserve"> S.A.</w:t>
      </w:r>
      <w:r>
        <w:t xml:space="preserve">”, </w:t>
      </w:r>
      <w:r w:rsidRPr="00C07E64">
        <w:t xml:space="preserve">considerando </w:t>
      </w:r>
      <w:r>
        <w:t>6º</w:t>
      </w:r>
      <w:r w:rsidRPr="00C07E64">
        <w:t xml:space="preserve"> vot</w:t>
      </w:r>
      <w:r>
        <w:t>o ministros señores Pozo y Ruiz</w:t>
      </w:r>
    </w:p>
  </w:footnote>
  <w:footnote w:id="54">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de Apelaciones de Santiago, “</w:t>
      </w:r>
      <w:proofErr w:type="spellStart"/>
      <w:r w:rsidRPr="00685DB2">
        <w:rPr>
          <w:i/>
        </w:rPr>
        <w:t>Siares</w:t>
      </w:r>
      <w:proofErr w:type="spellEnd"/>
      <w:r w:rsidRPr="00685DB2">
        <w:rPr>
          <w:i/>
        </w:rPr>
        <w:t xml:space="preserve"> González con </w:t>
      </w:r>
      <w:proofErr w:type="spellStart"/>
      <w:r w:rsidRPr="00685DB2">
        <w:rPr>
          <w:i/>
        </w:rPr>
        <w:t>Isapre</w:t>
      </w:r>
      <w:proofErr w:type="spellEnd"/>
      <w:r w:rsidRPr="00685DB2">
        <w:rPr>
          <w:i/>
        </w:rPr>
        <w:t xml:space="preserve"> </w:t>
      </w:r>
      <w:proofErr w:type="spellStart"/>
      <w:r w:rsidRPr="00685DB2">
        <w:rPr>
          <w:i/>
        </w:rPr>
        <w:t>Consalud</w:t>
      </w:r>
      <w:proofErr w:type="spellEnd"/>
      <w:r w:rsidRPr="00685DB2">
        <w:rPr>
          <w:i/>
        </w:rPr>
        <w:t xml:space="preserve"> S.A</w:t>
      </w:r>
      <w:r>
        <w:t>.”, rol 1377-2009 (25 de Marzo de 2010), voto ministro señor Cerda.</w:t>
      </w:r>
    </w:p>
  </w:footnote>
  <w:footnote w:id="55">
    <w:p w:rsidR="00425C66" w:rsidRDefault="00425C66" w:rsidP="00656E39">
      <w:pPr>
        <w:pStyle w:val="FootnoteText"/>
        <w:tabs>
          <w:tab w:val="clear" w:pos="1021"/>
          <w:tab w:val="right" w:pos="0"/>
        </w:tabs>
        <w:ind w:left="0" w:right="49" w:firstLine="0"/>
        <w:jc w:val="both"/>
      </w:pPr>
      <w:r>
        <w:rPr>
          <w:rStyle w:val="FootnoteReference"/>
        </w:rPr>
        <w:footnoteRef/>
      </w:r>
      <w:r>
        <w:t xml:space="preserve"> Información elaborada por la Corporación Administrativa del Poder Judicial entre el 1 de Enero y 10 de Julio de 2014.</w:t>
      </w:r>
    </w:p>
  </w:footnote>
  <w:footnote w:id="56">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r w:rsidRPr="009176B5">
        <w:rPr>
          <w:i/>
        </w:rPr>
        <w:t xml:space="preserve">Serrano </w:t>
      </w:r>
      <w:proofErr w:type="spellStart"/>
      <w:r w:rsidRPr="009176B5">
        <w:rPr>
          <w:i/>
        </w:rPr>
        <w:t>Beyer</w:t>
      </w:r>
      <w:proofErr w:type="spellEnd"/>
      <w:r w:rsidRPr="009176B5">
        <w:rPr>
          <w:i/>
        </w:rPr>
        <w:t xml:space="preserve"> con </w:t>
      </w:r>
      <w:proofErr w:type="spellStart"/>
      <w:r w:rsidRPr="009176B5">
        <w:rPr>
          <w:i/>
        </w:rPr>
        <w:t>Isapre</w:t>
      </w:r>
      <w:proofErr w:type="spellEnd"/>
      <w:r w:rsidRPr="009176B5">
        <w:rPr>
          <w:i/>
        </w:rPr>
        <w:t xml:space="preserve"> Cruz Blanca S.A.”,</w:t>
      </w:r>
      <w:r>
        <w:t xml:space="preserve"> rol 2904-2013 (29 de Junio de 2013), considerando 5º</w:t>
      </w:r>
      <w:r w:rsidR="00656E39">
        <w:t>.</w:t>
      </w:r>
    </w:p>
  </w:footnote>
  <w:footnote w:id="57">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r w:rsidRPr="009176B5">
        <w:rPr>
          <w:i/>
        </w:rPr>
        <w:t xml:space="preserve">Serrano </w:t>
      </w:r>
      <w:proofErr w:type="spellStart"/>
      <w:r w:rsidRPr="009176B5">
        <w:rPr>
          <w:i/>
        </w:rPr>
        <w:t>Beyer</w:t>
      </w:r>
      <w:proofErr w:type="spellEnd"/>
      <w:r w:rsidRPr="009176B5">
        <w:rPr>
          <w:i/>
        </w:rPr>
        <w:t xml:space="preserve"> con </w:t>
      </w:r>
      <w:proofErr w:type="spellStart"/>
      <w:r w:rsidRPr="009176B5">
        <w:rPr>
          <w:i/>
        </w:rPr>
        <w:t>Isapre</w:t>
      </w:r>
      <w:proofErr w:type="spellEnd"/>
      <w:r w:rsidRPr="009176B5">
        <w:rPr>
          <w:i/>
        </w:rPr>
        <w:t xml:space="preserve"> Cruz Blanca S.A.”,</w:t>
      </w:r>
      <w:r>
        <w:t xml:space="preserve"> considerando 6º</w:t>
      </w:r>
      <w:r w:rsidR="00656E39">
        <w:t>.</w:t>
      </w:r>
    </w:p>
  </w:footnote>
  <w:footnote w:id="58">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r w:rsidRPr="008475F9">
        <w:rPr>
          <w:i/>
        </w:rPr>
        <w:t xml:space="preserve">Alegría Ortiz con Hospital Barros Luco </w:t>
      </w:r>
      <w:proofErr w:type="spellStart"/>
      <w:r w:rsidRPr="008475F9">
        <w:rPr>
          <w:i/>
        </w:rPr>
        <w:t>Trudeau</w:t>
      </w:r>
      <w:proofErr w:type="spellEnd"/>
      <w:r w:rsidRPr="008475F9">
        <w:rPr>
          <w:i/>
        </w:rPr>
        <w:t xml:space="preserve"> y otro</w:t>
      </w:r>
      <w:r>
        <w:t>”, rol 4114-2013 (18 de Julio de 2013), considerando 7º.</w:t>
      </w:r>
    </w:p>
  </w:footnote>
  <w:footnote w:id="59">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8475F9">
        <w:t>Corte Suprema, “</w:t>
      </w:r>
      <w:r w:rsidRPr="008475F9">
        <w:rPr>
          <w:i/>
        </w:rPr>
        <w:t xml:space="preserve">Alegría Ortiz con Hospital Barros Luco </w:t>
      </w:r>
      <w:proofErr w:type="spellStart"/>
      <w:r w:rsidRPr="008475F9">
        <w:rPr>
          <w:i/>
        </w:rPr>
        <w:t>Trudeau</w:t>
      </w:r>
      <w:proofErr w:type="spellEnd"/>
      <w:r w:rsidRPr="008475F9">
        <w:rPr>
          <w:i/>
        </w:rPr>
        <w:t xml:space="preserve"> y otro</w:t>
      </w:r>
      <w:r w:rsidRPr="008475F9">
        <w:t xml:space="preserve">”, </w:t>
      </w:r>
      <w:r>
        <w:t>considerando 8º.</w:t>
      </w:r>
    </w:p>
  </w:footnote>
  <w:footnote w:id="60">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considerando 10º</w:t>
      </w:r>
      <w:r w:rsidR="00656E39">
        <w:t>.</w:t>
      </w:r>
    </w:p>
  </w:footnote>
  <w:footnote w:id="61">
    <w:p w:rsidR="00425C66" w:rsidRDefault="00425C66" w:rsidP="00656E39">
      <w:pPr>
        <w:pStyle w:val="FootnoteText"/>
        <w:tabs>
          <w:tab w:val="clear" w:pos="1021"/>
          <w:tab w:val="right" w:pos="0"/>
        </w:tabs>
        <w:ind w:left="0" w:right="49" w:firstLine="0"/>
        <w:jc w:val="both"/>
      </w:pPr>
      <w:r>
        <w:rPr>
          <w:rStyle w:val="FootnoteReference"/>
        </w:rPr>
        <w:footnoteRef/>
      </w:r>
      <w:r>
        <w:t xml:space="preserve"> Artículo 13 y 14 del PIDESC</w:t>
      </w:r>
      <w:r w:rsidR="00656E39">
        <w:t>.</w:t>
      </w:r>
    </w:p>
  </w:footnote>
  <w:footnote w:id="62">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B27996">
        <w:t>Corte Suprema, “</w:t>
      </w:r>
      <w:proofErr w:type="spellStart"/>
      <w:r w:rsidRPr="00B27996">
        <w:rPr>
          <w:i/>
        </w:rPr>
        <w:t>Fuchslocher</w:t>
      </w:r>
      <w:proofErr w:type="spellEnd"/>
      <w:r w:rsidRPr="00B27996">
        <w:rPr>
          <w:i/>
        </w:rPr>
        <w:t xml:space="preserve"> </w:t>
      </w:r>
      <w:proofErr w:type="spellStart"/>
      <w:r w:rsidRPr="00B27996">
        <w:rPr>
          <w:i/>
        </w:rPr>
        <w:t>Bertolo</w:t>
      </w:r>
      <w:proofErr w:type="spellEnd"/>
      <w:r w:rsidRPr="00B27996">
        <w:rPr>
          <w:i/>
        </w:rPr>
        <w:t xml:space="preserve"> con Colegio Internacional SEK Chile S.A.</w:t>
      </w:r>
      <w:r w:rsidRPr="00B27996">
        <w:t>”</w:t>
      </w:r>
      <w:r>
        <w:t>, rol 3015-2013 (1 de Abril de 2013), considerando 6º</w:t>
      </w:r>
      <w:r w:rsidR="00656E39">
        <w:t>.</w:t>
      </w:r>
    </w:p>
  </w:footnote>
  <w:footnote w:id="63">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CF7B74">
        <w:rPr>
          <w:i/>
        </w:rPr>
        <w:t>Fuchslocher</w:t>
      </w:r>
      <w:proofErr w:type="spellEnd"/>
      <w:r w:rsidRPr="00CF7B74">
        <w:rPr>
          <w:i/>
        </w:rPr>
        <w:t xml:space="preserve"> </w:t>
      </w:r>
      <w:proofErr w:type="spellStart"/>
      <w:r w:rsidRPr="00CF7B74">
        <w:rPr>
          <w:i/>
        </w:rPr>
        <w:t>Bertolo</w:t>
      </w:r>
      <w:proofErr w:type="spellEnd"/>
      <w:r w:rsidRPr="00CF7B74">
        <w:rPr>
          <w:i/>
        </w:rPr>
        <w:t xml:space="preserve"> con Colegio Internacional SEK Chile S.A.</w:t>
      </w:r>
      <w:r>
        <w:t>”, considerando 5º</w:t>
      </w:r>
      <w:r w:rsidR="00656E39">
        <w:t>.</w:t>
      </w:r>
    </w:p>
  </w:footnote>
  <w:footnote w:id="64">
    <w:p w:rsidR="00425C66" w:rsidRDefault="00425C66" w:rsidP="00656E39">
      <w:pPr>
        <w:pStyle w:val="FootnoteText"/>
        <w:tabs>
          <w:tab w:val="clear" w:pos="1021"/>
          <w:tab w:val="right" w:pos="0"/>
        </w:tabs>
        <w:ind w:left="0" w:right="49" w:firstLine="0"/>
      </w:pPr>
      <w:r>
        <w:rPr>
          <w:rStyle w:val="FootnoteReference"/>
        </w:rPr>
        <w:footnoteRef/>
      </w:r>
      <w:r>
        <w:t xml:space="preserve"> </w:t>
      </w:r>
      <w:r w:rsidRPr="00B1531F">
        <w:t xml:space="preserve">Corte Suprema, </w:t>
      </w:r>
      <w:r>
        <w:t>considerando 13º</w:t>
      </w:r>
      <w:r w:rsidR="00656E39">
        <w:t>.</w:t>
      </w:r>
    </w:p>
  </w:footnote>
  <w:footnote w:id="65">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8144EE">
        <w:t>Corte Suprema, “</w:t>
      </w:r>
      <w:proofErr w:type="spellStart"/>
      <w:r w:rsidRPr="0030188E">
        <w:rPr>
          <w:i/>
        </w:rPr>
        <w:t>Montecino</w:t>
      </w:r>
      <w:proofErr w:type="spellEnd"/>
      <w:r w:rsidRPr="0030188E">
        <w:rPr>
          <w:i/>
        </w:rPr>
        <w:t xml:space="preserve"> Byron con Escuela </w:t>
      </w:r>
      <w:proofErr w:type="spellStart"/>
      <w:r w:rsidRPr="0030188E">
        <w:rPr>
          <w:i/>
        </w:rPr>
        <w:t>Felmer</w:t>
      </w:r>
      <w:proofErr w:type="spellEnd"/>
      <w:r w:rsidRPr="0030188E">
        <w:rPr>
          <w:i/>
        </w:rPr>
        <w:t xml:space="preserve"> </w:t>
      </w:r>
      <w:proofErr w:type="spellStart"/>
      <w:r w:rsidRPr="0030188E">
        <w:rPr>
          <w:i/>
        </w:rPr>
        <w:t>Niklitschek</w:t>
      </w:r>
      <w:proofErr w:type="spellEnd"/>
      <w:r w:rsidRPr="008144EE">
        <w:t>”</w:t>
      </w:r>
      <w:r>
        <w:t>, rol 1084-2009 (16 de Abril de 2009), considerando 3º</w:t>
      </w:r>
      <w:r w:rsidR="00656E39">
        <w:t>.</w:t>
      </w:r>
    </w:p>
  </w:footnote>
  <w:footnote w:id="66">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8144EE">
        <w:t>Corte Suprema, “</w:t>
      </w:r>
      <w:proofErr w:type="spellStart"/>
      <w:r w:rsidRPr="0030188E">
        <w:rPr>
          <w:i/>
        </w:rPr>
        <w:t>Montecino</w:t>
      </w:r>
      <w:proofErr w:type="spellEnd"/>
      <w:r w:rsidRPr="0030188E">
        <w:rPr>
          <w:i/>
        </w:rPr>
        <w:t xml:space="preserve"> Byron con Escuela </w:t>
      </w:r>
      <w:proofErr w:type="spellStart"/>
      <w:r w:rsidRPr="0030188E">
        <w:rPr>
          <w:i/>
        </w:rPr>
        <w:t>Felmer</w:t>
      </w:r>
      <w:proofErr w:type="spellEnd"/>
      <w:r w:rsidRPr="0030188E">
        <w:rPr>
          <w:i/>
        </w:rPr>
        <w:t xml:space="preserve"> </w:t>
      </w:r>
      <w:proofErr w:type="spellStart"/>
      <w:r w:rsidRPr="0030188E">
        <w:rPr>
          <w:i/>
        </w:rPr>
        <w:t>Niklitschek</w:t>
      </w:r>
      <w:proofErr w:type="spellEnd"/>
      <w:r w:rsidRPr="008144EE">
        <w:t>”</w:t>
      </w:r>
      <w:r>
        <w:t>, considerando 5º</w:t>
      </w:r>
      <w:r w:rsidR="00656E39">
        <w:t>.</w:t>
      </w:r>
    </w:p>
  </w:footnote>
  <w:footnote w:id="67">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r w:rsidRPr="007E196C">
        <w:rPr>
          <w:i/>
        </w:rPr>
        <w:t>Espinosa Bustos y otra con Sociedad Educacional Loyola S.A.</w:t>
      </w:r>
      <w:r>
        <w:t>”,</w:t>
      </w:r>
      <w:r w:rsidRPr="007E196C">
        <w:t xml:space="preserve"> </w:t>
      </w:r>
      <w:r>
        <w:t>rol 936-2012 (20 de Marzo de 2012), consideran</w:t>
      </w:r>
      <w:r w:rsidR="00656E39">
        <w:t>do 2º voto ministro señor Muñoz.</w:t>
      </w:r>
    </w:p>
  </w:footnote>
  <w:footnote w:id="68">
    <w:p w:rsidR="00425C66" w:rsidRDefault="00425C66" w:rsidP="00656E39">
      <w:pPr>
        <w:pStyle w:val="FootnoteText"/>
        <w:tabs>
          <w:tab w:val="clear" w:pos="1021"/>
          <w:tab w:val="right" w:pos="0"/>
        </w:tabs>
        <w:ind w:left="0" w:right="49" w:firstLine="0"/>
        <w:jc w:val="both"/>
      </w:pPr>
      <w:r w:rsidRPr="00DA62A4">
        <w:rPr>
          <w:rStyle w:val="FootnoteReference"/>
        </w:rPr>
        <w:footnoteRef/>
      </w:r>
      <w:r w:rsidRPr="00DA62A4">
        <w:t xml:space="preserve"> Corte Suprema, “</w:t>
      </w:r>
      <w:r w:rsidRPr="00DA62A4">
        <w:rPr>
          <w:i/>
        </w:rPr>
        <w:t xml:space="preserve">Neira Rebolledo y otros con Corporación Municipal de Educación y Salud de </w:t>
      </w:r>
      <w:proofErr w:type="spellStart"/>
      <w:r w:rsidRPr="00DA62A4">
        <w:rPr>
          <w:i/>
        </w:rPr>
        <w:t>Pirque</w:t>
      </w:r>
      <w:proofErr w:type="spellEnd"/>
      <w:r w:rsidRPr="00DA62A4">
        <w:t>” rol 8730-2013 (22 de Mayo de 2014), considerando 5º</w:t>
      </w:r>
      <w:r w:rsidR="00656E39">
        <w:t>.</w:t>
      </w:r>
    </w:p>
  </w:footnote>
  <w:footnote w:id="69">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5F1267">
        <w:rPr>
          <w:i/>
        </w:rPr>
        <w:t>Montecino</w:t>
      </w:r>
      <w:proofErr w:type="spellEnd"/>
      <w:r w:rsidRPr="005F1267">
        <w:rPr>
          <w:i/>
        </w:rPr>
        <w:t xml:space="preserve"> Byron con Escuela </w:t>
      </w:r>
      <w:proofErr w:type="spellStart"/>
      <w:r w:rsidRPr="005F1267">
        <w:rPr>
          <w:i/>
        </w:rPr>
        <w:t>Felmer</w:t>
      </w:r>
      <w:proofErr w:type="spellEnd"/>
      <w:r w:rsidRPr="005F1267">
        <w:rPr>
          <w:i/>
        </w:rPr>
        <w:t xml:space="preserve"> </w:t>
      </w:r>
      <w:proofErr w:type="spellStart"/>
      <w:r w:rsidRPr="005F1267">
        <w:rPr>
          <w:i/>
        </w:rPr>
        <w:t>Niklitschek</w:t>
      </w:r>
      <w:proofErr w:type="spellEnd"/>
      <w:r>
        <w:t xml:space="preserve">”, considerando 1º voto ministro señor Brito </w:t>
      </w:r>
    </w:p>
  </w:footnote>
  <w:footnote w:id="70">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C64009">
        <w:rPr>
          <w:i/>
        </w:rPr>
        <w:t>Llaguel</w:t>
      </w:r>
      <w:proofErr w:type="spellEnd"/>
      <w:r w:rsidRPr="00C64009">
        <w:rPr>
          <w:i/>
        </w:rPr>
        <w:t xml:space="preserve"> Figueroa Carlos y Otros con Ilustre Municipalidad de Santiago y Otros</w:t>
      </w:r>
      <w:r>
        <w:t xml:space="preserve">“, rol </w:t>
      </w:r>
      <w:r w:rsidRPr="00C64009">
        <w:t>23540</w:t>
      </w:r>
      <w:r>
        <w:t>-2014 (4 de Noviembre de 2014), considerando 6º</w:t>
      </w:r>
      <w:r w:rsidR="00656E39">
        <w:t>.</w:t>
      </w:r>
    </w:p>
  </w:footnote>
  <w:footnote w:id="71">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Suprema, “</w:t>
      </w:r>
      <w:proofErr w:type="spellStart"/>
      <w:r w:rsidRPr="00C64009">
        <w:rPr>
          <w:i/>
        </w:rPr>
        <w:t>Llaguel</w:t>
      </w:r>
      <w:proofErr w:type="spellEnd"/>
      <w:r w:rsidRPr="00C64009">
        <w:rPr>
          <w:i/>
        </w:rPr>
        <w:t xml:space="preserve"> Figueroa Carlos y Otros con Ilustre Municipalidad de Santiago y Otros</w:t>
      </w:r>
      <w:r>
        <w:t>“, considerando 6º</w:t>
      </w:r>
    </w:p>
  </w:footnote>
  <w:footnote w:id="72">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30188E">
        <w:t xml:space="preserve">Corte </w:t>
      </w:r>
      <w:r w:rsidRPr="00D371B9">
        <w:t>Suprema, considerando 1º opinión minoritaria Ministro señor Perry</w:t>
      </w:r>
      <w:r w:rsidR="00656E39">
        <w:t>.</w:t>
      </w:r>
    </w:p>
  </w:footnote>
  <w:footnote w:id="73">
    <w:p w:rsidR="00425C66" w:rsidRDefault="00425C66" w:rsidP="00656E39">
      <w:pPr>
        <w:pStyle w:val="FootnoteText"/>
        <w:tabs>
          <w:tab w:val="clear" w:pos="1021"/>
          <w:tab w:val="right" w:pos="0"/>
        </w:tabs>
        <w:ind w:left="0" w:right="49" w:firstLine="0"/>
      </w:pPr>
      <w:r>
        <w:rPr>
          <w:rStyle w:val="FootnoteReference"/>
        </w:rPr>
        <w:footnoteRef/>
      </w:r>
      <w:r>
        <w:t xml:space="preserve"> Corte Suprema, considerando 7º</w:t>
      </w:r>
      <w:r w:rsidR="00656E39">
        <w:t>.</w:t>
      </w:r>
    </w:p>
  </w:footnote>
  <w:footnote w:id="74">
    <w:p w:rsidR="00425C66" w:rsidRDefault="00425C66" w:rsidP="00656E39">
      <w:pPr>
        <w:pStyle w:val="FootnoteText"/>
        <w:tabs>
          <w:tab w:val="clear" w:pos="1021"/>
          <w:tab w:val="right" w:pos="0"/>
        </w:tabs>
        <w:ind w:left="0" w:right="49" w:firstLine="0"/>
      </w:pPr>
      <w:r>
        <w:rPr>
          <w:rStyle w:val="FootnoteReference"/>
        </w:rPr>
        <w:footnoteRef/>
      </w:r>
      <w:r>
        <w:t xml:space="preserve"> Corte Suprema, considerando 11º</w:t>
      </w:r>
      <w:r w:rsidR="00656E39">
        <w:t>.</w:t>
      </w:r>
    </w:p>
  </w:footnote>
  <w:footnote w:id="75">
    <w:p w:rsidR="00425C66" w:rsidRDefault="00425C66" w:rsidP="00656E39">
      <w:pPr>
        <w:pStyle w:val="FootnoteText"/>
        <w:tabs>
          <w:tab w:val="clear" w:pos="1021"/>
          <w:tab w:val="right" w:pos="0"/>
        </w:tabs>
        <w:ind w:left="0" w:right="49" w:firstLine="0"/>
        <w:jc w:val="both"/>
      </w:pPr>
      <w:r>
        <w:rPr>
          <w:rStyle w:val="FootnoteReference"/>
        </w:rPr>
        <w:footnoteRef/>
      </w:r>
      <w:r>
        <w:t xml:space="preserve"> Artículo 15 del PIDESC.</w:t>
      </w:r>
    </w:p>
  </w:footnote>
  <w:footnote w:id="76">
    <w:p w:rsidR="00425C66" w:rsidRDefault="00425C66" w:rsidP="00656E39">
      <w:pPr>
        <w:pStyle w:val="FootnoteText"/>
        <w:tabs>
          <w:tab w:val="clear" w:pos="1021"/>
          <w:tab w:val="right" w:pos="0"/>
        </w:tabs>
        <w:ind w:left="0" w:right="49" w:firstLine="0"/>
        <w:jc w:val="both"/>
      </w:pPr>
      <w:r>
        <w:rPr>
          <w:rStyle w:val="FootnoteReference"/>
        </w:rPr>
        <w:footnoteRef/>
      </w:r>
      <w:r>
        <w:t xml:space="preserve"> Artículo 19 número 25 de la Constitución Política de la República de Chile.</w:t>
      </w:r>
    </w:p>
  </w:footnote>
  <w:footnote w:id="77">
    <w:p w:rsidR="00425C66" w:rsidRDefault="00425C66" w:rsidP="00656E39">
      <w:pPr>
        <w:pStyle w:val="FootnoteText"/>
        <w:tabs>
          <w:tab w:val="clear" w:pos="1021"/>
          <w:tab w:val="right" w:pos="0"/>
        </w:tabs>
        <w:ind w:left="0" w:right="49" w:firstLine="0"/>
        <w:jc w:val="both"/>
      </w:pPr>
      <w:r>
        <w:rPr>
          <w:rStyle w:val="FootnoteReference"/>
        </w:rPr>
        <w:footnoteRef/>
      </w:r>
      <w:r>
        <w:t xml:space="preserve"> Corte de Apelaciones de Santiago, “</w:t>
      </w:r>
      <w:r w:rsidRPr="00D23412">
        <w:rPr>
          <w:i/>
        </w:rPr>
        <w:t xml:space="preserve">Prat y otros </w:t>
      </w:r>
      <w:r>
        <w:rPr>
          <w:i/>
        </w:rPr>
        <w:t xml:space="preserve">con </w:t>
      </w:r>
      <w:r w:rsidRPr="00D23412">
        <w:rPr>
          <w:i/>
        </w:rPr>
        <w:t xml:space="preserve"> Infante y otros</w:t>
      </w:r>
      <w:r>
        <w:t>”, rol 5681-2002 y 5733-2002 (acumulados) (16 de Abril de 2003), considerando 2º</w:t>
      </w:r>
      <w:r w:rsidR="00656E39">
        <w:t>.</w:t>
      </w:r>
    </w:p>
  </w:footnote>
  <w:footnote w:id="78">
    <w:p w:rsidR="00425C66" w:rsidRDefault="00425C66" w:rsidP="00656E39">
      <w:pPr>
        <w:pStyle w:val="FootnoteText"/>
        <w:tabs>
          <w:tab w:val="clear" w:pos="1021"/>
          <w:tab w:val="right" w:pos="0"/>
        </w:tabs>
        <w:ind w:left="0" w:right="49" w:firstLine="0"/>
        <w:jc w:val="both"/>
      </w:pPr>
      <w:r>
        <w:rPr>
          <w:rStyle w:val="FootnoteReference"/>
        </w:rPr>
        <w:footnoteRef/>
      </w:r>
      <w:r>
        <w:t xml:space="preserve"> </w:t>
      </w:r>
      <w:r w:rsidRPr="006951C7">
        <w:t>Corte de Apelaciones de Santiago</w:t>
      </w:r>
      <w:r>
        <w:t>,</w:t>
      </w:r>
      <w:r w:rsidRPr="006951C7">
        <w:t xml:space="preserve"> </w:t>
      </w:r>
      <w:r>
        <w:t>“</w:t>
      </w:r>
      <w:r w:rsidRPr="00D23412">
        <w:rPr>
          <w:i/>
        </w:rPr>
        <w:t xml:space="preserve">Prat y otros </w:t>
      </w:r>
      <w:r>
        <w:rPr>
          <w:i/>
        </w:rPr>
        <w:t xml:space="preserve">con </w:t>
      </w:r>
      <w:r w:rsidRPr="00D23412">
        <w:rPr>
          <w:i/>
        </w:rPr>
        <w:t xml:space="preserve"> Infante y otros</w:t>
      </w:r>
      <w:r>
        <w:t>”, considerando 13º</w:t>
      </w:r>
      <w:r w:rsidR="00656E39">
        <w:t>.</w:t>
      </w:r>
    </w:p>
  </w:footnote>
  <w:footnote w:id="79">
    <w:p w:rsidR="00425C66" w:rsidRDefault="00425C66" w:rsidP="00656E39">
      <w:pPr>
        <w:pStyle w:val="FootnoteText"/>
        <w:tabs>
          <w:tab w:val="clear" w:pos="1021"/>
          <w:tab w:val="right" w:pos="0"/>
        </w:tabs>
        <w:ind w:left="0" w:right="49" w:firstLine="0"/>
      </w:pPr>
      <w:r>
        <w:rPr>
          <w:rStyle w:val="FootnoteReference"/>
        </w:rPr>
        <w:footnoteRef/>
      </w:r>
      <w:r>
        <w:t xml:space="preserve"> </w:t>
      </w:r>
      <w:r w:rsidRPr="00521680">
        <w:t>Corte de Apelaciones de Santiago</w:t>
      </w:r>
      <w:r>
        <w:t>, considerando 14º</w:t>
      </w:r>
      <w:r w:rsidR="00656E39">
        <w:t>.</w:t>
      </w:r>
    </w:p>
  </w:footnote>
  <w:footnote w:id="80">
    <w:p w:rsidR="00425C66" w:rsidRDefault="00425C66" w:rsidP="00656E39">
      <w:pPr>
        <w:pStyle w:val="FootnoteText"/>
        <w:tabs>
          <w:tab w:val="clear" w:pos="1021"/>
        </w:tabs>
        <w:ind w:left="0" w:right="49" w:firstLine="0"/>
        <w:jc w:val="both"/>
      </w:pPr>
      <w:r>
        <w:rPr>
          <w:rStyle w:val="FootnoteReference"/>
        </w:rPr>
        <w:footnoteRef/>
      </w:r>
      <w:r>
        <w:t xml:space="preserve"> Corte de Apelaciones de Valparaíso, “</w:t>
      </w:r>
      <w:r w:rsidRPr="00094C29">
        <w:rPr>
          <w:i/>
        </w:rPr>
        <w:t xml:space="preserve">Cifuentes Casas </w:t>
      </w:r>
      <w:r>
        <w:rPr>
          <w:i/>
        </w:rPr>
        <w:t xml:space="preserve">con </w:t>
      </w:r>
      <w:r w:rsidRPr="00094C29">
        <w:rPr>
          <w:i/>
        </w:rPr>
        <w:t>MERVAL</w:t>
      </w:r>
      <w:r>
        <w:t xml:space="preserve">”, rol </w:t>
      </w:r>
      <w:r w:rsidRPr="006951C7">
        <w:t xml:space="preserve">1527-2012 </w:t>
      </w:r>
      <w:r>
        <w:t>(18 de Diciembre de 2012), considerando 7º</w:t>
      </w:r>
      <w:r w:rsidR="00656E39">
        <w:t>.</w:t>
      </w:r>
    </w:p>
  </w:footnote>
  <w:footnote w:id="81">
    <w:p w:rsidR="00425C66" w:rsidRDefault="00425C66" w:rsidP="00656E39">
      <w:pPr>
        <w:pStyle w:val="FootnoteText"/>
        <w:tabs>
          <w:tab w:val="clear" w:pos="1021"/>
        </w:tabs>
        <w:ind w:left="0" w:right="49" w:firstLine="0"/>
      </w:pPr>
      <w:r>
        <w:rPr>
          <w:rStyle w:val="FootnoteReference"/>
        </w:rPr>
        <w:footnoteRef/>
      </w:r>
      <w:r>
        <w:t xml:space="preserve"> </w:t>
      </w:r>
      <w:r w:rsidRPr="006951C7">
        <w:t>Corte de Apelaciones de Santiago, “</w:t>
      </w:r>
      <w:r>
        <w:rPr>
          <w:i/>
        </w:rPr>
        <w:t xml:space="preserve">Prat y otros con </w:t>
      </w:r>
      <w:r w:rsidRPr="00094C29">
        <w:rPr>
          <w:i/>
        </w:rPr>
        <w:t xml:space="preserve"> Infante y otros</w:t>
      </w:r>
      <w:r w:rsidRPr="006951C7">
        <w:t>”</w:t>
      </w:r>
      <w:r>
        <w:t>, considerando 20º</w:t>
      </w:r>
      <w:r w:rsidR="00656E39">
        <w:t>.</w:t>
      </w:r>
    </w:p>
  </w:footnote>
  <w:footnote w:id="82">
    <w:p w:rsidR="00425C66" w:rsidRDefault="00425C66" w:rsidP="00656E39">
      <w:pPr>
        <w:pStyle w:val="FootnoteText"/>
        <w:tabs>
          <w:tab w:val="clear" w:pos="1021"/>
        </w:tabs>
        <w:ind w:left="0" w:right="49" w:firstLine="0"/>
        <w:jc w:val="both"/>
      </w:pPr>
      <w:r>
        <w:rPr>
          <w:rStyle w:val="FootnoteReference"/>
        </w:rPr>
        <w:footnoteRef/>
      </w:r>
      <w:r>
        <w:t xml:space="preserve"> </w:t>
      </w:r>
      <w:r w:rsidRPr="0061210B">
        <w:t>CESCR</w:t>
      </w:r>
      <w:r>
        <w:t>,</w:t>
      </w:r>
      <w:r w:rsidRPr="0061210B">
        <w:t xml:space="preserve"> </w:t>
      </w:r>
      <w:r>
        <w:t xml:space="preserve">`Observaciones finales del Comité de Derechos Económicos, Sociales y Culturales, Chile`, </w:t>
      </w:r>
      <w:proofErr w:type="spellStart"/>
      <w:r>
        <w:t>párra</w:t>
      </w:r>
      <w:proofErr w:type="spellEnd"/>
      <w:r>
        <w:t xml:space="preserve"> 12</w:t>
      </w:r>
      <w:r w:rsidR="00656E39">
        <w:t>.</w:t>
      </w:r>
    </w:p>
  </w:footnote>
  <w:footnote w:id="83">
    <w:p w:rsidR="00425C66" w:rsidRDefault="00425C66" w:rsidP="00E36BB8">
      <w:pPr>
        <w:pStyle w:val="FootnoteText"/>
        <w:jc w:val="both"/>
      </w:pPr>
      <w:r>
        <w:rPr>
          <w:rStyle w:val="FootnoteReference"/>
        </w:rPr>
        <w:footnoteRef/>
      </w:r>
      <w:r>
        <w:t xml:space="preserve"> </w:t>
      </w:r>
      <w:r w:rsidRPr="0058078E">
        <w:t>CDESC</w:t>
      </w:r>
      <w:r>
        <w:t>, `</w:t>
      </w:r>
      <w:r w:rsidRPr="0058078E">
        <w:t xml:space="preserve">Observación General Nº9: </w:t>
      </w:r>
      <w:r>
        <w:t>La Aplicac</w:t>
      </w:r>
      <w:r w:rsidR="00656E39">
        <w:t xml:space="preserve">ión Interna del Pacto`, </w:t>
      </w:r>
      <w:proofErr w:type="spellStart"/>
      <w:r w:rsidR="00656E39">
        <w:t>párra</w:t>
      </w:r>
      <w:proofErr w:type="spellEnd"/>
      <w:r w:rsidR="00656E39">
        <w:t xml:space="preserve"> 11.</w:t>
      </w:r>
    </w:p>
  </w:footnote>
  <w:footnote w:id="84">
    <w:p w:rsidR="00425C66" w:rsidRPr="0005301D" w:rsidRDefault="00425C66" w:rsidP="00E36BB8">
      <w:pPr>
        <w:pStyle w:val="FootnoteText"/>
        <w:rPr>
          <w:sz w:val="16"/>
          <w:szCs w:val="16"/>
        </w:rPr>
      </w:pPr>
      <w:r w:rsidRPr="0005301D">
        <w:rPr>
          <w:rStyle w:val="FootnoteReference"/>
          <w:sz w:val="16"/>
          <w:szCs w:val="16"/>
        </w:rPr>
        <w:footnoteRef/>
      </w:r>
      <w:r w:rsidRPr="0005301D">
        <w:rPr>
          <w:sz w:val="16"/>
          <w:szCs w:val="16"/>
        </w:rPr>
        <w:t xml:space="preserve"> </w:t>
      </w:r>
      <w:hyperlink r:id="rId1" w:history="1">
        <w:r w:rsidRPr="0005301D">
          <w:rPr>
            <w:rStyle w:val="Hyperlink"/>
            <w:sz w:val="16"/>
            <w:szCs w:val="16"/>
          </w:rPr>
          <w:t>http://stats.oecd.org/index.aspx?DatasetCode=STLABOUR</w:t>
        </w:r>
      </w:hyperlink>
    </w:p>
    <w:p w:rsidR="00425C66" w:rsidRDefault="00425C66" w:rsidP="00E36BB8">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270"/>
    <w:multiLevelType w:val="hybridMultilevel"/>
    <w:tmpl w:val="7B7A7F32"/>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1D32219"/>
    <w:multiLevelType w:val="hybridMultilevel"/>
    <w:tmpl w:val="1A885C58"/>
    <w:lvl w:ilvl="0" w:tplc="142AD0AE">
      <w:start w:val="1"/>
      <w:numFmt w:val="lowerLetter"/>
      <w:lvlText w:val="%1)"/>
      <w:lvlJc w:val="left"/>
      <w:pPr>
        <w:ind w:left="360" w:hanging="360"/>
      </w:pPr>
      <w:rPr>
        <w:b w:val="0"/>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
    <w:nsid w:val="03476B77"/>
    <w:multiLevelType w:val="hybridMultilevel"/>
    <w:tmpl w:val="086451E6"/>
    <w:lvl w:ilvl="0" w:tplc="340A0017">
      <w:start w:val="1"/>
      <w:numFmt w:val="lowerLetter"/>
      <w:lvlText w:val="%1)"/>
      <w:lvlJc w:val="left"/>
      <w:pPr>
        <w:ind w:left="360" w:hanging="360"/>
      </w:pPr>
      <w:rPr>
        <w:rFont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nsid w:val="0C0F4DDE"/>
    <w:multiLevelType w:val="hybridMultilevel"/>
    <w:tmpl w:val="C4E6411E"/>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0C41411A"/>
    <w:multiLevelType w:val="hybridMultilevel"/>
    <w:tmpl w:val="67DCCB9C"/>
    <w:lvl w:ilvl="0" w:tplc="340A0001">
      <w:start w:val="1"/>
      <w:numFmt w:val="bullet"/>
      <w:lvlText w:val=""/>
      <w:lvlJc w:val="left"/>
      <w:pPr>
        <w:ind w:left="928"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12864D4F"/>
    <w:multiLevelType w:val="hybridMultilevel"/>
    <w:tmpl w:val="173E10F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14FE1AAC"/>
    <w:multiLevelType w:val="hybridMultilevel"/>
    <w:tmpl w:val="265A8DA2"/>
    <w:lvl w:ilvl="0" w:tplc="340A0001">
      <w:start w:val="1"/>
      <w:numFmt w:val="bullet"/>
      <w:lvlText w:val=""/>
      <w:lvlJc w:val="left"/>
      <w:pPr>
        <w:ind w:left="928"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156C14ED"/>
    <w:multiLevelType w:val="hybridMultilevel"/>
    <w:tmpl w:val="DBB2D58C"/>
    <w:lvl w:ilvl="0" w:tplc="38044ED0">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165C6F5B"/>
    <w:multiLevelType w:val="hybridMultilevel"/>
    <w:tmpl w:val="DAD01044"/>
    <w:lvl w:ilvl="0" w:tplc="340A0017">
      <w:start w:val="1"/>
      <w:numFmt w:val="lowerLetter"/>
      <w:lvlText w:val="%1)"/>
      <w:lvlJc w:val="left"/>
      <w:pPr>
        <w:ind w:left="360" w:hanging="360"/>
      </w:pPr>
      <w:rPr>
        <w:rFonts w:hint="default"/>
      </w:rPr>
    </w:lvl>
    <w:lvl w:ilvl="1" w:tplc="340A0017">
      <w:start w:val="1"/>
      <w:numFmt w:val="lowerLetter"/>
      <w:lvlText w:val="%2)"/>
      <w:lvlJc w:val="left"/>
      <w:pPr>
        <w:ind w:left="1080" w:hanging="360"/>
      </w:pPr>
    </w:lvl>
    <w:lvl w:ilvl="2" w:tplc="340A001B">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9">
    <w:nsid w:val="168E780D"/>
    <w:multiLevelType w:val="hybridMultilevel"/>
    <w:tmpl w:val="ADA28F9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7710ED5"/>
    <w:multiLevelType w:val="hybridMultilevel"/>
    <w:tmpl w:val="EBEC6798"/>
    <w:lvl w:ilvl="0" w:tplc="65D0689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9701517"/>
    <w:multiLevelType w:val="hybridMultilevel"/>
    <w:tmpl w:val="E27C59E8"/>
    <w:lvl w:ilvl="0" w:tplc="63E23D6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D6C75D3"/>
    <w:multiLevelType w:val="hybridMultilevel"/>
    <w:tmpl w:val="1714A790"/>
    <w:lvl w:ilvl="0" w:tplc="A7FCF0FC">
      <w:start w:val="1"/>
      <w:numFmt w:val="low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EB94DE0"/>
    <w:multiLevelType w:val="hybridMultilevel"/>
    <w:tmpl w:val="85BE4A1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219A5B6E"/>
    <w:multiLevelType w:val="hybridMultilevel"/>
    <w:tmpl w:val="1864127C"/>
    <w:lvl w:ilvl="0" w:tplc="9002239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6E558AC"/>
    <w:multiLevelType w:val="hybridMultilevel"/>
    <w:tmpl w:val="4010F6E8"/>
    <w:lvl w:ilvl="0" w:tplc="0E46E1C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DD73DD5"/>
    <w:multiLevelType w:val="hybridMultilevel"/>
    <w:tmpl w:val="6BD2B89A"/>
    <w:lvl w:ilvl="0" w:tplc="5BF6588C">
      <w:start w:val="1"/>
      <w:numFmt w:val="lowerLetter"/>
      <w:lvlText w:val="%1)"/>
      <w:lvlJc w:val="left"/>
      <w:pPr>
        <w:ind w:left="1068" w:hanging="360"/>
      </w:pPr>
      <w:rPr>
        <w:rFonts w:ascii="Times New Roman" w:eastAsiaTheme="minorEastAsia" w:hAnsi="Times New Roman" w:cs="Times New Roman"/>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7">
    <w:nsid w:val="2E4708CB"/>
    <w:multiLevelType w:val="hybridMultilevel"/>
    <w:tmpl w:val="F1F266A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nsid w:val="30E27EAA"/>
    <w:multiLevelType w:val="hybridMultilevel"/>
    <w:tmpl w:val="E80CD808"/>
    <w:lvl w:ilvl="0" w:tplc="337EED5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28E3AFF"/>
    <w:multiLevelType w:val="hybridMultilevel"/>
    <w:tmpl w:val="BA780D50"/>
    <w:lvl w:ilvl="0" w:tplc="7F34968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5152758"/>
    <w:multiLevelType w:val="hybridMultilevel"/>
    <w:tmpl w:val="AEA0C87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7753FB0"/>
    <w:multiLevelType w:val="hybridMultilevel"/>
    <w:tmpl w:val="F19481D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nsid w:val="3D2A3555"/>
    <w:multiLevelType w:val="hybridMultilevel"/>
    <w:tmpl w:val="CAD6129E"/>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nsid w:val="42657078"/>
    <w:multiLevelType w:val="hybridMultilevel"/>
    <w:tmpl w:val="E0B8725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nsid w:val="46E51424"/>
    <w:multiLevelType w:val="hybridMultilevel"/>
    <w:tmpl w:val="C3B81896"/>
    <w:lvl w:ilvl="0" w:tplc="2C644A14">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nsid w:val="4A85103C"/>
    <w:multiLevelType w:val="hybridMultilevel"/>
    <w:tmpl w:val="EA1010A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4A920D2F"/>
    <w:multiLevelType w:val="hybridMultilevel"/>
    <w:tmpl w:val="EB0830A0"/>
    <w:lvl w:ilvl="0" w:tplc="19064AB4">
      <w:start w:val="1"/>
      <w:numFmt w:val="lowerLetter"/>
      <w:lvlText w:val="%1)"/>
      <w:lvlJc w:val="left"/>
      <w:pPr>
        <w:ind w:left="644" w:hanging="360"/>
      </w:pPr>
      <w:rPr>
        <w:rFonts w:hint="default"/>
        <w:b w:val="0"/>
      </w:rPr>
    </w:lvl>
    <w:lvl w:ilvl="1" w:tplc="340A001B">
      <w:start w:val="1"/>
      <w:numFmt w:val="lowerRoman"/>
      <w:lvlText w:val="%2."/>
      <w:lvlJc w:val="righ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nsid w:val="4BFD5B81"/>
    <w:multiLevelType w:val="hybridMultilevel"/>
    <w:tmpl w:val="635C5570"/>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nsid w:val="4D032601"/>
    <w:multiLevelType w:val="hybridMultilevel"/>
    <w:tmpl w:val="59BE68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E1124FD"/>
    <w:multiLevelType w:val="hybridMultilevel"/>
    <w:tmpl w:val="60EA4F56"/>
    <w:lvl w:ilvl="0" w:tplc="340A0017">
      <w:start w:val="1"/>
      <w:numFmt w:val="lowerLetter"/>
      <w:lvlText w:val="%1)"/>
      <w:lvlJc w:val="left"/>
      <w:pPr>
        <w:ind w:left="720" w:hanging="360"/>
      </w:pPr>
      <w:rPr>
        <w:rFonts w:hint="default"/>
        <w:lang w:val="es-CL"/>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nsid w:val="4E6E140F"/>
    <w:multiLevelType w:val="hybridMultilevel"/>
    <w:tmpl w:val="8CD2BBB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nsid w:val="501A3E0E"/>
    <w:multiLevelType w:val="hybridMultilevel"/>
    <w:tmpl w:val="C098FF7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nsid w:val="52C46ABA"/>
    <w:multiLevelType w:val="hybridMultilevel"/>
    <w:tmpl w:val="7D56F22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nsid w:val="55335158"/>
    <w:multiLevelType w:val="hybridMultilevel"/>
    <w:tmpl w:val="CD96712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nsid w:val="57471589"/>
    <w:multiLevelType w:val="hybridMultilevel"/>
    <w:tmpl w:val="B5B67B7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5EEB2751"/>
    <w:multiLevelType w:val="hybridMultilevel"/>
    <w:tmpl w:val="25F0D6D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nsid w:val="5F186482"/>
    <w:multiLevelType w:val="hybridMultilevel"/>
    <w:tmpl w:val="478E89A4"/>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7">
    <w:nsid w:val="662739B5"/>
    <w:multiLevelType w:val="hybridMultilevel"/>
    <w:tmpl w:val="444EB59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nsid w:val="6BA60D3C"/>
    <w:multiLevelType w:val="hybridMultilevel"/>
    <w:tmpl w:val="82B0282C"/>
    <w:lvl w:ilvl="0" w:tplc="BA6437D6">
      <w:start w:val="1"/>
      <w:numFmt w:val="low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nsid w:val="6BE73F14"/>
    <w:multiLevelType w:val="hybridMultilevel"/>
    <w:tmpl w:val="5D24CC4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nsid w:val="6F391EB1"/>
    <w:multiLevelType w:val="hybridMultilevel"/>
    <w:tmpl w:val="2108BC4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nsid w:val="74646756"/>
    <w:multiLevelType w:val="hybridMultilevel"/>
    <w:tmpl w:val="EC9474C0"/>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2">
    <w:nsid w:val="76A97E0F"/>
    <w:multiLevelType w:val="hybridMultilevel"/>
    <w:tmpl w:val="D996D660"/>
    <w:lvl w:ilvl="0" w:tplc="C37AB1BA">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nsid w:val="7BDB59EB"/>
    <w:multiLevelType w:val="hybridMultilevel"/>
    <w:tmpl w:val="23467896"/>
    <w:lvl w:ilvl="0" w:tplc="E72AC5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7BDE35A4"/>
    <w:multiLevelType w:val="hybridMultilevel"/>
    <w:tmpl w:val="2EA26CD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nsid w:val="7D8238EF"/>
    <w:multiLevelType w:val="hybridMultilevel"/>
    <w:tmpl w:val="4FCE0CBC"/>
    <w:lvl w:ilvl="0" w:tplc="ABC8B18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5"/>
  </w:num>
  <w:num w:numId="2">
    <w:abstractNumId w:val="26"/>
  </w:num>
  <w:num w:numId="3">
    <w:abstractNumId w:val="8"/>
  </w:num>
  <w:num w:numId="4">
    <w:abstractNumId w:val="22"/>
  </w:num>
  <w:num w:numId="5">
    <w:abstractNumId w:val="3"/>
  </w:num>
  <w:num w:numId="6">
    <w:abstractNumId w:val="32"/>
  </w:num>
  <w:num w:numId="7">
    <w:abstractNumId w:val="33"/>
  </w:num>
  <w:num w:numId="8">
    <w:abstractNumId w:val="5"/>
  </w:num>
  <w:num w:numId="9">
    <w:abstractNumId w:val="25"/>
  </w:num>
  <w:num w:numId="10">
    <w:abstractNumId w:val="34"/>
  </w:num>
  <w:num w:numId="11">
    <w:abstractNumId w:val="1"/>
  </w:num>
  <w:num w:numId="12">
    <w:abstractNumId w:val="30"/>
  </w:num>
  <w:num w:numId="13">
    <w:abstractNumId w:val="21"/>
  </w:num>
  <w:num w:numId="14">
    <w:abstractNumId w:val="31"/>
  </w:num>
  <w:num w:numId="15">
    <w:abstractNumId w:val="13"/>
  </w:num>
  <w:num w:numId="16">
    <w:abstractNumId w:val="16"/>
  </w:num>
  <w:num w:numId="17">
    <w:abstractNumId w:val="6"/>
  </w:num>
  <w:num w:numId="18">
    <w:abstractNumId w:val="4"/>
  </w:num>
  <w:num w:numId="19">
    <w:abstractNumId w:val="29"/>
  </w:num>
  <w:num w:numId="20">
    <w:abstractNumId w:val="40"/>
  </w:num>
  <w:num w:numId="21">
    <w:abstractNumId w:val="36"/>
  </w:num>
  <w:num w:numId="22">
    <w:abstractNumId w:val="37"/>
  </w:num>
  <w:num w:numId="23">
    <w:abstractNumId w:val="23"/>
  </w:num>
  <w:num w:numId="24">
    <w:abstractNumId w:val="44"/>
  </w:num>
  <w:num w:numId="25">
    <w:abstractNumId w:val="17"/>
  </w:num>
  <w:num w:numId="26">
    <w:abstractNumId w:val="39"/>
  </w:num>
  <w:num w:numId="27">
    <w:abstractNumId w:val="41"/>
  </w:num>
  <w:num w:numId="28">
    <w:abstractNumId w:val="27"/>
  </w:num>
  <w:num w:numId="29">
    <w:abstractNumId w:val="0"/>
  </w:num>
  <w:num w:numId="30">
    <w:abstractNumId w:val="7"/>
  </w:num>
  <w:num w:numId="31">
    <w:abstractNumId w:val="42"/>
  </w:num>
  <w:num w:numId="32">
    <w:abstractNumId w:val="9"/>
  </w:num>
  <w:num w:numId="33">
    <w:abstractNumId w:val="45"/>
  </w:num>
  <w:num w:numId="34">
    <w:abstractNumId w:val="38"/>
  </w:num>
  <w:num w:numId="35">
    <w:abstractNumId w:val="14"/>
  </w:num>
  <w:num w:numId="36">
    <w:abstractNumId w:val="11"/>
  </w:num>
  <w:num w:numId="37">
    <w:abstractNumId w:val="19"/>
  </w:num>
  <w:num w:numId="38">
    <w:abstractNumId w:val="15"/>
  </w:num>
  <w:num w:numId="39">
    <w:abstractNumId w:val="10"/>
  </w:num>
  <w:num w:numId="40">
    <w:abstractNumId w:val="18"/>
  </w:num>
  <w:num w:numId="41">
    <w:abstractNumId w:val="28"/>
  </w:num>
  <w:num w:numId="42">
    <w:abstractNumId w:val="43"/>
  </w:num>
  <w:num w:numId="43">
    <w:abstractNumId w:val="12"/>
  </w:num>
  <w:num w:numId="44">
    <w:abstractNumId w:val="20"/>
  </w:num>
  <w:num w:numId="45">
    <w:abstractNumId w:val="24"/>
  </w:num>
  <w:num w:numId="46">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098"/>
    <w:rsid w:val="00004C69"/>
    <w:rsid w:val="00022A3B"/>
    <w:rsid w:val="00033F9B"/>
    <w:rsid w:val="000648E3"/>
    <w:rsid w:val="00080290"/>
    <w:rsid w:val="000A6FB4"/>
    <w:rsid w:val="000F6619"/>
    <w:rsid w:val="00112AF2"/>
    <w:rsid w:val="00120462"/>
    <w:rsid w:val="00121DC3"/>
    <w:rsid w:val="00122897"/>
    <w:rsid w:val="00132133"/>
    <w:rsid w:val="001455A5"/>
    <w:rsid w:val="0019269C"/>
    <w:rsid w:val="00196A09"/>
    <w:rsid w:val="001B03C3"/>
    <w:rsid w:val="001C0EC0"/>
    <w:rsid w:val="001C310F"/>
    <w:rsid w:val="001E4F7C"/>
    <w:rsid w:val="001E5621"/>
    <w:rsid w:val="00200B68"/>
    <w:rsid w:val="00210075"/>
    <w:rsid w:val="0021067A"/>
    <w:rsid w:val="00212098"/>
    <w:rsid w:val="0022529C"/>
    <w:rsid w:val="00255C85"/>
    <w:rsid w:val="002A6939"/>
    <w:rsid w:val="002F0FDF"/>
    <w:rsid w:val="00306BCA"/>
    <w:rsid w:val="0032735D"/>
    <w:rsid w:val="00360FC7"/>
    <w:rsid w:val="00374498"/>
    <w:rsid w:val="003A498B"/>
    <w:rsid w:val="003A78E8"/>
    <w:rsid w:val="003C0F4D"/>
    <w:rsid w:val="003E2CDF"/>
    <w:rsid w:val="00406332"/>
    <w:rsid w:val="00410CDA"/>
    <w:rsid w:val="00425C66"/>
    <w:rsid w:val="00427514"/>
    <w:rsid w:val="004330D4"/>
    <w:rsid w:val="0044144B"/>
    <w:rsid w:val="00457861"/>
    <w:rsid w:val="00486F26"/>
    <w:rsid w:val="0049521F"/>
    <w:rsid w:val="004A3119"/>
    <w:rsid w:val="004B45AA"/>
    <w:rsid w:val="004E0117"/>
    <w:rsid w:val="004F0DAC"/>
    <w:rsid w:val="004F42BB"/>
    <w:rsid w:val="005254A6"/>
    <w:rsid w:val="005306EE"/>
    <w:rsid w:val="00563100"/>
    <w:rsid w:val="00591794"/>
    <w:rsid w:val="005A61D8"/>
    <w:rsid w:val="005B42D4"/>
    <w:rsid w:val="005D51E5"/>
    <w:rsid w:val="006034BE"/>
    <w:rsid w:val="006210EA"/>
    <w:rsid w:val="00621B86"/>
    <w:rsid w:val="00647B2B"/>
    <w:rsid w:val="00656E39"/>
    <w:rsid w:val="00662152"/>
    <w:rsid w:val="00671AE0"/>
    <w:rsid w:val="006A7293"/>
    <w:rsid w:val="006A7641"/>
    <w:rsid w:val="006B6042"/>
    <w:rsid w:val="006D2D20"/>
    <w:rsid w:val="006D5560"/>
    <w:rsid w:val="006E43DB"/>
    <w:rsid w:val="00736948"/>
    <w:rsid w:val="007413BB"/>
    <w:rsid w:val="007421D5"/>
    <w:rsid w:val="007427B4"/>
    <w:rsid w:val="00745326"/>
    <w:rsid w:val="00745A7A"/>
    <w:rsid w:val="00761A50"/>
    <w:rsid w:val="00775EF3"/>
    <w:rsid w:val="007A5DBB"/>
    <w:rsid w:val="007B68D9"/>
    <w:rsid w:val="0080516A"/>
    <w:rsid w:val="00840A89"/>
    <w:rsid w:val="00846ECB"/>
    <w:rsid w:val="00856442"/>
    <w:rsid w:val="00885EC5"/>
    <w:rsid w:val="00891485"/>
    <w:rsid w:val="0089409C"/>
    <w:rsid w:val="008C799E"/>
    <w:rsid w:val="008E14BE"/>
    <w:rsid w:val="008F4A22"/>
    <w:rsid w:val="00924E6F"/>
    <w:rsid w:val="00936145"/>
    <w:rsid w:val="009A5D9B"/>
    <w:rsid w:val="009B6DAF"/>
    <w:rsid w:val="009C1052"/>
    <w:rsid w:val="009D61E8"/>
    <w:rsid w:val="009D7947"/>
    <w:rsid w:val="009E2D41"/>
    <w:rsid w:val="009F22B6"/>
    <w:rsid w:val="00A0527A"/>
    <w:rsid w:val="00A32760"/>
    <w:rsid w:val="00A35BFA"/>
    <w:rsid w:val="00A613D9"/>
    <w:rsid w:val="00A675F6"/>
    <w:rsid w:val="00A70E47"/>
    <w:rsid w:val="00A82D0F"/>
    <w:rsid w:val="00A83FA3"/>
    <w:rsid w:val="00A863C6"/>
    <w:rsid w:val="00A921F3"/>
    <w:rsid w:val="00AD6148"/>
    <w:rsid w:val="00AF2616"/>
    <w:rsid w:val="00B00FF8"/>
    <w:rsid w:val="00B15C22"/>
    <w:rsid w:val="00B23418"/>
    <w:rsid w:val="00B3774E"/>
    <w:rsid w:val="00B549DD"/>
    <w:rsid w:val="00B7398E"/>
    <w:rsid w:val="00B74F2C"/>
    <w:rsid w:val="00B764CB"/>
    <w:rsid w:val="00B9136F"/>
    <w:rsid w:val="00C04BD8"/>
    <w:rsid w:val="00C2372E"/>
    <w:rsid w:val="00C41C6E"/>
    <w:rsid w:val="00C43794"/>
    <w:rsid w:val="00C53490"/>
    <w:rsid w:val="00C813C6"/>
    <w:rsid w:val="00C84B85"/>
    <w:rsid w:val="00C96A01"/>
    <w:rsid w:val="00CA3641"/>
    <w:rsid w:val="00CC1A4D"/>
    <w:rsid w:val="00D10766"/>
    <w:rsid w:val="00D46CDC"/>
    <w:rsid w:val="00D47933"/>
    <w:rsid w:val="00D570F8"/>
    <w:rsid w:val="00D71018"/>
    <w:rsid w:val="00D96FA5"/>
    <w:rsid w:val="00DB265E"/>
    <w:rsid w:val="00DD24A1"/>
    <w:rsid w:val="00DE0A4F"/>
    <w:rsid w:val="00E0710A"/>
    <w:rsid w:val="00E22773"/>
    <w:rsid w:val="00E36BB8"/>
    <w:rsid w:val="00E43725"/>
    <w:rsid w:val="00E51C3A"/>
    <w:rsid w:val="00E73095"/>
    <w:rsid w:val="00E9386F"/>
    <w:rsid w:val="00EA186D"/>
    <w:rsid w:val="00EB4306"/>
    <w:rsid w:val="00EC0A8F"/>
    <w:rsid w:val="00EC2049"/>
    <w:rsid w:val="00EC3FD0"/>
    <w:rsid w:val="00ED3BE0"/>
    <w:rsid w:val="00F00AA9"/>
    <w:rsid w:val="00F03648"/>
    <w:rsid w:val="00F2295B"/>
    <w:rsid w:val="00F26DE8"/>
    <w:rsid w:val="00F33B83"/>
    <w:rsid w:val="00F41BDD"/>
    <w:rsid w:val="00F46F8C"/>
    <w:rsid w:val="00F83979"/>
    <w:rsid w:val="00F92AFF"/>
    <w:rsid w:val="00FD5B61"/>
    <w:rsid w:val="00FF6A0B"/>
    <w:rsid w:val="00FF6A9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86D"/>
    <w:rPr>
      <w:rFonts w:eastAsiaTheme="minorEastAsia"/>
      <w:lang w:eastAsia="es-CL"/>
    </w:rPr>
  </w:style>
  <w:style w:type="paragraph" w:styleId="Heading2">
    <w:name w:val="heading 2"/>
    <w:basedOn w:val="Normal"/>
    <w:next w:val="Normal"/>
    <w:link w:val="Heading2Char"/>
    <w:uiPriority w:val="9"/>
    <w:unhideWhenUsed/>
    <w:qFormat/>
    <w:rsid w:val="00E36BB8"/>
    <w:pPr>
      <w:keepNext/>
      <w:keepLines/>
      <w:spacing w:before="200" w:after="0"/>
      <w:outlineLvl w:val="1"/>
    </w:pPr>
    <w:rPr>
      <w:rFonts w:ascii="Times New Roman" w:eastAsiaTheme="majorEastAsia" w:hAnsi="Times New Roman" w:cstheme="majorBidi"/>
      <w:b/>
      <w:bCs/>
      <w:sz w:val="24"/>
      <w:szCs w:val="26"/>
      <w:u w:val="single"/>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BVI fnr"/>
    <w:uiPriority w:val="99"/>
    <w:rsid w:val="00212098"/>
    <w:rPr>
      <w:rFonts w:ascii="Times New Roman" w:hAnsi="Times New Roman"/>
      <w:sz w:val="18"/>
      <w:vertAlign w:val="superscript"/>
    </w:rPr>
  </w:style>
  <w:style w:type="paragraph" w:customStyle="1" w:styleId="HChG">
    <w:name w:val="_ H _Ch_G"/>
    <w:basedOn w:val="Normal"/>
    <w:next w:val="Normal"/>
    <w:rsid w:val="0021209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paragraph" w:customStyle="1" w:styleId="H1G">
    <w:name w:val="_ H_1_G"/>
    <w:basedOn w:val="Normal"/>
    <w:next w:val="Normal"/>
    <w:rsid w:val="00212098"/>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SingleTxtG">
    <w:name w:val="_ Single Txt_G"/>
    <w:basedOn w:val="Normal"/>
    <w:link w:val="SingleTxtGCar"/>
    <w:rsid w:val="00212098"/>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FootnoteText">
    <w:name w:val="footnote text"/>
    <w:aliases w:val="5_G,Footnote,Texto nota pie Car Car,Footnote Text Char Char Char Char,Footnote Text Char Char Char,Texto nota pie Car Car Car,Texto nota pie Car Car Car Car,Texto,nota,pie,Ref.,al,Car Car Car,Car Car,Footnote Text Char Char Char Char Char"/>
    <w:basedOn w:val="Normal"/>
    <w:link w:val="FootnoteTextChar"/>
    <w:qFormat/>
    <w:rsid w:val="00212098"/>
    <w:pPr>
      <w:tabs>
        <w:tab w:val="right" w:pos="1021"/>
      </w:tabs>
      <w:spacing w:after="0" w:line="220" w:lineRule="exact"/>
      <w:ind w:left="1134" w:right="1134" w:hanging="1134"/>
    </w:pPr>
    <w:rPr>
      <w:rFonts w:ascii="Times New Roman" w:eastAsia="Times New Roman" w:hAnsi="Times New Roman" w:cs="Times New Roman"/>
      <w:sz w:val="18"/>
      <w:szCs w:val="20"/>
      <w:lang w:val="es-ES" w:eastAsia="es-ES"/>
    </w:rPr>
  </w:style>
  <w:style w:type="character" w:customStyle="1" w:styleId="FootnoteTextChar">
    <w:name w:val="Footnote Text Char"/>
    <w:aliases w:val="5_G Char,Footnote Char,Texto nota pie Car Car Char,Footnote Text Char Char Char Char Char1,Footnote Text Char Char Char Char1,Texto nota pie Car Car Car Char,Texto nota pie Car Car Car Car Char,Texto Char,nota Char,pie Char,Ref. Char"/>
    <w:basedOn w:val="DefaultParagraphFont"/>
    <w:link w:val="FootnoteText"/>
    <w:rsid w:val="00212098"/>
    <w:rPr>
      <w:rFonts w:ascii="Times New Roman" w:eastAsia="Times New Roman" w:hAnsi="Times New Roman" w:cs="Times New Roman"/>
      <w:sz w:val="18"/>
      <w:szCs w:val="20"/>
      <w:lang w:val="es-ES" w:eastAsia="es-ES"/>
    </w:rPr>
  </w:style>
  <w:style w:type="character" w:customStyle="1" w:styleId="SingleTxtGCar">
    <w:name w:val="_ Single Txt_G Car"/>
    <w:link w:val="SingleTxtG"/>
    <w:rsid w:val="00212098"/>
    <w:rPr>
      <w:rFonts w:ascii="Times New Roman" w:eastAsia="Times New Roman" w:hAnsi="Times New Roman" w:cs="Times New Roman"/>
      <w:sz w:val="20"/>
      <w:szCs w:val="20"/>
      <w:lang w:val="es-ES" w:eastAsia="es-ES"/>
    </w:rPr>
  </w:style>
  <w:style w:type="paragraph" w:styleId="ListParagraph">
    <w:name w:val="List Paragraph"/>
    <w:basedOn w:val="Normal"/>
    <w:uiPriority w:val="34"/>
    <w:qFormat/>
    <w:rsid w:val="00212098"/>
    <w:pPr>
      <w:ind w:left="720"/>
      <w:contextualSpacing/>
    </w:pPr>
  </w:style>
  <w:style w:type="paragraph" w:customStyle="1" w:styleId="Default">
    <w:name w:val="Default"/>
    <w:rsid w:val="00212098"/>
    <w:pPr>
      <w:autoSpaceDE w:val="0"/>
      <w:autoSpaceDN w:val="0"/>
      <w:adjustRightInd w:val="0"/>
      <w:spacing w:after="0" w:line="240" w:lineRule="auto"/>
    </w:pPr>
    <w:rPr>
      <w:rFonts w:ascii="Times New Roman" w:eastAsiaTheme="minorEastAsia" w:hAnsi="Times New Roman" w:cs="Times New Roman"/>
      <w:color w:val="000000"/>
      <w:sz w:val="24"/>
      <w:szCs w:val="24"/>
      <w:lang w:eastAsia="es-CL"/>
    </w:rPr>
  </w:style>
  <w:style w:type="character" w:styleId="Hyperlink">
    <w:name w:val="Hyperlink"/>
    <w:basedOn w:val="DefaultParagraphFont"/>
    <w:uiPriority w:val="99"/>
    <w:unhideWhenUsed/>
    <w:rsid w:val="00212098"/>
    <w:rPr>
      <w:color w:val="0000FF" w:themeColor="hyperlink"/>
      <w:u w:val="single"/>
    </w:rPr>
  </w:style>
  <w:style w:type="character" w:customStyle="1" w:styleId="A4">
    <w:name w:val="A4"/>
    <w:uiPriority w:val="99"/>
    <w:rsid w:val="00212098"/>
    <w:rPr>
      <w:rFonts w:cs="Merriweather"/>
      <w:color w:val="000000"/>
      <w:sz w:val="20"/>
      <w:szCs w:val="20"/>
    </w:rPr>
  </w:style>
  <w:style w:type="character" w:styleId="Emphasis">
    <w:name w:val="Emphasis"/>
    <w:basedOn w:val="DefaultParagraphFont"/>
    <w:qFormat/>
    <w:rsid w:val="00212098"/>
    <w:rPr>
      <w:i/>
      <w:iCs/>
    </w:rPr>
  </w:style>
  <w:style w:type="paragraph" w:styleId="NoSpacing">
    <w:name w:val="No Spacing"/>
    <w:uiPriority w:val="1"/>
    <w:qFormat/>
    <w:rsid w:val="00E73095"/>
    <w:pPr>
      <w:spacing w:after="0" w:line="240" w:lineRule="auto"/>
    </w:pPr>
  </w:style>
  <w:style w:type="character" w:styleId="CommentReference">
    <w:name w:val="annotation reference"/>
    <w:basedOn w:val="DefaultParagraphFont"/>
    <w:uiPriority w:val="99"/>
    <w:semiHidden/>
    <w:unhideWhenUsed/>
    <w:rsid w:val="00FD5B61"/>
    <w:rPr>
      <w:sz w:val="16"/>
      <w:szCs w:val="16"/>
    </w:rPr>
  </w:style>
  <w:style w:type="paragraph" w:styleId="CommentText">
    <w:name w:val="annotation text"/>
    <w:basedOn w:val="Normal"/>
    <w:link w:val="CommentTextChar"/>
    <w:uiPriority w:val="99"/>
    <w:semiHidden/>
    <w:unhideWhenUsed/>
    <w:rsid w:val="00FD5B61"/>
    <w:pPr>
      <w:spacing w:line="240" w:lineRule="auto"/>
    </w:pPr>
    <w:rPr>
      <w:sz w:val="20"/>
      <w:szCs w:val="20"/>
    </w:rPr>
  </w:style>
  <w:style w:type="character" w:customStyle="1" w:styleId="CommentTextChar">
    <w:name w:val="Comment Text Char"/>
    <w:basedOn w:val="DefaultParagraphFont"/>
    <w:link w:val="CommentText"/>
    <w:uiPriority w:val="99"/>
    <w:semiHidden/>
    <w:rsid w:val="00FD5B61"/>
    <w:rPr>
      <w:rFonts w:eastAsiaTheme="minorEastAsia"/>
      <w:sz w:val="20"/>
      <w:szCs w:val="20"/>
      <w:lang w:eastAsia="es-CL"/>
    </w:rPr>
  </w:style>
  <w:style w:type="paragraph" w:styleId="CommentSubject">
    <w:name w:val="annotation subject"/>
    <w:basedOn w:val="CommentText"/>
    <w:next w:val="CommentText"/>
    <w:link w:val="CommentSubjectChar"/>
    <w:uiPriority w:val="99"/>
    <w:semiHidden/>
    <w:unhideWhenUsed/>
    <w:rsid w:val="00FD5B61"/>
    <w:rPr>
      <w:b/>
      <w:bCs/>
    </w:rPr>
  </w:style>
  <w:style w:type="character" w:customStyle="1" w:styleId="CommentSubjectChar">
    <w:name w:val="Comment Subject Char"/>
    <w:basedOn w:val="CommentTextChar"/>
    <w:link w:val="CommentSubject"/>
    <w:uiPriority w:val="99"/>
    <w:semiHidden/>
    <w:rsid w:val="00FD5B61"/>
    <w:rPr>
      <w:rFonts w:eastAsiaTheme="minorEastAsia"/>
      <w:b/>
      <w:bCs/>
      <w:sz w:val="20"/>
      <w:szCs w:val="20"/>
      <w:lang w:eastAsia="es-CL"/>
    </w:rPr>
  </w:style>
  <w:style w:type="paragraph" w:styleId="BalloonText">
    <w:name w:val="Balloon Text"/>
    <w:basedOn w:val="Normal"/>
    <w:link w:val="BalloonTextChar"/>
    <w:uiPriority w:val="99"/>
    <w:semiHidden/>
    <w:unhideWhenUsed/>
    <w:rsid w:val="00FD5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B61"/>
    <w:rPr>
      <w:rFonts w:ascii="Tahoma" w:eastAsiaTheme="minorEastAsia" w:hAnsi="Tahoma" w:cs="Tahoma"/>
      <w:sz w:val="16"/>
      <w:szCs w:val="16"/>
      <w:lang w:eastAsia="es-CL"/>
    </w:rPr>
  </w:style>
  <w:style w:type="paragraph" w:styleId="Header">
    <w:name w:val="header"/>
    <w:basedOn w:val="Normal"/>
    <w:link w:val="HeaderChar"/>
    <w:uiPriority w:val="99"/>
    <w:unhideWhenUsed/>
    <w:rsid w:val="00B23418"/>
    <w:pPr>
      <w:tabs>
        <w:tab w:val="center" w:pos="4419"/>
        <w:tab w:val="right" w:pos="8838"/>
      </w:tabs>
      <w:spacing w:after="0" w:line="240" w:lineRule="auto"/>
    </w:pPr>
  </w:style>
  <w:style w:type="character" w:customStyle="1" w:styleId="HeaderChar">
    <w:name w:val="Header Char"/>
    <w:basedOn w:val="DefaultParagraphFont"/>
    <w:link w:val="Header"/>
    <w:uiPriority w:val="99"/>
    <w:rsid w:val="00B23418"/>
    <w:rPr>
      <w:rFonts w:eastAsiaTheme="minorEastAsia"/>
      <w:lang w:eastAsia="es-CL"/>
    </w:rPr>
  </w:style>
  <w:style w:type="paragraph" w:styleId="Footer">
    <w:name w:val="footer"/>
    <w:basedOn w:val="Normal"/>
    <w:link w:val="FooterChar"/>
    <w:uiPriority w:val="99"/>
    <w:unhideWhenUsed/>
    <w:rsid w:val="00B23418"/>
    <w:pPr>
      <w:tabs>
        <w:tab w:val="center" w:pos="4419"/>
        <w:tab w:val="right" w:pos="8838"/>
      </w:tabs>
      <w:spacing w:after="0" w:line="240" w:lineRule="auto"/>
    </w:pPr>
  </w:style>
  <w:style w:type="character" w:customStyle="1" w:styleId="FooterChar">
    <w:name w:val="Footer Char"/>
    <w:basedOn w:val="DefaultParagraphFont"/>
    <w:link w:val="Footer"/>
    <w:uiPriority w:val="99"/>
    <w:rsid w:val="00B23418"/>
    <w:rPr>
      <w:rFonts w:eastAsiaTheme="minorEastAsia"/>
      <w:lang w:eastAsia="es-CL"/>
    </w:rPr>
  </w:style>
  <w:style w:type="paragraph" w:styleId="Revision">
    <w:name w:val="Revision"/>
    <w:hidden/>
    <w:uiPriority w:val="99"/>
    <w:semiHidden/>
    <w:rsid w:val="00406332"/>
    <w:pPr>
      <w:spacing w:after="0" w:line="240" w:lineRule="auto"/>
    </w:pPr>
    <w:rPr>
      <w:rFonts w:eastAsiaTheme="minorEastAsia"/>
      <w:lang w:eastAsia="es-CL"/>
    </w:rPr>
  </w:style>
  <w:style w:type="table" w:styleId="TableGrid">
    <w:name w:val="Table Grid"/>
    <w:basedOn w:val="TableNormal"/>
    <w:uiPriority w:val="59"/>
    <w:rsid w:val="00775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6BB8"/>
    <w:rPr>
      <w:rFonts w:ascii="Times New Roman" w:eastAsiaTheme="majorEastAsia" w:hAnsi="Times New Roman" w:cstheme="majorBidi"/>
      <w:b/>
      <w:bCs/>
      <w:sz w:val="24"/>
      <w:szCs w:val="26"/>
      <w:u w:val="single"/>
      <w:lang w:val="es-ES"/>
    </w:rPr>
  </w:style>
  <w:style w:type="character" w:customStyle="1" w:styleId="st">
    <w:name w:val="st"/>
    <w:basedOn w:val="DefaultParagraphFont"/>
    <w:rsid w:val="00621B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86D"/>
    <w:rPr>
      <w:rFonts w:eastAsiaTheme="minorEastAsia"/>
      <w:lang w:eastAsia="es-CL"/>
    </w:rPr>
  </w:style>
  <w:style w:type="paragraph" w:styleId="Heading2">
    <w:name w:val="heading 2"/>
    <w:basedOn w:val="Normal"/>
    <w:next w:val="Normal"/>
    <w:link w:val="Heading2Char"/>
    <w:uiPriority w:val="9"/>
    <w:unhideWhenUsed/>
    <w:qFormat/>
    <w:rsid w:val="00E36BB8"/>
    <w:pPr>
      <w:keepNext/>
      <w:keepLines/>
      <w:spacing w:before="200" w:after="0"/>
      <w:outlineLvl w:val="1"/>
    </w:pPr>
    <w:rPr>
      <w:rFonts w:ascii="Times New Roman" w:eastAsiaTheme="majorEastAsia" w:hAnsi="Times New Roman" w:cstheme="majorBidi"/>
      <w:b/>
      <w:bCs/>
      <w:sz w:val="24"/>
      <w:szCs w:val="26"/>
      <w:u w:val="single"/>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BVI fnr"/>
    <w:uiPriority w:val="99"/>
    <w:rsid w:val="00212098"/>
    <w:rPr>
      <w:rFonts w:ascii="Times New Roman" w:hAnsi="Times New Roman"/>
      <w:sz w:val="18"/>
      <w:vertAlign w:val="superscript"/>
    </w:rPr>
  </w:style>
  <w:style w:type="paragraph" w:customStyle="1" w:styleId="HChG">
    <w:name w:val="_ H _Ch_G"/>
    <w:basedOn w:val="Normal"/>
    <w:next w:val="Normal"/>
    <w:rsid w:val="0021209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paragraph" w:customStyle="1" w:styleId="H1G">
    <w:name w:val="_ H_1_G"/>
    <w:basedOn w:val="Normal"/>
    <w:next w:val="Normal"/>
    <w:rsid w:val="00212098"/>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SingleTxtG">
    <w:name w:val="_ Single Txt_G"/>
    <w:basedOn w:val="Normal"/>
    <w:link w:val="SingleTxtGCar"/>
    <w:rsid w:val="00212098"/>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FootnoteText">
    <w:name w:val="footnote text"/>
    <w:aliases w:val="5_G,Footnote,Texto nota pie Car Car,Footnote Text Char Char Char Char,Footnote Text Char Char Char,Texto nota pie Car Car Car,Texto nota pie Car Car Car Car,Texto,nota,pie,Ref.,al,Car Car Car,Car Car,Footnote Text Char Char Char Char Char"/>
    <w:basedOn w:val="Normal"/>
    <w:link w:val="FootnoteTextChar"/>
    <w:qFormat/>
    <w:rsid w:val="00212098"/>
    <w:pPr>
      <w:tabs>
        <w:tab w:val="right" w:pos="1021"/>
      </w:tabs>
      <w:spacing w:after="0" w:line="220" w:lineRule="exact"/>
      <w:ind w:left="1134" w:right="1134" w:hanging="1134"/>
    </w:pPr>
    <w:rPr>
      <w:rFonts w:ascii="Times New Roman" w:eastAsia="Times New Roman" w:hAnsi="Times New Roman" w:cs="Times New Roman"/>
      <w:sz w:val="18"/>
      <w:szCs w:val="20"/>
      <w:lang w:val="es-ES" w:eastAsia="es-ES"/>
    </w:rPr>
  </w:style>
  <w:style w:type="character" w:customStyle="1" w:styleId="FootnoteTextChar">
    <w:name w:val="Footnote Text Char"/>
    <w:aliases w:val="5_G Char,Footnote Char,Texto nota pie Car Car Char,Footnote Text Char Char Char Char Char1,Footnote Text Char Char Char Char1,Texto nota pie Car Car Car Char,Texto nota pie Car Car Car Car Char,Texto Char,nota Char,pie Char,Ref. Char"/>
    <w:basedOn w:val="DefaultParagraphFont"/>
    <w:link w:val="FootnoteText"/>
    <w:rsid w:val="00212098"/>
    <w:rPr>
      <w:rFonts w:ascii="Times New Roman" w:eastAsia="Times New Roman" w:hAnsi="Times New Roman" w:cs="Times New Roman"/>
      <w:sz w:val="18"/>
      <w:szCs w:val="20"/>
      <w:lang w:val="es-ES" w:eastAsia="es-ES"/>
    </w:rPr>
  </w:style>
  <w:style w:type="character" w:customStyle="1" w:styleId="SingleTxtGCar">
    <w:name w:val="_ Single Txt_G Car"/>
    <w:link w:val="SingleTxtG"/>
    <w:rsid w:val="00212098"/>
    <w:rPr>
      <w:rFonts w:ascii="Times New Roman" w:eastAsia="Times New Roman" w:hAnsi="Times New Roman" w:cs="Times New Roman"/>
      <w:sz w:val="20"/>
      <w:szCs w:val="20"/>
      <w:lang w:val="es-ES" w:eastAsia="es-ES"/>
    </w:rPr>
  </w:style>
  <w:style w:type="paragraph" w:styleId="ListParagraph">
    <w:name w:val="List Paragraph"/>
    <w:basedOn w:val="Normal"/>
    <w:uiPriority w:val="34"/>
    <w:qFormat/>
    <w:rsid w:val="00212098"/>
    <w:pPr>
      <w:ind w:left="720"/>
      <w:contextualSpacing/>
    </w:pPr>
  </w:style>
  <w:style w:type="paragraph" w:customStyle="1" w:styleId="Default">
    <w:name w:val="Default"/>
    <w:rsid w:val="00212098"/>
    <w:pPr>
      <w:autoSpaceDE w:val="0"/>
      <w:autoSpaceDN w:val="0"/>
      <w:adjustRightInd w:val="0"/>
      <w:spacing w:after="0" w:line="240" w:lineRule="auto"/>
    </w:pPr>
    <w:rPr>
      <w:rFonts w:ascii="Times New Roman" w:eastAsiaTheme="minorEastAsia" w:hAnsi="Times New Roman" w:cs="Times New Roman"/>
      <w:color w:val="000000"/>
      <w:sz w:val="24"/>
      <w:szCs w:val="24"/>
      <w:lang w:eastAsia="es-CL"/>
    </w:rPr>
  </w:style>
  <w:style w:type="character" w:styleId="Hyperlink">
    <w:name w:val="Hyperlink"/>
    <w:basedOn w:val="DefaultParagraphFont"/>
    <w:uiPriority w:val="99"/>
    <w:unhideWhenUsed/>
    <w:rsid w:val="00212098"/>
    <w:rPr>
      <w:color w:val="0000FF" w:themeColor="hyperlink"/>
      <w:u w:val="single"/>
    </w:rPr>
  </w:style>
  <w:style w:type="character" w:customStyle="1" w:styleId="A4">
    <w:name w:val="A4"/>
    <w:uiPriority w:val="99"/>
    <w:rsid w:val="00212098"/>
    <w:rPr>
      <w:rFonts w:cs="Merriweather"/>
      <w:color w:val="000000"/>
      <w:sz w:val="20"/>
      <w:szCs w:val="20"/>
    </w:rPr>
  </w:style>
  <w:style w:type="character" w:styleId="Emphasis">
    <w:name w:val="Emphasis"/>
    <w:basedOn w:val="DefaultParagraphFont"/>
    <w:qFormat/>
    <w:rsid w:val="00212098"/>
    <w:rPr>
      <w:i/>
      <w:iCs/>
    </w:rPr>
  </w:style>
  <w:style w:type="paragraph" w:styleId="NoSpacing">
    <w:name w:val="No Spacing"/>
    <w:uiPriority w:val="1"/>
    <w:qFormat/>
    <w:rsid w:val="00E73095"/>
    <w:pPr>
      <w:spacing w:after="0" w:line="240" w:lineRule="auto"/>
    </w:pPr>
  </w:style>
  <w:style w:type="character" w:styleId="CommentReference">
    <w:name w:val="annotation reference"/>
    <w:basedOn w:val="DefaultParagraphFont"/>
    <w:uiPriority w:val="99"/>
    <w:semiHidden/>
    <w:unhideWhenUsed/>
    <w:rsid w:val="00FD5B61"/>
    <w:rPr>
      <w:sz w:val="16"/>
      <w:szCs w:val="16"/>
    </w:rPr>
  </w:style>
  <w:style w:type="paragraph" w:styleId="CommentText">
    <w:name w:val="annotation text"/>
    <w:basedOn w:val="Normal"/>
    <w:link w:val="CommentTextChar"/>
    <w:uiPriority w:val="99"/>
    <w:semiHidden/>
    <w:unhideWhenUsed/>
    <w:rsid w:val="00FD5B61"/>
    <w:pPr>
      <w:spacing w:line="240" w:lineRule="auto"/>
    </w:pPr>
    <w:rPr>
      <w:sz w:val="20"/>
      <w:szCs w:val="20"/>
    </w:rPr>
  </w:style>
  <w:style w:type="character" w:customStyle="1" w:styleId="CommentTextChar">
    <w:name w:val="Comment Text Char"/>
    <w:basedOn w:val="DefaultParagraphFont"/>
    <w:link w:val="CommentText"/>
    <w:uiPriority w:val="99"/>
    <w:semiHidden/>
    <w:rsid w:val="00FD5B61"/>
    <w:rPr>
      <w:rFonts w:eastAsiaTheme="minorEastAsia"/>
      <w:sz w:val="20"/>
      <w:szCs w:val="20"/>
      <w:lang w:eastAsia="es-CL"/>
    </w:rPr>
  </w:style>
  <w:style w:type="paragraph" w:styleId="CommentSubject">
    <w:name w:val="annotation subject"/>
    <w:basedOn w:val="CommentText"/>
    <w:next w:val="CommentText"/>
    <w:link w:val="CommentSubjectChar"/>
    <w:uiPriority w:val="99"/>
    <w:semiHidden/>
    <w:unhideWhenUsed/>
    <w:rsid w:val="00FD5B61"/>
    <w:rPr>
      <w:b/>
      <w:bCs/>
    </w:rPr>
  </w:style>
  <w:style w:type="character" w:customStyle="1" w:styleId="CommentSubjectChar">
    <w:name w:val="Comment Subject Char"/>
    <w:basedOn w:val="CommentTextChar"/>
    <w:link w:val="CommentSubject"/>
    <w:uiPriority w:val="99"/>
    <w:semiHidden/>
    <w:rsid w:val="00FD5B61"/>
    <w:rPr>
      <w:rFonts w:eastAsiaTheme="minorEastAsia"/>
      <w:b/>
      <w:bCs/>
      <w:sz w:val="20"/>
      <w:szCs w:val="20"/>
      <w:lang w:eastAsia="es-CL"/>
    </w:rPr>
  </w:style>
  <w:style w:type="paragraph" w:styleId="BalloonText">
    <w:name w:val="Balloon Text"/>
    <w:basedOn w:val="Normal"/>
    <w:link w:val="BalloonTextChar"/>
    <w:uiPriority w:val="99"/>
    <w:semiHidden/>
    <w:unhideWhenUsed/>
    <w:rsid w:val="00FD5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B61"/>
    <w:rPr>
      <w:rFonts w:ascii="Tahoma" w:eastAsiaTheme="minorEastAsia" w:hAnsi="Tahoma" w:cs="Tahoma"/>
      <w:sz w:val="16"/>
      <w:szCs w:val="16"/>
      <w:lang w:eastAsia="es-CL"/>
    </w:rPr>
  </w:style>
  <w:style w:type="paragraph" w:styleId="Header">
    <w:name w:val="header"/>
    <w:basedOn w:val="Normal"/>
    <w:link w:val="HeaderChar"/>
    <w:uiPriority w:val="99"/>
    <w:unhideWhenUsed/>
    <w:rsid w:val="00B23418"/>
    <w:pPr>
      <w:tabs>
        <w:tab w:val="center" w:pos="4419"/>
        <w:tab w:val="right" w:pos="8838"/>
      </w:tabs>
      <w:spacing w:after="0" w:line="240" w:lineRule="auto"/>
    </w:pPr>
  </w:style>
  <w:style w:type="character" w:customStyle="1" w:styleId="HeaderChar">
    <w:name w:val="Header Char"/>
    <w:basedOn w:val="DefaultParagraphFont"/>
    <w:link w:val="Header"/>
    <w:uiPriority w:val="99"/>
    <w:rsid w:val="00B23418"/>
    <w:rPr>
      <w:rFonts w:eastAsiaTheme="minorEastAsia"/>
      <w:lang w:eastAsia="es-CL"/>
    </w:rPr>
  </w:style>
  <w:style w:type="paragraph" w:styleId="Footer">
    <w:name w:val="footer"/>
    <w:basedOn w:val="Normal"/>
    <w:link w:val="FooterChar"/>
    <w:uiPriority w:val="99"/>
    <w:unhideWhenUsed/>
    <w:rsid w:val="00B23418"/>
    <w:pPr>
      <w:tabs>
        <w:tab w:val="center" w:pos="4419"/>
        <w:tab w:val="right" w:pos="8838"/>
      </w:tabs>
      <w:spacing w:after="0" w:line="240" w:lineRule="auto"/>
    </w:pPr>
  </w:style>
  <w:style w:type="character" w:customStyle="1" w:styleId="FooterChar">
    <w:name w:val="Footer Char"/>
    <w:basedOn w:val="DefaultParagraphFont"/>
    <w:link w:val="Footer"/>
    <w:uiPriority w:val="99"/>
    <w:rsid w:val="00B23418"/>
    <w:rPr>
      <w:rFonts w:eastAsiaTheme="minorEastAsia"/>
      <w:lang w:eastAsia="es-CL"/>
    </w:rPr>
  </w:style>
  <w:style w:type="paragraph" w:styleId="Revision">
    <w:name w:val="Revision"/>
    <w:hidden/>
    <w:uiPriority w:val="99"/>
    <w:semiHidden/>
    <w:rsid w:val="00406332"/>
    <w:pPr>
      <w:spacing w:after="0" w:line="240" w:lineRule="auto"/>
    </w:pPr>
    <w:rPr>
      <w:rFonts w:eastAsiaTheme="minorEastAsia"/>
      <w:lang w:eastAsia="es-CL"/>
    </w:rPr>
  </w:style>
  <w:style w:type="table" w:styleId="TableGrid">
    <w:name w:val="Table Grid"/>
    <w:basedOn w:val="TableNormal"/>
    <w:uiPriority w:val="59"/>
    <w:rsid w:val="00775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6BB8"/>
    <w:rPr>
      <w:rFonts w:ascii="Times New Roman" w:eastAsiaTheme="majorEastAsia" w:hAnsi="Times New Roman" w:cstheme="majorBidi"/>
      <w:b/>
      <w:bCs/>
      <w:sz w:val="24"/>
      <w:szCs w:val="26"/>
      <w:u w:val="single"/>
      <w:lang w:val="es-ES"/>
    </w:rPr>
  </w:style>
  <w:style w:type="character" w:customStyle="1" w:styleId="st">
    <w:name w:val="st"/>
    <w:basedOn w:val="DefaultParagraphFont"/>
    <w:rsid w:val="00621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76041">
      <w:bodyDiv w:val="1"/>
      <w:marLeft w:val="0"/>
      <w:marRight w:val="0"/>
      <w:marTop w:val="0"/>
      <w:marBottom w:val="0"/>
      <w:divBdr>
        <w:top w:val="none" w:sz="0" w:space="0" w:color="auto"/>
        <w:left w:val="none" w:sz="0" w:space="0" w:color="auto"/>
        <w:bottom w:val="none" w:sz="0" w:space="0" w:color="auto"/>
        <w:right w:val="none" w:sz="0" w:space="0" w:color="auto"/>
      </w:divBdr>
    </w:div>
    <w:div w:id="14471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jud.cl"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tats.oecd.org/index.aspx?DatasetCode=STLABOUR"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snas1\UnidEstudios\PNUD\20150223_Info%20Pactos%20Derecha%20Civil%20y%20Politico%20y%20Pacto%20Econ&#243;mico%20Social%20y%20Cultural\Datos%20Respuesta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nas1\UnidEstudios\PNUD\20150223_Info%20Pactos%20Derecha%20Civil%20y%20Politico%20y%20Pacto%20Econ&#243;mico%20Social%20y%20Cultural\Datos%20Respuesta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nas1\UnidEstudios\PNUD\20150223_Info%20Pactos%20Derecha%20Civil%20y%20Politico%20y%20Pacto%20Econ&#243;mico%20Social%20y%20Cultural\Datos%20Respuest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'Participacion Laboral'!$C$21:$C$22</c:f>
              <c:strCache>
                <c:ptCount val="1"/>
                <c:pt idx="0">
                  <c:v>Tasa de Participación Mujeres</c:v>
                </c:pt>
              </c:strCache>
            </c:strRef>
          </c:tx>
          <c:invertIfNegative val="0"/>
          <c:dLbls>
            <c:showLegendKey val="0"/>
            <c:showVal val="1"/>
            <c:showCatName val="0"/>
            <c:showSerName val="0"/>
            <c:showPercent val="0"/>
            <c:showBubbleSize val="0"/>
            <c:showLeaderLines val="0"/>
          </c:dLbls>
          <c:cat>
            <c:numRef>
              <c:f>'Participacion Laboral'!$B$23:$B$32</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'Participacion Laboral'!$C$23:$C$32</c:f>
              <c:numCache>
                <c:formatCode>General</c:formatCode>
                <c:ptCount val="10"/>
                <c:pt idx="0">
                  <c:v>42.3</c:v>
                </c:pt>
                <c:pt idx="1">
                  <c:v>43.3</c:v>
                </c:pt>
                <c:pt idx="2">
                  <c:v>44.4</c:v>
                </c:pt>
                <c:pt idx="3">
                  <c:v>46.6</c:v>
                </c:pt>
                <c:pt idx="4">
                  <c:v>47.4</c:v>
                </c:pt>
                <c:pt idx="5">
                  <c:v>51.8</c:v>
                </c:pt>
                <c:pt idx="6">
                  <c:v>53.9</c:v>
                </c:pt>
                <c:pt idx="7">
                  <c:v>54.6</c:v>
                </c:pt>
                <c:pt idx="8">
                  <c:v>54.9</c:v>
                </c:pt>
                <c:pt idx="9">
                  <c:v>55.7</c:v>
                </c:pt>
              </c:numCache>
            </c:numRef>
          </c:val>
        </c:ser>
        <c:ser>
          <c:idx val="1"/>
          <c:order val="1"/>
          <c:tx>
            <c:strRef>
              <c:f>'Participacion Laboral'!$D$21:$D$22</c:f>
              <c:strCache>
                <c:ptCount val="1"/>
                <c:pt idx="0">
                  <c:v>Tasa de Participación Hombres</c:v>
                </c:pt>
              </c:strCache>
            </c:strRef>
          </c:tx>
          <c:invertIfNegative val="0"/>
          <c:dLbls>
            <c:showLegendKey val="0"/>
            <c:showVal val="1"/>
            <c:showCatName val="0"/>
            <c:showSerName val="0"/>
            <c:showPercent val="0"/>
            <c:showBubbleSize val="0"/>
            <c:showLeaderLines val="0"/>
          </c:dLbls>
          <c:cat>
            <c:numRef>
              <c:f>'Participacion Laboral'!$B$23:$B$32</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'Participacion Laboral'!$D$23:$D$32</c:f>
              <c:numCache>
                <c:formatCode>General</c:formatCode>
                <c:ptCount val="10"/>
                <c:pt idx="0">
                  <c:v>76.7</c:v>
                </c:pt>
                <c:pt idx="1">
                  <c:v>77.400000000000006</c:v>
                </c:pt>
                <c:pt idx="2">
                  <c:v>77.400000000000006</c:v>
                </c:pt>
                <c:pt idx="3">
                  <c:v>78.099999999999994</c:v>
                </c:pt>
                <c:pt idx="4">
                  <c:v>77.3</c:v>
                </c:pt>
                <c:pt idx="5">
                  <c:v>77.8</c:v>
                </c:pt>
                <c:pt idx="6">
                  <c:v>78.599999999999994</c:v>
                </c:pt>
                <c:pt idx="7" formatCode="0.0">
                  <c:v>78</c:v>
                </c:pt>
                <c:pt idx="8">
                  <c:v>78.099999999999994</c:v>
                </c:pt>
                <c:pt idx="9">
                  <c:v>77.599999999999994</c:v>
                </c:pt>
              </c:numCache>
            </c:numRef>
          </c:val>
        </c:ser>
        <c:dLbls>
          <c:showLegendKey val="0"/>
          <c:showVal val="0"/>
          <c:showCatName val="0"/>
          <c:showSerName val="0"/>
          <c:showPercent val="0"/>
          <c:showBubbleSize val="0"/>
        </c:dLbls>
        <c:gapWidth val="150"/>
        <c:axId val="248837248"/>
        <c:axId val="248839168"/>
      </c:barChart>
      <c:catAx>
        <c:axId val="248837248"/>
        <c:scaling>
          <c:orientation val="minMax"/>
        </c:scaling>
        <c:delete val="0"/>
        <c:axPos val="b"/>
        <c:numFmt formatCode="General" sourceLinked="1"/>
        <c:majorTickMark val="out"/>
        <c:minorTickMark val="none"/>
        <c:tickLblPos val="nextTo"/>
        <c:crossAx val="248839168"/>
        <c:crosses val="autoZero"/>
        <c:auto val="1"/>
        <c:lblAlgn val="ctr"/>
        <c:lblOffset val="100"/>
        <c:noMultiLvlLbl val="0"/>
      </c:catAx>
      <c:valAx>
        <c:axId val="248839168"/>
        <c:scaling>
          <c:orientation val="minMax"/>
        </c:scaling>
        <c:delete val="0"/>
        <c:axPos val="l"/>
        <c:numFmt formatCode="General" sourceLinked="1"/>
        <c:majorTickMark val="out"/>
        <c:minorTickMark val="none"/>
        <c:tickLblPos val="nextTo"/>
        <c:crossAx val="248837248"/>
        <c:crosses val="autoZero"/>
        <c:crossBetween val="between"/>
      </c:valAx>
    </c:plotArea>
    <c:legend>
      <c:legendPos val="b"/>
      <c:layout/>
      <c:overlay val="0"/>
    </c:legend>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53180584186634"/>
          <c:y val="7.0671672088092746E-2"/>
          <c:w val="0.85231445611632661"/>
          <c:h val="0.77059534753587455"/>
        </c:manualLayout>
      </c:layout>
      <c:barChart>
        <c:barDir val="col"/>
        <c:grouping val="clustered"/>
        <c:varyColors val="0"/>
        <c:ser>
          <c:idx val="0"/>
          <c:order val="0"/>
          <c:tx>
            <c:strRef>
              <c:f>'mujeres en puestos directivos'!$N$3</c:f>
              <c:strCache>
                <c:ptCount val="1"/>
                <c:pt idx="0">
                  <c:v>Porcentaje de mujeres en puestos de responsabilidad</c:v>
                </c:pt>
              </c:strCache>
            </c:strRef>
          </c:tx>
          <c:invertIfNegative val="0"/>
          <c:dLbls>
            <c:showLegendKey val="0"/>
            <c:showVal val="1"/>
            <c:showCatName val="0"/>
            <c:showSerName val="0"/>
            <c:showPercent val="0"/>
            <c:showBubbleSize val="0"/>
            <c:showLeaderLines val="0"/>
          </c:dLbls>
          <c:cat>
            <c:strRef>
              <c:f>'mujeres en puestos directivos'!$M$4:$M$8</c:f>
              <c:strCache>
                <c:ptCount val="5"/>
                <c:pt idx="0">
                  <c:v>año 2010</c:v>
                </c:pt>
                <c:pt idx="1">
                  <c:v>año 2011</c:v>
                </c:pt>
                <c:pt idx="2">
                  <c:v>año 2012</c:v>
                </c:pt>
                <c:pt idx="3">
                  <c:v>año 2013</c:v>
                </c:pt>
                <c:pt idx="4">
                  <c:v>año 2014</c:v>
                </c:pt>
              </c:strCache>
            </c:strRef>
          </c:cat>
          <c:val>
            <c:numRef>
              <c:f>'mujeres en puestos directivos'!$N$4:$N$8</c:f>
              <c:numCache>
                <c:formatCode>0.0%</c:formatCode>
                <c:ptCount val="5"/>
                <c:pt idx="0">
                  <c:v>0.27928828714681403</c:v>
                </c:pt>
                <c:pt idx="1">
                  <c:v>0.31397687788339068</c:v>
                </c:pt>
                <c:pt idx="2">
                  <c:v>0.31638076214186595</c:v>
                </c:pt>
                <c:pt idx="3">
                  <c:v>0.31893570993347425</c:v>
                </c:pt>
                <c:pt idx="4">
                  <c:v>0.32650004168712432</c:v>
                </c:pt>
              </c:numCache>
            </c:numRef>
          </c:val>
        </c:ser>
        <c:dLbls>
          <c:showLegendKey val="0"/>
          <c:showVal val="0"/>
          <c:showCatName val="0"/>
          <c:showSerName val="0"/>
          <c:showPercent val="0"/>
          <c:showBubbleSize val="0"/>
        </c:dLbls>
        <c:gapWidth val="150"/>
        <c:axId val="256583168"/>
        <c:axId val="259072000"/>
      </c:barChart>
      <c:catAx>
        <c:axId val="256583168"/>
        <c:scaling>
          <c:orientation val="minMax"/>
        </c:scaling>
        <c:delete val="0"/>
        <c:axPos val="b"/>
        <c:majorTickMark val="out"/>
        <c:minorTickMark val="none"/>
        <c:tickLblPos val="nextTo"/>
        <c:crossAx val="259072000"/>
        <c:crosses val="autoZero"/>
        <c:auto val="1"/>
        <c:lblAlgn val="ctr"/>
        <c:lblOffset val="100"/>
        <c:noMultiLvlLbl val="0"/>
      </c:catAx>
      <c:valAx>
        <c:axId val="259072000"/>
        <c:scaling>
          <c:orientation val="minMax"/>
        </c:scaling>
        <c:delete val="0"/>
        <c:axPos val="l"/>
        <c:numFmt formatCode="0.0%" sourceLinked="1"/>
        <c:majorTickMark val="out"/>
        <c:minorTickMark val="none"/>
        <c:tickLblPos val="nextTo"/>
        <c:crossAx val="256583168"/>
        <c:crosses val="autoZero"/>
        <c:crossBetween val="between"/>
      </c:valAx>
    </c:plotArea>
    <c:plotVisOnly val="1"/>
    <c:dispBlanksAs val="gap"/>
    <c:showDLblsOverMax val="0"/>
  </c:chart>
  <c:txPr>
    <a:bodyPr/>
    <a:lstStyle/>
    <a:p>
      <a:pPr>
        <a:defRPr sz="10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726773969954372E-2"/>
          <c:y val="4.6490004649000494E-2"/>
          <c:w val="0.91331383984333936"/>
          <c:h val="0.70606932501638131"/>
        </c:manualLayout>
      </c:layout>
      <c:lineChart>
        <c:grouping val="standard"/>
        <c:varyColors val="0"/>
        <c:ser>
          <c:idx val="0"/>
          <c:order val="0"/>
          <c:tx>
            <c:strRef>
              <c:f>Desempleo!$C$14:$C$15</c:f>
              <c:strCache>
                <c:ptCount val="1"/>
                <c:pt idx="0">
                  <c:v>Tasa de Desempleo Mujeres</c:v>
                </c:pt>
              </c:strCache>
            </c:strRef>
          </c:tx>
          <c:marker>
            <c:symbol val="none"/>
          </c:marker>
          <c:dLbls>
            <c:dLbl>
              <c:idx val="9"/>
              <c:layout>
                <c:manualLayout>
                  <c:x val="-3.9867109634551492E-2"/>
                  <c:y val="-4.0955631399317433E-2"/>
                </c:manualLayout>
              </c:layout>
              <c:showLegendKey val="0"/>
              <c:showVal val="1"/>
              <c:showCatName val="0"/>
              <c:showSerName val="0"/>
              <c:showPercent val="0"/>
              <c:showBubbleSize val="0"/>
            </c:dLbl>
            <c:dLbl>
              <c:idx val="14"/>
              <c:layout>
                <c:manualLayout>
                  <c:x val="-3.1007751937984489E-2"/>
                  <c:y val="-2.7303754266211604E-2"/>
                </c:manualLayout>
              </c:layout>
              <c:showLegendKey val="0"/>
              <c:showVal val="1"/>
              <c:showCatName val="0"/>
              <c:showSerName val="0"/>
              <c:showPercent val="0"/>
              <c:showBubbleSize val="0"/>
            </c:dLbl>
            <c:dLbl>
              <c:idx val="19"/>
              <c:layout>
                <c:manualLayout>
                  <c:x val="-3.9867109634551492E-2"/>
                  <c:y val="-3.185437997724689E-2"/>
                </c:manualLayout>
              </c:layout>
              <c:showLegendKey val="0"/>
              <c:showVal val="1"/>
              <c:showCatName val="0"/>
              <c:showSerName val="0"/>
              <c:showPercent val="0"/>
              <c:showBubbleSize val="0"/>
            </c:dLbl>
            <c:dLbl>
              <c:idx val="24"/>
              <c:layout/>
              <c:showLegendKey val="0"/>
              <c:showVal val="1"/>
              <c:showCatName val="0"/>
              <c:showSerName val="0"/>
              <c:showPercent val="0"/>
              <c:showBubbleSize val="0"/>
            </c:dLbl>
            <c:showLegendKey val="0"/>
            <c:showVal val="0"/>
            <c:showCatName val="0"/>
            <c:showSerName val="0"/>
            <c:showPercent val="0"/>
            <c:showBubbleSize val="0"/>
          </c:dLbls>
          <c:cat>
            <c:numRef>
              <c:f>Desempleo!$B$16:$B$40</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Desempleo!$C$16:$C$40</c:f>
              <c:numCache>
                <c:formatCode>0.0</c:formatCode>
                <c:ptCount val="25"/>
                <c:pt idx="0">
                  <c:v>9.6</c:v>
                </c:pt>
                <c:pt idx="1">
                  <c:v>10.3</c:v>
                </c:pt>
                <c:pt idx="2">
                  <c:v>9</c:v>
                </c:pt>
                <c:pt idx="3">
                  <c:v>9</c:v>
                </c:pt>
                <c:pt idx="4">
                  <c:v>10.3</c:v>
                </c:pt>
                <c:pt idx="5">
                  <c:v>9.5</c:v>
                </c:pt>
                <c:pt idx="6">
                  <c:v>7.9</c:v>
                </c:pt>
                <c:pt idx="7">
                  <c:v>7.7</c:v>
                </c:pt>
                <c:pt idx="8">
                  <c:v>7.6</c:v>
                </c:pt>
                <c:pt idx="9">
                  <c:v>10.8</c:v>
                </c:pt>
                <c:pt idx="10">
                  <c:v>10.3</c:v>
                </c:pt>
                <c:pt idx="11">
                  <c:v>10.1</c:v>
                </c:pt>
                <c:pt idx="12">
                  <c:v>10.1</c:v>
                </c:pt>
                <c:pt idx="13">
                  <c:v>10.3</c:v>
                </c:pt>
                <c:pt idx="14">
                  <c:v>11.2</c:v>
                </c:pt>
                <c:pt idx="15">
                  <c:v>10.6</c:v>
                </c:pt>
                <c:pt idx="16">
                  <c:v>9.5</c:v>
                </c:pt>
                <c:pt idx="17">
                  <c:v>8.6</c:v>
                </c:pt>
                <c:pt idx="18">
                  <c:v>9.5</c:v>
                </c:pt>
                <c:pt idx="19">
                  <c:v>10.7</c:v>
                </c:pt>
                <c:pt idx="20">
                  <c:v>9.7000000000000011</c:v>
                </c:pt>
                <c:pt idx="21">
                  <c:v>8.7000000000000011</c:v>
                </c:pt>
                <c:pt idx="22">
                  <c:v>7.9</c:v>
                </c:pt>
                <c:pt idx="23">
                  <c:v>6.9</c:v>
                </c:pt>
                <c:pt idx="24">
                  <c:v>6.9</c:v>
                </c:pt>
              </c:numCache>
            </c:numRef>
          </c:val>
          <c:smooth val="0"/>
        </c:ser>
        <c:ser>
          <c:idx val="1"/>
          <c:order val="1"/>
          <c:tx>
            <c:strRef>
              <c:f>Desempleo!$D$14:$D$15</c:f>
              <c:strCache>
                <c:ptCount val="1"/>
                <c:pt idx="0">
                  <c:v>Tasa de Desempleo Hombres</c:v>
                </c:pt>
              </c:strCache>
            </c:strRef>
          </c:tx>
          <c:marker>
            <c:symbol val="none"/>
          </c:marker>
          <c:dLbls>
            <c:dLbl>
              <c:idx val="9"/>
              <c:layout>
                <c:manualLayout>
                  <c:x val="-2.4363233665559252E-2"/>
                  <c:y val="4.5506257110352694E-2"/>
                </c:manualLayout>
              </c:layout>
              <c:showLegendKey val="0"/>
              <c:showVal val="1"/>
              <c:showCatName val="0"/>
              <c:showSerName val="0"/>
              <c:showPercent val="0"/>
              <c:showBubbleSize val="0"/>
            </c:dLbl>
            <c:dLbl>
              <c:idx val="14"/>
              <c:layout>
                <c:manualLayout>
                  <c:x val="-3.1007751937984489E-2"/>
                  <c:y val="-2.7303754266211604E-2"/>
                </c:manualLayout>
              </c:layout>
              <c:showLegendKey val="0"/>
              <c:showVal val="1"/>
              <c:showCatName val="0"/>
              <c:showSerName val="0"/>
              <c:showPercent val="0"/>
              <c:showBubbleSize val="0"/>
            </c:dLbl>
            <c:dLbl>
              <c:idx val="19"/>
              <c:layout>
                <c:manualLayout>
                  <c:x val="-2.8792912513842785E-2"/>
                  <c:y val="-2.7303754266211632E-2"/>
                </c:manualLayout>
              </c:layout>
              <c:showLegendKey val="0"/>
              <c:showVal val="1"/>
              <c:showCatName val="0"/>
              <c:showSerName val="0"/>
              <c:showPercent val="0"/>
              <c:showBubbleSize val="0"/>
            </c:dLbl>
            <c:dLbl>
              <c:idx val="24"/>
              <c:layout/>
              <c:showLegendKey val="0"/>
              <c:showVal val="1"/>
              <c:showCatName val="0"/>
              <c:showSerName val="0"/>
              <c:showPercent val="0"/>
              <c:showBubbleSize val="0"/>
            </c:dLbl>
            <c:showLegendKey val="0"/>
            <c:showVal val="0"/>
            <c:showCatName val="0"/>
            <c:showSerName val="0"/>
            <c:showPercent val="0"/>
            <c:showBubbleSize val="0"/>
          </c:dLbls>
          <c:cat>
            <c:numRef>
              <c:f>Desempleo!$B$16:$B$40</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Desempleo!$D$16:$D$40</c:f>
              <c:numCache>
                <c:formatCode>0.0</c:formatCode>
                <c:ptCount val="25"/>
                <c:pt idx="0">
                  <c:v>6.9</c:v>
                </c:pt>
                <c:pt idx="1">
                  <c:v>7.2</c:v>
                </c:pt>
                <c:pt idx="2">
                  <c:v>5.6</c:v>
                </c:pt>
                <c:pt idx="3">
                  <c:v>5.4</c:v>
                </c:pt>
                <c:pt idx="4">
                  <c:v>6.7</c:v>
                </c:pt>
                <c:pt idx="5">
                  <c:v>6.3</c:v>
                </c:pt>
                <c:pt idx="6">
                  <c:v>5.6</c:v>
                </c:pt>
                <c:pt idx="7">
                  <c:v>5.4</c:v>
                </c:pt>
                <c:pt idx="8">
                  <c:v>5.8</c:v>
                </c:pt>
                <c:pt idx="9">
                  <c:v>9.8000000000000007</c:v>
                </c:pt>
                <c:pt idx="10">
                  <c:v>9.3000000000000007</c:v>
                </c:pt>
                <c:pt idx="11">
                  <c:v>9.7000000000000011</c:v>
                </c:pt>
                <c:pt idx="12">
                  <c:v>9.6</c:v>
                </c:pt>
                <c:pt idx="13">
                  <c:v>9.1</c:v>
                </c:pt>
                <c:pt idx="14">
                  <c:v>9.4</c:v>
                </c:pt>
                <c:pt idx="15">
                  <c:v>8.5</c:v>
                </c:pt>
                <c:pt idx="16">
                  <c:v>6.9</c:v>
                </c:pt>
                <c:pt idx="17">
                  <c:v>6.3</c:v>
                </c:pt>
                <c:pt idx="18">
                  <c:v>6.8</c:v>
                </c:pt>
                <c:pt idx="19">
                  <c:v>9.1</c:v>
                </c:pt>
                <c:pt idx="20">
                  <c:v>7.2</c:v>
                </c:pt>
                <c:pt idx="21">
                  <c:v>6.1</c:v>
                </c:pt>
                <c:pt idx="22">
                  <c:v>5.4</c:v>
                </c:pt>
                <c:pt idx="23">
                  <c:v>5.3</c:v>
                </c:pt>
                <c:pt idx="24">
                  <c:v>6</c:v>
                </c:pt>
              </c:numCache>
            </c:numRef>
          </c:val>
          <c:smooth val="0"/>
        </c:ser>
        <c:dLbls>
          <c:showLegendKey val="0"/>
          <c:showVal val="0"/>
          <c:showCatName val="0"/>
          <c:showSerName val="0"/>
          <c:showPercent val="0"/>
          <c:showBubbleSize val="0"/>
        </c:dLbls>
        <c:marker val="1"/>
        <c:smooth val="0"/>
        <c:axId val="69298048"/>
        <c:axId val="69299584"/>
      </c:lineChart>
      <c:catAx>
        <c:axId val="69298048"/>
        <c:scaling>
          <c:orientation val="minMax"/>
        </c:scaling>
        <c:delete val="0"/>
        <c:axPos val="b"/>
        <c:numFmt formatCode="General" sourceLinked="1"/>
        <c:majorTickMark val="out"/>
        <c:minorTickMark val="none"/>
        <c:tickLblPos val="nextTo"/>
        <c:crossAx val="69299584"/>
        <c:crosses val="autoZero"/>
        <c:auto val="1"/>
        <c:lblAlgn val="ctr"/>
        <c:lblOffset val="100"/>
        <c:noMultiLvlLbl val="0"/>
      </c:catAx>
      <c:valAx>
        <c:axId val="69299584"/>
        <c:scaling>
          <c:orientation val="minMax"/>
        </c:scaling>
        <c:delete val="0"/>
        <c:axPos val="l"/>
        <c:numFmt formatCode="0.0" sourceLinked="1"/>
        <c:majorTickMark val="out"/>
        <c:minorTickMark val="none"/>
        <c:tickLblPos val="nextTo"/>
        <c:crossAx val="69298048"/>
        <c:crosses val="autoZero"/>
        <c:crossBetween val="between"/>
      </c:valAx>
    </c:plotArea>
    <c:legend>
      <c:legendPos val="b"/>
      <c:layout/>
      <c:overlay val="0"/>
    </c:legend>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B1383-0178-4A33-BDC1-1C457A4B9DEB}"/>
</file>

<file path=customXml/itemProps2.xml><?xml version="1.0" encoding="utf-8"?>
<ds:datastoreItem xmlns:ds="http://schemas.openxmlformats.org/officeDocument/2006/customXml" ds:itemID="{5B2DFF48-887C-4C3A-A58E-FB5251A7EF1E}"/>
</file>

<file path=customXml/itemProps3.xml><?xml version="1.0" encoding="utf-8"?>
<ds:datastoreItem xmlns:ds="http://schemas.openxmlformats.org/officeDocument/2006/customXml" ds:itemID="{4E4C37DA-3D22-48DC-85E2-F55F6282F86C}"/>
</file>

<file path=customXml/itemProps4.xml><?xml version="1.0" encoding="utf-8"?>
<ds:datastoreItem xmlns:ds="http://schemas.openxmlformats.org/officeDocument/2006/customXml" ds:itemID="{04A48395-9917-4D61-926F-604ED93292DA}"/>
</file>

<file path=docProps/app.xml><?xml version="1.0" encoding="utf-8"?>
<Properties xmlns="http://schemas.openxmlformats.org/officeDocument/2006/extended-properties" xmlns:vt="http://schemas.openxmlformats.org/officeDocument/2006/docPropsVTypes">
  <Template>Normal.dotm</Template>
  <TotalTime>1</TotalTime>
  <Pages>34</Pages>
  <Words>10511</Words>
  <Characters>56761</Characters>
  <Application>Microsoft Office Word</Application>
  <DocSecurity>0</DocSecurity>
  <Lines>873</Lines>
  <Paragraphs>186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Eugenia Moreira Ceballos</dc:creator>
  <cp:lastModifiedBy>Kim Mahoney-Monod</cp:lastModifiedBy>
  <cp:revision>2</cp:revision>
  <cp:lastPrinted>2015-03-25T12:40:00Z</cp:lastPrinted>
  <dcterms:created xsi:type="dcterms:W3CDTF">2015-04-08T14:16:00Z</dcterms:created>
  <dcterms:modified xsi:type="dcterms:W3CDTF">2015-04-08T14:16:00Z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