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3A32C" w14:textId="77777777" w:rsidR="009C4A36" w:rsidRDefault="00AB59AD" w:rsidP="009C4A36">
      <w:pPr>
        <w:rPr>
          <w:rFonts w:ascii="Arial" w:hAnsi="Arial" w:cs="Arial"/>
        </w:rPr>
      </w:pPr>
      <w:r>
        <w:rPr>
          <w:rFonts w:ascii="Arial" w:hAnsi="Arial"/>
        </w:rPr>
        <w:t>United Nations</w:t>
      </w:r>
    </w:p>
    <w:p w14:paraId="5BF7C7C4" w14:textId="77777777" w:rsidR="009C4A36" w:rsidRDefault="00AB59AD" w:rsidP="009C4A36">
      <w:pPr>
        <w:rPr>
          <w:rFonts w:ascii="Arial" w:hAnsi="Arial" w:cs="Arial"/>
        </w:rPr>
      </w:pPr>
      <w:r>
        <w:rPr>
          <w:rFonts w:ascii="Arial" w:hAnsi="Arial"/>
        </w:rPr>
        <w:t>Office of the High Commissioner for Human Rights</w:t>
      </w:r>
    </w:p>
    <w:p w14:paraId="4BB7A2EA" w14:textId="77777777" w:rsidR="009C4A36" w:rsidRDefault="009C4A36" w:rsidP="009C4A36">
      <w:pPr>
        <w:rPr>
          <w:rFonts w:ascii="Arial" w:hAnsi="Arial" w:cs="Arial"/>
        </w:rPr>
      </w:pPr>
    </w:p>
    <w:p w14:paraId="5EF1B662" w14:textId="77777777" w:rsidR="009C4A36" w:rsidRDefault="009C4A36" w:rsidP="009C4A36">
      <w:pPr>
        <w:rPr>
          <w:rFonts w:ascii="Arial" w:hAnsi="Arial" w:cs="Arial"/>
        </w:rPr>
      </w:pPr>
    </w:p>
    <w:p w14:paraId="79EEC376" w14:textId="77777777" w:rsidR="009C4A36" w:rsidRDefault="00AB59AD" w:rsidP="009C4A36">
      <w:pPr>
        <w:rPr>
          <w:rFonts w:ascii="Arial" w:hAnsi="Arial" w:cs="Arial"/>
        </w:rPr>
      </w:pPr>
      <w:bookmarkStart w:id="0" w:name="_Hlk161734114"/>
      <w:r>
        <w:rPr>
          <w:rFonts w:ascii="Arial" w:hAnsi="Arial"/>
        </w:rPr>
        <w:t xml:space="preserve">BY EMAIL to </w:t>
      </w:r>
      <w:hyperlink r:id="rId12" w:history="1">
        <w:r>
          <w:rPr>
            <w:rStyle w:val="Hyperlink"/>
            <w:rFonts w:ascii="Arial" w:hAnsi="Arial"/>
          </w:rPr>
          <w:t>ohchr-cat@un.org</w:t>
        </w:r>
      </w:hyperlink>
    </w:p>
    <w:p w14:paraId="57CD7B5B" w14:textId="77777777" w:rsidR="009C4A36" w:rsidRDefault="009C4A36" w:rsidP="009C4A36">
      <w:pPr>
        <w:pStyle w:val="Leip"/>
        <w:ind w:left="0"/>
      </w:pPr>
    </w:p>
    <w:bookmarkEnd w:id="0"/>
    <w:p w14:paraId="010224B5" w14:textId="77777777" w:rsidR="009C4A36" w:rsidRDefault="009C4A36" w:rsidP="009C4A36">
      <w:pPr>
        <w:pStyle w:val="Leip"/>
        <w:ind w:left="0"/>
      </w:pPr>
    </w:p>
    <w:sdt>
      <w:sdtPr>
        <w:rPr>
          <w:lang w:val="en-US"/>
        </w:rPr>
        <w:alias w:val="Date"/>
        <w:tag w:val="Päivämäärä"/>
        <w:id w:val="-971132022"/>
        <w:placeholder>
          <w:docPart w:val="35B0AEED62AB4DE5A71F315FE0AED029"/>
        </w:placeholder>
        <w:date w:fullDate="2024-03-26T00:00:00Z">
          <w:dateFormat w:val="d.M.yyyy"/>
          <w:lid w:val="en-GB"/>
          <w:storeMappedDataAs w:val="dateTime"/>
          <w:calendar w:val="gregorian"/>
        </w:date>
      </w:sdtPr>
      <w:sdtEndPr/>
      <w:sdtContent>
        <w:p w14:paraId="4A46F4A4" w14:textId="77777777" w:rsidR="009C4A36" w:rsidRDefault="00AB59AD" w:rsidP="009C4A36">
          <w:pPr>
            <w:pStyle w:val="Leip"/>
            <w:ind w:left="0"/>
            <w:rPr>
              <w:rFonts w:ascii="Times New Roman" w:hAnsi="Times New Roman"/>
            </w:rPr>
          </w:pPr>
          <w:r>
            <w:t>26.3.2024</w:t>
          </w:r>
        </w:p>
      </w:sdtContent>
    </w:sdt>
    <w:p w14:paraId="1F241CF6" w14:textId="77777777" w:rsidR="009C4A36" w:rsidRDefault="00AB59AD" w:rsidP="009C4A36">
      <w:pPr>
        <w:pStyle w:val="Leip"/>
        <w:ind w:left="0"/>
      </w:pPr>
      <w:r>
        <w:t xml:space="preserve">Reference: </w:t>
      </w:r>
      <w:bookmarkStart w:id="1" w:name="_Hlk161734140"/>
      <w:r>
        <w:t>The eight periodic report of Finland during the 79th Session of the Committee against Torture</w:t>
      </w:r>
    </w:p>
    <w:bookmarkEnd w:id="1"/>
    <w:p w14:paraId="4777BF17" w14:textId="77777777" w:rsidR="009C4A36" w:rsidRPr="009C4A36" w:rsidRDefault="00AB59AD" w:rsidP="009C4A36">
      <w:pPr>
        <w:pStyle w:val="Heading2"/>
        <w:numPr>
          <w:ilvl w:val="0"/>
          <w:numId w:val="0"/>
        </w:numPr>
        <w:rPr>
          <w:lang w:val="en-US"/>
        </w:rPr>
      </w:pPr>
      <w:r w:rsidRPr="009C4A36">
        <w:rPr>
          <w:lang w:val="en-US"/>
        </w:rPr>
        <w:t>CONTRIBUTION FROM THE FINNISH NATIONAL PREVENTIVE MECHANISM</w:t>
      </w:r>
      <w:r w:rsidR="005E4D62">
        <w:rPr>
          <w:lang w:val="en-US"/>
        </w:rPr>
        <w:t xml:space="preserve"> (EOAK/1535/2024)</w:t>
      </w:r>
    </w:p>
    <w:p w14:paraId="57EAB842" w14:textId="77777777" w:rsidR="009C4A36" w:rsidRDefault="00AB59AD" w:rsidP="009C4A36">
      <w:pPr>
        <w:pStyle w:val="Leip"/>
      </w:pPr>
      <w:bookmarkStart w:id="2" w:name="_Hlk161734223"/>
      <w:r>
        <w:t>The Parliamentary Ombudsman of Finland would like to thank the Committee against Torture for the opportunity to provide information concerning the implementation of the Convention by the State party.</w:t>
      </w:r>
    </w:p>
    <w:p w14:paraId="62ABB330" w14:textId="77777777" w:rsidR="009C4A36" w:rsidRDefault="00AB59AD" w:rsidP="009C4A36">
      <w:pPr>
        <w:pStyle w:val="Leip"/>
      </w:pPr>
      <w:r>
        <w:t>This statement reviews Finland’s eighth periodic report to the extent that the Ombudsman has considered it necessary. At the end, the Ombudsman lists issues that have not been discussed in the periodic report but which he finds important to highlight in this context</w:t>
      </w:r>
      <w:bookmarkEnd w:id="2"/>
      <w:r>
        <w:t>.</w:t>
      </w:r>
    </w:p>
    <w:p w14:paraId="700611E6" w14:textId="77777777" w:rsidR="009C4A36" w:rsidRPr="001C1A2C" w:rsidRDefault="00AB59AD" w:rsidP="009C4A36">
      <w:pPr>
        <w:pStyle w:val="Heading2"/>
        <w:numPr>
          <w:ilvl w:val="0"/>
          <w:numId w:val="0"/>
        </w:numPr>
        <w:ind w:left="397" w:hanging="397"/>
        <w:rPr>
          <w:lang w:val="en-GB"/>
        </w:rPr>
      </w:pPr>
      <w:r w:rsidRPr="001C1A2C">
        <w:rPr>
          <w:lang w:val="en-GB"/>
        </w:rPr>
        <w:t>Article 2</w:t>
      </w:r>
    </w:p>
    <w:p w14:paraId="33E9A01D" w14:textId="77777777" w:rsidR="009C4A36" w:rsidRPr="001C1A2C" w:rsidRDefault="00AB59AD" w:rsidP="009C4A36">
      <w:pPr>
        <w:pStyle w:val="Heading3"/>
        <w:numPr>
          <w:ilvl w:val="0"/>
          <w:numId w:val="0"/>
        </w:numPr>
        <w:ind w:left="567" w:hanging="567"/>
        <w:rPr>
          <w:lang w:val="en-GB"/>
        </w:rPr>
      </w:pPr>
      <w:bookmarkStart w:id="3" w:name="_Hlk161646267"/>
      <w:r w:rsidRPr="001C1A2C">
        <w:rPr>
          <w:lang w:val="en-GB"/>
        </w:rPr>
        <w:t xml:space="preserve">Paragraph 3 (a), (b) and (c) </w:t>
      </w:r>
      <w:bookmarkStart w:id="4" w:name="_Hlk161646903"/>
      <w:r w:rsidRPr="001C1A2C">
        <w:rPr>
          <w:lang w:val="en-GB"/>
        </w:rPr>
        <w:t>of the list of issue</w:t>
      </w:r>
    </w:p>
    <w:p w14:paraId="24B0403E" w14:textId="77777777" w:rsidR="009C4A36" w:rsidRDefault="00AB59AD" w:rsidP="009C4A36">
      <w:pPr>
        <w:pStyle w:val="Leip"/>
      </w:pPr>
      <w:bookmarkStart w:id="5" w:name="_Hlk161734453"/>
      <w:bookmarkEnd w:id="3"/>
      <w:bookmarkEnd w:id="4"/>
      <w:r>
        <w:t xml:space="preserve">14. In 2017, the National Police Board issued instructions to police departments on matters to be </w:t>
      </w:r>
      <w:r w:rsidR="001C1A2C">
        <w:t>considered</w:t>
      </w:r>
      <w:r>
        <w:t xml:space="preserve"> when detaining people. In the instructions, it is not required that a health check be performed in police detention facilities to everyone who has been detained for more than 24 hours. Instead, the matter has been left to the discretion of police departments on a case-by-case basis. At least since 2016, the Ombudsman has been recommending that a health check be performed upon arrival. However, according to the NPM’s observations, this still does not happen even in police detention facilities that are regularly visited by a healthcare professional.</w:t>
      </w:r>
    </w:p>
    <w:p w14:paraId="189D5DD9" w14:textId="77777777" w:rsidR="009C4A36" w:rsidRDefault="00AB59AD" w:rsidP="009C4A36">
      <w:pPr>
        <w:pStyle w:val="Leip"/>
      </w:pPr>
      <w:r>
        <w:t xml:space="preserve">15. The above-mentioned instructions require that persons deprived of their liberty be informed of their right to healthcare in police detention facilities </w:t>
      </w:r>
      <w:r w:rsidR="000A58D8">
        <w:t xml:space="preserve">also </w:t>
      </w:r>
      <w:r>
        <w:t xml:space="preserve">at their own expense. The obligation to notify is also included in the Act on the Treatment of Persons in Police Custody (841/2006). Based on the </w:t>
      </w:r>
      <w:r w:rsidR="000A58D8">
        <w:lastRenderedPageBreak/>
        <w:t xml:space="preserve">NPM’s </w:t>
      </w:r>
      <w:r>
        <w:t>findings, prison officers working in police detention facilities are not always aware of this.</w:t>
      </w:r>
    </w:p>
    <w:p w14:paraId="682600B5" w14:textId="77777777" w:rsidR="009C4A36" w:rsidRDefault="00AB59AD" w:rsidP="009C4A36">
      <w:pPr>
        <w:pStyle w:val="Leip"/>
      </w:pPr>
      <w:bookmarkStart w:id="6" w:name="_Hlk161734475"/>
      <w:bookmarkEnd w:id="5"/>
      <w:r>
        <w:t>Not all police detention facilities are regularly visited by a nurse or other healthcare professional, although it has been recommended by the European Committee against Torture (CPT) and the Ombudsman for a long time. Some police detention facilities have taken measures to rectify the matter after the Ombudsman has recommended it, but nowhere near all of them.</w:t>
      </w:r>
    </w:p>
    <w:p w14:paraId="14F60669" w14:textId="77777777" w:rsidR="009C4A36" w:rsidRDefault="00AB59AD" w:rsidP="009C4A36">
      <w:pPr>
        <w:pStyle w:val="Leip"/>
      </w:pPr>
      <w:r>
        <w:t xml:space="preserve">The facts described above mean that in several police detention facilities </w:t>
      </w:r>
      <w:r w:rsidR="0047327D" w:rsidRPr="0047327D">
        <w:t>police custodial officer</w:t>
      </w:r>
      <w:r>
        <w:t xml:space="preserve">s must distribute </w:t>
      </w:r>
      <w:r w:rsidR="0047327D">
        <w:t>medicine</w:t>
      </w:r>
      <w:r>
        <w:t xml:space="preserve">s to persons deprived of their liberty. This is not the desired state, even though the law does not regulate who has the right to distribute </w:t>
      </w:r>
      <w:r w:rsidR="0047327D">
        <w:t>medicine</w:t>
      </w:r>
      <w:r>
        <w:t xml:space="preserve">s. </w:t>
      </w:r>
      <w:bookmarkStart w:id="7" w:name="_Hlk162258650"/>
      <w:r>
        <w:t>The Ministry of Social Affairs and Health has published an updated guidebook Safe pharmacotherapy (2021:6). Based on it, th</w:t>
      </w:r>
      <w:bookmarkEnd w:id="7"/>
      <w:r>
        <w:t xml:space="preserve">e Ombudsman has required that </w:t>
      </w:r>
      <w:r w:rsidR="00A57F68">
        <w:t>police custodial</w:t>
      </w:r>
      <w:r>
        <w:t xml:space="preserve"> officers taking part in pharmacotherapy must have training in </w:t>
      </w:r>
      <w:r w:rsidR="0047327D">
        <w:t>medicine</w:t>
      </w:r>
      <w:r>
        <w:t xml:space="preserve"> distribution. Based on the NPM’s observations, today, police departments have well ensured that all prison </w:t>
      </w:r>
      <w:r w:rsidR="00A57F68">
        <w:t xml:space="preserve">custodial </w:t>
      </w:r>
      <w:r>
        <w:t xml:space="preserve">officers involved in pharmacotherapy have received training in </w:t>
      </w:r>
      <w:r w:rsidR="0047327D">
        <w:t>medicine</w:t>
      </w:r>
      <w:r>
        <w:t xml:space="preserve"> distribution. However, the training is apparently not comprehensive, as </w:t>
      </w:r>
      <w:r w:rsidR="00A57F68">
        <w:t>NPM visit</w:t>
      </w:r>
      <w:r>
        <w:t xml:space="preserve">s of detention facilities have revealed that the staff would need training in the distribution and storage of </w:t>
      </w:r>
      <w:r w:rsidR="0047327D">
        <w:t>medicine</w:t>
      </w:r>
      <w:r>
        <w:t xml:space="preserve">s classified as narcotic substances, such as </w:t>
      </w:r>
      <w:bookmarkStart w:id="8" w:name="_Hlk162258592"/>
      <w:r w:rsidR="0047327D" w:rsidRPr="0047327D">
        <w:t xml:space="preserve">substitution treatment </w:t>
      </w:r>
      <w:r w:rsidR="0047327D">
        <w:t>medicine</w:t>
      </w:r>
      <w:r>
        <w:t>s</w:t>
      </w:r>
      <w:bookmarkEnd w:id="8"/>
      <w:r>
        <w:t xml:space="preserve">. In some units, </w:t>
      </w:r>
      <w:r w:rsidR="0047327D">
        <w:t>the custodial staff</w:t>
      </w:r>
      <w:r>
        <w:t xml:space="preserve"> must also participate in dispensing them.</w:t>
      </w:r>
    </w:p>
    <w:p w14:paraId="3D6097C7" w14:textId="77777777" w:rsidR="009C4A36" w:rsidRDefault="00AB59AD" w:rsidP="009C4A36">
      <w:pPr>
        <w:pStyle w:val="Leip"/>
      </w:pPr>
      <w:bookmarkStart w:id="9" w:name="_Hlk161734491"/>
      <w:bookmarkEnd w:id="6"/>
      <w:r>
        <w:t>17.</w:t>
      </w:r>
      <w:r w:rsidR="008B07AC">
        <w:t>T</w:t>
      </w:r>
      <w:r>
        <w:t xml:space="preserve">he NPM has observed problems in prisoners’ healthcare, especially as regards access to treatment. There are major challenges in the availability of doctors. Permanent physicians have not been found to all posts in </w:t>
      </w:r>
      <w:bookmarkStart w:id="10" w:name="_Hlk162259675"/>
      <w:r>
        <w:t>the Health Care Services for Prisoners</w:t>
      </w:r>
      <w:bookmarkEnd w:id="10"/>
      <w:r>
        <w:t xml:space="preserve">. That is why it has been necessary to resort to using outsourced physicians and remote </w:t>
      </w:r>
      <w:r w:rsidR="00E24E91">
        <w:t xml:space="preserve">doctor </w:t>
      </w:r>
      <w:r>
        <w:t xml:space="preserve">appointments. A model has also been developed in which the nurse interviews the patient and consults a physician on instructions for treatment. Nurses have a lot of responsibility for the treatment. When making treatment decisions, the physician may not even know the patient or the conditions at the prison. </w:t>
      </w:r>
    </w:p>
    <w:p w14:paraId="3DAB7885" w14:textId="77777777" w:rsidR="009C4A36" w:rsidRDefault="00AB59AD" w:rsidP="009C4A36">
      <w:pPr>
        <w:pStyle w:val="Leip"/>
      </w:pPr>
      <w:r>
        <w:t xml:space="preserve">Access to treatment may also be prevented because there may not always be sufficient prison officer resources available to transport prisoners to medical treatment or examination outside the prison. Even inside the prison, transport to a doctor’s or dentist's appointment at an outpatient clinic may be prevented when there are not enough prison officers to escort the patients. The scarcity of prison officer resources has also become visible in the Prison Hospital, where somatically ill male and female prisoners are treated. According to the hospital’s guidelines, nurses may not go to the ward if there is no prison officer present. The women’s ward has even had to be closed for a certain </w:t>
      </w:r>
      <w:r w:rsidR="00E53E6D">
        <w:t>period</w:t>
      </w:r>
      <w:r>
        <w:t xml:space="preserve"> due to the lack of prison officers.</w:t>
      </w:r>
    </w:p>
    <w:p w14:paraId="763B6E3D" w14:textId="77777777" w:rsidR="009C4A36" w:rsidRDefault="00AB59AD" w:rsidP="009C4A36">
      <w:pPr>
        <w:pStyle w:val="Leip"/>
      </w:pPr>
      <w:r>
        <w:t xml:space="preserve">The challenges in providing healthcare services for prisoners have been increased by the legal provisions that entered into force on 1 September </w:t>
      </w:r>
      <w:r>
        <w:lastRenderedPageBreak/>
        <w:t xml:space="preserve">2023, tightening the access to non-urgent care in primary healthcare. The purpose of the tightened criteria has been to speed up access to non-urgent treatment – also in oral healthcare. The guidelines of the Ministry of Social Affairs and Health on the matter (VN/22175/2023-STM-1) expressly state that the matters referred to in the guidelines also apply to healthcare services for prisoners, although there are special features related to contacting healthcare and assessing the need for treatment in prisons. It </w:t>
      </w:r>
      <w:r w:rsidR="00A72BC8">
        <w:t>seems</w:t>
      </w:r>
      <w:r>
        <w:t xml:space="preserve"> that on weekdays prisoners lack the opportunity to contact the outpatient clinic and receive the assessment of the need for examination or treatment during the same day. There are also delays in health checks upon arrival of prisoners.</w:t>
      </w:r>
    </w:p>
    <w:p w14:paraId="610117E3" w14:textId="77777777" w:rsidR="009C4A36" w:rsidRDefault="00AB59AD" w:rsidP="009C4A36">
      <w:pPr>
        <w:pStyle w:val="Leip"/>
      </w:pPr>
      <w:bookmarkStart w:id="11" w:name="_Hlk161734526"/>
      <w:bookmarkEnd w:id="9"/>
      <w:r>
        <w:t xml:space="preserve">In addition to the above, the Deputy-Ombudsman has been concerned about the availability of psychiatric treatment in prisons. In January 2024, he </w:t>
      </w:r>
      <w:r w:rsidR="00D32AB5">
        <w:t>started to investigate the matter on</w:t>
      </w:r>
      <w:r w:rsidR="00A72BC8">
        <w:t xml:space="preserve"> </w:t>
      </w:r>
      <w:r w:rsidR="00D32AB5">
        <w:t xml:space="preserve">his </w:t>
      </w:r>
      <w:r w:rsidR="00A72BC8">
        <w:t>own</w:t>
      </w:r>
      <w:r>
        <w:t xml:space="preserve"> initiative. Based on the </w:t>
      </w:r>
      <w:r w:rsidR="00D32AB5">
        <w:t xml:space="preserve">preliminary </w:t>
      </w:r>
      <w:r>
        <w:t xml:space="preserve">findings, </w:t>
      </w:r>
      <w:r w:rsidR="00D32AB5">
        <w:t>prisons</w:t>
      </w:r>
      <w:r>
        <w:t xml:space="preserve"> are unable to provide for women prisoners sufficient psychiatric services to meet their special needs. Inpatient services for psychiatric rehabilitation of women pose a particular challenge. According to the statement received, this is due to the lack of facilities and the insufficient availability of guarding staff. </w:t>
      </w:r>
    </w:p>
    <w:p w14:paraId="01FE57E1" w14:textId="77777777" w:rsidR="009C4A36" w:rsidRDefault="00AB59AD" w:rsidP="009C4A36">
      <w:pPr>
        <w:pStyle w:val="Leip"/>
      </w:pPr>
      <w:r>
        <w:t>It was also pointed out in the statement that, in prison healthcare, it has not been possible to implement the currently applied general national policy, according to which psychiatric wards should be located in connection with a somatic hospital to ensure that patient safety and equal treatment can also be guaranteed for psychiatric patients. In fact, the Health Care Services for Prisoners has expressed to the Ministry of Social Affairs and Health and the Criminal Sanctions Agency its serious concern about the current hospital structure. In its view, when considering construction projects, it would be of paramount importance to prioritise the building of a new prison hospital to ensure equal care for patients and the respect of the principle of normality. The Deputy-Ombudsman’s investigation of the matter is ongoing (EOAK/64/2024).</w:t>
      </w:r>
    </w:p>
    <w:p w14:paraId="157E023F" w14:textId="77777777" w:rsidR="009C4A36" w:rsidRPr="001C1A2C" w:rsidRDefault="00AB59AD" w:rsidP="009C4A36">
      <w:pPr>
        <w:pStyle w:val="Heading3"/>
        <w:numPr>
          <w:ilvl w:val="0"/>
          <w:numId w:val="0"/>
        </w:numPr>
        <w:ind w:left="567" w:hanging="567"/>
        <w:rPr>
          <w:lang w:val="en-GB"/>
        </w:rPr>
      </w:pPr>
      <w:bookmarkStart w:id="12" w:name="_Hlk161734549"/>
      <w:bookmarkEnd w:id="11"/>
      <w:r w:rsidRPr="001C1A2C">
        <w:rPr>
          <w:lang w:val="en-GB"/>
        </w:rPr>
        <w:t>Paragraph 4 (a) of the list of issue</w:t>
      </w:r>
    </w:p>
    <w:p w14:paraId="1E28E483" w14:textId="77777777" w:rsidR="009C4A36" w:rsidRDefault="00AB59AD" w:rsidP="009C4A36">
      <w:pPr>
        <w:pStyle w:val="Leip"/>
      </w:pPr>
      <w:bookmarkStart w:id="13" w:name="_Hlk161734570"/>
      <w:bookmarkEnd w:id="12"/>
      <w:r>
        <w:t xml:space="preserve">21. On </w:t>
      </w:r>
      <w:r w:rsidR="00A76597">
        <w:t xml:space="preserve">NPM </w:t>
      </w:r>
      <w:r>
        <w:t xml:space="preserve">visits, observations have been made that there are still persons deprived of their liberty in </w:t>
      </w:r>
      <w:r w:rsidR="00A76597">
        <w:t>police detention facilities (polic</w:t>
      </w:r>
      <w:r>
        <w:t>e prisons</w:t>
      </w:r>
      <w:r w:rsidR="00A76597">
        <w:t>)</w:t>
      </w:r>
      <w:r>
        <w:t xml:space="preserve"> who have been detained for more than seven days. However, the Ombudsman does not have precise information on their numbers. In any case, courts of law always authorise this.</w:t>
      </w:r>
    </w:p>
    <w:p w14:paraId="21D333DC" w14:textId="77777777" w:rsidR="009C4A36" w:rsidRDefault="00AB59AD" w:rsidP="009C4A36">
      <w:pPr>
        <w:pStyle w:val="Leip"/>
      </w:pPr>
      <w:r>
        <w:t>The aim is to have the responsibility for the custody of all remand prisoners transferred to the Criminal Sanctions Agency by 2025. After this, those suspected of an offence would not be deprived of their liberty in police detention facilities for more than 96 hours at most.</w:t>
      </w:r>
    </w:p>
    <w:p w14:paraId="3E79303A" w14:textId="77777777" w:rsidR="009B2000" w:rsidRDefault="009B2000" w:rsidP="009C4A36">
      <w:pPr>
        <w:pStyle w:val="Heading3"/>
        <w:numPr>
          <w:ilvl w:val="0"/>
          <w:numId w:val="0"/>
        </w:numPr>
        <w:ind w:left="567" w:hanging="567"/>
        <w:rPr>
          <w:lang w:val="en-GB"/>
        </w:rPr>
      </w:pPr>
      <w:bookmarkStart w:id="14" w:name="_Hlk161734587"/>
      <w:bookmarkEnd w:id="13"/>
    </w:p>
    <w:p w14:paraId="4A3BE87A" w14:textId="77777777" w:rsidR="009B2000" w:rsidRDefault="009B2000" w:rsidP="009C4A36">
      <w:pPr>
        <w:pStyle w:val="Heading3"/>
        <w:numPr>
          <w:ilvl w:val="0"/>
          <w:numId w:val="0"/>
        </w:numPr>
        <w:ind w:left="567" w:hanging="567"/>
        <w:rPr>
          <w:lang w:val="en-GB"/>
        </w:rPr>
      </w:pPr>
    </w:p>
    <w:p w14:paraId="77526E21" w14:textId="77777777" w:rsidR="009C4A36" w:rsidRPr="001C1A2C" w:rsidRDefault="00AB59AD" w:rsidP="009C4A36">
      <w:pPr>
        <w:pStyle w:val="Heading3"/>
        <w:numPr>
          <w:ilvl w:val="0"/>
          <w:numId w:val="0"/>
        </w:numPr>
        <w:ind w:left="567" w:hanging="567"/>
        <w:rPr>
          <w:lang w:val="en-GB"/>
        </w:rPr>
      </w:pPr>
      <w:r w:rsidRPr="001C1A2C">
        <w:rPr>
          <w:lang w:val="en-GB"/>
        </w:rPr>
        <w:lastRenderedPageBreak/>
        <w:t>Paragraph 4 (b) of the list of issue</w:t>
      </w:r>
      <w:bookmarkEnd w:id="14"/>
    </w:p>
    <w:p w14:paraId="3057D1B7" w14:textId="77777777" w:rsidR="00E36654" w:rsidRDefault="00AB59AD" w:rsidP="009C4A36">
      <w:pPr>
        <w:pStyle w:val="Leip"/>
      </w:pPr>
      <w:bookmarkStart w:id="15" w:name="_Hlk161734646"/>
      <w:r>
        <w:t xml:space="preserve">24. In March 2024, the Deputy-Ombudsman </w:t>
      </w:r>
      <w:r w:rsidR="00A76597">
        <w:t xml:space="preserve">conducted inspection </w:t>
      </w:r>
      <w:r>
        <w:t>visit</w:t>
      </w:r>
      <w:r w:rsidR="00A76597">
        <w:t xml:space="preserve"> to </w:t>
      </w:r>
      <w:r>
        <w:t xml:space="preserve">the Criminal Sanctions Agency. During the visit, it was confirmed that the constant overcrowding does not only apply to certain remand prisons but to all closed prisons. The number of prisoners is estimated to increase significantly, amounting to additional 300–500 prisoners per day. What makes the situation challenging is the fact that all closed prisons are already full. In addition, the generations of prison employees about to retire are large. Even if more money became available for recruiting staff, it is not certain that it would be possible to recruit trained employees. This puts pressure on developing the training system. </w:t>
      </w:r>
    </w:p>
    <w:p w14:paraId="34151859" w14:textId="77777777" w:rsidR="009C4A36" w:rsidRDefault="00AB59AD" w:rsidP="009C4A36">
      <w:pPr>
        <w:pStyle w:val="Leip"/>
      </w:pPr>
      <w:r>
        <w:t>The Criminal Sanctions Agency has reported that the most significant threats to security are overcrowding of prisons and scarce human resources, as well as the increased number of street gang members in certain units. The NPM’s prison inspection</w:t>
      </w:r>
      <w:r w:rsidR="00E36654">
        <w:t xml:space="preserve"> visit</w:t>
      </w:r>
      <w:r>
        <w:t>s have shown that the current facilities and human resources do not make it possible to organise activities for prisoners as required by law</w:t>
      </w:r>
      <w:bookmarkStart w:id="16" w:name="_Hlk161734660"/>
      <w:bookmarkEnd w:id="15"/>
      <w:r>
        <w:t xml:space="preserve"> while also ensuring the security of </w:t>
      </w:r>
      <w:bookmarkStart w:id="17" w:name="_Hlk162264535"/>
      <w:r>
        <w:t>the execution of prison sentences</w:t>
      </w:r>
      <w:bookmarkEnd w:id="17"/>
      <w:r>
        <w:t>. For the 2023–2027 government term, the Criminal Sanctions Agency has proposed, among other things, building a new remand prison in Rovaniemi and a new open prison in Turku. In addition, it has proposed launching needs planning for the construction of two new prisons in Tampere and Uusimaa.</w:t>
      </w:r>
    </w:p>
    <w:p w14:paraId="2853D105" w14:textId="77777777" w:rsidR="009C4A36" w:rsidRPr="001C1A2C" w:rsidRDefault="00AB59AD" w:rsidP="009C4A36">
      <w:pPr>
        <w:pStyle w:val="Heading3"/>
        <w:numPr>
          <w:ilvl w:val="0"/>
          <w:numId w:val="0"/>
        </w:numPr>
        <w:ind w:left="567" w:hanging="567"/>
        <w:rPr>
          <w:lang w:val="en-GB"/>
        </w:rPr>
      </w:pPr>
      <w:bookmarkStart w:id="18" w:name="_Hlk161734678"/>
      <w:bookmarkEnd w:id="16"/>
      <w:r w:rsidRPr="001C1A2C">
        <w:rPr>
          <w:lang w:val="en-GB"/>
        </w:rPr>
        <w:t>Paragraph 4 (d) of the list of issue</w:t>
      </w:r>
    </w:p>
    <w:p w14:paraId="3286799E" w14:textId="77777777" w:rsidR="009C4A36" w:rsidRDefault="00AB59AD" w:rsidP="009C4A36">
      <w:pPr>
        <w:pStyle w:val="Leip"/>
      </w:pPr>
      <w:bookmarkStart w:id="19" w:name="_Hlk161734695"/>
      <w:bookmarkEnd w:id="18"/>
      <w:r>
        <w:t xml:space="preserve">26. The reform of the Act on the Treatment of Persons in Police Custody (841/2006) was not implemented in 2023. The reform is not included in the programme of the </w:t>
      </w:r>
      <w:r w:rsidR="00585650">
        <w:t>current</w:t>
      </w:r>
      <w:r>
        <w:t xml:space="preserve"> Government, and the Ombudsman has no knowledge of such a project pending. Obviously, one of the reasons for this is that the bill included provisions that would no longer allow p</w:t>
      </w:r>
      <w:r w:rsidR="00E84FCE">
        <w:t>olice custodial</w:t>
      </w:r>
      <w:r>
        <w:t xml:space="preserve"> officers to work alone. This would have meant hiring about 100 new officers. During its inspection visits, the NPM has found that in police detention facilities where the number of apprehended persons is low, p</w:t>
      </w:r>
      <w:r w:rsidR="00E84FCE">
        <w:t xml:space="preserve">olice custodial </w:t>
      </w:r>
      <w:r>
        <w:t xml:space="preserve">officers often must work alone. The Ombudsman has found this very problematic, for example in terms of occupational safety and the effectiveness of supervision. Despite the Ombudsman’s statements on the matter, no change is apparently possible until working alone is prohibited by legislation. </w:t>
      </w:r>
    </w:p>
    <w:p w14:paraId="6BF48334" w14:textId="77777777" w:rsidR="009C4A36" w:rsidRDefault="00AB59AD" w:rsidP="009C4A36">
      <w:pPr>
        <w:pStyle w:val="Leip"/>
      </w:pPr>
      <w:r>
        <w:t xml:space="preserve">Based on </w:t>
      </w:r>
      <w:r w:rsidR="00E84FCE">
        <w:t xml:space="preserve">NPM’s </w:t>
      </w:r>
      <w:r>
        <w:t>findings, not all police detention facilities fully implement the principle of keeping the responsibility for custody and criminal investigation separate. However, this principle is also mentioned in the guidelines issued by the National Police Board to police departments in 2017. The matter is also discussed during every NPM visit.</w:t>
      </w:r>
    </w:p>
    <w:p w14:paraId="1E5A55CF" w14:textId="77777777" w:rsidR="00631F42" w:rsidRDefault="00631F42" w:rsidP="009C4A36">
      <w:pPr>
        <w:pStyle w:val="Heading3"/>
        <w:numPr>
          <w:ilvl w:val="0"/>
          <w:numId w:val="0"/>
        </w:numPr>
        <w:ind w:left="567" w:hanging="567"/>
        <w:rPr>
          <w:lang w:val="en-GB"/>
        </w:rPr>
      </w:pPr>
      <w:bookmarkStart w:id="20" w:name="_Hlk161734724"/>
      <w:bookmarkEnd w:id="19"/>
    </w:p>
    <w:p w14:paraId="0A9A99AE" w14:textId="77777777" w:rsidR="00631F42" w:rsidRDefault="00631F42" w:rsidP="009C4A36">
      <w:pPr>
        <w:pStyle w:val="Heading3"/>
        <w:numPr>
          <w:ilvl w:val="0"/>
          <w:numId w:val="0"/>
        </w:numPr>
        <w:ind w:left="567" w:hanging="567"/>
        <w:rPr>
          <w:lang w:val="en-GB"/>
        </w:rPr>
      </w:pPr>
    </w:p>
    <w:p w14:paraId="68065384" w14:textId="77777777" w:rsidR="009C4A36" w:rsidRPr="001C1A2C" w:rsidRDefault="00AB59AD" w:rsidP="009C4A36">
      <w:pPr>
        <w:pStyle w:val="Heading3"/>
        <w:numPr>
          <w:ilvl w:val="0"/>
          <w:numId w:val="0"/>
        </w:numPr>
        <w:ind w:left="567" w:hanging="567"/>
        <w:rPr>
          <w:lang w:val="en-GB"/>
        </w:rPr>
      </w:pPr>
      <w:r w:rsidRPr="001C1A2C">
        <w:rPr>
          <w:lang w:val="en-GB"/>
        </w:rPr>
        <w:lastRenderedPageBreak/>
        <w:t>Paragraph 4 (g) of the list of issue</w:t>
      </w:r>
      <w:bookmarkEnd w:id="20"/>
    </w:p>
    <w:p w14:paraId="55BEEEB4" w14:textId="77777777" w:rsidR="009C4A36" w:rsidRDefault="00AB59AD" w:rsidP="009C4A36">
      <w:pPr>
        <w:pStyle w:val="Leip"/>
      </w:pPr>
      <w:bookmarkStart w:id="21" w:name="_Hlk161734745"/>
      <w:r>
        <w:t xml:space="preserve">31. If in this paragraph the intention was to discuss sobering-up </w:t>
      </w:r>
      <w:r w:rsidR="00537663">
        <w:t xml:space="preserve">units or </w:t>
      </w:r>
      <w:r>
        <w:t xml:space="preserve">stations, it should be noted that they are not police units but maintained by either municipalities or third parties. The police do not have any “detox treatment units” even though most of the apprehensions made by the police are due to intoxication (approximately 42,200 in 2022). Instead of taking an intoxicated person to police detention facilities, the police may take the person to a sobering-up station </w:t>
      </w:r>
      <w:r w:rsidR="00537663">
        <w:t>if</w:t>
      </w:r>
      <w:r>
        <w:t xml:space="preserve"> he or she is not aggressive and that there is one near the police detention facilities. Municipalities are not obliged to provide sobering-up care for intoxicated persons, and it is not necessarily available even in all large cities. The situation has not changed even after the reform of social welfare </w:t>
      </w:r>
      <w:r w:rsidR="00537663">
        <w:t xml:space="preserve">and </w:t>
      </w:r>
      <w:r w:rsidR="00537663" w:rsidRPr="00537663">
        <w:t xml:space="preserve">healthcare </w:t>
      </w:r>
      <w:r>
        <w:t>services. On the other hand, the programme of the current Government states that it intends to investigate the matter and transfer any such police duties or task areas that do not need to belong to the police away from the police.</w:t>
      </w:r>
    </w:p>
    <w:p w14:paraId="18D863FB" w14:textId="77777777" w:rsidR="009C4A36" w:rsidRDefault="00AB59AD" w:rsidP="009C4A36">
      <w:pPr>
        <w:pStyle w:val="Leip"/>
      </w:pPr>
      <w:r>
        <w:t>Intoxicated people are not deprived of their liberty, and sobering-up stations do not restrict their movement. Therefore, they do not fall within the scope of NPM supervision. On the other hand, the Ombudsman has carried out inspections at sobering-up stations. The training of p</w:t>
      </w:r>
      <w:r w:rsidR="00246B12">
        <w:t>olice custodial</w:t>
      </w:r>
      <w:r>
        <w:t xml:space="preserve"> officers is discussed in paragraph 82 below.</w:t>
      </w:r>
    </w:p>
    <w:bookmarkEnd w:id="21"/>
    <w:p w14:paraId="40805FF0" w14:textId="77777777" w:rsidR="009C4A36" w:rsidRPr="001C1A2C" w:rsidRDefault="00AB59AD" w:rsidP="009C4A36">
      <w:pPr>
        <w:pStyle w:val="Heading3"/>
        <w:numPr>
          <w:ilvl w:val="0"/>
          <w:numId w:val="0"/>
        </w:numPr>
        <w:ind w:left="567" w:hanging="567"/>
        <w:rPr>
          <w:lang w:val="en-GB"/>
        </w:rPr>
      </w:pPr>
      <w:r w:rsidRPr="001C1A2C">
        <w:rPr>
          <w:lang w:val="en-GB"/>
        </w:rPr>
        <w:t>Paragraph 5 (b) of the list of issue</w:t>
      </w:r>
    </w:p>
    <w:p w14:paraId="17ED462B" w14:textId="77777777" w:rsidR="009C4A36" w:rsidRDefault="00AB59AD" w:rsidP="009C4A36">
      <w:pPr>
        <w:pStyle w:val="Leip"/>
      </w:pPr>
      <w:r>
        <w:t xml:space="preserve">37 and 40. According to the statistics of the Criminal Sanctions Agency, in 2022, the number of minors (aged 15–17) deprived of their </w:t>
      </w:r>
      <w:r w:rsidR="00EB2B4C">
        <w:t>liberty</w:t>
      </w:r>
      <w:r>
        <w:t xml:space="preserve"> in p</w:t>
      </w:r>
      <w:r w:rsidR="00EB2B4C">
        <w:t>risons</w:t>
      </w:r>
      <w:r>
        <w:t xml:space="preserve"> was 3 prisoners and 40 remand prisoners. What is striking in the case of minor prisoners is the fact that, almost without exception, they are placed in closed prisons.</w:t>
      </w:r>
    </w:p>
    <w:p w14:paraId="04A99A25" w14:textId="77777777" w:rsidR="009C4A36" w:rsidRDefault="00AB59AD" w:rsidP="009C4A36">
      <w:pPr>
        <w:pStyle w:val="Leip"/>
      </w:pPr>
      <w:r>
        <w:t>In March 2022, the Deputy-Ombudsman issued a decision concerning his own initiative on the treatment of minor prisoners and remand prisoners and the implementation of their rights (EOAK/4760/2020). It concerned</w:t>
      </w:r>
      <w:r w:rsidR="00D56BB9">
        <w:t>, in particular,</w:t>
      </w:r>
      <w:r w:rsidR="00EB2B4C">
        <w:t xml:space="preserve"> the</w:t>
      </w:r>
      <w:r>
        <w:t xml:space="preserve"> requirement to keep prisoners under the age of 18 separate from adults. This rule cannot be deviated from except when it is in the best interests of the child. To remedy the situation, the Criminal Sanctions Agency decided, among other things, to establish separate wards for minor prisoners and remand prisoners in certain closed prisons (Jyväskylä and Kerava). However, the Deputy-Ombudsman saw a problem here regarding those minor prisoners who could have been placed in an open institution. He requested statements on the matter from the Ministry of Justice and the Criminal Sanctions Agency.</w:t>
      </w:r>
    </w:p>
    <w:p w14:paraId="798B2B98" w14:textId="77777777" w:rsidR="009C4A36" w:rsidRDefault="00AB59AD" w:rsidP="009C4A36">
      <w:pPr>
        <w:pStyle w:val="Leip"/>
      </w:pPr>
      <w:r>
        <w:t xml:space="preserve">The statements showed that both the Ministry of Justice and the Criminal Sanctions Agency agreed with the Deputy-Ombudsman that it is in the child’s best interest that minor prisoners are placed in as open environment as possible. On the other hand, it appeared that the Ministry of Justice did not consider it necessary to take action to resolve the problems that this entailed. There are very few minor prisoners in the first place. Even fewer of </w:t>
      </w:r>
      <w:r>
        <w:lastRenderedPageBreak/>
        <w:t xml:space="preserve">them are prisoners who are suited to live in an open facility. The Deputy-Ombudsman believed that such minor prisoners may nevertheless exist. If they meet the requirements, they, like any adult prisoner, should also be provided with an opportunity to carry out their imprisonment under conditions that are more open than a closed prison. It is the State’s duty to find a solution to how minors can be protected, </w:t>
      </w:r>
      <w:r w:rsidR="00340A6D">
        <w:t>supported,</w:t>
      </w:r>
      <w:r>
        <w:t xml:space="preserve"> and kept separate from adults in open institutions.</w:t>
      </w:r>
    </w:p>
    <w:p w14:paraId="6B146239" w14:textId="77777777" w:rsidR="009C4A36" w:rsidRDefault="00AB59AD" w:rsidP="009C4A36">
      <w:pPr>
        <w:pStyle w:val="Leip"/>
      </w:pPr>
      <w:r>
        <w:t xml:space="preserve">On the other hand, in the Deputy-Ombudsman’s view, the proposal to place minor prisoners in child welfare institutions was still one alternative to a prison. However, it could not be the only solution, as it might not be a suitable option every time. If this option was to be used, the related legal ambiguities would have to be resolved in cooperation between different authorities. </w:t>
      </w:r>
    </w:p>
    <w:p w14:paraId="0809163A" w14:textId="77777777" w:rsidR="009C4A36" w:rsidRDefault="00AB59AD" w:rsidP="009C4A36">
      <w:pPr>
        <w:pStyle w:val="Leip"/>
      </w:pPr>
      <w:r>
        <w:t xml:space="preserve">The Deputy-Ombudsman was not satisfied with the statements received from the authorities. In February 2023, he initiated an investigation on how to organise the placement of minor prisoners in more open facilities when the requirements for doing so are met. Although the group of prisoners concerned is very small, the </w:t>
      </w:r>
      <w:r w:rsidR="00577003">
        <w:t>Deputy-</w:t>
      </w:r>
      <w:r>
        <w:t>Ombudsman feels that workable solutions taking account of the best interests of the child should be found for the situation (EOAK/1178/2023).</w:t>
      </w:r>
    </w:p>
    <w:p w14:paraId="5FA669BD" w14:textId="77777777" w:rsidR="00EC1F57" w:rsidRPr="00C71B64" w:rsidRDefault="00AB59AD" w:rsidP="009C4A36">
      <w:pPr>
        <w:pStyle w:val="Leip"/>
      </w:pPr>
      <w:bookmarkStart w:id="22" w:name="_Hlk162270673"/>
      <w:r w:rsidRPr="00946943">
        <w:t xml:space="preserve">In connection with investigating the </w:t>
      </w:r>
      <w:r>
        <w:t>treatment</w:t>
      </w:r>
      <w:r w:rsidRPr="00946943">
        <w:t xml:space="preserve"> of minor prisoners, the AOA also discovered that there were challenges in organi</w:t>
      </w:r>
      <w:r>
        <w:t>si</w:t>
      </w:r>
      <w:r w:rsidRPr="00946943">
        <w:t>ng education in the prison.</w:t>
      </w:r>
      <w:r>
        <w:t xml:space="preserve"> </w:t>
      </w:r>
      <w:r w:rsidRPr="00EC1F57">
        <w:t>The extension in compulsory education became effective in 2021. Raising the age of compulsory education to 18 years and extending compulsory education to upper secondary education requires ensuring that all those who complete compulsory school education have the knowledge, skills and competence required for upper secondary education.</w:t>
      </w:r>
      <w:r>
        <w:t xml:space="preserve"> </w:t>
      </w:r>
      <w:r w:rsidRPr="00EC1F57">
        <w:t>The municipality where the prison is located is responsible for the education of prisoners of compulsory school age.</w:t>
      </w:r>
      <w:r w:rsidR="00C71B64" w:rsidRPr="00C71B64">
        <w:t xml:space="preserve"> In 2022, the Criminal Sanctions A</w:t>
      </w:r>
      <w:r w:rsidR="00C71B64">
        <w:t>gency</w:t>
      </w:r>
      <w:r w:rsidR="00C71B64" w:rsidRPr="00C71B64">
        <w:t xml:space="preserve"> expressed its concern that the municipalities are not able to </w:t>
      </w:r>
      <w:r w:rsidR="001F79A1" w:rsidRPr="00C71B64">
        <w:t>organi</w:t>
      </w:r>
      <w:r w:rsidR="001F79A1">
        <w:t>s</w:t>
      </w:r>
      <w:r w:rsidR="001F79A1" w:rsidRPr="00C71B64">
        <w:t>e</w:t>
      </w:r>
      <w:r w:rsidR="00C71B64" w:rsidRPr="00C71B64">
        <w:t xml:space="preserve"> basic education at a sufficient level even for prisoners under the age of 17.</w:t>
      </w:r>
      <w:r w:rsidR="00C71B64">
        <w:t xml:space="preserve"> </w:t>
      </w:r>
      <w:r w:rsidR="00C71B64" w:rsidRPr="00C71B64">
        <w:t>The Deputy-Ombudsman decided to investigate the matter on his own initiative.</w:t>
      </w:r>
      <w:r w:rsidR="00C71B64">
        <w:t xml:space="preserve"> </w:t>
      </w:r>
      <w:r w:rsidR="00C71B64" w:rsidRPr="00C71B64">
        <w:t>The investigation of the matter is ongoing (EOAK/</w:t>
      </w:r>
      <w:r w:rsidR="00C71B64">
        <w:t>4947</w:t>
      </w:r>
      <w:r w:rsidR="00C71B64" w:rsidRPr="00C71B64">
        <w:t>/202</w:t>
      </w:r>
      <w:r w:rsidR="00C71B64">
        <w:t>2</w:t>
      </w:r>
      <w:r w:rsidR="00C71B64" w:rsidRPr="00C71B64">
        <w:t>).</w:t>
      </w:r>
    </w:p>
    <w:bookmarkEnd w:id="22"/>
    <w:p w14:paraId="0E335A1F" w14:textId="77777777" w:rsidR="009C4A36" w:rsidRDefault="00AB59AD" w:rsidP="009C4A36">
      <w:pPr>
        <w:pStyle w:val="Leip"/>
      </w:pPr>
      <w:r>
        <w:t xml:space="preserve">38. In June 2023, the NPM visited Hämeenlinna Prison. There was a minor prisoner placed in the prison’s youth ward who seemed to have very limited opportunities for social contacts and meaningful activities. The Ombudsman has emphasised that separating minor prisoners from adult prisoners does not mean keeping them alone all the time. If there is only one or no more than a few minors in a facility and they lack other social contacts, activities can be arranged for them with adult prisoners in a selective manner, so that they would not need to be kept in conditions </w:t>
      </w:r>
      <w:r w:rsidR="008954AE">
        <w:t>like</w:t>
      </w:r>
      <w:r>
        <w:t xml:space="preserve"> isolation. In such matters, the child’s best interests and adequate supervision must be </w:t>
      </w:r>
      <w:r w:rsidR="008954AE">
        <w:t>considered</w:t>
      </w:r>
      <w:r>
        <w:t>.</w:t>
      </w:r>
    </w:p>
    <w:p w14:paraId="6314FE4C" w14:textId="77777777" w:rsidR="009C4A36" w:rsidRDefault="00AB59AD" w:rsidP="009C4A36">
      <w:pPr>
        <w:pStyle w:val="Leip"/>
      </w:pPr>
      <w:r>
        <w:lastRenderedPageBreak/>
        <w:t>40. As described in paragraph 37 above, the further processing of the matter concerning the placement of minor prisoners has not progressed. In February 2023, the Deputy-Ombudsman asked the Ministry of Justice to provide information on how the problem will be resolved and what measures have been taken to resolve it, and to obtain a report from the Criminal Sanctions Agency on the matter. The report was requested by 31 December 2023, but it has not yet been received in March 2024.</w:t>
      </w:r>
    </w:p>
    <w:p w14:paraId="376C9BCD" w14:textId="77777777" w:rsidR="009C4A36" w:rsidRPr="001C1A2C" w:rsidRDefault="00AB59AD" w:rsidP="009C4A36">
      <w:pPr>
        <w:pStyle w:val="Heading3"/>
        <w:numPr>
          <w:ilvl w:val="0"/>
          <w:numId w:val="0"/>
        </w:numPr>
        <w:ind w:left="567" w:hanging="567"/>
        <w:rPr>
          <w:lang w:val="en-GB"/>
        </w:rPr>
      </w:pPr>
      <w:r w:rsidRPr="001C1A2C">
        <w:rPr>
          <w:lang w:val="en-GB"/>
        </w:rPr>
        <w:t>Paragraph 6 of the list of issue</w:t>
      </w:r>
    </w:p>
    <w:p w14:paraId="5CA1DA6B" w14:textId="77777777" w:rsidR="00805853" w:rsidRDefault="00AB59AD" w:rsidP="00805853">
      <w:pPr>
        <w:pStyle w:val="Leip"/>
      </w:pPr>
      <w:r>
        <w:t>42. In the Parliamentary Ombudsman’s Office it has been deemed appropriate to integrate its operations as NPM with those of the Office as a whole. Several administrative branches have facilities that fall within the scope of the OPCAT. However, there are differences between the places, the applicable legislation and the groups of people who have been deprived of their liberty. Therefore, the expertise needed on visits to different facilities also varies. As any separate unit within the Office of the Ombudsman would in any case be very small, it would not be possible to assemble all the necessary expertise in such a unit. The number of inspection visits would also remain significantly smaller.</w:t>
      </w:r>
    </w:p>
    <w:p w14:paraId="484517A2" w14:textId="77777777" w:rsidR="00805853" w:rsidRDefault="00AB59AD" w:rsidP="00805853">
      <w:pPr>
        <w:pStyle w:val="Leip"/>
      </w:pPr>
      <w:r>
        <w:t>Moreover, participation in the visits and the other tasks of the Ombudsman, especially the handling of complaints, are mutually supportive activities. The information obtained and experience gained during visits can be utilised in the handling of complaints, and vice versa. For this reason, too, it is important that those members of the Office’s personnel whose area of responsibility covers facilities within the scope of the OPCAT also participate in the tasks of the NPM. In practice, this means the majority of the Office’s legal advisers, more than 30 people.</w:t>
      </w:r>
    </w:p>
    <w:p w14:paraId="1DA876BF" w14:textId="77777777" w:rsidR="00805853" w:rsidRDefault="00AB59AD" w:rsidP="00805853">
      <w:pPr>
        <w:pStyle w:val="Leip"/>
      </w:pPr>
      <w:r>
        <w:t>The Ombudsman has not received any additional posts specifically for the functioning of the NPM during the entire time that the Ombudsman has had this special task, i.e. since November 2014. This alone has constituted an obstacle to setting up a separate inspection unit. On the other hand, the Office has got several new legal advisers posts whose area of responsibility covers facilities within the scope of the OPCAT.</w:t>
      </w:r>
    </w:p>
    <w:p w14:paraId="62E04F82" w14:textId="77777777" w:rsidR="009C4A36" w:rsidRDefault="00AB59AD" w:rsidP="00805853">
      <w:pPr>
        <w:pStyle w:val="Leip"/>
      </w:pPr>
      <w:r>
        <w:t>However, over the past few years in particular, the Ombudsman has received a record number of complaints almost every year. This has inevitably meant that it has not been possible to carry out inspection activities in sufficient quantity. For example, post-inspection monitoring has inevitably remained insufficient, as it has been practically impossible to carry out follow-up visits.</w:t>
      </w:r>
    </w:p>
    <w:p w14:paraId="4E1DCCD0" w14:textId="77777777" w:rsidR="00F97A10" w:rsidRDefault="00F97A10">
      <w:pPr>
        <w:widowControl/>
        <w:autoSpaceDE/>
        <w:autoSpaceDN/>
        <w:adjustRightInd/>
        <w:rPr>
          <w:rFonts w:ascii="Arial" w:hAnsi="Arial" w:cs="Arial"/>
          <w:b/>
          <w:bCs/>
          <w:caps/>
        </w:rPr>
      </w:pPr>
      <w:r>
        <w:br w:type="page"/>
      </w:r>
    </w:p>
    <w:p w14:paraId="52570B10" w14:textId="7024C81C" w:rsidR="009C4A36" w:rsidRPr="001C1A2C" w:rsidRDefault="00AB59AD" w:rsidP="009C4A36">
      <w:pPr>
        <w:pStyle w:val="Heading2"/>
        <w:numPr>
          <w:ilvl w:val="0"/>
          <w:numId w:val="0"/>
        </w:numPr>
        <w:ind w:left="397" w:hanging="397"/>
        <w:rPr>
          <w:lang w:val="en-GB"/>
        </w:rPr>
      </w:pPr>
      <w:r w:rsidRPr="001C1A2C">
        <w:rPr>
          <w:lang w:val="en-GB"/>
        </w:rPr>
        <w:lastRenderedPageBreak/>
        <w:t>Article 3</w:t>
      </w:r>
    </w:p>
    <w:p w14:paraId="705040AC" w14:textId="77777777" w:rsidR="009C4A36" w:rsidRPr="001C1A2C" w:rsidRDefault="00AB59AD" w:rsidP="009C4A36">
      <w:pPr>
        <w:pStyle w:val="Heading3"/>
        <w:numPr>
          <w:ilvl w:val="0"/>
          <w:numId w:val="0"/>
        </w:numPr>
        <w:ind w:left="567" w:hanging="567"/>
        <w:rPr>
          <w:lang w:val="en-GB"/>
        </w:rPr>
      </w:pPr>
      <w:r w:rsidRPr="001C1A2C">
        <w:rPr>
          <w:lang w:val="en-GB"/>
        </w:rPr>
        <w:t>Paragraph 7 (e) of the list of issue</w:t>
      </w:r>
    </w:p>
    <w:p w14:paraId="51CDFAD9" w14:textId="77777777" w:rsidR="009C4A36" w:rsidRDefault="00AB59AD" w:rsidP="009C4A36">
      <w:pPr>
        <w:pStyle w:val="Leip"/>
      </w:pPr>
      <w:r>
        <w:t>70. The NPM strives to carry out regular visits to both detention units for foreigners in Finland at about one-year intervals. The NPM’s latest visit to the Helsinki detention unit was in April 2023 and the Joutseno detention unit in December 2023.</w:t>
      </w:r>
    </w:p>
    <w:p w14:paraId="661D341E" w14:textId="77777777" w:rsidR="009C4A36" w:rsidRPr="001C1A2C" w:rsidRDefault="00AB59AD" w:rsidP="009C4A36">
      <w:pPr>
        <w:pStyle w:val="Heading2"/>
        <w:numPr>
          <w:ilvl w:val="0"/>
          <w:numId w:val="0"/>
        </w:numPr>
        <w:ind w:left="397" w:hanging="397"/>
        <w:rPr>
          <w:lang w:val="en-GB"/>
        </w:rPr>
      </w:pPr>
      <w:r w:rsidRPr="001C1A2C">
        <w:rPr>
          <w:lang w:val="en-GB"/>
        </w:rPr>
        <w:t>Article 10</w:t>
      </w:r>
    </w:p>
    <w:p w14:paraId="09654236" w14:textId="77777777" w:rsidR="009C4A36" w:rsidRPr="001C1A2C" w:rsidRDefault="00AB59AD" w:rsidP="009C4A36">
      <w:pPr>
        <w:pStyle w:val="Heading3"/>
        <w:numPr>
          <w:ilvl w:val="0"/>
          <w:numId w:val="0"/>
        </w:numPr>
        <w:ind w:left="567" w:hanging="567"/>
        <w:rPr>
          <w:lang w:val="en-GB"/>
        </w:rPr>
      </w:pPr>
      <w:r w:rsidRPr="001C1A2C">
        <w:rPr>
          <w:lang w:val="en-GB"/>
        </w:rPr>
        <w:t>Paragraph 11 (b) of the list of issue</w:t>
      </w:r>
    </w:p>
    <w:p w14:paraId="0CA9C6E5" w14:textId="77777777" w:rsidR="009C4A36" w:rsidRDefault="00AB59AD" w:rsidP="009C4A36">
      <w:pPr>
        <w:pStyle w:val="Leip"/>
      </w:pPr>
      <w:bookmarkStart w:id="23" w:name="_Hlk161734977"/>
      <w:r>
        <w:t xml:space="preserve">82. Based on the NPM’s observations, the officers working at police detention facilities have a degree qualifying them for the post, i.e. a qualification in the security sector. On the other hand, not all of them have completed the </w:t>
      </w:r>
      <w:r w:rsidR="007939F2">
        <w:t xml:space="preserve">police custodial </w:t>
      </w:r>
      <w:r>
        <w:t>officer training organised by the Police University College. The Ombudsman has considered that the po</w:t>
      </w:r>
      <w:r w:rsidR="007939F2">
        <w:t>lice custodial</w:t>
      </w:r>
      <w:r>
        <w:t xml:space="preserve"> officer training provided by the police administration clearly improves the prerequisites for coping in supervision tasks of detention facilities. Therefore, he has recommended that police departments ensure that those who have not been given p</w:t>
      </w:r>
      <w:r w:rsidR="007939F2">
        <w:t>olice custodial</w:t>
      </w:r>
      <w:r>
        <w:t xml:space="preserve"> officer training be provided with it. The police departments have reported that they would aim to ensure that all officers would complete the training organised by the police administration. However, reaching this objective has been hampered by the training quotas set for police departments.</w:t>
      </w:r>
    </w:p>
    <w:p w14:paraId="683FF849" w14:textId="77777777" w:rsidR="009C4A36" w:rsidRDefault="00AB59AD" w:rsidP="009C4A36">
      <w:pPr>
        <w:pStyle w:val="Leip"/>
      </w:pPr>
      <w:r>
        <w:t>In 2022, the Åland Police Authority informed the Ombudsman that no Swedish-language po</w:t>
      </w:r>
      <w:r w:rsidR="007939F2">
        <w:t>lice custodial</w:t>
      </w:r>
      <w:r>
        <w:t xml:space="preserve"> officer training was available at the Police University College. For this reason, the police department has been developing its own training programme. It reported that its content matches the p</w:t>
      </w:r>
      <w:r w:rsidR="007939F2">
        <w:t>olice custodial</w:t>
      </w:r>
      <w:r>
        <w:t xml:space="preserve"> officer training provided by the Police University College. Another aim has been to continue discussions with the Police University College to resolve this availability issue.</w:t>
      </w:r>
      <w:bookmarkEnd w:id="23"/>
    </w:p>
    <w:p w14:paraId="7924F217" w14:textId="77777777" w:rsidR="009C4A36" w:rsidRPr="001C1A2C" w:rsidRDefault="00AB59AD" w:rsidP="009C4A36">
      <w:pPr>
        <w:pStyle w:val="Heading3"/>
        <w:numPr>
          <w:ilvl w:val="0"/>
          <w:numId w:val="0"/>
        </w:numPr>
        <w:ind w:left="567" w:hanging="567"/>
        <w:rPr>
          <w:lang w:val="en-GB"/>
        </w:rPr>
      </w:pPr>
      <w:bookmarkStart w:id="24" w:name="_Hlk161735005"/>
      <w:r w:rsidRPr="001C1A2C">
        <w:rPr>
          <w:lang w:val="en-GB"/>
        </w:rPr>
        <w:t>Paragraph 11 (c) of the list of issues</w:t>
      </w:r>
    </w:p>
    <w:p w14:paraId="196859F0" w14:textId="77777777" w:rsidR="009C4A36" w:rsidRDefault="00AB59AD" w:rsidP="009C4A36">
      <w:pPr>
        <w:pStyle w:val="Leip"/>
      </w:pPr>
      <w:bookmarkStart w:id="25" w:name="_Hlk161735021"/>
      <w:bookmarkEnd w:id="24"/>
      <w:r>
        <w:t xml:space="preserve">83. In 2023, </w:t>
      </w:r>
      <w:r w:rsidR="00A74091">
        <w:t xml:space="preserve">the </w:t>
      </w:r>
      <w:r w:rsidR="00A74091" w:rsidRPr="00A74091">
        <w:t>Deaconess Foundation’s Centre for Psychotraumatology</w:t>
      </w:r>
      <w:r w:rsidR="00A74091">
        <w:t xml:space="preserve"> </w:t>
      </w:r>
      <w:r>
        <w:t>launched a training project in compliance with the Istanbul Protocol. It was also attended by a representative of the NPM. The objective of the training project is to raise awareness of the use of the protocol to identify, investigate and document victims of torture. In addition, an e-learning course on the topic and a Finnish translation of the revised protocol will become available in 2024.</w:t>
      </w:r>
    </w:p>
    <w:p w14:paraId="534F1026" w14:textId="77777777" w:rsidR="009C4A36" w:rsidRPr="001C1A2C" w:rsidRDefault="00AB59AD" w:rsidP="009C4A36">
      <w:pPr>
        <w:pStyle w:val="Heading2"/>
        <w:numPr>
          <w:ilvl w:val="0"/>
          <w:numId w:val="0"/>
        </w:numPr>
        <w:ind w:left="397" w:hanging="397"/>
        <w:rPr>
          <w:lang w:val="en-GB"/>
        </w:rPr>
      </w:pPr>
      <w:bookmarkStart w:id="26" w:name="_Hlk161735036"/>
      <w:bookmarkEnd w:id="25"/>
      <w:r w:rsidRPr="001C1A2C">
        <w:rPr>
          <w:lang w:val="en-GB"/>
        </w:rPr>
        <w:t>Article 11</w:t>
      </w:r>
    </w:p>
    <w:p w14:paraId="1B2B51FB" w14:textId="77777777" w:rsidR="009C4A36" w:rsidRPr="001C1A2C" w:rsidRDefault="00AB59AD" w:rsidP="009C4A36">
      <w:pPr>
        <w:pStyle w:val="Heading3"/>
        <w:numPr>
          <w:ilvl w:val="0"/>
          <w:numId w:val="0"/>
        </w:numPr>
        <w:ind w:left="567" w:hanging="567"/>
        <w:rPr>
          <w:lang w:val="en-GB"/>
        </w:rPr>
      </w:pPr>
      <w:bookmarkStart w:id="27" w:name="_Hlk161648048"/>
      <w:r w:rsidRPr="001C1A2C">
        <w:rPr>
          <w:lang w:val="en-GB"/>
        </w:rPr>
        <w:t>Paragraph 12 of the list of issues</w:t>
      </w:r>
    </w:p>
    <w:p w14:paraId="67F4CB4B" w14:textId="77777777" w:rsidR="009C4A36" w:rsidRDefault="00AB59AD" w:rsidP="009C4A36">
      <w:pPr>
        <w:pStyle w:val="Leip"/>
      </w:pPr>
      <w:bookmarkStart w:id="28" w:name="_Hlk161735078"/>
      <w:bookmarkEnd w:id="26"/>
      <w:bookmarkEnd w:id="27"/>
      <w:r>
        <w:lastRenderedPageBreak/>
        <w:t>88. The renovation of the detention facilities of the Åland Police Department in Mariehamn has been completed. The NPM made a visit there in November 2022.</w:t>
      </w:r>
    </w:p>
    <w:p w14:paraId="3527F688" w14:textId="77777777" w:rsidR="009C4A36" w:rsidRPr="001C1A2C" w:rsidRDefault="00AB59AD" w:rsidP="009C4A36">
      <w:pPr>
        <w:pStyle w:val="Heading3"/>
        <w:numPr>
          <w:ilvl w:val="0"/>
          <w:numId w:val="0"/>
        </w:numPr>
        <w:ind w:left="567" w:hanging="567"/>
        <w:rPr>
          <w:lang w:val="en-GB"/>
        </w:rPr>
      </w:pPr>
      <w:bookmarkStart w:id="29" w:name="_Hlk161735102"/>
      <w:bookmarkEnd w:id="28"/>
      <w:r w:rsidRPr="001C1A2C">
        <w:rPr>
          <w:lang w:val="en-GB"/>
        </w:rPr>
        <w:t>Paragraph 132 of the list of issues</w:t>
      </w:r>
    </w:p>
    <w:p w14:paraId="592983AA" w14:textId="77777777" w:rsidR="009C4A36" w:rsidRDefault="00AB59AD" w:rsidP="009C4A36">
      <w:pPr>
        <w:pStyle w:val="Leip"/>
      </w:pPr>
      <w:bookmarkStart w:id="30" w:name="_Hlk161735118"/>
      <w:bookmarkEnd w:id="29"/>
      <w:r>
        <w:t>96. As stated in paragraph 26 above, the reform of the Act on the Treatment of Persons in Police custody has still not been implemented. On the other hand, it may no longer be a topic of current interest to separately prohibit the use of restraint beds in the Act. The Deputy-Ombudsman has already stated in a decision issued in 2017 that the legislation in force at the time (and still in force) did not allow the use of the restraint bed in police detention facilities. The Deputy-Ombudsman did not find the use of such a bed justified in police detention facilities in other respects either and felt that its use should be discontinued. After this, the National Police Board instructed the police to discontinue the use of restraint beds in police detention facilities. Since then, the restraint bed has no longer been used in any police detention facilities. According to information received from the Ministry of the Interior, it has no plans of including the restraint bed among equipment intended for restraining purposes even in the future.</w:t>
      </w:r>
    </w:p>
    <w:p w14:paraId="28ACFCCE" w14:textId="77777777" w:rsidR="009C4A36" w:rsidRPr="001C1A2C" w:rsidRDefault="00AB59AD" w:rsidP="009C4A36">
      <w:pPr>
        <w:pStyle w:val="Heading3"/>
        <w:numPr>
          <w:ilvl w:val="0"/>
          <w:numId w:val="0"/>
        </w:numPr>
        <w:ind w:left="567" w:hanging="567"/>
        <w:rPr>
          <w:lang w:val="en-GB"/>
        </w:rPr>
      </w:pPr>
      <w:bookmarkStart w:id="31" w:name="_Hlk161735135"/>
      <w:bookmarkEnd w:id="30"/>
      <w:r w:rsidRPr="001C1A2C">
        <w:rPr>
          <w:lang w:val="en-GB"/>
        </w:rPr>
        <w:t>Paragraph 14 (c) of the list of issues</w:t>
      </w:r>
    </w:p>
    <w:p w14:paraId="0F6B41D5" w14:textId="77777777" w:rsidR="009C4A36" w:rsidRDefault="00AB59AD" w:rsidP="009C4A36">
      <w:pPr>
        <w:pStyle w:val="Leip"/>
      </w:pPr>
      <w:bookmarkStart w:id="32" w:name="_Hlk161735161"/>
      <w:bookmarkEnd w:id="31"/>
      <w:r>
        <w:t xml:space="preserve">101–102. In 2020, the Ministry of the Interior and the National Police Board announced their measures following the decision of the Parliamentary Ombudsman on the deaths of persons deprived of their liberty in police custody (EOAK/4103/2016). The Ombudsman </w:t>
      </w:r>
      <w:bookmarkStart w:id="33" w:name="_Hlk161735179"/>
      <w:bookmarkEnd w:id="32"/>
      <w:r>
        <w:t xml:space="preserve">considered it justified to examine the </w:t>
      </w:r>
      <w:r w:rsidR="00FF64DA">
        <w:t>status</w:t>
      </w:r>
      <w:r>
        <w:t xml:space="preserve"> of the measures and asked in February 2023 the authorities for information on the measures. The information provided showed, among other things, that there is still no reliable data on the annual number of deaths of persons deprived of their liberty in police custody. This is because the police units have not provided the Police University College with information in accordance with the National Police Board’s instructions (POL-2018-53680). </w:t>
      </w:r>
      <w:r w:rsidR="00FF64DA" w:rsidRPr="00FF64DA">
        <w:t xml:space="preserve">The </w:t>
      </w:r>
      <w:r w:rsidR="00FF64DA">
        <w:t xml:space="preserve">Ombudsman’s </w:t>
      </w:r>
      <w:r w:rsidR="00FF64DA" w:rsidRPr="00FF64DA">
        <w:t xml:space="preserve">investigation of the matter is </w:t>
      </w:r>
      <w:r w:rsidR="00FF64DA">
        <w:t xml:space="preserve">still </w:t>
      </w:r>
      <w:r w:rsidR="00FF64DA" w:rsidRPr="00FF64DA">
        <w:t>ongoing</w:t>
      </w:r>
      <w:r w:rsidR="00FF64DA">
        <w:t xml:space="preserve"> </w:t>
      </w:r>
      <w:r>
        <w:t>(EOAK/922/2023).</w:t>
      </w:r>
    </w:p>
    <w:p w14:paraId="20C93770" w14:textId="77777777" w:rsidR="009C4A36" w:rsidRPr="001C1A2C" w:rsidRDefault="00AB59AD" w:rsidP="009C4A36">
      <w:pPr>
        <w:pStyle w:val="Heading2"/>
        <w:numPr>
          <w:ilvl w:val="0"/>
          <w:numId w:val="0"/>
        </w:numPr>
        <w:ind w:left="397" w:hanging="397"/>
        <w:rPr>
          <w:lang w:val="en-GB"/>
        </w:rPr>
      </w:pPr>
      <w:bookmarkStart w:id="34" w:name="_Hlk161735197"/>
      <w:bookmarkEnd w:id="33"/>
      <w:r w:rsidRPr="001C1A2C">
        <w:rPr>
          <w:lang w:val="en-GB"/>
        </w:rPr>
        <w:t>Articles 12–13</w:t>
      </w:r>
    </w:p>
    <w:p w14:paraId="626079DC" w14:textId="77777777" w:rsidR="009C4A36" w:rsidRPr="001C1A2C" w:rsidRDefault="00AB59AD" w:rsidP="009C4A36">
      <w:pPr>
        <w:pStyle w:val="Heading3"/>
        <w:numPr>
          <w:ilvl w:val="0"/>
          <w:numId w:val="0"/>
        </w:numPr>
        <w:ind w:left="567" w:hanging="567"/>
        <w:rPr>
          <w:lang w:val="en-GB"/>
        </w:rPr>
      </w:pPr>
      <w:r w:rsidRPr="001C1A2C">
        <w:rPr>
          <w:lang w:val="en-GB"/>
        </w:rPr>
        <w:t>Paragraph 16 (a-c) of the list of issue</w:t>
      </w:r>
    </w:p>
    <w:p w14:paraId="2A2FD347" w14:textId="77777777" w:rsidR="007D319B" w:rsidRDefault="00AB59AD" w:rsidP="009C4A36">
      <w:pPr>
        <w:pStyle w:val="Leip"/>
      </w:pPr>
      <w:bookmarkStart w:id="35" w:name="_Hlk161735217"/>
      <w:bookmarkEnd w:id="34"/>
      <w:r>
        <w:t>105–108. The provisions on the right to self-determination have still not come into force. The Deputy-Ombudsman has additionally stated to the Ministry of Social Affairs and Health h</w:t>
      </w:r>
      <w:r w:rsidR="005632A4">
        <w:t>er</w:t>
      </w:r>
      <w:r>
        <w:t xml:space="preserve"> view on the fact that the most urgent step would be to introduce legislation in those sectors where it is completely lacking. This includes restricting a client’s fundamental rights in somatic healthcare and care for older people. </w:t>
      </w:r>
      <w:r w:rsidR="005632A4">
        <w:t>Now</w:t>
      </w:r>
      <w:r>
        <w:t>, for example, the application of restri</w:t>
      </w:r>
      <w:r w:rsidR="005632A4">
        <w:t>ctions</w:t>
      </w:r>
      <w:r>
        <w:t xml:space="preserve"> on older people with memory disorders is more common than in psychiatric care, even though there are no legal provisions on the matter. According to the NPM’s observations, this </w:t>
      </w:r>
      <w:r w:rsidR="005632A4" w:rsidRPr="005632A4">
        <w:t>may have led to unnecessary restrictions and degrading treatment of the elderly.</w:t>
      </w:r>
      <w:r>
        <w:t xml:space="preserve"> </w:t>
      </w:r>
      <w:r w:rsidRPr="007D319B">
        <w:t xml:space="preserve">Challenges </w:t>
      </w:r>
      <w:r w:rsidRPr="007D319B">
        <w:lastRenderedPageBreak/>
        <w:t>in the availability of trained personnel can also increase the use of restrictive measures.</w:t>
      </w:r>
    </w:p>
    <w:p w14:paraId="07C902EB" w14:textId="77777777" w:rsidR="009C4A36" w:rsidRPr="005E4D62" w:rsidRDefault="00AB59AD" w:rsidP="009C4A36">
      <w:pPr>
        <w:pStyle w:val="Heading2"/>
        <w:numPr>
          <w:ilvl w:val="0"/>
          <w:numId w:val="0"/>
        </w:numPr>
        <w:ind w:left="397" w:hanging="397"/>
        <w:rPr>
          <w:lang w:val="en-GB"/>
        </w:rPr>
      </w:pPr>
      <w:bookmarkStart w:id="36" w:name="_Hlk161735234"/>
      <w:bookmarkEnd w:id="35"/>
      <w:r w:rsidRPr="005E4D62">
        <w:rPr>
          <w:lang w:val="en-GB"/>
        </w:rPr>
        <w:t>Article 16</w:t>
      </w:r>
    </w:p>
    <w:p w14:paraId="4581A6B8" w14:textId="77777777" w:rsidR="009C4A36" w:rsidRPr="001C1A2C" w:rsidRDefault="00AB59AD" w:rsidP="009C4A36">
      <w:pPr>
        <w:pStyle w:val="Heading3"/>
        <w:numPr>
          <w:ilvl w:val="0"/>
          <w:numId w:val="0"/>
        </w:numPr>
        <w:ind w:left="567" w:hanging="567"/>
        <w:rPr>
          <w:lang w:val="en-GB"/>
        </w:rPr>
      </w:pPr>
      <w:r w:rsidRPr="001C1A2C">
        <w:rPr>
          <w:lang w:val="en-GB"/>
        </w:rPr>
        <w:t>Paragraph 18 (b) of the list of issue</w:t>
      </w:r>
    </w:p>
    <w:p w14:paraId="19E5C746" w14:textId="77777777" w:rsidR="009C4A36" w:rsidRDefault="00AB59AD" w:rsidP="009C4A36">
      <w:pPr>
        <w:pStyle w:val="Leip"/>
      </w:pPr>
      <w:bookmarkStart w:id="37" w:name="_Hlk161735253"/>
      <w:bookmarkEnd w:id="36"/>
      <w:r>
        <w:t xml:space="preserve">129. The Ombudsman has considered the duration of pre-trial investigations a significant problem. The Ombudsman investigated the matter on his own initiative and noted that the basic problem delaying pre-trial investigations is insufficient resourcing in relation to the number of tasks. However, since it is a question of the legal protection of individuals and one of the basic missions of the central government, this should, in the Ombudsman's opinion, be reflected in decisions made on the resourcing of the police. The Ombudsman asked the National Police Board to report on the measures and the processing times of pre-trial investigations by the end of 2023 (EOAK/1510/2021). </w:t>
      </w:r>
    </w:p>
    <w:p w14:paraId="1F1A8786" w14:textId="77777777" w:rsidR="009C4A36" w:rsidRDefault="00AB59AD" w:rsidP="009C4A36">
      <w:pPr>
        <w:pStyle w:val="Leip"/>
      </w:pPr>
      <w:r>
        <w:t xml:space="preserve">The </w:t>
      </w:r>
      <w:r w:rsidR="00585650">
        <w:t xml:space="preserve">programme of the </w:t>
      </w:r>
      <w:r>
        <w:t xml:space="preserve">current Government promises increased resources for the police. The National Police Board reported that, </w:t>
      </w:r>
      <w:r w:rsidR="00585650">
        <w:t>regarding</w:t>
      </w:r>
      <w:r>
        <w:t xml:space="preserve"> the 2024 increase in resources, attention would be paid to targeting the allocated resources to those police units where the workload of criminal investigations is the greatest in relation to the available resources. However, when it comes to increasing resources, it had to be noted that the increases will not be fully realised in the number of police officers before the increase in training produces more police officer graduates. New police officers graduate from the Police University College after about three years of studies.</w:t>
      </w:r>
    </w:p>
    <w:p w14:paraId="57CDD0E8" w14:textId="77777777" w:rsidR="009C4A36" w:rsidRDefault="00AB59AD" w:rsidP="009C4A36">
      <w:pPr>
        <w:pStyle w:val="Leip"/>
      </w:pPr>
      <w:r>
        <w:t>The Criminal Investigations Act has been amended so that when the injured party is under the age of 18, the pre-trial investigation and consideration of charges must be completed urgently. Previously, the urgency requirement only concerned situations where the suspect is under 18 years of age.</w:t>
      </w:r>
    </w:p>
    <w:p w14:paraId="0DD43B16" w14:textId="77777777" w:rsidR="00631F42" w:rsidRDefault="00631F42" w:rsidP="009C4A36">
      <w:pPr>
        <w:pStyle w:val="Leip"/>
        <w:ind w:left="0"/>
        <w:rPr>
          <w:b/>
        </w:rPr>
      </w:pPr>
      <w:bookmarkStart w:id="38" w:name="_Hlk161735306"/>
      <w:bookmarkEnd w:id="37"/>
    </w:p>
    <w:p w14:paraId="21EB7690" w14:textId="77777777" w:rsidR="009C4A36" w:rsidRDefault="00AB59AD" w:rsidP="009C4A36">
      <w:pPr>
        <w:pStyle w:val="Leip"/>
        <w:ind w:left="0"/>
        <w:rPr>
          <w:b/>
          <w:bCs/>
        </w:rPr>
      </w:pPr>
      <w:r>
        <w:rPr>
          <w:b/>
        </w:rPr>
        <w:t>In the following, some additional issues not covered in the periodic report.</w:t>
      </w:r>
    </w:p>
    <w:p w14:paraId="6130354C" w14:textId="77777777" w:rsidR="009C4A36" w:rsidRDefault="00AB59AD" w:rsidP="009C4A36">
      <w:pPr>
        <w:pStyle w:val="Leip"/>
        <w:numPr>
          <w:ilvl w:val="0"/>
          <w:numId w:val="15"/>
        </w:numPr>
      </w:pPr>
      <w:bookmarkStart w:id="39" w:name="_Hlk161735340"/>
      <w:bookmarkEnd w:id="38"/>
      <w:r>
        <w:rPr>
          <w:b/>
        </w:rPr>
        <w:t xml:space="preserve">Shortcomings of legislation in involuntary care, especially </w:t>
      </w:r>
      <w:r w:rsidR="00E122CE">
        <w:rPr>
          <w:b/>
        </w:rPr>
        <w:t>regarding</w:t>
      </w:r>
      <w:r>
        <w:rPr>
          <w:b/>
        </w:rPr>
        <w:t xml:space="preserve"> legal remedies</w:t>
      </w:r>
      <w:r>
        <w:t xml:space="preserve">. </w:t>
      </w:r>
      <w:bookmarkStart w:id="40" w:name="_Hlk161735426"/>
      <w:bookmarkEnd w:id="39"/>
    </w:p>
    <w:p w14:paraId="11798D4A" w14:textId="77777777" w:rsidR="009C4A36" w:rsidRDefault="00AB59AD" w:rsidP="009C4A36">
      <w:pPr>
        <w:pStyle w:val="Leip"/>
      </w:pPr>
      <w:r>
        <w:t>In May 2021, the Deputy-Ombudsman submitted a proposal to the Ministry of Social Affairs and Health on supplementing the Mental Health Act. In h</w:t>
      </w:r>
      <w:r w:rsidR="00E122CE">
        <w:t>er</w:t>
      </w:r>
      <w:r>
        <w:t xml:space="preserve"> proposal, </w:t>
      </w:r>
      <w:r w:rsidR="00E122CE">
        <w:t>s</w:t>
      </w:r>
      <w:r>
        <w:t xml:space="preserve">he compiled issues he had observed in the Mental Health Act based on patient complaints and inspections carried out in psychiatric hospitals (EOAK/164/2021). Most of the proposals are based on the provisions of section 7, subsection 3 of the Constitution of Finland, according to which the rights of persons deprived of their liberty are protected by law. Whereas some of the proposals had been submitted to the Ministry on a previous occasion, they had not led to any action. The </w:t>
      </w:r>
      <w:r>
        <w:lastRenderedPageBreak/>
        <w:t xml:space="preserve">Ministry had announced that the legislation will be supplemented as part of the reform of legislation on strengthening the right to self-determination of clients and patients in healthcare and social welfare. This legislative project was and </w:t>
      </w:r>
      <w:r w:rsidR="00E122CE">
        <w:t>remains</w:t>
      </w:r>
      <w:r>
        <w:t xml:space="preserve"> unimplemented in 2024. The Deputy-Ombudsman’s proposal highlighted the following shortcomings:</w:t>
      </w:r>
    </w:p>
    <w:p w14:paraId="7F2DF9D7" w14:textId="77777777" w:rsidR="009C4A36" w:rsidRDefault="00AB59AD" w:rsidP="009C4A36">
      <w:pPr>
        <w:pStyle w:val="Leip"/>
        <w:numPr>
          <w:ilvl w:val="0"/>
          <w:numId w:val="16"/>
        </w:numPr>
      </w:pPr>
      <w:bookmarkStart w:id="41" w:name="_Hlk161735448"/>
      <w:bookmarkEnd w:id="40"/>
      <w:r>
        <w:rPr>
          <w:b/>
        </w:rPr>
        <w:t xml:space="preserve">Outdoor exercise. </w:t>
      </w:r>
      <w:r>
        <w:t>The Mental Health Act does not contain any provisions on outdoor exercise for psychiatric patients. The current trend to build psychiatric wards in connection with central hospitals seems to sometimes make it more difficult to arrange outdoor exercise. For this reason, the Deputy-Ombudsman found it important that the right to outdoor exercise of patients undergoing involuntary treatment be safeguarded by law.</w:t>
      </w:r>
    </w:p>
    <w:p w14:paraId="21D6A285" w14:textId="77777777" w:rsidR="009C4A36" w:rsidRDefault="00AB59AD" w:rsidP="009C4A36">
      <w:pPr>
        <w:pStyle w:val="Leip"/>
        <w:numPr>
          <w:ilvl w:val="0"/>
          <w:numId w:val="16"/>
        </w:numPr>
      </w:pPr>
      <w:r>
        <w:rPr>
          <w:b/>
        </w:rPr>
        <w:t>The right</w:t>
      </w:r>
      <w:bookmarkStart w:id="42" w:name="_Hlk161735503"/>
      <w:bookmarkEnd w:id="41"/>
      <w:r>
        <w:rPr>
          <w:b/>
        </w:rPr>
        <w:t xml:space="preserve"> to appeal against being placed under observation. </w:t>
      </w:r>
      <w:r>
        <w:t xml:space="preserve">Placing a patient under observation for a maximum of four days means depriving the patient </w:t>
      </w:r>
      <w:bookmarkStart w:id="43" w:name="_Hlk161735519"/>
      <w:bookmarkEnd w:id="42"/>
      <w:r>
        <w:t xml:space="preserve">of his or her freedom within the meaning of Article 5(1e) of the European Convention on Human Rights (ECHR). The procedure may only be appealed to the Administrative Court if the patient is </w:t>
      </w:r>
      <w:r w:rsidR="00FC0AC3">
        <w:t>ad</w:t>
      </w:r>
      <w:r>
        <w:t xml:space="preserve">mitted to </w:t>
      </w:r>
      <w:r w:rsidR="00FC0AC3">
        <w:t xml:space="preserve">involuntary </w:t>
      </w:r>
      <w:r>
        <w:t xml:space="preserve">treatment after the observation period. In the Deputy-Ombudsman’s opinion, the patient should also have the right to appeal against being placed under observation when he or she is not </w:t>
      </w:r>
      <w:r w:rsidR="00FC0AC3">
        <w:t>ad</w:t>
      </w:r>
      <w:r>
        <w:t xml:space="preserve">mitted to </w:t>
      </w:r>
      <w:r w:rsidR="00FC0AC3">
        <w:t xml:space="preserve">involuntary </w:t>
      </w:r>
      <w:r>
        <w:t>treatment. Examination of the legality of the measure afterwards may contribute to preventing arbitrariness.</w:t>
      </w:r>
    </w:p>
    <w:p w14:paraId="42259412" w14:textId="77777777" w:rsidR="009C4A36" w:rsidRDefault="00AB59AD" w:rsidP="009C4A36">
      <w:pPr>
        <w:pStyle w:val="Leip"/>
        <w:numPr>
          <w:ilvl w:val="0"/>
          <w:numId w:val="16"/>
        </w:numPr>
        <w:rPr>
          <w:b/>
          <w:bCs/>
        </w:rPr>
      </w:pPr>
      <w:r>
        <w:rPr>
          <w:b/>
        </w:rPr>
        <w:t>The right</w:t>
      </w:r>
      <w:bookmarkStart w:id="44" w:name="_Hlk161735545"/>
      <w:bookmarkEnd w:id="43"/>
      <w:r>
        <w:rPr>
          <w:b/>
        </w:rPr>
        <w:t xml:space="preserve"> to appeal against seclusion and restraint</w:t>
      </w:r>
      <w:r>
        <w:t xml:space="preserve">. </w:t>
      </w:r>
      <w:r w:rsidR="00FC0AC3">
        <w:t xml:space="preserve">The use of </w:t>
      </w:r>
      <w:r>
        <w:t xml:space="preserve">seclusion or </w:t>
      </w:r>
      <w:r w:rsidR="00FC0AC3">
        <w:t xml:space="preserve">mechanical and physical </w:t>
      </w:r>
      <w:r>
        <w:t xml:space="preserve">restraint represents a very strong interference with the patient’s personal freedom. In its observations concerning Finland, the CPT, for example, expressed concerns about the long seclusion and restraint periods of psychiatric patients. The draft of the new act on the status and rights of patients and clients proposed that appealable decisions be made on secluding or restraining psychiatric patients. The Deputy-Ombudsman considered it </w:t>
      </w:r>
      <w:r w:rsidRPr="00F8786A">
        <w:rPr>
          <w:bCs/>
        </w:rPr>
        <w:t xml:space="preserve">very important to improve the legal remedies </w:t>
      </w:r>
      <w:r>
        <w:t>available for secluded and restrained patients.</w:t>
      </w:r>
    </w:p>
    <w:p w14:paraId="36AE4284" w14:textId="77777777" w:rsidR="009C4A36" w:rsidRDefault="00AB59AD" w:rsidP="009C4A36">
      <w:pPr>
        <w:pStyle w:val="Leip"/>
        <w:numPr>
          <w:ilvl w:val="0"/>
          <w:numId w:val="16"/>
        </w:numPr>
      </w:pPr>
      <w:r>
        <w:rPr>
          <w:b/>
        </w:rPr>
        <w:t>De facto opportunity</w:t>
      </w:r>
      <w:bookmarkStart w:id="45" w:name="_Hlk161735565"/>
      <w:bookmarkEnd w:id="44"/>
      <w:r>
        <w:rPr>
          <w:b/>
        </w:rPr>
        <w:t xml:space="preserve"> to appeal</w:t>
      </w:r>
      <w:r>
        <w:t xml:space="preserve">. Under section 24 of the Mental Health Act, a decision made by a hospital physician concerning </w:t>
      </w:r>
      <w:r w:rsidR="00F8786A">
        <w:t>ad</w:t>
      </w:r>
      <w:r>
        <w:t xml:space="preserve">mitting a person to treatment or continuing his or her involuntary treatment may be appealed to the Administrative Court. The appeal must be lodged within 14 days of receiving notification of the decision. </w:t>
      </w:r>
    </w:p>
    <w:p w14:paraId="563AA2D6" w14:textId="77777777" w:rsidR="009C4A36" w:rsidRDefault="00AB59AD" w:rsidP="009C4A36">
      <w:pPr>
        <w:pStyle w:val="Leip"/>
        <w:ind w:left="2345"/>
      </w:pPr>
      <w:r>
        <w:t xml:space="preserve">Based on the complaints and personal observations, the Deputy-Ombudsman had </w:t>
      </w:r>
      <w:r w:rsidR="00F8786A">
        <w:t>concluded</w:t>
      </w:r>
      <w:r>
        <w:t xml:space="preserve"> that, in practice, patients are not always able or willing to use this legal remedy. The appeal period laid down in the act is short, and especially at the beginning of the treatment, the patient’s functional capacity may be significantly reduced. Usually, patients do not have a guardian, at least not for non-financial matters. The Deputy-Ombudsman asked the Ministry to investigate what kind of </w:t>
      </w:r>
      <w:r>
        <w:lastRenderedPageBreak/>
        <w:t xml:space="preserve">support measures could be used to improve the possibilities of a patient </w:t>
      </w:r>
      <w:r w:rsidR="00F8786A">
        <w:t>ad</w:t>
      </w:r>
      <w:r>
        <w:t xml:space="preserve">mitted to involuntary treatment to exercise his or her right to appeal. At the same time, the Deputy-Ombudsman asked them to consider whether there is an appropriate justification for the current appeal period, which is shorter than usual. </w:t>
      </w:r>
    </w:p>
    <w:p w14:paraId="2285C043" w14:textId="77777777" w:rsidR="009C4A36" w:rsidRDefault="00AB59AD" w:rsidP="009C4A36">
      <w:pPr>
        <w:pStyle w:val="Leip"/>
        <w:numPr>
          <w:ilvl w:val="0"/>
          <w:numId w:val="16"/>
        </w:numPr>
      </w:pPr>
      <w:r>
        <w:rPr>
          <w:b/>
        </w:rPr>
        <w:t>Appeals</w:t>
      </w:r>
      <w:bookmarkStart w:id="46" w:name="_Hlk161735595"/>
      <w:bookmarkEnd w:id="45"/>
      <w:r>
        <w:rPr>
          <w:b/>
        </w:rPr>
        <w:t xml:space="preserve"> concerning involuntary </w:t>
      </w:r>
      <w:r w:rsidR="007B50B7">
        <w:rPr>
          <w:b/>
        </w:rPr>
        <w:t>medication</w:t>
      </w:r>
      <w:r>
        <w:t xml:space="preserve">. The Deputy-Ombudsman also proposed a legal remedy to patients in situations involving involuntary </w:t>
      </w:r>
      <w:r w:rsidR="007B50B7">
        <w:t>medication</w:t>
      </w:r>
      <w:r>
        <w:t xml:space="preserve">. An amendment to the Mental Health Act to implement this will enter into force on 1 April 2024. In the future, </w:t>
      </w:r>
      <w:r w:rsidR="007B50B7">
        <w:t>medication</w:t>
      </w:r>
      <w:r>
        <w:t xml:space="preserve"> of mental illness for a patient undergoing involuntary psychiatric treatment requires an administrative decision if the treatment cannot be implemented in agreement with the patient (based on ECHR decision X v. Finland, 3 July 2012). The patient </w:t>
      </w:r>
      <w:r w:rsidR="007B50B7">
        <w:t>can</w:t>
      </w:r>
      <w:r>
        <w:t xml:space="preserve"> appeal the decision to an administrative court, which must process the appeal as a matter of urgency.</w:t>
      </w:r>
    </w:p>
    <w:p w14:paraId="002D9FFD" w14:textId="77777777" w:rsidR="009C4A36" w:rsidRDefault="00AB59AD" w:rsidP="009C4A36">
      <w:pPr>
        <w:pStyle w:val="Leip"/>
        <w:numPr>
          <w:ilvl w:val="0"/>
          <w:numId w:val="15"/>
        </w:numPr>
      </w:pPr>
      <w:bookmarkStart w:id="47" w:name="_Hlk161735654"/>
      <w:bookmarkEnd w:id="46"/>
      <w:r>
        <w:rPr>
          <w:b/>
        </w:rPr>
        <w:t>Prolonged seclusion and restraint and their supervision</w:t>
      </w:r>
      <w:r>
        <w:t xml:space="preserve">. </w:t>
      </w:r>
    </w:p>
    <w:p w14:paraId="715F519F" w14:textId="77777777" w:rsidR="009C4A36" w:rsidRDefault="00AB59AD" w:rsidP="009C4A36">
      <w:pPr>
        <w:pStyle w:val="Leip"/>
        <w:ind w:left="2608"/>
      </w:pPr>
      <w:r>
        <w:t xml:space="preserve">According to the standards on means of restraint in psychiatric care published by the CPT, the patient should always be kept secluded or restrained for the shortest possible time (usually minutes rather than hours). When the justification for applying seclusion or restraint ceases to exist, the patient should be released immediately. In Finland, there is no legal time limit for applying means of restraint. The authorities supervising the application of means of restraint, i.e. the Regional State Administrative Agencies, have required that they be notified if seclusion has continued for more than 7 days or restraining measures for more than 4 days. At the same time, a separate written statement must be submitted on why the application of the means of restraint has continued for so long. The practice is not based on the Mental Health Act. </w:t>
      </w:r>
    </w:p>
    <w:p w14:paraId="70CB411D" w14:textId="77777777" w:rsidR="009C4A36" w:rsidRDefault="00AB59AD" w:rsidP="009C4A36">
      <w:pPr>
        <w:pStyle w:val="Leip"/>
        <w:ind w:left="2608"/>
      </w:pPr>
      <w:r>
        <w:t xml:space="preserve">The Deputy-Ombudsman has taken the </w:t>
      </w:r>
      <w:r w:rsidR="00F8786A">
        <w:t xml:space="preserve">own </w:t>
      </w:r>
      <w:r>
        <w:t xml:space="preserve">initiative to investigate the supervision of prolonged seclusion and restraint. Based on the reports received, the Regional State Administrative Agencies do not compile statistics on cases of prolonged seclusion and restraint. In addition, it appears that the Agencies very rarely take measures based on the statements provided. </w:t>
      </w:r>
      <w:r w:rsidR="00F8786A" w:rsidRPr="00F8786A">
        <w:t xml:space="preserve">The Deputy-Ombudsman’s investigation of the matter is ongoing </w:t>
      </w:r>
      <w:r>
        <w:t>(EOAK/6408/2021).</w:t>
      </w:r>
    </w:p>
    <w:p w14:paraId="408DE39B" w14:textId="77777777" w:rsidR="009C4A36" w:rsidRDefault="00AB59AD" w:rsidP="009C4A36">
      <w:pPr>
        <w:pStyle w:val="Leip"/>
        <w:numPr>
          <w:ilvl w:val="0"/>
          <w:numId w:val="15"/>
        </w:numPr>
      </w:pPr>
      <w:bookmarkStart w:id="48" w:name="_Hlk161735758"/>
      <w:bookmarkEnd w:id="47"/>
      <w:r>
        <w:rPr>
          <w:b/>
        </w:rPr>
        <w:t>Restraining persons with disabilities</w:t>
      </w:r>
      <w:r>
        <w:t xml:space="preserve">. </w:t>
      </w:r>
    </w:p>
    <w:p w14:paraId="1E6184B5" w14:textId="77777777" w:rsidR="009C4A36" w:rsidRDefault="00AB59AD" w:rsidP="009C4A36">
      <w:pPr>
        <w:pStyle w:val="Leip"/>
        <w:ind w:left="2608"/>
      </w:pPr>
      <w:r>
        <w:t>NPM inspection</w:t>
      </w:r>
      <w:r w:rsidR="00F8786A">
        <w:t xml:space="preserve"> visit</w:t>
      </w:r>
      <w:r>
        <w:t xml:space="preserve">s have revealed that practices for restricting the right to self-determination vary in institutional care for persons with disabilities and residential units with 24-hour assistance. The amendment to the restrictive measures provision of the act on special care for persons with intellectual disabilities (381/2016) has improved the situation, but there are unawareness, </w:t>
      </w:r>
      <w:r w:rsidR="00B22D0B">
        <w:t>shortcomings,</w:t>
      </w:r>
      <w:r>
        <w:t xml:space="preserve"> and negligence around its implementation. One reason for this is that the </w:t>
      </w:r>
      <w:r>
        <w:lastRenderedPageBreak/>
        <w:t>staff of the units have not been provided with sufficient induction training and training on how to strengthen the residents’ right to self-determination and how to identify means of restraint.</w:t>
      </w:r>
    </w:p>
    <w:p w14:paraId="1E2CCD9A" w14:textId="77777777" w:rsidR="00631F42" w:rsidRDefault="00631F42" w:rsidP="009C4A36">
      <w:pPr>
        <w:pStyle w:val="Leip"/>
        <w:ind w:left="2608"/>
      </w:pPr>
    </w:p>
    <w:p w14:paraId="37D8491D" w14:textId="77777777" w:rsidR="009C4A36" w:rsidRDefault="00AB59AD" w:rsidP="009C4A36">
      <w:pPr>
        <w:pStyle w:val="Leip"/>
        <w:numPr>
          <w:ilvl w:val="0"/>
          <w:numId w:val="15"/>
        </w:numPr>
      </w:pPr>
      <w:bookmarkStart w:id="49" w:name="_Hlk161735827"/>
      <w:bookmarkEnd w:id="48"/>
      <w:r>
        <w:rPr>
          <w:b/>
        </w:rPr>
        <w:t xml:space="preserve">Operations and supervision of private security companies. </w:t>
      </w:r>
    </w:p>
    <w:p w14:paraId="7F79B1E7" w14:textId="77777777" w:rsidR="009C4A36" w:rsidRDefault="00AB59AD" w:rsidP="009C4A36">
      <w:pPr>
        <w:pStyle w:val="Leip"/>
        <w:ind w:left="2608"/>
      </w:pPr>
      <w:r>
        <w:t xml:space="preserve">Today, an increasingly large share of the maintenance of order in public places – </w:t>
      </w:r>
      <w:r w:rsidR="00B22D0B">
        <w:t>and</w:t>
      </w:r>
      <w:r>
        <w:t xml:space="preserve"> in psychiatric hospitals, for example – is taken care of by private security companies. At the end of 2022, various cases emerged in which </w:t>
      </w:r>
      <w:r w:rsidR="00B22D0B">
        <w:t>guard</w:t>
      </w:r>
      <w:r>
        <w:t xml:space="preserve">s in the service of private security operators were suspected of serious offences. The legal proceedings of the cases are still pending. In September 2023, the Ministry of the Interior working group published its final report, which assessed the training, </w:t>
      </w:r>
      <w:r w:rsidR="00B22D0B">
        <w:t>guidance,</w:t>
      </w:r>
      <w:r>
        <w:t xml:space="preserve"> and supervision of the private security sector (2023:29). In 2023, the NPM carried out two </w:t>
      </w:r>
      <w:r w:rsidR="00B22D0B">
        <w:t xml:space="preserve">inspection </w:t>
      </w:r>
      <w:r>
        <w:t xml:space="preserve">visits to private security </w:t>
      </w:r>
      <w:r w:rsidR="00B22D0B">
        <w:t>companies</w:t>
      </w:r>
      <w:r>
        <w:t>’ detention facilities. In 2023, the Parliamentary Ombudsman also targeted inspection activities to the operations of the private security sector and its supervision by the police. The programme of the current Government states that the legislative needs concerning the private security sector will be reviewed in the light of the growth of the sector and changes in the internal security situation.</w:t>
      </w:r>
    </w:p>
    <w:p w14:paraId="7AAAD8FC" w14:textId="77777777" w:rsidR="009C4A36" w:rsidRDefault="00AB59AD" w:rsidP="009C4A36">
      <w:pPr>
        <w:pStyle w:val="Leip"/>
        <w:numPr>
          <w:ilvl w:val="0"/>
          <w:numId w:val="15"/>
        </w:numPr>
      </w:pPr>
      <w:bookmarkStart w:id="50" w:name="_Hlk161735858"/>
      <w:bookmarkEnd w:id="49"/>
      <w:r>
        <w:rPr>
          <w:b/>
        </w:rPr>
        <w:t xml:space="preserve">Detention facilities on board passenger vessels. </w:t>
      </w:r>
    </w:p>
    <w:p w14:paraId="0753354F" w14:textId="77777777" w:rsidR="009C4A36" w:rsidRDefault="00AB59AD" w:rsidP="009C4A36">
      <w:pPr>
        <w:pStyle w:val="Leip"/>
        <w:ind w:left="2608"/>
      </w:pPr>
      <w:r>
        <w:t>In November 2022, the NPM visited the detention facilities on a passenger ship for the first time. The inspection revealed several problematic issues concerning the vessel’s facilities and the procedures followed there as well as the state of legislation – but also how the police supervise the activities.</w:t>
      </w:r>
    </w:p>
    <w:p w14:paraId="1E30D19F" w14:textId="77777777" w:rsidR="009C4A36" w:rsidRDefault="00AB59AD" w:rsidP="009C4A36">
      <w:pPr>
        <w:pStyle w:val="Leip"/>
        <w:numPr>
          <w:ilvl w:val="0"/>
          <w:numId w:val="15"/>
        </w:numPr>
      </w:pPr>
      <w:bookmarkStart w:id="51" w:name="_Hlk161735905"/>
      <w:bookmarkEnd w:id="50"/>
      <w:r>
        <w:rPr>
          <w:b/>
        </w:rPr>
        <w:t>Availability of substance abuse treatment in child welfare services</w:t>
      </w:r>
      <w:r>
        <w:t xml:space="preserve">.  </w:t>
      </w:r>
    </w:p>
    <w:p w14:paraId="51E683E6" w14:textId="77777777" w:rsidR="009C4A36" w:rsidRDefault="00AB59AD" w:rsidP="009C4A36">
      <w:pPr>
        <w:pStyle w:val="Leip"/>
        <w:ind w:left="2608"/>
      </w:pPr>
      <w:r>
        <w:t>There are few units or services in child welfare substitute care that could be used to effectively address serious substance abuse problems in children, for example by offering mental health services linked to substance abuse treatment if necessary or by breaking a cycle of substance abuse harming a child.</w:t>
      </w:r>
    </w:p>
    <w:p w14:paraId="135EDECE" w14:textId="77777777" w:rsidR="009C4A36" w:rsidRDefault="00AB59AD" w:rsidP="009C4A36">
      <w:pPr>
        <w:pStyle w:val="Leip"/>
        <w:numPr>
          <w:ilvl w:val="0"/>
          <w:numId w:val="15"/>
        </w:numPr>
      </w:pPr>
      <w:bookmarkStart w:id="52" w:name="_Hlk161735925"/>
      <w:bookmarkEnd w:id="51"/>
      <w:r>
        <w:rPr>
          <w:b/>
        </w:rPr>
        <w:t>Availability of psychiatric care in child welfare services</w:t>
      </w:r>
      <w:r>
        <w:t xml:space="preserve">. </w:t>
      </w:r>
    </w:p>
    <w:p w14:paraId="39964CEB" w14:textId="77777777" w:rsidR="009C4A36" w:rsidRDefault="00AB59AD" w:rsidP="009C4A36">
      <w:pPr>
        <w:pStyle w:val="Leip"/>
        <w:ind w:left="2608"/>
      </w:pPr>
      <w:r>
        <w:t>The joint service structure of child welfare and child psychiatry lacks suitable placement for children who need not only child welfare substitute care but also intensive psychiatric care.</w:t>
      </w:r>
    </w:p>
    <w:p w14:paraId="000603E5" w14:textId="77777777" w:rsidR="00F97A10" w:rsidRDefault="00F97A10">
      <w:pPr>
        <w:widowControl/>
        <w:autoSpaceDE/>
        <w:autoSpaceDN/>
        <w:adjustRightInd/>
        <w:rPr>
          <w:rFonts w:ascii="Arial" w:hAnsi="Arial"/>
          <w:b/>
        </w:rPr>
      </w:pPr>
      <w:bookmarkStart w:id="53" w:name="_Hlk161735943"/>
      <w:bookmarkEnd w:id="52"/>
      <w:r>
        <w:rPr>
          <w:b/>
        </w:rPr>
        <w:br w:type="page"/>
      </w:r>
    </w:p>
    <w:p w14:paraId="5611A32B" w14:textId="51673917" w:rsidR="009C4A36" w:rsidRDefault="00AB59AD" w:rsidP="009C4A36">
      <w:pPr>
        <w:pStyle w:val="Leip"/>
        <w:numPr>
          <w:ilvl w:val="0"/>
          <w:numId w:val="15"/>
        </w:numPr>
      </w:pPr>
      <w:r>
        <w:rPr>
          <w:b/>
        </w:rPr>
        <w:lastRenderedPageBreak/>
        <w:t>Children in need of special care in child welfare</w:t>
      </w:r>
      <w:r>
        <w:t xml:space="preserve">. </w:t>
      </w:r>
    </w:p>
    <w:p w14:paraId="7DAD939E" w14:textId="77777777" w:rsidR="009C4A36" w:rsidRDefault="00AB59AD" w:rsidP="009C4A36">
      <w:pPr>
        <w:pStyle w:val="Leip"/>
        <w:ind w:left="2608"/>
      </w:pPr>
      <w:r>
        <w:t>Children who, due to their poor condition or difficult symptoms, temporarily need demanding substitute care may have to queue for special care periods or other substitute care that meets their needs for several months or even a year.</w:t>
      </w:r>
    </w:p>
    <w:bookmarkEnd w:id="53"/>
    <w:p w14:paraId="0704FCED" w14:textId="77777777" w:rsidR="009C4A36" w:rsidRPr="009C4A36" w:rsidRDefault="009C4A36" w:rsidP="009C4A36">
      <w:pPr>
        <w:pStyle w:val="Leip"/>
      </w:pPr>
    </w:p>
    <w:p w14:paraId="6567D28F" w14:textId="77777777" w:rsidR="009C4A36" w:rsidRPr="009C4A36" w:rsidRDefault="009C4A36" w:rsidP="009C4A36">
      <w:pPr>
        <w:pStyle w:val="Leip"/>
      </w:pPr>
    </w:p>
    <w:sdt>
      <w:sdtPr>
        <w:alias w:val="Item Decided by EN"/>
        <w:tag w:val="Nimike"/>
        <w:id w:val="-1025403238"/>
        <w:placeholder>
          <w:docPart w:val="2C4C3CC1D7204FE3A799883EF740675C"/>
        </w:placeholder>
        <w:dropDownList>
          <w:listItem w:displayText="Ombudsman" w:value="Ombudsman"/>
          <w:listItem w:displayText="Deputy Ombudsman" w:value="Deputy Ombudsman"/>
        </w:dropDownList>
      </w:sdtPr>
      <w:sdtEndPr/>
      <w:sdtContent>
        <w:p w14:paraId="5B059635" w14:textId="77777777" w:rsidR="009C4A36" w:rsidRDefault="00AB59AD" w:rsidP="009C4A36">
          <w:pPr>
            <w:pStyle w:val="Leip"/>
            <w:spacing w:before="600" w:after="0"/>
          </w:pPr>
          <w:r>
            <w:t>Ombudsman</w:t>
          </w:r>
        </w:p>
      </w:sdtContent>
    </w:sdt>
    <w:sdt>
      <w:sdtPr>
        <w:alias w:val="Decided by"/>
        <w:tag w:val="Ratkaisija"/>
        <w:id w:val="-776179159"/>
        <w:placeholder>
          <w:docPart w:val="6A933889FC044051AEDED2D78B81408E"/>
        </w:placeholder>
        <w:dropDownList>
          <w:listItem w:displayText="Petri Jääskeläi(...)" w:value="Petri Jääskeläinen"/>
          <w:listItem w:displayText="Maija Sakslin" w:value="Maija Sakslin"/>
          <w:listItem w:displayText="Mikko Sarja" w:value="Mikko Sarja"/>
          <w:listItem w:displayText="Jari Råman" w:value="Jari Råman"/>
        </w:dropDownList>
      </w:sdtPr>
      <w:sdtEndPr/>
      <w:sdtContent>
        <w:p w14:paraId="00605C6E" w14:textId="77777777" w:rsidR="009C4A36" w:rsidRDefault="00AB59AD" w:rsidP="009C4A36">
          <w:pPr>
            <w:pStyle w:val="Leip"/>
            <w:spacing w:after="120"/>
          </w:pPr>
          <w:r>
            <w:t>Petri Jääskeläinen</w:t>
          </w:r>
        </w:p>
      </w:sdtContent>
    </w:sdt>
    <w:sdt>
      <w:sdtPr>
        <w:alias w:val="Item Rapporteur EN"/>
        <w:tag w:val="Nimike"/>
        <w:id w:val="-233780635"/>
        <w:placeholder>
          <w:docPart w:val="64151206DB92493DB7B8738F3CB998B1"/>
        </w:placeholder>
        <w:dropDownList>
          <w:listItem w:displayText="Principal Legal(...)" w:value="Principal Legal Adviser"/>
          <w:listItem w:displayText="Senior Legal Adviser" w:value="Senior Legal Adviser"/>
          <w:listItem w:displayText="Legal Adviser" w:value="Legal Adviser"/>
          <w:listItem w:displayText="On-duty Lawyer" w:value="On-duty Lawyer"/>
          <w:listItem w:displayText="Investigating Officer" w:value="Investigating Officer"/>
          <w:listItem w:displayText="Notary" w:value="Notary"/>
        </w:dropDownList>
      </w:sdtPr>
      <w:sdtEndPr/>
      <w:sdtContent>
        <w:p w14:paraId="0BC68E07" w14:textId="77777777" w:rsidR="009C4A36" w:rsidRDefault="00AB59AD" w:rsidP="009C4A36">
          <w:pPr>
            <w:pStyle w:val="Leip"/>
            <w:spacing w:before="480" w:after="0"/>
          </w:pPr>
          <w:r>
            <w:t>Principal Legal Adviser</w:t>
          </w:r>
        </w:p>
      </w:sdtContent>
    </w:sdt>
    <w:sdt>
      <w:sdtPr>
        <w:alias w:val="Name of rapporteur"/>
        <w:tag w:val="Esittelijän nimi"/>
        <w:id w:val="-473751302"/>
        <w:placeholder>
          <w:docPart w:val="8BE69D5F07364B30BDB1EA851333DC72"/>
        </w:placeholder>
        <w:text/>
      </w:sdtPr>
      <w:sdtEndPr/>
      <w:sdtContent>
        <w:p w14:paraId="5B436082" w14:textId="77777777" w:rsidR="009C4A36" w:rsidRDefault="00AB59AD" w:rsidP="009C4A36">
          <w:pPr>
            <w:pStyle w:val="Leip"/>
            <w:spacing w:after="480"/>
          </w:pPr>
          <w:r>
            <w:t>Iisa Suhonen</w:t>
          </w:r>
        </w:p>
      </w:sdtContent>
    </w:sdt>
    <w:p w14:paraId="42DA4BC2" w14:textId="77777777" w:rsidR="009C4A36" w:rsidRDefault="00AB59AD" w:rsidP="009C4A36">
      <w:pPr>
        <w:pStyle w:val="Leip"/>
      </w:pPr>
      <w:r>
        <w:t>This document has been approved in the case management system.</w:t>
      </w:r>
    </w:p>
    <w:p w14:paraId="4B993BA6" w14:textId="77777777" w:rsidR="00D95D6C" w:rsidRPr="009C4A36" w:rsidRDefault="00D95D6C" w:rsidP="009C4A36"/>
    <w:sectPr w:rsidR="00D95D6C" w:rsidRPr="009C4A36" w:rsidSect="00AB59AD">
      <w:headerReference w:type="default" r:id="rId13"/>
      <w:headerReference w:type="first" r:id="rId14"/>
      <w:footerReference w:type="first" r:id="rId15"/>
      <w:type w:val="continuous"/>
      <w:pgSz w:w="11906" w:h="16838" w:code="9"/>
      <w:pgMar w:top="1209" w:right="567" w:bottom="851" w:left="1304" w:header="425" w:footer="5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35F67" w14:textId="77777777" w:rsidR="00AB59AD" w:rsidRDefault="00AB59AD">
      <w:r>
        <w:separator/>
      </w:r>
    </w:p>
  </w:endnote>
  <w:endnote w:type="continuationSeparator" w:id="0">
    <w:p w14:paraId="168B8F70" w14:textId="77777777" w:rsidR="00AB59AD" w:rsidRDefault="00AB5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D4BF6" w14:textId="77777777" w:rsidR="00CF64FE" w:rsidRDefault="00CF64FE" w:rsidP="006D3675">
    <w:pPr>
      <w:pStyle w:val="Footer"/>
    </w:pPr>
  </w:p>
  <w:p w14:paraId="5317E340" w14:textId="77777777" w:rsidR="006D3675" w:rsidRPr="006D3675" w:rsidRDefault="00AB59AD" w:rsidP="006D3675">
    <w:pPr>
      <w:pStyle w:val="Footer"/>
    </w:pPr>
    <w:r>
      <w:rPr>
        <w:noProof/>
      </w:rPr>
      <w:drawing>
        <wp:inline distT="0" distB="0" distL="0" distR="0" wp14:anchorId="234FB0BE" wp14:editId="433C3C58">
          <wp:extent cx="6365133" cy="363220"/>
          <wp:effectExtent l="0" t="0" r="0" b="0"/>
          <wp:docPr id="6" name="Kuva 6" descr="Mailing address: Parliamentary Ombudsman of Finland, 00102 Eduskunta. Telephone: 09 4321. E-mail: oikeusasiamies@eduskunta.fi. Webbsite: www.oikeusasiamies.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uva 6" descr="Mailing address: Parliamentary Ombudsman of Finland, 00102 Eduskunta. Telephone: 09 4321. E-mail: oikeusasiamies@eduskunta.fi. Webbsite: www.oikeusasiamies.fi."/>
                  <pic:cNvPicPr/>
                </pic:nvPicPr>
                <pic:blipFill>
                  <a:blip r:embed="rId1">
                    <a:extLst>
                      <a:ext uri="{28A0092B-C50C-407E-A947-70E740481C1C}">
                        <a14:useLocalDpi xmlns:a14="http://schemas.microsoft.com/office/drawing/2010/main" val="0"/>
                      </a:ext>
                    </a:extLst>
                  </a:blip>
                  <a:stretch>
                    <a:fillRect/>
                  </a:stretch>
                </pic:blipFill>
                <pic:spPr>
                  <a:xfrm>
                    <a:off x="0" y="0"/>
                    <a:ext cx="6365133" cy="3632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50409" w14:textId="77777777" w:rsidR="00AB59AD" w:rsidRDefault="00AB59AD">
      <w:r>
        <w:separator/>
      </w:r>
    </w:p>
  </w:footnote>
  <w:footnote w:type="continuationSeparator" w:id="0">
    <w:p w14:paraId="5FB9FB68" w14:textId="77777777" w:rsidR="00AB59AD" w:rsidRDefault="00AB5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20D9A" w14:textId="77777777" w:rsidR="00CF64FE" w:rsidRPr="00232041" w:rsidRDefault="00AB59AD">
    <w:pPr>
      <w:pStyle w:val="Header"/>
      <w:jc w:val="right"/>
      <w:rPr>
        <w:rFonts w:ascii="Arial" w:hAnsi="Arial" w:cs="Arial"/>
      </w:rPr>
    </w:pPr>
    <w:r w:rsidRPr="009F30B9">
      <w:rPr>
        <w:rFonts w:ascii="Arial" w:hAnsi="Arial" w:cs="Arial"/>
        <w:sz w:val="22"/>
        <w:szCs w:val="22"/>
      </w:rPr>
      <w:fldChar w:fldCharType="begin"/>
    </w:r>
    <w:r w:rsidRPr="0023655B">
      <w:rPr>
        <w:rFonts w:ascii="Arial" w:hAnsi="Arial" w:cs="Arial"/>
        <w:sz w:val="22"/>
        <w:szCs w:val="22"/>
        <w:lang w:val="fi-FI"/>
      </w:rPr>
      <w:instrText>PAGE  \* Arabic  \* MERGEFORMAT</w:instrText>
    </w:r>
    <w:r w:rsidRPr="009F30B9">
      <w:rPr>
        <w:rFonts w:ascii="Arial" w:hAnsi="Arial" w:cs="Arial"/>
        <w:sz w:val="22"/>
        <w:szCs w:val="22"/>
      </w:rPr>
      <w:fldChar w:fldCharType="separate"/>
    </w:r>
    <w:r w:rsidR="004503CF">
      <w:rPr>
        <w:rFonts w:ascii="Arial" w:hAnsi="Arial" w:cs="Arial"/>
        <w:noProof/>
        <w:sz w:val="22"/>
        <w:szCs w:val="22"/>
        <w:lang w:val="fi-FI"/>
      </w:rPr>
      <w:t>2</w:t>
    </w:r>
    <w:r w:rsidRPr="009F30B9">
      <w:rPr>
        <w:rFonts w:ascii="Arial" w:hAnsi="Arial" w:cs="Arial"/>
        <w:sz w:val="22"/>
        <w:szCs w:val="22"/>
      </w:rPr>
      <w:fldChar w:fldCharType="end"/>
    </w:r>
    <w:r w:rsidRPr="009F30B9">
      <w:rPr>
        <w:rFonts w:ascii="Arial" w:hAnsi="Arial" w:cs="Arial"/>
        <w:sz w:val="22"/>
        <w:szCs w:val="22"/>
        <w:lang w:val="fi-FI"/>
      </w:rPr>
      <w:t xml:space="preserve"> / </w:t>
    </w:r>
    <w:r w:rsidR="004503CF" w:rsidRPr="004503CF">
      <w:rPr>
        <w:lang w:val="en-US"/>
      </w:rPr>
      <w:fldChar w:fldCharType="begin"/>
    </w:r>
    <w:r>
      <w:instrText>NUMPAGES  \* Arabic  \* MERGEFORMAT</w:instrText>
    </w:r>
    <w:r w:rsidR="004503CF" w:rsidRPr="004503CF">
      <w:rPr>
        <w:lang w:val="en-US"/>
      </w:rPr>
      <w:fldChar w:fldCharType="separate"/>
    </w:r>
    <w:r w:rsidR="004503CF" w:rsidRPr="004503CF">
      <w:rPr>
        <w:rFonts w:ascii="Arial" w:hAnsi="Arial" w:cs="Arial"/>
        <w:noProof/>
        <w:sz w:val="22"/>
        <w:szCs w:val="22"/>
        <w:lang w:val="fi-FI"/>
      </w:rPr>
      <w:t>3</w:t>
    </w:r>
    <w:r w:rsidR="004503CF" w:rsidRPr="004503CF">
      <w:rPr>
        <w:rFonts w:ascii="Arial" w:hAnsi="Arial" w:cs="Arial"/>
        <w:noProof/>
        <w:sz w:val="22"/>
        <w:szCs w:val="22"/>
        <w:lang w:val="fi-FI"/>
      </w:rPr>
      <w:fldChar w:fldCharType="end"/>
    </w:r>
  </w:p>
  <w:p w14:paraId="37C09F98" w14:textId="77777777" w:rsidR="00CF64FE" w:rsidRDefault="00CF64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9302F" w14:textId="77777777" w:rsidR="006D3675" w:rsidRPr="007E4254" w:rsidRDefault="00AB59AD" w:rsidP="00FF4490">
    <w:pPr>
      <w:pStyle w:val="Header"/>
      <w:tabs>
        <w:tab w:val="clear" w:pos="5216"/>
        <w:tab w:val="left" w:pos="4962"/>
      </w:tabs>
      <w:jc w:val="right"/>
      <w:rPr>
        <w:rFonts w:ascii="Arial" w:hAnsi="Arial" w:cs="Arial"/>
        <w:sz w:val="22"/>
        <w:szCs w:val="22"/>
        <w:lang w:val="fi-FI"/>
      </w:rPr>
    </w:pPr>
    <w:r w:rsidRPr="00E67A60">
      <w:rPr>
        <w:rFonts w:ascii="Arial" w:hAnsi="Arial" w:cs="Arial"/>
        <w:noProof/>
        <w:sz w:val="22"/>
        <w:szCs w:val="22"/>
        <w:lang w:val="fi-FI"/>
      </w:rPr>
      <w:drawing>
        <wp:anchor distT="0" distB="0" distL="114300" distR="114300" simplePos="0" relativeHeight="251658240" behindDoc="1" locked="0" layoutInCell="1" allowOverlap="1" wp14:anchorId="55422F56" wp14:editId="671ECA9C">
          <wp:simplePos x="0" y="0"/>
          <wp:positionH relativeFrom="page">
            <wp:posOffset>2439035</wp:posOffset>
          </wp:positionH>
          <wp:positionV relativeFrom="paragraph">
            <wp:posOffset>8255</wp:posOffset>
          </wp:positionV>
          <wp:extent cx="2678430" cy="719455"/>
          <wp:effectExtent l="0" t="0" r="0" b="0"/>
          <wp:wrapTight wrapText="bothSides">
            <wp:wrapPolygon edited="0">
              <wp:start x="10139" y="0"/>
              <wp:lineTo x="8142" y="3432"/>
              <wp:lineTo x="7835" y="4575"/>
              <wp:lineTo x="7835" y="9723"/>
              <wp:lineTo x="10600" y="18302"/>
              <wp:lineTo x="0" y="18302"/>
              <wp:lineTo x="0" y="21162"/>
              <wp:lineTo x="21508" y="21162"/>
              <wp:lineTo x="21508" y="18302"/>
              <wp:lineTo x="10908" y="18302"/>
              <wp:lineTo x="13673" y="9723"/>
              <wp:lineTo x="13826" y="5719"/>
              <wp:lineTo x="13366" y="3432"/>
              <wp:lineTo x="11522" y="0"/>
              <wp:lineTo x="10139" y="0"/>
            </wp:wrapPolygon>
          </wp:wrapTight>
          <wp:docPr id="5" name="Kuv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pic:cNvPicPr/>
                </pic:nvPicPr>
                <pic:blipFill>
                  <a:blip r:embed="rId1">
                    <a:extLst>
                      <a:ext uri="{28A0092B-C50C-407E-A947-70E740481C1C}">
                        <a14:useLocalDpi xmlns:a14="http://schemas.microsoft.com/office/drawing/2010/main" val="0"/>
                      </a:ext>
                    </a:extLst>
                  </a:blip>
                  <a:stretch>
                    <a:fillRect/>
                  </a:stretch>
                </pic:blipFill>
                <pic:spPr>
                  <a:xfrm>
                    <a:off x="0" y="0"/>
                    <a:ext cx="2678430" cy="719455"/>
                  </a:xfrm>
                  <a:prstGeom prst="rect">
                    <a:avLst/>
                  </a:prstGeom>
                </pic:spPr>
              </pic:pic>
            </a:graphicData>
          </a:graphic>
          <wp14:sizeRelH relativeFrom="page">
            <wp14:pctWidth>0</wp14:pctWidth>
          </wp14:sizeRelH>
          <wp14:sizeRelV relativeFrom="page">
            <wp14:pctHeight>0</wp14:pctHeight>
          </wp14:sizeRelV>
        </wp:anchor>
      </w:drawing>
    </w:r>
    <w:r w:rsidR="00FE0BF0" w:rsidRPr="00E67A60">
      <w:rPr>
        <w:rFonts w:ascii="Arial" w:hAnsi="Arial" w:cs="Arial"/>
        <w:sz w:val="22"/>
        <w:szCs w:val="22"/>
      </w:rPr>
      <w:fldChar w:fldCharType="begin"/>
    </w:r>
    <w:r w:rsidR="00FE0BF0" w:rsidRPr="00E67A60">
      <w:rPr>
        <w:rFonts w:ascii="Arial" w:hAnsi="Arial" w:cs="Arial"/>
        <w:sz w:val="22"/>
        <w:szCs w:val="22"/>
        <w:lang w:val="fi-FI"/>
      </w:rPr>
      <w:instrText>PAGE  \* Arabic  \* MERGEFORMAT</w:instrText>
    </w:r>
    <w:r w:rsidR="00FE0BF0" w:rsidRPr="00E67A60">
      <w:rPr>
        <w:rFonts w:ascii="Arial" w:hAnsi="Arial" w:cs="Arial"/>
        <w:sz w:val="22"/>
        <w:szCs w:val="22"/>
      </w:rPr>
      <w:fldChar w:fldCharType="separate"/>
    </w:r>
    <w:r w:rsidR="00FE0BF0" w:rsidRPr="007E4254">
      <w:rPr>
        <w:rFonts w:ascii="Arial" w:hAnsi="Arial" w:cs="Arial"/>
        <w:sz w:val="22"/>
        <w:szCs w:val="22"/>
        <w:lang w:val="fi-FI"/>
      </w:rPr>
      <w:t>2</w:t>
    </w:r>
    <w:r w:rsidR="00FE0BF0" w:rsidRPr="00E67A60">
      <w:rPr>
        <w:rFonts w:ascii="Arial" w:hAnsi="Arial" w:cs="Arial"/>
        <w:sz w:val="22"/>
        <w:szCs w:val="22"/>
      </w:rPr>
      <w:fldChar w:fldCharType="end"/>
    </w:r>
    <w:r w:rsidR="00FE0BF0" w:rsidRPr="00E67A60">
      <w:rPr>
        <w:rFonts w:ascii="Arial" w:hAnsi="Arial" w:cs="Arial"/>
        <w:sz w:val="22"/>
        <w:szCs w:val="22"/>
        <w:lang w:val="fi-FI"/>
      </w:rPr>
      <w:t xml:space="preserve"> / </w:t>
    </w:r>
    <w:r w:rsidR="002B66F8" w:rsidRPr="00E67A60">
      <w:rPr>
        <w:rFonts w:ascii="Arial" w:hAnsi="Arial" w:cs="Arial"/>
        <w:sz w:val="22"/>
        <w:szCs w:val="22"/>
      </w:rPr>
      <w:fldChar w:fldCharType="begin"/>
    </w:r>
    <w:r w:rsidR="002B66F8" w:rsidRPr="007E4254">
      <w:rPr>
        <w:rFonts w:ascii="Arial" w:hAnsi="Arial" w:cs="Arial"/>
        <w:sz w:val="22"/>
        <w:szCs w:val="22"/>
        <w:lang w:val="fi-FI"/>
      </w:rPr>
      <w:instrText>NUMPAGES  \* Arabic  \* MERGEFORMAT</w:instrText>
    </w:r>
    <w:r w:rsidR="002B66F8" w:rsidRPr="00E67A60">
      <w:rPr>
        <w:rFonts w:ascii="Arial" w:hAnsi="Arial" w:cs="Arial"/>
        <w:sz w:val="22"/>
        <w:szCs w:val="22"/>
      </w:rPr>
      <w:fldChar w:fldCharType="separate"/>
    </w:r>
    <w:r w:rsidR="00FE0BF0" w:rsidRPr="007E4254">
      <w:rPr>
        <w:rFonts w:ascii="Arial" w:hAnsi="Arial" w:cs="Arial"/>
        <w:sz w:val="22"/>
        <w:szCs w:val="22"/>
        <w:lang w:val="fi-FI"/>
      </w:rPr>
      <w:t>3</w:t>
    </w:r>
    <w:r w:rsidR="002B66F8" w:rsidRPr="00E67A60">
      <w:rPr>
        <w:rFonts w:ascii="Arial" w:hAnsi="Arial" w:cs="Arial"/>
        <w:sz w:val="22"/>
        <w:szCs w:val="22"/>
      </w:rPr>
      <w:fldChar w:fldCharType="end"/>
    </w:r>
  </w:p>
  <w:p w14:paraId="164A7223" w14:textId="77777777" w:rsidR="00CF64FE" w:rsidRDefault="00CF64FE" w:rsidP="00857B6B">
    <w:pPr>
      <w:pStyle w:val="Header"/>
      <w:tabs>
        <w:tab w:val="clear" w:pos="5216"/>
        <w:tab w:val="clear" w:pos="7825"/>
        <w:tab w:val="clear" w:pos="9129"/>
        <w:tab w:val="left" w:pos="4550"/>
      </w:tabs>
      <w:spacing w:after="1200"/>
      <w:rPr>
        <w:rFonts w:ascii="Arial" w:hAnsi="Arial" w:cs="Arial"/>
        <w:bCs/>
        <w:lang w:val="fi-F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FB6A9F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5B086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2A13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626AF3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BF489C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AD0A9A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DA2009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0345A2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3E225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8EC934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6C69A1"/>
    <w:multiLevelType w:val="multilevel"/>
    <w:tmpl w:val="CB9E0828"/>
    <w:lvl w:ilvl="0">
      <w:start w:val="1"/>
      <w:numFmt w:val="decimal"/>
      <w:pStyle w:val="Heading2"/>
      <w:lvlText w:val="%1"/>
      <w:lvlJc w:val="left"/>
      <w:pPr>
        <w:ind w:left="1660" w:hanging="1300"/>
      </w:pPr>
      <w:rPr>
        <w:rFonts w:hint="default"/>
      </w:rPr>
    </w:lvl>
    <w:lvl w:ilvl="1">
      <w:start w:val="1"/>
      <w:numFmt w:val="decimal"/>
      <w:pStyle w:val="Heading3"/>
      <w:isLgl/>
      <w:lvlText w:val="%1.%2"/>
      <w:lvlJc w:val="left"/>
      <w:pPr>
        <w:ind w:left="2970" w:hanging="2610"/>
      </w:pPr>
      <w:rPr>
        <w:rFonts w:hint="default"/>
      </w:rPr>
    </w:lvl>
    <w:lvl w:ilvl="2">
      <w:start w:val="1"/>
      <w:numFmt w:val="decimal"/>
      <w:pStyle w:val="Heading4"/>
      <w:isLgl/>
      <w:lvlText w:val="%1.%2.%3"/>
      <w:lvlJc w:val="left"/>
      <w:pPr>
        <w:ind w:left="2970" w:hanging="2610"/>
      </w:pPr>
      <w:rPr>
        <w:rFonts w:hint="default"/>
      </w:rPr>
    </w:lvl>
    <w:lvl w:ilvl="3">
      <w:start w:val="1"/>
      <w:numFmt w:val="decimal"/>
      <w:isLgl/>
      <w:lvlText w:val="%1.%2.%3.%4"/>
      <w:lvlJc w:val="left"/>
      <w:pPr>
        <w:ind w:left="2970" w:hanging="2610"/>
      </w:pPr>
      <w:rPr>
        <w:rFonts w:hint="default"/>
      </w:rPr>
    </w:lvl>
    <w:lvl w:ilvl="4">
      <w:start w:val="1"/>
      <w:numFmt w:val="decimal"/>
      <w:isLgl/>
      <w:lvlText w:val="%1.%2.%3.%4.%5"/>
      <w:lvlJc w:val="left"/>
      <w:pPr>
        <w:ind w:left="2970" w:hanging="2610"/>
      </w:pPr>
      <w:rPr>
        <w:rFonts w:hint="default"/>
      </w:rPr>
    </w:lvl>
    <w:lvl w:ilvl="5">
      <w:start w:val="1"/>
      <w:numFmt w:val="decimal"/>
      <w:isLgl/>
      <w:lvlText w:val="%1.%2.%3.%4.%5.%6"/>
      <w:lvlJc w:val="left"/>
      <w:pPr>
        <w:ind w:left="2970" w:hanging="2610"/>
      </w:pPr>
      <w:rPr>
        <w:rFonts w:hint="default"/>
      </w:rPr>
    </w:lvl>
    <w:lvl w:ilvl="6">
      <w:start w:val="1"/>
      <w:numFmt w:val="decimal"/>
      <w:isLgl/>
      <w:lvlText w:val="%1.%2.%3.%4.%5.%6.%7"/>
      <w:lvlJc w:val="left"/>
      <w:pPr>
        <w:ind w:left="2970" w:hanging="2610"/>
      </w:pPr>
      <w:rPr>
        <w:rFonts w:hint="default"/>
      </w:rPr>
    </w:lvl>
    <w:lvl w:ilvl="7">
      <w:start w:val="1"/>
      <w:numFmt w:val="decimal"/>
      <w:isLgl/>
      <w:lvlText w:val="%1.%2.%3.%4.%5.%6.%7.%8"/>
      <w:lvlJc w:val="left"/>
      <w:pPr>
        <w:ind w:left="2970" w:hanging="2610"/>
      </w:pPr>
      <w:rPr>
        <w:rFonts w:hint="default"/>
      </w:rPr>
    </w:lvl>
    <w:lvl w:ilvl="8">
      <w:start w:val="1"/>
      <w:numFmt w:val="decimal"/>
      <w:isLgl/>
      <w:lvlText w:val="%1.%2.%3.%4.%5.%6.%7.%8.%9"/>
      <w:lvlJc w:val="left"/>
      <w:pPr>
        <w:ind w:left="2970" w:hanging="2610"/>
      </w:pPr>
      <w:rPr>
        <w:rFonts w:hint="default"/>
      </w:rPr>
    </w:lvl>
  </w:abstractNum>
  <w:abstractNum w:abstractNumId="11" w15:restartNumberingAfterBreak="0">
    <w:nsid w:val="5C7F3D60"/>
    <w:multiLevelType w:val="hybridMultilevel"/>
    <w:tmpl w:val="4AE6ABB2"/>
    <w:lvl w:ilvl="0" w:tplc="9AFAEC7E">
      <w:start w:val="1"/>
      <w:numFmt w:val="decimal"/>
      <w:lvlText w:val="%1."/>
      <w:lvlJc w:val="left"/>
      <w:pPr>
        <w:ind w:left="720" w:hanging="360"/>
      </w:pPr>
      <w:rPr>
        <w:b/>
      </w:rPr>
    </w:lvl>
    <w:lvl w:ilvl="1" w:tplc="5656B8CE">
      <w:start w:val="1"/>
      <w:numFmt w:val="lowerLetter"/>
      <w:lvlText w:val="%2."/>
      <w:lvlJc w:val="left"/>
      <w:pPr>
        <w:ind w:left="1440" w:hanging="360"/>
      </w:pPr>
    </w:lvl>
    <w:lvl w:ilvl="2" w:tplc="6B889AD4">
      <w:start w:val="1"/>
      <w:numFmt w:val="lowerRoman"/>
      <w:lvlText w:val="%3."/>
      <w:lvlJc w:val="right"/>
      <w:pPr>
        <w:ind w:left="2160" w:hanging="180"/>
      </w:pPr>
    </w:lvl>
    <w:lvl w:ilvl="3" w:tplc="31982416">
      <w:start w:val="1"/>
      <w:numFmt w:val="decimal"/>
      <w:lvlText w:val="%4."/>
      <w:lvlJc w:val="left"/>
      <w:pPr>
        <w:ind w:left="2880" w:hanging="360"/>
      </w:pPr>
    </w:lvl>
    <w:lvl w:ilvl="4" w:tplc="EBFA583A">
      <w:start w:val="1"/>
      <w:numFmt w:val="lowerLetter"/>
      <w:lvlText w:val="%5."/>
      <w:lvlJc w:val="left"/>
      <w:pPr>
        <w:ind w:left="3600" w:hanging="360"/>
      </w:pPr>
    </w:lvl>
    <w:lvl w:ilvl="5" w:tplc="11681A64">
      <w:start w:val="1"/>
      <w:numFmt w:val="lowerRoman"/>
      <w:lvlText w:val="%6."/>
      <w:lvlJc w:val="right"/>
      <w:pPr>
        <w:ind w:left="4320" w:hanging="180"/>
      </w:pPr>
    </w:lvl>
    <w:lvl w:ilvl="6" w:tplc="EE024884">
      <w:start w:val="1"/>
      <w:numFmt w:val="decimal"/>
      <w:lvlText w:val="%7."/>
      <w:lvlJc w:val="left"/>
      <w:pPr>
        <w:ind w:left="5040" w:hanging="360"/>
      </w:pPr>
    </w:lvl>
    <w:lvl w:ilvl="7" w:tplc="4476B7D2">
      <w:start w:val="1"/>
      <w:numFmt w:val="lowerLetter"/>
      <w:lvlText w:val="%8."/>
      <w:lvlJc w:val="left"/>
      <w:pPr>
        <w:ind w:left="5760" w:hanging="360"/>
      </w:pPr>
    </w:lvl>
    <w:lvl w:ilvl="8" w:tplc="6A36354C">
      <w:start w:val="1"/>
      <w:numFmt w:val="lowerRoman"/>
      <w:lvlText w:val="%9."/>
      <w:lvlJc w:val="right"/>
      <w:pPr>
        <w:ind w:left="6480" w:hanging="180"/>
      </w:pPr>
    </w:lvl>
  </w:abstractNum>
  <w:abstractNum w:abstractNumId="12" w15:restartNumberingAfterBreak="0">
    <w:nsid w:val="62FD5F09"/>
    <w:multiLevelType w:val="hybridMultilevel"/>
    <w:tmpl w:val="0B900C12"/>
    <w:lvl w:ilvl="0" w:tplc="C82A72D2">
      <w:start w:val="2"/>
      <w:numFmt w:val="bullet"/>
      <w:pStyle w:val="ListParagraph"/>
      <w:lvlText w:val="–"/>
      <w:lvlJc w:val="left"/>
      <w:pPr>
        <w:ind w:left="8186" w:hanging="360"/>
      </w:pPr>
      <w:rPr>
        <w:rFonts w:ascii="Arial" w:eastAsia="Times New Roman" w:hAnsi="Arial" w:cs="Arial" w:hint="default"/>
      </w:rPr>
    </w:lvl>
    <w:lvl w:ilvl="1" w:tplc="84A4F8A6" w:tentative="1">
      <w:start w:val="1"/>
      <w:numFmt w:val="bullet"/>
      <w:lvlText w:val="o"/>
      <w:lvlJc w:val="left"/>
      <w:pPr>
        <w:ind w:left="8906" w:hanging="360"/>
      </w:pPr>
      <w:rPr>
        <w:rFonts w:ascii="Courier New" w:hAnsi="Courier New" w:cs="Courier New" w:hint="default"/>
      </w:rPr>
    </w:lvl>
    <w:lvl w:ilvl="2" w:tplc="8642FDB0" w:tentative="1">
      <w:start w:val="1"/>
      <w:numFmt w:val="bullet"/>
      <w:lvlText w:val=""/>
      <w:lvlJc w:val="left"/>
      <w:pPr>
        <w:ind w:left="9626" w:hanging="360"/>
      </w:pPr>
      <w:rPr>
        <w:rFonts w:ascii="Wingdings" w:hAnsi="Wingdings" w:hint="default"/>
      </w:rPr>
    </w:lvl>
    <w:lvl w:ilvl="3" w:tplc="F8FED850" w:tentative="1">
      <w:start w:val="1"/>
      <w:numFmt w:val="bullet"/>
      <w:lvlText w:val=""/>
      <w:lvlJc w:val="left"/>
      <w:pPr>
        <w:ind w:left="10346" w:hanging="360"/>
      </w:pPr>
      <w:rPr>
        <w:rFonts w:ascii="Symbol" w:hAnsi="Symbol" w:hint="default"/>
      </w:rPr>
    </w:lvl>
    <w:lvl w:ilvl="4" w:tplc="07E06142" w:tentative="1">
      <w:start w:val="1"/>
      <w:numFmt w:val="bullet"/>
      <w:lvlText w:val="o"/>
      <w:lvlJc w:val="left"/>
      <w:pPr>
        <w:ind w:left="11066" w:hanging="360"/>
      </w:pPr>
      <w:rPr>
        <w:rFonts w:ascii="Courier New" w:hAnsi="Courier New" w:cs="Courier New" w:hint="default"/>
      </w:rPr>
    </w:lvl>
    <w:lvl w:ilvl="5" w:tplc="75501BB2" w:tentative="1">
      <w:start w:val="1"/>
      <w:numFmt w:val="bullet"/>
      <w:lvlText w:val=""/>
      <w:lvlJc w:val="left"/>
      <w:pPr>
        <w:ind w:left="11786" w:hanging="360"/>
      </w:pPr>
      <w:rPr>
        <w:rFonts w:ascii="Wingdings" w:hAnsi="Wingdings" w:hint="default"/>
      </w:rPr>
    </w:lvl>
    <w:lvl w:ilvl="6" w:tplc="C9508084" w:tentative="1">
      <w:start w:val="1"/>
      <w:numFmt w:val="bullet"/>
      <w:lvlText w:val=""/>
      <w:lvlJc w:val="left"/>
      <w:pPr>
        <w:ind w:left="12506" w:hanging="360"/>
      </w:pPr>
      <w:rPr>
        <w:rFonts w:ascii="Symbol" w:hAnsi="Symbol" w:hint="default"/>
      </w:rPr>
    </w:lvl>
    <w:lvl w:ilvl="7" w:tplc="DAE658FC" w:tentative="1">
      <w:start w:val="1"/>
      <w:numFmt w:val="bullet"/>
      <w:lvlText w:val="o"/>
      <w:lvlJc w:val="left"/>
      <w:pPr>
        <w:ind w:left="13226" w:hanging="360"/>
      </w:pPr>
      <w:rPr>
        <w:rFonts w:ascii="Courier New" w:hAnsi="Courier New" w:cs="Courier New" w:hint="default"/>
      </w:rPr>
    </w:lvl>
    <w:lvl w:ilvl="8" w:tplc="53DA50EC" w:tentative="1">
      <w:start w:val="1"/>
      <w:numFmt w:val="bullet"/>
      <w:lvlText w:val=""/>
      <w:lvlJc w:val="left"/>
      <w:pPr>
        <w:ind w:left="13946" w:hanging="360"/>
      </w:pPr>
      <w:rPr>
        <w:rFonts w:ascii="Wingdings" w:hAnsi="Wingdings" w:hint="default"/>
      </w:rPr>
    </w:lvl>
  </w:abstractNum>
  <w:abstractNum w:abstractNumId="13" w15:restartNumberingAfterBreak="0">
    <w:nsid w:val="6707391C"/>
    <w:multiLevelType w:val="hybridMultilevel"/>
    <w:tmpl w:val="082E355C"/>
    <w:lvl w:ilvl="0" w:tplc="9BE2CBEE">
      <w:start w:val="1"/>
      <w:numFmt w:val="lowerLetter"/>
      <w:lvlText w:val="%1)"/>
      <w:lvlJc w:val="left"/>
      <w:pPr>
        <w:ind w:left="2345" w:hanging="360"/>
      </w:pPr>
    </w:lvl>
    <w:lvl w:ilvl="1" w:tplc="0DDE5D1E">
      <w:start w:val="1"/>
      <w:numFmt w:val="lowerLetter"/>
      <w:lvlText w:val="%2."/>
      <w:lvlJc w:val="left"/>
      <w:pPr>
        <w:ind w:left="3065" w:hanging="360"/>
      </w:pPr>
    </w:lvl>
    <w:lvl w:ilvl="2" w:tplc="BF8A9D04">
      <w:start w:val="1"/>
      <w:numFmt w:val="lowerRoman"/>
      <w:lvlText w:val="%3."/>
      <w:lvlJc w:val="right"/>
      <w:pPr>
        <w:ind w:left="3785" w:hanging="180"/>
      </w:pPr>
    </w:lvl>
    <w:lvl w:ilvl="3" w:tplc="501C94A4">
      <w:start w:val="1"/>
      <w:numFmt w:val="decimal"/>
      <w:lvlText w:val="%4."/>
      <w:lvlJc w:val="left"/>
      <w:pPr>
        <w:ind w:left="4505" w:hanging="360"/>
      </w:pPr>
    </w:lvl>
    <w:lvl w:ilvl="4" w:tplc="DFA2E414">
      <w:start w:val="1"/>
      <w:numFmt w:val="lowerLetter"/>
      <w:lvlText w:val="%5."/>
      <w:lvlJc w:val="left"/>
      <w:pPr>
        <w:ind w:left="5225" w:hanging="360"/>
      </w:pPr>
    </w:lvl>
    <w:lvl w:ilvl="5" w:tplc="76449F7C">
      <w:start w:val="1"/>
      <w:numFmt w:val="lowerRoman"/>
      <w:lvlText w:val="%6."/>
      <w:lvlJc w:val="right"/>
      <w:pPr>
        <w:ind w:left="5945" w:hanging="180"/>
      </w:pPr>
    </w:lvl>
    <w:lvl w:ilvl="6" w:tplc="FB6C097C">
      <w:start w:val="1"/>
      <w:numFmt w:val="decimal"/>
      <w:lvlText w:val="%7."/>
      <w:lvlJc w:val="left"/>
      <w:pPr>
        <w:ind w:left="6665" w:hanging="360"/>
      </w:pPr>
    </w:lvl>
    <w:lvl w:ilvl="7" w:tplc="1848FBCA">
      <w:start w:val="1"/>
      <w:numFmt w:val="lowerLetter"/>
      <w:lvlText w:val="%8."/>
      <w:lvlJc w:val="left"/>
      <w:pPr>
        <w:ind w:left="7385" w:hanging="360"/>
      </w:pPr>
    </w:lvl>
    <w:lvl w:ilvl="8" w:tplc="23E42B5C">
      <w:start w:val="1"/>
      <w:numFmt w:val="lowerRoman"/>
      <w:lvlText w:val="%9."/>
      <w:lvlJc w:val="right"/>
      <w:pPr>
        <w:ind w:left="8105" w:hanging="180"/>
      </w:pPr>
    </w:lvl>
  </w:abstractNum>
  <w:abstractNum w:abstractNumId="14" w15:restartNumberingAfterBreak="0">
    <w:nsid w:val="6B241339"/>
    <w:multiLevelType w:val="hybridMultilevel"/>
    <w:tmpl w:val="6B287FCC"/>
    <w:lvl w:ilvl="0" w:tplc="413648BA">
      <w:start w:val="1"/>
      <w:numFmt w:val="decimal"/>
      <w:lvlText w:val="%1)"/>
      <w:lvlJc w:val="left"/>
      <w:pPr>
        <w:ind w:left="2970" w:hanging="360"/>
      </w:pPr>
      <w:rPr>
        <w:rFonts w:hint="default"/>
      </w:rPr>
    </w:lvl>
    <w:lvl w:ilvl="1" w:tplc="550E94B2" w:tentative="1">
      <w:start w:val="1"/>
      <w:numFmt w:val="lowerLetter"/>
      <w:lvlText w:val="%2."/>
      <w:lvlJc w:val="left"/>
      <w:pPr>
        <w:ind w:left="3690" w:hanging="360"/>
      </w:pPr>
    </w:lvl>
    <w:lvl w:ilvl="2" w:tplc="DC4CED90" w:tentative="1">
      <w:start w:val="1"/>
      <w:numFmt w:val="lowerRoman"/>
      <w:lvlText w:val="%3."/>
      <w:lvlJc w:val="right"/>
      <w:pPr>
        <w:ind w:left="4410" w:hanging="180"/>
      </w:pPr>
    </w:lvl>
    <w:lvl w:ilvl="3" w:tplc="6A2EC714" w:tentative="1">
      <w:start w:val="1"/>
      <w:numFmt w:val="decimal"/>
      <w:lvlText w:val="%4."/>
      <w:lvlJc w:val="left"/>
      <w:pPr>
        <w:ind w:left="5130" w:hanging="360"/>
      </w:pPr>
    </w:lvl>
    <w:lvl w:ilvl="4" w:tplc="0616FA82" w:tentative="1">
      <w:start w:val="1"/>
      <w:numFmt w:val="lowerLetter"/>
      <w:lvlText w:val="%5."/>
      <w:lvlJc w:val="left"/>
      <w:pPr>
        <w:ind w:left="5850" w:hanging="360"/>
      </w:pPr>
    </w:lvl>
    <w:lvl w:ilvl="5" w:tplc="F0DE3452" w:tentative="1">
      <w:start w:val="1"/>
      <w:numFmt w:val="lowerRoman"/>
      <w:lvlText w:val="%6."/>
      <w:lvlJc w:val="right"/>
      <w:pPr>
        <w:ind w:left="6570" w:hanging="180"/>
      </w:pPr>
    </w:lvl>
    <w:lvl w:ilvl="6" w:tplc="A17CA25C" w:tentative="1">
      <w:start w:val="1"/>
      <w:numFmt w:val="decimal"/>
      <w:lvlText w:val="%7."/>
      <w:lvlJc w:val="left"/>
      <w:pPr>
        <w:ind w:left="7290" w:hanging="360"/>
      </w:pPr>
    </w:lvl>
    <w:lvl w:ilvl="7" w:tplc="400C5E5A" w:tentative="1">
      <w:start w:val="1"/>
      <w:numFmt w:val="lowerLetter"/>
      <w:lvlText w:val="%8."/>
      <w:lvlJc w:val="left"/>
      <w:pPr>
        <w:ind w:left="8010" w:hanging="360"/>
      </w:pPr>
    </w:lvl>
    <w:lvl w:ilvl="8" w:tplc="256C200C" w:tentative="1">
      <w:start w:val="1"/>
      <w:numFmt w:val="lowerRoman"/>
      <w:lvlText w:val="%9."/>
      <w:lvlJc w:val="right"/>
      <w:pPr>
        <w:ind w:left="8730" w:hanging="180"/>
      </w:pPr>
    </w:lvl>
  </w:abstractNum>
  <w:abstractNum w:abstractNumId="15" w15:restartNumberingAfterBreak="0">
    <w:nsid w:val="7C91292B"/>
    <w:multiLevelType w:val="hybridMultilevel"/>
    <w:tmpl w:val="AC68A326"/>
    <w:lvl w:ilvl="0" w:tplc="CB5C3048">
      <w:start w:val="2"/>
      <w:numFmt w:val="bullet"/>
      <w:lvlText w:val="–"/>
      <w:lvlJc w:val="left"/>
      <w:pPr>
        <w:ind w:left="2970" w:hanging="360"/>
      </w:pPr>
      <w:rPr>
        <w:rFonts w:ascii="Arial" w:eastAsia="Times New Roman" w:hAnsi="Arial" w:cs="Arial" w:hint="default"/>
        <w:color w:val="auto"/>
      </w:rPr>
    </w:lvl>
    <w:lvl w:ilvl="1" w:tplc="A2DEAB8C" w:tentative="1">
      <w:start w:val="1"/>
      <w:numFmt w:val="bullet"/>
      <w:lvlText w:val="o"/>
      <w:lvlJc w:val="left"/>
      <w:pPr>
        <w:ind w:left="3690" w:hanging="360"/>
      </w:pPr>
      <w:rPr>
        <w:rFonts w:ascii="Courier New" w:hAnsi="Courier New" w:cs="Courier New" w:hint="default"/>
      </w:rPr>
    </w:lvl>
    <w:lvl w:ilvl="2" w:tplc="CF800F56" w:tentative="1">
      <w:start w:val="1"/>
      <w:numFmt w:val="bullet"/>
      <w:lvlText w:val=""/>
      <w:lvlJc w:val="left"/>
      <w:pPr>
        <w:ind w:left="4410" w:hanging="360"/>
      </w:pPr>
      <w:rPr>
        <w:rFonts w:ascii="Wingdings" w:hAnsi="Wingdings" w:hint="default"/>
      </w:rPr>
    </w:lvl>
    <w:lvl w:ilvl="3" w:tplc="C96484EE" w:tentative="1">
      <w:start w:val="1"/>
      <w:numFmt w:val="bullet"/>
      <w:lvlText w:val=""/>
      <w:lvlJc w:val="left"/>
      <w:pPr>
        <w:ind w:left="5130" w:hanging="360"/>
      </w:pPr>
      <w:rPr>
        <w:rFonts w:ascii="Symbol" w:hAnsi="Symbol" w:hint="default"/>
      </w:rPr>
    </w:lvl>
    <w:lvl w:ilvl="4" w:tplc="4330DB5C" w:tentative="1">
      <w:start w:val="1"/>
      <w:numFmt w:val="bullet"/>
      <w:lvlText w:val="o"/>
      <w:lvlJc w:val="left"/>
      <w:pPr>
        <w:ind w:left="5850" w:hanging="360"/>
      </w:pPr>
      <w:rPr>
        <w:rFonts w:ascii="Courier New" w:hAnsi="Courier New" w:cs="Courier New" w:hint="default"/>
      </w:rPr>
    </w:lvl>
    <w:lvl w:ilvl="5" w:tplc="E480A0B4" w:tentative="1">
      <w:start w:val="1"/>
      <w:numFmt w:val="bullet"/>
      <w:lvlText w:val=""/>
      <w:lvlJc w:val="left"/>
      <w:pPr>
        <w:ind w:left="6570" w:hanging="360"/>
      </w:pPr>
      <w:rPr>
        <w:rFonts w:ascii="Wingdings" w:hAnsi="Wingdings" w:hint="default"/>
      </w:rPr>
    </w:lvl>
    <w:lvl w:ilvl="6" w:tplc="84A40CB0" w:tentative="1">
      <w:start w:val="1"/>
      <w:numFmt w:val="bullet"/>
      <w:lvlText w:val=""/>
      <w:lvlJc w:val="left"/>
      <w:pPr>
        <w:ind w:left="7290" w:hanging="360"/>
      </w:pPr>
      <w:rPr>
        <w:rFonts w:ascii="Symbol" w:hAnsi="Symbol" w:hint="default"/>
      </w:rPr>
    </w:lvl>
    <w:lvl w:ilvl="7" w:tplc="36443B74" w:tentative="1">
      <w:start w:val="1"/>
      <w:numFmt w:val="bullet"/>
      <w:lvlText w:val="o"/>
      <w:lvlJc w:val="left"/>
      <w:pPr>
        <w:ind w:left="8010" w:hanging="360"/>
      </w:pPr>
      <w:rPr>
        <w:rFonts w:ascii="Courier New" w:hAnsi="Courier New" w:cs="Courier New" w:hint="default"/>
      </w:rPr>
    </w:lvl>
    <w:lvl w:ilvl="8" w:tplc="55367380" w:tentative="1">
      <w:start w:val="1"/>
      <w:numFmt w:val="bullet"/>
      <w:lvlText w:val=""/>
      <w:lvlJc w:val="left"/>
      <w:pPr>
        <w:ind w:left="8730" w:hanging="360"/>
      </w:pPr>
      <w:rPr>
        <w:rFonts w:ascii="Wingdings" w:hAnsi="Wingdings" w:hint="default"/>
      </w:rPr>
    </w:lvl>
  </w:abstractNum>
  <w:num w:numId="1" w16cid:durableId="1953395526">
    <w:abstractNumId w:val="15"/>
  </w:num>
  <w:num w:numId="2" w16cid:durableId="846670707">
    <w:abstractNumId w:val="12"/>
  </w:num>
  <w:num w:numId="3" w16cid:durableId="137965894">
    <w:abstractNumId w:val="14"/>
  </w:num>
  <w:num w:numId="4" w16cid:durableId="263466557">
    <w:abstractNumId w:val="9"/>
  </w:num>
  <w:num w:numId="5" w16cid:durableId="573858495">
    <w:abstractNumId w:val="7"/>
  </w:num>
  <w:num w:numId="6" w16cid:durableId="186869460">
    <w:abstractNumId w:val="6"/>
  </w:num>
  <w:num w:numId="7" w16cid:durableId="127819746">
    <w:abstractNumId w:val="5"/>
  </w:num>
  <w:num w:numId="8" w16cid:durableId="1268734490">
    <w:abstractNumId w:val="4"/>
  </w:num>
  <w:num w:numId="9" w16cid:durableId="711686969">
    <w:abstractNumId w:val="8"/>
  </w:num>
  <w:num w:numId="10" w16cid:durableId="1049764077">
    <w:abstractNumId w:val="3"/>
  </w:num>
  <w:num w:numId="11" w16cid:durableId="2133788947">
    <w:abstractNumId w:val="2"/>
  </w:num>
  <w:num w:numId="12" w16cid:durableId="1120106003">
    <w:abstractNumId w:val="1"/>
  </w:num>
  <w:num w:numId="13" w16cid:durableId="887765596">
    <w:abstractNumId w:val="0"/>
  </w:num>
  <w:num w:numId="14" w16cid:durableId="1324551372">
    <w:abstractNumId w:val="10"/>
  </w:num>
  <w:num w:numId="15" w16cid:durableId="2285444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202874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1304"/>
  <w:autoHyphenation/>
  <w:hyphenationZone w:val="425"/>
  <w:drawingGridHorizontalSpacing w:val="261"/>
  <w:drawingGridVerticalSpacing w:val="255"/>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4DB"/>
    <w:rsid w:val="000022F9"/>
    <w:rsid w:val="00012D0F"/>
    <w:rsid w:val="000237BC"/>
    <w:rsid w:val="00024EAD"/>
    <w:rsid w:val="0003267D"/>
    <w:rsid w:val="000350B1"/>
    <w:rsid w:val="00051A2C"/>
    <w:rsid w:val="00051DED"/>
    <w:rsid w:val="00053639"/>
    <w:rsid w:val="0008577F"/>
    <w:rsid w:val="00096A9E"/>
    <w:rsid w:val="000978F4"/>
    <w:rsid w:val="000A19AB"/>
    <w:rsid w:val="000A2CF4"/>
    <w:rsid w:val="000A58D8"/>
    <w:rsid w:val="000B4081"/>
    <w:rsid w:val="000C7E92"/>
    <w:rsid w:val="000D7F39"/>
    <w:rsid w:val="000E1A01"/>
    <w:rsid w:val="000F2B93"/>
    <w:rsid w:val="0011457B"/>
    <w:rsid w:val="001164C1"/>
    <w:rsid w:val="001168FA"/>
    <w:rsid w:val="00125C0C"/>
    <w:rsid w:val="001334A5"/>
    <w:rsid w:val="00133F4F"/>
    <w:rsid w:val="001346E8"/>
    <w:rsid w:val="001416BC"/>
    <w:rsid w:val="001424A5"/>
    <w:rsid w:val="00147031"/>
    <w:rsid w:val="00153D18"/>
    <w:rsid w:val="0015528C"/>
    <w:rsid w:val="00155838"/>
    <w:rsid w:val="001628E5"/>
    <w:rsid w:val="0016698D"/>
    <w:rsid w:val="001671AF"/>
    <w:rsid w:val="001735C7"/>
    <w:rsid w:val="0017410C"/>
    <w:rsid w:val="00176927"/>
    <w:rsid w:val="001843A7"/>
    <w:rsid w:val="00187469"/>
    <w:rsid w:val="00194D42"/>
    <w:rsid w:val="00195CF5"/>
    <w:rsid w:val="001974E5"/>
    <w:rsid w:val="00197DF0"/>
    <w:rsid w:val="001A115E"/>
    <w:rsid w:val="001B5715"/>
    <w:rsid w:val="001B7ECD"/>
    <w:rsid w:val="001C1A2C"/>
    <w:rsid w:val="001C1B68"/>
    <w:rsid w:val="001C28DD"/>
    <w:rsid w:val="001C39C6"/>
    <w:rsid w:val="001C55CF"/>
    <w:rsid w:val="001C6965"/>
    <w:rsid w:val="001C7279"/>
    <w:rsid w:val="001D66E4"/>
    <w:rsid w:val="001D7478"/>
    <w:rsid w:val="001E2595"/>
    <w:rsid w:val="001E595E"/>
    <w:rsid w:val="001E6D08"/>
    <w:rsid w:val="001E7590"/>
    <w:rsid w:val="001F79A1"/>
    <w:rsid w:val="0020048E"/>
    <w:rsid w:val="0020713D"/>
    <w:rsid w:val="00212A46"/>
    <w:rsid w:val="00220EA9"/>
    <w:rsid w:val="00221571"/>
    <w:rsid w:val="00223856"/>
    <w:rsid w:val="002300BC"/>
    <w:rsid w:val="00232041"/>
    <w:rsid w:val="0023655B"/>
    <w:rsid w:val="002402A3"/>
    <w:rsid w:val="00246B12"/>
    <w:rsid w:val="00251154"/>
    <w:rsid w:val="0026191C"/>
    <w:rsid w:val="002623F6"/>
    <w:rsid w:val="00271976"/>
    <w:rsid w:val="002804D1"/>
    <w:rsid w:val="0028215E"/>
    <w:rsid w:val="002939B1"/>
    <w:rsid w:val="002950D5"/>
    <w:rsid w:val="002960BC"/>
    <w:rsid w:val="002961F1"/>
    <w:rsid w:val="002A58F9"/>
    <w:rsid w:val="002A70DC"/>
    <w:rsid w:val="002B3F51"/>
    <w:rsid w:val="002B50DC"/>
    <w:rsid w:val="002B66F8"/>
    <w:rsid w:val="002C492D"/>
    <w:rsid w:val="002C4CEE"/>
    <w:rsid w:val="002C4F4D"/>
    <w:rsid w:val="002D550C"/>
    <w:rsid w:val="002D78EE"/>
    <w:rsid w:val="002E2034"/>
    <w:rsid w:val="002E5880"/>
    <w:rsid w:val="002F167E"/>
    <w:rsid w:val="002F3A44"/>
    <w:rsid w:val="002F45EA"/>
    <w:rsid w:val="002F7607"/>
    <w:rsid w:val="003008A2"/>
    <w:rsid w:val="0030515B"/>
    <w:rsid w:val="003118BD"/>
    <w:rsid w:val="003146D6"/>
    <w:rsid w:val="00315685"/>
    <w:rsid w:val="00317B4E"/>
    <w:rsid w:val="00317C57"/>
    <w:rsid w:val="00320312"/>
    <w:rsid w:val="00320965"/>
    <w:rsid w:val="00325B9B"/>
    <w:rsid w:val="00327E99"/>
    <w:rsid w:val="00337C42"/>
    <w:rsid w:val="00340A6D"/>
    <w:rsid w:val="003511E5"/>
    <w:rsid w:val="00355F3A"/>
    <w:rsid w:val="00365FCE"/>
    <w:rsid w:val="00380D39"/>
    <w:rsid w:val="00383CC9"/>
    <w:rsid w:val="00391D14"/>
    <w:rsid w:val="0039381C"/>
    <w:rsid w:val="003A15BD"/>
    <w:rsid w:val="003A2614"/>
    <w:rsid w:val="003A326B"/>
    <w:rsid w:val="003A42D7"/>
    <w:rsid w:val="003C239C"/>
    <w:rsid w:val="003C4458"/>
    <w:rsid w:val="003D2375"/>
    <w:rsid w:val="003D50AE"/>
    <w:rsid w:val="003E5B3C"/>
    <w:rsid w:val="003F17F9"/>
    <w:rsid w:val="00403092"/>
    <w:rsid w:val="004040D7"/>
    <w:rsid w:val="00410E95"/>
    <w:rsid w:val="00411524"/>
    <w:rsid w:val="004137B9"/>
    <w:rsid w:val="00414C40"/>
    <w:rsid w:val="00421355"/>
    <w:rsid w:val="00423640"/>
    <w:rsid w:val="00424A74"/>
    <w:rsid w:val="0044123D"/>
    <w:rsid w:val="00443D90"/>
    <w:rsid w:val="004444DB"/>
    <w:rsid w:val="0044516B"/>
    <w:rsid w:val="004503CF"/>
    <w:rsid w:val="0046142D"/>
    <w:rsid w:val="00461B38"/>
    <w:rsid w:val="00466F09"/>
    <w:rsid w:val="00471FD4"/>
    <w:rsid w:val="0047256E"/>
    <w:rsid w:val="0047327D"/>
    <w:rsid w:val="00496735"/>
    <w:rsid w:val="004B1181"/>
    <w:rsid w:val="004B1C7E"/>
    <w:rsid w:val="004C0401"/>
    <w:rsid w:val="004C58EE"/>
    <w:rsid w:val="004C68DF"/>
    <w:rsid w:val="004C71CD"/>
    <w:rsid w:val="004C7292"/>
    <w:rsid w:val="004D5ABD"/>
    <w:rsid w:val="004E219C"/>
    <w:rsid w:val="004E25C8"/>
    <w:rsid w:val="004E3FA9"/>
    <w:rsid w:val="004F434C"/>
    <w:rsid w:val="004F7DC1"/>
    <w:rsid w:val="0050059F"/>
    <w:rsid w:val="00521B0C"/>
    <w:rsid w:val="005225CD"/>
    <w:rsid w:val="0052284F"/>
    <w:rsid w:val="005247AD"/>
    <w:rsid w:val="005304D6"/>
    <w:rsid w:val="00535930"/>
    <w:rsid w:val="00537663"/>
    <w:rsid w:val="00537CFE"/>
    <w:rsid w:val="0054375F"/>
    <w:rsid w:val="005473A6"/>
    <w:rsid w:val="005632A4"/>
    <w:rsid w:val="00572CC1"/>
    <w:rsid w:val="00577003"/>
    <w:rsid w:val="00585650"/>
    <w:rsid w:val="0058640B"/>
    <w:rsid w:val="005942D6"/>
    <w:rsid w:val="00594E9D"/>
    <w:rsid w:val="005B1FB2"/>
    <w:rsid w:val="005B3FEA"/>
    <w:rsid w:val="005B55C9"/>
    <w:rsid w:val="005B7EB8"/>
    <w:rsid w:val="005C5B72"/>
    <w:rsid w:val="005C693C"/>
    <w:rsid w:val="005C7D85"/>
    <w:rsid w:val="005D3AF2"/>
    <w:rsid w:val="005D597A"/>
    <w:rsid w:val="005E4D62"/>
    <w:rsid w:val="005E54E1"/>
    <w:rsid w:val="005E6055"/>
    <w:rsid w:val="005E687C"/>
    <w:rsid w:val="005F647A"/>
    <w:rsid w:val="00607972"/>
    <w:rsid w:val="00613A4D"/>
    <w:rsid w:val="00631F42"/>
    <w:rsid w:val="00641F9C"/>
    <w:rsid w:val="006430DE"/>
    <w:rsid w:val="00654F8D"/>
    <w:rsid w:val="00660918"/>
    <w:rsid w:val="00661443"/>
    <w:rsid w:val="00661A01"/>
    <w:rsid w:val="0066287C"/>
    <w:rsid w:val="00663ED3"/>
    <w:rsid w:val="00667EEC"/>
    <w:rsid w:val="00674106"/>
    <w:rsid w:val="00675577"/>
    <w:rsid w:val="00686422"/>
    <w:rsid w:val="00686ABA"/>
    <w:rsid w:val="006A07A9"/>
    <w:rsid w:val="006A46C7"/>
    <w:rsid w:val="006A7E8A"/>
    <w:rsid w:val="006C0D43"/>
    <w:rsid w:val="006C2A1D"/>
    <w:rsid w:val="006D20DB"/>
    <w:rsid w:val="006D3675"/>
    <w:rsid w:val="006D71E9"/>
    <w:rsid w:val="006F247F"/>
    <w:rsid w:val="006F63A7"/>
    <w:rsid w:val="006F6DC0"/>
    <w:rsid w:val="006F7B7A"/>
    <w:rsid w:val="00701EC1"/>
    <w:rsid w:val="00702BEC"/>
    <w:rsid w:val="00714C33"/>
    <w:rsid w:val="00717227"/>
    <w:rsid w:val="0072395D"/>
    <w:rsid w:val="00725A30"/>
    <w:rsid w:val="0072672C"/>
    <w:rsid w:val="007272F1"/>
    <w:rsid w:val="0073234C"/>
    <w:rsid w:val="00733341"/>
    <w:rsid w:val="00740468"/>
    <w:rsid w:val="0074466C"/>
    <w:rsid w:val="00750C16"/>
    <w:rsid w:val="0076252E"/>
    <w:rsid w:val="007628DD"/>
    <w:rsid w:val="00782EE3"/>
    <w:rsid w:val="00784735"/>
    <w:rsid w:val="00786080"/>
    <w:rsid w:val="00786BC5"/>
    <w:rsid w:val="007939F2"/>
    <w:rsid w:val="007A3DF9"/>
    <w:rsid w:val="007B50B7"/>
    <w:rsid w:val="007B62C5"/>
    <w:rsid w:val="007D2CFF"/>
    <w:rsid w:val="007D319B"/>
    <w:rsid w:val="007D364B"/>
    <w:rsid w:val="007D480C"/>
    <w:rsid w:val="007E38E8"/>
    <w:rsid w:val="007E4254"/>
    <w:rsid w:val="007E4A52"/>
    <w:rsid w:val="007E545D"/>
    <w:rsid w:val="007F4FD2"/>
    <w:rsid w:val="007F7C0D"/>
    <w:rsid w:val="00805853"/>
    <w:rsid w:val="00810FFF"/>
    <w:rsid w:val="0082412E"/>
    <w:rsid w:val="00832A95"/>
    <w:rsid w:val="00832C09"/>
    <w:rsid w:val="00832D18"/>
    <w:rsid w:val="00837AAD"/>
    <w:rsid w:val="00857B6B"/>
    <w:rsid w:val="00861231"/>
    <w:rsid w:val="00881C1E"/>
    <w:rsid w:val="0088353B"/>
    <w:rsid w:val="008849A7"/>
    <w:rsid w:val="008954AE"/>
    <w:rsid w:val="008A6C2B"/>
    <w:rsid w:val="008B07AC"/>
    <w:rsid w:val="008B197D"/>
    <w:rsid w:val="008B51FF"/>
    <w:rsid w:val="008B7447"/>
    <w:rsid w:val="008C190D"/>
    <w:rsid w:val="008C3F5A"/>
    <w:rsid w:val="008D3946"/>
    <w:rsid w:val="008D641A"/>
    <w:rsid w:val="008D6D9A"/>
    <w:rsid w:val="008D767A"/>
    <w:rsid w:val="008E28FC"/>
    <w:rsid w:val="008E33E2"/>
    <w:rsid w:val="008F0248"/>
    <w:rsid w:val="008F0567"/>
    <w:rsid w:val="00905FB3"/>
    <w:rsid w:val="0091564E"/>
    <w:rsid w:val="009160FD"/>
    <w:rsid w:val="00916115"/>
    <w:rsid w:val="00923C05"/>
    <w:rsid w:val="00937D5B"/>
    <w:rsid w:val="00946943"/>
    <w:rsid w:val="00946F14"/>
    <w:rsid w:val="009470D8"/>
    <w:rsid w:val="009564DF"/>
    <w:rsid w:val="00956F2D"/>
    <w:rsid w:val="00976189"/>
    <w:rsid w:val="00982DFE"/>
    <w:rsid w:val="00992444"/>
    <w:rsid w:val="00993075"/>
    <w:rsid w:val="009A01DF"/>
    <w:rsid w:val="009A09D7"/>
    <w:rsid w:val="009A499F"/>
    <w:rsid w:val="009B1ADC"/>
    <w:rsid w:val="009B2000"/>
    <w:rsid w:val="009C492D"/>
    <w:rsid w:val="009C4A36"/>
    <w:rsid w:val="009C64D4"/>
    <w:rsid w:val="009D060F"/>
    <w:rsid w:val="009D09F4"/>
    <w:rsid w:val="009E763E"/>
    <w:rsid w:val="009F0091"/>
    <w:rsid w:val="009F09E2"/>
    <w:rsid w:val="009F30B9"/>
    <w:rsid w:val="00A039BB"/>
    <w:rsid w:val="00A079B6"/>
    <w:rsid w:val="00A157CA"/>
    <w:rsid w:val="00A24F61"/>
    <w:rsid w:val="00A27DFB"/>
    <w:rsid w:val="00A309A7"/>
    <w:rsid w:val="00A35F64"/>
    <w:rsid w:val="00A36AC3"/>
    <w:rsid w:val="00A47454"/>
    <w:rsid w:val="00A51A68"/>
    <w:rsid w:val="00A524CD"/>
    <w:rsid w:val="00A57076"/>
    <w:rsid w:val="00A57F68"/>
    <w:rsid w:val="00A63520"/>
    <w:rsid w:val="00A64661"/>
    <w:rsid w:val="00A6749F"/>
    <w:rsid w:val="00A67CE7"/>
    <w:rsid w:val="00A67DFF"/>
    <w:rsid w:val="00A702C1"/>
    <w:rsid w:val="00A72BC8"/>
    <w:rsid w:val="00A74091"/>
    <w:rsid w:val="00A741B2"/>
    <w:rsid w:val="00A76597"/>
    <w:rsid w:val="00A7784E"/>
    <w:rsid w:val="00A86D5F"/>
    <w:rsid w:val="00A87851"/>
    <w:rsid w:val="00A94444"/>
    <w:rsid w:val="00AA0470"/>
    <w:rsid w:val="00AB0F5D"/>
    <w:rsid w:val="00AB59AD"/>
    <w:rsid w:val="00AC184D"/>
    <w:rsid w:val="00AC439D"/>
    <w:rsid w:val="00AC5FBF"/>
    <w:rsid w:val="00AC7803"/>
    <w:rsid w:val="00AD467F"/>
    <w:rsid w:val="00AE0968"/>
    <w:rsid w:val="00AE6063"/>
    <w:rsid w:val="00AE615F"/>
    <w:rsid w:val="00AF3584"/>
    <w:rsid w:val="00B07648"/>
    <w:rsid w:val="00B1269F"/>
    <w:rsid w:val="00B12F1B"/>
    <w:rsid w:val="00B13F8E"/>
    <w:rsid w:val="00B146E1"/>
    <w:rsid w:val="00B173AB"/>
    <w:rsid w:val="00B22D0B"/>
    <w:rsid w:val="00B22FD5"/>
    <w:rsid w:val="00B24264"/>
    <w:rsid w:val="00B25B25"/>
    <w:rsid w:val="00B31DEA"/>
    <w:rsid w:val="00B353B3"/>
    <w:rsid w:val="00B5694B"/>
    <w:rsid w:val="00B61FA3"/>
    <w:rsid w:val="00B65189"/>
    <w:rsid w:val="00B77B79"/>
    <w:rsid w:val="00B9174D"/>
    <w:rsid w:val="00B91DA5"/>
    <w:rsid w:val="00BA0A29"/>
    <w:rsid w:val="00BA19F0"/>
    <w:rsid w:val="00BB2A58"/>
    <w:rsid w:val="00BD0619"/>
    <w:rsid w:val="00BD28DE"/>
    <w:rsid w:val="00BE7337"/>
    <w:rsid w:val="00BF56A1"/>
    <w:rsid w:val="00C05325"/>
    <w:rsid w:val="00C05A88"/>
    <w:rsid w:val="00C26EF9"/>
    <w:rsid w:val="00C367A8"/>
    <w:rsid w:val="00C41B53"/>
    <w:rsid w:val="00C43CCA"/>
    <w:rsid w:val="00C44559"/>
    <w:rsid w:val="00C45FAA"/>
    <w:rsid w:val="00C467D0"/>
    <w:rsid w:val="00C47F67"/>
    <w:rsid w:val="00C50D4B"/>
    <w:rsid w:val="00C54811"/>
    <w:rsid w:val="00C6094F"/>
    <w:rsid w:val="00C62C20"/>
    <w:rsid w:val="00C644B4"/>
    <w:rsid w:val="00C64908"/>
    <w:rsid w:val="00C653A6"/>
    <w:rsid w:val="00C6749E"/>
    <w:rsid w:val="00C71B64"/>
    <w:rsid w:val="00C8170C"/>
    <w:rsid w:val="00C81E8E"/>
    <w:rsid w:val="00CA0639"/>
    <w:rsid w:val="00CA37ED"/>
    <w:rsid w:val="00CA70A7"/>
    <w:rsid w:val="00CB56CB"/>
    <w:rsid w:val="00CB6CC6"/>
    <w:rsid w:val="00CC0EE1"/>
    <w:rsid w:val="00CC29D4"/>
    <w:rsid w:val="00CD0DB0"/>
    <w:rsid w:val="00CD72A9"/>
    <w:rsid w:val="00CE2B9A"/>
    <w:rsid w:val="00CE3F4A"/>
    <w:rsid w:val="00CE3F89"/>
    <w:rsid w:val="00CF2FB4"/>
    <w:rsid w:val="00CF34D1"/>
    <w:rsid w:val="00CF5BFE"/>
    <w:rsid w:val="00CF64FE"/>
    <w:rsid w:val="00D001A4"/>
    <w:rsid w:val="00D0617F"/>
    <w:rsid w:val="00D071E7"/>
    <w:rsid w:val="00D113E4"/>
    <w:rsid w:val="00D11F62"/>
    <w:rsid w:val="00D159E2"/>
    <w:rsid w:val="00D21F45"/>
    <w:rsid w:val="00D2211B"/>
    <w:rsid w:val="00D2329E"/>
    <w:rsid w:val="00D32969"/>
    <w:rsid w:val="00D32AB5"/>
    <w:rsid w:val="00D3458C"/>
    <w:rsid w:val="00D35D42"/>
    <w:rsid w:val="00D41772"/>
    <w:rsid w:val="00D54DE5"/>
    <w:rsid w:val="00D56BB9"/>
    <w:rsid w:val="00D635C6"/>
    <w:rsid w:val="00D70BFA"/>
    <w:rsid w:val="00D74C1B"/>
    <w:rsid w:val="00D76D3E"/>
    <w:rsid w:val="00D801B9"/>
    <w:rsid w:val="00D84ED8"/>
    <w:rsid w:val="00D8557A"/>
    <w:rsid w:val="00D876FE"/>
    <w:rsid w:val="00D923B0"/>
    <w:rsid w:val="00D95D6C"/>
    <w:rsid w:val="00DA6A4C"/>
    <w:rsid w:val="00DB0171"/>
    <w:rsid w:val="00DB09C4"/>
    <w:rsid w:val="00DB58FF"/>
    <w:rsid w:val="00DD7B7C"/>
    <w:rsid w:val="00DE308E"/>
    <w:rsid w:val="00DE5D43"/>
    <w:rsid w:val="00DF56EC"/>
    <w:rsid w:val="00DF6E1A"/>
    <w:rsid w:val="00E122CE"/>
    <w:rsid w:val="00E12586"/>
    <w:rsid w:val="00E13051"/>
    <w:rsid w:val="00E17943"/>
    <w:rsid w:val="00E24E91"/>
    <w:rsid w:val="00E36654"/>
    <w:rsid w:val="00E4043C"/>
    <w:rsid w:val="00E42A52"/>
    <w:rsid w:val="00E42B72"/>
    <w:rsid w:val="00E460D9"/>
    <w:rsid w:val="00E53E6D"/>
    <w:rsid w:val="00E56448"/>
    <w:rsid w:val="00E61F53"/>
    <w:rsid w:val="00E65DED"/>
    <w:rsid w:val="00E67A60"/>
    <w:rsid w:val="00E715BF"/>
    <w:rsid w:val="00E72BA8"/>
    <w:rsid w:val="00E84FCE"/>
    <w:rsid w:val="00E86780"/>
    <w:rsid w:val="00E873D8"/>
    <w:rsid w:val="00E90975"/>
    <w:rsid w:val="00EA2346"/>
    <w:rsid w:val="00EA40EC"/>
    <w:rsid w:val="00EA57BC"/>
    <w:rsid w:val="00EB04F3"/>
    <w:rsid w:val="00EB1D4C"/>
    <w:rsid w:val="00EB229F"/>
    <w:rsid w:val="00EB2B4C"/>
    <w:rsid w:val="00EC1D3B"/>
    <w:rsid w:val="00EC1F57"/>
    <w:rsid w:val="00ED58D5"/>
    <w:rsid w:val="00ED6193"/>
    <w:rsid w:val="00ED7DB2"/>
    <w:rsid w:val="00EE3A5D"/>
    <w:rsid w:val="00F07534"/>
    <w:rsid w:val="00F153AF"/>
    <w:rsid w:val="00F21175"/>
    <w:rsid w:val="00F222EC"/>
    <w:rsid w:val="00F30C4F"/>
    <w:rsid w:val="00F332E6"/>
    <w:rsid w:val="00F47EBA"/>
    <w:rsid w:val="00F47F75"/>
    <w:rsid w:val="00F534E3"/>
    <w:rsid w:val="00F53AC1"/>
    <w:rsid w:val="00F63F5E"/>
    <w:rsid w:val="00F67008"/>
    <w:rsid w:val="00F8475D"/>
    <w:rsid w:val="00F8786A"/>
    <w:rsid w:val="00F91469"/>
    <w:rsid w:val="00F97A10"/>
    <w:rsid w:val="00FC0AC3"/>
    <w:rsid w:val="00FC11B3"/>
    <w:rsid w:val="00FC37D2"/>
    <w:rsid w:val="00FC61D4"/>
    <w:rsid w:val="00FD25BF"/>
    <w:rsid w:val="00FD5C7B"/>
    <w:rsid w:val="00FE0BF0"/>
    <w:rsid w:val="00FE1D22"/>
    <w:rsid w:val="00FE51F3"/>
    <w:rsid w:val="00FF4490"/>
    <w:rsid w:val="00FF64DA"/>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7738E8"/>
  <w15:docId w15:val="{101C0402-6623-40EB-9016-970F6AAA0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i-FI" w:eastAsia="fi-FI"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rsid w:val="009C4A36"/>
    <w:pPr>
      <w:widowControl w:val="0"/>
      <w:autoSpaceDE w:val="0"/>
      <w:autoSpaceDN w:val="0"/>
      <w:adjustRightInd w:val="0"/>
    </w:pPr>
    <w:rPr>
      <w:sz w:val="24"/>
      <w:szCs w:val="24"/>
      <w:lang w:val="en-GB"/>
    </w:rPr>
  </w:style>
  <w:style w:type="paragraph" w:styleId="Heading1">
    <w:name w:val="heading 1"/>
    <w:basedOn w:val="Normal"/>
    <w:next w:val="Leip"/>
    <w:qFormat/>
    <w:rsid w:val="00F67008"/>
    <w:pPr>
      <w:keepNext/>
      <w:suppressAutoHyphens/>
      <w:spacing w:before="360" w:after="240" w:line="259" w:lineRule="auto"/>
      <w:outlineLvl w:val="0"/>
    </w:pPr>
    <w:rPr>
      <w:rFonts w:ascii="Arial" w:hAnsi="Arial" w:cs="Arial"/>
      <w:b/>
      <w:bCs/>
      <w:caps/>
      <w:kern w:val="32"/>
      <w:sz w:val="28"/>
      <w:szCs w:val="32"/>
      <w:lang w:val="fi-FI"/>
    </w:rPr>
  </w:style>
  <w:style w:type="paragraph" w:styleId="Heading2">
    <w:name w:val="heading 2"/>
    <w:basedOn w:val="Normal"/>
    <w:next w:val="Leip"/>
    <w:qFormat/>
    <w:rsid w:val="00F67008"/>
    <w:pPr>
      <w:numPr>
        <w:numId w:val="14"/>
      </w:numPr>
      <w:suppressAutoHyphens/>
      <w:spacing w:before="240" w:after="240" w:line="259" w:lineRule="auto"/>
      <w:ind w:left="397" w:hanging="397"/>
      <w:outlineLvl w:val="1"/>
    </w:pPr>
    <w:rPr>
      <w:rFonts w:ascii="Arial" w:hAnsi="Arial" w:cs="Arial"/>
      <w:b/>
      <w:bCs/>
      <w:caps/>
      <w:lang w:val="fi-FI"/>
    </w:rPr>
  </w:style>
  <w:style w:type="paragraph" w:styleId="Heading3">
    <w:name w:val="heading 3"/>
    <w:basedOn w:val="Normal"/>
    <w:next w:val="Leip"/>
    <w:qFormat/>
    <w:rsid w:val="00F67008"/>
    <w:pPr>
      <w:numPr>
        <w:ilvl w:val="1"/>
        <w:numId w:val="14"/>
      </w:numPr>
      <w:tabs>
        <w:tab w:val="left" w:pos="567"/>
      </w:tabs>
      <w:suppressAutoHyphens/>
      <w:spacing w:after="240" w:line="259" w:lineRule="auto"/>
      <w:ind w:left="567" w:hanging="625"/>
      <w:outlineLvl w:val="2"/>
    </w:pPr>
    <w:rPr>
      <w:rFonts w:ascii="Arial" w:hAnsi="Arial" w:cs="Arial"/>
      <w:b/>
      <w:bCs/>
      <w:lang w:val="fi-FI"/>
    </w:rPr>
  </w:style>
  <w:style w:type="paragraph" w:styleId="Heading4">
    <w:name w:val="heading 4"/>
    <w:basedOn w:val="Normal"/>
    <w:next w:val="Leip"/>
    <w:qFormat/>
    <w:rsid w:val="00F67008"/>
    <w:pPr>
      <w:numPr>
        <w:ilvl w:val="2"/>
        <w:numId w:val="14"/>
      </w:numPr>
      <w:suppressAutoHyphens/>
      <w:spacing w:before="240" w:after="240" w:line="259" w:lineRule="auto"/>
      <w:ind w:left="851" w:hanging="851"/>
      <w:outlineLvl w:val="3"/>
    </w:pPr>
    <w:rPr>
      <w:rFonts w:ascii="Arial" w:hAnsi="Arial" w:cs="Arial"/>
      <w:lang w:val="fi-FI"/>
    </w:rPr>
  </w:style>
  <w:style w:type="paragraph" w:styleId="Heading5">
    <w:name w:val="heading 5"/>
    <w:basedOn w:val="Normal"/>
    <w:next w:val="Leip"/>
    <w:qFormat/>
    <w:rsid w:val="006C0D43"/>
    <w:pPr>
      <w:suppressAutoHyphens/>
      <w:spacing w:before="240" w:after="240" w:line="259" w:lineRule="auto"/>
      <w:outlineLvl w:val="4"/>
    </w:pPr>
    <w:rPr>
      <w:rFonts w:ascii="Arial" w:hAnsi="Arial" w:cs="Arial"/>
      <w:lang w:val="fi-FI"/>
    </w:rPr>
  </w:style>
  <w:style w:type="paragraph" w:styleId="Heading6">
    <w:name w:val="heading 6"/>
    <w:basedOn w:val="Normal"/>
    <w:next w:val="Leip"/>
    <w:link w:val="Heading6Char"/>
    <w:unhideWhenUsed/>
    <w:qFormat/>
    <w:rsid w:val="00A87851"/>
    <w:pPr>
      <w:suppressAutoHyphens/>
      <w:spacing w:before="240" w:after="240" w:line="259" w:lineRule="auto"/>
      <w:ind w:left="851"/>
      <w:outlineLvl w:val="5"/>
    </w:pPr>
    <w:rPr>
      <w:rFonts w:ascii="Arial" w:eastAsiaTheme="majorEastAsia" w:hAnsi="Arial"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ip">
    <w:name w:val="Leipä"/>
    <w:basedOn w:val="Normal"/>
    <w:qFormat/>
    <w:rsid w:val="004E25C8"/>
    <w:pPr>
      <w:widowControl/>
      <w:tabs>
        <w:tab w:val="left" w:pos="2608"/>
      </w:tabs>
      <w:suppressAutoHyphens/>
      <w:spacing w:after="240" w:line="264" w:lineRule="auto"/>
      <w:ind w:left="1985"/>
    </w:pPr>
    <w:rPr>
      <w:rFonts w:ascii="Arial" w:hAnsi="Arial"/>
    </w:rPr>
  </w:style>
  <w:style w:type="paragraph" w:styleId="Title">
    <w:name w:val="Title"/>
    <w:basedOn w:val="Normal"/>
    <w:rsid w:val="007D2CFF"/>
    <w:pPr>
      <w:spacing w:before="240" w:after="60"/>
      <w:jc w:val="center"/>
      <w:outlineLvl w:val="0"/>
    </w:pPr>
    <w:rPr>
      <w:rFonts w:cs="Arial"/>
      <w:b/>
      <w:bCs/>
      <w:kern w:val="28"/>
      <w:sz w:val="32"/>
      <w:szCs w:val="32"/>
    </w:rPr>
  </w:style>
  <w:style w:type="paragraph" w:styleId="Header">
    <w:name w:val="header"/>
    <w:basedOn w:val="Normal"/>
    <w:link w:val="HeaderChar"/>
    <w:uiPriority w:val="99"/>
    <w:rsid w:val="007D2CFF"/>
    <w:pPr>
      <w:tabs>
        <w:tab w:val="left" w:pos="5216"/>
        <w:tab w:val="left" w:pos="7825"/>
        <w:tab w:val="left" w:pos="9129"/>
      </w:tabs>
    </w:pPr>
  </w:style>
  <w:style w:type="paragraph" w:styleId="Footer">
    <w:name w:val="footer"/>
    <w:basedOn w:val="Normal"/>
    <w:link w:val="FooterChar"/>
    <w:uiPriority w:val="99"/>
    <w:rsid w:val="007D2CFF"/>
    <w:pPr>
      <w:tabs>
        <w:tab w:val="left" w:pos="2608"/>
        <w:tab w:val="left" w:pos="5216"/>
        <w:tab w:val="left" w:pos="6521"/>
        <w:tab w:val="left" w:pos="7825"/>
      </w:tabs>
    </w:pPr>
  </w:style>
  <w:style w:type="character" w:styleId="Hyperlink">
    <w:name w:val="Hyperlink"/>
    <w:rsid w:val="00A702C1"/>
    <w:rPr>
      <w:color w:val="0000FF"/>
      <w:u w:val="single"/>
    </w:rPr>
  </w:style>
  <w:style w:type="character" w:styleId="PageNumber">
    <w:name w:val="page number"/>
    <w:basedOn w:val="DefaultParagraphFont"/>
    <w:rsid w:val="0091564E"/>
  </w:style>
  <w:style w:type="paragraph" w:styleId="NormalWeb">
    <w:name w:val="Normal (Web)"/>
    <w:basedOn w:val="Normal"/>
    <w:rsid w:val="00410E95"/>
    <w:pPr>
      <w:widowControl/>
      <w:autoSpaceDE/>
      <w:autoSpaceDN/>
      <w:adjustRightInd/>
      <w:spacing w:before="100" w:beforeAutospacing="1" w:after="100" w:afterAutospacing="1"/>
    </w:pPr>
    <w:rPr>
      <w:rFonts w:ascii="Verdana" w:hAnsi="Verdana"/>
      <w:color w:val="000000"/>
      <w:sz w:val="20"/>
      <w:szCs w:val="20"/>
      <w:lang w:val="fi-FI"/>
    </w:rPr>
  </w:style>
  <w:style w:type="paragraph" w:styleId="BalloonText">
    <w:name w:val="Balloon Text"/>
    <w:basedOn w:val="Normal"/>
    <w:link w:val="BalloonTextChar"/>
    <w:rsid w:val="00B25B25"/>
    <w:rPr>
      <w:rFonts w:ascii="Tahoma" w:hAnsi="Tahoma" w:cs="Tahoma"/>
      <w:sz w:val="16"/>
      <w:szCs w:val="16"/>
    </w:rPr>
  </w:style>
  <w:style w:type="character" w:customStyle="1" w:styleId="BalloonTextChar">
    <w:name w:val="Balloon Text Char"/>
    <w:link w:val="BalloonText"/>
    <w:rsid w:val="00B25B25"/>
    <w:rPr>
      <w:rFonts w:ascii="Tahoma" w:hAnsi="Tahoma" w:cs="Tahoma"/>
      <w:sz w:val="16"/>
      <w:szCs w:val="16"/>
      <w:lang w:val="en-US"/>
    </w:rPr>
  </w:style>
  <w:style w:type="character" w:customStyle="1" w:styleId="FooterChar">
    <w:name w:val="Footer Char"/>
    <w:link w:val="Footer"/>
    <w:uiPriority w:val="99"/>
    <w:rsid w:val="00380D39"/>
    <w:rPr>
      <w:sz w:val="24"/>
      <w:szCs w:val="24"/>
      <w:lang w:val="en-US"/>
    </w:rPr>
  </w:style>
  <w:style w:type="character" w:customStyle="1" w:styleId="HeaderChar">
    <w:name w:val="Header Char"/>
    <w:link w:val="Header"/>
    <w:uiPriority w:val="99"/>
    <w:rsid w:val="00232041"/>
    <w:rPr>
      <w:sz w:val="24"/>
      <w:szCs w:val="24"/>
      <w:lang w:val="en-US"/>
    </w:rPr>
  </w:style>
  <w:style w:type="paragraph" w:customStyle="1" w:styleId="py">
    <w:name w:val="py"/>
    <w:basedOn w:val="Normal"/>
    <w:rsid w:val="00D876FE"/>
    <w:pPr>
      <w:widowControl/>
      <w:autoSpaceDE/>
      <w:autoSpaceDN/>
      <w:adjustRightInd/>
      <w:spacing w:before="100" w:beforeAutospacing="1" w:after="100" w:afterAutospacing="1"/>
    </w:pPr>
    <w:rPr>
      <w:lang w:val="fi-FI"/>
    </w:rPr>
  </w:style>
  <w:style w:type="paragraph" w:styleId="HTMLPreformatted">
    <w:name w:val="HTML Preformatted"/>
    <w:basedOn w:val="Normal"/>
    <w:link w:val="HTMLPreformattedChar"/>
    <w:uiPriority w:val="99"/>
    <w:unhideWhenUsed/>
    <w:rsid w:val="008E3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val="fi-FI"/>
    </w:rPr>
  </w:style>
  <w:style w:type="character" w:customStyle="1" w:styleId="HTMLPreformattedChar">
    <w:name w:val="HTML Preformatted Char"/>
    <w:link w:val="HTMLPreformatted"/>
    <w:uiPriority w:val="99"/>
    <w:rsid w:val="008E33E2"/>
    <w:rPr>
      <w:rFonts w:ascii="Courier New" w:hAnsi="Courier New" w:cs="Courier New"/>
    </w:rPr>
  </w:style>
  <w:style w:type="character" w:styleId="PlaceholderText">
    <w:name w:val="Placeholder Text"/>
    <w:basedOn w:val="DefaultParagraphFont"/>
    <w:uiPriority w:val="99"/>
    <w:semiHidden/>
    <w:rsid w:val="003008A2"/>
    <w:rPr>
      <w:color w:val="808080"/>
    </w:rPr>
  </w:style>
  <w:style w:type="table" w:styleId="TableGrid">
    <w:name w:val="Table Grid"/>
    <w:basedOn w:val="TableNormal"/>
    <w:rsid w:val="00DE5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0D43"/>
    <w:pPr>
      <w:numPr>
        <w:numId w:val="2"/>
      </w:numPr>
      <w:tabs>
        <w:tab w:val="left" w:pos="2608"/>
        <w:tab w:val="left" w:pos="2892"/>
      </w:tabs>
      <w:suppressAutoHyphens/>
      <w:spacing w:after="120"/>
      <w:ind w:left="2353" w:hanging="312"/>
    </w:pPr>
    <w:rPr>
      <w:rFonts w:ascii="Arial" w:hAnsi="Arial" w:cs="Arial"/>
      <w:bCs/>
      <w:lang w:val="fi-FI"/>
    </w:rPr>
  </w:style>
  <w:style w:type="paragraph" w:customStyle="1" w:styleId="Leipsisennetty">
    <w:name w:val="Leipä sisennetty"/>
    <w:basedOn w:val="Leip"/>
    <w:qFormat/>
    <w:rsid w:val="006C0D43"/>
    <w:pPr>
      <w:ind w:left="2608"/>
    </w:pPr>
    <w:rPr>
      <w:sz w:val="22"/>
      <w:lang w:val="fi-FI"/>
    </w:rPr>
  </w:style>
  <w:style w:type="character" w:customStyle="1" w:styleId="Heading6Char">
    <w:name w:val="Heading 6 Char"/>
    <w:basedOn w:val="DefaultParagraphFont"/>
    <w:link w:val="Heading6"/>
    <w:rsid w:val="00A87851"/>
    <w:rPr>
      <w:rFonts w:ascii="Arial" w:eastAsiaTheme="majorEastAsia" w:hAnsi="Arial" w:cstheme="majorBidi"/>
      <w:sz w:val="24"/>
      <w:szCs w:val="24"/>
      <w:lang w:val="en-US"/>
    </w:rPr>
  </w:style>
  <w:style w:type="paragraph" w:customStyle="1" w:styleId="TyyliOtsikko6">
    <w:name w:val="Tyyli Otsikko 6"/>
    <w:basedOn w:val="Heading6"/>
    <w:rsid w:val="00053639"/>
  </w:style>
  <w:style w:type="paragraph" w:styleId="FootnoteText">
    <w:name w:val="footnote text"/>
    <w:basedOn w:val="Normal"/>
    <w:link w:val="FootnoteTextChar"/>
    <w:unhideWhenUsed/>
    <w:qFormat/>
    <w:rsid w:val="00FE0BF0"/>
    <w:pPr>
      <w:suppressAutoHyphens/>
    </w:pPr>
    <w:rPr>
      <w:rFonts w:ascii="Arial" w:hAnsi="Arial" w:cs="Arial"/>
      <w:sz w:val="20"/>
      <w:szCs w:val="20"/>
      <w:lang w:val="fi-FI"/>
    </w:rPr>
  </w:style>
  <w:style w:type="character" w:customStyle="1" w:styleId="FootnoteTextChar">
    <w:name w:val="Footnote Text Char"/>
    <w:basedOn w:val="DefaultParagraphFont"/>
    <w:link w:val="FootnoteText"/>
    <w:rsid w:val="00FE0BF0"/>
    <w:rPr>
      <w:rFonts w:ascii="Arial" w:hAnsi="Arial" w:cs="Arial"/>
    </w:rPr>
  </w:style>
  <w:style w:type="character" w:styleId="FootnoteReference">
    <w:name w:val="footnote reference"/>
    <w:basedOn w:val="DefaultParagraphFont"/>
    <w:unhideWhenUsed/>
    <w:qFormat/>
    <w:rsid w:val="00053639"/>
    <w:rPr>
      <w:rFonts w:ascii="Arial" w:hAnsi="Arial" w:cs="Arial"/>
      <w:sz w:val="24"/>
      <w:szCs w:val="24"/>
      <w:vertAlign w:val="superscript"/>
    </w:rPr>
  </w:style>
  <w:style w:type="character" w:customStyle="1" w:styleId="Ratkaisematonmaininta1">
    <w:name w:val="Ratkaisematon maininta1"/>
    <w:basedOn w:val="DefaultParagraphFont"/>
    <w:uiPriority w:val="99"/>
    <w:semiHidden/>
    <w:unhideWhenUsed/>
    <w:rsid w:val="00FF44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ohchr-cat@un.org"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isa.suhonen\AppData\Local\Microsoft\Windows\INetCache\Content.MSO\35955947.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5B0AEED62AB4DE5A71F315FE0AED029"/>
        <w:category>
          <w:name w:val="Yleiset"/>
          <w:gallery w:val="placeholder"/>
        </w:category>
        <w:types>
          <w:type w:val="bbPlcHdr"/>
        </w:types>
        <w:behaviors>
          <w:behavior w:val="content"/>
        </w:behaviors>
        <w:guid w:val="{83BC8FAF-7CAC-426E-B64A-CB4304021D94}"/>
      </w:docPartPr>
      <w:docPartBody>
        <w:p w:rsidR="00AE6063" w:rsidRDefault="004519C7" w:rsidP="00AE6063">
          <w:pPr>
            <w:pStyle w:val="35B0AEED62AB4DE5A71F315FE0AED029"/>
          </w:pPr>
          <w:r>
            <w:rPr>
              <w:rStyle w:val="PlaceholderText"/>
            </w:rPr>
            <w:t>Kirjoita päivämäärä napsauttamalla tai napauttamalla tätä.</w:t>
          </w:r>
        </w:p>
      </w:docPartBody>
    </w:docPart>
    <w:docPart>
      <w:docPartPr>
        <w:name w:val="2C4C3CC1D7204FE3A799883EF740675C"/>
        <w:category>
          <w:name w:val="Yleiset"/>
          <w:gallery w:val="placeholder"/>
        </w:category>
        <w:types>
          <w:type w:val="bbPlcHdr"/>
        </w:types>
        <w:behaviors>
          <w:behavior w:val="content"/>
        </w:behaviors>
        <w:guid w:val="{5E2CE8AD-6C49-4A17-B8A1-8A4B1B455E8B}"/>
      </w:docPartPr>
      <w:docPartBody>
        <w:p w:rsidR="00AE6063" w:rsidRDefault="004519C7" w:rsidP="00AE6063">
          <w:pPr>
            <w:pStyle w:val="2C4C3CC1D7204FE3A799883EF740675C"/>
          </w:pPr>
          <w:r>
            <w:t>Valitse nimike</w:t>
          </w:r>
        </w:p>
      </w:docPartBody>
    </w:docPart>
    <w:docPart>
      <w:docPartPr>
        <w:name w:val="6A933889FC044051AEDED2D78B81408E"/>
        <w:category>
          <w:name w:val="Yleiset"/>
          <w:gallery w:val="placeholder"/>
        </w:category>
        <w:types>
          <w:type w:val="bbPlcHdr"/>
        </w:types>
        <w:behaviors>
          <w:behavior w:val="content"/>
        </w:behaviors>
        <w:guid w:val="{6CB6B4AB-F302-4052-B6FE-4B057CE650F8}"/>
      </w:docPartPr>
      <w:docPartBody>
        <w:p w:rsidR="00AE6063" w:rsidRDefault="004519C7" w:rsidP="00AE6063">
          <w:pPr>
            <w:pStyle w:val="6A933889FC044051AEDED2D78B81408E"/>
          </w:pPr>
          <w:r>
            <w:t>Valitse ratkaisija</w:t>
          </w:r>
        </w:p>
      </w:docPartBody>
    </w:docPart>
    <w:docPart>
      <w:docPartPr>
        <w:name w:val="64151206DB92493DB7B8738F3CB998B1"/>
        <w:category>
          <w:name w:val="Yleiset"/>
          <w:gallery w:val="placeholder"/>
        </w:category>
        <w:types>
          <w:type w:val="bbPlcHdr"/>
        </w:types>
        <w:behaviors>
          <w:behavior w:val="content"/>
        </w:behaviors>
        <w:guid w:val="{F37D8F0C-8F79-4E0E-8D54-03DA47427ABB}"/>
      </w:docPartPr>
      <w:docPartBody>
        <w:p w:rsidR="00AE6063" w:rsidRDefault="004519C7" w:rsidP="00AE6063">
          <w:pPr>
            <w:pStyle w:val="64151206DB92493DB7B8738F3CB998B1"/>
          </w:pPr>
          <w:r>
            <w:t>Valitse nimike</w:t>
          </w:r>
        </w:p>
      </w:docPartBody>
    </w:docPart>
    <w:docPart>
      <w:docPartPr>
        <w:name w:val="8BE69D5F07364B30BDB1EA851333DC72"/>
        <w:category>
          <w:name w:val="Yleiset"/>
          <w:gallery w:val="placeholder"/>
        </w:category>
        <w:types>
          <w:type w:val="bbPlcHdr"/>
        </w:types>
        <w:behaviors>
          <w:behavior w:val="content"/>
        </w:behaviors>
        <w:guid w:val="{EB566379-C66F-48CD-BB13-7B2D1B4C9CFB}"/>
      </w:docPartPr>
      <w:docPartBody>
        <w:p w:rsidR="00AE6063" w:rsidRDefault="004519C7" w:rsidP="00AE6063">
          <w:pPr>
            <w:pStyle w:val="8BE69D5F07364B30BDB1EA851333DC72"/>
          </w:pPr>
          <w:r>
            <w:rPr>
              <w:rStyle w:val="PlaceholderText"/>
            </w:rPr>
            <w:t>Kirjoita tekstiä napsauttamalla tai napauttamalla tätä.</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355"/>
    <w:rsid w:val="00383CC9"/>
    <w:rsid w:val="00421355"/>
    <w:rsid w:val="004519C7"/>
    <w:rsid w:val="00AE6063"/>
    <w:rsid w:val="00CC0310"/>
    <w:rsid w:val="00E3761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E6063"/>
  </w:style>
  <w:style w:type="paragraph" w:customStyle="1" w:styleId="35B0AEED62AB4DE5A71F315FE0AED029">
    <w:name w:val="35B0AEED62AB4DE5A71F315FE0AED029"/>
    <w:rsid w:val="00AE6063"/>
    <w:pPr>
      <w:spacing w:line="278" w:lineRule="auto"/>
    </w:pPr>
    <w:rPr>
      <w:kern w:val="2"/>
      <w:sz w:val="24"/>
      <w:szCs w:val="24"/>
      <w14:ligatures w14:val="standardContextual"/>
    </w:rPr>
  </w:style>
  <w:style w:type="paragraph" w:customStyle="1" w:styleId="2C4C3CC1D7204FE3A799883EF740675C">
    <w:name w:val="2C4C3CC1D7204FE3A799883EF740675C"/>
    <w:rsid w:val="00AE6063"/>
    <w:pPr>
      <w:spacing w:line="278" w:lineRule="auto"/>
    </w:pPr>
    <w:rPr>
      <w:kern w:val="2"/>
      <w:sz w:val="24"/>
      <w:szCs w:val="24"/>
      <w14:ligatures w14:val="standardContextual"/>
    </w:rPr>
  </w:style>
  <w:style w:type="paragraph" w:customStyle="1" w:styleId="6A933889FC044051AEDED2D78B81408E">
    <w:name w:val="6A933889FC044051AEDED2D78B81408E"/>
    <w:rsid w:val="00AE6063"/>
    <w:pPr>
      <w:spacing w:line="278" w:lineRule="auto"/>
    </w:pPr>
    <w:rPr>
      <w:kern w:val="2"/>
      <w:sz w:val="24"/>
      <w:szCs w:val="24"/>
      <w14:ligatures w14:val="standardContextual"/>
    </w:rPr>
  </w:style>
  <w:style w:type="paragraph" w:customStyle="1" w:styleId="64151206DB92493DB7B8738F3CB998B1">
    <w:name w:val="64151206DB92493DB7B8738F3CB998B1"/>
    <w:rsid w:val="00AE6063"/>
    <w:pPr>
      <w:spacing w:line="278" w:lineRule="auto"/>
    </w:pPr>
    <w:rPr>
      <w:kern w:val="2"/>
      <w:sz w:val="24"/>
      <w:szCs w:val="24"/>
      <w14:ligatures w14:val="standardContextual"/>
    </w:rPr>
  </w:style>
  <w:style w:type="paragraph" w:customStyle="1" w:styleId="8BE69D5F07364B30BDB1EA851333DC72">
    <w:name w:val="8BE69D5F07364B30BDB1EA851333DC72"/>
    <w:rsid w:val="00AE606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bs:GrowBusinessDocument xmlns:gbs="http://www.software-innovation.no/growBusinessDocument" gbs:officeVersion="2007" gbs:sourceId="" gbs:entity="Document" gbs:templateDesignerVersion="3.1 F">
  <gbs:Lists>
    <gbs:SingleLines>
      <gbs:ToCase.ToCaseContact gbs:name="kantelunkohdelista" gbs:removeList="False" gbs:loadFromGrowBusiness="OnEdit" gbs:saveInGrowBusiness="False" gbs:removeContentControl="0" gbs:field-separator=" ">
        <gbs:DisplayField gbs:key="296114253"/>
        <gbs:ToCase.ToCaseContact.Name/>
        <gbs:ToCase.ToCaseContact.Name2/>
        <gbs:Criteria xmlns:gbs="http://www.software-innovation.no/growBusinessDocument" gbs:operator="and">
          <gbs:Criterion gbs:field="::ToRole" gbs:operator="=">100002</gbs:Criterion>
        </gbs:Criteria>
      </gbs:ToCase.ToCaseContact>
    </gbs:SingleLines>
    <gbs:MultipleLines>
      <gbs:ToCase.ToCaseContact gbs:name="Esittelijalista" gbs:removeList="False" gbs:loadFromGrowBusiness="OnEdit" gbs:saveInGrowBusiness="False" gbs:entity="CaseContact">
        <gbs:MultipleLineID gbs:metaName="ToCase.ToCaseContact.Recno">
          <gbs:value gbs:id="1"/>
        </gbs:MultipleLineID>
        <gbs:Criteria xmlns:gbs="http://www.software-innovation.no/growBusinessDocument" gbs:operator="and">
          <gbs:Criterion gbs:field="::ToRole" gbs:operator="=">100008</gbs:Criterion>
        </gbs:Criteria>
        <gbs:ToCase.ToCaseContact.ToContactperson.Title>
          <gbs:value gbs:key="2496906326" gbs:id="1" gbs:loadFromGrowBusiness="OnEdit" gbs:saveInGrowBusiness="False" gbs:recno="" gbs:entity="" gbs:datatype="string" gbs:removeContentControl="0"/>
        </gbs:ToCase.ToCaseContact.ToContactperson.Title>
        <gbs:ToCase.ToCaseContact.ToContactperson.Name>
          <gbs:value gbs:key="2109311250" gbs:id="1" gbs:loadFromGrowBusiness="OnEdit" gbs:saveInGrowBusiness="False" gbs:recno="" gbs:entity="" gbs:datatype="string" gbs:removeContentControl="0"/>
        </gbs:ToCase.ToCaseContact.ToContactperson.Name>
      </gbs:ToCase.ToCaseContact>
      <gbs:ToCase.ToCaseContact gbs:name="Ratkaisijalista" gbs:removeList="False" gbs:loadFromGrowBusiness="OnEdit" gbs:saveInGrowBusiness="False" gbs:entity="CaseContact">
        <gbs:MultipleLineID gbs:metaName="ToCase.ToCaseContact.Recno">
          <gbs:value gbs:id="1"/>
        </gbs:MultipleLineID>
        <gbs:Criteria xmlns:gbs="http://www.software-innovation.no/growBusinessDocument" gbs:operator="and">
          <gbs:Criterion gbs:field="::ToRole" gbs:operator="=">200021</gbs:Criterion>
        </gbs:Criteria>
        <gbs:ToCase.ToCaseContact.ToContactperson.Title>
          <gbs:value gbs:key="1966850857" gbs:id="1" gbs:loadFromGrowBusiness="OnEdit" gbs:saveInGrowBusiness="False" gbs:recno="" gbs:entity="" gbs:datatype="string" gbs:removeContentControl="0"/>
        </gbs:ToCase.ToCaseContact.ToContactperson.Title>
        <gbs:ToCase.ToCaseContact.ToContactperson.Name>
          <gbs:value gbs:key="1035392207" gbs:id="1" gbs:loadFromGrowBusiness="OnEdit" gbs:saveInGrowBusiness="False" gbs:recno="" gbs:entity="" gbs:datatype="string" gbs:removeContentControl="0"/>
        </gbs:ToCase.ToCaseContact.ToContactperson.Name>
      </gbs:ToCase.ToCaseContact>
    </gbs:MultipleLines>
  </gbs:Lists>
  <gbs:ToCase.UnofficialTitle gbs:loadFromGrowBusiness="OnEdit" gbs:saveInGrowBusiness="False" gbs:connected="true" gbs:recno="" gbs:entity="" gbs:datatype="string" gbs:key="2350437060" gbs:removeContentControl="0">[ASIAN OTSIKKO]</gbs:ToCase.UnofficialTitle>
  <gbs:ToCase.CF_caseinitiator gbs:loadFromGrowBusiness="OnEdit" gbs:saveInGrowBusiness="False" gbs:connected="true" gbs:recno="" gbs:entity="" gbs:datatype="string" gbs:key="3580688678" gbs:removeContentControl="0"/>
  <gbs:ToActivityContactJOINEX.Name gbs:loadFromGrowBusiness="OnEdit" gbs:saveInGrowBusiness="False" gbs:connected="true" gbs:recno="" gbs:entity="" gbs:datatype="string" gbs:key="3318594913" gbs:joinex="[JOINEX=[ToRole] {!OJEX!}=6]" gbs:dispatchrecipient="false" gbs:removeContentControl="0"/>
  <gbs:ToActivityContactJOINEX.Name2 gbs:loadFromGrowBusiness="OnEdit" gbs:saveInGrowBusiness="False" gbs:connected="true" gbs:recno="" gbs:entity="" gbs:datatype="string" gbs:key="2363464928" gbs:joinex="[JOINEX=[ToRole] {!OJEX!}=6]" gbs:dispatchrecipient="false" gbs:removeContentControl="0"/>
  <gbs:ToActivityContactJOINEX.Address gbs:loadFromGrowBusiness="OnEdit" gbs:saveInGrowBusiness="False" gbs:connected="true" gbs:recno="" gbs:entity="" gbs:datatype="string" gbs:key="2072928140" gbs:joinex="[JOINEX=[ToRole] {!OJEX!}=6]" gbs:dispatchrecipient="false" gbs:removeContentControl="0"/>
  <gbs:ToActivityContactJOINEX.Zip gbs:loadFromGrowBusiness="OnEdit" gbs:saveInGrowBusiness="False" gbs:connected="true" gbs:recno="" gbs:entity="" gbs:datatype="string" gbs:key="2857679001" gbs:joinex="[JOINEX=[ToRole] {!OJEX!}=6]" gbs:dispatchrecipient="false" gbs:removeContentControl="0"/>
  <gbs:ToCase.CF_caseinitiator gbs:loadFromGrowBusiness="OnEdit" gbs:saveInGrowBusiness="False" gbs:connected="true" gbs:recno="" gbs:entity="" gbs:datatype="string" gbs:key="3853744121" gbs:removeContentControl="0"/>
  <gbs:ToCase.Name gbs:loadFromGrowBusiness="OnEdit" gbs:saveInGrowBusiness="False" gbs:connected="true" gbs:recno="" gbs:entity="" gbs:datatype="string" gbs:key="1386454410" gbs:removeContentControl="0">[EOAK/xxxx/2015]</gbs:ToCase.Name>
  <gbs:ToCase.CF_decisiondate gbs:loadFromGrowBusiness="OnProduce" gbs:saveInGrowBusiness="False" gbs:connected="true" gbs:recno="" gbs:entity="" gbs:datatype="date" gbs:key="4136509843">[PÄÄTÖSPÄIVÄ]</gbs:ToCase.CF_decisiondate>
  <gbs:ToCase.StartDate gbs:loadFromGrowBusiness="OnEdit" gbs:saveInGrowBusiness="False" gbs:connected="true" gbs:recno="" gbs:entity="" gbs:datatype="date" gbs:key="1171067866" gbs:removeContentControl="0"/>
</gbs:GrowBusinessDocument>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Asiakirja" ma:contentTypeID="0x010100A54C44E42F66B6448C95C5861EC6F3E5" ma:contentTypeVersion="2" ma:contentTypeDescription="Luo uusi asiakirja." ma:contentTypeScope="" ma:versionID="7873629e03dd4e394b3dfe6f953617f9">
  <xsd:schema xmlns:xsd="http://www.w3.org/2001/XMLSchema" xmlns:xs="http://www.w3.org/2001/XMLSchema" xmlns:p="http://schemas.microsoft.com/office/2006/metadata/properties" xmlns:ns2="1a20b399-20e1-442a-8d50-fe6da9289e39" targetNamespace="http://schemas.microsoft.com/office/2006/metadata/properties" ma:root="true" ma:fieldsID="ca0addc332b4f32cdb5835dece32b106" ns2:_="">
    <xsd:import namespace="1a20b399-20e1-442a-8d50-fe6da9289e39"/>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20b399-20e1-442a-8d50-fe6da9289e39" elementFormDefault="qualified">
    <xsd:import namespace="http://schemas.microsoft.com/office/2006/documentManagement/types"/>
    <xsd:import namespace="http://schemas.microsoft.com/office/infopath/2007/PartnerControls"/>
    <xsd:element name="SharedWithUsers" ma:index="8"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1C1318-8401-4D2A-A297-82FDC00404D1}">
  <ds:schemaRefs>
    <ds:schemaRef ds:uri="http://schemas.openxmlformats.org/officeDocument/2006/bibliography"/>
  </ds:schemaRefs>
</ds:datastoreItem>
</file>

<file path=customXml/itemProps2.xml><?xml version="1.0" encoding="utf-8"?>
<ds:datastoreItem xmlns:ds="http://schemas.openxmlformats.org/officeDocument/2006/customXml" ds:itemID="{36992BA4-FA5D-4B75-B06A-F4E41521E6CC}">
  <ds:schemaRefs>
    <ds:schemaRef ds:uri="http://www.software-innovation.no/growBusinessDocument"/>
  </ds:schemaRefs>
</ds:datastoreItem>
</file>

<file path=customXml/itemProps3.xml><?xml version="1.0" encoding="utf-8"?>
<ds:datastoreItem xmlns:ds="http://schemas.openxmlformats.org/officeDocument/2006/customXml" ds:itemID="{B212BE36-CBFE-4C12-860D-1C8C12D225D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D8199CF-B889-4F92-BE15-3396F5881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20b399-20e1-442a-8d50-fe6da9289e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E9C0D21-B7C0-49DE-A9AC-C54E4421F9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35955947.dotx</Template>
  <TotalTime>5</TotalTime>
  <Pages>14</Pages>
  <Words>5267</Words>
  <Characters>30027</Characters>
  <Application>Microsoft Office Word</Application>
  <DocSecurity>4</DocSecurity>
  <Lines>250</Lines>
  <Paragraphs>70</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Answer</vt:lpstr>
      <vt:lpstr>Helsingfors</vt:lpstr>
    </vt:vector>
  </TitlesOfParts>
  <Company/>
  <LinksUpToDate>false</LinksUpToDate>
  <CharactersWithSpaces>35224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Answer</dc:title>
  <dc:creator>Bergman Andrea</dc:creator>
  <cp:lastModifiedBy>Youssef Hamdan</cp:lastModifiedBy>
  <cp:revision>2</cp:revision>
  <cp:lastPrinted>2016-05-30T05:07:00Z</cp:lastPrinted>
  <dcterms:created xsi:type="dcterms:W3CDTF">2024-03-27T20:50:00Z</dcterms:created>
  <dcterms:modified xsi:type="dcterms:W3CDTF">2024-03-27T20:50:00Z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0x010100A54C44E42F66B6448C95C5861EC6F3E5</vt:lpwstr>
  </property>
</Properties>
</file>