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ubtitle"/>
        <w:spacing w:before="60" w:after="120"/>
        <w:rPr>
          <w:rFonts w:ascii="Times New Roman" w:hAnsi="Times New Roman" w:eastAsia="Microsoft YaHei" w:cs="Arial"/>
          <w:b/>
          <w:sz w:val="48"/>
          <w:szCs w:val="36"/>
          <w:lang w:val="fr-FR"/>
        </w:rPr>
      </w:pPr>
      <w:r>
        <w:rPr>
          <w:rFonts w:eastAsia="Microsoft YaHei" w:cs="Arial"/>
          <w:b/>
          <w:sz w:val="48"/>
          <w:szCs w:val="36"/>
          <w:lang w:val="fr-FR"/>
        </w:rPr>
        <w:t>Mise à jour du Rapport Parallèle sur la France</w:t>
      </w:r>
    </w:p>
    <w:p>
      <w:pPr>
        <w:pStyle w:val="TextBody"/>
        <w:spacing w:lineRule="auto" w:line="276"/>
        <w:rPr>
          <w:lang w:val="fr-FR"/>
        </w:rPr>
      </w:pPr>
      <w:r>
        <w:rPr>
          <w:lang w:val="fr-FR"/>
        </w:rPr>
        <w:t>Soumission à la 25ème session du Comité sur les Droits des Personnes Handicapées, du 16 août au 14 septembre 2021.</w:t>
      </w:r>
    </w:p>
    <w:p>
      <w:pPr>
        <w:pStyle w:val="TextBody"/>
        <w:spacing w:lineRule="auto" w:line="276"/>
        <w:rPr>
          <w:lang w:val="fr-FR"/>
        </w:rPr>
      </w:pPr>
      <w:r>
        <w:rPr>
          <w:sz w:val="24"/>
          <w:lang w:val="fr-FR"/>
        </w:rPr>
        <w:t>Soumis par</w:t>
      </w:r>
      <w:r>
        <w:rPr>
          <w:lang w:val="fr-FR"/>
        </w:rPr>
        <w:t xml:space="preserve"> </w:t>
      </w:r>
      <w:r>
        <w:rPr>
          <w:sz w:val="24"/>
          <w:lang w:val="fr-FR"/>
        </w:rPr>
        <w:t xml:space="preserve">Luc Thibaud </w:t>
      </w:r>
      <w:r>
        <w:rPr>
          <w:sz w:val="24"/>
          <w:lang w:val="fr-FR"/>
        </w:rPr>
        <w:t>au nom du Collectif</w:t>
      </w:r>
      <w:r>
        <w:rPr>
          <w:sz w:val="24"/>
          <w:lang w:val="fr-FR"/>
        </w:rPr>
        <w:t xml:space="preserve"> « </w:t>
      </w:r>
      <w:r>
        <w:rPr>
          <w:sz w:val="24"/>
          <w:lang w:val="fr-FR"/>
        </w:rPr>
        <w:t>Arrêt Traitements Forcés »</w:t>
      </w:r>
      <w:r>
        <w:rPr>
          <w:sz w:val="24"/>
          <w:lang w:val="fr-FR"/>
        </w:rPr>
        <w:t xml:space="preserve">, </w:t>
      </w:r>
      <w:r>
        <w:rPr>
          <w:sz w:val="24"/>
          <w:lang w:val="fr-FR"/>
        </w:rPr>
        <w:t>anciennement  « </w:t>
      </w:r>
      <w:r>
        <w:rPr>
          <w:sz w:val="24"/>
          <w:lang w:val="fr-FR"/>
        </w:rPr>
        <w:t>D</w:t>
      </w:r>
      <w:r>
        <w:rPr>
          <w:sz w:val="24"/>
          <w:lang w:val="fr-FR"/>
        </w:rPr>
        <w:t>é</w:t>
      </w:r>
      <w:r>
        <w:rPr>
          <w:sz w:val="24"/>
          <w:lang w:val="fr-FR"/>
        </w:rPr>
        <w:t>psychiatriser »</w:t>
      </w:r>
      <w:r>
        <w:rPr>
          <w:lang w:val="fr-FR"/>
        </w:rPr>
        <w:t xml:space="preserve">. </w:t>
      </w:r>
    </w:p>
    <w:p>
      <w:pPr>
        <w:pStyle w:val="TextBody"/>
        <w:spacing w:lineRule="auto" w:line="276"/>
        <w:rPr>
          <w:lang w:val="fr-FR"/>
        </w:rPr>
      </w:pPr>
      <w:r>
        <w:rPr>
          <w:lang w:val="fr-FR"/>
        </w:rPr>
        <w:t xml:space="preserve">Type: </w:t>
      </w:r>
      <w:r>
        <w:rPr>
          <w:sz w:val="24"/>
          <w:lang w:val="fr-FR"/>
        </w:rPr>
        <w:t>Organi</w:t>
      </w:r>
      <w:r>
        <w:rPr>
          <w:sz w:val="24"/>
          <w:lang w:val="fr-FR"/>
        </w:rPr>
        <w:t>s</w:t>
      </w:r>
      <w:r>
        <w:rPr>
          <w:sz w:val="24"/>
          <w:lang w:val="fr-FR"/>
        </w:rPr>
        <w:t xml:space="preserve">ation </w:t>
      </w:r>
      <w:r>
        <w:rPr>
          <w:sz w:val="24"/>
          <w:lang w:val="fr-FR"/>
        </w:rPr>
        <w:t>de</w:t>
      </w:r>
      <w:r>
        <w:rPr>
          <w:sz w:val="24"/>
          <w:lang w:val="fr-FR"/>
        </w:rPr>
        <w:t xml:space="preserve"> </w:t>
      </w:r>
      <w:r>
        <w:rPr>
          <w:sz w:val="24"/>
          <w:lang w:val="fr-FR"/>
        </w:rPr>
        <w:t>p</w:t>
      </w:r>
      <w:r>
        <w:rPr>
          <w:sz w:val="24"/>
          <w:lang w:val="fr-FR"/>
        </w:rPr>
        <w:t>erson</w:t>
      </w:r>
      <w:r>
        <w:rPr>
          <w:sz w:val="24"/>
          <w:lang w:val="fr-FR"/>
        </w:rPr>
        <w:t>ne</w:t>
      </w:r>
      <w:r>
        <w:rPr>
          <w:sz w:val="24"/>
          <w:lang w:val="fr-FR"/>
        </w:rPr>
        <w:t xml:space="preserve">s </w:t>
      </w:r>
      <w:r>
        <w:rPr>
          <w:sz w:val="24"/>
          <w:lang w:val="fr-FR"/>
        </w:rPr>
        <w:t xml:space="preserve">avec handicap </w:t>
      </w:r>
      <w:r>
        <w:rPr>
          <w:sz w:val="24"/>
          <w:lang w:val="fr-FR"/>
        </w:rPr>
        <w:t>p</w:t>
      </w:r>
      <w:r>
        <w:rPr>
          <w:sz w:val="24"/>
          <w:lang w:val="fr-FR"/>
        </w:rPr>
        <w:t>sycho-social</w:t>
      </w:r>
      <w:r>
        <w:rPr>
          <w:lang w:val="fr-FR"/>
        </w:rPr>
        <w:t>.</w:t>
      </w:r>
    </w:p>
    <w:p>
      <w:pPr>
        <w:pStyle w:val="TextBody"/>
        <w:spacing w:lineRule="auto" w:line="276"/>
        <w:rPr>
          <w:lang w:val="fr-FR"/>
        </w:rPr>
      </w:pPr>
      <w:r>
        <w:rPr>
          <w:sz w:val="24"/>
          <w:lang w:val="fr-FR"/>
        </w:rPr>
        <w:t>Pays</w:t>
      </w:r>
      <w:r>
        <w:rPr>
          <w:lang w:val="fr-FR"/>
        </w:rPr>
        <w:t>: France.</w:t>
      </w:r>
    </w:p>
    <w:sdt>
      <w:sdtPr>
        <w:docPartObj>
          <w:docPartGallery w:val="Table of Contents"/>
          <w:docPartUnique w:val="true"/>
        </w:docPartObj>
      </w:sdtPr>
      <w:sdtContent>
        <w:p>
          <w:pPr>
            <w:pStyle w:val="ContentsHeading"/>
            <w:suppressLineNumbers/>
            <w:ind w:left="0" w:right="0" w:hanging="0"/>
            <w:rPr>
              <w:b/>
              <w:b/>
              <w:bCs/>
              <w:sz w:val="32"/>
              <w:szCs w:val="32"/>
            </w:rPr>
          </w:pPr>
          <w:r>
            <w:rPr>
              <w:b/>
              <w:bCs/>
              <w:sz w:val="32"/>
              <w:szCs w:val="32"/>
            </w:rPr>
            <w:t>Table of Contents</w:t>
          </w:r>
        </w:p>
        <w:p>
          <w:pPr>
            <w:pStyle w:val="Contents3"/>
            <w:tabs>
              <w:tab w:val="clear" w:pos="9406"/>
              <w:tab w:val="right" w:pos="9972" w:leader="dot"/>
            </w:tabs>
            <w:rPr/>
          </w:pPr>
          <w:r>
            <w:fldChar w:fldCharType="begin"/>
          </w:r>
          <w:r>
            <w:rPr>
              <w:rStyle w:val="IndexLink"/>
            </w:rPr>
            <w:instrText> TOC \f \o "1-9" \h</w:instrText>
          </w:r>
          <w:r>
            <w:rPr>
              <w:rStyle w:val="IndexLink"/>
            </w:rPr>
            <w:fldChar w:fldCharType="separate"/>
          </w:r>
          <w:hyperlink w:anchor="__RefHeading___Toc1342_2129381569">
            <w:r>
              <w:rPr>
                <w:rStyle w:val="IndexLink"/>
              </w:rPr>
              <w:t>1) Auto-introduction</w:t>
              <w:tab/>
              <w:t>3</w:t>
            </w:r>
          </w:hyperlink>
        </w:p>
        <w:p>
          <w:pPr>
            <w:pStyle w:val="Contents3"/>
            <w:tabs>
              <w:tab w:val="clear" w:pos="9406"/>
              <w:tab w:val="right" w:pos="9972" w:leader="dot"/>
            </w:tabs>
            <w:rPr/>
          </w:pPr>
          <w:hyperlink w:anchor="__RefHeading___Toc1344_2129381569">
            <w:r>
              <w:rPr>
                <w:rStyle w:val="IndexLink"/>
              </w:rPr>
              <w:t>2) Résumé des actions entreprises</w:t>
              <w:tab/>
              <w:t>3</w:t>
            </w:r>
          </w:hyperlink>
        </w:p>
        <w:p>
          <w:pPr>
            <w:pStyle w:val="Contents3"/>
            <w:tabs>
              <w:tab w:val="clear" w:pos="9406"/>
              <w:tab w:val="right" w:pos="9972" w:leader="dot"/>
            </w:tabs>
            <w:rPr/>
          </w:pPr>
          <w:hyperlink w:anchor="__RefHeading___Toc2395_2773654779">
            <w:r>
              <w:rPr>
                <w:rStyle w:val="IndexLink"/>
              </w:rPr>
              <w:t>3) Les articles de la Convention abordés dans ce document</w:t>
              <w:tab/>
              <w:t>3</w:t>
            </w:r>
          </w:hyperlink>
        </w:p>
        <w:p>
          <w:pPr>
            <w:pStyle w:val="Contents3"/>
            <w:tabs>
              <w:tab w:val="clear" w:pos="9406"/>
              <w:tab w:val="right" w:pos="9972" w:leader="dot"/>
            </w:tabs>
            <w:rPr/>
          </w:pPr>
          <w:hyperlink w:anchor="__RefHeading___Toc2397_2773654779">
            <w:r>
              <w:rPr>
                <w:rStyle w:val="IndexLink"/>
              </w:rPr>
              <w:t>4) La situation de nos droits en France.</w:t>
              <w:tab/>
              <w:t>3</w:t>
            </w:r>
          </w:hyperlink>
        </w:p>
        <w:p>
          <w:pPr>
            <w:pStyle w:val="Contents4"/>
            <w:tabs>
              <w:tab w:val="clear" w:pos="9123"/>
              <w:tab w:val="right" w:pos="9972" w:leader="dot"/>
            </w:tabs>
            <w:rPr/>
          </w:pPr>
          <w:hyperlink w:anchor="__RefHeading___Toc2399_2773654779">
            <w:r>
              <w:rPr>
                <w:rStyle w:val="IndexLink"/>
              </w:rPr>
              <w:t>Article 4 Obligations générales</w:t>
              <w:tab/>
              <w:t>3</w:t>
            </w:r>
          </w:hyperlink>
        </w:p>
        <w:p>
          <w:pPr>
            <w:pStyle w:val="Contents4"/>
            <w:tabs>
              <w:tab w:val="clear" w:pos="9123"/>
              <w:tab w:val="right" w:pos="9972" w:leader="dot"/>
            </w:tabs>
            <w:rPr/>
          </w:pPr>
          <w:hyperlink w:anchor="__RefHeading___Toc2401_2773654779">
            <w:r>
              <w:rPr>
                <w:rStyle w:val="IndexLink"/>
              </w:rPr>
              <w:t>Article 7 Enfants handicapés</w:t>
              <w:tab/>
              <w:t>4</w:t>
            </w:r>
          </w:hyperlink>
        </w:p>
        <w:p>
          <w:pPr>
            <w:pStyle w:val="Contents4"/>
            <w:tabs>
              <w:tab w:val="clear" w:pos="9123"/>
              <w:tab w:val="right" w:pos="9972" w:leader="dot"/>
            </w:tabs>
            <w:rPr/>
          </w:pPr>
          <w:hyperlink w:anchor="__RefHeading___Toc2403_2773654779">
            <w:r>
              <w:rPr>
                <w:rStyle w:val="IndexLink"/>
              </w:rPr>
              <w:t>Article 12 Reconnaissance de la personnalité juridique dans des conditions d'égalité</w:t>
              <w:tab/>
              <w:t>4</w:t>
            </w:r>
          </w:hyperlink>
        </w:p>
        <w:p>
          <w:pPr>
            <w:pStyle w:val="Contents4"/>
            <w:tabs>
              <w:tab w:val="clear" w:pos="9123"/>
              <w:tab w:val="right" w:pos="9972" w:leader="dot"/>
            </w:tabs>
            <w:rPr/>
          </w:pPr>
          <w:hyperlink w:anchor="__RefHeading___Toc2405_2773654779">
            <w:r>
              <w:rPr>
                <w:rStyle w:val="IndexLink"/>
              </w:rPr>
              <w:t>Article 14 Liberté et sécurité de la personne</w:t>
              <w:tab/>
              <w:t>5</w:t>
            </w:r>
          </w:hyperlink>
        </w:p>
        <w:p>
          <w:pPr>
            <w:pStyle w:val="Contents4"/>
            <w:tabs>
              <w:tab w:val="clear" w:pos="9123"/>
              <w:tab w:val="right" w:pos="9972" w:leader="dot"/>
            </w:tabs>
            <w:rPr/>
          </w:pPr>
          <w:hyperlink w:anchor="__RefHeading___Toc2407_2773654779">
            <w:r>
              <w:rPr>
                <w:rStyle w:val="IndexLink"/>
              </w:rPr>
              <w:t>Article 15 Droit de ne pas être soumis à la torture ni à des peines ou traitements cruels, inhumains ou dégradants</w:t>
              <w:tab/>
              <w:t>6</w:t>
            </w:r>
          </w:hyperlink>
        </w:p>
        <w:p>
          <w:pPr>
            <w:pStyle w:val="Contents4"/>
            <w:tabs>
              <w:tab w:val="clear" w:pos="9123"/>
              <w:tab w:val="right" w:pos="9972" w:leader="dot"/>
            </w:tabs>
            <w:rPr/>
          </w:pPr>
          <w:hyperlink w:anchor="__RefHeading___Toc2409_2773654779">
            <w:r>
              <w:rPr>
                <w:rStyle w:val="IndexLink"/>
              </w:rPr>
              <w:t>Article 17 Protection de l'intégrité de la personne</w:t>
              <w:tab/>
              <w:t>7</w:t>
            </w:r>
          </w:hyperlink>
        </w:p>
        <w:p>
          <w:pPr>
            <w:pStyle w:val="Contents4"/>
            <w:tabs>
              <w:tab w:val="clear" w:pos="9123"/>
              <w:tab w:val="right" w:pos="9972" w:leader="dot"/>
            </w:tabs>
            <w:rPr/>
          </w:pPr>
          <w:hyperlink w:anchor="__RefHeading___Toc2411_2773654779">
            <w:r>
              <w:rPr>
                <w:rStyle w:val="IndexLink"/>
              </w:rPr>
              <w:t>Article 25 Santé</w:t>
              <w:tab/>
              <w:t>8</w:t>
            </w:r>
          </w:hyperlink>
        </w:p>
        <w:p>
          <w:pPr>
            <w:pStyle w:val="Contents4"/>
            <w:tabs>
              <w:tab w:val="clear" w:pos="9123"/>
              <w:tab w:val="right" w:pos="9972" w:leader="dot"/>
            </w:tabs>
            <w:rPr/>
          </w:pPr>
          <w:hyperlink w:anchor="__RefHeading___Toc2413_2773654779">
            <w:r>
              <w:rPr>
                <w:rStyle w:val="IndexLink"/>
              </w:rPr>
              <w:t>Article 29 Participation à la vie politique et à la vie publique</w:t>
              <w:tab/>
              <w:t>8</w:t>
            </w:r>
          </w:hyperlink>
        </w:p>
        <w:p>
          <w:pPr>
            <w:pStyle w:val="Contents3"/>
            <w:tabs>
              <w:tab w:val="clear" w:pos="9406"/>
              <w:tab w:val="right" w:pos="9972" w:leader="dot"/>
            </w:tabs>
            <w:rPr/>
          </w:pPr>
          <w:hyperlink w:anchor="__RefHeading___Toc1346_2129381569">
            <w:r>
              <w:rPr>
                <w:rStyle w:val="IndexLink"/>
              </w:rPr>
              <w:t>5) Mise à jour du Rapport parallèle 2019 du collectif « Dépsychiatriser ».</w:t>
              <w:tab/>
              <w:t>9</w:t>
            </w:r>
          </w:hyperlink>
        </w:p>
        <w:p>
          <w:pPr>
            <w:pStyle w:val="Contents4"/>
            <w:tabs>
              <w:tab w:val="clear" w:pos="9123"/>
              <w:tab w:val="right" w:pos="9972" w:leader="dot"/>
            </w:tabs>
            <w:rPr/>
          </w:pPr>
          <w:hyperlink w:anchor="__RefHeading___Toc2147_2129381569">
            <w:r>
              <w:rPr>
                <w:rStyle w:val="IndexLink"/>
              </w:rPr>
              <w:t>Article 7 Enfants handicapés</w:t>
              <w:tab/>
              <w:t>9</w:t>
            </w:r>
          </w:hyperlink>
        </w:p>
        <w:p>
          <w:pPr>
            <w:pStyle w:val="Contents4"/>
            <w:tabs>
              <w:tab w:val="clear" w:pos="9123"/>
              <w:tab w:val="right" w:pos="9972" w:leader="dot"/>
            </w:tabs>
            <w:rPr/>
          </w:pPr>
          <w:hyperlink w:anchor="__RefHeading___Toc4312_1019330386">
            <w:r>
              <w:rPr>
                <w:rStyle w:val="IndexLink"/>
              </w:rPr>
              <w:t>Article 12 Reconnaissance de la personnalité juridique dans des conditions d'égalité</w:t>
              <w:tab/>
              <w:t>9</w:t>
            </w:r>
          </w:hyperlink>
        </w:p>
        <w:p>
          <w:pPr>
            <w:pStyle w:val="Contents4"/>
            <w:tabs>
              <w:tab w:val="clear" w:pos="9123"/>
              <w:tab w:val="right" w:pos="9972" w:leader="dot"/>
            </w:tabs>
            <w:rPr/>
          </w:pPr>
          <w:hyperlink w:anchor="__RefHeading___Toc2149_2129381569">
            <w:r>
              <w:rPr>
                <w:rStyle w:val="IndexLink"/>
              </w:rPr>
              <w:t>Article 14 Liberté et sécurité de la personne</w:t>
              <w:tab/>
              <w:t>9</w:t>
            </w:r>
          </w:hyperlink>
        </w:p>
        <w:p>
          <w:pPr>
            <w:pStyle w:val="Contents4"/>
            <w:tabs>
              <w:tab w:val="clear" w:pos="9123"/>
              <w:tab w:val="right" w:pos="9972" w:leader="dot"/>
            </w:tabs>
            <w:rPr/>
          </w:pPr>
          <w:hyperlink w:anchor="__RefHeading___Toc20543_2140865594">
            <w:r>
              <w:rPr>
                <w:rStyle w:val="IndexLink"/>
              </w:rPr>
              <w:t>Article 15 Droit de ne pas être soumis à la torture ni à des peines ou traitements cruels, inhumains ou dégradants</w:t>
              <w:tab/>
              <w:t>9</w:t>
            </w:r>
          </w:hyperlink>
        </w:p>
        <w:p>
          <w:pPr>
            <w:pStyle w:val="Contents4"/>
            <w:tabs>
              <w:tab w:val="clear" w:pos="9123"/>
              <w:tab w:val="right" w:pos="9972" w:leader="dot"/>
            </w:tabs>
            <w:rPr/>
          </w:pPr>
          <w:hyperlink w:anchor="__RefHeading___Toc2415_2773654779">
            <w:r>
              <w:rPr>
                <w:rStyle w:val="IndexLink"/>
              </w:rPr>
              <w:t>Article 25 Santé</w:t>
              <w:tab/>
              <w:t>10</w:t>
            </w:r>
          </w:hyperlink>
        </w:p>
        <w:p>
          <w:pPr>
            <w:pStyle w:val="Contents3"/>
            <w:tabs>
              <w:tab w:val="clear" w:pos="9406"/>
              <w:tab w:val="right" w:pos="9972" w:leader="dot"/>
            </w:tabs>
            <w:rPr/>
          </w:pPr>
          <w:hyperlink w:anchor="__RefHeading___Toc1354_2129381569">
            <w:r>
              <w:rPr>
                <w:rStyle w:val="IndexLink"/>
              </w:rPr>
              <w:t>6) Commentaires sur la Réponse à la Liste de points</w:t>
              <w:tab/>
              <w:t>10</w:t>
            </w:r>
          </w:hyperlink>
        </w:p>
        <w:p>
          <w:pPr>
            <w:pStyle w:val="Contents4"/>
            <w:tabs>
              <w:tab w:val="clear" w:pos="9123"/>
              <w:tab w:val="right" w:pos="9972" w:leader="dot"/>
            </w:tabs>
            <w:rPr/>
          </w:pPr>
          <w:hyperlink w:anchor="__RefHeading___Toc17959_2726673478">
            <w:r>
              <w:rPr>
                <w:rStyle w:val="IndexLink"/>
              </w:rPr>
              <w:t>Objet et obligations générales (art. 1 à 4)</w:t>
              <w:tab/>
              <w:t>10</w:t>
            </w:r>
          </w:hyperlink>
        </w:p>
        <w:p>
          <w:pPr>
            <w:pStyle w:val="Contents4"/>
            <w:tabs>
              <w:tab w:val="clear" w:pos="9123"/>
              <w:tab w:val="right" w:pos="9972" w:leader="dot"/>
            </w:tabs>
            <w:rPr/>
          </w:pPr>
          <w:hyperlink w:anchor="__RefHeading___Toc17961_2726673478">
            <w:r>
              <w:rPr>
                <w:rStyle w:val="IndexLink"/>
              </w:rPr>
              <w:t>Reconnaissance de la personnalité juridique dans des conditions d'égalité (</w:t>
            </w:r>
            <w:r>
              <w:rPr>
                <w:rStyle w:val="IndexLink"/>
                <w:i/>
                <w:iCs/>
              </w:rPr>
              <w:t>art.</w:t>
            </w:r>
            <w:r>
              <w:rPr>
                <w:rStyle w:val="IndexLink"/>
              </w:rPr>
              <w:t xml:space="preserve"> 12 )</w:t>
              <w:tab/>
              <w:t>11</w:t>
            </w:r>
          </w:hyperlink>
        </w:p>
        <w:p>
          <w:pPr>
            <w:pStyle w:val="Contents4"/>
            <w:tabs>
              <w:tab w:val="clear" w:pos="9123"/>
              <w:tab w:val="right" w:pos="9972" w:leader="dot"/>
            </w:tabs>
            <w:rPr/>
          </w:pPr>
          <w:hyperlink w:anchor="__RefHeading___Toc17963_2726673478">
            <w:r>
              <w:rPr>
                <w:rStyle w:val="IndexLink"/>
              </w:rPr>
              <w:t>Accès à la justice (art. 13)</w:t>
              <w:tab/>
              <w:t>11</w:t>
            </w:r>
          </w:hyperlink>
        </w:p>
        <w:p>
          <w:pPr>
            <w:pStyle w:val="Contents4"/>
            <w:tabs>
              <w:tab w:val="clear" w:pos="9123"/>
              <w:tab w:val="right" w:pos="9972" w:leader="dot"/>
            </w:tabs>
            <w:rPr/>
          </w:pPr>
          <w:hyperlink w:anchor="__RefHeading___Toc17965_2726673478">
            <w:r>
              <w:rPr>
                <w:rStyle w:val="IndexLink"/>
              </w:rPr>
              <w:t>Liberté et sécurité de la personne (art. 14)</w:t>
              <w:tab/>
              <w:t>12</w:t>
            </w:r>
          </w:hyperlink>
        </w:p>
        <w:p>
          <w:pPr>
            <w:pStyle w:val="Contents4"/>
            <w:tabs>
              <w:tab w:val="clear" w:pos="9123"/>
              <w:tab w:val="right" w:pos="9972" w:leader="dot"/>
            </w:tabs>
            <w:rPr/>
          </w:pPr>
          <w:hyperlink w:anchor="__RefHeading___Toc17967_2726673478">
            <w:r>
              <w:rPr>
                <w:rStyle w:val="IndexLink"/>
              </w:rPr>
              <w:t>Autonomie de vie et inclusion dans la société (art. 19)</w:t>
              <w:tab/>
              <w:t>13</w:t>
            </w:r>
          </w:hyperlink>
        </w:p>
        <w:p>
          <w:pPr>
            <w:pStyle w:val="Contents4"/>
            <w:tabs>
              <w:tab w:val="clear" w:pos="9123"/>
              <w:tab w:val="right" w:pos="9972" w:leader="dot"/>
            </w:tabs>
            <w:rPr/>
          </w:pPr>
          <w:hyperlink w:anchor="__RefHeading___Toc17969_2726673478">
            <w:r>
              <w:rPr>
                <w:rStyle w:val="IndexLink"/>
              </w:rPr>
              <w:t>Santé (art. 25)</w:t>
              <w:tab/>
              <w:t>13</w:t>
            </w:r>
          </w:hyperlink>
        </w:p>
        <w:p>
          <w:pPr>
            <w:pStyle w:val="Contents4"/>
            <w:tabs>
              <w:tab w:val="clear" w:pos="9123"/>
              <w:tab w:val="right" w:pos="9972" w:leader="dot"/>
            </w:tabs>
            <w:rPr/>
          </w:pPr>
          <w:hyperlink w:anchor="__RefHeading___Toc17971_2726673478">
            <w:r>
              <w:rPr>
                <w:rStyle w:val="IndexLink"/>
              </w:rPr>
              <w:t>Niveau de vie adéquat et protection sociale (art. 28)</w:t>
              <w:tab/>
              <w:t>14</w:t>
            </w:r>
          </w:hyperlink>
        </w:p>
        <w:p>
          <w:pPr>
            <w:pStyle w:val="Contents4"/>
            <w:tabs>
              <w:tab w:val="clear" w:pos="9123"/>
              <w:tab w:val="right" w:pos="9972" w:leader="dot"/>
            </w:tabs>
            <w:rPr/>
          </w:pPr>
          <w:hyperlink w:anchor="__RefHeading___Toc17973_2726673478">
            <w:r>
              <w:rPr>
                <w:rStyle w:val="IndexLink"/>
              </w:rPr>
              <w:t>Participation à la vie politique et à la vie publique (art. 29)</w:t>
              <w:tab/>
              <w:t>14</w:t>
            </w:r>
          </w:hyperlink>
        </w:p>
        <w:p>
          <w:pPr>
            <w:pStyle w:val="Contents4"/>
            <w:tabs>
              <w:tab w:val="clear" w:pos="9123"/>
              <w:tab w:val="right" w:pos="9972" w:leader="dot"/>
            </w:tabs>
            <w:rPr/>
          </w:pPr>
          <w:hyperlink w:anchor="__RefHeading___Toc17975_2726673478">
            <w:r>
              <w:rPr>
                <w:rStyle w:val="IndexLink"/>
              </w:rPr>
              <w:t>Application et suivi au niveau national (art. 33)</w:t>
              <w:tab/>
              <w:t>14</w:t>
            </w:r>
          </w:hyperlink>
        </w:p>
        <w:p>
          <w:pPr>
            <w:pStyle w:val="Contents3"/>
            <w:tabs>
              <w:tab w:val="clear" w:pos="9406"/>
              <w:tab w:val="right" w:pos="9972" w:leader="dot"/>
            </w:tabs>
            <w:rPr/>
          </w:pPr>
          <w:hyperlink w:anchor="__RefHeading___Toc17977_2726673478">
            <w:r>
              <w:rPr>
                <w:rStyle w:val="IndexLink"/>
              </w:rPr>
              <w:t>Références</w:t>
              <w:tab/>
              <w:t>15</w:t>
            </w:r>
          </w:hyperlink>
          <w:r>
            <w:rPr>
              <w:rStyle w:val="IndexLink"/>
            </w:rPr>
            <w:fldChar w:fldCharType="end"/>
          </w:r>
        </w:p>
      </w:sdtContent>
    </w:sdt>
    <w:p>
      <w:pPr>
        <w:pStyle w:val="TextBody"/>
        <w:rPr>
          <w:lang w:val="fr-FR"/>
        </w:rPr>
      </w:pPr>
      <w:r>
        <w:rPr>
          <w:lang w:val="fr-FR"/>
        </w:rPr>
      </w:r>
      <w:r>
        <w:br w:type="page"/>
      </w:r>
    </w:p>
    <w:p>
      <w:pPr>
        <w:pStyle w:val="Heading3"/>
        <w:spacing w:lineRule="auto" w:line="276"/>
        <w:rPr>
          <w:lang w:val="fr-FR"/>
        </w:rPr>
      </w:pPr>
      <w:bookmarkStart w:id="0" w:name="__RefHeading___Toc1342_2129381569"/>
      <w:bookmarkEnd w:id="0"/>
      <w:r>
        <w:rPr>
          <w:lang w:val="fr-FR"/>
        </w:rPr>
        <w:t>1</w:t>
      </w:r>
      <w:r>
        <w:rPr>
          <w:lang w:val="fr-FR"/>
        </w:rPr>
        <w:t xml:space="preserve">) </w:t>
      </w:r>
      <w:r>
        <w:rPr>
          <w:rFonts w:eastAsia="Microsoft YaHei" w:cs="Arial"/>
          <w:b/>
          <w:bCs/>
          <w:sz w:val="32"/>
          <w:szCs w:val="28"/>
          <w:lang w:val="fr-FR"/>
        </w:rPr>
        <w:t>Auto</w:t>
      </w:r>
      <w:r>
        <w:rPr>
          <w:lang w:val="fr-FR"/>
        </w:rPr>
        <w:t>-introduction</w:t>
      </w:r>
    </w:p>
    <w:p>
      <w:pPr>
        <w:pStyle w:val="TextBody"/>
        <w:spacing w:lineRule="auto" w:line="276"/>
        <w:jc w:val="both"/>
        <w:rPr>
          <w:rFonts w:ascii="Times New Roman" w:hAnsi="Times New Roman"/>
          <w:sz w:val="24"/>
          <w:lang w:val="fr-FR"/>
        </w:rPr>
      </w:pPr>
      <w:r>
        <w:rPr>
          <w:sz w:val="24"/>
          <w:lang w:val="fr-FR"/>
        </w:rPr>
        <w:t xml:space="preserve">Le Collectif « Arrêt Traitements Forcés » </w:t>
      </w:r>
      <w:r>
        <w:rPr>
          <w:sz w:val="24"/>
          <w:lang w:val="fr-FR"/>
        </w:rPr>
        <w:t>(</w:t>
      </w:r>
      <w:r>
        <w:rPr>
          <w:sz w:val="24"/>
          <w:lang w:val="fr-FR"/>
        </w:rPr>
        <w:t>anciennement</w:t>
      </w:r>
      <w:r>
        <w:rPr>
          <w:sz w:val="24"/>
          <w:lang w:val="fr-FR"/>
        </w:rPr>
        <w:t xml:space="preserve"> « D</w:t>
      </w:r>
      <w:r>
        <w:rPr>
          <w:sz w:val="24"/>
          <w:lang w:val="fr-FR"/>
        </w:rPr>
        <w:t>é</w:t>
      </w:r>
      <w:r>
        <w:rPr>
          <w:sz w:val="24"/>
          <w:lang w:val="fr-FR"/>
        </w:rPr>
        <w:t xml:space="preserve">psychiatriser ») </w:t>
      </w:r>
      <w:r>
        <w:rPr>
          <w:sz w:val="24"/>
          <w:lang w:val="fr-FR"/>
        </w:rPr>
        <w:t>est une organisation informelle d’usagers et ex-usagers francophones de la psychiatrie</w:t>
      </w:r>
      <w:r>
        <w:rPr>
          <w:sz w:val="24"/>
          <w:lang w:val="fr-FR"/>
        </w:rPr>
        <w:t xml:space="preserve">. </w:t>
      </w:r>
      <w:r>
        <w:rPr>
          <w:sz w:val="24"/>
          <w:lang w:val="fr-FR"/>
        </w:rPr>
        <w:t>Notre objectif est</w:t>
      </w:r>
      <w:r>
        <w:rPr>
          <w:sz w:val="24"/>
          <w:lang w:val="fr-FR"/>
        </w:rPr>
        <w:t xml:space="preserve"> </w:t>
      </w:r>
      <w:r>
        <w:rPr>
          <w:sz w:val="24"/>
          <w:lang w:val="fr-FR"/>
        </w:rPr>
        <w:t>l’</w:t>
      </w:r>
      <w:r>
        <w:rPr>
          <w:sz w:val="24"/>
          <w:lang w:val="fr-FR"/>
        </w:rPr>
        <w:t xml:space="preserve">abolition </w:t>
      </w:r>
      <w:r>
        <w:rPr>
          <w:sz w:val="24"/>
          <w:lang w:val="fr-FR"/>
        </w:rPr>
        <w:t>des traitements psychiatriques forcés en France et dans le monde.</w:t>
      </w:r>
    </w:p>
    <w:p>
      <w:pPr>
        <w:pStyle w:val="TextBody"/>
        <w:spacing w:lineRule="auto" w:line="276"/>
        <w:jc w:val="both"/>
        <w:rPr>
          <w:rFonts w:ascii="Times New Roman" w:hAnsi="Times New Roman"/>
          <w:sz w:val="24"/>
          <w:lang w:val="fr-FR"/>
        </w:rPr>
      </w:pPr>
      <w:r>
        <w:rPr>
          <w:sz w:val="24"/>
          <w:lang w:val="fr-FR"/>
        </w:rPr>
      </w:r>
    </w:p>
    <w:p>
      <w:pPr>
        <w:pStyle w:val="Heading3"/>
        <w:spacing w:lineRule="auto" w:line="276"/>
        <w:rPr>
          <w:lang w:val="fr-FR"/>
        </w:rPr>
      </w:pPr>
      <w:bookmarkStart w:id="1" w:name="__RefHeading___Toc1344_2129381569"/>
      <w:bookmarkEnd w:id="1"/>
      <w:r>
        <w:rPr>
          <w:lang w:val="fr-FR"/>
        </w:rPr>
        <w:t xml:space="preserve">2) </w:t>
      </w:r>
      <w:r>
        <w:rPr>
          <w:rFonts w:eastAsia="Microsoft YaHei" w:cs="Arial"/>
          <w:b/>
          <w:bCs/>
          <w:sz w:val="32"/>
          <w:szCs w:val="28"/>
          <w:lang w:val="fr-FR"/>
        </w:rPr>
        <w:t>Résumé des actions entreprises</w:t>
      </w:r>
    </w:p>
    <w:p>
      <w:pPr>
        <w:pStyle w:val="TextBody"/>
        <w:spacing w:lineRule="auto" w:line="276"/>
        <w:jc w:val="both"/>
        <w:rPr>
          <w:lang w:val="fr-FR"/>
        </w:rPr>
      </w:pPr>
      <w:r>
        <w:rPr>
          <w:sz w:val="24"/>
          <w:lang w:val="fr-FR"/>
        </w:rPr>
        <w:t>Nous faisons un travail d’</w:t>
      </w:r>
      <w:r>
        <w:rPr>
          <w:sz w:val="24"/>
          <w:lang w:val="fr-FR"/>
        </w:rPr>
        <w:t xml:space="preserve">advocacy </w:t>
      </w:r>
      <w:r>
        <w:rPr>
          <w:sz w:val="24"/>
          <w:lang w:val="fr-FR"/>
        </w:rPr>
        <w:t>auprès des personnes avec handicap psychosocial, de façon bénévole. Nous maintenons un blog</w:t>
      </w:r>
      <w:r>
        <w:rPr>
          <w:sz w:val="24"/>
          <w:lang w:val="fr-FR"/>
        </w:rPr>
        <w:t>[</w:t>
      </w:r>
      <w:r>
        <w:rPr>
          <w:sz w:val="24"/>
          <w:lang w:val="fr-FR"/>
        </w:rPr>
        <w:fldChar w:fldCharType="begin"/>
      </w:r>
      <w:r>
        <w:rPr>
          <w:sz w:val="24"/>
          <w:lang w:val="fr-FR"/>
        </w:rPr>
        <w:instrText> REF __RefNumPara__1416_2129381569 \r \h </w:instrText>
      </w:r>
      <w:r>
        <w:rPr>
          <w:sz w:val="24"/>
          <w:lang w:val="fr-FR"/>
        </w:rPr>
        <w:fldChar w:fldCharType="separate"/>
      </w:r>
      <w:r>
        <w:rPr>
          <w:sz w:val="24"/>
          <w:lang w:val="fr-FR"/>
        </w:rPr>
        <w:t>1</w:t>
      </w:r>
      <w:r>
        <w:rPr>
          <w:sz w:val="24"/>
          <w:lang w:val="fr-FR"/>
        </w:rPr>
        <w:fldChar w:fldCharType="end"/>
      </w:r>
      <w:r>
        <w:rPr>
          <w:sz w:val="24"/>
          <w:lang w:val="fr-FR"/>
        </w:rPr>
        <w:t>]</w:t>
      </w:r>
      <w:r>
        <w:rPr>
          <w:sz w:val="24"/>
          <w:lang w:val="fr-FR"/>
        </w:rPr>
        <w:t>, une page Facebook</w:t>
      </w:r>
      <w:r>
        <w:rPr>
          <w:sz w:val="24"/>
          <w:lang w:val="fr-FR"/>
        </w:rPr>
        <w:t>[</w:t>
      </w:r>
      <w:r>
        <w:rPr>
          <w:sz w:val="24"/>
          <w:lang w:val="fr-FR"/>
        </w:rPr>
        <w:fldChar w:fldCharType="begin"/>
      </w:r>
      <w:r>
        <w:rPr>
          <w:sz w:val="24"/>
          <w:lang w:val="fr-FR"/>
        </w:rPr>
        <w:instrText> REF __RefNumPara__1418_2129381569 \r \h </w:instrText>
      </w:r>
      <w:r>
        <w:rPr>
          <w:sz w:val="24"/>
          <w:lang w:val="fr-FR"/>
        </w:rPr>
        <w:fldChar w:fldCharType="separate"/>
      </w:r>
      <w:r>
        <w:rPr>
          <w:sz w:val="24"/>
          <w:lang w:val="fr-FR"/>
        </w:rPr>
        <w:t>2</w:t>
      </w:r>
      <w:r>
        <w:rPr>
          <w:sz w:val="24"/>
          <w:lang w:val="fr-FR"/>
        </w:rPr>
        <w:fldChar w:fldCharType="end"/>
      </w:r>
      <w:r>
        <w:rPr>
          <w:sz w:val="24"/>
          <w:lang w:val="fr-FR"/>
        </w:rPr>
        <w:t>]</w:t>
      </w:r>
      <w:r>
        <w:rPr>
          <w:sz w:val="24"/>
          <w:lang w:val="fr-FR"/>
        </w:rPr>
        <w:t>, et une pétition pour la France</w:t>
      </w:r>
      <w:r>
        <w:rPr>
          <w:sz w:val="24"/>
          <w:lang w:val="fr-FR"/>
        </w:rPr>
        <w:t>[</w:t>
      </w:r>
      <w:r>
        <w:rPr>
          <w:sz w:val="24"/>
          <w:lang w:val="fr-FR"/>
        </w:rPr>
        <w:fldChar w:fldCharType="begin"/>
      </w:r>
      <w:r>
        <w:rPr>
          <w:sz w:val="24"/>
          <w:lang w:val="fr-FR"/>
        </w:rPr>
        <w:instrText> REF __RefNumPara__1420_2129381569 \r \h </w:instrText>
      </w:r>
      <w:r>
        <w:rPr>
          <w:sz w:val="24"/>
          <w:lang w:val="fr-FR"/>
        </w:rPr>
        <w:fldChar w:fldCharType="separate"/>
      </w:r>
      <w:r>
        <w:rPr>
          <w:sz w:val="24"/>
          <w:lang w:val="fr-FR"/>
        </w:rPr>
        <w:t>3</w:t>
      </w:r>
      <w:r>
        <w:rPr>
          <w:sz w:val="24"/>
          <w:lang w:val="fr-FR"/>
        </w:rPr>
        <w:fldChar w:fldCharType="end"/>
      </w:r>
      <w:r>
        <w:rPr>
          <w:sz w:val="24"/>
          <w:lang w:val="fr-FR"/>
        </w:rPr>
        <w:t>]</w:t>
      </w:r>
      <w:r>
        <w:rPr>
          <w:sz w:val="24"/>
          <w:lang w:val="fr-FR"/>
        </w:rPr>
        <w:t xml:space="preserve"> qui a été lancée en 2015, et signée par 18.000 personnes. </w:t>
      </w:r>
    </w:p>
    <w:p>
      <w:pPr>
        <w:pStyle w:val="TextBody"/>
        <w:spacing w:lineRule="auto" w:line="276"/>
        <w:jc w:val="both"/>
        <w:rPr>
          <w:rFonts w:ascii="Times New Roman" w:hAnsi="Times New Roman"/>
          <w:sz w:val="24"/>
          <w:lang w:val="fr-FR"/>
        </w:rPr>
      </w:pPr>
      <w:r>
        <w:rPr>
          <w:sz w:val="24"/>
          <w:lang w:val="fr-FR"/>
        </w:rPr>
        <w:t>Le</w:t>
      </w:r>
      <w:r>
        <w:rPr>
          <w:sz w:val="24"/>
          <w:lang w:val="fr-FR"/>
        </w:rPr>
        <w:t xml:space="preserve"> Collecti</w:t>
      </w:r>
      <w:r>
        <w:rPr>
          <w:sz w:val="24"/>
          <w:lang w:val="fr-FR"/>
        </w:rPr>
        <w:t>f</w:t>
      </w:r>
      <w:r>
        <w:rPr>
          <w:sz w:val="24"/>
          <w:lang w:val="fr-FR"/>
        </w:rPr>
        <w:t xml:space="preserve">, </w:t>
      </w:r>
      <w:r>
        <w:rPr>
          <w:sz w:val="24"/>
          <w:lang w:val="fr-FR"/>
        </w:rPr>
        <w:t>qui s’appelait auparavant</w:t>
      </w:r>
      <w:r>
        <w:rPr>
          <w:sz w:val="24"/>
          <w:lang w:val="fr-FR"/>
        </w:rPr>
        <w:t xml:space="preserve"> « </w:t>
      </w:r>
      <w:r>
        <w:rPr>
          <w:sz w:val="24"/>
          <w:lang w:val="fr-FR"/>
        </w:rPr>
        <w:t>D</w:t>
      </w:r>
      <w:r>
        <w:rPr>
          <w:sz w:val="24"/>
          <w:lang w:val="fr-FR"/>
        </w:rPr>
        <w:t>é</w:t>
      </w:r>
      <w:r>
        <w:rPr>
          <w:sz w:val="24"/>
          <w:lang w:val="fr-FR"/>
        </w:rPr>
        <w:t xml:space="preserve">psychiatriser », </w:t>
      </w:r>
      <w:r>
        <w:rPr>
          <w:sz w:val="24"/>
          <w:lang w:val="fr-FR"/>
        </w:rPr>
        <w:t>a soumis un rapport parallèle</w:t>
      </w:r>
      <w:r>
        <w:rPr>
          <w:sz w:val="24"/>
          <w:lang w:val="fr-FR"/>
        </w:rPr>
        <w:t>[</w:t>
      </w:r>
      <w:r>
        <w:rPr>
          <w:sz w:val="24"/>
          <w:lang w:val="fr-FR"/>
        </w:rPr>
        <w:fldChar w:fldCharType="begin"/>
      </w:r>
      <w:r>
        <w:rPr>
          <w:sz w:val="24"/>
          <w:lang w:val="fr-FR"/>
        </w:rPr>
        <w:instrText> REF __RefNumPara__1422_2129381569 \r \h </w:instrText>
      </w:r>
      <w:r>
        <w:rPr>
          <w:sz w:val="24"/>
          <w:lang w:val="fr-FR"/>
        </w:rPr>
        <w:fldChar w:fldCharType="separate"/>
      </w:r>
      <w:r>
        <w:rPr>
          <w:sz w:val="24"/>
          <w:lang w:val="fr-FR"/>
        </w:rPr>
        <w:t>4</w:t>
      </w:r>
      <w:r>
        <w:rPr>
          <w:sz w:val="24"/>
          <w:lang w:val="fr-FR"/>
        </w:rPr>
        <w:fldChar w:fldCharType="end"/>
      </w:r>
      <w:r>
        <w:rPr>
          <w:sz w:val="24"/>
          <w:lang w:val="fr-FR"/>
        </w:rPr>
        <w:t>]</w:t>
      </w:r>
      <w:r>
        <w:rPr>
          <w:sz w:val="24"/>
          <w:lang w:val="fr-FR"/>
        </w:rPr>
        <w:t xml:space="preserve"> à la</w:t>
      </w:r>
      <w:r>
        <w:rPr>
          <w:sz w:val="24"/>
          <w:lang w:val="fr-FR"/>
        </w:rPr>
        <w:t xml:space="preserve"> 12</w:t>
      </w:r>
      <w:r>
        <w:rPr>
          <w:sz w:val="24"/>
          <w:lang w:val="fr-FR"/>
        </w:rPr>
        <w:t>ème pré-session du Groupe de travail du Comité sur les Droits des Personnes Handicapées de l‘ONU. Nous sommes allés à Genève pour rencontrer les membres du Comité et d’autres intervenants, avec la coalition « Rien pour nous sans nous », du 23 au 27 septembre 2019 [</w:t>
      </w:r>
      <w:r>
        <w:rPr>
          <w:sz w:val="24"/>
          <w:lang w:val="fr-FR"/>
        </w:rPr>
        <w:fldChar w:fldCharType="begin"/>
      </w:r>
      <w:r>
        <w:rPr>
          <w:sz w:val="24"/>
          <w:lang w:val="fr-FR"/>
        </w:rPr>
        <w:instrText> REF __RefNumPara__2869_209580525 \r \h </w:instrText>
      </w:r>
      <w:r>
        <w:rPr>
          <w:sz w:val="24"/>
          <w:lang w:val="fr-FR"/>
        </w:rPr>
        <w:fldChar w:fldCharType="separate"/>
      </w:r>
      <w:r>
        <w:rPr>
          <w:sz w:val="24"/>
          <w:lang w:val="fr-FR"/>
        </w:rPr>
        <w:t>5</w:t>
      </w:r>
      <w:r>
        <w:rPr>
          <w:sz w:val="24"/>
          <w:lang w:val="fr-FR"/>
        </w:rPr>
        <w:fldChar w:fldCharType="end"/>
      </w:r>
      <w:r>
        <w:rPr>
          <w:sz w:val="24"/>
          <w:lang w:val="fr-FR"/>
        </w:rPr>
        <w:t>]</w:t>
      </w:r>
      <w:r>
        <w:rPr>
          <w:sz w:val="24"/>
          <w:lang w:val="fr-FR"/>
        </w:rPr>
        <w:t>.</w:t>
      </w:r>
      <w:r>
        <w:rPr>
          <w:sz w:val="24"/>
          <w:lang w:val="fr-FR"/>
        </w:rPr>
        <w:t xml:space="preserve"> </w:t>
      </w:r>
    </w:p>
    <w:p>
      <w:pPr>
        <w:pStyle w:val="TextBody"/>
        <w:spacing w:lineRule="auto" w:line="276"/>
        <w:jc w:val="both"/>
        <w:rPr>
          <w:rFonts w:ascii="Times New Roman" w:hAnsi="Times New Roman"/>
          <w:sz w:val="24"/>
          <w:lang w:val="fr-FR"/>
        </w:rPr>
      </w:pPr>
      <w:r>
        <w:rPr>
          <w:sz w:val="24"/>
          <w:lang w:val="fr-FR"/>
        </w:rPr>
      </w:r>
    </w:p>
    <w:p>
      <w:pPr>
        <w:pStyle w:val="Heading3"/>
        <w:spacing w:lineRule="auto" w:line="276"/>
        <w:rPr>
          <w:lang w:val="fr-FR"/>
        </w:rPr>
      </w:pPr>
      <w:bookmarkStart w:id="2" w:name="__RefHeading___Toc2395_2773654779"/>
      <w:bookmarkEnd w:id="2"/>
      <w:r>
        <w:rPr>
          <w:lang w:val="fr-FR"/>
        </w:rPr>
        <w:t xml:space="preserve">3) </w:t>
      </w:r>
      <w:r>
        <w:rPr>
          <w:rFonts w:eastAsia="Microsoft YaHei" w:cs="Arial"/>
          <w:b/>
          <w:bCs/>
          <w:sz w:val="32"/>
          <w:szCs w:val="28"/>
          <w:lang w:val="fr-FR"/>
        </w:rPr>
        <w:t>Les articles de la Convention abordés dans ce document</w:t>
      </w:r>
    </w:p>
    <w:p>
      <w:pPr>
        <w:pStyle w:val="TextBody"/>
        <w:spacing w:lineRule="auto" w:line="276"/>
        <w:jc w:val="both"/>
        <w:rPr>
          <w:rFonts w:ascii="Times New Roman" w:hAnsi="Times New Roman"/>
          <w:sz w:val="24"/>
          <w:lang w:val="fr-FR"/>
        </w:rPr>
      </w:pPr>
      <w:r>
        <w:rPr>
          <w:sz w:val="24"/>
          <w:lang w:val="fr-FR"/>
        </w:rPr>
        <w:t>Cette soumission se réfère aux</w:t>
      </w:r>
      <w:r>
        <w:rPr>
          <w:sz w:val="24"/>
          <w:lang w:val="fr-FR"/>
        </w:rPr>
        <w:t xml:space="preserve"> Articles 4, 7, 12, 14, 15, 17, 25, </w:t>
      </w:r>
      <w:r>
        <w:rPr>
          <w:sz w:val="24"/>
          <w:lang w:val="fr-FR"/>
        </w:rPr>
        <w:t>29</w:t>
      </w:r>
      <w:r>
        <w:rPr>
          <w:sz w:val="24"/>
          <w:lang w:val="fr-FR"/>
        </w:rPr>
        <w:t xml:space="preserve"> </w:t>
      </w:r>
      <w:r>
        <w:rPr>
          <w:sz w:val="24"/>
          <w:lang w:val="fr-FR"/>
        </w:rPr>
        <w:t>de la</w:t>
      </w:r>
      <w:r>
        <w:rPr>
          <w:sz w:val="24"/>
          <w:lang w:val="fr-FR"/>
        </w:rPr>
        <w:t xml:space="preserve"> Convention </w:t>
      </w:r>
      <w:r>
        <w:rPr>
          <w:sz w:val="24"/>
          <w:lang w:val="fr-FR"/>
        </w:rPr>
        <w:t xml:space="preserve">vis à vis de la circonscription des personnes avec handicap </w:t>
      </w:r>
      <w:r>
        <w:rPr>
          <w:sz w:val="24"/>
          <w:lang w:val="fr-FR"/>
        </w:rPr>
        <w:t>psychosocial.</w:t>
      </w:r>
    </w:p>
    <w:p>
      <w:pPr>
        <w:pStyle w:val="TextBody"/>
        <w:spacing w:lineRule="auto" w:line="276"/>
        <w:jc w:val="both"/>
        <w:rPr>
          <w:rFonts w:ascii="Times New Roman" w:hAnsi="Times New Roman"/>
          <w:sz w:val="24"/>
          <w:lang w:val="fr-FR"/>
        </w:rPr>
      </w:pPr>
      <w:r>
        <w:rPr>
          <w:sz w:val="24"/>
          <w:lang w:val="fr-FR"/>
        </w:rPr>
      </w:r>
    </w:p>
    <w:p>
      <w:pPr>
        <w:pStyle w:val="Heading3"/>
        <w:spacing w:lineRule="auto" w:line="276"/>
        <w:rPr>
          <w:lang w:val="fr-FR"/>
        </w:rPr>
      </w:pPr>
      <w:bookmarkStart w:id="3" w:name="__RefHeading___Toc2397_2773654779"/>
      <w:bookmarkEnd w:id="3"/>
      <w:r>
        <w:rPr>
          <w:rFonts w:eastAsia="Microsoft YaHei" w:cs="Arial"/>
          <w:b/>
          <w:bCs/>
          <w:sz w:val="32"/>
          <w:szCs w:val="28"/>
          <w:lang w:val="fr-FR"/>
        </w:rPr>
        <w:t>4</w:t>
      </w:r>
      <w:r>
        <w:rPr>
          <w:lang w:val="fr-FR"/>
        </w:rPr>
        <w:t xml:space="preserve">) </w:t>
      </w:r>
      <w:r>
        <w:rPr>
          <w:rFonts w:eastAsia="Microsoft YaHei" w:cs="Arial"/>
          <w:b/>
          <w:bCs/>
          <w:sz w:val="32"/>
          <w:szCs w:val="28"/>
          <w:lang w:val="fr-FR"/>
        </w:rPr>
        <w:t>La</w:t>
      </w:r>
      <w:r>
        <w:rPr>
          <w:lang w:val="fr-FR"/>
        </w:rPr>
        <w:t xml:space="preserve"> </w:t>
      </w:r>
      <w:r>
        <w:rPr>
          <w:lang w:val="fr-FR"/>
        </w:rPr>
        <w:t xml:space="preserve">situation </w:t>
      </w:r>
      <w:r>
        <w:rPr>
          <w:rFonts w:eastAsia="Microsoft YaHei" w:cs="Arial"/>
          <w:b/>
          <w:bCs/>
          <w:sz w:val="32"/>
          <w:szCs w:val="28"/>
          <w:lang w:val="fr-FR"/>
        </w:rPr>
        <w:t>de nos</w:t>
      </w:r>
      <w:r>
        <w:rPr>
          <w:lang w:val="fr-FR"/>
        </w:rPr>
        <w:t xml:space="preserve"> </w:t>
      </w:r>
      <w:r>
        <w:rPr>
          <w:rFonts w:eastAsia="Microsoft YaHei" w:cs="Arial"/>
          <w:b/>
          <w:bCs/>
          <w:sz w:val="32"/>
          <w:szCs w:val="28"/>
          <w:lang w:val="fr-FR"/>
        </w:rPr>
        <w:t>droit</w:t>
      </w:r>
      <w:r>
        <w:rPr>
          <w:lang w:val="fr-FR"/>
        </w:rPr>
        <w:t xml:space="preserve">s </w:t>
      </w:r>
      <w:r>
        <w:rPr>
          <w:rFonts w:eastAsia="Microsoft YaHei" w:cs="Arial"/>
          <w:b/>
          <w:bCs/>
          <w:sz w:val="32"/>
          <w:szCs w:val="28"/>
          <w:lang w:val="fr-FR"/>
        </w:rPr>
        <w:t>e</w:t>
      </w:r>
      <w:r>
        <w:rPr>
          <w:lang w:val="fr-FR"/>
        </w:rPr>
        <w:t>n Franc</w:t>
      </w:r>
      <w:r>
        <w:rPr>
          <w:lang w:val="fr-FR"/>
        </w:rPr>
        <w:t>e</w:t>
      </w:r>
      <w:r>
        <w:rPr>
          <w:lang w:val="fr-FR"/>
        </w:rPr>
        <w:t>.</w:t>
      </w:r>
    </w:p>
    <w:p>
      <w:pPr>
        <w:pStyle w:val="Heading4"/>
        <w:spacing w:lineRule="auto" w:line="276"/>
        <w:rPr>
          <w:lang w:val="fr-FR"/>
        </w:rPr>
      </w:pPr>
      <w:bookmarkStart w:id="4" w:name="__RefHeading___Toc2399_2773654779"/>
      <w:bookmarkEnd w:id="4"/>
      <w:r>
        <w:rPr>
          <w:lang w:val="fr-FR"/>
        </w:rPr>
        <w:t>Article 4 Obligations générales</w:t>
      </w:r>
    </w:p>
    <w:p>
      <w:pPr>
        <w:pStyle w:val="TextBody"/>
        <w:spacing w:lineRule="auto" w:line="276"/>
        <w:jc w:val="both"/>
        <w:rPr>
          <w:rFonts w:ascii="Times New Roman" w:hAnsi="Times New Roman"/>
          <w:sz w:val="24"/>
          <w:lang w:val="fr-FR"/>
        </w:rPr>
      </w:pPr>
      <w:r>
        <w:rPr>
          <w:sz w:val="24"/>
          <w:lang w:val="fr-FR"/>
        </w:rPr>
        <w:t>L’</w:t>
      </w:r>
      <w:r>
        <w:rPr>
          <w:sz w:val="24"/>
          <w:lang w:val="fr-FR"/>
        </w:rPr>
        <w:t xml:space="preserve">Article 4(b) </w:t>
      </w:r>
      <w:r>
        <w:rPr>
          <w:sz w:val="24"/>
          <w:lang w:val="fr-FR"/>
        </w:rPr>
        <w:t>fait</w:t>
      </w:r>
      <w:r>
        <w:rPr>
          <w:sz w:val="24"/>
          <w:lang w:val="fr-FR"/>
        </w:rPr>
        <w:t xml:space="preserve"> </w:t>
      </w:r>
      <w:r>
        <w:rPr>
          <w:sz w:val="24"/>
          <w:lang w:val="fr-FR"/>
        </w:rPr>
        <w:t>une</w:t>
      </w:r>
      <w:r>
        <w:rPr>
          <w:sz w:val="24"/>
          <w:lang w:val="fr-FR"/>
        </w:rPr>
        <w:t xml:space="preserve"> obligation </w:t>
      </w:r>
      <w:r>
        <w:rPr>
          <w:sz w:val="24"/>
          <w:lang w:val="fr-FR"/>
        </w:rPr>
        <w:t>de l’État de modifier, abroger ou abolir les lois discriminatoires.</w:t>
      </w:r>
      <w:r>
        <w:rPr>
          <w:sz w:val="24"/>
          <w:lang w:val="fr-FR"/>
        </w:rPr>
        <w:t xml:space="preserve"> </w:t>
      </w:r>
      <w:r>
        <w:rPr>
          <w:sz w:val="24"/>
          <w:lang w:val="fr-FR"/>
        </w:rPr>
        <w:t>Selon nos correspondants</w:t>
      </w:r>
      <w:r>
        <w:rPr>
          <w:sz w:val="24"/>
          <w:lang w:val="fr-FR"/>
        </w:rPr>
        <w:t xml:space="preserve">, </w:t>
      </w:r>
      <w:r>
        <w:rPr>
          <w:sz w:val="24"/>
          <w:lang w:val="fr-FR"/>
        </w:rPr>
        <w:t xml:space="preserve">les lois françaises discriminatoires qui nous causent le plus de souffrances sont les lois de santé mentale </w:t>
      </w:r>
      <w:r>
        <w:rPr>
          <w:sz w:val="24"/>
          <w:lang w:val="fr-FR"/>
        </w:rPr>
        <w:t>qui autorisent l’hospitalisation psychiatrique forcée et le traitement forcé des personnes avec handicap psychosocial d’une part, et les lois de prise de décision substitu</w:t>
      </w:r>
      <w:r>
        <w:rPr>
          <w:sz w:val="24"/>
          <w:lang w:val="fr-FR"/>
        </w:rPr>
        <w:t>tives</w:t>
      </w:r>
      <w:r>
        <w:rPr>
          <w:sz w:val="24"/>
          <w:lang w:val="fr-FR"/>
        </w:rPr>
        <w:t xml:space="preserve"> dites de « </w:t>
      </w:r>
      <w:r>
        <w:rPr>
          <w:sz w:val="24"/>
          <w:lang w:val="fr-FR"/>
        </w:rPr>
        <w:t xml:space="preserve">protection des majeurs », </w:t>
      </w:r>
      <w:r>
        <w:rPr>
          <w:sz w:val="24"/>
          <w:lang w:val="fr-FR"/>
        </w:rPr>
        <w:t xml:space="preserve">d’autre part. Celles-ci </w:t>
      </w:r>
      <w:r>
        <w:rPr>
          <w:sz w:val="24"/>
          <w:lang w:val="fr-FR"/>
        </w:rPr>
        <w:t>sont, respectivement :</w:t>
      </w:r>
    </w:p>
    <w:p>
      <w:pPr>
        <w:pStyle w:val="TextBody"/>
        <w:spacing w:lineRule="auto" w:line="276"/>
        <w:jc w:val="both"/>
        <w:rPr>
          <w:lang w:val="fr-FR"/>
        </w:rPr>
      </w:pPr>
      <w:r>
        <w:rPr>
          <w:sz w:val="24"/>
          <w:lang w:val="fr-FR"/>
        </w:rPr>
        <w:t>- L</w:t>
      </w:r>
      <w:r>
        <w:rPr>
          <w:sz w:val="24"/>
          <w:lang w:val="fr-FR"/>
        </w:rPr>
        <w:t xml:space="preserve">es </w:t>
      </w:r>
      <w:r>
        <w:rPr>
          <w:sz w:val="24"/>
          <w:lang w:val="fr-FR"/>
        </w:rPr>
        <w:t xml:space="preserve">Articles L3211 </w:t>
      </w:r>
      <w:r>
        <w:rPr>
          <w:sz w:val="24"/>
          <w:lang w:val="fr-FR"/>
        </w:rPr>
        <w:t>à</w:t>
      </w:r>
      <w:r>
        <w:rPr>
          <w:sz w:val="24"/>
          <w:lang w:val="fr-FR"/>
        </w:rPr>
        <w:t xml:space="preserve"> L3213 </w:t>
      </w:r>
      <w:r>
        <w:rPr>
          <w:sz w:val="24"/>
          <w:lang w:val="fr-FR"/>
        </w:rPr>
        <w:t>du Code de Santé Publique [</w:t>
      </w:r>
      <w:r>
        <w:rPr>
          <w:sz w:val="24"/>
          <w:lang w:val="fr-FR"/>
        </w:rPr>
        <w:fldChar w:fldCharType="begin"/>
      </w:r>
      <w:r>
        <w:rPr>
          <w:sz w:val="24"/>
          <w:lang w:val="fr-FR"/>
        </w:rPr>
        <w:instrText> REF __RefNumPara__1649_234535675 \r \h </w:instrText>
      </w:r>
      <w:r>
        <w:rPr>
          <w:sz w:val="24"/>
          <w:lang w:val="fr-FR"/>
        </w:rPr>
        <w:fldChar w:fldCharType="separate"/>
      </w:r>
      <w:r>
        <w:rPr>
          <w:sz w:val="24"/>
          <w:lang w:val="fr-FR"/>
        </w:rPr>
        <w:t>7</w:t>
      </w:r>
      <w:r>
        <w:rPr>
          <w:sz w:val="24"/>
          <w:lang w:val="fr-FR"/>
        </w:rPr>
        <w:fldChar w:fldCharType="end"/>
      </w:r>
      <w:r>
        <w:rPr>
          <w:sz w:val="24"/>
          <w:lang w:val="fr-FR"/>
        </w:rPr>
        <w:t xml:space="preserve">]. </w:t>
      </w:r>
      <w:r>
        <w:rPr>
          <w:sz w:val="24"/>
          <w:lang w:val="fr-FR"/>
        </w:rPr>
        <w:t>La discrimination tient dans le fait que la personne doit « être atteinte d’un trouble mental ». En d’autres termes, la personne doit être avec handicap psychosocial. C’est dans l’</w:t>
      </w:r>
      <w:r>
        <w:rPr>
          <w:sz w:val="24"/>
          <w:lang w:val="fr-FR"/>
        </w:rPr>
        <w:t xml:space="preserve">Article L3211-3 </w:t>
      </w:r>
      <w:r>
        <w:rPr>
          <w:sz w:val="24"/>
          <w:lang w:val="fr-FR"/>
        </w:rPr>
        <w:t>[</w:t>
      </w:r>
      <w:r>
        <w:rPr>
          <w:sz w:val="24"/>
          <w:lang w:val="fr-FR"/>
        </w:rPr>
        <w:fldChar w:fldCharType="begin"/>
      </w:r>
      <w:r>
        <w:rPr>
          <w:sz w:val="24"/>
          <w:lang w:val="fr-FR"/>
        </w:rPr>
        <w:instrText> REF __RefNumPara__5469_2140865594 \r \h </w:instrText>
      </w:r>
      <w:r>
        <w:rPr>
          <w:sz w:val="24"/>
          <w:lang w:val="fr-FR"/>
        </w:rPr>
        <w:fldChar w:fldCharType="separate"/>
      </w:r>
      <w:r>
        <w:rPr>
          <w:sz w:val="24"/>
          <w:lang w:val="fr-FR"/>
        </w:rPr>
        <w:t>8</w:t>
      </w:r>
      <w:r>
        <w:rPr>
          <w:sz w:val="24"/>
          <w:lang w:val="fr-FR"/>
        </w:rPr>
        <w:fldChar w:fldCharType="end"/>
      </w:r>
      <w:r>
        <w:rPr>
          <w:sz w:val="24"/>
          <w:lang w:val="fr-FR"/>
        </w:rPr>
        <w:t>]</w:t>
      </w:r>
      <w:r>
        <w:rPr>
          <w:sz w:val="24"/>
          <w:lang w:val="fr-FR"/>
        </w:rPr>
        <w:t>.</w:t>
      </w:r>
    </w:p>
    <w:p>
      <w:pPr>
        <w:pStyle w:val="TextBody"/>
        <w:spacing w:lineRule="auto" w:line="276"/>
        <w:jc w:val="both"/>
        <w:rPr>
          <w:rFonts w:ascii="Times New Roman" w:hAnsi="Times New Roman"/>
          <w:sz w:val="24"/>
          <w:lang w:val="fr-FR"/>
        </w:rPr>
      </w:pPr>
      <w:r>
        <w:rPr>
          <w:sz w:val="24"/>
          <w:lang w:val="fr-FR"/>
        </w:rPr>
        <w:t xml:space="preserve">- </w:t>
      </w:r>
      <w:r>
        <w:rPr>
          <w:sz w:val="24"/>
          <w:lang w:val="fr-FR"/>
        </w:rPr>
        <w:t xml:space="preserve">Les </w:t>
      </w:r>
      <w:r>
        <w:rPr>
          <w:sz w:val="24"/>
          <w:lang w:val="fr-FR"/>
        </w:rPr>
        <w:t xml:space="preserve">Articles 414 </w:t>
      </w:r>
      <w:r>
        <w:rPr>
          <w:sz w:val="24"/>
          <w:lang w:val="fr-FR"/>
        </w:rPr>
        <w:t>à</w:t>
      </w:r>
      <w:r>
        <w:rPr>
          <w:sz w:val="24"/>
          <w:lang w:val="fr-FR"/>
        </w:rPr>
        <w:t xml:space="preserve"> 495-9 </w:t>
      </w:r>
      <w:r>
        <w:rPr>
          <w:sz w:val="24"/>
          <w:lang w:val="fr-FR"/>
        </w:rPr>
        <w:t xml:space="preserve">du Code Civil </w:t>
      </w:r>
      <w:r>
        <w:rPr>
          <w:sz w:val="24"/>
          <w:lang w:val="fr-FR"/>
        </w:rPr>
        <w:t>[</w:t>
      </w:r>
      <w:r>
        <w:rPr>
          <w:sz w:val="24"/>
          <w:lang w:val="fr-FR"/>
        </w:rPr>
        <w:fldChar w:fldCharType="begin"/>
      </w:r>
      <w:r>
        <w:rPr>
          <w:sz w:val="24"/>
          <w:lang w:val="fr-FR"/>
        </w:rPr>
        <w:instrText> REF __RefNumPara__1657_234535675 \r \h </w:instrText>
      </w:r>
      <w:r>
        <w:rPr>
          <w:sz w:val="24"/>
          <w:lang w:val="fr-FR"/>
        </w:rPr>
        <w:fldChar w:fldCharType="separate"/>
      </w:r>
      <w:r>
        <w:rPr>
          <w:sz w:val="24"/>
          <w:lang w:val="fr-FR"/>
        </w:rPr>
        <w:t>9</w:t>
      </w:r>
      <w:r>
        <w:rPr>
          <w:sz w:val="24"/>
          <w:lang w:val="fr-FR"/>
        </w:rPr>
        <w:fldChar w:fldCharType="end"/>
      </w:r>
      <w:r>
        <w:rPr>
          <w:sz w:val="24"/>
          <w:lang w:val="fr-FR"/>
        </w:rPr>
        <w:t xml:space="preserve">]. </w:t>
      </w:r>
      <w:r>
        <w:rPr>
          <w:sz w:val="24"/>
          <w:lang w:val="fr-FR"/>
        </w:rPr>
        <w:t>La</w:t>
      </w:r>
      <w:r>
        <w:rPr>
          <w:sz w:val="24"/>
          <w:lang w:val="fr-FR"/>
        </w:rPr>
        <w:t xml:space="preserve"> discrimination </w:t>
      </w:r>
      <w:r>
        <w:rPr>
          <w:sz w:val="24"/>
          <w:lang w:val="fr-FR"/>
        </w:rPr>
        <w:t>tient dans le fait que la mesure est décidée sur une personne qui « a une altération de ses facultés mentales ou corporelles ».</w:t>
      </w:r>
      <w:r>
        <w:rPr>
          <w:sz w:val="24"/>
          <w:lang w:val="fr-FR"/>
        </w:rPr>
        <w:t xml:space="preserve"> </w:t>
      </w:r>
      <w:r>
        <w:rPr>
          <w:sz w:val="24"/>
          <w:lang w:val="fr-FR"/>
        </w:rPr>
        <w:t xml:space="preserve">En d’autres termes, la personne doit être avec handicap, </w:t>
      </w:r>
      <w:r>
        <w:rPr>
          <w:sz w:val="24"/>
          <w:lang w:val="fr-FR"/>
        </w:rPr>
        <w:t xml:space="preserve">et </w:t>
      </w:r>
      <w:r>
        <w:rPr>
          <w:sz w:val="24"/>
          <w:lang w:val="fr-FR"/>
        </w:rPr>
        <w:t xml:space="preserve">« l’altération des facultés mentales » inclut le handicap psychosocial. C’est dans l’Article </w:t>
      </w:r>
      <w:r>
        <w:rPr>
          <w:sz w:val="24"/>
          <w:lang w:val="fr-FR"/>
        </w:rPr>
        <w:t xml:space="preserve">425 </w:t>
      </w:r>
      <w:r>
        <w:rPr>
          <w:sz w:val="24"/>
          <w:lang w:val="fr-FR"/>
        </w:rPr>
        <w:t>[</w:t>
      </w:r>
      <w:r>
        <w:rPr>
          <w:sz w:val="24"/>
          <w:lang w:val="fr-FR"/>
        </w:rPr>
        <w:fldChar w:fldCharType="begin"/>
      </w:r>
      <w:r>
        <w:rPr>
          <w:sz w:val="24"/>
          <w:lang w:val="fr-FR"/>
        </w:rPr>
        <w:instrText> REF __RefNumPara__5471_2140865594 \r \h </w:instrText>
      </w:r>
      <w:r>
        <w:rPr>
          <w:sz w:val="24"/>
          <w:lang w:val="fr-FR"/>
        </w:rPr>
        <w:fldChar w:fldCharType="separate"/>
      </w:r>
      <w:r>
        <w:rPr>
          <w:sz w:val="24"/>
          <w:lang w:val="fr-FR"/>
        </w:rPr>
        <w:t>10</w:t>
      </w:r>
      <w:r>
        <w:rPr>
          <w:sz w:val="24"/>
          <w:lang w:val="fr-FR"/>
        </w:rPr>
        <w:fldChar w:fldCharType="end"/>
      </w:r>
      <w:r>
        <w:rPr>
          <w:sz w:val="24"/>
          <w:lang w:val="fr-FR"/>
        </w:rPr>
        <w:t>]</w:t>
      </w:r>
      <w:r>
        <w:rPr>
          <w:sz w:val="24"/>
          <w:lang w:val="fr-FR"/>
        </w:rPr>
        <w:t>.</w:t>
      </w:r>
    </w:p>
    <w:p>
      <w:pPr>
        <w:pStyle w:val="TextBody"/>
        <w:spacing w:lineRule="auto" w:line="276"/>
        <w:jc w:val="both"/>
        <w:rPr>
          <w:rFonts w:ascii="Times New Roman" w:hAnsi="Times New Roman"/>
          <w:sz w:val="24"/>
          <w:lang w:val="fr-FR"/>
        </w:rPr>
      </w:pPr>
      <w:r>
        <w:rPr>
          <w:sz w:val="24"/>
          <w:lang w:val="fr-FR"/>
        </w:rPr>
      </w:r>
    </w:p>
    <w:p>
      <w:pPr>
        <w:pStyle w:val="Heading4"/>
        <w:spacing w:lineRule="auto" w:line="276"/>
        <w:rPr>
          <w:lang w:val="fr-FR"/>
        </w:rPr>
      </w:pPr>
      <w:bookmarkStart w:id="5" w:name="__RefHeading___Toc2401_2773654779"/>
      <w:bookmarkEnd w:id="5"/>
      <w:r>
        <w:rPr>
          <w:lang w:val="fr-FR"/>
        </w:rPr>
        <w:t>Article 7 Enfants handicapés</w:t>
      </w:r>
    </w:p>
    <w:p>
      <w:pPr>
        <w:pStyle w:val="TextBody"/>
        <w:spacing w:lineRule="auto" w:line="276"/>
        <w:jc w:val="both"/>
        <w:rPr>
          <w:rFonts w:ascii="Times New Roman" w:hAnsi="Times New Roman"/>
          <w:sz w:val="24"/>
          <w:lang w:val="fr-FR"/>
        </w:rPr>
      </w:pPr>
      <w:r>
        <w:rPr>
          <w:sz w:val="24"/>
          <w:lang w:val="fr-FR"/>
        </w:rPr>
        <w:t>En</w:t>
      </w:r>
      <w:r>
        <w:rPr>
          <w:sz w:val="24"/>
          <w:lang w:val="fr-FR"/>
        </w:rPr>
        <w:t xml:space="preserve"> 2018, </w:t>
      </w:r>
      <w:r>
        <w:rPr>
          <w:sz w:val="24"/>
          <w:lang w:val="fr-FR"/>
        </w:rPr>
        <w:t xml:space="preserve">il y avait en </w:t>
      </w:r>
      <w:r>
        <w:rPr>
          <w:sz w:val="24"/>
          <w:lang w:val="fr-FR"/>
        </w:rPr>
        <w:t xml:space="preserve">France 108 900 </w:t>
      </w:r>
      <w:r>
        <w:rPr>
          <w:sz w:val="24"/>
          <w:lang w:val="fr-FR"/>
        </w:rPr>
        <w:t>enfants</w:t>
      </w:r>
      <w:r>
        <w:rPr>
          <w:sz w:val="24"/>
          <w:lang w:val="fr-FR"/>
        </w:rPr>
        <w:t xml:space="preserve"> institution</w:t>
      </w:r>
      <w:r>
        <w:rPr>
          <w:sz w:val="24"/>
          <w:lang w:val="fr-FR"/>
        </w:rPr>
        <w:t>n</w:t>
      </w:r>
      <w:r>
        <w:rPr>
          <w:sz w:val="24"/>
          <w:lang w:val="fr-FR"/>
        </w:rPr>
        <w:t>ali</w:t>
      </w:r>
      <w:r>
        <w:rPr>
          <w:sz w:val="24"/>
          <w:lang w:val="fr-FR"/>
        </w:rPr>
        <w:t>sés</w:t>
      </w:r>
      <w:r>
        <w:rPr>
          <w:sz w:val="24"/>
          <w:lang w:val="fr-FR"/>
        </w:rPr>
        <w:t xml:space="preserve"> </w:t>
      </w:r>
      <w:r>
        <w:rPr>
          <w:sz w:val="24"/>
          <w:lang w:val="fr-FR"/>
        </w:rPr>
        <w:t>en</w:t>
      </w:r>
      <w:r>
        <w:rPr>
          <w:sz w:val="24"/>
          <w:lang w:val="fr-FR"/>
        </w:rPr>
        <w:t xml:space="preserve"> </w:t>
      </w:r>
      <w:r>
        <w:rPr>
          <w:sz w:val="24"/>
          <w:lang w:val="fr-FR"/>
        </w:rPr>
        <w:t>i</w:t>
      </w:r>
      <w:r>
        <w:rPr>
          <w:sz w:val="24"/>
          <w:lang w:val="fr-FR"/>
        </w:rPr>
        <w:t>nstituts médico-éducatifs</w:t>
      </w:r>
      <w:r>
        <w:rPr>
          <w:sz w:val="24"/>
          <w:lang w:val="fr-FR"/>
        </w:rPr>
        <w:t xml:space="preserve"> (</w:t>
      </w:r>
      <w:r>
        <w:rPr>
          <w:sz w:val="24"/>
          <w:lang w:val="fr-FR"/>
        </w:rPr>
        <w:t>I</w:t>
      </w:r>
      <w:r>
        <w:rPr>
          <w:sz w:val="24"/>
          <w:lang w:val="fr-FR"/>
        </w:rPr>
        <w:t xml:space="preserve">ME) </w:t>
      </w:r>
      <w:r>
        <w:rPr>
          <w:sz w:val="24"/>
          <w:lang w:val="fr-FR"/>
        </w:rPr>
        <w:t>et</w:t>
      </w:r>
      <w:r>
        <w:rPr>
          <w:sz w:val="24"/>
          <w:lang w:val="fr-FR"/>
        </w:rPr>
        <w:t xml:space="preserve"> 15 980 </w:t>
      </w:r>
      <w:r>
        <w:rPr>
          <w:sz w:val="24"/>
          <w:lang w:val="fr-FR"/>
        </w:rPr>
        <w:t xml:space="preserve">enfants en </w:t>
      </w:r>
      <w:r>
        <w:rPr>
          <w:sz w:val="24"/>
          <w:lang w:val="fr-FR"/>
        </w:rPr>
        <w:t>i</w:t>
      </w:r>
      <w:r>
        <w:rPr>
          <w:sz w:val="24"/>
          <w:lang w:val="fr-FR"/>
        </w:rPr>
        <w:t>nstituts thérapeutiques, éducatifs et pédagogiques</w:t>
      </w:r>
      <w:r>
        <w:rPr>
          <w:sz w:val="24"/>
          <w:lang w:val="fr-FR"/>
        </w:rPr>
        <w:t xml:space="preserve"> (</w:t>
      </w:r>
      <w:r>
        <w:rPr>
          <w:sz w:val="24"/>
          <w:lang w:val="fr-FR"/>
        </w:rPr>
        <w:t>I</w:t>
      </w:r>
      <w:r>
        <w:rPr>
          <w:sz w:val="24"/>
          <w:lang w:val="fr-FR"/>
        </w:rPr>
        <w:t>TEP)[</w:t>
      </w:r>
      <w:r>
        <w:rPr>
          <w:sz w:val="24"/>
          <w:lang w:val="fr-FR"/>
        </w:rPr>
        <w:fldChar w:fldCharType="begin"/>
      </w:r>
      <w:r>
        <w:rPr>
          <w:sz w:val="24"/>
          <w:lang w:val="fr-FR"/>
        </w:rPr>
        <w:instrText> REF __RefNumPara__1893_234535675 \r \h </w:instrText>
      </w:r>
      <w:r>
        <w:rPr>
          <w:sz w:val="24"/>
          <w:lang w:val="fr-FR"/>
        </w:rPr>
        <w:fldChar w:fldCharType="separate"/>
      </w:r>
      <w:r>
        <w:rPr>
          <w:sz w:val="24"/>
          <w:lang w:val="fr-FR"/>
        </w:rPr>
        <w:t>11</w:t>
      </w:r>
      <w:r>
        <w:rPr>
          <w:sz w:val="24"/>
          <w:lang w:val="fr-FR"/>
        </w:rPr>
        <w:fldChar w:fldCharType="end"/>
      </w:r>
      <w:r>
        <w:rPr>
          <w:sz w:val="24"/>
          <w:lang w:val="fr-FR"/>
        </w:rPr>
        <w:t>][</w:t>
      </w:r>
      <w:r>
        <w:rPr>
          <w:sz w:val="24"/>
          <w:lang w:val="fr-FR"/>
        </w:rPr>
        <w:fldChar w:fldCharType="begin"/>
      </w:r>
      <w:r>
        <w:rPr>
          <w:sz w:val="24"/>
          <w:lang w:val="fr-FR"/>
        </w:rPr>
        <w:instrText> REF __RefNumPara__1895_234535675 \r \h </w:instrText>
      </w:r>
      <w:r>
        <w:rPr>
          <w:sz w:val="24"/>
          <w:lang w:val="fr-FR"/>
        </w:rPr>
        <w:fldChar w:fldCharType="separate"/>
      </w:r>
      <w:r>
        <w:rPr>
          <w:sz w:val="24"/>
          <w:lang w:val="fr-FR"/>
        </w:rPr>
        <w:t>13</w:t>
      </w:r>
      <w:r>
        <w:rPr>
          <w:sz w:val="24"/>
          <w:lang w:val="fr-FR"/>
        </w:rPr>
        <w:fldChar w:fldCharType="end"/>
      </w:r>
      <w:r>
        <w:rPr>
          <w:sz w:val="24"/>
          <w:lang w:val="fr-FR"/>
        </w:rPr>
        <w:t>].</w:t>
      </w:r>
      <w:r>
        <w:rPr>
          <w:sz w:val="24"/>
          <w:lang w:val="fr-FR"/>
        </w:rPr>
        <w:t xml:space="preserve"> </w:t>
      </w:r>
      <w:r>
        <w:rPr>
          <w:sz w:val="24"/>
          <w:lang w:val="fr-FR"/>
        </w:rPr>
        <w:t xml:space="preserve">Nous déplorons le défaut d’information des professionnels et du public à propos des alternatives communautaires. Nous suggérons de redistribuer le budget depuis les institutions vers les services, selon l’exemple de la Belgique, du Brésil et du Pérou </w:t>
      </w:r>
      <w:r>
        <w:rPr>
          <w:sz w:val="24"/>
          <w:lang w:val="fr-FR"/>
        </w:rPr>
        <w:t>[</w:t>
      </w:r>
      <w:r>
        <w:rPr>
          <w:sz w:val="24"/>
          <w:lang w:val="fr-FR"/>
        </w:rPr>
        <w:fldChar w:fldCharType="begin"/>
      </w:r>
      <w:r>
        <w:rPr>
          <w:sz w:val="24"/>
          <w:lang w:val="fr-FR"/>
        </w:rPr>
        <w:instrText> REF __RefNumPara__3246_3168646960 \r \h </w:instrText>
      </w:r>
      <w:r>
        <w:rPr>
          <w:sz w:val="24"/>
          <w:lang w:val="fr-FR"/>
        </w:rPr>
        <w:fldChar w:fldCharType="separate"/>
      </w:r>
      <w:r>
        <w:rPr>
          <w:sz w:val="24"/>
          <w:lang w:val="fr-FR"/>
        </w:rPr>
        <w:t>81</w:t>
      </w:r>
      <w:r>
        <w:rPr>
          <w:sz w:val="24"/>
          <w:lang w:val="fr-FR"/>
        </w:rPr>
        <w:fldChar w:fldCharType="end"/>
      </w:r>
      <w:r>
        <w:rPr>
          <w:sz w:val="24"/>
          <w:lang w:val="fr-FR"/>
        </w:rPr>
        <w:t xml:space="preserve">]. </w:t>
      </w:r>
      <w:r>
        <w:rPr>
          <w:sz w:val="24"/>
          <w:lang w:val="fr-FR"/>
        </w:rPr>
        <w:t>L’enfant doit être consulté</w:t>
      </w:r>
      <w:r>
        <w:rPr>
          <w:sz w:val="24"/>
          <w:lang w:val="fr-FR"/>
        </w:rPr>
        <w:t>.</w:t>
      </w:r>
    </w:p>
    <w:p>
      <w:pPr>
        <w:pStyle w:val="TextBody"/>
        <w:spacing w:lineRule="auto" w:line="276"/>
        <w:jc w:val="both"/>
        <w:rPr>
          <w:rFonts w:ascii="Times New Roman" w:hAnsi="Times New Roman"/>
          <w:sz w:val="24"/>
          <w:lang w:val="fr-FR"/>
        </w:rPr>
      </w:pPr>
      <w:r>
        <w:rPr>
          <w:sz w:val="24"/>
          <w:lang w:val="fr-FR"/>
        </w:rPr>
        <w:t xml:space="preserve">En </w:t>
      </w:r>
      <w:r>
        <w:rPr>
          <w:sz w:val="24"/>
          <w:lang w:val="fr-FR"/>
        </w:rPr>
        <w:t xml:space="preserve">France, </w:t>
      </w:r>
      <w:r>
        <w:rPr>
          <w:sz w:val="24"/>
          <w:lang w:val="fr-FR"/>
        </w:rPr>
        <w:t xml:space="preserve">il est prescrit aux enfants et aux adolescents des médicaments psychiatriques qui endommagent la santé, à partir de conceptions erronées </w:t>
      </w:r>
      <w:r>
        <w:rPr>
          <w:sz w:val="24"/>
          <w:lang w:val="fr-FR"/>
        </w:rPr>
        <w:t>[</w:t>
      </w:r>
      <w:r>
        <w:rPr>
          <w:sz w:val="24"/>
          <w:lang w:val="fr-FR"/>
        </w:rPr>
        <w:fldChar w:fldCharType="begin"/>
      </w:r>
      <w:r>
        <w:rPr>
          <w:sz w:val="24"/>
          <w:lang w:val="fr-FR"/>
        </w:rPr>
        <w:instrText> REF __RefNumPara__3148_234535675 \r \h </w:instrText>
      </w:r>
      <w:r>
        <w:rPr>
          <w:sz w:val="24"/>
          <w:lang w:val="fr-FR"/>
        </w:rPr>
        <w:fldChar w:fldCharType="separate"/>
      </w:r>
      <w:r>
        <w:rPr>
          <w:sz w:val="24"/>
          <w:lang w:val="fr-FR"/>
        </w:rPr>
        <w:t>16</w:t>
      </w:r>
      <w:r>
        <w:rPr>
          <w:sz w:val="24"/>
          <w:lang w:val="fr-FR"/>
        </w:rPr>
        <w:fldChar w:fldCharType="end"/>
      </w:r>
      <w:r>
        <w:rPr>
          <w:sz w:val="24"/>
          <w:lang w:val="fr-FR"/>
        </w:rPr>
        <w:t>][</w:t>
      </w:r>
      <w:r>
        <w:rPr>
          <w:sz w:val="24"/>
          <w:lang w:val="fr-FR"/>
        </w:rPr>
        <w:fldChar w:fldCharType="begin"/>
      </w:r>
      <w:r>
        <w:rPr>
          <w:sz w:val="24"/>
          <w:lang w:val="fr-FR"/>
        </w:rPr>
        <w:instrText> REF __RefNumPara__3173_234535675 \r \h </w:instrText>
      </w:r>
      <w:r>
        <w:rPr>
          <w:sz w:val="24"/>
          <w:lang w:val="fr-FR"/>
        </w:rPr>
        <w:fldChar w:fldCharType="separate"/>
      </w:r>
      <w:r>
        <w:rPr>
          <w:sz w:val="24"/>
          <w:lang w:val="fr-FR"/>
        </w:rPr>
        <w:t>17</w:t>
      </w:r>
      <w:r>
        <w:rPr>
          <w:sz w:val="24"/>
          <w:lang w:val="fr-FR"/>
        </w:rPr>
        <w:fldChar w:fldCharType="end"/>
      </w:r>
      <w:r>
        <w:rPr>
          <w:sz w:val="24"/>
          <w:lang w:val="fr-FR"/>
        </w:rPr>
        <w:t>][</w:t>
      </w:r>
      <w:r>
        <w:rPr>
          <w:sz w:val="24"/>
          <w:lang w:val="fr-FR"/>
        </w:rPr>
        <w:fldChar w:fldCharType="begin"/>
      </w:r>
      <w:r>
        <w:rPr>
          <w:sz w:val="24"/>
          <w:lang w:val="fr-FR"/>
        </w:rPr>
        <w:instrText> REF __RefNumPara__3175_234535675 \r \h </w:instrText>
      </w:r>
      <w:r>
        <w:rPr>
          <w:sz w:val="24"/>
          <w:lang w:val="fr-FR"/>
        </w:rPr>
        <w:fldChar w:fldCharType="separate"/>
      </w:r>
      <w:r>
        <w:rPr>
          <w:sz w:val="24"/>
          <w:lang w:val="fr-FR"/>
        </w:rPr>
        <w:t>20</w:t>
      </w:r>
      <w:r>
        <w:rPr>
          <w:sz w:val="24"/>
          <w:lang w:val="fr-FR"/>
        </w:rPr>
        <w:fldChar w:fldCharType="end"/>
      </w:r>
      <w:r>
        <w:rPr>
          <w:sz w:val="24"/>
          <w:lang w:val="fr-FR"/>
        </w:rPr>
        <w:t>][</w:t>
      </w:r>
      <w:r>
        <w:rPr>
          <w:sz w:val="24"/>
          <w:lang w:val="fr-FR"/>
        </w:rPr>
        <w:fldChar w:fldCharType="begin"/>
      </w:r>
      <w:r>
        <w:rPr>
          <w:sz w:val="24"/>
          <w:lang w:val="fr-FR"/>
        </w:rPr>
        <w:instrText> REF __RefNumPara__3177_234535675 \r \h </w:instrText>
      </w:r>
      <w:r>
        <w:rPr>
          <w:sz w:val="24"/>
          <w:lang w:val="fr-FR"/>
        </w:rPr>
        <w:fldChar w:fldCharType="separate"/>
      </w:r>
      <w:r>
        <w:rPr>
          <w:sz w:val="24"/>
          <w:lang w:val="fr-FR"/>
        </w:rPr>
        <w:t>21</w:t>
      </w:r>
      <w:r>
        <w:rPr>
          <w:sz w:val="24"/>
          <w:lang w:val="fr-FR"/>
        </w:rPr>
        <w:fldChar w:fldCharType="end"/>
      </w:r>
      <w:r>
        <w:rPr>
          <w:sz w:val="24"/>
          <w:lang w:val="fr-FR"/>
        </w:rPr>
        <w:t>][</w:t>
      </w:r>
      <w:r>
        <w:rPr>
          <w:sz w:val="24"/>
          <w:lang w:val="fr-FR"/>
        </w:rPr>
        <w:fldChar w:fldCharType="begin"/>
      </w:r>
      <w:r>
        <w:rPr>
          <w:sz w:val="24"/>
          <w:lang w:val="fr-FR"/>
        </w:rPr>
        <w:instrText> REF __RefNumPara__3179_234535675 \r \h </w:instrText>
      </w:r>
      <w:r>
        <w:rPr>
          <w:sz w:val="24"/>
          <w:lang w:val="fr-FR"/>
        </w:rPr>
        <w:fldChar w:fldCharType="separate"/>
      </w:r>
      <w:r>
        <w:rPr>
          <w:sz w:val="24"/>
          <w:lang w:val="fr-FR"/>
        </w:rPr>
        <w:t>22</w:t>
      </w:r>
      <w:r>
        <w:rPr>
          <w:sz w:val="24"/>
          <w:lang w:val="fr-FR"/>
        </w:rPr>
        <w:fldChar w:fldCharType="end"/>
      </w:r>
      <w:r>
        <w:rPr>
          <w:sz w:val="24"/>
          <w:lang w:val="fr-FR"/>
        </w:rPr>
        <w:t>][</w:t>
      </w:r>
      <w:r>
        <w:rPr>
          <w:sz w:val="24"/>
          <w:lang w:val="fr-FR"/>
        </w:rPr>
        <w:fldChar w:fldCharType="begin"/>
      </w:r>
      <w:r>
        <w:rPr>
          <w:sz w:val="24"/>
          <w:lang w:val="fr-FR"/>
        </w:rPr>
        <w:instrText> REF __RefNumPara__3181_234535675 \r \h </w:instrText>
      </w:r>
      <w:r>
        <w:rPr>
          <w:sz w:val="24"/>
          <w:lang w:val="fr-FR"/>
        </w:rPr>
        <w:fldChar w:fldCharType="separate"/>
      </w:r>
      <w:r>
        <w:rPr>
          <w:sz w:val="24"/>
          <w:lang w:val="fr-FR"/>
        </w:rPr>
        <w:t>25</w:t>
      </w:r>
      <w:r>
        <w:rPr>
          <w:sz w:val="24"/>
          <w:lang w:val="fr-FR"/>
        </w:rPr>
        <w:fldChar w:fldCharType="end"/>
      </w:r>
      <w:r>
        <w:rPr>
          <w:sz w:val="24"/>
          <w:lang w:val="fr-FR"/>
        </w:rPr>
        <w:t>][</w:t>
      </w:r>
      <w:r>
        <w:rPr>
          <w:sz w:val="24"/>
          <w:lang w:val="fr-FR"/>
        </w:rPr>
        <w:fldChar w:fldCharType="begin"/>
      </w:r>
      <w:r>
        <w:rPr>
          <w:sz w:val="24"/>
          <w:lang w:val="fr-FR"/>
        </w:rPr>
        <w:instrText> REF __RefNumPara__3183_234535675 \r \h </w:instrText>
      </w:r>
      <w:r>
        <w:rPr>
          <w:sz w:val="24"/>
          <w:lang w:val="fr-FR"/>
        </w:rPr>
        <w:fldChar w:fldCharType="separate"/>
      </w:r>
      <w:r>
        <w:rPr>
          <w:sz w:val="24"/>
          <w:lang w:val="fr-FR"/>
        </w:rPr>
        <w:t>26</w:t>
      </w:r>
      <w:r>
        <w:rPr>
          <w:sz w:val="24"/>
          <w:lang w:val="fr-FR"/>
        </w:rPr>
        <w:fldChar w:fldCharType="end"/>
      </w:r>
      <w:r>
        <w:rPr>
          <w:sz w:val="24"/>
          <w:lang w:val="fr-FR"/>
        </w:rPr>
        <w:t>][</w:t>
      </w:r>
      <w:r>
        <w:rPr>
          <w:sz w:val="24"/>
          <w:lang w:val="fr-FR"/>
        </w:rPr>
        <w:fldChar w:fldCharType="begin"/>
      </w:r>
      <w:r>
        <w:rPr>
          <w:sz w:val="24"/>
          <w:lang w:val="fr-FR"/>
        </w:rPr>
        <w:instrText> REF __RefNumPara__3185_234535675 \r \h </w:instrText>
      </w:r>
      <w:r>
        <w:rPr>
          <w:sz w:val="24"/>
          <w:lang w:val="fr-FR"/>
        </w:rPr>
        <w:fldChar w:fldCharType="separate"/>
      </w:r>
      <w:r>
        <w:rPr>
          <w:sz w:val="24"/>
          <w:lang w:val="fr-FR"/>
        </w:rPr>
        <w:t>27</w:t>
      </w:r>
      <w:r>
        <w:rPr>
          <w:sz w:val="24"/>
          <w:lang w:val="fr-FR"/>
        </w:rPr>
        <w:fldChar w:fldCharType="end"/>
      </w:r>
      <w:r>
        <w:rPr>
          <w:sz w:val="24"/>
          <w:lang w:val="fr-FR"/>
        </w:rPr>
        <w:t>][</w:t>
      </w:r>
      <w:r>
        <w:rPr>
          <w:sz w:val="24"/>
          <w:lang w:val="fr-FR"/>
        </w:rPr>
        <w:fldChar w:fldCharType="begin"/>
      </w:r>
      <w:r>
        <w:rPr>
          <w:sz w:val="24"/>
          <w:lang w:val="fr-FR"/>
        </w:rPr>
        <w:instrText> REF __RefNumPara__3187_234535675 \r \h </w:instrText>
      </w:r>
      <w:r>
        <w:rPr>
          <w:sz w:val="24"/>
          <w:lang w:val="fr-FR"/>
        </w:rPr>
        <w:fldChar w:fldCharType="separate"/>
      </w:r>
      <w:r>
        <w:rPr>
          <w:sz w:val="24"/>
          <w:lang w:val="fr-FR"/>
        </w:rPr>
        <w:t>29</w:t>
      </w:r>
      <w:r>
        <w:rPr>
          <w:sz w:val="24"/>
          <w:lang w:val="fr-FR"/>
        </w:rPr>
        <w:fldChar w:fldCharType="end"/>
      </w:r>
      <w:r>
        <w:rPr>
          <w:sz w:val="24"/>
          <w:lang w:val="fr-FR"/>
        </w:rPr>
        <w:t>][</w:t>
      </w:r>
      <w:r>
        <w:rPr>
          <w:sz w:val="24"/>
          <w:lang w:val="fr-FR"/>
        </w:rPr>
        <w:fldChar w:fldCharType="begin"/>
      </w:r>
      <w:r>
        <w:rPr>
          <w:sz w:val="24"/>
          <w:lang w:val="fr-FR"/>
        </w:rPr>
        <w:instrText> REF __RefNumPara__3189_234535675 \r \h </w:instrText>
      </w:r>
      <w:r>
        <w:rPr>
          <w:sz w:val="24"/>
          <w:lang w:val="fr-FR"/>
        </w:rPr>
        <w:fldChar w:fldCharType="separate"/>
      </w:r>
      <w:r>
        <w:rPr>
          <w:sz w:val="24"/>
          <w:lang w:val="fr-FR"/>
        </w:rPr>
        <w:t>30</w:t>
      </w:r>
      <w:r>
        <w:rPr>
          <w:sz w:val="24"/>
          <w:lang w:val="fr-FR"/>
        </w:rPr>
        <w:fldChar w:fldCharType="end"/>
      </w:r>
      <w:r>
        <w:rPr>
          <w:sz w:val="24"/>
          <w:lang w:val="fr-FR"/>
        </w:rPr>
        <w:t>][</w:t>
      </w:r>
      <w:r>
        <w:rPr>
          <w:sz w:val="24"/>
          <w:lang w:val="fr-FR"/>
        </w:rPr>
        <w:fldChar w:fldCharType="begin"/>
      </w:r>
      <w:r>
        <w:rPr>
          <w:sz w:val="24"/>
          <w:lang w:val="fr-FR"/>
        </w:rPr>
        <w:instrText> REF __RefNumPara__3191_234535675 \r \h </w:instrText>
      </w:r>
      <w:r>
        <w:rPr>
          <w:sz w:val="24"/>
          <w:lang w:val="fr-FR"/>
        </w:rPr>
        <w:fldChar w:fldCharType="separate"/>
      </w:r>
      <w:r>
        <w:rPr>
          <w:sz w:val="24"/>
          <w:lang w:val="fr-FR"/>
        </w:rPr>
        <w:t>31</w:t>
      </w:r>
      <w:r>
        <w:rPr>
          <w:sz w:val="24"/>
          <w:lang w:val="fr-FR"/>
        </w:rPr>
        <w:fldChar w:fldCharType="end"/>
      </w:r>
      <w:r>
        <w:rPr>
          <w:sz w:val="24"/>
          <w:lang w:val="fr-FR"/>
        </w:rPr>
        <w:t>][</w:t>
      </w:r>
      <w:r>
        <w:rPr>
          <w:sz w:val="24"/>
          <w:lang w:val="fr-FR"/>
        </w:rPr>
        <w:fldChar w:fldCharType="begin"/>
      </w:r>
      <w:r>
        <w:rPr>
          <w:sz w:val="24"/>
          <w:lang w:val="fr-FR"/>
        </w:rPr>
        <w:instrText> REF __RefNumPara__3193_234535675 \r \h </w:instrText>
      </w:r>
      <w:r>
        <w:rPr>
          <w:sz w:val="24"/>
          <w:lang w:val="fr-FR"/>
        </w:rPr>
        <w:fldChar w:fldCharType="separate"/>
      </w:r>
      <w:r>
        <w:rPr>
          <w:sz w:val="24"/>
          <w:lang w:val="fr-FR"/>
        </w:rPr>
        <w:t>33</w:t>
      </w:r>
      <w:r>
        <w:rPr>
          <w:sz w:val="24"/>
          <w:lang w:val="fr-FR"/>
        </w:rPr>
        <w:fldChar w:fldCharType="end"/>
      </w:r>
      <w:r>
        <w:rPr>
          <w:sz w:val="24"/>
          <w:lang w:val="fr-FR"/>
        </w:rPr>
        <w:t>][</w:t>
      </w:r>
      <w:r>
        <w:rPr>
          <w:sz w:val="24"/>
          <w:lang w:val="fr-FR"/>
        </w:rPr>
        <w:fldChar w:fldCharType="begin"/>
      </w:r>
      <w:r>
        <w:rPr>
          <w:sz w:val="24"/>
          <w:lang w:val="fr-FR"/>
        </w:rPr>
        <w:instrText> REF __RefNumPara__3195_234535675 \r \h </w:instrText>
      </w:r>
      <w:r>
        <w:rPr>
          <w:sz w:val="24"/>
          <w:lang w:val="fr-FR"/>
        </w:rPr>
        <w:fldChar w:fldCharType="separate"/>
      </w:r>
      <w:r>
        <w:rPr>
          <w:sz w:val="24"/>
          <w:lang w:val="fr-FR"/>
        </w:rPr>
        <w:t>34</w:t>
      </w:r>
      <w:r>
        <w:rPr>
          <w:sz w:val="24"/>
          <w:lang w:val="fr-FR"/>
        </w:rPr>
        <w:fldChar w:fldCharType="end"/>
      </w:r>
      <w:r>
        <w:rPr>
          <w:sz w:val="24"/>
          <w:lang w:val="fr-FR"/>
        </w:rPr>
        <w:t>][</w:t>
      </w:r>
      <w:r>
        <w:rPr>
          <w:sz w:val="24"/>
          <w:lang w:val="fr-FR"/>
        </w:rPr>
        <w:fldChar w:fldCharType="begin"/>
      </w:r>
      <w:r>
        <w:rPr>
          <w:sz w:val="24"/>
          <w:lang w:val="fr-FR"/>
        </w:rPr>
        <w:instrText> REF __RefNumPara__3197_234535675 \r \h </w:instrText>
      </w:r>
      <w:r>
        <w:rPr>
          <w:sz w:val="24"/>
          <w:lang w:val="fr-FR"/>
        </w:rPr>
        <w:fldChar w:fldCharType="separate"/>
      </w:r>
      <w:r>
        <w:rPr>
          <w:sz w:val="24"/>
          <w:lang w:val="fr-FR"/>
        </w:rPr>
        <w:t>35</w:t>
      </w:r>
      <w:r>
        <w:rPr>
          <w:sz w:val="24"/>
          <w:lang w:val="fr-FR"/>
        </w:rPr>
        <w:fldChar w:fldCharType="end"/>
      </w:r>
      <w:r>
        <w:rPr>
          <w:sz w:val="24"/>
          <w:lang w:val="fr-FR"/>
        </w:rPr>
        <w:t>][</w:t>
      </w:r>
      <w:r>
        <w:rPr>
          <w:sz w:val="24"/>
          <w:lang w:val="fr-FR"/>
        </w:rPr>
        <w:fldChar w:fldCharType="begin"/>
      </w:r>
      <w:r>
        <w:rPr>
          <w:sz w:val="24"/>
          <w:lang w:val="fr-FR"/>
        </w:rPr>
        <w:instrText> REF __RefNumPara__3199_234535675 \r \h </w:instrText>
      </w:r>
      <w:r>
        <w:rPr>
          <w:sz w:val="24"/>
          <w:lang w:val="fr-FR"/>
        </w:rPr>
        <w:fldChar w:fldCharType="separate"/>
      </w:r>
      <w:r>
        <w:rPr>
          <w:sz w:val="24"/>
          <w:lang w:val="fr-FR"/>
        </w:rPr>
        <w:t>36</w:t>
      </w:r>
      <w:r>
        <w:rPr>
          <w:sz w:val="24"/>
          <w:lang w:val="fr-FR"/>
        </w:rPr>
        <w:fldChar w:fldCharType="end"/>
      </w:r>
      <w:r>
        <w:rPr>
          <w:sz w:val="24"/>
          <w:lang w:val="fr-FR"/>
        </w:rPr>
        <w:t>].</w:t>
      </w:r>
      <w:r>
        <w:rPr>
          <w:sz w:val="24"/>
          <w:lang w:val="fr-FR"/>
        </w:rPr>
        <w:t xml:space="preserve"> </w:t>
      </w:r>
      <w:r>
        <w:rPr>
          <w:sz w:val="24"/>
          <w:lang w:val="fr-FR"/>
        </w:rPr>
        <w:t>Nous nous opposons à de telles pratiques</w:t>
      </w:r>
      <w:r>
        <w:rPr>
          <w:sz w:val="24"/>
          <w:lang w:val="fr-FR"/>
        </w:rPr>
        <w:t xml:space="preserve">. </w:t>
      </w:r>
      <w:r>
        <w:rPr>
          <w:sz w:val="24"/>
          <w:lang w:val="fr-FR"/>
        </w:rPr>
        <w:t>Nous suggérons aussi d’interdire la stigmatisation forcée de l’enfant avec des étiquettes psychiatriques qui ne sont validées ni biologiquement, ni scientifiquement</w:t>
      </w:r>
      <w:r>
        <w:rPr>
          <w:sz w:val="24"/>
          <w:lang w:val="fr-FR"/>
        </w:rPr>
        <w:t xml:space="preserve"> [</w:t>
      </w:r>
      <w:r>
        <w:rPr>
          <w:sz w:val="24"/>
          <w:lang w:val="fr-FR"/>
        </w:rPr>
        <w:fldChar w:fldCharType="begin"/>
      </w:r>
      <w:r>
        <w:rPr>
          <w:sz w:val="24"/>
          <w:lang w:val="fr-FR"/>
        </w:rPr>
        <w:instrText> REF __RefNumPara__1897_234535675 \r \h </w:instrText>
      </w:r>
      <w:r>
        <w:rPr>
          <w:sz w:val="24"/>
          <w:lang w:val="fr-FR"/>
        </w:rPr>
        <w:fldChar w:fldCharType="separate"/>
      </w:r>
      <w:r>
        <w:rPr>
          <w:sz w:val="24"/>
          <w:lang w:val="fr-FR"/>
        </w:rPr>
        <w:t>14</w:t>
      </w:r>
      <w:r>
        <w:rPr>
          <w:sz w:val="24"/>
          <w:lang w:val="fr-FR"/>
        </w:rPr>
        <w:fldChar w:fldCharType="end"/>
      </w:r>
      <w:r>
        <w:rPr>
          <w:sz w:val="24"/>
          <w:lang w:val="fr-FR"/>
        </w:rPr>
        <w:t>]</w:t>
      </w:r>
      <w:r>
        <w:rPr>
          <w:sz w:val="24"/>
          <w:lang w:val="fr-FR"/>
        </w:rPr>
        <w:t>[</w:t>
      </w:r>
      <w:r>
        <w:rPr>
          <w:sz w:val="24"/>
          <w:lang w:val="fr-FR"/>
        </w:rPr>
        <w:fldChar w:fldCharType="begin"/>
      </w:r>
      <w:r>
        <w:rPr>
          <w:sz w:val="24"/>
          <w:lang w:val="fr-FR"/>
        </w:rPr>
        <w:instrText> REF __RefNumPara__3144_234535675 \r \h </w:instrText>
      </w:r>
      <w:r>
        <w:rPr>
          <w:sz w:val="24"/>
          <w:lang w:val="fr-FR"/>
        </w:rPr>
        <w:fldChar w:fldCharType="separate"/>
      </w:r>
      <w:r>
        <w:rPr>
          <w:sz w:val="24"/>
          <w:lang w:val="fr-FR"/>
        </w:rPr>
        <w:t>15</w:t>
      </w:r>
      <w:r>
        <w:rPr>
          <w:sz w:val="24"/>
          <w:lang w:val="fr-FR"/>
        </w:rPr>
        <w:fldChar w:fldCharType="end"/>
      </w:r>
      <w:r>
        <w:rPr>
          <w:sz w:val="24"/>
          <w:lang w:val="fr-FR"/>
        </w:rPr>
        <w:t>].</w:t>
      </w:r>
    </w:p>
    <w:p>
      <w:pPr>
        <w:pStyle w:val="TextBody"/>
        <w:spacing w:lineRule="auto" w:line="276"/>
        <w:jc w:val="both"/>
        <w:rPr>
          <w:rFonts w:ascii="Times New Roman" w:hAnsi="Times New Roman"/>
          <w:sz w:val="24"/>
          <w:lang w:val="fr-FR"/>
        </w:rPr>
      </w:pPr>
      <w:r>
        <w:rPr>
          <w:sz w:val="24"/>
          <w:lang w:val="fr-FR"/>
        </w:rPr>
        <w:t>Nous demandons la cessation de la médicalisation des difficultés sociales, psychologiques ou pédagogiques de l’enfant. Nous demandons que l’enfant soit écouté et ses choix respectés.</w:t>
      </w:r>
    </w:p>
    <w:p>
      <w:pPr>
        <w:pStyle w:val="TextBody"/>
        <w:spacing w:lineRule="auto" w:line="276"/>
        <w:jc w:val="both"/>
        <w:rPr>
          <w:rFonts w:ascii="Times New Roman" w:hAnsi="Times New Roman"/>
          <w:sz w:val="24"/>
          <w:lang w:val="fr-FR"/>
        </w:rPr>
      </w:pPr>
      <w:r>
        <w:rPr>
          <w:sz w:val="24"/>
          <w:lang w:val="fr-FR"/>
        </w:rPr>
      </w:r>
    </w:p>
    <w:p>
      <w:pPr>
        <w:pStyle w:val="Heading4"/>
        <w:spacing w:lineRule="auto" w:line="276"/>
        <w:rPr>
          <w:lang w:val="fr-FR"/>
        </w:rPr>
      </w:pPr>
      <w:bookmarkStart w:id="6" w:name="__RefHeading___Toc2403_2773654779"/>
      <w:bookmarkEnd w:id="6"/>
      <w:r>
        <w:rPr>
          <w:lang w:val="fr-FR"/>
        </w:rPr>
        <w:t xml:space="preserve">Article 12 Reconnaissance de la personnalité juridique dans des conditions d'égalité </w:t>
      </w:r>
    </w:p>
    <w:p>
      <w:pPr>
        <w:pStyle w:val="TextBody"/>
        <w:spacing w:lineRule="auto" w:line="276"/>
        <w:jc w:val="both"/>
        <w:rPr>
          <w:rFonts w:ascii="Times New Roman" w:hAnsi="Times New Roman"/>
          <w:sz w:val="24"/>
          <w:lang w:val="fr-FR"/>
        </w:rPr>
      </w:pPr>
      <w:r>
        <w:rPr>
          <w:sz w:val="24"/>
          <w:lang w:val="fr-FR"/>
        </w:rPr>
        <w:t xml:space="preserve">Selon le rapport 2020 du Sénat </w:t>
      </w:r>
      <w:r>
        <w:rPr>
          <w:sz w:val="24"/>
          <w:lang w:val="fr-FR"/>
        </w:rPr>
        <w:t>[</w:t>
      </w:r>
      <w:r>
        <w:rPr>
          <w:sz w:val="24"/>
          <w:lang w:val="fr-FR"/>
        </w:rPr>
        <w:fldChar w:fldCharType="begin"/>
      </w:r>
      <w:r>
        <w:rPr>
          <w:sz w:val="24"/>
          <w:lang w:val="fr-FR"/>
        </w:rPr>
        <w:instrText> REF __RefNumPara__2501_2773654779 \r \h </w:instrText>
      </w:r>
      <w:r>
        <w:rPr>
          <w:sz w:val="24"/>
          <w:lang w:val="fr-FR"/>
        </w:rPr>
        <w:fldChar w:fldCharType="separate"/>
      </w:r>
      <w:r>
        <w:rPr>
          <w:sz w:val="24"/>
          <w:lang w:val="fr-FR"/>
        </w:rPr>
        <w:t>49</w:t>
      </w:r>
      <w:r>
        <w:rPr>
          <w:sz w:val="24"/>
          <w:lang w:val="fr-FR"/>
        </w:rPr>
        <w:fldChar w:fldCharType="end"/>
      </w:r>
      <w:r>
        <w:rPr>
          <w:sz w:val="24"/>
          <w:lang w:val="fr-FR"/>
        </w:rPr>
        <w:t>], 730 000 adult</w:t>
      </w:r>
      <w:r>
        <w:rPr>
          <w:sz w:val="24"/>
          <w:lang w:val="fr-FR"/>
        </w:rPr>
        <w:t>e</w:t>
      </w:r>
      <w:r>
        <w:rPr>
          <w:sz w:val="24"/>
          <w:lang w:val="fr-FR"/>
        </w:rPr>
        <w:t xml:space="preserve">s </w:t>
      </w:r>
      <w:r>
        <w:rPr>
          <w:sz w:val="24"/>
          <w:lang w:val="fr-FR"/>
        </w:rPr>
        <w:t>sont placés sous un régime de tutelle dit de « protection »</w:t>
      </w:r>
      <w:r>
        <w:rPr>
          <w:sz w:val="24"/>
          <w:lang w:val="fr-FR"/>
        </w:rPr>
        <w:t xml:space="preserve">, </w:t>
      </w:r>
      <w:r>
        <w:rPr>
          <w:sz w:val="24"/>
          <w:lang w:val="fr-FR"/>
        </w:rPr>
        <w:t>cependant aucune statistique précise n’est disponible</w:t>
      </w:r>
      <w:r>
        <w:rPr>
          <w:sz w:val="24"/>
          <w:lang w:val="fr-FR"/>
        </w:rPr>
        <w:t xml:space="preserve">, </w:t>
      </w:r>
      <w:r>
        <w:rPr>
          <w:sz w:val="24"/>
          <w:lang w:val="fr-FR"/>
        </w:rPr>
        <w:t>et le nombre réel peut être supérieur</w:t>
      </w:r>
      <w:r>
        <w:rPr>
          <w:sz w:val="24"/>
          <w:lang w:val="fr-FR"/>
        </w:rPr>
        <w:t xml:space="preserve">. </w:t>
      </w:r>
      <w:r>
        <w:rPr>
          <w:sz w:val="24"/>
          <w:lang w:val="fr-FR"/>
        </w:rPr>
        <w:t>Il existe 3 formes de régimes</w:t>
      </w:r>
      <w:r>
        <w:rPr>
          <w:sz w:val="24"/>
          <w:lang w:val="fr-FR"/>
        </w:rPr>
        <w:t xml:space="preserve"> </w:t>
      </w:r>
      <w:r>
        <w:rPr>
          <w:sz w:val="24"/>
          <w:lang w:val="fr-FR"/>
        </w:rPr>
        <w:t>e</w:t>
      </w:r>
      <w:r>
        <w:rPr>
          <w:sz w:val="24"/>
          <w:lang w:val="fr-FR"/>
        </w:rPr>
        <w:t xml:space="preserve">n France. </w:t>
      </w:r>
      <w:r>
        <w:rPr>
          <w:sz w:val="24"/>
          <w:lang w:val="fr-FR"/>
        </w:rPr>
        <w:t>La « tutelle » proprement dite, qui constitue un système de décision substitu</w:t>
      </w:r>
      <w:r>
        <w:rPr>
          <w:sz w:val="24"/>
          <w:lang w:val="fr-FR"/>
        </w:rPr>
        <w:t>tive</w:t>
      </w:r>
      <w:r>
        <w:rPr>
          <w:sz w:val="24"/>
          <w:lang w:val="fr-FR"/>
        </w:rPr>
        <w:t xml:space="preserve"> complet, la « curatelle simple », qui place les actes de disposition sous régime de décision substitu</w:t>
      </w:r>
      <w:r>
        <w:rPr>
          <w:sz w:val="24"/>
          <w:lang w:val="fr-FR"/>
        </w:rPr>
        <w:t>tive</w:t>
      </w:r>
      <w:r>
        <w:rPr>
          <w:sz w:val="24"/>
          <w:lang w:val="fr-FR"/>
        </w:rPr>
        <w:t>, et la « curatelle renforcée », qui inclut le paiement des factures dans la décision substitu</w:t>
      </w:r>
      <w:r>
        <w:rPr>
          <w:sz w:val="24"/>
          <w:lang w:val="fr-FR"/>
        </w:rPr>
        <w:t>tives</w:t>
      </w:r>
      <w:r>
        <w:rPr>
          <w:sz w:val="24"/>
          <w:lang w:val="fr-FR"/>
        </w:rPr>
        <w:t>.</w:t>
      </w:r>
      <w:r>
        <w:rPr>
          <w:sz w:val="24"/>
          <w:lang w:val="fr-FR"/>
        </w:rPr>
        <w:t xml:space="preserve"> </w:t>
      </w:r>
      <w:r>
        <w:rPr>
          <w:sz w:val="24"/>
          <w:lang w:val="fr-FR"/>
        </w:rPr>
        <w:t xml:space="preserve">Il n’existe pas de statistiques détaillées disponibles, mais une étude de 2017 </w:t>
      </w:r>
      <w:r>
        <w:rPr>
          <w:sz w:val="24"/>
          <w:lang w:val="fr-FR"/>
        </w:rPr>
        <w:t>[</w:t>
      </w:r>
      <w:r>
        <w:rPr>
          <w:sz w:val="24"/>
          <w:lang w:val="fr-FR"/>
        </w:rPr>
        <w:fldChar w:fldCharType="begin"/>
      </w:r>
      <w:r>
        <w:rPr>
          <w:sz w:val="24"/>
          <w:lang w:val="fr-FR"/>
        </w:rPr>
        <w:instrText> REF __RefNumPara__2503_2773654779 \r \h </w:instrText>
      </w:r>
      <w:r>
        <w:rPr>
          <w:sz w:val="24"/>
          <w:lang w:val="fr-FR"/>
        </w:rPr>
        <w:fldChar w:fldCharType="separate"/>
      </w:r>
      <w:r>
        <w:rPr>
          <w:sz w:val="24"/>
          <w:lang w:val="fr-FR"/>
        </w:rPr>
        <w:t>50</w:t>
      </w:r>
      <w:r>
        <w:rPr>
          <w:sz w:val="24"/>
          <w:lang w:val="fr-FR"/>
        </w:rPr>
        <w:fldChar w:fldCharType="end"/>
      </w:r>
      <w:r>
        <w:rPr>
          <w:sz w:val="24"/>
          <w:lang w:val="fr-FR"/>
        </w:rPr>
        <w:t xml:space="preserve">] </w:t>
      </w:r>
      <w:r>
        <w:rPr>
          <w:sz w:val="24"/>
          <w:lang w:val="fr-FR"/>
        </w:rPr>
        <w:t xml:space="preserve">sur les mesures non-familiales estimait que les tutelles comprenaient </w:t>
      </w:r>
      <w:r>
        <w:rPr>
          <w:sz w:val="24"/>
          <w:lang w:val="fr-FR"/>
        </w:rPr>
        <w:t xml:space="preserve">41 % </w:t>
      </w:r>
      <w:r>
        <w:rPr>
          <w:sz w:val="24"/>
          <w:lang w:val="fr-FR"/>
        </w:rPr>
        <w:t>des</w:t>
      </w:r>
      <w:r>
        <w:rPr>
          <w:sz w:val="24"/>
          <w:lang w:val="fr-FR"/>
        </w:rPr>
        <w:t xml:space="preserve"> cas, </w:t>
      </w:r>
      <w:r>
        <w:rPr>
          <w:sz w:val="24"/>
          <w:lang w:val="fr-FR"/>
        </w:rPr>
        <w:t>les curatelles renforcées</w:t>
      </w:r>
      <w:r>
        <w:rPr>
          <w:sz w:val="24"/>
          <w:lang w:val="fr-FR"/>
        </w:rPr>
        <w:t xml:space="preserve"> 55 % </w:t>
      </w:r>
      <w:r>
        <w:rPr>
          <w:sz w:val="24"/>
          <w:lang w:val="fr-FR"/>
        </w:rPr>
        <w:t xml:space="preserve">et les curatelles simples </w:t>
      </w:r>
      <w:r>
        <w:rPr>
          <w:sz w:val="24"/>
          <w:lang w:val="fr-FR"/>
        </w:rPr>
        <w:t xml:space="preserve">3 %. </w:t>
      </w:r>
      <w:r>
        <w:rPr>
          <w:sz w:val="24"/>
          <w:lang w:val="fr-FR"/>
        </w:rPr>
        <w:t xml:space="preserve">L’étude estimait que </w:t>
      </w:r>
      <w:r>
        <w:rPr>
          <w:sz w:val="24"/>
          <w:lang w:val="fr-FR"/>
        </w:rPr>
        <w:t>4</w:t>
      </w:r>
      <w:r>
        <w:rPr>
          <w:sz w:val="24"/>
          <w:lang w:val="fr-FR"/>
        </w:rPr>
        <w:t>5 </w:t>
      </w:r>
      <w:r>
        <w:rPr>
          <w:sz w:val="24"/>
          <w:lang w:val="fr-FR"/>
        </w:rPr>
        <w:t xml:space="preserve">% </w:t>
      </w:r>
      <w:r>
        <w:rPr>
          <w:sz w:val="24"/>
          <w:lang w:val="fr-FR"/>
        </w:rPr>
        <w:t>des mesures concernaient des personnes avec handicap psychosocial</w:t>
      </w:r>
      <w:r>
        <w:rPr>
          <w:sz w:val="24"/>
          <w:lang w:val="fr-FR"/>
        </w:rPr>
        <w:t xml:space="preserve"> </w:t>
      </w:r>
      <w:r>
        <w:rPr>
          <w:sz w:val="24"/>
          <w:lang w:val="fr-FR"/>
        </w:rPr>
        <w:t>(profil 1, p39)</w:t>
      </w:r>
      <w:r>
        <w:rPr>
          <w:sz w:val="24"/>
          <w:lang w:val="fr-FR"/>
        </w:rPr>
        <w:t xml:space="preserve">. </w:t>
      </w:r>
      <w:r>
        <w:rPr>
          <w:sz w:val="24"/>
          <w:lang w:val="fr-FR"/>
        </w:rPr>
        <w:t xml:space="preserve">Certains auteurs accusent le système français des tutelles d’être opaque et corrompu </w:t>
      </w:r>
      <w:r>
        <w:rPr>
          <w:sz w:val="24"/>
          <w:lang w:val="fr-FR"/>
        </w:rPr>
        <w:t>[</w:t>
      </w:r>
      <w:r>
        <w:rPr>
          <w:sz w:val="24"/>
          <w:lang w:val="fr-FR"/>
        </w:rPr>
        <w:fldChar w:fldCharType="begin"/>
      </w:r>
      <w:r>
        <w:rPr>
          <w:sz w:val="24"/>
          <w:lang w:val="fr-FR"/>
        </w:rPr>
        <w:instrText> REF __RefNumPara__2593_2773654779 \r \h </w:instrText>
      </w:r>
      <w:r>
        <w:rPr>
          <w:sz w:val="24"/>
          <w:lang w:val="fr-FR"/>
        </w:rPr>
        <w:fldChar w:fldCharType="separate"/>
      </w:r>
      <w:r>
        <w:rPr>
          <w:sz w:val="24"/>
          <w:lang w:val="fr-FR"/>
        </w:rPr>
        <w:t>51</w:t>
      </w:r>
      <w:r>
        <w:rPr>
          <w:sz w:val="24"/>
          <w:lang w:val="fr-FR"/>
        </w:rPr>
        <w:fldChar w:fldCharType="end"/>
      </w:r>
      <w:r>
        <w:rPr>
          <w:sz w:val="24"/>
          <w:lang w:val="fr-FR"/>
        </w:rPr>
        <w:t>].</w:t>
      </w:r>
    </w:p>
    <w:p>
      <w:pPr>
        <w:pStyle w:val="TextBody"/>
        <w:spacing w:lineRule="auto" w:line="276"/>
        <w:jc w:val="both"/>
        <w:rPr>
          <w:rFonts w:ascii="Times New Roman" w:hAnsi="Times New Roman"/>
          <w:sz w:val="24"/>
          <w:lang w:val="fr-FR"/>
        </w:rPr>
      </w:pPr>
      <w:r>
        <w:rPr>
          <w:sz w:val="24"/>
          <w:lang w:val="fr-FR"/>
        </w:rPr>
        <w:t>Nos correspondants se plaignent que les systèmes de prise de décision substitu</w:t>
      </w:r>
      <w:r>
        <w:rPr>
          <w:sz w:val="24"/>
          <w:lang w:val="fr-FR"/>
        </w:rPr>
        <w:t>tives</w:t>
      </w:r>
      <w:r>
        <w:rPr>
          <w:sz w:val="24"/>
          <w:lang w:val="fr-FR"/>
        </w:rPr>
        <w:t xml:space="preserve"> leur ont été imposés et ne reflètent pas la réalité. Il rapportent des abus, des décisions mauvaises ou inappropriées, des conflits, un dialogue très pauvre ou absent, et l’absence de recours effectif</w:t>
      </w:r>
      <w:r>
        <w:rPr>
          <w:sz w:val="24"/>
          <w:lang w:val="fr-FR"/>
        </w:rPr>
        <w:t>.</w:t>
      </w:r>
    </w:p>
    <w:p>
      <w:pPr>
        <w:pStyle w:val="TextBody"/>
        <w:spacing w:lineRule="auto" w:line="276"/>
        <w:jc w:val="both"/>
        <w:rPr>
          <w:rFonts w:ascii="Times New Roman" w:hAnsi="Times New Roman"/>
          <w:sz w:val="24"/>
          <w:lang w:val="fr-FR"/>
        </w:rPr>
      </w:pPr>
      <w:r>
        <w:rPr>
          <w:sz w:val="24"/>
          <w:lang w:val="fr-FR"/>
        </w:rPr>
      </w:r>
    </w:p>
    <w:p>
      <w:pPr>
        <w:pStyle w:val="Heading4"/>
        <w:spacing w:lineRule="auto" w:line="276"/>
        <w:rPr>
          <w:lang w:val="fr-FR"/>
        </w:rPr>
      </w:pPr>
      <w:bookmarkStart w:id="7" w:name="__RefHeading___Toc2405_2773654779"/>
      <w:bookmarkEnd w:id="7"/>
      <w:r>
        <w:rPr>
          <w:lang w:val="fr-FR"/>
        </w:rPr>
        <w:t xml:space="preserve">Article 14 Liberté et sécurité de la personne  </w:t>
      </w:r>
    </w:p>
    <w:p>
      <w:pPr>
        <w:pStyle w:val="TextBody"/>
        <w:spacing w:lineRule="auto" w:line="276"/>
        <w:jc w:val="both"/>
        <w:rPr>
          <w:lang w:val="fr-FR"/>
        </w:rPr>
      </w:pPr>
      <w:r>
        <w:rPr>
          <w:sz w:val="24"/>
          <w:lang w:val="fr-FR"/>
        </w:rPr>
        <w:t xml:space="preserve">Selon les statistiques de santé officielles </w:t>
      </w:r>
      <w:r>
        <w:rPr>
          <w:sz w:val="24"/>
          <w:lang w:val="fr-FR"/>
        </w:rPr>
        <w:t>[</w:t>
      </w:r>
      <w:r>
        <w:rPr>
          <w:sz w:val="24"/>
          <w:lang w:val="fr-FR"/>
        </w:rPr>
        <w:fldChar w:fldCharType="begin"/>
      </w:r>
      <w:r>
        <w:rPr>
          <w:sz w:val="24"/>
          <w:lang w:val="fr-FR"/>
        </w:rPr>
        <w:instrText> REF __RefNumPara__1426_2129381569 \r \h </w:instrText>
      </w:r>
      <w:r>
        <w:rPr>
          <w:sz w:val="24"/>
          <w:lang w:val="fr-FR"/>
        </w:rPr>
        <w:fldChar w:fldCharType="separate"/>
      </w:r>
      <w:r>
        <w:rPr>
          <w:sz w:val="24"/>
          <w:lang w:val="fr-FR"/>
        </w:rPr>
        <w:t>60</w:t>
      </w:r>
      <w:r>
        <w:rPr>
          <w:sz w:val="24"/>
          <w:lang w:val="fr-FR"/>
        </w:rPr>
        <w:fldChar w:fldCharType="end"/>
      </w:r>
      <w:r>
        <w:rPr>
          <w:sz w:val="24"/>
          <w:lang w:val="fr-FR"/>
        </w:rPr>
        <w:t xml:space="preserve">], </w:t>
      </w:r>
      <w:r>
        <w:rPr>
          <w:sz w:val="24"/>
          <w:lang w:val="fr-FR"/>
        </w:rPr>
        <w:t>en</w:t>
      </w:r>
      <w:r>
        <w:rPr>
          <w:sz w:val="24"/>
          <w:lang w:val="fr-FR"/>
        </w:rPr>
        <w:t xml:space="preserve"> 2020, </w:t>
      </w:r>
      <w:r>
        <w:rPr>
          <w:sz w:val="24"/>
          <w:lang w:val="fr-FR"/>
        </w:rPr>
        <w:t xml:space="preserve">la </w:t>
      </w:r>
      <w:r>
        <w:rPr>
          <w:sz w:val="24"/>
          <w:lang w:val="fr-FR"/>
        </w:rPr>
        <w:t xml:space="preserve">France </w:t>
      </w:r>
      <w:r>
        <w:rPr>
          <w:sz w:val="24"/>
          <w:lang w:val="fr-FR"/>
        </w:rPr>
        <w:t xml:space="preserve">a pratiqué </w:t>
      </w:r>
      <w:r>
        <w:rPr>
          <w:lang w:val="fr-FR"/>
        </w:rPr>
        <w:t xml:space="preserve">131 681 </w:t>
      </w:r>
      <w:r>
        <w:rPr>
          <w:lang w:val="fr-FR"/>
        </w:rPr>
        <w:t>hopitalisations psychiatriques forcées</w:t>
      </w:r>
      <w:r>
        <w:rPr>
          <w:lang w:val="fr-FR"/>
        </w:rPr>
        <w:t xml:space="preserve">. </w:t>
      </w:r>
      <w:r>
        <w:rPr>
          <w:lang w:val="fr-FR"/>
        </w:rPr>
        <w:t xml:space="preserve">Selon les statistiques de la justice </w:t>
      </w:r>
      <w:r>
        <w:rPr>
          <w:lang w:val="fr-FR"/>
        </w:rPr>
        <w:t>[</w:t>
      </w:r>
      <w:r>
        <w:rPr>
          <w:lang w:val="fr-FR"/>
        </w:rPr>
        <w:fldChar w:fldCharType="begin"/>
      </w:r>
      <w:r>
        <w:rPr>
          <w:lang w:val="fr-FR"/>
        </w:rPr>
        <w:instrText> REF __RefNumPara__2688_2773654779 \r \h </w:instrText>
      </w:r>
      <w:r>
        <w:rPr>
          <w:lang w:val="fr-FR"/>
        </w:rPr>
        <w:fldChar w:fldCharType="separate"/>
      </w:r>
      <w:r>
        <w:rPr>
          <w:lang w:val="fr-FR"/>
        </w:rPr>
        <w:t>62</w:t>
      </w:r>
      <w:r>
        <w:rPr>
          <w:lang w:val="fr-FR"/>
        </w:rPr>
        <w:fldChar w:fldCharType="end"/>
      </w:r>
      <w:r>
        <w:rPr>
          <w:lang w:val="fr-FR"/>
        </w:rPr>
        <w:t xml:space="preserve">], </w:t>
      </w:r>
      <w:r>
        <w:rPr>
          <w:lang w:val="fr-FR"/>
        </w:rPr>
        <w:t xml:space="preserve">en </w:t>
      </w:r>
      <w:r>
        <w:rPr>
          <w:lang w:val="fr-FR"/>
        </w:rPr>
        <w:t xml:space="preserve">2019, </w:t>
      </w:r>
      <w:r>
        <w:rPr>
          <w:lang w:val="fr-FR"/>
        </w:rPr>
        <w:t xml:space="preserve">81 600 </w:t>
      </w:r>
      <w:r>
        <w:rPr>
          <w:sz w:val="24"/>
          <w:lang w:val="fr-FR"/>
        </w:rPr>
        <w:t>demandes de ce qui est appelé des « soins psychiatriques sans consentement » on été traitées. Une seule décision de justice peut couvrir plusieurs hospitalisations successives de la même personne.</w:t>
      </w:r>
    </w:p>
    <w:p>
      <w:pPr>
        <w:pStyle w:val="TextBody"/>
        <w:spacing w:lineRule="auto" w:line="276"/>
        <w:jc w:val="both"/>
        <w:rPr>
          <w:lang w:val="fr-FR"/>
        </w:rPr>
      </w:pPr>
      <w:r>
        <w:rPr>
          <w:lang w:val="fr-FR"/>
        </w:rPr>
        <w:t xml:space="preserve">Nous estimons aussi que l’implication judiciaire dans ces procédures ne remplit pas les critères élémentaires de la justice. </w:t>
      </w:r>
      <w:r>
        <w:rPr>
          <w:sz w:val="24"/>
          <w:lang w:val="fr-FR"/>
        </w:rPr>
        <w:t>L</w:t>
      </w:r>
      <w:r>
        <w:rPr>
          <w:lang w:val="fr-FR"/>
        </w:rPr>
        <w:t xml:space="preserve">es personnes qui doivent se défendre </w:t>
      </w:r>
      <w:r>
        <w:rPr>
          <w:lang w:val="fr-FR"/>
        </w:rPr>
        <w:t xml:space="preserve">sont </w:t>
      </w:r>
      <w:r>
        <w:rPr>
          <w:lang w:val="fr-FR"/>
        </w:rPr>
        <w:t xml:space="preserve">en état de médication </w:t>
      </w:r>
      <w:r>
        <w:rPr>
          <w:lang w:val="fr-FR"/>
        </w:rPr>
        <w:t xml:space="preserve">parfois </w:t>
      </w:r>
      <w:r>
        <w:rPr>
          <w:lang w:val="fr-FR"/>
        </w:rPr>
        <w:t xml:space="preserve">si lourde qu’ils en sont incapacités et tombent même de leur chaise </w:t>
      </w:r>
      <w:r>
        <w:rPr>
          <w:lang w:val="fr-FR"/>
        </w:rPr>
        <w:t>[</w:t>
      </w:r>
      <w:r>
        <w:rPr>
          <w:lang w:val="fr-FR"/>
        </w:rPr>
        <w:fldChar w:fldCharType="begin"/>
      </w:r>
      <w:r>
        <w:rPr>
          <w:lang w:val="fr-FR"/>
        </w:rPr>
        <w:instrText> REF __RefNumPara__1432_2129381569 \r \h </w:instrText>
      </w:r>
      <w:r>
        <w:rPr>
          <w:lang w:val="fr-FR"/>
        </w:rPr>
        <w:fldChar w:fldCharType="separate"/>
      </w:r>
      <w:r>
        <w:rPr>
          <w:lang w:val="fr-FR"/>
        </w:rPr>
        <w:t>69</w:t>
      </w:r>
      <w:r>
        <w:rPr>
          <w:lang w:val="fr-FR"/>
        </w:rPr>
        <w:fldChar w:fldCharType="end"/>
      </w:r>
      <w:r>
        <w:rPr>
          <w:lang w:val="fr-FR"/>
        </w:rPr>
        <w:t>].</w:t>
      </w:r>
      <w:r>
        <w:rPr>
          <w:lang w:val="fr-FR"/>
        </w:rPr>
        <w:t xml:space="preserve"> </w:t>
      </w:r>
      <w:r>
        <w:rPr>
          <w:sz w:val="24"/>
          <w:lang w:val="fr-FR"/>
        </w:rPr>
        <w:t>L</w:t>
      </w:r>
      <w:r>
        <w:rPr>
          <w:lang w:val="fr-FR"/>
        </w:rPr>
        <w:t xml:space="preserve">es avocats </w:t>
      </w:r>
      <w:r>
        <w:rPr>
          <w:lang w:val="fr-FR"/>
        </w:rPr>
        <w:t xml:space="preserve">sont </w:t>
      </w:r>
      <w:r>
        <w:rPr>
          <w:lang w:val="fr-FR"/>
        </w:rPr>
        <w:t xml:space="preserve">fréquemment incompétents et n’en ont cure. </w:t>
      </w:r>
      <w:r>
        <w:rPr>
          <w:sz w:val="24"/>
          <w:lang w:val="fr-FR"/>
        </w:rPr>
        <w:t xml:space="preserve">Le principe du contradictoire n’est pas respecté, comme cette étude le montre </w:t>
      </w:r>
      <w:r>
        <w:rPr>
          <w:lang w:val="fr-FR"/>
        </w:rPr>
        <w:t>[</w:t>
      </w:r>
      <w:r>
        <w:rPr>
          <w:lang w:val="fr-FR"/>
        </w:rPr>
        <w:fldChar w:fldCharType="begin"/>
      </w:r>
      <w:r>
        <w:rPr>
          <w:lang w:val="fr-FR"/>
        </w:rPr>
        <w:instrText> REF __RefNumPara__4390_234535675 \r \h </w:instrText>
      </w:r>
      <w:r>
        <w:rPr>
          <w:lang w:val="fr-FR"/>
        </w:rPr>
        <w:fldChar w:fldCharType="separate"/>
      </w:r>
      <w:r>
        <w:rPr>
          <w:lang w:val="fr-FR"/>
        </w:rPr>
        <w:t>53</w:t>
      </w:r>
      <w:r>
        <w:rPr>
          <w:lang w:val="fr-FR"/>
        </w:rPr>
        <w:fldChar w:fldCharType="end"/>
      </w:r>
      <w:r>
        <w:rPr>
          <w:lang w:val="fr-FR"/>
        </w:rPr>
        <w:t xml:space="preserve">], </w:t>
      </w:r>
      <w:r>
        <w:rPr>
          <w:lang w:val="fr-FR"/>
        </w:rPr>
        <w:t>et il n’existe pas de jugement de fond.</w:t>
      </w:r>
      <w:r>
        <w:rPr>
          <w:lang w:val="fr-FR"/>
        </w:rPr>
        <w:t xml:space="preserve"> </w:t>
      </w:r>
      <w:r>
        <w:rPr>
          <w:lang w:val="fr-FR"/>
        </w:rPr>
        <w:t xml:space="preserve">La jurisprudence de la Cour de </w:t>
      </w:r>
      <w:r>
        <w:rPr>
          <w:sz w:val="24"/>
          <w:lang w:val="fr-FR"/>
        </w:rPr>
        <w:t>c</w:t>
      </w:r>
      <w:r>
        <w:rPr>
          <w:lang w:val="fr-FR"/>
        </w:rPr>
        <w:t xml:space="preserve">assation du </w:t>
      </w:r>
      <w:r>
        <w:rPr>
          <w:lang w:val="fr-FR"/>
        </w:rPr>
        <w:t>27 Septemb</w:t>
      </w:r>
      <w:r>
        <w:rPr>
          <w:lang w:val="fr-FR"/>
        </w:rPr>
        <w:t>r</w:t>
      </w:r>
      <w:r>
        <w:rPr>
          <w:lang w:val="fr-FR"/>
        </w:rPr>
        <w:t xml:space="preserve">e 2017 </w:t>
      </w:r>
      <w:r>
        <w:rPr>
          <w:lang w:val="fr-FR"/>
        </w:rPr>
        <w:t>sp</w:t>
      </w:r>
      <w:r>
        <w:rPr>
          <w:sz w:val="24"/>
          <w:lang w:val="fr-FR"/>
        </w:rPr>
        <w:t>é</w:t>
      </w:r>
      <w:r>
        <w:rPr>
          <w:lang w:val="fr-FR"/>
        </w:rPr>
        <w:t xml:space="preserve">cifie </w:t>
      </w:r>
      <w:r>
        <w:rPr>
          <w:lang w:val="fr-FR"/>
        </w:rPr>
        <w:t xml:space="preserve">que le juge ne doit considérer que les documents médicaux dans sa décision </w:t>
      </w:r>
      <w:r>
        <w:rPr>
          <w:lang w:val="fr-FR"/>
        </w:rPr>
        <w:t>[</w:t>
      </w:r>
      <w:r>
        <w:rPr>
          <w:lang w:val="fr-FR"/>
        </w:rPr>
        <w:fldChar w:fldCharType="begin"/>
      </w:r>
      <w:r>
        <w:rPr>
          <w:lang w:val="fr-FR"/>
        </w:rPr>
        <w:instrText> REF __RefNumPara__4388_234535675 \r \h </w:instrText>
      </w:r>
      <w:r>
        <w:rPr>
          <w:lang w:val="fr-FR"/>
        </w:rPr>
        <w:fldChar w:fldCharType="separate"/>
      </w:r>
      <w:r>
        <w:rPr>
          <w:lang w:val="fr-FR"/>
        </w:rPr>
        <w:t>52</w:t>
      </w:r>
      <w:r>
        <w:rPr>
          <w:lang w:val="fr-FR"/>
        </w:rPr>
        <w:fldChar w:fldCharType="end"/>
      </w:r>
      <w:r>
        <w:rPr>
          <w:lang w:val="fr-FR"/>
        </w:rPr>
        <w:t>].</w:t>
      </w:r>
      <w:r>
        <w:rPr>
          <w:lang w:val="fr-FR"/>
        </w:rPr>
        <w:t xml:space="preserve"> </w:t>
      </w:r>
      <w:r>
        <w:rPr>
          <w:lang w:val="fr-FR"/>
        </w:rPr>
        <w:t xml:space="preserve">En pratique le juge est comme un bureau d’enregistrement, dont le travail consiste à vérifier que chaque document médical est bien dans le dossier. </w:t>
      </w:r>
      <w:r>
        <w:rPr>
          <w:lang w:val="fr-FR"/>
        </w:rPr>
        <w:t>[</w:t>
      </w:r>
      <w:r>
        <w:rPr>
          <w:lang w:val="fr-FR"/>
        </w:rPr>
        <w:fldChar w:fldCharType="begin"/>
      </w:r>
      <w:r>
        <w:rPr>
          <w:lang w:val="fr-FR"/>
        </w:rPr>
        <w:instrText> REF __RefNumPara__19543_2726673478 \r \h </w:instrText>
      </w:r>
      <w:r>
        <w:rPr>
          <w:lang w:val="fr-FR"/>
        </w:rPr>
        <w:fldChar w:fldCharType="separate"/>
      </w:r>
      <w:r>
        <w:rPr>
          <w:lang w:val="fr-FR"/>
        </w:rPr>
        <w:t>54</w:t>
      </w:r>
      <w:r>
        <w:rPr>
          <w:lang w:val="fr-FR"/>
        </w:rPr>
        <w:fldChar w:fldCharType="end"/>
      </w:r>
      <w:r>
        <w:rPr>
          <w:lang w:val="fr-FR"/>
        </w:rPr>
        <w:t>]</w:t>
      </w:r>
    </w:p>
    <w:p>
      <w:pPr>
        <w:pStyle w:val="TextBody"/>
        <w:spacing w:lineRule="auto" w:line="276"/>
        <w:jc w:val="both"/>
        <w:rPr>
          <w:lang w:val="fr-FR"/>
        </w:rPr>
      </w:pPr>
      <w:r>
        <w:rPr>
          <w:lang w:val="fr-FR"/>
        </w:rPr>
        <w:t xml:space="preserve">D’autre part le certificat médical est bidon. </w:t>
      </w:r>
      <w:r>
        <w:rPr>
          <w:lang w:val="fr-FR"/>
        </w:rPr>
        <w:t xml:space="preserve">Une personne de la profession médicale nous a expliqué comment il existe des spécialistes </w:t>
      </w:r>
      <w:r>
        <w:rPr>
          <w:lang w:val="fr-FR"/>
        </w:rPr>
        <w:t xml:space="preserve">de la rédaction des certificats </w:t>
      </w:r>
      <w:r>
        <w:rPr>
          <w:lang w:val="fr-FR"/>
        </w:rPr>
        <w:t>dans certains départements qui ajoutent des choses, vraies ou fausses. Ceux-là utilisent des expressions toutes faites, et une id</w:t>
      </w:r>
      <w:r>
        <w:rPr>
          <w:sz w:val="24"/>
          <w:lang w:val="fr-FR"/>
        </w:rPr>
        <w:t>é</w:t>
      </w:r>
      <w:r>
        <w:rPr>
          <w:lang w:val="fr-FR"/>
        </w:rPr>
        <w:t>olog</w:t>
      </w:r>
      <w:r>
        <w:rPr>
          <w:sz w:val="24"/>
          <w:lang w:val="fr-FR"/>
        </w:rPr>
        <w:t>ie</w:t>
      </w:r>
      <w:r>
        <w:rPr>
          <w:lang w:val="fr-FR"/>
        </w:rPr>
        <w:t xml:space="preserve"> déconnectée de la réalité, auto-justifiée ou constituée d’arguments circulaires. </w:t>
      </w:r>
      <w:r>
        <w:rPr>
          <w:lang w:val="fr-FR"/>
        </w:rPr>
        <w:t xml:space="preserve">Par exemple la personne n’est pas « dans l’impossibilité de consentir », mais simplement elle </w:t>
      </w:r>
      <w:r>
        <w:rPr>
          <w:sz w:val="24"/>
          <w:lang w:val="fr-FR"/>
        </w:rPr>
        <w:t>ne consent pas</w:t>
      </w:r>
      <w:r>
        <w:rPr>
          <w:lang w:val="fr-FR"/>
        </w:rPr>
        <w:t>.</w:t>
      </w:r>
    </w:p>
    <w:p>
      <w:pPr>
        <w:pStyle w:val="TextBody"/>
        <w:spacing w:lineRule="auto" w:line="276"/>
        <w:jc w:val="both"/>
        <w:rPr>
          <w:lang w:val="fr-FR"/>
        </w:rPr>
      </w:pPr>
      <w:r>
        <w:rPr>
          <w:lang w:val="fr-FR"/>
        </w:rPr>
        <w:t xml:space="preserve">La disproportion semble extrême entre les faits reprochés et la mesure elle-même. </w:t>
      </w:r>
      <w:r>
        <w:rPr>
          <w:lang w:val="fr-FR"/>
        </w:rPr>
        <w:t xml:space="preserve">Quand la famille veut faire hospitaliser une personne de force, il n’y a guère de recours en pratique. Les motifs de l’hospitalisation forcée peuvent être un conflit familial, la volonté de </w:t>
      </w:r>
      <w:r>
        <w:rPr>
          <w:sz w:val="24"/>
          <w:lang w:val="fr-FR"/>
        </w:rPr>
        <w:t>plac</w:t>
      </w:r>
      <w:r>
        <w:rPr>
          <w:lang w:val="fr-FR"/>
        </w:rPr>
        <w:t xml:space="preserve">er la personne sous tutelle </w:t>
      </w:r>
      <w:r>
        <w:rPr>
          <w:sz w:val="24"/>
          <w:lang w:val="fr-FR"/>
        </w:rPr>
        <w:t xml:space="preserve">par rapport à </w:t>
      </w:r>
      <w:r>
        <w:rPr>
          <w:sz w:val="24"/>
          <w:lang w:val="fr-FR"/>
        </w:rPr>
        <w:t>des intérêts financiers</w:t>
      </w:r>
      <w:r>
        <w:rPr>
          <w:lang w:val="fr-FR"/>
        </w:rPr>
        <w:t>, de discréditer la personne dans une procédure de divorce, ou encore empêcher une personne d’essayer de se sevrer des médicaments psychiatriques, ou même de participer à une manifestation.</w:t>
      </w:r>
    </w:p>
    <w:p>
      <w:pPr>
        <w:pStyle w:val="TextBody"/>
        <w:spacing w:lineRule="auto" w:line="276"/>
        <w:jc w:val="both"/>
        <w:rPr>
          <w:lang w:val="fr-FR"/>
        </w:rPr>
      </w:pPr>
      <w:r>
        <w:rPr>
          <w:lang w:val="fr-FR"/>
        </w:rPr>
        <w:t>Selon nos correspondants, la possibilité de faire hospitaliser de force est largement utilisée en France par le médical pour menacer et pour intimider les personnes, et cela, qu’une décision juridique ait été prise ou non.</w:t>
      </w:r>
    </w:p>
    <w:p>
      <w:pPr>
        <w:pStyle w:val="TextBody"/>
        <w:spacing w:lineRule="auto" w:line="276"/>
        <w:jc w:val="both"/>
        <w:rPr>
          <w:lang w:val="fr-FR"/>
        </w:rPr>
      </w:pPr>
      <w:r>
        <w:rPr>
          <w:sz w:val="24"/>
          <w:lang w:val="fr-FR"/>
        </w:rPr>
        <w:t xml:space="preserve">Il existe des unités psychiatriques de haute sécurité, qui sont appelées « unités pour malades difficiles », et qui auraient compté 650 lits en 2017 </w:t>
      </w:r>
      <w:r>
        <w:rPr>
          <w:lang w:val="fr-FR"/>
        </w:rPr>
        <w:t>[</w:t>
      </w:r>
      <w:r>
        <w:rPr>
          <w:lang w:val="fr-FR"/>
        </w:rPr>
        <w:fldChar w:fldCharType="begin"/>
      </w:r>
      <w:r>
        <w:rPr>
          <w:lang w:val="fr-FR"/>
        </w:rPr>
        <w:instrText> REF __RefNumPara__3994_2773654779 \r \h </w:instrText>
      </w:r>
      <w:r>
        <w:rPr>
          <w:lang w:val="fr-FR"/>
        </w:rPr>
        <w:fldChar w:fldCharType="separate"/>
      </w:r>
      <w:r>
        <w:rPr>
          <w:lang w:val="fr-FR"/>
        </w:rPr>
        <w:t>64</w:t>
      </w:r>
      <w:r>
        <w:rPr>
          <w:lang w:val="fr-FR"/>
        </w:rPr>
        <w:fldChar w:fldCharType="end"/>
      </w:r>
      <w:r>
        <w:rPr>
          <w:lang w:val="fr-FR"/>
        </w:rPr>
        <w:t>].</w:t>
      </w:r>
      <w:r>
        <w:rPr>
          <w:lang w:val="fr-FR"/>
        </w:rPr>
        <w:t xml:space="preserve"> </w:t>
      </w:r>
      <w:r>
        <w:rPr>
          <w:lang w:val="fr-FR"/>
        </w:rPr>
        <w:t>Ces établissements sont utilisés sans dist</w:t>
      </w:r>
      <w:r>
        <w:rPr>
          <w:sz w:val="24"/>
          <w:lang w:val="fr-FR"/>
        </w:rPr>
        <w:t>i</w:t>
      </w:r>
      <w:r>
        <w:rPr>
          <w:lang w:val="fr-FR"/>
        </w:rPr>
        <w:t>nction pour les personnes détenues et pour les non-détenues. Dans certains cas, la décision d’envoyer les personnes dans ces établissements a été utilisée comme une menace ou comme une forme de représaille</w:t>
      </w:r>
      <w:r>
        <w:rPr>
          <w:lang w:val="fr-FR"/>
        </w:rPr>
        <w:t>s</w:t>
      </w:r>
      <w:r>
        <w:rPr>
          <w:lang w:val="fr-FR"/>
        </w:rPr>
        <w:t xml:space="preserve"> contre une personne ou sa famille </w:t>
      </w:r>
      <w:r>
        <w:rPr>
          <w:lang w:val="fr-FR"/>
        </w:rPr>
        <w:t>[</w:t>
      </w:r>
      <w:r>
        <w:rPr>
          <w:lang w:val="fr-FR"/>
        </w:rPr>
        <w:fldChar w:fldCharType="begin"/>
      </w:r>
      <w:r>
        <w:rPr>
          <w:lang w:val="fr-FR"/>
        </w:rPr>
        <w:instrText> REF __RefNumPara__2698_2773654779 \r \h </w:instrText>
      </w:r>
      <w:r>
        <w:rPr>
          <w:lang w:val="fr-FR"/>
        </w:rPr>
        <w:fldChar w:fldCharType="separate"/>
      </w:r>
      <w:r>
        <w:rPr>
          <w:lang w:val="fr-FR"/>
        </w:rPr>
        <w:t>65</w:t>
      </w:r>
      <w:r>
        <w:rPr>
          <w:lang w:val="fr-FR"/>
        </w:rPr>
        <w:fldChar w:fldCharType="end"/>
      </w:r>
      <w:r>
        <w:rPr>
          <w:lang w:val="fr-FR"/>
        </w:rPr>
        <w:t>].</w:t>
      </w:r>
    </w:p>
    <w:p>
      <w:pPr>
        <w:pStyle w:val="TextBody"/>
        <w:spacing w:lineRule="auto" w:line="276"/>
        <w:jc w:val="both"/>
        <w:rPr>
          <w:lang w:val="fr-FR"/>
        </w:rPr>
      </w:pPr>
      <w:r>
        <w:rPr>
          <w:lang w:val="fr-FR"/>
        </w:rPr>
        <w:t>Nous demandons de libérer tout patient demandant à quitter un établissement psychiatrique et de fournir les aides sociales nécessaires pour réaliser cette sortie dans de bonnes conditions.</w:t>
      </w:r>
    </w:p>
    <w:p>
      <w:pPr>
        <w:pStyle w:val="TextBody"/>
        <w:spacing w:lineRule="auto" w:line="276"/>
        <w:jc w:val="both"/>
        <w:rPr>
          <w:lang w:val="fr-FR"/>
        </w:rPr>
      </w:pPr>
      <w:r>
        <w:rPr>
          <w:lang w:val="fr-FR"/>
        </w:rPr>
      </w:r>
    </w:p>
    <w:p>
      <w:pPr>
        <w:pStyle w:val="Heading4"/>
        <w:spacing w:lineRule="auto" w:line="276"/>
        <w:rPr>
          <w:lang w:val="fr-FR"/>
        </w:rPr>
      </w:pPr>
      <w:bookmarkStart w:id="8" w:name="__RefHeading___Toc2407_2773654779"/>
      <w:bookmarkEnd w:id="8"/>
      <w:r>
        <w:rPr>
          <w:lang w:val="fr-FR"/>
        </w:rPr>
        <w:t>Article 15 Droit de ne pas être soumis à la torture ni à des peines ou traitements cruels, inhumains ou dégradants</w:t>
      </w:r>
    </w:p>
    <w:p>
      <w:pPr>
        <w:pStyle w:val="TextBody"/>
        <w:spacing w:lineRule="auto" w:line="276"/>
        <w:jc w:val="both"/>
        <w:rPr>
          <w:lang w:val="fr-FR"/>
        </w:rPr>
      </w:pPr>
      <w:r>
        <w:rPr>
          <w:sz w:val="24"/>
          <w:lang w:val="fr-FR"/>
        </w:rPr>
        <w:t>Selon nos correspondants</w:t>
      </w:r>
      <w:r>
        <w:rPr>
          <w:lang w:val="fr-FR"/>
        </w:rPr>
        <w:t xml:space="preserve">, </w:t>
      </w:r>
      <w:r>
        <w:rPr>
          <w:lang w:val="fr-FR"/>
        </w:rPr>
        <w:t>l</w:t>
      </w:r>
      <w:r>
        <w:rPr>
          <w:sz w:val="24"/>
          <w:lang w:val="fr-FR"/>
        </w:rPr>
        <w:t>e</w:t>
      </w:r>
      <w:r>
        <w:rPr>
          <w:lang w:val="fr-FR"/>
        </w:rPr>
        <w:t xml:space="preserve">s moyens utilisés pour </w:t>
      </w:r>
      <w:r>
        <w:rPr>
          <w:lang w:val="fr-FR"/>
        </w:rPr>
        <w:t xml:space="preserve">laver le cerveau et briser </w:t>
      </w:r>
      <w:r>
        <w:rPr>
          <w:sz w:val="24"/>
          <w:lang w:val="fr-FR"/>
        </w:rPr>
        <w:t>la</w:t>
      </w:r>
      <w:r>
        <w:rPr>
          <w:lang w:val="fr-FR"/>
        </w:rPr>
        <w:t xml:space="preserve"> personne </w:t>
      </w:r>
      <w:r>
        <w:rPr>
          <w:lang w:val="fr-FR"/>
        </w:rPr>
        <w:t xml:space="preserve">dans la soumission </w:t>
      </w:r>
      <w:r>
        <w:rPr>
          <w:lang w:val="fr-FR"/>
        </w:rPr>
        <w:t xml:space="preserve">à l’hôpital </w:t>
      </w:r>
      <w:r>
        <w:rPr>
          <w:lang w:val="fr-FR"/>
        </w:rPr>
        <w:t xml:space="preserve">psychiatrique </w:t>
      </w:r>
      <w:r>
        <w:rPr>
          <w:lang w:val="fr-FR"/>
        </w:rPr>
        <w:t xml:space="preserve">remplissent les critères de la torture : la communication est pauvre ou absente, les médicaments neuroleptiques sont administrés de force, il y a des humiliations, et possiblement des menaces, des contentions mécaniques, des mises en isolement, et d’autres maltraitances. Nos correspondants décrivent aussi l’escalade des moyens, par exemple des traitements avec des doses extrêmes de médicaments qui mettent la vie en danger, ou encore des poly-médications. </w:t>
      </w:r>
      <w:r>
        <w:rPr>
          <w:lang w:val="fr-FR"/>
        </w:rPr>
        <w:t xml:space="preserve">La menace sur la vie est très réelle </w:t>
      </w:r>
      <w:r>
        <w:rPr>
          <w:sz w:val="24"/>
          <w:lang w:val="fr-FR"/>
        </w:rPr>
        <w:t>avec les</w:t>
      </w:r>
      <w:r>
        <w:rPr>
          <w:lang w:val="fr-FR"/>
        </w:rPr>
        <w:t xml:space="preserve"> syndromes malins, </w:t>
      </w:r>
      <w:r>
        <w:rPr>
          <w:sz w:val="24"/>
          <w:lang w:val="fr-FR"/>
        </w:rPr>
        <w:t>les</w:t>
      </w:r>
      <w:r>
        <w:rPr>
          <w:lang w:val="fr-FR"/>
        </w:rPr>
        <w:t xml:space="preserve"> </w:t>
      </w:r>
      <w:r>
        <w:rPr>
          <w:lang w:val="fr-FR"/>
        </w:rPr>
        <w:t>déshydratation</w:t>
      </w:r>
      <w:r>
        <w:rPr>
          <w:lang w:val="fr-FR"/>
        </w:rPr>
        <w:t>s</w:t>
      </w:r>
      <w:r>
        <w:rPr>
          <w:lang w:val="fr-FR"/>
        </w:rPr>
        <w:t xml:space="preserve">, </w:t>
      </w:r>
      <w:r>
        <w:rPr>
          <w:sz w:val="24"/>
          <w:lang w:val="fr-FR"/>
        </w:rPr>
        <w:t>la</w:t>
      </w:r>
      <w:r>
        <w:rPr>
          <w:lang w:val="fr-FR"/>
        </w:rPr>
        <w:t xml:space="preserve"> rétention d'urine, </w:t>
      </w:r>
      <w:r>
        <w:rPr>
          <w:sz w:val="24"/>
          <w:lang w:val="fr-FR"/>
        </w:rPr>
        <w:t>la</w:t>
      </w:r>
      <w:r>
        <w:rPr>
          <w:lang w:val="fr-FR"/>
        </w:rPr>
        <w:t xml:space="preserve"> constipation, l’altération de la conscience, l’obstruction des bronches, </w:t>
      </w:r>
      <w:r>
        <w:rPr>
          <w:sz w:val="24"/>
          <w:lang w:val="fr-FR"/>
        </w:rPr>
        <w:t>l</w:t>
      </w:r>
      <w:r>
        <w:rPr>
          <w:lang w:val="fr-FR"/>
        </w:rPr>
        <w:t xml:space="preserve">es vomissements </w:t>
      </w:r>
      <w:r>
        <w:rPr>
          <w:lang w:val="fr-FR"/>
        </w:rPr>
        <w:t>et inhalations</w:t>
      </w:r>
      <w:r>
        <w:rPr>
          <w:lang w:val="fr-FR"/>
        </w:rPr>
        <w:t xml:space="preserve">, </w:t>
      </w:r>
      <w:r>
        <w:rPr>
          <w:sz w:val="24"/>
          <w:lang w:val="fr-FR"/>
        </w:rPr>
        <w:t>l</w:t>
      </w:r>
      <w:r>
        <w:rPr>
          <w:lang w:val="fr-FR"/>
        </w:rPr>
        <w:t xml:space="preserve">es </w:t>
      </w:r>
      <w:r>
        <w:rPr>
          <w:sz w:val="24"/>
          <w:lang w:val="fr-FR"/>
        </w:rPr>
        <w:t>risques</w:t>
      </w:r>
      <w:r>
        <w:rPr>
          <w:lang w:val="fr-FR"/>
        </w:rPr>
        <w:t xml:space="preserve"> thrombo-emboliques, réna</w:t>
      </w:r>
      <w:r>
        <w:rPr>
          <w:sz w:val="24"/>
          <w:lang w:val="fr-FR"/>
        </w:rPr>
        <w:t>ux</w:t>
      </w:r>
      <w:r>
        <w:rPr>
          <w:lang w:val="fr-FR"/>
        </w:rPr>
        <w:t xml:space="preserve"> et cardiaques.</w:t>
      </w:r>
    </w:p>
    <w:p>
      <w:pPr>
        <w:pStyle w:val="TextBody"/>
        <w:spacing w:lineRule="auto" w:line="276"/>
        <w:jc w:val="both"/>
        <w:rPr>
          <w:lang w:val="fr-FR"/>
        </w:rPr>
      </w:pPr>
      <w:r>
        <w:rPr>
          <w:lang w:val="fr-FR"/>
        </w:rPr>
        <w:t>Le traitement forcé aux neuroleptiques peut constituer une torture en soi, et peut induire de l’akathisie, l’absence des pensées, la fixité de la personne, un parkinsonisme, des mouvements involontaires des yeux, des contractions musculaires dans le corps, des tremblements violents et incontr</w:t>
      </w:r>
      <w:r>
        <w:rPr>
          <w:sz w:val="24"/>
          <w:lang w:val="fr-FR"/>
        </w:rPr>
        <w:t>ô</w:t>
      </w:r>
      <w:r>
        <w:rPr>
          <w:lang w:val="fr-FR"/>
        </w:rPr>
        <w:t>lables, la perte de l</w:t>
      </w:r>
      <w:r>
        <w:rPr>
          <w:sz w:val="24"/>
          <w:lang w:val="fr-FR"/>
        </w:rPr>
        <w:t>a vision</w:t>
      </w:r>
      <w:r>
        <w:rPr>
          <w:lang w:val="fr-FR"/>
        </w:rPr>
        <w:t>, des hallucinations, des incontinences, des constipations, une salivation constante.</w:t>
      </w:r>
      <w:r>
        <w:rPr>
          <w:lang w:val="fr-FR"/>
        </w:rPr>
        <w:t xml:space="preserve"> </w:t>
      </w:r>
      <w:r>
        <w:rPr>
          <w:lang w:val="fr-FR"/>
        </w:rPr>
        <w:t xml:space="preserve">Nous rapportons le cas d’un faux « consentement » aux électrochocs obtenu au moyen de cette torture aux neuroleptiques </w:t>
      </w:r>
      <w:r>
        <w:rPr>
          <w:lang w:val="fr-FR"/>
        </w:rPr>
        <w:t>[</w:t>
      </w:r>
      <w:r>
        <w:rPr>
          <w:lang w:val="fr-FR"/>
        </w:rPr>
        <w:fldChar w:fldCharType="begin"/>
      </w:r>
      <w:r>
        <w:rPr>
          <w:lang w:val="fr-FR"/>
        </w:rPr>
        <w:instrText> REF __RefNumPara__7705_1326341519 \r \h </w:instrText>
      </w:r>
      <w:r>
        <w:rPr>
          <w:lang w:val="fr-FR"/>
        </w:rPr>
        <w:fldChar w:fldCharType="separate"/>
      </w:r>
      <w:r>
        <w:rPr>
          <w:lang w:val="fr-FR"/>
        </w:rPr>
        <w:t>94</w:t>
      </w:r>
      <w:r>
        <w:rPr>
          <w:lang w:val="fr-FR"/>
        </w:rPr>
        <w:fldChar w:fldCharType="end"/>
      </w:r>
      <w:r>
        <w:rPr>
          <w:lang w:val="fr-FR"/>
        </w:rPr>
        <w:t>]</w:t>
      </w:r>
      <w:r>
        <w:rPr>
          <w:lang w:val="fr-FR"/>
        </w:rPr>
        <w:t xml:space="preserve">. </w:t>
      </w:r>
    </w:p>
    <w:p>
      <w:pPr>
        <w:pStyle w:val="TextBody"/>
        <w:spacing w:lineRule="auto" w:line="276"/>
        <w:jc w:val="both"/>
        <w:rPr>
          <w:lang w:val="fr-FR"/>
        </w:rPr>
      </w:pPr>
      <w:r>
        <w:rPr>
          <w:lang w:val="fr-FR"/>
        </w:rPr>
        <w:t xml:space="preserve">Quand une personne se plaint des effets secondaires des médicaments, des doses trop fortes ou explique qu’elle ne supporte pas le médicament, les demandes de réduction des doses sont ignorées. Nos correspondants dénoncent aussi l’endoctrinement subi dans la notion d’une déficience personnelle </w:t>
      </w:r>
      <w:r>
        <w:rPr>
          <w:lang w:val="fr-FR"/>
        </w:rPr>
        <w:t>supposée</w:t>
      </w:r>
      <w:r>
        <w:rPr>
          <w:lang w:val="fr-FR"/>
        </w:rPr>
        <w:t>, qui serait intrinsèque et de nature constitutionnelle, incurable et incompatible avec la procréation, selon une idéologie psychiatrique qu’au moins certains de nos correspondants considèrent comme complètement détachée de la réalité.</w:t>
      </w:r>
      <w:r>
        <w:rPr>
          <w:lang w:val="fr-FR"/>
        </w:rPr>
        <w:t xml:space="preserve"> </w:t>
      </w:r>
      <w:r>
        <w:rPr>
          <w:lang w:val="fr-FR"/>
        </w:rPr>
        <w:t xml:space="preserve">Ne sachant pas quand un tel calvaire cessera, nos correspondants témoignent qu’ils ont été contraints à passer </w:t>
      </w:r>
      <w:r>
        <w:rPr>
          <w:sz w:val="24"/>
          <w:lang w:val="fr-FR"/>
        </w:rPr>
        <w:t>dans un</w:t>
      </w:r>
      <w:r>
        <w:rPr>
          <w:lang w:val="fr-FR"/>
        </w:rPr>
        <w:t xml:space="preserve"> mode de survie et qu’ils ont du apprendre </w:t>
      </w:r>
      <w:r>
        <w:rPr>
          <w:sz w:val="24"/>
          <w:lang w:val="fr-FR"/>
        </w:rPr>
        <w:t>comment s’en sortir</w:t>
      </w:r>
      <w:r>
        <w:rPr>
          <w:lang w:val="fr-FR"/>
        </w:rPr>
        <w:t xml:space="preserve"> </w:t>
      </w:r>
      <w:r>
        <w:rPr>
          <w:lang w:val="fr-FR"/>
        </w:rPr>
        <w:t xml:space="preserve">grâce à d’autres, </w:t>
      </w:r>
      <w:r>
        <w:rPr>
          <w:lang w:val="fr-FR"/>
        </w:rPr>
        <w:t xml:space="preserve">puis à jouer </w:t>
      </w:r>
      <w:r>
        <w:rPr>
          <w:lang w:val="fr-FR"/>
        </w:rPr>
        <w:t xml:space="preserve">prudemment </w:t>
      </w:r>
      <w:r>
        <w:rPr>
          <w:lang w:val="fr-FR"/>
        </w:rPr>
        <w:t>la comédie spéci</w:t>
      </w:r>
      <w:r>
        <w:rPr>
          <w:sz w:val="24"/>
          <w:lang w:val="fr-FR"/>
        </w:rPr>
        <w:t>fique</w:t>
      </w:r>
      <w:r>
        <w:rPr>
          <w:lang w:val="fr-FR"/>
        </w:rPr>
        <w:t xml:space="preserve"> qu</w:t>
      </w:r>
      <w:r>
        <w:rPr>
          <w:sz w:val="24"/>
          <w:lang w:val="fr-FR"/>
        </w:rPr>
        <w:t>e l’on attendait d’eux.</w:t>
      </w:r>
    </w:p>
    <w:p>
      <w:pPr>
        <w:pStyle w:val="TextBody"/>
        <w:spacing w:lineRule="auto" w:line="276"/>
        <w:jc w:val="both"/>
        <w:rPr>
          <w:lang w:val="fr-FR"/>
        </w:rPr>
      </w:pPr>
      <w:r>
        <w:rPr>
          <w:sz w:val="24"/>
          <w:lang w:val="fr-FR"/>
        </w:rPr>
        <w:t xml:space="preserve">La dépendance aux médicaments neuroleptiques est lourde, les expériences de sevrage sont très éprouvantes physiquement et psychologiquement </w:t>
      </w:r>
      <w:r>
        <w:rPr>
          <w:sz w:val="24"/>
          <w:lang w:val="fr-FR"/>
        </w:rPr>
        <w:t>[</w:t>
      </w:r>
      <w:r>
        <w:rPr>
          <w:sz w:val="24"/>
          <w:lang w:val="fr-FR"/>
        </w:rPr>
        <w:fldChar w:fldCharType="begin"/>
      </w:r>
      <w:r>
        <w:rPr>
          <w:sz w:val="24"/>
          <w:lang w:val="fr-FR"/>
        </w:rPr>
        <w:instrText> REF __RefNumPara__2987_234535675 \r \h </w:instrText>
      </w:r>
      <w:r>
        <w:rPr>
          <w:sz w:val="24"/>
          <w:lang w:val="fr-FR"/>
        </w:rPr>
        <w:fldChar w:fldCharType="separate"/>
      </w:r>
      <w:r>
        <w:rPr>
          <w:sz w:val="24"/>
          <w:lang w:val="fr-FR"/>
        </w:rPr>
        <w:t>41</w:t>
      </w:r>
      <w:r>
        <w:rPr>
          <w:sz w:val="24"/>
          <w:lang w:val="fr-FR"/>
        </w:rPr>
        <w:fldChar w:fldCharType="end"/>
      </w:r>
      <w:r>
        <w:rPr>
          <w:sz w:val="24"/>
          <w:lang w:val="fr-FR"/>
        </w:rPr>
        <w:t xml:space="preserve">], </w:t>
      </w:r>
      <w:r>
        <w:rPr>
          <w:sz w:val="24"/>
          <w:lang w:val="fr-FR"/>
        </w:rPr>
        <w:t>et le rééquilibrage du cerveau après le sevrage peut demander plusieurs mois voire années [</w:t>
      </w:r>
      <w:r>
        <w:rPr>
          <w:sz w:val="24"/>
          <w:lang w:val="fr-FR"/>
        </w:rPr>
        <w:fldChar w:fldCharType="begin"/>
      </w:r>
      <w:r>
        <w:rPr>
          <w:sz w:val="24"/>
          <w:lang w:val="fr-FR"/>
        </w:rPr>
        <w:instrText> REF __RefNumPara__4591_234535675 \r \h </w:instrText>
      </w:r>
      <w:r>
        <w:rPr>
          <w:sz w:val="24"/>
          <w:lang w:val="fr-FR"/>
        </w:rPr>
        <w:fldChar w:fldCharType="separate"/>
      </w:r>
      <w:r>
        <w:rPr>
          <w:sz w:val="24"/>
          <w:lang w:val="fr-FR"/>
        </w:rPr>
        <w:t>24</w:t>
      </w:r>
      <w:r>
        <w:rPr>
          <w:sz w:val="24"/>
          <w:lang w:val="fr-FR"/>
        </w:rPr>
        <w:fldChar w:fldCharType="end"/>
      </w:r>
      <w:r>
        <w:rPr>
          <w:sz w:val="24"/>
          <w:lang w:val="fr-FR"/>
        </w:rPr>
        <w:t>].</w:t>
      </w:r>
      <w:r>
        <w:rPr>
          <w:sz w:val="24"/>
          <w:lang w:val="fr-FR"/>
        </w:rPr>
        <w:t xml:space="preserve"> </w:t>
      </w:r>
      <w:r>
        <w:rPr>
          <w:sz w:val="24"/>
          <w:lang w:val="fr-FR"/>
        </w:rPr>
        <w:t>Nos correspondants rapportent que les signes du sevrage sont interprétés de façon erronée par les psychiatres comme des signes de la « maladie » supposée du cerveau qui correspond à leur théorie, appliquée à la personne. Ils appellent alors faussement ces manifestations de sevrage une « rechute ».</w:t>
      </w:r>
    </w:p>
    <w:p>
      <w:pPr>
        <w:pStyle w:val="TextBody"/>
        <w:spacing w:lineRule="auto" w:line="276"/>
        <w:jc w:val="both"/>
        <w:rPr>
          <w:rFonts w:ascii="Times New Roman" w:hAnsi="Times New Roman"/>
          <w:sz w:val="24"/>
          <w:lang w:val="fr-FR"/>
        </w:rPr>
      </w:pPr>
      <w:r>
        <w:rPr>
          <w:sz w:val="24"/>
          <w:lang w:val="fr-FR"/>
        </w:rPr>
        <w:t>Nos correspondants décrivent aussi le traitement forcé dans la commun</w:t>
      </w:r>
      <w:r>
        <w:rPr>
          <w:sz w:val="24"/>
          <w:lang w:val="fr-FR"/>
        </w:rPr>
        <w:t>au</w:t>
      </w:r>
      <w:r>
        <w:rPr>
          <w:sz w:val="24"/>
          <w:lang w:val="fr-FR"/>
        </w:rPr>
        <w:t xml:space="preserve">té comme une torture. Ils décrivent l’akathisie, l’impossibilité de penser, de mémoriser, de lire, de ressentir, l’absence de motivation, ou les modifications corporelles et les autres conditions iatrogènes. Ces conditions sont visibles et stigmatisent </w:t>
      </w:r>
      <w:r>
        <w:rPr>
          <w:sz w:val="24"/>
          <w:lang w:val="fr-FR"/>
        </w:rPr>
        <w:t xml:space="preserve">davantage </w:t>
      </w:r>
      <w:r>
        <w:rPr>
          <w:sz w:val="24"/>
          <w:lang w:val="fr-FR"/>
        </w:rPr>
        <w:t xml:space="preserve">les personnes </w:t>
      </w:r>
      <w:r>
        <w:rPr>
          <w:sz w:val="24"/>
          <w:lang w:val="fr-FR"/>
        </w:rPr>
        <w:t>aux yeux des autres</w:t>
      </w:r>
      <w:r>
        <w:rPr>
          <w:sz w:val="24"/>
          <w:lang w:val="fr-FR"/>
        </w:rPr>
        <w:t>.</w:t>
      </w:r>
    </w:p>
    <w:p>
      <w:pPr>
        <w:pStyle w:val="TextBody"/>
        <w:spacing w:lineRule="auto" w:line="276"/>
        <w:jc w:val="both"/>
        <w:rPr>
          <w:rFonts w:ascii="Times New Roman" w:hAnsi="Times New Roman"/>
          <w:sz w:val="24"/>
          <w:lang w:val="fr-FR"/>
        </w:rPr>
      </w:pPr>
      <w:r>
        <w:rPr>
          <w:sz w:val="24"/>
          <w:lang w:val="fr-FR"/>
        </w:rPr>
        <w:t>En ce qui concerne les traitements psychiatriques forcés, il n’y a pas de statistiques disponibles. Selon nos témoignages, cependant, c’est la norme à l’hôpital, et c’est pratiqué sur une vaste échelle dans la communauté, sous la menace, légalisée formellement ou non, de ré-hospitalisation forcée ; De plus, le choix d’</w:t>
      </w:r>
      <w:r>
        <w:rPr>
          <w:sz w:val="24"/>
          <w:lang w:val="fr-FR"/>
        </w:rPr>
        <w:t xml:space="preserve">une </w:t>
      </w:r>
      <w:r>
        <w:rPr>
          <w:sz w:val="24"/>
          <w:lang w:val="fr-FR"/>
        </w:rPr>
        <w:t xml:space="preserve">approche </w:t>
      </w:r>
      <w:r>
        <w:rPr>
          <w:sz w:val="24"/>
          <w:lang w:val="fr-FR"/>
        </w:rPr>
        <w:t>non-</w:t>
      </w:r>
      <w:r>
        <w:rPr>
          <w:sz w:val="24"/>
          <w:lang w:val="fr-FR"/>
        </w:rPr>
        <w:t xml:space="preserve">chimique, </w:t>
      </w:r>
      <w:r>
        <w:rPr>
          <w:sz w:val="24"/>
          <w:lang w:val="fr-FR"/>
        </w:rPr>
        <w:t>sociale ou psychologique</w:t>
      </w:r>
      <w:r>
        <w:rPr>
          <w:sz w:val="24"/>
          <w:lang w:val="fr-FR"/>
        </w:rPr>
        <w:t xml:space="preserve">, n’est généralement pas proposé, et l’aide pour réussir le sevrage des médicaments est difficile à trouver. Selon nos correspondants, l’information </w:t>
      </w:r>
      <w:r>
        <w:rPr>
          <w:sz w:val="24"/>
          <w:lang w:val="fr-FR"/>
        </w:rPr>
        <w:t>sur les médicaments</w:t>
      </w:r>
      <w:r>
        <w:rPr>
          <w:sz w:val="24"/>
          <w:lang w:val="fr-FR"/>
        </w:rPr>
        <w:t xml:space="preserve">, quand elle est fournie, est biaisée </w:t>
      </w:r>
      <w:r>
        <w:rPr>
          <w:sz w:val="24"/>
          <w:lang w:val="fr-FR"/>
        </w:rPr>
        <w:t>[</w:t>
      </w:r>
      <w:r>
        <w:rPr>
          <w:sz w:val="24"/>
          <w:lang w:val="fr-FR"/>
        </w:rPr>
        <w:fldChar w:fldCharType="begin"/>
      </w:r>
      <w:r>
        <w:rPr>
          <w:sz w:val="24"/>
          <w:lang w:val="fr-FR"/>
        </w:rPr>
        <w:instrText> REF __RefNumPara__2987_234535675 \r \h </w:instrText>
      </w:r>
      <w:r>
        <w:rPr>
          <w:sz w:val="24"/>
          <w:lang w:val="fr-FR"/>
        </w:rPr>
        <w:fldChar w:fldCharType="separate"/>
      </w:r>
      <w:r>
        <w:rPr>
          <w:sz w:val="24"/>
          <w:lang w:val="fr-FR"/>
        </w:rPr>
        <w:t>41</w:t>
      </w:r>
      <w:r>
        <w:rPr>
          <w:sz w:val="24"/>
          <w:lang w:val="fr-FR"/>
        </w:rPr>
        <w:fldChar w:fldCharType="end"/>
      </w:r>
      <w:r>
        <w:rPr>
          <w:sz w:val="24"/>
          <w:lang w:val="fr-FR"/>
        </w:rPr>
        <w:t>][</w:t>
      </w:r>
      <w:r>
        <w:rPr>
          <w:sz w:val="24"/>
          <w:lang w:val="fr-FR"/>
        </w:rPr>
        <w:fldChar w:fldCharType="begin"/>
      </w:r>
      <w:r>
        <w:rPr>
          <w:sz w:val="24"/>
          <w:lang w:val="fr-FR"/>
        </w:rPr>
        <w:instrText> REF __RefNumPara__6499_2069249561 \r \h </w:instrText>
      </w:r>
      <w:r>
        <w:rPr>
          <w:sz w:val="24"/>
          <w:lang w:val="fr-FR"/>
        </w:rPr>
        <w:fldChar w:fldCharType="separate"/>
      </w:r>
      <w:r>
        <w:rPr>
          <w:sz w:val="24"/>
          <w:lang w:val="fr-FR"/>
        </w:rPr>
        <w:t>42</w:t>
      </w:r>
      <w:r>
        <w:rPr>
          <w:sz w:val="24"/>
          <w:lang w:val="fr-FR"/>
        </w:rPr>
        <w:fldChar w:fldCharType="end"/>
      </w:r>
      <w:r>
        <w:rPr>
          <w:sz w:val="24"/>
          <w:lang w:val="fr-FR"/>
        </w:rPr>
        <w:t>]</w:t>
      </w:r>
      <w:r>
        <w:rPr>
          <w:sz w:val="24"/>
          <w:lang w:val="fr-FR"/>
        </w:rPr>
        <w:t xml:space="preserve">, </w:t>
      </w:r>
      <w:r>
        <w:rPr>
          <w:sz w:val="24"/>
          <w:lang w:val="fr-FR"/>
        </w:rPr>
        <w:t xml:space="preserve">incomplète </w:t>
      </w:r>
      <w:r>
        <w:rPr>
          <w:sz w:val="24"/>
          <w:lang w:val="fr-FR"/>
        </w:rPr>
        <w:t xml:space="preserve">en </w:t>
      </w:r>
      <w:r>
        <w:rPr>
          <w:sz w:val="24"/>
          <w:lang w:val="fr-FR"/>
        </w:rPr>
        <w:t>particulier sur</w:t>
      </w:r>
      <w:r>
        <w:rPr>
          <w:sz w:val="24"/>
          <w:lang w:val="fr-FR"/>
        </w:rPr>
        <w:t xml:space="preserve"> les dommages de long-terme et les dépendances </w:t>
      </w:r>
      <w:r>
        <w:rPr>
          <w:sz w:val="24"/>
          <w:lang w:val="fr-FR"/>
        </w:rPr>
        <w:t>aux médicaments</w:t>
      </w:r>
      <w:r>
        <w:rPr>
          <w:sz w:val="24"/>
          <w:lang w:val="fr-FR"/>
        </w:rPr>
        <w:t>, ou</w:t>
      </w:r>
      <w:r>
        <w:rPr>
          <w:sz w:val="24"/>
          <w:lang w:val="fr-FR"/>
        </w:rPr>
        <w:t xml:space="preserve"> inexacte.</w:t>
      </w:r>
    </w:p>
    <w:p>
      <w:pPr>
        <w:pStyle w:val="TextBody"/>
        <w:spacing w:lineRule="auto" w:line="276"/>
        <w:jc w:val="both"/>
        <w:rPr>
          <w:rFonts w:ascii="Times New Roman" w:hAnsi="Times New Roman"/>
          <w:sz w:val="24"/>
          <w:lang w:val="fr-FR"/>
        </w:rPr>
      </w:pPr>
      <w:r>
        <w:rPr>
          <w:sz w:val="24"/>
          <w:lang w:val="fr-FR"/>
        </w:rPr>
        <w:t xml:space="preserve">Nos correspondants disent qu’ils sont terrorisés par le pouvoir accordé au système psychiatrique sur les esprits et sur les corps, qui est sans contrôle, absolu, maltraitant, et que tous ces abus sont commis dans une impunité quasiment complète. </w:t>
      </w:r>
    </w:p>
    <w:p>
      <w:pPr>
        <w:pStyle w:val="TextBody"/>
        <w:spacing w:lineRule="auto" w:line="276"/>
        <w:jc w:val="both"/>
        <w:rPr>
          <w:rFonts w:ascii="Times New Roman" w:hAnsi="Times New Roman"/>
          <w:sz w:val="24"/>
          <w:lang w:val="fr-FR"/>
        </w:rPr>
      </w:pPr>
      <w:r>
        <w:rPr>
          <w:sz w:val="24"/>
          <w:lang w:val="fr-FR"/>
        </w:rPr>
        <w:t xml:space="preserve">Nous demandons que la France abolisse les traitements forcés, à la fois dans les institutions et dans la communauté, que les citoyens cessent d’être menacés de ré-hospitalisation forcée, et que soient abolies les contentions mécaniques et les mises à l’isolement, car l’ensemble de tout ceci constitue </w:t>
      </w:r>
      <w:r>
        <w:rPr>
          <w:sz w:val="24"/>
          <w:lang w:val="fr-FR"/>
        </w:rPr>
        <w:t>des actes d’</w:t>
      </w:r>
      <w:r>
        <w:rPr>
          <w:sz w:val="24"/>
          <w:lang w:val="fr-FR"/>
        </w:rPr>
        <w:t>intimidation</w:t>
      </w:r>
      <w:r>
        <w:rPr>
          <w:sz w:val="24"/>
          <w:lang w:val="fr-FR"/>
        </w:rPr>
        <w:t xml:space="preserve"> et des pratiques de torture </w:t>
      </w:r>
      <w:r>
        <w:rPr>
          <w:sz w:val="24"/>
          <w:lang w:val="fr-FR"/>
        </w:rPr>
        <w:t>[</w:t>
      </w:r>
      <w:r>
        <w:rPr>
          <w:sz w:val="24"/>
          <w:lang w:val="fr-FR"/>
        </w:rPr>
        <w:fldChar w:fldCharType="begin"/>
      </w:r>
      <w:r>
        <w:rPr>
          <w:sz w:val="24"/>
          <w:lang w:val="fr-FR"/>
        </w:rPr>
        <w:instrText> REF __RefNumPara__1448_2129381569 \r \h </w:instrText>
      </w:r>
      <w:r>
        <w:rPr>
          <w:sz w:val="24"/>
          <w:lang w:val="fr-FR"/>
        </w:rPr>
        <w:fldChar w:fldCharType="separate"/>
      </w:r>
      <w:r>
        <w:rPr>
          <w:sz w:val="24"/>
          <w:lang w:val="fr-FR"/>
        </w:rPr>
        <w:t>78</w:t>
      </w:r>
      <w:r>
        <w:rPr>
          <w:sz w:val="24"/>
          <w:lang w:val="fr-FR"/>
        </w:rPr>
        <w:fldChar w:fldCharType="end"/>
      </w:r>
      <w:r>
        <w:rPr>
          <w:sz w:val="24"/>
          <w:lang w:val="fr-FR"/>
        </w:rPr>
        <w:t xml:space="preserve">]. </w:t>
      </w:r>
      <w:r>
        <w:rPr>
          <w:sz w:val="24"/>
          <w:lang w:val="fr-FR"/>
        </w:rPr>
        <w:t>Nous demandons aussi des réparations.</w:t>
      </w:r>
    </w:p>
    <w:p>
      <w:pPr>
        <w:pStyle w:val="TextBody"/>
        <w:spacing w:lineRule="auto" w:line="276"/>
        <w:jc w:val="both"/>
        <w:rPr>
          <w:rFonts w:ascii="Times New Roman" w:hAnsi="Times New Roman"/>
          <w:sz w:val="24"/>
          <w:lang w:val="fr-FR"/>
        </w:rPr>
      </w:pPr>
      <w:r>
        <w:rPr>
          <w:sz w:val="24"/>
          <w:lang w:val="fr-FR"/>
        </w:rPr>
      </w:r>
    </w:p>
    <w:p>
      <w:pPr>
        <w:pStyle w:val="Heading4"/>
        <w:spacing w:lineRule="auto" w:line="276"/>
        <w:rPr>
          <w:lang w:val="fr-FR"/>
        </w:rPr>
      </w:pPr>
      <w:bookmarkStart w:id="9" w:name="__RefHeading___Toc2409_2773654779"/>
      <w:bookmarkEnd w:id="9"/>
      <w:r>
        <w:rPr>
          <w:lang w:val="fr-FR"/>
        </w:rPr>
        <w:t xml:space="preserve">Article 17 Protection de l'intégrité de la personne </w:t>
      </w:r>
    </w:p>
    <w:p>
      <w:pPr>
        <w:pStyle w:val="TextBody"/>
        <w:spacing w:lineRule="auto" w:line="276"/>
        <w:jc w:val="both"/>
        <w:rPr>
          <w:lang w:val="fr-FR"/>
        </w:rPr>
      </w:pPr>
      <w:r>
        <w:rPr>
          <w:sz w:val="24"/>
          <w:lang w:val="fr-FR"/>
        </w:rPr>
        <w:t xml:space="preserve">Selon nos correspondants, la menace d’hospitalisation forcée est largement utilisée en France pour garder une personne sous camisole chimique à durée indéfinie, </w:t>
      </w:r>
      <w:r>
        <w:rPr>
          <w:sz w:val="24"/>
          <w:lang w:val="fr-FR"/>
        </w:rPr>
        <w:t>et</w:t>
      </w:r>
      <w:r>
        <w:rPr>
          <w:sz w:val="24"/>
          <w:lang w:val="fr-FR"/>
        </w:rPr>
        <w:t xml:space="preserve"> </w:t>
      </w:r>
      <w:r>
        <w:rPr>
          <w:sz w:val="24"/>
          <w:lang w:val="fr-FR"/>
        </w:rPr>
        <w:t xml:space="preserve">cela réalise une </w:t>
      </w:r>
      <w:r>
        <w:rPr>
          <w:sz w:val="24"/>
          <w:lang w:val="fr-FR"/>
        </w:rPr>
        <w:t xml:space="preserve">lobotomie chimique progressive de son cerveau, que la personne soit sous décision de justice de traitement psychiatrique forcé ou non. Une telle pratique est recommandée par la Haute Autorité de Santé dans un document de 2021 </w:t>
      </w:r>
      <w:r>
        <w:rPr>
          <w:sz w:val="24"/>
          <w:lang w:val="fr-FR"/>
        </w:rPr>
        <w:t>[</w:t>
      </w:r>
      <w:r>
        <w:rPr>
          <w:sz w:val="24"/>
          <w:lang w:val="fr-FR"/>
        </w:rPr>
        <w:fldChar w:fldCharType="begin"/>
      </w:r>
      <w:r>
        <w:rPr>
          <w:sz w:val="24"/>
          <w:lang w:val="fr-FR"/>
        </w:rPr>
        <w:instrText> REF __RefNumPara__2691_2773654779 \r \h </w:instrText>
      </w:r>
      <w:r>
        <w:rPr>
          <w:sz w:val="24"/>
          <w:lang w:val="fr-FR"/>
        </w:rPr>
        <w:fldChar w:fldCharType="separate"/>
      </w:r>
      <w:r>
        <w:rPr>
          <w:sz w:val="24"/>
          <w:lang w:val="fr-FR"/>
        </w:rPr>
        <w:t>66</w:t>
      </w:r>
      <w:r>
        <w:rPr>
          <w:sz w:val="24"/>
          <w:lang w:val="fr-FR"/>
        </w:rPr>
        <w:fldChar w:fldCharType="end"/>
      </w:r>
      <w:r>
        <w:rPr>
          <w:sz w:val="24"/>
          <w:lang w:val="fr-FR"/>
        </w:rPr>
        <w:t>].</w:t>
      </w:r>
      <w:r>
        <w:rPr>
          <w:sz w:val="24"/>
          <w:lang w:val="fr-FR"/>
        </w:rPr>
        <w:t xml:space="preserve"> </w:t>
      </w:r>
      <w:r>
        <w:rPr>
          <w:sz w:val="24"/>
          <w:lang w:val="fr-FR"/>
        </w:rPr>
        <w:t>Nous considérons que cela n’a rien à voir avec des soins.</w:t>
      </w:r>
    </w:p>
    <w:p>
      <w:pPr>
        <w:pStyle w:val="TextBody"/>
        <w:spacing w:lineRule="auto" w:line="276"/>
        <w:jc w:val="both"/>
        <w:rPr>
          <w:lang w:val="fr-FR"/>
        </w:rPr>
      </w:pPr>
      <w:r>
        <w:rPr>
          <w:sz w:val="24"/>
          <w:lang w:val="fr-FR"/>
        </w:rPr>
        <w:t>La médication de long terme prive la personne de son intégr</w:t>
      </w:r>
      <w:r>
        <w:rPr>
          <w:sz w:val="24"/>
          <w:lang w:val="fr-FR"/>
        </w:rPr>
        <w:t>i</w:t>
      </w:r>
      <w:r>
        <w:rPr>
          <w:sz w:val="24"/>
          <w:lang w:val="fr-FR"/>
        </w:rPr>
        <w:t xml:space="preserve">té physique et mentale, quelquefois de façon définitive. Les électrochocs endommagent le cerveau de façon permanente. Les hospitalisations psychiatriques provoquent des suicides </w:t>
      </w:r>
      <w:r>
        <w:rPr>
          <w:sz w:val="24"/>
          <w:lang w:val="fr-FR"/>
        </w:rPr>
        <w:t>[</w:t>
      </w:r>
      <w:r>
        <w:rPr>
          <w:sz w:val="24"/>
          <w:lang w:val="fr-FR"/>
        </w:rPr>
        <w:fldChar w:fldCharType="begin"/>
      </w:r>
      <w:r>
        <w:rPr>
          <w:sz w:val="24"/>
          <w:lang w:val="fr-FR"/>
        </w:rPr>
        <w:instrText> REF __RefNumPara__3253_3168646960 \r \h </w:instrText>
      </w:r>
      <w:r>
        <w:rPr>
          <w:sz w:val="24"/>
          <w:lang w:val="fr-FR"/>
        </w:rPr>
        <w:fldChar w:fldCharType="separate"/>
      </w:r>
      <w:r>
        <w:rPr>
          <w:sz w:val="24"/>
          <w:lang w:val="fr-FR"/>
        </w:rPr>
        <w:t>45</w:t>
      </w:r>
      <w:r>
        <w:rPr>
          <w:sz w:val="24"/>
          <w:lang w:val="fr-FR"/>
        </w:rPr>
        <w:fldChar w:fldCharType="end"/>
      </w:r>
      <w:r>
        <w:rPr>
          <w:sz w:val="24"/>
          <w:lang w:val="fr-FR"/>
        </w:rPr>
        <w:t xml:space="preserve">]. </w:t>
      </w:r>
      <w:r>
        <w:rPr>
          <w:sz w:val="24"/>
          <w:lang w:val="fr-FR"/>
        </w:rPr>
        <w:t>Les</w:t>
      </w:r>
      <w:r>
        <w:rPr>
          <w:sz w:val="24"/>
          <w:lang w:val="fr-FR"/>
        </w:rPr>
        <w:t xml:space="preserve"> traumatism</w:t>
      </w:r>
      <w:r>
        <w:rPr>
          <w:sz w:val="24"/>
          <w:lang w:val="fr-FR"/>
        </w:rPr>
        <w:t>e</w:t>
      </w:r>
      <w:r>
        <w:rPr>
          <w:sz w:val="24"/>
          <w:lang w:val="fr-FR"/>
        </w:rPr>
        <w:t xml:space="preserve">s </w:t>
      </w:r>
      <w:r>
        <w:rPr>
          <w:sz w:val="24"/>
          <w:lang w:val="fr-FR"/>
        </w:rPr>
        <w:t>[</w:t>
      </w:r>
      <w:r>
        <w:rPr>
          <w:sz w:val="24"/>
          <w:lang w:val="fr-FR"/>
        </w:rPr>
        <w:fldChar w:fldCharType="begin"/>
      </w:r>
      <w:r>
        <w:rPr>
          <w:sz w:val="24"/>
          <w:lang w:val="fr-FR"/>
        </w:rPr>
        <w:instrText> REF __RefNumPara__3251_3168646960 \r \h </w:instrText>
      </w:r>
      <w:r>
        <w:rPr>
          <w:sz w:val="24"/>
          <w:lang w:val="fr-FR"/>
        </w:rPr>
        <w:fldChar w:fldCharType="separate"/>
      </w:r>
      <w:r>
        <w:rPr>
          <w:sz w:val="24"/>
          <w:lang w:val="fr-FR"/>
        </w:rPr>
        <w:t>44</w:t>
      </w:r>
      <w:r>
        <w:rPr>
          <w:sz w:val="24"/>
          <w:lang w:val="fr-FR"/>
        </w:rPr>
        <w:fldChar w:fldCharType="end"/>
      </w:r>
      <w:r>
        <w:rPr>
          <w:sz w:val="24"/>
          <w:lang w:val="fr-FR"/>
        </w:rPr>
        <w:t>]</w:t>
      </w:r>
      <w:r>
        <w:rPr>
          <w:sz w:val="24"/>
          <w:lang w:val="fr-FR"/>
        </w:rPr>
        <w:t xml:space="preserve"> </w:t>
      </w:r>
      <w:r>
        <w:rPr>
          <w:sz w:val="24"/>
          <w:lang w:val="fr-FR"/>
        </w:rPr>
        <w:t>induits par les violences psychiatriques ne peuvent pas se résoudre tant que la menace de répétition des abus pèse sur les personnes.</w:t>
      </w:r>
    </w:p>
    <w:p>
      <w:pPr>
        <w:pStyle w:val="TextBody"/>
        <w:spacing w:lineRule="auto" w:line="276"/>
        <w:jc w:val="both"/>
        <w:rPr>
          <w:lang w:val="fr-FR"/>
        </w:rPr>
      </w:pPr>
      <w:r>
        <w:rPr>
          <w:sz w:val="24"/>
          <w:lang w:val="fr-FR"/>
        </w:rPr>
        <w:t>La lit</w:t>
      </w:r>
      <w:r>
        <w:rPr>
          <w:sz w:val="24"/>
          <w:lang w:val="fr-FR"/>
        </w:rPr>
        <w:t>t</w:t>
      </w:r>
      <w:r>
        <w:rPr>
          <w:sz w:val="24"/>
          <w:lang w:val="fr-FR"/>
        </w:rPr>
        <w:t xml:space="preserve">érature scientifique décrit les conséquences sévères des médications psychiatriques, comme les dyskinésies tardives </w:t>
      </w:r>
      <w:r>
        <w:rPr>
          <w:sz w:val="24"/>
          <w:lang w:val="fr-FR"/>
        </w:rPr>
        <w:t>[</w:t>
      </w:r>
      <w:r>
        <w:rPr>
          <w:sz w:val="24"/>
          <w:lang w:val="fr-FR"/>
        </w:rPr>
        <w:fldChar w:fldCharType="begin"/>
      </w:r>
      <w:r>
        <w:rPr>
          <w:sz w:val="24"/>
          <w:lang w:val="fr-FR"/>
        </w:rPr>
        <w:instrText> REF __RefNumPara__4610_234535675 \r \h </w:instrText>
      </w:r>
      <w:r>
        <w:rPr>
          <w:sz w:val="24"/>
          <w:lang w:val="fr-FR"/>
        </w:rPr>
        <w:fldChar w:fldCharType="separate"/>
      </w:r>
      <w:r>
        <w:rPr>
          <w:sz w:val="24"/>
          <w:lang w:val="fr-FR"/>
        </w:rPr>
        <w:t>55</w:t>
      </w:r>
      <w:r>
        <w:rPr>
          <w:sz w:val="24"/>
          <w:lang w:val="fr-FR"/>
        </w:rPr>
        <w:fldChar w:fldCharType="end"/>
      </w:r>
      <w:r>
        <w:rPr>
          <w:sz w:val="24"/>
          <w:lang w:val="fr-FR"/>
        </w:rPr>
        <w:t xml:space="preserve">], </w:t>
      </w:r>
      <w:r>
        <w:rPr>
          <w:sz w:val="24"/>
          <w:lang w:val="fr-FR"/>
        </w:rPr>
        <w:t xml:space="preserve">les </w:t>
      </w:r>
      <w:r>
        <w:rPr>
          <w:sz w:val="24"/>
          <w:lang w:val="fr-FR"/>
        </w:rPr>
        <w:t xml:space="preserve"> </w:t>
      </w:r>
      <w:r>
        <w:rPr>
          <w:sz w:val="24"/>
          <w:lang w:val="fr-FR"/>
        </w:rPr>
        <w:t>psychoses d’</w:t>
      </w:r>
      <w:r>
        <w:rPr>
          <w:sz w:val="24"/>
          <w:lang w:val="fr-FR"/>
        </w:rPr>
        <w:t>hypersensi</w:t>
      </w:r>
      <w:r>
        <w:rPr>
          <w:sz w:val="24"/>
          <w:lang w:val="fr-FR"/>
        </w:rPr>
        <w:t xml:space="preserve">bilité </w:t>
      </w:r>
      <w:r>
        <w:rPr>
          <w:sz w:val="24"/>
          <w:lang w:val="fr-FR"/>
        </w:rPr>
        <w:t>[</w:t>
      </w:r>
      <w:r>
        <w:rPr>
          <w:sz w:val="24"/>
          <w:lang w:val="fr-FR"/>
        </w:rPr>
        <w:fldChar w:fldCharType="begin"/>
      </w:r>
      <w:r>
        <w:rPr>
          <w:sz w:val="24"/>
          <w:lang w:val="fr-FR"/>
        </w:rPr>
        <w:instrText> REF __RefNumPara__4591_234535675 \r \h </w:instrText>
      </w:r>
      <w:r>
        <w:rPr>
          <w:sz w:val="24"/>
          <w:lang w:val="fr-FR"/>
        </w:rPr>
        <w:fldChar w:fldCharType="separate"/>
      </w:r>
      <w:r>
        <w:rPr>
          <w:sz w:val="24"/>
          <w:lang w:val="fr-FR"/>
        </w:rPr>
        <w:t>24</w:t>
      </w:r>
      <w:r>
        <w:rPr>
          <w:sz w:val="24"/>
          <w:lang w:val="fr-FR"/>
        </w:rPr>
        <w:fldChar w:fldCharType="end"/>
      </w:r>
      <w:r>
        <w:rPr>
          <w:sz w:val="24"/>
          <w:lang w:val="fr-FR"/>
        </w:rPr>
        <w:t xml:space="preserve">], </w:t>
      </w:r>
      <w:r>
        <w:rPr>
          <w:sz w:val="24"/>
          <w:lang w:val="fr-FR"/>
        </w:rPr>
        <w:t xml:space="preserve">les rétrécissements du cerveau </w:t>
      </w:r>
      <w:r>
        <w:rPr>
          <w:sz w:val="24"/>
          <w:lang w:val="fr-FR"/>
        </w:rPr>
        <w:t>[</w:t>
      </w:r>
      <w:r>
        <w:rPr>
          <w:sz w:val="24"/>
          <w:lang w:val="fr-FR"/>
        </w:rPr>
        <w:fldChar w:fldCharType="begin"/>
      </w:r>
      <w:r>
        <w:rPr>
          <w:sz w:val="24"/>
          <w:lang w:val="fr-FR"/>
        </w:rPr>
        <w:instrText> REF __RefNumPara__4608_234535675 \r \h </w:instrText>
      </w:r>
      <w:r>
        <w:rPr>
          <w:sz w:val="24"/>
          <w:lang w:val="fr-FR"/>
        </w:rPr>
        <w:fldChar w:fldCharType="separate"/>
      </w:r>
      <w:r>
        <w:rPr>
          <w:sz w:val="24"/>
          <w:lang w:val="fr-FR"/>
        </w:rPr>
        <w:t>19</w:t>
      </w:r>
      <w:r>
        <w:rPr>
          <w:sz w:val="24"/>
          <w:lang w:val="fr-FR"/>
        </w:rPr>
        <w:fldChar w:fldCharType="end"/>
      </w:r>
      <w:r>
        <w:rPr>
          <w:sz w:val="24"/>
          <w:lang w:val="fr-FR"/>
        </w:rPr>
        <w:t xml:space="preserve">], </w:t>
      </w:r>
      <w:r>
        <w:rPr>
          <w:sz w:val="24"/>
          <w:lang w:val="fr-FR"/>
        </w:rPr>
        <w:t xml:space="preserve">les syndromes métaboliques </w:t>
      </w:r>
      <w:r>
        <w:rPr>
          <w:sz w:val="24"/>
          <w:lang w:val="fr-FR"/>
        </w:rPr>
        <w:t>[</w:t>
      </w:r>
      <w:r>
        <w:rPr>
          <w:sz w:val="24"/>
          <w:lang w:val="fr-FR"/>
        </w:rPr>
        <w:fldChar w:fldCharType="begin"/>
      </w:r>
      <w:r>
        <w:rPr>
          <w:sz w:val="24"/>
          <w:lang w:val="fr-FR"/>
        </w:rPr>
        <w:instrText> REF __RefNumPara__4612_234535675 \r \h </w:instrText>
      </w:r>
      <w:r>
        <w:rPr>
          <w:sz w:val="24"/>
          <w:lang w:val="fr-FR"/>
        </w:rPr>
        <w:fldChar w:fldCharType="separate"/>
      </w:r>
      <w:r>
        <w:rPr>
          <w:sz w:val="24"/>
          <w:lang w:val="fr-FR"/>
        </w:rPr>
        <w:t>56</w:t>
      </w:r>
      <w:r>
        <w:rPr>
          <w:sz w:val="24"/>
          <w:lang w:val="fr-FR"/>
        </w:rPr>
        <w:fldChar w:fldCharType="end"/>
      </w:r>
      <w:r>
        <w:rPr>
          <w:sz w:val="24"/>
          <w:lang w:val="fr-FR"/>
        </w:rPr>
        <w:t xml:space="preserve">], </w:t>
      </w:r>
      <w:r>
        <w:rPr>
          <w:sz w:val="24"/>
          <w:lang w:val="fr-FR"/>
        </w:rPr>
        <w:t>les morts prématurées</w:t>
      </w:r>
      <w:r>
        <w:rPr>
          <w:sz w:val="24"/>
          <w:lang w:val="fr-FR"/>
        </w:rPr>
        <w:t xml:space="preserve">, </w:t>
      </w:r>
      <w:r>
        <w:rPr>
          <w:sz w:val="24"/>
          <w:lang w:val="fr-FR"/>
        </w:rPr>
        <w:t>les troubles sexuels, urologiques ou intestinaux</w:t>
      </w:r>
      <w:r>
        <w:rPr>
          <w:sz w:val="24"/>
          <w:lang w:val="fr-FR"/>
        </w:rPr>
        <w:t>.</w:t>
      </w:r>
    </w:p>
    <w:p>
      <w:pPr>
        <w:pStyle w:val="TextBody"/>
        <w:spacing w:lineRule="auto" w:line="276"/>
        <w:jc w:val="both"/>
        <w:rPr>
          <w:rFonts w:ascii="Times New Roman" w:hAnsi="Times New Roman"/>
          <w:sz w:val="24"/>
          <w:lang w:val="fr-FR"/>
        </w:rPr>
      </w:pPr>
      <w:r>
        <w:rPr>
          <w:sz w:val="24"/>
          <w:lang w:val="fr-FR"/>
        </w:rPr>
        <w:t>Nos correspondants attestent que les médicaments leur ont altéré la mémorisation, donné des problèmes de concentration, des anxiétés de long terme, la perte de leur talents, des capacités intellectuelles diminuées, et d’autres conditions.</w:t>
      </w:r>
    </w:p>
    <w:p>
      <w:pPr>
        <w:pStyle w:val="TextBody"/>
        <w:spacing w:lineRule="auto" w:line="276"/>
        <w:jc w:val="both"/>
        <w:rPr>
          <w:rFonts w:ascii="Times New Roman" w:hAnsi="Times New Roman"/>
          <w:sz w:val="24"/>
          <w:lang w:val="fr-FR"/>
        </w:rPr>
      </w:pPr>
      <w:r>
        <w:rPr>
          <w:sz w:val="24"/>
          <w:lang w:val="fr-FR"/>
        </w:rPr>
      </w:r>
    </w:p>
    <w:p>
      <w:pPr>
        <w:pStyle w:val="Heading4"/>
        <w:spacing w:lineRule="auto" w:line="276"/>
        <w:rPr>
          <w:lang w:val="fr-FR"/>
        </w:rPr>
      </w:pPr>
      <w:bookmarkStart w:id="10" w:name="__RefHeading___Toc2411_2773654779"/>
      <w:bookmarkEnd w:id="10"/>
      <w:r>
        <w:rPr>
          <w:lang w:val="fr-FR"/>
        </w:rPr>
        <w:t>Article 25 Santé</w:t>
      </w:r>
    </w:p>
    <w:p>
      <w:pPr>
        <w:pStyle w:val="TextBody"/>
        <w:spacing w:lineRule="auto" w:line="276"/>
        <w:jc w:val="both"/>
        <w:rPr>
          <w:lang w:val="fr-FR"/>
        </w:rPr>
      </w:pPr>
      <w:r>
        <w:rPr>
          <w:lang w:val="fr-FR"/>
        </w:rPr>
        <w:t xml:space="preserve">Nos correspondants décrivent comment une aide compétente, médicale et psychologique, pour se sevrer des médicaments psychiatriques </w:t>
      </w:r>
      <w:r>
        <w:rPr>
          <w:lang w:val="fr-FR"/>
        </w:rPr>
        <w:t>peut être</w:t>
      </w:r>
      <w:r>
        <w:rPr>
          <w:lang w:val="fr-FR"/>
        </w:rPr>
        <w:t xml:space="preserve"> très difficile ou impossible à trouver en France, en particulier quand des médicaments neuroleptiques sont impliqués.</w:t>
      </w:r>
    </w:p>
    <w:p>
      <w:pPr>
        <w:pStyle w:val="TextBody"/>
        <w:spacing w:lineRule="auto" w:line="276"/>
        <w:jc w:val="both"/>
        <w:rPr>
          <w:rFonts w:ascii="Times New Roman" w:hAnsi="Times New Roman"/>
          <w:sz w:val="24"/>
          <w:lang w:val="fr-FR"/>
        </w:rPr>
      </w:pPr>
      <w:r>
        <w:rPr>
          <w:sz w:val="24"/>
          <w:lang w:val="fr-FR"/>
        </w:rPr>
        <w:t xml:space="preserve">Selon nos correspondants, une fois que vous êtes étiqueté malade mental, dans les services d’urgence, vous pouvez être placé sous contention mécanique et vos demandes somatiques sont ignorées. </w:t>
      </w:r>
      <w:r>
        <w:rPr>
          <w:sz w:val="24"/>
          <w:lang w:val="fr-FR"/>
        </w:rPr>
        <w:t>Ils</w:t>
      </w:r>
      <w:r>
        <w:rPr>
          <w:sz w:val="24"/>
          <w:lang w:val="fr-FR"/>
        </w:rPr>
        <w:t xml:space="preserve"> rapportent que leurs besoins somatiques et dentaires sont fréquemment négligés à l’hôpital. Ils disent </w:t>
      </w:r>
      <w:r>
        <w:rPr>
          <w:sz w:val="24"/>
          <w:lang w:val="fr-FR"/>
        </w:rPr>
        <w:t xml:space="preserve">que </w:t>
      </w:r>
      <w:r>
        <w:rPr>
          <w:sz w:val="24"/>
          <w:lang w:val="fr-FR"/>
        </w:rPr>
        <w:t>leurs plaintes iatrogéniques sont fréquemment niées. Il nous a été décrit le cas d’un syndrome malin des neuroleptiques prouvé biologiquement, qui demandait une supervision cardiologique et néphrologique, et qui n’a pas été pris en charge, tandis que le traitement neuroleptique a été poursuivi, malgré les demandes de la famille.</w:t>
      </w:r>
    </w:p>
    <w:p>
      <w:pPr>
        <w:pStyle w:val="TextBody"/>
        <w:spacing w:lineRule="auto" w:line="276"/>
        <w:jc w:val="both"/>
        <w:rPr>
          <w:rFonts w:ascii="Times New Roman" w:hAnsi="Times New Roman"/>
          <w:sz w:val="24"/>
          <w:lang w:val="fr-FR"/>
        </w:rPr>
      </w:pPr>
      <w:r>
        <w:rPr>
          <w:sz w:val="24"/>
          <w:lang w:val="fr-FR"/>
        </w:rPr>
        <w:t>Certains de nos correspondants déplorent que les causes somatiques ou iatrogéniques possibles de leurs troubles n’ont pas été recherchées, malgré leur insistance, ce qui a mené à des années de traitements psychiatriques inutiles et à des dépendances pharmacologiques ultérieures.</w:t>
      </w:r>
    </w:p>
    <w:p>
      <w:pPr>
        <w:pStyle w:val="TextBody"/>
        <w:spacing w:lineRule="auto" w:line="276"/>
        <w:jc w:val="both"/>
        <w:rPr>
          <w:rFonts w:ascii="Times New Roman" w:hAnsi="Times New Roman"/>
          <w:sz w:val="24"/>
          <w:lang w:val="fr-FR"/>
        </w:rPr>
      </w:pPr>
      <w:r>
        <w:rPr>
          <w:sz w:val="24"/>
          <w:lang w:val="fr-FR"/>
        </w:rPr>
        <w:t xml:space="preserve">Malgré de claires indications que les traumatismes passés sont une cause probable des troubles pour beaucoup de personnes </w:t>
      </w:r>
      <w:r>
        <w:rPr>
          <w:sz w:val="24"/>
          <w:lang w:val="fr-FR"/>
        </w:rPr>
        <w:t>[</w:t>
      </w:r>
      <w:r>
        <w:rPr>
          <w:sz w:val="24"/>
          <w:lang w:val="fr-FR"/>
        </w:rPr>
        <w:fldChar w:fldCharType="begin"/>
      </w:r>
      <w:r>
        <w:rPr>
          <w:sz w:val="24"/>
          <w:lang w:val="fr-FR"/>
        </w:rPr>
        <w:instrText> REF __RefNumPara__3248_3168646960 \r \h </w:instrText>
      </w:r>
      <w:r>
        <w:rPr>
          <w:sz w:val="24"/>
          <w:lang w:val="fr-FR"/>
        </w:rPr>
        <w:fldChar w:fldCharType="separate"/>
      </w:r>
      <w:r>
        <w:rPr>
          <w:sz w:val="24"/>
          <w:lang w:val="fr-FR"/>
        </w:rPr>
        <w:t>46</w:t>
      </w:r>
      <w:r>
        <w:rPr>
          <w:sz w:val="24"/>
          <w:lang w:val="fr-FR"/>
        </w:rPr>
        <w:fldChar w:fldCharType="end"/>
      </w:r>
      <w:r>
        <w:rPr>
          <w:sz w:val="24"/>
          <w:lang w:val="fr-FR"/>
        </w:rPr>
        <w:t>]</w:t>
      </w:r>
      <w:r>
        <w:rPr>
          <w:sz w:val="24"/>
          <w:lang w:val="fr-FR"/>
        </w:rPr>
        <w:t>[</w:t>
      </w:r>
      <w:r>
        <w:rPr>
          <w:sz w:val="24"/>
          <w:lang w:val="fr-FR"/>
        </w:rPr>
        <w:fldChar w:fldCharType="begin"/>
      </w:r>
      <w:r>
        <w:rPr>
          <w:sz w:val="24"/>
          <w:lang w:val="fr-FR"/>
        </w:rPr>
        <w:instrText> REF __RefNumPara__2832_3168646960 \r \h </w:instrText>
      </w:r>
      <w:r>
        <w:rPr>
          <w:sz w:val="24"/>
          <w:lang w:val="fr-FR"/>
        </w:rPr>
        <w:fldChar w:fldCharType="separate"/>
      </w:r>
      <w:r>
        <w:rPr>
          <w:sz w:val="24"/>
          <w:lang w:val="fr-FR"/>
        </w:rPr>
        <w:t>47</w:t>
      </w:r>
      <w:r>
        <w:rPr>
          <w:sz w:val="24"/>
          <w:lang w:val="fr-FR"/>
        </w:rPr>
        <w:fldChar w:fldCharType="end"/>
      </w:r>
      <w:r>
        <w:rPr>
          <w:sz w:val="24"/>
          <w:lang w:val="fr-FR"/>
        </w:rPr>
        <w:t>][</w:t>
      </w:r>
      <w:r>
        <w:rPr>
          <w:sz w:val="24"/>
          <w:lang w:val="fr-FR"/>
        </w:rPr>
        <w:fldChar w:fldCharType="begin"/>
      </w:r>
      <w:r>
        <w:rPr>
          <w:sz w:val="24"/>
          <w:lang w:val="fr-FR"/>
        </w:rPr>
        <w:instrText> REF __RefNumPara__2834_3168646960 \r \h </w:instrText>
      </w:r>
      <w:r>
        <w:rPr>
          <w:sz w:val="24"/>
          <w:lang w:val="fr-FR"/>
        </w:rPr>
        <w:fldChar w:fldCharType="separate"/>
      </w:r>
      <w:r>
        <w:rPr>
          <w:sz w:val="24"/>
          <w:lang w:val="fr-FR"/>
        </w:rPr>
        <w:t>48</w:t>
      </w:r>
      <w:r>
        <w:rPr>
          <w:sz w:val="24"/>
          <w:lang w:val="fr-FR"/>
        </w:rPr>
        <w:fldChar w:fldCharType="end"/>
      </w:r>
      <w:r>
        <w:rPr>
          <w:sz w:val="24"/>
          <w:lang w:val="fr-FR"/>
        </w:rPr>
        <w:t xml:space="preserve">], </w:t>
      </w:r>
      <w:r>
        <w:rPr>
          <w:sz w:val="24"/>
          <w:lang w:val="fr-FR"/>
        </w:rPr>
        <w:t>toute demande d’aide psychothérapeutique peut être rejetée en France à cause des préjugés psychiatriques dominants.</w:t>
      </w:r>
    </w:p>
    <w:p>
      <w:pPr>
        <w:pStyle w:val="TextBody"/>
        <w:spacing w:lineRule="auto" w:line="276"/>
        <w:jc w:val="both"/>
        <w:rPr>
          <w:lang w:val="fr-FR"/>
        </w:rPr>
      </w:pPr>
      <w:r>
        <w:rPr>
          <w:sz w:val="24"/>
          <w:lang w:val="fr-FR"/>
        </w:rPr>
        <w:t xml:space="preserve">L’Organisation mondiale de la santé a publié récemment un Guide sur les services de santé mentale communautaires. Cela suggère un choix d’approches à proposer </w:t>
      </w:r>
      <w:r>
        <w:rPr>
          <w:sz w:val="24"/>
          <w:lang w:val="fr-FR"/>
        </w:rPr>
        <w:t>[</w:t>
      </w:r>
      <w:r>
        <w:rPr>
          <w:sz w:val="24"/>
          <w:lang w:val="fr-FR"/>
        </w:rPr>
        <w:fldChar w:fldCharType="begin"/>
      </w:r>
      <w:r>
        <w:rPr>
          <w:sz w:val="24"/>
          <w:lang w:val="fr-FR"/>
        </w:rPr>
        <w:instrText> REF __RefNumPara__3246_3168646960 \r \h </w:instrText>
      </w:r>
      <w:r>
        <w:rPr>
          <w:sz w:val="24"/>
          <w:lang w:val="fr-FR"/>
        </w:rPr>
        <w:fldChar w:fldCharType="separate"/>
      </w:r>
      <w:r>
        <w:rPr>
          <w:sz w:val="24"/>
          <w:lang w:val="fr-FR"/>
        </w:rPr>
        <w:t>81</w:t>
      </w:r>
      <w:r>
        <w:rPr>
          <w:sz w:val="24"/>
          <w:lang w:val="fr-FR"/>
        </w:rPr>
        <w:fldChar w:fldCharType="end"/>
      </w:r>
      <w:r>
        <w:rPr>
          <w:sz w:val="24"/>
          <w:lang w:val="fr-FR"/>
        </w:rPr>
        <w:t>].</w:t>
      </w:r>
    </w:p>
    <w:p>
      <w:pPr>
        <w:pStyle w:val="TextBody"/>
        <w:spacing w:lineRule="auto" w:line="276"/>
        <w:jc w:val="both"/>
        <w:rPr>
          <w:rFonts w:ascii="Times New Roman" w:hAnsi="Times New Roman"/>
          <w:sz w:val="24"/>
          <w:lang w:val="fr-FR"/>
        </w:rPr>
      </w:pPr>
      <w:r>
        <w:rPr>
          <w:sz w:val="24"/>
          <w:lang w:val="fr-FR"/>
        </w:rPr>
      </w:r>
    </w:p>
    <w:p>
      <w:pPr>
        <w:pStyle w:val="Heading4"/>
        <w:spacing w:lineRule="auto" w:line="276"/>
        <w:rPr>
          <w:lang w:val="fr-FR"/>
        </w:rPr>
      </w:pPr>
      <w:bookmarkStart w:id="11" w:name="__RefHeading___Toc2413_2773654779"/>
      <w:bookmarkEnd w:id="11"/>
      <w:r>
        <w:rPr>
          <w:lang w:val="fr-FR"/>
        </w:rPr>
        <w:t xml:space="preserve">Article 29 Participation à la vie politique et à la vie publique </w:t>
      </w:r>
    </w:p>
    <w:p>
      <w:pPr>
        <w:pStyle w:val="TextBody"/>
        <w:spacing w:lineRule="auto" w:line="276"/>
        <w:jc w:val="both"/>
        <w:rPr>
          <w:rFonts w:ascii="Times New Roman" w:hAnsi="Times New Roman"/>
          <w:sz w:val="24"/>
          <w:lang w:val="fr-FR"/>
        </w:rPr>
      </w:pPr>
      <w:r>
        <w:rPr>
          <w:sz w:val="24"/>
          <w:lang w:val="fr-FR"/>
        </w:rPr>
        <w:t xml:space="preserve">Pour nous, aussi longtemps que les menaces d’hospitalisation forcée seront possibles et que les personnes seront placées sous traitement psychiatrique forcé, la participation des personnes avec handicap psychosocial sera injuste et déséquilibrée, car les personnes qui souffrent le plus des pratiques actuelles ne seront pas entendues. </w:t>
      </w:r>
    </w:p>
    <w:p>
      <w:pPr>
        <w:pStyle w:val="TextBody"/>
        <w:spacing w:lineRule="auto" w:line="276"/>
        <w:jc w:val="both"/>
        <w:rPr>
          <w:rFonts w:ascii="Times New Roman" w:hAnsi="Times New Roman"/>
          <w:sz w:val="24"/>
          <w:lang w:val="fr-FR"/>
        </w:rPr>
      </w:pPr>
      <w:r>
        <w:rPr>
          <w:sz w:val="24"/>
          <w:lang w:val="fr-FR"/>
        </w:rPr>
        <w:t xml:space="preserve">La plupart de nos membres, qu’ils soient sous traitement forcé ou pas, se sentent menacés, et sont traumatisés par la violence de la psychiatrie. Ils craignent des représailles possibles et demandent l’anonymat pour publier leurs témoignages. </w:t>
      </w:r>
      <w:r>
        <w:rPr>
          <w:sz w:val="24"/>
          <w:lang w:val="fr-FR"/>
        </w:rPr>
        <w:t>Pour les personnes traumatisées</w:t>
      </w:r>
      <w:r>
        <w:rPr>
          <w:sz w:val="24"/>
          <w:lang w:val="fr-FR"/>
        </w:rPr>
        <w:t>, parler est difficile et c’est une forme d’expression et de thérapie, et l</w:t>
      </w:r>
      <w:r>
        <w:rPr>
          <w:sz w:val="24"/>
          <w:lang w:val="fr-FR"/>
        </w:rPr>
        <w:t>e</w:t>
      </w:r>
      <w:r>
        <w:rPr>
          <w:sz w:val="24"/>
          <w:lang w:val="fr-FR"/>
        </w:rPr>
        <w:t xml:space="preserve"> déb</w:t>
      </w:r>
      <w:r>
        <w:rPr>
          <w:sz w:val="24"/>
          <w:lang w:val="fr-FR"/>
        </w:rPr>
        <w:t>a</w:t>
      </w:r>
      <w:r>
        <w:rPr>
          <w:sz w:val="24"/>
          <w:lang w:val="fr-FR"/>
        </w:rPr>
        <w:t xml:space="preserve">t public tel qu’il est </w:t>
      </w:r>
      <w:r>
        <w:rPr>
          <w:sz w:val="24"/>
          <w:lang w:val="fr-FR"/>
        </w:rPr>
        <w:t xml:space="preserve">ne </w:t>
      </w:r>
      <w:r>
        <w:rPr>
          <w:sz w:val="24"/>
          <w:lang w:val="fr-FR"/>
        </w:rPr>
        <w:t xml:space="preserve">semble pas </w:t>
      </w:r>
      <w:r>
        <w:rPr>
          <w:sz w:val="24"/>
          <w:lang w:val="fr-FR"/>
        </w:rPr>
        <w:t>conv</w:t>
      </w:r>
      <w:r>
        <w:rPr>
          <w:sz w:val="24"/>
          <w:lang w:val="fr-FR"/>
        </w:rPr>
        <w:t>enir</w:t>
      </w:r>
      <w:r>
        <w:rPr>
          <w:sz w:val="24"/>
          <w:lang w:val="fr-FR"/>
        </w:rPr>
        <w:t>.</w:t>
      </w:r>
    </w:p>
    <w:p>
      <w:pPr>
        <w:pStyle w:val="TextBody"/>
        <w:spacing w:lineRule="auto" w:line="276"/>
        <w:jc w:val="both"/>
        <w:rPr>
          <w:rFonts w:ascii="Times New Roman" w:hAnsi="Times New Roman"/>
          <w:sz w:val="24"/>
          <w:lang w:val="fr-FR"/>
        </w:rPr>
      </w:pPr>
      <w:r>
        <w:rPr>
          <w:sz w:val="24"/>
          <w:lang w:val="fr-FR"/>
        </w:rPr>
        <w:t>D’</w:t>
      </w:r>
      <w:r>
        <w:rPr>
          <w:sz w:val="24"/>
          <w:lang w:val="fr-FR"/>
        </w:rPr>
        <w:t>autre part</w:t>
      </w:r>
      <w:r>
        <w:rPr>
          <w:sz w:val="24"/>
          <w:lang w:val="fr-FR"/>
        </w:rPr>
        <w:t xml:space="preserve">, nous considérons que le discours du public est toujours déséquilibré en faveur des associations de familles, dont les perspectives peuvent entrer en conflit avec les nôtres. </w:t>
      </w:r>
      <w:r>
        <w:rPr>
          <w:sz w:val="24"/>
          <w:lang w:val="fr-FR"/>
        </w:rPr>
        <w:t xml:space="preserve">Les familles préfèrent souvent les tutelles et les camisoles chimiques, et nous demandons l’égalité des droits. Les associations de familles peuvent être liées financièrement à l'industrie pharmaceutique. </w:t>
      </w:r>
    </w:p>
    <w:p>
      <w:pPr>
        <w:pStyle w:val="TextBody"/>
        <w:spacing w:lineRule="auto" w:line="276"/>
        <w:jc w:val="both"/>
        <w:rPr>
          <w:rFonts w:ascii="Times New Roman" w:hAnsi="Times New Roman"/>
          <w:sz w:val="24"/>
          <w:lang w:val="fr-FR"/>
        </w:rPr>
      </w:pPr>
      <w:r>
        <w:rPr>
          <w:sz w:val="24"/>
          <w:lang w:val="fr-FR"/>
        </w:rPr>
        <w:t>L’article L146-1 A du Code de l’action sociale et des familles</w:t>
      </w:r>
      <w:r>
        <w:rPr>
          <w:sz w:val="24"/>
          <w:lang w:val="fr-FR"/>
        </w:rPr>
        <w:t>[</w:t>
      </w:r>
      <w:r>
        <w:rPr>
          <w:sz w:val="24"/>
          <w:lang w:val="fr-FR"/>
        </w:rPr>
        <w:fldChar w:fldCharType="begin"/>
      </w:r>
      <w:r>
        <w:rPr>
          <w:sz w:val="24"/>
          <w:lang w:val="fr-FR"/>
        </w:rPr>
        <w:instrText> REF __RefNumPara__5661_3214388979 \r \h </w:instrText>
      </w:r>
      <w:r>
        <w:rPr>
          <w:sz w:val="24"/>
          <w:lang w:val="fr-FR"/>
        </w:rPr>
        <w:fldChar w:fldCharType="separate"/>
      </w:r>
      <w:r>
        <w:rPr>
          <w:sz w:val="24"/>
          <w:lang w:val="fr-FR"/>
        </w:rPr>
        <w:t>84</w:t>
      </w:r>
      <w:r>
        <w:rPr>
          <w:sz w:val="24"/>
          <w:lang w:val="fr-FR"/>
        </w:rPr>
        <w:fldChar w:fldCharType="end"/>
      </w:r>
      <w:r>
        <w:rPr>
          <w:sz w:val="24"/>
          <w:lang w:val="fr-FR"/>
        </w:rPr>
        <w:t>]</w:t>
      </w:r>
      <w:r>
        <w:rPr>
          <w:sz w:val="24"/>
          <w:lang w:val="fr-FR"/>
        </w:rPr>
        <w:t xml:space="preserve"> réalise une représentation substitu</w:t>
      </w:r>
      <w:r>
        <w:rPr>
          <w:sz w:val="24"/>
          <w:lang w:val="fr-FR"/>
        </w:rPr>
        <w:t>tive</w:t>
      </w:r>
      <w:r>
        <w:rPr>
          <w:sz w:val="24"/>
          <w:lang w:val="fr-FR"/>
        </w:rPr>
        <w:t xml:space="preserve"> des personnes avec handicap, c’est à dire que les associations de familles et les associations gestionnaires s</w:t>
      </w:r>
      <w:r>
        <w:rPr>
          <w:sz w:val="24"/>
          <w:lang w:val="fr-FR"/>
        </w:rPr>
        <w:t>ont supposées s</w:t>
      </w:r>
      <w:r>
        <w:rPr>
          <w:sz w:val="24"/>
          <w:lang w:val="fr-FR"/>
        </w:rPr>
        <w:t>’exprime</w:t>
      </w:r>
      <w:r>
        <w:rPr>
          <w:sz w:val="24"/>
          <w:lang w:val="fr-FR"/>
        </w:rPr>
        <w:t>r</w:t>
      </w:r>
      <w:r>
        <w:rPr>
          <w:sz w:val="24"/>
          <w:lang w:val="fr-FR"/>
        </w:rPr>
        <w:t xml:space="preserve"> à notre place. Ceci fige le système dans une politique d’institution</w:t>
      </w:r>
      <w:r>
        <w:rPr>
          <w:sz w:val="24"/>
          <w:lang w:val="fr-FR"/>
        </w:rPr>
        <w:t>n</w:t>
      </w:r>
      <w:r>
        <w:rPr>
          <w:sz w:val="24"/>
          <w:lang w:val="fr-FR"/>
        </w:rPr>
        <w:t>alisation et de tutelle. Nous demandons que cette loi soit changée.</w:t>
      </w:r>
    </w:p>
    <w:p>
      <w:pPr>
        <w:pStyle w:val="TextBody"/>
        <w:spacing w:lineRule="auto" w:line="276"/>
        <w:jc w:val="both"/>
        <w:rPr>
          <w:rFonts w:ascii="Times New Roman" w:hAnsi="Times New Roman"/>
          <w:sz w:val="24"/>
          <w:lang w:val="fr-FR"/>
        </w:rPr>
      </w:pPr>
      <w:r>
        <w:rPr>
          <w:sz w:val="24"/>
          <w:lang w:val="fr-FR"/>
        </w:rPr>
        <w:t xml:space="preserve">Je représente le collectif et, </w:t>
      </w:r>
      <w:r>
        <w:rPr>
          <w:sz w:val="24"/>
          <w:lang w:val="fr-FR"/>
        </w:rPr>
        <w:t>avec mes amis,</w:t>
      </w:r>
      <w:r>
        <w:rPr>
          <w:sz w:val="24"/>
          <w:lang w:val="fr-FR"/>
        </w:rPr>
        <w:t xml:space="preserve"> je suis prêt à rencontrer les responsables afin d’exposer nos perspectives.</w:t>
      </w:r>
    </w:p>
    <w:p>
      <w:pPr>
        <w:pStyle w:val="TextBody"/>
        <w:spacing w:lineRule="auto" w:line="276"/>
        <w:jc w:val="both"/>
        <w:rPr>
          <w:lang w:val="fr-FR"/>
        </w:rPr>
      </w:pPr>
      <w:r>
        <w:rPr>
          <w:lang w:val="fr-FR"/>
        </w:rPr>
      </w:r>
    </w:p>
    <w:p>
      <w:pPr>
        <w:pStyle w:val="Heading3"/>
        <w:spacing w:lineRule="auto" w:line="276"/>
        <w:rPr>
          <w:lang w:val="fr-FR"/>
        </w:rPr>
      </w:pPr>
      <w:bookmarkStart w:id="12" w:name="__RefHeading___Toc1346_2129381569"/>
      <w:bookmarkEnd w:id="12"/>
      <w:r>
        <w:rPr>
          <w:rFonts w:eastAsia="Microsoft YaHei" w:cs="Arial"/>
          <w:b/>
          <w:bCs/>
          <w:sz w:val="32"/>
          <w:szCs w:val="28"/>
          <w:lang w:val="fr-FR"/>
        </w:rPr>
        <w:t>5</w:t>
      </w:r>
      <w:r>
        <w:rPr>
          <w:lang w:val="fr-FR"/>
        </w:rPr>
        <w:t xml:space="preserve">) </w:t>
      </w:r>
      <w:r>
        <w:rPr>
          <w:rFonts w:eastAsia="Microsoft YaHei" w:cs="Arial" w:ascii="Times New Roman" w:hAnsi="Times New Roman"/>
          <w:b/>
          <w:bCs/>
          <w:sz w:val="28"/>
          <w:szCs w:val="28"/>
          <w:lang w:val="fr-FR"/>
        </w:rPr>
        <w:t>Mise à jour du Rapport parallèle 2019 du collectif</w:t>
      </w:r>
      <w:r>
        <w:rPr>
          <w:rFonts w:eastAsia="Microsoft YaHei" w:cs="Arial" w:ascii="Times New Roman" w:hAnsi="Times New Roman"/>
          <w:sz w:val="28"/>
          <w:szCs w:val="28"/>
          <w:lang w:val="fr-FR"/>
        </w:rPr>
        <w:t xml:space="preserve"> « D</w:t>
      </w:r>
      <w:r>
        <w:rPr>
          <w:rFonts w:eastAsia="Microsoft YaHei" w:cs="Arial" w:ascii="Times New Roman" w:hAnsi="Times New Roman"/>
          <w:sz w:val="28"/>
          <w:szCs w:val="28"/>
          <w:lang w:val="fr-FR"/>
        </w:rPr>
        <w:t>é</w:t>
      </w:r>
      <w:r>
        <w:rPr>
          <w:rFonts w:eastAsia="Microsoft YaHei" w:cs="Arial" w:ascii="Times New Roman" w:hAnsi="Times New Roman"/>
          <w:sz w:val="28"/>
          <w:szCs w:val="28"/>
          <w:lang w:val="fr-FR"/>
        </w:rPr>
        <w:t>psychiatriser ».</w:t>
      </w:r>
    </w:p>
    <w:p>
      <w:pPr>
        <w:pStyle w:val="Heading4"/>
        <w:spacing w:lineRule="auto" w:line="276"/>
        <w:rPr>
          <w:lang w:val="fr-FR"/>
        </w:rPr>
      </w:pPr>
      <w:bookmarkStart w:id="13" w:name="__RefHeading___Toc2147_2129381569"/>
      <w:bookmarkEnd w:id="13"/>
      <w:r>
        <w:rPr>
          <w:lang w:val="fr-FR"/>
        </w:rPr>
        <w:t xml:space="preserve">Article 7 Enfants handicapés </w:t>
      </w:r>
    </w:p>
    <w:p>
      <w:pPr>
        <w:pStyle w:val="TextBody"/>
        <w:spacing w:lineRule="auto" w:line="276"/>
        <w:jc w:val="both"/>
        <w:rPr>
          <w:lang w:val="fr-FR"/>
        </w:rPr>
      </w:pPr>
      <w:r>
        <w:rPr>
          <w:lang w:val="fr-FR"/>
        </w:rPr>
        <w:t xml:space="preserve">Le collectif a soumis un document au Comité pour les Droits de l’Enfant dans le cadre </w:t>
      </w:r>
      <w:r>
        <w:rPr>
          <w:lang w:val="fr-FR"/>
        </w:rPr>
        <w:t>de la j</w:t>
      </w:r>
      <w:r>
        <w:rPr>
          <w:lang w:val="fr-FR"/>
        </w:rPr>
        <w:t>ournée de débat général 2021 intitulée : « Droits de l’enfant et protection de remplacement »</w:t>
      </w:r>
      <w:r>
        <w:rPr>
          <w:lang w:val="fr-FR"/>
        </w:rPr>
        <w:t>[</w:t>
      </w:r>
      <w:r>
        <w:rPr>
          <w:lang w:val="fr-FR"/>
        </w:rPr>
        <w:fldChar w:fldCharType="begin"/>
      </w:r>
      <w:r>
        <w:rPr>
          <w:lang w:val="fr-FR"/>
        </w:rPr>
        <w:instrText> REF __RefNumPara__2614_2129381569 \r \h </w:instrText>
      </w:r>
      <w:r>
        <w:rPr>
          <w:lang w:val="fr-FR"/>
        </w:rPr>
        <w:fldChar w:fldCharType="separate"/>
      </w:r>
      <w:r>
        <w:rPr>
          <w:lang w:val="fr-FR"/>
        </w:rPr>
        <w:t>58</w:t>
      </w:r>
      <w:r>
        <w:rPr>
          <w:lang w:val="fr-FR"/>
        </w:rPr>
        <w:fldChar w:fldCharType="end"/>
      </w:r>
      <w:r>
        <w:rPr>
          <w:lang w:val="fr-FR"/>
        </w:rPr>
        <w:t>].</w:t>
      </w:r>
    </w:p>
    <w:p>
      <w:pPr>
        <w:pStyle w:val="TextBody"/>
        <w:spacing w:lineRule="auto" w:line="276"/>
        <w:jc w:val="both"/>
        <w:rPr>
          <w:lang w:val="fr-FR"/>
        </w:rPr>
      </w:pPr>
      <w:r>
        <w:rPr>
          <w:lang w:val="fr-FR"/>
        </w:rPr>
        <w:t>Le document portait sur l’institutionnalisation à large échelle des enfants en France et sur les pratiques psychiatriques de prescription de médicaments qui endommagent la santé des enfants et des adolescents, sans justification scientifique, ainsi que l’étiquetage psychiatrique pratiqué.</w:t>
      </w:r>
    </w:p>
    <w:p>
      <w:pPr>
        <w:pStyle w:val="TextBody"/>
        <w:spacing w:lineRule="auto" w:line="276"/>
        <w:rPr>
          <w:lang w:val="fr-FR"/>
        </w:rPr>
      </w:pPr>
      <w:r>
        <w:rPr>
          <w:lang w:val="fr-FR"/>
        </w:rPr>
      </w:r>
    </w:p>
    <w:p>
      <w:pPr>
        <w:pStyle w:val="Heading4"/>
        <w:spacing w:lineRule="auto" w:line="276"/>
        <w:rPr>
          <w:lang w:val="fr-FR"/>
        </w:rPr>
      </w:pPr>
      <w:bookmarkStart w:id="14" w:name="__RefHeading___Toc4312_1019330386"/>
      <w:bookmarkEnd w:id="14"/>
      <w:r>
        <w:rPr>
          <w:lang w:val="fr-FR"/>
        </w:rPr>
        <w:t xml:space="preserve">Article 12 Reconnaissance de la personnalité juridique dans des conditions d'égalité </w:t>
      </w:r>
    </w:p>
    <w:p>
      <w:pPr>
        <w:pStyle w:val="TextBody"/>
        <w:spacing w:lineRule="auto" w:line="276"/>
        <w:rPr>
          <w:lang w:val="fr-FR"/>
        </w:rPr>
      </w:pPr>
      <w:r>
        <w:rPr>
          <w:sz w:val="24"/>
          <w:lang w:val="fr-FR"/>
        </w:rPr>
        <w:t xml:space="preserve">Une réforme de la loi sur les tutelles autorise les personnes à se marier et à voter. </w:t>
      </w:r>
      <w:r>
        <w:rPr>
          <w:sz w:val="24"/>
          <w:lang w:val="fr-FR"/>
        </w:rPr>
        <w:t>C’est la l</w:t>
      </w:r>
      <w:r>
        <w:rPr>
          <w:sz w:val="24"/>
          <w:lang w:val="fr-FR"/>
        </w:rPr>
        <w:t>oi</w:t>
      </w:r>
      <w:r>
        <w:rPr>
          <w:sz w:val="24"/>
          <w:lang w:val="fr-FR"/>
        </w:rPr>
        <w:t xml:space="preserve"> n° 2019-222 du 23 mars 2019 de programmation 2018-2022 et de réforme pour la justice. </w:t>
      </w:r>
      <w:r>
        <w:rPr>
          <w:lang w:val="fr-FR"/>
        </w:rPr>
        <w:t>[</w:t>
      </w:r>
      <w:r>
        <w:rPr>
          <w:lang w:val="fr-FR"/>
        </w:rPr>
        <w:fldChar w:fldCharType="begin"/>
      </w:r>
      <w:r>
        <w:rPr>
          <w:lang w:val="fr-FR"/>
        </w:rPr>
        <w:instrText> REF __RefNumPara__2694_2773654779 \r \h </w:instrText>
      </w:r>
      <w:r>
        <w:rPr>
          <w:lang w:val="fr-FR"/>
        </w:rPr>
        <w:fldChar w:fldCharType="separate"/>
      </w:r>
      <w:r>
        <w:rPr>
          <w:lang w:val="fr-FR"/>
        </w:rPr>
        <w:t>67</w:t>
      </w:r>
      <w:r>
        <w:rPr>
          <w:lang w:val="fr-FR"/>
        </w:rPr>
        <w:fldChar w:fldCharType="end"/>
      </w:r>
      <w:r>
        <w:rPr>
          <w:lang w:val="fr-FR"/>
        </w:rPr>
        <w:t>][</w:t>
      </w:r>
      <w:r>
        <w:rPr>
          <w:lang w:val="fr-FR"/>
        </w:rPr>
        <w:fldChar w:fldCharType="begin"/>
      </w:r>
      <w:r>
        <w:rPr>
          <w:lang w:val="fr-FR"/>
        </w:rPr>
        <w:instrText> REF __RefNumPara__2696_2773654779 \r \h </w:instrText>
      </w:r>
      <w:r>
        <w:rPr>
          <w:lang w:val="fr-FR"/>
        </w:rPr>
        <w:fldChar w:fldCharType="separate"/>
      </w:r>
      <w:r>
        <w:rPr>
          <w:lang w:val="fr-FR"/>
        </w:rPr>
        <w:t>68</w:t>
      </w:r>
      <w:r>
        <w:rPr>
          <w:lang w:val="fr-FR"/>
        </w:rPr>
        <w:fldChar w:fldCharType="end"/>
      </w:r>
      <w:r>
        <w:rPr>
          <w:lang w:val="fr-FR"/>
        </w:rPr>
        <w:t>]</w:t>
      </w:r>
    </w:p>
    <w:p>
      <w:pPr>
        <w:pStyle w:val="TextBody"/>
        <w:spacing w:lineRule="auto" w:line="276"/>
        <w:rPr>
          <w:lang w:val="fr-FR"/>
        </w:rPr>
      </w:pPr>
      <w:r>
        <w:rPr>
          <w:lang w:val="fr-FR"/>
        </w:rPr>
      </w:r>
    </w:p>
    <w:p>
      <w:pPr>
        <w:pStyle w:val="Heading4"/>
        <w:spacing w:lineRule="auto" w:line="276"/>
        <w:rPr>
          <w:lang w:val="fr-FR"/>
        </w:rPr>
      </w:pPr>
      <w:bookmarkStart w:id="15" w:name="__RefHeading___Toc2149_2129381569"/>
      <w:bookmarkEnd w:id="15"/>
      <w:r>
        <w:rPr>
          <w:lang w:val="fr-FR"/>
        </w:rPr>
        <w:t xml:space="preserve">Article 14 Liberté et sécurité de la personne </w:t>
      </w:r>
    </w:p>
    <w:p>
      <w:pPr>
        <w:pStyle w:val="TextBody"/>
        <w:spacing w:lineRule="auto" w:line="276"/>
        <w:jc w:val="both"/>
        <w:rPr>
          <w:lang w:val="fr-FR"/>
        </w:rPr>
      </w:pPr>
      <w:r>
        <w:rPr>
          <w:sz w:val="24"/>
          <w:lang w:val="fr-FR"/>
        </w:rPr>
        <w:t xml:space="preserve">Selon les statistiques officielles </w:t>
      </w:r>
      <w:r>
        <w:rPr>
          <w:sz w:val="24"/>
          <w:lang w:val="fr-FR"/>
        </w:rPr>
        <w:t>[</w:t>
      </w:r>
      <w:r>
        <w:rPr>
          <w:sz w:val="24"/>
          <w:lang w:val="fr-FR"/>
        </w:rPr>
        <w:fldChar w:fldCharType="begin"/>
      </w:r>
      <w:r>
        <w:rPr>
          <w:sz w:val="24"/>
          <w:lang w:val="fr-FR"/>
        </w:rPr>
        <w:instrText> REF __RefNumPara__1426_2129381569 \r \h </w:instrText>
      </w:r>
      <w:r>
        <w:rPr>
          <w:sz w:val="24"/>
          <w:lang w:val="fr-FR"/>
        </w:rPr>
        <w:fldChar w:fldCharType="separate"/>
      </w:r>
      <w:r>
        <w:rPr>
          <w:sz w:val="24"/>
          <w:lang w:val="fr-FR"/>
        </w:rPr>
        <w:t>60</w:t>
      </w:r>
      <w:r>
        <w:rPr>
          <w:sz w:val="24"/>
          <w:lang w:val="fr-FR"/>
        </w:rPr>
        <w:fldChar w:fldCharType="end"/>
      </w:r>
      <w:r>
        <w:rPr>
          <w:sz w:val="24"/>
          <w:lang w:val="fr-FR"/>
        </w:rPr>
        <w:t xml:space="preserve">], </w:t>
      </w:r>
      <w:r>
        <w:rPr>
          <w:sz w:val="24"/>
          <w:lang w:val="fr-FR"/>
        </w:rPr>
        <w:t>en</w:t>
      </w:r>
      <w:r>
        <w:rPr>
          <w:sz w:val="24"/>
          <w:lang w:val="fr-FR"/>
        </w:rPr>
        <w:t xml:space="preserve"> 2020, </w:t>
      </w:r>
      <w:r>
        <w:rPr>
          <w:sz w:val="24"/>
          <w:lang w:val="fr-FR"/>
        </w:rPr>
        <w:t>ont été</w:t>
      </w:r>
      <w:r>
        <w:rPr>
          <w:sz w:val="24"/>
          <w:lang w:val="fr-FR"/>
        </w:rPr>
        <w:t xml:space="preserve"> </w:t>
      </w:r>
      <w:r>
        <w:rPr>
          <w:sz w:val="24"/>
          <w:lang w:val="fr-FR"/>
        </w:rPr>
        <w:t>pratiquées en France</w:t>
      </w:r>
      <w:r>
        <w:rPr>
          <w:sz w:val="24"/>
          <w:lang w:val="fr-FR"/>
        </w:rPr>
        <w:t xml:space="preserve"> </w:t>
      </w:r>
      <w:r>
        <w:rPr>
          <w:lang w:val="fr-FR"/>
        </w:rPr>
        <w:t xml:space="preserve">131 681 </w:t>
      </w:r>
      <w:r>
        <w:rPr>
          <w:lang w:val="fr-FR"/>
        </w:rPr>
        <w:t>hospitalisation</w:t>
      </w:r>
      <w:r>
        <w:rPr>
          <w:lang w:val="fr-FR"/>
        </w:rPr>
        <w:t>s</w:t>
      </w:r>
      <w:r>
        <w:rPr>
          <w:lang w:val="fr-FR"/>
        </w:rPr>
        <w:t xml:space="preserve"> psychiatriques forcées</w:t>
      </w:r>
      <w:r>
        <w:rPr>
          <w:lang w:val="fr-FR"/>
        </w:rPr>
        <w:t xml:space="preserve"> (</w:t>
      </w:r>
      <w:r>
        <w:rPr>
          <w:sz w:val="24"/>
          <w:lang w:val="fr-FR"/>
        </w:rPr>
        <w:t>le chiffre était de</w:t>
      </w:r>
      <w:r>
        <w:rPr>
          <w:lang w:val="fr-FR"/>
        </w:rPr>
        <w:t xml:space="preserve"> </w:t>
      </w:r>
      <w:r>
        <w:rPr>
          <w:lang w:val="fr-FR"/>
        </w:rPr>
        <w:t xml:space="preserve">137 391 </w:t>
      </w:r>
      <w:r>
        <w:rPr>
          <w:sz w:val="24"/>
          <w:lang w:val="fr-FR"/>
        </w:rPr>
        <w:t>e</w:t>
      </w:r>
      <w:r>
        <w:rPr>
          <w:lang w:val="fr-FR"/>
        </w:rPr>
        <w:t>n 2017</w:t>
      </w:r>
      <w:r>
        <w:rPr>
          <w:lang w:val="fr-FR"/>
        </w:rPr>
        <w:t xml:space="preserve">) </w:t>
      </w:r>
      <w:r>
        <w:rPr>
          <w:lang w:val="fr-FR"/>
        </w:rPr>
        <w:t>[</w:t>
      </w:r>
      <w:r>
        <w:rPr>
          <w:lang w:val="fr-FR"/>
        </w:rPr>
        <w:fldChar w:fldCharType="begin"/>
      </w:r>
      <w:r>
        <w:rPr>
          <w:lang w:val="fr-FR"/>
        </w:rPr>
        <w:instrText> REF __RefNumPara__1428_2129381569 \r \h </w:instrText>
      </w:r>
      <w:r>
        <w:rPr>
          <w:lang w:val="fr-FR"/>
        </w:rPr>
        <w:fldChar w:fldCharType="separate"/>
      </w:r>
      <w:r>
        <w:rPr>
          <w:lang w:val="fr-FR"/>
        </w:rPr>
        <w:t>61</w:t>
      </w:r>
      <w:r>
        <w:rPr>
          <w:lang w:val="fr-FR"/>
        </w:rPr>
        <w:fldChar w:fldCharType="end"/>
      </w:r>
      <w:r>
        <w:rPr>
          <w:lang w:val="fr-FR"/>
        </w:rPr>
        <w:t>].</w:t>
      </w:r>
    </w:p>
    <w:p>
      <w:pPr>
        <w:pStyle w:val="TextBody"/>
        <w:spacing w:lineRule="auto" w:line="276"/>
        <w:jc w:val="both"/>
        <w:rPr>
          <w:lang w:val="fr-FR"/>
        </w:rPr>
      </w:pPr>
      <w:r>
        <w:rPr>
          <w:lang w:val="fr-FR"/>
        </w:rPr>
        <w:t xml:space="preserve">La magistrature française a développé une </w:t>
      </w:r>
      <w:r>
        <w:rPr>
          <w:lang w:val="fr-FR"/>
        </w:rPr>
        <w:t xml:space="preserve">jurisprudence </w:t>
      </w:r>
      <w:r>
        <w:rPr>
          <w:lang w:val="fr-FR"/>
        </w:rPr>
        <w:t>à propos des hosp</w:t>
      </w:r>
      <w:r>
        <w:rPr>
          <w:sz w:val="24"/>
          <w:lang w:val="fr-FR"/>
        </w:rPr>
        <w:t>i</w:t>
      </w:r>
      <w:r>
        <w:rPr>
          <w:lang w:val="fr-FR"/>
        </w:rPr>
        <w:t xml:space="preserve">talisations psychiatriques forcées et des traitements forcés </w:t>
      </w:r>
      <w:r>
        <w:rPr>
          <w:lang w:val="fr-FR"/>
        </w:rPr>
        <w:t>[</w:t>
      </w:r>
      <w:r>
        <w:rPr>
          <w:lang w:val="fr-FR"/>
        </w:rPr>
        <w:fldChar w:fldCharType="begin"/>
      </w:r>
      <w:r>
        <w:rPr>
          <w:lang w:val="fr-FR"/>
        </w:rPr>
        <w:instrText> REF __RefNumPara__4390_234535675 \r \h </w:instrText>
      </w:r>
      <w:r>
        <w:rPr>
          <w:lang w:val="fr-FR"/>
        </w:rPr>
        <w:fldChar w:fldCharType="separate"/>
      </w:r>
      <w:r>
        <w:rPr>
          <w:lang w:val="fr-FR"/>
        </w:rPr>
        <w:t>53</w:t>
      </w:r>
      <w:r>
        <w:rPr>
          <w:lang w:val="fr-FR"/>
        </w:rPr>
        <w:fldChar w:fldCharType="end"/>
      </w:r>
      <w:r>
        <w:rPr>
          <w:lang w:val="fr-FR"/>
        </w:rPr>
        <w:t>].</w:t>
      </w:r>
    </w:p>
    <w:p>
      <w:pPr>
        <w:pStyle w:val="TextBody"/>
        <w:spacing w:lineRule="auto" w:line="276"/>
        <w:jc w:val="both"/>
        <w:rPr>
          <w:lang w:val="fr-FR"/>
        </w:rPr>
      </w:pPr>
      <w:r>
        <w:rPr>
          <w:lang w:val="fr-FR"/>
        </w:rPr>
        <w:t>Nous demandons que la France abolisse les hospitalisations forcées et suive les Directives sur l’</w:t>
      </w:r>
      <w:r>
        <w:rPr>
          <w:sz w:val="24"/>
          <w:lang w:val="fr-FR"/>
        </w:rPr>
        <w:t>a</w:t>
      </w:r>
      <w:r>
        <w:rPr>
          <w:lang w:val="fr-FR"/>
        </w:rPr>
        <w:t xml:space="preserve">rticle 14, qui sont maintenant disponibles en </w:t>
      </w:r>
      <w:r>
        <w:rPr>
          <w:sz w:val="24"/>
          <w:lang w:val="fr-FR"/>
        </w:rPr>
        <w:t>f</w:t>
      </w:r>
      <w:r>
        <w:rPr>
          <w:lang w:val="fr-FR"/>
        </w:rPr>
        <w:t>ran</w:t>
      </w:r>
      <w:r>
        <w:rPr>
          <w:sz w:val="24"/>
          <w:lang w:val="fr-FR"/>
        </w:rPr>
        <w:t>çais</w:t>
      </w:r>
      <w:r>
        <w:rPr>
          <w:lang w:val="fr-FR"/>
        </w:rPr>
        <w:t>. [</w:t>
      </w:r>
      <w:r>
        <w:rPr>
          <w:lang w:val="fr-FR"/>
        </w:rPr>
        <w:fldChar w:fldCharType="begin"/>
      </w:r>
      <w:r>
        <w:rPr>
          <w:lang w:val="fr-FR"/>
        </w:rPr>
        <w:instrText> REF __RefNumPara__1434_2129381569 \r \h </w:instrText>
      </w:r>
      <w:r>
        <w:rPr>
          <w:lang w:val="fr-FR"/>
        </w:rPr>
        <w:fldChar w:fldCharType="separate"/>
      </w:r>
      <w:r>
        <w:rPr>
          <w:lang w:val="fr-FR"/>
        </w:rPr>
        <w:t>70</w:t>
      </w:r>
      <w:r>
        <w:rPr>
          <w:lang w:val="fr-FR"/>
        </w:rPr>
        <w:fldChar w:fldCharType="end"/>
      </w:r>
      <w:r>
        <w:rPr>
          <w:lang w:val="fr-FR"/>
        </w:rPr>
        <w:t>]</w:t>
      </w:r>
    </w:p>
    <w:p>
      <w:pPr>
        <w:pStyle w:val="TextBody"/>
        <w:spacing w:lineRule="auto" w:line="276"/>
        <w:jc w:val="both"/>
        <w:rPr>
          <w:lang w:val="fr-FR"/>
        </w:rPr>
      </w:pPr>
      <w:r>
        <w:rPr>
          <w:lang w:val="fr-FR"/>
        </w:rPr>
      </w:r>
    </w:p>
    <w:p>
      <w:pPr>
        <w:pStyle w:val="Heading4"/>
        <w:spacing w:lineRule="auto" w:line="276"/>
        <w:rPr>
          <w:lang w:val="fr-FR"/>
        </w:rPr>
      </w:pPr>
      <w:bookmarkStart w:id="16" w:name="__RefHeading___Toc20543_2140865594"/>
      <w:bookmarkEnd w:id="16"/>
      <w:r>
        <w:rPr>
          <w:lang w:val="fr-FR"/>
        </w:rPr>
        <w:t xml:space="preserve">Article 15 Droit de ne pas être soumis à la torture ni à des peines ou traitements cruels, inhumains ou dégradants </w:t>
      </w:r>
    </w:p>
    <w:p>
      <w:pPr>
        <w:pStyle w:val="TextBody"/>
        <w:spacing w:lineRule="auto" w:line="276"/>
        <w:jc w:val="both"/>
        <w:rPr>
          <w:lang w:val="fr-FR"/>
        </w:rPr>
      </w:pPr>
      <w:r>
        <w:rPr>
          <w:sz w:val="24"/>
          <w:lang w:val="fr-FR"/>
        </w:rPr>
        <w:t xml:space="preserve">Selon les statistiques officielles </w:t>
      </w:r>
      <w:r>
        <w:rPr>
          <w:sz w:val="24"/>
          <w:lang w:val="fr-FR"/>
        </w:rPr>
        <w:t>[</w:t>
      </w:r>
      <w:r>
        <w:rPr>
          <w:sz w:val="24"/>
          <w:lang w:val="fr-FR"/>
        </w:rPr>
        <w:fldChar w:fldCharType="begin"/>
      </w:r>
      <w:r>
        <w:rPr>
          <w:sz w:val="24"/>
          <w:lang w:val="fr-FR"/>
        </w:rPr>
        <w:instrText> REF __RefNumPara__1426_2129381569 \r \h </w:instrText>
      </w:r>
      <w:r>
        <w:rPr>
          <w:sz w:val="24"/>
          <w:lang w:val="fr-FR"/>
        </w:rPr>
        <w:fldChar w:fldCharType="separate"/>
      </w:r>
      <w:r>
        <w:rPr>
          <w:sz w:val="24"/>
          <w:lang w:val="fr-FR"/>
        </w:rPr>
        <w:t>60</w:t>
      </w:r>
      <w:r>
        <w:rPr>
          <w:sz w:val="24"/>
          <w:lang w:val="fr-FR"/>
        </w:rPr>
        <w:fldChar w:fldCharType="end"/>
      </w:r>
      <w:r>
        <w:rPr>
          <w:sz w:val="24"/>
          <w:lang w:val="fr-FR"/>
        </w:rPr>
        <w:t xml:space="preserve">], </w:t>
      </w:r>
      <w:r>
        <w:rPr>
          <w:sz w:val="24"/>
          <w:lang w:val="fr-FR"/>
        </w:rPr>
        <w:t xml:space="preserve">en </w:t>
      </w:r>
      <w:r>
        <w:rPr>
          <w:sz w:val="24"/>
          <w:lang w:val="fr-FR"/>
        </w:rPr>
        <w:t xml:space="preserve">2020, </w:t>
      </w:r>
      <w:r>
        <w:rPr>
          <w:sz w:val="24"/>
          <w:lang w:val="fr-FR"/>
        </w:rPr>
        <w:t xml:space="preserve">la </w:t>
      </w:r>
      <w:r>
        <w:rPr>
          <w:sz w:val="24"/>
          <w:lang w:val="fr-FR"/>
        </w:rPr>
        <w:t xml:space="preserve">France </w:t>
      </w:r>
      <w:r>
        <w:rPr>
          <w:sz w:val="24"/>
          <w:lang w:val="fr-FR"/>
        </w:rPr>
        <w:t>a compté</w:t>
      </w:r>
      <w:r>
        <w:rPr>
          <w:sz w:val="24"/>
          <w:lang w:val="fr-FR"/>
        </w:rPr>
        <w:t xml:space="preserve"> </w:t>
      </w:r>
      <w:r>
        <w:rPr>
          <w:lang w:val="fr-FR"/>
        </w:rPr>
        <w:t xml:space="preserve">38 446 </w:t>
      </w:r>
      <w:r>
        <w:rPr>
          <w:lang w:val="fr-FR"/>
        </w:rPr>
        <w:t>séjours en h</w:t>
      </w:r>
      <w:r>
        <w:rPr>
          <w:sz w:val="24"/>
          <w:lang w:val="fr-FR"/>
        </w:rPr>
        <w:t>ô</w:t>
      </w:r>
      <w:r>
        <w:rPr>
          <w:lang w:val="fr-FR"/>
        </w:rPr>
        <w:t>pital psychiatriques avec mise à l’</w:t>
      </w:r>
      <w:r>
        <w:rPr>
          <w:lang w:val="fr-FR"/>
        </w:rPr>
        <w:t>isol</w:t>
      </w:r>
      <w:r>
        <w:rPr>
          <w:sz w:val="24"/>
          <w:lang w:val="fr-FR"/>
        </w:rPr>
        <w:t>ement</w:t>
      </w:r>
      <w:r>
        <w:rPr>
          <w:lang w:val="fr-FR"/>
        </w:rPr>
        <w:t xml:space="preserve"> (</w:t>
      </w:r>
      <w:r>
        <w:rPr>
          <w:sz w:val="24"/>
          <w:lang w:val="fr-FR"/>
        </w:rPr>
        <w:t>ce chiffre était de</w:t>
      </w:r>
      <w:r>
        <w:rPr>
          <w:lang w:val="fr-FR"/>
        </w:rPr>
        <w:t xml:space="preserve"> </w:t>
      </w:r>
      <w:r>
        <w:rPr>
          <w:lang w:val="fr-FR"/>
        </w:rPr>
        <w:t>35 017 in 2017</w:t>
      </w:r>
      <w:r>
        <w:rPr>
          <w:lang w:val="fr-FR"/>
        </w:rPr>
        <w:t>)</w:t>
      </w:r>
      <w:r>
        <w:rPr>
          <w:lang w:val="fr-FR"/>
        </w:rPr>
        <w:t>[</w:t>
      </w:r>
      <w:r>
        <w:rPr>
          <w:lang w:val="fr-FR"/>
        </w:rPr>
        <w:fldChar w:fldCharType="begin"/>
      </w:r>
      <w:r>
        <w:rPr>
          <w:lang w:val="fr-FR"/>
        </w:rPr>
        <w:instrText> REF __RefNumPara__1428_2129381569 \r \h </w:instrText>
      </w:r>
      <w:r>
        <w:rPr>
          <w:lang w:val="fr-FR"/>
        </w:rPr>
        <w:fldChar w:fldCharType="separate"/>
      </w:r>
      <w:r>
        <w:rPr>
          <w:lang w:val="fr-FR"/>
        </w:rPr>
        <w:t>61</w:t>
      </w:r>
      <w:r>
        <w:rPr>
          <w:lang w:val="fr-FR"/>
        </w:rPr>
        <w:fldChar w:fldCharType="end"/>
      </w:r>
      <w:r>
        <w:rPr>
          <w:lang w:val="fr-FR"/>
        </w:rPr>
        <w:t>].</w:t>
      </w:r>
      <w:r>
        <w:rPr>
          <w:lang w:val="fr-FR"/>
        </w:rPr>
        <w:t xml:space="preserve"> </w:t>
      </w:r>
      <w:r>
        <w:rPr>
          <w:sz w:val="24"/>
          <w:lang w:val="fr-FR"/>
        </w:rPr>
        <w:t>Aucune</w:t>
      </w:r>
      <w:r>
        <w:rPr>
          <w:lang w:val="fr-FR"/>
        </w:rPr>
        <w:t xml:space="preserve"> statisti</w:t>
      </w:r>
      <w:r>
        <w:rPr>
          <w:sz w:val="24"/>
          <w:lang w:val="fr-FR"/>
        </w:rPr>
        <w:t>que</w:t>
      </w:r>
      <w:r>
        <w:rPr>
          <w:lang w:val="fr-FR"/>
        </w:rPr>
        <w:t xml:space="preserve"> </w:t>
      </w:r>
      <w:r>
        <w:rPr>
          <w:sz w:val="24"/>
          <w:lang w:val="fr-FR"/>
        </w:rPr>
        <w:t>sur l’usage des contentions mécaniques n’est disponible</w:t>
      </w:r>
      <w:r>
        <w:rPr>
          <w:lang w:val="fr-FR"/>
        </w:rPr>
        <w:t>.</w:t>
      </w:r>
    </w:p>
    <w:p>
      <w:pPr>
        <w:pStyle w:val="TextBody"/>
        <w:spacing w:lineRule="auto" w:line="276"/>
        <w:jc w:val="both"/>
        <w:rPr>
          <w:lang w:val="fr-FR"/>
        </w:rPr>
      </w:pPr>
      <w:r>
        <w:rPr>
          <w:sz w:val="24"/>
          <w:lang w:val="fr-FR"/>
        </w:rPr>
        <w:t>En</w:t>
      </w:r>
      <w:r>
        <w:rPr>
          <w:lang w:val="fr-FR"/>
        </w:rPr>
        <w:t xml:space="preserve"> 2020 </w:t>
      </w:r>
      <w:r>
        <w:rPr>
          <w:sz w:val="24"/>
          <w:lang w:val="fr-FR"/>
        </w:rPr>
        <w:t>et</w:t>
      </w:r>
      <w:r>
        <w:rPr>
          <w:lang w:val="fr-FR"/>
        </w:rPr>
        <w:t xml:space="preserve"> 2021, </w:t>
      </w:r>
      <w:r>
        <w:rPr>
          <w:lang w:val="fr-FR"/>
        </w:rPr>
        <w:t>le mécanisme national de recours constitutionnel, la « </w:t>
      </w:r>
      <w:r>
        <w:rPr>
          <w:sz w:val="24"/>
          <w:lang w:val="fr-FR"/>
        </w:rPr>
        <w:t>q</w:t>
      </w:r>
      <w:r>
        <w:rPr>
          <w:lang w:val="fr-FR"/>
        </w:rPr>
        <w:t>uestion p</w:t>
      </w:r>
      <w:r>
        <w:rPr>
          <w:sz w:val="24"/>
          <w:lang w:val="fr-FR"/>
        </w:rPr>
        <w:t>rioritair</w:t>
      </w:r>
      <w:r>
        <w:rPr>
          <w:lang w:val="fr-FR"/>
        </w:rPr>
        <w:t>e de constitutionnalité »</w:t>
      </w:r>
      <w:r>
        <w:rPr>
          <w:lang w:val="fr-FR"/>
        </w:rPr>
        <w:t xml:space="preserve"> </w:t>
      </w:r>
      <w:r>
        <w:rPr>
          <w:lang w:val="fr-FR"/>
        </w:rPr>
        <w:t>[</w:t>
      </w:r>
      <w:r>
        <w:rPr>
          <w:lang w:val="fr-FR"/>
        </w:rPr>
        <w:fldChar w:fldCharType="begin"/>
      </w:r>
      <w:r>
        <w:rPr>
          <w:lang w:val="fr-FR"/>
        </w:rPr>
        <w:instrText> REF __RefNumPara__1436_2129381569 \r \h </w:instrText>
      </w:r>
      <w:r>
        <w:rPr>
          <w:lang w:val="fr-FR"/>
        </w:rPr>
        <w:fldChar w:fldCharType="separate"/>
      </w:r>
      <w:r>
        <w:rPr>
          <w:lang w:val="fr-FR"/>
        </w:rPr>
        <w:t>71</w:t>
      </w:r>
      <w:r>
        <w:rPr>
          <w:lang w:val="fr-FR"/>
        </w:rPr>
        <w:fldChar w:fldCharType="end"/>
      </w:r>
      <w:r>
        <w:rPr>
          <w:lang w:val="fr-FR"/>
        </w:rPr>
        <w:t>]</w:t>
      </w:r>
      <w:r>
        <w:rPr>
          <w:lang w:val="fr-FR"/>
        </w:rPr>
        <w:t xml:space="preserve"> </w:t>
      </w:r>
      <w:r>
        <w:rPr>
          <w:lang w:val="fr-FR"/>
        </w:rPr>
        <w:t xml:space="preserve">a amené en 2020 </w:t>
      </w:r>
      <w:r>
        <w:rPr>
          <w:sz w:val="24"/>
          <w:lang w:val="fr-FR"/>
        </w:rPr>
        <w:t>une réforme de l’</w:t>
      </w:r>
      <w:r>
        <w:rPr>
          <w:lang w:val="fr-FR"/>
        </w:rPr>
        <w:t xml:space="preserve">Article L3222-5-1 </w:t>
      </w:r>
      <w:r>
        <w:rPr>
          <w:lang w:val="fr-FR"/>
        </w:rPr>
        <w:t>du Code de Santé Publique</w:t>
      </w:r>
      <w:r>
        <w:rPr>
          <w:lang w:val="fr-FR"/>
        </w:rPr>
        <w:t>[</w:t>
      </w:r>
      <w:r>
        <w:rPr>
          <w:lang w:val="fr-FR"/>
        </w:rPr>
        <w:fldChar w:fldCharType="begin"/>
      </w:r>
      <w:r>
        <w:rPr>
          <w:lang w:val="fr-FR"/>
        </w:rPr>
        <w:instrText> REF __RefNumPara__1438_2129381569 \r \h </w:instrText>
      </w:r>
      <w:r>
        <w:rPr>
          <w:lang w:val="fr-FR"/>
        </w:rPr>
        <w:fldChar w:fldCharType="separate"/>
      </w:r>
      <w:r>
        <w:rPr>
          <w:lang w:val="fr-FR"/>
        </w:rPr>
        <w:t>72</w:t>
      </w:r>
      <w:r>
        <w:rPr>
          <w:lang w:val="fr-FR"/>
        </w:rPr>
        <w:fldChar w:fldCharType="end"/>
      </w:r>
      <w:r>
        <w:rPr>
          <w:lang w:val="fr-FR"/>
        </w:rPr>
        <w:t xml:space="preserve">], </w:t>
      </w:r>
      <w:r>
        <w:rPr>
          <w:lang w:val="fr-FR"/>
        </w:rPr>
        <w:t>qui a été ensuite rejetée en</w:t>
      </w:r>
      <w:r>
        <w:rPr>
          <w:lang w:val="fr-FR"/>
        </w:rPr>
        <w:t xml:space="preserve"> 2021 </w:t>
      </w:r>
      <w:r>
        <w:rPr>
          <w:lang w:val="fr-FR"/>
        </w:rPr>
        <w:t>[</w:t>
      </w:r>
      <w:r>
        <w:rPr>
          <w:lang w:val="fr-FR"/>
        </w:rPr>
        <w:fldChar w:fldCharType="begin"/>
      </w:r>
      <w:r>
        <w:rPr>
          <w:lang w:val="fr-FR"/>
        </w:rPr>
        <w:instrText> REF __RefNumPara__1440_2129381569 \r \h </w:instrText>
      </w:r>
      <w:r>
        <w:rPr>
          <w:lang w:val="fr-FR"/>
        </w:rPr>
        <w:fldChar w:fldCharType="separate"/>
      </w:r>
      <w:r>
        <w:rPr>
          <w:lang w:val="fr-FR"/>
        </w:rPr>
        <w:t>73</w:t>
      </w:r>
      <w:r>
        <w:rPr>
          <w:lang w:val="fr-FR"/>
        </w:rPr>
        <w:fldChar w:fldCharType="end"/>
      </w:r>
      <w:r>
        <w:rPr>
          <w:lang w:val="fr-FR"/>
        </w:rPr>
        <w:t>].</w:t>
      </w:r>
      <w:r>
        <w:rPr>
          <w:lang w:val="fr-FR"/>
        </w:rPr>
        <w:t xml:space="preserve"> </w:t>
      </w:r>
      <w:r>
        <w:rPr>
          <w:lang w:val="fr-FR"/>
        </w:rPr>
        <w:t xml:space="preserve">Une nouvelle réforme de la loi </w:t>
      </w:r>
      <w:r>
        <w:rPr>
          <w:sz w:val="24"/>
          <w:lang w:val="fr-FR"/>
        </w:rPr>
        <w:t>serait</w:t>
      </w:r>
      <w:r>
        <w:rPr>
          <w:lang w:val="fr-FR"/>
        </w:rPr>
        <w:t xml:space="preserve"> en préparation </w:t>
      </w:r>
      <w:r>
        <w:rPr>
          <w:sz w:val="24"/>
          <w:lang w:val="fr-FR"/>
        </w:rPr>
        <w:t xml:space="preserve">afin de placer le recours à la contention mécanique et à l’isolement sous contrôle judiciaire </w:t>
      </w:r>
      <w:r>
        <w:rPr>
          <w:lang w:val="fr-FR"/>
        </w:rPr>
        <w:t>[</w:t>
      </w:r>
      <w:r>
        <w:rPr>
          <w:lang w:val="fr-FR"/>
        </w:rPr>
        <w:fldChar w:fldCharType="begin"/>
      </w:r>
      <w:r>
        <w:rPr>
          <w:lang w:val="fr-FR"/>
        </w:rPr>
        <w:instrText> REF __RefNumPara__1442_2129381569 \r \h </w:instrText>
      </w:r>
      <w:r>
        <w:rPr>
          <w:lang w:val="fr-FR"/>
        </w:rPr>
        <w:fldChar w:fldCharType="separate"/>
      </w:r>
      <w:r>
        <w:rPr>
          <w:lang w:val="fr-FR"/>
        </w:rPr>
        <w:t>74</w:t>
      </w:r>
      <w:r>
        <w:rPr>
          <w:lang w:val="fr-FR"/>
        </w:rPr>
        <w:fldChar w:fldCharType="end"/>
      </w:r>
      <w:r>
        <w:rPr>
          <w:lang w:val="fr-FR"/>
        </w:rPr>
        <w:t>].</w:t>
      </w:r>
    </w:p>
    <w:p>
      <w:pPr>
        <w:pStyle w:val="TextBody"/>
        <w:spacing w:lineRule="auto" w:line="276"/>
        <w:jc w:val="both"/>
        <w:rPr>
          <w:lang w:val="fr-FR"/>
        </w:rPr>
      </w:pPr>
      <w:r>
        <w:rPr>
          <w:sz w:val="24"/>
          <w:lang w:val="fr-FR"/>
        </w:rPr>
        <w:t>La loi française de santé mentale est ambig</w:t>
      </w:r>
      <w:r>
        <w:rPr>
          <w:sz w:val="24"/>
          <w:lang w:val="fr-FR"/>
        </w:rPr>
        <w:t>u</w:t>
      </w:r>
      <w:r>
        <w:rPr>
          <w:sz w:val="24"/>
          <w:lang w:val="fr-FR"/>
        </w:rPr>
        <w:t>ë</w:t>
      </w:r>
      <w:r>
        <w:rPr>
          <w:sz w:val="24"/>
          <w:lang w:val="fr-FR"/>
        </w:rPr>
        <w:t xml:space="preserve"> en ce qui concerne le traitement forcé, car cela contredit la loi du consentement éclairé de 2002</w:t>
      </w:r>
      <w:r>
        <w:rPr>
          <w:sz w:val="24"/>
          <w:lang w:val="fr-FR"/>
        </w:rPr>
        <w:t xml:space="preserve">, Article L1111-4 </w:t>
      </w:r>
      <w:r>
        <w:rPr>
          <w:sz w:val="24"/>
          <w:lang w:val="fr-FR"/>
        </w:rPr>
        <w:t>du Code de Santé Publique</w:t>
      </w:r>
      <w:r>
        <w:rPr>
          <w:sz w:val="24"/>
          <w:lang w:val="fr-FR"/>
        </w:rPr>
        <w:t xml:space="preserve"> </w:t>
      </w:r>
      <w:r>
        <w:rPr>
          <w:sz w:val="24"/>
          <w:lang w:val="fr-FR"/>
        </w:rPr>
        <w:t>[</w:t>
      </w:r>
      <w:r>
        <w:rPr>
          <w:sz w:val="24"/>
          <w:lang w:val="fr-FR"/>
        </w:rPr>
        <w:fldChar w:fldCharType="begin"/>
      </w:r>
      <w:r>
        <w:rPr>
          <w:sz w:val="24"/>
          <w:lang w:val="fr-FR"/>
        </w:rPr>
        <w:instrText> REF __RefNumPara__1444_2129381569 \r \h </w:instrText>
      </w:r>
      <w:r>
        <w:rPr>
          <w:sz w:val="24"/>
          <w:lang w:val="fr-FR"/>
        </w:rPr>
        <w:fldChar w:fldCharType="separate"/>
      </w:r>
      <w:r>
        <w:rPr>
          <w:sz w:val="24"/>
          <w:lang w:val="fr-FR"/>
        </w:rPr>
        <w:t>76</w:t>
      </w:r>
      <w:r>
        <w:rPr>
          <w:sz w:val="24"/>
          <w:lang w:val="fr-FR"/>
        </w:rPr>
        <w:fldChar w:fldCharType="end"/>
      </w:r>
      <w:r>
        <w:rPr>
          <w:sz w:val="24"/>
          <w:lang w:val="fr-FR"/>
        </w:rPr>
        <w:t xml:space="preserve">], </w:t>
      </w:r>
      <w:r>
        <w:rPr>
          <w:sz w:val="24"/>
          <w:lang w:val="fr-FR"/>
        </w:rPr>
        <w:t xml:space="preserve">et il y a une décision du Conseil constitutionnel qui précise que le traitement forcé ne peut pas s’appliquer au domicile de la personne </w:t>
      </w:r>
      <w:r>
        <w:rPr>
          <w:lang w:val="fr-FR"/>
        </w:rPr>
        <w:t>[</w:t>
      </w:r>
      <w:r>
        <w:rPr>
          <w:lang w:val="fr-FR"/>
        </w:rPr>
        <w:fldChar w:fldCharType="begin"/>
      </w:r>
      <w:r>
        <w:rPr>
          <w:lang w:val="fr-FR"/>
        </w:rPr>
        <w:instrText> REF __RefNumPara__1446_2129381569 \r \h </w:instrText>
      </w:r>
      <w:r>
        <w:rPr>
          <w:lang w:val="fr-FR"/>
        </w:rPr>
        <w:fldChar w:fldCharType="separate"/>
      </w:r>
      <w:r>
        <w:rPr>
          <w:lang w:val="fr-FR"/>
        </w:rPr>
        <w:t>77</w:t>
      </w:r>
      <w:r>
        <w:rPr>
          <w:lang w:val="fr-FR"/>
        </w:rPr>
        <w:fldChar w:fldCharType="end"/>
      </w:r>
      <w:r>
        <w:rPr>
          <w:lang w:val="fr-FR"/>
        </w:rPr>
        <w:t xml:space="preserve">]. </w:t>
      </w:r>
      <w:r>
        <w:rPr>
          <w:lang w:val="fr-FR"/>
        </w:rPr>
        <w:t xml:space="preserve">Quoi qu’il en soit, la ré-hospitalisation forcée en cas de non-compliance au traitement est courante. Cette menace est légalisée et le traitement forcé dans la communauté a simplement été renommé « programme de soins » </w:t>
      </w:r>
      <w:r>
        <w:rPr>
          <w:lang w:val="fr-FR"/>
        </w:rPr>
        <w:t>[</w:t>
      </w:r>
      <w:r>
        <w:rPr>
          <w:lang w:val="fr-FR"/>
        </w:rPr>
        <w:fldChar w:fldCharType="begin"/>
      </w:r>
      <w:r>
        <w:rPr>
          <w:lang w:val="fr-FR"/>
        </w:rPr>
        <w:instrText> REF __RefNumPara__2691_2773654779 \r \h </w:instrText>
      </w:r>
      <w:r>
        <w:rPr>
          <w:lang w:val="fr-FR"/>
        </w:rPr>
        <w:fldChar w:fldCharType="separate"/>
      </w:r>
      <w:r>
        <w:rPr>
          <w:lang w:val="fr-FR"/>
        </w:rPr>
        <w:t>66</w:t>
      </w:r>
      <w:r>
        <w:rPr>
          <w:lang w:val="fr-FR"/>
        </w:rPr>
        <w:fldChar w:fldCharType="end"/>
      </w:r>
      <w:r>
        <w:rPr>
          <w:lang w:val="fr-FR"/>
        </w:rPr>
        <w:t>].</w:t>
      </w:r>
    </w:p>
    <w:p>
      <w:pPr>
        <w:pStyle w:val="TextBody"/>
        <w:spacing w:lineRule="auto" w:line="276"/>
        <w:jc w:val="both"/>
        <w:rPr>
          <w:lang w:val="fr-FR"/>
        </w:rPr>
      </w:pPr>
      <w:r>
        <w:rPr>
          <w:lang w:val="fr-FR"/>
        </w:rPr>
      </w:r>
    </w:p>
    <w:p>
      <w:pPr>
        <w:pStyle w:val="Heading4"/>
        <w:spacing w:lineRule="auto" w:line="276"/>
        <w:rPr>
          <w:lang w:val="fr-FR"/>
        </w:rPr>
      </w:pPr>
      <w:bookmarkStart w:id="17" w:name="__RefHeading___Toc2415_2773654779"/>
      <w:bookmarkEnd w:id="17"/>
      <w:r>
        <w:rPr>
          <w:lang w:val="fr-FR"/>
        </w:rPr>
        <w:t xml:space="preserve">Article 25 Santé </w:t>
      </w:r>
    </w:p>
    <w:p>
      <w:pPr>
        <w:pStyle w:val="TextBody"/>
        <w:spacing w:lineRule="auto" w:line="276"/>
        <w:jc w:val="both"/>
        <w:rPr>
          <w:lang w:val="fr-FR"/>
        </w:rPr>
      </w:pPr>
      <w:r>
        <w:rPr>
          <w:lang w:val="fr-FR"/>
        </w:rPr>
        <w:t xml:space="preserve">Des expérimentations récentes en France ont autorisé certaines psychothérapies à être couvertes par l’assurance sociale </w:t>
      </w:r>
      <w:r>
        <w:rPr>
          <w:lang w:val="fr-FR"/>
        </w:rPr>
        <w:t>[</w:t>
      </w:r>
      <w:r>
        <w:rPr>
          <w:lang w:val="fr-FR"/>
        </w:rPr>
        <w:fldChar w:fldCharType="begin"/>
      </w:r>
      <w:r>
        <w:rPr>
          <w:lang w:val="fr-FR"/>
        </w:rPr>
        <w:instrText> REF __RefNumPara__5075_234535675 \r \h </w:instrText>
      </w:r>
      <w:r>
        <w:rPr>
          <w:lang w:val="fr-FR"/>
        </w:rPr>
        <w:fldChar w:fldCharType="separate"/>
      </w:r>
      <w:r>
        <w:rPr>
          <w:lang w:val="fr-FR"/>
        </w:rPr>
        <w:t>83</w:t>
      </w:r>
      <w:r>
        <w:rPr>
          <w:lang w:val="fr-FR"/>
        </w:rPr>
        <w:fldChar w:fldCharType="end"/>
      </w:r>
      <w:r>
        <w:rPr>
          <w:lang w:val="fr-FR"/>
        </w:rPr>
        <w:t xml:space="preserve">]. </w:t>
      </w:r>
      <w:r>
        <w:rPr>
          <w:lang w:val="fr-FR"/>
        </w:rPr>
        <w:t>Cependant, les personnes qui avaient des expériences psychiatriques dans les 3 an</w:t>
      </w:r>
      <w:r>
        <w:rPr>
          <w:lang w:val="fr-FR"/>
        </w:rPr>
        <w:t>née</w:t>
      </w:r>
      <w:r>
        <w:rPr>
          <w:lang w:val="fr-FR"/>
        </w:rPr>
        <w:t>s préc</w:t>
      </w:r>
      <w:r>
        <w:rPr>
          <w:sz w:val="24"/>
          <w:lang w:val="fr-FR"/>
        </w:rPr>
        <w:t>é</w:t>
      </w:r>
      <w:r>
        <w:rPr>
          <w:lang w:val="fr-FR"/>
        </w:rPr>
        <w:t xml:space="preserve">dent </w:t>
      </w:r>
      <w:r>
        <w:rPr>
          <w:lang w:val="fr-FR"/>
        </w:rPr>
        <w:t>l’essai</w:t>
      </w:r>
      <w:r>
        <w:rPr>
          <w:lang w:val="fr-FR"/>
        </w:rPr>
        <w:t xml:space="preserve"> étaient exclues du dispositif</w:t>
      </w:r>
      <w:r>
        <w:rPr>
          <w:sz w:val="24"/>
          <w:lang w:val="fr-FR"/>
        </w:rPr>
        <w:t>.</w:t>
      </w:r>
    </w:p>
    <w:p>
      <w:pPr>
        <w:pStyle w:val="TextBody"/>
        <w:spacing w:lineRule="auto" w:line="276"/>
        <w:jc w:val="both"/>
        <w:rPr>
          <w:rFonts w:ascii="Times New Roman" w:hAnsi="Times New Roman"/>
          <w:sz w:val="24"/>
          <w:lang w:val="fr-FR"/>
        </w:rPr>
      </w:pPr>
      <w:r>
        <w:rPr>
          <w:sz w:val="24"/>
          <w:lang w:val="fr-FR"/>
        </w:rPr>
      </w:r>
    </w:p>
    <w:p>
      <w:pPr>
        <w:pStyle w:val="Heading3"/>
        <w:spacing w:lineRule="auto" w:line="276"/>
        <w:rPr>
          <w:lang w:val="fr-FR"/>
        </w:rPr>
      </w:pPr>
      <w:bookmarkStart w:id="18" w:name="__RefHeading___Toc1354_2129381569"/>
      <w:bookmarkEnd w:id="18"/>
      <w:r>
        <w:rPr>
          <w:lang w:val="fr-FR"/>
        </w:rPr>
        <w:t>6) Commentaires sur la Réponse à la Liste de points</w:t>
      </w:r>
    </w:p>
    <w:p>
      <w:pPr>
        <w:pStyle w:val="Heading4"/>
        <w:rPr/>
      </w:pPr>
      <w:bookmarkStart w:id="19" w:name="__RefHeading___Toc17959_2726673478"/>
      <w:bookmarkEnd w:id="19"/>
      <w:r>
        <w:rPr/>
        <w:t>Objet et obligations générales (art. 1 à 4)</w:t>
      </w:r>
    </w:p>
    <w:p>
      <w:pPr>
        <w:pStyle w:val="TextBody"/>
        <w:spacing w:lineRule="auto" w:line="276"/>
        <w:jc w:val="both"/>
        <w:rPr>
          <w:i/>
          <w:i/>
          <w:iCs/>
          <w:lang w:val="fr-FR"/>
        </w:rPr>
      </w:pPr>
      <w:r>
        <w:rPr>
          <w:i/>
          <w:iCs/>
          <w:lang w:val="fr-FR"/>
        </w:rPr>
        <w:t>1. L’autodétermination des personnes handicapées et leur accompagnement vers une expression de leurs choix propres, fondent l’engagement et l’action de la France.</w:t>
      </w:r>
    </w:p>
    <w:p>
      <w:pPr>
        <w:pStyle w:val="TextBody"/>
        <w:spacing w:lineRule="auto" w:line="276"/>
        <w:jc w:val="both"/>
        <w:rPr>
          <w:i w:val="false"/>
          <w:i w:val="false"/>
          <w:iCs w:val="false"/>
          <w:lang w:val="fr-FR"/>
        </w:rPr>
      </w:pPr>
      <w:r>
        <w:rPr>
          <w:i w:val="false"/>
          <w:iCs w:val="false"/>
          <w:lang w:val="fr-FR"/>
        </w:rPr>
        <w:t xml:space="preserve">En ce qui concerne le handicap psychosocial, </w:t>
      </w:r>
      <w:r>
        <w:rPr>
          <w:i w:val="false"/>
          <w:iCs w:val="false"/>
          <w:sz w:val="24"/>
          <w:lang w:val="fr-FR"/>
        </w:rPr>
        <w:t xml:space="preserve">cette </w:t>
      </w:r>
      <w:r>
        <w:rPr>
          <w:i w:val="false"/>
          <w:iCs w:val="false"/>
          <w:lang w:val="fr-FR"/>
        </w:rPr>
        <w:t>assertion est une contre-vérité : Les systèmes de décision</w:t>
      </w:r>
      <w:r>
        <w:rPr>
          <w:i w:val="false"/>
          <w:iCs w:val="false"/>
          <w:lang w:val="fr-FR"/>
        </w:rPr>
        <w:t>s</w:t>
      </w:r>
      <w:r>
        <w:rPr>
          <w:i w:val="false"/>
          <w:iCs w:val="false"/>
          <w:lang w:val="fr-FR"/>
        </w:rPr>
        <w:t xml:space="preserve"> substitutives sont dans les lois de tutelle, la </w:t>
      </w:r>
      <w:r>
        <w:rPr>
          <w:i w:val="false"/>
          <w:iCs w:val="false"/>
          <w:sz w:val="24"/>
          <w:lang w:val="fr-FR"/>
        </w:rPr>
        <w:t>L</w:t>
      </w:r>
      <w:r>
        <w:rPr>
          <w:i w:val="false"/>
          <w:iCs w:val="false"/>
          <w:lang w:val="fr-FR"/>
        </w:rPr>
        <w:t xml:space="preserve">oi n° 2007-308 du 5 mars 2007 et dans les lois de santé mentale, aux Articles L3211, L3212 et L3213 du </w:t>
      </w:r>
      <w:r>
        <w:rPr>
          <w:i w:val="false"/>
          <w:iCs w:val="false"/>
          <w:sz w:val="24"/>
          <w:lang w:val="fr-FR"/>
        </w:rPr>
        <w:t>C</w:t>
      </w:r>
      <w:r>
        <w:rPr>
          <w:i w:val="false"/>
          <w:iCs w:val="false"/>
          <w:lang w:val="fr-FR"/>
        </w:rPr>
        <w:t>ode de la santé publique.</w:t>
      </w:r>
    </w:p>
    <w:p>
      <w:pPr>
        <w:pStyle w:val="TextBody"/>
        <w:spacing w:lineRule="auto" w:line="276"/>
        <w:jc w:val="both"/>
        <w:rPr>
          <w:i w:val="false"/>
          <w:i w:val="false"/>
          <w:iCs w:val="false"/>
          <w:lang w:val="fr-FR"/>
        </w:rPr>
      </w:pPr>
      <w:r>
        <w:rPr>
          <w:i w:val="false"/>
          <w:iCs w:val="false"/>
          <w:lang w:val="fr-FR"/>
        </w:rPr>
        <w:t>La d</w:t>
      </w:r>
      <w:r>
        <w:rPr>
          <w:i w:val="false"/>
          <w:iCs w:val="false"/>
          <w:lang w:val="fr-FR"/>
        </w:rPr>
        <w:t>iscrimination</w:t>
      </w:r>
      <w:r>
        <w:rPr>
          <w:i w:val="false"/>
          <w:iCs w:val="false"/>
          <w:lang w:val="fr-FR"/>
        </w:rPr>
        <w:t xml:space="preserve"> </w:t>
      </w:r>
      <w:r>
        <w:rPr>
          <w:i w:val="false"/>
          <w:iCs w:val="false"/>
          <w:sz w:val="24"/>
          <w:lang w:val="fr-FR"/>
        </w:rPr>
        <w:t xml:space="preserve">envers les </w:t>
      </w:r>
      <w:r>
        <w:rPr>
          <w:i w:val="false"/>
          <w:iCs w:val="false"/>
          <w:lang w:val="fr-FR"/>
        </w:rPr>
        <w:t>person</w:t>
      </w:r>
      <w:r>
        <w:rPr>
          <w:i w:val="false"/>
          <w:iCs w:val="false"/>
          <w:lang w:val="fr-FR"/>
        </w:rPr>
        <w:t>ne</w:t>
      </w:r>
      <w:r>
        <w:rPr>
          <w:i w:val="false"/>
          <w:iCs w:val="false"/>
          <w:lang w:val="fr-FR"/>
        </w:rPr>
        <w:t xml:space="preserve">s </w:t>
      </w:r>
      <w:r>
        <w:rPr>
          <w:i w:val="false"/>
          <w:iCs w:val="false"/>
          <w:sz w:val="24"/>
          <w:lang w:val="fr-FR"/>
        </w:rPr>
        <w:t>avec handicap psychosocial</w:t>
      </w:r>
      <w:r>
        <w:rPr>
          <w:i w:val="false"/>
          <w:iCs w:val="false"/>
          <w:lang w:val="fr-FR"/>
        </w:rPr>
        <w:t xml:space="preserve"> </w:t>
      </w:r>
      <w:r>
        <w:rPr>
          <w:i w:val="false"/>
          <w:iCs w:val="false"/>
          <w:sz w:val="24"/>
          <w:lang w:val="fr-FR"/>
        </w:rPr>
        <w:t>est dans la loi française</w:t>
      </w:r>
      <w:r>
        <w:rPr>
          <w:i w:val="false"/>
          <w:iCs w:val="false"/>
          <w:lang w:val="fr-FR"/>
        </w:rPr>
        <w:t>: Article</w:t>
      </w:r>
      <w:r>
        <w:rPr>
          <w:i w:val="false"/>
          <w:iCs w:val="false"/>
          <w:lang w:val="fr-FR"/>
        </w:rPr>
        <w:t>s</w:t>
      </w:r>
      <w:r>
        <w:rPr>
          <w:i w:val="false"/>
          <w:iCs w:val="false"/>
          <w:lang w:val="fr-FR"/>
        </w:rPr>
        <w:t xml:space="preserve"> 414-1[</w:t>
      </w:r>
      <w:r>
        <w:rPr>
          <w:i w:val="false"/>
          <w:iCs w:val="false"/>
          <w:lang w:val="fr-FR"/>
        </w:rPr>
        <w:fldChar w:fldCharType="begin"/>
      </w:r>
      <w:r>
        <w:rPr>
          <w:i w:val="false"/>
          <w:iCs w:val="false"/>
          <w:lang w:val="fr-FR"/>
        </w:rPr>
        <w:instrText> REF __RefNumPara__6361_2726673478 \r \h </w:instrText>
      </w:r>
      <w:r>
        <w:rPr>
          <w:i w:val="false"/>
          <w:iCs w:val="false"/>
          <w:lang w:val="fr-FR"/>
        </w:rPr>
        <w:fldChar w:fldCharType="separate"/>
      </w:r>
      <w:r>
        <w:rPr>
          <w:i w:val="false"/>
          <w:iCs w:val="false"/>
          <w:lang w:val="fr-FR"/>
        </w:rPr>
        <w:t>87</w:t>
      </w:r>
      <w:r>
        <w:rPr>
          <w:i w:val="false"/>
          <w:iCs w:val="false"/>
          <w:lang w:val="fr-FR"/>
        </w:rPr>
        <w:fldChar w:fldCharType="end"/>
      </w:r>
      <w:r>
        <w:rPr>
          <w:i w:val="false"/>
          <w:iCs w:val="false"/>
          <w:lang w:val="fr-FR"/>
        </w:rPr>
        <w:t>]</w:t>
      </w:r>
      <w:r>
        <w:rPr>
          <w:i w:val="false"/>
          <w:iCs w:val="false"/>
          <w:lang w:val="fr-FR"/>
        </w:rPr>
        <w:t xml:space="preserve">, </w:t>
      </w:r>
      <w:r>
        <w:rPr>
          <w:i w:val="false"/>
          <w:iCs w:val="false"/>
          <w:lang w:val="fr-FR"/>
        </w:rPr>
        <w:t>et</w:t>
      </w:r>
      <w:r>
        <w:rPr>
          <w:i w:val="false"/>
          <w:iCs w:val="false"/>
          <w:lang w:val="fr-FR"/>
        </w:rPr>
        <w:t xml:space="preserve"> 425 [</w:t>
      </w:r>
      <w:r>
        <w:rPr>
          <w:i w:val="false"/>
          <w:iCs w:val="false"/>
          <w:lang w:val="fr-FR"/>
        </w:rPr>
        <w:fldChar w:fldCharType="begin"/>
      </w:r>
      <w:r>
        <w:rPr>
          <w:i w:val="false"/>
          <w:iCs w:val="false"/>
          <w:lang w:val="fr-FR"/>
        </w:rPr>
        <w:instrText> REF __RefNumPara__5471_2140865594 \r \h </w:instrText>
      </w:r>
      <w:r>
        <w:rPr>
          <w:i w:val="false"/>
          <w:iCs w:val="false"/>
          <w:lang w:val="fr-FR"/>
        </w:rPr>
        <w:fldChar w:fldCharType="separate"/>
      </w:r>
      <w:r>
        <w:rPr>
          <w:i w:val="false"/>
          <w:iCs w:val="false"/>
          <w:lang w:val="fr-FR"/>
        </w:rPr>
        <w:t>10</w:t>
      </w:r>
      <w:r>
        <w:rPr>
          <w:i w:val="false"/>
          <w:iCs w:val="false"/>
          <w:lang w:val="fr-FR"/>
        </w:rPr>
        <w:fldChar w:fldCharType="end"/>
      </w:r>
      <w:r>
        <w:rPr>
          <w:i w:val="false"/>
          <w:iCs w:val="false"/>
          <w:lang w:val="fr-FR"/>
        </w:rPr>
        <w:t xml:space="preserve">] </w:t>
      </w:r>
      <w:r>
        <w:rPr>
          <w:i w:val="false"/>
          <w:iCs w:val="false"/>
          <w:sz w:val="24"/>
          <w:lang w:val="fr-FR"/>
        </w:rPr>
        <w:t>du Code civil</w:t>
      </w:r>
      <w:r>
        <w:rPr>
          <w:i w:val="false"/>
          <w:iCs w:val="false"/>
          <w:lang w:val="fr-FR"/>
        </w:rPr>
        <w:t xml:space="preserve">, </w:t>
      </w:r>
      <w:r>
        <w:rPr>
          <w:i w:val="false"/>
          <w:iCs w:val="false"/>
          <w:lang w:val="fr-FR"/>
        </w:rPr>
        <w:t xml:space="preserve">et </w:t>
      </w:r>
      <w:r>
        <w:rPr>
          <w:i w:val="false"/>
          <w:iCs w:val="false"/>
          <w:lang w:val="fr-FR"/>
        </w:rPr>
        <w:t xml:space="preserve">Article L3211-3 </w:t>
      </w:r>
      <w:r>
        <w:rPr>
          <w:i w:val="false"/>
          <w:iCs w:val="false"/>
          <w:sz w:val="24"/>
          <w:lang w:val="fr-FR"/>
        </w:rPr>
        <w:t xml:space="preserve">du Code de la santé publique </w:t>
      </w:r>
      <w:r>
        <w:rPr>
          <w:i w:val="false"/>
          <w:iCs w:val="false"/>
          <w:lang w:val="fr-FR"/>
        </w:rPr>
        <w:t>[</w:t>
      </w:r>
      <w:r>
        <w:rPr>
          <w:i w:val="false"/>
          <w:iCs w:val="false"/>
          <w:lang w:val="fr-FR"/>
        </w:rPr>
        <w:fldChar w:fldCharType="begin"/>
      </w:r>
      <w:r>
        <w:rPr>
          <w:i w:val="false"/>
          <w:iCs w:val="false"/>
          <w:lang w:val="fr-FR"/>
        </w:rPr>
        <w:instrText> REF __RefNumPara__5469_2140865594 \r \h </w:instrText>
      </w:r>
      <w:r>
        <w:rPr>
          <w:i w:val="false"/>
          <w:iCs w:val="false"/>
          <w:lang w:val="fr-FR"/>
        </w:rPr>
        <w:fldChar w:fldCharType="separate"/>
      </w:r>
      <w:r>
        <w:rPr>
          <w:i w:val="false"/>
          <w:iCs w:val="false"/>
          <w:lang w:val="fr-FR"/>
        </w:rPr>
        <w:t>8</w:t>
      </w:r>
      <w:r>
        <w:rPr>
          <w:i w:val="false"/>
          <w:iCs w:val="false"/>
          <w:lang w:val="fr-FR"/>
        </w:rPr>
        <w:fldChar w:fldCharType="end"/>
      </w:r>
      <w:r>
        <w:rPr>
          <w:i w:val="false"/>
          <w:iCs w:val="false"/>
          <w:lang w:val="fr-FR"/>
        </w:rPr>
        <w:t>].</w:t>
      </w:r>
    </w:p>
    <w:p>
      <w:pPr>
        <w:pStyle w:val="TextBody"/>
        <w:spacing w:lineRule="auto" w:line="276"/>
        <w:jc w:val="both"/>
        <w:rPr>
          <w:i w:val="false"/>
          <w:i w:val="false"/>
          <w:iCs w:val="false"/>
          <w:lang w:val="fr-FR"/>
        </w:rPr>
      </w:pPr>
      <w:r>
        <w:rPr>
          <w:i w:val="false"/>
          <w:iCs w:val="false"/>
          <w:lang w:val="fr-FR"/>
        </w:rPr>
        <w:t>De plus, la définition du handicap de l’Article L114 du Code de l’action sociale et des familles [</w:t>
      </w:r>
      <w:r>
        <w:rPr>
          <w:i w:val="false"/>
          <w:iCs w:val="false"/>
          <w:lang w:val="fr-FR"/>
        </w:rPr>
        <w:fldChar w:fldCharType="begin"/>
      </w:r>
      <w:r>
        <w:rPr>
          <w:i w:val="false"/>
          <w:iCs w:val="false"/>
          <w:lang w:val="fr-FR"/>
        </w:rPr>
        <w:instrText> REF __RefNumPara__7257_2069249561 \r \h </w:instrText>
      </w:r>
      <w:r>
        <w:rPr>
          <w:i w:val="false"/>
          <w:iCs w:val="false"/>
          <w:lang w:val="fr-FR"/>
        </w:rPr>
        <w:fldChar w:fldCharType="separate"/>
      </w:r>
      <w:r>
        <w:rPr>
          <w:i w:val="false"/>
          <w:iCs w:val="false"/>
          <w:lang w:val="fr-FR"/>
        </w:rPr>
        <w:t>85</w:t>
      </w:r>
      <w:r>
        <w:rPr>
          <w:i w:val="false"/>
          <w:iCs w:val="false"/>
          <w:lang w:val="fr-FR"/>
        </w:rPr>
        <w:fldChar w:fldCharType="end"/>
      </w:r>
      <w:r>
        <w:rPr>
          <w:i w:val="false"/>
          <w:iCs w:val="false"/>
          <w:lang w:val="fr-FR"/>
        </w:rPr>
        <w:t>] est fondée sur le modèle médical et ne mentionne pas l</w:t>
      </w:r>
      <w:r>
        <w:rPr>
          <w:i w:val="false"/>
          <w:iCs w:val="false"/>
          <w:sz w:val="24"/>
          <w:lang w:val="fr-FR"/>
        </w:rPr>
        <w:t>e</w:t>
      </w:r>
      <w:r>
        <w:rPr>
          <w:i w:val="false"/>
          <w:iCs w:val="false"/>
          <w:lang w:val="fr-FR"/>
        </w:rPr>
        <w:t xml:space="preserve"> </w:t>
      </w:r>
      <w:r>
        <w:rPr>
          <w:i w:val="false"/>
          <w:iCs w:val="false"/>
          <w:sz w:val="24"/>
          <w:lang w:val="fr-FR"/>
        </w:rPr>
        <w:t>principe</w:t>
      </w:r>
      <w:r>
        <w:rPr>
          <w:i w:val="false"/>
          <w:iCs w:val="false"/>
          <w:lang w:val="fr-FR"/>
        </w:rPr>
        <w:t xml:space="preserve"> de l’égalité avec les autres.</w:t>
      </w:r>
    </w:p>
    <w:p>
      <w:pPr>
        <w:pStyle w:val="TextBody"/>
        <w:spacing w:lineRule="auto" w:line="276"/>
        <w:rPr>
          <w:i w:val="false"/>
          <w:i w:val="false"/>
          <w:iCs w:val="false"/>
          <w:lang w:val="fr-FR"/>
        </w:rPr>
      </w:pPr>
      <w:r>
        <w:rPr>
          <w:i w:val="false"/>
          <w:iCs w:val="false"/>
          <w:lang w:val="fr-FR"/>
        </w:rPr>
      </w:r>
    </w:p>
    <w:p>
      <w:pPr>
        <w:pStyle w:val="TextBody"/>
        <w:spacing w:lineRule="auto" w:line="276"/>
        <w:jc w:val="both"/>
        <w:rPr>
          <w:i/>
          <w:i/>
          <w:iCs/>
          <w:lang w:val="fr-FR"/>
        </w:rPr>
      </w:pPr>
      <w:r>
        <w:rPr>
          <w:i/>
          <w:iCs/>
          <w:lang w:val="fr-FR"/>
        </w:rPr>
        <w:t xml:space="preserve">3. </w:t>
      </w:r>
      <w:r>
        <w:rPr>
          <w:i/>
          <w:iCs/>
          <w:lang w:val="fr-FR"/>
        </w:rPr>
        <w:t>Un nouveau formulaire de demande facilite l’expression des attentes et besoins par la personne elle-même. La mise en place du système d’information harmonisé des MDPH pose un socle de pratiques professionnelles, conformément à la loi 2005. Un accompagnement au changement des équipes a eu lieu dans chaque MDPH. Les formations intègrent désormais la prise en compte des projets de vie, l’offre et la connaissance des déficiences et pathologies. Des outils pour harmoniser les évaluations sont en cours de déploiement.</w:t>
      </w:r>
    </w:p>
    <w:p>
      <w:pPr>
        <w:pStyle w:val="TextBody"/>
        <w:spacing w:lineRule="auto" w:line="276"/>
        <w:jc w:val="both"/>
        <w:rPr>
          <w:i w:val="false"/>
          <w:i w:val="false"/>
          <w:iCs w:val="false"/>
          <w:lang w:val="fr-FR"/>
        </w:rPr>
      </w:pPr>
      <w:r>
        <w:rPr>
          <w:i w:val="false"/>
          <w:iCs w:val="false"/>
          <w:sz w:val="24"/>
          <w:lang w:val="fr-FR"/>
        </w:rPr>
        <w:t xml:space="preserve">Ce formulaire est le </w:t>
      </w:r>
      <w:r>
        <w:rPr>
          <w:i w:val="false"/>
          <w:iCs w:val="false"/>
          <w:lang w:val="fr-FR"/>
        </w:rPr>
        <w:t>CERFA 15695-01 [</w:t>
      </w:r>
      <w:r>
        <w:rPr>
          <w:i w:val="false"/>
          <w:iCs w:val="false"/>
          <w:lang w:val="fr-FR"/>
        </w:rPr>
        <w:fldChar w:fldCharType="begin"/>
      </w:r>
      <w:r>
        <w:rPr>
          <w:i w:val="false"/>
          <w:iCs w:val="false"/>
          <w:lang w:val="fr-FR"/>
        </w:rPr>
        <w:instrText> REF __RefNumPara__6359_2726673478 \r \h </w:instrText>
      </w:r>
      <w:r>
        <w:rPr>
          <w:i w:val="false"/>
          <w:iCs w:val="false"/>
          <w:lang w:val="fr-FR"/>
        </w:rPr>
        <w:fldChar w:fldCharType="separate"/>
      </w:r>
      <w:r>
        <w:rPr>
          <w:i w:val="false"/>
          <w:iCs w:val="false"/>
          <w:lang w:val="fr-FR"/>
        </w:rPr>
        <w:t>86</w:t>
      </w:r>
      <w:r>
        <w:rPr>
          <w:i w:val="false"/>
          <w:iCs w:val="false"/>
          <w:lang w:val="fr-FR"/>
        </w:rPr>
        <w:fldChar w:fldCharType="end"/>
      </w:r>
      <w:r>
        <w:rPr>
          <w:i w:val="false"/>
          <w:iCs w:val="false"/>
          <w:lang w:val="fr-FR"/>
        </w:rPr>
        <w:t xml:space="preserve">]. </w:t>
      </w:r>
      <w:r>
        <w:rPr>
          <w:i w:val="false"/>
          <w:iCs w:val="false"/>
          <w:lang w:val="fr-FR"/>
        </w:rPr>
        <w:t>C’est à la base un certificat médical centré sur la « </w:t>
      </w:r>
      <w:r>
        <w:rPr>
          <w:i w:val="false"/>
          <w:iCs w:val="false"/>
          <w:lang w:val="fr-FR"/>
        </w:rPr>
        <w:t>patholog</w:t>
      </w:r>
      <w:r>
        <w:rPr>
          <w:i w:val="false"/>
          <w:iCs w:val="false"/>
          <w:sz w:val="24"/>
          <w:lang w:val="fr-FR"/>
        </w:rPr>
        <w:t>ie »</w:t>
      </w:r>
      <w:r>
        <w:rPr>
          <w:i w:val="false"/>
          <w:iCs w:val="false"/>
          <w:lang w:val="fr-FR"/>
        </w:rPr>
        <w:t>.</w:t>
      </w:r>
    </w:p>
    <w:p>
      <w:pPr>
        <w:pStyle w:val="TextBody"/>
        <w:spacing w:lineRule="auto" w:line="276"/>
        <w:rPr>
          <w:i w:val="false"/>
          <w:i w:val="false"/>
          <w:iCs w:val="false"/>
          <w:lang w:val="fr-FR"/>
        </w:rPr>
      </w:pPr>
      <w:r>
        <w:rPr>
          <w:i w:val="false"/>
          <w:iCs w:val="false"/>
          <w:lang w:val="fr-FR"/>
        </w:rPr>
      </w:r>
    </w:p>
    <w:p>
      <w:pPr>
        <w:pStyle w:val="Heading4"/>
        <w:rPr/>
      </w:pPr>
      <w:bookmarkStart w:id="20" w:name="__RefHeading___Toc17961_2726673478"/>
      <w:bookmarkEnd w:id="20"/>
      <w:r>
        <w:rPr/>
        <w:t xml:space="preserve">Reconnaissance de la personnalité juridique dans des conditions d'égalité </w:t>
      </w:r>
      <w:r>
        <w:rPr/>
        <w:t>(</w:t>
      </w:r>
      <w:r>
        <w:rPr>
          <w:rFonts w:eastAsia="Microsoft YaHei" w:cs="Arial"/>
          <w:b/>
          <w:bCs/>
          <w:i/>
          <w:iCs/>
          <w:sz w:val="27"/>
          <w:szCs w:val="27"/>
        </w:rPr>
        <w:t>art.</w:t>
      </w:r>
      <w:r>
        <w:rPr/>
        <w:t xml:space="preserve"> 12 </w:t>
      </w:r>
      <w:r>
        <w:rPr/>
        <w:t>)</w:t>
      </w:r>
    </w:p>
    <w:p>
      <w:pPr>
        <w:pStyle w:val="TextBody"/>
        <w:spacing w:lineRule="auto" w:line="276"/>
        <w:jc w:val="both"/>
        <w:rPr>
          <w:i/>
          <w:i/>
          <w:iCs/>
          <w:lang w:val="fr-FR"/>
        </w:rPr>
      </w:pPr>
      <w:r>
        <w:rPr>
          <w:i/>
          <w:iCs/>
          <w:lang w:val="fr-FR"/>
        </w:rPr>
        <w:t xml:space="preserve">64. </w:t>
      </w:r>
      <w:r>
        <w:rPr>
          <w:i/>
          <w:iCs/>
          <w:lang w:val="fr-FR"/>
        </w:rPr>
        <w:t>La représentation des personnes et leur libre consentement sont garantis dans les dispositifs légaux prévus par la loi de programmation justice 2019, inspirée du rapport 2018 sur l’évolution de la protection juridique des majeurs. C’est une avancée pour la reconnaissance effective des droits des personnes handicapées. L’autorisation préalable du juge n’est plus requise pour certains actes patrimoniaux et l’exercice de droits fondamentaux tels que se marier, se pacser, divorcer, voter ou pour le consentement personnel aux soins.</w:t>
      </w:r>
    </w:p>
    <w:p>
      <w:pPr>
        <w:pStyle w:val="TextBody"/>
        <w:spacing w:lineRule="auto" w:line="276"/>
        <w:jc w:val="both"/>
        <w:rPr>
          <w:i w:val="false"/>
          <w:i w:val="false"/>
          <w:iCs w:val="false"/>
          <w:lang w:val="fr-FR"/>
        </w:rPr>
      </w:pPr>
      <w:r>
        <w:rPr>
          <w:i w:val="false"/>
          <w:iCs w:val="false"/>
          <w:lang w:val="fr-FR"/>
        </w:rPr>
        <w:t>L</w:t>
      </w:r>
      <w:r>
        <w:rPr>
          <w:i w:val="false"/>
          <w:iCs w:val="false"/>
          <w:lang w:val="fr-FR"/>
        </w:rPr>
        <w:t>a loi de programmation justice 2019 [</w:t>
      </w:r>
      <w:r>
        <w:rPr>
          <w:i w:val="false"/>
          <w:iCs w:val="false"/>
          <w:lang w:val="fr-FR"/>
        </w:rPr>
        <w:fldChar w:fldCharType="begin"/>
      </w:r>
      <w:r>
        <w:rPr>
          <w:i w:val="false"/>
          <w:iCs w:val="false"/>
          <w:lang w:val="fr-FR"/>
        </w:rPr>
        <w:instrText> REF __RefNumPara__2694_2773654779 \r \h </w:instrText>
      </w:r>
      <w:r>
        <w:rPr>
          <w:i w:val="false"/>
          <w:iCs w:val="false"/>
          <w:lang w:val="fr-FR"/>
        </w:rPr>
        <w:fldChar w:fldCharType="separate"/>
      </w:r>
      <w:r>
        <w:rPr>
          <w:i w:val="false"/>
          <w:iCs w:val="false"/>
          <w:lang w:val="fr-FR"/>
        </w:rPr>
        <w:t>67</w:t>
      </w:r>
      <w:r>
        <w:rPr>
          <w:i w:val="false"/>
          <w:iCs w:val="false"/>
          <w:lang w:val="fr-FR"/>
        </w:rPr>
        <w:fldChar w:fldCharType="end"/>
      </w:r>
      <w:r>
        <w:rPr>
          <w:i w:val="false"/>
          <w:iCs w:val="false"/>
          <w:lang w:val="fr-FR"/>
        </w:rPr>
        <w:t>] donne seulement le droit de se marier et le droit de vote, et conserve tout autre dispositif de décision substitutive. La décision du juge est basée sur le certificat médical, et cela peut être imposé à la personne contre sa volonté. [</w:t>
      </w:r>
      <w:r>
        <w:rPr>
          <w:i w:val="false"/>
          <w:iCs w:val="false"/>
          <w:lang w:val="fr-FR"/>
        </w:rPr>
        <w:fldChar w:fldCharType="begin"/>
      </w:r>
      <w:r>
        <w:rPr>
          <w:i w:val="false"/>
          <w:iCs w:val="false"/>
          <w:lang w:val="fr-FR"/>
        </w:rPr>
        <w:instrText> REF __RefNumPara__11854_2726673478 \r \h </w:instrText>
      </w:r>
      <w:r>
        <w:rPr>
          <w:i w:val="false"/>
          <w:iCs w:val="false"/>
          <w:lang w:val="fr-FR"/>
        </w:rPr>
        <w:fldChar w:fldCharType="separate"/>
      </w:r>
      <w:r>
        <w:rPr>
          <w:i w:val="false"/>
          <w:iCs w:val="false"/>
          <w:lang w:val="fr-FR"/>
        </w:rPr>
        <w:t>89</w:t>
      </w:r>
      <w:r>
        <w:rPr>
          <w:i w:val="false"/>
          <w:iCs w:val="false"/>
          <w:lang w:val="fr-FR"/>
        </w:rPr>
        <w:fldChar w:fldCharType="end"/>
      </w:r>
      <w:r>
        <w:rPr>
          <w:i w:val="false"/>
          <w:iCs w:val="false"/>
          <w:lang w:val="fr-FR"/>
        </w:rPr>
        <w:t>]</w:t>
      </w:r>
    </w:p>
    <w:p>
      <w:pPr>
        <w:pStyle w:val="TextBody"/>
        <w:spacing w:lineRule="auto" w:line="276"/>
        <w:rPr>
          <w:i w:val="false"/>
          <w:i w:val="false"/>
          <w:iCs w:val="false"/>
          <w:lang w:val="fr-FR"/>
        </w:rPr>
      </w:pPr>
      <w:r>
        <w:rPr>
          <w:i w:val="false"/>
          <w:iCs w:val="false"/>
          <w:lang w:val="fr-FR"/>
        </w:rPr>
      </w:r>
    </w:p>
    <w:p>
      <w:pPr>
        <w:pStyle w:val="TextBody"/>
        <w:spacing w:lineRule="auto" w:line="276"/>
        <w:jc w:val="both"/>
        <w:rPr>
          <w:i/>
          <w:i/>
          <w:iCs/>
          <w:lang w:val="fr-FR"/>
        </w:rPr>
      </w:pPr>
      <w:r>
        <w:rPr>
          <w:i/>
          <w:iCs/>
          <w:lang w:val="fr-FR"/>
        </w:rPr>
        <w:t>67. Ainsi, des démarches associées à la « Réponse accompagnée pour tous » ont marqué une inflexion tangible : les personnes sont désormais présentes lors des réunions pour construire les réponses qui leurs sont adaptées. La pair-aidance est recherchée. La reconnaissance de l’expertise d’usage change les relations entre la personne handicapée, sa famille et les professionnels. Elle garantit une place de droit aux personnes handicapées.</w:t>
      </w:r>
    </w:p>
    <w:p>
      <w:pPr>
        <w:pStyle w:val="TextBody"/>
        <w:spacing w:lineRule="auto" w:line="276"/>
        <w:jc w:val="both"/>
        <w:rPr>
          <w:i w:val="false"/>
          <w:i w:val="false"/>
          <w:iCs w:val="false"/>
          <w:lang w:val="fr-FR"/>
        </w:rPr>
      </w:pPr>
      <w:r>
        <w:rPr>
          <w:i w:val="false"/>
          <w:iCs w:val="false"/>
          <w:sz w:val="24"/>
          <w:lang w:val="fr-FR"/>
        </w:rPr>
        <w:t>Cette</w:t>
      </w:r>
      <w:r>
        <w:rPr>
          <w:i w:val="false"/>
          <w:iCs w:val="false"/>
          <w:lang w:val="fr-FR"/>
        </w:rPr>
        <w:t xml:space="preserve"> r</w:t>
      </w:r>
      <w:r>
        <w:rPr>
          <w:i w:val="false"/>
          <w:iCs w:val="false"/>
          <w:sz w:val="24"/>
          <w:lang w:val="fr-FR"/>
        </w:rPr>
        <w:t>é</w:t>
      </w:r>
      <w:r>
        <w:rPr>
          <w:i w:val="false"/>
          <w:iCs w:val="false"/>
          <w:lang w:val="fr-FR"/>
        </w:rPr>
        <w:t xml:space="preserve">forme </w:t>
      </w:r>
      <w:r>
        <w:rPr>
          <w:i w:val="false"/>
          <w:iCs w:val="false"/>
          <w:sz w:val="24"/>
          <w:lang w:val="fr-FR"/>
        </w:rPr>
        <w:t>prévoit</w:t>
      </w:r>
      <w:r>
        <w:rPr>
          <w:i w:val="false"/>
          <w:iCs w:val="false"/>
          <w:lang w:val="fr-FR"/>
        </w:rPr>
        <w:t xml:space="preserve"> </w:t>
      </w:r>
      <w:r>
        <w:rPr>
          <w:i w:val="false"/>
          <w:iCs w:val="false"/>
          <w:sz w:val="24"/>
          <w:lang w:val="fr-FR"/>
        </w:rPr>
        <w:t>la</w:t>
      </w:r>
      <w:r>
        <w:rPr>
          <w:i w:val="false"/>
          <w:iCs w:val="false"/>
          <w:lang w:val="fr-FR"/>
        </w:rPr>
        <w:t xml:space="preserve"> consultation </w:t>
      </w:r>
      <w:r>
        <w:rPr>
          <w:i w:val="false"/>
          <w:iCs w:val="false"/>
          <w:sz w:val="24"/>
          <w:lang w:val="fr-FR"/>
        </w:rPr>
        <w:t>de la</w:t>
      </w:r>
      <w:r>
        <w:rPr>
          <w:i w:val="false"/>
          <w:iCs w:val="false"/>
          <w:lang w:val="fr-FR"/>
        </w:rPr>
        <w:t xml:space="preserve"> personne </w:t>
      </w:r>
      <w:r>
        <w:rPr>
          <w:i w:val="false"/>
          <w:iCs w:val="false"/>
          <w:sz w:val="24"/>
          <w:lang w:val="fr-FR"/>
        </w:rPr>
        <w:t>avant la décision prise par la « Commission des droits et de l’autonomie des personnes handicapées »</w:t>
      </w:r>
      <w:r>
        <w:rPr>
          <w:i w:val="false"/>
          <w:iCs w:val="false"/>
          <w:lang w:val="fr-FR"/>
        </w:rPr>
        <w:t>[</w:t>
      </w:r>
      <w:r>
        <w:rPr>
          <w:i w:val="false"/>
          <w:iCs w:val="false"/>
          <w:lang w:val="fr-FR"/>
        </w:rPr>
        <w:fldChar w:fldCharType="begin"/>
      </w:r>
      <w:r>
        <w:rPr>
          <w:i w:val="false"/>
          <w:iCs w:val="false"/>
          <w:lang w:val="fr-FR"/>
        </w:rPr>
        <w:instrText> REF __RefNumPara__11861_2726673478 \r \h </w:instrText>
      </w:r>
      <w:r>
        <w:rPr>
          <w:i w:val="false"/>
          <w:iCs w:val="false"/>
          <w:lang w:val="fr-FR"/>
        </w:rPr>
        <w:fldChar w:fldCharType="separate"/>
      </w:r>
      <w:r>
        <w:rPr>
          <w:i w:val="false"/>
          <w:iCs w:val="false"/>
          <w:lang w:val="fr-FR"/>
        </w:rPr>
        <w:t>90</w:t>
      </w:r>
      <w:r>
        <w:rPr>
          <w:i w:val="false"/>
          <w:iCs w:val="false"/>
          <w:lang w:val="fr-FR"/>
        </w:rPr>
        <w:fldChar w:fldCharType="end"/>
      </w:r>
      <w:r>
        <w:rPr>
          <w:i w:val="false"/>
          <w:iCs w:val="false"/>
          <w:lang w:val="fr-FR"/>
        </w:rPr>
        <w:t xml:space="preserve">], Article L114-1-1 </w:t>
      </w:r>
      <w:r>
        <w:rPr>
          <w:i w:val="false"/>
          <w:iCs w:val="false"/>
          <w:sz w:val="24"/>
          <w:lang w:val="fr-FR"/>
        </w:rPr>
        <w:t xml:space="preserve">du Code l’action sociale et des familles </w:t>
      </w:r>
      <w:r>
        <w:rPr>
          <w:i w:val="false"/>
          <w:iCs w:val="false"/>
          <w:lang w:val="fr-FR"/>
        </w:rPr>
        <w:t>[</w:t>
      </w:r>
      <w:r>
        <w:rPr>
          <w:i w:val="false"/>
          <w:iCs w:val="false"/>
          <w:lang w:val="fr-FR"/>
        </w:rPr>
        <w:fldChar w:fldCharType="begin"/>
      </w:r>
      <w:r>
        <w:rPr>
          <w:i w:val="false"/>
          <w:iCs w:val="false"/>
          <w:lang w:val="fr-FR"/>
        </w:rPr>
        <w:instrText> REF __RefNumPara__11858_2726673478 \r \h </w:instrText>
      </w:r>
      <w:r>
        <w:rPr>
          <w:i w:val="false"/>
          <w:iCs w:val="false"/>
          <w:lang w:val="fr-FR"/>
        </w:rPr>
        <w:fldChar w:fldCharType="separate"/>
      </w:r>
      <w:r>
        <w:rPr>
          <w:i w:val="false"/>
          <w:iCs w:val="false"/>
          <w:lang w:val="fr-FR"/>
        </w:rPr>
        <w:t>91</w:t>
      </w:r>
      <w:r>
        <w:rPr>
          <w:i w:val="false"/>
          <w:iCs w:val="false"/>
          <w:lang w:val="fr-FR"/>
        </w:rPr>
        <w:fldChar w:fldCharType="end"/>
      </w:r>
      <w:r>
        <w:rPr>
          <w:i w:val="false"/>
          <w:iCs w:val="false"/>
          <w:lang w:val="fr-FR"/>
        </w:rPr>
        <w:t>]. Dans le cas où la personne est dans un dispositif de prise décision substitutive, cep</w:t>
      </w:r>
      <w:r>
        <w:rPr>
          <w:i w:val="false"/>
          <w:iCs w:val="false"/>
          <w:sz w:val="24"/>
          <w:lang w:val="fr-FR"/>
        </w:rPr>
        <w:t>e</w:t>
      </w:r>
      <w:r>
        <w:rPr>
          <w:i w:val="false"/>
          <w:iCs w:val="false"/>
          <w:lang w:val="fr-FR"/>
        </w:rPr>
        <w:t xml:space="preserve">ndant, le tuteur ou curateur </w:t>
      </w:r>
      <w:r>
        <w:rPr>
          <w:i w:val="false"/>
          <w:iCs w:val="false"/>
          <w:sz w:val="24"/>
          <w:lang w:val="fr-FR"/>
        </w:rPr>
        <w:t>remplace la personne</w:t>
      </w:r>
      <w:r>
        <w:rPr>
          <w:i w:val="false"/>
          <w:iCs w:val="false"/>
          <w:lang w:val="fr-FR"/>
        </w:rPr>
        <w:t>.</w:t>
      </w:r>
    </w:p>
    <w:p>
      <w:pPr>
        <w:pStyle w:val="TextBody"/>
        <w:spacing w:lineRule="auto" w:line="276"/>
        <w:rPr>
          <w:i w:val="false"/>
          <w:i w:val="false"/>
          <w:iCs w:val="false"/>
          <w:lang w:val="fr-FR"/>
        </w:rPr>
      </w:pPr>
      <w:r>
        <w:rPr>
          <w:i w:val="false"/>
          <w:iCs w:val="false"/>
          <w:lang w:val="fr-FR"/>
        </w:rPr>
      </w:r>
    </w:p>
    <w:p>
      <w:pPr>
        <w:pStyle w:val="Heading4"/>
        <w:rPr/>
      </w:pPr>
      <w:bookmarkStart w:id="21" w:name="__RefHeading___Toc17963_2726673478"/>
      <w:bookmarkEnd w:id="21"/>
      <w:r>
        <w:rPr/>
        <w:t>Accès à la justice (art. 13)</w:t>
      </w:r>
    </w:p>
    <w:p>
      <w:pPr>
        <w:pStyle w:val="TextBody"/>
        <w:spacing w:lineRule="auto" w:line="276"/>
        <w:rPr>
          <w:i/>
          <w:i/>
          <w:iCs/>
          <w:lang w:val="fr-FR"/>
        </w:rPr>
      </w:pPr>
      <w:r>
        <w:rPr>
          <w:i/>
          <w:iCs/>
          <w:lang w:val="fr-FR"/>
        </w:rPr>
        <w:t>92. Aucune mesure d’isolement ne peut être fondée sur le handicap.</w:t>
      </w:r>
    </w:p>
    <w:p>
      <w:pPr>
        <w:pStyle w:val="TextBody"/>
        <w:spacing w:lineRule="auto" w:line="276"/>
        <w:jc w:val="both"/>
        <w:rPr>
          <w:i w:val="false"/>
          <w:i w:val="false"/>
          <w:iCs w:val="false"/>
          <w:lang w:val="fr-FR"/>
        </w:rPr>
      </w:pPr>
      <w:r>
        <w:rPr>
          <w:i w:val="false"/>
          <w:iCs w:val="false"/>
          <w:sz w:val="24"/>
          <w:lang w:val="fr-FR"/>
        </w:rPr>
        <w:t>C’est faux</w:t>
      </w:r>
      <w:r>
        <w:rPr>
          <w:i w:val="false"/>
          <w:iCs w:val="false"/>
          <w:lang w:val="fr-FR"/>
        </w:rPr>
        <w:t>. Les mises à l’isolement font suite aux hospitalisations forcées, et la loi de santé mentale spécifie que la personne doit avoir un « trouble mental »[</w:t>
      </w:r>
      <w:r>
        <w:rPr>
          <w:i w:val="false"/>
          <w:iCs w:val="false"/>
          <w:lang w:val="fr-FR"/>
        </w:rPr>
        <w:fldChar w:fldCharType="begin"/>
      </w:r>
      <w:r>
        <w:rPr>
          <w:i w:val="false"/>
          <w:iCs w:val="false"/>
          <w:lang w:val="fr-FR"/>
        </w:rPr>
        <w:instrText> REF __RefNumPara__5469_2140865594 \r \h </w:instrText>
      </w:r>
      <w:r>
        <w:rPr>
          <w:i w:val="false"/>
          <w:iCs w:val="false"/>
          <w:lang w:val="fr-FR"/>
        </w:rPr>
        <w:fldChar w:fldCharType="separate"/>
      </w:r>
      <w:r>
        <w:rPr>
          <w:i w:val="false"/>
          <w:iCs w:val="false"/>
          <w:lang w:val="fr-FR"/>
        </w:rPr>
        <w:t>8</w:t>
      </w:r>
      <w:r>
        <w:rPr>
          <w:i w:val="false"/>
          <w:iCs w:val="false"/>
          <w:lang w:val="fr-FR"/>
        </w:rPr>
        <w:fldChar w:fldCharType="end"/>
      </w:r>
      <w:r>
        <w:rPr>
          <w:i w:val="false"/>
          <w:iCs w:val="false"/>
          <w:lang w:val="fr-FR"/>
        </w:rPr>
        <w:t xml:space="preserve">], c’est à dire un handicap psychosocial. </w:t>
      </w:r>
    </w:p>
    <w:p>
      <w:pPr>
        <w:pStyle w:val="TextBody"/>
        <w:spacing w:lineRule="auto" w:line="276"/>
        <w:rPr>
          <w:i w:val="false"/>
          <w:i w:val="false"/>
          <w:iCs w:val="false"/>
          <w:lang w:val="fr-FR"/>
        </w:rPr>
      </w:pPr>
      <w:r>
        <w:rPr>
          <w:i w:val="false"/>
          <w:iCs w:val="false"/>
          <w:lang w:val="fr-FR"/>
        </w:rPr>
      </w:r>
    </w:p>
    <w:p>
      <w:pPr>
        <w:pStyle w:val="Heading4"/>
        <w:rPr/>
      </w:pPr>
      <w:bookmarkStart w:id="22" w:name="__RefHeading___Toc17965_2726673478"/>
      <w:bookmarkEnd w:id="22"/>
      <w:r>
        <w:rPr/>
        <w:t>Liberté et sécurité de la personne (art. 14)</w:t>
      </w:r>
    </w:p>
    <w:p>
      <w:pPr>
        <w:pStyle w:val="TextBody"/>
        <w:spacing w:lineRule="auto" w:line="276"/>
        <w:jc w:val="both"/>
        <w:rPr>
          <w:i/>
          <w:i/>
          <w:iCs/>
          <w:lang w:val="fr-FR"/>
        </w:rPr>
      </w:pPr>
      <w:r>
        <w:rPr>
          <w:i/>
          <w:iCs/>
          <w:lang w:val="fr-FR"/>
        </w:rPr>
        <w:t xml:space="preserve">97. </w:t>
      </w:r>
      <w:r>
        <w:rPr>
          <w:i/>
          <w:iCs/>
          <w:lang w:val="fr-FR"/>
        </w:rPr>
        <w:t>Dans le cas d’une prolongation d’une mesure d’hospitalisation sans consentement, le juge des libertés prend en compte les conditions de l’hospitalisation et la proportionnalité des mesures.</w:t>
      </w:r>
    </w:p>
    <w:p>
      <w:pPr>
        <w:pStyle w:val="TextBody"/>
        <w:spacing w:lineRule="auto" w:line="276"/>
        <w:jc w:val="both"/>
        <w:rPr>
          <w:i w:val="false"/>
          <w:i w:val="false"/>
          <w:iCs w:val="false"/>
          <w:lang w:val="fr-FR"/>
        </w:rPr>
      </w:pPr>
      <w:r>
        <w:rPr>
          <w:i w:val="false"/>
          <w:iCs w:val="false"/>
          <w:lang w:val="fr-FR"/>
        </w:rPr>
        <w:t>Ceci est tout à fait illusoire car le juge ne doit considérer que les documents médicaux [</w:t>
      </w:r>
      <w:r>
        <w:rPr>
          <w:i w:val="false"/>
          <w:iCs w:val="false"/>
          <w:lang w:val="fr-FR"/>
        </w:rPr>
        <w:fldChar w:fldCharType="begin"/>
      </w:r>
      <w:r>
        <w:rPr>
          <w:i w:val="false"/>
          <w:iCs w:val="false"/>
          <w:lang w:val="fr-FR"/>
        </w:rPr>
        <w:instrText> REF __RefNumPara__4388_234535675 \r \h </w:instrText>
      </w:r>
      <w:r>
        <w:rPr>
          <w:i w:val="false"/>
          <w:iCs w:val="false"/>
          <w:lang w:val="fr-FR"/>
        </w:rPr>
        <w:fldChar w:fldCharType="separate"/>
      </w:r>
      <w:r>
        <w:rPr>
          <w:i w:val="false"/>
          <w:iCs w:val="false"/>
          <w:lang w:val="fr-FR"/>
        </w:rPr>
        <w:t>52</w:t>
      </w:r>
      <w:r>
        <w:rPr>
          <w:i w:val="false"/>
          <w:iCs w:val="false"/>
          <w:lang w:val="fr-FR"/>
        </w:rPr>
        <w:fldChar w:fldCharType="end"/>
      </w:r>
      <w:r>
        <w:rPr>
          <w:i w:val="false"/>
          <w:iCs w:val="false"/>
          <w:lang w:val="fr-FR"/>
        </w:rPr>
        <w:t>]. C’est un déni de justice.</w:t>
      </w:r>
    </w:p>
    <w:p>
      <w:pPr>
        <w:pStyle w:val="TextBody"/>
        <w:spacing w:lineRule="auto" w:line="276"/>
        <w:rPr>
          <w:i w:val="false"/>
          <w:i w:val="false"/>
          <w:iCs w:val="false"/>
          <w:lang w:val="fr-FR"/>
        </w:rPr>
      </w:pPr>
      <w:r>
        <w:rPr>
          <w:i w:val="false"/>
          <w:iCs w:val="false"/>
          <w:lang w:val="fr-FR"/>
        </w:rPr>
      </w:r>
    </w:p>
    <w:p>
      <w:pPr>
        <w:pStyle w:val="TextBody"/>
        <w:spacing w:lineRule="auto" w:line="276"/>
        <w:jc w:val="both"/>
        <w:rPr>
          <w:i/>
          <w:i/>
          <w:iCs/>
          <w:lang w:val="fr-FR"/>
        </w:rPr>
      </w:pPr>
      <w:r>
        <w:rPr>
          <w:i/>
          <w:iCs/>
          <w:lang w:val="fr-FR"/>
        </w:rPr>
        <w:t>100. Le CSP permet à une personne hospitalisée en soins sans consentement de saisir à tout moment le juge des libertés et de la détention afin qu’il ordonne la mainlevée immédiate de la mesure. Le juge vérifie que la mesure est nécessaire et proportionnée à l’état de santé du patient. Le juge intervient rapidement et est régulièrement saisi de telles mesures.</w:t>
      </w:r>
    </w:p>
    <w:p>
      <w:pPr>
        <w:pStyle w:val="TextBody"/>
        <w:spacing w:lineRule="auto" w:line="276"/>
        <w:jc w:val="both"/>
        <w:rPr>
          <w:i w:val="false"/>
          <w:i w:val="false"/>
          <w:iCs w:val="false"/>
          <w:lang w:val="fr-FR"/>
        </w:rPr>
      </w:pPr>
      <w:r>
        <w:rPr>
          <w:i w:val="false"/>
          <w:iCs w:val="false"/>
          <w:lang w:val="fr-FR"/>
        </w:rPr>
        <w:t>A nouveau, ceci est illusoire car le juge ne doit considérer que les documents médicaux [</w:t>
      </w:r>
      <w:r>
        <w:rPr>
          <w:i w:val="false"/>
          <w:iCs w:val="false"/>
          <w:lang w:val="fr-FR"/>
        </w:rPr>
        <w:fldChar w:fldCharType="begin"/>
      </w:r>
      <w:r>
        <w:rPr>
          <w:i w:val="false"/>
          <w:iCs w:val="false"/>
          <w:lang w:val="fr-FR"/>
        </w:rPr>
        <w:instrText> REF __RefNumPara__4388_234535675 \r \h </w:instrText>
      </w:r>
      <w:r>
        <w:rPr>
          <w:i w:val="false"/>
          <w:iCs w:val="false"/>
          <w:lang w:val="fr-FR"/>
        </w:rPr>
        <w:fldChar w:fldCharType="separate"/>
      </w:r>
      <w:r>
        <w:rPr>
          <w:i w:val="false"/>
          <w:iCs w:val="false"/>
          <w:lang w:val="fr-FR"/>
        </w:rPr>
        <w:t>52</w:t>
      </w:r>
      <w:r>
        <w:rPr>
          <w:i w:val="false"/>
          <w:iCs w:val="false"/>
          <w:lang w:val="fr-FR"/>
        </w:rPr>
        <w:fldChar w:fldCharType="end"/>
      </w:r>
      <w:r>
        <w:rPr>
          <w:i w:val="false"/>
          <w:iCs w:val="false"/>
          <w:lang w:val="fr-FR"/>
        </w:rPr>
        <w:t xml:space="preserve">]. </w:t>
      </w:r>
    </w:p>
    <w:p>
      <w:pPr>
        <w:pStyle w:val="TextBody"/>
        <w:spacing w:lineRule="auto" w:line="276"/>
        <w:rPr>
          <w:i w:val="false"/>
          <w:i w:val="false"/>
          <w:iCs w:val="false"/>
          <w:lang w:val="fr-FR"/>
        </w:rPr>
      </w:pPr>
      <w:r>
        <w:rPr>
          <w:i w:val="false"/>
          <w:iCs w:val="false"/>
          <w:lang w:val="fr-FR"/>
        </w:rPr>
      </w:r>
    </w:p>
    <w:p>
      <w:pPr>
        <w:pStyle w:val="TextBody"/>
        <w:spacing w:lineRule="auto" w:line="276"/>
        <w:jc w:val="both"/>
        <w:rPr>
          <w:i/>
          <w:i/>
          <w:iCs/>
          <w:lang w:val="fr-FR"/>
        </w:rPr>
      </w:pPr>
      <w:r>
        <w:rPr>
          <w:i/>
          <w:iCs/>
          <w:lang w:val="fr-FR"/>
        </w:rPr>
        <w:t xml:space="preserve">105. </w:t>
      </w:r>
      <w:r>
        <w:rPr>
          <w:i/>
          <w:iCs/>
          <w:lang w:val="fr-FR"/>
        </w:rPr>
        <w:t>La loi du 18 janvier 1994 relative à la santé publique et à la protection sociale, a confié au service public hospitalier l’ensemble de ces prises en charge (prescription et administration des traitements). Ces dispositions ont été reprises aux articles 45 à 56 de la loi pénitentiaire du 24 novembre 2009. Les soins supposent le consentement des personnes détenues, principe découlant de l’article L 3214-3 du CSP.</w:t>
      </w:r>
    </w:p>
    <w:p>
      <w:pPr>
        <w:pStyle w:val="TextBody"/>
        <w:spacing w:lineRule="auto" w:line="276"/>
        <w:jc w:val="both"/>
        <w:rPr>
          <w:i w:val="false"/>
          <w:i w:val="false"/>
          <w:iCs w:val="false"/>
          <w:lang w:val="fr-FR"/>
        </w:rPr>
      </w:pPr>
      <w:r>
        <w:rPr>
          <w:i w:val="false"/>
          <w:iCs w:val="false"/>
          <w:lang w:val="fr-FR"/>
        </w:rPr>
        <w:t>Cette loi [</w:t>
      </w:r>
      <w:r>
        <w:rPr>
          <w:i w:val="false"/>
          <w:iCs w:val="false"/>
          <w:lang w:val="fr-FR"/>
        </w:rPr>
        <w:fldChar w:fldCharType="begin"/>
      </w:r>
      <w:r>
        <w:rPr>
          <w:i w:val="false"/>
          <w:iCs w:val="false"/>
          <w:lang w:val="fr-FR"/>
        </w:rPr>
        <w:instrText> REF __RefNumPara__14814_2726673478 \r \h </w:instrText>
      </w:r>
      <w:r>
        <w:rPr>
          <w:i w:val="false"/>
          <w:iCs w:val="false"/>
          <w:lang w:val="fr-FR"/>
        </w:rPr>
        <w:fldChar w:fldCharType="separate"/>
      </w:r>
      <w:r>
        <w:rPr>
          <w:i w:val="false"/>
          <w:iCs w:val="false"/>
          <w:lang w:val="fr-FR"/>
        </w:rPr>
        <w:t>92</w:t>
      </w:r>
      <w:r>
        <w:rPr>
          <w:i w:val="false"/>
          <w:iCs w:val="false"/>
          <w:lang w:val="fr-FR"/>
        </w:rPr>
        <w:fldChar w:fldCharType="end"/>
      </w:r>
      <w:r>
        <w:rPr>
          <w:i w:val="false"/>
          <w:iCs w:val="false"/>
          <w:lang w:val="fr-FR"/>
        </w:rPr>
        <w:t>] ne concerne que les personnes détenues, qui en France, ont davantage de droits que les personnes avec handicap psychosocial.</w:t>
      </w:r>
    </w:p>
    <w:p>
      <w:pPr>
        <w:pStyle w:val="TextBody"/>
        <w:spacing w:lineRule="auto" w:line="276"/>
        <w:jc w:val="both"/>
        <w:rPr>
          <w:i w:val="false"/>
          <w:i w:val="false"/>
          <w:iCs w:val="false"/>
          <w:lang w:val="fr-FR"/>
        </w:rPr>
      </w:pPr>
      <w:r>
        <w:rPr>
          <w:i w:val="false"/>
          <w:iCs w:val="false"/>
          <w:lang w:val="fr-FR"/>
        </w:rPr>
        <w:t xml:space="preserve">En plus des traitements forcés dans les hôpitaux psychiatriques, la Loi française prévoit d’autres dispositifs de traitement forcé, obligatoires ou dits « sous injonction ». </w:t>
      </w:r>
      <w:r>
        <w:rPr>
          <w:i w:val="false"/>
          <w:iCs w:val="false"/>
          <w:sz w:val="24"/>
          <w:lang w:val="fr-FR"/>
        </w:rPr>
        <w:t>En addictologie</w:t>
      </w:r>
      <w:r>
        <w:rPr>
          <w:i w:val="false"/>
          <w:iCs w:val="false"/>
          <w:lang w:val="fr-FR"/>
        </w:rPr>
        <w:t>, l’inj</w:t>
      </w:r>
      <w:r>
        <w:rPr>
          <w:i w:val="false"/>
          <w:iCs w:val="false"/>
          <w:sz w:val="24"/>
          <w:lang w:val="fr-FR"/>
        </w:rPr>
        <w:t>o</w:t>
      </w:r>
      <w:r>
        <w:rPr>
          <w:i w:val="false"/>
          <w:iCs w:val="false"/>
          <w:lang w:val="fr-FR"/>
        </w:rPr>
        <w:t xml:space="preserve">nction thérapeutique,  Articles L. 3413-1 </w:t>
      </w:r>
      <w:r>
        <w:rPr>
          <w:i w:val="false"/>
          <w:iCs w:val="false"/>
          <w:sz w:val="24"/>
          <w:lang w:val="fr-FR"/>
        </w:rPr>
        <w:t>à</w:t>
      </w:r>
      <w:r>
        <w:rPr>
          <w:i w:val="false"/>
          <w:iCs w:val="false"/>
          <w:lang w:val="fr-FR"/>
        </w:rPr>
        <w:t xml:space="preserve"> L. 3413-4 </w:t>
      </w:r>
      <w:r>
        <w:rPr>
          <w:i w:val="false"/>
          <w:iCs w:val="false"/>
          <w:sz w:val="24"/>
          <w:lang w:val="fr-FR"/>
        </w:rPr>
        <w:t>du Code de santé publique.</w:t>
      </w:r>
      <w:r>
        <w:rPr>
          <w:i w:val="false"/>
          <w:iCs w:val="false"/>
          <w:lang w:val="fr-FR"/>
        </w:rPr>
        <w:t xml:space="preserve"> </w:t>
      </w:r>
      <w:r>
        <w:rPr>
          <w:i w:val="false"/>
          <w:iCs w:val="false"/>
          <w:sz w:val="24"/>
          <w:lang w:val="fr-FR"/>
        </w:rPr>
        <w:t>En pénologie</w:t>
      </w:r>
      <w:r>
        <w:rPr>
          <w:i w:val="false"/>
          <w:iCs w:val="false"/>
          <w:lang w:val="fr-FR"/>
        </w:rPr>
        <w:t xml:space="preserve">, </w:t>
      </w:r>
      <w:r>
        <w:rPr>
          <w:i w:val="false"/>
          <w:iCs w:val="false"/>
          <w:sz w:val="24"/>
          <w:lang w:val="fr-FR"/>
        </w:rPr>
        <w:t>l’</w:t>
      </w:r>
      <w:r>
        <w:rPr>
          <w:i w:val="false"/>
          <w:iCs w:val="false"/>
          <w:lang w:val="fr-FR"/>
        </w:rPr>
        <w:t xml:space="preserve">obligation </w:t>
      </w:r>
      <w:r>
        <w:rPr>
          <w:i w:val="false"/>
          <w:iCs w:val="false"/>
          <w:sz w:val="24"/>
          <w:lang w:val="fr-FR"/>
        </w:rPr>
        <w:t>de</w:t>
      </w:r>
      <w:r>
        <w:rPr>
          <w:i w:val="false"/>
          <w:iCs w:val="false"/>
          <w:lang w:val="fr-FR"/>
        </w:rPr>
        <w:t xml:space="preserve"> </w:t>
      </w:r>
      <w:r>
        <w:rPr>
          <w:i w:val="false"/>
          <w:iCs w:val="false"/>
          <w:sz w:val="24"/>
          <w:lang w:val="fr-FR"/>
        </w:rPr>
        <w:t>traite</w:t>
      </w:r>
      <w:r>
        <w:rPr>
          <w:i w:val="false"/>
          <w:iCs w:val="false"/>
          <w:lang w:val="fr-FR"/>
        </w:rPr>
        <w:t xml:space="preserve">ment, Articles 132-45 </w:t>
      </w:r>
      <w:r>
        <w:rPr>
          <w:i w:val="false"/>
          <w:iCs w:val="false"/>
          <w:sz w:val="24"/>
          <w:lang w:val="fr-FR"/>
        </w:rPr>
        <w:t>et</w:t>
      </w:r>
      <w:r>
        <w:rPr>
          <w:i w:val="false"/>
          <w:iCs w:val="false"/>
          <w:lang w:val="fr-FR"/>
        </w:rPr>
        <w:t xml:space="preserve"> 131-36-4 </w:t>
      </w:r>
      <w:r>
        <w:rPr>
          <w:i w:val="false"/>
          <w:iCs w:val="false"/>
          <w:sz w:val="24"/>
          <w:lang w:val="fr-FR"/>
        </w:rPr>
        <w:t>du Code pénal</w:t>
      </w:r>
      <w:r>
        <w:rPr>
          <w:i w:val="false"/>
          <w:iCs w:val="false"/>
          <w:lang w:val="fr-FR"/>
        </w:rPr>
        <w:t xml:space="preserve"> </w:t>
      </w:r>
      <w:r>
        <w:rPr>
          <w:i w:val="false"/>
          <w:iCs w:val="false"/>
          <w:sz w:val="24"/>
          <w:lang w:val="fr-FR"/>
        </w:rPr>
        <w:t>et l’</w:t>
      </w:r>
      <w:r>
        <w:rPr>
          <w:i w:val="false"/>
          <w:iCs w:val="false"/>
          <w:lang w:val="fr-FR"/>
        </w:rPr>
        <w:t xml:space="preserve">injonction de traitement, Articles L. 3711-1 </w:t>
      </w:r>
      <w:r>
        <w:rPr>
          <w:i w:val="false"/>
          <w:iCs w:val="false"/>
          <w:sz w:val="24"/>
          <w:lang w:val="fr-FR"/>
        </w:rPr>
        <w:t>à</w:t>
      </w:r>
      <w:r>
        <w:rPr>
          <w:i w:val="false"/>
          <w:iCs w:val="false"/>
          <w:lang w:val="fr-FR"/>
        </w:rPr>
        <w:t xml:space="preserve"> L. 3711-5 </w:t>
      </w:r>
      <w:r>
        <w:rPr>
          <w:i w:val="false"/>
          <w:iCs w:val="false"/>
          <w:sz w:val="24"/>
          <w:lang w:val="fr-FR"/>
        </w:rPr>
        <w:t>du Code de santé publique</w:t>
      </w:r>
      <w:r>
        <w:rPr>
          <w:i w:val="false"/>
          <w:iCs w:val="false"/>
          <w:lang w:val="fr-FR"/>
        </w:rPr>
        <w:t>.</w:t>
      </w:r>
    </w:p>
    <w:p>
      <w:pPr>
        <w:pStyle w:val="TextBody"/>
        <w:spacing w:lineRule="auto" w:line="276"/>
        <w:jc w:val="both"/>
        <w:rPr>
          <w:i w:val="false"/>
          <w:i w:val="false"/>
          <w:iCs w:val="false"/>
          <w:lang w:val="fr-FR"/>
        </w:rPr>
      </w:pPr>
      <w:r>
        <w:rPr>
          <w:i w:val="false"/>
          <w:iCs w:val="false"/>
          <w:lang w:val="fr-FR"/>
        </w:rPr>
      </w:r>
    </w:p>
    <w:p>
      <w:pPr>
        <w:pStyle w:val="TextBody"/>
        <w:spacing w:lineRule="auto" w:line="276"/>
        <w:jc w:val="both"/>
        <w:rPr>
          <w:i/>
          <w:i/>
          <w:iCs/>
          <w:lang w:val="fr-FR"/>
        </w:rPr>
      </w:pPr>
      <w:r>
        <w:rPr>
          <w:i/>
          <w:iCs/>
          <w:lang w:val="fr-FR"/>
        </w:rPr>
        <w:t xml:space="preserve">110. La France considère que ce projet de protocole additionnel a pour but et pour mérite de garantir le respect des droits fondamentaux des personnes faisant l’objet de mesures involontaires de traitement et de placement dans les cas exceptionnels, où ces mesures sont mises en œuvre. </w:t>
      </w:r>
    </w:p>
    <w:p>
      <w:pPr>
        <w:pStyle w:val="TextBody"/>
        <w:spacing w:lineRule="auto" w:line="276"/>
        <w:jc w:val="both"/>
        <w:rPr>
          <w:i w:val="false"/>
          <w:i w:val="false"/>
          <w:iCs w:val="false"/>
          <w:lang w:val="fr-FR"/>
        </w:rPr>
      </w:pPr>
      <w:r>
        <w:rPr>
          <w:i w:val="false"/>
          <w:iCs w:val="false"/>
          <w:lang w:val="fr-FR"/>
        </w:rPr>
        <w:t xml:space="preserve">Ces cas ne sont pas des « exceptions ». La France comptait 131 681 hospitalisations psychiatriques forcées en 2020, et le nombre de traitements forcés est inconnu, car l'intimidation des personnes est pratiquée à grande échelle, et les informations fournies sur les procédures de traitement sont biaisées, et l'aide au sevrage des médicaments psychiatriques est très difficile à trouver. </w:t>
      </w:r>
    </w:p>
    <w:p>
      <w:pPr>
        <w:pStyle w:val="TextBody"/>
        <w:spacing w:lineRule="auto" w:line="276"/>
        <w:jc w:val="both"/>
        <w:rPr>
          <w:i/>
          <w:i/>
          <w:iCs/>
          <w:lang w:val="fr-FR"/>
        </w:rPr>
      </w:pPr>
      <w:r>
        <w:rPr>
          <w:i/>
          <w:iCs/>
          <w:lang w:val="fr-FR"/>
        </w:rPr>
        <w:t>En outre, la France considère qu’il n’y a aucune incompatibilité entre ce projet et d’autres instruments internationaux, notamment avec la Convention relative aux droits des personnes handicapées.</w:t>
      </w:r>
    </w:p>
    <w:p>
      <w:pPr>
        <w:pStyle w:val="TextBody"/>
        <w:spacing w:lineRule="auto" w:line="276"/>
        <w:jc w:val="both"/>
        <w:rPr>
          <w:i w:val="false"/>
          <w:i w:val="false"/>
          <w:iCs w:val="false"/>
          <w:lang w:val="fr-FR"/>
        </w:rPr>
      </w:pPr>
      <w:r>
        <w:rPr>
          <w:i w:val="false"/>
          <w:iCs w:val="false"/>
          <w:lang w:val="fr-FR"/>
        </w:rPr>
        <w:t xml:space="preserve">Nous considérons que la politique de psychiatrie forcée, en France, </w:t>
      </w:r>
      <w:r>
        <w:rPr>
          <w:i w:val="false"/>
          <w:iCs w:val="false"/>
          <w:lang w:val="fr-FR"/>
        </w:rPr>
        <w:t xml:space="preserve">réalise une violation très grave des droits des personnes avec handicap psycho-social, à grande échelle, qui concerne à la fois les adultes et les enfants, faite de ségrégation, de stigmatisation psychiatrique, de mise sous tutelle, et de médication forcée de camisole chimique et de lobotomie chimique. </w:t>
      </w:r>
      <w:r>
        <w:rPr>
          <w:i w:val="false"/>
          <w:iCs w:val="false"/>
          <w:sz w:val="24"/>
          <w:lang w:val="fr-FR"/>
        </w:rPr>
        <w:t xml:space="preserve">Nous voyons cela comme </w:t>
      </w:r>
      <w:r>
        <w:rPr>
          <w:i w:val="false"/>
          <w:iCs w:val="false"/>
          <w:lang w:val="fr-FR"/>
        </w:rPr>
        <w:t xml:space="preserve">une violation flagrante de la Convention et des </w:t>
      </w:r>
      <w:r>
        <w:rPr>
          <w:i w:val="false"/>
          <w:iCs w:val="false"/>
          <w:sz w:val="24"/>
          <w:lang w:val="fr-FR"/>
        </w:rPr>
        <w:t>d</w:t>
      </w:r>
      <w:r>
        <w:rPr>
          <w:i w:val="false"/>
          <w:iCs w:val="false"/>
          <w:lang w:val="fr-FR"/>
        </w:rPr>
        <w:t xml:space="preserve">roits de l’homme </w:t>
      </w:r>
      <w:r>
        <w:rPr>
          <w:i w:val="false"/>
          <w:iCs w:val="false"/>
          <w:lang w:val="fr-FR"/>
        </w:rPr>
        <w:t>en général</w:t>
      </w:r>
      <w:r>
        <w:rPr>
          <w:i w:val="false"/>
          <w:iCs w:val="false"/>
          <w:lang w:val="fr-FR"/>
        </w:rPr>
        <w:t>.</w:t>
      </w:r>
    </w:p>
    <w:p>
      <w:pPr>
        <w:pStyle w:val="TextBody"/>
        <w:spacing w:lineRule="auto" w:line="276"/>
        <w:rPr>
          <w:i w:val="false"/>
          <w:i w:val="false"/>
          <w:iCs w:val="false"/>
          <w:lang w:val="fr-FR"/>
        </w:rPr>
      </w:pPr>
      <w:r>
        <w:rPr>
          <w:i w:val="false"/>
          <w:iCs w:val="false"/>
          <w:lang w:val="fr-FR"/>
        </w:rPr>
      </w:r>
    </w:p>
    <w:p>
      <w:pPr>
        <w:pStyle w:val="TextBody"/>
        <w:spacing w:lineRule="auto" w:line="276"/>
        <w:jc w:val="both"/>
        <w:rPr>
          <w:i/>
          <w:i/>
          <w:iCs/>
          <w:lang w:val="fr-FR"/>
        </w:rPr>
      </w:pPr>
      <w:r>
        <w:rPr>
          <w:i/>
          <w:iCs/>
          <w:lang w:val="fr-FR"/>
        </w:rPr>
        <w:t xml:space="preserve">111. </w:t>
      </w:r>
      <w:r>
        <w:rPr>
          <w:i/>
          <w:iCs/>
          <w:lang w:val="fr-FR"/>
        </w:rPr>
        <w:t>La France soutient une évolution du projet de protocole vers un texte accordant une plus grande place aux mesures alternatives, pour guider les Etats dans la mise en œuvre du principe selon lequel les soins sans consentement sont mis en œuvre en dernier recours.</w:t>
      </w:r>
    </w:p>
    <w:p>
      <w:pPr>
        <w:pStyle w:val="TextBody"/>
        <w:spacing w:lineRule="auto" w:line="276"/>
        <w:jc w:val="both"/>
        <w:rPr>
          <w:i w:val="false"/>
          <w:i w:val="false"/>
          <w:iCs w:val="false"/>
          <w:lang w:val="fr-FR"/>
        </w:rPr>
      </w:pPr>
      <w:r>
        <w:rPr>
          <w:i w:val="false"/>
          <w:iCs w:val="false"/>
          <w:sz w:val="24"/>
          <w:lang w:val="fr-FR"/>
        </w:rPr>
        <w:t>La</w:t>
      </w:r>
      <w:r>
        <w:rPr>
          <w:i w:val="false"/>
          <w:iCs w:val="false"/>
          <w:lang w:val="fr-FR"/>
        </w:rPr>
        <w:t xml:space="preserve"> France </w:t>
      </w:r>
      <w:r>
        <w:rPr>
          <w:i w:val="false"/>
          <w:iCs w:val="false"/>
          <w:lang w:val="fr-FR"/>
        </w:rPr>
        <w:t>démontre qu’elle ne pratique pas</w:t>
      </w:r>
      <w:r>
        <w:rPr>
          <w:i w:val="false"/>
          <w:iCs w:val="false"/>
          <w:lang w:val="fr-FR"/>
        </w:rPr>
        <w:t xml:space="preserve"> la psychiatrie forcée en « dernier recours », </w:t>
      </w:r>
      <w:r>
        <w:rPr>
          <w:i w:val="false"/>
          <w:iCs w:val="false"/>
          <w:lang w:val="fr-FR"/>
        </w:rPr>
        <w:t>mais à grande échelle, sur les adultes et les enfants</w:t>
      </w:r>
      <w:r>
        <w:rPr>
          <w:i w:val="false"/>
          <w:iCs w:val="false"/>
          <w:lang w:val="fr-FR"/>
        </w:rPr>
        <w:t xml:space="preserve">. </w:t>
      </w:r>
      <w:r>
        <w:rPr>
          <w:i w:val="false"/>
          <w:iCs w:val="false"/>
          <w:lang w:val="fr-FR"/>
        </w:rPr>
        <w:t>Nous demandons le retrait du projet de protocole additionnel à la Convention d’Oviedo.</w:t>
      </w:r>
    </w:p>
    <w:p>
      <w:pPr>
        <w:pStyle w:val="TextBody"/>
        <w:spacing w:lineRule="auto" w:line="276"/>
        <w:rPr>
          <w:i w:val="false"/>
          <w:i w:val="false"/>
          <w:iCs w:val="false"/>
          <w:lang w:val="fr-FR"/>
        </w:rPr>
      </w:pPr>
      <w:r>
        <w:rPr>
          <w:i w:val="false"/>
          <w:iCs w:val="false"/>
          <w:lang w:val="fr-FR"/>
        </w:rPr>
      </w:r>
    </w:p>
    <w:p>
      <w:pPr>
        <w:pStyle w:val="Heading4"/>
        <w:rPr/>
      </w:pPr>
      <w:bookmarkStart w:id="23" w:name="__RefHeading___Toc17967_2726673478"/>
      <w:bookmarkEnd w:id="23"/>
      <w:r>
        <w:rPr/>
        <w:t>Autonomie de vie et inclusion dans la société (art. 19)</w:t>
      </w:r>
    </w:p>
    <w:p>
      <w:pPr>
        <w:pStyle w:val="TextBody"/>
        <w:spacing w:lineRule="auto" w:line="276"/>
        <w:jc w:val="both"/>
        <w:rPr>
          <w:i/>
          <w:i/>
          <w:iCs/>
          <w:lang w:val="fr-FR"/>
        </w:rPr>
      </w:pPr>
      <w:r>
        <w:rPr>
          <w:i/>
          <w:iCs/>
          <w:lang w:val="fr-FR"/>
        </w:rPr>
        <w:t>1</w:t>
      </w:r>
      <w:r>
        <w:rPr>
          <w:i/>
          <w:iCs/>
          <w:sz w:val="24"/>
          <w:lang w:val="fr-FR"/>
        </w:rPr>
        <w:t>41</w:t>
      </w:r>
      <w:r>
        <w:rPr>
          <w:i/>
          <w:iCs/>
          <w:lang w:val="fr-FR"/>
        </w:rPr>
        <w:t>. Selon l’enquête ES-Handicap 2014, au 31 décembre 2014, 107 200 personnes étaient accueillies dans des structures pour enfants handicapés et 281 900 dans des structures pour adultes handicapés.</w:t>
      </w:r>
    </w:p>
    <w:p>
      <w:pPr>
        <w:pStyle w:val="TextBody"/>
        <w:spacing w:lineRule="auto" w:line="276"/>
        <w:rPr>
          <w:i w:val="false"/>
          <w:i w:val="false"/>
          <w:iCs w:val="false"/>
          <w:lang w:val="fr-FR"/>
        </w:rPr>
      </w:pPr>
      <w:r>
        <w:rPr>
          <w:i w:val="false"/>
          <w:iCs w:val="false"/>
          <w:lang w:val="fr-FR"/>
        </w:rPr>
        <w:t>Les statistiques 2018 sont disponibles, dans le rapport DRESS [</w:t>
      </w:r>
      <w:r>
        <w:rPr>
          <w:i w:val="false"/>
          <w:iCs w:val="false"/>
          <w:lang w:val="fr-FR"/>
        </w:rPr>
        <w:fldChar w:fldCharType="begin"/>
      </w:r>
      <w:r>
        <w:rPr>
          <w:i w:val="false"/>
          <w:iCs w:val="false"/>
          <w:lang w:val="fr-FR"/>
        </w:rPr>
        <w:instrText> REF __RefNumPara__1893_234535675 \r \h </w:instrText>
      </w:r>
      <w:r>
        <w:rPr>
          <w:i w:val="false"/>
          <w:iCs w:val="false"/>
          <w:lang w:val="fr-FR"/>
        </w:rPr>
        <w:fldChar w:fldCharType="separate"/>
      </w:r>
      <w:r>
        <w:rPr>
          <w:i w:val="false"/>
          <w:iCs w:val="false"/>
          <w:lang w:val="fr-FR"/>
        </w:rPr>
        <w:t>11</w:t>
      </w:r>
      <w:r>
        <w:rPr>
          <w:i w:val="false"/>
          <w:iCs w:val="false"/>
          <w:lang w:val="fr-FR"/>
        </w:rPr>
        <w:fldChar w:fldCharType="end"/>
      </w:r>
      <w:r>
        <w:rPr>
          <w:i w:val="false"/>
          <w:iCs w:val="false"/>
          <w:lang w:val="fr-FR"/>
        </w:rPr>
        <w:t>][</w:t>
      </w:r>
      <w:r>
        <w:rPr>
          <w:i w:val="false"/>
          <w:iCs w:val="false"/>
          <w:lang w:val="fr-FR"/>
        </w:rPr>
        <w:fldChar w:fldCharType="begin"/>
      </w:r>
      <w:r>
        <w:rPr>
          <w:i w:val="false"/>
          <w:iCs w:val="false"/>
          <w:lang w:val="fr-FR"/>
        </w:rPr>
        <w:instrText> REF __RefNumPara__15942_2726673478 \r \h </w:instrText>
      </w:r>
      <w:r>
        <w:rPr>
          <w:i w:val="false"/>
          <w:iCs w:val="false"/>
          <w:lang w:val="fr-FR"/>
        </w:rPr>
        <w:fldChar w:fldCharType="separate"/>
      </w:r>
      <w:r>
        <w:rPr>
          <w:i w:val="false"/>
          <w:iCs w:val="false"/>
          <w:lang w:val="fr-FR"/>
        </w:rPr>
        <w:t>12</w:t>
      </w:r>
      <w:r>
        <w:rPr>
          <w:i w:val="false"/>
          <w:iCs w:val="false"/>
          <w:lang w:val="fr-FR"/>
        </w:rPr>
        <w:fldChar w:fldCharType="end"/>
      </w:r>
      <w:r>
        <w:rPr>
          <w:i w:val="false"/>
          <w:iCs w:val="false"/>
          <w:lang w:val="fr-FR"/>
        </w:rPr>
        <w:t>].</w:t>
      </w:r>
    </w:p>
    <w:p>
      <w:pPr>
        <w:pStyle w:val="TextBody"/>
        <w:spacing w:lineRule="auto" w:line="276"/>
        <w:rPr>
          <w:i w:val="false"/>
          <w:i w:val="false"/>
          <w:iCs w:val="false"/>
          <w:lang w:val="fr-FR"/>
        </w:rPr>
      </w:pPr>
      <w:r>
        <w:rPr>
          <w:i w:val="false"/>
          <w:iCs w:val="false"/>
          <w:lang w:val="fr-FR"/>
        </w:rPr>
        <w:t>L'évolution sur 10 ans ne montre aucune diminution du nombre de lits d'institutionnalisation. [</w:t>
      </w:r>
      <w:r>
        <w:rPr>
          <w:i w:val="false"/>
          <w:iCs w:val="false"/>
          <w:lang w:val="fr-FR"/>
        </w:rPr>
        <w:fldChar w:fldCharType="begin"/>
      </w:r>
      <w:r>
        <w:rPr>
          <w:i w:val="false"/>
          <w:iCs w:val="false"/>
          <w:lang w:val="fr-FR"/>
        </w:rPr>
        <w:instrText> REF __RefNumPara__1895_234535675 \r \h </w:instrText>
      </w:r>
      <w:r>
        <w:rPr>
          <w:i w:val="false"/>
          <w:iCs w:val="false"/>
          <w:lang w:val="fr-FR"/>
        </w:rPr>
        <w:fldChar w:fldCharType="separate"/>
      </w:r>
      <w:r>
        <w:rPr>
          <w:i w:val="false"/>
          <w:iCs w:val="false"/>
          <w:lang w:val="fr-FR"/>
        </w:rPr>
        <w:t>13</w:t>
      </w:r>
      <w:r>
        <w:rPr>
          <w:i w:val="false"/>
          <w:iCs w:val="false"/>
          <w:lang w:val="fr-FR"/>
        </w:rPr>
        <w:fldChar w:fldCharType="end"/>
      </w:r>
      <w:r>
        <w:rPr>
          <w:i w:val="false"/>
          <w:iCs w:val="false"/>
          <w:lang w:val="fr-FR"/>
        </w:rPr>
        <w:t>]</w:t>
      </w:r>
    </w:p>
    <w:p>
      <w:pPr>
        <w:pStyle w:val="TextBody"/>
        <w:spacing w:lineRule="auto" w:line="276"/>
        <w:rPr>
          <w:i w:val="false"/>
          <w:i w:val="false"/>
          <w:iCs w:val="false"/>
          <w:lang w:val="fr-FR"/>
        </w:rPr>
      </w:pPr>
      <w:r>
        <w:rPr>
          <w:i w:val="false"/>
          <w:iCs w:val="false"/>
          <w:lang w:val="fr-FR"/>
        </w:rPr>
        <w:t xml:space="preserve">Il y a aussi des séjours de longue durée dans les hôpitaux psychiatriques. </w:t>
      </w:r>
    </w:p>
    <w:p>
      <w:pPr>
        <w:pStyle w:val="TextBody"/>
        <w:spacing w:lineRule="auto" w:line="276"/>
        <w:rPr>
          <w:i w:val="false"/>
          <w:i w:val="false"/>
          <w:iCs w:val="false"/>
          <w:lang w:val="fr-FR"/>
        </w:rPr>
      </w:pPr>
      <w:r>
        <w:rPr>
          <w:i w:val="false"/>
          <w:iCs w:val="false"/>
          <w:lang w:val="fr-FR"/>
        </w:rPr>
      </w:r>
    </w:p>
    <w:p>
      <w:pPr>
        <w:pStyle w:val="Heading4"/>
        <w:rPr/>
      </w:pPr>
      <w:bookmarkStart w:id="24" w:name="__RefHeading___Toc17969_2726673478"/>
      <w:bookmarkEnd w:id="24"/>
      <w:r>
        <w:rPr/>
        <w:t>Santé (art. 25)</w:t>
      </w:r>
    </w:p>
    <w:p>
      <w:pPr>
        <w:pStyle w:val="TextBody"/>
        <w:spacing w:lineRule="auto" w:line="276"/>
        <w:jc w:val="both"/>
        <w:rPr>
          <w:i/>
          <w:i/>
          <w:iCs/>
          <w:lang w:val="fr-FR"/>
        </w:rPr>
      </w:pPr>
      <w:r>
        <w:rPr>
          <w:i/>
          <w:iCs/>
          <w:lang w:val="fr-FR"/>
        </w:rPr>
        <w:t xml:space="preserve">192. </w:t>
      </w:r>
      <w:r>
        <w:rPr>
          <w:i/>
          <w:iCs/>
          <w:lang w:val="fr-FR"/>
        </w:rPr>
        <w:t>La feuille de route pour la santé mentale et la psychiatrie 2018 promeut une approche transversale de la politique de santé mentale, territorialisée dans le cadre des projets territoriaux de santé mentale (PTSM). Ses objectifs globaux sont l’amélioration des conditions de vie, de l’inclusion sociale et de la citoyenneté et l’accès aux soins et aux accompagnements des personnes vivant avec un trouble psychique.</w:t>
      </w:r>
    </w:p>
    <w:p>
      <w:pPr>
        <w:pStyle w:val="TextBody"/>
        <w:spacing w:lineRule="auto" w:line="276"/>
        <w:jc w:val="both"/>
        <w:rPr>
          <w:i w:val="false"/>
          <w:i w:val="false"/>
          <w:iCs w:val="false"/>
          <w:lang w:val="fr-FR"/>
        </w:rPr>
      </w:pPr>
      <w:r>
        <w:rPr>
          <w:i w:val="false"/>
          <w:iCs w:val="false"/>
          <w:sz w:val="24"/>
          <w:lang w:val="fr-FR"/>
        </w:rPr>
        <w:t>Le</w:t>
      </w:r>
      <w:r>
        <w:rPr>
          <w:i w:val="false"/>
          <w:iCs w:val="false"/>
          <w:lang w:val="fr-FR"/>
        </w:rPr>
        <w:t xml:space="preserve"> mot « droit » </w:t>
      </w:r>
      <w:r>
        <w:rPr>
          <w:i w:val="false"/>
          <w:iCs w:val="false"/>
          <w:sz w:val="24"/>
          <w:lang w:val="fr-FR"/>
        </w:rPr>
        <w:t>ne figure nulle part dans le</w:t>
      </w:r>
      <w:r>
        <w:rPr>
          <w:i w:val="false"/>
          <w:iCs w:val="false"/>
          <w:lang w:val="fr-FR"/>
        </w:rPr>
        <w:t xml:space="preserve"> document [</w:t>
      </w:r>
      <w:r>
        <w:rPr>
          <w:i w:val="false"/>
          <w:iCs w:val="false"/>
          <w:lang w:val="fr-FR"/>
        </w:rPr>
        <w:fldChar w:fldCharType="begin"/>
      </w:r>
      <w:r>
        <w:rPr>
          <w:i w:val="false"/>
          <w:iCs w:val="false"/>
          <w:lang w:val="fr-FR"/>
        </w:rPr>
        <w:instrText> REF __RefNumPara__4102_2773654779 \r \h </w:instrText>
      </w:r>
      <w:r>
        <w:rPr>
          <w:i w:val="false"/>
          <w:iCs w:val="false"/>
          <w:lang w:val="fr-FR"/>
        </w:rPr>
        <w:fldChar w:fldCharType="separate"/>
      </w:r>
      <w:r>
        <w:rPr>
          <w:i w:val="false"/>
          <w:iCs w:val="false"/>
          <w:lang w:val="fr-FR"/>
        </w:rPr>
        <w:t>6</w:t>
      </w:r>
      <w:r>
        <w:rPr>
          <w:i w:val="false"/>
          <w:iCs w:val="false"/>
          <w:lang w:val="fr-FR"/>
        </w:rPr>
        <w:fldChar w:fldCharType="end"/>
      </w:r>
      <w:r>
        <w:rPr>
          <w:i w:val="false"/>
          <w:iCs w:val="false"/>
          <w:lang w:val="fr-FR"/>
        </w:rPr>
        <w:t xml:space="preserve">]. Il semble que tout </w:t>
      </w:r>
      <w:r>
        <w:rPr>
          <w:i w:val="false"/>
          <w:iCs w:val="false"/>
          <w:lang w:val="fr-FR"/>
        </w:rPr>
        <w:t xml:space="preserve">y </w:t>
      </w:r>
      <w:r>
        <w:rPr>
          <w:i w:val="false"/>
          <w:iCs w:val="false"/>
          <w:lang w:val="fr-FR"/>
        </w:rPr>
        <w:t xml:space="preserve">tourne autour de la psychiatrie et non de nos droits. Il existe également une confusion entre la santé mentale et la psychiatrie. La santé mentale n'est pas la psychiatrie. C'est un </w:t>
      </w:r>
      <w:r>
        <w:rPr>
          <w:i w:val="false"/>
          <w:iCs w:val="false"/>
          <w:lang w:val="fr-FR"/>
        </w:rPr>
        <w:t xml:space="preserve">libre </w:t>
      </w:r>
      <w:r>
        <w:rPr>
          <w:i w:val="false"/>
          <w:iCs w:val="false"/>
          <w:lang w:val="fr-FR"/>
        </w:rPr>
        <w:t xml:space="preserve">choix </w:t>
      </w:r>
      <w:r>
        <w:rPr>
          <w:i w:val="false"/>
          <w:iCs w:val="false"/>
          <w:sz w:val="24"/>
          <w:lang w:val="fr-FR"/>
        </w:rPr>
        <w:t>informé</w:t>
      </w:r>
      <w:r>
        <w:rPr>
          <w:i w:val="false"/>
          <w:iCs w:val="false"/>
          <w:lang w:val="fr-FR"/>
        </w:rPr>
        <w:t xml:space="preserve"> d'approches sociales, relationnelles, psychologiques, somatiques, et </w:t>
      </w:r>
      <w:r>
        <w:rPr>
          <w:i w:val="false"/>
          <w:iCs w:val="false"/>
          <w:lang w:val="fr-FR"/>
        </w:rPr>
        <w:t>si la personne le souhaite</w:t>
      </w:r>
      <w:r>
        <w:rPr>
          <w:i w:val="false"/>
          <w:iCs w:val="false"/>
          <w:lang w:val="fr-FR"/>
        </w:rPr>
        <w:t xml:space="preserve">, mais ce n'est pas un préalable, psychiatriques. </w:t>
      </w:r>
    </w:p>
    <w:p>
      <w:pPr>
        <w:pStyle w:val="TextBody"/>
        <w:spacing w:lineRule="auto" w:line="276"/>
        <w:rPr>
          <w:i w:val="false"/>
          <w:i w:val="false"/>
          <w:iCs w:val="false"/>
          <w:lang w:val="fr-FR"/>
        </w:rPr>
      </w:pPr>
      <w:r>
        <w:rPr>
          <w:i w:val="false"/>
          <w:iCs w:val="false"/>
          <w:lang w:val="fr-FR"/>
        </w:rPr>
      </w:r>
    </w:p>
    <w:p>
      <w:pPr>
        <w:pStyle w:val="TextBody"/>
        <w:spacing w:lineRule="auto" w:line="276"/>
        <w:rPr>
          <w:i/>
          <w:i/>
          <w:iCs/>
          <w:lang w:val="fr-FR"/>
        </w:rPr>
      </w:pPr>
      <w:r>
        <w:rPr>
          <w:i/>
          <w:iCs/>
          <w:lang w:val="fr-FR"/>
        </w:rPr>
        <w:t>194. Les trois des six priorités fixées aux PTSM sont :</w:t>
      </w:r>
    </w:p>
    <w:p>
      <w:pPr>
        <w:pStyle w:val="TextBody"/>
        <w:spacing w:lineRule="auto" w:line="276"/>
        <w:rPr>
          <w:i/>
          <w:i/>
          <w:iCs/>
          <w:lang w:val="fr-FR"/>
        </w:rPr>
      </w:pPr>
      <w:r>
        <w:rPr>
          <w:i/>
          <w:iCs/>
          <w:lang w:val="fr-FR"/>
        </w:rPr>
        <w:t xml:space="preserve">    • </w:t>
      </w:r>
      <w:r>
        <w:rPr>
          <w:i/>
          <w:iCs/>
          <w:lang w:val="fr-FR"/>
        </w:rPr>
        <w:t xml:space="preserve">Le respect et la promotion des droits des personnes présentant des troubles psychiques ; </w:t>
      </w:r>
    </w:p>
    <w:p>
      <w:pPr>
        <w:pStyle w:val="TextBody"/>
        <w:spacing w:lineRule="auto" w:line="276"/>
        <w:rPr>
          <w:i/>
          <w:i/>
          <w:iCs/>
          <w:lang w:val="fr-FR"/>
        </w:rPr>
      </w:pPr>
      <w:r>
        <w:rPr>
          <w:i/>
          <w:iCs/>
          <w:lang w:val="fr-FR"/>
        </w:rPr>
        <w:t xml:space="preserve">    • </w:t>
      </w:r>
      <w:r>
        <w:rPr>
          <w:i/>
          <w:iCs/>
          <w:lang w:val="fr-FR"/>
        </w:rPr>
        <w:t xml:space="preserve">Le renforcement de leur pouvoir de décider et d’agir ; </w:t>
      </w:r>
    </w:p>
    <w:p>
      <w:pPr>
        <w:pStyle w:val="TextBody"/>
        <w:spacing w:lineRule="auto" w:line="276"/>
        <w:rPr>
          <w:i/>
          <w:i/>
          <w:iCs/>
          <w:lang w:val="fr-FR"/>
        </w:rPr>
      </w:pPr>
      <w:r>
        <w:rPr>
          <w:i/>
          <w:iCs/>
          <w:lang w:val="fr-FR"/>
        </w:rPr>
        <w:t xml:space="preserve">    • </w:t>
      </w:r>
      <w:r>
        <w:rPr>
          <w:i/>
          <w:iCs/>
          <w:lang w:val="fr-FR"/>
        </w:rPr>
        <w:t>La lutte contre la stigmatisation des troubles psychiques.</w:t>
      </w:r>
    </w:p>
    <w:p>
      <w:pPr>
        <w:pStyle w:val="TextBody"/>
        <w:spacing w:lineRule="auto" w:line="276"/>
        <w:jc w:val="both"/>
        <w:rPr>
          <w:i w:val="false"/>
          <w:i w:val="false"/>
          <w:iCs w:val="false"/>
          <w:lang w:val="fr-FR"/>
        </w:rPr>
      </w:pPr>
      <w:r>
        <w:rPr>
          <w:i w:val="false"/>
          <w:iCs w:val="false"/>
          <w:lang w:val="fr-FR"/>
        </w:rPr>
        <w:t>La stigmatisation des personnes est réalisée par l</w:t>
      </w:r>
      <w:r>
        <w:rPr>
          <w:i w:val="false"/>
          <w:iCs w:val="false"/>
          <w:lang w:val="fr-FR"/>
        </w:rPr>
        <w:t xml:space="preserve">a psychiatrie forcée, </w:t>
      </w:r>
      <w:r>
        <w:rPr>
          <w:i w:val="false"/>
          <w:iCs w:val="false"/>
          <w:lang w:val="fr-FR"/>
        </w:rPr>
        <w:t xml:space="preserve">par </w:t>
      </w:r>
      <w:r>
        <w:rPr>
          <w:i w:val="false"/>
          <w:iCs w:val="false"/>
          <w:lang w:val="fr-FR"/>
        </w:rPr>
        <w:t xml:space="preserve">l'étiquetage </w:t>
      </w:r>
      <w:r>
        <w:rPr>
          <w:i w:val="false"/>
          <w:iCs w:val="false"/>
          <w:lang w:val="fr-FR"/>
        </w:rPr>
        <w:t xml:space="preserve">psychiatrique </w:t>
      </w:r>
      <w:r>
        <w:rPr>
          <w:i w:val="false"/>
          <w:iCs w:val="false"/>
          <w:lang w:val="fr-FR"/>
        </w:rPr>
        <w:t xml:space="preserve">forcé et </w:t>
      </w:r>
      <w:r>
        <w:rPr>
          <w:i w:val="false"/>
          <w:iCs w:val="false"/>
          <w:lang w:val="fr-FR"/>
        </w:rPr>
        <w:t xml:space="preserve">par </w:t>
      </w:r>
      <w:r>
        <w:rPr>
          <w:i w:val="false"/>
          <w:iCs w:val="false"/>
          <w:lang w:val="fr-FR"/>
        </w:rPr>
        <w:t>l</w:t>
      </w:r>
      <w:r>
        <w:rPr>
          <w:i w:val="false"/>
          <w:iCs w:val="false"/>
          <w:sz w:val="24"/>
          <w:lang w:val="fr-FR"/>
        </w:rPr>
        <w:t xml:space="preserve">es procédures de traitement </w:t>
      </w:r>
      <w:r>
        <w:rPr>
          <w:i w:val="false"/>
          <w:iCs w:val="false"/>
          <w:lang w:val="fr-FR"/>
        </w:rPr>
        <w:t>forcé</w:t>
      </w:r>
      <w:r>
        <w:rPr>
          <w:i w:val="false"/>
          <w:iCs w:val="false"/>
          <w:sz w:val="24"/>
          <w:lang w:val="fr-FR"/>
        </w:rPr>
        <w:t>s</w:t>
      </w:r>
      <w:r>
        <w:rPr>
          <w:i w:val="false"/>
          <w:iCs w:val="false"/>
          <w:lang w:val="fr-FR"/>
        </w:rPr>
        <w:t>.</w:t>
      </w:r>
    </w:p>
    <w:p>
      <w:pPr>
        <w:pStyle w:val="TextBody"/>
        <w:spacing w:lineRule="auto" w:line="276"/>
        <w:jc w:val="both"/>
        <w:rPr>
          <w:i w:val="false"/>
          <w:i w:val="false"/>
          <w:iCs w:val="false"/>
          <w:lang w:val="fr-FR"/>
        </w:rPr>
      </w:pPr>
      <w:r>
        <w:rPr>
          <w:i w:val="false"/>
          <w:iCs w:val="false"/>
          <w:lang w:val="fr-FR"/>
        </w:rPr>
        <w:t>La psychiatrie forcée est pratiquée à très grande échelle en France, sur des enfants et des adultes, suite à des décisions de justice ou non.</w:t>
      </w:r>
    </w:p>
    <w:p>
      <w:pPr>
        <w:pStyle w:val="TextBody"/>
        <w:spacing w:lineRule="auto" w:line="276"/>
        <w:rPr>
          <w:i w:val="false"/>
          <w:i w:val="false"/>
          <w:iCs w:val="false"/>
          <w:lang w:val="fr-FR"/>
        </w:rPr>
      </w:pPr>
      <w:r>
        <w:rPr>
          <w:i w:val="false"/>
          <w:iCs w:val="false"/>
          <w:lang w:val="fr-FR"/>
        </w:rPr>
      </w:r>
    </w:p>
    <w:p>
      <w:pPr>
        <w:pStyle w:val="Heading4"/>
        <w:rPr/>
      </w:pPr>
      <w:bookmarkStart w:id="25" w:name="__RefHeading___Toc17971_2726673478"/>
      <w:bookmarkEnd w:id="25"/>
      <w:r>
        <w:rPr/>
        <w:t>Niveau de vie adéquat et protection sociale (art. 28)</w:t>
      </w:r>
    </w:p>
    <w:p>
      <w:pPr>
        <w:pStyle w:val="TextBody"/>
        <w:spacing w:lineRule="auto" w:line="276"/>
        <w:rPr>
          <w:i/>
          <w:i/>
          <w:iCs/>
          <w:lang w:val="fr-FR"/>
        </w:rPr>
      </w:pPr>
      <w:r>
        <w:rPr>
          <w:i/>
          <w:iCs/>
          <w:lang w:val="fr-FR"/>
        </w:rPr>
        <w:t xml:space="preserve">211. 22,6% ayant un handicap psychique sont en situation de pauvreté. </w:t>
      </w:r>
    </w:p>
    <w:p>
      <w:pPr>
        <w:pStyle w:val="TextBody"/>
        <w:spacing w:lineRule="auto" w:line="276"/>
        <w:jc w:val="both"/>
        <w:rPr>
          <w:i w:val="false"/>
          <w:i w:val="false"/>
          <w:iCs w:val="false"/>
          <w:lang w:val="fr-FR"/>
        </w:rPr>
      </w:pPr>
      <w:r>
        <w:rPr>
          <w:i w:val="false"/>
          <w:iCs w:val="false"/>
          <w:lang w:val="fr-FR"/>
        </w:rPr>
        <w:t xml:space="preserve">De nombreuses personnes avec handicap psychosocial évitent la psychiatrie parce qu'elles craignent ou ont été traumatisées par la psychiatrie forcée. Ainsi, </w:t>
      </w:r>
      <w:r>
        <w:rPr>
          <w:i w:val="false"/>
          <w:iCs w:val="false"/>
          <w:sz w:val="24"/>
          <w:lang w:val="fr-FR"/>
        </w:rPr>
        <w:t>ces personnes</w:t>
      </w:r>
      <w:r>
        <w:rPr>
          <w:i w:val="false"/>
          <w:iCs w:val="false"/>
          <w:lang w:val="fr-FR"/>
        </w:rPr>
        <w:t xml:space="preserve"> ne peuvent pas bénéficier de l'allocation </w:t>
      </w:r>
      <w:r>
        <w:rPr>
          <w:i w:val="false"/>
          <w:iCs w:val="false"/>
          <w:sz w:val="24"/>
          <w:lang w:val="fr-FR"/>
        </w:rPr>
        <w:t>de handicap</w:t>
      </w:r>
      <w:r>
        <w:rPr>
          <w:i w:val="false"/>
          <w:iCs w:val="false"/>
          <w:lang w:val="fr-FR"/>
        </w:rPr>
        <w:t xml:space="preserve">. Certaines personnes préfèrent la rue à la psychiatrie. Certaines personnes tentent de survivre à l'étranger pour échapper aux menaces d'hospitalisation forcée. </w:t>
      </w:r>
    </w:p>
    <w:p>
      <w:pPr>
        <w:pStyle w:val="TextBody"/>
        <w:spacing w:lineRule="auto" w:line="276"/>
        <w:rPr>
          <w:i w:val="false"/>
          <w:i w:val="false"/>
          <w:iCs w:val="false"/>
          <w:lang w:val="fr-FR"/>
        </w:rPr>
      </w:pPr>
      <w:r>
        <w:rPr>
          <w:i w:val="false"/>
          <w:iCs w:val="false"/>
          <w:lang w:val="fr-FR"/>
        </w:rPr>
      </w:r>
    </w:p>
    <w:p>
      <w:pPr>
        <w:pStyle w:val="Heading4"/>
        <w:rPr/>
      </w:pPr>
      <w:bookmarkStart w:id="26" w:name="__RefHeading___Toc17973_2726673478"/>
      <w:bookmarkEnd w:id="26"/>
      <w:r>
        <w:rPr/>
        <w:t>Participation à la vie politique et à la vie publique (art. 29)</w:t>
      </w:r>
    </w:p>
    <w:p>
      <w:pPr>
        <w:pStyle w:val="TextBody"/>
        <w:spacing w:lineRule="auto" w:line="276"/>
        <w:jc w:val="both"/>
        <w:rPr>
          <w:i/>
          <w:i/>
          <w:iCs/>
          <w:lang w:val="fr-FR"/>
        </w:rPr>
      </w:pPr>
      <w:r>
        <w:rPr>
          <w:i/>
          <w:iCs/>
          <w:lang w:val="fr-FR"/>
        </w:rPr>
        <w:t xml:space="preserve">223. Pour assurer la pleine participation des personnes handicapées à la conduite des affaires publiques et à leur évaluation par l’intermédiaire de leurs organisations représentatives, le CNCPH a été rénové (cf. question 34). </w:t>
      </w:r>
    </w:p>
    <w:p>
      <w:pPr>
        <w:pStyle w:val="TextBody"/>
        <w:spacing w:lineRule="auto" w:line="276"/>
        <w:jc w:val="both"/>
        <w:rPr>
          <w:i w:val="false"/>
          <w:i w:val="false"/>
          <w:iCs w:val="false"/>
          <w:lang w:val="fr-FR"/>
        </w:rPr>
      </w:pPr>
      <w:r>
        <w:rPr>
          <w:i w:val="false"/>
          <w:iCs w:val="false"/>
          <w:lang w:val="fr-FR"/>
        </w:rPr>
        <w:t xml:space="preserve">L'article L146-1 A du </w:t>
      </w:r>
      <w:r>
        <w:rPr>
          <w:i w:val="false"/>
          <w:iCs w:val="false"/>
          <w:sz w:val="24"/>
          <w:lang w:val="fr-FR"/>
        </w:rPr>
        <w:t>C</w:t>
      </w:r>
      <w:r>
        <w:rPr>
          <w:i w:val="false"/>
          <w:iCs w:val="false"/>
          <w:lang w:val="fr-FR"/>
        </w:rPr>
        <w:t>ode de l'action sociale et des familles prévoit une représentation politique de substitution pour les personnes handicapées, de sorte que les organisations familiales et les organisations de gestion sont censées parler en notre nom [</w:t>
      </w:r>
      <w:r>
        <w:rPr>
          <w:i w:val="false"/>
          <w:iCs w:val="false"/>
          <w:lang w:val="fr-FR"/>
        </w:rPr>
        <w:fldChar w:fldCharType="begin"/>
      </w:r>
      <w:r>
        <w:rPr>
          <w:i w:val="false"/>
          <w:iCs w:val="false"/>
          <w:lang w:val="fr-FR"/>
        </w:rPr>
        <w:instrText> REF __RefNumPara__5661_3214388979 \r \h </w:instrText>
      </w:r>
      <w:r>
        <w:rPr>
          <w:i w:val="false"/>
          <w:iCs w:val="false"/>
          <w:lang w:val="fr-FR"/>
        </w:rPr>
        <w:fldChar w:fldCharType="separate"/>
      </w:r>
      <w:r>
        <w:rPr>
          <w:i w:val="false"/>
          <w:iCs w:val="false"/>
          <w:lang w:val="fr-FR"/>
        </w:rPr>
        <w:t>84</w:t>
      </w:r>
      <w:r>
        <w:rPr>
          <w:i w:val="false"/>
          <w:iCs w:val="false"/>
          <w:lang w:val="fr-FR"/>
        </w:rPr>
        <w:fldChar w:fldCharType="end"/>
      </w:r>
      <w:r>
        <w:rPr>
          <w:i w:val="false"/>
          <w:iCs w:val="false"/>
          <w:lang w:val="fr-FR"/>
        </w:rPr>
        <w:t xml:space="preserve">]. </w:t>
      </w:r>
      <w:r>
        <w:rPr>
          <w:i w:val="false"/>
          <w:iCs w:val="false"/>
          <w:lang w:val="fr-FR"/>
        </w:rPr>
        <w:t>La substitution n’est pas la participation.</w:t>
      </w:r>
    </w:p>
    <w:p>
      <w:pPr>
        <w:pStyle w:val="TextBody"/>
        <w:spacing w:lineRule="auto" w:line="276"/>
        <w:rPr>
          <w:i w:val="false"/>
          <w:i w:val="false"/>
          <w:iCs w:val="false"/>
          <w:lang w:val="fr-FR"/>
        </w:rPr>
      </w:pPr>
      <w:r>
        <w:rPr>
          <w:i w:val="false"/>
          <w:iCs w:val="false"/>
          <w:lang w:val="fr-FR"/>
        </w:rPr>
      </w:r>
    </w:p>
    <w:p>
      <w:pPr>
        <w:pStyle w:val="Heading4"/>
        <w:rPr/>
      </w:pPr>
      <w:bookmarkStart w:id="27" w:name="__RefHeading___Toc17975_2726673478"/>
      <w:bookmarkEnd w:id="27"/>
      <w:r>
        <w:rPr/>
        <w:t>Application et suivi au niveau national (art. 33)</w:t>
      </w:r>
    </w:p>
    <w:p>
      <w:pPr>
        <w:pStyle w:val="TextBody"/>
        <w:spacing w:lineRule="auto" w:line="276"/>
        <w:jc w:val="both"/>
        <w:rPr>
          <w:i/>
          <w:i/>
          <w:iCs/>
          <w:lang w:val="fr-FR"/>
        </w:rPr>
      </w:pPr>
      <w:r>
        <w:rPr>
          <w:i/>
          <w:iCs/>
          <w:lang w:val="fr-FR"/>
        </w:rPr>
        <w:t>241. Le SG CIH assure le secrétariat du CNCPH dont une des commissions est en charges des questions européennes et internationales. Le SG CIH fournit un appui humain, technique et logistique avec le soutien financier des services de la Direction générale de la cohésion sociale.</w:t>
      </w:r>
    </w:p>
    <w:p>
      <w:pPr>
        <w:pStyle w:val="TextBody"/>
        <w:spacing w:lineRule="auto" w:line="276"/>
        <w:jc w:val="both"/>
        <w:rPr>
          <w:i w:val="false"/>
          <w:i w:val="false"/>
          <w:iCs w:val="false"/>
          <w:lang w:val="fr-FR"/>
        </w:rPr>
      </w:pPr>
      <w:r>
        <w:rPr>
          <w:i w:val="false"/>
          <w:iCs w:val="false"/>
          <w:lang w:val="fr-FR"/>
        </w:rPr>
        <w:t xml:space="preserve">Le Collectif n'a aucune subvention pour sa participation à la pré-session 2019 et à cette session. La plupart de nos correspondants se sentent menacés par les abus psychiatriques et demandent à garder l'anonymat. </w:t>
      </w:r>
    </w:p>
    <w:p>
      <w:pPr>
        <w:pStyle w:val="Heading3"/>
        <w:spacing w:lineRule="auto" w:line="276"/>
        <w:rPr>
          <w:i w:val="false"/>
          <w:i w:val="false"/>
          <w:iCs w:val="false"/>
          <w:lang w:val="fr-FR"/>
        </w:rPr>
      </w:pPr>
      <w:r>
        <w:rPr>
          <w:i w:val="false"/>
          <w:iCs w:val="false"/>
          <w:lang w:val="fr-FR"/>
        </w:rPr>
      </w:r>
    </w:p>
    <w:p>
      <w:pPr>
        <w:pStyle w:val="Heading3"/>
        <w:spacing w:lineRule="auto" w:line="276"/>
        <w:rPr>
          <w:lang w:val="fr-FR"/>
        </w:rPr>
      </w:pPr>
      <w:bookmarkStart w:id="28" w:name="__RefHeading___Toc17977_2726673478"/>
      <w:bookmarkEnd w:id="28"/>
      <w:r>
        <w:rPr>
          <w:lang w:val="fr-FR"/>
        </w:rPr>
        <w:t>R</w:t>
      </w:r>
      <w:r>
        <w:rPr>
          <w:rFonts w:eastAsia="Microsoft YaHei" w:cs="Arial"/>
          <w:b/>
          <w:bCs/>
          <w:sz w:val="32"/>
          <w:szCs w:val="28"/>
          <w:lang w:val="fr-FR"/>
        </w:rPr>
        <w:t>é</w:t>
      </w:r>
      <w:r>
        <w:rPr>
          <w:lang w:val="fr-FR"/>
        </w:rPr>
        <w:t>f</w:t>
      </w:r>
      <w:r>
        <w:rPr>
          <w:rFonts w:eastAsia="Microsoft YaHei" w:cs="Arial"/>
          <w:b/>
          <w:bCs/>
          <w:sz w:val="32"/>
          <w:szCs w:val="28"/>
          <w:lang w:val="fr-FR"/>
        </w:rPr>
        <w:t>é</w:t>
      </w:r>
      <w:r>
        <w:rPr>
          <w:lang w:val="fr-FR"/>
        </w:rPr>
        <w:t>rences</w:t>
      </w:r>
    </w:p>
    <w:p>
      <w:pPr>
        <w:pStyle w:val="TextBody"/>
        <w:numPr>
          <w:ilvl w:val="0"/>
          <w:numId w:val="2"/>
        </w:numPr>
        <w:spacing w:lineRule="auto" w:line="276"/>
        <w:jc w:val="left"/>
        <w:rPr>
          <w:rFonts w:ascii="Times New Roman" w:hAnsi="Times New Roman"/>
          <w:sz w:val="24"/>
          <w:lang w:val="en-GB"/>
        </w:rPr>
      </w:pPr>
      <w:bookmarkStart w:id="29" w:name="__RefNumPara__1416_2129381569"/>
      <w:bookmarkEnd w:id="29"/>
      <w:r>
        <w:rPr>
          <w:sz w:val="24"/>
          <w:lang w:val="fr-FR"/>
        </w:rPr>
        <w:t>Le</w:t>
      </w:r>
      <w:r>
        <w:rPr>
          <w:sz w:val="24"/>
          <w:lang w:val="fr-FR"/>
        </w:rPr>
        <w:t xml:space="preserve"> </w:t>
      </w:r>
      <w:r>
        <w:rPr>
          <w:sz w:val="24"/>
          <w:lang w:val="fr-FR"/>
        </w:rPr>
        <w:t xml:space="preserve">blog du </w:t>
      </w:r>
      <w:r>
        <w:rPr>
          <w:sz w:val="24"/>
          <w:lang w:val="fr-FR"/>
        </w:rPr>
        <w:t>Collecti</w:t>
      </w:r>
      <w:r>
        <w:rPr>
          <w:sz w:val="24"/>
          <w:lang w:val="fr-FR"/>
        </w:rPr>
        <w:t>f</w:t>
      </w:r>
      <w:r>
        <w:rPr>
          <w:sz w:val="24"/>
          <w:lang w:val="fr-FR"/>
        </w:rPr>
        <w:t xml:space="preserve">: </w:t>
        <w:br/>
      </w:r>
      <w:hyperlink r:id="rId2">
        <w:r>
          <w:rPr>
            <w:rStyle w:val="InternetLink"/>
            <w:sz w:val="24"/>
            <w:lang w:val="fr-FR"/>
          </w:rPr>
          <w:t>https://depsychiatriser.blogspot.com/</w:t>
        </w:r>
      </w:hyperlink>
    </w:p>
    <w:p>
      <w:pPr>
        <w:pStyle w:val="TextBody"/>
        <w:numPr>
          <w:ilvl w:val="0"/>
          <w:numId w:val="2"/>
        </w:numPr>
        <w:spacing w:lineRule="auto" w:line="276"/>
        <w:jc w:val="left"/>
        <w:rPr>
          <w:lang w:val="en-GB"/>
        </w:rPr>
      </w:pPr>
      <w:bookmarkStart w:id="30" w:name="__RefNumPara__1418_2129381569"/>
      <w:bookmarkEnd w:id="30"/>
      <w:r>
        <w:rPr>
          <w:sz w:val="24"/>
          <w:lang w:val="fr-FR"/>
        </w:rPr>
        <w:t>La page</w:t>
      </w:r>
      <w:r>
        <w:rPr>
          <w:sz w:val="24"/>
          <w:lang w:val="fr-FR"/>
        </w:rPr>
        <w:t xml:space="preserve"> Facebook:</w:t>
        <w:br/>
      </w:r>
      <w:hyperlink r:id="rId3">
        <w:r>
          <w:rPr>
            <w:rStyle w:val="InternetLink"/>
            <w:sz w:val="24"/>
            <w:lang w:val="fr-FR"/>
          </w:rPr>
          <w:t>https://www.facebook.com/PetitionStopAbusPsychiatrie</w:t>
        </w:r>
      </w:hyperlink>
    </w:p>
    <w:p>
      <w:pPr>
        <w:pStyle w:val="TextBody"/>
        <w:numPr>
          <w:ilvl w:val="0"/>
          <w:numId w:val="2"/>
        </w:numPr>
        <w:spacing w:lineRule="auto" w:line="276"/>
        <w:jc w:val="left"/>
        <w:rPr>
          <w:lang w:val="en-GB"/>
        </w:rPr>
      </w:pPr>
      <w:bookmarkStart w:id="31" w:name="__RefNumPara__1420_2129381569"/>
      <w:bookmarkEnd w:id="31"/>
      <w:r>
        <w:rPr>
          <w:sz w:val="24"/>
          <w:lang w:val="fr-FR"/>
        </w:rPr>
        <w:t>La</w:t>
      </w:r>
      <w:r>
        <w:rPr>
          <w:sz w:val="24"/>
          <w:lang w:val="fr-FR"/>
        </w:rPr>
        <w:t xml:space="preserve"> </w:t>
      </w:r>
      <w:r>
        <w:rPr>
          <w:sz w:val="24"/>
          <w:lang w:val="fr-FR"/>
        </w:rPr>
        <w:t>pé</w:t>
      </w:r>
      <w:r>
        <w:rPr>
          <w:sz w:val="24"/>
          <w:lang w:val="fr-FR"/>
        </w:rPr>
        <w:t xml:space="preserve">tition </w:t>
      </w:r>
      <w:r>
        <w:rPr>
          <w:sz w:val="24"/>
          <w:lang w:val="fr-FR"/>
        </w:rPr>
        <w:t>contre la psychiatrie forcée e</w:t>
      </w:r>
      <w:r>
        <w:rPr>
          <w:sz w:val="24"/>
          <w:lang w:val="fr-FR"/>
        </w:rPr>
        <w:t>n France:</w:t>
        <w:br/>
      </w:r>
      <w:hyperlink r:id="rId4">
        <w:r>
          <w:rPr>
            <w:rStyle w:val="InternetLink"/>
            <w:sz w:val="24"/>
            <w:lang w:val="fr-FR"/>
          </w:rPr>
          <w:t>https://www.change.org/p/abolir-l-hospitalisation-forc%C3%A9e-et-le-traitement-forc%C3%A9</w:t>
        </w:r>
      </w:hyperlink>
    </w:p>
    <w:p>
      <w:pPr>
        <w:pStyle w:val="TextBody"/>
        <w:numPr>
          <w:ilvl w:val="0"/>
          <w:numId w:val="2"/>
        </w:numPr>
        <w:spacing w:lineRule="auto" w:line="276"/>
        <w:jc w:val="left"/>
        <w:rPr>
          <w:rFonts w:ascii="Times New Roman" w:hAnsi="Times New Roman"/>
          <w:sz w:val="24"/>
          <w:lang w:val="en-GB"/>
        </w:rPr>
      </w:pPr>
      <w:bookmarkStart w:id="32" w:name="__RefNumPara__1422_2129381569"/>
      <w:bookmarkEnd w:id="32"/>
      <w:r>
        <w:rPr>
          <w:sz w:val="24"/>
          <w:lang w:val="fr-FR"/>
        </w:rPr>
        <w:t>L</w:t>
      </w:r>
      <w:r>
        <w:rPr>
          <w:sz w:val="24"/>
          <w:lang w:val="fr-FR"/>
        </w:rPr>
        <w:t xml:space="preserve">e </w:t>
      </w:r>
      <w:r>
        <w:rPr>
          <w:sz w:val="24"/>
          <w:lang w:val="fr-FR"/>
        </w:rPr>
        <w:t xml:space="preserve">rapport parallèle </w:t>
      </w:r>
      <w:r>
        <w:rPr>
          <w:sz w:val="24"/>
          <w:lang w:val="fr-FR"/>
        </w:rPr>
        <w:t xml:space="preserve">“Depsychiatriser” </w:t>
      </w:r>
      <w:r>
        <w:rPr>
          <w:sz w:val="24"/>
          <w:lang w:val="fr-FR"/>
        </w:rPr>
        <w:t xml:space="preserve">de </w:t>
      </w:r>
      <w:r>
        <w:rPr>
          <w:sz w:val="24"/>
          <w:lang w:val="fr-FR"/>
        </w:rPr>
        <w:t>2019:</w:t>
        <w:br/>
      </w:r>
      <w:hyperlink r:id="rId5">
        <w:r>
          <w:rPr>
            <w:rStyle w:val="InternetLink"/>
            <w:sz w:val="24"/>
            <w:lang w:val="fr-FR"/>
          </w:rPr>
          <w:t>https://tbinternet.ohchr.org/Treaties/CRPD/Shared%20Documents/FRA/INT_CRPD_ICO_FRA_35584_F.doc</w:t>
        </w:r>
      </w:hyperlink>
    </w:p>
    <w:p>
      <w:pPr>
        <w:pStyle w:val="TextBody"/>
        <w:numPr>
          <w:ilvl w:val="0"/>
          <w:numId w:val="2"/>
        </w:numPr>
        <w:spacing w:lineRule="auto" w:line="276"/>
        <w:jc w:val="left"/>
        <w:rPr>
          <w:rFonts w:ascii="Times New Roman" w:hAnsi="Times New Roman"/>
          <w:sz w:val="24"/>
          <w:lang w:val="en-GB"/>
        </w:rPr>
      </w:pPr>
      <w:bookmarkStart w:id="33" w:name="__RefNumPara__2869_209580525"/>
      <w:bookmarkEnd w:id="33"/>
      <w:r>
        <w:rPr>
          <w:sz w:val="24"/>
          <w:lang w:val="fr-FR"/>
        </w:rPr>
        <w:t>L</w:t>
      </w:r>
      <w:r>
        <w:rPr>
          <w:sz w:val="24"/>
          <w:lang w:val="fr-FR"/>
        </w:rPr>
        <w:t>a coalition « Rien pour nous sans nous » avec Advocacy France à Genève en 2019</w:t>
        <w:br/>
      </w:r>
      <w:hyperlink r:id="rId6">
        <w:r>
          <w:rPr>
            <w:rStyle w:val="InternetLink"/>
            <w:sz w:val="24"/>
            <w:lang w:val="fr-FR"/>
          </w:rPr>
          <w:t>https://www.advocacy.fr/actualites/vie-de-l-association/rien-pour-nous-sans,132</w:t>
        </w:r>
      </w:hyperlink>
    </w:p>
    <w:p>
      <w:pPr>
        <w:pStyle w:val="TextBody"/>
        <w:numPr>
          <w:ilvl w:val="0"/>
          <w:numId w:val="2"/>
        </w:numPr>
        <w:spacing w:lineRule="auto" w:line="276"/>
        <w:jc w:val="left"/>
        <w:rPr>
          <w:rFonts w:ascii="Times New Roman" w:hAnsi="Times New Roman"/>
          <w:sz w:val="24"/>
          <w:lang w:val="en-GB"/>
        </w:rPr>
      </w:pPr>
      <w:bookmarkStart w:id="34" w:name="__RefNumPara__4102_2773654779"/>
      <w:bookmarkEnd w:id="34"/>
      <w:r>
        <w:rPr>
          <w:sz w:val="24"/>
          <w:lang w:val="fr-FR"/>
        </w:rPr>
        <w:t>Comité Stratégique de la Santé Mentale et de la Psychiatrie: Feuille de route santé mentale et psychiatrie, 2018.</w:t>
      </w:r>
      <w:r>
        <w:rPr>
          <w:sz w:val="24"/>
          <w:lang w:val="fr-FR"/>
        </w:rPr>
        <w:br/>
      </w:r>
      <w:hyperlink r:id="rId7">
        <w:r>
          <w:rPr>
            <w:rStyle w:val="InternetLink"/>
            <w:sz w:val="24"/>
            <w:lang w:val="fr-FR"/>
          </w:rPr>
          <w:t>https://solidarites-sante.gouv.fr/IMG/pdf/180628_-_dossier_de_presse_-_comite_strategie_sante_mentale.pdf</w:t>
        </w:r>
      </w:hyperlink>
    </w:p>
    <w:p>
      <w:pPr>
        <w:pStyle w:val="TextBody"/>
        <w:numPr>
          <w:ilvl w:val="0"/>
          <w:numId w:val="2"/>
        </w:numPr>
        <w:spacing w:lineRule="auto" w:line="276"/>
        <w:jc w:val="left"/>
        <w:rPr>
          <w:rFonts w:ascii="Times New Roman" w:hAnsi="Times New Roman"/>
          <w:sz w:val="24"/>
          <w:lang w:val="en-GB"/>
        </w:rPr>
      </w:pPr>
      <w:bookmarkStart w:id="35" w:name="__RefNumPara__1649_234535675"/>
      <w:bookmarkEnd w:id="35"/>
      <w:r>
        <w:rPr>
          <w:sz w:val="24"/>
          <w:lang w:val="fr-FR"/>
        </w:rPr>
        <w:t>Article L3211 du Code de la santé publique.</w:t>
        <w:br/>
      </w:r>
      <w:hyperlink r:id="rId8">
        <w:r>
          <w:rPr>
            <w:rStyle w:val="InternetLink"/>
            <w:sz w:val="24"/>
            <w:lang w:val="fr-FR"/>
          </w:rPr>
          <w:t>https://www.legifrance.gouv.fr/codes/article_lc/LEGIARTI000041721183/</w:t>
        </w:r>
      </w:hyperlink>
    </w:p>
    <w:p>
      <w:pPr>
        <w:pStyle w:val="TextBody"/>
        <w:numPr>
          <w:ilvl w:val="0"/>
          <w:numId w:val="2"/>
        </w:numPr>
        <w:spacing w:lineRule="auto" w:line="276"/>
        <w:jc w:val="left"/>
        <w:rPr>
          <w:rFonts w:ascii="Times New Roman" w:hAnsi="Times New Roman"/>
          <w:sz w:val="24"/>
          <w:lang w:val="en-GB"/>
        </w:rPr>
      </w:pPr>
      <w:bookmarkStart w:id="36" w:name="__RefNumPara__5469_2140865594"/>
      <w:bookmarkEnd w:id="36"/>
      <w:r>
        <w:rPr>
          <w:sz w:val="24"/>
          <w:lang w:val="fr-FR"/>
        </w:rPr>
        <w:t>Article L3211-3 du Code de la Santé Publique</w:t>
        <w:br/>
      </w:r>
      <w:hyperlink r:id="rId9">
        <w:r>
          <w:rPr>
            <w:rStyle w:val="InternetLink"/>
            <w:sz w:val="24"/>
            <w:lang w:val="fr-FR"/>
          </w:rPr>
          <w:t>https://www.legifrance.gouv.fr/codes/article_lc/LEGIARTI000028016782/</w:t>
        </w:r>
      </w:hyperlink>
    </w:p>
    <w:p>
      <w:pPr>
        <w:pStyle w:val="TextBody"/>
        <w:numPr>
          <w:ilvl w:val="0"/>
          <w:numId w:val="2"/>
        </w:numPr>
        <w:spacing w:lineRule="auto" w:line="276"/>
        <w:jc w:val="left"/>
        <w:rPr>
          <w:rFonts w:ascii="Times New Roman" w:hAnsi="Times New Roman"/>
          <w:sz w:val="24"/>
          <w:lang w:val="en-GB"/>
        </w:rPr>
      </w:pPr>
      <w:bookmarkStart w:id="37" w:name="__RefNumPara__1657_234535675"/>
      <w:bookmarkEnd w:id="37"/>
      <w:r>
        <w:rPr>
          <w:sz w:val="24"/>
          <w:lang w:val="fr-FR"/>
        </w:rPr>
        <w:t>Code civil : Titre XI : De la majorité et des majeurs protégés par la loi (Articles 414 à 495-9).</w:t>
        <w:br/>
      </w:r>
      <w:hyperlink r:id="rId10">
        <w:r>
          <w:rPr>
            <w:rStyle w:val="InternetLink"/>
            <w:sz w:val="24"/>
            <w:lang w:val="fr-FR"/>
          </w:rPr>
          <w:t>https://www.legifrance.gouv.fr/codes/section_lc/LEGITEXT000006070721/LEGISCTA000006117881/</w:t>
        </w:r>
      </w:hyperlink>
    </w:p>
    <w:p>
      <w:pPr>
        <w:pStyle w:val="TextBody"/>
        <w:numPr>
          <w:ilvl w:val="0"/>
          <w:numId w:val="2"/>
        </w:numPr>
        <w:spacing w:lineRule="auto" w:line="276"/>
        <w:jc w:val="left"/>
        <w:rPr>
          <w:rFonts w:ascii="Times New Roman" w:hAnsi="Times New Roman"/>
          <w:sz w:val="24"/>
          <w:lang w:val="en-GB"/>
        </w:rPr>
      </w:pPr>
      <w:bookmarkStart w:id="38" w:name="__RefNumPara__5471_2140865594"/>
      <w:bookmarkEnd w:id="38"/>
      <w:r>
        <w:rPr>
          <w:sz w:val="24"/>
          <w:lang w:val="fr-FR"/>
        </w:rPr>
        <w:t>Article 425 du Code Civil</w:t>
        <w:br/>
      </w:r>
      <w:hyperlink r:id="rId11">
        <w:r>
          <w:rPr>
            <w:rStyle w:val="InternetLink"/>
            <w:sz w:val="24"/>
            <w:lang w:val="fr-FR"/>
          </w:rPr>
          <w:t>https://www.legifrance.gouv.fr/codes/article_lc/LEGIARTI000006427435/</w:t>
        </w:r>
      </w:hyperlink>
    </w:p>
    <w:p>
      <w:pPr>
        <w:pStyle w:val="TextBody"/>
        <w:numPr>
          <w:ilvl w:val="0"/>
          <w:numId w:val="2"/>
        </w:numPr>
        <w:spacing w:lineRule="auto" w:line="276"/>
        <w:jc w:val="left"/>
        <w:rPr>
          <w:rFonts w:ascii="Times New Roman" w:hAnsi="Times New Roman"/>
          <w:sz w:val="24"/>
          <w:lang w:val="en-GB"/>
        </w:rPr>
      </w:pPr>
      <w:bookmarkStart w:id="39" w:name="__RefNumPara__1893_234535675"/>
      <w:bookmarkEnd w:id="39"/>
      <w:r>
        <w:rPr>
          <w:sz w:val="24"/>
          <w:lang w:val="fr-FR"/>
        </w:rPr>
        <w:t>Ministère des Solidarités et de la Santé : Direction de la recherche, des études, de l'évaluation et des statistiques. L’offre d’accueil des personnes handicapées dans les établissements et services médico-sociaux, 2018. Thomas Bergeron, Laurence Dauphin</w:t>
        <w:br/>
      </w:r>
      <w:hyperlink r:id="rId12">
        <w:r>
          <w:rPr>
            <w:rStyle w:val="InternetLink"/>
            <w:sz w:val="24"/>
            <w:lang w:val="fr-FR"/>
          </w:rPr>
          <w:t>https://drees.solidarites-sante.gouv.fr/publications/etudes-et-resultats/loffre-daccueil-des-personnes-handicapees-dans-les-0</w:t>
        </w:r>
      </w:hyperlink>
    </w:p>
    <w:p>
      <w:pPr>
        <w:pStyle w:val="TextBody"/>
        <w:numPr>
          <w:ilvl w:val="0"/>
          <w:numId w:val="2"/>
        </w:numPr>
        <w:spacing w:lineRule="auto" w:line="276"/>
        <w:jc w:val="left"/>
        <w:rPr>
          <w:rFonts w:ascii="Times New Roman" w:hAnsi="Times New Roman"/>
          <w:sz w:val="24"/>
          <w:lang w:val="en-GB"/>
        </w:rPr>
      </w:pPr>
      <w:hyperlink r:id="rId13">
        <w:bookmarkStart w:id="40" w:name="__RefNumPara__15942_2726673478"/>
        <w:bookmarkEnd w:id="40"/>
        <w:r>
          <w:rPr>
            <w:rStyle w:val="InternetLink"/>
            <w:sz w:val="24"/>
            <w:lang w:val="fr-FR"/>
          </w:rPr>
          <w:t>https://drees.solidarites-sante.gouv.fr/sites/default/files/2020-12/er1170.xlsx</w:t>
        </w:r>
      </w:hyperlink>
    </w:p>
    <w:p>
      <w:pPr>
        <w:pStyle w:val="TextBody"/>
        <w:numPr>
          <w:ilvl w:val="0"/>
          <w:numId w:val="2"/>
        </w:numPr>
        <w:spacing w:lineRule="auto" w:line="276"/>
        <w:jc w:val="left"/>
        <w:rPr>
          <w:rFonts w:ascii="Times New Roman" w:hAnsi="Times New Roman"/>
          <w:sz w:val="24"/>
          <w:lang w:val="en-GB"/>
        </w:rPr>
      </w:pPr>
      <w:bookmarkStart w:id="41" w:name="__RefNumPara__1895_234535675"/>
      <w:bookmarkEnd w:id="41"/>
      <w:r>
        <w:rPr>
          <w:sz w:val="24"/>
          <w:lang w:val="fr-FR"/>
        </w:rPr>
        <w:t>Caisse nationale de solidarité pour l'autonomie: le bilan des plans, 2019.</w:t>
        <w:br/>
      </w:r>
      <w:hyperlink r:id="rId14">
        <w:r>
          <w:rPr>
            <w:rStyle w:val="InternetLink"/>
            <w:sz w:val="24"/>
            <w:lang w:val="fr-FR"/>
          </w:rPr>
          <w:t>https://www.cnsa.fr/outils-methodes-et-territoires-organisation-de-loffre/programmation-et-creation-de-places-en-etablissement-ou-service/le-bilan-des-plans</w:t>
        </w:r>
      </w:hyperlink>
    </w:p>
    <w:p>
      <w:pPr>
        <w:pStyle w:val="TextBody"/>
        <w:numPr>
          <w:ilvl w:val="0"/>
          <w:numId w:val="2"/>
        </w:numPr>
        <w:spacing w:lineRule="auto" w:line="276"/>
        <w:jc w:val="left"/>
        <w:rPr>
          <w:rFonts w:ascii="Times New Roman" w:hAnsi="Times New Roman"/>
          <w:sz w:val="24"/>
          <w:lang w:val="en-GB"/>
        </w:rPr>
      </w:pPr>
      <w:bookmarkStart w:id="42" w:name="__RefNumPara__1897_234535675"/>
      <w:bookmarkEnd w:id="42"/>
      <w:r>
        <w:rPr>
          <w:sz w:val="24"/>
          <w:lang w:val="fr-FR"/>
        </w:rPr>
        <w:t>Conseil Supérieur de la Santé, Belgi</w:t>
      </w:r>
      <w:r>
        <w:rPr>
          <w:sz w:val="24"/>
          <w:lang w:val="fr-FR"/>
        </w:rPr>
        <w:t>que</w:t>
      </w:r>
      <w:r>
        <w:rPr>
          <w:sz w:val="24"/>
          <w:lang w:val="fr-FR"/>
        </w:rPr>
        <w:t>, 2019: DSM(5) : Utilisation et statut du diagnostic et des classifications des problèmes de santé mentale.</w:t>
        <w:br/>
      </w:r>
      <w:hyperlink r:id="rId15">
        <w:r>
          <w:rPr>
            <w:rStyle w:val="InternetLink"/>
            <w:sz w:val="24"/>
            <w:lang w:val="fr-FR"/>
          </w:rPr>
          <w:t>https://www.health.belgium.be/sites/default/files/uploads/fields/fpshealth_theme_file/css_9360_dsm5.pdf</w:t>
        </w:r>
      </w:hyperlink>
    </w:p>
    <w:p>
      <w:pPr>
        <w:pStyle w:val="TextBody"/>
        <w:numPr>
          <w:ilvl w:val="0"/>
          <w:numId w:val="2"/>
        </w:numPr>
        <w:spacing w:lineRule="auto" w:line="276"/>
        <w:jc w:val="left"/>
        <w:rPr>
          <w:rFonts w:ascii="Times New Roman" w:hAnsi="Times New Roman"/>
          <w:sz w:val="24"/>
          <w:lang w:val="en-GB"/>
        </w:rPr>
      </w:pPr>
      <w:bookmarkStart w:id="43" w:name="__RefNumPara__3144_234535675"/>
      <w:bookmarkEnd w:id="43"/>
      <w:r>
        <w:rPr>
          <w:sz w:val="24"/>
          <w:lang w:val="fr-FR"/>
        </w:rPr>
        <w:t xml:space="preserve">Mental Health Europe: A Short Guide to Psychiatric Diagnosis, 2020. </w:t>
        <w:br/>
      </w:r>
      <w:hyperlink r:id="rId16">
        <w:r>
          <w:rPr>
            <w:rStyle w:val="InternetLink"/>
            <w:sz w:val="24"/>
            <w:lang w:val="fr-FR"/>
          </w:rPr>
          <w:t>https://mhe-sme.org/wp-content/uploads/2018/09/A-short-guide-to-Psychiatric-Diagnosis-FINAL.pdf</w:t>
        </w:r>
      </w:hyperlink>
    </w:p>
    <w:p>
      <w:pPr>
        <w:pStyle w:val="TextBody"/>
        <w:numPr>
          <w:ilvl w:val="0"/>
          <w:numId w:val="2"/>
        </w:numPr>
        <w:spacing w:lineRule="auto" w:line="276"/>
        <w:jc w:val="left"/>
        <w:rPr>
          <w:rFonts w:ascii="Times New Roman" w:hAnsi="Times New Roman"/>
          <w:sz w:val="24"/>
          <w:lang w:val="en-GB"/>
        </w:rPr>
      </w:pPr>
      <w:bookmarkStart w:id="44" w:name="__RefNumPara__3148_234535675"/>
      <w:bookmarkEnd w:id="44"/>
      <w:r>
        <w:rPr>
          <w:sz w:val="24"/>
          <w:lang w:val="fr-FR"/>
        </w:rPr>
        <w:t>A</w:t>
      </w:r>
      <w:r>
        <w:rPr>
          <w:sz w:val="24"/>
          <w:lang w:val="fr-FR"/>
        </w:rPr>
        <w:t>utorisation de mise sur le marché du rispéridone en pédopsychiatrie.</w:t>
        <w:br/>
      </w:r>
      <w:hyperlink r:id="rId17">
        <w:r>
          <w:rPr>
            <w:rStyle w:val="InternetLink"/>
            <w:sz w:val="24"/>
            <w:lang w:val="fr-FR"/>
          </w:rPr>
          <w:t>http://agence-prd.ansm.sante.fr/php/ecodex/rcp/R0306587.htm</w:t>
        </w:r>
      </w:hyperlink>
    </w:p>
    <w:p>
      <w:pPr>
        <w:pStyle w:val="TextBody"/>
        <w:numPr>
          <w:ilvl w:val="0"/>
          <w:numId w:val="2"/>
        </w:numPr>
        <w:spacing w:lineRule="auto" w:line="276"/>
        <w:jc w:val="left"/>
        <w:rPr>
          <w:rFonts w:ascii="Times New Roman" w:hAnsi="Times New Roman"/>
          <w:sz w:val="24"/>
          <w:lang w:val="en-GB"/>
        </w:rPr>
      </w:pPr>
      <w:bookmarkStart w:id="45" w:name="__RefNumPara__3173_234535675"/>
      <w:bookmarkEnd w:id="45"/>
      <w:r>
        <w:rPr>
          <w:sz w:val="24"/>
          <w:lang w:val="fr-FR"/>
        </w:rPr>
        <w:t>Michael S Lidow, Zan-Min Song, Stacy A Castner, Patrick B Allen, Paul Greengard, Patricia S Goldman-Rakic, Antipsychotic treatment induces alterations in dendrite- and spine-associated proteins in dopamine-rich areas of the primate cerebral cortex, Biological Psychiatry, Volume 49, Issue 1, 2001, Pages 1-12, ISSN 0006-3223,</w:t>
        <w:br/>
      </w:r>
      <w:hyperlink r:id="rId18">
        <w:r>
          <w:rPr>
            <w:rStyle w:val="InternetLink"/>
            <w:sz w:val="24"/>
            <w:lang w:val="fr-FR"/>
          </w:rPr>
          <w:t>https://doi.org/10.1016/S0006-3223(00)01058-1</w:t>
        </w:r>
      </w:hyperlink>
      <w:r>
        <w:rPr>
          <w:sz w:val="24"/>
          <w:lang w:val="fr-FR"/>
        </w:rPr>
        <w:t>.</w:t>
      </w:r>
    </w:p>
    <w:p>
      <w:pPr>
        <w:pStyle w:val="TextBody"/>
        <w:numPr>
          <w:ilvl w:val="0"/>
          <w:numId w:val="2"/>
        </w:numPr>
        <w:spacing w:lineRule="auto" w:line="276"/>
        <w:jc w:val="left"/>
        <w:rPr>
          <w:rFonts w:ascii="Times New Roman" w:hAnsi="Times New Roman"/>
          <w:sz w:val="24"/>
          <w:lang w:val="en-GB"/>
        </w:rPr>
      </w:pPr>
      <w:r>
        <w:rPr>
          <w:sz w:val="24"/>
          <w:lang w:val="fr-FR"/>
        </w:rPr>
        <w:t>Bastiampillai, Tarun &amp; Parry, Peter &amp; Allison, Stephen. (2018). Can antipsychotic medication administered for paediatric emotional and behavioural disorders lead to brain atrophy?. Australian &amp; New Zealand Journal of Psychiatry.</w:t>
        <w:br/>
      </w:r>
      <w:hyperlink r:id="rId19">
        <w:r>
          <w:rPr>
            <w:rStyle w:val="InternetLink"/>
            <w:sz w:val="24"/>
            <w:lang w:val="fr-FR"/>
          </w:rPr>
          <w:t>https://www.researchgate.net/publication/327512494_Can_antipsychotic_medication_administered_for_paediatric_emotional_and_behavioural_disorders_lead_to_brain_atrophy/citation/download</w:t>
        </w:r>
      </w:hyperlink>
    </w:p>
    <w:p>
      <w:pPr>
        <w:pStyle w:val="TextBody"/>
        <w:numPr>
          <w:ilvl w:val="0"/>
          <w:numId w:val="2"/>
        </w:numPr>
        <w:spacing w:lineRule="auto" w:line="276"/>
        <w:jc w:val="left"/>
        <w:rPr>
          <w:rFonts w:ascii="Times New Roman" w:hAnsi="Times New Roman"/>
          <w:sz w:val="24"/>
          <w:lang w:val="en-GB"/>
        </w:rPr>
      </w:pPr>
      <w:bookmarkStart w:id="46" w:name="__RefNumPara__4608_234535675"/>
      <w:bookmarkEnd w:id="46"/>
      <w:r>
        <w:rPr>
          <w:sz w:val="24"/>
          <w:lang w:val="fr-FR"/>
        </w:rPr>
        <w:t>Ho BC, Andreasen NC, Ziebell S, Pierson R, Magnotta V. Long-term Antipsychotic Treatment and Brain Volumes: A Longitudinal Study of First-Episode Schizophrenia. Arch Gen Psychiatry 2011 Feb;68(2):128-37.</w:t>
        <w:br/>
      </w:r>
      <w:hyperlink r:id="rId20">
        <w:r>
          <w:rPr>
            <w:rStyle w:val="InternetLink"/>
            <w:sz w:val="24"/>
            <w:lang w:val="fr-FR"/>
          </w:rPr>
          <w:t>https://www.researchgate.net/publication/49817143_Long-</w:t>
        </w:r>
      </w:hyperlink>
      <w:hyperlink r:id="rId21">
        <w:r>
          <w:rPr>
            <w:rStyle w:val="InternetLink"/>
            <w:sz w:val="24"/>
            <w:lang w:val="fr-FR"/>
          </w:rPr>
          <w:t>term_Antipsychotic_Treatment_and_Brain_Volumes_A_Longitudinal_Study_of_First-Episode_Schizophrenia</w:t>
        </w:r>
      </w:hyperlink>
    </w:p>
    <w:p>
      <w:pPr>
        <w:pStyle w:val="TextBody"/>
        <w:numPr>
          <w:ilvl w:val="0"/>
          <w:numId w:val="2"/>
        </w:numPr>
        <w:spacing w:lineRule="auto" w:line="276"/>
        <w:jc w:val="left"/>
        <w:rPr>
          <w:rFonts w:ascii="Times New Roman" w:hAnsi="Times New Roman"/>
          <w:sz w:val="24"/>
          <w:lang w:val="en-GB"/>
        </w:rPr>
      </w:pPr>
      <w:bookmarkStart w:id="47" w:name="__RefNumPara__3175_234535675"/>
      <w:bookmarkEnd w:id="47"/>
      <w:r>
        <w:rPr>
          <w:sz w:val="24"/>
          <w:lang w:val="fr-FR"/>
        </w:rPr>
        <w:t>Pringsheim T, Lam D, Ching H, Patten S. Metabolic and neurological complications of second-generation antipsychotic use in children: a systematic review and meta-analysis of randomized controlled trials. Drug Saf. 2011.</w:t>
        <w:br/>
      </w:r>
      <w:hyperlink r:id="rId22">
        <w:r>
          <w:rPr>
            <w:rStyle w:val="InternetLink"/>
            <w:sz w:val="24"/>
            <w:lang w:val="fr-FR"/>
          </w:rPr>
          <w:t>https://pubmed.ncbi.nlm.nih.gov/21751826/</w:t>
        </w:r>
      </w:hyperlink>
    </w:p>
    <w:p>
      <w:pPr>
        <w:pStyle w:val="TextBody"/>
        <w:numPr>
          <w:ilvl w:val="0"/>
          <w:numId w:val="2"/>
        </w:numPr>
        <w:spacing w:lineRule="auto" w:line="276"/>
        <w:jc w:val="left"/>
        <w:rPr>
          <w:rFonts w:ascii="Times New Roman" w:hAnsi="Times New Roman"/>
          <w:sz w:val="24"/>
          <w:lang w:val="en-GB"/>
        </w:rPr>
      </w:pPr>
      <w:bookmarkStart w:id="48" w:name="__RefNumPara__3177_234535675"/>
      <w:bookmarkEnd w:id="48"/>
      <w:r>
        <w:rPr>
          <w:sz w:val="24"/>
          <w:lang w:val="fr-FR"/>
        </w:rPr>
        <w:t>Ikwunga Wonodi, Gloria Reeves, Dana Carmichael, Ilene Verovsky, Matthew T. Avila, Amie Elliott, L. Elliot Hong, Helene M. Adami, Gunvant K. Thaker. Tardive dyskinesia in children treated with atypical antipsychotic medications, 2007.</w:t>
        <w:br/>
      </w:r>
      <w:hyperlink r:id="rId23">
        <w:r>
          <w:rPr>
            <w:rStyle w:val="InternetLink"/>
            <w:sz w:val="24"/>
            <w:lang w:val="fr-FR"/>
          </w:rPr>
          <w:t>https://doi.org/10.1002/mds.21618</w:t>
        </w:r>
      </w:hyperlink>
    </w:p>
    <w:p>
      <w:pPr>
        <w:pStyle w:val="TextBody"/>
        <w:numPr>
          <w:ilvl w:val="0"/>
          <w:numId w:val="2"/>
        </w:numPr>
        <w:spacing w:lineRule="auto" w:line="276"/>
        <w:jc w:val="left"/>
        <w:rPr>
          <w:rFonts w:ascii="Times New Roman" w:hAnsi="Times New Roman"/>
          <w:sz w:val="24"/>
          <w:lang w:val="en-GB"/>
        </w:rPr>
      </w:pPr>
      <w:bookmarkStart w:id="49" w:name="__RefNumPara__3179_234535675"/>
      <w:bookmarkEnd w:id="49"/>
      <w:r>
        <w:rPr>
          <w:sz w:val="24"/>
          <w:lang w:val="fr-FR"/>
        </w:rPr>
        <w:t xml:space="preserve">Antipsychotic Medication in Children and Adolescents: A Descriptive Review of the Effects on Prolactin Level and Associated Side Effects. Yvette Roke, Peter N. van Harten, Annemieke M. Boot, and Jan K. Buitelaar. Journal of Child and Adolescent Psychopharmacology 2009 19:4, 403-414 </w:t>
        <w:br/>
      </w:r>
      <w:hyperlink r:id="rId24">
        <w:r>
          <w:rPr>
            <w:rStyle w:val="InternetLink"/>
            <w:sz w:val="24"/>
            <w:lang w:val="fr-FR"/>
          </w:rPr>
          <w:t>https://doi.org/10.1089/cap.2008.0120</w:t>
        </w:r>
      </w:hyperlink>
    </w:p>
    <w:p>
      <w:pPr>
        <w:pStyle w:val="TextBody"/>
        <w:numPr>
          <w:ilvl w:val="0"/>
          <w:numId w:val="2"/>
        </w:numPr>
        <w:spacing w:lineRule="auto" w:line="276"/>
        <w:jc w:val="left"/>
        <w:rPr>
          <w:rFonts w:ascii="Times New Roman" w:hAnsi="Times New Roman"/>
          <w:sz w:val="24"/>
          <w:lang w:val="en-GB"/>
        </w:rPr>
      </w:pPr>
      <w:r>
        <w:rPr>
          <w:sz w:val="24"/>
          <w:lang w:val="fr-FR"/>
        </w:rPr>
        <w:t>Horowitz, M. A., Jauhar, S., Natesan, S., Murray, R. M., &amp; Taylor, D. (2021). A method for tapering antipsychotic treatment that may minimize the risk of relapse. Schizophrenia Bulletin.</w:t>
        <w:br/>
      </w:r>
      <w:hyperlink r:id="rId25">
        <w:r>
          <w:rPr>
            <w:rStyle w:val="InternetLink"/>
            <w:sz w:val="24"/>
            <w:lang w:val="fr-FR"/>
          </w:rPr>
          <w:t>https://academic.oup.com/schizophreniabulletin/advance-article/doi/10.1093/schbul/sbab017/6178746</w:t>
        </w:r>
      </w:hyperlink>
    </w:p>
    <w:p>
      <w:pPr>
        <w:pStyle w:val="TextBody"/>
        <w:numPr>
          <w:ilvl w:val="0"/>
          <w:numId w:val="2"/>
        </w:numPr>
        <w:spacing w:lineRule="auto" w:line="276"/>
        <w:jc w:val="left"/>
        <w:rPr>
          <w:rFonts w:ascii="Times New Roman" w:hAnsi="Times New Roman"/>
          <w:sz w:val="24"/>
          <w:lang w:val="en-GB"/>
        </w:rPr>
      </w:pPr>
      <w:bookmarkStart w:id="50" w:name="__RefNumPara__4591_234535675"/>
      <w:bookmarkEnd w:id="50"/>
      <w:r>
        <w:rPr>
          <w:sz w:val="24"/>
          <w:lang w:val="fr-FR"/>
        </w:rPr>
        <w:t>Chouinard Guy, et collègues, 2017: Antipsychotic-Induced Dopamine Supersensitivity Psychosis: Pharmacology, Criteria, and Therapy.</w:t>
        <w:br/>
      </w:r>
      <w:hyperlink r:id="rId26">
        <w:r>
          <w:rPr>
            <w:rStyle w:val="InternetLink"/>
            <w:sz w:val="24"/>
            <w:lang w:val="fr-FR"/>
          </w:rPr>
          <w:t>https://www.karger.com/Article/FullText/477313</w:t>
        </w:r>
      </w:hyperlink>
    </w:p>
    <w:p>
      <w:pPr>
        <w:pStyle w:val="TextBody"/>
        <w:numPr>
          <w:ilvl w:val="0"/>
          <w:numId w:val="2"/>
        </w:numPr>
        <w:spacing w:lineRule="auto" w:line="276"/>
        <w:jc w:val="left"/>
        <w:rPr>
          <w:rFonts w:ascii="Times New Roman" w:hAnsi="Times New Roman"/>
          <w:sz w:val="24"/>
          <w:lang w:val="en-GB"/>
        </w:rPr>
      </w:pPr>
      <w:bookmarkStart w:id="51" w:name="__RefNumPara__3181_234535675"/>
      <w:bookmarkEnd w:id="51"/>
      <w:r>
        <w:rPr>
          <w:sz w:val="24"/>
          <w:lang w:val="fr-FR"/>
        </w:rPr>
        <w:t>Neuroleptic Malignant Syndrome in Children and Adolescents on Atypical Antipsychotic Medication: A Review. Rachel Neuhut, Jean-Pierre Lindenmayer, and Raul Silva.Journal of Child and Adolescent Psychopharmacology.Aug 2009.415-422.</w:t>
        <w:br/>
      </w:r>
      <w:hyperlink r:id="rId27">
        <w:r>
          <w:rPr>
            <w:rStyle w:val="InternetLink"/>
            <w:sz w:val="24"/>
            <w:lang w:val="fr-FR"/>
          </w:rPr>
          <w:t>http://doi.org/10.1089/cap.2008.0130</w:t>
        </w:r>
      </w:hyperlink>
    </w:p>
    <w:p>
      <w:pPr>
        <w:pStyle w:val="TextBody"/>
        <w:numPr>
          <w:ilvl w:val="0"/>
          <w:numId w:val="2"/>
        </w:numPr>
        <w:spacing w:lineRule="auto" w:line="276"/>
        <w:jc w:val="left"/>
        <w:rPr>
          <w:rFonts w:ascii="Times New Roman" w:hAnsi="Times New Roman"/>
          <w:sz w:val="24"/>
          <w:lang w:val="en-GB"/>
        </w:rPr>
      </w:pPr>
      <w:bookmarkStart w:id="52" w:name="__RefNumPara__3183_234535675"/>
      <w:bookmarkEnd w:id="52"/>
      <w:r>
        <w:rPr>
          <w:sz w:val="24"/>
          <w:lang w:val="fr-FR"/>
        </w:rPr>
        <w:t>Carlezon WA, Konradi C, Neuropharmacology, 2004 Understanding the neurobiological consequences of early exposure to psychotropic drugs: linking behavior with molecules</w:t>
        <w:br/>
      </w:r>
      <w:hyperlink r:id="rId28">
        <w:r>
          <w:rPr>
            <w:rStyle w:val="InternetLink"/>
            <w:sz w:val="24"/>
            <w:lang w:val="fr-FR"/>
          </w:rPr>
          <w:t>http://www.sciencedirect.com/science/article/pii/S0028390804001820</w:t>
        </w:r>
      </w:hyperlink>
    </w:p>
    <w:p>
      <w:pPr>
        <w:pStyle w:val="TextBody"/>
        <w:numPr>
          <w:ilvl w:val="0"/>
          <w:numId w:val="2"/>
        </w:numPr>
        <w:spacing w:lineRule="auto" w:line="276"/>
        <w:jc w:val="left"/>
        <w:rPr>
          <w:rFonts w:ascii="Times New Roman" w:hAnsi="Times New Roman"/>
          <w:sz w:val="24"/>
          <w:lang w:val="en-GB"/>
        </w:rPr>
      </w:pPr>
      <w:bookmarkStart w:id="53" w:name="__RefNumPara__3185_234535675"/>
      <w:bookmarkEnd w:id="53"/>
      <w:r>
        <w:rPr>
          <w:sz w:val="24"/>
          <w:lang w:val="fr-FR"/>
        </w:rPr>
        <w:t>Methylphenidate Causes Behavioral Impairments and Neuron and Astrocyte Loss in the Hippocampus of Juvenile Rats. Schmitz, F., Pierozan, P., Rodrigues, A.F. et al. Mol Neurobiol (2016). doi:10.1007/s12035-016-9987-y</w:t>
        <w:br/>
      </w:r>
      <w:hyperlink r:id="rId29">
        <w:r>
          <w:rPr>
            <w:rStyle w:val="InternetLink"/>
            <w:sz w:val="24"/>
            <w:lang w:val="fr-FR"/>
          </w:rPr>
          <w:t>http://link.springer.com/article/10.1007/s12035-016-9987-y</w:t>
        </w:r>
      </w:hyperlink>
    </w:p>
    <w:p>
      <w:pPr>
        <w:pStyle w:val="TextBody"/>
        <w:numPr>
          <w:ilvl w:val="0"/>
          <w:numId w:val="2"/>
        </w:numPr>
        <w:spacing w:lineRule="auto" w:line="276"/>
        <w:jc w:val="left"/>
        <w:rPr>
          <w:rFonts w:ascii="Times New Roman" w:hAnsi="Times New Roman"/>
          <w:sz w:val="24"/>
          <w:lang w:val="en-GB"/>
        </w:rPr>
      </w:pPr>
      <w:r>
        <w:rPr>
          <w:sz w:val="24"/>
          <w:lang w:val="fr-FR"/>
        </w:rPr>
        <w:t>White Matter by Diffusion MRI Following Methylphenidate Treatment: A Randomized Control Trial in Males with Attention-Deficit/Hyperactivity Disorder. Cheima Bouziane, Olena G. Filatova, Anouk Schrantee, Matthan W. A. Caan, Frans M. Vos, and Liesbeth Reneman Radiology 2019 293:1, 186-192</w:t>
        <w:br/>
      </w:r>
      <w:hyperlink r:id="rId30">
        <w:r>
          <w:rPr>
            <w:rStyle w:val="InternetLink"/>
            <w:sz w:val="24"/>
            <w:lang w:val="fr-FR"/>
          </w:rPr>
          <w:t>https://pubs.rsna.org/doi/10.1148/radiol.2019182528</w:t>
        </w:r>
      </w:hyperlink>
    </w:p>
    <w:p>
      <w:pPr>
        <w:pStyle w:val="TextBody"/>
        <w:numPr>
          <w:ilvl w:val="0"/>
          <w:numId w:val="2"/>
        </w:numPr>
        <w:spacing w:lineRule="auto" w:line="276"/>
        <w:jc w:val="left"/>
        <w:rPr>
          <w:rFonts w:ascii="Times New Roman" w:hAnsi="Times New Roman"/>
          <w:sz w:val="24"/>
          <w:lang w:val="en-GB"/>
        </w:rPr>
      </w:pPr>
      <w:bookmarkStart w:id="54" w:name="__RefNumPara__3187_234535675"/>
      <w:bookmarkEnd w:id="54"/>
      <w:r>
        <w:rPr>
          <w:sz w:val="24"/>
          <w:lang w:val="fr-FR"/>
        </w:rPr>
        <w:t>Curtin, K., Fleckenstein, A.E., Keeshin, B.R. et al. Increased risk of diseases of the basal ganglia and cerebellum in patients with a history of attention-deficit/hyperactivity disorder. Neuropsychopharmacol 43, 2548–2555 (2018).</w:t>
        <w:br/>
      </w:r>
      <w:hyperlink r:id="rId31">
        <w:r>
          <w:rPr>
            <w:rStyle w:val="InternetLink"/>
            <w:sz w:val="24"/>
            <w:lang w:val="fr-FR"/>
          </w:rPr>
          <w:t>https://doi.org/10.1038/s41386-018-0207-5</w:t>
        </w:r>
      </w:hyperlink>
    </w:p>
    <w:p>
      <w:pPr>
        <w:pStyle w:val="TextBody"/>
        <w:numPr>
          <w:ilvl w:val="0"/>
          <w:numId w:val="2"/>
        </w:numPr>
        <w:spacing w:lineRule="auto" w:line="276"/>
        <w:jc w:val="left"/>
        <w:rPr>
          <w:rFonts w:ascii="Times New Roman" w:hAnsi="Times New Roman"/>
          <w:sz w:val="24"/>
          <w:lang w:val="en-GB"/>
        </w:rPr>
      </w:pPr>
      <w:bookmarkStart w:id="55" w:name="__RefNumPara__3189_234535675"/>
      <w:bookmarkEnd w:id="55"/>
      <w:r>
        <w:rPr>
          <w:sz w:val="24"/>
          <w:lang w:val="fr-FR"/>
        </w:rPr>
        <w:t>Swanson, 2006, Stimulant-Related Reductions of Growth Rates in the PATS.</w:t>
        <w:br/>
      </w:r>
      <w:hyperlink r:id="rId32">
        <w:r>
          <w:rPr>
            <w:rStyle w:val="InternetLink"/>
            <w:sz w:val="24"/>
            <w:lang w:val="fr-FR"/>
          </w:rPr>
          <w:t>http://doi.org/10.1097/01.chi.0000235075.25038.5a</w:t>
        </w:r>
      </w:hyperlink>
    </w:p>
    <w:p>
      <w:pPr>
        <w:pStyle w:val="TextBody"/>
        <w:numPr>
          <w:ilvl w:val="0"/>
          <w:numId w:val="2"/>
        </w:numPr>
        <w:spacing w:lineRule="auto" w:line="276"/>
        <w:jc w:val="left"/>
        <w:rPr>
          <w:rFonts w:ascii="Times New Roman" w:hAnsi="Times New Roman"/>
          <w:sz w:val="24"/>
          <w:lang w:val="en-GB"/>
        </w:rPr>
      </w:pPr>
      <w:bookmarkStart w:id="56" w:name="__RefNumPara__3191_234535675"/>
      <w:bookmarkEnd w:id="56"/>
      <w:r>
        <w:rPr>
          <w:sz w:val="24"/>
          <w:lang w:val="fr-FR"/>
        </w:rPr>
        <w:t>Breck G. Borcherding, Cynthia S. Keysor, Judith L. Rapoport, Josephine Elia, Janet Amass, Motor/vocal tics and compulsive behaviors on stimulant drugs: Is there a common vulnerability? Psychiatry Research, Volume 33, Issue 1, 1990, Pages 83-94, ISSN 0165-1781.</w:t>
        <w:br/>
      </w:r>
      <w:hyperlink r:id="rId33">
        <w:r>
          <w:rPr>
            <w:rStyle w:val="InternetLink"/>
            <w:sz w:val="24"/>
            <w:lang w:val="fr-FR"/>
          </w:rPr>
          <w:t>https://doi.org/10.1016/0165-1781(90)90151-T</w:t>
        </w:r>
      </w:hyperlink>
    </w:p>
    <w:p>
      <w:pPr>
        <w:pStyle w:val="TextBody"/>
        <w:numPr>
          <w:ilvl w:val="0"/>
          <w:numId w:val="2"/>
        </w:numPr>
        <w:spacing w:lineRule="auto" w:line="276"/>
        <w:jc w:val="left"/>
        <w:rPr>
          <w:rFonts w:ascii="Times New Roman" w:hAnsi="Times New Roman"/>
          <w:sz w:val="24"/>
          <w:lang w:val="en-GB"/>
        </w:rPr>
      </w:pPr>
      <w:r>
        <w:rPr>
          <w:sz w:val="24"/>
          <w:lang w:val="fr-FR"/>
        </w:rPr>
        <w:t>Adult  ADHD Self-Report Scale-V1.1 (ASRS-V1.1) Symptoms Checklistfrom WHO Composite International Diagnostic Interview.</w:t>
        <w:br/>
      </w:r>
      <w:hyperlink r:id="rId34">
        <w:r>
          <w:rPr>
            <w:rStyle w:val="InternetLink"/>
            <w:sz w:val="24"/>
            <w:lang w:val="fr-FR"/>
          </w:rPr>
          <w:t>https://www.hcp.med.harvard.edu/ncs/ftpdir/adhd/18Q_ASRS_English.pdf</w:t>
        </w:r>
      </w:hyperlink>
    </w:p>
    <w:p>
      <w:pPr>
        <w:pStyle w:val="TextBody"/>
        <w:numPr>
          <w:ilvl w:val="0"/>
          <w:numId w:val="2"/>
        </w:numPr>
        <w:spacing w:lineRule="auto" w:line="276"/>
        <w:jc w:val="left"/>
        <w:rPr>
          <w:rFonts w:ascii="Times New Roman" w:hAnsi="Times New Roman"/>
          <w:sz w:val="24"/>
          <w:lang w:val="en-GB"/>
        </w:rPr>
      </w:pPr>
      <w:bookmarkStart w:id="57" w:name="__RefNumPara__3193_234535675"/>
      <w:bookmarkEnd w:id="57"/>
      <w:r>
        <w:rPr>
          <w:sz w:val="24"/>
          <w:lang w:val="fr-FR"/>
        </w:rPr>
        <w:t>Karanges, E. and I. McGregor. “Antidepressants and adolescent brain development.” Future Neurology 6 (2011): 783-808.</w:t>
        <w:br/>
      </w:r>
      <w:r>
        <w:fldChar w:fldCharType="begin"/>
      </w:r>
      <w:r>
        <w:rPr>
          <w:rStyle w:val="InternetLink"/>
          <w:sz w:val="24"/>
          <w:lang w:val="fr-FR"/>
        </w:rPr>
        <w:instrText> HYPERLINK "https://www.semanticscholar.org/paper/Antidepressants-and-adolescent-brain-development-Karanges-McGregor/cfa14be5d25be4e4ccb6228c45ad76b6460f2d73" \l "citing-papers"</w:instrText>
      </w:r>
      <w:r>
        <w:rPr>
          <w:rStyle w:val="InternetLink"/>
          <w:sz w:val="24"/>
          <w:lang w:val="fr-FR"/>
        </w:rPr>
        <w:fldChar w:fldCharType="separate"/>
      </w:r>
      <w:r>
        <w:rPr>
          <w:rStyle w:val="InternetLink"/>
          <w:sz w:val="24"/>
          <w:lang w:val="fr-FR"/>
        </w:rPr>
        <w:t>https://www.semanticscholar.org/paper/Antidepressants-and-adolescent-brain-development-Karanges-McGregor/cfa14be5d25be4e4ccb6228c45ad76b6460f2d73#citing-papers</w:t>
      </w:r>
      <w:r>
        <w:rPr>
          <w:rStyle w:val="InternetLink"/>
          <w:sz w:val="24"/>
          <w:lang w:val="fr-FR"/>
        </w:rPr>
        <w:fldChar w:fldCharType="end"/>
      </w:r>
    </w:p>
    <w:p>
      <w:pPr>
        <w:pStyle w:val="TextBody"/>
        <w:numPr>
          <w:ilvl w:val="0"/>
          <w:numId w:val="2"/>
        </w:numPr>
        <w:spacing w:lineRule="auto" w:line="276"/>
        <w:jc w:val="left"/>
        <w:rPr>
          <w:rFonts w:ascii="Times New Roman" w:hAnsi="Times New Roman"/>
          <w:sz w:val="24"/>
          <w:lang w:val="en-GB"/>
        </w:rPr>
      </w:pPr>
      <w:bookmarkStart w:id="58" w:name="__RefNumPara__3195_234535675"/>
      <w:bookmarkEnd w:id="58"/>
      <w:r>
        <w:rPr>
          <w:sz w:val="24"/>
          <w:lang w:val="fr-FR"/>
        </w:rPr>
        <w:t>Peter Breggin’s Antidepressant Drug Resource &amp; Information Center</w:t>
        <w:br/>
      </w:r>
      <w:hyperlink r:id="rId35">
        <w:r>
          <w:rPr>
            <w:rStyle w:val="InternetLink"/>
            <w:sz w:val="24"/>
            <w:lang w:val="fr-FR"/>
          </w:rPr>
          <w:t>https://breggin.com/antidepressant-drugs-resource-center/</w:t>
        </w:r>
      </w:hyperlink>
    </w:p>
    <w:p>
      <w:pPr>
        <w:pStyle w:val="TextBody"/>
        <w:numPr>
          <w:ilvl w:val="0"/>
          <w:numId w:val="2"/>
        </w:numPr>
        <w:spacing w:lineRule="auto" w:line="276"/>
        <w:jc w:val="left"/>
        <w:rPr>
          <w:rFonts w:ascii="Times New Roman" w:hAnsi="Times New Roman"/>
          <w:sz w:val="24"/>
          <w:lang w:val="en-GB"/>
        </w:rPr>
      </w:pPr>
      <w:bookmarkStart w:id="59" w:name="__RefNumPara__3197_234535675"/>
      <w:bookmarkEnd w:id="59"/>
      <w:r>
        <w:rPr>
          <w:sz w:val="24"/>
          <w:lang w:val="fr-FR"/>
        </w:rPr>
        <w:t>Reisman Y. Post-SSRI sexual dysfunction BMJ 2020; 368 :m754 doi:10.1136/bmj.m754</w:t>
        <w:br/>
      </w:r>
      <w:hyperlink r:id="rId36">
        <w:r>
          <w:rPr>
            <w:rStyle w:val="InternetLink"/>
            <w:sz w:val="24"/>
            <w:lang w:val="fr-FR"/>
          </w:rPr>
          <w:t>https://www.bmj.com/content/368/bmj.m754</w:t>
        </w:r>
      </w:hyperlink>
    </w:p>
    <w:p>
      <w:pPr>
        <w:pStyle w:val="TextBody"/>
        <w:numPr>
          <w:ilvl w:val="0"/>
          <w:numId w:val="2"/>
        </w:numPr>
        <w:spacing w:lineRule="auto" w:line="276"/>
        <w:jc w:val="left"/>
        <w:rPr>
          <w:rFonts w:ascii="Times New Roman" w:hAnsi="Times New Roman"/>
          <w:sz w:val="24"/>
          <w:lang w:val="en-GB"/>
        </w:rPr>
      </w:pPr>
      <w:bookmarkStart w:id="60" w:name="__RefNumPara__3199_234535675"/>
      <w:bookmarkEnd w:id="60"/>
      <w:r>
        <w:rPr>
          <w:sz w:val="24"/>
          <w:lang w:val="fr-FR"/>
        </w:rPr>
        <w:t>David Healy. post-SSRI sexual dysfunction.</w:t>
        <w:br/>
      </w:r>
      <w:hyperlink r:id="rId37">
        <w:r>
          <w:rPr>
            <w:rStyle w:val="InternetLink"/>
            <w:sz w:val="24"/>
            <w:lang w:val="fr-FR"/>
          </w:rPr>
          <w:t>https://rxisk.org/post-ssri-sexual-dysfunction-pssd/</w:t>
        </w:r>
      </w:hyperlink>
    </w:p>
    <w:p>
      <w:pPr>
        <w:pStyle w:val="TextBody"/>
        <w:numPr>
          <w:ilvl w:val="0"/>
          <w:numId w:val="2"/>
        </w:numPr>
        <w:spacing w:lineRule="auto" w:line="276"/>
        <w:jc w:val="left"/>
        <w:rPr>
          <w:rFonts w:ascii="Times New Roman" w:hAnsi="Times New Roman"/>
          <w:sz w:val="24"/>
          <w:lang w:val="en-GB"/>
        </w:rPr>
      </w:pPr>
      <w:r>
        <w:rPr>
          <w:sz w:val="24"/>
          <w:lang w:val="fr-FR"/>
        </w:rPr>
        <w:t>Stopping antidepressants, Royal College of Psychiatrists, UK</w:t>
        <w:br/>
      </w:r>
      <w:hyperlink r:id="rId38">
        <w:r>
          <w:rPr>
            <w:rStyle w:val="InternetLink"/>
            <w:sz w:val="24"/>
            <w:lang w:val="fr-FR"/>
          </w:rPr>
          <w:t>https://www.rcpsych.ac.uk/mental-health/treatments-and-wellbeing/stopping-antidepressants</w:t>
        </w:r>
      </w:hyperlink>
    </w:p>
    <w:p>
      <w:pPr>
        <w:pStyle w:val="TextBody"/>
        <w:numPr>
          <w:ilvl w:val="0"/>
          <w:numId w:val="2"/>
        </w:numPr>
        <w:spacing w:lineRule="auto" w:line="276"/>
        <w:jc w:val="left"/>
        <w:rPr>
          <w:rFonts w:ascii="Times New Roman" w:hAnsi="Times New Roman"/>
          <w:sz w:val="24"/>
          <w:lang w:val="fr-FR"/>
        </w:rPr>
      </w:pPr>
      <w:r>
        <w:rPr>
          <w:sz w:val="24"/>
          <w:lang w:val="fr-FR"/>
        </w:rPr>
        <w:t>Cracked: Why Psychiatry is Doing More Harm Than Good, James Davies, Icon Books, 2014.</w:t>
      </w:r>
    </w:p>
    <w:p>
      <w:pPr>
        <w:pStyle w:val="TextBody"/>
        <w:numPr>
          <w:ilvl w:val="0"/>
          <w:numId w:val="2"/>
        </w:numPr>
        <w:spacing w:lineRule="auto" w:line="276"/>
        <w:jc w:val="left"/>
        <w:rPr>
          <w:rFonts w:ascii="Times New Roman" w:hAnsi="Times New Roman"/>
          <w:sz w:val="24"/>
          <w:lang w:val="fr-FR"/>
        </w:rPr>
      </w:pPr>
      <w:bookmarkStart w:id="61" w:name="__RefNumPara__1899_234535675"/>
      <w:bookmarkEnd w:id="61"/>
      <w:r>
        <w:rPr>
          <w:sz w:val="24"/>
          <w:lang w:val="fr-FR"/>
        </w:rPr>
        <w:t xml:space="preserve">Parenting the Whole Child: A Holistic Child Psychiatrist Offers Practical Wisdom on Behavior, Brain Health, Nutrition, Exercise, Family Life, Peer Relationships, School Life, Trauma, Medication, and More, Scott M. Shannon, Emily Heckman, Norton Company, </w:t>
      </w:r>
      <w:r>
        <w:rPr>
          <w:sz w:val="24"/>
          <w:lang w:val="fr-FR"/>
        </w:rPr>
        <w:t>2014.</w:t>
      </w:r>
    </w:p>
    <w:p>
      <w:pPr>
        <w:pStyle w:val="TextBody"/>
        <w:numPr>
          <w:ilvl w:val="0"/>
          <w:numId w:val="2"/>
        </w:numPr>
        <w:spacing w:lineRule="auto" w:line="276"/>
        <w:jc w:val="left"/>
        <w:rPr/>
      </w:pPr>
      <w:bookmarkStart w:id="62" w:name="__RefNumPara__3138_234535675"/>
      <w:bookmarkEnd w:id="62"/>
      <w:r>
        <w:rPr>
          <w:lang w:val="fr-FR"/>
        </w:rPr>
        <w:t>The Rights of Children and Parents In Regard to Children Receiving Psychiatric Diagnoses and Drugs. Peter R. Breggin 17 April 2014.</w:t>
        <w:br/>
      </w:r>
      <w:hyperlink r:id="rId39">
        <w:r>
          <w:rPr>
            <w:rStyle w:val="InternetLink"/>
            <w:lang w:val="fr-FR"/>
          </w:rPr>
          <w:t>https://doi.org/10.1111/chso.12049</w:t>
        </w:r>
      </w:hyperlink>
      <w:r>
        <w:rPr>
          <w:lang w:val="fr-FR"/>
        </w:rPr>
        <w:t>.</w:t>
      </w:r>
    </w:p>
    <w:p>
      <w:pPr>
        <w:pStyle w:val="TextBody"/>
        <w:numPr>
          <w:ilvl w:val="0"/>
          <w:numId w:val="2"/>
        </w:numPr>
        <w:spacing w:lineRule="auto" w:line="276"/>
        <w:jc w:val="left"/>
        <w:rPr>
          <w:rFonts w:ascii="Times New Roman" w:hAnsi="Times New Roman"/>
          <w:sz w:val="24"/>
          <w:lang w:val="en-GB"/>
        </w:rPr>
      </w:pPr>
      <w:bookmarkStart w:id="63" w:name="__RefNumPara__2987_234535675"/>
      <w:bookmarkEnd w:id="63"/>
      <w:r>
        <w:rPr>
          <w:sz w:val="24"/>
          <w:lang w:val="fr-FR"/>
        </w:rPr>
        <w:t>Mental health survival kit and withdrawal from psychiatric drugs (2020) Peter C. Gøtzsche</w:t>
        <w:br/>
      </w:r>
      <w:hyperlink r:id="rId40">
        <w:r>
          <w:rPr>
            <w:rStyle w:val="InternetLink"/>
            <w:sz w:val="24"/>
            <w:lang w:val="fr-FR"/>
          </w:rPr>
          <w:t>https://www.deadlymedicines.dk/books/</w:t>
        </w:r>
      </w:hyperlink>
    </w:p>
    <w:p>
      <w:pPr>
        <w:pStyle w:val="TextBody"/>
        <w:numPr>
          <w:ilvl w:val="0"/>
          <w:numId w:val="2"/>
        </w:numPr>
        <w:spacing w:lineRule="auto" w:line="276"/>
        <w:jc w:val="left"/>
        <w:rPr>
          <w:rFonts w:ascii="Times New Roman" w:hAnsi="Times New Roman"/>
          <w:sz w:val="24"/>
          <w:lang w:val="fr-FR"/>
        </w:rPr>
      </w:pPr>
      <w:bookmarkStart w:id="64" w:name="__RefNumPara__6499_2069249561"/>
      <w:bookmarkEnd w:id="64"/>
      <w:r>
        <w:rPr>
          <w:sz w:val="24"/>
          <w:lang w:val="fr-FR"/>
        </w:rPr>
        <w:t>Joanna Moncrieff, "A straight talking introduction to psychiatric drugs: the truth about how they work and how to come off them." 2009, second edition, revised 2020, PCCS Books.</w:t>
      </w:r>
    </w:p>
    <w:p>
      <w:pPr>
        <w:pStyle w:val="TextBody"/>
        <w:numPr>
          <w:ilvl w:val="0"/>
          <w:numId w:val="2"/>
        </w:numPr>
        <w:spacing w:lineRule="auto" w:line="276"/>
        <w:jc w:val="left"/>
        <w:rPr>
          <w:rFonts w:ascii="Times New Roman" w:hAnsi="Times New Roman"/>
          <w:sz w:val="24"/>
          <w:lang w:val="en-GB"/>
        </w:rPr>
      </w:pPr>
      <w:bookmarkStart w:id="65" w:name="__RefNumPara__3888_3168646960"/>
      <w:bookmarkEnd w:id="65"/>
      <w:r>
        <w:rPr>
          <w:sz w:val="24"/>
          <w:lang w:val="fr-FR"/>
        </w:rPr>
        <w:t>Lucire Y (2016) Pharmacological Iatrogenesis: Substance/Medication-Induced Disorders That Masquerade as Mental Illness. Epidemiology (sunnyvale) 6:217. doi:10.4172/2161-1165.1000217</w:t>
        <w:br/>
      </w:r>
      <w:hyperlink r:id="rId41">
        <w:r>
          <w:rPr>
            <w:rStyle w:val="InternetLink"/>
            <w:sz w:val="24"/>
            <w:lang w:val="fr-FR"/>
          </w:rPr>
          <w:t>http://www.omicsonline.org/open-access/pharmacological-iatrogenesis-</w:t>
        </w:r>
      </w:hyperlink>
      <w:hyperlink r:id="rId42">
        <w:r>
          <w:rPr>
            <w:rStyle w:val="InternetLink"/>
            <w:sz w:val="24"/>
            <w:lang w:val="fr-FR"/>
          </w:rPr>
          <w:t>substancemedicationinduced-disordersthat-masquerade-as-mental-illness-2161-1165-1000217.php?aid=69317</w:t>
        </w:r>
      </w:hyperlink>
    </w:p>
    <w:p>
      <w:pPr>
        <w:pStyle w:val="TextBody"/>
        <w:numPr>
          <w:ilvl w:val="0"/>
          <w:numId w:val="2"/>
        </w:numPr>
        <w:spacing w:lineRule="auto" w:line="276"/>
        <w:jc w:val="left"/>
        <w:rPr>
          <w:rFonts w:ascii="Times New Roman" w:hAnsi="Times New Roman"/>
          <w:sz w:val="24"/>
          <w:lang w:val="en-GB"/>
        </w:rPr>
      </w:pPr>
      <w:bookmarkStart w:id="66" w:name="__RefNumPara__3251_3168646960"/>
      <w:bookmarkEnd w:id="66"/>
      <w:r>
        <w:rPr>
          <w:sz w:val="24"/>
          <w:lang w:val="fr-FR"/>
        </w:rPr>
        <w:t>Priebe, Stefan &amp; Bröker, Matthias &amp; Gunkel, Stefan. (1998). Involuntary admission and posttraumatic stress disorder in schizophrenia patients. Comprehensive psychiatry. 39. 220-4. 10.1016/S0010-440X(98)90064-5.</w:t>
        <w:br/>
      </w:r>
      <w:hyperlink r:id="rId43">
        <w:r>
          <w:rPr>
            <w:rStyle w:val="InternetLink"/>
            <w:sz w:val="24"/>
            <w:lang w:val="fr-FR"/>
          </w:rPr>
          <w:t>https://pubmed.ncbi.nlm.nih.gov/9675507/</w:t>
        </w:r>
      </w:hyperlink>
    </w:p>
    <w:p>
      <w:pPr>
        <w:pStyle w:val="TextBody"/>
        <w:numPr>
          <w:ilvl w:val="0"/>
          <w:numId w:val="2"/>
        </w:numPr>
        <w:spacing w:lineRule="auto" w:line="276"/>
        <w:jc w:val="left"/>
        <w:rPr>
          <w:rFonts w:ascii="Times New Roman" w:hAnsi="Times New Roman"/>
          <w:sz w:val="24"/>
          <w:lang w:val="en-GB"/>
        </w:rPr>
      </w:pPr>
      <w:bookmarkStart w:id="67" w:name="__RefNumPara__3253_3168646960"/>
      <w:bookmarkEnd w:id="67"/>
      <w:r>
        <w:rPr>
          <w:sz w:val="24"/>
          <w:lang w:val="fr-FR"/>
        </w:rPr>
        <w:t>Hjorthøj CR, Madsen T, Agerbo E, et al. Risk of suicide according to level of psychiatric treatment: a nationwide nested case-control study. Soc Psychiatry Psychiatr Epidemiol 2014; 49:1357–65</w:t>
        <w:br/>
      </w:r>
      <w:hyperlink r:id="rId44">
        <w:r>
          <w:rPr>
            <w:rStyle w:val="InternetLink"/>
            <w:sz w:val="24"/>
            <w:lang w:val="fr-FR"/>
          </w:rPr>
          <w:t>https://pubmed.ncbi.nlm.nih.gov/24647741/</w:t>
        </w:r>
      </w:hyperlink>
    </w:p>
    <w:p>
      <w:pPr>
        <w:pStyle w:val="TextBody"/>
        <w:numPr>
          <w:ilvl w:val="0"/>
          <w:numId w:val="2"/>
        </w:numPr>
        <w:spacing w:lineRule="auto" w:line="276"/>
        <w:jc w:val="left"/>
        <w:rPr>
          <w:rFonts w:ascii="Times New Roman" w:hAnsi="Times New Roman"/>
          <w:sz w:val="24"/>
          <w:lang w:val="en-GB"/>
        </w:rPr>
      </w:pPr>
      <w:bookmarkStart w:id="68" w:name="__RefNumPara__3248_3168646960"/>
      <w:bookmarkEnd w:id="68"/>
      <w:r>
        <w:rPr>
          <w:sz w:val="24"/>
          <w:lang w:val="fr-FR"/>
        </w:rPr>
        <w:t>Heterogeneity in psychiatric diagnostic classification, Kate Allsopp, 2019:</w:t>
        <w:br/>
      </w:r>
      <w:hyperlink r:id="rId45">
        <w:r>
          <w:rPr>
            <w:rStyle w:val="InternetLink"/>
            <w:sz w:val="24"/>
            <w:lang w:val="fr-FR"/>
          </w:rPr>
          <w:t>https://www.sciencedirect.com/science/article/abs/pii/S0165178119309114</w:t>
        </w:r>
      </w:hyperlink>
    </w:p>
    <w:p>
      <w:pPr>
        <w:pStyle w:val="TextBody"/>
        <w:numPr>
          <w:ilvl w:val="0"/>
          <w:numId w:val="2"/>
        </w:numPr>
        <w:spacing w:lineRule="auto" w:line="276"/>
        <w:jc w:val="left"/>
        <w:rPr>
          <w:rFonts w:ascii="Times New Roman" w:hAnsi="Times New Roman"/>
          <w:sz w:val="24"/>
          <w:lang w:val="en-GB"/>
        </w:rPr>
      </w:pPr>
      <w:bookmarkStart w:id="69" w:name="__RefNumPara__2832_3168646960"/>
      <w:bookmarkEnd w:id="69"/>
      <w:r>
        <w:rPr>
          <w:sz w:val="24"/>
          <w:lang w:val="fr-FR"/>
        </w:rPr>
        <w:t>Mark Shevlin Ph.D. Martin J. Dorahy D.Clin.Psych., Ph.D. Gary Adamson Ph.D. 2007:Trauma and Psychosis: An Analysis of the National Comorbidity Survey</w:t>
        <w:br/>
      </w:r>
      <w:hyperlink r:id="rId46">
        <w:r>
          <w:rPr>
            <w:rStyle w:val="InternetLink"/>
            <w:sz w:val="24"/>
            <w:lang w:val="fr-FR"/>
          </w:rPr>
          <w:t>https://ajp.psychiatryonline.org/doi/full/10.1176/ajp.2007.164.1.166</w:t>
        </w:r>
      </w:hyperlink>
    </w:p>
    <w:p>
      <w:pPr>
        <w:pStyle w:val="TextBody"/>
        <w:numPr>
          <w:ilvl w:val="0"/>
          <w:numId w:val="2"/>
        </w:numPr>
        <w:spacing w:lineRule="auto" w:line="276"/>
        <w:jc w:val="left"/>
        <w:rPr>
          <w:rFonts w:ascii="Times New Roman" w:hAnsi="Times New Roman"/>
          <w:sz w:val="24"/>
          <w:lang w:val="fr-FR"/>
        </w:rPr>
      </w:pPr>
      <w:bookmarkStart w:id="70" w:name="__RefNumPara__2834_3168646960"/>
      <w:bookmarkEnd w:id="70"/>
      <w:r>
        <w:rPr>
          <w:sz w:val="24"/>
          <w:lang w:val="fr-FR"/>
        </w:rPr>
        <w:t>Bebbington Paul E. et collègues, 2004: "Psychosis, victimisation and childhood disadvantage: Evidence from the second British National Survey of Psychiatric Morbidity"</w:t>
        <w:br/>
        <w:t>http://bjp.rcpsych.org/content/185/3/220.long</w:t>
      </w:r>
    </w:p>
    <w:p>
      <w:pPr>
        <w:pStyle w:val="TextBody"/>
        <w:numPr>
          <w:ilvl w:val="0"/>
          <w:numId w:val="2"/>
        </w:numPr>
        <w:spacing w:lineRule="auto" w:line="276"/>
        <w:jc w:val="left"/>
        <w:rPr>
          <w:rFonts w:ascii="Times New Roman" w:hAnsi="Times New Roman"/>
          <w:sz w:val="24"/>
          <w:lang w:val="en-GB"/>
        </w:rPr>
      </w:pPr>
      <w:bookmarkStart w:id="71" w:name="__RefNumPara__2501_2773654779"/>
      <w:bookmarkEnd w:id="71"/>
      <w:r>
        <w:rPr>
          <w:sz w:val="24"/>
          <w:lang w:val="fr-FR"/>
        </w:rPr>
        <w:t>“</w:t>
      </w:r>
      <w:r>
        <w:rPr>
          <w:sz w:val="24"/>
          <w:lang w:val="fr-FR"/>
        </w:rPr>
        <w:t xml:space="preserve">Le Sénat: </w:t>
      </w:r>
      <w:r>
        <w:rPr>
          <w:sz w:val="24"/>
          <w:lang w:val="fr-FR"/>
        </w:rPr>
        <w:t>Projet de loi de finances pour 2020 : Solidarité, insertion et égalité des chances”</w:t>
        <w:br/>
      </w:r>
      <w:hyperlink r:id="rId47">
        <w:r>
          <w:rPr>
            <w:rStyle w:val="InternetLink"/>
            <w:sz w:val="24"/>
            <w:lang w:val="fr-FR"/>
          </w:rPr>
          <w:t>https://www.senat.fr/rap/l19-140-329/l19-140-3297.html</w:t>
        </w:r>
      </w:hyperlink>
    </w:p>
    <w:p>
      <w:pPr>
        <w:pStyle w:val="TextBody"/>
        <w:numPr>
          <w:ilvl w:val="0"/>
          <w:numId w:val="2"/>
        </w:numPr>
        <w:spacing w:lineRule="auto" w:line="276"/>
        <w:jc w:val="left"/>
        <w:rPr>
          <w:rFonts w:ascii="Times New Roman" w:hAnsi="Times New Roman"/>
          <w:sz w:val="24"/>
          <w:lang w:val="en-GB"/>
        </w:rPr>
      </w:pPr>
      <w:bookmarkStart w:id="72" w:name="__RefNumPara__2503_2773654779"/>
      <w:bookmarkEnd w:id="72"/>
      <w:r>
        <w:rPr>
          <w:sz w:val="24"/>
          <w:lang w:val="fr-FR"/>
        </w:rPr>
        <w:t xml:space="preserve">ANCREAI, </w:t>
      </w:r>
      <w:r>
        <w:rPr>
          <w:sz w:val="24"/>
          <w:lang w:val="fr-FR"/>
        </w:rPr>
        <w:t xml:space="preserve">Etude relative à la population des majeurs protégés. Profils, parcours et évolutions, </w:t>
      </w:r>
      <w:r>
        <w:rPr>
          <w:sz w:val="24"/>
          <w:lang w:val="fr-FR"/>
        </w:rPr>
        <w:t>2017</w:t>
        <w:br/>
      </w:r>
      <w:hyperlink r:id="rId48">
        <w:r>
          <w:rPr>
            <w:rStyle w:val="InternetLink"/>
            <w:sz w:val="24"/>
            <w:lang w:val="fr-FR"/>
          </w:rPr>
          <w:t>http://www.creai-pdl.fr/images/rapportfinal_mjpm_ancreai_dgcs_mai2017.pdf</w:t>
        </w:r>
      </w:hyperlink>
    </w:p>
    <w:p>
      <w:pPr>
        <w:pStyle w:val="TextBody"/>
        <w:numPr>
          <w:ilvl w:val="0"/>
          <w:numId w:val="2"/>
        </w:numPr>
        <w:spacing w:lineRule="auto" w:line="276"/>
        <w:jc w:val="left"/>
        <w:rPr>
          <w:rFonts w:ascii="Times New Roman" w:hAnsi="Times New Roman"/>
          <w:sz w:val="24"/>
          <w:lang w:val="fr-FR"/>
        </w:rPr>
      </w:pPr>
      <w:bookmarkStart w:id="73" w:name="__RefNumPara__2593_2773654779"/>
      <w:bookmarkEnd w:id="73"/>
      <w:r>
        <w:rPr>
          <w:sz w:val="24"/>
          <w:lang w:val="fr-FR"/>
        </w:rPr>
        <w:t>Valérie Labrousse, ”Les dépossédés: enquête sur la mafia des tutelles”, Babelio, 2014.</w:t>
      </w:r>
    </w:p>
    <w:p>
      <w:pPr>
        <w:pStyle w:val="TextBody"/>
        <w:numPr>
          <w:ilvl w:val="0"/>
          <w:numId w:val="2"/>
        </w:numPr>
        <w:spacing w:lineRule="auto" w:line="276"/>
        <w:jc w:val="left"/>
        <w:rPr>
          <w:rFonts w:ascii="Times New Roman" w:hAnsi="Times New Roman"/>
          <w:sz w:val="24"/>
          <w:lang w:val="en-GB"/>
        </w:rPr>
      </w:pPr>
      <w:bookmarkStart w:id="74" w:name="__RefNumPara__4388_234535675"/>
      <w:bookmarkEnd w:id="74"/>
      <w:r>
        <w:rPr>
          <w:sz w:val="24"/>
          <w:lang w:val="fr-FR"/>
        </w:rPr>
        <w:t>Cour de cassation, civile, Chambre civile 1, 27 septembre 2017, 16-22.544, Publié au bulletin</w:t>
        <w:br/>
      </w:r>
      <w:hyperlink r:id="rId49">
        <w:r>
          <w:rPr>
            <w:rStyle w:val="InternetLink"/>
            <w:sz w:val="24"/>
            <w:lang w:val="fr-FR"/>
          </w:rPr>
          <w:t>https://www.legifrance.gouv.fr/juri/id/JURITEXT000035681676?isSuggest=true</w:t>
        </w:r>
      </w:hyperlink>
    </w:p>
    <w:p>
      <w:pPr>
        <w:pStyle w:val="TextBody"/>
        <w:numPr>
          <w:ilvl w:val="0"/>
          <w:numId w:val="2"/>
        </w:numPr>
        <w:spacing w:lineRule="auto" w:line="276"/>
        <w:jc w:val="left"/>
        <w:rPr>
          <w:rFonts w:ascii="Times New Roman" w:hAnsi="Times New Roman"/>
          <w:sz w:val="24"/>
          <w:lang w:val="en-GB"/>
        </w:rPr>
      </w:pPr>
      <w:bookmarkStart w:id="75" w:name="__RefNumPara__4390_234535675"/>
      <w:bookmarkEnd w:id="75"/>
      <w:r>
        <w:rPr>
          <w:sz w:val="24"/>
          <w:lang w:val="fr-FR"/>
        </w:rPr>
        <w:t>L</w:t>
      </w:r>
      <w:r>
        <w:rPr>
          <w:sz w:val="24"/>
          <w:lang w:val="fr-FR"/>
        </w:rPr>
        <w:t xml:space="preserve">e Juge, l’avocat, les soins psychiatriques sans consentement depuis 2011, mise à jour 2020., </w:t>
      </w:r>
      <w:r>
        <w:rPr>
          <w:sz w:val="24"/>
          <w:lang w:val="fr-FR"/>
        </w:rPr>
        <w:t>Jean‐Marc PANFILI</w:t>
        <w:br/>
      </w:r>
      <w:hyperlink r:id="rId50">
        <w:r>
          <w:rPr>
            <w:rStyle w:val="InternetLink"/>
            <w:sz w:val="24"/>
            <w:lang w:val="fr-FR"/>
          </w:rPr>
          <w:t>https://psychiatrie.crpa.asso.fr/IMG/pdf/panfili_jean-marc_2020-09-09_mise_a_jour_analyse_de_la_jpdce.pdf</w:t>
        </w:r>
      </w:hyperlink>
    </w:p>
    <w:p>
      <w:pPr>
        <w:pStyle w:val="TextBody"/>
        <w:numPr>
          <w:ilvl w:val="0"/>
          <w:numId w:val="2"/>
        </w:numPr>
        <w:spacing w:lineRule="auto" w:line="276"/>
        <w:jc w:val="left"/>
        <w:rPr>
          <w:rFonts w:ascii="Times New Roman" w:hAnsi="Times New Roman"/>
          <w:sz w:val="24"/>
          <w:lang w:val="en-GB"/>
        </w:rPr>
      </w:pPr>
      <w:bookmarkStart w:id="76" w:name="__RefNumPara__19543_2726673478"/>
      <w:bookmarkEnd w:id="76"/>
      <w:r>
        <w:rPr>
          <w:sz w:val="24"/>
          <w:lang w:val="fr-FR"/>
        </w:rPr>
        <w:t>Aide à la rédaction des certificats et avis médicaux dans le cadre des soins psychiatriques sans consentement d’une personne majeure à l’issue de la période d’observation de 72 heures, H</w:t>
      </w:r>
      <w:r>
        <w:rPr>
          <w:sz w:val="24"/>
          <w:lang w:val="fr-FR"/>
        </w:rPr>
        <w:t>aute autorité de santé</w:t>
      </w:r>
      <w:r>
        <w:rPr>
          <w:sz w:val="24"/>
          <w:lang w:val="fr-FR"/>
        </w:rPr>
        <w:t>, 2018</w:t>
        <w:br/>
      </w:r>
      <w:hyperlink r:id="rId51">
        <w:r>
          <w:rPr>
            <w:rStyle w:val="InternetLink"/>
            <w:sz w:val="24"/>
            <w:lang w:val="fr-FR"/>
          </w:rPr>
          <w:t>https://www.has-sante.fr/upload/docs/application/pdf/2018-04/rapport_delaboration_-_aide_a_la_redaction_des_certificats_et_avis_medicaux_dans_le_cadre_des_soins_psychiatriques_sans_cons.pdf</w:t>
        </w:r>
      </w:hyperlink>
    </w:p>
    <w:p>
      <w:pPr>
        <w:pStyle w:val="TextBody"/>
        <w:numPr>
          <w:ilvl w:val="0"/>
          <w:numId w:val="2"/>
        </w:numPr>
        <w:spacing w:lineRule="auto" w:line="276"/>
        <w:jc w:val="left"/>
        <w:rPr>
          <w:rFonts w:ascii="Times New Roman" w:hAnsi="Times New Roman"/>
          <w:sz w:val="24"/>
          <w:lang w:val="en-GB"/>
        </w:rPr>
      </w:pPr>
      <w:bookmarkStart w:id="77" w:name="__RefNumPara__4610_234535675"/>
      <w:bookmarkEnd w:id="77"/>
      <w:r>
        <w:rPr>
          <w:sz w:val="24"/>
          <w:lang w:val="fr-FR"/>
        </w:rPr>
        <w:t>Medication-Induced Tardive Dyskinesia: A Review and Update, Elyse M. Cornett, Matthew Novitch, Alan David Kaye, Vijay Kata, Adam M. Kaye, Ochsner Journal Jun 2017, 17 (2) 162-174</w:t>
        <w:br/>
      </w:r>
      <w:hyperlink r:id="rId52">
        <w:r>
          <w:rPr>
            <w:rStyle w:val="InternetLink"/>
            <w:sz w:val="24"/>
            <w:lang w:val="fr-FR"/>
          </w:rPr>
          <w:t>http://www.ochsnerjournal.org/content/17/2/162?utm_source=TrendMD&amp;utm_medium=cpc&amp;utm_campaign=Ochsner_Journal_TrendMD_0</w:t>
        </w:r>
      </w:hyperlink>
    </w:p>
    <w:p>
      <w:pPr>
        <w:pStyle w:val="TextBody"/>
        <w:numPr>
          <w:ilvl w:val="0"/>
          <w:numId w:val="2"/>
        </w:numPr>
        <w:spacing w:lineRule="auto" w:line="276"/>
        <w:jc w:val="left"/>
        <w:rPr>
          <w:rFonts w:ascii="Times New Roman" w:hAnsi="Times New Roman"/>
          <w:sz w:val="24"/>
          <w:lang w:val="en-GB"/>
        </w:rPr>
      </w:pPr>
      <w:bookmarkStart w:id="78" w:name="__RefNumPara__4612_234535675"/>
      <w:bookmarkEnd w:id="78"/>
      <w:r>
        <w:rPr>
          <w:sz w:val="24"/>
          <w:lang w:val="fr-FR"/>
        </w:rPr>
        <w:t xml:space="preserve"> </w:t>
      </w:r>
      <w:r>
        <w:rPr>
          <w:sz w:val="24"/>
          <w:lang w:val="fr-FR"/>
        </w:rPr>
        <w:t xml:space="preserve">Atypical Antipsychotics and Metabolic Syndrome: From Molecular Mechanisms to Clinical Differences Marco Carli </w:t>
      </w:r>
      <w:r>
        <w:rPr>
          <w:sz w:val="24"/>
          <w:lang w:val="fr-FR"/>
        </w:rPr>
        <w:t>and al.  Pharmaceuticals 2021, 14(3), 238</w:t>
        <w:br/>
      </w:r>
      <w:hyperlink r:id="rId53">
        <w:r>
          <w:rPr>
            <w:rStyle w:val="InternetLink"/>
            <w:sz w:val="24"/>
            <w:lang w:val="fr-FR"/>
          </w:rPr>
          <w:t>https://doi.org/10.3390/ph14030238</w:t>
        </w:r>
      </w:hyperlink>
    </w:p>
    <w:p>
      <w:pPr>
        <w:pStyle w:val="TextBody"/>
        <w:numPr>
          <w:ilvl w:val="0"/>
          <w:numId w:val="2"/>
        </w:numPr>
        <w:spacing w:lineRule="auto" w:line="276"/>
        <w:jc w:val="left"/>
        <w:rPr>
          <w:lang w:val="en-GB"/>
        </w:rPr>
      </w:pPr>
      <w:bookmarkStart w:id="79" w:name="__RefNumPara__1424_2129381569"/>
      <w:bookmarkEnd w:id="79"/>
      <w:r>
        <w:rPr>
          <w:sz w:val="24"/>
          <w:lang w:val="fr-FR"/>
        </w:rPr>
        <w:t xml:space="preserve">Le Conseil d’état rejette l’appel contre le fichage </w:t>
      </w:r>
      <w:r>
        <w:rPr>
          <w:sz w:val="24"/>
          <w:lang w:val="fr-FR"/>
        </w:rPr>
        <w:t xml:space="preserve">“HOPSYWEB” </w:t>
      </w:r>
      <w:r>
        <w:rPr>
          <w:sz w:val="24"/>
          <w:lang w:val="fr-FR"/>
        </w:rPr>
        <w:t xml:space="preserve">des personnes hospitalisées sous contrainte en </w:t>
      </w:r>
      <w:r>
        <w:rPr>
          <w:sz w:val="24"/>
          <w:lang w:val="fr-FR"/>
        </w:rPr>
        <w:t xml:space="preserve">2020. </w:t>
      </w:r>
      <w:r>
        <w:rPr>
          <w:sz w:val="24"/>
          <w:lang w:val="fr-FR"/>
        </w:rPr>
        <w:br/>
      </w:r>
      <w:hyperlink r:id="rId54">
        <w:r>
          <w:rPr>
            <w:rStyle w:val="InternetLink"/>
            <w:sz w:val="24"/>
            <w:lang w:val="fr-FR"/>
          </w:rPr>
          <w:t>https://www.conseil-etat.fr/fr/arianeweb/CE/decision/2020-03-27/431350</w:t>
        </w:r>
      </w:hyperlink>
    </w:p>
    <w:p>
      <w:pPr>
        <w:pStyle w:val="TextBody"/>
        <w:numPr>
          <w:ilvl w:val="0"/>
          <w:numId w:val="2"/>
        </w:numPr>
        <w:spacing w:lineRule="auto" w:line="276"/>
        <w:jc w:val="left"/>
        <w:rPr>
          <w:lang w:val="en-GB"/>
        </w:rPr>
      </w:pPr>
      <w:bookmarkStart w:id="80" w:name="__RefNumPara__2614_2129381569"/>
      <w:bookmarkEnd w:id="80"/>
      <w:r>
        <w:rPr>
          <w:sz w:val="24"/>
          <w:lang w:val="fr-FR"/>
        </w:rPr>
        <w:t>La soumission du c</w:t>
      </w:r>
      <w:r>
        <w:rPr>
          <w:sz w:val="24"/>
          <w:lang w:val="fr-FR"/>
        </w:rPr>
        <w:t>ollecti</w:t>
      </w:r>
      <w:r>
        <w:rPr>
          <w:sz w:val="24"/>
          <w:lang w:val="fr-FR"/>
        </w:rPr>
        <w:t>f au</w:t>
      </w:r>
      <w:r>
        <w:rPr>
          <w:sz w:val="24"/>
          <w:lang w:val="fr-FR"/>
        </w:rPr>
        <w:t xml:space="preserve"> Comité pour les Droits de l’Enfant dans le cadre Journée de débat général 2021 intitulée : « Droits de l’enfant et protection de remplacement »</w:t>
        <w:br/>
      </w:r>
      <w:hyperlink r:id="rId55">
        <w:r>
          <w:rPr>
            <w:rStyle w:val="InternetLink"/>
            <w:sz w:val="24"/>
            <w:lang w:val="fr-FR"/>
          </w:rPr>
          <w:t>https://drive.google.com/file/d/1kQhlVzvWr7IcI3GbT8lnF-E7NTGuJngj/view?usp=sharing</w:t>
        </w:r>
      </w:hyperlink>
    </w:p>
    <w:p>
      <w:pPr>
        <w:pStyle w:val="TextBody"/>
        <w:numPr>
          <w:ilvl w:val="0"/>
          <w:numId w:val="2"/>
        </w:numPr>
        <w:spacing w:lineRule="auto" w:line="276"/>
        <w:jc w:val="left"/>
        <w:rPr>
          <w:lang w:val="en-GB"/>
        </w:rPr>
      </w:pPr>
      <w:bookmarkStart w:id="81" w:name="__RefNumPara__2616_2129381569"/>
      <w:bookmarkEnd w:id="81"/>
      <w:r>
        <w:rPr>
          <w:sz w:val="24"/>
          <w:lang w:val="fr-FR"/>
        </w:rPr>
        <w:t>La soumission du c</w:t>
      </w:r>
      <w:r>
        <w:rPr>
          <w:sz w:val="24"/>
          <w:lang w:val="fr-FR"/>
        </w:rPr>
        <w:t>ollecti</w:t>
      </w:r>
      <w:r>
        <w:rPr>
          <w:sz w:val="24"/>
          <w:lang w:val="fr-FR"/>
        </w:rPr>
        <w:t>f dans le cadre de la consultation régionale sur la désinstitutionalisation en</w:t>
      </w:r>
      <w:r>
        <w:rPr>
          <w:sz w:val="24"/>
          <w:lang w:val="fr-FR"/>
        </w:rPr>
        <w:t xml:space="preserve"> 2021.</w:t>
        <w:br/>
      </w:r>
      <w:hyperlink r:id="rId56">
        <w:r>
          <w:rPr>
            <w:rStyle w:val="InternetLink"/>
            <w:sz w:val="24"/>
            <w:lang w:val="fr-FR"/>
          </w:rPr>
          <w:t>https://drive.google.com/file/d/1l3VzmfGjYxa8YZeg-W-FPCvUGYaESQiz/view?usp=sharing</w:t>
        </w:r>
      </w:hyperlink>
    </w:p>
    <w:p>
      <w:pPr>
        <w:pStyle w:val="TextBody"/>
        <w:numPr>
          <w:ilvl w:val="0"/>
          <w:numId w:val="2"/>
        </w:numPr>
        <w:spacing w:lineRule="auto" w:line="276"/>
        <w:jc w:val="left"/>
        <w:rPr>
          <w:lang w:val="en-GB"/>
        </w:rPr>
      </w:pPr>
      <w:bookmarkStart w:id="82" w:name="__RefNumPara__1426_2129381569"/>
      <w:bookmarkEnd w:id="82"/>
      <w:r>
        <w:rPr>
          <w:sz w:val="24"/>
          <w:lang w:val="fr-FR"/>
        </w:rPr>
        <w:t xml:space="preserve">Les statistiques Scan santé sur la psychiatrie en </w:t>
      </w:r>
      <w:r>
        <w:rPr>
          <w:sz w:val="24"/>
          <w:lang w:val="fr-FR"/>
        </w:rPr>
        <w:t xml:space="preserve">France </w:t>
      </w:r>
      <w:r>
        <w:rPr>
          <w:sz w:val="24"/>
          <w:lang w:val="fr-FR"/>
        </w:rPr>
        <w:t xml:space="preserve">en </w:t>
      </w:r>
      <w:r>
        <w:rPr>
          <w:sz w:val="24"/>
          <w:lang w:val="fr-FR"/>
        </w:rPr>
        <w:t>2020:</w:t>
        <w:br/>
      </w:r>
      <w:hyperlink r:id="rId57">
        <w:r>
          <w:rPr>
            <w:rStyle w:val="InternetLink"/>
            <w:sz w:val="24"/>
            <w:lang w:val="fr-FR"/>
          </w:rPr>
          <w:t xml:space="preserve">https://www.scansante.fr/applications/statistiques-activite-PSY/submit?snatnav=&amp;annee=2020&amp;tgeo=fe&amp;codegeo=99&amp;cat_etab=0&amp;taille_etab=0&amp;Age=0&amp;nat_pec=99&amp;form_act=99&amp;cat_diag= </w:t>
        </w:r>
      </w:hyperlink>
    </w:p>
    <w:p>
      <w:pPr>
        <w:pStyle w:val="TextBody"/>
        <w:numPr>
          <w:ilvl w:val="0"/>
          <w:numId w:val="2"/>
        </w:numPr>
        <w:spacing w:lineRule="auto" w:line="276"/>
        <w:jc w:val="left"/>
        <w:rPr>
          <w:lang w:val="en-GB"/>
        </w:rPr>
      </w:pPr>
      <w:bookmarkStart w:id="83" w:name="__RefNumPara__1428_2129381569"/>
      <w:bookmarkEnd w:id="83"/>
      <w:r>
        <w:rPr>
          <w:sz w:val="24"/>
          <w:lang w:val="fr-FR"/>
        </w:rPr>
        <w:t xml:space="preserve">Les statistiques Scan santé sur la psychiatrie en </w:t>
      </w:r>
      <w:r>
        <w:rPr>
          <w:sz w:val="24"/>
          <w:lang w:val="fr-FR"/>
        </w:rPr>
        <w:t xml:space="preserve">France </w:t>
      </w:r>
      <w:r>
        <w:rPr>
          <w:sz w:val="24"/>
          <w:lang w:val="fr-FR"/>
        </w:rPr>
        <w:t xml:space="preserve">en </w:t>
      </w:r>
      <w:r>
        <w:rPr>
          <w:sz w:val="24"/>
          <w:lang w:val="fr-FR"/>
        </w:rPr>
        <w:t>2017:</w:t>
        <w:br/>
      </w:r>
      <w:hyperlink r:id="rId58">
        <w:r>
          <w:rPr>
            <w:rStyle w:val="InternetLink"/>
            <w:sz w:val="24"/>
            <w:lang w:val="fr-FR"/>
          </w:rPr>
          <w:t>https://www.scansante.fr/applications/statistiques-activite-PSY/submit?snatnav=&amp;annee=2017&amp;tgeo=fe&amp;codegeo=99&amp;cat_etab=0&amp;taille_etab=0&amp;Age=0&amp;nat_pec=99&amp;form_act=99&amp;cat_diag</w:t>
        </w:r>
      </w:hyperlink>
      <w:hyperlink r:id="rId59">
        <w:r>
          <w:rPr>
            <w:rStyle w:val="InternetLink"/>
            <w:sz w:val="24"/>
            <w:lang w:val="fr-FR"/>
          </w:rPr>
          <w:t>=</w:t>
        </w:r>
      </w:hyperlink>
    </w:p>
    <w:p>
      <w:pPr>
        <w:pStyle w:val="TextBody"/>
        <w:numPr>
          <w:ilvl w:val="0"/>
          <w:numId w:val="2"/>
        </w:numPr>
        <w:spacing w:lineRule="auto" w:line="276"/>
        <w:jc w:val="left"/>
        <w:rPr>
          <w:lang w:val="en-GB"/>
        </w:rPr>
      </w:pPr>
      <w:bookmarkStart w:id="84" w:name="__RefNumPara__2688_2773654779"/>
      <w:bookmarkEnd w:id="84"/>
      <w:r>
        <w:rPr>
          <w:sz w:val="24"/>
          <w:lang w:val="fr-FR"/>
        </w:rPr>
        <w:t>Ministère de la Justice, Références statistiques Justice, année 2019.</w:t>
        <w:br/>
      </w:r>
      <w:hyperlink r:id="rId60">
        <w:r>
          <w:rPr>
            <w:rStyle w:val="InternetLink"/>
            <w:sz w:val="24"/>
            <w:lang w:val="fr-FR"/>
          </w:rPr>
          <w:t>http://www.justice.gouv.fr/statistiques-10054/references-statistiques-justice-12837/references-statistiques-justice-33702.html</w:t>
        </w:r>
      </w:hyperlink>
    </w:p>
    <w:p>
      <w:pPr>
        <w:pStyle w:val="TextBody"/>
        <w:numPr>
          <w:ilvl w:val="0"/>
          <w:numId w:val="2"/>
        </w:numPr>
        <w:spacing w:lineRule="auto" w:line="276"/>
        <w:jc w:val="left"/>
        <w:rPr>
          <w:lang w:val="en-GB"/>
        </w:rPr>
      </w:pPr>
      <w:r>
        <w:rPr>
          <w:sz w:val="24"/>
          <w:lang w:val="fr-FR"/>
        </w:rPr>
        <w:t>Ministère de la Justice, Références statistiques Justice, année 2019. 2.1 L</w:t>
      </w:r>
      <w:r>
        <w:rPr>
          <w:sz w:val="24"/>
          <w:lang w:val="fr-FR"/>
        </w:rPr>
        <w:t>a</w:t>
      </w:r>
      <w:r>
        <w:rPr>
          <w:sz w:val="24"/>
          <w:lang w:val="fr-FR"/>
        </w:rPr>
        <w:t xml:space="preserve"> P</w:t>
      </w:r>
      <w:r>
        <w:rPr>
          <w:sz w:val="24"/>
          <w:lang w:val="fr-FR"/>
        </w:rPr>
        <w:t>rotection</w:t>
      </w:r>
      <w:r>
        <w:rPr>
          <w:sz w:val="24"/>
          <w:lang w:val="fr-FR"/>
        </w:rPr>
        <w:t xml:space="preserve"> </w:t>
      </w:r>
      <w:r>
        <w:rPr>
          <w:sz w:val="24"/>
          <w:lang w:val="fr-FR"/>
        </w:rPr>
        <w:t>des</w:t>
      </w:r>
      <w:r>
        <w:rPr>
          <w:sz w:val="24"/>
          <w:lang w:val="fr-FR"/>
        </w:rPr>
        <w:t xml:space="preserve"> </w:t>
      </w:r>
      <w:r>
        <w:rPr>
          <w:sz w:val="24"/>
          <w:lang w:val="fr-FR"/>
        </w:rPr>
        <w:t>libertés</w:t>
      </w:r>
      <w:r>
        <w:rPr>
          <w:sz w:val="24"/>
          <w:lang w:val="fr-FR"/>
        </w:rPr>
        <w:t>.</w:t>
      </w:r>
      <w:r>
        <w:rPr>
          <w:sz w:val="24"/>
          <w:lang w:val="fr-FR"/>
        </w:rPr>
        <w:br/>
      </w:r>
      <w:hyperlink r:id="rId61">
        <w:r>
          <w:rPr>
            <w:rStyle w:val="InternetLink"/>
            <w:sz w:val="24"/>
            <w:lang w:val="fr-FR"/>
          </w:rPr>
          <w:t>http://www.justice.gouv.fr/art_pix/3-PARTIE2_References_stastiques_justice_2019_16x24.pdf</w:t>
        </w:r>
      </w:hyperlink>
    </w:p>
    <w:p>
      <w:pPr>
        <w:pStyle w:val="TextBody"/>
        <w:numPr>
          <w:ilvl w:val="0"/>
          <w:numId w:val="2"/>
        </w:numPr>
        <w:spacing w:lineRule="auto" w:line="276"/>
        <w:jc w:val="left"/>
        <w:rPr>
          <w:lang w:val="en-GB"/>
        </w:rPr>
      </w:pPr>
      <w:bookmarkStart w:id="85" w:name="__RefNumPara__3994_2773654779"/>
      <w:bookmarkEnd w:id="85"/>
      <w:r>
        <w:rPr>
          <w:sz w:val="24"/>
          <w:lang w:val="fr-FR"/>
        </w:rPr>
        <w:t>Antoine Deguillaume Thesis. « Les Unités de Soins Intensifs Psychiatriques en France : étude descriptive sur leurs missions, leurs modalités de prise en charge et leur intégration dans le réseau de soin. Médecine humaine et pathologie. » 2017. dumas-01676733</w:t>
        <w:br/>
      </w:r>
      <w:hyperlink r:id="rId62">
        <w:r>
          <w:rPr>
            <w:rStyle w:val="InternetLink"/>
            <w:sz w:val="24"/>
            <w:lang w:val="fr-FR"/>
          </w:rPr>
          <w:t>https://dumas.ccsd.cnrs.fr/dumas-01676733/document</w:t>
        </w:r>
      </w:hyperlink>
    </w:p>
    <w:p>
      <w:pPr>
        <w:pStyle w:val="TextBody"/>
        <w:numPr>
          <w:ilvl w:val="0"/>
          <w:numId w:val="2"/>
        </w:numPr>
        <w:spacing w:lineRule="auto" w:line="276"/>
        <w:jc w:val="left"/>
        <w:rPr>
          <w:lang w:val="en-GB"/>
        </w:rPr>
      </w:pPr>
      <w:bookmarkStart w:id="86" w:name="__RefNumPara__2698_2773654779"/>
      <w:bookmarkEnd w:id="86"/>
      <w:r>
        <w:rPr>
          <w:sz w:val="24"/>
          <w:lang w:val="fr-FR"/>
        </w:rPr>
        <w:t>Handicap.fr, 2016. « Placé à l'isolement en HP: Dimitri est enfin sorti, revit ! »</w:t>
        <w:br/>
      </w:r>
      <w:hyperlink r:id="rId63">
        <w:r>
          <w:rPr>
            <w:rStyle w:val="InternetLink"/>
            <w:sz w:val="24"/>
            <w:lang w:val="fr-FR"/>
          </w:rPr>
          <w:t>https://informations.handicap.fr/a-isolement-hp-dimitri-8692.php</w:t>
        </w:r>
      </w:hyperlink>
    </w:p>
    <w:p>
      <w:pPr>
        <w:pStyle w:val="TextBody"/>
        <w:numPr>
          <w:ilvl w:val="0"/>
          <w:numId w:val="2"/>
        </w:numPr>
        <w:spacing w:lineRule="auto" w:line="276"/>
        <w:jc w:val="left"/>
        <w:rPr>
          <w:lang w:val="en-GB"/>
        </w:rPr>
      </w:pPr>
      <w:bookmarkStart w:id="87" w:name="__RefNumPara__2691_2773654779"/>
      <w:bookmarkEnd w:id="87"/>
      <w:r>
        <w:rPr>
          <w:sz w:val="24"/>
          <w:lang w:val="fr-FR"/>
        </w:rPr>
        <w:t xml:space="preserve">Haute Autorité de Santé. </w:t>
      </w:r>
      <w:r>
        <w:rPr>
          <w:sz w:val="24"/>
          <w:lang w:val="fr-FR"/>
        </w:rPr>
        <w:t xml:space="preserve">Programme de soins psychiatriques sans consentement - mise en </w:t>
      </w:r>
      <w:r>
        <w:rPr>
          <w:sz w:val="24"/>
          <w:lang w:val="fr-FR"/>
        </w:rPr>
        <w:t>œ</w:t>
      </w:r>
      <w:r>
        <w:rPr>
          <w:sz w:val="24"/>
          <w:lang w:val="fr-FR"/>
        </w:rPr>
        <w:t xml:space="preserve">uvre, </w:t>
      </w:r>
      <w:r>
        <w:rPr>
          <w:sz w:val="24"/>
          <w:lang w:val="fr-FR"/>
        </w:rPr>
        <w:t>2021</w:t>
        <w:br/>
      </w:r>
      <w:hyperlink r:id="rId64">
        <w:r>
          <w:rPr>
            <w:rStyle w:val="InternetLink"/>
            <w:sz w:val="24"/>
            <w:lang w:val="fr-FR"/>
          </w:rPr>
          <w:t>https://www.has-sante.fr/jcms/p_3260568/fr/programme-de-soins-psychiatriques-sans-consentement-mise-en-oeuvre</w:t>
        </w:r>
      </w:hyperlink>
    </w:p>
    <w:p>
      <w:pPr>
        <w:pStyle w:val="TextBody"/>
        <w:numPr>
          <w:ilvl w:val="0"/>
          <w:numId w:val="2"/>
        </w:numPr>
        <w:spacing w:lineRule="auto" w:line="276"/>
        <w:jc w:val="left"/>
        <w:rPr>
          <w:lang w:val="en-GB"/>
        </w:rPr>
      </w:pPr>
      <w:bookmarkStart w:id="88" w:name="__RefNumPara__2694_2773654779"/>
      <w:bookmarkEnd w:id="88"/>
      <w:r>
        <w:rPr>
          <w:sz w:val="24"/>
          <w:lang w:val="fr-FR"/>
        </w:rPr>
        <w:t>L</w:t>
      </w:r>
      <w:r>
        <w:rPr>
          <w:sz w:val="24"/>
          <w:lang w:val="fr-FR"/>
        </w:rPr>
        <w:t>oi</w:t>
      </w:r>
      <w:r>
        <w:rPr>
          <w:sz w:val="24"/>
          <w:lang w:val="fr-FR"/>
        </w:rPr>
        <w:t xml:space="preserve"> n° 2019-222 du 23 mars 2019 de programmation 2018-2022 et de réforme pour la justice.</w:t>
        <w:br/>
      </w:r>
      <w:hyperlink r:id="rId65">
        <w:r>
          <w:rPr>
            <w:rStyle w:val="InternetLink"/>
            <w:sz w:val="24"/>
            <w:lang w:val="fr-FR"/>
          </w:rPr>
          <w:t>https://www.legifrance.gouv.fr/loda/id/JORFTEXT000038261631/</w:t>
        </w:r>
      </w:hyperlink>
    </w:p>
    <w:p>
      <w:pPr>
        <w:pStyle w:val="TextBody"/>
        <w:numPr>
          <w:ilvl w:val="0"/>
          <w:numId w:val="2"/>
        </w:numPr>
        <w:spacing w:lineRule="auto" w:line="276"/>
        <w:jc w:val="left"/>
        <w:rPr/>
      </w:pPr>
      <w:bookmarkStart w:id="89" w:name="__RefNumPara__2696_2773654779"/>
      <w:bookmarkEnd w:id="89"/>
      <w:r>
        <w:rPr>
          <w:sz w:val="24"/>
          <w:lang w:val="fr-FR"/>
        </w:rPr>
        <w:t>Dalloz 2021 « Réforme de la procédure tutélaire après la loi n° 2019-222 du 23 mars 2019 »</w:t>
        <w:br/>
      </w:r>
      <w:hyperlink r:id="rId66">
        <w:r>
          <w:rPr>
            <w:rStyle w:val="InternetLink"/>
            <w:sz w:val="24"/>
            <w:lang w:val="fr-FR"/>
          </w:rPr>
          <w:t>https://www.dalloz-actualite.fr/flash/reforme-de-procedure-tutelaire-apres-loi-n-2019-222-du-23-mars-2019</w:t>
        </w:r>
      </w:hyperlink>
    </w:p>
    <w:p>
      <w:pPr>
        <w:pStyle w:val="TextBody"/>
        <w:numPr>
          <w:ilvl w:val="0"/>
          <w:numId w:val="2"/>
        </w:numPr>
        <w:spacing w:lineRule="auto" w:line="276"/>
        <w:jc w:val="left"/>
        <w:rPr/>
      </w:pPr>
      <w:bookmarkStart w:id="90" w:name="__RefNumPara__1432_2129381569"/>
      <w:bookmarkEnd w:id="90"/>
      <w:r>
        <w:rPr>
          <w:sz w:val="24"/>
          <w:lang w:val="fr-FR"/>
        </w:rPr>
        <w:t>Documentaire de la télévision française à propos des décisions judiciaires d’hospitalisation forcée</w:t>
      </w:r>
      <w:r>
        <w:rPr>
          <w:sz w:val="24"/>
          <w:lang w:val="fr-FR"/>
        </w:rPr>
        <w:t xml:space="preserve">, </w:t>
      </w:r>
      <w:r>
        <w:rPr>
          <w:sz w:val="24"/>
          <w:lang w:val="fr-FR"/>
        </w:rPr>
        <w:t xml:space="preserve">émission </w:t>
      </w:r>
      <w:r>
        <w:rPr>
          <w:sz w:val="24"/>
          <w:lang w:val="fr-FR"/>
        </w:rPr>
        <w:t>« </w:t>
      </w:r>
      <w:r>
        <w:rPr>
          <w:sz w:val="24"/>
          <w:lang w:val="fr-FR"/>
        </w:rPr>
        <w:t>7 à 8 », 2019.</w:t>
        <w:br/>
      </w:r>
      <w:hyperlink r:id="rId67">
        <w:r>
          <w:rPr>
            <w:rStyle w:val="InternetLink"/>
            <w:sz w:val="24"/>
            <w:lang w:val="fr-FR"/>
          </w:rPr>
          <w:t>https://www.tf1.fr/tf1/sept-a-huit/videos/sept-a-huit-psychiatrie-un-juge-face-aux-malades-19143383.html</w:t>
        </w:r>
      </w:hyperlink>
    </w:p>
    <w:p>
      <w:pPr>
        <w:pStyle w:val="TextBody"/>
        <w:numPr>
          <w:ilvl w:val="0"/>
          <w:numId w:val="2"/>
        </w:numPr>
        <w:spacing w:lineRule="auto" w:line="276"/>
        <w:jc w:val="left"/>
        <w:rPr/>
      </w:pPr>
      <w:bookmarkStart w:id="91" w:name="__RefNumPara__1434_2129381569"/>
      <w:bookmarkEnd w:id="91"/>
      <w:r>
        <w:rPr>
          <w:sz w:val="24"/>
          <w:lang w:val="fr-FR"/>
        </w:rPr>
        <w:t>Directives sur l’</w:t>
      </w:r>
      <w:r>
        <w:rPr>
          <w:sz w:val="24"/>
          <w:lang w:val="fr-FR"/>
        </w:rPr>
        <w:t>Article 14.</w:t>
        <w:br/>
      </w:r>
      <w:hyperlink r:id="rId68">
        <w:r>
          <w:rPr>
            <w:rStyle w:val="InternetLink"/>
            <w:sz w:val="24"/>
            <w:lang w:val="fr-FR"/>
          </w:rPr>
          <w:t>https://tbinternet.ohchr.org/_layouts/15/treatybodyexternal/Download.aspx?symbolno=A/72/55&amp;Lang=en</w:t>
        </w:r>
      </w:hyperlink>
    </w:p>
    <w:p>
      <w:pPr>
        <w:pStyle w:val="TextBody"/>
        <w:numPr>
          <w:ilvl w:val="0"/>
          <w:numId w:val="2"/>
        </w:numPr>
        <w:spacing w:lineRule="auto" w:line="276"/>
        <w:jc w:val="left"/>
        <w:rPr/>
      </w:pPr>
      <w:bookmarkStart w:id="92" w:name="__RefNumPara__1436_2129381569"/>
      <w:bookmarkEnd w:id="92"/>
      <w:r>
        <w:rPr>
          <w:sz w:val="24"/>
          <w:lang w:val="fr-FR"/>
        </w:rPr>
        <w:t>La Question Prioritaire de Constitution</w:t>
      </w:r>
      <w:r>
        <w:rPr>
          <w:sz w:val="24"/>
          <w:lang w:val="fr-FR"/>
        </w:rPr>
        <w:t>n</w:t>
      </w:r>
      <w:r>
        <w:rPr>
          <w:sz w:val="24"/>
          <w:lang w:val="fr-FR"/>
        </w:rPr>
        <w:t>alité.</w:t>
        <w:br/>
      </w:r>
      <w:hyperlink r:id="rId69">
        <w:r>
          <w:rPr>
            <w:rStyle w:val="InternetLink"/>
            <w:sz w:val="24"/>
            <w:lang w:val="fr-FR"/>
          </w:rPr>
          <w:t>https://www.conseil-constitutionnel.fr/decisions/la-qpc</w:t>
        </w:r>
      </w:hyperlink>
    </w:p>
    <w:p>
      <w:pPr>
        <w:pStyle w:val="TextBody"/>
        <w:numPr>
          <w:ilvl w:val="0"/>
          <w:numId w:val="2"/>
        </w:numPr>
        <w:spacing w:lineRule="auto" w:line="276"/>
        <w:jc w:val="left"/>
        <w:rPr/>
      </w:pPr>
      <w:bookmarkStart w:id="93" w:name="__RefNumPara__1438_2129381569"/>
      <w:bookmarkEnd w:id="93"/>
      <w:r>
        <w:rPr>
          <w:sz w:val="24"/>
          <w:lang w:val="fr-FR"/>
        </w:rPr>
        <w:t>Article L3222-5-1 du Code de Santé Publique.</w:t>
        <w:br/>
      </w:r>
      <w:hyperlink r:id="rId70">
        <w:r>
          <w:rPr>
            <w:rStyle w:val="InternetLink"/>
            <w:sz w:val="24"/>
            <w:lang w:val="fr-FR"/>
          </w:rPr>
          <w:t>https://www.legifrance.gouv.fr/codes/article_lc/LEGIARTI000031918948/2016-01-28</w:t>
        </w:r>
      </w:hyperlink>
    </w:p>
    <w:p>
      <w:pPr>
        <w:pStyle w:val="TextBody"/>
        <w:numPr>
          <w:ilvl w:val="0"/>
          <w:numId w:val="2"/>
        </w:numPr>
        <w:spacing w:lineRule="auto" w:line="276"/>
        <w:jc w:val="left"/>
        <w:rPr/>
      </w:pPr>
      <w:bookmarkStart w:id="94" w:name="__RefNumPara__1440_2129381569"/>
      <w:bookmarkEnd w:id="94"/>
      <w:r>
        <w:rPr>
          <w:sz w:val="24"/>
          <w:lang w:val="fr-FR"/>
        </w:rPr>
        <w:t xml:space="preserve">La Cour constitutionnelle rejette la réforme </w:t>
      </w:r>
      <w:r>
        <w:rPr>
          <w:sz w:val="24"/>
          <w:lang w:val="fr-FR"/>
        </w:rPr>
        <w:t xml:space="preserve">2020 </w:t>
      </w:r>
      <w:r>
        <w:rPr>
          <w:sz w:val="24"/>
          <w:lang w:val="fr-FR"/>
        </w:rPr>
        <w:t>de la lois sur l’isolement et la contention mécanique</w:t>
      </w:r>
      <w:r>
        <w:rPr>
          <w:sz w:val="24"/>
          <w:lang w:val="fr-FR"/>
        </w:rPr>
        <w:br/>
      </w:r>
      <w:hyperlink r:id="rId71">
        <w:r>
          <w:rPr>
            <w:rStyle w:val="InternetLink"/>
            <w:sz w:val="24"/>
            <w:lang w:val="fr-FR"/>
          </w:rPr>
          <w:t>https://www.conseil-constitutionnel.fr/decision/2021/2021912_913_914QPC.htm</w:t>
        </w:r>
      </w:hyperlink>
    </w:p>
    <w:p>
      <w:pPr>
        <w:pStyle w:val="TextBody"/>
        <w:numPr>
          <w:ilvl w:val="0"/>
          <w:numId w:val="2"/>
        </w:numPr>
        <w:spacing w:lineRule="auto" w:line="276"/>
        <w:jc w:val="left"/>
        <w:rPr/>
      </w:pPr>
      <w:bookmarkStart w:id="95" w:name="__RefNumPara__1442_2129381569"/>
      <w:bookmarkEnd w:id="95"/>
      <w:r>
        <w:rPr>
          <w:sz w:val="24"/>
          <w:lang w:val="fr-FR"/>
        </w:rPr>
        <w:t xml:space="preserve">Article du </w:t>
      </w:r>
      <w:r>
        <w:rPr>
          <w:sz w:val="24"/>
          <w:lang w:val="fr-FR"/>
        </w:rPr>
        <w:t>CRPA « </w:t>
      </w:r>
      <w:r>
        <w:rPr>
          <w:sz w:val="24"/>
          <w:lang w:val="fr-FR"/>
        </w:rPr>
        <w:t>(Décision QPC) Vers une judiciarisation systématique de l’isolement et de la contention » 2021-06-04.</w:t>
        <w:br/>
      </w:r>
      <w:hyperlink r:id="rId72">
        <w:r>
          <w:rPr>
            <w:rStyle w:val="InternetLink"/>
            <w:sz w:val="24"/>
            <w:lang w:val="fr-FR"/>
          </w:rPr>
          <w:t>https://psychiatrie.crpa.asso.fr/2021-06-04-Decision-QPC-Vers-une-judiciarisation-systematique-de-l-isolement-et-de-la-contention?lang=fr</w:t>
        </w:r>
      </w:hyperlink>
    </w:p>
    <w:p>
      <w:pPr>
        <w:pStyle w:val="TextBody"/>
        <w:numPr>
          <w:ilvl w:val="0"/>
          <w:numId w:val="2"/>
        </w:numPr>
        <w:spacing w:lineRule="auto" w:line="276"/>
        <w:jc w:val="left"/>
        <w:rPr/>
      </w:pPr>
      <w:r>
        <w:rPr>
          <w:lang w:val="fr-FR"/>
        </w:rPr>
        <w:t>L</w:t>
      </w:r>
      <w:r>
        <w:rPr>
          <w:sz w:val="24"/>
          <w:lang w:val="fr-FR"/>
        </w:rPr>
        <w:t>oi</w:t>
      </w:r>
      <w:r>
        <w:rPr>
          <w:lang w:val="fr-FR"/>
        </w:rPr>
        <w:t xml:space="preserve"> n° 2002-303 du 4 mars 2002 relative aux droits des malades et à la qualité du système de santé.</w:t>
        <w:br/>
      </w:r>
      <w:hyperlink r:id="rId73">
        <w:r>
          <w:rPr>
            <w:rStyle w:val="InternetLink"/>
            <w:lang w:val="fr-FR"/>
          </w:rPr>
          <w:t>https://www.legifrance.gouv.fr/jorf/id/JORFTEXT000000227015/</w:t>
        </w:r>
      </w:hyperlink>
    </w:p>
    <w:p>
      <w:pPr>
        <w:pStyle w:val="TextBody"/>
        <w:numPr>
          <w:ilvl w:val="0"/>
          <w:numId w:val="2"/>
        </w:numPr>
        <w:spacing w:lineRule="auto" w:line="276"/>
        <w:jc w:val="left"/>
        <w:rPr/>
      </w:pPr>
      <w:bookmarkStart w:id="96" w:name="__RefNumPara__1444_2129381569"/>
      <w:bookmarkEnd w:id="96"/>
      <w:r>
        <w:rPr>
          <w:lang w:val="fr-FR"/>
        </w:rPr>
        <w:t xml:space="preserve">Article L1111-4 </w:t>
      </w:r>
      <w:r>
        <w:rPr>
          <w:lang w:val="fr-FR"/>
        </w:rPr>
        <w:t>du Code de Santé Publique.</w:t>
        <w:br/>
      </w:r>
      <w:hyperlink r:id="rId74">
        <w:r>
          <w:rPr>
            <w:rStyle w:val="InternetLink"/>
            <w:lang w:val="fr-FR"/>
          </w:rPr>
          <w:t>https://www.legifrance.gouv.fr/codes/article_lc/LEGIARTI000041721056/</w:t>
        </w:r>
      </w:hyperlink>
    </w:p>
    <w:p>
      <w:pPr>
        <w:pStyle w:val="TextBody"/>
        <w:numPr>
          <w:ilvl w:val="0"/>
          <w:numId w:val="2"/>
        </w:numPr>
        <w:spacing w:lineRule="auto" w:line="276"/>
        <w:jc w:val="left"/>
        <w:rPr/>
      </w:pPr>
      <w:bookmarkStart w:id="97" w:name="__RefNumPara__1446_2129381569"/>
      <w:bookmarkEnd w:id="97"/>
      <w:r>
        <w:rPr>
          <w:sz w:val="24"/>
          <w:lang w:val="fr-FR"/>
        </w:rPr>
        <w:t>Le conseil constitutionnel, décision 2012 sur les traitements forcés.</w:t>
      </w:r>
      <w:r>
        <w:rPr>
          <w:sz w:val="24"/>
          <w:lang w:val="fr-FR"/>
        </w:rPr>
        <w:br/>
      </w:r>
      <w:hyperlink r:id="rId75">
        <w:r>
          <w:rPr>
            <w:rStyle w:val="InternetLink"/>
            <w:lang w:val="fr-FR"/>
          </w:rPr>
          <w:t>https://www.conseil-constitutionnel.fr/decision/2012/2012235QPC.htm</w:t>
        </w:r>
      </w:hyperlink>
    </w:p>
    <w:p>
      <w:pPr>
        <w:pStyle w:val="TextBody"/>
        <w:numPr>
          <w:ilvl w:val="0"/>
          <w:numId w:val="2"/>
        </w:numPr>
        <w:spacing w:lineRule="auto" w:line="276"/>
        <w:jc w:val="left"/>
        <w:rPr/>
      </w:pPr>
      <w:bookmarkStart w:id="98" w:name="__RefNumPara__1448_2129381569"/>
      <w:bookmarkEnd w:id="98"/>
      <w:r>
        <w:rPr>
          <w:lang w:val="fr-FR"/>
        </w:rPr>
        <w:t xml:space="preserve">Torture and other cruel, inhuman or degrading treatment or punishment, Report of the Special Rapporteur, </w:t>
      </w:r>
      <w:r>
        <w:rPr>
          <w:lang w:val="fr-FR"/>
        </w:rPr>
        <w:t>2020</w:t>
      </w:r>
      <w:r>
        <w:rPr>
          <w:lang w:val="fr-FR"/>
        </w:rPr>
        <w:br/>
      </w:r>
      <w:hyperlink r:id="rId76">
        <w:r>
          <w:rPr>
            <w:rStyle w:val="InternetLink"/>
            <w:lang w:val="fr-FR"/>
          </w:rPr>
          <w:t>https://undocs.org/fr/A/HRC/43/49</w:t>
        </w:r>
      </w:hyperlink>
      <w:r>
        <w:rPr>
          <w:lang w:val="fr-FR"/>
        </w:rPr>
        <w:t xml:space="preserve"> </w:t>
      </w:r>
    </w:p>
    <w:p>
      <w:pPr>
        <w:pStyle w:val="TextBody"/>
        <w:numPr>
          <w:ilvl w:val="0"/>
          <w:numId w:val="2"/>
        </w:numPr>
        <w:spacing w:lineRule="auto" w:line="276"/>
        <w:jc w:val="left"/>
        <w:rPr/>
      </w:pPr>
      <w:bookmarkStart w:id="99" w:name="__RefNumPara__1450_2129381569"/>
      <w:bookmarkEnd w:id="99"/>
      <w:r>
        <w:rPr>
          <w:lang w:val="fr-FR"/>
        </w:rPr>
        <w:t>Seikkula Jaakko et collègues, 2010, "The Comprehensive Open-Dialogue Approach in Western Lapland: II. Long-term stability of acute psychosis outcomes in advanced community care."</w:t>
        <w:br/>
      </w:r>
      <w:hyperlink r:id="rId77" w:tgtFrame="_blank">
        <w:r>
          <w:rPr>
            <w:rStyle w:val="InternetLink"/>
            <w:lang w:val="fr-FR"/>
          </w:rPr>
          <w:t>http://www.tandfonline.com/doi/abs/10.1080/17522439.2011.595819?src=recsys</w:t>
        </w:r>
      </w:hyperlink>
      <w:r>
        <w:rPr>
          <w:lang w:val="fr-FR"/>
        </w:rPr>
        <w:t xml:space="preserve"> </w:t>
      </w:r>
    </w:p>
    <w:p>
      <w:pPr>
        <w:pStyle w:val="TextBody"/>
        <w:numPr>
          <w:ilvl w:val="0"/>
          <w:numId w:val="2"/>
        </w:numPr>
        <w:spacing w:lineRule="auto" w:line="276"/>
        <w:jc w:val="left"/>
        <w:rPr/>
      </w:pPr>
      <w:bookmarkStart w:id="100" w:name="__RefNumPara__3244_3168646960"/>
      <w:bookmarkEnd w:id="100"/>
      <w:r>
        <w:rPr>
          <w:lang w:val="fr-FR"/>
        </w:rPr>
        <w:t xml:space="preserve">The </w:t>
      </w:r>
      <w:r>
        <w:rPr>
          <w:sz w:val="24"/>
          <w:lang w:val="fr-FR"/>
        </w:rPr>
        <w:t>P</w:t>
      </w:r>
      <w:r>
        <w:rPr>
          <w:lang w:val="fr-FR"/>
        </w:rPr>
        <w:t xml:space="preserve">ower Threat Meaning Framework </w:t>
      </w:r>
      <w:r>
        <w:rPr>
          <w:lang w:val="fr-FR"/>
        </w:rPr>
        <w:t>presentation</w:t>
      </w:r>
      <w:r>
        <w:rPr>
          <w:lang w:val="fr-FR"/>
        </w:rPr>
        <w:t xml:space="preserve">, </w:t>
      </w:r>
      <w:r>
        <w:rPr>
          <w:lang w:val="fr-FR"/>
        </w:rPr>
        <w:t xml:space="preserve">the </w:t>
      </w:r>
      <w:r>
        <w:rPr>
          <w:lang w:val="fr-FR"/>
        </w:rPr>
        <w:t>British Psychological Society.</w:t>
        <w:br/>
      </w:r>
      <w:hyperlink r:id="rId78">
        <w:r>
          <w:rPr>
            <w:rStyle w:val="InternetLink"/>
            <w:lang w:val="fr-FR"/>
          </w:rPr>
          <w:t>https://www.bps.org.uk/sites/bps.org.uk/files/Policy/Policy%20-%20Files/PTM%20Main.pdf</w:t>
        </w:r>
      </w:hyperlink>
    </w:p>
    <w:p>
      <w:pPr>
        <w:pStyle w:val="TextBody"/>
        <w:numPr>
          <w:ilvl w:val="0"/>
          <w:numId w:val="2"/>
        </w:numPr>
        <w:spacing w:lineRule="auto" w:line="276"/>
        <w:jc w:val="left"/>
        <w:rPr/>
      </w:pPr>
      <w:bookmarkStart w:id="101" w:name="__RefNumPara__3246_3168646960"/>
      <w:bookmarkEnd w:id="101"/>
      <w:r>
        <w:rPr>
          <w:lang w:val="fr-FR"/>
        </w:rPr>
        <w:t>Guidance on community mental health services: Promoting person-centred and rights-based approaches, World Health Organization, June 2021.</w:t>
        <w:br/>
      </w:r>
      <w:hyperlink r:id="rId79">
        <w:r>
          <w:rPr>
            <w:rStyle w:val="InternetLink"/>
            <w:lang w:val="fr-FR"/>
          </w:rPr>
          <w:t>https://www.who.int/publications/i/item/9789240025707</w:t>
        </w:r>
      </w:hyperlink>
    </w:p>
    <w:p>
      <w:pPr>
        <w:pStyle w:val="TextBody"/>
        <w:numPr>
          <w:ilvl w:val="0"/>
          <w:numId w:val="2"/>
        </w:numPr>
        <w:spacing w:lineRule="auto" w:line="276"/>
        <w:jc w:val="left"/>
        <w:rPr/>
      </w:pPr>
      <w:bookmarkStart w:id="102" w:name="__RefNumPara__1452_2129381569"/>
      <w:bookmarkEnd w:id="102"/>
      <w:r>
        <w:rPr>
          <w:sz w:val="24"/>
          <w:lang w:val="fr-FR"/>
        </w:rPr>
        <w:t>The World Health Organization</w:t>
      </w:r>
      <w:r>
        <w:rPr>
          <w:lang w:val="fr-FR"/>
        </w:rPr>
        <w:t xml:space="preserve"> "Quality Rights" </w:t>
      </w:r>
      <w:r>
        <w:rPr>
          <w:sz w:val="24"/>
          <w:lang w:val="fr-FR"/>
        </w:rPr>
        <w:t>material</w:t>
      </w:r>
      <w:r>
        <w:rPr>
          <w:lang w:val="fr-FR"/>
        </w:rPr>
        <w:br/>
      </w:r>
      <w:hyperlink r:id="rId80">
        <w:r>
          <w:rPr>
            <w:rStyle w:val="InternetLink"/>
            <w:lang w:val="fr-FR"/>
          </w:rPr>
          <w:t>https://www.who.int/publications/i/item/guidance-and-technical-packages-on-community-mental-health-services</w:t>
        </w:r>
      </w:hyperlink>
    </w:p>
    <w:p>
      <w:pPr>
        <w:pStyle w:val="TextBody"/>
        <w:numPr>
          <w:ilvl w:val="0"/>
          <w:numId w:val="2"/>
        </w:numPr>
        <w:spacing w:lineRule="auto" w:line="276"/>
        <w:jc w:val="left"/>
        <w:rPr/>
      </w:pPr>
      <w:bookmarkStart w:id="103" w:name="__RefNumPara__5075_234535675"/>
      <w:bookmarkEnd w:id="103"/>
      <w:r>
        <w:rPr>
          <w:lang w:val="fr-FR"/>
        </w:rPr>
        <w:t>Prise en charge cordonnée des troubles psychiques: état des lieux et conditions d’évolution, R</w:t>
      </w:r>
      <w:r>
        <w:rPr>
          <w:sz w:val="24"/>
          <w:lang w:val="fr-FR"/>
        </w:rPr>
        <w:t xml:space="preserve">apport </w:t>
      </w:r>
      <w:r>
        <w:rPr>
          <w:lang w:val="fr-FR"/>
        </w:rPr>
        <w:t>IGAS N°2019-002R, Julien E</w:t>
      </w:r>
      <w:r>
        <w:rPr>
          <w:sz w:val="24"/>
          <w:lang w:val="fr-FR"/>
        </w:rPr>
        <w:t>mmanuelli</w:t>
      </w:r>
      <w:r>
        <w:rPr>
          <w:lang w:val="fr-FR"/>
        </w:rPr>
        <w:t>, François S</w:t>
      </w:r>
      <w:r>
        <w:rPr>
          <w:sz w:val="24"/>
          <w:lang w:val="fr-FR"/>
        </w:rPr>
        <w:t>chechter</w:t>
      </w:r>
      <w:r>
        <w:rPr>
          <w:lang w:val="fr-FR"/>
        </w:rPr>
        <w:t xml:space="preserve">, </w:t>
      </w:r>
      <w:r>
        <w:rPr>
          <w:lang w:val="fr-FR"/>
        </w:rPr>
        <w:t>2019</w:t>
      </w:r>
      <w:r>
        <w:rPr>
          <w:lang w:val="fr-FR"/>
        </w:rPr>
        <w:br/>
      </w:r>
      <w:hyperlink r:id="rId81">
        <w:r>
          <w:rPr>
            <w:rStyle w:val="InternetLink"/>
            <w:lang w:val="fr-FR"/>
          </w:rPr>
          <w:t>https://www.igas.gouv.fr/IMG/pdf/2019-002r_.pdf</w:t>
        </w:r>
      </w:hyperlink>
    </w:p>
    <w:p>
      <w:pPr>
        <w:pStyle w:val="TextBody"/>
        <w:numPr>
          <w:ilvl w:val="0"/>
          <w:numId w:val="2"/>
        </w:numPr>
        <w:spacing w:lineRule="auto" w:line="276"/>
        <w:jc w:val="left"/>
        <w:rPr/>
      </w:pPr>
      <w:bookmarkStart w:id="104" w:name="__RefNumPara__5661_3214388979"/>
      <w:bookmarkEnd w:id="104"/>
      <w:r>
        <w:rPr>
          <w:lang w:val="fr-FR"/>
        </w:rPr>
        <w:t>Article L146-1 A du Code de l’action sociale et des familles</w:t>
      </w:r>
      <w:r>
        <w:rPr>
          <w:lang w:val="fr-FR"/>
        </w:rPr>
        <w:br/>
      </w:r>
      <w:hyperlink r:id="rId82">
        <w:r>
          <w:rPr>
            <w:rStyle w:val="InternetLink"/>
            <w:lang w:val="fr-FR"/>
          </w:rPr>
          <w:t>https://www.legifrance.gouv.fr/codes/article_lc/LEGIARTI000037290399/</w:t>
        </w:r>
      </w:hyperlink>
    </w:p>
    <w:p>
      <w:pPr>
        <w:pStyle w:val="TextBody"/>
        <w:numPr>
          <w:ilvl w:val="0"/>
          <w:numId w:val="2"/>
        </w:numPr>
        <w:spacing w:lineRule="auto" w:line="276"/>
        <w:jc w:val="left"/>
        <w:rPr/>
      </w:pPr>
      <w:bookmarkStart w:id="105" w:name="__RefNumPara__7257_2069249561"/>
      <w:bookmarkEnd w:id="105"/>
      <w:r>
        <w:rPr>
          <w:lang w:val="fr-FR"/>
        </w:rPr>
        <w:t>Article L. 114 du code de l’action sociale et des familles</w:t>
        <w:br/>
      </w:r>
      <w:hyperlink r:id="rId83">
        <w:r>
          <w:rPr>
            <w:rStyle w:val="InternetLink"/>
            <w:lang w:val="fr-FR"/>
          </w:rPr>
          <w:t>https://www.legifrance.gouv.fr/codes/article_lc/LEGIARTI000006796446/</w:t>
        </w:r>
      </w:hyperlink>
    </w:p>
    <w:p>
      <w:pPr>
        <w:pStyle w:val="TextBody"/>
        <w:numPr>
          <w:ilvl w:val="0"/>
          <w:numId w:val="2"/>
        </w:numPr>
        <w:spacing w:lineRule="auto" w:line="276"/>
        <w:jc w:val="left"/>
        <w:rPr/>
      </w:pPr>
      <w:bookmarkStart w:id="106" w:name="__RefNumPara__6359_2726673478"/>
      <w:bookmarkEnd w:id="106"/>
      <w:r>
        <w:rPr>
          <w:lang w:val="fr-FR"/>
        </w:rPr>
        <w:t>Form</w:t>
      </w:r>
      <w:r>
        <w:rPr>
          <w:lang w:val="fr-FR"/>
        </w:rPr>
        <w:t>ulaire</w:t>
      </w:r>
      <w:r>
        <w:rPr>
          <w:lang w:val="fr-FR"/>
        </w:rPr>
        <w:t xml:space="preserve"> CERFA 15695-01</w:t>
        <w:br/>
      </w:r>
      <w:hyperlink r:id="rId84">
        <w:r>
          <w:rPr>
            <w:rStyle w:val="InternetLink"/>
            <w:lang w:val="fr-FR"/>
          </w:rPr>
          <w:t>https://www.formulaires.service-public.fr/gf/cerfa_15695.do</w:t>
        </w:r>
      </w:hyperlink>
    </w:p>
    <w:p>
      <w:pPr>
        <w:pStyle w:val="TextBody"/>
        <w:numPr>
          <w:ilvl w:val="0"/>
          <w:numId w:val="2"/>
        </w:numPr>
        <w:spacing w:lineRule="auto" w:line="276"/>
        <w:jc w:val="left"/>
        <w:rPr/>
      </w:pPr>
      <w:bookmarkStart w:id="107" w:name="__RefNumPara__6361_2726673478"/>
      <w:bookmarkEnd w:id="107"/>
      <w:r>
        <w:rPr>
          <w:lang w:val="fr-FR"/>
        </w:rPr>
        <w:t>Article 414-1 of the Civil Code</w:t>
        <w:br/>
      </w:r>
      <w:hyperlink r:id="rId85">
        <w:r>
          <w:rPr>
            <w:rStyle w:val="InternetLink"/>
            <w:lang w:val="fr-FR"/>
          </w:rPr>
          <w:t>https://www.legifrance.gouv.fr/codes/article_lc/LEGIARTI000006427977/</w:t>
        </w:r>
      </w:hyperlink>
    </w:p>
    <w:p>
      <w:pPr>
        <w:pStyle w:val="TextBody"/>
        <w:numPr>
          <w:ilvl w:val="0"/>
          <w:numId w:val="2"/>
        </w:numPr>
        <w:spacing w:lineRule="auto" w:line="276"/>
        <w:jc w:val="left"/>
        <w:rPr/>
      </w:pPr>
      <w:r>
        <w:rPr>
          <w:lang w:val="fr-FR"/>
        </w:rPr>
        <w:t>Article 428 of the Civil Code</w:t>
        <w:br/>
      </w:r>
      <w:hyperlink r:id="rId86">
        <w:r>
          <w:rPr>
            <w:rStyle w:val="InternetLink"/>
            <w:lang w:val="fr-FR"/>
          </w:rPr>
          <w:t>https://www.legifrance.gouv.fr/codes/article_lc/LEGIARTI000038311088/</w:t>
        </w:r>
      </w:hyperlink>
    </w:p>
    <w:p>
      <w:pPr>
        <w:pStyle w:val="TextBody"/>
        <w:numPr>
          <w:ilvl w:val="0"/>
          <w:numId w:val="2"/>
        </w:numPr>
        <w:spacing w:lineRule="auto" w:line="276"/>
        <w:jc w:val="left"/>
        <w:rPr/>
      </w:pPr>
      <w:bookmarkStart w:id="108" w:name="__RefNumPara__11854_2726673478"/>
      <w:bookmarkEnd w:id="108"/>
      <w:r>
        <w:rPr>
          <w:lang w:val="fr-FR"/>
        </w:rPr>
        <w:t>Réforme de la procédure tutélaire après la loi n° 2019-222 du 23 mars 2019, Dalloz</w:t>
        <w:br/>
      </w:r>
      <w:hyperlink r:id="rId87">
        <w:r>
          <w:rPr>
            <w:rStyle w:val="InternetLink"/>
            <w:lang w:val="fr-FR"/>
          </w:rPr>
          <w:t>https://www.dalloz-actualite.fr/flash/reforme-de-procedure-tutelaire-apres-loi-n-2019-222-du-23-mars-2019</w:t>
        </w:r>
      </w:hyperlink>
    </w:p>
    <w:p>
      <w:pPr>
        <w:pStyle w:val="TextBody"/>
        <w:numPr>
          <w:ilvl w:val="0"/>
          <w:numId w:val="2"/>
        </w:numPr>
        <w:spacing w:lineRule="auto" w:line="276"/>
        <w:jc w:val="left"/>
        <w:rPr/>
      </w:pPr>
      <w:bookmarkStart w:id="109" w:name="__RefNumPara__11861_2726673478"/>
      <w:bookmarkEnd w:id="109"/>
      <w:r>
        <w:rPr>
          <w:lang w:val="fr-FR"/>
        </w:rPr>
        <w:t>La commission des droits et de l’autonomie des personnes handicapées.</w:t>
        <w:br/>
      </w:r>
      <w:hyperlink r:id="rId88">
        <w:r>
          <w:rPr>
            <w:rStyle w:val="InternetLink"/>
            <w:lang w:val="fr-FR"/>
          </w:rPr>
          <w:t>https://handicap.gouv.fr/les-aides-et-les-prestations/maison-departementale-du-handicap/article/la-commission-des-droits-et-de-l-autonomie-des-personnes-handicapees</w:t>
        </w:r>
      </w:hyperlink>
    </w:p>
    <w:p>
      <w:pPr>
        <w:pStyle w:val="TextBody"/>
        <w:numPr>
          <w:ilvl w:val="0"/>
          <w:numId w:val="2"/>
        </w:numPr>
        <w:spacing w:lineRule="auto" w:line="276"/>
        <w:jc w:val="left"/>
        <w:rPr/>
      </w:pPr>
      <w:bookmarkStart w:id="110" w:name="__RefNumPara__11858_2726673478"/>
      <w:bookmarkEnd w:id="110"/>
      <w:r>
        <w:rPr>
          <w:lang w:val="fr-FR"/>
        </w:rPr>
        <w:t xml:space="preserve">Article L114-1-1 du code de l’action sociale et des familles. </w:t>
      </w:r>
      <w:hyperlink r:id="rId89">
        <w:r>
          <w:rPr>
            <w:rStyle w:val="InternetLink"/>
            <w:lang w:val="fr-FR"/>
          </w:rPr>
          <w:t>https://www.legifrance.gouv.fr/codes/article_lc/LEGIARTI000041721238/</w:t>
        </w:r>
      </w:hyperlink>
    </w:p>
    <w:p>
      <w:pPr>
        <w:pStyle w:val="TextBody"/>
        <w:numPr>
          <w:ilvl w:val="0"/>
          <w:numId w:val="2"/>
        </w:numPr>
        <w:spacing w:lineRule="auto" w:line="276"/>
        <w:jc w:val="left"/>
        <w:rPr/>
      </w:pPr>
      <w:bookmarkStart w:id="111" w:name="__RefNumPara__14814_2726673478"/>
      <w:bookmarkEnd w:id="111"/>
      <w:r>
        <w:rPr>
          <w:lang w:val="fr-FR"/>
        </w:rPr>
        <w:t>Loi du 18 janvier 1994 relative à la santé publique et à la sécurité sociale</w:t>
        <w:br/>
      </w:r>
      <w:hyperlink r:id="rId90">
        <w:r>
          <w:rPr>
            <w:rStyle w:val="InternetLink"/>
            <w:lang w:val="fr-FR"/>
          </w:rPr>
          <w:t>https://www.legifrance.gouv.fr/loda/id/JORFTEXT000000728979/</w:t>
        </w:r>
      </w:hyperlink>
    </w:p>
    <w:p>
      <w:pPr>
        <w:pStyle w:val="TextBody"/>
        <w:numPr>
          <w:ilvl w:val="0"/>
          <w:numId w:val="2"/>
        </w:numPr>
        <w:spacing w:lineRule="auto" w:line="276"/>
        <w:jc w:val="left"/>
        <w:rPr/>
      </w:pPr>
      <w:hyperlink r:id="rId91">
        <w:r>
          <w:rPr>
            <w:rStyle w:val="InternetLink"/>
            <w:lang w:val="fr-FR"/>
          </w:rPr>
          <w:t>https://www.irdes.fr/recherche/questions-d-economie-de-la-sante/202-l-hospitalisation-au-long-cours-en-psychiatrie-analyse-et-determinants-de-la-variabilite-territoriale.pdf</w:t>
        </w:r>
      </w:hyperlink>
    </w:p>
    <w:p>
      <w:pPr>
        <w:pStyle w:val="TextBody"/>
        <w:numPr>
          <w:ilvl w:val="0"/>
          <w:numId w:val="2"/>
        </w:numPr>
        <w:spacing w:lineRule="auto" w:line="276" w:before="0" w:after="140"/>
        <w:jc w:val="left"/>
        <w:rPr/>
      </w:pPr>
      <w:bookmarkStart w:id="112" w:name="__RefNumPara__7705_1326341519"/>
      <w:bookmarkEnd w:id="112"/>
      <w:r>
        <w:rPr>
          <w:lang w:val="fr-FR"/>
        </w:rPr>
        <w:t>Ma nuit noire de l’âme, mon voyage dans la machine psychiatrique – Témoignage par D.</w:t>
        <w:br/>
      </w:r>
      <w:hyperlink r:id="rId92">
        <w:r>
          <w:rPr>
            <w:rStyle w:val="InternetLink"/>
            <w:lang w:val="fr-FR"/>
          </w:rPr>
          <w:t>http://depsychiatriser.blogspot.com/2021/06/ma-nuit-noire-de-lame-mon-voyage-dans.html</w:t>
        </w:r>
      </w:hyperlink>
    </w:p>
    <w:sectPr>
      <w:footerReference w:type="default" r:id="rId93"/>
      <w:type w:val="nextPage"/>
      <w:pgSz w:w="12240" w:h="15840"/>
      <w:pgMar w:left="1134" w:right="1134" w:header="0" w:top="1134" w:footer="1134" w:bottom="1734"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lang w:val="fr-FR"/>
      </w:rPr>
    </w:pPr>
    <w:r>
      <w:rPr>
        <w:lang w:val="fr-FR"/>
      </w:rPr>
      <w:fldChar w:fldCharType="begin"/>
    </w:r>
    <w:r>
      <w:rPr>
        <w:lang w:val="fr-FR"/>
      </w:rPr>
      <w:instrText> PAGE </w:instrText>
    </w:r>
    <w:r>
      <w:rPr>
        <w:lang w:val="fr-FR"/>
      </w:rPr>
      <w:fldChar w:fldCharType="separate"/>
    </w:r>
    <w:r>
      <w:rPr>
        <w:lang w:val="fr-FR"/>
      </w:rPr>
      <w:t>23</w:t>
    </w:r>
    <w:r>
      <w:rPr>
        <w:lang w:val="fr-FR"/>
      </w:rPr>
      <w:fldChar w:fldCharType="end"/>
    </w:r>
    <w:r>
      <w:rPr>
        <w:lang w:val="fr-FR"/>
      </w:rPr>
      <w:t xml:space="preserve"> </w:t>
    </w:r>
    <w:r>
      <w:rPr>
        <w:lang w:val="fr-FR"/>
      </w:rPr>
      <w:t xml:space="preserve">/ </w:t>
    </w:r>
    <w:r>
      <w:rPr>
        <w:lang w:val="fr-FR"/>
      </w:rPr>
      <w:fldChar w:fldCharType="begin"/>
    </w:r>
    <w:r>
      <w:rPr>
        <w:lang w:val="fr-FR"/>
      </w:rPr>
      <w:instrText> NUMPAGES </w:instrText>
    </w:r>
    <w:r>
      <w:rPr>
        <w:lang w:val="fr-FR"/>
      </w:rPr>
      <w:fldChar w:fldCharType="separate"/>
    </w:r>
    <w:r>
      <w:rPr>
        <w:lang w:val="fr-FR"/>
      </w:rPr>
      <w:t>23</w:t>
    </w:r>
    <w:r>
      <w:rPr>
        <w:lang w:val="fr-F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pStyle w:val="Heading4"/>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fr-FR"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spacing w:lineRule="auto" w:line="276"/>
    </w:pPr>
    <w:rPr>
      <w:rFonts w:ascii="Arial" w:hAnsi="Arial" w:eastAsia="NSimSun" w:cs="Arial"/>
      <w:color w:val="auto"/>
      <w:kern w:val="2"/>
      <w:sz w:val="24"/>
      <w:szCs w:val="24"/>
      <w:lang w:val="fr-FR" w:eastAsia="zh-CN" w:bidi="hi-IN"/>
    </w:rPr>
  </w:style>
  <w:style w:type="paragraph" w:styleId="Heading1">
    <w:name w:val="Heading 1"/>
    <w:basedOn w:val="Heading"/>
    <w:next w:val="TextBody"/>
    <w:qFormat/>
    <w:pPr>
      <w:numPr>
        <w:ilvl w:val="0"/>
        <w:numId w:val="1"/>
      </w:numPr>
      <w:spacing w:before="240" w:after="120"/>
      <w:outlineLvl w:val="0"/>
    </w:pPr>
    <w:rPr>
      <w:b/>
      <w:bCs/>
      <w:sz w:val="36"/>
      <w:szCs w:val="36"/>
    </w:rPr>
  </w:style>
  <w:style w:type="paragraph" w:styleId="Heading2">
    <w:name w:val="Heading 2"/>
    <w:basedOn w:val="Heading"/>
    <w:next w:val="TextBody"/>
    <w:qFormat/>
    <w:pPr>
      <w:numPr>
        <w:ilvl w:val="1"/>
        <w:numId w:val="1"/>
      </w:numPr>
      <w:spacing w:before="200" w:after="120"/>
      <w:outlineLvl w:val="1"/>
    </w:pPr>
    <w:rPr>
      <w:b/>
      <w:bCs/>
      <w:sz w:val="32"/>
      <w:szCs w:val="32"/>
    </w:rPr>
  </w:style>
  <w:style w:type="paragraph" w:styleId="Heading3">
    <w:name w:val="Heading 3"/>
    <w:basedOn w:val="Heading"/>
    <w:next w:val="TextBody"/>
    <w:qFormat/>
    <w:pPr>
      <w:numPr>
        <w:ilvl w:val="2"/>
        <w:numId w:val="1"/>
      </w:numPr>
      <w:spacing w:before="140" w:after="120"/>
      <w:jc w:val="left"/>
      <w:outlineLvl w:val="2"/>
    </w:pPr>
    <w:rPr>
      <w:rFonts w:ascii="Times New Roman" w:hAnsi="Times New Roman"/>
      <w:b/>
      <w:bCs/>
      <w:sz w:val="32"/>
      <w:szCs w:val="28"/>
    </w:rPr>
  </w:style>
  <w:style w:type="paragraph" w:styleId="Heading4">
    <w:name w:val="Heading 4"/>
    <w:basedOn w:val="Heading"/>
    <w:next w:val="TextBody"/>
    <w:qFormat/>
    <w:pPr>
      <w:numPr>
        <w:ilvl w:val="3"/>
        <w:numId w:val="1"/>
      </w:numPr>
      <w:spacing w:before="120" w:after="120"/>
      <w:outlineLvl w:val="3"/>
    </w:pPr>
    <w:rPr>
      <w:b/>
      <w:bCs/>
      <w:i/>
      <w:iCs/>
      <w:sz w:val="27"/>
      <w:szCs w:val="27"/>
    </w:rPr>
  </w:style>
  <w:style w:type="paragraph" w:styleId="Heading5">
    <w:name w:val="Heading 5"/>
    <w:basedOn w:val="Heading"/>
    <w:next w:val="TextBody"/>
    <w:qFormat/>
    <w:pPr>
      <w:numPr>
        <w:ilvl w:val="4"/>
        <w:numId w:val="1"/>
      </w:numPr>
      <w:spacing w:before="120" w:after="60"/>
      <w:outlineLvl w:val="4"/>
    </w:pPr>
    <w:rPr>
      <w:b/>
      <w:bCs/>
      <w:sz w:val="24"/>
      <w:szCs w:val="24"/>
    </w:rPr>
  </w:style>
  <w:style w:type="character" w:styleId="InternetLink">
    <w:name w:val="Hyperlink"/>
    <w:rPr>
      <w:color w:val="000080"/>
      <w:u w:val="single"/>
      <w:lang w:eastAsia="zxx" w:bidi="zxx"/>
    </w:rPr>
  </w:style>
  <w:style w:type="character" w:styleId="VisitedInternetLink">
    <w:name w:val="FollowedHyperlink"/>
    <w:rPr>
      <w:color w:val="800000"/>
      <w:u w:val="single"/>
      <w:lang w:eastAsia="zxx" w:bidi="zxx"/>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StrongEmphasis">
    <w:name w:val="Strong Emphasis"/>
    <w:qFormat/>
    <w:rPr>
      <w:b/>
      <w:bCs/>
    </w:rPr>
  </w:style>
  <w:style w:type="character" w:styleId="IndexLink">
    <w:name w:val="Index Link"/>
    <w:qFormat/>
    <w:rPr/>
  </w:style>
  <w:style w:type="paragraph" w:styleId="Heading">
    <w:name w:val="Heading"/>
    <w:basedOn w:val="Normal"/>
    <w:next w:val="TextBody"/>
    <w:qFormat/>
    <w:pPr>
      <w:keepNext w:val="true"/>
      <w:spacing w:lineRule="auto" w:line="240" w:before="240" w:after="120"/>
    </w:pPr>
    <w:rPr>
      <w:rFonts w:ascii="Times New Roman" w:hAnsi="Times New Roman" w:eastAsia="Microsoft YaHei" w:cs="Arial"/>
      <w:sz w:val="28"/>
      <w:szCs w:val="28"/>
    </w:rPr>
  </w:style>
  <w:style w:type="paragraph" w:styleId="TextBody">
    <w:name w:val="Body Text"/>
    <w:basedOn w:val="Normal"/>
    <w:pPr>
      <w:spacing w:lineRule="auto" w:line="240" w:before="0" w:after="140"/>
    </w:pPr>
    <w:rPr>
      <w:rFonts w:ascii="Times New Roman" w:hAnsi="Times New Roman"/>
      <w:sz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Heading"/>
    <w:next w:val="TextBody"/>
    <w:qFormat/>
    <w:pPr>
      <w:jc w:val="center"/>
    </w:pPr>
    <w:rPr>
      <w:b/>
      <w:bCs/>
      <w:sz w:val="56"/>
      <w:szCs w:val="56"/>
    </w:rPr>
  </w:style>
  <w:style w:type="paragraph" w:styleId="Subtitle">
    <w:name w:val="Subtitle"/>
    <w:basedOn w:val="Heading"/>
    <w:next w:val="TextBody"/>
    <w:qFormat/>
    <w:pPr>
      <w:spacing w:before="60" w:after="120"/>
      <w:jc w:val="center"/>
    </w:pPr>
    <w:rPr>
      <w:rFonts w:ascii="Times New Roman" w:hAnsi="Times New Roman"/>
      <w:b/>
      <w:sz w:val="48"/>
      <w:szCs w:val="36"/>
    </w:rPr>
  </w:style>
  <w:style w:type="paragraph" w:styleId="HeaderandFooter">
    <w:name w:val="Header and Footer"/>
    <w:basedOn w:val="Normal"/>
    <w:qFormat/>
    <w:pPr>
      <w:suppressLineNumbers/>
      <w:tabs>
        <w:tab w:val="clear" w:pos="720"/>
        <w:tab w:val="center" w:pos="4986" w:leader="none"/>
        <w:tab w:val="right" w:pos="9972" w:leader="none"/>
      </w:tabs>
    </w:pPr>
    <w:rPr/>
  </w:style>
  <w:style w:type="paragraph" w:styleId="Footer">
    <w:name w:val="Footer"/>
    <w:basedOn w:val="Normal"/>
    <w:pPr>
      <w:suppressLineNumbers/>
      <w:tabs>
        <w:tab w:val="clear" w:pos="720"/>
        <w:tab w:val="center" w:pos="4986" w:leader="none"/>
        <w:tab w:val="right" w:pos="9972" w:leader="none"/>
      </w:tabs>
    </w:pPr>
    <w:rPr/>
  </w:style>
  <w:style w:type="paragraph" w:styleId="IndexHeading">
    <w:name w:val="Index Heading"/>
    <w:basedOn w:val="Heading"/>
    <w:pPr>
      <w:suppressLineNumbers/>
      <w:ind w:left="0" w:right="0" w:hanging="0"/>
    </w:pPr>
    <w:rPr>
      <w:b/>
      <w:bCs/>
      <w:sz w:val="32"/>
      <w:szCs w:val="32"/>
    </w:rPr>
  </w:style>
  <w:style w:type="paragraph" w:styleId="ContentsHeading">
    <w:name w:val="TOA Heading"/>
    <w:basedOn w:val="IndexHeading"/>
    <w:pPr>
      <w:suppressLineNumbers/>
      <w:ind w:left="0" w:right="0" w:hanging="0"/>
    </w:pPr>
    <w:rPr>
      <w:b/>
      <w:bCs/>
      <w:sz w:val="32"/>
      <w:szCs w:val="32"/>
    </w:rPr>
  </w:style>
  <w:style w:type="paragraph" w:styleId="Contents3">
    <w:name w:val="TOC 3"/>
    <w:basedOn w:val="Index"/>
    <w:pPr>
      <w:tabs>
        <w:tab w:val="clear" w:pos="720"/>
        <w:tab w:val="right" w:pos="9406" w:leader="dot"/>
      </w:tabs>
      <w:ind w:left="566" w:right="0" w:hanging="0"/>
    </w:pPr>
    <w:rPr/>
  </w:style>
  <w:style w:type="paragraph" w:styleId="Contents4">
    <w:name w:val="TOC 4"/>
    <w:basedOn w:val="Index"/>
    <w:pPr>
      <w:tabs>
        <w:tab w:val="clear" w:pos="720"/>
        <w:tab w:val="right" w:pos="9123" w:leader="dot"/>
      </w:tabs>
      <w:ind w:left="849" w:right="0" w:hanging="0"/>
    </w:pPr>
    <w:rPr/>
  </w:style>
</w:styles>
</file>

<file path=word/_rels/document.xml.rels><?xml version="1.0" encoding="UTF-8" standalone="yes"?>
<Relationships xmlns="http://schemas.openxmlformats.org/package/2006/relationships"><Relationship Id="rId26" Type="http://schemas.openxmlformats.org/officeDocument/2006/relationships/hyperlink" Target="https://www.karger.com/Article/FullText/477313" TargetMode="External"/><Relationship Id="rId21" Type="http://schemas.openxmlformats.org/officeDocument/2006/relationships/hyperlink" Target="https://www.researchgate.net/publication/49817143_Long-term_Antipsychotic_Treatment_and_Brain_Volumes_A_Longitudinal_Study_of_First-Episode_Schizophrenia" TargetMode="External"/><Relationship Id="rId42" Type="http://schemas.openxmlformats.org/officeDocument/2006/relationships/hyperlink" Target="http://www.omicsonline.org/open-access/pharmacological-iatrogenesis-substancemedicationinduced-disordersthat-masquerade-as-mental-illness-2161-1165-1000217.php?aid=69317" TargetMode="External"/><Relationship Id="rId47" Type="http://schemas.openxmlformats.org/officeDocument/2006/relationships/hyperlink" Target="https://www.senat.fr/rap/l19-140-329/l19-140-3297.html" TargetMode="External"/><Relationship Id="rId63" Type="http://schemas.openxmlformats.org/officeDocument/2006/relationships/hyperlink" Target="https://informations.handicap.fr/a-isolement-hp-dimitri-8692.php" TargetMode="External"/><Relationship Id="rId68" Type="http://schemas.openxmlformats.org/officeDocument/2006/relationships/hyperlink" Target="https://tbinternet.ohchr.org/_layouts/15/treatybodyexternal/Download.aspx?symbolno=A/72/55&amp;Lang=en" TargetMode="External"/><Relationship Id="rId84" Type="http://schemas.openxmlformats.org/officeDocument/2006/relationships/hyperlink" Target="https://www.formulaires.service-public.fr/gf/cerfa_15695.do" TargetMode="External"/><Relationship Id="rId89" Type="http://schemas.openxmlformats.org/officeDocument/2006/relationships/hyperlink" Target="https://www.legifrance.gouv.fr/codes/article_lc/LEGIARTI000041721238/" TargetMode="External"/><Relationship Id="rId16" Type="http://schemas.openxmlformats.org/officeDocument/2006/relationships/hyperlink" Target="https://mhe-sme.org/wp-content/uploads/2018/09/A-short-guide-to-Psychiatric-Diagnosis-FINAL.pdf" TargetMode="External"/><Relationship Id="rId11" Type="http://schemas.openxmlformats.org/officeDocument/2006/relationships/hyperlink" Target="https://www.legifrance.gouv.fr/codes/article_lc/LEGIARTI000006427435/" TargetMode="External"/><Relationship Id="rId32" Type="http://schemas.openxmlformats.org/officeDocument/2006/relationships/hyperlink" Target="http://doi.org/10.1097/01.chi.0000235075.25038.5a" TargetMode="External"/><Relationship Id="rId37" Type="http://schemas.openxmlformats.org/officeDocument/2006/relationships/hyperlink" Target="https://rxisk.org/post-ssri-sexual-dysfunction-pssd/" TargetMode="External"/><Relationship Id="rId53" Type="http://schemas.openxmlformats.org/officeDocument/2006/relationships/hyperlink" Target="https://doi.org/10.3390/ph14030238" TargetMode="External"/><Relationship Id="rId58" Type="http://schemas.openxmlformats.org/officeDocument/2006/relationships/hyperlink" Target="https://www.scansante.fr/applications/statistiques-activite-PSY/submit?snatnav=&amp;annee=2017&amp;tgeo=fe&amp;codegeo=99&amp;cat_etab=0&amp;taille_etab=0&amp;Age=0&amp;nat_pec=99&amp;form_act=99&amp;cat_diag" TargetMode="External"/><Relationship Id="rId74" Type="http://schemas.openxmlformats.org/officeDocument/2006/relationships/hyperlink" Target="https://www.legifrance.gouv.fr/codes/article_lc/LEGIARTI000041721056/" TargetMode="External"/><Relationship Id="rId79" Type="http://schemas.openxmlformats.org/officeDocument/2006/relationships/hyperlink" Target="https://www.who.int/publications/i/item/9789240025707" TargetMode="External"/><Relationship Id="rId5" Type="http://schemas.openxmlformats.org/officeDocument/2006/relationships/hyperlink" Target="https://tbinternet.ohchr.org/Treaties/CRPD/Shared Documents/FRA/INT_CRPD_ICO_FRA_35584_F.doc" TargetMode="External"/><Relationship Id="rId90" Type="http://schemas.openxmlformats.org/officeDocument/2006/relationships/hyperlink" Target="https://www.legifrance.gouv.fr/loda/id/JORFTEXT000000728979/" TargetMode="External"/><Relationship Id="rId95" Type="http://schemas.openxmlformats.org/officeDocument/2006/relationships/fontTable" Target="fontTable.xml"/><Relationship Id="rId22" Type="http://schemas.openxmlformats.org/officeDocument/2006/relationships/hyperlink" Target="https://pubmed.ncbi.nlm.nih.gov/21751826/" TargetMode="External"/><Relationship Id="rId27" Type="http://schemas.openxmlformats.org/officeDocument/2006/relationships/hyperlink" Target="http://doi.org/10.1089/cap.2008.0130" TargetMode="External"/><Relationship Id="rId43" Type="http://schemas.openxmlformats.org/officeDocument/2006/relationships/hyperlink" Target="https://pubmed.ncbi.nlm.nih.gov/9675507/" TargetMode="External"/><Relationship Id="rId48" Type="http://schemas.openxmlformats.org/officeDocument/2006/relationships/hyperlink" Target="http://www.creai-pdl.fr/images/rapportfinal_mjpm_ancreai_dgcs_mai2017.pdf" TargetMode="External"/><Relationship Id="rId64" Type="http://schemas.openxmlformats.org/officeDocument/2006/relationships/hyperlink" Target="https://www.has-sante.fr/jcms/p_3260568/fr/programme-de-soins-psychiatriques-sans-consentement-mise-en-oeuvre" TargetMode="External"/><Relationship Id="rId69" Type="http://schemas.openxmlformats.org/officeDocument/2006/relationships/hyperlink" Target="https://www.conseil-constitutionnel.fr/decisions/la-qpc" TargetMode="External"/><Relationship Id="rId80" Type="http://schemas.openxmlformats.org/officeDocument/2006/relationships/hyperlink" Target="https://www.who.int/publications/i/item/guidance-and-technical-packages-on-community-mental-health-services" TargetMode="External"/><Relationship Id="rId85" Type="http://schemas.openxmlformats.org/officeDocument/2006/relationships/hyperlink" Target="https://www.legifrance.gouv.fr/codes/article_lc/LEGIARTI000006427977/" TargetMode="External"/><Relationship Id="rId3" Type="http://schemas.openxmlformats.org/officeDocument/2006/relationships/hyperlink" Target="https://www.facebook.com/PetitionStopAbusPsychiatrie" TargetMode="External"/><Relationship Id="rId12" Type="http://schemas.openxmlformats.org/officeDocument/2006/relationships/hyperlink" Target="https://drees.solidarites-sante.gouv.fr/publications/etudes-et-resultats/loffre-daccueil-des-personnes-handicapees-dans-les-0" TargetMode="External"/><Relationship Id="rId17" Type="http://schemas.openxmlformats.org/officeDocument/2006/relationships/hyperlink" Target="http://agence-prd.ansm.sante.fr/php/ecodex/rcp/R0306587.htm" TargetMode="External"/><Relationship Id="rId25" Type="http://schemas.openxmlformats.org/officeDocument/2006/relationships/hyperlink" Target="https://academic.oup.com/schizophreniabulletin/advance-article/doi/10.1093/schbul/sbab017/6178746" TargetMode="External"/><Relationship Id="rId33" Type="http://schemas.openxmlformats.org/officeDocument/2006/relationships/hyperlink" Target="https://doi.org/10.1016/0165-1781(90)90151-T" TargetMode="External"/><Relationship Id="rId38" Type="http://schemas.openxmlformats.org/officeDocument/2006/relationships/hyperlink" Target="https://www.rcpsych.ac.uk/mental-health/treatments-and-wellbeing/stopping-antidepressants" TargetMode="External"/><Relationship Id="rId46" Type="http://schemas.openxmlformats.org/officeDocument/2006/relationships/hyperlink" Target="https://ajp.psychiatryonline.org/doi/full/10.1176/ajp.2007.164.1.166" TargetMode="External"/><Relationship Id="rId59" Type="http://schemas.openxmlformats.org/officeDocument/2006/relationships/hyperlink" Target="https://www.scansante.fr/applications/statistiques-activite-PSY/submit?snatnav=&amp;annee=2017&amp;tgeo=fe&amp;codegeo=99&amp;cat_etab=0&amp;taille_etab=0&amp;Age=0&amp;nat_pec=99&amp;form_act=99&amp;cat_diag=" TargetMode="External"/><Relationship Id="rId67" Type="http://schemas.openxmlformats.org/officeDocument/2006/relationships/hyperlink" Target="https://www.tf1.fr/tf1/sept-a-huit/videos/sept-a-huit-psychiatrie-un-juge-face-aux-malades-19143383.html" TargetMode="External"/><Relationship Id="rId20" Type="http://schemas.openxmlformats.org/officeDocument/2006/relationships/hyperlink" Target="https://www.researchgate.net/publication/49817143_Long-term_Antipsychotic_Treatment_and_Brain_Volumes_A_Longitudinal_Study_of_First-Episode_Schizophrenia" TargetMode="External"/><Relationship Id="rId41" Type="http://schemas.openxmlformats.org/officeDocument/2006/relationships/hyperlink" Target="http://www.omicsonline.org/open-access/pharmacological-iatrogenesis-substancemedicationinduced-disordersthat-masquerade-as-mental-illness-2161-1165-1000217.php?aid=69317" TargetMode="External"/><Relationship Id="rId54" Type="http://schemas.openxmlformats.org/officeDocument/2006/relationships/hyperlink" Target="https://www.conseil-etat.fr/fr/arianeweb/CE/decision/2020-03-27/431350" TargetMode="External"/><Relationship Id="rId62" Type="http://schemas.openxmlformats.org/officeDocument/2006/relationships/hyperlink" Target="https://dumas.ccsd.cnrs.fr/dumas-01676733/document" TargetMode="External"/><Relationship Id="rId70" Type="http://schemas.openxmlformats.org/officeDocument/2006/relationships/hyperlink" Target="https://www.legifrance.gouv.fr/codes/article_lc/LEGIARTI000031918948/2016-01-28" TargetMode="External"/><Relationship Id="rId75" Type="http://schemas.openxmlformats.org/officeDocument/2006/relationships/hyperlink" Target="https://www.conseil-constitutionnel.fr/decision/2012/2012235QPC.htm" TargetMode="External"/><Relationship Id="rId83" Type="http://schemas.openxmlformats.org/officeDocument/2006/relationships/hyperlink" Target="https://www.legifrance.gouv.fr/codes/article_lc/LEGIARTI000006796446/" TargetMode="External"/><Relationship Id="rId88" Type="http://schemas.openxmlformats.org/officeDocument/2006/relationships/hyperlink" Target="https://handicap.gouv.fr/les-aides-et-les-prestations/maison-departementale-du-handicap/article/la-commission-des-droits-et-de-l-autonomie-des-personnes-handicapees" TargetMode="External"/><Relationship Id="rId91" Type="http://schemas.openxmlformats.org/officeDocument/2006/relationships/hyperlink" Target="https://www.irdes.fr/recherche/questions-d-economie-de-la-sante/202-l-hospitalisation-au-long-cours-en-psychiatrie-analyse-et-determinants-de-la-variabilite-territoriale.pdf" TargetMode="External"/><Relationship Id="rId96"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dvocacy.fr/actualites/vie-de-l-association/rien-pour-nous-sans,132" TargetMode="External"/><Relationship Id="rId15" Type="http://schemas.openxmlformats.org/officeDocument/2006/relationships/hyperlink" Target="https://www.health.belgium.be/sites/default/files/uploads/fields/fpshealth_theme_file/css_9360_dsm5.pdf" TargetMode="External"/><Relationship Id="rId23" Type="http://schemas.openxmlformats.org/officeDocument/2006/relationships/hyperlink" Target="https://doi.org/10.1002/mds.21618" TargetMode="External"/><Relationship Id="rId28" Type="http://schemas.openxmlformats.org/officeDocument/2006/relationships/hyperlink" Target="http://www.sciencedirect.com/science/article/pii/S0028390804001820" TargetMode="External"/><Relationship Id="rId36" Type="http://schemas.openxmlformats.org/officeDocument/2006/relationships/hyperlink" Target="https://www.bmj.com/content/368/bmj.m754" TargetMode="External"/><Relationship Id="rId49" Type="http://schemas.openxmlformats.org/officeDocument/2006/relationships/hyperlink" Target="https://www.legifrance.gouv.fr/juri/id/JURITEXT000035681676?isSuggest=true" TargetMode="External"/><Relationship Id="rId57" Type="http://schemas.openxmlformats.org/officeDocument/2006/relationships/hyperlink" Target="https://www.scansante.fr/applications/statistiques-activite-PSY/submit?snatnav=&amp;annee=2020&amp;tgeo=fe&amp;codegeo=99&amp;cat_etab=0&amp;taille_etab=0&amp;Age=0&amp;nat_pec=99&amp;form_act=99&amp;cat_diag=" TargetMode="External"/><Relationship Id="rId10" Type="http://schemas.openxmlformats.org/officeDocument/2006/relationships/hyperlink" Target="https://www.legifrance.gouv.fr/codes/section_lc/LEGITEXT000006070721/LEGISCTA000006117881/" TargetMode="External"/><Relationship Id="rId31" Type="http://schemas.openxmlformats.org/officeDocument/2006/relationships/hyperlink" Target="https://doi.org/10.1038/s41386-018-0207-5" TargetMode="External"/><Relationship Id="rId44" Type="http://schemas.openxmlformats.org/officeDocument/2006/relationships/hyperlink" Target="https://pubmed.ncbi.nlm.nih.gov/24647741/" TargetMode="External"/><Relationship Id="rId52" Type="http://schemas.openxmlformats.org/officeDocument/2006/relationships/hyperlink" Target="http://www.ochsnerjournal.org/content/17/2/162?utm_source=TrendMD&amp;utm_medium=cpc&amp;utm_campaign=Ochsner_Journal_TrendMD_0" TargetMode="External"/><Relationship Id="rId60" Type="http://schemas.openxmlformats.org/officeDocument/2006/relationships/hyperlink" Target="http://www.justice.gouv.fr/statistiques-10054/references-statistiques-justice-12837/references-statistiques-justice-33702.html" TargetMode="External"/><Relationship Id="rId65" Type="http://schemas.openxmlformats.org/officeDocument/2006/relationships/hyperlink" Target="https://www.legifrance.gouv.fr/loda/id/JORFTEXT000038261631/" TargetMode="External"/><Relationship Id="rId73" Type="http://schemas.openxmlformats.org/officeDocument/2006/relationships/hyperlink" Target="https://www.legifrance.gouv.fr/jorf/id/JORFTEXT000000227015/" TargetMode="External"/><Relationship Id="rId78" Type="http://schemas.openxmlformats.org/officeDocument/2006/relationships/hyperlink" Target="https://www.bps.org.uk/sites/bps.org.uk/files/Policy/Policy - Files/PTM Main.pdf" TargetMode="External"/><Relationship Id="rId81" Type="http://schemas.openxmlformats.org/officeDocument/2006/relationships/hyperlink" Target="https://www.igas.gouv.fr/IMG/pdf/2019-002r_.pdf" TargetMode="External"/><Relationship Id="rId86" Type="http://schemas.openxmlformats.org/officeDocument/2006/relationships/hyperlink" Target="https://www.legifrance.gouv.fr/codes/article_lc/LEGIARTI000038311088/" TargetMode="External"/><Relationship Id="rId94" Type="http://schemas.openxmlformats.org/officeDocument/2006/relationships/numbering" Target="numbering.xml"/><Relationship Id="rId99" Type="http://schemas.openxmlformats.org/officeDocument/2006/relationships/customXml" Target="../customXml/item3.xml"/><Relationship Id="rId4" Type="http://schemas.openxmlformats.org/officeDocument/2006/relationships/hyperlink" Target="https://www.change.org/p/abolir-l-hospitalisation-forc&#233;e-et-le-traitement-forc&#233;" TargetMode="External"/><Relationship Id="rId9" Type="http://schemas.openxmlformats.org/officeDocument/2006/relationships/hyperlink" Target="https://www.legifrance.gouv.fr/codes/article_lc/LEGIARTI000028016782/" TargetMode="External"/><Relationship Id="rId13" Type="http://schemas.openxmlformats.org/officeDocument/2006/relationships/hyperlink" Target="https://drees.solidarites-sante.gouv.fr/sites/default/files/2020-12/er1170.xlsx" TargetMode="External"/><Relationship Id="rId18" Type="http://schemas.openxmlformats.org/officeDocument/2006/relationships/hyperlink" Target="https://doi.org/10.1016/S0006-3223(00)01058-1" TargetMode="External"/><Relationship Id="rId39" Type="http://schemas.openxmlformats.org/officeDocument/2006/relationships/hyperlink" Target="https://doi.org/10.1111/chso.12049" TargetMode="External"/><Relationship Id="rId34" Type="http://schemas.openxmlformats.org/officeDocument/2006/relationships/hyperlink" Target="https://www.hcp.med.harvard.edu/ncs/ftpdir/adhd/18Q_ASRS_English.pdf" TargetMode="External"/><Relationship Id="rId50" Type="http://schemas.openxmlformats.org/officeDocument/2006/relationships/hyperlink" Target="https://psychiatrie.crpa.asso.fr/IMG/pdf/panfili_jean-marc_2020-09-09_mise_a_jour_analyse_de_la_jpdce.pdf" TargetMode="External"/><Relationship Id="rId55" Type="http://schemas.openxmlformats.org/officeDocument/2006/relationships/hyperlink" Target="https://drive.google.com/file/d/1kQhlVzvWr7IcI3GbT8lnF-E7NTGuJngj/view?usp=sharing" TargetMode="External"/><Relationship Id="rId76" Type="http://schemas.openxmlformats.org/officeDocument/2006/relationships/hyperlink" Target="https://www.blogger.com/" TargetMode="External"/><Relationship Id="rId97" Type="http://schemas.openxmlformats.org/officeDocument/2006/relationships/customXml" Target="../customXml/item1.xml"/><Relationship Id="rId7" Type="http://schemas.openxmlformats.org/officeDocument/2006/relationships/hyperlink" Target="https://solidarites-sante.gouv.fr/IMG/pdf/180628_-_dossier_de_presse_-_comite_strategie_sante_mentale.pdf" TargetMode="External"/><Relationship Id="rId71" Type="http://schemas.openxmlformats.org/officeDocument/2006/relationships/hyperlink" Target="https://www.conseil-constitutionnel.fr/decision/2021/2021912_913_914QPC.htm" TargetMode="External"/><Relationship Id="rId92" Type="http://schemas.openxmlformats.org/officeDocument/2006/relationships/hyperlink" Target="http://depsychiatriser.blogspot.com/2021/06/ma-nuit-noire-de-lame-mon-voyage-dans.html" TargetMode="External"/><Relationship Id="rId2" Type="http://schemas.openxmlformats.org/officeDocument/2006/relationships/hyperlink" Target="https://depsychiatriser.blogspot.com/" TargetMode="External"/><Relationship Id="rId29" Type="http://schemas.openxmlformats.org/officeDocument/2006/relationships/hyperlink" Target="http://link.springer.com/article/10.1007/s12035-016-9987-y" TargetMode="External"/><Relationship Id="rId24" Type="http://schemas.openxmlformats.org/officeDocument/2006/relationships/hyperlink" Target="https://doi.org/10.1089/cap.2008.0120" TargetMode="External"/><Relationship Id="rId40" Type="http://schemas.openxmlformats.org/officeDocument/2006/relationships/hyperlink" Target="https://www.deadlymedicines.dk/books/" TargetMode="External"/><Relationship Id="rId45" Type="http://schemas.openxmlformats.org/officeDocument/2006/relationships/hyperlink" Target="https://www.sciencedirect.com/science/article/abs/pii/S0165178119309114" TargetMode="External"/><Relationship Id="rId66" Type="http://schemas.openxmlformats.org/officeDocument/2006/relationships/hyperlink" Target="https://www.dalloz-actualite.fr/flash/reforme-de-procedure-tutelaire-apres-loi-n-2019-222-du-23-mars-2019" TargetMode="External"/><Relationship Id="rId87" Type="http://schemas.openxmlformats.org/officeDocument/2006/relationships/hyperlink" Target="https://www.dalloz-actualite.fr/flash/reforme-de-procedure-tutelaire-apres-loi-n-2019-222-du-23-mars-2019" TargetMode="External"/><Relationship Id="rId61" Type="http://schemas.openxmlformats.org/officeDocument/2006/relationships/hyperlink" Target="http://www.justice.gouv.fr/art_pix/3-PARTIE2_References_stastiques_justice_2019_16x24.pdf" TargetMode="External"/><Relationship Id="rId82" Type="http://schemas.openxmlformats.org/officeDocument/2006/relationships/hyperlink" Target="https://www.legifrance.gouv.fr/codes/article_lc/LEGIARTI000037290399/" TargetMode="External"/><Relationship Id="rId19" Type="http://schemas.openxmlformats.org/officeDocument/2006/relationships/hyperlink" Target="https://www.researchgate.net/publication/327512494_Can_antipsychotic_medication_administered_for_paediatric_emotional_and_behavioural_disorders_lead_to_brain_atrophy/citation/download" TargetMode="External"/><Relationship Id="rId14" Type="http://schemas.openxmlformats.org/officeDocument/2006/relationships/hyperlink" Target="https://www.cnsa.fr/outils-methodes-et-territoires-organisation-de-loffre/programmation-et-creation-de-places-en-etablissement-ou-service/le-bilan-des-plans" TargetMode="External"/><Relationship Id="rId30" Type="http://schemas.openxmlformats.org/officeDocument/2006/relationships/hyperlink" Target="https://pubs.rsna.org/doi/10.1148/radiol.2019182528" TargetMode="External"/><Relationship Id="rId35" Type="http://schemas.openxmlformats.org/officeDocument/2006/relationships/hyperlink" Target="https://breggin.com/antidepressant-drugs-resource-center/" TargetMode="External"/><Relationship Id="rId56" Type="http://schemas.openxmlformats.org/officeDocument/2006/relationships/hyperlink" Target="https://drive.google.com/file/d/1l3VzmfGjYxa8YZeg-W-FPCvUGYaESQiz/view?usp=sharing" TargetMode="External"/><Relationship Id="rId77" Type="http://schemas.openxmlformats.org/officeDocument/2006/relationships/hyperlink" Target="http://www.tandfonline.com/doi/abs/10.1080/17522439.2011.595819?src=recsys" TargetMode="External"/><Relationship Id="rId8" Type="http://schemas.openxmlformats.org/officeDocument/2006/relationships/hyperlink" Target="https://www.legifrance.gouv.fr/codes/article_lc/LEGIARTI000041721183/" TargetMode="External"/><Relationship Id="rId51" Type="http://schemas.openxmlformats.org/officeDocument/2006/relationships/hyperlink" Target="https://www.has-sante.fr/upload/docs/application/pdf/2018-04/rapport_delaboration_-_aide_a_la_redaction_des_certificats_et_avis_medicaux_dans_le_cadre_des_soins_psychiatriques_sans_cons.pdf" TargetMode="External"/><Relationship Id="rId72" Type="http://schemas.openxmlformats.org/officeDocument/2006/relationships/hyperlink" Target="https://psychiatrie.crpa.asso.fr/2021-06-04-Decision-QPC-Vers-une-judiciarisation-systematique-de-l-isolement-et-de-la-contention?lang=fr" TargetMode="External"/><Relationship Id="rId93" Type="http://schemas.openxmlformats.org/officeDocument/2006/relationships/footer" Target="footer1.xml"/><Relationship Id="rId98" Type="http://schemas.openxmlformats.org/officeDocument/2006/relationships/customXml" Target="../customXml/item2.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907D24-C02A-4CA5-9852-C48F2B4BA364}"/>
</file>

<file path=customXml/itemProps2.xml><?xml version="1.0" encoding="utf-8"?>
<ds:datastoreItem xmlns:ds="http://schemas.openxmlformats.org/officeDocument/2006/customXml" ds:itemID="{304B928F-9766-4FE5-A6EF-B545D5EE6E53}"/>
</file>

<file path=customXml/itemProps3.xml><?xml version="1.0" encoding="utf-8"?>
<ds:datastoreItem xmlns:ds="http://schemas.openxmlformats.org/officeDocument/2006/customXml" ds:itemID="{21031110-7C7D-4EB0-BF88-30BA84074432}"/>
</file>

<file path=docProps/app.xml><?xml version="1.0" encoding="utf-8"?>
<Properties xmlns="http://schemas.openxmlformats.org/officeDocument/2006/extended-properties" xmlns:vt="http://schemas.openxmlformats.org/officeDocument/2006/docPropsVTypes">
  <Template/>
  <TotalTime>4607</TotalTime>
  <Application>LibreOffice/7.1.3.2$Windows_X86_64 LibreOffice_project/47f78053abe362b9384784d31a6e56f8511eb1c1</Application>
  <AppVersion>15.0000</AppVersion>
  <Pages>23</Pages>
  <Words>6809</Words>
  <Characters>44886</Characters>
  <CharactersWithSpaces>51401</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371</cp:revision>
  <dcterms:created xsi:type="dcterms:W3CDTF">2019-05-30T13:03:05Z</dcterms:created>
  <dcterms:modified xsi:type="dcterms:W3CDTF">2021-08-05T09:35:03Z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