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D33C6" w14:textId="7EFA5C4A" w:rsidR="00397121" w:rsidRPr="00B34E6E" w:rsidRDefault="00397121" w:rsidP="00397121">
      <w:pPr>
        <w:pStyle w:val="NormalWeb"/>
        <w:jc w:val="center"/>
        <w:rPr>
          <w:rFonts w:ascii="Calibri" w:hAnsi="Calibri" w:cs="Calibri"/>
          <w:b/>
          <w:bCs/>
          <w:sz w:val="22"/>
          <w:szCs w:val="22"/>
        </w:rPr>
      </w:pPr>
      <w:r w:rsidRPr="00B34E6E">
        <w:rPr>
          <w:rFonts w:ascii="Calibri" w:hAnsi="Calibri" w:cs="Calibri"/>
          <w:b/>
          <w:bCs/>
          <w:sz w:val="22"/>
          <w:szCs w:val="22"/>
        </w:rPr>
        <w:t>Human Rights Watch Submission to the Committee on Economic, Social and Cultural Rights on Yemen</w:t>
      </w:r>
      <w:r w:rsidRPr="00B34E6E">
        <w:rPr>
          <w:rFonts w:ascii="Calibri" w:hAnsi="Calibri" w:cs="Calibri"/>
          <w:b/>
          <w:bCs/>
          <w:sz w:val="22"/>
          <w:szCs w:val="22"/>
        </w:rPr>
        <w:br/>
        <w:t>Review of Yemen’s periodic report for the 73</w:t>
      </w:r>
      <w:r w:rsidRPr="00B34E6E">
        <w:rPr>
          <w:rFonts w:ascii="Calibri" w:hAnsi="Calibri" w:cs="Calibri"/>
          <w:b/>
          <w:bCs/>
          <w:sz w:val="22"/>
          <w:szCs w:val="22"/>
          <w:vertAlign w:val="superscript"/>
        </w:rPr>
        <w:t>rd</w:t>
      </w:r>
      <w:r w:rsidRPr="00B34E6E">
        <w:rPr>
          <w:rFonts w:ascii="Calibri" w:hAnsi="Calibri" w:cs="Calibri"/>
          <w:b/>
          <w:bCs/>
          <w:sz w:val="22"/>
          <w:szCs w:val="22"/>
        </w:rPr>
        <w:t xml:space="preserve"> Session</w:t>
      </w:r>
      <w:r w:rsidRPr="00B34E6E">
        <w:rPr>
          <w:rFonts w:ascii="Calibri" w:hAnsi="Calibri" w:cs="Calibri"/>
          <w:b/>
          <w:bCs/>
          <w:sz w:val="22"/>
          <w:szCs w:val="22"/>
        </w:rPr>
        <w:br/>
        <w:t>January 2023</w:t>
      </w:r>
    </w:p>
    <w:p w14:paraId="50B31DF9" w14:textId="77777777" w:rsidR="00397121" w:rsidRPr="00B34E6E" w:rsidRDefault="00397121" w:rsidP="00397121">
      <w:pPr>
        <w:rPr>
          <w:rFonts w:ascii="Calibri" w:hAnsi="Calibri" w:cs="Calibri"/>
          <w:sz w:val="22"/>
          <w:szCs w:val="22"/>
        </w:rPr>
      </w:pPr>
      <w:r w:rsidRPr="00B34E6E">
        <w:rPr>
          <w:rFonts w:ascii="Calibri" w:hAnsi="Calibri" w:cs="Calibri"/>
          <w:sz w:val="22"/>
          <w:szCs w:val="22"/>
          <w:shd w:val="clear" w:color="auto" w:fill="FFFFFF"/>
        </w:rPr>
        <w:t>We write in advance of the 73</w:t>
      </w:r>
      <w:r w:rsidRPr="00B34E6E">
        <w:rPr>
          <w:rFonts w:ascii="Calibri" w:hAnsi="Calibri" w:cs="Calibri"/>
          <w:sz w:val="22"/>
          <w:szCs w:val="22"/>
          <w:shd w:val="clear" w:color="auto" w:fill="FFFFFF"/>
          <w:vertAlign w:val="superscript"/>
        </w:rPr>
        <w:t>rd</w:t>
      </w:r>
      <w:r w:rsidRPr="00B34E6E">
        <w:rPr>
          <w:rFonts w:ascii="Calibri" w:hAnsi="Calibri" w:cs="Calibri"/>
          <w:sz w:val="22"/>
          <w:szCs w:val="22"/>
          <w:shd w:val="clear" w:color="auto" w:fill="FFFFFF"/>
        </w:rPr>
        <w:t xml:space="preserve"> Session of the </w:t>
      </w:r>
      <w:r w:rsidRPr="00B34E6E">
        <w:rPr>
          <w:rFonts w:ascii="Calibri" w:hAnsi="Calibri" w:cs="Calibri"/>
          <w:sz w:val="22"/>
          <w:szCs w:val="22"/>
        </w:rPr>
        <w:t>Committee on Economic, Social and Cultural Rights and its review of the Republic of Yemen’s compliance with the International Covenant on Economic, Social and Cultural Rights.</w:t>
      </w:r>
    </w:p>
    <w:p w14:paraId="28C0D17E" w14:textId="77777777" w:rsidR="00397121" w:rsidRPr="00B34E6E" w:rsidRDefault="00397121" w:rsidP="00397121">
      <w:pPr>
        <w:rPr>
          <w:rFonts w:ascii="Calibri" w:hAnsi="Calibri" w:cs="Calibri"/>
          <w:sz w:val="22"/>
          <w:szCs w:val="22"/>
        </w:rPr>
      </w:pPr>
    </w:p>
    <w:p w14:paraId="6AB2E472" w14:textId="31031C2B" w:rsidR="00397121" w:rsidRPr="00B34E6E" w:rsidRDefault="1F637C64" w:rsidP="00397121">
      <w:pPr>
        <w:rPr>
          <w:rFonts w:ascii="Calibri" w:hAnsi="Calibri" w:cs="Calibri"/>
          <w:b/>
          <w:bCs/>
          <w:sz w:val="22"/>
          <w:szCs w:val="22"/>
        </w:rPr>
      </w:pPr>
      <w:r w:rsidRPr="54DED7DC">
        <w:rPr>
          <w:rFonts w:ascii="Calibri" w:hAnsi="Calibri" w:cs="Calibri"/>
          <w:b/>
          <w:bCs/>
          <w:sz w:val="22"/>
          <w:szCs w:val="22"/>
        </w:rPr>
        <w:t xml:space="preserve">Protection of </w:t>
      </w:r>
      <w:r w:rsidR="59BBD826" w:rsidRPr="54DED7DC">
        <w:rPr>
          <w:rFonts w:ascii="Calibri" w:hAnsi="Calibri" w:cs="Calibri"/>
          <w:b/>
          <w:bCs/>
          <w:sz w:val="22"/>
          <w:szCs w:val="22"/>
        </w:rPr>
        <w:t>A</w:t>
      </w:r>
      <w:r w:rsidRPr="54DED7DC">
        <w:rPr>
          <w:rFonts w:ascii="Calibri" w:hAnsi="Calibri" w:cs="Calibri"/>
          <w:b/>
          <w:bCs/>
          <w:sz w:val="22"/>
          <w:szCs w:val="22"/>
        </w:rPr>
        <w:t xml:space="preserve">dequate </w:t>
      </w:r>
      <w:r w:rsidR="59BBD826" w:rsidRPr="54DED7DC">
        <w:rPr>
          <w:rFonts w:ascii="Calibri" w:hAnsi="Calibri" w:cs="Calibri"/>
          <w:b/>
          <w:bCs/>
          <w:sz w:val="22"/>
          <w:szCs w:val="22"/>
        </w:rPr>
        <w:t>H</w:t>
      </w:r>
      <w:r w:rsidRPr="54DED7DC">
        <w:rPr>
          <w:rFonts w:ascii="Calibri" w:hAnsi="Calibri" w:cs="Calibri"/>
          <w:b/>
          <w:bCs/>
          <w:sz w:val="22"/>
          <w:szCs w:val="22"/>
        </w:rPr>
        <w:t>ealth</w:t>
      </w:r>
      <w:r w:rsidR="59BBD826" w:rsidRPr="54DED7DC">
        <w:rPr>
          <w:rFonts w:ascii="Calibri" w:hAnsi="Calibri" w:cs="Calibri"/>
          <w:b/>
          <w:bCs/>
          <w:sz w:val="22"/>
          <w:szCs w:val="22"/>
        </w:rPr>
        <w:t xml:space="preserve">, </w:t>
      </w:r>
      <w:r w:rsidRPr="54DED7DC">
        <w:rPr>
          <w:rFonts w:ascii="Calibri" w:hAnsi="Calibri" w:cs="Calibri"/>
          <w:b/>
          <w:bCs/>
          <w:sz w:val="22"/>
          <w:szCs w:val="22"/>
        </w:rPr>
        <w:t xml:space="preserve">and </w:t>
      </w:r>
      <w:r w:rsidR="59BBD826" w:rsidRPr="54DED7DC">
        <w:rPr>
          <w:rFonts w:ascii="Calibri" w:hAnsi="Calibri" w:cs="Calibri"/>
          <w:b/>
          <w:bCs/>
          <w:sz w:val="22"/>
          <w:szCs w:val="22"/>
        </w:rPr>
        <w:t>A</w:t>
      </w:r>
      <w:r w:rsidRPr="54DED7DC">
        <w:rPr>
          <w:rFonts w:ascii="Calibri" w:hAnsi="Calibri" w:cs="Calibri"/>
          <w:b/>
          <w:bCs/>
          <w:sz w:val="22"/>
          <w:szCs w:val="22"/>
        </w:rPr>
        <w:t xml:space="preserve">dequate </w:t>
      </w:r>
      <w:r w:rsidR="59BBD826" w:rsidRPr="54DED7DC">
        <w:rPr>
          <w:rFonts w:ascii="Calibri" w:hAnsi="Calibri" w:cs="Calibri"/>
          <w:b/>
          <w:bCs/>
          <w:sz w:val="22"/>
          <w:szCs w:val="22"/>
        </w:rPr>
        <w:t>S</w:t>
      </w:r>
      <w:r w:rsidRPr="54DED7DC">
        <w:rPr>
          <w:rFonts w:ascii="Calibri" w:hAnsi="Calibri" w:cs="Calibri"/>
          <w:b/>
          <w:bCs/>
          <w:sz w:val="22"/>
          <w:szCs w:val="22"/>
        </w:rPr>
        <w:t xml:space="preserve">tandard of </w:t>
      </w:r>
      <w:r w:rsidR="59BBD826" w:rsidRPr="54DED7DC">
        <w:rPr>
          <w:rFonts w:ascii="Calibri" w:hAnsi="Calibri" w:cs="Calibri"/>
          <w:b/>
          <w:bCs/>
          <w:sz w:val="22"/>
          <w:szCs w:val="22"/>
        </w:rPr>
        <w:t>L</w:t>
      </w:r>
      <w:r w:rsidRPr="54DED7DC">
        <w:rPr>
          <w:rFonts w:ascii="Calibri" w:hAnsi="Calibri" w:cs="Calibri"/>
          <w:b/>
          <w:bCs/>
          <w:sz w:val="22"/>
          <w:szCs w:val="22"/>
        </w:rPr>
        <w:t>iving</w:t>
      </w:r>
      <w:r w:rsidR="2ADA9010" w:rsidRPr="54DED7DC">
        <w:rPr>
          <w:rFonts w:ascii="Calibri" w:hAnsi="Calibri" w:cs="Calibri"/>
          <w:b/>
          <w:bCs/>
          <w:sz w:val="22"/>
          <w:szCs w:val="22"/>
        </w:rPr>
        <w:t>, including the Right to Food</w:t>
      </w:r>
      <w:r w:rsidRPr="54DED7DC">
        <w:rPr>
          <w:rFonts w:ascii="Calibri" w:hAnsi="Calibri" w:cs="Calibri"/>
          <w:b/>
          <w:bCs/>
          <w:sz w:val="22"/>
          <w:szCs w:val="22"/>
        </w:rPr>
        <w:t xml:space="preserve"> During Armed Conflict (articles 2, 3, 11, and 12)</w:t>
      </w:r>
    </w:p>
    <w:p w14:paraId="2F9AB1BE" w14:textId="77777777" w:rsidR="00397121" w:rsidRPr="00B34E6E" w:rsidRDefault="00397121" w:rsidP="00397121">
      <w:pPr>
        <w:rPr>
          <w:rFonts w:ascii="Calibri" w:hAnsi="Calibri" w:cs="Calibri"/>
          <w:sz w:val="22"/>
          <w:szCs w:val="22"/>
        </w:rPr>
      </w:pPr>
    </w:p>
    <w:p w14:paraId="002B9B1A" w14:textId="1F80C8D7" w:rsidR="00397121" w:rsidRPr="00B34E6E" w:rsidRDefault="00397121" w:rsidP="00397121">
      <w:pPr>
        <w:rPr>
          <w:rFonts w:ascii="Calibri" w:hAnsi="Calibri" w:cs="Calibri"/>
          <w:sz w:val="22"/>
          <w:szCs w:val="22"/>
        </w:rPr>
      </w:pPr>
      <w:r w:rsidRPr="00B34E6E">
        <w:rPr>
          <w:rFonts w:ascii="Calibri" w:hAnsi="Calibri" w:cs="Calibri"/>
          <w:sz w:val="22"/>
          <w:szCs w:val="22"/>
        </w:rPr>
        <w:t xml:space="preserve">The </w:t>
      </w:r>
      <w:r w:rsidR="00BB0450">
        <w:rPr>
          <w:rFonts w:ascii="Calibri" w:hAnsi="Calibri" w:cs="Calibri"/>
          <w:sz w:val="22"/>
          <w:szCs w:val="22"/>
        </w:rPr>
        <w:t xml:space="preserve">protracted </w:t>
      </w:r>
      <w:r w:rsidRPr="00B34E6E">
        <w:rPr>
          <w:rFonts w:ascii="Calibri" w:hAnsi="Calibri" w:cs="Calibri"/>
          <w:sz w:val="22"/>
          <w:szCs w:val="22"/>
        </w:rPr>
        <w:t xml:space="preserve">armed conflict in Yemen has had grave impacts on the right to health and the right to an adequate standard of living. According to UNICEF, over 23 million people in Yemen, out of a population of about 30 million, </w:t>
      </w:r>
      <w:proofErr w:type="gramStart"/>
      <w:r w:rsidRPr="00B34E6E">
        <w:rPr>
          <w:rFonts w:ascii="Calibri" w:hAnsi="Calibri" w:cs="Calibri"/>
          <w:sz w:val="22"/>
          <w:szCs w:val="22"/>
        </w:rPr>
        <w:t>are in need of</w:t>
      </w:r>
      <w:proofErr w:type="gramEnd"/>
      <w:r w:rsidRPr="00B34E6E">
        <w:rPr>
          <w:rFonts w:ascii="Calibri" w:hAnsi="Calibri" w:cs="Calibri"/>
          <w:sz w:val="22"/>
          <w:szCs w:val="22"/>
        </w:rPr>
        <w:t xml:space="preserve"> humanitarian assistance, including </w:t>
      </w:r>
      <w:r w:rsidR="00B34E6E">
        <w:rPr>
          <w:rFonts w:ascii="Calibri" w:hAnsi="Calibri" w:cs="Calibri"/>
          <w:sz w:val="22"/>
          <w:szCs w:val="22"/>
        </w:rPr>
        <w:t>nearly</w:t>
      </w:r>
      <w:r w:rsidRPr="00B34E6E">
        <w:rPr>
          <w:rFonts w:ascii="Calibri" w:hAnsi="Calibri" w:cs="Calibri"/>
          <w:sz w:val="22"/>
          <w:szCs w:val="22"/>
        </w:rPr>
        <w:t xml:space="preserve"> 13 million children.</w:t>
      </w:r>
      <w:r w:rsidR="00B34E6E" w:rsidRPr="2241E04F">
        <w:rPr>
          <w:rStyle w:val="FootnoteReference"/>
          <w:rFonts w:ascii="Calibri" w:hAnsi="Calibri" w:cs="Calibri"/>
        </w:rPr>
        <w:footnoteReference w:id="2"/>
      </w:r>
      <w:r w:rsidRPr="00B34E6E">
        <w:rPr>
          <w:rFonts w:ascii="Calibri" w:hAnsi="Calibri" w:cs="Calibri"/>
          <w:sz w:val="22"/>
          <w:szCs w:val="22"/>
        </w:rPr>
        <w:t xml:space="preserve"> Parties to the conflict have attacked civilian infrastructure, including hospitals and food and water infrastructure, and blocked access to humanitarian aid</w:t>
      </w:r>
      <w:r w:rsidR="00B34E6E" w:rsidRPr="00B34E6E">
        <w:rPr>
          <w:rFonts w:ascii="Calibri" w:hAnsi="Calibri" w:cs="Calibri"/>
          <w:sz w:val="22"/>
          <w:szCs w:val="22"/>
        </w:rPr>
        <w:t xml:space="preserve">. This has </w:t>
      </w:r>
      <w:r w:rsidR="002034FC">
        <w:rPr>
          <w:rFonts w:ascii="Calibri" w:hAnsi="Calibri" w:cs="Calibri"/>
          <w:sz w:val="22"/>
          <w:szCs w:val="22"/>
        </w:rPr>
        <w:t>gravely inhibited</w:t>
      </w:r>
      <w:r w:rsidR="00B34E6E" w:rsidRPr="00B34E6E">
        <w:rPr>
          <w:rFonts w:ascii="Calibri" w:hAnsi="Calibri" w:cs="Calibri"/>
          <w:sz w:val="22"/>
          <w:szCs w:val="22"/>
        </w:rPr>
        <w:t xml:space="preserve"> </w:t>
      </w:r>
      <w:r w:rsidR="003A1E94">
        <w:rPr>
          <w:rFonts w:ascii="Calibri" w:hAnsi="Calibri" w:cs="Calibri"/>
          <w:sz w:val="22"/>
          <w:szCs w:val="22"/>
        </w:rPr>
        <w:t>peoples’</w:t>
      </w:r>
      <w:r w:rsidRPr="00B34E6E">
        <w:rPr>
          <w:rFonts w:ascii="Calibri" w:hAnsi="Calibri" w:cs="Calibri"/>
          <w:sz w:val="22"/>
          <w:szCs w:val="22"/>
        </w:rPr>
        <w:t xml:space="preserve"> access to water, food, and medicine, and</w:t>
      </w:r>
      <w:r w:rsidR="00B34E6E" w:rsidRPr="00B34E6E">
        <w:rPr>
          <w:rFonts w:ascii="Calibri" w:hAnsi="Calibri" w:cs="Calibri"/>
          <w:sz w:val="22"/>
          <w:szCs w:val="22"/>
        </w:rPr>
        <w:t xml:space="preserve"> has consequently</w:t>
      </w:r>
      <w:r w:rsidRPr="00B34E6E">
        <w:rPr>
          <w:rFonts w:ascii="Calibri" w:hAnsi="Calibri" w:cs="Calibri"/>
          <w:sz w:val="22"/>
          <w:szCs w:val="22"/>
        </w:rPr>
        <w:t xml:space="preserve"> </w:t>
      </w:r>
      <w:r w:rsidR="00B34E6E" w:rsidRPr="00B34E6E">
        <w:rPr>
          <w:rFonts w:ascii="Calibri" w:hAnsi="Calibri" w:cs="Calibri"/>
          <w:sz w:val="22"/>
          <w:szCs w:val="22"/>
        </w:rPr>
        <w:t>had</w:t>
      </w:r>
      <w:r w:rsidRPr="00B34E6E">
        <w:rPr>
          <w:rFonts w:ascii="Calibri" w:hAnsi="Calibri" w:cs="Calibri"/>
          <w:sz w:val="22"/>
          <w:szCs w:val="22"/>
        </w:rPr>
        <w:t xml:space="preserve"> dire consequences for health</w:t>
      </w:r>
      <w:r w:rsidR="00B34E6E" w:rsidRPr="00B34E6E">
        <w:rPr>
          <w:rFonts w:ascii="Calibri" w:hAnsi="Calibri" w:cs="Calibri"/>
          <w:sz w:val="22"/>
          <w:szCs w:val="22"/>
        </w:rPr>
        <w:t xml:space="preserve"> and standard of living</w:t>
      </w:r>
      <w:r w:rsidRPr="00B34E6E">
        <w:rPr>
          <w:rFonts w:ascii="Calibri" w:hAnsi="Calibri" w:cs="Calibri"/>
          <w:sz w:val="22"/>
          <w:szCs w:val="22"/>
        </w:rPr>
        <w:t xml:space="preserve">. </w:t>
      </w:r>
    </w:p>
    <w:p w14:paraId="7F7AB619" w14:textId="77777777" w:rsidR="00397121" w:rsidRPr="00B34E6E" w:rsidRDefault="00397121" w:rsidP="00397121">
      <w:pPr>
        <w:rPr>
          <w:rFonts w:ascii="Calibri" w:hAnsi="Calibri" w:cs="Calibri"/>
          <w:sz w:val="22"/>
          <w:szCs w:val="22"/>
        </w:rPr>
      </w:pPr>
    </w:p>
    <w:p w14:paraId="32579474" w14:textId="3627F905" w:rsidR="00397121" w:rsidRPr="00B34E6E" w:rsidRDefault="1224408E" w:rsidP="00397121">
      <w:pPr>
        <w:rPr>
          <w:rFonts w:ascii="Calibri" w:hAnsi="Calibri" w:cs="Calibri"/>
          <w:sz w:val="22"/>
          <w:szCs w:val="22"/>
        </w:rPr>
      </w:pPr>
      <w:r w:rsidRPr="00B34E6E">
        <w:rPr>
          <w:rFonts w:ascii="Calibri" w:hAnsi="Calibri" w:cs="Calibri"/>
          <w:sz w:val="22"/>
          <w:szCs w:val="22"/>
        </w:rPr>
        <w:t xml:space="preserve">Specifically, </w:t>
      </w:r>
      <w:r w:rsidR="77176DE1" w:rsidRPr="00B34E6E">
        <w:rPr>
          <w:rFonts w:ascii="Calibri" w:hAnsi="Calibri" w:cs="Calibri"/>
          <w:sz w:val="22"/>
          <w:szCs w:val="22"/>
        </w:rPr>
        <w:t xml:space="preserve">by the end of 2022, </w:t>
      </w:r>
      <w:r w:rsidR="6573508E" w:rsidRPr="2AEAEE83">
        <w:rPr>
          <w:rFonts w:ascii="Calibri" w:hAnsi="Calibri" w:cs="Calibri"/>
          <w:sz w:val="22"/>
          <w:szCs w:val="22"/>
        </w:rPr>
        <w:t>UN agencies</w:t>
      </w:r>
      <w:r w:rsidR="0ACF6E06" w:rsidRPr="2AEAEE83">
        <w:rPr>
          <w:rFonts w:ascii="Calibri" w:hAnsi="Calibri" w:cs="Calibri"/>
          <w:sz w:val="22"/>
          <w:szCs w:val="22"/>
        </w:rPr>
        <w:t xml:space="preserve"> reported that</w:t>
      </w:r>
      <w:r w:rsidR="62372999" w:rsidRPr="2AEAEE83">
        <w:rPr>
          <w:rFonts w:ascii="Calibri" w:hAnsi="Calibri" w:cs="Calibri"/>
          <w:sz w:val="22"/>
          <w:szCs w:val="22"/>
        </w:rPr>
        <w:t xml:space="preserve"> </w:t>
      </w:r>
      <w:r w:rsidR="77176DE1" w:rsidRPr="00B34E6E">
        <w:rPr>
          <w:rFonts w:ascii="Calibri" w:hAnsi="Calibri" w:cs="Calibri"/>
          <w:sz w:val="22"/>
          <w:szCs w:val="22"/>
        </w:rPr>
        <w:t>17.8 million people in Yemen did not have access to safe drinking water, sanitation</w:t>
      </w:r>
      <w:r w:rsidR="279444B2" w:rsidRPr="2AEAEE83">
        <w:rPr>
          <w:rFonts w:ascii="Calibri" w:hAnsi="Calibri" w:cs="Calibri"/>
          <w:sz w:val="22"/>
          <w:szCs w:val="22"/>
        </w:rPr>
        <w:t>,</w:t>
      </w:r>
      <w:r w:rsidR="77176DE1" w:rsidRPr="00B34E6E">
        <w:rPr>
          <w:rFonts w:ascii="Calibri" w:hAnsi="Calibri" w:cs="Calibri"/>
          <w:sz w:val="22"/>
          <w:szCs w:val="22"/>
        </w:rPr>
        <w:t xml:space="preserve"> and hygiene services,</w:t>
      </w:r>
      <w:r w:rsidR="532A5458" w:rsidRPr="00B34E6E">
        <w:rPr>
          <w:rFonts w:ascii="Calibri" w:hAnsi="Calibri" w:cs="Calibri"/>
          <w:sz w:val="22"/>
          <w:szCs w:val="22"/>
        </w:rPr>
        <w:t xml:space="preserve"> and 17 million </w:t>
      </w:r>
      <w:r w:rsidR="6573508E" w:rsidRPr="2AEAEE83">
        <w:rPr>
          <w:rFonts w:ascii="Calibri" w:hAnsi="Calibri" w:cs="Calibri"/>
          <w:sz w:val="22"/>
          <w:szCs w:val="22"/>
        </w:rPr>
        <w:t xml:space="preserve">were </w:t>
      </w:r>
      <w:r w:rsidR="77176DE1" w:rsidRPr="00B34E6E">
        <w:rPr>
          <w:rFonts w:ascii="Calibri" w:hAnsi="Calibri" w:cs="Calibri"/>
          <w:sz w:val="22"/>
          <w:szCs w:val="22"/>
        </w:rPr>
        <w:t>food insecure, with 6.1 million facing “emergency” levels of food insecurity.</w:t>
      </w:r>
      <w:r w:rsidR="00B34E6E" w:rsidRPr="09356793">
        <w:rPr>
          <w:rStyle w:val="FootnoteReference"/>
          <w:rFonts w:ascii="Calibri" w:hAnsi="Calibri" w:cs="Calibri"/>
        </w:rPr>
        <w:footnoteReference w:id="3"/>
      </w:r>
      <w:r w:rsidR="77176DE1" w:rsidRPr="00B34E6E">
        <w:rPr>
          <w:rFonts w:ascii="Calibri" w:hAnsi="Calibri" w:cs="Calibri"/>
          <w:sz w:val="22"/>
          <w:szCs w:val="22"/>
        </w:rPr>
        <w:t xml:space="preserve"> </w:t>
      </w:r>
      <w:r w:rsidRPr="00B34E6E">
        <w:rPr>
          <w:rFonts w:ascii="Calibri" w:hAnsi="Calibri" w:cs="Calibri"/>
          <w:sz w:val="22"/>
          <w:szCs w:val="22"/>
        </w:rPr>
        <w:t xml:space="preserve">According to </w:t>
      </w:r>
      <w:proofErr w:type="spellStart"/>
      <w:r w:rsidRPr="00B34E6E">
        <w:rPr>
          <w:rFonts w:ascii="Calibri" w:hAnsi="Calibri" w:cs="Calibri"/>
          <w:sz w:val="22"/>
          <w:szCs w:val="22"/>
        </w:rPr>
        <w:t>Mwatana</w:t>
      </w:r>
      <w:proofErr w:type="spellEnd"/>
      <w:r w:rsidRPr="00B34E6E">
        <w:rPr>
          <w:rFonts w:ascii="Calibri" w:hAnsi="Calibri" w:cs="Calibri"/>
          <w:sz w:val="22"/>
          <w:szCs w:val="22"/>
        </w:rPr>
        <w:t xml:space="preserve"> for Human Rights and Global Rights Compliance, the Saudi</w:t>
      </w:r>
      <w:r w:rsidR="77176DE1" w:rsidRPr="00B34E6E">
        <w:rPr>
          <w:rFonts w:ascii="Calibri" w:hAnsi="Calibri" w:cs="Calibri"/>
          <w:sz w:val="22"/>
          <w:szCs w:val="22"/>
        </w:rPr>
        <w:t xml:space="preserve"> and </w:t>
      </w:r>
      <w:r w:rsidRPr="00B34E6E">
        <w:rPr>
          <w:rFonts w:ascii="Calibri" w:hAnsi="Calibri" w:cs="Calibri"/>
          <w:sz w:val="22"/>
          <w:szCs w:val="22"/>
        </w:rPr>
        <w:t>UAE-led Coalition has repeatedly carried out attacks on food and water infrastructure across Yemen, including</w:t>
      </w:r>
      <w:r w:rsidR="6573508E" w:rsidRPr="2AEAEE83">
        <w:rPr>
          <w:rFonts w:ascii="Calibri" w:hAnsi="Calibri" w:cs="Calibri"/>
          <w:sz w:val="22"/>
          <w:szCs w:val="22"/>
        </w:rPr>
        <w:t xml:space="preserve"> targeting</w:t>
      </w:r>
      <w:r w:rsidRPr="00B34E6E">
        <w:rPr>
          <w:rFonts w:ascii="Calibri" w:hAnsi="Calibri" w:cs="Calibri"/>
          <w:sz w:val="22"/>
          <w:szCs w:val="22"/>
        </w:rPr>
        <w:t xml:space="preserve"> farms, irrigation works, and fishing boats.</w:t>
      </w:r>
      <w:r w:rsidR="00397121" w:rsidRPr="09356793">
        <w:rPr>
          <w:rStyle w:val="FootnoteReference"/>
          <w:rFonts w:ascii="Calibri" w:hAnsi="Calibri" w:cs="Calibri"/>
        </w:rPr>
        <w:footnoteReference w:id="4"/>
      </w:r>
      <w:r w:rsidRPr="00B34E6E">
        <w:rPr>
          <w:rFonts w:ascii="Calibri" w:hAnsi="Calibri" w:cs="Calibri"/>
          <w:sz w:val="22"/>
          <w:szCs w:val="22"/>
        </w:rPr>
        <w:t xml:space="preserve"> </w:t>
      </w:r>
      <w:r w:rsidR="77176DE1" w:rsidRPr="00B34E6E">
        <w:rPr>
          <w:rFonts w:ascii="Calibri" w:hAnsi="Calibri" w:cs="Calibri"/>
          <w:sz w:val="22"/>
          <w:szCs w:val="22"/>
        </w:rPr>
        <w:t xml:space="preserve">These attacks violate international humanitarian law’s prohibition on attacking, destroying, removing, or rendering useless objects indispensable to </w:t>
      </w:r>
      <w:r w:rsidR="10B0B66D" w:rsidRPr="2AEAEE83">
        <w:rPr>
          <w:rFonts w:ascii="Calibri" w:hAnsi="Calibri" w:cs="Calibri"/>
          <w:sz w:val="22"/>
          <w:szCs w:val="22"/>
        </w:rPr>
        <w:t xml:space="preserve">the survival of </w:t>
      </w:r>
      <w:r w:rsidR="77176DE1" w:rsidRPr="00B34E6E">
        <w:rPr>
          <w:rFonts w:ascii="Calibri" w:hAnsi="Calibri" w:cs="Calibri"/>
          <w:sz w:val="22"/>
          <w:szCs w:val="22"/>
        </w:rPr>
        <w:t>the civilian population.</w:t>
      </w:r>
      <w:r w:rsidR="00B34E6E" w:rsidRPr="09356793">
        <w:rPr>
          <w:rStyle w:val="FootnoteReference"/>
          <w:rFonts w:ascii="Calibri" w:hAnsi="Calibri" w:cs="Calibri"/>
        </w:rPr>
        <w:footnoteReference w:id="5"/>
      </w:r>
      <w:r w:rsidR="77176DE1" w:rsidRPr="00B34E6E">
        <w:rPr>
          <w:rFonts w:ascii="Calibri" w:hAnsi="Calibri" w:cs="Calibri"/>
          <w:sz w:val="22"/>
          <w:szCs w:val="22"/>
        </w:rPr>
        <w:t xml:space="preserve"> Furthermore, the attacks have contributed to widespread food insecurity and </w:t>
      </w:r>
      <w:r w:rsidR="1041D7CA" w:rsidRPr="2AEAEE83">
        <w:rPr>
          <w:rFonts w:ascii="Calibri" w:hAnsi="Calibri" w:cs="Calibri"/>
          <w:sz w:val="22"/>
          <w:szCs w:val="22"/>
        </w:rPr>
        <w:t xml:space="preserve">increased the </w:t>
      </w:r>
      <w:r w:rsidR="77176DE1" w:rsidRPr="00B34E6E">
        <w:rPr>
          <w:rFonts w:ascii="Calibri" w:hAnsi="Calibri" w:cs="Calibri"/>
          <w:sz w:val="22"/>
          <w:szCs w:val="22"/>
        </w:rPr>
        <w:t xml:space="preserve">humanitarian </w:t>
      </w:r>
      <w:r w:rsidR="0ACF6E06" w:rsidRPr="2AEAEE83">
        <w:rPr>
          <w:rFonts w:ascii="Calibri" w:hAnsi="Calibri" w:cs="Calibri"/>
          <w:sz w:val="22"/>
          <w:szCs w:val="22"/>
        </w:rPr>
        <w:t>crisis</w:t>
      </w:r>
      <w:r w:rsidR="77176DE1" w:rsidRPr="00B34E6E">
        <w:rPr>
          <w:rFonts w:ascii="Calibri" w:hAnsi="Calibri" w:cs="Calibri"/>
          <w:sz w:val="22"/>
          <w:szCs w:val="22"/>
        </w:rPr>
        <w:t>.</w:t>
      </w:r>
    </w:p>
    <w:p w14:paraId="4602420F" w14:textId="5FAD04AD" w:rsidR="00B34E6E" w:rsidRPr="00B34E6E" w:rsidRDefault="00B34E6E" w:rsidP="00397121">
      <w:pPr>
        <w:rPr>
          <w:rFonts w:ascii="Calibri" w:hAnsi="Calibri" w:cs="Calibri"/>
          <w:i/>
          <w:iCs/>
          <w:sz w:val="22"/>
          <w:szCs w:val="22"/>
        </w:rPr>
      </w:pPr>
    </w:p>
    <w:p w14:paraId="0B9948C7" w14:textId="4CF3F90C" w:rsidR="00B34E6E" w:rsidRPr="00B34E6E" w:rsidRDefault="23FD4E6F" w:rsidP="208034AE">
      <w:pPr>
        <w:rPr>
          <w:rFonts w:ascii="Merriweather" w:hAnsi="Merriweather"/>
          <w:color w:val="333333"/>
          <w:sz w:val="22"/>
          <w:szCs w:val="22"/>
        </w:rPr>
      </w:pPr>
      <w:r w:rsidRPr="00B34E6E">
        <w:rPr>
          <w:rFonts w:ascii="Calibri" w:hAnsi="Calibri" w:cs="Calibri"/>
          <w:sz w:val="22"/>
          <w:szCs w:val="22"/>
        </w:rPr>
        <w:t>Parties to the conflict have repeatedly attacked hospitals and healthcare facilities, as well as medical workers. From the start of the conflict through March of 2020, there were at least 142 documented attacks on medical facilities across the country.</w:t>
      </w:r>
      <w:r w:rsidR="00B34E6E" w:rsidRPr="2AEAEE83">
        <w:rPr>
          <w:rStyle w:val="FootnoteReference"/>
          <w:rFonts w:ascii="Calibri" w:hAnsi="Calibri" w:cs="Calibri"/>
        </w:rPr>
        <w:footnoteReference w:id="6"/>
      </w:r>
      <w:r w:rsidRPr="00B34E6E">
        <w:rPr>
          <w:rFonts w:ascii="Calibri" w:hAnsi="Calibri" w:cs="Calibri"/>
          <w:sz w:val="22"/>
          <w:szCs w:val="22"/>
        </w:rPr>
        <w:t xml:space="preserve"> The International Committee of the Red Cross stated in March of 2022 that “only 51% of health facilities are in service” in Yemen.</w:t>
      </w:r>
      <w:r w:rsidR="00B34E6E" w:rsidRPr="00B34E6E">
        <w:rPr>
          <w:rFonts w:ascii="Calibri" w:hAnsi="Calibri" w:cs="Calibri"/>
          <w:vertAlign w:val="superscript"/>
        </w:rPr>
        <w:footnoteReference w:id="7"/>
      </w:r>
      <w:r w:rsidRPr="00B34E6E">
        <w:rPr>
          <w:rFonts w:ascii="Merriweather" w:hAnsi="Merriweather"/>
          <w:color w:val="333333"/>
          <w:sz w:val="22"/>
          <w:szCs w:val="22"/>
          <w:shd w:val="clear" w:color="auto" w:fill="FFFFFF"/>
        </w:rPr>
        <w:t> </w:t>
      </w:r>
    </w:p>
    <w:p w14:paraId="42DD9770" w14:textId="77777777" w:rsidR="00397121" w:rsidRPr="00B34E6E" w:rsidRDefault="00397121" w:rsidP="00397121">
      <w:pPr>
        <w:rPr>
          <w:rFonts w:ascii="Calibri" w:hAnsi="Calibri" w:cs="Calibri"/>
          <w:sz w:val="22"/>
          <w:szCs w:val="22"/>
        </w:rPr>
      </w:pPr>
    </w:p>
    <w:p w14:paraId="5D9F4FFB" w14:textId="66D2C201" w:rsidR="00B34E6E" w:rsidRPr="00B34E6E" w:rsidRDefault="23FD4E6F" w:rsidP="00397121">
      <w:pPr>
        <w:rPr>
          <w:rFonts w:ascii="Calibri" w:hAnsi="Calibri" w:cs="Calibri"/>
          <w:sz w:val="22"/>
          <w:szCs w:val="22"/>
        </w:rPr>
      </w:pPr>
      <w:r>
        <w:rPr>
          <w:rFonts w:ascii="Calibri" w:hAnsi="Calibri" w:cs="Calibri"/>
          <w:sz w:val="22"/>
          <w:szCs w:val="22"/>
        </w:rPr>
        <w:t>In addition to direct attacks, p</w:t>
      </w:r>
      <w:r w:rsidR="77733F47" w:rsidRPr="00B34E6E">
        <w:rPr>
          <w:rFonts w:ascii="Calibri" w:hAnsi="Calibri" w:cs="Calibri"/>
          <w:sz w:val="22"/>
          <w:szCs w:val="22"/>
        </w:rPr>
        <w:t>arties to the conflict</w:t>
      </w:r>
      <w:r w:rsidRPr="00B34E6E">
        <w:rPr>
          <w:rFonts w:ascii="Calibri" w:hAnsi="Calibri" w:cs="Calibri"/>
          <w:sz w:val="22"/>
          <w:szCs w:val="22"/>
        </w:rPr>
        <w:t>, in particular the Houthi</w:t>
      </w:r>
      <w:r w:rsidR="056D1461" w:rsidRPr="2AEAEE83">
        <w:rPr>
          <w:rFonts w:ascii="Calibri" w:hAnsi="Calibri" w:cs="Calibri"/>
          <w:sz w:val="22"/>
          <w:szCs w:val="22"/>
        </w:rPr>
        <w:t xml:space="preserve"> forces (</w:t>
      </w:r>
      <w:r w:rsidR="0389464F" w:rsidRPr="2AEAEE83">
        <w:rPr>
          <w:rFonts w:ascii="Calibri" w:hAnsi="Calibri" w:cs="Calibri"/>
          <w:sz w:val="22"/>
          <w:szCs w:val="22"/>
        </w:rPr>
        <w:t>also known as Ansar Allah)</w:t>
      </w:r>
      <w:r w:rsidRPr="00B34E6E">
        <w:rPr>
          <w:rFonts w:ascii="Calibri" w:hAnsi="Calibri" w:cs="Calibri"/>
          <w:sz w:val="22"/>
          <w:szCs w:val="22"/>
        </w:rPr>
        <w:t>,</w:t>
      </w:r>
      <w:r w:rsidR="77733F47" w:rsidRPr="00B34E6E">
        <w:rPr>
          <w:rFonts w:ascii="Calibri" w:hAnsi="Calibri" w:cs="Calibri"/>
          <w:sz w:val="22"/>
          <w:szCs w:val="22"/>
        </w:rPr>
        <w:t xml:space="preserve"> have also obstructed access to humanitarian aid, further exacerbating humanitarian needs. Human Rights Watch has documented many cases of aid interference and obstruction by the Houthis, including lengthy delays for approval of aid projects, blocking aid assessments to identify peoples’ needs, attempts to control aid monitoring and recipient lists to divert aid to those loyal to the </w:t>
      </w:r>
      <w:r w:rsidR="77733F47" w:rsidRPr="00B34E6E">
        <w:rPr>
          <w:rFonts w:ascii="Calibri" w:hAnsi="Calibri" w:cs="Calibri"/>
          <w:sz w:val="22"/>
          <w:szCs w:val="22"/>
        </w:rPr>
        <w:lastRenderedPageBreak/>
        <w:t>authorities, and violence against aid staff and their property.</w:t>
      </w:r>
      <w:r w:rsidR="00B34E6E" w:rsidRPr="2AEAEE83">
        <w:rPr>
          <w:rStyle w:val="FootnoteReference"/>
          <w:rFonts w:ascii="Calibri" w:hAnsi="Calibri" w:cs="Calibri"/>
        </w:rPr>
        <w:footnoteReference w:id="8"/>
      </w:r>
      <w:r w:rsidRPr="00B34E6E">
        <w:rPr>
          <w:rFonts w:ascii="Calibri" w:hAnsi="Calibri" w:cs="Calibri"/>
          <w:sz w:val="22"/>
          <w:szCs w:val="22"/>
        </w:rPr>
        <w:t xml:space="preserve"> An aid worker, discussing the obstacles the Houthis had put in place to the delivery of aid, told Human Rights Watch: “It’s very simple; we can’t reach communities where people are dying.”</w:t>
      </w:r>
      <w:r w:rsidR="00B34E6E" w:rsidRPr="2AEAEE83">
        <w:rPr>
          <w:rStyle w:val="FootnoteReference"/>
          <w:rFonts w:cs="Calibri"/>
        </w:rPr>
        <w:footnoteReference w:id="9"/>
      </w:r>
      <w:r w:rsidRPr="00B34E6E">
        <w:rPr>
          <w:rFonts w:ascii="Calibri" w:hAnsi="Calibri" w:cs="Calibri"/>
          <w:sz w:val="22"/>
          <w:szCs w:val="22"/>
        </w:rPr>
        <w:t xml:space="preserve"> </w:t>
      </w:r>
    </w:p>
    <w:p w14:paraId="40D68CB9" w14:textId="77777777" w:rsidR="00B34E6E" w:rsidRPr="00B34E6E" w:rsidRDefault="00B34E6E" w:rsidP="00397121">
      <w:pPr>
        <w:rPr>
          <w:rFonts w:ascii="Calibri" w:hAnsi="Calibri" w:cs="Calibri"/>
          <w:sz w:val="22"/>
          <w:szCs w:val="22"/>
        </w:rPr>
      </w:pPr>
    </w:p>
    <w:p w14:paraId="0ECD84A8" w14:textId="2576E1DF" w:rsidR="00397121" w:rsidRPr="00B34E6E" w:rsidRDefault="66648E8C" w:rsidP="00397121">
      <w:pPr>
        <w:rPr>
          <w:rFonts w:ascii="Calibri" w:hAnsi="Calibri" w:cs="Calibri"/>
          <w:sz w:val="22"/>
          <w:szCs w:val="22"/>
        </w:rPr>
      </w:pPr>
      <w:r w:rsidRPr="00B34E6E">
        <w:rPr>
          <w:rFonts w:ascii="Calibri" w:hAnsi="Calibri" w:cs="Calibri"/>
          <w:sz w:val="22"/>
          <w:szCs w:val="22"/>
        </w:rPr>
        <w:t xml:space="preserve">The Yemeni government has also impeded aid through </w:t>
      </w:r>
      <w:r w:rsidRPr="00B34E6E">
        <w:rPr>
          <w:rFonts w:ascii="Calibri" w:hAnsi="Calibri" w:cs="Calibri"/>
          <w:color w:val="000000" w:themeColor="text1"/>
          <w:sz w:val="22"/>
          <w:szCs w:val="22"/>
        </w:rPr>
        <w:t xml:space="preserve">the imposition of </w:t>
      </w:r>
      <w:proofErr w:type="gramStart"/>
      <w:r w:rsidR="0505B328" w:rsidRPr="00B34E6E">
        <w:rPr>
          <w:rFonts w:ascii="Calibri" w:hAnsi="Calibri" w:cs="Calibri"/>
          <w:color w:val="000000" w:themeColor="text1"/>
          <w:sz w:val="22"/>
          <w:szCs w:val="22"/>
        </w:rPr>
        <w:t xml:space="preserve">complex </w:t>
      </w:r>
      <w:r w:rsidRPr="00B34E6E">
        <w:rPr>
          <w:rFonts w:ascii="Calibri" w:hAnsi="Calibri" w:cs="Calibri"/>
          <w:color w:val="000000" w:themeColor="text1"/>
          <w:sz w:val="22"/>
          <w:szCs w:val="22"/>
        </w:rPr>
        <w:t xml:space="preserve"> bureaucratic</w:t>
      </w:r>
      <w:proofErr w:type="gramEnd"/>
      <w:r w:rsidRPr="00B34E6E">
        <w:rPr>
          <w:rFonts w:ascii="Calibri" w:hAnsi="Calibri" w:cs="Calibri"/>
          <w:color w:val="000000" w:themeColor="text1"/>
          <w:sz w:val="22"/>
          <w:szCs w:val="22"/>
        </w:rPr>
        <w:t xml:space="preserve"> requirements on aid agencies that have impacted millions of civilians’ ability to access much-needed aid.</w:t>
      </w:r>
      <w:r w:rsidR="00B34E6E" w:rsidRPr="2AEAEE83">
        <w:rPr>
          <w:rStyle w:val="FootnoteReference"/>
          <w:rFonts w:ascii="Calibri" w:hAnsi="Calibri" w:cs="Calibri"/>
          <w:color w:val="000000" w:themeColor="text1"/>
        </w:rPr>
        <w:footnoteReference w:id="10"/>
      </w:r>
      <w:r w:rsidRPr="00B34E6E">
        <w:rPr>
          <w:rFonts w:ascii="Calibri" w:hAnsi="Calibri" w:cs="Calibri"/>
          <w:color w:val="000000" w:themeColor="text1"/>
          <w:sz w:val="22"/>
          <w:szCs w:val="22"/>
        </w:rPr>
        <w:t xml:space="preserve"> Partly </w:t>
      </w:r>
      <w:r w:rsidRPr="00B34E6E">
        <w:rPr>
          <w:rFonts w:ascii="Calibri" w:hAnsi="Calibri" w:cs="Calibri"/>
          <w:sz w:val="22"/>
          <w:szCs w:val="22"/>
        </w:rPr>
        <w:t>in response to the obstruction of aid by both the Yemeni government and the Houthis, donors have significantly cut their support to UN aid agencies, creating even further aid shortages.</w:t>
      </w:r>
      <w:r w:rsidR="00B34E6E" w:rsidRPr="2AEAEE83">
        <w:rPr>
          <w:rStyle w:val="FootnoteReference"/>
          <w:rFonts w:ascii="Calibri" w:hAnsi="Calibri" w:cs="Calibri"/>
        </w:rPr>
        <w:footnoteReference w:id="11"/>
      </w:r>
      <w:r w:rsidRPr="00B34E6E">
        <w:rPr>
          <w:rFonts w:ascii="Calibri" w:hAnsi="Calibri" w:cs="Calibri"/>
          <w:sz w:val="22"/>
          <w:szCs w:val="22"/>
        </w:rPr>
        <w:t xml:space="preserve"> </w:t>
      </w:r>
    </w:p>
    <w:p w14:paraId="777AE8D6" w14:textId="1CFCF164" w:rsidR="00397121" w:rsidRPr="00B34E6E" w:rsidRDefault="00397121" w:rsidP="00397121">
      <w:pPr>
        <w:rPr>
          <w:rFonts w:ascii="Calibri" w:hAnsi="Calibri" w:cs="Calibri"/>
          <w:sz w:val="22"/>
          <w:szCs w:val="22"/>
        </w:rPr>
      </w:pPr>
    </w:p>
    <w:p w14:paraId="66258CDF" w14:textId="621F19AD" w:rsidR="00397121" w:rsidRPr="00B34E6E" w:rsidRDefault="750045A2" w:rsidP="00397121">
      <w:pPr>
        <w:rPr>
          <w:rFonts w:ascii="Calibri" w:hAnsi="Calibri" w:cs="Calibri"/>
          <w:color w:val="000000" w:themeColor="text1"/>
          <w:sz w:val="22"/>
          <w:szCs w:val="22"/>
        </w:rPr>
      </w:pPr>
      <w:r w:rsidRPr="00B34E6E">
        <w:rPr>
          <w:rFonts w:ascii="Calibri" w:hAnsi="Calibri" w:cs="Calibri"/>
          <w:color w:val="000000" w:themeColor="text1"/>
          <w:sz w:val="22"/>
          <w:szCs w:val="22"/>
        </w:rPr>
        <w:t xml:space="preserve">The city of </w:t>
      </w:r>
      <w:proofErr w:type="spellStart"/>
      <w:r w:rsidRPr="00B34E6E">
        <w:rPr>
          <w:rFonts w:ascii="Calibri" w:hAnsi="Calibri" w:cs="Calibri"/>
          <w:color w:val="000000" w:themeColor="text1"/>
          <w:sz w:val="22"/>
          <w:szCs w:val="22"/>
        </w:rPr>
        <w:t>Taizz</w:t>
      </w:r>
      <w:proofErr w:type="spellEnd"/>
      <w:r w:rsidRPr="00B34E6E">
        <w:rPr>
          <w:rFonts w:ascii="Calibri" w:hAnsi="Calibri" w:cs="Calibri"/>
          <w:color w:val="000000" w:themeColor="text1"/>
          <w:sz w:val="22"/>
          <w:szCs w:val="22"/>
        </w:rPr>
        <w:t xml:space="preserve"> </w:t>
      </w:r>
      <w:proofErr w:type="gramStart"/>
      <w:r w:rsidRPr="00B34E6E">
        <w:rPr>
          <w:rFonts w:ascii="Calibri" w:hAnsi="Calibri" w:cs="Calibri"/>
          <w:color w:val="000000" w:themeColor="text1"/>
          <w:sz w:val="22"/>
          <w:szCs w:val="22"/>
        </w:rPr>
        <w:t>in particular has</w:t>
      </w:r>
      <w:proofErr w:type="gramEnd"/>
      <w:r w:rsidRPr="00B34E6E">
        <w:rPr>
          <w:rFonts w:ascii="Calibri" w:hAnsi="Calibri" w:cs="Calibri"/>
          <w:color w:val="000000" w:themeColor="text1"/>
          <w:sz w:val="22"/>
          <w:szCs w:val="22"/>
        </w:rPr>
        <w:t xml:space="preserve"> been severely impacted by Houthi aid obstruction.</w:t>
      </w:r>
      <w:r w:rsidR="424EA72B" w:rsidRPr="00B34E6E">
        <w:rPr>
          <w:rFonts w:ascii="Calibri" w:hAnsi="Calibri" w:cs="Calibri"/>
          <w:color w:val="000000" w:themeColor="text1"/>
          <w:sz w:val="22"/>
          <w:szCs w:val="22"/>
        </w:rPr>
        <w:t xml:space="preserve"> </w:t>
      </w:r>
      <w:r w:rsidR="23FD4E6F" w:rsidRPr="00B34E6E">
        <w:rPr>
          <w:rFonts w:ascii="Calibri" w:hAnsi="Calibri" w:cs="Calibri"/>
          <w:color w:val="000000" w:themeColor="text1"/>
          <w:sz w:val="22"/>
          <w:szCs w:val="22"/>
        </w:rPr>
        <w:t>R</w:t>
      </w:r>
      <w:r w:rsidR="424EA72B" w:rsidRPr="00B34E6E">
        <w:rPr>
          <w:rFonts w:ascii="Calibri" w:hAnsi="Calibri" w:cs="Calibri"/>
          <w:color w:val="000000" w:themeColor="text1"/>
          <w:sz w:val="22"/>
          <w:szCs w:val="22"/>
        </w:rPr>
        <w:t xml:space="preserve">esidents have faced a dire humanitarian </w:t>
      </w:r>
      <w:r w:rsidR="1BAE88F7" w:rsidRPr="2AEAEE83">
        <w:rPr>
          <w:rFonts w:ascii="Calibri" w:hAnsi="Calibri" w:cs="Calibri"/>
          <w:color w:val="000000" w:themeColor="text1"/>
          <w:sz w:val="22"/>
          <w:szCs w:val="22"/>
        </w:rPr>
        <w:t xml:space="preserve">crisis </w:t>
      </w:r>
      <w:r w:rsidR="424EA72B" w:rsidRPr="00B34E6E">
        <w:rPr>
          <w:rFonts w:ascii="Calibri" w:hAnsi="Calibri" w:cs="Calibri"/>
          <w:color w:val="000000" w:themeColor="text1"/>
          <w:sz w:val="22"/>
          <w:szCs w:val="22"/>
        </w:rPr>
        <w:t>since 2015 when t</w:t>
      </w:r>
      <w:r w:rsidRPr="00B34E6E">
        <w:rPr>
          <w:rFonts w:ascii="Calibri" w:hAnsi="Calibri" w:cs="Calibri"/>
          <w:color w:val="000000" w:themeColor="text1"/>
          <w:sz w:val="22"/>
          <w:szCs w:val="22"/>
        </w:rPr>
        <w:t>he Houthis closed off all major roads in</w:t>
      </w:r>
      <w:r w:rsidR="1BAE88F7" w:rsidRPr="2AEAEE83">
        <w:rPr>
          <w:rFonts w:ascii="Calibri" w:hAnsi="Calibri" w:cs="Calibri"/>
          <w:color w:val="000000" w:themeColor="text1"/>
          <w:sz w:val="22"/>
          <w:szCs w:val="22"/>
        </w:rPr>
        <w:t>to</w:t>
      </w:r>
      <w:r w:rsidRPr="00B34E6E">
        <w:rPr>
          <w:rFonts w:ascii="Calibri" w:hAnsi="Calibri" w:cs="Calibri"/>
          <w:color w:val="000000" w:themeColor="text1"/>
          <w:sz w:val="22"/>
          <w:szCs w:val="22"/>
        </w:rPr>
        <w:t xml:space="preserve"> and out of the cit</w:t>
      </w:r>
      <w:r w:rsidR="424EA72B" w:rsidRPr="00B34E6E">
        <w:rPr>
          <w:rFonts w:ascii="Calibri" w:hAnsi="Calibri" w:cs="Calibri"/>
          <w:color w:val="000000" w:themeColor="text1"/>
          <w:sz w:val="22"/>
          <w:szCs w:val="22"/>
        </w:rPr>
        <w:t>y</w:t>
      </w:r>
      <w:r w:rsidR="23FD4E6F" w:rsidRPr="00B34E6E">
        <w:rPr>
          <w:rFonts w:ascii="Calibri" w:hAnsi="Calibri" w:cs="Calibri"/>
          <w:color w:val="000000" w:themeColor="text1"/>
          <w:sz w:val="22"/>
          <w:szCs w:val="22"/>
        </w:rPr>
        <w:t xml:space="preserve">, and the International Committee of the Red stated </w:t>
      </w:r>
      <w:r w:rsidR="1BAE88F7" w:rsidRPr="2AEAEE83">
        <w:rPr>
          <w:rFonts w:ascii="Calibri" w:hAnsi="Calibri" w:cs="Calibri"/>
          <w:color w:val="000000" w:themeColor="text1"/>
          <w:sz w:val="22"/>
          <w:szCs w:val="22"/>
        </w:rPr>
        <w:t>in March 2022</w:t>
      </w:r>
      <w:r w:rsidR="23FD4E6F" w:rsidRPr="00B34E6E">
        <w:rPr>
          <w:rStyle w:val="apple-converted-space"/>
          <w:rFonts w:ascii="Calibri" w:hAnsi="Calibri" w:cs="Calibri"/>
          <w:color w:val="000000" w:themeColor="text1"/>
          <w:sz w:val="22"/>
          <w:szCs w:val="22"/>
        </w:rPr>
        <w:t> </w:t>
      </w:r>
      <w:r w:rsidR="23FD4E6F" w:rsidRPr="00B34E6E">
        <w:rPr>
          <w:rFonts w:ascii="Calibri" w:hAnsi="Calibri" w:cs="Calibri"/>
          <w:color w:val="000000" w:themeColor="text1"/>
          <w:sz w:val="22"/>
          <w:szCs w:val="22"/>
        </w:rPr>
        <w:t xml:space="preserve">that “the severity of food and water needs is dangerously acute in </w:t>
      </w:r>
      <w:proofErr w:type="spellStart"/>
      <w:r w:rsidR="23FD4E6F" w:rsidRPr="00B34E6E">
        <w:rPr>
          <w:rFonts w:ascii="Calibri" w:hAnsi="Calibri" w:cs="Calibri"/>
          <w:color w:val="000000" w:themeColor="text1"/>
          <w:sz w:val="22"/>
          <w:szCs w:val="22"/>
        </w:rPr>
        <w:t>Taizz</w:t>
      </w:r>
      <w:proofErr w:type="spellEnd"/>
      <w:r w:rsidR="23FD4E6F" w:rsidRPr="00B34E6E">
        <w:rPr>
          <w:rFonts w:ascii="Calibri" w:hAnsi="Calibri" w:cs="Calibri"/>
          <w:color w:val="000000" w:themeColor="text1"/>
          <w:sz w:val="22"/>
          <w:szCs w:val="22"/>
        </w:rPr>
        <w:t>.”</w:t>
      </w:r>
      <w:r w:rsidR="00B34E6E" w:rsidRPr="2AEAEE83">
        <w:rPr>
          <w:rStyle w:val="FootnoteReference"/>
          <w:rFonts w:ascii="Calibri" w:hAnsi="Calibri" w:cs="Calibri"/>
          <w:color w:val="000000" w:themeColor="text1"/>
        </w:rPr>
        <w:footnoteReference w:id="12"/>
      </w:r>
      <w:r w:rsidR="424EA72B" w:rsidRPr="00B34E6E">
        <w:rPr>
          <w:rFonts w:ascii="Calibri" w:hAnsi="Calibri" w:cs="Calibri"/>
          <w:color w:val="000000" w:themeColor="text1"/>
          <w:sz w:val="22"/>
          <w:szCs w:val="22"/>
        </w:rPr>
        <w:t xml:space="preserve"> The road closures have</w:t>
      </w:r>
      <w:r w:rsidRPr="00B34E6E">
        <w:rPr>
          <w:rFonts w:ascii="Calibri" w:hAnsi="Calibri" w:cs="Calibri"/>
          <w:color w:val="000000" w:themeColor="text1"/>
          <w:sz w:val="22"/>
          <w:szCs w:val="22"/>
        </w:rPr>
        <w:t> severely restrict</w:t>
      </w:r>
      <w:r w:rsidR="424EA72B" w:rsidRPr="00B34E6E">
        <w:rPr>
          <w:rFonts w:ascii="Calibri" w:hAnsi="Calibri" w:cs="Calibri"/>
          <w:color w:val="000000" w:themeColor="text1"/>
          <w:sz w:val="22"/>
          <w:szCs w:val="22"/>
        </w:rPr>
        <w:t>ed</w:t>
      </w:r>
      <w:r w:rsidRPr="00B34E6E">
        <w:rPr>
          <w:rFonts w:ascii="Calibri" w:hAnsi="Calibri" w:cs="Calibri"/>
          <w:color w:val="000000" w:themeColor="text1"/>
          <w:sz w:val="22"/>
          <w:szCs w:val="22"/>
        </w:rPr>
        <w:t xml:space="preserve"> the flow of essential goods, including medicine and </w:t>
      </w:r>
      <w:r w:rsidR="0B1FF69B" w:rsidRPr="00B34E6E">
        <w:rPr>
          <w:rFonts w:ascii="Calibri" w:hAnsi="Calibri" w:cs="Calibri"/>
          <w:color w:val="000000" w:themeColor="text1"/>
          <w:sz w:val="22"/>
          <w:szCs w:val="22"/>
        </w:rPr>
        <w:t>food, as well as humanitarian access</w:t>
      </w:r>
      <w:r w:rsidR="254CDDFD" w:rsidRPr="00B34E6E">
        <w:rPr>
          <w:rFonts w:ascii="Calibri" w:hAnsi="Calibri" w:cs="Calibri"/>
          <w:color w:val="000000" w:themeColor="text1"/>
          <w:sz w:val="22"/>
          <w:szCs w:val="22"/>
        </w:rPr>
        <w:t xml:space="preserve"> into the city</w:t>
      </w:r>
      <w:r w:rsidR="0B1FF69B" w:rsidRPr="00B34E6E">
        <w:rPr>
          <w:rFonts w:ascii="Calibri" w:hAnsi="Calibri" w:cs="Calibri"/>
          <w:color w:val="000000" w:themeColor="text1"/>
          <w:sz w:val="22"/>
          <w:szCs w:val="22"/>
        </w:rPr>
        <w:t>.</w:t>
      </w:r>
      <w:r w:rsidR="009860E1" w:rsidRPr="00B34E6E">
        <w:rPr>
          <w:rFonts w:ascii="Calibri" w:hAnsi="Calibri" w:cs="Calibri"/>
          <w:color w:val="000000" w:themeColor="text1"/>
          <w:sz w:val="22"/>
          <w:szCs w:val="22"/>
          <w:vertAlign w:val="superscript"/>
        </w:rPr>
        <w:footnoteReference w:id="13"/>
      </w:r>
      <w:r w:rsidR="0B1FF69B" w:rsidRPr="00B34E6E">
        <w:rPr>
          <w:rFonts w:ascii="Calibri" w:hAnsi="Calibri" w:cs="Calibri"/>
          <w:color w:val="000000" w:themeColor="text1"/>
          <w:sz w:val="22"/>
          <w:szCs w:val="22"/>
        </w:rPr>
        <w:t xml:space="preserve"> </w:t>
      </w:r>
      <w:r w:rsidR="23FD4E6F" w:rsidRPr="00B34E6E">
        <w:rPr>
          <w:rFonts w:ascii="Calibri" w:hAnsi="Calibri" w:cs="Calibri"/>
          <w:color w:val="000000" w:themeColor="text1"/>
          <w:sz w:val="22"/>
          <w:szCs w:val="22"/>
        </w:rPr>
        <w:t xml:space="preserve">As part of the </w:t>
      </w:r>
      <w:r w:rsidR="69C962C9" w:rsidRPr="2AEAEE83">
        <w:rPr>
          <w:rFonts w:ascii="Calibri" w:hAnsi="Calibri" w:cs="Calibri"/>
          <w:color w:val="000000" w:themeColor="text1"/>
          <w:sz w:val="22"/>
          <w:szCs w:val="22"/>
        </w:rPr>
        <w:t xml:space="preserve">negotiated </w:t>
      </w:r>
      <w:r w:rsidR="23FD4E6F" w:rsidRPr="00B34E6E">
        <w:rPr>
          <w:rFonts w:ascii="Calibri" w:hAnsi="Calibri" w:cs="Calibri"/>
          <w:color w:val="000000" w:themeColor="text1"/>
          <w:sz w:val="22"/>
          <w:szCs w:val="22"/>
        </w:rPr>
        <w:t>truce</w:t>
      </w:r>
      <w:r w:rsidR="7B7179F1" w:rsidRPr="2AEAEE83">
        <w:rPr>
          <w:rFonts w:ascii="Calibri" w:hAnsi="Calibri" w:cs="Calibri"/>
          <w:color w:val="000000" w:themeColor="text1"/>
          <w:sz w:val="22"/>
          <w:szCs w:val="22"/>
        </w:rPr>
        <w:t xml:space="preserve"> in force between </w:t>
      </w:r>
      <w:r w:rsidR="107AEFEE" w:rsidRPr="2AEAEE83">
        <w:rPr>
          <w:rFonts w:ascii="Calibri" w:hAnsi="Calibri" w:cs="Calibri"/>
          <w:color w:val="000000" w:themeColor="text1"/>
          <w:sz w:val="22"/>
          <w:szCs w:val="22"/>
        </w:rPr>
        <w:t>April and October 2022</w:t>
      </w:r>
      <w:r w:rsidR="23FD4E6F" w:rsidRPr="00B34E6E">
        <w:rPr>
          <w:rFonts w:ascii="Calibri" w:hAnsi="Calibri" w:cs="Calibri"/>
          <w:color w:val="000000" w:themeColor="text1"/>
          <w:sz w:val="22"/>
          <w:szCs w:val="22"/>
        </w:rPr>
        <w:t>,</w:t>
      </w:r>
      <w:r w:rsidR="254CDDFD" w:rsidRPr="00B34E6E">
        <w:rPr>
          <w:rFonts w:ascii="Calibri" w:hAnsi="Calibri" w:cs="Calibri"/>
          <w:color w:val="000000" w:themeColor="text1"/>
          <w:sz w:val="22"/>
          <w:szCs w:val="22"/>
        </w:rPr>
        <w:t xml:space="preserve"> </w:t>
      </w:r>
      <w:r w:rsidR="23FD4E6F" w:rsidRPr="00B34E6E">
        <w:rPr>
          <w:rFonts w:ascii="Calibri" w:hAnsi="Calibri" w:cs="Calibri"/>
          <w:color w:val="000000" w:themeColor="text1"/>
          <w:sz w:val="22"/>
          <w:szCs w:val="22"/>
        </w:rPr>
        <w:t>the UN shared a proposal on July 3, 2022 to re-open the roads, but the Houthis promptly rejected the proposal and the roads remain closed.</w:t>
      </w:r>
      <w:r w:rsidR="00B34E6E" w:rsidRPr="2AEAEE83">
        <w:rPr>
          <w:rStyle w:val="FootnoteReference"/>
          <w:rFonts w:ascii="Calibri" w:hAnsi="Calibri" w:cs="Calibri"/>
          <w:color w:val="000000" w:themeColor="text1"/>
        </w:rPr>
        <w:footnoteReference w:id="14"/>
      </w:r>
      <w:r w:rsidR="23FD4E6F" w:rsidRPr="00B34E6E">
        <w:rPr>
          <w:rFonts w:ascii="Calibri" w:hAnsi="Calibri" w:cs="Calibri"/>
          <w:color w:val="000000" w:themeColor="text1"/>
          <w:sz w:val="22"/>
          <w:szCs w:val="22"/>
        </w:rPr>
        <w:t xml:space="preserve"> </w:t>
      </w:r>
    </w:p>
    <w:p w14:paraId="39D11286" w14:textId="77777777" w:rsidR="00397121" w:rsidRPr="00B34E6E" w:rsidRDefault="00397121" w:rsidP="00397121">
      <w:pPr>
        <w:rPr>
          <w:rFonts w:ascii="Calibri" w:hAnsi="Calibri" w:cs="Calibri"/>
          <w:sz w:val="22"/>
          <w:szCs w:val="22"/>
        </w:rPr>
      </w:pPr>
    </w:p>
    <w:p w14:paraId="1D1D5105" w14:textId="77777777" w:rsidR="00397121" w:rsidRPr="00B34E6E" w:rsidRDefault="00397121" w:rsidP="00397121">
      <w:pPr>
        <w:rPr>
          <w:rFonts w:ascii="Calibri" w:hAnsi="Calibri" w:cs="Calibri"/>
          <w:sz w:val="22"/>
          <w:szCs w:val="22"/>
        </w:rPr>
      </w:pPr>
      <w:r w:rsidRPr="00B34E6E">
        <w:rPr>
          <w:rFonts w:ascii="Calibri" w:hAnsi="Calibri" w:cs="Calibri"/>
          <w:b/>
          <w:bCs/>
          <w:i/>
          <w:iCs/>
          <w:sz w:val="22"/>
          <w:szCs w:val="22"/>
        </w:rPr>
        <w:t>Human Rights Watch recommends that the Committee call on the government of Yemen to:</w:t>
      </w:r>
    </w:p>
    <w:p w14:paraId="5E3130A1" w14:textId="357BC3BA" w:rsidR="00397121" w:rsidRPr="00B34E6E" w:rsidRDefault="372FDC6D" w:rsidP="00397121">
      <w:pPr>
        <w:pStyle w:val="ListParagraph"/>
        <w:numPr>
          <w:ilvl w:val="0"/>
          <w:numId w:val="3"/>
        </w:numPr>
        <w:spacing w:after="0"/>
        <w:rPr>
          <w:rFonts w:ascii="Calibri" w:hAnsi="Calibri" w:cs="Calibri"/>
        </w:rPr>
      </w:pPr>
      <w:r w:rsidRPr="2AEAEE83">
        <w:rPr>
          <w:rFonts w:ascii="Calibri" w:hAnsi="Calibri" w:cs="Calibri"/>
        </w:rPr>
        <w:t xml:space="preserve">Provide more resources to healthcare facilities and </w:t>
      </w:r>
      <w:r w:rsidR="6825EB8F" w:rsidRPr="2AEAEE83">
        <w:rPr>
          <w:rFonts w:ascii="Calibri" w:hAnsi="Calibri" w:cs="Calibri"/>
        </w:rPr>
        <w:t xml:space="preserve">government bodies managing </w:t>
      </w:r>
      <w:r w:rsidRPr="2AEAEE83">
        <w:rPr>
          <w:rFonts w:ascii="Calibri" w:hAnsi="Calibri" w:cs="Calibri"/>
        </w:rPr>
        <w:t>water and sanitation</w:t>
      </w:r>
      <w:r w:rsidR="5C2A0A95" w:rsidRPr="2AEAEE83">
        <w:rPr>
          <w:rFonts w:ascii="Calibri" w:hAnsi="Calibri" w:cs="Calibri"/>
        </w:rPr>
        <w:t>, so that they may work to address many of the gaps in access to medical care, clean water, and sanitation.</w:t>
      </w:r>
    </w:p>
    <w:p w14:paraId="08B9F9FF" w14:textId="1458F545" w:rsidR="00397121" w:rsidRPr="00B34E6E" w:rsidRDefault="00397121" w:rsidP="00397121">
      <w:pPr>
        <w:pStyle w:val="ListParagraph"/>
        <w:numPr>
          <w:ilvl w:val="0"/>
          <w:numId w:val="3"/>
        </w:numPr>
        <w:spacing w:after="0"/>
        <w:rPr>
          <w:rFonts w:ascii="Calibri" w:hAnsi="Calibri" w:cs="Calibri"/>
        </w:rPr>
      </w:pPr>
      <w:r w:rsidRPr="00B34E6E">
        <w:rPr>
          <w:rFonts w:ascii="Calibri" w:hAnsi="Calibri" w:cs="Calibri"/>
        </w:rPr>
        <w:t xml:space="preserve">Prohibit all attacks on </w:t>
      </w:r>
      <w:r w:rsidR="00B34E6E" w:rsidRPr="00B34E6E">
        <w:rPr>
          <w:rFonts w:ascii="Calibri" w:hAnsi="Calibri" w:cs="Calibri"/>
        </w:rPr>
        <w:t xml:space="preserve">hospitals, </w:t>
      </w:r>
      <w:r w:rsidRPr="00B34E6E">
        <w:rPr>
          <w:rFonts w:ascii="Calibri" w:hAnsi="Calibri" w:cs="Calibri"/>
        </w:rPr>
        <w:t>water and food infrastructure,</w:t>
      </w:r>
      <w:r w:rsidR="00F9705F" w:rsidRPr="00B34E6E">
        <w:rPr>
          <w:rFonts w:ascii="Calibri" w:hAnsi="Calibri" w:cs="Calibri"/>
        </w:rPr>
        <w:t xml:space="preserve"> </w:t>
      </w:r>
      <w:r w:rsidR="00B34E6E" w:rsidRPr="00B34E6E">
        <w:rPr>
          <w:rFonts w:ascii="Calibri" w:hAnsi="Calibri" w:cs="Calibri"/>
        </w:rPr>
        <w:t>and</w:t>
      </w:r>
      <w:r w:rsidR="00F9705F" w:rsidRPr="00B34E6E">
        <w:rPr>
          <w:rFonts w:ascii="Calibri" w:hAnsi="Calibri" w:cs="Calibri"/>
        </w:rPr>
        <w:t xml:space="preserve"> other civilian objects,</w:t>
      </w:r>
      <w:r w:rsidRPr="00B34E6E">
        <w:rPr>
          <w:rFonts w:ascii="Calibri" w:hAnsi="Calibri" w:cs="Calibri"/>
        </w:rPr>
        <w:t xml:space="preserve"> </w:t>
      </w:r>
      <w:r w:rsidR="00B34E6E" w:rsidRPr="00B34E6E">
        <w:rPr>
          <w:rFonts w:ascii="Calibri" w:hAnsi="Calibri" w:cs="Calibri"/>
        </w:rPr>
        <w:t xml:space="preserve">per international law, </w:t>
      </w:r>
      <w:r w:rsidRPr="00B34E6E">
        <w:rPr>
          <w:rFonts w:ascii="Calibri" w:hAnsi="Calibri" w:cs="Calibri"/>
        </w:rPr>
        <w:t xml:space="preserve">and </w:t>
      </w:r>
      <w:r w:rsidR="00B34E6E" w:rsidRPr="00B34E6E">
        <w:rPr>
          <w:rFonts w:ascii="Calibri" w:hAnsi="Calibri" w:cs="Calibri"/>
        </w:rPr>
        <w:t>prioritize rebuilding and rehabilitating</w:t>
      </w:r>
      <w:r w:rsidRPr="00B34E6E">
        <w:rPr>
          <w:rFonts w:ascii="Calibri" w:hAnsi="Calibri" w:cs="Calibri"/>
        </w:rPr>
        <w:t xml:space="preserve"> previously damaged water and food infrastructure</w:t>
      </w:r>
      <w:r w:rsidR="00B34E6E" w:rsidRPr="00B34E6E">
        <w:rPr>
          <w:rFonts w:ascii="Calibri" w:hAnsi="Calibri" w:cs="Calibri"/>
        </w:rPr>
        <w:t>.</w:t>
      </w:r>
    </w:p>
    <w:p w14:paraId="67AE1C20" w14:textId="51453331" w:rsidR="00B34E6E" w:rsidRPr="00B34E6E" w:rsidRDefault="00B34E6E" w:rsidP="00B34E6E">
      <w:pPr>
        <w:pStyle w:val="ListParagraph"/>
        <w:numPr>
          <w:ilvl w:val="0"/>
          <w:numId w:val="3"/>
        </w:numPr>
        <w:spacing w:after="0"/>
        <w:rPr>
          <w:rFonts w:ascii="Calibri" w:hAnsi="Calibri" w:cs="Calibri"/>
        </w:rPr>
      </w:pPr>
      <w:r w:rsidRPr="00B34E6E">
        <w:rPr>
          <w:rFonts w:ascii="Calibri" w:hAnsi="Calibri" w:cs="Calibri"/>
        </w:rPr>
        <w:t>End all unnecessary obstacles and interference of humanitarian aid and work closely with UN agencies and non-UN aid organizations to expeditiously process all future aid project proposals and travel requests.</w:t>
      </w:r>
    </w:p>
    <w:p w14:paraId="6FE90FFF" w14:textId="6410997F" w:rsidR="00B34E6E" w:rsidRPr="00B34E6E" w:rsidRDefault="00B34E6E" w:rsidP="00B34E6E">
      <w:pPr>
        <w:pStyle w:val="ListParagraph"/>
        <w:numPr>
          <w:ilvl w:val="0"/>
          <w:numId w:val="3"/>
        </w:numPr>
        <w:spacing w:after="0"/>
        <w:rPr>
          <w:rFonts w:ascii="Calibri" w:hAnsi="Calibri" w:cs="Calibri"/>
        </w:rPr>
      </w:pPr>
      <w:r w:rsidRPr="00B34E6E">
        <w:rPr>
          <w:rFonts w:ascii="Calibri" w:hAnsi="Calibri" w:cs="Calibri"/>
        </w:rPr>
        <w:t>Facilitate meetings in Yemen with donor government officials at senior levels to help secure the maximum donor support to address the humanitarian crisis.</w:t>
      </w:r>
    </w:p>
    <w:p w14:paraId="27E1C969" w14:textId="23BF2B3C" w:rsidR="00397121" w:rsidRPr="00B34E6E" w:rsidRDefault="00B34E6E" w:rsidP="00397121">
      <w:pPr>
        <w:pStyle w:val="ListParagraph"/>
        <w:numPr>
          <w:ilvl w:val="0"/>
          <w:numId w:val="3"/>
        </w:numPr>
        <w:spacing w:after="0"/>
        <w:rPr>
          <w:rFonts w:ascii="Calibri" w:hAnsi="Calibri" w:cs="Calibri"/>
        </w:rPr>
      </w:pPr>
      <w:r w:rsidRPr="00B34E6E">
        <w:rPr>
          <w:rFonts w:ascii="Calibri" w:hAnsi="Calibri" w:cs="Calibri"/>
        </w:rPr>
        <w:t>Avoid government regulations on medicine, fuel, and other goods that disrupt humanitarian assistance without justification.</w:t>
      </w:r>
    </w:p>
    <w:p w14:paraId="766E70FD" w14:textId="77777777" w:rsidR="00397121" w:rsidRPr="00B34E6E" w:rsidRDefault="00397121" w:rsidP="00397121">
      <w:pPr>
        <w:rPr>
          <w:rFonts w:ascii="Calibri" w:hAnsi="Calibri" w:cs="Calibri"/>
          <w:sz w:val="22"/>
          <w:szCs w:val="22"/>
        </w:rPr>
      </w:pPr>
    </w:p>
    <w:p w14:paraId="05F191F3" w14:textId="77777777" w:rsidR="00397121" w:rsidRPr="00B34E6E" w:rsidRDefault="00397121" w:rsidP="00397121">
      <w:pPr>
        <w:rPr>
          <w:rFonts w:ascii="Calibri" w:hAnsi="Calibri" w:cs="Calibri"/>
          <w:b/>
          <w:bCs/>
          <w:sz w:val="22"/>
          <w:szCs w:val="22"/>
        </w:rPr>
      </w:pPr>
      <w:r w:rsidRPr="00B34E6E">
        <w:rPr>
          <w:rFonts w:ascii="Calibri" w:hAnsi="Calibri" w:cs="Calibri"/>
          <w:b/>
          <w:bCs/>
          <w:sz w:val="22"/>
          <w:szCs w:val="22"/>
        </w:rPr>
        <w:t xml:space="preserve">Children and People with Disabilities’ Right to Health, Adequate Standard of Living, and Education during Armed Conflict (articles 11, 12, and 13) </w:t>
      </w:r>
    </w:p>
    <w:p w14:paraId="251A6336" w14:textId="77777777" w:rsidR="00B34E6E" w:rsidRPr="00B34E6E" w:rsidRDefault="00B34E6E" w:rsidP="00397121">
      <w:pPr>
        <w:rPr>
          <w:rFonts w:ascii="Calibri" w:hAnsi="Calibri" w:cs="Calibri"/>
          <w:sz w:val="22"/>
          <w:szCs w:val="22"/>
        </w:rPr>
      </w:pPr>
    </w:p>
    <w:p w14:paraId="1F78CA75" w14:textId="3B5FACB2" w:rsidR="00397121" w:rsidRPr="00B34E6E" w:rsidRDefault="77733F47" w:rsidP="00397121">
      <w:pPr>
        <w:rPr>
          <w:rFonts w:ascii="Calibri" w:hAnsi="Calibri" w:cs="Calibri"/>
          <w:sz w:val="22"/>
          <w:szCs w:val="22"/>
        </w:rPr>
      </w:pPr>
      <w:r w:rsidRPr="00B34E6E">
        <w:rPr>
          <w:rFonts w:ascii="Calibri" w:hAnsi="Calibri" w:cs="Calibri"/>
          <w:sz w:val="22"/>
          <w:szCs w:val="22"/>
        </w:rPr>
        <w:lastRenderedPageBreak/>
        <w:t>Children and people with disabilities often face increased risk of harm during armed conflict and crises. In 2020, Humanity &amp; Inclusion reported that conflict-related deterioration of infrastructure, health care, and other services in Yemen, including because of the use of explosive weapons in areas with civilian populations, had a disproportionate impact on children and adults with disabilities.</w:t>
      </w:r>
      <w:r w:rsidR="00397121" w:rsidRPr="2AEAEE83">
        <w:rPr>
          <w:rStyle w:val="FootnoteReference"/>
          <w:rFonts w:ascii="Calibri" w:hAnsi="Calibri" w:cs="Calibri"/>
        </w:rPr>
        <w:footnoteReference w:id="15"/>
      </w:r>
      <w:r w:rsidRPr="00B34E6E">
        <w:rPr>
          <w:rFonts w:ascii="Calibri" w:hAnsi="Calibri" w:cs="Calibri"/>
          <w:sz w:val="22"/>
          <w:szCs w:val="22"/>
        </w:rPr>
        <w:t xml:space="preserve"> They found that 86 percent of people with disabilities surveyed had experienced problems </w:t>
      </w:r>
      <w:r w:rsidR="048C2058" w:rsidRPr="2AEAEE83">
        <w:rPr>
          <w:rFonts w:ascii="Calibri" w:hAnsi="Calibri" w:cs="Calibri"/>
          <w:sz w:val="22"/>
          <w:szCs w:val="22"/>
        </w:rPr>
        <w:t>obtaining</w:t>
      </w:r>
      <w:r w:rsidRPr="00B34E6E">
        <w:rPr>
          <w:rFonts w:ascii="Calibri" w:hAnsi="Calibri" w:cs="Calibri"/>
          <w:sz w:val="22"/>
          <w:szCs w:val="22"/>
        </w:rPr>
        <w:t xml:space="preserve"> services due to physical barriers, lack of security, and economic and social discrimination. Increased prices of medications and denial of humanitarian assistance </w:t>
      </w:r>
      <w:r w:rsidR="74870137" w:rsidRPr="00B34E6E">
        <w:rPr>
          <w:rFonts w:ascii="Calibri" w:hAnsi="Calibri" w:cs="Calibri"/>
          <w:sz w:val="22"/>
          <w:szCs w:val="22"/>
        </w:rPr>
        <w:t>are</w:t>
      </w:r>
      <w:r w:rsidR="7F7F25DA" w:rsidRPr="2AEAEE83">
        <w:rPr>
          <w:rFonts w:ascii="Calibri" w:hAnsi="Calibri" w:cs="Calibri"/>
          <w:sz w:val="22"/>
          <w:szCs w:val="22"/>
        </w:rPr>
        <w:t xml:space="preserve"> </w:t>
      </w:r>
      <w:r w:rsidRPr="00B34E6E">
        <w:rPr>
          <w:rFonts w:ascii="Calibri" w:hAnsi="Calibri" w:cs="Calibri"/>
          <w:sz w:val="22"/>
          <w:szCs w:val="22"/>
        </w:rPr>
        <w:t>also serious concerns.</w:t>
      </w:r>
      <w:r w:rsidRPr="6A638AB4">
        <w:rPr>
          <w:rStyle w:val="FootnoteReference"/>
          <w:rFonts w:ascii="Calibri" w:hAnsi="Calibri" w:cs="Calibri"/>
        </w:rPr>
        <w:footnoteReference w:id="16"/>
      </w:r>
      <w:r w:rsidRPr="00B34E6E">
        <w:rPr>
          <w:rFonts w:ascii="Calibri" w:hAnsi="Calibri" w:cs="Calibri"/>
          <w:sz w:val="22"/>
          <w:szCs w:val="22"/>
        </w:rPr>
        <w:t xml:space="preserve">  </w:t>
      </w:r>
    </w:p>
    <w:p w14:paraId="77FBA04D" w14:textId="77777777" w:rsidR="00397121" w:rsidRPr="00B34E6E" w:rsidRDefault="00397121" w:rsidP="00397121">
      <w:pPr>
        <w:rPr>
          <w:rFonts w:ascii="Calibri" w:hAnsi="Calibri" w:cs="Calibri"/>
          <w:sz w:val="22"/>
          <w:szCs w:val="22"/>
        </w:rPr>
      </w:pPr>
    </w:p>
    <w:p w14:paraId="0B4193DA" w14:textId="5364CB77" w:rsidR="00397121" w:rsidRPr="00B34E6E" w:rsidRDefault="10A03E40" w:rsidP="00397121">
      <w:pPr>
        <w:rPr>
          <w:rFonts w:ascii="Calibri" w:hAnsi="Calibri" w:cs="Calibri"/>
          <w:sz w:val="22"/>
          <w:szCs w:val="22"/>
        </w:rPr>
      </w:pPr>
      <w:r w:rsidRPr="2AEAEE83">
        <w:rPr>
          <w:rFonts w:ascii="Calibri" w:hAnsi="Calibri" w:cs="Calibri"/>
          <w:sz w:val="22"/>
          <w:szCs w:val="22"/>
        </w:rPr>
        <w:t xml:space="preserve">Humanity and Inclusion’s 2020 findings </w:t>
      </w:r>
      <w:r w:rsidR="6E7A5C6F" w:rsidRPr="2AEAEE83">
        <w:rPr>
          <w:rFonts w:ascii="Calibri" w:hAnsi="Calibri" w:cs="Calibri"/>
          <w:sz w:val="22"/>
          <w:szCs w:val="22"/>
        </w:rPr>
        <w:t xml:space="preserve">confirmed that </w:t>
      </w:r>
      <w:r w:rsidR="54438BA9" w:rsidRPr="2AEAEE83">
        <w:rPr>
          <w:rFonts w:ascii="Calibri" w:hAnsi="Calibri" w:cs="Calibri"/>
          <w:sz w:val="22"/>
          <w:szCs w:val="22"/>
        </w:rPr>
        <w:t>challenges</w:t>
      </w:r>
      <w:r w:rsidR="2EC3CFCC" w:rsidRPr="2AEAEE83">
        <w:rPr>
          <w:rFonts w:ascii="Calibri" w:hAnsi="Calibri" w:cs="Calibri"/>
          <w:sz w:val="22"/>
          <w:szCs w:val="22"/>
        </w:rPr>
        <w:t xml:space="preserve"> </w:t>
      </w:r>
      <w:r w:rsidR="6E7A5C6F" w:rsidRPr="2AEAEE83">
        <w:rPr>
          <w:rFonts w:ascii="Calibri" w:hAnsi="Calibri" w:cs="Calibri"/>
          <w:sz w:val="22"/>
          <w:szCs w:val="22"/>
        </w:rPr>
        <w:t xml:space="preserve">identified by </w:t>
      </w:r>
      <w:r w:rsidR="77733F47" w:rsidRPr="00B34E6E">
        <w:rPr>
          <w:rFonts w:ascii="Calibri" w:hAnsi="Calibri" w:cs="Calibri"/>
          <w:sz w:val="22"/>
          <w:szCs w:val="22"/>
        </w:rPr>
        <w:t xml:space="preserve">Human Rights Watch </w:t>
      </w:r>
      <w:r w:rsidR="6E7A5C6F" w:rsidRPr="2AEAEE83">
        <w:rPr>
          <w:rFonts w:ascii="Calibri" w:hAnsi="Calibri" w:cs="Calibri"/>
          <w:sz w:val="22"/>
          <w:szCs w:val="22"/>
        </w:rPr>
        <w:t xml:space="preserve">research in November 2015 </w:t>
      </w:r>
      <w:r w:rsidR="54438BA9" w:rsidRPr="2AEAEE83">
        <w:rPr>
          <w:rFonts w:ascii="Calibri" w:hAnsi="Calibri" w:cs="Calibri"/>
          <w:sz w:val="22"/>
          <w:szCs w:val="22"/>
        </w:rPr>
        <w:t>had not tangibly improved</w:t>
      </w:r>
      <w:r w:rsidR="6E7A5C6F" w:rsidRPr="2AEAEE83">
        <w:rPr>
          <w:rFonts w:ascii="Calibri" w:hAnsi="Calibri" w:cs="Calibri"/>
          <w:sz w:val="22"/>
          <w:szCs w:val="22"/>
        </w:rPr>
        <w:t xml:space="preserve">. </w:t>
      </w:r>
      <w:r w:rsidR="030D2E5C" w:rsidRPr="2AEAEE83">
        <w:rPr>
          <w:rFonts w:ascii="Calibri" w:hAnsi="Calibri" w:cs="Calibri"/>
          <w:sz w:val="22"/>
          <w:szCs w:val="22"/>
        </w:rPr>
        <w:t xml:space="preserve">At that time, Human Rights Watch </w:t>
      </w:r>
      <w:r w:rsidR="77733F47" w:rsidRPr="00B34E6E">
        <w:rPr>
          <w:rFonts w:ascii="Calibri" w:hAnsi="Calibri" w:cs="Calibri"/>
          <w:sz w:val="22"/>
          <w:szCs w:val="22"/>
        </w:rPr>
        <w:t>interviewed 29 Yemenis with disabilities and their families. Hanan, a 4-year-old girl with cerebral palsy and epilepsy, needed medications that</w:t>
      </w:r>
      <w:r w:rsidR="2FBEE5A2" w:rsidRPr="2AEAEE83">
        <w:rPr>
          <w:rFonts w:ascii="Calibri" w:hAnsi="Calibri" w:cs="Calibri"/>
          <w:sz w:val="22"/>
          <w:szCs w:val="22"/>
        </w:rPr>
        <w:t xml:space="preserve"> had</w:t>
      </w:r>
      <w:r w:rsidR="77733F47" w:rsidRPr="00B34E6E">
        <w:rPr>
          <w:rFonts w:ascii="Calibri" w:hAnsi="Calibri" w:cs="Calibri"/>
          <w:sz w:val="22"/>
          <w:szCs w:val="22"/>
        </w:rPr>
        <w:t xml:space="preserve"> bec</w:t>
      </w:r>
      <w:r w:rsidR="6E5DC838" w:rsidRPr="00B34E6E">
        <w:rPr>
          <w:rFonts w:ascii="Calibri" w:hAnsi="Calibri" w:cs="Calibri"/>
          <w:sz w:val="22"/>
          <w:szCs w:val="22"/>
        </w:rPr>
        <w:t>o</w:t>
      </w:r>
      <w:r w:rsidR="77733F47" w:rsidRPr="00B34E6E">
        <w:rPr>
          <w:rFonts w:ascii="Calibri" w:hAnsi="Calibri" w:cs="Calibri"/>
          <w:sz w:val="22"/>
          <w:szCs w:val="22"/>
        </w:rPr>
        <w:t>me unaffordable. Her father said: “Her medication is important for her health because when she takes it regularly, she only experiences an epileptic seizure once every two weeks. But when she does not take the medicine, she experiences a seizure twice a day…. It’s hard to feel useless.”</w:t>
      </w:r>
      <w:r w:rsidR="00397121" w:rsidRPr="2AEAEE83">
        <w:rPr>
          <w:rStyle w:val="FootnoteReference"/>
          <w:rFonts w:ascii="Calibri" w:hAnsi="Calibri" w:cs="Calibri"/>
        </w:rPr>
        <w:footnoteReference w:id="17"/>
      </w:r>
      <w:r w:rsidR="77733F47" w:rsidRPr="00B34E6E">
        <w:rPr>
          <w:rFonts w:ascii="Calibri" w:hAnsi="Calibri" w:cs="Calibri"/>
          <w:sz w:val="22"/>
          <w:szCs w:val="22"/>
        </w:rPr>
        <w:t xml:space="preserve">  Human Rights Watch found that damage to existing infrastructure and roads made parts of Yemen difficult to navigate for people with disabilities. Hind, a 25-year-old woman with a physical disability, told Human Rights Watch that life is “very tiring… Most of the time I prefer to stay home rather than go out… Due to my disability I regularly fall on the ground if I don’t watch where I’m putting my legs.”</w:t>
      </w:r>
      <w:r w:rsidR="00397121" w:rsidRPr="2AEAEE83">
        <w:rPr>
          <w:rStyle w:val="FootnoteReference"/>
          <w:rFonts w:ascii="Calibri" w:hAnsi="Calibri" w:cs="Calibri"/>
        </w:rPr>
        <w:footnoteReference w:id="18"/>
      </w:r>
    </w:p>
    <w:p w14:paraId="6DD1B8A2" w14:textId="77777777" w:rsidR="00397121" w:rsidRPr="00B34E6E" w:rsidRDefault="00397121" w:rsidP="00397121">
      <w:pPr>
        <w:rPr>
          <w:rFonts w:ascii="Calibri" w:hAnsi="Calibri" w:cs="Calibri"/>
          <w:sz w:val="22"/>
          <w:szCs w:val="22"/>
        </w:rPr>
      </w:pPr>
    </w:p>
    <w:p w14:paraId="21A4FFA9" w14:textId="77777777" w:rsidR="00397121" w:rsidRPr="00B34E6E" w:rsidRDefault="77733F47" w:rsidP="00397121">
      <w:pPr>
        <w:rPr>
          <w:rFonts w:ascii="Calibri" w:hAnsi="Calibri" w:cs="Calibri"/>
          <w:sz w:val="22"/>
          <w:szCs w:val="22"/>
        </w:rPr>
      </w:pPr>
      <w:r w:rsidRPr="00B34E6E">
        <w:rPr>
          <w:rFonts w:ascii="Calibri" w:hAnsi="Calibri" w:cs="Calibri"/>
          <w:sz w:val="22"/>
          <w:szCs w:val="22"/>
        </w:rPr>
        <w:t xml:space="preserve">In a June 2020 address to the UN Security Council, Raja Abdullah </w:t>
      </w:r>
      <w:proofErr w:type="spellStart"/>
      <w:r w:rsidRPr="00B34E6E">
        <w:rPr>
          <w:rFonts w:ascii="Calibri" w:hAnsi="Calibri" w:cs="Calibri"/>
          <w:sz w:val="22"/>
          <w:szCs w:val="22"/>
        </w:rPr>
        <w:t>Almasabi</w:t>
      </w:r>
      <w:proofErr w:type="spellEnd"/>
      <w:r w:rsidRPr="00B34E6E">
        <w:rPr>
          <w:rFonts w:ascii="Calibri" w:hAnsi="Calibri" w:cs="Calibri"/>
          <w:sz w:val="22"/>
          <w:szCs w:val="22"/>
        </w:rPr>
        <w:t>, a disability rights activist from Yemen, said: “Denial of humanitarian access has created chronic health conditions, especially among children, such as malnutrition. This is one of the primary reasons why many children in Yemen have acquired a disability.”</w:t>
      </w:r>
      <w:r w:rsidR="00397121" w:rsidRPr="2AEAEE83">
        <w:rPr>
          <w:rStyle w:val="FootnoteReference"/>
          <w:rFonts w:ascii="Calibri" w:hAnsi="Calibri" w:cs="Calibri"/>
        </w:rPr>
        <w:footnoteReference w:id="19"/>
      </w:r>
    </w:p>
    <w:p w14:paraId="51F0C3F2" w14:textId="77777777" w:rsidR="00397121" w:rsidRPr="00B34E6E" w:rsidRDefault="00397121" w:rsidP="00397121">
      <w:pPr>
        <w:rPr>
          <w:rFonts w:ascii="Calibri" w:hAnsi="Calibri" w:cs="Calibri"/>
          <w:sz w:val="22"/>
          <w:szCs w:val="22"/>
        </w:rPr>
      </w:pPr>
    </w:p>
    <w:p w14:paraId="1C99F4AE" w14:textId="77777777" w:rsidR="00397121" w:rsidRPr="00B34E6E" w:rsidRDefault="77733F47" w:rsidP="00397121">
      <w:pPr>
        <w:rPr>
          <w:rFonts w:ascii="Calibri" w:hAnsi="Calibri" w:cs="Calibri"/>
          <w:sz w:val="22"/>
          <w:szCs w:val="22"/>
        </w:rPr>
      </w:pPr>
      <w:r w:rsidRPr="00B34E6E">
        <w:rPr>
          <w:rFonts w:ascii="Calibri" w:hAnsi="Calibri" w:cs="Calibri"/>
          <w:sz w:val="22"/>
          <w:szCs w:val="22"/>
        </w:rPr>
        <w:t>Research also indicates that all children living in conflict and crises zones are at high risk of depression, anxiety, and other mental health conditions.</w:t>
      </w:r>
      <w:r w:rsidR="00397121" w:rsidRPr="2AEAEE83">
        <w:rPr>
          <w:rStyle w:val="FootnoteReference"/>
          <w:rFonts w:ascii="Calibri" w:hAnsi="Calibri" w:cs="Calibri"/>
        </w:rPr>
        <w:footnoteReference w:id="20"/>
      </w:r>
      <w:r w:rsidRPr="00B34E6E">
        <w:rPr>
          <w:rFonts w:ascii="Calibri" w:hAnsi="Calibri" w:cs="Calibri"/>
          <w:sz w:val="22"/>
          <w:szCs w:val="22"/>
        </w:rPr>
        <w:t xml:space="preserve"> In 2020, Save the Children reported that over half of the children they surveyed in Yemen reported feelings of sadness and depression, “with more than 1 in 10 saying they feel that way constantly.”</w:t>
      </w:r>
      <w:r w:rsidR="00397121" w:rsidRPr="2AEAEE83">
        <w:rPr>
          <w:rStyle w:val="FootnoteReference"/>
          <w:rFonts w:ascii="Calibri" w:hAnsi="Calibri" w:cs="Calibri"/>
        </w:rPr>
        <w:footnoteReference w:id="21"/>
      </w:r>
    </w:p>
    <w:p w14:paraId="594C81EA" w14:textId="77777777" w:rsidR="00397121" w:rsidRPr="00B34E6E" w:rsidRDefault="00397121" w:rsidP="00397121">
      <w:pPr>
        <w:rPr>
          <w:rFonts w:ascii="Calibri" w:hAnsi="Calibri" w:cs="Calibri"/>
          <w:sz w:val="22"/>
          <w:szCs w:val="22"/>
        </w:rPr>
      </w:pPr>
    </w:p>
    <w:p w14:paraId="6720CB84" w14:textId="209C51A0" w:rsidR="00397121" w:rsidRPr="00B34E6E" w:rsidRDefault="77733F47" w:rsidP="6A638AB4">
      <w:pPr>
        <w:rPr>
          <w:rFonts w:ascii="Calibri" w:hAnsi="Calibri" w:cs="Calibri"/>
          <w:sz w:val="22"/>
          <w:szCs w:val="22"/>
        </w:rPr>
      </w:pPr>
      <w:r w:rsidRPr="00B34E6E">
        <w:rPr>
          <w:rFonts w:ascii="Calibri" w:hAnsi="Calibri" w:cs="Calibri"/>
          <w:sz w:val="22"/>
          <w:szCs w:val="22"/>
        </w:rPr>
        <w:lastRenderedPageBreak/>
        <w:t>In April 2022, the Houthis signed an action plan with the United Nations pledging to end recruitment and use of children as soldiers, killing and maiming of children, and attacks against schools and hospitals.</w:t>
      </w:r>
      <w:r w:rsidR="00397121" w:rsidRPr="2AEAEE83">
        <w:rPr>
          <w:rStyle w:val="FootnoteReference"/>
          <w:rFonts w:ascii="Calibri" w:hAnsi="Calibri" w:cs="Calibri"/>
        </w:rPr>
        <w:footnoteReference w:id="22"/>
      </w:r>
      <w:r w:rsidRPr="00B34E6E">
        <w:rPr>
          <w:rFonts w:ascii="Calibri" w:hAnsi="Calibri" w:cs="Calibri"/>
          <w:sz w:val="22"/>
          <w:szCs w:val="22"/>
        </w:rPr>
        <w:t xml:space="preserve"> </w:t>
      </w:r>
      <w:r w:rsidR="30FA6D6C" w:rsidRPr="6A638AB4">
        <w:rPr>
          <w:rFonts w:ascii="Calibri" w:eastAsia="Calibri" w:hAnsi="Calibri" w:cs="Calibri"/>
          <w:color w:val="333333"/>
          <w:sz w:val="22"/>
          <w:szCs w:val="22"/>
        </w:rPr>
        <w:t xml:space="preserve"> "By then, according to the UN, the parties to the conflict, including the Houthis, were responsible for killing and maiming more than 10,200 children, and close to 3,500 children</w:t>
      </w:r>
      <w:r w:rsidRPr="00B34E6E">
        <w:rPr>
          <w:rFonts w:ascii="Calibri" w:hAnsi="Calibri" w:cs="Calibri"/>
          <w:sz w:val="22"/>
          <w:szCs w:val="22"/>
        </w:rPr>
        <w:t xml:space="preserve"> had been verified as recruited and used in Yemen in the eight years of the conflict.</w:t>
      </w:r>
      <w:r w:rsidR="00397121" w:rsidRPr="2AEAEE83">
        <w:rPr>
          <w:rStyle w:val="FootnoteReference"/>
          <w:rFonts w:ascii="Calibri" w:hAnsi="Calibri" w:cs="Calibri"/>
        </w:rPr>
        <w:footnoteReference w:id="23"/>
      </w:r>
      <w:r w:rsidRPr="00B34E6E">
        <w:rPr>
          <w:rFonts w:ascii="Calibri" w:hAnsi="Calibri" w:cs="Calibri"/>
          <w:sz w:val="22"/>
          <w:szCs w:val="22"/>
        </w:rPr>
        <w:t xml:space="preserve"> Houthi rockets, indiscriminate artillery attacks, and use of landmines have caused thousands of child casualties. The Houthis have attacked scores of schools and hospitals, used schools for military purposes, and blocked humanitarian assistance.</w:t>
      </w:r>
      <w:r w:rsidR="00397121" w:rsidRPr="2AEAEE83">
        <w:rPr>
          <w:rStyle w:val="FootnoteReference"/>
          <w:rFonts w:ascii="Calibri" w:hAnsi="Calibri" w:cs="Calibri"/>
        </w:rPr>
        <w:footnoteReference w:id="24"/>
      </w:r>
      <w:r w:rsidRPr="00B34E6E">
        <w:rPr>
          <w:rFonts w:ascii="Calibri" w:hAnsi="Calibri" w:cs="Calibri"/>
          <w:sz w:val="22"/>
          <w:szCs w:val="22"/>
        </w:rPr>
        <w:t xml:space="preserve"> Pro-government Yemeni forces have also carried out indiscriminate missile strikes, deployed children into combat, and attacked schools and hospitals.</w:t>
      </w:r>
      <w:r w:rsidR="00397121" w:rsidRPr="2AEAEE83">
        <w:rPr>
          <w:rStyle w:val="FootnoteReference"/>
          <w:rFonts w:ascii="Calibri" w:hAnsi="Calibri" w:cs="Calibri"/>
        </w:rPr>
        <w:footnoteReference w:id="25"/>
      </w:r>
      <w:r w:rsidRPr="00B34E6E">
        <w:rPr>
          <w:rFonts w:ascii="Calibri" w:hAnsi="Calibri" w:cs="Calibri"/>
          <w:sz w:val="22"/>
          <w:szCs w:val="22"/>
        </w:rPr>
        <w:t xml:space="preserve">  </w:t>
      </w:r>
    </w:p>
    <w:p w14:paraId="702C7B2A" w14:textId="77777777" w:rsidR="00397121" w:rsidRPr="00B34E6E" w:rsidRDefault="00397121" w:rsidP="00397121">
      <w:pPr>
        <w:rPr>
          <w:rFonts w:ascii="Calibri" w:hAnsi="Calibri" w:cs="Calibri"/>
          <w:sz w:val="22"/>
          <w:szCs w:val="22"/>
        </w:rPr>
      </w:pPr>
    </w:p>
    <w:p w14:paraId="7B6904EC" w14:textId="36325BB6" w:rsidR="00397121" w:rsidRPr="00B34E6E" w:rsidRDefault="77733F47" w:rsidP="00397121">
      <w:pPr>
        <w:rPr>
          <w:rFonts w:ascii="Calibri" w:hAnsi="Calibri" w:cs="Calibri"/>
          <w:sz w:val="22"/>
          <w:szCs w:val="22"/>
        </w:rPr>
      </w:pPr>
      <w:r w:rsidRPr="00B34E6E">
        <w:rPr>
          <w:rFonts w:ascii="Calibri" w:hAnsi="Calibri" w:cs="Calibri"/>
          <w:sz w:val="22"/>
          <w:szCs w:val="22"/>
        </w:rPr>
        <w:t>While UN action plans have been a powerful tool to prompt warring parties to end violations against children, parties to the conflict in Yemen have a poor record of keeping such commitments. Houthi leaders pledged in 2012 to end use of child soldiers,</w:t>
      </w:r>
      <w:r w:rsidR="00397121" w:rsidRPr="2AEAEE83">
        <w:rPr>
          <w:rStyle w:val="FootnoteReference"/>
          <w:rFonts w:ascii="Calibri" w:hAnsi="Calibri" w:cs="Calibri"/>
        </w:rPr>
        <w:footnoteReference w:id="26"/>
      </w:r>
      <w:r w:rsidRPr="00B34E6E">
        <w:rPr>
          <w:rFonts w:ascii="Calibri" w:hAnsi="Calibri" w:cs="Calibri"/>
          <w:sz w:val="22"/>
          <w:szCs w:val="22"/>
        </w:rPr>
        <w:t xml:space="preserve"> as did the Yemeni government in 2014.</w:t>
      </w:r>
      <w:r w:rsidR="00397121" w:rsidRPr="2AEAEE83">
        <w:rPr>
          <w:rStyle w:val="FootnoteReference"/>
          <w:rFonts w:ascii="Calibri" w:hAnsi="Calibri" w:cs="Calibri"/>
        </w:rPr>
        <w:footnoteReference w:id="27"/>
      </w:r>
      <w:r w:rsidRPr="00B34E6E">
        <w:rPr>
          <w:rFonts w:ascii="Calibri" w:hAnsi="Calibri" w:cs="Calibri"/>
          <w:sz w:val="22"/>
          <w:szCs w:val="22"/>
        </w:rPr>
        <w:t>  Despite these promises, the UN verified 8,526 violations against children in Yemen in 2019-2020.</w:t>
      </w:r>
      <w:r w:rsidR="00397121" w:rsidRPr="2AEAEE83">
        <w:rPr>
          <w:rStyle w:val="FootnoteReference"/>
          <w:rFonts w:ascii="Calibri" w:hAnsi="Calibri" w:cs="Calibri"/>
        </w:rPr>
        <w:footnoteReference w:id="28"/>
      </w:r>
      <w:r w:rsidRPr="00B34E6E">
        <w:rPr>
          <w:rFonts w:ascii="Calibri" w:hAnsi="Calibri" w:cs="Calibri"/>
          <w:sz w:val="22"/>
          <w:szCs w:val="22"/>
        </w:rPr>
        <w:t xml:space="preserve"> </w:t>
      </w:r>
    </w:p>
    <w:p w14:paraId="06EEBEC2" w14:textId="77777777" w:rsidR="00397121" w:rsidRPr="00B34E6E" w:rsidRDefault="00397121" w:rsidP="00397121">
      <w:pPr>
        <w:rPr>
          <w:rFonts w:ascii="Calibri" w:hAnsi="Calibri" w:cs="Calibri"/>
          <w:sz w:val="22"/>
          <w:szCs w:val="22"/>
        </w:rPr>
      </w:pPr>
    </w:p>
    <w:p w14:paraId="1018D70C" w14:textId="77777777" w:rsidR="00397121" w:rsidRPr="00B34E6E" w:rsidRDefault="00397121" w:rsidP="00397121">
      <w:pPr>
        <w:rPr>
          <w:rFonts w:ascii="Calibri" w:hAnsi="Calibri" w:cs="Calibri"/>
          <w:sz w:val="22"/>
          <w:szCs w:val="22"/>
        </w:rPr>
      </w:pPr>
      <w:r w:rsidRPr="00B34E6E">
        <w:rPr>
          <w:rFonts w:ascii="Calibri" w:hAnsi="Calibri" w:cs="Calibri"/>
          <w:b/>
          <w:bCs/>
          <w:i/>
          <w:iCs/>
          <w:sz w:val="22"/>
          <w:szCs w:val="22"/>
        </w:rPr>
        <w:t>Human Rights Watch recommends that the Committee call on the government of Yemen to:</w:t>
      </w:r>
    </w:p>
    <w:p w14:paraId="23FE8E2D" w14:textId="60739894" w:rsidR="00397121" w:rsidRPr="00B34E6E" w:rsidRDefault="00397121" w:rsidP="00397121">
      <w:pPr>
        <w:pStyle w:val="ListParagraph"/>
        <w:numPr>
          <w:ilvl w:val="0"/>
          <w:numId w:val="3"/>
        </w:numPr>
        <w:spacing w:after="0"/>
        <w:rPr>
          <w:rFonts w:ascii="Calibri" w:hAnsi="Calibri" w:cs="Calibri"/>
        </w:rPr>
      </w:pPr>
      <w:r w:rsidRPr="00B34E6E">
        <w:rPr>
          <w:rFonts w:ascii="Calibri" w:hAnsi="Calibri" w:cs="Calibri"/>
        </w:rPr>
        <w:t>Ensure access to affordable medication and humanitarian assistance to meet the needs of people with disabilities</w:t>
      </w:r>
      <w:r w:rsidR="00921EF4">
        <w:rPr>
          <w:rFonts w:ascii="Calibri" w:hAnsi="Calibri" w:cs="Calibri"/>
        </w:rPr>
        <w:t>, including children</w:t>
      </w:r>
      <w:r w:rsidRPr="00B34E6E">
        <w:rPr>
          <w:rFonts w:ascii="Calibri" w:hAnsi="Calibri" w:cs="Calibri"/>
        </w:rPr>
        <w:t>.</w:t>
      </w:r>
    </w:p>
    <w:p w14:paraId="77A10B44" w14:textId="752EEACB" w:rsidR="00397121" w:rsidRPr="00B34E6E" w:rsidRDefault="00397121" w:rsidP="00397121">
      <w:pPr>
        <w:pStyle w:val="ListParagraph"/>
        <w:numPr>
          <w:ilvl w:val="0"/>
          <w:numId w:val="3"/>
        </w:numPr>
        <w:spacing w:after="0"/>
        <w:rPr>
          <w:rFonts w:ascii="Calibri" w:hAnsi="Calibri" w:cs="Calibri"/>
        </w:rPr>
      </w:pPr>
      <w:r w:rsidRPr="208034AE">
        <w:rPr>
          <w:rFonts w:ascii="Calibri" w:hAnsi="Calibri" w:cs="Calibri"/>
        </w:rPr>
        <w:t>Conduct rights-based public information campaigns to raise awareness about rights of people with disabilities, especially among mental health service providers and the broader community, in partnership with people with lived experiences of physical and psychosocial disability.</w:t>
      </w:r>
    </w:p>
    <w:p w14:paraId="783A355F" w14:textId="2D9EC5B3" w:rsidR="00397121" w:rsidRPr="00B34E6E" w:rsidRDefault="00397121" w:rsidP="00397121">
      <w:pPr>
        <w:rPr>
          <w:rFonts w:ascii="Calibri" w:hAnsi="Calibri" w:cs="Calibri"/>
          <w:sz w:val="22"/>
          <w:szCs w:val="22"/>
        </w:rPr>
      </w:pPr>
    </w:p>
    <w:p w14:paraId="5CF1E515" w14:textId="0F34994C" w:rsidR="00397121" w:rsidRPr="00B34E6E" w:rsidRDefault="00397121" w:rsidP="00397121">
      <w:pPr>
        <w:rPr>
          <w:rFonts w:ascii="Calibri" w:hAnsi="Calibri" w:cs="Calibri"/>
          <w:b/>
          <w:bCs/>
          <w:sz w:val="22"/>
          <w:szCs w:val="22"/>
        </w:rPr>
      </w:pPr>
      <w:r w:rsidRPr="091624FD">
        <w:rPr>
          <w:rFonts w:ascii="Calibri" w:hAnsi="Calibri" w:cs="Calibri"/>
          <w:b/>
          <w:bCs/>
          <w:sz w:val="22"/>
          <w:szCs w:val="22"/>
        </w:rPr>
        <w:t>Corporal Punishment of Children (articles 12 and 13)</w:t>
      </w:r>
    </w:p>
    <w:p w14:paraId="64AB7048" w14:textId="77777777" w:rsidR="00B34E6E" w:rsidRPr="00B34E6E" w:rsidRDefault="00B34E6E" w:rsidP="00397121">
      <w:pPr>
        <w:rPr>
          <w:rFonts w:ascii="Calibri" w:hAnsi="Calibri" w:cs="Calibri"/>
          <w:sz w:val="22"/>
          <w:szCs w:val="22"/>
        </w:rPr>
      </w:pPr>
    </w:p>
    <w:p w14:paraId="46EE3E1B" w14:textId="78BF2603" w:rsidR="00397121" w:rsidRPr="00B34E6E" w:rsidRDefault="7142EB8C" w:rsidP="670CA5B3">
      <w:pPr>
        <w:rPr>
          <w:rStyle w:val="FootnoteReference"/>
          <w:rFonts w:ascii="Calibri" w:hAnsi="Calibri" w:cs="Calibri"/>
        </w:rPr>
      </w:pPr>
      <w:r w:rsidRPr="208034AE">
        <w:rPr>
          <w:rFonts w:ascii="Calibri" w:hAnsi="Calibri" w:cs="Calibri"/>
          <w:sz w:val="22"/>
          <w:szCs w:val="22"/>
        </w:rPr>
        <w:lastRenderedPageBreak/>
        <w:t>In May 2021, Human Rights Watch found that Yemen’s laws do not prohibit corporal punishment of students at school and permit violent discipline of children in the home:</w:t>
      </w:r>
      <w:r w:rsidR="4DD924AD" w:rsidRPr="247262D0">
        <w:rPr>
          <w:rStyle w:val="FootnoteReference"/>
          <w:rFonts w:ascii="Calibri" w:hAnsi="Calibri" w:cs="Calibri"/>
        </w:rPr>
        <w:footnoteReference w:id="29"/>
      </w:r>
      <w:r w:rsidRPr="208034AE">
        <w:rPr>
          <w:rFonts w:ascii="Calibri" w:hAnsi="Calibri" w:cs="Calibri"/>
          <w:sz w:val="22"/>
          <w:szCs w:val="22"/>
        </w:rPr>
        <w:t xml:space="preserve"> article 146 of the Children’s Rights Act of 2002 confirms “the legal and legislative rights of parents to discipline their children.”</w:t>
      </w:r>
      <w:r w:rsidR="4DD924AD" w:rsidRPr="2A7DAA96">
        <w:rPr>
          <w:rStyle w:val="FootnoteReference"/>
          <w:rFonts w:ascii="Calibri" w:hAnsi="Calibri" w:cs="Calibri"/>
        </w:rPr>
        <w:footnoteReference w:id="30"/>
      </w:r>
    </w:p>
    <w:p w14:paraId="4EA7713D" w14:textId="77777777" w:rsidR="00B34E6E" w:rsidRPr="00B34E6E" w:rsidRDefault="00B34E6E" w:rsidP="00397121">
      <w:pPr>
        <w:rPr>
          <w:rFonts w:ascii="Calibri" w:hAnsi="Calibri" w:cs="Calibri"/>
          <w:sz w:val="22"/>
          <w:szCs w:val="22"/>
        </w:rPr>
      </w:pPr>
    </w:p>
    <w:p w14:paraId="409DCCC4" w14:textId="0FE6ABB8" w:rsidR="00397121" w:rsidRPr="00B34E6E" w:rsidRDefault="33EAEDA3" w:rsidP="48ED52BE">
      <w:pPr>
        <w:rPr>
          <w:rFonts w:ascii="Calibri" w:hAnsi="Calibri" w:cs="Calibri"/>
          <w:sz w:val="22"/>
          <w:szCs w:val="22"/>
        </w:rPr>
      </w:pPr>
      <w:r w:rsidRPr="2A7DAA96">
        <w:rPr>
          <w:rFonts w:ascii="Calibri" w:hAnsi="Calibri" w:cs="Calibri"/>
          <w:sz w:val="22"/>
          <w:szCs w:val="22"/>
        </w:rPr>
        <w:t>Countries began to ban corporal punishment in the 1970s, as research showed it not only failed to improve children’s behavior but was also linked to increases in suicidal thoughts, anxiety, aggression, criminality, and other harms that impact the right to education. These include school avoidance and drop-outs, as well as difficulty with concentration,</w:t>
      </w:r>
      <w:r w:rsidR="77733F47" w:rsidRPr="2A7DAA96">
        <w:rPr>
          <w:rStyle w:val="FootnoteReference"/>
          <w:rFonts w:ascii="Calibri" w:hAnsi="Calibri" w:cs="Calibri"/>
        </w:rPr>
        <w:footnoteReference w:id="31"/>
      </w:r>
      <w:r w:rsidRPr="2A7DAA96">
        <w:rPr>
          <w:rFonts w:ascii="Calibri" w:hAnsi="Calibri" w:cs="Calibri"/>
          <w:sz w:val="22"/>
          <w:szCs w:val="22"/>
        </w:rPr>
        <w:t xml:space="preserve"> cognitive problems, and increased aggression in school.</w:t>
      </w:r>
      <w:r w:rsidR="77733F47" w:rsidRPr="2A7DAA96">
        <w:rPr>
          <w:rStyle w:val="FootnoteReference"/>
          <w:rFonts w:ascii="Calibri" w:hAnsi="Calibri" w:cs="Calibri"/>
        </w:rPr>
        <w:footnoteReference w:id="32"/>
      </w:r>
      <w:r w:rsidRPr="2A7DAA96">
        <w:rPr>
          <w:rFonts w:ascii="Calibri" w:hAnsi="Calibri" w:cs="Calibri"/>
          <w:sz w:val="22"/>
          <w:szCs w:val="22"/>
        </w:rPr>
        <w:t xml:space="preserve"> Medical associations have called for the abolition of corporal punishment on the basis that it harms students’ school achievement.</w:t>
      </w:r>
      <w:r w:rsidR="77733F47" w:rsidRPr="2A7DAA96">
        <w:rPr>
          <w:rStyle w:val="FootnoteReference"/>
          <w:rFonts w:ascii="Calibri" w:hAnsi="Calibri" w:cs="Calibri"/>
        </w:rPr>
        <w:footnoteReference w:id="33"/>
      </w:r>
    </w:p>
    <w:p w14:paraId="20C8A368" w14:textId="10F48BA2" w:rsidR="00397121" w:rsidRPr="00B34E6E" w:rsidRDefault="00397121" w:rsidP="48ED52BE">
      <w:pPr>
        <w:rPr>
          <w:rFonts w:ascii="Calibri" w:hAnsi="Calibri" w:cs="Calibri"/>
          <w:sz w:val="22"/>
          <w:szCs w:val="22"/>
        </w:rPr>
      </w:pPr>
    </w:p>
    <w:p w14:paraId="3CD165BB" w14:textId="5CA55B2B" w:rsidR="00397121" w:rsidRPr="00B34E6E" w:rsidRDefault="5785792F" w:rsidP="48ED52BE">
      <w:pPr>
        <w:rPr>
          <w:rFonts w:ascii="Calibri" w:hAnsi="Calibri" w:cs="Calibri"/>
          <w:sz w:val="22"/>
          <w:szCs w:val="22"/>
        </w:rPr>
      </w:pPr>
      <w:r w:rsidRPr="00B34E6E">
        <w:rPr>
          <w:rFonts w:ascii="Calibri" w:hAnsi="Calibri" w:cs="Calibri"/>
          <w:sz w:val="22"/>
          <w:szCs w:val="22"/>
        </w:rPr>
        <w:t>This Committee, as well as the Committees on the Rights of the Child, and on Civil and Political Rights, have repeatedly called on Yemen to explicitly and effectively prohibit corporal punishment of children by law in all settings, including in schools.</w:t>
      </w:r>
      <w:r w:rsidRPr="2AEAEE83">
        <w:rPr>
          <w:rStyle w:val="FootnoteReference"/>
          <w:rFonts w:ascii="Calibri" w:hAnsi="Calibri" w:cs="Calibri"/>
        </w:rPr>
        <w:t xml:space="preserve"> </w:t>
      </w:r>
      <w:r w:rsidR="00397121" w:rsidRPr="2AEAEE83">
        <w:rPr>
          <w:rStyle w:val="FootnoteReference"/>
          <w:rFonts w:ascii="Calibri" w:hAnsi="Calibri" w:cs="Calibri"/>
        </w:rPr>
        <w:footnoteReference w:id="34"/>
      </w:r>
    </w:p>
    <w:p w14:paraId="6CED09FF" w14:textId="77777777" w:rsidR="00B34E6E" w:rsidRPr="00B34E6E" w:rsidRDefault="00B34E6E" w:rsidP="00397121">
      <w:pPr>
        <w:rPr>
          <w:rFonts w:ascii="Calibri" w:hAnsi="Calibri" w:cs="Calibri"/>
          <w:sz w:val="22"/>
          <w:szCs w:val="22"/>
        </w:rPr>
      </w:pPr>
    </w:p>
    <w:p w14:paraId="4DE65D57" w14:textId="1543E36F" w:rsidR="00B34E6E" w:rsidRPr="00B34E6E" w:rsidRDefault="00B34E6E" w:rsidP="6A638AB4">
      <w:pPr>
        <w:rPr>
          <w:rFonts w:ascii="Calibri" w:hAnsi="Calibri" w:cs="Calibri"/>
          <w:sz w:val="22"/>
          <w:szCs w:val="22"/>
        </w:rPr>
      </w:pPr>
    </w:p>
    <w:p w14:paraId="39DAF2D9" w14:textId="30854F23" w:rsidR="00397121" w:rsidRPr="00B34E6E" w:rsidRDefault="5785792F" w:rsidP="00397121">
      <w:pPr>
        <w:rPr>
          <w:rFonts w:ascii="Calibri" w:hAnsi="Calibri" w:cs="Calibri"/>
          <w:sz w:val="22"/>
          <w:szCs w:val="22"/>
        </w:rPr>
      </w:pPr>
      <w:r w:rsidRPr="00B34E6E">
        <w:rPr>
          <w:rFonts w:ascii="Calibri" w:hAnsi="Calibri" w:cs="Calibri"/>
          <w:sz w:val="22"/>
          <w:szCs w:val="22"/>
        </w:rPr>
        <w:t xml:space="preserve">Recent reports on the prevalence of violent discipline in Yemen are unavailable, but a 2013 </w:t>
      </w:r>
      <w:r w:rsidR="04C79000" w:rsidRPr="2AEAEE83">
        <w:rPr>
          <w:rFonts w:ascii="Calibri" w:hAnsi="Calibri" w:cs="Calibri"/>
          <w:sz w:val="22"/>
          <w:szCs w:val="22"/>
        </w:rPr>
        <w:t xml:space="preserve">UNICEF </w:t>
      </w:r>
      <w:r w:rsidRPr="00B34E6E">
        <w:rPr>
          <w:rFonts w:ascii="Calibri" w:hAnsi="Calibri" w:cs="Calibri"/>
          <w:sz w:val="22"/>
          <w:szCs w:val="22"/>
        </w:rPr>
        <w:t>survey found that around 90 percent of children aged 2-14 had experienced physical punishment by caregivers in the month prior to the survey, with more than 85 percent being subject to severe physical punishment, such as being “hit or slapped on the face, head or ears” or “beat up as hard as one could.”</w:t>
      </w:r>
      <w:r w:rsidR="00397121" w:rsidRPr="2AEAEE83">
        <w:rPr>
          <w:rStyle w:val="FootnoteReference"/>
          <w:rFonts w:ascii="Calibri" w:hAnsi="Calibri" w:cs="Calibri"/>
        </w:rPr>
        <w:footnoteReference w:id="35"/>
      </w:r>
    </w:p>
    <w:p w14:paraId="61C2A5FD" w14:textId="77777777" w:rsidR="00B34E6E" w:rsidRPr="00B34E6E" w:rsidRDefault="00B34E6E" w:rsidP="00397121">
      <w:pPr>
        <w:rPr>
          <w:rFonts w:ascii="Calibri" w:hAnsi="Calibri" w:cs="Calibri"/>
          <w:i/>
          <w:iCs/>
          <w:sz w:val="22"/>
          <w:szCs w:val="22"/>
        </w:rPr>
      </w:pPr>
    </w:p>
    <w:p w14:paraId="1FA345D3" w14:textId="1E55EF1B" w:rsidR="00397121" w:rsidRPr="00B34E6E" w:rsidRDefault="00397121" w:rsidP="00397121">
      <w:pPr>
        <w:rPr>
          <w:rFonts w:ascii="Calibri" w:hAnsi="Calibri" w:cs="Calibri"/>
          <w:i/>
          <w:iCs/>
          <w:sz w:val="22"/>
          <w:szCs w:val="22"/>
        </w:rPr>
      </w:pPr>
      <w:r w:rsidRPr="00B34E6E">
        <w:rPr>
          <w:rFonts w:ascii="Calibri" w:hAnsi="Calibri" w:cs="Calibri"/>
          <w:i/>
          <w:iCs/>
          <w:sz w:val="22"/>
          <w:szCs w:val="22"/>
        </w:rPr>
        <w:t>Houthi and Southern Transitional Council Areas</w:t>
      </w:r>
    </w:p>
    <w:p w14:paraId="19671670" w14:textId="77777777" w:rsidR="00B34E6E" w:rsidRPr="00B34E6E" w:rsidRDefault="00B34E6E" w:rsidP="00397121">
      <w:pPr>
        <w:rPr>
          <w:rFonts w:ascii="Calibri" w:hAnsi="Calibri" w:cs="Calibri"/>
          <w:sz w:val="22"/>
          <w:szCs w:val="22"/>
        </w:rPr>
      </w:pPr>
    </w:p>
    <w:p w14:paraId="55BA8512" w14:textId="650C99BB" w:rsidR="00397121" w:rsidRDefault="56BCB5C5" w:rsidP="00397121">
      <w:pPr>
        <w:rPr>
          <w:rFonts w:ascii="Calibri" w:hAnsi="Calibri" w:cs="Calibri"/>
          <w:sz w:val="22"/>
          <w:szCs w:val="22"/>
        </w:rPr>
      </w:pPr>
      <w:r w:rsidRPr="00B34E6E">
        <w:rPr>
          <w:rFonts w:ascii="Calibri" w:hAnsi="Calibri" w:cs="Calibri"/>
          <w:sz w:val="22"/>
          <w:szCs w:val="22"/>
        </w:rPr>
        <w:lastRenderedPageBreak/>
        <w:t>As of January 2021, eighty percent of Yemenis lived in territories where Houthi authorities exert control, including over schools.</w:t>
      </w:r>
      <w:r w:rsidR="00397121" w:rsidRPr="2AEAEE83">
        <w:rPr>
          <w:rStyle w:val="FootnoteReference"/>
          <w:rFonts w:ascii="Calibri" w:hAnsi="Calibri" w:cs="Calibri"/>
        </w:rPr>
        <w:footnoteReference w:id="36"/>
      </w:r>
      <w:r w:rsidRPr="00B34E6E">
        <w:rPr>
          <w:rFonts w:ascii="Calibri" w:hAnsi="Calibri" w:cs="Calibri"/>
          <w:sz w:val="22"/>
          <w:szCs w:val="22"/>
        </w:rPr>
        <w:t xml:space="preserve"> The Houthi authorities did not reply to Human Rights Watch requests for information about laws or policies on violent discipline of children</w:t>
      </w:r>
      <w:r w:rsidR="0C0EE08D" w:rsidRPr="247262D0">
        <w:rPr>
          <w:rFonts w:ascii="Calibri" w:hAnsi="Calibri" w:cs="Calibri"/>
          <w:sz w:val="22"/>
          <w:szCs w:val="22"/>
        </w:rPr>
        <w:t xml:space="preserve"> sent </w:t>
      </w:r>
      <w:r w:rsidR="45E61BD1" w:rsidRPr="247262D0">
        <w:rPr>
          <w:rFonts w:ascii="Calibri" w:hAnsi="Calibri" w:cs="Calibri"/>
          <w:sz w:val="22"/>
          <w:szCs w:val="22"/>
        </w:rPr>
        <w:t>in early December</w:t>
      </w:r>
      <w:r w:rsidR="338A6121" w:rsidRPr="247262D0">
        <w:rPr>
          <w:rFonts w:ascii="Calibri" w:hAnsi="Calibri" w:cs="Calibri"/>
          <w:sz w:val="22"/>
          <w:szCs w:val="22"/>
        </w:rPr>
        <w:t xml:space="preserve"> of</w:t>
      </w:r>
      <w:r w:rsidR="45E61BD1" w:rsidRPr="247262D0">
        <w:rPr>
          <w:rFonts w:ascii="Calibri" w:hAnsi="Calibri" w:cs="Calibri"/>
          <w:sz w:val="22"/>
          <w:szCs w:val="22"/>
        </w:rPr>
        <w:t xml:space="preserve"> 2020</w:t>
      </w:r>
      <w:r w:rsidR="1FB80B49" w:rsidRPr="247262D0">
        <w:rPr>
          <w:rFonts w:ascii="Calibri" w:hAnsi="Calibri" w:cs="Calibri"/>
          <w:sz w:val="22"/>
          <w:szCs w:val="22"/>
        </w:rPr>
        <w:t>.</w:t>
      </w:r>
    </w:p>
    <w:p w14:paraId="167CF9AD" w14:textId="77777777" w:rsidR="00C873BB" w:rsidRPr="00B34E6E" w:rsidRDefault="00C873BB" w:rsidP="00397121">
      <w:pPr>
        <w:rPr>
          <w:rFonts w:ascii="Calibri" w:hAnsi="Calibri" w:cs="Calibri"/>
          <w:sz w:val="22"/>
          <w:szCs w:val="22"/>
        </w:rPr>
      </w:pPr>
    </w:p>
    <w:p w14:paraId="6F8FE013" w14:textId="172123CC" w:rsidR="00397121" w:rsidRPr="00B34E6E" w:rsidRDefault="3826B014" w:rsidP="00397121">
      <w:pPr>
        <w:rPr>
          <w:rFonts w:ascii="Calibri" w:hAnsi="Calibri" w:cs="Calibri"/>
          <w:sz w:val="22"/>
          <w:szCs w:val="22"/>
        </w:rPr>
      </w:pPr>
      <w:r w:rsidRPr="00B34E6E">
        <w:rPr>
          <w:rFonts w:ascii="Calibri" w:hAnsi="Calibri" w:cs="Calibri"/>
          <w:sz w:val="22"/>
          <w:szCs w:val="22"/>
        </w:rPr>
        <w:t>The Southern Transitional Council</w:t>
      </w:r>
      <w:r w:rsidR="637DFD31" w:rsidRPr="2A7DAA96">
        <w:rPr>
          <w:rFonts w:ascii="Calibri" w:hAnsi="Calibri" w:cs="Calibri"/>
          <w:sz w:val="22"/>
          <w:szCs w:val="22"/>
        </w:rPr>
        <w:t>,</w:t>
      </w:r>
      <w:r w:rsidRPr="00B34E6E">
        <w:rPr>
          <w:rFonts w:ascii="Calibri" w:hAnsi="Calibri" w:cs="Calibri"/>
          <w:sz w:val="22"/>
          <w:szCs w:val="22"/>
        </w:rPr>
        <w:t xml:space="preserve"> which controls territory in several Yemeni governorates</w:t>
      </w:r>
      <w:r w:rsidR="637DFD31" w:rsidRPr="2A7DAA96">
        <w:rPr>
          <w:rFonts w:ascii="Calibri" w:hAnsi="Calibri" w:cs="Calibri"/>
          <w:sz w:val="22"/>
          <w:szCs w:val="22"/>
        </w:rPr>
        <w:t>,</w:t>
      </w:r>
      <w:r w:rsidR="00397121" w:rsidRPr="2AEAEE83">
        <w:rPr>
          <w:rStyle w:val="FootnoteReference"/>
          <w:rFonts w:ascii="Calibri" w:hAnsi="Calibri" w:cs="Calibri"/>
        </w:rPr>
        <w:footnoteReference w:id="37"/>
      </w:r>
      <w:r w:rsidRPr="00B34E6E">
        <w:rPr>
          <w:rFonts w:ascii="Calibri" w:hAnsi="Calibri" w:cs="Calibri"/>
          <w:sz w:val="22"/>
          <w:szCs w:val="22"/>
        </w:rPr>
        <w:t xml:space="preserve"> also did not reply to our requests</w:t>
      </w:r>
      <w:r w:rsidR="1B476347" w:rsidRPr="00B34E6E">
        <w:rPr>
          <w:rFonts w:ascii="Calibri" w:hAnsi="Calibri" w:cs="Calibri"/>
          <w:sz w:val="22"/>
          <w:szCs w:val="22"/>
        </w:rPr>
        <w:t>.</w:t>
      </w:r>
    </w:p>
    <w:p w14:paraId="6C1E7F83" w14:textId="77777777" w:rsidR="00397121" w:rsidRPr="00B34E6E" w:rsidRDefault="00397121" w:rsidP="00397121">
      <w:pPr>
        <w:rPr>
          <w:rFonts w:ascii="Calibri" w:hAnsi="Calibri" w:cs="Calibri"/>
          <w:sz w:val="22"/>
          <w:szCs w:val="22"/>
        </w:rPr>
      </w:pPr>
    </w:p>
    <w:p w14:paraId="25020D5C" w14:textId="77777777" w:rsidR="00397121" w:rsidRPr="00B34E6E" w:rsidRDefault="00397121" w:rsidP="00397121">
      <w:pPr>
        <w:rPr>
          <w:rFonts w:ascii="Calibri" w:hAnsi="Calibri" w:cs="Calibri"/>
          <w:b/>
          <w:bCs/>
          <w:i/>
          <w:iCs/>
          <w:sz w:val="22"/>
          <w:szCs w:val="22"/>
        </w:rPr>
      </w:pPr>
      <w:r w:rsidRPr="00B34E6E">
        <w:rPr>
          <w:rFonts w:ascii="Calibri" w:hAnsi="Calibri" w:cs="Calibri"/>
          <w:b/>
          <w:bCs/>
          <w:i/>
          <w:iCs/>
          <w:sz w:val="22"/>
          <w:szCs w:val="22"/>
        </w:rPr>
        <w:t>Human Rights Watch recommends that the Committee call on the government of Yemen to:</w:t>
      </w:r>
    </w:p>
    <w:p w14:paraId="5AC74F4C" w14:textId="77777777" w:rsidR="00397121" w:rsidRPr="00B34E6E" w:rsidRDefault="00397121" w:rsidP="00397121">
      <w:pPr>
        <w:pStyle w:val="ListParagraph"/>
        <w:numPr>
          <w:ilvl w:val="0"/>
          <w:numId w:val="2"/>
        </w:numPr>
        <w:spacing w:after="0"/>
        <w:rPr>
          <w:rFonts w:ascii="Calibri" w:hAnsi="Calibri" w:cs="Calibri"/>
        </w:rPr>
      </w:pPr>
      <w:r w:rsidRPr="00B34E6E">
        <w:rPr>
          <w:rFonts w:ascii="Calibri" w:hAnsi="Calibri" w:cs="Calibri"/>
        </w:rPr>
        <w:t xml:space="preserve">Prohibit, by law, corporal punishment and other cruel or degrading forms of punishment in the home, at school, and in all alternative care settings where adults have authority over children. </w:t>
      </w:r>
    </w:p>
    <w:p w14:paraId="2B39FE63" w14:textId="77777777" w:rsidR="00397121" w:rsidRPr="00B34E6E" w:rsidRDefault="00397121" w:rsidP="00397121">
      <w:pPr>
        <w:pStyle w:val="ListParagraph"/>
        <w:numPr>
          <w:ilvl w:val="0"/>
          <w:numId w:val="2"/>
        </w:numPr>
        <w:spacing w:after="0"/>
        <w:rPr>
          <w:rFonts w:ascii="Calibri" w:hAnsi="Calibri" w:cs="Calibri"/>
        </w:rPr>
      </w:pPr>
      <w:r w:rsidRPr="6A638AB4">
        <w:rPr>
          <w:rFonts w:ascii="Calibri" w:hAnsi="Calibri" w:cs="Calibri"/>
        </w:rPr>
        <w:t xml:space="preserve">Ensure effective implementation and monitoring of ministerial decrees and decisions prohibiting the use of corporal </w:t>
      </w:r>
      <w:proofErr w:type="gramStart"/>
      <w:r w:rsidRPr="6A638AB4">
        <w:rPr>
          <w:rFonts w:ascii="Calibri" w:hAnsi="Calibri" w:cs="Calibri"/>
        </w:rPr>
        <w:t>punishment, and</w:t>
      </w:r>
      <w:proofErr w:type="gramEnd"/>
      <w:r w:rsidRPr="6A638AB4">
        <w:rPr>
          <w:rFonts w:ascii="Calibri" w:hAnsi="Calibri" w:cs="Calibri"/>
        </w:rPr>
        <w:t xml:space="preserve"> set out child-friendly complaints mechanisms as well as penalties for parents and guardians who engage in corporal punishment. </w:t>
      </w:r>
    </w:p>
    <w:p w14:paraId="3ED5F40E" w14:textId="77EA5FEE" w:rsidR="00B34E6E" w:rsidRPr="00B34E6E" w:rsidRDefault="00B34E6E" w:rsidP="00B34E6E">
      <w:pPr>
        <w:spacing w:before="100" w:beforeAutospacing="1" w:after="100" w:afterAutospacing="1"/>
        <w:rPr>
          <w:rFonts w:ascii="Calibri" w:eastAsia="Times New Roman" w:hAnsi="Calibri" w:cs="Calibri"/>
          <w:sz w:val="22"/>
          <w:szCs w:val="22"/>
        </w:rPr>
      </w:pPr>
    </w:p>
    <w:sectPr w:rsidR="00B34E6E" w:rsidRPr="00B34E6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09C41" w14:textId="77777777" w:rsidR="00C26D64" w:rsidRDefault="00C26D64" w:rsidP="00397121">
      <w:r>
        <w:separator/>
      </w:r>
    </w:p>
  </w:endnote>
  <w:endnote w:type="continuationSeparator" w:id="0">
    <w:p w14:paraId="44DD740D" w14:textId="77777777" w:rsidR="00C26D64" w:rsidRDefault="00C26D64" w:rsidP="00397121">
      <w:r>
        <w:continuationSeparator/>
      </w:r>
    </w:p>
  </w:endnote>
  <w:endnote w:type="continuationNotice" w:id="1">
    <w:p w14:paraId="3EC7508E" w14:textId="77777777" w:rsidR="00C26D64" w:rsidRDefault="00C26D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altName w:val="Calibri"/>
    <w:panose1 w:val="00000000000000000000"/>
    <w:charset w:val="00"/>
    <w:family w:val="swiss"/>
    <w:notTrueType/>
    <w:pitch w:val="variable"/>
    <w:sig w:usb0="A00002FF" w:usb1="4000207B" w:usb2="00000000" w:usb3="00000000" w:csb0="0000009F" w:csb1="00000000"/>
  </w:font>
  <w:font w:name="MetaPro-Norm">
    <w:altName w:val="Calibri"/>
    <w:panose1 w:val="00000000000000000000"/>
    <w:charset w:val="00"/>
    <w:family w:val="swiss"/>
    <w:notTrueType/>
    <w:pitch w:val="variable"/>
    <w:sig w:usb0="A00002FF" w:usb1="4000207B" w:usb2="00000000" w:usb3="00000000" w:csb0="0000009F" w:csb1="00000000"/>
  </w:font>
  <w:font w:name="Merriweather">
    <w:charset w:val="00"/>
    <w:family w:val="auto"/>
    <w:pitch w:val="variable"/>
    <w:sig w:usb0="20000207" w:usb1="00000002" w:usb2="00000000" w:usb3="00000000" w:csb0="00000197"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0203630" w14:paraId="3AC1B14E" w14:textId="77777777" w:rsidTr="70203630">
      <w:trPr>
        <w:trHeight w:val="300"/>
      </w:trPr>
      <w:tc>
        <w:tcPr>
          <w:tcW w:w="3120" w:type="dxa"/>
        </w:tcPr>
        <w:p w14:paraId="2D0F670B" w14:textId="69374CB1" w:rsidR="70203630" w:rsidRDefault="70203630" w:rsidP="70203630">
          <w:pPr>
            <w:pStyle w:val="Header"/>
            <w:ind w:left="-115"/>
          </w:pPr>
        </w:p>
      </w:tc>
      <w:tc>
        <w:tcPr>
          <w:tcW w:w="3120" w:type="dxa"/>
        </w:tcPr>
        <w:p w14:paraId="5865DCC8" w14:textId="3FA1B119" w:rsidR="70203630" w:rsidRDefault="70203630" w:rsidP="70203630">
          <w:pPr>
            <w:pStyle w:val="Header"/>
            <w:jc w:val="center"/>
          </w:pPr>
        </w:p>
      </w:tc>
      <w:tc>
        <w:tcPr>
          <w:tcW w:w="3120" w:type="dxa"/>
        </w:tcPr>
        <w:p w14:paraId="47D280E3" w14:textId="3838E988" w:rsidR="70203630" w:rsidRDefault="70203630" w:rsidP="70203630">
          <w:pPr>
            <w:pStyle w:val="Header"/>
            <w:ind w:right="-115"/>
            <w:jc w:val="right"/>
          </w:pPr>
        </w:p>
      </w:tc>
    </w:tr>
  </w:tbl>
  <w:p w14:paraId="1305DB12" w14:textId="49249483" w:rsidR="70203630" w:rsidRDefault="70203630" w:rsidP="70203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ACDEF" w14:textId="77777777" w:rsidR="00C26D64" w:rsidRDefault="00C26D64" w:rsidP="00397121">
      <w:r>
        <w:separator/>
      </w:r>
    </w:p>
  </w:footnote>
  <w:footnote w:type="continuationSeparator" w:id="0">
    <w:p w14:paraId="2EE59CED" w14:textId="77777777" w:rsidR="00C26D64" w:rsidRDefault="00C26D64" w:rsidP="00397121">
      <w:r>
        <w:continuationSeparator/>
      </w:r>
    </w:p>
  </w:footnote>
  <w:footnote w:type="continuationNotice" w:id="1">
    <w:p w14:paraId="631298B9" w14:textId="77777777" w:rsidR="00C26D64" w:rsidRDefault="00C26D64"/>
  </w:footnote>
  <w:footnote w:id="2">
    <w:p w14:paraId="4C53E0DD" w14:textId="439D8A6A" w:rsidR="00B34E6E" w:rsidRPr="00255377" w:rsidRDefault="00B34E6E">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“Yemen Crisis,” UNICEF, </w:t>
      </w:r>
      <w:hyperlink r:id="rId1" w:history="1">
        <w:r w:rsidRPr="00255377">
          <w:rPr>
            <w:rStyle w:val="Hyperlink"/>
            <w:rFonts w:ascii="Calibri" w:hAnsi="Calibri" w:cs="Calibri"/>
            <w:szCs w:val="16"/>
          </w:rPr>
          <w:t>https://www.unicef.org/emergencies/yemen-crisis</w:t>
        </w:r>
      </w:hyperlink>
      <w:r w:rsidRPr="00255377">
        <w:rPr>
          <w:rFonts w:ascii="Calibri" w:hAnsi="Calibri" w:cs="Calibri"/>
          <w:szCs w:val="16"/>
        </w:rPr>
        <w:t xml:space="preserve"> (accessed January 6, 2022).</w:t>
      </w:r>
    </w:p>
  </w:footnote>
  <w:footnote w:id="3">
    <w:p w14:paraId="27D29DFE" w14:textId="5E37E30A" w:rsidR="00B34E6E" w:rsidRPr="00255377" w:rsidRDefault="00B34E6E">
      <w:pPr>
        <w:pStyle w:val="FootnoteText"/>
        <w:rPr>
          <w:rFonts w:ascii="Calibri" w:hAnsi="Calibri" w:cs="Calibri"/>
          <w:szCs w:val="16"/>
        </w:rPr>
      </w:pPr>
      <w:r w:rsidRPr="00255377">
        <w:rPr>
          <w:rStyle w:val="FootnoteReference"/>
          <w:rFonts w:ascii="Calibri" w:hAnsi="Calibri" w:cs="Calibri"/>
          <w:sz w:val="16"/>
          <w:szCs w:val="16"/>
        </w:rPr>
        <w:footnoteRef/>
      </w:r>
      <w:r w:rsidR="6A638AB4" w:rsidRPr="00255377">
        <w:rPr>
          <w:rFonts w:ascii="Calibri" w:hAnsi="Calibri" w:cs="Calibri"/>
          <w:szCs w:val="16"/>
        </w:rPr>
        <w:t xml:space="preserve"> </w:t>
      </w:r>
      <w:proofErr w:type="gramStart"/>
      <w:r w:rsidR="6A638AB4" w:rsidRPr="00255377">
        <w:rPr>
          <w:rFonts w:ascii="Calibri" w:hAnsi="Calibri" w:cs="Calibri"/>
          <w:szCs w:val="16"/>
        </w:rPr>
        <w:t>Ibid.;</w:t>
      </w:r>
      <w:proofErr w:type="gramEnd"/>
      <w:r w:rsidR="6A638AB4" w:rsidRPr="00255377">
        <w:rPr>
          <w:rFonts w:ascii="Calibri" w:hAnsi="Calibri" w:cs="Calibri"/>
          <w:szCs w:val="16"/>
        </w:rPr>
        <w:t xml:space="preserve"> “Situation Report #11,” WFP Yemen, November 2022, https://api.godocs.wfp.org/api/documents/58ece1ce7fb64edcb3ba4d2994fab42d/download/?_ga=2.120897793.800323441.1673251532-1636298966.1673251532.</w:t>
      </w:r>
    </w:p>
  </w:footnote>
  <w:footnote w:id="4">
    <w:p w14:paraId="7EA6ABC5" w14:textId="6F05AA01" w:rsidR="00397121" w:rsidRPr="00255377" w:rsidRDefault="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w:t>
      </w:r>
      <w:r w:rsidR="00B34E6E" w:rsidRPr="00255377">
        <w:rPr>
          <w:rFonts w:ascii="Calibri" w:hAnsi="Calibri" w:cs="Calibri"/>
          <w:szCs w:val="16"/>
        </w:rPr>
        <w:t xml:space="preserve">“Starvation Makers,” </w:t>
      </w:r>
      <w:proofErr w:type="spellStart"/>
      <w:r w:rsidR="00B34E6E" w:rsidRPr="00255377">
        <w:rPr>
          <w:rFonts w:ascii="Calibri" w:hAnsi="Calibri" w:cs="Calibri"/>
          <w:szCs w:val="16"/>
        </w:rPr>
        <w:t>Mwatana</w:t>
      </w:r>
      <w:proofErr w:type="spellEnd"/>
      <w:r w:rsidR="00B34E6E" w:rsidRPr="00255377">
        <w:rPr>
          <w:rFonts w:ascii="Calibri" w:hAnsi="Calibri" w:cs="Calibri"/>
          <w:szCs w:val="16"/>
        </w:rPr>
        <w:t xml:space="preserve"> for Human Rights and Global Rights Compliance, September 2021, https://mwatana.org/wp-content/uploads/2021/09/Starvation-Makers-2021-En.pdf.</w:t>
      </w:r>
    </w:p>
  </w:footnote>
  <w:footnote w:id="5">
    <w:p w14:paraId="7D01CF05" w14:textId="54C11A5A" w:rsidR="00B34E6E" w:rsidRPr="00255377" w:rsidRDefault="00B34E6E">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Additional Protocol II, Article 14. </w:t>
      </w:r>
    </w:p>
  </w:footnote>
  <w:footnote w:id="6">
    <w:p w14:paraId="467D5482" w14:textId="1620FF19" w:rsidR="00B34E6E" w:rsidRPr="00255377" w:rsidRDefault="00B34E6E" w:rsidP="00B34E6E">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“Yemen: UN Humanitarian Coordinator condemns hospital attack,” UN OCHA, March 18, 2020, https://www.unocha.org/story/yemen-un-humanitarian-coordinator-condemns-hospital-attack.</w:t>
      </w:r>
    </w:p>
  </w:footnote>
  <w:footnote w:id="7">
    <w:p w14:paraId="46A61FEB" w14:textId="76644278" w:rsidR="00B34E6E" w:rsidRPr="00255377" w:rsidRDefault="00B34E6E" w:rsidP="00B34E6E">
      <w:pPr>
        <w:pStyle w:val="FootnoteText"/>
        <w:rPr>
          <w:rFonts w:ascii="Calibri" w:hAnsi="Calibri" w:cs="Calibri"/>
          <w:szCs w:val="16"/>
        </w:rPr>
      </w:pPr>
      <w:r w:rsidRPr="00255377">
        <w:rPr>
          <w:rStyle w:val="FootnoteReference"/>
          <w:rFonts w:ascii="Calibri" w:hAnsi="Calibri" w:cs="Calibri"/>
          <w:sz w:val="16"/>
          <w:szCs w:val="16"/>
        </w:rPr>
        <w:footnoteRef/>
      </w:r>
      <w:proofErr w:type="gramStart"/>
      <w:r w:rsidRPr="00255377">
        <w:rPr>
          <w:rFonts w:ascii="Calibri" w:hAnsi="Calibri" w:cs="Calibri"/>
          <w:szCs w:val="16"/>
        </w:rPr>
        <w:t>“ Yemen</w:t>
      </w:r>
      <w:proofErr w:type="gramEnd"/>
      <w:r w:rsidRPr="00255377">
        <w:rPr>
          <w:rFonts w:ascii="Calibri" w:hAnsi="Calibri" w:cs="Calibri"/>
          <w:szCs w:val="16"/>
        </w:rPr>
        <w:t>: Plight of Population is Growing as World Attention Wanes,” March 10, 2022, https://www.icrc.org/en/document/yemen-plight-population-growing-world-attention-wanes.</w:t>
      </w:r>
    </w:p>
  </w:footnote>
  <w:footnote w:id="8">
    <w:p w14:paraId="6120BEF6" w14:textId="00C47A49" w:rsidR="00B34E6E" w:rsidRPr="00255377" w:rsidRDefault="00B34E6E">
      <w:pPr>
        <w:pStyle w:val="FootnoteText"/>
        <w:rPr>
          <w:rFonts w:ascii="Calibri" w:hAnsi="Calibri" w:cs="Calibri"/>
          <w:szCs w:val="16"/>
        </w:rPr>
      </w:pPr>
      <w:r w:rsidRPr="00255377">
        <w:rPr>
          <w:rStyle w:val="FootnoteReference"/>
          <w:rFonts w:ascii="Calibri" w:hAnsi="Calibri" w:cs="Calibri"/>
          <w:sz w:val="16"/>
          <w:szCs w:val="16"/>
        </w:rPr>
        <w:footnoteRef/>
      </w:r>
      <w:r w:rsidR="6A638AB4" w:rsidRPr="00255377">
        <w:rPr>
          <w:rFonts w:ascii="Calibri" w:hAnsi="Calibri" w:cs="Calibri"/>
          <w:szCs w:val="16"/>
        </w:rPr>
        <w:t xml:space="preserve"> Human Rights Watch, </w:t>
      </w:r>
      <w:r w:rsidR="6A638AB4" w:rsidRPr="00255377">
        <w:rPr>
          <w:rFonts w:ascii="Calibri" w:hAnsi="Calibri" w:cs="Calibri"/>
          <w:i/>
          <w:iCs/>
          <w:color w:val="2B579A"/>
          <w:szCs w:val="16"/>
          <w:shd w:val="clear" w:color="auto" w:fill="E6E6E6"/>
        </w:rPr>
        <w:t>Deadly Consequences: Obstruction of Aid in Yemen During Covid-19</w:t>
      </w:r>
      <w:r w:rsidR="6A638AB4" w:rsidRPr="00255377">
        <w:rPr>
          <w:rFonts w:ascii="Calibri" w:hAnsi="Calibri" w:cs="Calibri"/>
          <w:szCs w:val="16"/>
        </w:rPr>
        <w:t>, September 14, 2020, https://www.hrw.org/report/2020/09/14/deadly-consequences/obstruction-aid-yemen-during-covid-19</w:t>
      </w:r>
    </w:p>
  </w:footnote>
  <w:footnote w:id="9">
    <w:p w14:paraId="1EDF9C04" w14:textId="0035742E" w:rsidR="00B34E6E" w:rsidRPr="00255377" w:rsidRDefault="00B34E6E">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Ibid., citing Human Rights Watch interview with aid worker, June 16, 2020.</w:t>
      </w:r>
    </w:p>
  </w:footnote>
  <w:footnote w:id="10">
    <w:p w14:paraId="0E4802A8" w14:textId="532ECAA7" w:rsidR="00B34E6E" w:rsidRPr="00255377" w:rsidRDefault="00B34E6E">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Ibid.</w:t>
      </w:r>
    </w:p>
  </w:footnote>
  <w:footnote w:id="11">
    <w:p w14:paraId="7E7B5AA1" w14:textId="69D8507A" w:rsidR="00B34E6E" w:rsidRPr="00255377" w:rsidRDefault="00B34E6E">
      <w:pPr>
        <w:pStyle w:val="FootnoteText"/>
        <w:rPr>
          <w:rFonts w:ascii="Calibri" w:hAnsi="Calibri" w:cs="Calibri"/>
          <w:szCs w:val="16"/>
        </w:rPr>
      </w:pPr>
      <w:r w:rsidRPr="00255377">
        <w:rPr>
          <w:rStyle w:val="FootnoteReference"/>
          <w:rFonts w:ascii="Calibri" w:hAnsi="Calibri" w:cs="Calibri"/>
          <w:sz w:val="16"/>
          <w:szCs w:val="16"/>
        </w:rPr>
        <w:footnoteRef/>
      </w:r>
      <w:r w:rsidR="6A638AB4" w:rsidRPr="00255377">
        <w:rPr>
          <w:rFonts w:ascii="Calibri" w:hAnsi="Calibri" w:cs="Calibri"/>
          <w:szCs w:val="16"/>
        </w:rPr>
        <w:t xml:space="preserve">  </w:t>
      </w:r>
      <w:r w:rsidR="6A638AB4" w:rsidRPr="00255377">
        <w:rPr>
          <w:rFonts w:ascii="Calibri" w:eastAsiaTheme="minorEastAsia" w:hAnsi="Calibri" w:cs="Calibri"/>
          <w:color w:val="2B579A"/>
          <w:szCs w:val="16"/>
          <w:shd w:val="clear" w:color="auto" w:fill="E6E6E6"/>
        </w:rPr>
        <w:t>Yemen aid cuts to deepen as funds dry up, U.N. warns</w:t>
      </w:r>
      <w:r w:rsidR="6A638AB4" w:rsidRPr="00255377">
        <w:rPr>
          <w:rFonts w:ascii="Calibri" w:eastAsiaTheme="minorEastAsia" w:hAnsi="Calibri" w:cs="Calibri"/>
          <w:szCs w:val="16"/>
        </w:rPr>
        <w:t xml:space="preserve">, Reuters, February 16, 2022, </w:t>
      </w:r>
      <w:r w:rsidR="6A638AB4" w:rsidRPr="00255377">
        <w:rPr>
          <w:rFonts w:ascii="Calibri" w:hAnsi="Calibri" w:cs="Calibri"/>
          <w:szCs w:val="16"/>
        </w:rPr>
        <w:t>https://www.reuters.com/world/middle-east/yemen-aid-cuts-deepen-funds-dry-up-un-warns-2022-02-16/.</w:t>
      </w:r>
    </w:p>
  </w:footnote>
  <w:footnote w:id="12">
    <w:p w14:paraId="3627BD4E" w14:textId="3B51DA54" w:rsidR="00B34E6E" w:rsidRPr="00255377" w:rsidRDefault="00B34E6E" w:rsidP="00B34E6E">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Yemen: Plight of Population is Growing as World Attention Wanes,” March 10, 2022, https://www.icrc.org/en/document/yemen-plight-population-growing-world-attention-wanes.</w:t>
      </w:r>
    </w:p>
  </w:footnote>
  <w:footnote w:id="13">
    <w:p w14:paraId="67CC1386" w14:textId="57F536EE" w:rsidR="00B34E6E" w:rsidRPr="00255377" w:rsidRDefault="009860E1" w:rsidP="00B34E6E">
      <w:pPr>
        <w:pStyle w:val="FootnoteText"/>
        <w:rPr>
          <w:rFonts w:ascii="Calibri" w:hAnsi="Calibri" w:cs="Calibri"/>
          <w:szCs w:val="16"/>
        </w:rPr>
      </w:pPr>
      <w:r w:rsidRPr="00255377">
        <w:rPr>
          <w:rStyle w:val="FootnoteReference"/>
          <w:rFonts w:ascii="Calibri" w:hAnsi="Calibri" w:cs="Calibri"/>
          <w:sz w:val="16"/>
          <w:szCs w:val="16"/>
        </w:rPr>
        <w:footnoteRef/>
      </w:r>
      <w:r w:rsidR="00B34E6E" w:rsidRPr="00255377">
        <w:rPr>
          <w:rFonts w:ascii="Calibri" w:hAnsi="Calibri" w:cs="Calibri"/>
          <w:szCs w:val="16"/>
        </w:rPr>
        <w:t xml:space="preserve"> “Yemen: Houthis Should Urgently Open </w:t>
      </w:r>
      <w:proofErr w:type="spellStart"/>
      <w:r w:rsidR="00B34E6E" w:rsidRPr="00255377">
        <w:rPr>
          <w:rFonts w:ascii="Calibri" w:hAnsi="Calibri" w:cs="Calibri"/>
          <w:szCs w:val="16"/>
        </w:rPr>
        <w:t>Taizz</w:t>
      </w:r>
      <w:proofErr w:type="spellEnd"/>
      <w:r w:rsidR="00B34E6E" w:rsidRPr="00255377">
        <w:rPr>
          <w:rFonts w:ascii="Calibri" w:hAnsi="Calibri" w:cs="Calibri"/>
          <w:szCs w:val="16"/>
        </w:rPr>
        <w:t xml:space="preserve"> Roads,” Human Rights Watch, August 29, 2022, </w:t>
      </w:r>
    </w:p>
    <w:p w14:paraId="7C47F62E" w14:textId="7549212C" w:rsidR="009860E1" w:rsidRPr="00255377" w:rsidRDefault="009860E1">
      <w:pPr>
        <w:pStyle w:val="FootnoteText"/>
        <w:rPr>
          <w:rFonts w:ascii="Calibri" w:hAnsi="Calibri" w:cs="Calibri"/>
          <w:szCs w:val="16"/>
        </w:rPr>
      </w:pPr>
      <w:r w:rsidRPr="00255377">
        <w:rPr>
          <w:rFonts w:ascii="Calibri" w:hAnsi="Calibri" w:cs="Calibri"/>
          <w:szCs w:val="16"/>
        </w:rPr>
        <w:t>https://www.hrw.org/news/2022/08/29/yemen-houthis-should-urgently-open-taizz-roads</w:t>
      </w:r>
      <w:r w:rsidR="00B34E6E" w:rsidRPr="00255377">
        <w:rPr>
          <w:rFonts w:ascii="Calibri" w:hAnsi="Calibri" w:cs="Calibri"/>
          <w:szCs w:val="16"/>
        </w:rPr>
        <w:t>.</w:t>
      </w:r>
    </w:p>
  </w:footnote>
  <w:footnote w:id="14">
    <w:p w14:paraId="016F3EDE" w14:textId="7B8409D7" w:rsidR="00B34E6E" w:rsidRPr="00255377" w:rsidRDefault="00B34E6E">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“Press Statement by the UN Special Envoy Hans </w:t>
      </w:r>
      <w:proofErr w:type="spellStart"/>
      <w:r w:rsidRPr="00255377">
        <w:rPr>
          <w:rFonts w:ascii="Calibri" w:hAnsi="Calibri" w:cs="Calibri"/>
          <w:szCs w:val="16"/>
        </w:rPr>
        <w:t>Grundberg</w:t>
      </w:r>
      <w:proofErr w:type="spellEnd"/>
      <w:r w:rsidRPr="00255377">
        <w:rPr>
          <w:rFonts w:ascii="Calibri" w:hAnsi="Calibri" w:cs="Calibri"/>
          <w:szCs w:val="16"/>
        </w:rPr>
        <w:t xml:space="preserve"> on Opening Roads in Taiz and Other Governorates,” Office of the Special Envoy of the Secretary-General for Yemen, July 7, 2022, https://osesgy.unmissions.org/press-statement-un-special-envoy-hans-grundberg-opening-roads-taiz-and-other-governorates.</w:t>
      </w:r>
    </w:p>
  </w:footnote>
  <w:footnote w:id="15">
    <w:p w14:paraId="5A304361" w14:textId="7668E4B6" w:rsidR="00397121" w:rsidRPr="00255377" w:rsidRDefault="00397121" w:rsidP="208034AE">
      <w:pPr>
        <w:pStyle w:val="FootnoteText"/>
        <w:rPr>
          <w:rFonts w:ascii="Calibri" w:hAnsi="Calibri" w:cs="Calibri"/>
          <w:szCs w:val="16"/>
        </w:rPr>
      </w:pPr>
      <w:r w:rsidRPr="00255377">
        <w:rPr>
          <w:rStyle w:val="FootnoteReference"/>
          <w:rFonts w:ascii="Calibri" w:hAnsi="Calibri" w:cs="Calibri"/>
          <w:sz w:val="16"/>
          <w:szCs w:val="16"/>
        </w:rPr>
        <w:footnoteRef/>
      </w:r>
      <w:r w:rsidR="6A638AB4" w:rsidRPr="00255377">
        <w:rPr>
          <w:rFonts w:ascii="Calibri" w:hAnsi="Calibri" w:cs="Calibri"/>
          <w:szCs w:val="16"/>
        </w:rPr>
        <w:t xml:space="preserve"> “Death Sentence to Civilians: The Long-Term Impact of Explosive Weapons in Populated Areas in Yemen,” Humanity &amp; Inclusion, May 2020, https://www.humanity-inclusion.org.uk/sn_uploads/document/2020-05_Report-YEMEN-Explosive-Weapons-Death-Sentence-to-Civilians_EN_Web.pdf (accessed January 4, 2023), as cited in ”UN: High Risk in Conflicts for Children with Disabilities,” Human Rights Watch news release, February 2, 2022, https://www.hrw.org/news/2022/02/02/un-high-risk-conflicts-children-disabilities.</w:t>
      </w:r>
    </w:p>
  </w:footnote>
  <w:footnote w:id="16">
    <w:p w14:paraId="40324DFB" w14:textId="0E49E86C" w:rsidR="208034AE" w:rsidRPr="00255377" w:rsidRDefault="208034AE" w:rsidP="6A638AB4">
      <w:pPr>
        <w:pStyle w:val="FootnoteText"/>
        <w:rPr>
          <w:rFonts w:ascii="Calibri" w:hAnsi="Calibri" w:cs="Calibri"/>
          <w:szCs w:val="16"/>
        </w:rPr>
      </w:pPr>
      <w:r w:rsidRPr="00255377">
        <w:rPr>
          <w:rStyle w:val="FootnoteReference"/>
          <w:rFonts w:ascii="Calibri" w:hAnsi="Calibri" w:cs="Calibri"/>
          <w:sz w:val="16"/>
          <w:szCs w:val="16"/>
        </w:rPr>
        <w:footnoteRef/>
      </w:r>
      <w:r w:rsidR="6A638AB4" w:rsidRPr="00255377">
        <w:rPr>
          <w:rFonts w:ascii="Calibri" w:hAnsi="Calibri" w:cs="Calibri"/>
          <w:szCs w:val="16"/>
        </w:rPr>
        <w:t xml:space="preserve"> ”People with Disabilities at Added Risk in War, Displacement,” Human Rights Watch news release, December 3, 2015, </w:t>
      </w:r>
      <w:hyperlink r:id="rId2" w:history="1">
        <w:r w:rsidR="6A638AB4" w:rsidRPr="00255377">
          <w:rPr>
            <w:rStyle w:val="Hyperlink"/>
            <w:rFonts w:ascii="Calibri" w:hAnsi="Calibri" w:cs="Calibri"/>
            <w:szCs w:val="16"/>
          </w:rPr>
          <w:t>https://www.hrw.org/news/2015/12/03/people-disabilities-added-risk-war-displacement</w:t>
        </w:r>
      </w:hyperlink>
      <w:r w:rsidR="6A638AB4" w:rsidRPr="00255377">
        <w:rPr>
          <w:rFonts w:ascii="Calibri" w:hAnsi="Calibri" w:cs="Calibri"/>
          <w:szCs w:val="16"/>
        </w:rPr>
        <w:t>, as cited in ”UN: High Risk in Conflicts for Children with Disabilities.”</w:t>
      </w:r>
    </w:p>
    <w:p w14:paraId="7BF11DA8" w14:textId="350C94C1" w:rsidR="208034AE" w:rsidRPr="00255377" w:rsidRDefault="208034AE" w:rsidP="208034AE">
      <w:pPr>
        <w:pStyle w:val="FootnoteText"/>
        <w:rPr>
          <w:rFonts w:ascii="Calibri" w:hAnsi="Calibri" w:cs="Calibri"/>
          <w:szCs w:val="16"/>
        </w:rPr>
      </w:pPr>
    </w:p>
    <w:p w14:paraId="7392E733" w14:textId="5AA9FFAF" w:rsidR="208034AE" w:rsidRPr="00255377" w:rsidRDefault="208034AE" w:rsidP="208034AE">
      <w:pPr>
        <w:pStyle w:val="FootnoteText"/>
        <w:rPr>
          <w:rFonts w:ascii="Calibri" w:hAnsi="Calibri" w:cs="Calibri"/>
          <w:szCs w:val="16"/>
        </w:rPr>
      </w:pPr>
    </w:p>
    <w:p w14:paraId="623E29FF" w14:textId="1EA3E4E0" w:rsidR="208034AE" w:rsidRPr="00255377" w:rsidRDefault="208034AE" w:rsidP="208034AE">
      <w:pPr>
        <w:pStyle w:val="FootnoteText"/>
        <w:rPr>
          <w:rFonts w:ascii="Calibri" w:hAnsi="Calibri" w:cs="Calibri"/>
          <w:szCs w:val="16"/>
        </w:rPr>
      </w:pPr>
    </w:p>
    <w:p w14:paraId="5AC559ED" w14:textId="54D71A9E" w:rsidR="208034AE" w:rsidRPr="00255377" w:rsidRDefault="208034AE" w:rsidP="208034AE">
      <w:pPr>
        <w:pStyle w:val="FootnoteText"/>
        <w:rPr>
          <w:rFonts w:ascii="Calibri" w:hAnsi="Calibri" w:cs="Calibri"/>
          <w:szCs w:val="16"/>
        </w:rPr>
      </w:pPr>
    </w:p>
  </w:footnote>
  <w:footnote w:id="17">
    <w:p w14:paraId="0895C95E" w14:textId="7494E372"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“People with Disabilities at Added Risk in War, Displacement,” Human Rights Watch </w:t>
      </w:r>
      <w:r w:rsidR="00B34E6E" w:rsidRPr="00255377">
        <w:rPr>
          <w:rFonts w:ascii="Calibri" w:hAnsi="Calibri" w:cs="Calibri"/>
          <w:szCs w:val="16"/>
        </w:rPr>
        <w:t>N</w:t>
      </w:r>
      <w:r w:rsidRPr="00255377">
        <w:rPr>
          <w:rFonts w:ascii="Calibri" w:hAnsi="Calibri" w:cs="Calibri"/>
          <w:szCs w:val="16"/>
        </w:rPr>
        <w:t xml:space="preserve">ews </w:t>
      </w:r>
      <w:r w:rsidR="00B34E6E" w:rsidRPr="00255377">
        <w:rPr>
          <w:rFonts w:ascii="Calibri" w:hAnsi="Calibri" w:cs="Calibri"/>
          <w:szCs w:val="16"/>
        </w:rPr>
        <w:t>R</w:t>
      </w:r>
      <w:r w:rsidRPr="00255377">
        <w:rPr>
          <w:rFonts w:ascii="Calibri" w:hAnsi="Calibri" w:cs="Calibri"/>
          <w:szCs w:val="16"/>
        </w:rPr>
        <w:t xml:space="preserve">elease, December 3, 2015, https://www.hrw.org/news/2015/12/03/people-disabilities-added-risk-war-displacement. </w:t>
      </w:r>
    </w:p>
  </w:footnote>
  <w:footnote w:id="18">
    <w:p w14:paraId="755AC88D" w14:textId="77777777"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Ibid.</w:t>
      </w:r>
    </w:p>
  </w:footnote>
  <w:footnote w:id="19">
    <w:p w14:paraId="36CCCC46" w14:textId="77777777"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“Statement by Raja Abdullah </w:t>
      </w:r>
      <w:proofErr w:type="spellStart"/>
      <w:r w:rsidRPr="00255377">
        <w:rPr>
          <w:rFonts w:ascii="Calibri" w:hAnsi="Calibri" w:cs="Calibri"/>
          <w:szCs w:val="16"/>
        </w:rPr>
        <w:t>Almasabi</w:t>
      </w:r>
      <w:proofErr w:type="spellEnd"/>
      <w:r w:rsidRPr="00255377">
        <w:rPr>
          <w:rFonts w:ascii="Calibri" w:hAnsi="Calibri" w:cs="Calibri"/>
          <w:szCs w:val="16"/>
        </w:rPr>
        <w:t xml:space="preserve"> to the UN Security Council, July 28, 2020,” Human Rights Watch statement, August 4, 2020, https://www.hrw.org/news/2020/08/04/statement-raja-abdullah-almasabi-un-security-council-july-28-2020.</w:t>
      </w:r>
    </w:p>
  </w:footnote>
  <w:footnote w:id="20">
    <w:p w14:paraId="69C5676E" w14:textId="77FF55A1"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See</w:t>
      </w:r>
      <w:r w:rsidR="00B34E6E" w:rsidRPr="00255377">
        <w:rPr>
          <w:rFonts w:ascii="Calibri" w:hAnsi="Calibri" w:cs="Calibri"/>
          <w:szCs w:val="16"/>
        </w:rPr>
        <w:t>,</w:t>
      </w:r>
      <w:r w:rsidRPr="00255377">
        <w:rPr>
          <w:rFonts w:ascii="Calibri" w:hAnsi="Calibri" w:cs="Calibri"/>
          <w:szCs w:val="16"/>
        </w:rPr>
        <w:t xml:space="preserve"> for example</w:t>
      </w:r>
      <w:r w:rsidR="00B34E6E" w:rsidRPr="00255377">
        <w:rPr>
          <w:rFonts w:ascii="Calibri" w:hAnsi="Calibri" w:cs="Calibri"/>
          <w:szCs w:val="16"/>
        </w:rPr>
        <w:t>,</w:t>
      </w:r>
      <w:r w:rsidRPr="00255377">
        <w:rPr>
          <w:rFonts w:ascii="Calibri" w:hAnsi="Calibri" w:cs="Calibri"/>
          <w:szCs w:val="16"/>
        </w:rPr>
        <w:t xml:space="preserve"> Patricio V. Marquez, “Mental health services in situations of conflict, fragility and violence: What to do?”, World Bank Blogs, November 1, 2016, https://blogs.worldbank.org/health/mental-health-services-situations-conflict-fragility-and-violence-what-do (accessed January 4, 2023).</w:t>
      </w:r>
    </w:p>
  </w:footnote>
  <w:footnote w:id="21">
    <w:p w14:paraId="551DC42C" w14:textId="0354D8C1"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“Five Years of Fear and Loss: The devastating impact of war on the mental health of Yemen’s children,” </w:t>
      </w:r>
      <w:r w:rsidR="00B34E6E" w:rsidRPr="00255377">
        <w:rPr>
          <w:rFonts w:ascii="Calibri" w:hAnsi="Calibri" w:cs="Calibri"/>
          <w:szCs w:val="16"/>
        </w:rPr>
        <w:t xml:space="preserve">Save the Children, </w:t>
      </w:r>
      <w:r w:rsidRPr="00255377">
        <w:rPr>
          <w:rFonts w:ascii="Calibri" w:hAnsi="Calibri" w:cs="Calibri"/>
          <w:szCs w:val="16"/>
        </w:rPr>
        <w:t>2020, https://resourcecentre.savethechildren.net/pdf/five_years_of_fear_and_loss_4th_pp.pdf/ (accessed January 4, 2023).</w:t>
      </w:r>
    </w:p>
  </w:footnote>
  <w:footnote w:id="22">
    <w:p w14:paraId="71FBA452" w14:textId="77777777"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“New Action Plan to Strengthen the Protection of Children Affected by Armed Conflict in Yemen Signed with the Houthis,” Office of the Special Representative of the Secretary-General for Children and Armed Conflict, April 18, 2022, https://childrenandarmedconflict.un.org/2022/04/new-action-plan-to-strengthen-the-protection-of-children-affected-by-armed-conflict-in-yemen-signed-with-the-houthis/ (accessed January 4, 2023).</w:t>
      </w:r>
    </w:p>
  </w:footnote>
  <w:footnote w:id="23">
    <w:p w14:paraId="5DDBE3E9" w14:textId="77777777"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Ibid.</w:t>
      </w:r>
    </w:p>
  </w:footnote>
  <w:footnote w:id="24">
    <w:p w14:paraId="57C340E1" w14:textId="77777777"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Jo Becker, “Houthis Commit to End Violations Against Children in Yemen,” Human Rights Watch Dispatch, April 19, 2022, https://www.hrw.org/news/2022/04/19/houthis-commit-end-violations-against-children-yemen. </w:t>
      </w:r>
    </w:p>
  </w:footnote>
  <w:footnote w:id="25">
    <w:p w14:paraId="789CCC67" w14:textId="5546CFC6"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w:t>
      </w:r>
      <w:r w:rsidR="00B34E6E" w:rsidRPr="00255377">
        <w:rPr>
          <w:rFonts w:ascii="Calibri" w:hAnsi="Calibri" w:cs="Calibri"/>
          <w:szCs w:val="16"/>
        </w:rPr>
        <w:t>Ibid.</w:t>
      </w:r>
    </w:p>
  </w:footnote>
  <w:footnote w:id="26">
    <w:p w14:paraId="325A955D" w14:textId="77777777"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“Special Representative </w:t>
      </w:r>
      <w:proofErr w:type="spellStart"/>
      <w:r w:rsidRPr="00255377">
        <w:rPr>
          <w:rFonts w:ascii="Calibri" w:hAnsi="Calibri" w:cs="Calibri"/>
          <w:szCs w:val="16"/>
        </w:rPr>
        <w:t>Zerrougui</w:t>
      </w:r>
      <w:proofErr w:type="spellEnd"/>
      <w:r w:rsidRPr="00255377">
        <w:rPr>
          <w:rFonts w:ascii="Calibri" w:hAnsi="Calibri" w:cs="Calibri"/>
          <w:szCs w:val="16"/>
        </w:rPr>
        <w:t xml:space="preserve"> secures commitments from the Yemeni authorities and Al Houthi armed group to end child recruitment,” Office of the Special Representative of the Secretary-General for Children and Armed Conflict, November 28, 2012, https://childrenandarmedconflict.un.org/2012/11/yemeni-authorities-and-al-houthi-armed-group-to-end-child-recruitment/ (accessed January 4, 2023).</w:t>
      </w:r>
    </w:p>
  </w:footnote>
  <w:footnote w:id="27">
    <w:p w14:paraId="5820D3B2" w14:textId="1CFF9981"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“We Are Children Not Soldiers,” </w:t>
      </w:r>
      <w:r w:rsidR="00B34E6E" w:rsidRPr="00255377">
        <w:rPr>
          <w:rFonts w:ascii="Calibri" w:hAnsi="Calibri" w:cs="Calibri"/>
          <w:szCs w:val="16"/>
        </w:rPr>
        <w:t xml:space="preserve">Office of the Special Representative of the Secretary-General for Children and Armed Conflict, </w:t>
      </w:r>
      <w:r w:rsidRPr="00255377">
        <w:rPr>
          <w:rFonts w:ascii="Calibri" w:hAnsi="Calibri" w:cs="Calibri"/>
          <w:szCs w:val="16"/>
        </w:rPr>
        <w:t>September 2016, https://childrenandarmedconflict.un.org/wp-content/uploads/2016/02/Yemen-Fact-Sheet-September-2016-rev-LF.pdf (accessed January 4, 2023).</w:t>
      </w:r>
    </w:p>
  </w:footnote>
  <w:footnote w:id="28">
    <w:p w14:paraId="7E66355E" w14:textId="3C112CFC"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“Yemen: Endless suffering of children continues due to war, aid crisis,” </w:t>
      </w:r>
      <w:r w:rsidR="00B34E6E" w:rsidRPr="00255377">
        <w:rPr>
          <w:rFonts w:ascii="Calibri" w:hAnsi="Calibri" w:cs="Calibri"/>
          <w:szCs w:val="16"/>
        </w:rPr>
        <w:t xml:space="preserve">UN Office of the SRSG for Children and Armed Conflict, </w:t>
      </w:r>
      <w:r w:rsidRPr="00255377">
        <w:rPr>
          <w:rFonts w:ascii="Calibri" w:hAnsi="Calibri" w:cs="Calibri"/>
          <w:szCs w:val="16"/>
        </w:rPr>
        <w:t>September 27, 2021, https://reliefweb.int/report/yemen/yemen-endless-suffering-children-after-7-years-brutal-armed-conflict-massive (accessed January 5, 2023).</w:t>
      </w:r>
    </w:p>
  </w:footnote>
  <w:footnote w:id="29">
    <w:p w14:paraId="0A48FAA1" w14:textId="1B95DEF4" w:rsidR="00397121" w:rsidRPr="00255377" w:rsidRDefault="00397121" w:rsidP="247262D0">
      <w:pPr>
        <w:rPr>
          <w:rFonts w:ascii="Calibri" w:hAnsi="Calibri" w:cs="Calibri"/>
          <w:sz w:val="16"/>
          <w:szCs w:val="16"/>
        </w:rPr>
      </w:pPr>
      <w:r w:rsidRPr="00255377">
        <w:rPr>
          <w:rStyle w:val="FootnoteReference"/>
          <w:rFonts w:ascii="Calibri" w:hAnsi="Calibri" w:cs="Calibri"/>
          <w:sz w:val="16"/>
          <w:szCs w:val="16"/>
        </w:rPr>
        <w:footnoteRef/>
      </w:r>
      <w:r w:rsidR="6A638AB4" w:rsidRPr="00255377">
        <w:rPr>
          <w:rFonts w:ascii="Calibri" w:hAnsi="Calibri" w:cs="Calibri"/>
          <w:sz w:val="16"/>
          <w:szCs w:val="16"/>
        </w:rPr>
        <w:t xml:space="preserve"> Nonetheless, various education ministry policies have aimed to prohibit corporal punishment in schools. The minister of education’s decision No. 426 of 2012 explicitly prohibits physical and psychological penalties for students in public and private schools and kindergartens and provides that “anyone who is proven to have violated this decision shall be referred to investigation.” (Letter from Minister of Education and Pedagogy, </w:t>
      </w:r>
      <w:proofErr w:type="spellStart"/>
      <w:r w:rsidR="6A638AB4" w:rsidRPr="00255377">
        <w:rPr>
          <w:rFonts w:ascii="Calibri" w:hAnsi="Calibri" w:cs="Calibri"/>
          <w:sz w:val="16"/>
          <w:szCs w:val="16"/>
        </w:rPr>
        <w:t>Tareq</w:t>
      </w:r>
      <w:proofErr w:type="spellEnd"/>
      <w:r w:rsidR="6A638AB4" w:rsidRPr="00255377">
        <w:rPr>
          <w:rFonts w:ascii="Calibri" w:hAnsi="Calibri" w:cs="Calibri"/>
          <w:sz w:val="16"/>
          <w:szCs w:val="16"/>
        </w:rPr>
        <w:t xml:space="preserve"> Salem Saleh al-</w:t>
      </w:r>
      <w:proofErr w:type="spellStart"/>
      <w:r w:rsidR="6A638AB4" w:rsidRPr="00255377">
        <w:rPr>
          <w:rFonts w:ascii="Calibri" w:hAnsi="Calibri" w:cs="Calibri"/>
          <w:sz w:val="16"/>
          <w:szCs w:val="16"/>
        </w:rPr>
        <w:t>Akbary</w:t>
      </w:r>
      <w:proofErr w:type="spellEnd"/>
      <w:r w:rsidR="6A638AB4" w:rsidRPr="00255377">
        <w:rPr>
          <w:rFonts w:ascii="Calibri" w:hAnsi="Calibri" w:cs="Calibri"/>
          <w:sz w:val="16"/>
          <w:szCs w:val="16"/>
        </w:rPr>
        <w:t xml:space="preserve">, to Human Rights Watch, January 6, 2021). Ministerial Decree No. 648 of 1997, issuing the School Regulatory Charter, provides a list of permitted sanctions that teachers may use to improve students’ behavior, and article 68 states, “in general, physical penalties and means of insult and humiliation should not be used when admonishing a student.” (Ibid.) Corporal punishment in schools is also prohibited under Ministerial Decision No. 10 of 2001, but this does not set out a </w:t>
      </w:r>
      <w:proofErr w:type="gramStart"/>
      <w:r w:rsidR="6A638AB4" w:rsidRPr="00255377">
        <w:rPr>
          <w:rFonts w:ascii="Calibri" w:hAnsi="Calibri" w:cs="Calibri"/>
          <w:sz w:val="16"/>
          <w:szCs w:val="16"/>
        </w:rPr>
        <w:t>complaints</w:t>
      </w:r>
      <w:proofErr w:type="gramEnd"/>
      <w:r w:rsidR="6A638AB4" w:rsidRPr="00255377">
        <w:rPr>
          <w:rFonts w:ascii="Calibri" w:hAnsi="Calibri" w:cs="Calibri"/>
          <w:sz w:val="16"/>
          <w:szCs w:val="16"/>
        </w:rPr>
        <w:t xml:space="preserve"> mechanism or any penalties. (Violence Against Children in Schools: A Regional Analysis of Lebanon, Morocco and Yemen, </w:t>
      </w:r>
      <w:proofErr w:type="spellStart"/>
      <w:r w:rsidR="6A638AB4" w:rsidRPr="00255377">
        <w:rPr>
          <w:rFonts w:ascii="Calibri" w:hAnsi="Calibri" w:cs="Calibri"/>
          <w:sz w:val="16"/>
          <w:szCs w:val="16"/>
        </w:rPr>
        <w:t>Manara</w:t>
      </w:r>
      <w:proofErr w:type="spellEnd"/>
      <w:r w:rsidR="6A638AB4" w:rsidRPr="00255377">
        <w:rPr>
          <w:rFonts w:ascii="Calibri" w:hAnsi="Calibri" w:cs="Calibri"/>
          <w:sz w:val="16"/>
          <w:szCs w:val="16"/>
        </w:rPr>
        <w:t xml:space="preserve"> Network, August 2011, p. 27, https://resourcecentre.savethechildren.net/node/5147/pdf/5147.pdf; Fourth state party report of Yemen to the Committee on the Rights of the Child, CRC/C/YEM/4, October 23, 2012, para. 367; UN Committee on the Rights of the Child, Concluding observations on the fourth periodic report of Yemen, 25 February 2014, CRC/C/YEM/CO/4, </w:t>
      </w:r>
      <w:hyperlink r:id="rId3" w:history="1">
        <w:r w:rsidR="6A638AB4" w:rsidRPr="00255377">
          <w:rPr>
            <w:rStyle w:val="Hyperlink"/>
            <w:rFonts w:ascii="Calibri" w:hAnsi="Calibri" w:cs="Calibri"/>
            <w:sz w:val="16"/>
            <w:szCs w:val="16"/>
          </w:rPr>
          <w:t>https://tbinternet.ohchr.org/_layouts/15/treatybodyexternal/Download.aspx?symbolno=CRC%2fC%2fYEM%2fCO%2f4&amp;Lang=en</w:t>
        </w:r>
      </w:hyperlink>
      <w:r w:rsidR="6A638AB4" w:rsidRPr="00255377">
        <w:rPr>
          <w:rFonts w:ascii="Calibri" w:hAnsi="Calibri" w:cs="Calibri"/>
          <w:sz w:val="16"/>
          <w:szCs w:val="16"/>
        </w:rPr>
        <w:t>.)</w:t>
      </w:r>
    </w:p>
    <w:p w14:paraId="65CBB7DD" w14:textId="444807F2" w:rsidR="00397121" w:rsidRPr="00255377" w:rsidRDefault="6A638AB4" w:rsidP="247262D0">
      <w:pPr>
        <w:rPr>
          <w:rFonts w:ascii="Calibri" w:hAnsi="Calibri" w:cs="Calibri"/>
          <w:sz w:val="16"/>
          <w:szCs w:val="16"/>
        </w:rPr>
      </w:pPr>
      <w:r w:rsidRPr="00255377">
        <w:rPr>
          <w:rFonts w:ascii="Calibri" w:hAnsi="Calibri" w:cs="Calibri"/>
          <w:sz w:val="16"/>
          <w:szCs w:val="16"/>
        </w:rPr>
        <w:t>In our research on corporal punishment across the Middle East and North Africa, Human Rights Watch found that regulations contradicted by criminal laws that exempt violent discipline from penalty are common.</w:t>
      </w:r>
    </w:p>
  </w:footnote>
  <w:footnote w:id="30">
    <w:p w14:paraId="1022986C" w14:textId="0D04DDC9" w:rsidR="69C819FE" w:rsidRPr="00255377" w:rsidRDefault="2A7DAA96" w:rsidP="6A638AB4">
      <w:pPr>
        <w:pStyle w:val="FootnoteText"/>
        <w:rPr>
          <w:rFonts w:ascii="Calibri" w:hAnsi="Calibri" w:cs="Calibri"/>
          <w:szCs w:val="16"/>
        </w:rPr>
      </w:pPr>
      <w:r w:rsidRPr="00255377">
        <w:rPr>
          <w:rStyle w:val="FootnoteReference"/>
          <w:rFonts w:ascii="Calibri" w:hAnsi="Calibri" w:cs="Calibri"/>
          <w:sz w:val="16"/>
          <w:szCs w:val="16"/>
        </w:rPr>
        <w:footnoteRef/>
      </w:r>
      <w:r w:rsidR="6A638AB4" w:rsidRPr="00255377">
        <w:rPr>
          <w:rFonts w:ascii="Calibri" w:hAnsi="Calibri" w:cs="Calibri"/>
          <w:szCs w:val="16"/>
        </w:rPr>
        <w:t xml:space="preserve"> ”Committee on the Rights of Child Examines Report on Yemen,” UN OHCHR, June 1, 2005, </w:t>
      </w:r>
      <w:hyperlink r:id="rId4" w:history="1">
        <w:r w:rsidR="6A638AB4" w:rsidRPr="00255377">
          <w:rPr>
            <w:rStyle w:val="Hyperlink"/>
            <w:rFonts w:ascii="Calibri" w:hAnsi="Calibri" w:cs="Calibri"/>
            <w:szCs w:val="16"/>
          </w:rPr>
          <w:t>https://www.ohchr.org/en/press-releases/2009/10/committee-rights-child-examines-report-yemen</w:t>
        </w:r>
      </w:hyperlink>
      <w:r w:rsidR="6A638AB4" w:rsidRPr="00255377">
        <w:rPr>
          <w:rFonts w:ascii="Calibri" w:hAnsi="Calibri" w:cs="Calibri"/>
          <w:szCs w:val="16"/>
        </w:rPr>
        <w:t>.</w:t>
      </w:r>
    </w:p>
  </w:footnote>
  <w:footnote w:id="31">
    <w:p w14:paraId="291B9DCE" w14:textId="4DAAB5D6" w:rsidR="208034AE" w:rsidRPr="00255377" w:rsidRDefault="208034AE" w:rsidP="6A638AB4">
      <w:pPr>
        <w:pStyle w:val="FootnoteText"/>
        <w:rPr>
          <w:rFonts w:ascii="Calibri" w:hAnsi="Calibri" w:cs="Calibri"/>
          <w:szCs w:val="16"/>
        </w:rPr>
      </w:pPr>
      <w:r w:rsidRPr="00255377">
        <w:rPr>
          <w:rStyle w:val="FootnoteReference"/>
          <w:rFonts w:ascii="Calibri" w:hAnsi="Calibri" w:cs="Calibri"/>
          <w:sz w:val="16"/>
          <w:szCs w:val="16"/>
        </w:rPr>
        <w:footnoteRef/>
      </w:r>
      <w:r w:rsidR="6A638AB4" w:rsidRPr="00255377">
        <w:rPr>
          <w:rFonts w:ascii="Calibri" w:hAnsi="Calibri" w:cs="Calibri"/>
          <w:szCs w:val="16"/>
        </w:rPr>
        <w:t xml:space="preserve"> US Society for Adolescent Medicine, </w:t>
      </w:r>
      <w:hyperlink r:id="rId5" w:history="1">
        <w:r w:rsidR="6A638AB4" w:rsidRPr="00255377">
          <w:rPr>
            <w:rStyle w:val="Hyperlink"/>
            <w:rFonts w:ascii="Calibri" w:eastAsia="Calibri" w:hAnsi="Calibri" w:cs="Calibri"/>
            <w:szCs w:val="16"/>
          </w:rPr>
          <w:t>Position Paper: Corporal Punishment in Schools</w:t>
        </w:r>
      </w:hyperlink>
      <w:r w:rsidR="6A638AB4" w:rsidRPr="00255377">
        <w:rPr>
          <w:rFonts w:ascii="Calibri" w:hAnsi="Calibri" w:cs="Calibri"/>
          <w:szCs w:val="16"/>
        </w:rPr>
        <w:t>, 32:5 J. Adolescent Health 385, 388 (2003).</w:t>
      </w:r>
    </w:p>
  </w:footnote>
  <w:footnote w:id="32">
    <w:p w14:paraId="02C98DCC" w14:textId="7CBF18B2" w:rsidR="208034AE" w:rsidRPr="00255377" w:rsidRDefault="208034AE" w:rsidP="6A638AB4">
      <w:pPr>
        <w:pStyle w:val="FootnoteText"/>
        <w:rPr>
          <w:rFonts w:ascii="Calibri" w:hAnsi="Calibri" w:cs="Calibri"/>
          <w:szCs w:val="16"/>
        </w:rPr>
      </w:pPr>
      <w:r w:rsidRPr="00255377">
        <w:rPr>
          <w:rStyle w:val="FootnoteReference"/>
          <w:rFonts w:ascii="Calibri" w:hAnsi="Calibri" w:cs="Calibri"/>
          <w:sz w:val="16"/>
          <w:szCs w:val="16"/>
        </w:rPr>
        <w:footnoteRef/>
      </w:r>
      <w:r w:rsidR="6A638AB4" w:rsidRPr="00255377">
        <w:rPr>
          <w:rFonts w:ascii="Calibri" w:hAnsi="Calibri" w:cs="Calibri"/>
          <w:szCs w:val="16"/>
        </w:rPr>
        <w:t xml:space="preserve"> </w:t>
      </w:r>
      <w:r w:rsidR="6A638AB4" w:rsidRPr="00255377">
        <w:rPr>
          <w:rFonts w:ascii="Calibri" w:eastAsia="Calibri" w:hAnsi="Calibri" w:cs="Calibri"/>
          <w:color w:val="444444"/>
          <w:szCs w:val="16"/>
        </w:rPr>
        <w:t>Ronald Sege, “</w:t>
      </w:r>
      <w:r w:rsidR="6A638AB4" w:rsidRPr="00255377">
        <w:rPr>
          <w:rFonts w:ascii="Calibri" w:eastAsia="Calibri" w:hAnsi="Calibri" w:cs="Calibri"/>
          <w:color w:val="000000" w:themeColor="text1"/>
          <w:szCs w:val="16"/>
        </w:rPr>
        <w:t xml:space="preserve">AAP policy opposes corporal punishment, draws on recent evidence,” </w:t>
      </w:r>
      <w:r w:rsidR="6A638AB4" w:rsidRPr="00255377">
        <w:rPr>
          <w:rFonts w:ascii="Calibri" w:eastAsia="Calibri" w:hAnsi="Calibri" w:cs="Calibri"/>
          <w:color w:val="444444"/>
          <w:szCs w:val="16"/>
        </w:rPr>
        <w:t>American Academy of Pediatrics,</w:t>
      </w:r>
      <w:r w:rsidR="6A638AB4" w:rsidRPr="00255377">
        <w:rPr>
          <w:rFonts w:ascii="Calibri" w:eastAsia="Calibri" w:hAnsi="Calibri" w:cs="Calibri"/>
          <w:i/>
          <w:iCs/>
          <w:color w:val="444444"/>
          <w:szCs w:val="16"/>
        </w:rPr>
        <w:t xml:space="preserve"> </w:t>
      </w:r>
      <w:r w:rsidR="6A638AB4" w:rsidRPr="00255377">
        <w:rPr>
          <w:rFonts w:ascii="Calibri" w:eastAsia="Calibri" w:hAnsi="Calibri" w:cs="Calibri"/>
          <w:color w:val="444444"/>
          <w:szCs w:val="16"/>
        </w:rPr>
        <w:t>November 5, 2018, https://publications.aap.org/aapnews/news/6955?autologincheck=redirected.</w:t>
      </w:r>
      <w:r w:rsidR="6A638AB4" w:rsidRPr="00255377">
        <w:rPr>
          <w:rFonts w:ascii="Calibri" w:eastAsia="Calibri" w:hAnsi="Calibri" w:cs="Calibri"/>
          <w:szCs w:val="16"/>
        </w:rPr>
        <w:t xml:space="preserve"> </w:t>
      </w:r>
      <w:r w:rsidR="6A638AB4" w:rsidRPr="00255377">
        <w:rPr>
          <w:rFonts w:ascii="Calibri" w:hAnsi="Calibri" w:cs="Calibri"/>
          <w:szCs w:val="16"/>
        </w:rPr>
        <w:t xml:space="preserve"> </w:t>
      </w:r>
    </w:p>
  </w:footnote>
  <w:footnote w:id="33">
    <w:p w14:paraId="4E08BEFA" w14:textId="0EBD30DA" w:rsidR="208034AE" w:rsidRPr="00255377" w:rsidRDefault="208034AE" w:rsidP="00255377">
      <w:pPr>
        <w:spacing w:line="257" w:lineRule="auto"/>
      </w:pPr>
      <w:r w:rsidRPr="00255377">
        <w:rPr>
          <w:rStyle w:val="FootnoteReference"/>
          <w:rFonts w:ascii="Calibri" w:hAnsi="Calibri" w:cs="Calibri"/>
          <w:sz w:val="16"/>
          <w:szCs w:val="16"/>
        </w:rPr>
        <w:footnoteRef/>
      </w:r>
      <w:r w:rsidR="6A638AB4" w:rsidRPr="00255377">
        <w:rPr>
          <w:rFonts w:ascii="Calibri" w:hAnsi="Calibri" w:cs="Calibri"/>
          <w:sz w:val="16"/>
          <w:szCs w:val="16"/>
        </w:rPr>
        <w:t xml:space="preserve"> </w:t>
      </w:r>
      <w:r w:rsidR="6A638AB4" w:rsidRPr="00255377">
        <w:rPr>
          <w:rFonts w:ascii="Calibri" w:eastAsia="Calibri" w:hAnsi="Calibri" w:cs="Calibri"/>
          <w:sz w:val="16"/>
          <w:szCs w:val="16"/>
        </w:rPr>
        <w:t xml:space="preserve">UK Royal College of </w:t>
      </w:r>
      <w:proofErr w:type="spellStart"/>
      <w:r w:rsidR="6A638AB4" w:rsidRPr="00255377">
        <w:rPr>
          <w:rFonts w:ascii="Calibri" w:eastAsia="Calibri" w:hAnsi="Calibri" w:cs="Calibri"/>
          <w:sz w:val="16"/>
          <w:szCs w:val="16"/>
        </w:rPr>
        <w:t>Paediatrics</w:t>
      </w:r>
      <w:proofErr w:type="spellEnd"/>
      <w:r w:rsidR="6A638AB4" w:rsidRPr="00255377">
        <w:rPr>
          <w:rFonts w:ascii="Calibri" w:eastAsia="Calibri" w:hAnsi="Calibri" w:cs="Calibri"/>
          <w:sz w:val="16"/>
          <w:szCs w:val="16"/>
        </w:rPr>
        <w:t xml:space="preserve"> and Child Health, “</w:t>
      </w:r>
      <w:hyperlink r:id="rId6" w:history="1">
        <w:r w:rsidR="6A638AB4" w:rsidRPr="00255377">
          <w:rPr>
            <w:rStyle w:val="Hyperlink"/>
            <w:rFonts w:ascii="Calibri" w:eastAsia="Calibri" w:hAnsi="Calibri" w:cs="Calibri"/>
            <w:sz w:val="16"/>
            <w:szCs w:val="16"/>
          </w:rPr>
          <w:t>Position statement on corporal punishment</w:t>
        </w:r>
      </w:hyperlink>
      <w:r w:rsidR="6A638AB4" w:rsidRPr="00255377">
        <w:rPr>
          <w:rFonts w:ascii="Calibri" w:eastAsia="Calibri" w:hAnsi="Calibri" w:cs="Calibri"/>
          <w:sz w:val="16"/>
          <w:szCs w:val="16"/>
        </w:rPr>
        <w:t>,” November 2009; Australian Psychological Society, “</w:t>
      </w:r>
      <w:hyperlink r:id="rId7" w:history="1">
        <w:r w:rsidR="6A638AB4" w:rsidRPr="00255377">
          <w:rPr>
            <w:rStyle w:val="Hyperlink"/>
            <w:rFonts w:ascii="Calibri" w:eastAsia="Calibri" w:hAnsi="Calibri" w:cs="Calibri"/>
            <w:sz w:val="16"/>
            <w:szCs w:val="16"/>
          </w:rPr>
          <w:t>Punishment and Behavior Change</w:t>
        </w:r>
      </w:hyperlink>
      <w:r w:rsidR="6A638AB4" w:rsidRPr="00255377">
        <w:rPr>
          <w:rFonts w:ascii="Calibri" w:eastAsia="Calibri" w:hAnsi="Calibri" w:cs="Calibri"/>
          <w:sz w:val="16"/>
          <w:szCs w:val="16"/>
        </w:rPr>
        <w:t>,” Legislative Questions, No. 0293, October 1996.</w:t>
      </w:r>
    </w:p>
  </w:footnote>
  <w:footnote w:id="34">
    <w:p w14:paraId="7D941F40" w14:textId="77777777"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E/C.12/YEM/CO/2, Concluding observations on second report, para. 22, June 1, 2011; CRC/C/15/Add.102, Concluding observations on second report, paras. 21 and 34, May 10, 1999; CRC/C/15/Add.267, Concluding observations on third report, paras. 41-43, 21 September 2005; CRC/C/YEM/CO/4, Concluding observations on fourth state party report, paras. 7-8, 43-44, January 31, 2014; CCPR/C/79/Add.51; A/50/40, paras. 242-265, Concluding observations on second report, paras. 256, 262, October 3, 1995; CCPR/CO/75/YEM, Concluding observations on third report, para. 16, July 26, 2002; CCPR/CO/84/YEM, Concluding observations on fourth report, para. 16, August 9, 2005; CCPR/C/YEM/CO/5, Concluding observations on fifth report, para. 20, April 23, 2012.</w:t>
      </w:r>
    </w:p>
  </w:footnote>
  <w:footnote w:id="35">
    <w:p w14:paraId="239C7B39" w14:textId="0620EFD9"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w:t>
      </w:r>
      <w:r w:rsidR="00B34E6E" w:rsidRPr="00255377">
        <w:rPr>
          <w:rFonts w:ascii="Calibri" w:hAnsi="Calibri" w:cs="Calibri"/>
          <w:szCs w:val="16"/>
        </w:rPr>
        <w:t>“</w:t>
      </w:r>
      <w:r w:rsidRPr="00255377">
        <w:rPr>
          <w:rFonts w:ascii="Calibri" w:hAnsi="Calibri" w:cs="Calibri"/>
          <w:szCs w:val="16"/>
        </w:rPr>
        <w:t>Violent Discipline in the Middle East and North African Region,</w:t>
      </w:r>
      <w:r w:rsidR="00B34E6E" w:rsidRPr="00255377">
        <w:rPr>
          <w:rFonts w:ascii="Calibri" w:hAnsi="Calibri" w:cs="Calibri"/>
          <w:szCs w:val="16"/>
        </w:rPr>
        <w:t>” UNICEF,</w:t>
      </w:r>
      <w:r w:rsidRPr="00255377">
        <w:rPr>
          <w:rFonts w:ascii="Calibri" w:hAnsi="Calibri" w:cs="Calibri"/>
          <w:szCs w:val="16"/>
        </w:rPr>
        <w:t xml:space="preserve"> January 2019, Figures 10 and 11, </w:t>
      </w:r>
      <w:hyperlink r:id="rId8" w:history="1">
        <w:r w:rsidRPr="00255377">
          <w:rPr>
            <w:rStyle w:val="Hyperlink"/>
            <w:rFonts w:ascii="Calibri" w:hAnsi="Calibri" w:cs="Calibri"/>
            <w:szCs w:val="16"/>
          </w:rPr>
          <w:t>https://www.unicef.org/mena/reports/violent-discipline-middle-east-and-north-africa-region</w:t>
        </w:r>
      </w:hyperlink>
      <w:r w:rsidRPr="00255377">
        <w:rPr>
          <w:rFonts w:ascii="Calibri" w:hAnsi="Calibri" w:cs="Calibri"/>
          <w:szCs w:val="16"/>
        </w:rPr>
        <w:t xml:space="preserve"> (accessed January 3, 2023).</w:t>
      </w:r>
    </w:p>
  </w:footnote>
  <w:footnote w:id="36">
    <w:p w14:paraId="452FF3C7" w14:textId="31A68769" w:rsidR="00397121" w:rsidRPr="00255377" w:rsidRDefault="00397121" w:rsidP="00397121">
      <w:pPr>
        <w:pStyle w:val="FootnoteText"/>
        <w:rPr>
          <w:rFonts w:ascii="Calibri" w:hAnsi="Calibri" w:cs="Calibri"/>
          <w:szCs w:val="16"/>
        </w:rPr>
      </w:pPr>
      <w:r w:rsidRPr="00255377">
        <w:rPr>
          <w:rStyle w:val="FootnoteReference"/>
          <w:rFonts w:ascii="Calibri" w:hAnsi="Calibri" w:cs="Calibri"/>
          <w:sz w:val="16"/>
          <w:szCs w:val="16"/>
        </w:rPr>
        <w:footnoteRef/>
      </w:r>
      <w:r w:rsidRPr="00255377">
        <w:rPr>
          <w:rFonts w:ascii="Calibri" w:hAnsi="Calibri" w:cs="Calibri"/>
          <w:szCs w:val="16"/>
        </w:rPr>
        <w:t xml:space="preserve"> "United States' Designation of Houthi Militia as Foreign Terrorist Organization Risks Expediting Large-Scale Famine in Yemen, Speakers Warn Security Council,"</w:t>
      </w:r>
      <w:r w:rsidR="00B34E6E" w:rsidRPr="00255377">
        <w:rPr>
          <w:rFonts w:ascii="Calibri" w:hAnsi="Calibri" w:cs="Calibri"/>
          <w:szCs w:val="16"/>
        </w:rPr>
        <w:t xml:space="preserve"> UN Meetings Coverage and Press Releases,</w:t>
      </w:r>
      <w:r w:rsidRPr="00255377">
        <w:rPr>
          <w:rFonts w:ascii="Calibri" w:hAnsi="Calibri" w:cs="Calibri"/>
          <w:szCs w:val="16"/>
        </w:rPr>
        <w:t xml:space="preserve"> January 14, 2021, </w:t>
      </w:r>
      <w:hyperlink r:id="rId9" w:history="1">
        <w:r w:rsidRPr="00255377">
          <w:rPr>
            <w:rStyle w:val="Hyperlink"/>
            <w:rFonts w:ascii="Calibri" w:hAnsi="Calibri" w:cs="Calibri"/>
            <w:szCs w:val="16"/>
          </w:rPr>
          <w:t>https://www.un.org/press/en/2021/sc14410.doc.htm</w:t>
        </w:r>
      </w:hyperlink>
      <w:r w:rsidRPr="00255377">
        <w:rPr>
          <w:rFonts w:ascii="Calibri" w:hAnsi="Calibri" w:cs="Calibri"/>
          <w:szCs w:val="16"/>
        </w:rPr>
        <w:t xml:space="preserve"> (accessed January 3, 2023). </w:t>
      </w:r>
    </w:p>
  </w:footnote>
  <w:footnote w:id="37">
    <w:p w14:paraId="5BA7EA5D" w14:textId="535994D7" w:rsidR="00A864D8" w:rsidRPr="00255377" w:rsidRDefault="00A864D8" w:rsidP="00397121">
      <w:pPr>
        <w:pStyle w:val="FootnoteText"/>
        <w:rPr>
          <w:rFonts w:ascii="Calibri" w:hAnsi="Calibri" w:cs="Calibri"/>
          <w:szCs w:val="16"/>
        </w:rPr>
      </w:pPr>
    </w:p>
    <w:p w14:paraId="6BC785F1" w14:textId="136BDE03" w:rsidR="002318EE" w:rsidRPr="00255377" w:rsidRDefault="002318EE">
      <w:pPr>
        <w:rPr>
          <w:rFonts w:ascii="Calibri" w:hAnsi="Calibri" w:cs="Calibr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0203630" w14:paraId="63155894" w14:textId="77777777" w:rsidTr="70203630">
      <w:trPr>
        <w:trHeight w:val="300"/>
      </w:trPr>
      <w:tc>
        <w:tcPr>
          <w:tcW w:w="3120" w:type="dxa"/>
        </w:tcPr>
        <w:p w14:paraId="1EB0DE9F" w14:textId="7AA44449" w:rsidR="70203630" w:rsidRDefault="70203630" w:rsidP="70203630">
          <w:pPr>
            <w:pStyle w:val="Header"/>
            <w:ind w:left="-115"/>
          </w:pPr>
        </w:p>
      </w:tc>
      <w:tc>
        <w:tcPr>
          <w:tcW w:w="3120" w:type="dxa"/>
        </w:tcPr>
        <w:p w14:paraId="030773F2" w14:textId="27AAF723" w:rsidR="70203630" w:rsidRDefault="70203630" w:rsidP="70203630">
          <w:pPr>
            <w:pStyle w:val="Header"/>
            <w:jc w:val="center"/>
          </w:pPr>
        </w:p>
      </w:tc>
      <w:tc>
        <w:tcPr>
          <w:tcW w:w="3120" w:type="dxa"/>
        </w:tcPr>
        <w:p w14:paraId="043CC679" w14:textId="6A3AA176" w:rsidR="70203630" w:rsidRDefault="70203630" w:rsidP="70203630">
          <w:pPr>
            <w:pStyle w:val="Header"/>
            <w:ind w:right="-115"/>
            <w:jc w:val="right"/>
          </w:pPr>
        </w:p>
      </w:tc>
    </w:tr>
  </w:tbl>
  <w:p w14:paraId="0C29ADCD" w14:textId="646E3269" w:rsidR="70203630" w:rsidRDefault="70203630" w:rsidP="702036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66A4"/>
    <w:multiLevelType w:val="multilevel"/>
    <w:tmpl w:val="EAFC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8C55FF"/>
    <w:multiLevelType w:val="hybridMultilevel"/>
    <w:tmpl w:val="F6024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133C3"/>
    <w:multiLevelType w:val="hybridMultilevel"/>
    <w:tmpl w:val="C6D444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D04294"/>
    <w:multiLevelType w:val="multilevel"/>
    <w:tmpl w:val="F300E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18091F"/>
    <w:multiLevelType w:val="multilevel"/>
    <w:tmpl w:val="1B32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832552"/>
    <w:multiLevelType w:val="multilevel"/>
    <w:tmpl w:val="E6FE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D52723"/>
    <w:multiLevelType w:val="multilevel"/>
    <w:tmpl w:val="5272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9D51B9"/>
    <w:multiLevelType w:val="multilevel"/>
    <w:tmpl w:val="DDE2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FCD20E8"/>
    <w:multiLevelType w:val="multilevel"/>
    <w:tmpl w:val="28E6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6"/>
  </w:num>
  <w:num w:numId="5">
    <w:abstractNumId w:val="7"/>
  </w:num>
  <w:num w:numId="6">
    <w:abstractNumId w:val="4"/>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121"/>
    <w:rsid w:val="000C7849"/>
    <w:rsid w:val="001006EE"/>
    <w:rsid w:val="001221FF"/>
    <w:rsid w:val="001235EE"/>
    <w:rsid w:val="001443B0"/>
    <w:rsid w:val="0017378D"/>
    <w:rsid w:val="001937B2"/>
    <w:rsid w:val="0019784D"/>
    <w:rsid w:val="001B4C50"/>
    <w:rsid w:val="001D057E"/>
    <w:rsid w:val="001E4752"/>
    <w:rsid w:val="002034A1"/>
    <w:rsid w:val="002034FC"/>
    <w:rsid w:val="002059F2"/>
    <w:rsid w:val="002318EE"/>
    <w:rsid w:val="00255377"/>
    <w:rsid w:val="00293A79"/>
    <w:rsid w:val="002D4DE1"/>
    <w:rsid w:val="002E3C3E"/>
    <w:rsid w:val="002E7F9E"/>
    <w:rsid w:val="00313BAE"/>
    <w:rsid w:val="00344774"/>
    <w:rsid w:val="00356F89"/>
    <w:rsid w:val="003627EA"/>
    <w:rsid w:val="00374B52"/>
    <w:rsid w:val="003901DD"/>
    <w:rsid w:val="0039536D"/>
    <w:rsid w:val="00397121"/>
    <w:rsid w:val="003A1E94"/>
    <w:rsid w:val="003A4BCB"/>
    <w:rsid w:val="003C2253"/>
    <w:rsid w:val="003D4FFA"/>
    <w:rsid w:val="00410174"/>
    <w:rsid w:val="00426918"/>
    <w:rsid w:val="004338F6"/>
    <w:rsid w:val="00466F14"/>
    <w:rsid w:val="004732C1"/>
    <w:rsid w:val="00496626"/>
    <w:rsid w:val="004B3D8C"/>
    <w:rsid w:val="004E11CA"/>
    <w:rsid w:val="004F3B77"/>
    <w:rsid w:val="00505D84"/>
    <w:rsid w:val="00516F91"/>
    <w:rsid w:val="00520A64"/>
    <w:rsid w:val="0052435F"/>
    <w:rsid w:val="00525700"/>
    <w:rsid w:val="005616C0"/>
    <w:rsid w:val="00566E54"/>
    <w:rsid w:val="00590B4C"/>
    <w:rsid w:val="00626E00"/>
    <w:rsid w:val="006714C2"/>
    <w:rsid w:val="006A1513"/>
    <w:rsid w:val="006A7B02"/>
    <w:rsid w:val="006B2106"/>
    <w:rsid w:val="007365AC"/>
    <w:rsid w:val="00736E35"/>
    <w:rsid w:val="00745EB3"/>
    <w:rsid w:val="00767D91"/>
    <w:rsid w:val="00791B18"/>
    <w:rsid w:val="007C2E24"/>
    <w:rsid w:val="007F3B62"/>
    <w:rsid w:val="008C44CB"/>
    <w:rsid w:val="008C466C"/>
    <w:rsid w:val="008E1A60"/>
    <w:rsid w:val="00921EF4"/>
    <w:rsid w:val="0097230E"/>
    <w:rsid w:val="009848CE"/>
    <w:rsid w:val="009860E1"/>
    <w:rsid w:val="009868AD"/>
    <w:rsid w:val="009A0B50"/>
    <w:rsid w:val="009C5905"/>
    <w:rsid w:val="00A03CE3"/>
    <w:rsid w:val="00A66FAC"/>
    <w:rsid w:val="00A864D8"/>
    <w:rsid w:val="00A909BF"/>
    <w:rsid w:val="00AB363B"/>
    <w:rsid w:val="00B10723"/>
    <w:rsid w:val="00B24C4B"/>
    <w:rsid w:val="00B34E6E"/>
    <w:rsid w:val="00B41515"/>
    <w:rsid w:val="00B8426D"/>
    <w:rsid w:val="00BA1B97"/>
    <w:rsid w:val="00BA61B6"/>
    <w:rsid w:val="00BB0450"/>
    <w:rsid w:val="00BC33E5"/>
    <w:rsid w:val="00BD20DF"/>
    <w:rsid w:val="00BE4BD2"/>
    <w:rsid w:val="00C02CB1"/>
    <w:rsid w:val="00C10401"/>
    <w:rsid w:val="00C26D64"/>
    <w:rsid w:val="00C37FC8"/>
    <w:rsid w:val="00C64B54"/>
    <w:rsid w:val="00C713BC"/>
    <w:rsid w:val="00C873BB"/>
    <w:rsid w:val="00C875B7"/>
    <w:rsid w:val="00CC78AF"/>
    <w:rsid w:val="00CF12C4"/>
    <w:rsid w:val="00CF5C87"/>
    <w:rsid w:val="00D822CC"/>
    <w:rsid w:val="00DA0A21"/>
    <w:rsid w:val="00DA3832"/>
    <w:rsid w:val="00DF7D3E"/>
    <w:rsid w:val="00E563BF"/>
    <w:rsid w:val="00E623E7"/>
    <w:rsid w:val="00E6241B"/>
    <w:rsid w:val="00EA5204"/>
    <w:rsid w:val="00F168F9"/>
    <w:rsid w:val="00F50EC9"/>
    <w:rsid w:val="00F53464"/>
    <w:rsid w:val="00F55E9F"/>
    <w:rsid w:val="00F60444"/>
    <w:rsid w:val="00F61A6C"/>
    <w:rsid w:val="00F735A0"/>
    <w:rsid w:val="00F9705F"/>
    <w:rsid w:val="00FA0E8B"/>
    <w:rsid w:val="00FA54C4"/>
    <w:rsid w:val="00FC0BC5"/>
    <w:rsid w:val="00FC5D1A"/>
    <w:rsid w:val="00FD59D7"/>
    <w:rsid w:val="00FF25FE"/>
    <w:rsid w:val="0105DF24"/>
    <w:rsid w:val="024F3D8D"/>
    <w:rsid w:val="030D2E5C"/>
    <w:rsid w:val="0389464F"/>
    <w:rsid w:val="048C2058"/>
    <w:rsid w:val="04BAD2BD"/>
    <w:rsid w:val="04C79000"/>
    <w:rsid w:val="0500C542"/>
    <w:rsid w:val="0505B328"/>
    <w:rsid w:val="056D1461"/>
    <w:rsid w:val="06734B34"/>
    <w:rsid w:val="06B70003"/>
    <w:rsid w:val="06DA9C26"/>
    <w:rsid w:val="074ADC94"/>
    <w:rsid w:val="07CBEBAB"/>
    <w:rsid w:val="07F2D79D"/>
    <w:rsid w:val="083ADF8F"/>
    <w:rsid w:val="087A4F8B"/>
    <w:rsid w:val="08A2EB71"/>
    <w:rsid w:val="091624FD"/>
    <w:rsid w:val="09356793"/>
    <w:rsid w:val="0986BBFC"/>
    <w:rsid w:val="09B611BD"/>
    <w:rsid w:val="09CFC984"/>
    <w:rsid w:val="0A1750C1"/>
    <w:rsid w:val="0A8AEAD7"/>
    <w:rsid w:val="0A8B21C5"/>
    <w:rsid w:val="0ACF6E06"/>
    <w:rsid w:val="0B1FF69B"/>
    <w:rsid w:val="0C0EE08D"/>
    <w:rsid w:val="0C59F6EA"/>
    <w:rsid w:val="0D7D3420"/>
    <w:rsid w:val="0DB5A0BC"/>
    <w:rsid w:val="0DC1B03D"/>
    <w:rsid w:val="0E021F8F"/>
    <w:rsid w:val="0E53A0D1"/>
    <w:rsid w:val="0EE5786F"/>
    <w:rsid w:val="0F5D809E"/>
    <w:rsid w:val="0FFA6C1D"/>
    <w:rsid w:val="1041D7CA"/>
    <w:rsid w:val="107AEFEE"/>
    <w:rsid w:val="109ABED9"/>
    <w:rsid w:val="10A03E40"/>
    <w:rsid w:val="10B0B66D"/>
    <w:rsid w:val="10F950FF"/>
    <w:rsid w:val="121B2447"/>
    <w:rsid w:val="1224408E"/>
    <w:rsid w:val="123C930C"/>
    <w:rsid w:val="12952160"/>
    <w:rsid w:val="1430F1C1"/>
    <w:rsid w:val="157D99D5"/>
    <w:rsid w:val="17320830"/>
    <w:rsid w:val="19246C61"/>
    <w:rsid w:val="1AFDF8D9"/>
    <w:rsid w:val="1B0CD8FE"/>
    <w:rsid w:val="1B0D4D01"/>
    <w:rsid w:val="1B476347"/>
    <w:rsid w:val="1BAE88F7"/>
    <w:rsid w:val="1C8787AC"/>
    <w:rsid w:val="1D13EABA"/>
    <w:rsid w:val="1F2E7162"/>
    <w:rsid w:val="1F637C64"/>
    <w:rsid w:val="1FB80B49"/>
    <w:rsid w:val="1FBFCFA7"/>
    <w:rsid w:val="204E3EFE"/>
    <w:rsid w:val="208034AE"/>
    <w:rsid w:val="214C2000"/>
    <w:rsid w:val="2154AF9C"/>
    <w:rsid w:val="2241E04F"/>
    <w:rsid w:val="23FD4E6F"/>
    <w:rsid w:val="240B3A17"/>
    <w:rsid w:val="247262D0"/>
    <w:rsid w:val="254CDDFD"/>
    <w:rsid w:val="25D949AD"/>
    <w:rsid w:val="279444B2"/>
    <w:rsid w:val="284650F6"/>
    <w:rsid w:val="28CB5C08"/>
    <w:rsid w:val="29114E8D"/>
    <w:rsid w:val="2A538FDD"/>
    <w:rsid w:val="2A584A1A"/>
    <w:rsid w:val="2A7DAA96"/>
    <w:rsid w:val="2A9CF29B"/>
    <w:rsid w:val="2ADA9010"/>
    <w:rsid w:val="2AEAEE83"/>
    <w:rsid w:val="2AFC28AA"/>
    <w:rsid w:val="2BB507CF"/>
    <w:rsid w:val="2BEFEC4D"/>
    <w:rsid w:val="2CC330D5"/>
    <w:rsid w:val="2EC3CFCC"/>
    <w:rsid w:val="2FBEE5A2"/>
    <w:rsid w:val="30FA6D6C"/>
    <w:rsid w:val="3107B6C3"/>
    <w:rsid w:val="3219E2CC"/>
    <w:rsid w:val="330E0F09"/>
    <w:rsid w:val="332D0069"/>
    <w:rsid w:val="338A6121"/>
    <w:rsid w:val="33C15C82"/>
    <w:rsid w:val="33EAEDA3"/>
    <w:rsid w:val="3466452E"/>
    <w:rsid w:val="35291089"/>
    <w:rsid w:val="3668D318"/>
    <w:rsid w:val="36DB91D2"/>
    <w:rsid w:val="372FDC6D"/>
    <w:rsid w:val="374E9C05"/>
    <w:rsid w:val="375E6D86"/>
    <w:rsid w:val="3760EC29"/>
    <w:rsid w:val="3826B014"/>
    <w:rsid w:val="38A957E3"/>
    <w:rsid w:val="394B8217"/>
    <w:rsid w:val="3A159B63"/>
    <w:rsid w:val="3B043357"/>
    <w:rsid w:val="3BC96F00"/>
    <w:rsid w:val="3BE3AFF2"/>
    <w:rsid w:val="3D4CE62C"/>
    <w:rsid w:val="3E500EE0"/>
    <w:rsid w:val="3FBEA52C"/>
    <w:rsid w:val="419423CA"/>
    <w:rsid w:val="424EA72B"/>
    <w:rsid w:val="4271BE50"/>
    <w:rsid w:val="42808769"/>
    <w:rsid w:val="42D70130"/>
    <w:rsid w:val="433FDDEB"/>
    <w:rsid w:val="43AAB59B"/>
    <w:rsid w:val="448D3CBC"/>
    <w:rsid w:val="45D59DDE"/>
    <w:rsid w:val="45E61BD1"/>
    <w:rsid w:val="4714CEAC"/>
    <w:rsid w:val="475DF380"/>
    <w:rsid w:val="4803654E"/>
    <w:rsid w:val="484FDADB"/>
    <w:rsid w:val="48ED52BE"/>
    <w:rsid w:val="4986237D"/>
    <w:rsid w:val="49DB60F9"/>
    <w:rsid w:val="4A0B68A4"/>
    <w:rsid w:val="4B90D6CF"/>
    <w:rsid w:val="4D7EC834"/>
    <w:rsid w:val="4D849411"/>
    <w:rsid w:val="4D88322B"/>
    <w:rsid w:val="4DD924AD"/>
    <w:rsid w:val="4DDA639C"/>
    <w:rsid w:val="4E9703AB"/>
    <w:rsid w:val="4FA83122"/>
    <w:rsid w:val="4FD993A1"/>
    <w:rsid w:val="500957C7"/>
    <w:rsid w:val="52C28A81"/>
    <w:rsid w:val="532A5458"/>
    <w:rsid w:val="53BE5C14"/>
    <w:rsid w:val="54212940"/>
    <w:rsid w:val="54438BA9"/>
    <w:rsid w:val="5459CCCA"/>
    <w:rsid w:val="545C24F1"/>
    <w:rsid w:val="54A64B9D"/>
    <w:rsid w:val="54DED7DC"/>
    <w:rsid w:val="5596BED2"/>
    <w:rsid w:val="559832F8"/>
    <w:rsid w:val="5658F5DD"/>
    <w:rsid w:val="56BCB5C5"/>
    <w:rsid w:val="5785792F"/>
    <w:rsid w:val="57DF0F65"/>
    <w:rsid w:val="57F1A354"/>
    <w:rsid w:val="58036821"/>
    <w:rsid w:val="589BC82B"/>
    <w:rsid w:val="58A90687"/>
    <w:rsid w:val="58E110E9"/>
    <w:rsid w:val="591BA398"/>
    <w:rsid w:val="59BBD826"/>
    <w:rsid w:val="59E5C236"/>
    <w:rsid w:val="59FEE029"/>
    <w:rsid w:val="5AC10F52"/>
    <w:rsid w:val="5B083A7F"/>
    <w:rsid w:val="5B591760"/>
    <w:rsid w:val="5C2A0A95"/>
    <w:rsid w:val="5C9CBCC2"/>
    <w:rsid w:val="5D67B16A"/>
    <w:rsid w:val="5E3A2735"/>
    <w:rsid w:val="5EB0128C"/>
    <w:rsid w:val="5F2CDD4D"/>
    <w:rsid w:val="5F351D9E"/>
    <w:rsid w:val="6015A0C9"/>
    <w:rsid w:val="60655282"/>
    <w:rsid w:val="60EB3DE2"/>
    <w:rsid w:val="6169B84B"/>
    <w:rsid w:val="62372999"/>
    <w:rsid w:val="633E40A2"/>
    <w:rsid w:val="634B00E8"/>
    <w:rsid w:val="637DFD31"/>
    <w:rsid w:val="6391218C"/>
    <w:rsid w:val="63C09FE4"/>
    <w:rsid w:val="63F8C68C"/>
    <w:rsid w:val="6557C99B"/>
    <w:rsid w:val="6573508E"/>
    <w:rsid w:val="65D119C1"/>
    <w:rsid w:val="6663FBB5"/>
    <w:rsid w:val="66648E8C"/>
    <w:rsid w:val="670CA5B3"/>
    <w:rsid w:val="678DC692"/>
    <w:rsid w:val="67CA4A91"/>
    <w:rsid w:val="681A3441"/>
    <w:rsid w:val="6825EB8F"/>
    <w:rsid w:val="6927338E"/>
    <w:rsid w:val="69C819FE"/>
    <w:rsid w:val="69C962C9"/>
    <w:rsid w:val="6A638AB4"/>
    <w:rsid w:val="6A9CCA88"/>
    <w:rsid w:val="6AEF3DA8"/>
    <w:rsid w:val="6B168EDE"/>
    <w:rsid w:val="6C6022BF"/>
    <w:rsid w:val="6DD2418D"/>
    <w:rsid w:val="6DE0C886"/>
    <w:rsid w:val="6E08A139"/>
    <w:rsid w:val="6E4D9828"/>
    <w:rsid w:val="6E5DC838"/>
    <w:rsid w:val="6E7A5C6F"/>
    <w:rsid w:val="6FB5DF42"/>
    <w:rsid w:val="70203630"/>
    <w:rsid w:val="710D25FB"/>
    <w:rsid w:val="7142EB8C"/>
    <w:rsid w:val="72B15DCE"/>
    <w:rsid w:val="74870137"/>
    <w:rsid w:val="74C13B4C"/>
    <w:rsid w:val="750045A2"/>
    <w:rsid w:val="75ED16A2"/>
    <w:rsid w:val="75F77076"/>
    <w:rsid w:val="762ADE25"/>
    <w:rsid w:val="7710721B"/>
    <w:rsid w:val="77176DE1"/>
    <w:rsid w:val="77733F47"/>
    <w:rsid w:val="77A7721C"/>
    <w:rsid w:val="7804B509"/>
    <w:rsid w:val="78FF34D8"/>
    <w:rsid w:val="790F306B"/>
    <w:rsid w:val="791CB8B8"/>
    <w:rsid w:val="7A689FF7"/>
    <w:rsid w:val="7AB761EB"/>
    <w:rsid w:val="7B7179F1"/>
    <w:rsid w:val="7BA0874D"/>
    <w:rsid w:val="7BDC5B5A"/>
    <w:rsid w:val="7C6DB99F"/>
    <w:rsid w:val="7CE4AAE4"/>
    <w:rsid w:val="7D6C4D58"/>
    <w:rsid w:val="7DD4087B"/>
    <w:rsid w:val="7DE2A18E"/>
    <w:rsid w:val="7E9A2AE1"/>
    <w:rsid w:val="7F1C699D"/>
    <w:rsid w:val="7F7F25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1908B"/>
  <w15:chartTrackingRefBased/>
  <w15:docId w15:val="{E0760C19-8B6B-4AEE-B776-CF254BF54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34E6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entpasted1">
    <w:name w:val="contentpasted1"/>
    <w:basedOn w:val="DefaultParagraphFont"/>
    <w:rsid w:val="00397121"/>
  </w:style>
  <w:style w:type="character" w:customStyle="1" w:styleId="mark4e72msnny">
    <w:name w:val="mark4e72msnny"/>
    <w:basedOn w:val="DefaultParagraphFont"/>
    <w:rsid w:val="00397121"/>
  </w:style>
  <w:style w:type="character" w:customStyle="1" w:styleId="contentpasted0">
    <w:name w:val="contentpasted0"/>
    <w:basedOn w:val="DefaultParagraphFont"/>
    <w:rsid w:val="00397121"/>
  </w:style>
  <w:style w:type="character" w:styleId="Hyperlink">
    <w:name w:val="Hyperlink"/>
    <w:basedOn w:val="DefaultParagraphFont"/>
    <w:uiPriority w:val="99"/>
    <w:unhideWhenUsed/>
    <w:rsid w:val="00397121"/>
    <w:rPr>
      <w:color w:val="0000FF"/>
      <w:u w:val="single"/>
    </w:rPr>
  </w:style>
  <w:style w:type="character" w:customStyle="1" w:styleId="mark3mnbxcgyi">
    <w:name w:val="mark3mnbxcgyi"/>
    <w:basedOn w:val="DefaultParagraphFont"/>
    <w:rsid w:val="00397121"/>
  </w:style>
  <w:style w:type="character" w:customStyle="1" w:styleId="apple-converted-space">
    <w:name w:val="apple-converted-space"/>
    <w:basedOn w:val="DefaultParagraphFont"/>
    <w:rsid w:val="00397121"/>
  </w:style>
  <w:style w:type="paragraph" w:styleId="NormalWeb">
    <w:name w:val="Normal (Web)"/>
    <w:basedOn w:val="Normal"/>
    <w:uiPriority w:val="99"/>
    <w:unhideWhenUsed/>
    <w:rsid w:val="0039712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97121"/>
    <w:rPr>
      <w:b/>
      <w:bCs/>
    </w:rPr>
  </w:style>
  <w:style w:type="character" w:styleId="FootnoteReference">
    <w:name w:val="footnote reference"/>
    <w:basedOn w:val="DefaultParagraphFont"/>
    <w:uiPriority w:val="99"/>
    <w:semiHidden/>
    <w:unhideWhenUsed/>
    <w:rsid w:val="00397121"/>
    <w:rPr>
      <w:rFonts w:ascii="MetaPro-Medi" w:hAnsi="MetaPro-Medi"/>
      <w:sz w:val="22"/>
      <w:vertAlign w:val="superscript"/>
    </w:rPr>
  </w:style>
  <w:style w:type="paragraph" w:styleId="FootnoteText">
    <w:name w:val="footnote text"/>
    <w:basedOn w:val="Normal"/>
    <w:link w:val="FootnoteTextChar"/>
    <w:uiPriority w:val="99"/>
    <w:unhideWhenUsed/>
    <w:rsid w:val="00397121"/>
    <w:rPr>
      <w:rFonts w:ascii="MetaPro-Norm" w:hAnsi="MetaPro-Norm"/>
      <w:sz w:val="16"/>
      <w:szCs w:val="20"/>
    </w:rPr>
  </w:style>
  <w:style w:type="character" w:customStyle="1" w:styleId="FootnoteTextChar">
    <w:name w:val="Footnote Text Char"/>
    <w:basedOn w:val="DefaultParagraphFont"/>
    <w:link w:val="FootnoteText"/>
    <w:uiPriority w:val="99"/>
    <w:rsid w:val="00397121"/>
    <w:rPr>
      <w:rFonts w:ascii="MetaPro-Norm" w:hAnsi="MetaPro-Norm"/>
      <w:sz w:val="16"/>
      <w:szCs w:val="20"/>
    </w:rPr>
  </w:style>
  <w:style w:type="paragraph" w:styleId="ListParagraph">
    <w:name w:val="List Paragraph"/>
    <w:basedOn w:val="Normal"/>
    <w:uiPriority w:val="34"/>
    <w:qFormat/>
    <w:rsid w:val="00397121"/>
    <w:pPr>
      <w:spacing w:after="160" w:line="259" w:lineRule="auto"/>
      <w:ind w:left="720"/>
      <w:contextualSpacing/>
    </w:pPr>
    <w:rPr>
      <w:sz w:val="22"/>
      <w:szCs w:val="22"/>
    </w:rPr>
  </w:style>
  <w:style w:type="character" w:styleId="FollowedHyperlink">
    <w:name w:val="FollowedHyperlink"/>
    <w:basedOn w:val="DefaultParagraphFont"/>
    <w:uiPriority w:val="99"/>
    <w:semiHidden/>
    <w:unhideWhenUsed/>
    <w:rsid w:val="00397121"/>
    <w:rPr>
      <w:color w:val="954F72" w:themeColor="followedHyperlink"/>
      <w:u w:val="single"/>
    </w:rPr>
  </w:style>
  <w:style w:type="character" w:styleId="CommentReference">
    <w:name w:val="annotation reference"/>
    <w:basedOn w:val="DefaultParagraphFont"/>
    <w:uiPriority w:val="99"/>
    <w:semiHidden/>
    <w:unhideWhenUsed/>
    <w:rsid w:val="00B34E6E"/>
    <w:rPr>
      <w:sz w:val="16"/>
      <w:szCs w:val="16"/>
    </w:rPr>
  </w:style>
  <w:style w:type="paragraph" w:styleId="CommentText">
    <w:name w:val="annotation text"/>
    <w:basedOn w:val="Normal"/>
    <w:link w:val="CommentTextChar"/>
    <w:uiPriority w:val="99"/>
    <w:unhideWhenUsed/>
    <w:rsid w:val="00B34E6E"/>
    <w:rPr>
      <w:sz w:val="20"/>
      <w:szCs w:val="20"/>
    </w:rPr>
  </w:style>
  <w:style w:type="character" w:customStyle="1" w:styleId="CommentTextChar">
    <w:name w:val="Comment Text Char"/>
    <w:basedOn w:val="DefaultParagraphFont"/>
    <w:link w:val="CommentText"/>
    <w:uiPriority w:val="99"/>
    <w:rsid w:val="00B34E6E"/>
    <w:rPr>
      <w:sz w:val="20"/>
      <w:szCs w:val="20"/>
    </w:rPr>
  </w:style>
  <w:style w:type="paragraph" w:styleId="CommentSubject">
    <w:name w:val="annotation subject"/>
    <w:basedOn w:val="CommentText"/>
    <w:next w:val="CommentText"/>
    <w:link w:val="CommentSubjectChar"/>
    <w:uiPriority w:val="99"/>
    <w:semiHidden/>
    <w:unhideWhenUsed/>
    <w:rsid w:val="00B34E6E"/>
    <w:rPr>
      <w:b/>
      <w:bCs/>
    </w:rPr>
  </w:style>
  <w:style w:type="character" w:customStyle="1" w:styleId="CommentSubjectChar">
    <w:name w:val="Comment Subject Char"/>
    <w:basedOn w:val="CommentTextChar"/>
    <w:link w:val="CommentSubject"/>
    <w:uiPriority w:val="99"/>
    <w:semiHidden/>
    <w:rsid w:val="00B34E6E"/>
    <w:rPr>
      <w:b/>
      <w:bCs/>
      <w:sz w:val="20"/>
      <w:szCs w:val="20"/>
    </w:rPr>
  </w:style>
  <w:style w:type="character" w:customStyle="1" w:styleId="Heading1Char">
    <w:name w:val="Heading 1 Char"/>
    <w:basedOn w:val="DefaultParagraphFont"/>
    <w:link w:val="Heading1"/>
    <w:uiPriority w:val="9"/>
    <w:rsid w:val="00B34E6E"/>
    <w:rPr>
      <w:rFonts w:ascii="Times New Roman" w:eastAsia="Times New Roman" w:hAnsi="Times New Roman" w:cs="Times New Roman"/>
      <w:b/>
      <w:bCs/>
      <w:kern w:val="36"/>
      <w:sz w:val="48"/>
      <w:szCs w:val="48"/>
    </w:rPr>
  </w:style>
  <w:style w:type="character" w:customStyle="1" w:styleId="tooltip-container">
    <w:name w:val="tooltip-container"/>
    <w:basedOn w:val="DefaultParagraphFont"/>
    <w:rsid w:val="00B34E6E"/>
  </w:style>
  <w:style w:type="character" w:styleId="UnresolvedMention">
    <w:name w:val="Unresolved Mention"/>
    <w:basedOn w:val="DefaultParagraphFont"/>
    <w:uiPriority w:val="99"/>
    <w:semiHidden/>
    <w:unhideWhenUsed/>
    <w:rsid w:val="00B34E6E"/>
    <w:rPr>
      <w:color w:val="605E5C"/>
      <w:shd w:val="clear" w:color="auto" w:fill="E1DFDD"/>
    </w:rPr>
  </w:style>
  <w:style w:type="paragraph" w:customStyle="1" w:styleId="report-headersubtitle">
    <w:name w:val="report-header__subtitle"/>
    <w:basedOn w:val="Normal"/>
    <w:rsid w:val="00B34E6E"/>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styleId="Revision">
    <w:name w:val="Revision"/>
    <w:hidden/>
    <w:uiPriority w:val="99"/>
    <w:semiHidden/>
    <w:rsid w:val="00BB0450"/>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704095">
      <w:bodyDiv w:val="1"/>
      <w:marLeft w:val="0"/>
      <w:marRight w:val="0"/>
      <w:marTop w:val="0"/>
      <w:marBottom w:val="0"/>
      <w:divBdr>
        <w:top w:val="none" w:sz="0" w:space="0" w:color="auto"/>
        <w:left w:val="none" w:sz="0" w:space="0" w:color="auto"/>
        <w:bottom w:val="none" w:sz="0" w:space="0" w:color="auto"/>
        <w:right w:val="none" w:sz="0" w:space="0" w:color="auto"/>
      </w:divBdr>
      <w:divsChild>
        <w:div w:id="690689670">
          <w:marLeft w:val="0"/>
          <w:marRight w:val="0"/>
          <w:marTop w:val="0"/>
          <w:marBottom w:val="0"/>
          <w:divBdr>
            <w:top w:val="none" w:sz="0" w:space="0" w:color="auto"/>
            <w:left w:val="none" w:sz="0" w:space="0" w:color="auto"/>
            <w:bottom w:val="none" w:sz="0" w:space="0" w:color="auto"/>
            <w:right w:val="none" w:sz="0" w:space="0" w:color="auto"/>
          </w:divBdr>
          <w:divsChild>
            <w:div w:id="578059737">
              <w:marLeft w:val="0"/>
              <w:marRight w:val="0"/>
              <w:marTop w:val="0"/>
              <w:marBottom w:val="0"/>
              <w:divBdr>
                <w:top w:val="none" w:sz="0" w:space="0" w:color="auto"/>
                <w:left w:val="none" w:sz="0" w:space="0" w:color="auto"/>
                <w:bottom w:val="none" w:sz="0" w:space="0" w:color="auto"/>
                <w:right w:val="none" w:sz="0" w:space="0" w:color="auto"/>
              </w:divBdr>
              <w:divsChild>
                <w:div w:id="73316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547584">
      <w:bodyDiv w:val="1"/>
      <w:marLeft w:val="0"/>
      <w:marRight w:val="0"/>
      <w:marTop w:val="0"/>
      <w:marBottom w:val="0"/>
      <w:divBdr>
        <w:top w:val="none" w:sz="0" w:space="0" w:color="auto"/>
        <w:left w:val="none" w:sz="0" w:space="0" w:color="auto"/>
        <w:bottom w:val="none" w:sz="0" w:space="0" w:color="auto"/>
        <w:right w:val="none" w:sz="0" w:space="0" w:color="auto"/>
      </w:divBdr>
    </w:div>
    <w:div w:id="552809764">
      <w:bodyDiv w:val="1"/>
      <w:marLeft w:val="0"/>
      <w:marRight w:val="0"/>
      <w:marTop w:val="0"/>
      <w:marBottom w:val="0"/>
      <w:divBdr>
        <w:top w:val="none" w:sz="0" w:space="0" w:color="auto"/>
        <w:left w:val="none" w:sz="0" w:space="0" w:color="auto"/>
        <w:bottom w:val="none" w:sz="0" w:space="0" w:color="auto"/>
        <w:right w:val="none" w:sz="0" w:space="0" w:color="auto"/>
      </w:divBdr>
      <w:divsChild>
        <w:div w:id="424424462">
          <w:marLeft w:val="0"/>
          <w:marRight w:val="0"/>
          <w:marTop w:val="0"/>
          <w:marBottom w:val="0"/>
          <w:divBdr>
            <w:top w:val="none" w:sz="0" w:space="0" w:color="auto"/>
            <w:left w:val="none" w:sz="0" w:space="0" w:color="auto"/>
            <w:bottom w:val="none" w:sz="0" w:space="0" w:color="auto"/>
            <w:right w:val="none" w:sz="0" w:space="0" w:color="auto"/>
          </w:divBdr>
          <w:divsChild>
            <w:div w:id="1134829177">
              <w:marLeft w:val="0"/>
              <w:marRight w:val="0"/>
              <w:marTop w:val="0"/>
              <w:marBottom w:val="0"/>
              <w:divBdr>
                <w:top w:val="none" w:sz="0" w:space="0" w:color="auto"/>
                <w:left w:val="none" w:sz="0" w:space="0" w:color="auto"/>
                <w:bottom w:val="none" w:sz="0" w:space="0" w:color="auto"/>
                <w:right w:val="none" w:sz="0" w:space="0" w:color="auto"/>
              </w:divBdr>
              <w:divsChild>
                <w:div w:id="1945922219">
                  <w:marLeft w:val="0"/>
                  <w:marRight w:val="0"/>
                  <w:marTop w:val="0"/>
                  <w:marBottom w:val="0"/>
                  <w:divBdr>
                    <w:top w:val="none" w:sz="0" w:space="0" w:color="auto"/>
                    <w:left w:val="none" w:sz="0" w:space="0" w:color="auto"/>
                    <w:bottom w:val="none" w:sz="0" w:space="0" w:color="auto"/>
                    <w:right w:val="none" w:sz="0" w:space="0" w:color="auto"/>
                  </w:divBdr>
                  <w:divsChild>
                    <w:div w:id="14142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852499">
      <w:bodyDiv w:val="1"/>
      <w:marLeft w:val="0"/>
      <w:marRight w:val="0"/>
      <w:marTop w:val="0"/>
      <w:marBottom w:val="0"/>
      <w:divBdr>
        <w:top w:val="none" w:sz="0" w:space="0" w:color="auto"/>
        <w:left w:val="none" w:sz="0" w:space="0" w:color="auto"/>
        <w:bottom w:val="none" w:sz="0" w:space="0" w:color="auto"/>
        <w:right w:val="none" w:sz="0" w:space="0" w:color="auto"/>
      </w:divBdr>
      <w:divsChild>
        <w:div w:id="1293747805">
          <w:marLeft w:val="0"/>
          <w:marRight w:val="0"/>
          <w:marTop w:val="0"/>
          <w:marBottom w:val="0"/>
          <w:divBdr>
            <w:top w:val="none" w:sz="0" w:space="0" w:color="auto"/>
            <w:left w:val="none" w:sz="0" w:space="0" w:color="auto"/>
            <w:bottom w:val="none" w:sz="0" w:space="0" w:color="auto"/>
            <w:right w:val="none" w:sz="0" w:space="0" w:color="auto"/>
          </w:divBdr>
          <w:divsChild>
            <w:div w:id="544948058">
              <w:marLeft w:val="0"/>
              <w:marRight w:val="0"/>
              <w:marTop w:val="0"/>
              <w:marBottom w:val="0"/>
              <w:divBdr>
                <w:top w:val="none" w:sz="0" w:space="0" w:color="auto"/>
                <w:left w:val="none" w:sz="0" w:space="0" w:color="auto"/>
                <w:bottom w:val="none" w:sz="0" w:space="0" w:color="auto"/>
                <w:right w:val="none" w:sz="0" w:space="0" w:color="auto"/>
              </w:divBdr>
              <w:divsChild>
                <w:div w:id="663164110">
                  <w:marLeft w:val="0"/>
                  <w:marRight w:val="0"/>
                  <w:marTop w:val="0"/>
                  <w:marBottom w:val="0"/>
                  <w:divBdr>
                    <w:top w:val="none" w:sz="0" w:space="0" w:color="auto"/>
                    <w:left w:val="none" w:sz="0" w:space="0" w:color="auto"/>
                    <w:bottom w:val="none" w:sz="0" w:space="0" w:color="auto"/>
                    <w:right w:val="none" w:sz="0" w:space="0" w:color="auto"/>
                  </w:divBdr>
                </w:div>
              </w:divsChild>
            </w:div>
            <w:div w:id="896664917">
              <w:marLeft w:val="0"/>
              <w:marRight w:val="0"/>
              <w:marTop w:val="0"/>
              <w:marBottom w:val="0"/>
              <w:divBdr>
                <w:top w:val="none" w:sz="0" w:space="0" w:color="auto"/>
                <w:left w:val="none" w:sz="0" w:space="0" w:color="auto"/>
                <w:bottom w:val="none" w:sz="0" w:space="0" w:color="auto"/>
                <w:right w:val="none" w:sz="0" w:space="0" w:color="auto"/>
              </w:divBdr>
              <w:divsChild>
                <w:div w:id="162576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071399">
      <w:bodyDiv w:val="1"/>
      <w:marLeft w:val="0"/>
      <w:marRight w:val="0"/>
      <w:marTop w:val="0"/>
      <w:marBottom w:val="0"/>
      <w:divBdr>
        <w:top w:val="none" w:sz="0" w:space="0" w:color="auto"/>
        <w:left w:val="none" w:sz="0" w:space="0" w:color="auto"/>
        <w:bottom w:val="none" w:sz="0" w:space="0" w:color="auto"/>
        <w:right w:val="none" w:sz="0" w:space="0" w:color="auto"/>
      </w:divBdr>
    </w:div>
    <w:div w:id="714814711">
      <w:bodyDiv w:val="1"/>
      <w:marLeft w:val="0"/>
      <w:marRight w:val="0"/>
      <w:marTop w:val="0"/>
      <w:marBottom w:val="0"/>
      <w:divBdr>
        <w:top w:val="none" w:sz="0" w:space="0" w:color="auto"/>
        <w:left w:val="none" w:sz="0" w:space="0" w:color="auto"/>
        <w:bottom w:val="none" w:sz="0" w:space="0" w:color="auto"/>
        <w:right w:val="none" w:sz="0" w:space="0" w:color="auto"/>
      </w:divBdr>
    </w:div>
    <w:div w:id="795561575">
      <w:bodyDiv w:val="1"/>
      <w:marLeft w:val="0"/>
      <w:marRight w:val="0"/>
      <w:marTop w:val="0"/>
      <w:marBottom w:val="0"/>
      <w:divBdr>
        <w:top w:val="none" w:sz="0" w:space="0" w:color="auto"/>
        <w:left w:val="none" w:sz="0" w:space="0" w:color="auto"/>
        <w:bottom w:val="none" w:sz="0" w:space="0" w:color="auto"/>
        <w:right w:val="none" w:sz="0" w:space="0" w:color="auto"/>
      </w:divBdr>
      <w:divsChild>
        <w:div w:id="409081575">
          <w:marLeft w:val="0"/>
          <w:marRight w:val="0"/>
          <w:marTop w:val="0"/>
          <w:marBottom w:val="0"/>
          <w:divBdr>
            <w:top w:val="none" w:sz="0" w:space="0" w:color="auto"/>
            <w:left w:val="none" w:sz="0" w:space="0" w:color="auto"/>
            <w:bottom w:val="none" w:sz="0" w:space="0" w:color="auto"/>
            <w:right w:val="none" w:sz="0" w:space="0" w:color="auto"/>
          </w:divBdr>
        </w:div>
        <w:div w:id="932084590">
          <w:marLeft w:val="0"/>
          <w:marRight w:val="0"/>
          <w:marTop w:val="0"/>
          <w:marBottom w:val="0"/>
          <w:divBdr>
            <w:top w:val="none" w:sz="0" w:space="0" w:color="auto"/>
            <w:left w:val="none" w:sz="0" w:space="0" w:color="auto"/>
            <w:bottom w:val="none" w:sz="0" w:space="0" w:color="auto"/>
            <w:right w:val="none" w:sz="0" w:space="0" w:color="auto"/>
          </w:divBdr>
        </w:div>
        <w:div w:id="1655991795">
          <w:marLeft w:val="0"/>
          <w:marRight w:val="0"/>
          <w:marTop w:val="0"/>
          <w:marBottom w:val="0"/>
          <w:divBdr>
            <w:top w:val="none" w:sz="0" w:space="0" w:color="auto"/>
            <w:left w:val="none" w:sz="0" w:space="0" w:color="auto"/>
            <w:bottom w:val="none" w:sz="0" w:space="0" w:color="auto"/>
            <w:right w:val="none" w:sz="0" w:space="0" w:color="auto"/>
          </w:divBdr>
        </w:div>
        <w:div w:id="1741250334">
          <w:marLeft w:val="0"/>
          <w:marRight w:val="0"/>
          <w:marTop w:val="0"/>
          <w:marBottom w:val="0"/>
          <w:divBdr>
            <w:top w:val="none" w:sz="0" w:space="0" w:color="auto"/>
            <w:left w:val="none" w:sz="0" w:space="0" w:color="auto"/>
            <w:bottom w:val="none" w:sz="0" w:space="0" w:color="auto"/>
            <w:right w:val="none" w:sz="0" w:space="0" w:color="auto"/>
          </w:divBdr>
          <w:divsChild>
            <w:div w:id="88737215">
              <w:marLeft w:val="0"/>
              <w:marRight w:val="0"/>
              <w:marTop w:val="0"/>
              <w:marBottom w:val="0"/>
              <w:divBdr>
                <w:top w:val="none" w:sz="0" w:space="0" w:color="auto"/>
                <w:left w:val="none" w:sz="0" w:space="0" w:color="auto"/>
                <w:bottom w:val="none" w:sz="0" w:space="0" w:color="auto"/>
                <w:right w:val="none" w:sz="0" w:space="0" w:color="auto"/>
              </w:divBdr>
              <w:divsChild>
                <w:div w:id="1618027902">
                  <w:marLeft w:val="0"/>
                  <w:marRight w:val="0"/>
                  <w:marTop w:val="0"/>
                  <w:marBottom w:val="0"/>
                  <w:divBdr>
                    <w:top w:val="none" w:sz="0" w:space="0" w:color="auto"/>
                    <w:left w:val="none" w:sz="0" w:space="0" w:color="auto"/>
                    <w:bottom w:val="none" w:sz="0" w:space="0" w:color="auto"/>
                    <w:right w:val="none" w:sz="0" w:space="0" w:color="auto"/>
                  </w:divBdr>
                </w:div>
                <w:div w:id="1914044801">
                  <w:marLeft w:val="0"/>
                  <w:marRight w:val="0"/>
                  <w:marTop w:val="0"/>
                  <w:marBottom w:val="0"/>
                  <w:divBdr>
                    <w:top w:val="none" w:sz="0" w:space="0" w:color="auto"/>
                    <w:left w:val="none" w:sz="0" w:space="0" w:color="auto"/>
                    <w:bottom w:val="none" w:sz="0" w:space="0" w:color="auto"/>
                    <w:right w:val="none" w:sz="0" w:space="0" w:color="auto"/>
                  </w:divBdr>
                </w:div>
                <w:div w:id="2028411602">
                  <w:marLeft w:val="0"/>
                  <w:marRight w:val="0"/>
                  <w:marTop w:val="0"/>
                  <w:marBottom w:val="0"/>
                  <w:divBdr>
                    <w:top w:val="none" w:sz="0" w:space="0" w:color="auto"/>
                    <w:left w:val="none" w:sz="0" w:space="0" w:color="auto"/>
                    <w:bottom w:val="none" w:sz="0" w:space="0" w:color="auto"/>
                    <w:right w:val="none" w:sz="0" w:space="0" w:color="auto"/>
                  </w:divBdr>
                </w:div>
              </w:divsChild>
            </w:div>
            <w:div w:id="143162743">
              <w:marLeft w:val="0"/>
              <w:marRight w:val="0"/>
              <w:marTop w:val="0"/>
              <w:marBottom w:val="0"/>
              <w:divBdr>
                <w:top w:val="none" w:sz="0" w:space="0" w:color="auto"/>
                <w:left w:val="none" w:sz="0" w:space="0" w:color="auto"/>
                <w:bottom w:val="none" w:sz="0" w:space="0" w:color="auto"/>
                <w:right w:val="none" w:sz="0" w:space="0" w:color="auto"/>
              </w:divBdr>
            </w:div>
            <w:div w:id="76731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63433">
      <w:bodyDiv w:val="1"/>
      <w:marLeft w:val="0"/>
      <w:marRight w:val="0"/>
      <w:marTop w:val="0"/>
      <w:marBottom w:val="0"/>
      <w:divBdr>
        <w:top w:val="none" w:sz="0" w:space="0" w:color="auto"/>
        <w:left w:val="none" w:sz="0" w:space="0" w:color="auto"/>
        <w:bottom w:val="none" w:sz="0" w:space="0" w:color="auto"/>
        <w:right w:val="none" w:sz="0" w:space="0" w:color="auto"/>
      </w:divBdr>
      <w:divsChild>
        <w:div w:id="2012100153">
          <w:marLeft w:val="0"/>
          <w:marRight w:val="0"/>
          <w:marTop w:val="0"/>
          <w:marBottom w:val="0"/>
          <w:divBdr>
            <w:top w:val="none" w:sz="0" w:space="0" w:color="auto"/>
            <w:left w:val="none" w:sz="0" w:space="0" w:color="auto"/>
            <w:bottom w:val="none" w:sz="0" w:space="0" w:color="auto"/>
            <w:right w:val="none" w:sz="0" w:space="0" w:color="auto"/>
          </w:divBdr>
          <w:divsChild>
            <w:div w:id="742333792">
              <w:marLeft w:val="0"/>
              <w:marRight w:val="0"/>
              <w:marTop w:val="0"/>
              <w:marBottom w:val="0"/>
              <w:divBdr>
                <w:top w:val="none" w:sz="0" w:space="0" w:color="auto"/>
                <w:left w:val="none" w:sz="0" w:space="0" w:color="auto"/>
                <w:bottom w:val="none" w:sz="0" w:space="0" w:color="auto"/>
                <w:right w:val="none" w:sz="0" w:space="0" w:color="auto"/>
              </w:divBdr>
              <w:divsChild>
                <w:div w:id="144711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008449">
      <w:bodyDiv w:val="1"/>
      <w:marLeft w:val="0"/>
      <w:marRight w:val="0"/>
      <w:marTop w:val="0"/>
      <w:marBottom w:val="0"/>
      <w:divBdr>
        <w:top w:val="none" w:sz="0" w:space="0" w:color="auto"/>
        <w:left w:val="none" w:sz="0" w:space="0" w:color="auto"/>
        <w:bottom w:val="none" w:sz="0" w:space="0" w:color="auto"/>
        <w:right w:val="none" w:sz="0" w:space="0" w:color="auto"/>
      </w:divBdr>
      <w:divsChild>
        <w:div w:id="1866282656">
          <w:marLeft w:val="0"/>
          <w:marRight w:val="0"/>
          <w:marTop w:val="0"/>
          <w:marBottom w:val="0"/>
          <w:divBdr>
            <w:top w:val="none" w:sz="0" w:space="0" w:color="auto"/>
            <w:left w:val="none" w:sz="0" w:space="0" w:color="auto"/>
            <w:bottom w:val="none" w:sz="0" w:space="0" w:color="auto"/>
            <w:right w:val="none" w:sz="0" w:space="0" w:color="auto"/>
          </w:divBdr>
          <w:divsChild>
            <w:div w:id="894467424">
              <w:marLeft w:val="0"/>
              <w:marRight w:val="0"/>
              <w:marTop w:val="0"/>
              <w:marBottom w:val="0"/>
              <w:divBdr>
                <w:top w:val="none" w:sz="0" w:space="0" w:color="auto"/>
                <w:left w:val="none" w:sz="0" w:space="0" w:color="auto"/>
                <w:bottom w:val="none" w:sz="0" w:space="0" w:color="auto"/>
                <w:right w:val="none" w:sz="0" w:space="0" w:color="auto"/>
              </w:divBdr>
              <w:divsChild>
                <w:div w:id="1210918416">
                  <w:marLeft w:val="0"/>
                  <w:marRight w:val="0"/>
                  <w:marTop w:val="0"/>
                  <w:marBottom w:val="0"/>
                  <w:divBdr>
                    <w:top w:val="none" w:sz="0" w:space="0" w:color="auto"/>
                    <w:left w:val="none" w:sz="0" w:space="0" w:color="auto"/>
                    <w:bottom w:val="none" w:sz="0" w:space="0" w:color="auto"/>
                    <w:right w:val="none" w:sz="0" w:space="0" w:color="auto"/>
                  </w:divBdr>
                  <w:divsChild>
                    <w:div w:id="99969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504873">
      <w:bodyDiv w:val="1"/>
      <w:marLeft w:val="0"/>
      <w:marRight w:val="0"/>
      <w:marTop w:val="0"/>
      <w:marBottom w:val="0"/>
      <w:divBdr>
        <w:top w:val="none" w:sz="0" w:space="0" w:color="auto"/>
        <w:left w:val="none" w:sz="0" w:space="0" w:color="auto"/>
        <w:bottom w:val="none" w:sz="0" w:space="0" w:color="auto"/>
        <w:right w:val="none" w:sz="0" w:space="0" w:color="auto"/>
      </w:divBdr>
      <w:divsChild>
        <w:div w:id="993023875">
          <w:marLeft w:val="0"/>
          <w:marRight w:val="0"/>
          <w:marTop w:val="0"/>
          <w:marBottom w:val="0"/>
          <w:divBdr>
            <w:top w:val="none" w:sz="0" w:space="0" w:color="auto"/>
            <w:left w:val="none" w:sz="0" w:space="0" w:color="auto"/>
            <w:bottom w:val="none" w:sz="0" w:space="0" w:color="auto"/>
            <w:right w:val="none" w:sz="0" w:space="0" w:color="auto"/>
          </w:divBdr>
          <w:divsChild>
            <w:div w:id="526676614">
              <w:marLeft w:val="0"/>
              <w:marRight w:val="0"/>
              <w:marTop w:val="0"/>
              <w:marBottom w:val="0"/>
              <w:divBdr>
                <w:top w:val="none" w:sz="0" w:space="0" w:color="auto"/>
                <w:left w:val="none" w:sz="0" w:space="0" w:color="auto"/>
                <w:bottom w:val="none" w:sz="0" w:space="0" w:color="auto"/>
                <w:right w:val="none" w:sz="0" w:space="0" w:color="auto"/>
              </w:divBdr>
              <w:divsChild>
                <w:div w:id="98057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035996">
      <w:bodyDiv w:val="1"/>
      <w:marLeft w:val="0"/>
      <w:marRight w:val="0"/>
      <w:marTop w:val="0"/>
      <w:marBottom w:val="0"/>
      <w:divBdr>
        <w:top w:val="none" w:sz="0" w:space="0" w:color="auto"/>
        <w:left w:val="none" w:sz="0" w:space="0" w:color="auto"/>
        <w:bottom w:val="none" w:sz="0" w:space="0" w:color="auto"/>
        <w:right w:val="none" w:sz="0" w:space="0" w:color="auto"/>
      </w:divBdr>
    </w:div>
    <w:div w:id="1604611393">
      <w:bodyDiv w:val="1"/>
      <w:marLeft w:val="0"/>
      <w:marRight w:val="0"/>
      <w:marTop w:val="0"/>
      <w:marBottom w:val="0"/>
      <w:divBdr>
        <w:top w:val="none" w:sz="0" w:space="0" w:color="auto"/>
        <w:left w:val="none" w:sz="0" w:space="0" w:color="auto"/>
        <w:bottom w:val="none" w:sz="0" w:space="0" w:color="auto"/>
        <w:right w:val="none" w:sz="0" w:space="0" w:color="auto"/>
      </w:divBdr>
      <w:divsChild>
        <w:div w:id="21830756">
          <w:marLeft w:val="0"/>
          <w:marRight w:val="0"/>
          <w:marTop w:val="0"/>
          <w:marBottom w:val="0"/>
          <w:divBdr>
            <w:top w:val="none" w:sz="0" w:space="0" w:color="auto"/>
            <w:left w:val="none" w:sz="0" w:space="0" w:color="auto"/>
            <w:bottom w:val="none" w:sz="0" w:space="0" w:color="auto"/>
            <w:right w:val="none" w:sz="0" w:space="0" w:color="auto"/>
          </w:divBdr>
          <w:divsChild>
            <w:div w:id="1500659870">
              <w:marLeft w:val="0"/>
              <w:marRight w:val="0"/>
              <w:marTop w:val="0"/>
              <w:marBottom w:val="0"/>
              <w:divBdr>
                <w:top w:val="none" w:sz="0" w:space="0" w:color="auto"/>
                <w:left w:val="none" w:sz="0" w:space="0" w:color="auto"/>
                <w:bottom w:val="none" w:sz="0" w:space="0" w:color="auto"/>
                <w:right w:val="none" w:sz="0" w:space="0" w:color="auto"/>
              </w:divBdr>
              <w:divsChild>
                <w:div w:id="1970893040">
                  <w:marLeft w:val="0"/>
                  <w:marRight w:val="0"/>
                  <w:marTop w:val="0"/>
                  <w:marBottom w:val="0"/>
                  <w:divBdr>
                    <w:top w:val="none" w:sz="0" w:space="0" w:color="auto"/>
                    <w:left w:val="none" w:sz="0" w:space="0" w:color="auto"/>
                    <w:bottom w:val="none" w:sz="0" w:space="0" w:color="auto"/>
                    <w:right w:val="none" w:sz="0" w:space="0" w:color="auto"/>
                  </w:divBdr>
                </w:div>
              </w:divsChild>
            </w:div>
            <w:div w:id="1903787707">
              <w:marLeft w:val="0"/>
              <w:marRight w:val="0"/>
              <w:marTop w:val="0"/>
              <w:marBottom w:val="0"/>
              <w:divBdr>
                <w:top w:val="none" w:sz="0" w:space="0" w:color="auto"/>
                <w:left w:val="none" w:sz="0" w:space="0" w:color="auto"/>
                <w:bottom w:val="none" w:sz="0" w:space="0" w:color="auto"/>
                <w:right w:val="none" w:sz="0" w:space="0" w:color="auto"/>
              </w:divBdr>
              <w:divsChild>
                <w:div w:id="99275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39914">
          <w:marLeft w:val="0"/>
          <w:marRight w:val="0"/>
          <w:marTop w:val="0"/>
          <w:marBottom w:val="0"/>
          <w:divBdr>
            <w:top w:val="none" w:sz="0" w:space="0" w:color="auto"/>
            <w:left w:val="none" w:sz="0" w:space="0" w:color="auto"/>
            <w:bottom w:val="none" w:sz="0" w:space="0" w:color="auto"/>
            <w:right w:val="none" w:sz="0" w:space="0" w:color="auto"/>
          </w:divBdr>
          <w:divsChild>
            <w:div w:id="256063575">
              <w:marLeft w:val="0"/>
              <w:marRight w:val="0"/>
              <w:marTop w:val="0"/>
              <w:marBottom w:val="0"/>
              <w:divBdr>
                <w:top w:val="none" w:sz="0" w:space="0" w:color="auto"/>
                <w:left w:val="none" w:sz="0" w:space="0" w:color="auto"/>
                <w:bottom w:val="none" w:sz="0" w:space="0" w:color="auto"/>
                <w:right w:val="none" w:sz="0" w:space="0" w:color="auto"/>
              </w:divBdr>
              <w:divsChild>
                <w:div w:id="192311204">
                  <w:marLeft w:val="0"/>
                  <w:marRight w:val="0"/>
                  <w:marTop w:val="0"/>
                  <w:marBottom w:val="0"/>
                  <w:divBdr>
                    <w:top w:val="none" w:sz="0" w:space="0" w:color="auto"/>
                    <w:left w:val="none" w:sz="0" w:space="0" w:color="auto"/>
                    <w:bottom w:val="none" w:sz="0" w:space="0" w:color="auto"/>
                    <w:right w:val="none" w:sz="0" w:space="0" w:color="auto"/>
                  </w:divBdr>
                </w:div>
              </w:divsChild>
            </w:div>
            <w:div w:id="1384014562">
              <w:marLeft w:val="0"/>
              <w:marRight w:val="0"/>
              <w:marTop w:val="0"/>
              <w:marBottom w:val="0"/>
              <w:divBdr>
                <w:top w:val="none" w:sz="0" w:space="0" w:color="auto"/>
                <w:left w:val="none" w:sz="0" w:space="0" w:color="auto"/>
                <w:bottom w:val="none" w:sz="0" w:space="0" w:color="auto"/>
                <w:right w:val="none" w:sz="0" w:space="0" w:color="auto"/>
              </w:divBdr>
              <w:divsChild>
                <w:div w:id="7204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8133">
          <w:marLeft w:val="0"/>
          <w:marRight w:val="0"/>
          <w:marTop w:val="0"/>
          <w:marBottom w:val="0"/>
          <w:divBdr>
            <w:top w:val="none" w:sz="0" w:space="0" w:color="auto"/>
            <w:left w:val="none" w:sz="0" w:space="0" w:color="auto"/>
            <w:bottom w:val="none" w:sz="0" w:space="0" w:color="auto"/>
            <w:right w:val="none" w:sz="0" w:space="0" w:color="auto"/>
          </w:divBdr>
          <w:divsChild>
            <w:div w:id="493690298">
              <w:marLeft w:val="0"/>
              <w:marRight w:val="0"/>
              <w:marTop w:val="0"/>
              <w:marBottom w:val="0"/>
              <w:divBdr>
                <w:top w:val="none" w:sz="0" w:space="0" w:color="auto"/>
                <w:left w:val="none" w:sz="0" w:space="0" w:color="auto"/>
                <w:bottom w:val="none" w:sz="0" w:space="0" w:color="auto"/>
                <w:right w:val="none" w:sz="0" w:space="0" w:color="auto"/>
              </w:divBdr>
              <w:divsChild>
                <w:div w:id="909341448">
                  <w:marLeft w:val="0"/>
                  <w:marRight w:val="0"/>
                  <w:marTop w:val="0"/>
                  <w:marBottom w:val="0"/>
                  <w:divBdr>
                    <w:top w:val="none" w:sz="0" w:space="0" w:color="auto"/>
                    <w:left w:val="none" w:sz="0" w:space="0" w:color="auto"/>
                    <w:bottom w:val="none" w:sz="0" w:space="0" w:color="auto"/>
                    <w:right w:val="none" w:sz="0" w:space="0" w:color="auto"/>
                  </w:divBdr>
                </w:div>
              </w:divsChild>
            </w:div>
            <w:div w:id="1764761684">
              <w:marLeft w:val="0"/>
              <w:marRight w:val="0"/>
              <w:marTop w:val="0"/>
              <w:marBottom w:val="0"/>
              <w:divBdr>
                <w:top w:val="none" w:sz="0" w:space="0" w:color="auto"/>
                <w:left w:val="none" w:sz="0" w:space="0" w:color="auto"/>
                <w:bottom w:val="none" w:sz="0" w:space="0" w:color="auto"/>
                <w:right w:val="none" w:sz="0" w:space="0" w:color="auto"/>
              </w:divBdr>
              <w:divsChild>
                <w:div w:id="204250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68314">
          <w:marLeft w:val="0"/>
          <w:marRight w:val="0"/>
          <w:marTop w:val="0"/>
          <w:marBottom w:val="0"/>
          <w:divBdr>
            <w:top w:val="none" w:sz="0" w:space="0" w:color="auto"/>
            <w:left w:val="none" w:sz="0" w:space="0" w:color="auto"/>
            <w:bottom w:val="none" w:sz="0" w:space="0" w:color="auto"/>
            <w:right w:val="none" w:sz="0" w:space="0" w:color="auto"/>
          </w:divBdr>
          <w:divsChild>
            <w:div w:id="907378195">
              <w:marLeft w:val="0"/>
              <w:marRight w:val="0"/>
              <w:marTop w:val="0"/>
              <w:marBottom w:val="0"/>
              <w:divBdr>
                <w:top w:val="none" w:sz="0" w:space="0" w:color="auto"/>
                <w:left w:val="none" w:sz="0" w:space="0" w:color="auto"/>
                <w:bottom w:val="none" w:sz="0" w:space="0" w:color="auto"/>
                <w:right w:val="none" w:sz="0" w:space="0" w:color="auto"/>
              </w:divBdr>
              <w:divsChild>
                <w:div w:id="72050520">
                  <w:marLeft w:val="0"/>
                  <w:marRight w:val="0"/>
                  <w:marTop w:val="0"/>
                  <w:marBottom w:val="0"/>
                  <w:divBdr>
                    <w:top w:val="none" w:sz="0" w:space="0" w:color="auto"/>
                    <w:left w:val="none" w:sz="0" w:space="0" w:color="auto"/>
                    <w:bottom w:val="none" w:sz="0" w:space="0" w:color="auto"/>
                    <w:right w:val="none" w:sz="0" w:space="0" w:color="auto"/>
                  </w:divBdr>
                </w:div>
              </w:divsChild>
            </w:div>
            <w:div w:id="1021904403">
              <w:marLeft w:val="0"/>
              <w:marRight w:val="0"/>
              <w:marTop w:val="0"/>
              <w:marBottom w:val="0"/>
              <w:divBdr>
                <w:top w:val="none" w:sz="0" w:space="0" w:color="auto"/>
                <w:left w:val="none" w:sz="0" w:space="0" w:color="auto"/>
                <w:bottom w:val="none" w:sz="0" w:space="0" w:color="auto"/>
                <w:right w:val="none" w:sz="0" w:space="0" w:color="auto"/>
              </w:divBdr>
              <w:divsChild>
                <w:div w:id="941911052">
                  <w:marLeft w:val="0"/>
                  <w:marRight w:val="0"/>
                  <w:marTop w:val="0"/>
                  <w:marBottom w:val="0"/>
                  <w:divBdr>
                    <w:top w:val="none" w:sz="0" w:space="0" w:color="auto"/>
                    <w:left w:val="none" w:sz="0" w:space="0" w:color="auto"/>
                    <w:bottom w:val="none" w:sz="0" w:space="0" w:color="auto"/>
                    <w:right w:val="none" w:sz="0" w:space="0" w:color="auto"/>
                  </w:divBdr>
                </w:div>
              </w:divsChild>
            </w:div>
            <w:div w:id="1103767267">
              <w:marLeft w:val="0"/>
              <w:marRight w:val="0"/>
              <w:marTop w:val="0"/>
              <w:marBottom w:val="0"/>
              <w:divBdr>
                <w:top w:val="none" w:sz="0" w:space="0" w:color="auto"/>
                <w:left w:val="none" w:sz="0" w:space="0" w:color="auto"/>
                <w:bottom w:val="none" w:sz="0" w:space="0" w:color="auto"/>
                <w:right w:val="none" w:sz="0" w:space="0" w:color="auto"/>
              </w:divBdr>
              <w:divsChild>
                <w:div w:id="192967032">
                  <w:marLeft w:val="0"/>
                  <w:marRight w:val="0"/>
                  <w:marTop w:val="0"/>
                  <w:marBottom w:val="0"/>
                  <w:divBdr>
                    <w:top w:val="none" w:sz="0" w:space="0" w:color="auto"/>
                    <w:left w:val="none" w:sz="0" w:space="0" w:color="auto"/>
                    <w:bottom w:val="none" w:sz="0" w:space="0" w:color="auto"/>
                    <w:right w:val="none" w:sz="0" w:space="0" w:color="auto"/>
                  </w:divBdr>
                </w:div>
              </w:divsChild>
            </w:div>
            <w:div w:id="1509443130">
              <w:marLeft w:val="0"/>
              <w:marRight w:val="0"/>
              <w:marTop w:val="0"/>
              <w:marBottom w:val="0"/>
              <w:divBdr>
                <w:top w:val="none" w:sz="0" w:space="0" w:color="auto"/>
                <w:left w:val="none" w:sz="0" w:space="0" w:color="auto"/>
                <w:bottom w:val="none" w:sz="0" w:space="0" w:color="auto"/>
                <w:right w:val="none" w:sz="0" w:space="0" w:color="auto"/>
              </w:divBdr>
              <w:divsChild>
                <w:div w:id="382173096">
                  <w:marLeft w:val="0"/>
                  <w:marRight w:val="0"/>
                  <w:marTop w:val="0"/>
                  <w:marBottom w:val="0"/>
                  <w:divBdr>
                    <w:top w:val="none" w:sz="0" w:space="0" w:color="auto"/>
                    <w:left w:val="none" w:sz="0" w:space="0" w:color="auto"/>
                    <w:bottom w:val="none" w:sz="0" w:space="0" w:color="auto"/>
                    <w:right w:val="none" w:sz="0" w:space="0" w:color="auto"/>
                  </w:divBdr>
                  <w:divsChild>
                    <w:div w:id="1008871137">
                      <w:marLeft w:val="0"/>
                      <w:marRight w:val="0"/>
                      <w:marTop w:val="0"/>
                      <w:marBottom w:val="0"/>
                      <w:divBdr>
                        <w:top w:val="none" w:sz="0" w:space="0" w:color="auto"/>
                        <w:left w:val="none" w:sz="0" w:space="0" w:color="auto"/>
                        <w:bottom w:val="none" w:sz="0" w:space="0" w:color="auto"/>
                        <w:right w:val="none" w:sz="0" w:space="0" w:color="auto"/>
                      </w:divBdr>
                      <w:divsChild>
                        <w:div w:id="20218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6812">
                  <w:marLeft w:val="0"/>
                  <w:marRight w:val="0"/>
                  <w:marTop w:val="0"/>
                  <w:marBottom w:val="0"/>
                  <w:divBdr>
                    <w:top w:val="none" w:sz="0" w:space="0" w:color="auto"/>
                    <w:left w:val="none" w:sz="0" w:space="0" w:color="auto"/>
                    <w:bottom w:val="none" w:sz="0" w:space="0" w:color="auto"/>
                    <w:right w:val="none" w:sz="0" w:space="0" w:color="auto"/>
                  </w:divBdr>
                  <w:divsChild>
                    <w:div w:id="54354870">
                      <w:marLeft w:val="0"/>
                      <w:marRight w:val="0"/>
                      <w:marTop w:val="0"/>
                      <w:marBottom w:val="0"/>
                      <w:divBdr>
                        <w:top w:val="none" w:sz="0" w:space="0" w:color="auto"/>
                        <w:left w:val="none" w:sz="0" w:space="0" w:color="auto"/>
                        <w:bottom w:val="none" w:sz="0" w:space="0" w:color="auto"/>
                        <w:right w:val="none" w:sz="0" w:space="0" w:color="auto"/>
                      </w:divBdr>
                      <w:divsChild>
                        <w:div w:id="24427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105247">
              <w:marLeft w:val="0"/>
              <w:marRight w:val="0"/>
              <w:marTop w:val="0"/>
              <w:marBottom w:val="0"/>
              <w:divBdr>
                <w:top w:val="none" w:sz="0" w:space="0" w:color="auto"/>
                <w:left w:val="none" w:sz="0" w:space="0" w:color="auto"/>
                <w:bottom w:val="none" w:sz="0" w:space="0" w:color="auto"/>
                <w:right w:val="none" w:sz="0" w:space="0" w:color="auto"/>
              </w:divBdr>
              <w:divsChild>
                <w:div w:id="1832333298">
                  <w:marLeft w:val="0"/>
                  <w:marRight w:val="0"/>
                  <w:marTop w:val="0"/>
                  <w:marBottom w:val="0"/>
                  <w:divBdr>
                    <w:top w:val="none" w:sz="0" w:space="0" w:color="auto"/>
                    <w:left w:val="none" w:sz="0" w:space="0" w:color="auto"/>
                    <w:bottom w:val="none" w:sz="0" w:space="0" w:color="auto"/>
                    <w:right w:val="none" w:sz="0" w:space="0" w:color="auto"/>
                  </w:divBdr>
                </w:div>
              </w:divsChild>
            </w:div>
            <w:div w:id="1755199356">
              <w:marLeft w:val="0"/>
              <w:marRight w:val="0"/>
              <w:marTop w:val="0"/>
              <w:marBottom w:val="0"/>
              <w:divBdr>
                <w:top w:val="none" w:sz="0" w:space="0" w:color="auto"/>
                <w:left w:val="none" w:sz="0" w:space="0" w:color="auto"/>
                <w:bottom w:val="none" w:sz="0" w:space="0" w:color="auto"/>
                <w:right w:val="none" w:sz="0" w:space="0" w:color="auto"/>
              </w:divBdr>
              <w:divsChild>
                <w:div w:id="765539304">
                  <w:marLeft w:val="0"/>
                  <w:marRight w:val="0"/>
                  <w:marTop w:val="0"/>
                  <w:marBottom w:val="0"/>
                  <w:divBdr>
                    <w:top w:val="none" w:sz="0" w:space="0" w:color="auto"/>
                    <w:left w:val="none" w:sz="0" w:space="0" w:color="auto"/>
                    <w:bottom w:val="none" w:sz="0" w:space="0" w:color="auto"/>
                    <w:right w:val="none" w:sz="0" w:space="0" w:color="auto"/>
                  </w:divBdr>
                </w:div>
              </w:divsChild>
            </w:div>
            <w:div w:id="1856377647">
              <w:marLeft w:val="0"/>
              <w:marRight w:val="0"/>
              <w:marTop w:val="0"/>
              <w:marBottom w:val="0"/>
              <w:divBdr>
                <w:top w:val="none" w:sz="0" w:space="0" w:color="auto"/>
                <w:left w:val="none" w:sz="0" w:space="0" w:color="auto"/>
                <w:bottom w:val="none" w:sz="0" w:space="0" w:color="auto"/>
                <w:right w:val="none" w:sz="0" w:space="0" w:color="auto"/>
              </w:divBdr>
              <w:divsChild>
                <w:div w:id="738747595">
                  <w:marLeft w:val="0"/>
                  <w:marRight w:val="0"/>
                  <w:marTop w:val="0"/>
                  <w:marBottom w:val="0"/>
                  <w:divBdr>
                    <w:top w:val="none" w:sz="0" w:space="0" w:color="auto"/>
                    <w:left w:val="none" w:sz="0" w:space="0" w:color="auto"/>
                    <w:bottom w:val="none" w:sz="0" w:space="0" w:color="auto"/>
                    <w:right w:val="none" w:sz="0" w:space="0" w:color="auto"/>
                  </w:divBdr>
                </w:div>
              </w:divsChild>
            </w:div>
            <w:div w:id="1884100800">
              <w:marLeft w:val="0"/>
              <w:marRight w:val="0"/>
              <w:marTop w:val="0"/>
              <w:marBottom w:val="0"/>
              <w:divBdr>
                <w:top w:val="none" w:sz="0" w:space="0" w:color="auto"/>
                <w:left w:val="none" w:sz="0" w:space="0" w:color="auto"/>
                <w:bottom w:val="none" w:sz="0" w:space="0" w:color="auto"/>
                <w:right w:val="none" w:sz="0" w:space="0" w:color="auto"/>
              </w:divBdr>
              <w:divsChild>
                <w:div w:id="1799564901">
                  <w:marLeft w:val="0"/>
                  <w:marRight w:val="0"/>
                  <w:marTop w:val="0"/>
                  <w:marBottom w:val="0"/>
                  <w:divBdr>
                    <w:top w:val="none" w:sz="0" w:space="0" w:color="auto"/>
                    <w:left w:val="none" w:sz="0" w:space="0" w:color="auto"/>
                    <w:bottom w:val="none" w:sz="0" w:space="0" w:color="auto"/>
                    <w:right w:val="none" w:sz="0" w:space="0" w:color="auto"/>
                  </w:divBdr>
                  <w:divsChild>
                    <w:div w:id="525604978">
                      <w:marLeft w:val="0"/>
                      <w:marRight w:val="0"/>
                      <w:marTop w:val="0"/>
                      <w:marBottom w:val="0"/>
                      <w:divBdr>
                        <w:top w:val="none" w:sz="0" w:space="0" w:color="auto"/>
                        <w:left w:val="none" w:sz="0" w:space="0" w:color="auto"/>
                        <w:bottom w:val="none" w:sz="0" w:space="0" w:color="auto"/>
                        <w:right w:val="none" w:sz="0" w:space="0" w:color="auto"/>
                      </w:divBdr>
                      <w:divsChild>
                        <w:div w:id="646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78630">
                  <w:marLeft w:val="0"/>
                  <w:marRight w:val="0"/>
                  <w:marTop w:val="0"/>
                  <w:marBottom w:val="0"/>
                  <w:divBdr>
                    <w:top w:val="none" w:sz="0" w:space="0" w:color="auto"/>
                    <w:left w:val="none" w:sz="0" w:space="0" w:color="auto"/>
                    <w:bottom w:val="none" w:sz="0" w:space="0" w:color="auto"/>
                    <w:right w:val="none" w:sz="0" w:space="0" w:color="auto"/>
                  </w:divBdr>
                  <w:divsChild>
                    <w:div w:id="1957716982">
                      <w:marLeft w:val="0"/>
                      <w:marRight w:val="0"/>
                      <w:marTop w:val="0"/>
                      <w:marBottom w:val="0"/>
                      <w:divBdr>
                        <w:top w:val="none" w:sz="0" w:space="0" w:color="auto"/>
                        <w:left w:val="none" w:sz="0" w:space="0" w:color="auto"/>
                        <w:bottom w:val="none" w:sz="0" w:space="0" w:color="auto"/>
                        <w:right w:val="none" w:sz="0" w:space="0" w:color="auto"/>
                      </w:divBdr>
                      <w:divsChild>
                        <w:div w:id="110704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115696">
          <w:marLeft w:val="0"/>
          <w:marRight w:val="0"/>
          <w:marTop w:val="0"/>
          <w:marBottom w:val="0"/>
          <w:divBdr>
            <w:top w:val="none" w:sz="0" w:space="0" w:color="auto"/>
            <w:left w:val="none" w:sz="0" w:space="0" w:color="auto"/>
            <w:bottom w:val="none" w:sz="0" w:space="0" w:color="auto"/>
            <w:right w:val="none" w:sz="0" w:space="0" w:color="auto"/>
          </w:divBdr>
          <w:divsChild>
            <w:div w:id="78792341">
              <w:marLeft w:val="0"/>
              <w:marRight w:val="0"/>
              <w:marTop w:val="0"/>
              <w:marBottom w:val="0"/>
              <w:divBdr>
                <w:top w:val="none" w:sz="0" w:space="0" w:color="auto"/>
                <w:left w:val="none" w:sz="0" w:space="0" w:color="auto"/>
                <w:bottom w:val="none" w:sz="0" w:space="0" w:color="auto"/>
                <w:right w:val="none" w:sz="0" w:space="0" w:color="auto"/>
              </w:divBdr>
              <w:divsChild>
                <w:div w:id="1000700900">
                  <w:marLeft w:val="0"/>
                  <w:marRight w:val="0"/>
                  <w:marTop w:val="0"/>
                  <w:marBottom w:val="0"/>
                  <w:divBdr>
                    <w:top w:val="none" w:sz="0" w:space="0" w:color="auto"/>
                    <w:left w:val="none" w:sz="0" w:space="0" w:color="auto"/>
                    <w:bottom w:val="none" w:sz="0" w:space="0" w:color="auto"/>
                    <w:right w:val="none" w:sz="0" w:space="0" w:color="auto"/>
                  </w:divBdr>
                </w:div>
              </w:divsChild>
            </w:div>
            <w:div w:id="247347142">
              <w:marLeft w:val="0"/>
              <w:marRight w:val="0"/>
              <w:marTop w:val="0"/>
              <w:marBottom w:val="0"/>
              <w:divBdr>
                <w:top w:val="none" w:sz="0" w:space="0" w:color="auto"/>
                <w:left w:val="none" w:sz="0" w:space="0" w:color="auto"/>
                <w:bottom w:val="none" w:sz="0" w:space="0" w:color="auto"/>
                <w:right w:val="none" w:sz="0" w:space="0" w:color="auto"/>
              </w:divBdr>
              <w:divsChild>
                <w:div w:id="859902354">
                  <w:marLeft w:val="0"/>
                  <w:marRight w:val="0"/>
                  <w:marTop w:val="0"/>
                  <w:marBottom w:val="0"/>
                  <w:divBdr>
                    <w:top w:val="none" w:sz="0" w:space="0" w:color="auto"/>
                    <w:left w:val="none" w:sz="0" w:space="0" w:color="auto"/>
                    <w:bottom w:val="none" w:sz="0" w:space="0" w:color="auto"/>
                    <w:right w:val="none" w:sz="0" w:space="0" w:color="auto"/>
                  </w:divBdr>
                </w:div>
              </w:divsChild>
            </w:div>
            <w:div w:id="734820686">
              <w:marLeft w:val="0"/>
              <w:marRight w:val="0"/>
              <w:marTop w:val="0"/>
              <w:marBottom w:val="0"/>
              <w:divBdr>
                <w:top w:val="none" w:sz="0" w:space="0" w:color="auto"/>
                <w:left w:val="none" w:sz="0" w:space="0" w:color="auto"/>
                <w:bottom w:val="none" w:sz="0" w:space="0" w:color="auto"/>
                <w:right w:val="none" w:sz="0" w:space="0" w:color="auto"/>
              </w:divBdr>
              <w:divsChild>
                <w:div w:id="1907455185">
                  <w:marLeft w:val="0"/>
                  <w:marRight w:val="0"/>
                  <w:marTop w:val="0"/>
                  <w:marBottom w:val="0"/>
                  <w:divBdr>
                    <w:top w:val="none" w:sz="0" w:space="0" w:color="auto"/>
                    <w:left w:val="none" w:sz="0" w:space="0" w:color="auto"/>
                    <w:bottom w:val="none" w:sz="0" w:space="0" w:color="auto"/>
                    <w:right w:val="none" w:sz="0" w:space="0" w:color="auto"/>
                  </w:divBdr>
                </w:div>
              </w:divsChild>
            </w:div>
            <w:div w:id="1805198056">
              <w:marLeft w:val="0"/>
              <w:marRight w:val="0"/>
              <w:marTop w:val="0"/>
              <w:marBottom w:val="0"/>
              <w:divBdr>
                <w:top w:val="none" w:sz="0" w:space="0" w:color="auto"/>
                <w:left w:val="none" w:sz="0" w:space="0" w:color="auto"/>
                <w:bottom w:val="none" w:sz="0" w:space="0" w:color="auto"/>
                <w:right w:val="none" w:sz="0" w:space="0" w:color="auto"/>
              </w:divBdr>
              <w:divsChild>
                <w:div w:id="133642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22702">
          <w:marLeft w:val="0"/>
          <w:marRight w:val="0"/>
          <w:marTop w:val="0"/>
          <w:marBottom w:val="0"/>
          <w:divBdr>
            <w:top w:val="none" w:sz="0" w:space="0" w:color="auto"/>
            <w:left w:val="none" w:sz="0" w:space="0" w:color="auto"/>
            <w:bottom w:val="none" w:sz="0" w:space="0" w:color="auto"/>
            <w:right w:val="none" w:sz="0" w:space="0" w:color="auto"/>
          </w:divBdr>
          <w:divsChild>
            <w:div w:id="558516262">
              <w:marLeft w:val="0"/>
              <w:marRight w:val="0"/>
              <w:marTop w:val="0"/>
              <w:marBottom w:val="0"/>
              <w:divBdr>
                <w:top w:val="none" w:sz="0" w:space="0" w:color="auto"/>
                <w:left w:val="none" w:sz="0" w:space="0" w:color="auto"/>
                <w:bottom w:val="none" w:sz="0" w:space="0" w:color="auto"/>
                <w:right w:val="none" w:sz="0" w:space="0" w:color="auto"/>
              </w:divBdr>
              <w:divsChild>
                <w:div w:id="328949537">
                  <w:marLeft w:val="0"/>
                  <w:marRight w:val="0"/>
                  <w:marTop w:val="0"/>
                  <w:marBottom w:val="0"/>
                  <w:divBdr>
                    <w:top w:val="none" w:sz="0" w:space="0" w:color="auto"/>
                    <w:left w:val="none" w:sz="0" w:space="0" w:color="auto"/>
                    <w:bottom w:val="none" w:sz="0" w:space="0" w:color="auto"/>
                    <w:right w:val="none" w:sz="0" w:space="0" w:color="auto"/>
                  </w:divBdr>
                  <w:divsChild>
                    <w:div w:id="1381855374">
                      <w:marLeft w:val="0"/>
                      <w:marRight w:val="0"/>
                      <w:marTop w:val="0"/>
                      <w:marBottom w:val="0"/>
                      <w:divBdr>
                        <w:top w:val="none" w:sz="0" w:space="0" w:color="auto"/>
                        <w:left w:val="none" w:sz="0" w:space="0" w:color="auto"/>
                        <w:bottom w:val="none" w:sz="0" w:space="0" w:color="auto"/>
                        <w:right w:val="none" w:sz="0" w:space="0" w:color="auto"/>
                      </w:divBdr>
                      <w:divsChild>
                        <w:div w:id="94997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7506">
                  <w:marLeft w:val="0"/>
                  <w:marRight w:val="0"/>
                  <w:marTop w:val="0"/>
                  <w:marBottom w:val="0"/>
                  <w:divBdr>
                    <w:top w:val="none" w:sz="0" w:space="0" w:color="auto"/>
                    <w:left w:val="none" w:sz="0" w:space="0" w:color="auto"/>
                    <w:bottom w:val="none" w:sz="0" w:space="0" w:color="auto"/>
                    <w:right w:val="none" w:sz="0" w:space="0" w:color="auto"/>
                  </w:divBdr>
                  <w:divsChild>
                    <w:div w:id="321078999">
                      <w:marLeft w:val="0"/>
                      <w:marRight w:val="0"/>
                      <w:marTop w:val="0"/>
                      <w:marBottom w:val="0"/>
                      <w:divBdr>
                        <w:top w:val="none" w:sz="0" w:space="0" w:color="auto"/>
                        <w:left w:val="none" w:sz="0" w:space="0" w:color="auto"/>
                        <w:bottom w:val="none" w:sz="0" w:space="0" w:color="auto"/>
                        <w:right w:val="none" w:sz="0" w:space="0" w:color="auto"/>
                      </w:divBdr>
                      <w:divsChild>
                        <w:div w:id="67272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053542">
              <w:marLeft w:val="0"/>
              <w:marRight w:val="0"/>
              <w:marTop w:val="0"/>
              <w:marBottom w:val="0"/>
              <w:divBdr>
                <w:top w:val="none" w:sz="0" w:space="0" w:color="auto"/>
                <w:left w:val="none" w:sz="0" w:space="0" w:color="auto"/>
                <w:bottom w:val="none" w:sz="0" w:space="0" w:color="auto"/>
                <w:right w:val="none" w:sz="0" w:space="0" w:color="auto"/>
              </w:divBdr>
              <w:divsChild>
                <w:div w:id="14423510">
                  <w:marLeft w:val="0"/>
                  <w:marRight w:val="0"/>
                  <w:marTop w:val="0"/>
                  <w:marBottom w:val="0"/>
                  <w:divBdr>
                    <w:top w:val="none" w:sz="0" w:space="0" w:color="auto"/>
                    <w:left w:val="none" w:sz="0" w:space="0" w:color="auto"/>
                    <w:bottom w:val="none" w:sz="0" w:space="0" w:color="auto"/>
                    <w:right w:val="none" w:sz="0" w:space="0" w:color="auto"/>
                  </w:divBdr>
                  <w:divsChild>
                    <w:div w:id="21982125">
                      <w:marLeft w:val="0"/>
                      <w:marRight w:val="0"/>
                      <w:marTop w:val="0"/>
                      <w:marBottom w:val="0"/>
                      <w:divBdr>
                        <w:top w:val="none" w:sz="0" w:space="0" w:color="auto"/>
                        <w:left w:val="none" w:sz="0" w:space="0" w:color="auto"/>
                        <w:bottom w:val="none" w:sz="0" w:space="0" w:color="auto"/>
                        <w:right w:val="none" w:sz="0" w:space="0" w:color="auto"/>
                      </w:divBdr>
                      <w:divsChild>
                        <w:div w:id="208248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9991">
                  <w:marLeft w:val="0"/>
                  <w:marRight w:val="0"/>
                  <w:marTop w:val="0"/>
                  <w:marBottom w:val="0"/>
                  <w:divBdr>
                    <w:top w:val="none" w:sz="0" w:space="0" w:color="auto"/>
                    <w:left w:val="none" w:sz="0" w:space="0" w:color="auto"/>
                    <w:bottom w:val="none" w:sz="0" w:space="0" w:color="auto"/>
                    <w:right w:val="none" w:sz="0" w:space="0" w:color="auto"/>
                  </w:divBdr>
                  <w:divsChild>
                    <w:div w:id="2014718942">
                      <w:marLeft w:val="0"/>
                      <w:marRight w:val="0"/>
                      <w:marTop w:val="0"/>
                      <w:marBottom w:val="0"/>
                      <w:divBdr>
                        <w:top w:val="none" w:sz="0" w:space="0" w:color="auto"/>
                        <w:left w:val="none" w:sz="0" w:space="0" w:color="auto"/>
                        <w:bottom w:val="none" w:sz="0" w:space="0" w:color="auto"/>
                        <w:right w:val="none" w:sz="0" w:space="0" w:color="auto"/>
                      </w:divBdr>
                      <w:divsChild>
                        <w:div w:id="94569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83301">
              <w:marLeft w:val="0"/>
              <w:marRight w:val="0"/>
              <w:marTop w:val="0"/>
              <w:marBottom w:val="0"/>
              <w:divBdr>
                <w:top w:val="none" w:sz="0" w:space="0" w:color="auto"/>
                <w:left w:val="none" w:sz="0" w:space="0" w:color="auto"/>
                <w:bottom w:val="none" w:sz="0" w:space="0" w:color="auto"/>
                <w:right w:val="none" w:sz="0" w:space="0" w:color="auto"/>
              </w:divBdr>
              <w:divsChild>
                <w:div w:id="257954845">
                  <w:marLeft w:val="0"/>
                  <w:marRight w:val="0"/>
                  <w:marTop w:val="0"/>
                  <w:marBottom w:val="0"/>
                  <w:divBdr>
                    <w:top w:val="none" w:sz="0" w:space="0" w:color="auto"/>
                    <w:left w:val="none" w:sz="0" w:space="0" w:color="auto"/>
                    <w:bottom w:val="none" w:sz="0" w:space="0" w:color="auto"/>
                    <w:right w:val="none" w:sz="0" w:space="0" w:color="auto"/>
                  </w:divBdr>
                  <w:divsChild>
                    <w:div w:id="968163799">
                      <w:marLeft w:val="0"/>
                      <w:marRight w:val="0"/>
                      <w:marTop w:val="0"/>
                      <w:marBottom w:val="0"/>
                      <w:divBdr>
                        <w:top w:val="none" w:sz="0" w:space="0" w:color="auto"/>
                        <w:left w:val="none" w:sz="0" w:space="0" w:color="auto"/>
                        <w:bottom w:val="none" w:sz="0" w:space="0" w:color="auto"/>
                        <w:right w:val="none" w:sz="0" w:space="0" w:color="auto"/>
                      </w:divBdr>
                      <w:divsChild>
                        <w:div w:id="7806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688276">
                  <w:marLeft w:val="0"/>
                  <w:marRight w:val="0"/>
                  <w:marTop w:val="0"/>
                  <w:marBottom w:val="0"/>
                  <w:divBdr>
                    <w:top w:val="none" w:sz="0" w:space="0" w:color="auto"/>
                    <w:left w:val="none" w:sz="0" w:space="0" w:color="auto"/>
                    <w:bottom w:val="none" w:sz="0" w:space="0" w:color="auto"/>
                    <w:right w:val="none" w:sz="0" w:space="0" w:color="auto"/>
                  </w:divBdr>
                  <w:divsChild>
                    <w:div w:id="975647308">
                      <w:marLeft w:val="0"/>
                      <w:marRight w:val="0"/>
                      <w:marTop w:val="0"/>
                      <w:marBottom w:val="0"/>
                      <w:divBdr>
                        <w:top w:val="none" w:sz="0" w:space="0" w:color="auto"/>
                        <w:left w:val="none" w:sz="0" w:space="0" w:color="auto"/>
                        <w:bottom w:val="none" w:sz="0" w:space="0" w:color="auto"/>
                        <w:right w:val="none" w:sz="0" w:space="0" w:color="auto"/>
                      </w:divBdr>
                      <w:divsChild>
                        <w:div w:id="181398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35165">
              <w:marLeft w:val="0"/>
              <w:marRight w:val="0"/>
              <w:marTop w:val="0"/>
              <w:marBottom w:val="0"/>
              <w:divBdr>
                <w:top w:val="none" w:sz="0" w:space="0" w:color="auto"/>
                <w:left w:val="none" w:sz="0" w:space="0" w:color="auto"/>
                <w:bottom w:val="none" w:sz="0" w:space="0" w:color="auto"/>
                <w:right w:val="none" w:sz="0" w:space="0" w:color="auto"/>
              </w:divBdr>
              <w:divsChild>
                <w:div w:id="1183084381">
                  <w:marLeft w:val="0"/>
                  <w:marRight w:val="0"/>
                  <w:marTop w:val="0"/>
                  <w:marBottom w:val="0"/>
                  <w:divBdr>
                    <w:top w:val="none" w:sz="0" w:space="0" w:color="auto"/>
                    <w:left w:val="none" w:sz="0" w:space="0" w:color="auto"/>
                    <w:bottom w:val="none" w:sz="0" w:space="0" w:color="auto"/>
                    <w:right w:val="none" w:sz="0" w:space="0" w:color="auto"/>
                  </w:divBdr>
                  <w:divsChild>
                    <w:div w:id="434323245">
                      <w:marLeft w:val="0"/>
                      <w:marRight w:val="0"/>
                      <w:marTop w:val="0"/>
                      <w:marBottom w:val="0"/>
                      <w:divBdr>
                        <w:top w:val="none" w:sz="0" w:space="0" w:color="auto"/>
                        <w:left w:val="none" w:sz="0" w:space="0" w:color="auto"/>
                        <w:bottom w:val="none" w:sz="0" w:space="0" w:color="auto"/>
                        <w:right w:val="none" w:sz="0" w:space="0" w:color="auto"/>
                      </w:divBdr>
                      <w:divsChild>
                        <w:div w:id="2164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474264">
                  <w:marLeft w:val="0"/>
                  <w:marRight w:val="0"/>
                  <w:marTop w:val="0"/>
                  <w:marBottom w:val="0"/>
                  <w:divBdr>
                    <w:top w:val="none" w:sz="0" w:space="0" w:color="auto"/>
                    <w:left w:val="none" w:sz="0" w:space="0" w:color="auto"/>
                    <w:bottom w:val="none" w:sz="0" w:space="0" w:color="auto"/>
                    <w:right w:val="none" w:sz="0" w:space="0" w:color="auto"/>
                  </w:divBdr>
                  <w:divsChild>
                    <w:div w:id="1847011891">
                      <w:marLeft w:val="0"/>
                      <w:marRight w:val="0"/>
                      <w:marTop w:val="0"/>
                      <w:marBottom w:val="0"/>
                      <w:divBdr>
                        <w:top w:val="none" w:sz="0" w:space="0" w:color="auto"/>
                        <w:left w:val="none" w:sz="0" w:space="0" w:color="auto"/>
                        <w:bottom w:val="none" w:sz="0" w:space="0" w:color="auto"/>
                        <w:right w:val="none" w:sz="0" w:space="0" w:color="auto"/>
                      </w:divBdr>
                      <w:divsChild>
                        <w:div w:id="188108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565868">
              <w:marLeft w:val="0"/>
              <w:marRight w:val="0"/>
              <w:marTop w:val="0"/>
              <w:marBottom w:val="0"/>
              <w:divBdr>
                <w:top w:val="none" w:sz="0" w:space="0" w:color="auto"/>
                <w:left w:val="none" w:sz="0" w:space="0" w:color="auto"/>
                <w:bottom w:val="none" w:sz="0" w:space="0" w:color="auto"/>
                <w:right w:val="none" w:sz="0" w:space="0" w:color="auto"/>
              </w:divBdr>
              <w:divsChild>
                <w:div w:id="1938630181">
                  <w:marLeft w:val="0"/>
                  <w:marRight w:val="0"/>
                  <w:marTop w:val="0"/>
                  <w:marBottom w:val="0"/>
                  <w:divBdr>
                    <w:top w:val="none" w:sz="0" w:space="0" w:color="auto"/>
                    <w:left w:val="none" w:sz="0" w:space="0" w:color="auto"/>
                    <w:bottom w:val="none" w:sz="0" w:space="0" w:color="auto"/>
                    <w:right w:val="none" w:sz="0" w:space="0" w:color="auto"/>
                  </w:divBdr>
                </w:div>
              </w:divsChild>
            </w:div>
            <w:div w:id="1806267221">
              <w:marLeft w:val="0"/>
              <w:marRight w:val="0"/>
              <w:marTop w:val="0"/>
              <w:marBottom w:val="0"/>
              <w:divBdr>
                <w:top w:val="none" w:sz="0" w:space="0" w:color="auto"/>
                <w:left w:val="none" w:sz="0" w:space="0" w:color="auto"/>
                <w:bottom w:val="none" w:sz="0" w:space="0" w:color="auto"/>
                <w:right w:val="none" w:sz="0" w:space="0" w:color="auto"/>
              </w:divBdr>
              <w:divsChild>
                <w:div w:id="1174028390">
                  <w:marLeft w:val="0"/>
                  <w:marRight w:val="0"/>
                  <w:marTop w:val="0"/>
                  <w:marBottom w:val="0"/>
                  <w:divBdr>
                    <w:top w:val="none" w:sz="0" w:space="0" w:color="auto"/>
                    <w:left w:val="none" w:sz="0" w:space="0" w:color="auto"/>
                    <w:bottom w:val="none" w:sz="0" w:space="0" w:color="auto"/>
                    <w:right w:val="none" w:sz="0" w:space="0" w:color="auto"/>
                  </w:divBdr>
                  <w:divsChild>
                    <w:div w:id="1728992804">
                      <w:marLeft w:val="0"/>
                      <w:marRight w:val="0"/>
                      <w:marTop w:val="0"/>
                      <w:marBottom w:val="0"/>
                      <w:divBdr>
                        <w:top w:val="none" w:sz="0" w:space="0" w:color="auto"/>
                        <w:left w:val="none" w:sz="0" w:space="0" w:color="auto"/>
                        <w:bottom w:val="none" w:sz="0" w:space="0" w:color="auto"/>
                        <w:right w:val="none" w:sz="0" w:space="0" w:color="auto"/>
                      </w:divBdr>
                    </w:div>
                  </w:divsChild>
                </w:div>
                <w:div w:id="1189559640">
                  <w:marLeft w:val="0"/>
                  <w:marRight w:val="0"/>
                  <w:marTop w:val="0"/>
                  <w:marBottom w:val="0"/>
                  <w:divBdr>
                    <w:top w:val="none" w:sz="0" w:space="0" w:color="auto"/>
                    <w:left w:val="none" w:sz="0" w:space="0" w:color="auto"/>
                    <w:bottom w:val="none" w:sz="0" w:space="0" w:color="auto"/>
                    <w:right w:val="none" w:sz="0" w:space="0" w:color="auto"/>
                  </w:divBdr>
                  <w:divsChild>
                    <w:div w:id="37076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70221">
              <w:marLeft w:val="0"/>
              <w:marRight w:val="0"/>
              <w:marTop w:val="0"/>
              <w:marBottom w:val="0"/>
              <w:divBdr>
                <w:top w:val="none" w:sz="0" w:space="0" w:color="auto"/>
                <w:left w:val="none" w:sz="0" w:space="0" w:color="auto"/>
                <w:bottom w:val="none" w:sz="0" w:space="0" w:color="auto"/>
                <w:right w:val="none" w:sz="0" w:space="0" w:color="auto"/>
              </w:divBdr>
              <w:divsChild>
                <w:div w:id="550069798">
                  <w:marLeft w:val="0"/>
                  <w:marRight w:val="0"/>
                  <w:marTop w:val="0"/>
                  <w:marBottom w:val="0"/>
                  <w:divBdr>
                    <w:top w:val="none" w:sz="0" w:space="0" w:color="auto"/>
                    <w:left w:val="none" w:sz="0" w:space="0" w:color="auto"/>
                    <w:bottom w:val="none" w:sz="0" w:space="0" w:color="auto"/>
                    <w:right w:val="none" w:sz="0" w:space="0" w:color="auto"/>
                  </w:divBdr>
                </w:div>
              </w:divsChild>
            </w:div>
            <w:div w:id="1962878676">
              <w:marLeft w:val="0"/>
              <w:marRight w:val="0"/>
              <w:marTop w:val="0"/>
              <w:marBottom w:val="0"/>
              <w:divBdr>
                <w:top w:val="none" w:sz="0" w:space="0" w:color="auto"/>
                <w:left w:val="none" w:sz="0" w:space="0" w:color="auto"/>
                <w:bottom w:val="none" w:sz="0" w:space="0" w:color="auto"/>
                <w:right w:val="none" w:sz="0" w:space="0" w:color="auto"/>
              </w:divBdr>
              <w:divsChild>
                <w:div w:id="76826398">
                  <w:marLeft w:val="0"/>
                  <w:marRight w:val="0"/>
                  <w:marTop w:val="0"/>
                  <w:marBottom w:val="0"/>
                  <w:divBdr>
                    <w:top w:val="none" w:sz="0" w:space="0" w:color="auto"/>
                    <w:left w:val="none" w:sz="0" w:space="0" w:color="auto"/>
                    <w:bottom w:val="none" w:sz="0" w:space="0" w:color="auto"/>
                    <w:right w:val="none" w:sz="0" w:space="0" w:color="auto"/>
                  </w:divBdr>
                  <w:divsChild>
                    <w:div w:id="136321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300">
          <w:marLeft w:val="0"/>
          <w:marRight w:val="0"/>
          <w:marTop w:val="0"/>
          <w:marBottom w:val="0"/>
          <w:divBdr>
            <w:top w:val="none" w:sz="0" w:space="0" w:color="auto"/>
            <w:left w:val="none" w:sz="0" w:space="0" w:color="auto"/>
            <w:bottom w:val="none" w:sz="0" w:space="0" w:color="auto"/>
            <w:right w:val="none" w:sz="0" w:space="0" w:color="auto"/>
          </w:divBdr>
          <w:divsChild>
            <w:div w:id="858272599">
              <w:marLeft w:val="0"/>
              <w:marRight w:val="0"/>
              <w:marTop w:val="0"/>
              <w:marBottom w:val="0"/>
              <w:divBdr>
                <w:top w:val="none" w:sz="0" w:space="0" w:color="auto"/>
                <w:left w:val="none" w:sz="0" w:space="0" w:color="auto"/>
                <w:bottom w:val="none" w:sz="0" w:space="0" w:color="auto"/>
                <w:right w:val="none" w:sz="0" w:space="0" w:color="auto"/>
              </w:divBdr>
              <w:divsChild>
                <w:div w:id="747580567">
                  <w:marLeft w:val="0"/>
                  <w:marRight w:val="0"/>
                  <w:marTop w:val="0"/>
                  <w:marBottom w:val="0"/>
                  <w:divBdr>
                    <w:top w:val="none" w:sz="0" w:space="0" w:color="auto"/>
                    <w:left w:val="none" w:sz="0" w:space="0" w:color="auto"/>
                    <w:bottom w:val="none" w:sz="0" w:space="0" w:color="auto"/>
                    <w:right w:val="none" w:sz="0" w:space="0" w:color="auto"/>
                  </w:divBdr>
                </w:div>
              </w:divsChild>
            </w:div>
            <w:div w:id="1408499868">
              <w:marLeft w:val="0"/>
              <w:marRight w:val="0"/>
              <w:marTop w:val="0"/>
              <w:marBottom w:val="0"/>
              <w:divBdr>
                <w:top w:val="none" w:sz="0" w:space="0" w:color="auto"/>
                <w:left w:val="none" w:sz="0" w:space="0" w:color="auto"/>
                <w:bottom w:val="none" w:sz="0" w:space="0" w:color="auto"/>
                <w:right w:val="none" w:sz="0" w:space="0" w:color="auto"/>
              </w:divBdr>
              <w:divsChild>
                <w:div w:id="94427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923783">
      <w:bodyDiv w:val="1"/>
      <w:marLeft w:val="0"/>
      <w:marRight w:val="0"/>
      <w:marTop w:val="0"/>
      <w:marBottom w:val="0"/>
      <w:divBdr>
        <w:top w:val="none" w:sz="0" w:space="0" w:color="auto"/>
        <w:left w:val="none" w:sz="0" w:space="0" w:color="auto"/>
        <w:bottom w:val="none" w:sz="0" w:space="0" w:color="auto"/>
        <w:right w:val="none" w:sz="0" w:space="0" w:color="auto"/>
      </w:divBdr>
      <w:divsChild>
        <w:div w:id="18044796">
          <w:marLeft w:val="0"/>
          <w:marRight w:val="0"/>
          <w:marTop w:val="0"/>
          <w:marBottom w:val="0"/>
          <w:divBdr>
            <w:top w:val="none" w:sz="0" w:space="0" w:color="auto"/>
            <w:left w:val="none" w:sz="0" w:space="0" w:color="auto"/>
            <w:bottom w:val="none" w:sz="0" w:space="0" w:color="auto"/>
            <w:right w:val="none" w:sz="0" w:space="0" w:color="auto"/>
          </w:divBdr>
          <w:divsChild>
            <w:div w:id="1127359484">
              <w:marLeft w:val="0"/>
              <w:marRight w:val="0"/>
              <w:marTop w:val="0"/>
              <w:marBottom w:val="0"/>
              <w:divBdr>
                <w:top w:val="none" w:sz="0" w:space="0" w:color="auto"/>
                <w:left w:val="none" w:sz="0" w:space="0" w:color="auto"/>
                <w:bottom w:val="none" w:sz="0" w:space="0" w:color="auto"/>
                <w:right w:val="none" w:sz="0" w:space="0" w:color="auto"/>
              </w:divBdr>
              <w:divsChild>
                <w:div w:id="157767771">
                  <w:marLeft w:val="0"/>
                  <w:marRight w:val="0"/>
                  <w:marTop w:val="0"/>
                  <w:marBottom w:val="0"/>
                  <w:divBdr>
                    <w:top w:val="none" w:sz="0" w:space="0" w:color="auto"/>
                    <w:left w:val="none" w:sz="0" w:space="0" w:color="auto"/>
                    <w:bottom w:val="none" w:sz="0" w:space="0" w:color="auto"/>
                    <w:right w:val="none" w:sz="0" w:space="0" w:color="auto"/>
                  </w:divBdr>
                  <w:divsChild>
                    <w:div w:id="146623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733550">
      <w:bodyDiv w:val="1"/>
      <w:marLeft w:val="0"/>
      <w:marRight w:val="0"/>
      <w:marTop w:val="0"/>
      <w:marBottom w:val="0"/>
      <w:divBdr>
        <w:top w:val="none" w:sz="0" w:space="0" w:color="auto"/>
        <w:left w:val="none" w:sz="0" w:space="0" w:color="auto"/>
        <w:bottom w:val="none" w:sz="0" w:space="0" w:color="auto"/>
        <w:right w:val="none" w:sz="0" w:space="0" w:color="auto"/>
      </w:divBdr>
    </w:div>
    <w:div w:id="2039239561">
      <w:bodyDiv w:val="1"/>
      <w:marLeft w:val="0"/>
      <w:marRight w:val="0"/>
      <w:marTop w:val="0"/>
      <w:marBottom w:val="0"/>
      <w:divBdr>
        <w:top w:val="none" w:sz="0" w:space="0" w:color="auto"/>
        <w:left w:val="none" w:sz="0" w:space="0" w:color="auto"/>
        <w:bottom w:val="none" w:sz="0" w:space="0" w:color="auto"/>
        <w:right w:val="none" w:sz="0" w:space="0" w:color="auto"/>
      </w:divBdr>
      <w:divsChild>
        <w:div w:id="430928744">
          <w:marLeft w:val="0"/>
          <w:marRight w:val="0"/>
          <w:marTop w:val="0"/>
          <w:marBottom w:val="0"/>
          <w:divBdr>
            <w:top w:val="none" w:sz="0" w:space="0" w:color="auto"/>
            <w:left w:val="none" w:sz="0" w:space="0" w:color="auto"/>
            <w:bottom w:val="none" w:sz="0" w:space="0" w:color="auto"/>
            <w:right w:val="none" w:sz="0" w:space="0" w:color="auto"/>
          </w:divBdr>
          <w:divsChild>
            <w:div w:id="433936364">
              <w:marLeft w:val="0"/>
              <w:marRight w:val="0"/>
              <w:marTop w:val="0"/>
              <w:marBottom w:val="0"/>
              <w:divBdr>
                <w:top w:val="none" w:sz="0" w:space="0" w:color="auto"/>
                <w:left w:val="none" w:sz="0" w:space="0" w:color="auto"/>
                <w:bottom w:val="none" w:sz="0" w:space="0" w:color="auto"/>
                <w:right w:val="none" w:sz="0" w:space="0" w:color="auto"/>
              </w:divBdr>
              <w:divsChild>
                <w:div w:id="94557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529980">
      <w:bodyDiv w:val="1"/>
      <w:marLeft w:val="0"/>
      <w:marRight w:val="0"/>
      <w:marTop w:val="0"/>
      <w:marBottom w:val="0"/>
      <w:divBdr>
        <w:top w:val="none" w:sz="0" w:space="0" w:color="auto"/>
        <w:left w:val="none" w:sz="0" w:space="0" w:color="auto"/>
        <w:bottom w:val="none" w:sz="0" w:space="0" w:color="auto"/>
        <w:right w:val="none" w:sz="0" w:space="0" w:color="auto"/>
      </w:divBdr>
      <w:divsChild>
        <w:div w:id="105734504">
          <w:marLeft w:val="0"/>
          <w:marRight w:val="0"/>
          <w:marTop w:val="0"/>
          <w:marBottom w:val="0"/>
          <w:divBdr>
            <w:top w:val="none" w:sz="0" w:space="0" w:color="auto"/>
            <w:left w:val="none" w:sz="0" w:space="0" w:color="auto"/>
            <w:bottom w:val="none" w:sz="0" w:space="0" w:color="auto"/>
            <w:right w:val="none" w:sz="0" w:space="0" w:color="auto"/>
          </w:divBdr>
          <w:divsChild>
            <w:div w:id="261881986">
              <w:marLeft w:val="0"/>
              <w:marRight w:val="0"/>
              <w:marTop w:val="0"/>
              <w:marBottom w:val="0"/>
              <w:divBdr>
                <w:top w:val="none" w:sz="0" w:space="0" w:color="auto"/>
                <w:left w:val="none" w:sz="0" w:space="0" w:color="auto"/>
                <w:bottom w:val="none" w:sz="0" w:space="0" w:color="auto"/>
                <w:right w:val="none" w:sz="0" w:space="0" w:color="auto"/>
              </w:divBdr>
              <w:divsChild>
                <w:div w:id="149333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mena/reports/violent-discipline-middle-east-and-north-africa-region" TargetMode="External"/><Relationship Id="rId3" Type="http://schemas.openxmlformats.org/officeDocument/2006/relationships/hyperlink" Target="https://tbinternet.ohchr.org/_layouts/15/treatybodyexternal/Download.aspx?symbolno=CRC%2fC%2fYEM%2fCO%2f4&amp;Lang=en" TargetMode="External"/><Relationship Id="rId7" Type="http://schemas.openxmlformats.org/officeDocument/2006/relationships/hyperlink" Target="https://web.archive.org/web/20080503222048/http:/www.parliament.nsw.gov.au/prod/lc/qalc.nsf/ad22cc96ba50555dca257051007aa5c8/ca25707400260aa3ca25706f0001d5c8!OpenDocument" TargetMode="External"/><Relationship Id="rId2" Type="http://schemas.openxmlformats.org/officeDocument/2006/relationships/hyperlink" Target="https://www.hrw.org/news/2015/12/03/people-disabilities-added-risk-war-displacement" TargetMode="External"/><Relationship Id="rId1" Type="http://schemas.openxmlformats.org/officeDocument/2006/relationships/hyperlink" Target="https://www.unicef.org/emergencies/yemen-crisis" TargetMode="External"/><Relationship Id="rId6" Type="http://schemas.openxmlformats.org/officeDocument/2006/relationships/hyperlink" Target="http://rcpch.adlibhosting.com/files/Corporal%20Punishment%20Position%20Statement%202009-11.pdf" TargetMode="External"/><Relationship Id="rId5" Type="http://schemas.openxmlformats.org/officeDocument/2006/relationships/hyperlink" Target="https://www.adolescenthealth.org/SAHM_Main/media/Advocacy/Positions/May-03-Corporal_Punishment_in_Schools.pdf" TargetMode="External"/><Relationship Id="rId4" Type="http://schemas.openxmlformats.org/officeDocument/2006/relationships/hyperlink" Target="https://www.ohchr.org/en/press-releases/2009/10/committee-rights-child-examines-report-yemen" TargetMode="External"/><Relationship Id="rId9" Type="http://schemas.openxmlformats.org/officeDocument/2006/relationships/hyperlink" Target="https://www.un.org/press/en/2021/sc14410.doc.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1812</Words>
  <Characters>10335</Characters>
  <Application>Microsoft Office Word</Application>
  <DocSecurity>0</DocSecurity>
  <Lines>86</Lines>
  <Paragraphs>24</Paragraphs>
  <ScaleCrop>false</ScaleCrop>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Niku Jafarnia</dc:creator>
  <cp:keywords/>
  <dc:description/>
  <cp:lastModifiedBy>Celine Reynaud</cp:lastModifiedBy>
  <cp:revision>2</cp:revision>
  <dcterms:created xsi:type="dcterms:W3CDTF">2023-01-17T09:41:00Z</dcterms:created>
  <dcterms:modified xsi:type="dcterms:W3CDTF">2023-01-17T09:41:00Z</dcterms:modified>
</cp:coreProperties>
</file>