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DAF" w:rsidRPr="006D4DAF" w:rsidRDefault="006D4DAF" w:rsidP="006D4DAF">
      <w:pPr>
        <w:jc w:val="center"/>
        <w:rPr>
          <w:rFonts w:ascii="Arial" w:hAnsi="Arial" w:cs="Arial"/>
          <w:b/>
          <w:sz w:val="24"/>
          <w:szCs w:val="24"/>
        </w:rPr>
      </w:pPr>
      <w:r w:rsidRPr="006D4DAF">
        <w:rPr>
          <w:rFonts w:ascii="Arial" w:hAnsi="Arial" w:cs="Arial"/>
          <w:b/>
          <w:sz w:val="24"/>
          <w:szCs w:val="24"/>
        </w:rPr>
        <w:t>ANEXO HOGARES</w:t>
      </w:r>
    </w:p>
    <w:p w:rsidR="00B851FF" w:rsidRPr="006D4DAF" w:rsidRDefault="006D4DAF" w:rsidP="001B786F">
      <w:pPr>
        <w:jc w:val="both"/>
        <w:rPr>
          <w:rFonts w:ascii="Arial" w:hAnsi="Arial" w:cs="Arial"/>
          <w:sz w:val="24"/>
          <w:szCs w:val="24"/>
        </w:rPr>
      </w:pPr>
      <w:r w:rsidRPr="006D4DAF">
        <w:rPr>
          <w:rFonts w:ascii="Arial" w:hAnsi="Arial" w:cs="Arial"/>
          <w:sz w:val="24"/>
          <w:szCs w:val="24"/>
        </w:rPr>
        <w:t xml:space="preserve"> Hogares por tipo, según provincia. Total del país. Año 2010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2"/>
        <w:gridCol w:w="941"/>
        <w:gridCol w:w="994"/>
        <w:gridCol w:w="699"/>
        <w:gridCol w:w="855"/>
        <w:gridCol w:w="1137"/>
        <w:gridCol w:w="1156"/>
      </w:tblGrid>
      <w:tr w:rsidR="00261DF0" w:rsidRPr="00261DF0" w:rsidTr="00261DF0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Provincia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 xml:space="preserve">Total 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Tipo de hogar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Unipersonal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proofErr w:type="spellStart"/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Multipersonal</w:t>
            </w:r>
            <w:proofErr w:type="spellEnd"/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 xml:space="preserve"> familiar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 xml:space="preserve">  </w:t>
            </w:r>
            <w:proofErr w:type="spellStart"/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Multipersonal</w:t>
            </w:r>
            <w:proofErr w:type="spellEnd"/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 xml:space="preserve"> no familiar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 xml:space="preserve">  Nuclear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 xml:space="preserve"> Extendido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 xml:space="preserve">    Compuesto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%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Total del país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12.171.675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17,7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62,0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  <w:t>0,9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Ciudad Autónoma de Buenos Aires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1.150.134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30,3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54,5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12,2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1,8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Buenos Aires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4.789.484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16,8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63,6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17,7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0,7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Catamarca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96.001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14,2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56,6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0,8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288.422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14,3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62,0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21,6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0,8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Chubut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157.166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62,6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16,3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1,1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Córdoba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1.031.843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62,4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16,8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1,2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267.797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14,7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59,4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23,0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1,1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Entre Ríos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375.121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17,3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64,4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16,2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1,0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Formosa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140.303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14,6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58,3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24,1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1,0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Jujuy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174.630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13,8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57,6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0,6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La Pampa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107.674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21,8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63,4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12,6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1,0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91.097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14,9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58,5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24,1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1,0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494.841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13,6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65,6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18,8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0,7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Misiones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302.953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14,6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65,7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17,2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0,9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Neuquén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170.057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17,6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64,1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1,0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Río Negro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199.189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18,4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15,9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1,0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299.794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12,9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56,6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27,9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0,9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177.155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11,0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65,4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22,0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0,5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San Luis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126.922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16,8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61,9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1,1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Santa Cruz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81.796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17,7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62,0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16,4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1,7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Santa Fe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1.023.777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19,1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63,1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1,0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Santiago del Estero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218025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12,3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57,5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27,6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0,8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Tierra del Fuego, Antártida e Islas del Atlántico Sur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38.956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17,7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63,5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15,1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1,6</w:t>
            </w:r>
          </w:p>
        </w:tc>
      </w:tr>
      <w:tr w:rsidR="00261DF0" w:rsidRPr="00261DF0" w:rsidTr="00261DF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Tucumán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368.538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26,1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1DF0" w:rsidRPr="00261DF0" w:rsidRDefault="00261DF0" w:rsidP="00261D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es-AR"/>
              </w:rPr>
            </w:pPr>
            <w:r w:rsidRPr="00261DF0">
              <w:rPr>
                <w:rFonts w:ascii="Arial" w:eastAsia="Times New Roman" w:hAnsi="Arial" w:cs="Arial"/>
                <w:sz w:val="16"/>
                <w:szCs w:val="16"/>
                <w:lang w:eastAsia="es-AR"/>
              </w:rPr>
              <w:t>0,7</w:t>
            </w:r>
          </w:p>
        </w:tc>
      </w:tr>
    </w:tbl>
    <w:p w:rsidR="00261DF0" w:rsidRDefault="00261DF0" w:rsidP="00261DF0">
      <w:pPr>
        <w:jc w:val="both"/>
      </w:pPr>
      <w:r>
        <w:t>Fuente: INDEC. Dirección de Estadísticas Sectoriales en base a Censo Nacional de Población, Hogares y Viviendas 2010.</w:t>
      </w:r>
    </w:p>
    <w:p w:rsidR="003F7C30" w:rsidRPr="003F7C30" w:rsidRDefault="00261DF0" w:rsidP="003F7C30">
      <w:pPr>
        <w:spacing w:line="240" w:lineRule="auto"/>
        <w:jc w:val="both"/>
        <w:rPr>
          <w:sz w:val="20"/>
          <w:szCs w:val="20"/>
        </w:rPr>
      </w:pPr>
      <w:r w:rsidRPr="003F7C30">
        <w:rPr>
          <w:sz w:val="20"/>
          <w:szCs w:val="20"/>
        </w:rPr>
        <w:t>Hogar unipersonal: jefe solamente.</w:t>
      </w:r>
    </w:p>
    <w:p w:rsidR="00261DF0" w:rsidRPr="003F7C30" w:rsidRDefault="00261DF0" w:rsidP="003F7C30">
      <w:pPr>
        <w:spacing w:line="240" w:lineRule="auto"/>
        <w:jc w:val="both"/>
        <w:rPr>
          <w:sz w:val="20"/>
          <w:szCs w:val="20"/>
        </w:rPr>
      </w:pPr>
      <w:r w:rsidRPr="003F7C30">
        <w:rPr>
          <w:sz w:val="20"/>
          <w:szCs w:val="20"/>
        </w:rPr>
        <w:t>Hogar familiar nuclear: jefe con cónyuge con o sin hijo/s, o uno s</w:t>
      </w:r>
      <w:bookmarkStart w:id="0" w:name="_GoBack"/>
      <w:bookmarkEnd w:id="0"/>
      <w:r w:rsidRPr="003F7C30">
        <w:rPr>
          <w:sz w:val="20"/>
          <w:szCs w:val="20"/>
        </w:rPr>
        <w:t xml:space="preserve">ólo de los cónyuges con hijo/s. </w:t>
      </w:r>
    </w:p>
    <w:p w:rsidR="00261DF0" w:rsidRPr="003F7C30" w:rsidRDefault="00261DF0" w:rsidP="003F7C30">
      <w:pPr>
        <w:spacing w:line="240" w:lineRule="auto"/>
        <w:jc w:val="both"/>
        <w:rPr>
          <w:sz w:val="20"/>
          <w:szCs w:val="20"/>
        </w:rPr>
      </w:pPr>
      <w:r w:rsidRPr="003F7C30">
        <w:rPr>
          <w:sz w:val="20"/>
          <w:szCs w:val="20"/>
        </w:rPr>
        <w:t>Hogar familiar extendido: hogar nuclear con el agregado de otros familiares u hogares que aunque no tienen núcleo, están integrados por personas emparentadas entre sí.</w:t>
      </w:r>
    </w:p>
    <w:p w:rsidR="00261DF0" w:rsidRPr="003F7C30" w:rsidRDefault="00261DF0" w:rsidP="003F7C30">
      <w:pPr>
        <w:spacing w:line="240" w:lineRule="auto"/>
        <w:jc w:val="both"/>
        <w:rPr>
          <w:sz w:val="20"/>
          <w:szCs w:val="20"/>
        </w:rPr>
      </w:pPr>
      <w:r w:rsidRPr="003F7C30">
        <w:rPr>
          <w:sz w:val="20"/>
          <w:szCs w:val="20"/>
        </w:rPr>
        <w:t xml:space="preserve">Hogar familiar compuesto: hogar nuclear con el agregado de otros no familiares (con o sin otros </w:t>
      </w:r>
      <w:proofErr w:type="spellStart"/>
      <w:r w:rsidRPr="003F7C30">
        <w:rPr>
          <w:sz w:val="20"/>
          <w:szCs w:val="20"/>
        </w:rPr>
        <w:t>familliares</w:t>
      </w:r>
      <w:proofErr w:type="spellEnd"/>
      <w:r w:rsidRPr="003F7C30">
        <w:rPr>
          <w:sz w:val="20"/>
          <w:szCs w:val="20"/>
        </w:rPr>
        <w:t>) u hogares sin núcleo familiar, en el que conviven familiares con otros no familiares.</w:t>
      </w:r>
      <w:r w:rsidRPr="003F7C30">
        <w:rPr>
          <w:sz w:val="20"/>
          <w:szCs w:val="20"/>
        </w:rPr>
        <w:tab/>
      </w:r>
    </w:p>
    <w:p w:rsidR="006D4DAF" w:rsidRPr="003F7C30" w:rsidRDefault="00261DF0" w:rsidP="003F7C30">
      <w:pPr>
        <w:spacing w:line="240" w:lineRule="auto"/>
        <w:jc w:val="both"/>
        <w:rPr>
          <w:sz w:val="20"/>
          <w:szCs w:val="20"/>
        </w:rPr>
      </w:pPr>
      <w:r w:rsidRPr="003F7C30">
        <w:rPr>
          <w:sz w:val="20"/>
          <w:szCs w:val="20"/>
        </w:rPr>
        <w:t xml:space="preserve">Hogar </w:t>
      </w:r>
      <w:proofErr w:type="spellStart"/>
      <w:r w:rsidRPr="003F7C30">
        <w:rPr>
          <w:sz w:val="20"/>
          <w:szCs w:val="20"/>
        </w:rPr>
        <w:t>multipersonal</w:t>
      </w:r>
      <w:proofErr w:type="spellEnd"/>
      <w:r w:rsidRPr="003F7C30">
        <w:rPr>
          <w:sz w:val="20"/>
          <w:szCs w:val="20"/>
        </w:rPr>
        <w:t xml:space="preserve"> no familiar: conformado por personas no emparentadas entre sí.</w:t>
      </w:r>
    </w:p>
    <w:p w:rsidR="003F7C30" w:rsidRPr="003F7C30" w:rsidRDefault="003F7C30" w:rsidP="003F7C30">
      <w:pPr>
        <w:spacing w:line="240" w:lineRule="auto"/>
        <w:jc w:val="both"/>
        <w:rPr>
          <w:sz w:val="20"/>
          <w:szCs w:val="20"/>
        </w:rPr>
      </w:pPr>
      <w:r w:rsidRPr="003F7C30">
        <w:rPr>
          <w:sz w:val="20"/>
          <w:szCs w:val="20"/>
        </w:rPr>
        <w:t xml:space="preserve">Definición de </w:t>
      </w:r>
      <w:r w:rsidRPr="003F7C30">
        <w:rPr>
          <w:sz w:val="20"/>
          <w:szCs w:val="20"/>
        </w:rPr>
        <w:t>Hogar</w:t>
      </w:r>
      <w:r w:rsidRPr="003F7C30">
        <w:rPr>
          <w:sz w:val="20"/>
          <w:szCs w:val="20"/>
        </w:rPr>
        <w:t xml:space="preserve">: </w:t>
      </w:r>
      <w:r w:rsidRPr="003F7C30">
        <w:rPr>
          <w:sz w:val="20"/>
          <w:szCs w:val="20"/>
        </w:rPr>
        <w:t>Grupo de personas (emparentadas o no emparentadas entre sí) que comparten la misma vivienda, las que se asocian para proveer en común a sus necesidades alimenticias o de otra índole vital. Comprende también los hogares unipersonales.</w:t>
      </w:r>
    </w:p>
    <w:p w:rsidR="003F7C30" w:rsidRPr="003F7C30" w:rsidRDefault="003F7C30" w:rsidP="003F7C30">
      <w:pPr>
        <w:spacing w:line="240" w:lineRule="auto"/>
        <w:jc w:val="both"/>
        <w:rPr>
          <w:sz w:val="20"/>
          <w:szCs w:val="20"/>
        </w:rPr>
      </w:pPr>
      <w:r w:rsidRPr="003F7C30">
        <w:rPr>
          <w:sz w:val="20"/>
          <w:szCs w:val="20"/>
        </w:rPr>
        <w:t>Familia</w:t>
      </w:r>
      <w:r w:rsidRPr="003F7C30">
        <w:rPr>
          <w:sz w:val="20"/>
          <w:szCs w:val="20"/>
        </w:rPr>
        <w:t xml:space="preserve">: </w:t>
      </w:r>
      <w:r w:rsidRPr="003F7C30">
        <w:rPr>
          <w:sz w:val="20"/>
          <w:szCs w:val="20"/>
        </w:rPr>
        <w:t>La familia comprende a dos o más miembros de un hogar, emparentados entre sí por sangre, adopción o matrimonio.  Existe un tipo de familia --denominado núcleo conyugal-- que es crucial en la diferenciación de los hogares y las familias por lo que lo describiremos en detalle más adelante.</w:t>
      </w:r>
    </w:p>
    <w:sectPr w:rsidR="003F7C30" w:rsidRPr="003F7C30" w:rsidSect="003F7C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701" w:bottom="1276" w:left="1701" w:header="709" w:footer="1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29" w:rsidRDefault="00112E29" w:rsidP="00EA371A">
      <w:pPr>
        <w:spacing w:after="0" w:line="240" w:lineRule="auto"/>
      </w:pPr>
      <w:r>
        <w:separator/>
      </w:r>
    </w:p>
  </w:endnote>
  <w:endnote w:type="continuationSeparator" w:id="0">
    <w:p w:rsidR="00112E29" w:rsidRDefault="00112E29" w:rsidP="00EA3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29" w:rsidRDefault="00112E29" w:rsidP="00EA371A">
      <w:pPr>
        <w:spacing w:after="0" w:line="240" w:lineRule="auto"/>
      </w:pPr>
      <w:r>
        <w:separator/>
      </w:r>
    </w:p>
  </w:footnote>
  <w:footnote w:type="continuationSeparator" w:id="0">
    <w:p w:rsidR="00112E29" w:rsidRDefault="00112E29" w:rsidP="00EA3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1A" w:rsidRPr="004975FC" w:rsidRDefault="004975FC" w:rsidP="004975FC">
    <w:pPr>
      <w:pStyle w:val="Encabezado"/>
      <w:jc w:val="center"/>
      <w:rPr>
        <w:sz w:val="24"/>
        <w:szCs w:val="24"/>
      </w:rPr>
    </w:pPr>
    <w:r w:rsidRPr="004975FC">
      <w:rPr>
        <w:sz w:val="24"/>
        <w:szCs w:val="24"/>
      </w:rPr>
      <w:t>República Argentina</w:t>
    </w:r>
  </w:p>
  <w:p w:rsidR="00EA371A" w:rsidRDefault="00EA371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-1118235</wp:posOffset>
          </wp:positionH>
          <wp:positionV relativeFrom="paragraph">
            <wp:posOffset>-612939</wp:posOffset>
          </wp:positionV>
          <wp:extent cx="7581900" cy="10724679"/>
          <wp:effectExtent l="0" t="0" r="0" b="63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ntilla-word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603" cy="10728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1A"/>
    <w:rsid w:val="00112E29"/>
    <w:rsid w:val="001B786F"/>
    <w:rsid w:val="00261DF0"/>
    <w:rsid w:val="002D1C74"/>
    <w:rsid w:val="003F7C30"/>
    <w:rsid w:val="004975FC"/>
    <w:rsid w:val="004C6071"/>
    <w:rsid w:val="006254A8"/>
    <w:rsid w:val="006D4DAF"/>
    <w:rsid w:val="007170BE"/>
    <w:rsid w:val="008D63F2"/>
    <w:rsid w:val="00D422ED"/>
    <w:rsid w:val="00D96D25"/>
    <w:rsid w:val="00EA371A"/>
    <w:rsid w:val="00F9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5:chartTrackingRefBased/>
  <w15:docId w15:val="{27910099-66BE-4BE8-AE6C-7545B981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7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7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7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78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B78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371A"/>
  </w:style>
  <w:style w:type="paragraph" w:styleId="Piedepgina">
    <w:name w:val="footer"/>
    <w:basedOn w:val="Normal"/>
    <w:link w:val="Piedepgina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371A"/>
  </w:style>
  <w:style w:type="character" w:customStyle="1" w:styleId="Ttulo1Car">
    <w:name w:val="Título 1 Car"/>
    <w:basedOn w:val="Fuentedeprrafopredeter"/>
    <w:link w:val="Ttulo1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B7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1B78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1B786F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05EB75-880C-451D-93DB-842FDF9ABC7E}"/>
</file>

<file path=customXml/itemProps2.xml><?xml version="1.0" encoding="utf-8"?>
<ds:datastoreItem xmlns:ds="http://schemas.openxmlformats.org/officeDocument/2006/customXml" ds:itemID="{27B9C4F2-BA58-4EE6-BFBD-D78C595BAF94}"/>
</file>

<file path=customXml/itemProps3.xml><?xml version="1.0" encoding="utf-8"?>
<ds:datastoreItem xmlns:ds="http://schemas.openxmlformats.org/officeDocument/2006/customXml" ds:itemID="{ADFAA9C8-9620-4CBC-9AD2-A6F87099A6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Damian Lopez</dc:creator>
  <cp:keywords/>
  <dc:description/>
  <cp:lastModifiedBy>Alejo Torres de la Puerta</cp:lastModifiedBy>
  <cp:revision>4</cp:revision>
  <dcterms:created xsi:type="dcterms:W3CDTF">2018-02-14T18:24:00Z</dcterms:created>
  <dcterms:modified xsi:type="dcterms:W3CDTF">2018-02-14T18:34:00Z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