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4491E" w:rsidRPr="00B2025C" w:rsidRDefault="00B4491E" w:rsidP="00B4491E">
      <w:pPr>
        <w:pStyle w:val="EndnoteText"/>
        <w:spacing w:after="120" w:line="276" w:lineRule="auto"/>
        <w:ind w:left="-284"/>
        <w:jc w:val="center"/>
        <w:rPr>
          <w:rFonts w:ascii="Times New Roman" w:hAnsi="Times New Roman"/>
          <w:b/>
          <w:sz w:val="22"/>
          <w:szCs w:val="22"/>
          <w:u w:val="single"/>
          <w:lang w:val="fr-FR"/>
        </w:rPr>
      </w:pPr>
      <w:r>
        <w:rPr>
          <w:rFonts w:ascii="Times New Roman" w:hAnsi="Times New Roman"/>
          <w:b/>
          <w:sz w:val="22"/>
          <w:szCs w:val="22"/>
          <w:u w:val="single"/>
          <w:lang w:val="fr-FR"/>
        </w:rPr>
        <w:t>Annexe 5</w:t>
      </w:r>
      <w:r w:rsidRPr="00B2025C">
        <w:rPr>
          <w:rFonts w:ascii="Times New Roman" w:hAnsi="Times New Roman"/>
          <w:b/>
          <w:sz w:val="22"/>
          <w:szCs w:val="22"/>
          <w:u w:val="single"/>
          <w:lang w:val="fr-FR"/>
        </w:rPr>
        <w:t xml:space="preserve"> – </w:t>
      </w:r>
      <w:r>
        <w:rPr>
          <w:rFonts w:ascii="Times New Roman" w:hAnsi="Times New Roman"/>
          <w:b/>
          <w:sz w:val="22"/>
          <w:szCs w:val="22"/>
          <w:u w:val="single"/>
          <w:lang w:val="fr-FR"/>
        </w:rPr>
        <w:t>Définitions de la discrimination</w:t>
      </w:r>
      <w:bookmarkStart w:id="0" w:name="_GoBack"/>
      <w:bookmarkEnd w:id="0"/>
    </w:p>
    <w:p w:rsidR="00B4491E" w:rsidRDefault="00B4491E" w:rsidP="003062B4">
      <w:pPr>
        <w:spacing w:line="240" w:lineRule="auto"/>
        <w:ind w:right="-23"/>
        <w:jc w:val="both"/>
        <w:rPr>
          <w:rFonts w:ascii="Times New Roman" w:hAnsi="Times New Roman"/>
          <w:szCs w:val="20"/>
          <w:lang w:val="fr-FR"/>
        </w:rPr>
      </w:pPr>
    </w:p>
    <w:p w:rsidR="003062B4" w:rsidRPr="005D3A79" w:rsidRDefault="003062B4" w:rsidP="00B4491E">
      <w:pPr>
        <w:spacing w:line="240" w:lineRule="auto"/>
        <w:ind w:left="-426" w:right="-23"/>
        <w:jc w:val="both"/>
        <w:rPr>
          <w:rFonts w:ascii="Times New Roman" w:hAnsi="Times New Roman"/>
          <w:szCs w:val="20"/>
          <w:lang w:val="fr-FR"/>
        </w:rPr>
      </w:pPr>
      <w:r w:rsidRPr="005D3A79">
        <w:rPr>
          <w:rFonts w:ascii="Times New Roman" w:hAnsi="Times New Roman"/>
          <w:szCs w:val="20"/>
          <w:lang w:val="fr-FR"/>
        </w:rPr>
        <w:t>La discrimination peut être directe ou indirecte et inclut également le harcèlement et l’injonction de discriminer.</w:t>
      </w:r>
    </w:p>
    <w:p w:rsidR="003062B4" w:rsidRPr="005D3A79" w:rsidRDefault="003062B4" w:rsidP="003062B4">
      <w:pPr>
        <w:spacing w:after="0" w:line="240" w:lineRule="auto"/>
        <w:ind w:left="-426" w:right="-23"/>
        <w:contextualSpacing/>
        <w:jc w:val="both"/>
        <w:rPr>
          <w:rFonts w:ascii="Times New Roman" w:hAnsi="Times New Roman"/>
          <w:szCs w:val="20"/>
          <w:u w:val="single"/>
          <w:lang w:val="fr-FR"/>
        </w:rPr>
      </w:pPr>
      <w:r w:rsidRPr="005D3A79">
        <w:rPr>
          <w:rFonts w:ascii="Times New Roman" w:hAnsi="Times New Roman"/>
          <w:szCs w:val="20"/>
          <w:u w:val="single"/>
          <w:lang w:val="fr-FR"/>
        </w:rPr>
        <w:t>La discrimination directe</w:t>
      </w:r>
    </w:p>
    <w:p w:rsidR="003062B4" w:rsidRPr="005D3A79" w:rsidRDefault="003062B4" w:rsidP="003062B4">
      <w:pPr>
        <w:spacing w:after="0" w:line="240" w:lineRule="auto"/>
        <w:ind w:left="-426" w:right="-23"/>
        <w:contextualSpacing/>
        <w:jc w:val="both"/>
        <w:rPr>
          <w:rFonts w:ascii="Times New Roman" w:hAnsi="Times New Roman"/>
          <w:szCs w:val="20"/>
          <w:lang w:val="fr-FR"/>
        </w:rPr>
      </w:pPr>
    </w:p>
    <w:p w:rsidR="003062B4" w:rsidRPr="005D3A79" w:rsidRDefault="003062B4" w:rsidP="00B4491E">
      <w:pPr>
        <w:spacing w:line="240" w:lineRule="auto"/>
        <w:ind w:left="-426" w:right="-23"/>
        <w:jc w:val="both"/>
        <w:rPr>
          <w:rFonts w:ascii="Times New Roman" w:hAnsi="Times New Roman"/>
          <w:szCs w:val="20"/>
          <w:lang w:val="fr-FR"/>
        </w:rPr>
      </w:pPr>
      <w:r w:rsidRPr="005D3A79">
        <w:rPr>
          <w:rFonts w:ascii="Times New Roman" w:hAnsi="Times New Roman"/>
          <w:szCs w:val="20"/>
          <w:lang w:val="fr-FR"/>
        </w:rPr>
        <w:t>La discrimination directe est définie comme étant toute « distinction directe, fondée sur l'un des critères protégés, qui ne peut être justifiée » conformément aux trois lois fédérales. La distinction directe est, quant à elle, définie comme étant «la situation qui se produit lorsque, sur la base de l'un des critères protégés, une personne est traitée de manière moins favorable qu'une autre personne ne l'est, ne l'a été ou ne le serait dans une situation comparable ».  </w:t>
      </w:r>
    </w:p>
    <w:p w:rsidR="003062B4" w:rsidRPr="005D3A79" w:rsidRDefault="003062B4" w:rsidP="00B4491E">
      <w:pPr>
        <w:spacing w:line="240" w:lineRule="auto"/>
        <w:ind w:left="-426" w:right="-23"/>
        <w:jc w:val="both"/>
        <w:rPr>
          <w:rFonts w:ascii="Times New Roman" w:hAnsi="Times New Roman"/>
          <w:szCs w:val="20"/>
          <w:lang w:val="fr-FR"/>
        </w:rPr>
      </w:pPr>
      <w:r w:rsidRPr="005D3A79">
        <w:rPr>
          <w:rFonts w:ascii="Times New Roman" w:hAnsi="Times New Roman"/>
          <w:szCs w:val="20"/>
          <w:lang w:val="fr-FR"/>
        </w:rPr>
        <w:t>En principe, la notion de discrimination directe ne comporte pas d’élément intentionnel. Néanmoins, lorsque la victime désire porter l’affaire devant les juridictions pénales, il est nécessaire de prouver que l’auteur de la discrimination a consciemment voulu le résultat discriminatoire (dol spécial).</w:t>
      </w:r>
    </w:p>
    <w:p w:rsidR="003062B4" w:rsidRPr="005D3A79" w:rsidRDefault="003062B4" w:rsidP="00B4491E">
      <w:pPr>
        <w:spacing w:line="240" w:lineRule="auto"/>
        <w:ind w:left="-426" w:right="-23"/>
        <w:jc w:val="both"/>
        <w:rPr>
          <w:rFonts w:ascii="Times New Roman" w:hAnsi="Times New Roman"/>
          <w:szCs w:val="20"/>
          <w:lang w:val="fr-FR"/>
        </w:rPr>
      </w:pPr>
      <w:r w:rsidRPr="005D3A79">
        <w:rPr>
          <w:rFonts w:ascii="Times New Roman" w:hAnsi="Times New Roman"/>
          <w:szCs w:val="20"/>
          <w:lang w:val="fr-FR"/>
        </w:rPr>
        <w:t>Dans le cadre de la loi du 30 juillet 1981 visant à réprimer certains actes inspirés par le racisme et la xénophobie, il est prévu qu’à l’exception du domaine des relations de travail, il n’est jamais possible de justifier une distinction directe fondée sur la prétendue race, la couleur de peau, l’ascendance ou l’origine nationale ou ethnique. Seul le critère de la nationalité admet les justifications objectives, pour autant qu’elles soient motivées par un but légitime et que les moyens utilisés pour mettre en œuvre cet objectif soient appropriés et nécessaires.</w:t>
      </w:r>
    </w:p>
    <w:p w:rsidR="003062B4" w:rsidRPr="005D3A79" w:rsidRDefault="003062B4" w:rsidP="00B4491E">
      <w:pPr>
        <w:spacing w:line="240" w:lineRule="auto"/>
        <w:ind w:left="-426" w:right="-23"/>
        <w:jc w:val="both"/>
        <w:rPr>
          <w:rFonts w:ascii="Times New Roman" w:hAnsi="Times New Roman"/>
          <w:szCs w:val="20"/>
          <w:lang w:val="fr-FR"/>
        </w:rPr>
      </w:pPr>
      <w:r w:rsidRPr="005D3A79">
        <w:rPr>
          <w:rFonts w:ascii="Times New Roman" w:hAnsi="Times New Roman"/>
          <w:szCs w:val="20"/>
          <w:lang w:val="fr-FR"/>
        </w:rPr>
        <w:t>S’agissant du domaine des relations du travail, la loi du 30 juillet 1981 stipule qu’une distinction directe fondée sur l’un des quatre critères précités peut néanmoins échapper à l’interdiction si elle est motivée par « une exigence professionnelle essentielle et déterminante »</w:t>
      </w:r>
      <w:r w:rsidRPr="005D3A79">
        <w:rPr>
          <w:rFonts w:ascii="Times New Roman" w:hAnsi="Times New Roman"/>
          <w:szCs w:val="20"/>
          <w:vertAlign w:val="superscript"/>
          <w:lang w:val="fr-FR"/>
        </w:rPr>
        <w:footnoteReference w:id="1"/>
      </w:r>
      <w:r w:rsidRPr="005D3A79">
        <w:rPr>
          <w:rFonts w:ascii="Times New Roman" w:hAnsi="Times New Roman"/>
          <w:szCs w:val="20"/>
          <w:lang w:val="fr-FR"/>
        </w:rPr>
        <w:t>, laquelle doit être interprétée strictement au regard de la loi et envisagée comme une exception à la règle générale de l’interdiction de la discrimination.</w:t>
      </w:r>
    </w:p>
    <w:p w:rsidR="003062B4" w:rsidRPr="005D3A79" w:rsidRDefault="003062B4" w:rsidP="003062B4">
      <w:pPr>
        <w:spacing w:line="240" w:lineRule="auto"/>
        <w:ind w:left="-426" w:right="-23"/>
        <w:jc w:val="both"/>
        <w:rPr>
          <w:rFonts w:ascii="Times New Roman" w:hAnsi="Times New Roman"/>
          <w:szCs w:val="20"/>
          <w:lang w:val="fr-FR"/>
        </w:rPr>
      </w:pPr>
      <w:r w:rsidRPr="005D3A79">
        <w:rPr>
          <w:rFonts w:ascii="Times New Roman" w:hAnsi="Times New Roman"/>
          <w:szCs w:val="20"/>
          <w:u w:val="single"/>
          <w:lang w:val="fr-FR"/>
        </w:rPr>
        <w:t>La discrimination indirecte</w:t>
      </w:r>
    </w:p>
    <w:p w:rsidR="003062B4" w:rsidRPr="005D3A79" w:rsidRDefault="003062B4" w:rsidP="00B4491E">
      <w:pPr>
        <w:spacing w:line="240" w:lineRule="auto"/>
        <w:ind w:left="-426" w:right="-23"/>
        <w:jc w:val="both"/>
        <w:rPr>
          <w:rFonts w:ascii="Times New Roman" w:hAnsi="Times New Roman"/>
          <w:szCs w:val="20"/>
          <w:lang w:val="fr-FR"/>
        </w:rPr>
      </w:pPr>
      <w:r w:rsidRPr="005D3A79">
        <w:rPr>
          <w:rFonts w:ascii="Times New Roman" w:hAnsi="Times New Roman"/>
          <w:szCs w:val="20"/>
          <w:lang w:val="fr-FR"/>
        </w:rPr>
        <w:t>La discrimination indirecte est également interdite et définie comme étant toute « distinction indirecte fondée sur l'un des critères protégés, qui ne peut être justifiée » conformément aux trois lois fédérales. Par distinction indirecte, la loi entend « la situation qui se produit lorsqu'une disposition, un critère ou une pratique apparemment neutre est susceptible d'entraîner, par rapport à d'autres personnes, un désavantage particulier pour des personnes caractérisées par l'un des critères protégés ».</w:t>
      </w:r>
    </w:p>
    <w:p w:rsidR="003062B4" w:rsidRPr="005D3A79" w:rsidRDefault="003062B4" w:rsidP="00B4491E">
      <w:pPr>
        <w:spacing w:line="240" w:lineRule="auto"/>
        <w:ind w:left="-426" w:right="-23"/>
        <w:jc w:val="both"/>
        <w:rPr>
          <w:rFonts w:ascii="Times New Roman" w:hAnsi="Times New Roman"/>
          <w:szCs w:val="20"/>
          <w:lang w:val="fr-FR"/>
        </w:rPr>
      </w:pPr>
      <w:r w:rsidRPr="005D3A79">
        <w:rPr>
          <w:rFonts w:ascii="Times New Roman" w:hAnsi="Times New Roman"/>
          <w:szCs w:val="20"/>
          <w:lang w:val="fr-FR"/>
        </w:rPr>
        <w:t>A nouveau, cette notion ne comporte pas d’élément intentionnel. Toutefois, lorsqu’elle s’applique dans le cadre d’une procédure pénale, la preuve de l’intention de discriminer doit être apportée. Il est à noter que les distinctions indirectes peuvent toujours être justifiées pour autant qu’elles soient objectivement justifiées par un objectif légitime et que les moyens employés en vue de réaliser cet objectif soient appropriés et nécessaires.</w:t>
      </w:r>
    </w:p>
    <w:p w:rsidR="003062B4" w:rsidRPr="005D3A79" w:rsidRDefault="003062B4" w:rsidP="003062B4">
      <w:pPr>
        <w:spacing w:after="0" w:line="240" w:lineRule="auto"/>
        <w:ind w:left="-426" w:right="-23"/>
        <w:contextualSpacing/>
        <w:jc w:val="both"/>
        <w:rPr>
          <w:rFonts w:ascii="Times New Roman" w:hAnsi="Times New Roman"/>
          <w:szCs w:val="20"/>
          <w:u w:val="single"/>
          <w:lang w:val="fr-FR"/>
        </w:rPr>
      </w:pPr>
      <w:r w:rsidRPr="005D3A79">
        <w:rPr>
          <w:rFonts w:ascii="Times New Roman" w:hAnsi="Times New Roman"/>
          <w:szCs w:val="20"/>
          <w:u w:val="single"/>
          <w:lang w:val="fr-FR"/>
        </w:rPr>
        <w:t>Le harcèlement</w:t>
      </w:r>
    </w:p>
    <w:p w:rsidR="003062B4" w:rsidRPr="005D3A79" w:rsidRDefault="003062B4" w:rsidP="003062B4">
      <w:pPr>
        <w:spacing w:after="0" w:line="240" w:lineRule="auto"/>
        <w:ind w:left="-426" w:right="-23"/>
        <w:contextualSpacing/>
        <w:jc w:val="both"/>
        <w:rPr>
          <w:rFonts w:ascii="Times New Roman" w:hAnsi="Times New Roman"/>
          <w:szCs w:val="20"/>
          <w:lang w:val="fr-FR"/>
        </w:rPr>
      </w:pPr>
    </w:p>
    <w:p w:rsidR="003062B4" w:rsidRPr="005D3A79" w:rsidRDefault="003062B4" w:rsidP="00B4491E">
      <w:pPr>
        <w:spacing w:line="240" w:lineRule="auto"/>
        <w:ind w:left="-426" w:right="-23"/>
        <w:jc w:val="both"/>
        <w:rPr>
          <w:rFonts w:ascii="Times New Roman" w:hAnsi="Times New Roman"/>
          <w:szCs w:val="20"/>
          <w:lang w:val="fr-FR"/>
        </w:rPr>
      </w:pPr>
      <w:r w:rsidRPr="005D3A79">
        <w:rPr>
          <w:rFonts w:ascii="Times New Roman" w:hAnsi="Times New Roman"/>
          <w:szCs w:val="20"/>
          <w:lang w:val="fr-FR"/>
        </w:rPr>
        <w:lastRenderedPageBreak/>
        <w:t>Le harcèlement, lorsqu’il se fonde sur l’un des critères protégés par la loi, est envisagé comme un comportement interdit et appréhendé comme tel. La loi le définit comme un « comportement indésirable qui est lié à l'un des critères protégés, et qui a pour objet ou pour effet de porter atteinte à la dignité de la personne et de créer un environnement intimidant, hostile, dégradant, humiliant ou offensant ».</w:t>
      </w:r>
    </w:p>
    <w:p w:rsidR="003062B4" w:rsidRPr="005D3A79" w:rsidRDefault="003062B4" w:rsidP="00B4491E">
      <w:pPr>
        <w:spacing w:line="240" w:lineRule="auto"/>
        <w:ind w:left="-426" w:right="-23"/>
        <w:jc w:val="both"/>
        <w:rPr>
          <w:rFonts w:ascii="Times New Roman" w:hAnsi="Times New Roman"/>
          <w:szCs w:val="20"/>
          <w:lang w:val="fr-FR"/>
        </w:rPr>
      </w:pPr>
      <w:r w:rsidRPr="005D3A79">
        <w:rPr>
          <w:rFonts w:ascii="Times New Roman" w:hAnsi="Times New Roman"/>
          <w:szCs w:val="20"/>
          <w:lang w:val="fr-FR"/>
        </w:rPr>
        <w:t>Contrairement aux distinctions de traitement, qui ne sont pas nécessairement des discriminations, le harcèlement ne peut pas être justifié et ne peut se concevoir que comme un comportement intentionnel.</w:t>
      </w:r>
    </w:p>
    <w:p w:rsidR="003062B4" w:rsidRPr="005D3A79" w:rsidRDefault="003062B4" w:rsidP="003062B4">
      <w:pPr>
        <w:spacing w:line="240" w:lineRule="auto"/>
        <w:ind w:left="-426" w:right="-23"/>
        <w:jc w:val="both"/>
        <w:rPr>
          <w:rFonts w:ascii="Times New Roman" w:hAnsi="Times New Roman"/>
          <w:szCs w:val="20"/>
          <w:lang w:val="fr-FR"/>
        </w:rPr>
      </w:pPr>
      <w:r w:rsidRPr="005D3A79">
        <w:rPr>
          <w:rFonts w:ascii="Times New Roman" w:hAnsi="Times New Roman"/>
          <w:szCs w:val="20"/>
          <w:u w:val="single"/>
          <w:lang w:val="fr-FR"/>
        </w:rPr>
        <w:t>L’injonction de discriminer</w:t>
      </w:r>
    </w:p>
    <w:p w:rsidR="003062B4" w:rsidRPr="005D3A79" w:rsidRDefault="003062B4" w:rsidP="00B4491E">
      <w:pPr>
        <w:spacing w:line="240" w:lineRule="auto"/>
        <w:ind w:left="-426" w:right="-23"/>
        <w:jc w:val="both"/>
        <w:rPr>
          <w:rFonts w:ascii="Times New Roman" w:hAnsi="Times New Roman"/>
          <w:szCs w:val="20"/>
          <w:lang w:val="fr-FR"/>
        </w:rPr>
      </w:pPr>
      <w:r w:rsidRPr="005D3A79">
        <w:rPr>
          <w:rFonts w:ascii="Times New Roman" w:hAnsi="Times New Roman"/>
          <w:szCs w:val="20"/>
          <w:lang w:val="fr-FR"/>
        </w:rPr>
        <w:t xml:space="preserve">L’injonction de discriminer est considérée comme « tout comportement consistant à enjoindre à quiconque de pratiquer une discrimination, sur la base de l'un des critères protégés, à l'encontre d'une personne, d'un groupe, d'une communauté ou de l'un de leurs membres ». </w:t>
      </w:r>
    </w:p>
    <w:p w:rsidR="003062B4" w:rsidRPr="005D3A79" w:rsidRDefault="003062B4" w:rsidP="00B4491E">
      <w:pPr>
        <w:spacing w:line="240" w:lineRule="auto"/>
        <w:ind w:left="-426" w:right="-23"/>
        <w:jc w:val="both"/>
        <w:rPr>
          <w:rFonts w:ascii="Times New Roman" w:hAnsi="Times New Roman"/>
          <w:szCs w:val="20"/>
          <w:lang w:val="fr-FR"/>
        </w:rPr>
      </w:pPr>
      <w:r w:rsidRPr="005D3A79">
        <w:rPr>
          <w:rFonts w:ascii="Times New Roman" w:hAnsi="Times New Roman"/>
          <w:szCs w:val="20"/>
          <w:lang w:val="fr-FR"/>
        </w:rPr>
        <w:t>L’assimilation de celle-ci à la discrimination est justifiée par la volonté du législateur d’éviter que certaines personnes n’échappent à l’interdiction de la discrimination par l’utilisation d’intermédiaires. Ce comportement fait l’objet d’une condamnation pénale et civile indépendante de la discrimination elle-même et requiert un élément intentionnel en matière pénale. Elle peut être appliquée même si l’injonction n’a pas occasionné de discrimination réelle.</w:t>
      </w:r>
    </w:p>
    <w:p w:rsidR="00936424" w:rsidRPr="003062B4" w:rsidRDefault="00936424">
      <w:pPr>
        <w:rPr>
          <w:lang w:val="fr-FR"/>
        </w:rPr>
      </w:pPr>
    </w:p>
    <w:sectPr w:rsidR="00936424" w:rsidRPr="003062B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062B4" w:rsidRDefault="003062B4" w:rsidP="003062B4">
      <w:pPr>
        <w:spacing w:after="0" w:line="240" w:lineRule="auto"/>
      </w:pPr>
      <w:r>
        <w:separator/>
      </w:r>
    </w:p>
  </w:endnote>
  <w:endnote w:type="continuationSeparator" w:id="0">
    <w:p w:rsidR="003062B4" w:rsidRDefault="003062B4" w:rsidP="003062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062B4" w:rsidRDefault="003062B4" w:rsidP="003062B4">
      <w:pPr>
        <w:spacing w:after="0" w:line="240" w:lineRule="auto"/>
      </w:pPr>
      <w:r>
        <w:separator/>
      </w:r>
    </w:p>
  </w:footnote>
  <w:footnote w:type="continuationSeparator" w:id="0">
    <w:p w:rsidR="003062B4" w:rsidRDefault="003062B4" w:rsidP="003062B4">
      <w:pPr>
        <w:spacing w:after="0" w:line="240" w:lineRule="auto"/>
      </w:pPr>
      <w:r>
        <w:continuationSeparator/>
      </w:r>
    </w:p>
  </w:footnote>
  <w:footnote w:id="1">
    <w:p w:rsidR="003062B4" w:rsidRPr="00D07568" w:rsidRDefault="003062B4" w:rsidP="003062B4">
      <w:pPr>
        <w:spacing w:after="0" w:line="240" w:lineRule="auto"/>
        <w:ind w:left="-284" w:hanging="142"/>
        <w:jc w:val="both"/>
        <w:rPr>
          <w:rFonts w:ascii="Times" w:hAnsi="Times"/>
          <w:sz w:val="18"/>
          <w:szCs w:val="18"/>
          <w:lang w:val="fr-FR"/>
        </w:rPr>
      </w:pPr>
      <w:r w:rsidRPr="00D07568">
        <w:rPr>
          <w:rStyle w:val="FootnoteReference"/>
          <w:rFonts w:ascii="Times" w:hAnsi="Times"/>
          <w:sz w:val="18"/>
          <w:szCs w:val="18"/>
        </w:rPr>
        <w:footnoteRef/>
      </w:r>
      <w:r w:rsidRPr="00D07568">
        <w:rPr>
          <w:rFonts w:ascii="Times" w:hAnsi="Times"/>
          <w:sz w:val="18"/>
          <w:szCs w:val="18"/>
          <w:lang w:val="fr-FR"/>
        </w:rPr>
        <w:t xml:space="preserve"> La loi énonce qu’il ne peut être question d’une telle exigence que lorsque :</w:t>
      </w:r>
    </w:p>
    <w:p w:rsidR="003062B4" w:rsidRDefault="003062B4" w:rsidP="003062B4">
      <w:pPr>
        <w:pStyle w:val="ListParagraph"/>
        <w:numPr>
          <w:ilvl w:val="0"/>
          <w:numId w:val="2"/>
        </w:numPr>
        <w:spacing w:after="0" w:line="240" w:lineRule="auto"/>
        <w:ind w:left="0"/>
        <w:jc w:val="both"/>
        <w:rPr>
          <w:rFonts w:ascii="Times" w:hAnsi="Times"/>
          <w:sz w:val="18"/>
          <w:szCs w:val="18"/>
          <w:lang w:val="fr-FR"/>
        </w:rPr>
      </w:pPr>
      <w:r w:rsidRPr="00D07568">
        <w:rPr>
          <w:rFonts w:ascii="Times" w:hAnsi="Times"/>
          <w:sz w:val="18"/>
          <w:szCs w:val="18"/>
          <w:lang w:val="fr-FR"/>
        </w:rPr>
        <w:t>Une caractéristique déterminée, liée à la prétendue race, la couleur de peau, l’ascendance ou l’origine nationale ou ethnique, est essentielle et déterminante en raison de la nature spécifique de l’activité professionnelle concernée ou du contexte de son exécution ;</w:t>
      </w:r>
    </w:p>
    <w:p w:rsidR="003062B4" w:rsidRPr="00095F96" w:rsidRDefault="003062B4" w:rsidP="003062B4">
      <w:pPr>
        <w:pStyle w:val="ListParagraph"/>
        <w:numPr>
          <w:ilvl w:val="0"/>
          <w:numId w:val="2"/>
        </w:numPr>
        <w:spacing w:after="0" w:line="240" w:lineRule="auto"/>
        <w:ind w:left="0"/>
        <w:jc w:val="both"/>
        <w:rPr>
          <w:rFonts w:ascii="Times" w:hAnsi="Times"/>
          <w:sz w:val="18"/>
          <w:szCs w:val="18"/>
          <w:lang w:val="fr-FR"/>
        </w:rPr>
      </w:pPr>
      <w:r w:rsidRPr="00095F96">
        <w:rPr>
          <w:rFonts w:ascii="Times" w:hAnsi="Times"/>
          <w:sz w:val="18"/>
          <w:szCs w:val="18"/>
          <w:lang w:val="fr-FR"/>
        </w:rPr>
        <w:t xml:space="preserve">L’exigence repose sur un objectif légitime et est proportionnée par rapport à celui-ci. Il appartient au juge de déterminer au cas par cas si cette situation est justifiée. A ce jour, la jurisprudence n’a jamais reconnu de situation qui constitue ou exigence professionnelle essentielle et déterminante. La loi prévoit toutefois qu’un arrêté royal délibéré en conseil des ministres et soumis à l’avis de certaines instances pourrait fournir une liste exemplative de situations dans lesquelles une caractéristique donnée est une exigence professionnelle essentielle. Cet arrêté n’a pas encore été adopté. Unia n’est par ailleurs pas favorable à son adoption.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59C1526"/>
    <w:multiLevelType w:val="hybridMultilevel"/>
    <w:tmpl w:val="557A83B8"/>
    <w:lvl w:ilvl="0" w:tplc="0320447E">
      <w:start w:val="1"/>
      <w:numFmt w:val="decimal"/>
      <w:lvlText w:val="%1."/>
      <w:lvlJc w:val="left"/>
      <w:pPr>
        <w:ind w:left="502" w:hanging="360"/>
      </w:pPr>
      <w:rPr>
        <w:rFonts w:hint="default"/>
        <w:b w:val="0"/>
        <w:i w:val="0"/>
        <w:strike w:val="0"/>
        <w:lang w:val="fr-FR"/>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 w15:restartNumberingAfterBreak="0">
    <w:nsid w:val="51C6626B"/>
    <w:multiLevelType w:val="hybridMultilevel"/>
    <w:tmpl w:val="B0DC841E"/>
    <w:lvl w:ilvl="0" w:tplc="E4205978">
      <w:start w:val="7"/>
      <w:numFmt w:val="bullet"/>
      <w:lvlText w:val="-"/>
      <w:lvlJc w:val="left"/>
      <w:pPr>
        <w:ind w:left="76" w:hanging="360"/>
      </w:pPr>
      <w:rPr>
        <w:rFonts w:ascii="Times New Roman" w:eastAsia="Calibri" w:hAnsi="Times New Roman" w:cs="Times New Roman" w:hint="default"/>
      </w:rPr>
    </w:lvl>
    <w:lvl w:ilvl="1" w:tplc="08130003">
      <w:start w:val="1"/>
      <w:numFmt w:val="bullet"/>
      <w:lvlText w:val="o"/>
      <w:lvlJc w:val="left"/>
      <w:pPr>
        <w:ind w:left="796" w:hanging="360"/>
      </w:pPr>
      <w:rPr>
        <w:rFonts w:ascii="Courier New" w:hAnsi="Courier New" w:cs="Courier New" w:hint="default"/>
      </w:rPr>
    </w:lvl>
    <w:lvl w:ilvl="2" w:tplc="08130005" w:tentative="1">
      <w:start w:val="1"/>
      <w:numFmt w:val="bullet"/>
      <w:lvlText w:val=""/>
      <w:lvlJc w:val="left"/>
      <w:pPr>
        <w:ind w:left="1516" w:hanging="360"/>
      </w:pPr>
      <w:rPr>
        <w:rFonts w:ascii="Wingdings" w:hAnsi="Wingdings" w:hint="default"/>
      </w:rPr>
    </w:lvl>
    <w:lvl w:ilvl="3" w:tplc="08130001" w:tentative="1">
      <w:start w:val="1"/>
      <w:numFmt w:val="bullet"/>
      <w:lvlText w:val=""/>
      <w:lvlJc w:val="left"/>
      <w:pPr>
        <w:ind w:left="2236" w:hanging="360"/>
      </w:pPr>
      <w:rPr>
        <w:rFonts w:ascii="Symbol" w:hAnsi="Symbol" w:hint="default"/>
      </w:rPr>
    </w:lvl>
    <w:lvl w:ilvl="4" w:tplc="08130003" w:tentative="1">
      <w:start w:val="1"/>
      <w:numFmt w:val="bullet"/>
      <w:lvlText w:val="o"/>
      <w:lvlJc w:val="left"/>
      <w:pPr>
        <w:ind w:left="2956" w:hanging="360"/>
      </w:pPr>
      <w:rPr>
        <w:rFonts w:ascii="Courier New" w:hAnsi="Courier New" w:cs="Courier New" w:hint="default"/>
      </w:rPr>
    </w:lvl>
    <w:lvl w:ilvl="5" w:tplc="08130005" w:tentative="1">
      <w:start w:val="1"/>
      <w:numFmt w:val="bullet"/>
      <w:lvlText w:val=""/>
      <w:lvlJc w:val="left"/>
      <w:pPr>
        <w:ind w:left="3676" w:hanging="360"/>
      </w:pPr>
      <w:rPr>
        <w:rFonts w:ascii="Wingdings" w:hAnsi="Wingdings" w:hint="default"/>
      </w:rPr>
    </w:lvl>
    <w:lvl w:ilvl="6" w:tplc="08130001" w:tentative="1">
      <w:start w:val="1"/>
      <w:numFmt w:val="bullet"/>
      <w:lvlText w:val=""/>
      <w:lvlJc w:val="left"/>
      <w:pPr>
        <w:ind w:left="4396" w:hanging="360"/>
      </w:pPr>
      <w:rPr>
        <w:rFonts w:ascii="Symbol" w:hAnsi="Symbol" w:hint="default"/>
      </w:rPr>
    </w:lvl>
    <w:lvl w:ilvl="7" w:tplc="08130003" w:tentative="1">
      <w:start w:val="1"/>
      <w:numFmt w:val="bullet"/>
      <w:lvlText w:val="o"/>
      <w:lvlJc w:val="left"/>
      <w:pPr>
        <w:ind w:left="5116" w:hanging="360"/>
      </w:pPr>
      <w:rPr>
        <w:rFonts w:ascii="Courier New" w:hAnsi="Courier New" w:cs="Courier New" w:hint="default"/>
      </w:rPr>
    </w:lvl>
    <w:lvl w:ilvl="8" w:tplc="08130005" w:tentative="1">
      <w:start w:val="1"/>
      <w:numFmt w:val="bullet"/>
      <w:lvlText w:val=""/>
      <w:lvlJc w:val="left"/>
      <w:pPr>
        <w:ind w:left="5836"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1A67"/>
    <w:rsid w:val="00011A67"/>
    <w:rsid w:val="003062B4"/>
    <w:rsid w:val="006171D3"/>
    <w:rsid w:val="008A5BA8"/>
    <w:rsid w:val="00936424"/>
    <w:rsid w:val="00B449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2F36CD7-0174-4409-8B70-8BDA73944A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62B4"/>
    <w:pPr>
      <w:spacing w:after="200" w:line="27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062B4"/>
    <w:pPr>
      <w:ind w:left="720"/>
      <w:contextualSpacing/>
    </w:pPr>
  </w:style>
  <w:style w:type="character" w:styleId="FootnoteReference">
    <w:name w:val="footnote reference"/>
    <w:aliases w:val="4_G,Footnote Refernece,Voetnootmarkering1,Footnote Reference Superscript,Footnote symbol,Footnote,Footnote Reference/,BVI fnr,callout,Footnote Refernece + (Latein) Arial,10 pt,Blau,Footnote reference number,note TESI,Ref"/>
    <w:basedOn w:val="DefaultParagraphFont"/>
    <w:uiPriority w:val="99"/>
    <w:rsid w:val="003062B4"/>
    <w:rPr>
      <w:vertAlign w:val="superscript"/>
    </w:rPr>
  </w:style>
  <w:style w:type="paragraph" w:styleId="EndnoteText">
    <w:name w:val="endnote text"/>
    <w:basedOn w:val="Normal"/>
    <w:link w:val="EndnoteTextChar"/>
    <w:uiPriority w:val="99"/>
    <w:unhideWhenUsed/>
    <w:rsid w:val="00B4491E"/>
    <w:pPr>
      <w:spacing w:after="0" w:line="240" w:lineRule="auto"/>
    </w:pPr>
    <w:rPr>
      <w:sz w:val="20"/>
      <w:szCs w:val="20"/>
    </w:rPr>
  </w:style>
  <w:style w:type="character" w:customStyle="1" w:styleId="EndnoteTextChar">
    <w:name w:val="Endnote Text Char"/>
    <w:basedOn w:val="DefaultParagraphFont"/>
    <w:link w:val="EndnoteText"/>
    <w:uiPriority w:val="99"/>
    <w:rsid w:val="00B4491E"/>
    <w:rPr>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F05936F-7715-4E94-932D-569484885893}"/>
</file>

<file path=customXml/itemProps2.xml><?xml version="1.0" encoding="utf-8"?>
<ds:datastoreItem xmlns:ds="http://schemas.openxmlformats.org/officeDocument/2006/customXml" ds:itemID="{4DFD02C1-4E49-4AC8-A36D-5672D6138AE7}"/>
</file>

<file path=customXml/itemProps3.xml><?xml version="1.0" encoding="utf-8"?>
<ds:datastoreItem xmlns:ds="http://schemas.openxmlformats.org/officeDocument/2006/customXml" ds:itemID="{C0324FB4-02A9-4FDD-8B11-DA339CAC882F}"/>
</file>

<file path=docProps/app.xml><?xml version="1.0" encoding="utf-8"?>
<Properties xmlns="http://schemas.openxmlformats.org/officeDocument/2006/extended-properties" xmlns:vt="http://schemas.openxmlformats.org/officeDocument/2006/docPropsVTypes">
  <Template>3E013394.dotm</Template>
  <TotalTime>0</TotalTime>
  <Pages>2</Pages>
  <Words>649</Words>
  <Characters>3704</Characters>
  <Application>Microsoft Office Word</Application>
  <DocSecurity>0</DocSecurity>
  <Lines>30</Lines>
  <Paragraphs>8</Paragraphs>
  <ScaleCrop>false</ScaleCrop>
  <Company>FOD Justitie / SPF Justice</Company>
  <LinksUpToDate>false</LinksUpToDate>
  <CharactersWithSpaces>4345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 den Bosch Eric</dc:creator>
  <cp:keywords/>
  <dc:description/>
  <cp:lastModifiedBy>van den Bosch Eric</cp:lastModifiedBy>
  <cp:revision>3</cp:revision>
  <dcterms:created xsi:type="dcterms:W3CDTF">2019-04-18T08:31:00Z</dcterms:created>
  <dcterms:modified xsi:type="dcterms:W3CDTF">2019-04-18T08:35:00Z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