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29EAC" w14:textId="77777777" w:rsidR="002A5911" w:rsidRDefault="002A5911" w:rsidP="002A5911">
      <w:pPr>
        <w:jc w:val="center"/>
        <w:rPr>
          <w:b/>
          <w:bCs/>
          <w:sz w:val="24"/>
          <w:szCs w:val="24"/>
        </w:rPr>
      </w:pPr>
    </w:p>
    <w:p w14:paraId="703E0559" w14:textId="77777777" w:rsidR="002A5911" w:rsidRDefault="002A5911" w:rsidP="002A5911">
      <w:pPr>
        <w:jc w:val="center"/>
        <w:rPr>
          <w:b/>
          <w:bCs/>
          <w:sz w:val="24"/>
          <w:szCs w:val="24"/>
        </w:rPr>
      </w:pPr>
    </w:p>
    <w:p w14:paraId="16601182" w14:textId="77777777" w:rsidR="00091AF4" w:rsidRDefault="00091AF4" w:rsidP="002A5911">
      <w:pPr>
        <w:jc w:val="center"/>
        <w:rPr>
          <w:b/>
          <w:bCs/>
          <w:sz w:val="24"/>
          <w:szCs w:val="24"/>
        </w:rPr>
      </w:pPr>
    </w:p>
    <w:p w14:paraId="7E8C6A89" w14:textId="77777777" w:rsidR="002A5911" w:rsidRDefault="002A5911" w:rsidP="002A5911">
      <w:pPr>
        <w:jc w:val="center"/>
        <w:rPr>
          <w:b/>
          <w:bCs/>
          <w:sz w:val="24"/>
          <w:szCs w:val="24"/>
        </w:rPr>
      </w:pPr>
    </w:p>
    <w:tbl>
      <w:tblPr>
        <w:tblStyle w:val="a9"/>
        <w:tblW w:w="0" w:type="auto"/>
        <w:shd w:val="clear" w:color="auto" w:fill="D5DCE4" w:themeFill="text2" w:themeFillTint="33"/>
        <w:tblLook w:val="04A0" w:firstRow="1" w:lastRow="0" w:firstColumn="1" w:lastColumn="0" w:noHBand="0" w:noVBand="1"/>
      </w:tblPr>
      <w:tblGrid>
        <w:gridCol w:w="9714"/>
      </w:tblGrid>
      <w:tr w:rsidR="002A5911" w:rsidRPr="008B47F5" w14:paraId="0E5B3404" w14:textId="77777777" w:rsidTr="00FE7906">
        <w:tc>
          <w:tcPr>
            <w:tcW w:w="10763" w:type="dxa"/>
            <w:shd w:val="clear" w:color="auto" w:fill="DEEAF6" w:themeFill="accent1" w:themeFillTint="33"/>
          </w:tcPr>
          <w:p w14:paraId="6BE00074" w14:textId="77777777" w:rsidR="00AD46EB" w:rsidRPr="00AD46EB" w:rsidRDefault="00AD46EB" w:rsidP="00AD46EB">
            <w:pPr>
              <w:jc w:val="center"/>
              <w:rPr>
                <w:rFonts w:ascii="Cambria" w:hAnsi="Cambria"/>
                <w:b/>
                <w:bCs/>
              </w:rPr>
            </w:pPr>
            <w:r w:rsidRPr="00AD46EB">
              <w:rPr>
                <w:rFonts w:ascii="Cambria" w:hAnsi="Cambria"/>
                <w:b/>
                <w:bCs/>
              </w:rPr>
              <w:t>ALTERNATIVE REPORT</w:t>
            </w:r>
          </w:p>
          <w:p w14:paraId="0B7E578F" w14:textId="77777777" w:rsidR="00AD46EB" w:rsidRPr="00AD46EB" w:rsidRDefault="00AD46EB" w:rsidP="00AD46EB">
            <w:pPr>
              <w:jc w:val="center"/>
              <w:rPr>
                <w:rFonts w:ascii="Cambria" w:hAnsi="Cambria"/>
                <w:b/>
              </w:rPr>
            </w:pPr>
            <w:r w:rsidRPr="00AD46EB">
              <w:rPr>
                <w:rFonts w:ascii="Cambria" w:hAnsi="Cambria"/>
                <w:b/>
              </w:rPr>
              <w:t>to the UN Human Rights Committee</w:t>
            </w:r>
          </w:p>
          <w:p w14:paraId="08F1AE58" w14:textId="77777777" w:rsidR="00AD46EB" w:rsidRPr="00AD46EB" w:rsidRDefault="00AD46EB" w:rsidP="00AD46EB">
            <w:pPr>
              <w:jc w:val="center"/>
              <w:rPr>
                <w:rFonts w:ascii="Cambria" w:hAnsi="Cambria"/>
                <w:b/>
              </w:rPr>
            </w:pPr>
            <w:r w:rsidRPr="00AD46EB">
              <w:rPr>
                <w:rFonts w:ascii="Cambria" w:hAnsi="Cambria"/>
                <w:b/>
              </w:rPr>
              <w:t>for the review of the compliance of the Republic of Moldova</w:t>
            </w:r>
          </w:p>
          <w:p w14:paraId="3ABA0B95" w14:textId="77777777" w:rsidR="002A5911" w:rsidRPr="008B47F5" w:rsidRDefault="00AD46EB" w:rsidP="00AD46EB">
            <w:pPr>
              <w:jc w:val="center"/>
              <w:rPr>
                <w:rFonts w:ascii="Cambria" w:hAnsi="Cambria"/>
                <w:b/>
              </w:rPr>
            </w:pPr>
            <w:r w:rsidRPr="00AD46EB">
              <w:rPr>
                <w:rFonts w:ascii="Cambria" w:hAnsi="Cambria"/>
                <w:b/>
              </w:rPr>
              <w:t>with the standards of the International Covenant on Civil and Political Rights</w:t>
            </w:r>
          </w:p>
        </w:tc>
      </w:tr>
    </w:tbl>
    <w:p w14:paraId="5BE72B9C" w14:textId="77777777" w:rsidR="002A5911" w:rsidRPr="002A5911" w:rsidRDefault="002A5911" w:rsidP="002A5911">
      <w:pPr>
        <w:jc w:val="center"/>
        <w:rPr>
          <w:b/>
          <w:bCs/>
          <w:sz w:val="24"/>
          <w:szCs w:val="24"/>
        </w:rPr>
      </w:pPr>
    </w:p>
    <w:p w14:paraId="4E80D550" w14:textId="77777777" w:rsidR="002A5911" w:rsidRPr="00091AF4" w:rsidRDefault="00091AF4" w:rsidP="002A5911">
      <w:pPr>
        <w:jc w:val="center"/>
        <w:rPr>
          <w:sz w:val="24"/>
          <w:szCs w:val="24"/>
        </w:rPr>
      </w:pPr>
      <w:r>
        <w:rPr>
          <w:b/>
          <w:bCs/>
          <w:sz w:val="24"/>
          <w:szCs w:val="24"/>
        </w:rPr>
        <w:t xml:space="preserve">Individual </w:t>
      </w:r>
      <w:r w:rsidR="002A5911" w:rsidRPr="002A5911">
        <w:rPr>
          <w:b/>
          <w:bCs/>
          <w:sz w:val="24"/>
          <w:szCs w:val="24"/>
        </w:rPr>
        <w:t>Submission to the</w:t>
      </w:r>
      <w:r>
        <w:rPr>
          <w:b/>
          <w:bCs/>
          <w:sz w:val="24"/>
          <w:szCs w:val="24"/>
        </w:rPr>
        <w:t xml:space="preserve"> UN Committee </w:t>
      </w:r>
      <w:r w:rsidR="002A5911" w:rsidRPr="002A5911">
        <w:rPr>
          <w:b/>
          <w:bCs/>
          <w:sz w:val="24"/>
          <w:szCs w:val="24"/>
        </w:rPr>
        <w:t xml:space="preserve"> </w:t>
      </w:r>
      <w:r w:rsidRPr="00091AF4">
        <w:rPr>
          <w:b/>
          <w:bCs/>
          <w:sz w:val="24"/>
          <w:szCs w:val="24"/>
        </w:rPr>
        <w:t>on Civil and Political Rights</w:t>
      </w:r>
      <w:r w:rsidR="002A5911" w:rsidRPr="002A5911">
        <w:rPr>
          <w:b/>
          <w:bCs/>
          <w:sz w:val="24"/>
          <w:szCs w:val="24"/>
        </w:rPr>
        <w:t xml:space="preserve"> (CCPR)</w:t>
      </w:r>
      <w:r w:rsidR="002A5911" w:rsidRPr="002A5911">
        <w:rPr>
          <w:sz w:val="24"/>
          <w:szCs w:val="24"/>
        </w:rPr>
        <w:br/>
      </w:r>
      <w:r w:rsidR="002A5911" w:rsidRPr="00091AF4">
        <w:rPr>
          <w:sz w:val="24"/>
          <w:szCs w:val="24"/>
        </w:rPr>
        <w:t>145th Session (2–19 March 2026)</w:t>
      </w:r>
    </w:p>
    <w:p w14:paraId="3F844F81" w14:textId="77777777" w:rsidR="002A5911" w:rsidRPr="002A5911" w:rsidRDefault="002A5911" w:rsidP="002A5911">
      <w:pPr>
        <w:jc w:val="center"/>
        <w:rPr>
          <w:sz w:val="24"/>
          <w:szCs w:val="24"/>
        </w:rPr>
      </w:pPr>
      <w:r w:rsidRPr="002A5911">
        <w:rPr>
          <w:b/>
          <w:bCs/>
          <w:sz w:val="24"/>
          <w:szCs w:val="24"/>
        </w:rPr>
        <w:t>Republic of Moldova – Fourth Periodic Report under the ICCPR</w:t>
      </w:r>
    </w:p>
    <w:p w14:paraId="51EAE1DA" w14:textId="77777777" w:rsidR="00925903" w:rsidRPr="002A5911" w:rsidRDefault="00925903">
      <w:pPr>
        <w:rPr>
          <w:sz w:val="48"/>
        </w:rPr>
      </w:pPr>
    </w:p>
    <w:p w14:paraId="3AE747CE" w14:textId="77777777" w:rsidR="00925903" w:rsidRDefault="00925903"/>
    <w:p w14:paraId="55BA7AFB" w14:textId="77777777" w:rsidR="00091AF4" w:rsidRDefault="00091AF4"/>
    <w:p w14:paraId="6E0CE485" w14:textId="77777777" w:rsidR="00091AF4" w:rsidRDefault="00091AF4"/>
    <w:p w14:paraId="7FA7AD63" w14:textId="6C5C6CF6" w:rsidR="00091AF4" w:rsidRPr="008B47F5" w:rsidRDefault="00091AF4" w:rsidP="00091AF4">
      <w:pPr>
        <w:spacing w:line="240" w:lineRule="auto"/>
        <w:rPr>
          <w:rFonts w:ascii="Cambria" w:hAnsi="Cambria"/>
        </w:rPr>
      </w:pPr>
      <w:r w:rsidRPr="008B47F5">
        <w:rPr>
          <w:rFonts w:ascii="Cambria" w:hAnsi="Cambria"/>
          <w:b/>
        </w:rPr>
        <w:t xml:space="preserve">Submitted on: </w:t>
      </w:r>
      <w:r w:rsidR="00602D93">
        <w:rPr>
          <w:rFonts w:ascii="Cambria" w:hAnsi="Cambria"/>
        </w:rPr>
        <w:t xml:space="preserve">01 </w:t>
      </w:r>
      <w:proofErr w:type="spellStart"/>
      <w:r w:rsidR="00602D93">
        <w:rPr>
          <w:rFonts w:ascii="Cambria" w:hAnsi="Cambria"/>
        </w:rPr>
        <w:t>february</w:t>
      </w:r>
      <w:proofErr w:type="spellEnd"/>
      <w:r w:rsidRPr="008B47F5">
        <w:rPr>
          <w:rFonts w:ascii="Cambria" w:hAnsi="Cambria"/>
        </w:rPr>
        <w:t xml:space="preserve"> 202</w:t>
      </w:r>
      <w:r>
        <w:rPr>
          <w:rFonts w:ascii="Cambria" w:hAnsi="Cambria"/>
        </w:rPr>
        <w:t>6</w:t>
      </w:r>
    </w:p>
    <w:tbl>
      <w:tblPr>
        <w:tblStyle w:val="a9"/>
        <w:tblW w:w="0" w:type="auto"/>
        <w:shd w:val="clear" w:color="auto" w:fill="D5DCE4" w:themeFill="text2" w:themeFillTint="33"/>
        <w:tblLook w:val="04A0" w:firstRow="1" w:lastRow="0" w:firstColumn="1" w:lastColumn="0" w:noHBand="0" w:noVBand="1"/>
      </w:tblPr>
      <w:tblGrid>
        <w:gridCol w:w="9714"/>
      </w:tblGrid>
      <w:tr w:rsidR="00091AF4" w:rsidRPr="008B47F5" w14:paraId="07131C52" w14:textId="77777777" w:rsidTr="00FE7906">
        <w:tc>
          <w:tcPr>
            <w:tcW w:w="10763" w:type="dxa"/>
            <w:shd w:val="clear" w:color="auto" w:fill="DEEAF6" w:themeFill="accent1" w:themeFillTint="33"/>
          </w:tcPr>
          <w:p w14:paraId="5EB39E88" w14:textId="77777777" w:rsidR="00091AF4" w:rsidRPr="008B47F5" w:rsidRDefault="00091AF4" w:rsidP="00497E3A">
            <w:pPr>
              <w:rPr>
                <w:rFonts w:ascii="Cambria" w:hAnsi="Cambria"/>
              </w:rPr>
            </w:pPr>
            <w:r w:rsidRPr="008B47F5">
              <w:rPr>
                <w:rFonts w:ascii="Cambria" w:hAnsi="Cambria"/>
              </w:rPr>
              <w:t>Authors of the individual submission:</w:t>
            </w:r>
          </w:p>
          <w:p w14:paraId="2BD5B314" w14:textId="77777777" w:rsidR="00091AF4" w:rsidRPr="008B47F5" w:rsidRDefault="001B03E1" w:rsidP="00091AF4">
            <w:pPr>
              <w:spacing w:line="240" w:lineRule="auto"/>
              <w:rPr>
                <w:rFonts w:ascii="Cambria" w:hAnsi="Cambria"/>
                <w:b/>
              </w:rPr>
            </w:pPr>
            <w:proofErr w:type="spellStart"/>
            <w:r>
              <w:rPr>
                <w:rFonts w:ascii="Cambria" w:hAnsi="Cambria"/>
                <w:b/>
              </w:rPr>
              <w:t>Părinți</w:t>
            </w:r>
            <w:proofErr w:type="spellEnd"/>
            <w:r>
              <w:rPr>
                <w:rFonts w:ascii="Cambria" w:hAnsi="Cambria"/>
                <w:b/>
              </w:rPr>
              <w:t xml:space="preserve"> </w:t>
            </w:r>
            <w:proofErr w:type="spellStart"/>
            <w:r>
              <w:rPr>
                <w:rFonts w:ascii="Cambria" w:hAnsi="Cambria"/>
                <w:b/>
              </w:rPr>
              <w:t>Solidari</w:t>
            </w:r>
            <w:proofErr w:type="spellEnd"/>
          </w:p>
          <w:p w14:paraId="4043E0C8" w14:textId="77777777" w:rsidR="00091AF4" w:rsidRPr="008B47F5" w:rsidRDefault="001B03E1" w:rsidP="001B03E1">
            <w:pPr>
              <w:jc w:val="both"/>
              <w:rPr>
                <w:rFonts w:ascii="Cambria" w:hAnsi="Cambria"/>
              </w:rPr>
            </w:pPr>
            <w:r w:rsidRPr="001B03E1">
              <w:rPr>
                <w:rFonts w:ascii="Cambria" w:hAnsi="Cambria"/>
              </w:rPr>
              <w:t xml:space="preserve">The </w:t>
            </w:r>
            <w:r>
              <w:rPr>
                <w:rFonts w:ascii="Cambria" w:hAnsi="Cambria"/>
              </w:rPr>
              <w:t>NGO</w:t>
            </w:r>
            <w:r w:rsidRPr="001B03E1">
              <w:rPr>
                <w:rFonts w:ascii="Cambria" w:hAnsi="Cambria"/>
              </w:rPr>
              <w:t xml:space="preserve"> “</w:t>
            </w:r>
            <w:proofErr w:type="spellStart"/>
            <w:r w:rsidRPr="001B03E1">
              <w:rPr>
                <w:rFonts w:ascii="Cambria" w:hAnsi="Cambria"/>
              </w:rPr>
              <w:t>Părinți</w:t>
            </w:r>
            <w:proofErr w:type="spellEnd"/>
            <w:r w:rsidRPr="001B03E1">
              <w:rPr>
                <w:rFonts w:ascii="Cambria" w:hAnsi="Cambria"/>
              </w:rPr>
              <w:t xml:space="preserve"> </w:t>
            </w:r>
            <w:proofErr w:type="spellStart"/>
            <w:r w:rsidRPr="001B03E1">
              <w:rPr>
                <w:rFonts w:ascii="Cambria" w:hAnsi="Cambria"/>
              </w:rPr>
              <w:t>Solidari</w:t>
            </w:r>
            <w:proofErr w:type="spellEnd"/>
            <w:r w:rsidRPr="001B03E1">
              <w:rPr>
                <w:rFonts w:ascii="Cambria" w:hAnsi="Cambria"/>
              </w:rPr>
              <w:t>” (Solidary Parents) is a civil society organization from the Republic of Moldova, established in 2016 to promote and protect the rights of children and parents, with a particular focus on the right to free, equitable, and quality education. The organization carries out monitoring, documentation, and advocacy activities, with the objective of preventing and discouraging practices that undermine the effective exercise of fundamental rights within educational institutions in the Republic of Moldova.</w:t>
            </w:r>
            <w:r w:rsidR="00091AF4" w:rsidRPr="008B47F5">
              <w:rPr>
                <w:rFonts w:ascii="Cambria" w:hAnsi="Cambria"/>
              </w:rPr>
              <w:br w:type="page"/>
            </w:r>
          </w:p>
        </w:tc>
      </w:tr>
    </w:tbl>
    <w:p w14:paraId="03322A18" w14:textId="77777777" w:rsidR="00925903" w:rsidRDefault="00925903"/>
    <w:p w14:paraId="368585F4" w14:textId="77777777" w:rsidR="001B03E1" w:rsidRDefault="001B03E1"/>
    <w:p w14:paraId="3B70B411" w14:textId="77777777" w:rsidR="001B03E1" w:rsidRDefault="001B03E1"/>
    <w:p w14:paraId="6DB8B329" w14:textId="77777777" w:rsidR="001B03E1" w:rsidRDefault="001B03E1"/>
    <w:p w14:paraId="61BE1491" w14:textId="77777777" w:rsidR="00E0419B" w:rsidRPr="00E0419B" w:rsidRDefault="00E0419B" w:rsidP="00E0419B">
      <w:pPr>
        <w:pStyle w:val="af"/>
        <w:numPr>
          <w:ilvl w:val="0"/>
          <w:numId w:val="5"/>
        </w:numPr>
        <w:spacing w:before="100" w:beforeAutospacing="1" w:after="100" w:afterAutospacing="1" w:line="240" w:lineRule="auto"/>
        <w:rPr>
          <w:rFonts w:ascii="Times New Roman" w:eastAsia="Times New Roman" w:hAnsi="Times New Roman" w:cs="Times New Roman"/>
          <w:b/>
          <w:bCs/>
          <w:color w:val="00659D"/>
          <w:sz w:val="24"/>
          <w:szCs w:val="24"/>
        </w:rPr>
      </w:pPr>
      <w:r w:rsidRPr="00E0419B">
        <w:rPr>
          <w:rFonts w:asciiTheme="majorHAnsi" w:eastAsiaTheme="majorEastAsia" w:hAnsiTheme="majorHAnsi" w:cstheme="majorBidi"/>
          <w:b/>
          <w:bCs/>
          <w:color w:val="00659D"/>
          <w:sz w:val="32"/>
          <w:szCs w:val="32"/>
        </w:rPr>
        <w:t xml:space="preserve">Discrimination and Unequal Treatment Arising from Informal Fee Practices in Education </w:t>
      </w:r>
    </w:p>
    <w:p w14:paraId="5427F570" w14:textId="77777777" w:rsidR="00A87FC8" w:rsidRPr="00E0419B" w:rsidRDefault="00A87FC8" w:rsidP="00E0419B">
      <w:pPr>
        <w:pStyle w:val="af"/>
        <w:spacing w:before="100" w:beforeAutospacing="1" w:after="100" w:afterAutospacing="1" w:line="240" w:lineRule="auto"/>
        <w:ind w:left="360"/>
        <w:rPr>
          <w:rFonts w:ascii="Times New Roman" w:eastAsia="Times New Roman" w:hAnsi="Times New Roman" w:cs="Times New Roman"/>
          <w:b/>
          <w:bCs/>
          <w:sz w:val="24"/>
          <w:szCs w:val="24"/>
        </w:rPr>
      </w:pPr>
      <w:r w:rsidRPr="00E0419B">
        <w:rPr>
          <w:rFonts w:ascii="Times New Roman" w:eastAsia="Times New Roman" w:hAnsi="Times New Roman" w:cs="Times New Roman"/>
          <w:b/>
          <w:bCs/>
          <w:sz w:val="24"/>
          <w:szCs w:val="24"/>
        </w:rPr>
        <w:t>(Article 26 of the International Covenant on Civil and Political Rights)</w:t>
      </w:r>
    </w:p>
    <w:p w14:paraId="1BFF9FB5" w14:textId="693A6FE6"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 xml:space="preserve">Officially, school education in the Republic of Moldova is free of charge. At the same time, the systemic collection of informal fees from parents of children enrolled in general education institutions (schools and kindergartens) in the Republic of Moldova </w:t>
      </w:r>
      <w:r w:rsidR="00351CA3">
        <w:rPr>
          <w:rFonts w:ascii="Times New Roman" w:eastAsia="Times New Roman" w:hAnsi="Times New Roman" w:cs="Times New Roman"/>
          <w:sz w:val="24"/>
          <w:szCs w:val="24"/>
        </w:rPr>
        <w:t>is</w:t>
      </w:r>
      <w:r w:rsidRPr="001B03E1">
        <w:rPr>
          <w:rFonts w:ascii="Times New Roman" w:eastAsia="Times New Roman" w:hAnsi="Times New Roman" w:cs="Times New Roman"/>
          <w:sz w:val="24"/>
          <w:szCs w:val="24"/>
        </w:rPr>
        <w:t xml:space="preserve"> widespread and persistent. These informal fees, collected regularly and frequently and presented as so-called “voluntary donations,” affect the effective exercise of children’s right to free education, as well as the rights enshrined in </w:t>
      </w:r>
      <w:r w:rsidRPr="00A87FC8">
        <w:rPr>
          <w:rFonts w:ascii="Times New Roman" w:eastAsia="Times New Roman" w:hAnsi="Times New Roman" w:cs="Times New Roman"/>
          <w:b/>
          <w:bCs/>
          <w:sz w:val="24"/>
          <w:szCs w:val="24"/>
        </w:rPr>
        <w:t>Article 26 of the International Covenant on Civil and Political Rights</w:t>
      </w:r>
      <w:r w:rsidRPr="001B03E1">
        <w:rPr>
          <w:rFonts w:ascii="Times New Roman" w:eastAsia="Times New Roman" w:hAnsi="Times New Roman" w:cs="Times New Roman"/>
          <w:sz w:val="24"/>
          <w:szCs w:val="24"/>
        </w:rPr>
        <w:t>.</w:t>
      </w:r>
    </w:p>
    <w:p w14:paraId="389EAA50" w14:textId="77777777" w:rsidR="00A87FC8" w:rsidRPr="00A87FC8" w:rsidRDefault="00A87FC8" w:rsidP="00A87FC8">
      <w:pPr>
        <w:pStyle w:val="2"/>
        <w:numPr>
          <w:ilvl w:val="1"/>
          <w:numId w:val="4"/>
        </w:numPr>
        <w:tabs>
          <w:tab w:val="left" w:pos="426"/>
        </w:tabs>
        <w:rPr>
          <w:b/>
          <w:bCs/>
        </w:rPr>
      </w:pPr>
      <w:r w:rsidRPr="00A87FC8">
        <w:rPr>
          <w:b/>
          <w:bCs/>
        </w:rPr>
        <w:t>Context</w:t>
      </w:r>
    </w:p>
    <w:p w14:paraId="39F88472"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The collections are initiated by parent committees or “active” parents, often with the tacit consent of school administrations or teaching staff, and the requested amounts are justified by alleged “needs of the educational institution,” such as repairs, equipment, teaching materials, or gifts and additional remuneration for staff. The amount of the payments, their frequency, and the destination of the funds are not established based on objective or transparent criteria, and the contributions are presented as voluntary, although refusal is sanctioned through informal pressure and harassment. Collection is carried out predominantly in cash, without accounting records, which creates real premises for the arbitrary use of funds, including for the satisfaction of personal interests of individuals involved in the collection process, thereby reinforcing the non-transparent and abusive nature of the phenomenon. These practices are most widespread in the municipality of Chișinău, but also in other large urban centers (</w:t>
      </w:r>
      <w:proofErr w:type="spellStart"/>
      <w:r w:rsidRPr="001B03E1">
        <w:rPr>
          <w:rFonts w:ascii="Times New Roman" w:eastAsia="Times New Roman" w:hAnsi="Times New Roman" w:cs="Times New Roman"/>
          <w:sz w:val="24"/>
          <w:szCs w:val="24"/>
        </w:rPr>
        <w:t>Bălți</w:t>
      </w:r>
      <w:proofErr w:type="spellEnd"/>
      <w:r w:rsidRPr="001B03E1">
        <w:rPr>
          <w:rFonts w:ascii="Times New Roman" w:eastAsia="Times New Roman" w:hAnsi="Times New Roman" w:cs="Times New Roman"/>
          <w:sz w:val="24"/>
          <w:szCs w:val="24"/>
        </w:rPr>
        <w:t>, Cahul, etc.), having a direct impact on more than 200,000 children and pupils.</w:t>
      </w:r>
    </w:p>
    <w:p w14:paraId="0DFDEAE6" w14:textId="77777777" w:rsidR="001B03E1" w:rsidRPr="004E2DA9" w:rsidRDefault="001B03E1" w:rsidP="001B03E1">
      <w:pPr>
        <w:spacing w:before="100" w:beforeAutospacing="1" w:after="100" w:afterAutospacing="1" w:line="240" w:lineRule="auto"/>
        <w:rPr>
          <w:rFonts w:ascii="Times New Roman" w:eastAsia="Times New Roman" w:hAnsi="Times New Roman" w:cs="Times New Roman"/>
          <w:b/>
          <w:bCs/>
          <w:sz w:val="24"/>
          <w:szCs w:val="24"/>
        </w:rPr>
      </w:pPr>
      <w:r w:rsidRPr="001B03E1">
        <w:rPr>
          <w:rFonts w:ascii="Times New Roman" w:eastAsia="Times New Roman" w:hAnsi="Times New Roman" w:cs="Times New Roman"/>
          <w:sz w:val="24"/>
          <w:szCs w:val="24"/>
        </w:rPr>
        <w:t>According to research conducted in 2018</w:t>
      </w:r>
      <w:r w:rsidR="00C757F8">
        <w:rPr>
          <w:rStyle w:val="ac"/>
          <w:rFonts w:ascii="Times New Roman" w:eastAsia="Times New Roman" w:hAnsi="Times New Roman" w:cs="Times New Roman"/>
          <w:sz w:val="24"/>
          <w:szCs w:val="24"/>
        </w:rPr>
        <w:footnoteReference w:id="1"/>
      </w:r>
      <w:r w:rsidRPr="001B03E1">
        <w:rPr>
          <w:rFonts w:ascii="Times New Roman" w:eastAsia="Times New Roman" w:hAnsi="Times New Roman" w:cs="Times New Roman"/>
          <w:sz w:val="24"/>
          <w:szCs w:val="24"/>
        </w:rPr>
        <w:t xml:space="preserve">, approximately 95% of respondent parents in Chișinău stated that they had made informal payments or donations to educational institutions, and 87% of these payments were made in cash. In 73% of cases, the collections were of a monthly nature, with the estimated average amount being around 290 MDL (approximately 15 EUR) per child. These data indicate not only the systemic nature of the phenomenon, but also its significant financial dimension, since, in the context of the low standard of living and reduced incomes of the population in the Republic of Moldova, </w:t>
      </w:r>
      <w:r w:rsidRPr="004E2DA9">
        <w:rPr>
          <w:rFonts w:ascii="Times New Roman" w:eastAsia="Times New Roman" w:hAnsi="Times New Roman" w:cs="Times New Roman"/>
          <w:b/>
          <w:bCs/>
          <w:sz w:val="24"/>
          <w:szCs w:val="24"/>
        </w:rPr>
        <w:t>for many families this may represent a considerable financial burden, and for socially vulnerable families even an excessive one.</w:t>
      </w:r>
    </w:p>
    <w:p w14:paraId="61293918"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Beyond the violation of the principle of free education, informal collections generate a climate of social pressure, intimidation, and exclusion. Parents’ refusal to participate in informal fee collections or to comply with illegal practices generates forms of de facto discrimination within the school community. Parents are subjected to stigmatization, pressure, and informal harassment, being labeled as “problematic,” “conflictual,” or “non-solidary,” with a disproportionate impact on women, who are predominantly involved in their children’s school life.</w:t>
      </w:r>
    </w:p>
    <w:p w14:paraId="058028C3"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lastRenderedPageBreak/>
        <w:t>For example, a mother of two children, one of whom has locomotor disabilities, began to be harassed in November–December 2025 due to her refusal to accept informal fees. Initially, this phenomenon manifested through verbal attacks and psychological pressure from other parents, which took place during a parents’ meeting, on the premises of the kindergarten attended by her daughter and in the presence of the child’s educators. After the harassment was reported to the police, 23 parents and the educators submitted a collective complaint to the police, accusing the mother who was the victim of harassment, without any real reasons or evidence, of jeopardizing the educational process and of being the cause of health problems of one of the educators.</w:t>
      </w:r>
    </w:p>
    <w:p w14:paraId="20A8688E"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 xml:space="preserve">The discrimination exercised against parents is transferred to children and pupils, who become indirect victims of reprisals, including through marginalization, labeling, or bullying, manifested both by peers and, in some cases, by teaching staff. Thus, in a survey conducted in 2022 among pupils and young people in the Republic of Moldova, </w:t>
      </w:r>
      <w:r w:rsidRPr="004E2DA9">
        <w:rPr>
          <w:rFonts w:ascii="Times New Roman" w:eastAsia="Times New Roman" w:hAnsi="Times New Roman" w:cs="Times New Roman"/>
          <w:b/>
          <w:bCs/>
          <w:sz w:val="24"/>
          <w:szCs w:val="24"/>
        </w:rPr>
        <w:t>60% of respondents consider that informal payments lead to the emergence of discrimination against certain pupils in their school</w:t>
      </w:r>
      <w:r w:rsidR="004E2DA9">
        <w:rPr>
          <w:rStyle w:val="ac"/>
          <w:rFonts w:ascii="Times New Roman" w:eastAsia="Times New Roman" w:hAnsi="Times New Roman" w:cs="Times New Roman"/>
          <w:sz w:val="24"/>
          <w:szCs w:val="24"/>
        </w:rPr>
        <w:footnoteReference w:id="2"/>
      </w:r>
      <w:r w:rsidRPr="001B03E1">
        <w:rPr>
          <w:rFonts w:ascii="Times New Roman" w:eastAsia="Times New Roman" w:hAnsi="Times New Roman" w:cs="Times New Roman"/>
          <w:sz w:val="24"/>
          <w:szCs w:val="24"/>
        </w:rPr>
        <w:t>.</w:t>
      </w:r>
    </w:p>
    <w:p w14:paraId="77BFCD66"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In another example, a tenth-grade pupil at a school in the municipality of Chișinău, in December 2023, was called in for a discussion by the class teacher because she did not pay informal fees, justified by the need for the school to prepare photocopies for an exam and to ensure classroom cleanliness</w:t>
      </w:r>
      <w:r w:rsidR="004E2DA9">
        <w:rPr>
          <w:rStyle w:val="ac"/>
          <w:rFonts w:ascii="Times New Roman" w:eastAsia="Times New Roman" w:hAnsi="Times New Roman" w:cs="Times New Roman"/>
          <w:sz w:val="24"/>
          <w:szCs w:val="24"/>
        </w:rPr>
        <w:footnoteReference w:id="3"/>
      </w:r>
      <w:r w:rsidRPr="001B03E1">
        <w:rPr>
          <w:rFonts w:ascii="Times New Roman" w:eastAsia="Times New Roman" w:hAnsi="Times New Roman" w:cs="Times New Roman"/>
          <w:sz w:val="24"/>
          <w:szCs w:val="24"/>
        </w:rPr>
        <w:t>.</w:t>
      </w:r>
      <w:r w:rsidRPr="001B03E1">
        <w:rPr>
          <w:rFonts w:ascii="Times New Roman" w:eastAsia="Times New Roman" w:hAnsi="Times New Roman" w:cs="Times New Roman"/>
          <w:sz w:val="24"/>
          <w:szCs w:val="24"/>
        </w:rPr>
        <w:br/>
        <w:t>“Why do 31 children pay, but you do not pay?... You came to this high school. You could have chosen not to come... You could have gone to a school where money is allocated for all this! Which school do you attend where children do not pay for photocopies? And how do you imagine the exam — that I should pay money out of my own pocket? Where am I supposed to get money from, no one gives me money... I don’t know, if this is how you feel comfortable, fine, but this won’t work... If you don’t like it, if it doesn’t suit you, goodbye...” were the remarks addressed by the class teacher to the pupil, whose mother refused to participate in illegal collections.</w:t>
      </w:r>
    </w:p>
    <w:p w14:paraId="1437BCA4"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 xml:space="preserve">Such situations constitute a violation of </w:t>
      </w:r>
      <w:r w:rsidRPr="004E2DA9">
        <w:rPr>
          <w:rFonts w:ascii="Times New Roman" w:eastAsia="Times New Roman" w:hAnsi="Times New Roman" w:cs="Times New Roman"/>
          <w:b/>
          <w:bCs/>
          <w:sz w:val="24"/>
          <w:szCs w:val="24"/>
        </w:rPr>
        <w:t>Article 26 of the International Covenant on Civil and Political Rights</w:t>
      </w:r>
      <w:r w:rsidRPr="001B03E1">
        <w:rPr>
          <w:rFonts w:ascii="Times New Roman" w:eastAsia="Times New Roman" w:hAnsi="Times New Roman" w:cs="Times New Roman"/>
          <w:sz w:val="24"/>
          <w:szCs w:val="24"/>
        </w:rPr>
        <w:t>, which establishes that all persons are equal before the law and are entitled, without any discrimination, to equal and effective protection against any discrimination.</w:t>
      </w:r>
    </w:p>
    <w:p w14:paraId="394C9959"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In the context of informal fee collections in educational institutions in the Republic of Moldova, Article 26 of the International Covenant on Civil and Political Rights is particularly relevant, as these practices generate multiple forms of discrimination that are tacitly tolerated or insufficiently discouraged and sanctioned by public authorities. Although the collections are presented as “voluntary,” they produce disproportionate effects on certain groups of parents and children, placing them at a disadvantage within the school community. Parents’ refusal to participate in informal fee collections may be based on distinct but equally legitimate reasons from a human rights perspective. Parents may refuse participation either for economic reasons (especially socially vulnerable families) or for reasons of conviction, as these practices constitute illegal acts subject to administrative sanctions. In both situations, refusal generates differential treatment within the school community, manifested through stigmatization, pressure, and informal exclusion.</w:t>
      </w:r>
    </w:p>
    <w:p w14:paraId="4AA3C6E5"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lastRenderedPageBreak/>
        <w:t>Thus, as a result of informal fee collections, harmful treatment particularly affects poor families, families with multiple children, and single-parent families, especially those headed by women, due to their inability to pay these fees. Likewise, mothers are primarily affected as a distinct group, given their predominant role in interactions with educational institutions and their increased exposure to harassment, which reveals a form of intersectional discrimination based on gender and economic status. Informal collections also constitute an aggravating factor for families that include persons with disabilities, for whom additional costs intensify vulnerability and the risk of exclusion, for Roma families, who face cumulative discrimination, as well as for children and pupils from these families, who become indirect victims of discrimination exercised against parents.</w:t>
      </w:r>
    </w:p>
    <w:p w14:paraId="081217AF"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The systemic nature of the phenomenon transforms discrimination into a structural one, affecting equal opportunities in education and development. In its jurisprudence and practice, the UN Human Rights Committee has emphasized that structural discrimination, even in the absence of explicit intent, is incompatible with Article 26 when the State fails to intervene to correct existing imbalances.</w:t>
      </w:r>
    </w:p>
    <w:p w14:paraId="39235BE8" w14:textId="77777777" w:rsidR="001B03E1" w:rsidRPr="00A87FC8" w:rsidRDefault="00A87FC8" w:rsidP="00A87FC8">
      <w:pPr>
        <w:pStyle w:val="2"/>
        <w:numPr>
          <w:ilvl w:val="1"/>
          <w:numId w:val="4"/>
        </w:numPr>
        <w:tabs>
          <w:tab w:val="left" w:pos="426"/>
        </w:tabs>
        <w:rPr>
          <w:b/>
          <w:bCs/>
        </w:rPr>
      </w:pPr>
      <w:r w:rsidRPr="00A87FC8">
        <w:rPr>
          <w:b/>
          <w:bCs/>
        </w:rPr>
        <w:t>State measures and their limited impact</w:t>
      </w:r>
    </w:p>
    <w:p w14:paraId="1C89AA20"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The authorities of the Republic of Moldova have adopted, in recent years, a number of policies and normative acts aimed at preventing and combating corruption in the form of illegal collection of money in the education sector. Anti-corruption strategies have been developed, the Code of Ethics for teaching staff has been updated, administrative sanctions have been introduced for certain types of informal collections, and information campaigns have been carried out regarding the illegality of informal payments.</w:t>
      </w:r>
    </w:p>
    <w:p w14:paraId="6850551B"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At the same time, in 2019 the Ministry of Education and Research issued an order reiterating the prohibition of collecting funds from parents and, in 2024, established an Ethics Council, including for the examination of cases involving integrity issues. A legal mechanism was also introduced for making donations to educational institutions through the governmental payment system, which ensures transparency in the collection and use of these funds.</w:t>
      </w:r>
    </w:p>
    <w:p w14:paraId="6CDDD196"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However, the real impact of these measures remains extremely limited. Experiences reported by parents and teaching staff, including through the media, indicate that both the phenomenon of informal collections and practices of harassment, exclusion, and discrimination continue to persist on a large scale, with no significant reduction observed over the past seven years.</w:t>
      </w:r>
    </w:p>
    <w:p w14:paraId="14BE4D19"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Despite the existing normative framework, the authorities have failed to ensure the effective enforcement of prohibitions on informal collections. The lack of an anti-corruption hotline and of a dedicated control unit within the Ministry of Education and Research, the superficial examination of reported cases, and the absence or merely formal nature of sanctions for cases of informal collection contribute to the practical impunity of those involved.</w:t>
      </w:r>
    </w:p>
    <w:p w14:paraId="63A0773F"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Furthermore, the State has failed to ensure effective protection of parents and children against harassment and discrimination in the context of informal fee collections. The absence of safe and confidential reporting mechanisms, the lack of psychological and legal support for victims, and distrust in state institutions discourage the reporting of such cases.</w:t>
      </w:r>
    </w:p>
    <w:p w14:paraId="1E0B8A73"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lastRenderedPageBreak/>
        <w:t>An important structural cause of the described situation is that employees and management of educational institutions are, in fact, direct beneficiaries of informal payments. The amounts collected from parents may be used directly for informal financial benefits for certain employees of the institution, as well as for addressing infrastructure-related issues (repairs, furniture and equipment procurement, etc.), expenses that are easy to justify in the context of chronic underfunding of educational institutions in the Republic of Moldova. This situation creates conditions for informal collections to be justified under the pretext of “institutional needs” and “the best interests of children.” At the same time, social tolerance of these practices and their perception as “traditions” reinforces acceptance and perpetuation of the phenomenon. Consequently, individuals who do not conform to and do not support such “traditions” become “inconvenient” and “uncooperative” both for the parent community and for teaching staff and school administrations.</w:t>
      </w:r>
    </w:p>
    <w:p w14:paraId="3BCB1A18" w14:textId="77777777" w:rsidR="001B03E1" w:rsidRPr="00A87FC8" w:rsidRDefault="00A87FC8" w:rsidP="00A87FC8">
      <w:pPr>
        <w:pStyle w:val="2"/>
        <w:numPr>
          <w:ilvl w:val="1"/>
          <w:numId w:val="4"/>
        </w:numPr>
        <w:tabs>
          <w:tab w:val="left" w:pos="426"/>
        </w:tabs>
        <w:rPr>
          <w:b/>
          <w:bCs/>
        </w:rPr>
      </w:pPr>
      <w:r w:rsidRPr="00A87FC8">
        <w:rPr>
          <w:b/>
          <w:bCs/>
        </w:rPr>
        <w:t>Recommendations</w:t>
      </w:r>
    </w:p>
    <w:p w14:paraId="79B4ED05" w14:textId="77777777" w:rsidR="001B03E1" w:rsidRPr="001B03E1" w:rsidRDefault="001B03E1" w:rsidP="001B03E1">
      <w:p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In order to fulfill its obligations under the International Covenant on Civil and Political Rights, the Republic of Moldova must adopt concrete and effective measures such as:</w:t>
      </w:r>
    </w:p>
    <w:p w14:paraId="2CF5E502" w14:textId="77777777" w:rsidR="001B03E1" w:rsidRPr="001B03E1" w:rsidRDefault="001B03E1" w:rsidP="001B03E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Creating and implementing safe, confidential, and accessible reporting mechanisms regarding informal payment practices in schools, with real guarantees against reprisals.</w:t>
      </w:r>
    </w:p>
    <w:p w14:paraId="705F51DE" w14:textId="77777777" w:rsidR="001B03E1" w:rsidRPr="001B03E1" w:rsidRDefault="001B03E1" w:rsidP="001B03E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Ensuring strict enforcement of the prohibition of informal collections, including through periodic inspections and effective sanctions.</w:t>
      </w:r>
    </w:p>
    <w:p w14:paraId="13D4B12E" w14:textId="77777777" w:rsidR="001B03E1" w:rsidRPr="001B03E1" w:rsidRDefault="001B03E1" w:rsidP="001B03E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Establishing within the Ministry of Education and Research a dedicated unit for examining situations of informal collections and related cases of discrimination.</w:t>
      </w:r>
    </w:p>
    <w:p w14:paraId="619DEB2E" w14:textId="77777777" w:rsidR="001B03E1" w:rsidRPr="001B03E1" w:rsidRDefault="001B03E1" w:rsidP="001B03E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B03E1">
        <w:rPr>
          <w:rFonts w:ascii="Times New Roman" w:eastAsia="Times New Roman" w:hAnsi="Times New Roman" w:cs="Times New Roman"/>
          <w:sz w:val="24"/>
          <w:szCs w:val="24"/>
        </w:rPr>
        <w:t>Intensifying proactive efforts to combat systemic corruption in education by adopting an effective sanctioning mechanism, similar to the mechanism applied to combat electoral corruption.</w:t>
      </w:r>
    </w:p>
    <w:p w14:paraId="025429C4" w14:textId="77777777" w:rsidR="001B03E1" w:rsidRPr="001B03E1" w:rsidRDefault="001B03E1" w:rsidP="001B03E1">
      <w:pPr>
        <w:spacing w:after="0" w:line="240" w:lineRule="auto"/>
        <w:rPr>
          <w:rFonts w:ascii="Times New Roman" w:eastAsia="Times New Roman" w:hAnsi="Times New Roman" w:cs="Times New Roman"/>
          <w:sz w:val="24"/>
          <w:szCs w:val="24"/>
        </w:rPr>
      </w:pPr>
    </w:p>
    <w:p w14:paraId="71D306D0" w14:textId="77777777" w:rsidR="00B2716F" w:rsidRPr="00B2716F" w:rsidRDefault="00B2716F" w:rsidP="000B0661">
      <w:pPr>
        <w:pStyle w:val="af"/>
        <w:numPr>
          <w:ilvl w:val="0"/>
          <w:numId w:val="5"/>
        </w:numPr>
        <w:spacing w:before="100" w:beforeAutospacing="1" w:after="0" w:line="240" w:lineRule="auto"/>
        <w:ind w:left="357" w:hanging="357"/>
        <w:rPr>
          <w:rFonts w:asciiTheme="majorHAnsi" w:eastAsiaTheme="majorEastAsia" w:hAnsiTheme="majorHAnsi" w:cstheme="majorBidi"/>
          <w:b/>
          <w:bCs/>
          <w:color w:val="00659D"/>
          <w:sz w:val="32"/>
          <w:szCs w:val="32"/>
        </w:rPr>
      </w:pPr>
      <w:r w:rsidRPr="00B2716F">
        <w:rPr>
          <w:rFonts w:asciiTheme="majorHAnsi" w:eastAsiaTheme="majorEastAsia" w:hAnsiTheme="majorHAnsi" w:cstheme="majorBidi"/>
          <w:b/>
          <w:bCs/>
          <w:color w:val="00659D"/>
          <w:sz w:val="32"/>
          <w:szCs w:val="32"/>
        </w:rPr>
        <w:t>Failure to Protect Children from Bullying in Schools in the Republic of Moldova</w:t>
      </w:r>
    </w:p>
    <w:p w14:paraId="47B945C3" w14:textId="77777777" w:rsidR="00B2716F" w:rsidRDefault="00B2716F" w:rsidP="000B0661">
      <w:pPr>
        <w:spacing w:after="100" w:afterAutospacing="1" w:line="240" w:lineRule="auto"/>
        <w:ind w:left="426"/>
        <w:rPr>
          <w:rFonts w:ascii="Times New Roman" w:eastAsia="Times New Roman" w:hAnsi="Times New Roman" w:cs="Times New Roman"/>
          <w:b/>
          <w:bCs/>
          <w:sz w:val="24"/>
          <w:szCs w:val="24"/>
        </w:rPr>
      </w:pPr>
      <w:r w:rsidRPr="00B2716F">
        <w:rPr>
          <w:rFonts w:ascii="Times New Roman" w:eastAsia="Times New Roman" w:hAnsi="Times New Roman" w:cs="Times New Roman"/>
          <w:b/>
          <w:bCs/>
          <w:sz w:val="24"/>
          <w:szCs w:val="24"/>
        </w:rPr>
        <w:t>(Articles 2, 7, 24 and 26 of the International Covenant on Civil and Political Rights)</w:t>
      </w:r>
    </w:p>
    <w:p w14:paraId="29B61F7C" w14:textId="77777777" w:rsidR="00B2716F" w:rsidRPr="00A87FC8" w:rsidRDefault="00B2716F" w:rsidP="00B2716F">
      <w:pPr>
        <w:pStyle w:val="2"/>
        <w:numPr>
          <w:ilvl w:val="1"/>
          <w:numId w:val="5"/>
        </w:numPr>
        <w:tabs>
          <w:tab w:val="left" w:pos="426"/>
        </w:tabs>
        <w:rPr>
          <w:b/>
          <w:bCs/>
        </w:rPr>
      </w:pPr>
      <w:r w:rsidRPr="00A87FC8">
        <w:rPr>
          <w:b/>
          <w:bCs/>
        </w:rPr>
        <w:t>Context</w:t>
      </w:r>
    </w:p>
    <w:p w14:paraId="4AE2A320" w14:textId="77777777" w:rsidR="00B2716F" w:rsidRDefault="008A4183" w:rsidP="008A4183">
      <w:pPr>
        <w:pStyle w:val="af0"/>
      </w:pPr>
      <w:r>
        <w:t>In the Republic of Moldova, the phenomenon of bullying in educational institutions is widespread. According to the Education Code of the Republic of Moldova, bullying is a form of aggression that manifests intentionally, repeatedly, and through a power imbalance in relationships between children, pupils, or students, and refers to behaviors through which a child, a pupil, a student, or a group harms, causes damage, inflicts suffering or helplessness, or violates human dignity. This type of aggression occurs primarily within educational institutions and in spaces intended for education and vocational training</w:t>
      </w:r>
      <w:r w:rsidR="000B0661">
        <w:rPr>
          <w:rStyle w:val="ac"/>
        </w:rPr>
        <w:footnoteReference w:id="4"/>
      </w:r>
      <w:r>
        <w:t xml:space="preserve">. Bullying manifests as early as kindergarten, as an incipient form of aggression, and develops in its various forms especially in primary, lower secondary, and upper secondary education. </w:t>
      </w:r>
    </w:p>
    <w:p w14:paraId="7398DC9C" w14:textId="77777777" w:rsidR="008A4183" w:rsidRDefault="008A4183" w:rsidP="008A4183">
      <w:pPr>
        <w:pStyle w:val="af0"/>
      </w:pPr>
      <w:r>
        <w:lastRenderedPageBreak/>
        <w:t>The analysis of the evolution of the bullying phenomenon in the Republic of Moldova indicates its escalation starting from 2020. A study conducted by UNICEF confirms that 70.8% of all pupils in grades VI–XII in the Republic of Moldova are victims of bullying. These pupils have been physically and verbally assaulted or consistently humiliated by their classmates</w:t>
      </w:r>
      <w:r w:rsidR="000B0661">
        <w:rPr>
          <w:rStyle w:val="ac"/>
        </w:rPr>
        <w:footnoteReference w:id="5"/>
      </w:r>
      <w:r>
        <w:t>.</w:t>
      </w:r>
    </w:p>
    <w:p w14:paraId="4A5452A5" w14:textId="77777777" w:rsidR="008A4183" w:rsidRDefault="008A4183" w:rsidP="008A4183">
      <w:pPr>
        <w:pStyle w:val="af0"/>
      </w:pPr>
      <w:r>
        <w:t>According to a 2019 study, an alarming number—86.8% of all pupils in grades VI–XII—are affected by bullying. The impact of bullying on pupils varies: some pupils become victims of bullying, others aggressors or witnesses. Some pupils do not fall exclusively into only one of the groups mentioned above, as they may be, at times, victims, at other times witnesses of bullying situations, and in some cases, aggressors</w:t>
      </w:r>
      <w:r w:rsidR="002E67EC">
        <w:rPr>
          <w:rStyle w:val="ac"/>
        </w:rPr>
        <w:footnoteReference w:id="6"/>
      </w:r>
      <w:r>
        <w:t>.</w:t>
      </w:r>
    </w:p>
    <w:p w14:paraId="1FF35517" w14:textId="77777777" w:rsidR="008A4183" w:rsidRDefault="008A4183" w:rsidP="008A4183">
      <w:pPr>
        <w:pStyle w:val="af0"/>
      </w:pPr>
      <w:r>
        <w:t>Starting from 2023, an official reporting system for bullying cases was launched. In Moldova, in 2023, 1,086 cases of bullying were reported</w:t>
      </w:r>
      <w:r w:rsidR="002E67EC">
        <w:rPr>
          <w:rStyle w:val="ac"/>
        </w:rPr>
        <w:footnoteReference w:id="7"/>
      </w:r>
      <w:r>
        <w:t>.</w:t>
      </w:r>
    </w:p>
    <w:p w14:paraId="55142254" w14:textId="77777777" w:rsidR="008A4183" w:rsidRDefault="008A4183" w:rsidP="008A4183">
      <w:pPr>
        <w:pStyle w:val="af0"/>
      </w:pPr>
      <w:r>
        <w:t>According to data from the General Police Inspectorate, confirmed by the Ministry of Education and Research, one in five pupils in the Republic of Moldova is a victim of bullying in schools (these official data being considerably lower than the data from the studies indicated above). In 2024, 1,718 cases of bullying were reported in educational institutions, and in 2025 their number increased by 102 cases. In 2025, more than 1,820 cases of bullying were reported, occurring among the 336,316 pupils in the Republic of Moldova</w:t>
      </w:r>
      <w:r w:rsidR="00096706">
        <w:rPr>
          <w:rStyle w:val="ac"/>
        </w:rPr>
        <w:footnoteReference w:id="8"/>
      </w:r>
      <w:r>
        <w:t>.</w:t>
      </w:r>
    </w:p>
    <w:p w14:paraId="0075DB98" w14:textId="77777777" w:rsidR="008A4183" w:rsidRDefault="008A4183" w:rsidP="008A4183">
      <w:pPr>
        <w:pStyle w:val="af0"/>
      </w:pPr>
      <w:r>
        <w:t>Bullying initiated in educational institutions frequently continues in the online environment, a phenomenon known as cyberbullying. According to the definition provided by the Methodology on the Prevention and Combating of Bullying, approved by the Ministry of Education and Research, cyberbullying (cyber bullying) consists of bullying actions carried out through the use of mobile phones, electronic mail, the internet, social networks, blogs, chats, etc. It includes the dissemination through posts, messages, images, photos, or videos of personal data, confidential information, and gossip</w:t>
      </w:r>
      <w:r w:rsidR="00096706">
        <w:rPr>
          <w:rStyle w:val="ac"/>
        </w:rPr>
        <w:footnoteReference w:id="9"/>
      </w:r>
      <w:r>
        <w:t>. It is a repeated behavior aimed at frightening, angering, or humiliating targeted individuals</w:t>
      </w:r>
      <w:r w:rsidR="00B34EFA">
        <w:rPr>
          <w:rStyle w:val="ac"/>
        </w:rPr>
        <w:footnoteReference w:id="10"/>
      </w:r>
      <w:r>
        <w:t>. According to data from the World Health Organization (WHO) reflected in reports for 2022, in the Republic of Moldova, 1 in 8 adolescents admitted that they had been harassed online by one or more peers</w:t>
      </w:r>
      <w:r w:rsidR="00096706">
        <w:rPr>
          <w:rStyle w:val="ac"/>
        </w:rPr>
        <w:footnoteReference w:id="11"/>
      </w:r>
      <w:r>
        <w:t>.</w:t>
      </w:r>
    </w:p>
    <w:p w14:paraId="4475F8FC" w14:textId="00DBC712" w:rsidR="008A4183" w:rsidRDefault="008A4183" w:rsidP="008A4183">
      <w:pPr>
        <w:pStyle w:val="af0"/>
      </w:pPr>
      <w:r>
        <w:t xml:space="preserve">The causes of bullying are diverse, among them being material differences between pupils’ families, with children from poor families being more affected by bullying. Another frequently encountered cause is bullying based on ethnic criteria, with children from Roma families or other </w:t>
      </w:r>
      <w:r w:rsidR="009C0AB2">
        <w:t xml:space="preserve">ethnic backgrounds </w:t>
      </w:r>
      <w:r>
        <w:t>being frequently affected. Children with disabilities often become victims of bullying, alongside children with lower academic performance. Bullying among children with disabilities in Moldova is a critical problem, as children and adolescents with special needs are three times more likely to be harassed compared to their peers.</w:t>
      </w:r>
    </w:p>
    <w:p w14:paraId="7CDDC02C" w14:textId="77777777" w:rsidR="008A4183" w:rsidRDefault="008A4183" w:rsidP="008A4183">
      <w:pPr>
        <w:pStyle w:val="af0"/>
      </w:pPr>
      <w:r>
        <w:lastRenderedPageBreak/>
        <w:t>By examining the causes of the emergence of the bullying phenomenon among pupils, it can be concluded that discriminatory motives are an important factor triggering abusive behavior among pupils.</w:t>
      </w:r>
    </w:p>
    <w:p w14:paraId="6222617A" w14:textId="77777777" w:rsidR="008A4183" w:rsidRDefault="008A4183" w:rsidP="008A4183">
      <w:pPr>
        <w:pStyle w:val="af0"/>
      </w:pPr>
      <w:r>
        <w:t>When relating the phenomenon of bullying to the provisions of the International Covenant on Civil and Political Rights, it falls under the scope of Article 2 paragraph 1 of the Covenant, according to which States Parties undertake to respect and to ensure to all individuals within their territory and subject to their jurisdiction the rights recognized in the present Covenant, without any distinction, in particular as to race, color, religion, political or other opinion, national or social origin, property, birth, or other status.</w:t>
      </w:r>
    </w:p>
    <w:p w14:paraId="5C026B25" w14:textId="77777777" w:rsidR="008A4183" w:rsidRDefault="008A4183" w:rsidP="008A4183">
      <w:pPr>
        <w:pStyle w:val="af0"/>
      </w:pPr>
      <w:r>
        <w:t>Taking into consideration the physical and psychological suffering of victims of bullying, the provisions of Article 7 of the Covenant are also applicable, according to which no one shall be subjected to cruel, inhuman, or degrading treatment.</w:t>
      </w:r>
    </w:p>
    <w:p w14:paraId="63D564DF" w14:textId="77777777" w:rsidR="008A4183" w:rsidRDefault="008A4183" w:rsidP="008A4183">
      <w:pPr>
        <w:pStyle w:val="af0"/>
      </w:pPr>
      <w:r>
        <w:t>At the same time, the positive obligation of the State derives from the provisions of Article 24 paragraph 1 of the same Covenant, according to which every child, without any discrimination based on race, color, sex, language, religion, national or social origin, property, or birth, has the right to such measures of protection as are required by his or her status as a minor, on the part of his or her family, society, and the State.</w:t>
      </w:r>
    </w:p>
    <w:p w14:paraId="0C8BB793" w14:textId="77777777" w:rsidR="008A4183" w:rsidRDefault="008A4183" w:rsidP="008A4183">
      <w:pPr>
        <w:pStyle w:val="af0"/>
      </w:pPr>
      <w:r>
        <w:t>The phenomenon of bullying also violates the provisions of Article 26 of the Covenant, which stipulates that all persons are equal before the law and are entitled, without discrimination, to the equal protection of the law. In this regard, the law must prohibit any discrimination and guarantee to all persons equal and effective protection against any discrimination, in particular on grounds of race, color, sex, language, religion, political or other opinion, national or social origin, property, birth, or other status.</w:t>
      </w:r>
    </w:p>
    <w:p w14:paraId="670E3FD7" w14:textId="77777777" w:rsidR="00B2716F" w:rsidRPr="00A87FC8" w:rsidRDefault="00B2716F" w:rsidP="00B2716F">
      <w:pPr>
        <w:pStyle w:val="2"/>
        <w:numPr>
          <w:ilvl w:val="1"/>
          <w:numId w:val="5"/>
        </w:numPr>
        <w:tabs>
          <w:tab w:val="left" w:pos="426"/>
        </w:tabs>
        <w:rPr>
          <w:b/>
          <w:bCs/>
        </w:rPr>
      </w:pPr>
      <w:r w:rsidRPr="00A87FC8">
        <w:rPr>
          <w:b/>
          <w:bCs/>
        </w:rPr>
        <w:t>State measures and their limited impact</w:t>
      </w:r>
    </w:p>
    <w:p w14:paraId="28B41936" w14:textId="77777777" w:rsidR="008A4183" w:rsidRDefault="008A4183" w:rsidP="008A4183">
      <w:pPr>
        <w:pStyle w:val="af0"/>
      </w:pPr>
      <w:r>
        <w:t>With regard to the efforts of the institutions of the Republic of Moldova aimed at counteracting the phenomenon of bullying, it should be noted that this notion was legislated in the Education Code of the Republic of Moldova in 2022. By Order No. 1024 of 2022 of the Ministry of Education, Culture and Research, the Methodology on the Prevention and Combating of Bullying was developed, which establishes the steps for identification, reporting, and intervention in cases of harassment</w:t>
      </w:r>
      <w:r w:rsidR="00B34EFA">
        <w:rPr>
          <w:rStyle w:val="ac"/>
        </w:rPr>
        <w:footnoteReference w:id="12"/>
      </w:r>
      <w:r>
        <w:t>.</w:t>
      </w:r>
    </w:p>
    <w:p w14:paraId="2037FAFF" w14:textId="77777777" w:rsidR="008A4183" w:rsidRDefault="008A4183" w:rsidP="008A4183">
      <w:pPr>
        <w:pStyle w:val="af0"/>
      </w:pPr>
      <w:r>
        <w:t>According to this Methodology, the management staff of the educational institution examines manifestations of bullying in the school environment, develops policies and action plans, and ensures tools for reporting cases. Teaching staff inform children/pupils about bullying, monitor the group, discuss bullying-related topics with parents, and, in a timely manner, inform parents about problems observed in the behavior of the child/pupil. Each bullying case is to be resolved according to a standardized pattern: identification, investigation, assistance to the children involved, monitoring, and closure of the case:</w:t>
      </w:r>
    </w:p>
    <w:p w14:paraId="1EA4BBF7" w14:textId="77777777" w:rsidR="008A4183" w:rsidRDefault="008A4183" w:rsidP="008A4183">
      <w:pPr>
        <w:pStyle w:val="af0"/>
        <w:numPr>
          <w:ilvl w:val="0"/>
          <w:numId w:val="6"/>
        </w:numPr>
      </w:pPr>
      <w:r>
        <w:lastRenderedPageBreak/>
        <w:t>for the identification of bullying cases, management staff ensure that children/pupils can report cases by directly addressing trusted persons, by telephone, SMS, email, chat, or a reporting box; institutional staff identify bullying cases through direct observation, analysis of the psychosocial climate, communication with children/pupils and parents; reported cases are recorded in the Register of Suspected Cases of Abuse, Neglect, Exploitation, and Child Trafficking;</w:t>
      </w:r>
    </w:p>
    <w:p w14:paraId="30CBB678" w14:textId="77777777" w:rsidR="008A4183" w:rsidRDefault="008A4183" w:rsidP="008A4183">
      <w:pPr>
        <w:pStyle w:val="af0"/>
        <w:numPr>
          <w:ilvl w:val="0"/>
          <w:numId w:val="6"/>
        </w:numPr>
      </w:pPr>
      <w:r>
        <w:t>after reporting/identifying a suspected bullying case, an employee of the institution who enjoys the trust of children/pupils discusses separately with each of the involved parties; institutional staff who identify a bullying case as serious (when the life and health of the child/pupil are in danger) report it to the relevant authorities; they complete the Notification Form for a suspected case of violence and act in accordance with the competent instructions;</w:t>
      </w:r>
    </w:p>
    <w:p w14:paraId="1223D4DD" w14:textId="77777777" w:rsidR="008A4183" w:rsidRDefault="008A4183" w:rsidP="008A4183">
      <w:pPr>
        <w:pStyle w:val="af0"/>
        <w:numPr>
          <w:ilvl w:val="0"/>
          <w:numId w:val="6"/>
        </w:numPr>
      </w:pPr>
      <w:r>
        <w:t>following the examination of the bullying case, an action plan is developed for all involved children/pupils and, where appropriate, for parents;</w:t>
      </w:r>
    </w:p>
    <w:p w14:paraId="03A9EFC4" w14:textId="77777777" w:rsidR="008A4183" w:rsidRDefault="008A4183" w:rsidP="008A4183">
      <w:pPr>
        <w:pStyle w:val="af0"/>
        <w:numPr>
          <w:ilvl w:val="0"/>
          <w:numId w:val="6"/>
        </w:numPr>
      </w:pPr>
      <w:r>
        <w:t>monitoring of the situation involves analyzing the extent to which the objectives of the action plan have been achieved and future management decisions;</w:t>
      </w:r>
    </w:p>
    <w:p w14:paraId="295FDEA3" w14:textId="77777777" w:rsidR="008A4183" w:rsidRDefault="008A4183" w:rsidP="008A4183">
      <w:pPr>
        <w:pStyle w:val="af0"/>
        <w:numPr>
          <w:ilvl w:val="0"/>
          <w:numId w:val="6"/>
        </w:numPr>
      </w:pPr>
      <w:r>
        <w:t>closure of the case implies that the involved parties have been provided with the necessary assistance, educational and disciplinary measures have been undertaken, and for a period of six months no repeated acts of violence committed by children/pupils have been observed.</w:t>
      </w:r>
    </w:p>
    <w:p w14:paraId="5DECE20A" w14:textId="77777777" w:rsidR="008A4183" w:rsidRDefault="008A4183" w:rsidP="008A4183">
      <w:pPr>
        <w:pStyle w:val="af0"/>
      </w:pPr>
      <w:r>
        <w:t>In September 2025, the Ministry of Education and the Ministry of Internal Affairs launched a partnership aimed at creating a safe environment, involving the active presence of police officers in information and prevention campaigns in schools.</w:t>
      </w:r>
    </w:p>
    <w:p w14:paraId="63A876C4" w14:textId="77777777" w:rsidR="008A4183" w:rsidRDefault="008A4183" w:rsidP="008A4183">
      <w:pPr>
        <w:pStyle w:val="af0"/>
      </w:pPr>
      <w:r>
        <w:t xml:space="preserve">Despite all these measures, the number of bullying cases in Moldova is not decreasing; on the contrary, </w:t>
      </w:r>
      <w:r w:rsidRPr="00602D93">
        <w:rPr>
          <w:b/>
        </w:rPr>
        <w:t>it is increasing</w:t>
      </w:r>
      <w:r>
        <w:t>. The anti-bullying Methodology, although establishing a mechanism for the conduct and response of teaching staff, does not have the intended effect, as it is not applied in many cases. Teaching staff, at the stage of identifying potential bullying cases, often do not monitor the situation and do not intervene in a timely manner in order to prevent the escalation of the conflict. At the stage of case investigation, bullying cases are frequently examined in accordance with the Methodology only when they have major resonance and scale, for example when the incident is publicly exposed or only at the insistence of parents. Very often, parents are not informed in a timely manner or are not informed at all about the conflict in which their child was involved. They may learn about the bullying situation only from the child’s deteriorated emotional state. Subsequently, after a bullying case, the situation is not objectively monitored, or sometimes not monitored at all, with teaching staff failing to ensure that all necessary assistance has been provided to the involved parties to restore the situation.</w:t>
      </w:r>
    </w:p>
    <w:p w14:paraId="50E134F0" w14:textId="33F9D22B" w:rsidR="008A4183" w:rsidRDefault="008A4183" w:rsidP="008A4183">
      <w:pPr>
        <w:pStyle w:val="af0"/>
      </w:pPr>
      <w:r>
        <w:t xml:space="preserve">One of the causes of this inaction is the lack of </w:t>
      </w:r>
      <w:r w:rsidR="00351CA3">
        <w:t xml:space="preserve">preparedness </w:t>
      </w:r>
      <w:r>
        <w:t xml:space="preserve">in the </w:t>
      </w:r>
      <w:r w:rsidR="00351CA3">
        <w:t>schools</w:t>
      </w:r>
      <w:r>
        <w:t>, caused also by the lack of teaching staff with the necessary specialization and social workers specifically trained to intervene in bullying cases. Another cause is the intention of the institution’s management to conceal the case in order to maintain the institution’s reputation.</w:t>
      </w:r>
    </w:p>
    <w:p w14:paraId="6AB8BF11" w14:textId="77777777" w:rsidR="008A4183" w:rsidRDefault="008A4183" w:rsidP="008A4183">
      <w:pPr>
        <w:pStyle w:val="af0"/>
      </w:pPr>
      <w:r>
        <w:t xml:space="preserve">Underreporting of cases by institutions obliged to report them is also determined by the adoption, acceptance, and practice by educational institutions of certain policies and illicit practices, such as the phenomenon of illegal fee collections in educational institutions, which leads to differentiated attitudes toward children depending on whether the fee is paid or not; and the phenomenon of teaching staff providing paid additional lessons to their own pupils, with positive and protective </w:t>
      </w:r>
      <w:r>
        <w:lastRenderedPageBreak/>
        <w:t>differentiated treatment being granted to pupils who receive this unofficial</w:t>
      </w:r>
      <w:r w:rsidR="00351CA3">
        <w:t>ly</w:t>
      </w:r>
      <w:r>
        <w:t xml:space="preserve"> paid methodological assistance.</w:t>
      </w:r>
    </w:p>
    <w:p w14:paraId="4C86CDE2" w14:textId="77777777" w:rsidR="008A4183" w:rsidRDefault="008A4183" w:rsidP="008A4183">
      <w:pPr>
        <w:pStyle w:val="af0"/>
      </w:pPr>
      <w:r>
        <w:t>Another cause of underreporting is pupils’ lack of trust in the teaching staff of the institution, which also represents a gap in the educational process carried out by educators.</w:t>
      </w:r>
    </w:p>
    <w:p w14:paraId="6A9547B7" w14:textId="77777777" w:rsidR="008A4183" w:rsidRPr="00B2716F" w:rsidRDefault="008A4183" w:rsidP="008A4183">
      <w:pPr>
        <w:pStyle w:val="af0"/>
        <w:rPr>
          <w:b/>
          <w:bCs/>
        </w:rPr>
      </w:pPr>
      <w:r>
        <w:t>It should also be noted that the State does not ensure the anonymity of the reporter or the anonymity of the parties involved in the process of resolving a bullying case, which may have repercussions for them, such as retaliation or stigmatization.</w:t>
      </w:r>
      <w:r w:rsidR="00B2716F">
        <w:br/>
      </w:r>
    </w:p>
    <w:p w14:paraId="7BED37E7" w14:textId="77777777" w:rsidR="00B2716F" w:rsidRPr="00B2716F" w:rsidRDefault="00B2716F" w:rsidP="00B2716F">
      <w:pPr>
        <w:pStyle w:val="2"/>
        <w:numPr>
          <w:ilvl w:val="1"/>
          <w:numId w:val="5"/>
        </w:numPr>
        <w:tabs>
          <w:tab w:val="left" w:pos="426"/>
        </w:tabs>
        <w:rPr>
          <w:b/>
          <w:bCs/>
        </w:rPr>
      </w:pPr>
      <w:r w:rsidRPr="00A87FC8">
        <w:rPr>
          <w:b/>
          <w:bCs/>
        </w:rPr>
        <w:t>Recommendations</w:t>
      </w:r>
    </w:p>
    <w:p w14:paraId="5686A5DB" w14:textId="77777777" w:rsidR="008A4183" w:rsidRDefault="008A4183" w:rsidP="008A4183">
      <w:pPr>
        <w:pStyle w:val="af0"/>
      </w:pPr>
      <w:r>
        <w:t>In order to improve the situation in this area, the following measures are proposed:</w:t>
      </w:r>
    </w:p>
    <w:p w14:paraId="0695B607" w14:textId="77777777" w:rsidR="008A4183" w:rsidRDefault="008A4183" w:rsidP="008A4183">
      <w:pPr>
        <w:pStyle w:val="af0"/>
        <w:numPr>
          <w:ilvl w:val="0"/>
          <w:numId w:val="7"/>
        </w:numPr>
      </w:pPr>
      <w:r>
        <w:t>recommending that relevant state institutions ensure the mandatory presence of school psychologists in all educational institutions and ensure their solid training in the field of handling bullying cases;</w:t>
      </w:r>
    </w:p>
    <w:p w14:paraId="3874DA7F" w14:textId="77777777" w:rsidR="008A4183" w:rsidRDefault="008A4183" w:rsidP="008A4183">
      <w:pPr>
        <w:pStyle w:val="af0"/>
        <w:numPr>
          <w:ilvl w:val="0"/>
          <w:numId w:val="7"/>
        </w:numPr>
      </w:pPr>
      <w:r>
        <w:t>implementing objective and feasible policies aimed at training teaching staff to identify all forms of bullying;</w:t>
      </w:r>
    </w:p>
    <w:p w14:paraId="75EF1D90" w14:textId="77777777" w:rsidR="008A4183" w:rsidRDefault="008A4183" w:rsidP="008A4183">
      <w:pPr>
        <w:pStyle w:val="af0"/>
        <w:numPr>
          <w:ilvl w:val="0"/>
          <w:numId w:val="7"/>
        </w:numPr>
      </w:pPr>
      <w:r>
        <w:t>ensuring the confidentiality of reporting sources for pupils, in order to eliminate fear and reprisals from aggressors or the institution;</w:t>
      </w:r>
    </w:p>
    <w:p w14:paraId="714E1EF0" w14:textId="77777777" w:rsidR="008A4183" w:rsidRDefault="008A4183" w:rsidP="008A4183">
      <w:pPr>
        <w:pStyle w:val="af0"/>
        <w:numPr>
          <w:ilvl w:val="0"/>
          <w:numId w:val="7"/>
        </w:numPr>
      </w:pPr>
      <w:r>
        <w:t>developing and implementing the school mediation program by including it in all educational institutions in Moldova;</w:t>
      </w:r>
    </w:p>
    <w:p w14:paraId="5D05C051" w14:textId="77777777" w:rsidR="008A4183" w:rsidRDefault="008A4183" w:rsidP="008A4183">
      <w:pPr>
        <w:pStyle w:val="af0"/>
        <w:numPr>
          <w:ilvl w:val="0"/>
          <w:numId w:val="7"/>
        </w:numPr>
      </w:pPr>
      <w:r>
        <w:t>creating, at national level, a mechanism for reporting bullying cases, with electronic records and monitoring of intervention outcomes in reported cases;</w:t>
      </w:r>
    </w:p>
    <w:p w14:paraId="40AFC941" w14:textId="77777777" w:rsidR="008A4183" w:rsidRDefault="008A4183" w:rsidP="008A4183">
      <w:pPr>
        <w:pStyle w:val="af0"/>
        <w:numPr>
          <w:ilvl w:val="0"/>
          <w:numId w:val="7"/>
        </w:numPr>
      </w:pPr>
      <w:r>
        <w:t>establishing a permanent monitoring system (through special means) both in classrooms and in recreational spaces and sports grounds of educational institutions, with the aim of prompt intervention in cases of conflict or bullying situations;</w:t>
      </w:r>
    </w:p>
    <w:p w14:paraId="32C896AF" w14:textId="77777777" w:rsidR="008A4183" w:rsidRDefault="008A4183" w:rsidP="008A4183">
      <w:pPr>
        <w:pStyle w:val="af0"/>
        <w:numPr>
          <w:ilvl w:val="0"/>
          <w:numId w:val="7"/>
        </w:numPr>
      </w:pPr>
      <w:r>
        <w:t>establishing a mechanism for holding parents accountable in the field of anti-bullying policies.</w:t>
      </w:r>
    </w:p>
    <w:p w14:paraId="544989C5" w14:textId="77777777" w:rsidR="001B03E1" w:rsidRDefault="001B03E1"/>
    <w:sectPr w:rsidR="001B03E1" w:rsidSect="00FE7906">
      <w:headerReference w:type="first" r:id="rId9"/>
      <w:pgSz w:w="12240" w:h="15840"/>
      <w:pgMar w:top="1134" w:right="104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B06D7" w14:textId="77777777" w:rsidR="00112639" w:rsidRDefault="00112639">
      <w:pPr>
        <w:spacing w:line="240" w:lineRule="auto"/>
      </w:pPr>
      <w:r>
        <w:separator/>
      </w:r>
    </w:p>
  </w:endnote>
  <w:endnote w:type="continuationSeparator" w:id="0">
    <w:p w14:paraId="5133FC9C" w14:textId="77777777" w:rsidR="00112639" w:rsidRDefault="00112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BED51" w14:textId="77777777" w:rsidR="00112639" w:rsidRDefault="00112639">
      <w:pPr>
        <w:spacing w:after="0"/>
      </w:pPr>
      <w:r>
        <w:separator/>
      </w:r>
    </w:p>
  </w:footnote>
  <w:footnote w:type="continuationSeparator" w:id="0">
    <w:p w14:paraId="4AEF5765" w14:textId="77777777" w:rsidR="00112639" w:rsidRDefault="00112639">
      <w:pPr>
        <w:spacing w:after="0"/>
      </w:pPr>
      <w:r>
        <w:continuationSeparator/>
      </w:r>
    </w:p>
  </w:footnote>
  <w:footnote w:id="1">
    <w:p w14:paraId="26957ED1" w14:textId="77777777" w:rsidR="00C757F8" w:rsidRPr="00C757F8" w:rsidRDefault="00C757F8">
      <w:pPr>
        <w:pStyle w:val="aa"/>
      </w:pPr>
      <w:r>
        <w:rPr>
          <w:rStyle w:val="ac"/>
        </w:rPr>
        <w:footnoteRef/>
      </w:r>
      <w:r>
        <w:t xml:space="preserve"> </w:t>
      </w:r>
      <w:hyperlink r:id="rId1" w:history="1">
        <w:r w:rsidRPr="00C757F8">
          <w:rPr>
            <w:rStyle w:val="a4"/>
          </w:rPr>
          <w:t>Public Policy Analysis: Transparent Management of Budgetary and Extra-Budgetary Financial Resources in Kindergartens of the Municipality of Chișinău</w:t>
        </w:r>
      </w:hyperlink>
    </w:p>
  </w:footnote>
  <w:footnote w:id="2">
    <w:p w14:paraId="502ED883" w14:textId="77777777" w:rsidR="004E2DA9" w:rsidRPr="004E2DA9" w:rsidRDefault="004E2DA9">
      <w:pPr>
        <w:pStyle w:val="aa"/>
      </w:pPr>
      <w:r>
        <w:rPr>
          <w:rStyle w:val="ac"/>
        </w:rPr>
        <w:footnoteRef/>
      </w:r>
      <w:r>
        <w:t xml:space="preserve"> </w:t>
      </w:r>
      <w:hyperlink r:id="rId2" w:history="1">
        <w:proofErr w:type="spellStart"/>
        <w:r w:rsidRPr="004E2DA9">
          <w:rPr>
            <w:rStyle w:val="a4"/>
          </w:rPr>
          <w:t>UReport</w:t>
        </w:r>
        <w:proofErr w:type="spellEnd"/>
        <w:r w:rsidRPr="004E2DA9">
          <w:rPr>
            <w:rStyle w:val="a4"/>
          </w:rPr>
          <w:t xml:space="preserve"> Survey: “Attitudes Toward Informal Payments in Schools”</w:t>
        </w:r>
      </w:hyperlink>
    </w:p>
  </w:footnote>
  <w:footnote w:id="3">
    <w:p w14:paraId="30350976" w14:textId="77777777" w:rsidR="004E2DA9" w:rsidRPr="004E2DA9" w:rsidRDefault="004E2DA9">
      <w:pPr>
        <w:pStyle w:val="aa"/>
      </w:pPr>
      <w:r>
        <w:rPr>
          <w:rStyle w:val="ac"/>
        </w:rPr>
        <w:footnoteRef/>
      </w:r>
      <w:r>
        <w:t xml:space="preserve"> </w:t>
      </w:r>
      <w:hyperlink r:id="rId3" w:history="1">
        <w:r w:rsidR="003E0504" w:rsidRPr="003E0504">
          <w:rPr>
            <w:rStyle w:val="a4"/>
          </w:rPr>
          <w:t>Harassed for Integrity: How Those Who Refuse to Pay Illegal Fees in Schools and Kindergartens Are “Taught a Lesson”</w:t>
        </w:r>
      </w:hyperlink>
    </w:p>
  </w:footnote>
  <w:footnote w:id="4">
    <w:p w14:paraId="7DB8AE9C" w14:textId="77777777" w:rsidR="000B0661" w:rsidRPr="000B0661" w:rsidRDefault="000B0661">
      <w:pPr>
        <w:pStyle w:val="aa"/>
      </w:pPr>
      <w:r>
        <w:rPr>
          <w:rStyle w:val="ac"/>
        </w:rPr>
        <w:footnoteRef/>
      </w:r>
      <w:r>
        <w:t xml:space="preserve"> </w:t>
      </w:r>
      <w:hyperlink r:id="rId4" w:history="1">
        <w:r w:rsidRPr="000B0661">
          <w:rPr>
            <w:rStyle w:val="a4"/>
          </w:rPr>
          <w:t>Education Code of the Republic of Moldova</w:t>
        </w:r>
      </w:hyperlink>
    </w:p>
  </w:footnote>
  <w:footnote w:id="5">
    <w:p w14:paraId="310F8019" w14:textId="77777777" w:rsidR="000B0661" w:rsidRPr="000B0661" w:rsidRDefault="000B0661">
      <w:pPr>
        <w:pStyle w:val="aa"/>
      </w:pPr>
      <w:r>
        <w:rPr>
          <w:rStyle w:val="ac"/>
        </w:rPr>
        <w:footnoteRef/>
      </w:r>
      <w:r>
        <w:t xml:space="preserve"> </w:t>
      </w:r>
      <w:hyperlink r:id="rId5" w:history="1">
        <w:r w:rsidRPr="000B0661">
          <w:rPr>
            <w:rStyle w:val="a4"/>
          </w:rPr>
          <w:t>An Increasing Number of Students in the Republic of Moldova Are Victims of Bullying in Schools</w:t>
        </w:r>
      </w:hyperlink>
    </w:p>
  </w:footnote>
  <w:footnote w:id="6">
    <w:p w14:paraId="3AB20870" w14:textId="77777777" w:rsidR="002E67EC" w:rsidRPr="002E67EC" w:rsidRDefault="002E67EC">
      <w:pPr>
        <w:pStyle w:val="aa"/>
      </w:pPr>
      <w:r>
        <w:rPr>
          <w:rStyle w:val="ac"/>
        </w:rPr>
        <w:footnoteRef/>
      </w:r>
      <w:r>
        <w:t xml:space="preserve"> </w:t>
      </w:r>
      <w:hyperlink r:id="rId6" w:history="1">
        <w:r w:rsidRPr="00971A5D">
          <w:rPr>
            <w:rStyle w:val="a4"/>
            <w:rFonts w:ascii="Times New Roman" w:hAnsi="Times New Roman" w:cs="Times New Roman"/>
          </w:rPr>
          <w:t>Bullying among Adolescents in the Republic of Moldova</w:t>
        </w:r>
      </w:hyperlink>
    </w:p>
  </w:footnote>
  <w:footnote w:id="7">
    <w:p w14:paraId="5AFA83DB" w14:textId="77777777" w:rsidR="002E67EC" w:rsidRPr="002E67EC" w:rsidRDefault="002E67EC">
      <w:pPr>
        <w:pStyle w:val="aa"/>
      </w:pPr>
      <w:r>
        <w:rPr>
          <w:rStyle w:val="ac"/>
        </w:rPr>
        <w:footnoteRef/>
      </w:r>
      <w:r>
        <w:t xml:space="preserve"> </w:t>
      </w:r>
      <w:hyperlink r:id="rId7" w:history="1">
        <w:r w:rsidRPr="002E67EC">
          <w:rPr>
            <w:rStyle w:val="a4"/>
          </w:rPr>
          <w:t>The Ministry of Education and Research, Together with APSCF, Launch the “Together, Without Bullying!” Campaign</w:t>
        </w:r>
      </w:hyperlink>
    </w:p>
  </w:footnote>
  <w:footnote w:id="8">
    <w:p w14:paraId="57A15A39" w14:textId="77777777" w:rsidR="00096706" w:rsidRPr="00096706" w:rsidRDefault="00096706">
      <w:pPr>
        <w:pStyle w:val="aa"/>
      </w:pPr>
      <w:r>
        <w:rPr>
          <w:rStyle w:val="ac"/>
        </w:rPr>
        <w:footnoteRef/>
      </w:r>
      <w:r w:rsidRPr="00096706">
        <w:t xml:space="preserve"> </w:t>
      </w:r>
      <w:hyperlink r:id="rId8" w:history="1">
        <w:r w:rsidRPr="00096706">
          <w:rPr>
            <w:rStyle w:val="a4"/>
          </w:rPr>
          <w:t>Over 1,820 Cases of Bullying in Schools Reported in 2025</w:t>
        </w:r>
      </w:hyperlink>
    </w:p>
  </w:footnote>
  <w:footnote w:id="9">
    <w:p w14:paraId="640F2B99" w14:textId="77777777" w:rsidR="00096706" w:rsidRPr="00096706" w:rsidRDefault="00096706">
      <w:pPr>
        <w:pStyle w:val="aa"/>
      </w:pPr>
      <w:r>
        <w:rPr>
          <w:rStyle w:val="ac"/>
        </w:rPr>
        <w:footnoteRef/>
      </w:r>
      <w:r>
        <w:t xml:space="preserve"> </w:t>
      </w:r>
      <w:hyperlink r:id="rId9" w:history="1">
        <w:r w:rsidR="00B34EFA" w:rsidRPr="00B34EFA">
          <w:rPr>
            <w:rStyle w:val="a4"/>
          </w:rPr>
          <w:t>Methodology on the Prevention and Combating of Bullying</w:t>
        </w:r>
      </w:hyperlink>
    </w:p>
  </w:footnote>
  <w:footnote w:id="10">
    <w:p w14:paraId="35088631" w14:textId="77777777" w:rsidR="00B34EFA" w:rsidRPr="00B34EFA" w:rsidRDefault="00B34EFA">
      <w:pPr>
        <w:pStyle w:val="aa"/>
      </w:pPr>
      <w:r>
        <w:rPr>
          <w:rStyle w:val="ac"/>
        </w:rPr>
        <w:footnoteRef/>
      </w:r>
      <w:r>
        <w:t xml:space="preserve"> </w:t>
      </w:r>
      <w:hyperlink r:id="rId10" w:history="1">
        <w:r w:rsidRPr="00B34EFA">
          <w:rPr>
            <w:rStyle w:val="a4"/>
          </w:rPr>
          <w:t>Cyberbullying: What Is It and How Can We Put an End to It?</w:t>
        </w:r>
      </w:hyperlink>
    </w:p>
  </w:footnote>
  <w:footnote w:id="11">
    <w:p w14:paraId="2310D813" w14:textId="77777777" w:rsidR="00096706" w:rsidRPr="00096706" w:rsidRDefault="00096706">
      <w:pPr>
        <w:pStyle w:val="aa"/>
      </w:pPr>
      <w:r>
        <w:rPr>
          <w:rStyle w:val="ac"/>
        </w:rPr>
        <w:footnoteRef/>
      </w:r>
      <w:r>
        <w:t xml:space="preserve"> </w:t>
      </w:r>
      <w:hyperlink r:id="rId11" w:history="1">
        <w:r w:rsidRPr="003C6A72">
          <w:rPr>
            <w:rStyle w:val="a4"/>
            <w:rFonts w:ascii="Times New Roman" w:hAnsi="Times New Roman" w:cs="Times New Roman"/>
          </w:rPr>
          <w:t>One in six school-aged children experiences cyberbullying</w:t>
        </w:r>
      </w:hyperlink>
    </w:p>
  </w:footnote>
  <w:footnote w:id="12">
    <w:p w14:paraId="583E1550" w14:textId="77777777" w:rsidR="00B34EFA" w:rsidRPr="00B34EFA" w:rsidRDefault="00B34EFA">
      <w:pPr>
        <w:pStyle w:val="aa"/>
      </w:pPr>
      <w:r>
        <w:rPr>
          <w:rStyle w:val="ac"/>
        </w:rPr>
        <w:footnoteRef/>
      </w:r>
      <w:r>
        <w:t xml:space="preserve"> </w:t>
      </w:r>
      <w:hyperlink r:id="rId12" w:history="1">
        <w:r w:rsidRPr="00B34EFA">
          <w:rPr>
            <w:rStyle w:val="a4"/>
          </w:rPr>
          <w:t>Methodology on the Prevention and Combating of Bullying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0B906" w14:textId="77777777" w:rsidR="001B03E1" w:rsidRDefault="001B03E1" w:rsidP="001B03E1">
    <w:pPr>
      <w:spacing w:after="0"/>
      <w:rPr>
        <w:rFonts w:ascii="Arial" w:hAnsi="Arial" w:cs="Arial"/>
        <w:color w:val="2E74B5" w:themeColor="accent1" w:themeShade="BF"/>
        <w:lang w:val="ro-RO"/>
      </w:rPr>
    </w:pPr>
    <w:r>
      <w:rPr>
        <w:noProof/>
      </w:rPr>
      <w:drawing>
        <wp:anchor distT="0" distB="0" distL="114300" distR="114300" simplePos="0" relativeHeight="251660288" behindDoc="0" locked="0" layoutInCell="1" allowOverlap="1" wp14:anchorId="600777AE" wp14:editId="19872B59">
          <wp:simplePos x="0" y="0"/>
          <wp:positionH relativeFrom="column">
            <wp:posOffset>-91440</wp:posOffset>
          </wp:positionH>
          <wp:positionV relativeFrom="paragraph">
            <wp:posOffset>-47625</wp:posOffset>
          </wp:positionV>
          <wp:extent cx="2124075" cy="1050925"/>
          <wp:effectExtent l="0" t="0" r="0" b="0"/>
          <wp:wrapNone/>
          <wp:docPr id="1056340144" name="Рисунок 1056340144" descr="colo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105092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7196C6B4" wp14:editId="4051CB45">
          <wp:simplePos x="0" y="0"/>
          <wp:positionH relativeFrom="column">
            <wp:posOffset>3529965</wp:posOffset>
          </wp:positionH>
          <wp:positionV relativeFrom="paragraph">
            <wp:posOffset>1270</wp:posOffset>
          </wp:positionV>
          <wp:extent cx="367665" cy="923925"/>
          <wp:effectExtent l="0" t="0" r="0" b="0"/>
          <wp:wrapNone/>
          <wp:docPr id="95392021" name="Рисунок 95392021" descr="sdcs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cs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7665" cy="923925"/>
                  </a:xfrm>
                  <a:prstGeom prst="rect">
                    <a:avLst/>
                  </a:prstGeom>
                  <a:noFill/>
                  <a:ln>
                    <a:noFill/>
                  </a:ln>
                </pic:spPr>
              </pic:pic>
            </a:graphicData>
          </a:graphic>
        </wp:anchor>
      </w:drawing>
    </w:r>
    <w:r>
      <w:rPr>
        <w:rFonts w:asciiTheme="majorHAnsi" w:eastAsiaTheme="majorEastAsia" w:hAnsiTheme="majorHAnsi" w:cstheme="majorBidi"/>
        <w:color w:val="5B9BD5" w:themeColor="accent1"/>
        <w:sz w:val="24"/>
        <w:szCs w:val="24"/>
      </w:rPr>
      <w:t xml:space="preserve">                                                                                                                   </w:t>
    </w:r>
    <w:r>
      <w:rPr>
        <w:rFonts w:ascii="Arial" w:hAnsi="Arial" w:cs="Arial"/>
        <w:color w:val="2E74B5" w:themeColor="accent1" w:themeShade="BF"/>
      </w:rPr>
      <w:t>parintisolidari@gmail.com</w:t>
    </w:r>
  </w:p>
  <w:p w14:paraId="10E6FEFD" w14:textId="77777777" w:rsidR="001B03E1" w:rsidRDefault="001B03E1" w:rsidP="001B03E1">
    <w:pPr>
      <w:spacing w:after="0"/>
    </w:pPr>
  </w:p>
  <w:p w14:paraId="08D0E14B" w14:textId="77777777" w:rsidR="001B03E1" w:rsidRDefault="001B03E1" w:rsidP="001B03E1">
    <w:pPr>
      <w:spacing w:after="0"/>
      <w:rPr>
        <w:color w:val="2E74B5" w:themeColor="accent1" w:themeShade="BF"/>
      </w:rPr>
    </w:pPr>
    <w:r>
      <w:t xml:space="preserve">                                                                                                                              </w:t>
    </w:r>
    <w:proofErr w:type="spellStart"/>
    <w:proofErr w:type="gramStart"/>
    <w:r>
      <w:rPr>
        <w:rFonts w:ascii="Arial" w:hAnsi="Arial" w:cs="Arial"/>
        <w:color w:val="2E74B5" w:themeColor="accent1" w:themeShade="BF"/>
        <w:sz w:val="21"/>
        <w:szCs w:val="21"/>
        <w:shd w:val="clear" w:color="auto" w:fill="FFFFFF"/>
      </w:rPr>
      <w:t>mun.Chișinău</w:t>
    </w:r>
    <w:proofErr w:type="spellEnd"/>
    <w:proofErr w:type="gramEnd"/>
    <w:r>
      <w:rPr>
        <w:rFonts w:ascii="Arial" w:hAnsi="Arial" w:cs="Arial"/>
        <w:color w:val="2E74B5" w:themeColor="accent1" w:themeShade="BF"/>
        <w:sz w:val="21"/>
        <w:szCs w:val="21"/>
        <w:shd w:val="clear" w:color="auto" w:fill="FFFFFF"/>
      </w:rPr>
      <w:t xml:space="preserve">, </w:t>
    </w:r>
    <w:proofErr w:type="gramStart"/>
    <w:r>
      <w:rPr>
        <w:rFonts w:ascii="Arial" w:hAnsi="Arial" w:cs="Arial"/>
        <w:color w:val="2E74B5" w:themeColor="accent1" w:themeShade="BF"/>
        <w:sz w:val="21"/>
        <w:szCs w:val="21"/>
        <w:shd w:val="clear" w:color="auto" w:fill="FFFFFF"/>
      </w:rPr>
      <w:t>str.Voluntarilor</w:t>
    </w:r>
    <w:proofErr w:type="gramEnd"/>
    <w:r>
      <w:rPr>
        <w:rFonts w:ascii="Arial" w:hAnsi="Arial" w:cs="Arial"/>
        <w:color w:val="2E74B5" w:themeColor="accent1" w:themeShade="BF"/>
        <w:sz w:val="21"/>
        <w:szCs w:val="21"/>
        <w:shd w:val="clear" w:color="auto" w:fill="FFFFFF"/>
      </w:rPr>
      <w:t>, 10 </w:t>
    </w:r>
  </w:p>
  <w:p w14:paraId="505FA242" w14:textId="77777777" w:rsidR="00FE7906" w:rsidRDefault="001B03E1" w:rsidP="001B03E1">
    <w:pPr>
      <w:spacing w:after="0"/>
    </w:pPr>
    <w:r>
      <w:t xml:space="preserve">                                                                                                                               </w:t>
    </w:r>
  </w:p>
  <w:p w14:paraId="7FE097AA" w14:textId="77777777" w:rsidR="001B03E1" w:rsidRDefault="00FE7906" w:rsidP="001B03E1">
    <w:pPr>
      <w:spacing w:after="0"/>
      <w:rPr>
        <w:rFonts w:ascii="Arial" w:hAnsi="Arial" w:cs="Arial"/>
        <w:color w:val="2E74B5" w:themeColor="accent1" w:themeShade="BF"/>
        <w:sz w:val="21"/>
        <w:szCs w:val="21"/>
        <w:shd w:val="clear" w:color="auto" w:fill="FFFFFF"/>
      </w:rPr>
    </w:pPr>
    <w:r>
      <w:t xml:space="preserve">                                                                                                                              </w:t>
    </w:r>
    <w:r w:rsidR="001B03E1">
      <w:rPr>
        <w:rFonts w:ascii="Arial" w:hAnsi="Arial" w:cs="Arial"/>
        <w:color w:val="2E74B5" w:themeColor="accent1" w:themeShade="BF"/>
        <w:sz w:val="21"/>
        <w:szCs w:val="21"/>
        <w:shd w:val="clear" w:color="auto" w:fill="FFFFFF"/>
      </w:rPr>
      <w:t>+373 796 600 35</w:t>
    </w:r>
  </w:p>
  <w:p w14:paraId="66273EDB" w14:textId="77777777" w:rsidR="001B03E1" w:rsidRDefault="00000000" w:rsidP="001B03E1">
    <w:pPr>
      <w:spacing w:after="0"/>
      <w:rPr>
        <w:rFonts w:ascii="Arial" w:hAnsi="Arial" w:cs="Arial"/>
        <w:color w:val="2E74B5" w:themeColor="accent1" w:themeShade="BF"/>
        <w:sz w:val="21"/>
        <w:szCs w:val="21"/>
        <w:shd w:val="clear" w:color="auto" w:fill="FFFFFF"/>
      </w:rPr>
    </w:pPr>
    <w:r>
      <w:rPr>
        <w:rFonts w:ascii="Arial" w:hAnsi="Arial" w:cs="Arial"/>
        <w:noProof/>
        <w:color w:val="2E74B5" w:themeColor="accent1" w:themeShade="BF"/>
        <w:sz w:val="21"/>
        <w:szCs w:val="21"/>
      </w:rPr>
      <w:pict w14:anchorId="1CEFF4DA">
        <v:line id="Прямая соединительная линия 3" o:spid="_x0000_s1026" style="position:absolute;z-index:251662336;visibility:visible;mso-position-horizontal-relative:page" from="73.3pt,15.9pt" to="558.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" strokecolor="#00659d" strokeweight="1pt">
          <v:stroke joinstyle="miter"/>
          <w10:wrap anchorx="page"/>
        </v:line>
      </w:pict>
    </w:r>
    <w:r>
      <w:rPr>
        <w:rFonts w:ascii="Arial" w:hAnsi="Arial" w:cs="Arial"/>
        <w:noProof/>
        <w:color w:val="2E74B5" w:themeColor="accent1" w:themeShade="BF"/>
        <w:sz w:val="21"/>
        <w:szCs w:val="21"/>
      </w:rPr>
      <w:pict w14:anchorId="3C91206B">
        <v:line id="Прямая соединительная линия 1" o:spid="_x0000_s1027" style="position:absolute;z-index:251661312;visibility:visible;mso-position-horizontal:right;mso-position-horizontal-relative:margin;mso-width-relative:margin;mso-height-relative:margin" from="1313.8pt,11.7pt" to="1799.2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" strokecolor="#00659d" strokeweight="1pt">
          <v:stroke joinstyle="miter"/>
          <w10:wrap anchorx="margin"/>
        </v:line>
      </w:pict>
    </w:r>
  </w:p>
  <w:p w14:paraId="0AA33932" w14:textId="77777777" w:rsidR="001B03E1" w:rsidRPr="00602D93" w:rsidRDefault="001B03E1" w:rsidP="001B03E1">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ECD"/>
    <w:multiLevelType w:val="multilevel"/>
    <w:tmpl w:val="2F0667D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0802268"/>
    <w:multiLevelType w:val="multilevel"/>
    <w:tmpl w:val="2F0667D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17326B0"/>
    <w:multiLevelType w:val="multilevel"/>
    <w:tmpl w:val="CF76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91AE6"/>
    <w:multiLevelType w:val="multilevel"/>
    <w:tmpl w:val="5324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C5E5C"/>
    <w:multiLevelType w:val="hybridMultilevel"/>
    <w:tmpl w:val="F22AE554"/>
    <w:lvl w:ilvl="0" w:tplc="96AE2622">
      <w:start w:val="1"/>
      <w:numFmt w:val="upperLetter"/>
      <w:lvlText w:val="%1."/>
      <w:lvlJc w:val="left"/>
      <w:pPr>
        <w:ind w:left="720" w:hanging="360"/>
      </w:pPr>
      <w:rPr>
        <w:rFonts w:hint="default"/>
      </w:rPr>
    </w:lvl>
    <w:lvl w:ilvl="1" w:tplc="649054EC" w:tentative="1">
      <w:start w:val="1"/>
      <w:numFmt w:val="lowerLetter"/>
      <w:lvlText w:val="%2."/>
      <w:lvlJc w:val="left"/>
      <w:pPr>
        <w:ind w:left="1440" w:hanging="360"/>
      </w:pPr>
    </w:lvl>
    <w:lvl w:ilvl="2" w:tplc="4D869152" w:tentative="1">
      <w:start w:val="1"/>
      <w:numFmt w:val="lowerRoman"/>
      <w:lvlText w:val="%3."/>
      <w:lvlJc w:val="right"/>
      <w:pPr>
        <w:ind w:left="2160" w:hanging="180"/>
      </w:pPr>
    </w:lvl>
    <w:lvl w:ilvl="3" w:tplc="6C768506" w:tentative="1">
      <w:start w:val="1"/>
      <w:numFmt w:val="decimal"/>
      <w:lvlText w:val="%4."/>
      <w:lvlJc w:val="left"/>
      <w:pPr>
        <w:ind w:left="2880" w:hanging="360"/>
      </w:pPr>
    </w:lvl>
    <w:lvl w:ilvl="4" w:tplc="A2120DB0" w:tentative="1">
      <w:start w:val="1"/>
      <w:numFmt w:val="lowerLetter"/>
      <w:lvlText w:val="%5."/>
      <w:lvlJc w:val="left"/>
      <w:pPr>
        <w:ind w:left="3600" w:hanging="360"/>
      </w:pPr>
    </w:lvl>
    <w:lvl w:ilvl="5" w:tplc="921A8AAC" w:tentative="1">
      <w:start w:val="1"/>
      <w:numFmt w:val="lowerRoman"/>
      <w:lvlText w:val="%6."/>
      <w:lvlJc w:val="right"/>
      <w:pPr>
        <w:ind w:left="4320" w:hanging="180"/>
      </w:pPr>
    </w:lvl>
    <w:lvl w:ilvl="6" w:tplc="500099F0" w:tentative="1">
      <w:start w:val="1"/>
      <w:numFmt w:val="decimal"/>
      <w:lvlText w:val="%7."/>
      <w:lvlJc w:val="left"/>
      <w:pPr>
        <w:ind w:left="5040" w:hanging="360"/>
      </w:pPr>
    </w:lvl>
    <w:lvl w:ilvl="7" w:tplc="002A8FF2" w:tentative="1">
      <w:start w:val="1"/>
      <w:numFmt w:val="lowerLetter"/>
      <w:lvlText w:val="%8."/>
      <w:lvlJc w:val="left"/>
      <w:pPr>
        <w:ind w:left="5760" w:hanging="360"/>
      </w:pPr>
    </w:lvl>
    <w:lvl w:ilvl="8" w:tplc="C55E5576" w:tentative="1">
      <w:start w:val="1"/>
      <w:numFmt w:val="lowerRoman"/>
      <w:lvlText w:val="%9."/>
      <w:lvlJc w:val="right"/>
      <w:pPr>
        <w:ind w:left="6480" w:hanging="180"/>
      </w:pPr>
    </w:lvl>
  </w:abstractNum>
  <w:abstractNum w:abstractNumId="5" w15:restartNumberingAfterBreak="0">
    <w:nsid w:val="51F737E5"/>
    <w:multiLevelType w:val="multilevel"/>
    <w:tmpl w:val="187A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BE0E76"/>
    <w:multiLevelType w:val="multilevel"/>
    <w:tmpl w:val="F310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136067">
    <w:abstractNumId w:val="4"/>
  </w:num>
  <w:num w:numId="2" w16cid:durableId="1321079795">
    <w:abstractNumId w:val="5"/>
  </w:num>
  <w:num w:numId="3" w16cid:durableId="674959971">
    <w:abstractNumId w:val="6"/>
  </w:num>
  <w:num w:numId="4" w16cid:durableId="472404284">
    <w:abstractNumId w:val="1"/>
  </w:num>
  <w:num w:numId="5" w16cid:durableId="66802543">
    <w:abstractNumId w:val="0"/>
  </w:num>
  <w:num w:numId="6" w16cid:durableId="1007907492">
    <w:abstractNumId w:val="3"/>
  </w:num>
  <w:num w:numId="7" w16cid:durableId="323362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018A"/>
    <w:rsid w:val="00091AF4"/>
    <w:rsid w:val="00091FD6"/>
    <w:rsid w:val="00096706"/>
    <w:rsid w:val="000B0661"/>
    <w:rsid w:val="00112639"/>
    <w:rsid w:val="001B03E1"/>
    <w:rsid w:val="002A3BDD"/>
    <w:rsid w:val="002A5911"/>
    <w:rsid w:val="002E67EC"/>
    <w:rsid w:val="0034493C"/>
    <w:rsid w:val="00351CA3"/>
    <w:rsid w:val="003D2E90"/>
    <w:rsid w:val="003E0504"/>
    <w:rsid w:val="004E2DA9"/>
    <w:rsid w:val="00602D93"/>
    <w:rsid w:val="00634C5D"/>
    <w:rsid w:val="006A5869"/>
    <w:rsid w:val="00727D92"/>
    <w:rsid w:val="00757C91"/>
    <w:rsid w:val="00760494"/>
    <w:rsid w:val="00877B43"/>
    <w:rsid w:val="008A4183"/>
    <w:rsid w:val="008E58C1"/>
    <w:rsid w:val="00925903"/>
    <w:rsid w:val="0097018A"/>
    <w:rsid w:val="009C0AB2"/>
    <w:rsid w:val="009F3536"/>
    <w:rsid w:val="00A5667D"/>
    <w:rsid w:val="00A87FC8"/>
    <w:rsid w:val="00AD46EB"/>
    <w:rsid w:val="00B2716F"/>
    <w:rsid w:val="00B34EFA"/>
    <w:rsid w:val="00B643B9"/>
    <w:rsid w:val="00C13BB8"/>
    <w:rsid w:val="00C54A3A"/>
    <w:rsid w:val="00C757F8"/>
    <w:rsid w:val="00D2623C"/>
    <w:rsid w:val="00D855EE"/>
    <w:rsid w:val="00D87BD4"/>
    <w:rsid w:val="00DC3583"/>
    <w:rsid w:val="00E0419B"/>
    <w:rsid w:val="00E70330"/>
    <w:rsid w:val="00F42F9F"/>
    <w:rsid w:val="00FE7906"/>
    <w:rsid w:val="2F5D1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80F68"/>
  <w15:docId w15:val="{9FE13AD6-1E92-481A-8B14-529EF4FB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7B43"/>
    <w:pPr>
      <w:spacing w:after="160" w:line="259" w:lineRule="auto"/>
    </w:pPr>
    <w:rPr>
      <w:sz w:val="22"/>
      <w:szCs w:val="22"/>
    </w:rPr>
  </w:style>
  <w:style w:type="paragraph" w:styleId="1">
    <w:name w:val="heading 1"/>
    <w:basedOn w:val="a"/>
    <w:next w:val="a"/>
    <w:link w:val="10"/>
    <w:uiPriority w:val="9"/>
    <w:qFormat/>
    <w:rsid w:val="00A87F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87F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sid w:val="00877B43"/>
    <w:rPr>
      <w:color w:val="954F72" w:themeColor="followedHyperlink"/>
      <w:u w:val="single"/>
    </w:rPr>
  </w:style>
  <w:style w:type="character" w:styleId="a4">
    <w:name w:val="Hyperlink"/>
    <w:basedOn w:val="a0"/>
    <w:uiPriority w:val="99"/>
    <w:unhideWhenUsed/>
    <w:rsid w:val="00877B43"/>
    <w:rPr>
      <w:color w:val="0563C1" w:themeColor="hyperlink"/>
      <w:u w:val="single"/>
    </w:rPr>
  </w:style>
  <w:style w:type="paragraph" w:styleId="a5">
    <w:name w:val="header"/>
    <w:basedOn w:val="a"/>
    <w:link w:val="a6"/>
    <w:uiPriority w:val="99"/>
    <w:unhideWhenUsed/>
    <w:rsid w:val="00877B43"/>
    <w:pPr>
      <w:tabs>
        <w:tab w:val="center" w:pos="4844"/>
        <w:tab w:val="right" w:pos="9689"/>
      </w:tabs>
      <w:spacing w:after="0" w:line="240" w:lineRule="auto"/>
    </w:pPr>
  </w:style>
  <w:style w:type="paragraph" w:styleId="a7">
    <w:name w:val="footer"/>
    <w:basedOn w:val="a"/>
    <w:link w:val="a8"/>
    <w:uiPriority w:val="99"/>
    <w:unhideWhenUsed/>
    <w:rsid w:val="00877B43"/>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877B43"/>
  </w:style>
  <w:style w:type="character" w:customStyle="1" w:styleId="a8">
    <w:name w:val="Нижний колонтитул Знак"/>
    <w:basedOn w:val="a0"/>
    <w:link w:val="a7"/>
    <w:uiPriority w:val="99"/>
    <w:rsid w:val="00877B43"/>
  </w:style>
  <w:style w:type="table" w:styleId="a9">
    <w:name w:val="Table Grid"/>
    <w:basedOn w:val="a1"/>
    <w:uiPriority w:val="39"/>
    <w:rsid w:val="002A591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Char,single space,fn,FOOTNOTES,Footnote Text Char Char2,Footnote Text Char4 Char Char,Footnote Text Char2 Char1 Char Char,Footnote Text Char1 Char2 Char Char Char,Footnote Text Char Char Char2 Char Char Char,Cha,5_G"/>
    <w:basedOn w:val="a"/>
    <w:link w:val="ab"/>
    <w:uiPriority w:val="99"/>
    <w:unhideWhenUsed/>
    <w:qFormat/>
    <w:rsid w:val="00091AF4"/>
    <w:pPr>
      <w:spacing w:after="0" w:line="240" w:lineRule="auto"/>
    </w:pPr>
    <w:rPr>
      <w:sz w:val="20"/>
      <w:szCs w:val="20"/>
    </w:rPr>
  </w:style>
  <w:style w:type="character" w:customStyle="1" w:styleId="ab">
    <w:name w:val="Текст сноски Знак"/>
    <w:aliases w:val="Char Знак,single space Знак,fn Знак,FOOTNOTES Знак,Footnote Text Char Char2 Знак,Footnote Text Char4 Char Char Знак,Footnote Text Char2 Char1 Char Char Знак,Footnote Text Char1 Char2 Char Char Char Знак,Cha Знак,5_G Знак"/>
    <w:basedOn w:val="a0"/>
    <w:link w:val="aa"/>
    <w:uiPriority w:val="99"/>
    <w:rsid w:val="00091AF4"/>
    <w:rPr>
      <w:lang w:val="en-US" w:eastAsia="en-US"/>
    </w:rPr>
  </w:style>
  <w:style w:type="character" w:styleId="ac">
    <w:name w:val="footnote reference"/>
    <w:aliases w:val="4_G,4_G Zchn Zchn,Appel note de bas de p.,BVI fnr Zchn Zchn,Footnote Reference Number Zchn Zchn,Footnote Refernece Zchn Zchn,Footnote Zchn Zchn,Footnote text,Footnotes refss,Fußnotenzeichen_Raxen Zchn Zchn,callout Zchn Zchn,note TESI"/>
    <w:basedOn w:val="a0"/>
    <w:uiPriority w:val="99"/>
    <w:unhideWhenUsed/>
    <w:qFormat/>
    <w:rsid w:val="00091AF4"/>
    <w:rPr>
      <w:vertAlign w:val="superscript"/>
    </w:rPr>
  </w:style>
  <w:style w:type="character" w:customStyle="1" w:styleId="10">
    <w:name w:val="Заголовок 1 Знак"/>
    <w:basedOn w:val="a0"/>
    <w:link w:val="1"/>
    <w:uiPriority w:val="9"/>
    <w:rsid w:val="00A87FC8"/>
    <w:rPr>
      <w:rFonts w:asciiTheme="majorHAnsi" w:eastAsiaTheme="majorEastAsia" w:hAnsiTheme="majorHAnsi" w:cstheme="majorBidi"/>
      <w:color w:val="2E74B5" w:themeColor="accent1" w:themeShade="BF"/>
      <w:sz w:val="32"/>
      <w:szCs w:val="32"/>
      <w:lang w:val="en-US" w:eastAsia="en-US"/>
    </w:rPr>
  </w:style>
  <w:style w:type="paragraph" w:styleId="ad">
    <w:name w:val="Subtitle"/>
    <w:basedOn w:val="a"/>
    <w:next w:val="a"/>
    <w:link w:val="ae"/>
    <w:uiPriority w:val="11"/>
    <w:qFormat/>
    <w:rsid w:val="00A87FC8"/>
    <w:pPr>
      <w:numPr>
        <w:ilvl w:val="1"/>
      </w:numPr>
    </w:pPr>
    <w:rPr>
      <w:rFonts w:eastAsiaTheme="minorEastAsia"/>
      <w:color w:val="5A5A5A" w:themeColor="text1" w:themeTint="A5"/>
      <w:spacing w:val="15"/>
    </w:rPr>
  </w:style>
  <w:style w:type="character" w:customStyle="1" w:styleId="ae">
    <w:name w:val="Подзаголовок Знак"/>
    <w:basedOn w:val="a0"/>
    <w:link w:val="ad"/>
    <w:uiPriority w:val="11"/>
    <w:rsid w:val="00A87FC8"/>
    <w:rPr>
      <w:rFonts w:eastAsiaTheme="minorEastAsia"/>
      <w:color w:val="5A5A5A" w:themeColor="text1" w:themeTint="A5"/>
      <w:spacing w:val="15"/>
      <w:sz w:val="22"/>
      <w:szCs w:val="22"/>
      <w:lang w:val="en-US" w:eastAsia="en-US"/>
    </w:rPr>
  </w:style>
  <w:style w:type="character" w:customStyle="1" w:styleId="20">
    <w:name w:val="Заголовок 2 Знак"/>
    <w:basedOn w:val="a0"/>
    <w:link w:val="2"/>
    <w:uiPriority w:val="9"/>
    <w:rsid w:val="00A87FC8"/>
    <w:rPr>
      <w:rFonts w:asciiTheme="majorHAnsi" w:eastAsiaTheme="majorEastAsia" w:hAnsiTheme="majorHAnsi" w:cstheme="majorBidi"/>
      <w:color w:val="2E74B5" w:themeColor="accent1" w:themeShade="BF"/>
      <w:sz w:val="26"/>
      <w:szCs w:val="26"/>
      <w:lang w:val="en-US" w:eastAsia="en-US"/>
    </w:rPr>
  </w:style>
  <w:style w:type="paragraph" w:styleId="af">
    <w:name w:val="List Paragraph"/>
    <w:basedOn w:val="a"/>
    <w:uiPriority w:val="99"/>
    <w:rsid w:val="00A87FC8"/>
    <w:pPr>
      <w:ind w:left="720"/>
      <w:contextualSpacing/>
    </w:pPr>
  </w:style>
  <w:style w:type="paragraph" w:styleId="af0">
    <w:name w:val="Normal (Web)"/>
    <w:basedOn w:val="a"/>
    <w:uiPriority w:val="99"/>
    <w:semiHidden/>
    <w:unhideWhenUsed/>
    <w:rsid w:val="008A41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Неразрешенное упоминание1"/>
    <w:basedOn w:val="a0"/>
    <w:uiPriority w:val="99"/>
    <w:semiHidden/>
    <w:unhideWhenUsed/>
    <w:rsid w:val="00C757F8"/>
    <w:rPr>
      <w:color w:val="605E5C"/>
      <w:shd w:val="clear" w:color="auto" w:fill="E1DFDD"/>
    </w:rPr>
  </w:style>
  <w:style w:type="paragraph" w:styleId="af1">
    <w:name w:val="Balloon Text"/>
    <w:basedOn w:val="a"/>
    <w:link w:val="af2"/>
    <w:uiPriority w:val="99"/>
    <w:semiHidden/>
    <w:unhideWhenUsed/>
    <w:rsid w:val="009C0AB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0AB2"/>
    <w:rPr>
      <w:rFonts w:ascii="Tahoma" w:hAnsi="Tahoma" w:cs="Tahoma"/>
      <w:sz w:val="16"/>
      <w:szCs w:val="16"/>
    </w:rPr>
  </w:style>
  <w:style w:type="paragraph" w:styleId="af3">
    <w:name w:val="Revision"/>
    <w:hidden/>
    <w:uiPriority w:val="99"/>
    <w:semiHidden/>
    <w:rsid w:val="00602D9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moldova1.md/p/61370/peste-1-820-de-cazuri-de-bullying-in-scoli-raportate-in-2025--cadrele-didactice-au-un-rol-esential-in-prevenirea-violentei." TargetMode="External"/><Relationship Id="rId3" Type="http://schemas.openxmlformats.org/officeDocument/2006/relationships/hyperlink" Target="https://anticoruptie.md/ro/investigatii/social/hartuiti-pentru-integritate-cum-sunt-invatati-minte-cei-care-nu-vor-sa-achite-taxele-ilegale-din-scoli-si-gradinite" TargetMode="External"/><Relationship Id="rId7" Type="http://schemas.openxmlformats.org/officeDocument/2006/relationships/hyperlink" Target="https://edu.gov.md/ro/content/ministerul-educatiei-si-cercetarii-impreuna-cu-apscf-lanseaza-campania-impreuna-fara" TargetMode="External"/><Relationship Id="rId12" Type="http://schemas.openxmlformats.org/officeDocument/2006/relationships/hyperlink" Target="https://www.legis.md/cautare/getResults?doc_id=134051&amp;lang=ro" TargetMode="External"/><Relationship Id="rId2" Type="http://schemas.openxmlformats.org/officeDocument/2006/relationships/hyperlink" Target="https://moldova.ureport.in/opinion/2957/" TargetMode="External"/><Relationship Id="rId1" Type="http://schemas.openxmlformats.org/officeDocument/2006/relationships/hyperlink" Target="https://ipre.md/2018/08/21/analiza-de-politici-publice-gestionarea-transparenta-a-resurselor-financiare-bugetare-si-extra-bugetare-in-gradinitele-din-mun-chisinau/" TargetMode="External"/><Relationship Id="rId6" Type="http://schemas.openxmlformats.org/officeDocument/2006/relationships/hyperlink" Target="https://www.unicef.org/moldova/en/documents/bullying-among-adolescents-republic-moldova" TargetMode="External"/><Relationship Id="rId11" Type="http://schemas.openxmlformats.org/officeDocument/2006/relationships/hyperlink" Target="https://www.who.int/europe/news/item/27-03-2024-one-in-six-school-aged-children-experiences-cyberbullying--finds-new-who-europe-study" TargetMode="External"/><Relationship Id="rId5" Type="http://schemas.openxmlformats.org/officeDocument/2006/relationships/hyperlink" Target="https://moldova1.md/p/1027" TargetMode="External"/><Relationship Id="rId10" Type="http://schemas.openxmlformats.org/officeDocument/2006/relationships/hyperlink" Target="https://www.unicef.org/moldova/articole/cyberbullying-ce-este-%C8%99i-cum-%C3%AEi-punem-cap%C4%83t" TargetMode="External"/><Relationship Id="rId4" Type="http://schemas.openxmlformats.org/officeDocument/2006/relationships/hyperlink" Target="https://www.legis.md/cautare/getResults?doc_id=149703&amp;lang=ro" TargetMode="External"/><Relationship Id="rId9" Type="http://schemas.openxmlformats.org/officeDocument/2006/relationships/hyperlink" Target="https://www.legis.md/cautare/getResults?doc_id=134051&amp;lang=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F10D26BB-EE55-4D9C-86E4-6D3E3826F95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3830</Words>
  <Characters>21837</Characters>
  <Application>Microsoft Office Word</Application>
  <DocSecurity>0</DocSecurity>
  <Lines>181</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 Logo</dc:creator>
  <cp:lastModifiedBy>Ala Revenco</cp:lastModifiedBy>
  <cp:revision>4</cp:revision>
  <dcterms:created xsi:type="dcterms:W3CDTF">2026-01-31T04:37:00Z</dcterms:created>
  <dcterms:modified xsi:type="dcterms:W3CDTF">2026-02-01T10:50:00Z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1049-11.2.0.11210</vt:lpwstr>
  </property>
  <property fmtid="{D5CDD505-2E9C-101B-9397-08002B2CF9AE}" pid="3" name="ICV">
    <vt:lpwstr>476F2ADFD6F944B7989758D1D8F97685</vt:lpwstr>
  </property>
</Properties>
</file>