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99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9"/>
        <w:gridCol w:w="4597"/>
      </w:tblGrid>
      <w:tr w:rsidR="005602F9" w:rsidRPr="001F350F" w14:paraId="253CE66E" w14:textId="77777777" w:rsidTr="0061267C">
        <w:trPr>
          <w:trHeight w:val="2108"/>
        </w:trPr>
        <w:tc>
          <w:tcPr>
            <w:tcW w:w="4447" w:type="dxa"/>
          </w:tcPr>
          <w:p w14:paraId="7CE930F6" w14:textId="77777777" w:rsidR="005602F9" w:rsidRPr="00D702BB" w:rsidRDefault="005602F9" w:rsidP="00EE13D3">
            <w:pPr>
              <w:pStyle w:val="Footer"/>
              <w:jc w:val="both"/>
              <w:rPr>
                <w:sz w:val="16"/>
                <w:szCs w:val="16"/>
                <w:lang w:val="en-US"/>
              </w:rPr>
            </w:pPr>
          </w:p>
          <w:p w14:paraId="190844E1" w14:textId="77777777" w:rsidR="005602F9" w:rsidRPr="001F350F" w:rsidRDefault="005602F9" w:rsidP="00EE13D3">
            <w:pPr>
              <w:pStyle w:val="Footer"/>
              <w:jc w:val="both"/>
              <w:rPr>
                <w:sz w:val="16"/>
                <w:szCs w:val="16"/>
              </w:rPr>
            </w:pPr>
          </w:p>
          <w:p w14:paraId="6D473AC9" w14:textId="77777777" w:rsidR="005602F9" w:rsidRPr="001F350F" w:rsidRDefault="005602F9" w:rsidP="00EE13D3">
            <w:pPr>
              <w:pStyle w:val="Footer"/>
              <w:jc w:val="both"/>
              <w:rPr>
                <w:sz w:val="16"/>
                <w:szCs w:val="16"/>
              </w:rPr>
            </w:pPr>
            <w:r w:rsidRPr="001F350F">
              <w:rPr>
                <w:sz w:val="16"/>
                <w:szCs w:val="16"/>
                <w:lang w:val="en"/>
              </w:rPr>
              <w:t xml:space="preserve">Justice for All International / Justice pour Tous </w:t>
            </w:r>
            <w:proofErr w:type="spellStart"/>
            <w:r w:rsidRPr="001F350F">
              <w:rPr>
                <w:sz w:val="16"/>
                <w:szCs w:val="16"/>
                <w:lang w:val="en"/>
              </w:rPr>
              <w:t>Internationale</w:t>
            </w:r>
            <w:proofErr w:type="spellEnd"/>
          </w:p>
          <w:p w14:paraId="60A7230F" w14:textId="77777777" w:rsidR="005602F9" w:rsidRPr="001F350F" w:rsidRDefault="005602F9" w:rsidP="00EE13D3">
            <w:pPr>
              <w:pStyle w:val="Footer"/>
              <w:jc w:val="both"/>
              <w:rPr>
                <w:sz w:val="16"/>
                <w:szCs w:val="16"/>
              </w:rPr>
            </w:pPr>
            <w:r w:rsidRPr="001F350F">
              <w:rPr>
                <w:sz w:val="16"/>
                <w:szCs w:val="16"/>
                <w:lang w:val="en"/>
              </w:rPr>
              <w:t>Not-for-profit organization registered in Geneva (CHE-226.634.549)</w:t>
            </w:r>
          </w:p>
          <w:p w14:paraId="06F8E1FA" w14:textId="77777777" w:rsidR="005602F9" w:rsidRPr="001F350F" w:rsidRDefault="005602F9" w:rsidP="00EE13D3">
            <w:pPr>
              <w:pStyle w:val="Footer"/>
              <w:jc w:val="both"/>
              <w:rPr>
                <w:sz w:val="16"/>
                <w:szCs w:val="16"/>
              </w:rPr>
            </w:pPr>
            <w:r w:rsidRPr="001F350F">
              <w:rPr>
                <w:sz w:val="16"/>
                <w:szCs w:val="16"/>
                <w:lang w:val="en"/>
              </w:rPr>
              <w:t xml:space="preserve">Website: </w:t>
            </w:r>
            <w:hyperlink r:id="rId8" w:history="1">
              <w:r w:rsidRPr="001F350F">
                <w:rPr>
                  <w:rStyle w:val="Hyperlink"/>
                  <w:sz w:val="16"/>
                  <w:szCs w:val="16"/>
                  <w:lang w:val="en"/>
                </w:rPr>
                <w:t>https://justice-for-all-international.business.site/</w:t>
              </w:r>
            </w:hyperlink>
          </w:p>
          <w:p w14:paraId="1501DA09" w14:textId="77777777" w:rsidR="005602F9" w:rsidRPr="001F350F" w:rsidRDefault="005602F9" w:rsidP="00EE13D3">
            <w:pPr>
              <w:pStyle w:val="Footer"/>
              <w:jc w:val="both"/>
              <w:rPr>
                <w:sz w:val="16"/>
                <w:szCs w:val="16"/>
              </w:rPr>
            </w:pPr>
            <w:r w:rsidRPr="001F350F">
              <w:rPr>
                <w:sz w:val="16"/>
                <w:szCs w:val="16"/>
                <w:lang w:val="en"/>
              </w:rPr>
              <w:t>Office: +41765704575</w:t>
            </w:r>
          </w:p>
          <w:p w14:paraId="0316572D" w14:textId="77777777" w:rsidR="005602F9" w:rsidRPr="001F350F" w:rsidRDefault="005602F9" w:rsidP="00EE13D3">
            <w:pPr>
              <w:pStyle w:val="Footer"/>
              <w:jc w:val="both"/>
            </w:pPr>
            <w:r w:rsidRPr="001F350F">
              <w:rPr>
                <w:sz w:val="16"/>
                <w:szCs w:val="16"/>
                <w:lang w:val="en"/>
              </w:rPr>
              <w:t xml:space="preserve">Email: </w:t>
            </w:r>
            <w:hyperlink r:id="rId9" w:history="1">
              <w:r w:rsidRPr="001F350F">
                <w:rPr>
                  <w:rStyle w:val="Hyperlink"/>
                  <w:sz w:val="16"/>
                  <w:szCs w:val="16"/>
                  <w:lang w:val="en"/>
                </w:rPr>
                <w:t>justiceforallinternational@gmail.com</w:t>
              </w:r>
            </w:hyperlink>
          </w:p>
          <w:p w14:paraId="0B1B0CE7" w14:textId="77777777" w:rsidR="005602F9" w:rsidRPr="001F350F" w:rsidRDefault="005602F9" w:rsidP="00EE13D3">
            <w:pPr>
              <w:pStyle w:val="Header"/>
              <w:jc w:val="both"/>
            </w:pPr>
          </w:p>
        </w:tc>
        <w:tc>
          <w:tcPr>
            <w:tcW w:w="4603" w:type="dxa"/>
          </w:tcPr>
          <w:p w14:paraId="27CAAC33" w14:textId="77777777" w:rsidR="005602F9" w:rsidRPr="001F350F" w:rsidRDefault="005602F9" w:rsidP="00EE13D3">
            <w:pPr>
              <w:pStyle w:val="Footer"/>
              <w:jc w:val="both"/>
            </w:pPr>
            <w:r w:rsidRPr="001F350F">
              <w:rPr>
                <w:noProof/>
                <w:lang w:val="en"/>
              </w:rPr>
              <w:drawing>
                <wp:anchor distT="0" distB="0" distL="114300" distR="114300" simplePos="0" relativeHeight="251659264" behindDoc="0" locked="0" layoutInCell="1" allowOverlap="1" wp14:anchorId="26169370" wp14:editId="4B22F2BF">
                  <wp:simplePos x="0" y="0"/>
                  <wp:positionH relativeFrom="margin">
                    <wp:posOffset>207086</wp:posOffset>
                  </wp:positionH>
                  <wp:positionV relativeFrom="paragraph">
                    <wp:posOffset>331</wp:posOffset>
                  </wp:positionV>
                  <wp:extent cx="2415600" cy="950400"/>
                  <wp:effectExtent l="0" t="0" r="3810" b="2540"/>
                  <wp:wrapTopAndBottom/>
                  <wp:docPr id="120" name="Picture 1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5600" cy="950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16381EFC" w14:textId="7A05B3A4" w:rsidR="000A3248" w:rsidRPr="000A3248" w:rsidRDefault="0082107E" w:rsidP="00EE13D3">
      <w:pPr>
        <w:pStyle w:val="NormalWeb"/>
        <w:jc w:val="both"/>
        <w:rPr>
          <w:rFonts w:ascii="Calibri" w:hAnsi="Calibri" w:cs="Calibri"/>
          <w:b/>
          <w:bCs/>
          <w:color w:val="000000"/>
          <w:sz w:val="28"/>
          <w:szCs w:val="28"/>
        </w:rPr>
      </w:pPr>
      <w:r w:rsidRPr="000A3248">
        <w:rPr>
          <w:rFonts w:ascii="Calibri" w:hAnsi="Calibri" w:cs="Calibri"/>
          <w:b/>
          <w:bCs/>
          <w:color w:val="000000"/>
          <w:sz w:val="28"/>
          <w:szCs w:val="28"/>
        </w:rPr>
        <w:t>CAT - CONVENTION AGAINST TORTURE AND OTHER CRUEL INHUMAN OR DEGRADING TREATMENT OR PUNISHMENT</w:t>
      </w:r>
    </w:p>
    <w:p w14:paraId="7DB66FFD" w14:textId="77777777" w:rsidR="002F256F" w:rsidRDefault="000A3248" w:rsidP="00EE13D3">
      <w:pPr>
        <w:pStyle w:val="NormalWeb"/>
        <w:spacing w:before="0" w:beforeAutospacing="0"/>
        <w:contextualSpacing/>
        <w:jc w:val="both"/>
        <w:rPr>
          <w:rFonts w:ascii="Calibri" w:hAnsi="Calibri" w:cs="Calibri"/>
          <w:b/>
          <w:bCs/>
          <w:color w:val="000000"/>
          <w:sz w:val="28"/>
          <w:szCs w:val="28"/>
        </w:rPr>
      </w:pPr>
      <w:r w:rsidRPr="000A3248">
        <w:rPr>
          <w:rFonts w:ascii="Calibri" w:hAnsi="Calibri" w:cs="Calibri"/>
          <w:b/>
          <w:bCs/>
          <w:color w:val="000000"/>
          <w:sz w:val="28"/>
          <w:szCs w:val="28"/>
        </w:rPr>
        <w:t>78</w:t>
      </w:r>
      <w:r w:rsidR="002F256F" w:rsidRPr="002F256F">
        <w:rPr>
          <w:rFonts w:ascii="Calibri" w:hAnsi="Calibri" w:cs="Calibri"/>
          <w:b/>
          <w:bCs/>
          <w:color w:val="000000"/>
          <w:sz w:val="28"/>
          <w:szCs w:val="28"/>
          <w:vertAlign w:val="superscript"/>
        </w:rPr>
        <w:t>th</w:t>
      </w:r>
      <w:r w:rsidR="002F256F">
        <w:rPr>
          <w:rFonts w:ascii="Calibri" w:hAnsi="Calibri" w:cs="Calibri"/>
          <w:b/>
          <w:bCs/>
          <w:color w:val="000000"/>
          <w:sz w:val="28"/>
          <w:szCs w:val="28"/>
        </w:rPr>
        <w:t xml:space="preserve"> </w:t>
      </w:r>
      <w:r w:rsidRPr="000A3248">
        <w:rPr>
          <w:rFonts w:ascii="Calibri" w:hAnsi="Calibri" w:cs="Calibri"/>
          <w:b/>
          <w:bCs/>
          <w:color w:val="000000"/>
          <w:sz w:val="28"/>
          <w:szCs w:val="28"/>
        </w:rPr>
        <w:t xml:space="preserve">Session </w:t>
      </w:r>
    </w:p>
    <w:p w14:paraId="3E7BA73F" w14:textId="495A5D37" w:rsidR="000A3248" w:rsidRDefault="000A3248" w:rsidP="00EE13D3">
      <w:pPr>
        <w:pStyle w:val="NormalWeb"/>
        <w:spacing w:before="0" w:beforeAutospacing="0"/>
        <w:contextualSpacing/>
        <w:jc w:val="both"/>
        <w:rPr>
          <w:rFonts w:ascii="Calibri" w:hAnsi="Calibri" w:cs="Calibri"/>
          <w:b/>
          <w:bCs/>
          <w:color w:val="000000"/>
          <w:sz w:val="28"/>
          <w:szCs w:val="28"/>
        </w:rPr>
      </w:pPr>
      <w:r w:rsidRPr="000A3248">
        <w:rPr>
          <w:rFonts w:ascii="Calibri" w:hAnsi="Calibri" w:cs="Calibri"/>
          <w:b/>
          <w:bCs/>
          <w:color w:val="000000"/>
          <w:sz w:val="28"/>
          <w:szCs w:val="28"/>
        </w:rPr>
        <w:t>30 Oct 2023 - 24 Nov 2023</w:t>
      </w:r>
    </w:p>
    <w:p w14:paraId="2E139FAD" w14:textId="77777777" w:rsidR="00B23696" w:rsidRPr="00E41D25" w:rsidRDefault="00B23696" w:rsidP="00EE13D3">
      <w:pPr>
        <w:pStyle w:val="NormalWeb"/>
        <w:spacing w:before="0" w:beforeAutospacing="0"/>
        <w:contextualSpacing/>
        <w:jc w:val="both"/>
        <w:rPr>
          <w:rFonts w:asciiTheme="minorHAnsi" w:hAnsiTheme="minorHAnsi" w:cstheme="minorHAnsi"/>
          <w:b/>
          <w:bCs/>
          <w:color w:val="000000"/>
          <w:sz w:val="28"/>
          <w:szCs w:val="28"/>
        </w:rPr>
      </w:pPr>
      <w:r w:rsidRPr="00E41D25">
        <w:rPr>
          <w:rFonts w:asciiTheme="minorHAnsi" w:hAnsiTheme="minorHAnsi" w:cstheme="minorHAnsi"/>
          <w:b/>
          <w:bCs/>
          <w:color w:val="000000"/>
          <w:sz w:val="28"/>
          <w:szCs w:val="28"/>
        </w:rPr>
        <w:t>Palais Wilson, Geneva</w:t>
      </w:r>
    </w:p>
    <w:p w14:paraId="0E94EAA8" w14:textId="77777777" w:rsidR="00B23696" w:rsidRDefault="00B23696" w:rsidP="00EE13D3">
      <w:pPr>
        <w:pStyle w:val="NormalWeb"/>
        <w:spacing w:before="0" w:beforeAutospacing="0" w:after="0"/>
        <w:contextualSpacing/>
        <w:jc w:val="both"/>
        <w:rPr>
          <w:rFonts w:asciiTheme="minorHAnsi" w:hAnsiTheme="minorHAnsi" w:cstheme="minorHAnsi"/>
          <w:b/>
          <w:bCs/>
          <w:color w:val="000000"/>
          <w:sz w:val="28"/>
          <w:szCs w:val="28"/>
        </w:rPr>
      </w:pPr>
    </w:p>
    <w:p w14:paraId="158B7ED8" w14:textId="2383B3C9" w:rsidR="000A3248" w:rsidRDefault="002353FC" w:rsidP="00EE13D3">
      <w:pPr>
        <w:pStyle w:val="NormalWeb"/>
        <w:spacing w:before="0" w:beforeAutospacing="0" w:after="0"/>
        <w:contextualSpacing/>
        <w:jc w:val="both"/>
        <w:rPr>
          <w:rFonts w:asciiTheme="minorHAnsi" w:hAnsiTheme="minorHAnsi" w:cstheme="minorHAnsi"/>
          <w:b/>
          <w:bCs/>
          <w:color w:val="000000"/>
          <w:sz w:val="28"/>
          <w:szCs w:val="28"/>
        </w:rPr>
      </w:pPr>
      <w:r w:rsidRPr="00E41D25">
        <w:rPr>
          <w:rFonts w:asciiTheme="minorHAnsi" w:hAnsiTheme="minorHAnsi" w:cstheme="minorHAnsi"/>
          <w:b/>
          <w:bCs/>
          <w:color w:val="000000"/>
          <w:sz w:val="28"/>
          <w:szCs w:val="28"/>
        </w:rPr>
        <w:t xml:space="preserve">Examination of the </w:t>
      </w:r>
      <w:r w:rsidR="00896E1E">
        <w:rPr>
          <w:rFonts w:asciiTheme="minorHAnsi" w:hAnsiTheme="minorHAnsi" w:cstheme="minorHAnsi"/>
          <w:b/>
          <w:bCs/>
          <w:color w:val="000000"/>
          <w:sz w:val="28"/>
          <w:szCs w:val="28"/>
        </w:rPr>
        <w:t>5</w:t>
      </w:r>
      <w:r w:rsidRPr="00E41D25">
        <w:rPr>
          <w:rFonts w:asciiTheme="minorHAnsi" w:hAnsiTheme="minorHAnsi" w:cstheme="minorHAnsi"/>
          <w:b/>
          <w:bCs/>
          <w:color w:val="000000"/>
          <w:sz w:val="28"/>
          <w:szCs w:val="28"/>
        </w:rPr>
        <w:t xml:space="preserve">th report and country situation of </w:t>
      </w:r>
      <w:r w:rsidR="00896E1E">
        <w:rPr>
          <w:rFonts w:asciiTheme="minorHAnsi" w:hAnsiTheme="minorHAnsi" w:cstheme="minorHAnsi"/>
          <w:b/>
          <w:bCs/>
          <w:color w:val="000000"/>
          <w:sz w:val="28"/>
          <w:szCs w:val="28"/>
        </w:rPr>
        <w:t>Egypt</w:t>
      </w:r>
      <w:r w:rsidRPr="00E41D25">
        <w:rPr>
          <w:rFonts w:asciiTheme="minorHAnsi" w:hAnsiTheme="minorHAnsi" w:cstheme="minorHAnsi"/>
          <w:b/>
          <w:bCs/>
          <w:color w:val="000000"/>
          <w:sz w:val="28"/>
          <w:szCs w:val="28"/>
        </w:rPr>
        <w:t xml:space="preserve"> </w:t>
      </w:r>
    </w:p>
    <w:p w14:paraId="5EF3D24E" w14:textId="77777777" w:rsidR="00896E1E" w:rsidRDefault="00896E1E" w:rsidP="00EE13D3">
      <w:pPr>
        <w:pStyle w:val="NormalWeb"/>
        <w:spacing w:before="0" w:beforeAutospacing="0" w:after="160" w:afterAutospacing="0"/>
        <w:contextualSpacing/>
        <w:jc w:val="both"/>
        <w:rPr>
          <w:rFonts w:ascii="Calibri" w:hAnsi="Calibri" w:cs="Calibri"/>
          <w:b/>
          <w:bCs/>
          <w:color w:val="000000"/>
          <w:sz w:val="28"/>
          <w:szCs w:val="28"/>
        </w:rPr>
      </w:pPr>
    </w:p>
    <w:p w14:paraId="670E2E64" w14:textId="0DE15689" w:rsidR="005602F9" w:rsidRDefault="00322093" w:rsidP="00EE13D3">
      <w:pPr>
        <w:pStyle w:val="NormalWeb"/>
        <w:spacing w:before="0" w:beforeAutospacing="0" w:after="160" w:afterAutospacing="0"/>
        <w:jc w:val="both"/>
        <w:rPr>
          <w:sz w:val="28"/>
          <w:szCs w:val="28"/>
        </w:rPr>
      </w:pPr>
      <w:r>
        <w:rPr>
          <w:rFonts w:ascii="Calibri" w:hAnsi="Calibri" w:cs="Calibri"/>
          <w:b/>
          <w:bCs/>
          <w:color w:val="000000"/>
          <w:sz w:val="28"/>
          <w:szCs w:val="28"/>
        </w:rPr>
        <w:t>Legal analysis of the Egypt’s response</w:t>
      </w:r>
      <w:r w:rsidR="00B23696">
        <w:rPr>
          <w:rFonts w:ascii="Calibri" w:hAnsi="Calibri" w:cs="Calibri"/>
          <w:b/>
          <w:bCs/>
          <w:color w:val="000000"/>
          <w:sz w:val="28"/>
          <w:szCs w:val="28"/>
        </w:rPr>
        <w:t>s</w:t>
      </w:r>
      <w:r>
        <w:rPr>
          <w:rFonts w:ascii="Calibri" w:hAnsi="Calibri" w:cs="Calibri"/>
          <w:b/>
          <w:bCs/>
          <w:color w:val="000000"/>
          <w:sz w:val="28"/>
          <w:szCs w:val="28"/>
        </w:rPr>
        <w:t xml:space="preserve"> to the </w:t>
      </w:r>
      <w:r w:rsidR="00374571">
        <w:rPr>
          <w:rFonts w:ascii="Calibri" w:hAnsi="Calibri" w:cs="Calibri"/>
          <w:b/>
          <w:bCs/>
          <w:color w:val="000000"/>
          <w:sz w:val="28"/>
          <w:szCs w:val="28"/>
        </w:rPr>
        <w:t>List of Issues</w:t>
      </w:r>
      <w:r w:rsidR="005602F9" w:rsidRPr="00842CF1">
        <w:rPr>
          <w:rFonts w:ascii="Calibri" w:hAnsi="Calibri" w:cs="Calibri"/>
          <w:b/>
          <w:bCs/>
          <w:color w:val="000000"/>
          <w:sz w:val="28"/>
          <w:szCs w:val="28"/>
        </w:rPr>
        <w:t>.</w:t>
      </w:r>
    </w:p>
    <w:p w14:paraId="33743C2F" w14:textId="4F44A75B" w:rsidR="0082107E" w:rsidRPr="008A1B6B" w:rsidRDefault="0082107E" w:rsidP="00EE13D3">
      <w:pPr>
        <w:pStyle w:val="NormalWeb"/>
        <w:spacing w:after="0"/>
        <w:jc w:val="both"/>
        <w:rPr>
          <w:rFonts w:asciiTheme="minorHAnsi" w:hAnsiTheme="minorHAnsi" w:cstheme="minorHAnsi"/>
          <w:color w:val="000000"/>
        </w:rPr>
      </w:pPr>
      <w:r w:rsidRPr="008A1B6B">
        <w:rPr>
          <w:rFonts w:asciiTheme="minorHAnsi" w:hAnsiTheme="minorHAnsi" w:cstheme="minorHAnsi"/>
          <w:color w:val="000000"/>
        </w:rPr>
        <w:t>2 October 2023</w:t>
      </w:r>
    </w:p>
    <w:p w14:paraId="0D359FC2" w14:textId="77777777" w:rsidR="0082107E" w:rsidRPr="008A1B6B" w:rsidRDefault="0082107E" w:rsidP="00EE13D3">
      <w:pPr>
        <w:pStyle w:val="NormalWeb"/>
        <w:spacing w:after="0"/>
        <w:jc w:val="both"/>
        <w:rPr>
          <w:rFonts w:asciiTheme="minorHAnsi" w:hAnsiTheme="minorHAnsi" w:cstheme="minorHAnsi"/>
          <w:b/>
          <w:bCs/>
          <w:color w:val="000000"/>
        </w:rPr>
      </w:pPr>
    </w:p>
    <w:p w14:paraId="5D3E904B" w14:textId="765BF725" w:rsidR="0082107E" w:rsidRPr="008A1B6B" w:rsidRDefault="0082107E" w:rsidP="00EE13D3">
      <w:pPr>
        <w:pStyle w:val="NormalWeb"/>
        <w:jc w:val="both"/>
        <w:rPr>
          <w:rFonts w:asciiTheme="minorHAnsi" w:hAnsiTheme="minorHAnsi" w:cstheme="minorHAnsi"/>
        </w:rPr>
      </w:pPr>
      <w:r w:rsidRPr="008A1B6B">
        <w:rPr>
          <w:rFonts w:asciiTheme="minorHAnsi" w:hAnsiTheme="minorHAnsi" w:cstheme="minorHAnsi"/>
          <w:b/>
          <w:bCs/>
        </w:rPr>
        <w:t xml:space="preserve">Submitted by: </w:t>
      </w:r>
      <w:r w:rsidRPr="008A1B6B">
        <w:rPr>
          <w:rFonts w:asciiTheme="minorHAnsi" w:hAnsiTheme="minorHAnsi" w:cstheme="minorHAnsi"/>
        </w:rPr>
        <w:t xml:space="preserve">Sharof Azizov, </w:t>
      </w:r>
      <w:r w:rsidR="00623CA5" w:rsidRPr="008A1B6B">
        <w:rPr>
          <w:rFonts w:asciiTheme="minorHAnsi" w:hAnsiTheme="minorHAnsi" w:cstheme="minorHAnsi"/>
        </w:rPr>
        <w:t xml:space="preserve">LLM, </w:t>
      </w:r>
      <w:r w:rsidRPr="008A1B6B">
        <w:rPr>
          <w:rFonts w:asciiTheme="minorHAnsi" w:hAnsiTheme="minorHAnsi" w:cstheme="minorHAnsi"/>
        </w:rPr>
        <w:t xml:space="preserve">a Human Rights Lawyer, Founder and Secretary of the Board of the Association “Justice for All International / Justice pour Tous </w:t>
      </w:r>
      <w:proofErr w:type="spellStart"/>
      <w:r w:rsidRPr="008A1B6B">
        <w:rPr>
          <w:rFonts w:asciiTheme="minorHAnsi" w:hAnsiTheme="minorHAnsi" w:cstheme="minorHAnsi"/>
        </w:rPr>
        <w:t>Internationale</w:t>
      </w:r>
      <w:proofErr w:type="spellEnd"/>
      <w:r w:rsidRPr="008A1B6B">
        <w:rPr>
          <w:rFonts w:asciiTheme="minorHAnsi" w:hAnsiTheme="minorHAnsi" w:cstheme="minorHAnsi"/>
        </w:rPr>
        <w:t>”.</w:t>
      </w:r>
    </w:p>
    <w:p w14:paraId="44327DA3" w14:textId="77777777" w:rsidR="0082107E" w:rsidRPr="008A1B6B" w:rsidRDefault="0082107E" w:rsidP="00EE13D3">
      <w:pPr>
        <w:pStyle w:val="NormalWeb"/>
        <w:jc w:val="both"/>
        <w:rPr>
          <w:rFonts w:asciiTheme="minorHAnsi" w:hAnsiTheme="minorHAnsi" w:cstheme="minorHAnsi"/>
          <w:color w:val="000000"/>
        </w:rPr>
      </w:pPr>
      <w:r w:rsidRPr="008A1B6B">
        <w:rPr>
          <w:rFonts w:asciiTheme="minorHAnsi" w:hAnsiTheme="minorHAnsi" w:cstheme="minorHAnsi"/>
          <w:color w:val="000000"/>
        </w:rPr>
        <w:t xml:space="preserve">A not-for-profit Association “Justice for All International / Justice pour Tous </w:t>
      </w:r>
      <w:proofErr w:type="spellStart"/>
      <w:r w:rsidRPr="008A1B6B">
        <w:rPr>
          <w:rFonts w:asciiTheme="minorHAnsi" w:hAnsiTheme="minorHAnsi" w:cstheme="minorHAnsi"/>
          <w:color w:val="000000"/>
        </w:rPr>
        <w:t>Internationale</w:t>
      </w:r>
      <w:proofErr w:type="spellEnd"/>
      <w:r w:rsidRPr="008A1B6B">
        <w:rPr>
          <w:rFonts w:asciiTheme="minorHAnsi" w:hAnsiTheme="minorHAnsi" w:cstheme="minorHAnsi"/>
          <w:color w:val="000000"/>
        </w:rPr>
        <w:t>” is registered in Geneva (CHE-226.634.549). The Association has no profit purposes, including combating injustice and human rights abuses worldwide; promoting and protecting human rights and fundamental freedoms, with a particular focus on the protection of entrepreneurs, human rights defenders, political activists, bloggers, and journalists at risk of persecution; and strengthen developing civil societies and democracies in the countries engaged. The Association offers professional assistance in preparing and submitting human rights violation complaints to the UN protection mechanisms.</w:t>
      </w:r>
    </w:p>
    <w:p w14:paraId="5464C19B" w14:textId="2FBE6EDC" w:rsidR="00355B23" w:rsidRPr="00502921" w:rsidRDefault="00947A4B" w:rsidP="00EE13D3">
      <w:pPr>
        <w:jc w:val="both"/>
        <w:rPr>
          <w:rFonts w:cstheme="minorHAnsi"/>
          <w:b/>
          <w:bCs/>
          <w:sz w:val="24"/>
          <w:szCs w:val="24"/>
          <w:lang w:val="en-US"/>
        </w:rPr>
      </w:pPr>
      <w:r w:rsidRPr="00502921">
        <w:rPr>
          <w:rFonts w:cstheme="minorHAnsi"/>
          <w:b/>
          <w:bCs/>
          <w:sz w:val="24"/>
          <w:szCs w:val="24"/>
          <w:lang w:val="en-US"/>
        </w:rPr>
        <w:t>LEGAL ANALYSIS OF THE EGYPTIAN GOVERNMENT'S RESPONSE</w:t>
      </w:r>
      <w:r w:rsidR="00EE13D3">
        <w:rPr>
          <w:rFonts w:cstheme="minorHAnsi"/>
          <w:b/>
          <w:bCs/>
          <w:sz w:val="24"/>
          <w:szCs w:val="24"/>
          <w:lang w:val="en-US"/>
        </w:rPr>
        <w:t>S</w:t>
      </w:r>
      <w:r w:rsidRPr="00502921">
        <w:rPr>
          <w:rFonts w:cstheme="minorHAnsi"/>
          <w:b/>
          <w:bCs/>
          <w:sz w:val="24"/>
          <w:szCs w:val="24"/>
          <w:lang w:val="en-US"/>
        </w:rPr>
        <w:t xml:space="preserve"> TO THE LIST OF ISSUES: </w:t>
      </w:r>
    </w:p>
    <w:p w14:paraId="69272CDB" w14:textId="3F43E29F" w:rsidR="00EF62D5" w:rsidRPr="00EF62D5" w:rsidRDefault="00EF62D5" w:rsidP="00EE13D3">
      <w:pPr>
        <w:jc w:val="both"/>
        <w:rPr>
          <w:rFonts w:cstheme="minorHAnsi"/>
          <w:sz w:val="24"/>
          <w:szCs w:val="24"/>
          <w:lang w:val="en-US"/>
        </w:rPr>
      </w:pPr>
      <w:r w:rsidRPr="00EF62D5">
        <w:rPr>
          <w:rFonts w:cstheme="minorHAnsi"/>
          <w:sz w:val="24"/>
          <w:szCs w:val="24"/>
          <w:lang w:val="en-US"/>
        </w:rPr>
        <w:t xml:space="preserve">In its response to </w:t>
      </w:r>
      <w:r w:rsidRPr="00502921">
        <w:rPr>
          <w:rFonts w:cstheme="minorHAnsi"/>
          <w:b/>
          <w:bCs/>
          <w:sz w:val="24"/>
          <w:szCs w:val="24"/>
          <w:lang w:val="en-US"/>
        </w:rPr>
        <w:t>Paragraph (1) of the List of Issues</w:t>
      </w:r>
      <w:r>
        <w:rPr>
          <w:rFonts w:cstheme="minorHAnsi"/>
          <w:b/>
          <w:bCs/>
          <w:sz w:val="24"/>
          <w:szCs w:val="24"/>
          <w:lang w:val="en-US"/>
        </w:rPr>
        <w:t xml:space="preserve"> of </w:t>
      </w:r>
      <w:r w:rsidRPr="00EF62D5">
        <w:rPr>
          <w:rFonts w:cstheme="minorHAnsi"/>
          <w:sz w:val="24"/>
          <w:szCs w:val="24"/>
          <w:lang w:val="en-US"/>
        </w:rPr>
        <w:t>the Committee Against Torture's List of Issues, the Egyptian government outlines a comprehensive legal framework aimed at criminalizing torture and other forms of inhumane treatment. While the government's commitment to human rights is evident through initiatives like the National Human Rights Strategy and the lifting of the state of emergency, the absence of an independent monitoring mechanism and detailed guidelines for implementation raises questions about the effectiveness of these measures. The government's Penal Code adopts a graduated approach to criminalization and punishment, but its reliance on multiple articles to address torture creates potential for legal loopholes, as emphasized by the Mendez Principles and General Comment No. 20 of the ICCPR.</w:t>
      </w:r>
    </w:p>
    <w:p w14:paraId="1EF0BE1A" w14:textId="77777777" w:rsidR="00EF62D5" w:rsidRPr="00EF62D5" w:rsidRDefault="00EF62D5" w:rsidP="00EE13D3">
      <w:pPr>
        <w:jc w:val="both"/>
        <w:rPr>
          <w:rFonts w:cstheme="minorHAnsi"/>
          <w:sz w:val="24"/>
          <w:szCs w:val="24"/>
          <w:lang w:val="en-US"/>
        </w:rPr>
      </w:pPr>
    </w:p>
    <w:p w14:paraId="27671148" w14:textId="14B9BE8B" w:rsidR="00EF62D5" w:rsidRDefault="00EF62D5" w:rsidP="00EE13D3">
      <w:pPr>
        <w:jc w:val="both"/>
        <w:rPr>
          <w:rFonts w:cstheme="minorHAnsi"/>
          <w:sz w:val="24"/>
          <w:szCs w:val="24"/>
          <w:lang w:val="en-US"/>
        </w:rPr>
      </w:pPr>
      <w:r w:rsidRPr="00EF62D5">
        <w:rPr>
          <w:rFonts w:cstheme="minorHAnsi"/>
          <w:sz w:val="24"/>
          <w:szCs w:val="24"/>
          <w:lang w:val="en-US"/>
        </w:rPr>
        <w:t>Moreover, while the government's stance on not allowing mitigating circumstances for torture aligns with international standards, the lack of information on practical implementation leaves room for skepticism. The government also states that any statement made under torture is null and void, which is in line with international conventions, but fails to elaborate on how evidence of torture is effectively documented, a crucial aspect highlighted by the Istanbul Protocol. Thus, while Egypt has taken steps to align its legal frameworks with international standards, the lack of specificity in detailing practical implementation and monitoring mechanisms suggests that there is still a considerable gap between policy and practice.</w:t>
      </w:r>
    </w:p>
    <w:p w14:paraId="70D1E5B2" w14:textId="5131A76D" w:rsidR="00150ACD" w:rsidRPr="00150ACD" w:rsidRDefault="00150ACD" w:rsidP="00EE13D3">
      <w:pPr>
        <w:jc w:val="both"/>
        <w:rPr>
          <w:rFonts w:cstheme="minorHAnsi"/>
          <w:sz w:val="24"/>
          <w:szCs w:val="24"/>
        </w:rPr>
      </w:pPr>
      <w:r w:rsidRPr="00150ACD">
        <w:rPr>
          <w:rFonts w:cstheme="minorHAnsi"/>
          <w:sz w:val="24"/>
          <w:szCs w:val="24"/>
        </w:rPr>
        <w:t xml:space="preserve">In its detailed </w:t>
      </w:r>
      <w:r w:rsidRPr="00150ACD">
        <w:rPr>
          <w:rFonts w:cstheme="minorHAnsi"/>
          <w:b/>
          <w:bCs/>
          <w:sz w:val="24"/>
          <w:szCs w:val="24"/>
        </w:rPr>
        <w:t>response to Paragraph (2) of</w:t>
      </w:r>
      <w:r w:rsidRPr="00150ACD">
        <w:rPr>
          <w:rFonts w:cstheme="minorHAnsi"/>
          <w:sz w:val="24"/>
          <w:szCs w:val="24"/>
        </w:rPr>
        <w:t xml:space="preserve"> the List of Issues, the Egyptian government outlines the legal and procedural measures for treating individuals accused of crimes, including terrorism. While the Criminal Procedure Law appears to align with the Mendez Principles by stipulating the conditions for arrest and initial detention, it falls short in several key areas. For example, the law does not fully comply with Article 9 of the ICCPR, which mandates prompt judicial oversight, as the accused are sent to the Public Prosecution—a non-judicial body—within 24 hours. Additionally, the response lacks clarity on safeguards during states of emergency and the initial stages of detention, a critical period emphasized by the Mendez Principles for preventing torture and ill-treatment.</w:t>
      </w:r>
    </w:p>
    <w:p w14:paraId="3F65CFC8" w14:textId="28184241" w:rsidR="00150ACD" w:rsidRPr="00150ACD" w:rsidRDefault="00150ACD" w:rsidP="00EE13D3">
      <w:pPr>
        <w:jc w:val="both"/>
        <w:rPr>
          <w:rFonts w:cstheme="minorHAnsi"/>
          <w:sz w:val="24"/>
          <w:szCs w:val="24"/>
        </w:rPr>
      </w:pPr>
      <w:r w:rsidRPr="00150ACD">
        <w:rPr>
          <w:rFonts w:cstheme="minorHAnsi"/>
          <w:sz w:val="24"/>
          <w:szCs w:val="24"/>
        </w:rPr>
        <w:t xml:space="preserve">Furthermore, while the government assures that legal proceedings are documented and that </w:t>
      </w:r>
      <w:r>
        <w:rPr>
          <w:rFonts w:cstheme="minorHAnsi"/>
          <w:sz w:val="24"/>
          <w:szCs w:val="24"/>
          <w:lang w:val="en-US"/>
        </w:rPr>
        <w:t>detention</w:t>
      </w:r>
      <w:r w:rsidRPr="00150ACD">
        <w:rPr>
          <w:rFonts w:cstheme="minorHAnsi"/>
          <w:sz w:val="24"/>
          <w:szCs w:val="24"/>
        </w:rPr>
        <w:t xml:space="preserve"> centers maintain records, it does not specify the quality or accessibility of these records, leaving gaps in transparency and accountability. The response also falls short in detailing the conditions under which lawyers operate and the independence of medical examinations, both crucial for compliance with international standards like the Istanbul Protocol and General Comment 32 of the ICCPR. Lastly, although the government states that military bodies cannot detain civilians, it could strengthen this provision by explicitly prohibiting all forms of secret detention, as emphasized by both the Mendez Principles and the Istanbul Protocol. Thus, while Egypt has made strides in legal and procedural measures, the lack of specificity in detailing practical implementation and safeguards indicates a considerable gap between policy and practice.</w:t>
      </w:r>
    </w:p>
    <w:p w14:paraId="3D7C222C" w14:textId="77777777" w:rsidR="00370F20" w:rsidRPr="00370F20" w:rsidRDefault="00370F20" w:rsidP="00EE13D3">
      <w:pPr>
        <w:jc w:val="both"/>
        <w:rPr>
          <w:rFonts w:cstheme="minorHAnsi"/>
          <w:sz w:val="24"/>
          <w:szCs w:val="24"/>
          <w:lang w:val="en-US"/>
        </w:rPr>
      </w:pPr>
      <w:r w:rsidRPr="00370F20">
        <w:rPr>
          <w:rFonts w:cstheme="minorHAnsi"/>
          <w:sz w:val="24"/>
          <w:szCs w:val="24"/>
          <w:lang w:val="en-US"/>
        </w:rPr>
        <w:t xml:space="preserve">In its response to </w:t>
      </w:r>
      <w:r w:rsidRPr="00780CE0">
        <w:rPr>
          <w:rFonts w:cstheme="minorHAnsi"/>
          <w:b/>
          <w:bCs/>
          <w:sz w:val="24"/>
          <w:szCs w:val="24"/>
          <w:lang w:val="en-US"/>
        </w:rPr>
        <w:t>Paragraph (3) of the List of Issues</w:t>
      </w:r>
      <w:r w:rsidRPr="00370F20">
        <w:rPr>
          <w:rFonts w:cstheme="minorHAnsi"/>
          <w:sz w:val="24"/>
          <w:szCs w:val="24"/>
          <w:lang w:val="en-US"/>
        </w:rPr>
        <w:t>, the Egyptian government elaborates on its legal framework concerning emergency and counter-terrorism legislations. While the government outlines constitutional procedures for declaring a state of emergency and aims to balance security and human rights in counter-terrorism laws, the response lacks critical details. For instance, it does not specify how human rights are safeguarded during states of emergency, as emphasized by the Mendez Principles and Article 4 of the ICCPR. Additionally, the government's counter-terrorism laws do not explicitly confirm adherence to non-</w:t>
      </w:r>
      <w:proofErr w:type="spellStart"/>
      <w:r w:rsidRPr="00370F20">
        <w:rPr>
          <w:rFonts w:cstheme="minorHAnsi"/>
          <w:sz w:val="24"/>
          <w:szCs w:val="24"/>
          <w:lang w:val="en-US"/>
        </w:rPr>
        <w:t>derogable</w:t>
      </w:r>
      <w:proofErr w:type="spellEnd"/>
      <w:r w:rsidRPr="00370F20">
        <w:rPr>
          <w:rFonts w:cstheme="minorHAnsi"/>
          <w:sz w:val="24"/>
          <w:szCs w:val="24"/>
          <w:lang w:val="en-US"/>
        </w:rPr>
        <w:t xml:space="preserve"> anti-torture provisions, leaving gaps in compliance with international standards like General Comment 35 of the ICCPR and the Istanbul Protocol.</w:t>
      </w:r>
    </w:p>
    <w:p w14:paraId="0530AF8B" w14:textId="77777777" w:rsidR="00780CE0" w:rsidRDefault="00370F20" w:rsidP="00EE13D3">
      <w:pPr>
        <w:jc w:val="both"/>
        <w:rPr>
          <w:rFonts w:cstheme="minorHAnsi"/>
          <w:sz w:val="24"/>
          <w:szCs w:val="24"/>
          <w:lang w:val="en-US"/>
        </w:rPr>
      </w:pPr>
      <w:r w:rsidRPr="00370F20">
        <w:rPr>
          <w:rFonts w:cstheme="minorHAnsi"/>
          <w:sz w:val="24"/>
          <w:szCs w:val="24"/>
          <w:lang w:val="en-US"/>
        </w:rPr>
        <w:t xml:space="preserve">Furthermore, the response is vague on procedural guarantees, such as the conditions for prolonged detention and the role of military prosecution during states of emergency. This lack of specificity raises concerns about civilian and judicial oversight, as well as the potential for </w:t>
      </w:r>
      <w:r w:rsidRPr="00370F20">
        <w:rPr>
          <w:rFonts w:cstheme="minorHAnsi"/>
          <w:sz w:val="24"/>
          <w:szCs w:val="24"/>
          <w:lang w:val="en-US"/>
        </w:rPr>
        <w:lastRenderedPageBreak/>
        <w:t>human rights abuses. The absence of direct information on legal procedural guarantees and the human rights implications of amendments to the Emergency Law in the context of the COVID-19 pandemic further hampers a comprehensive evaluation against international standards. Thus, while the Egyptian government has made efforts to outline its legal stances, the lack of detail in practical implementation and safeguards reveals a significant gap between policy and practice.</w:t>
      </w:r>
    </w:p>
    <w:p w14:paraId="203833B7" w14:textId="77777777" w:rsidR="00816EB2" w:rsidRPr="00816EB2" w:rsidRDefault="00816EB2" w:rsidP="00EE13D3">
      <w:pPr>
        <w:jc w:val="both"/>
        <w:rPr>
          <w:sz w:val="24"/>
          <w:szCs w:val="24"/>
        </w:rPr>
      </w:pPr>
      <w:r w:rsidRPr="00816EB2">
        <w:rPr>
          <w:sz w:val="24"/>
          <w:szCs w:val="24"/>
        </w:rPr>
        <w:t xml:space="preserve">In its </w:t>
      </w:r>
      <w:r w:rsidRPr="00816EB2">
        <w:rPr>
          <w:b/>
          <w:bCs/>
          <w:sz w:val="24"/>
          <w:szCs w:val="24"/>
        </w:rPr>
        <w:t>response to Paragraph (4) of the List of Issues</w:t>
      </w:r>
      <w:r w:rsidRPr="00816EB2">
        <w:rPr>
          <w:sz w:val="24"/>
          <w:szCs w:val="24"/>
        </w:rPr>
        <w:t>, the Egyptian government provides a comprehensive outline of its legal and procedural measures concerning pretrial detention, enforced disappearances, and other related matters. While the government discusses the issuance of pretrial detention orders and their judicial review, it lacks specificity on the criteria used for such discretion, leaving gaps in compliance with Article 9 of the ICCPR and the Mendez Principles, which emphasize judicial oversight and the use of detention as a last resort. Additionally, the response mentions alternatives to pretrial detention and cooperation with international bodies but falls short in elaborating on the effectiveness of these mechanisms and outcomes.</w:t>
      </w:r>
    </w:p>
    <w:p w14:paraId="2724B21F" w14:textId="77777777" w:rsidR="00816EB2" w:rsidRPr="00816EB2" w:rsidRDefault="00816EB2" w:rsidP="00EE13D3">
      <w:pPr>
        <w:jc w:val="both"/>
        <w:rPr>
          <w:sz w:val="24"/>
          <w:szCs w:val="24"/>
        </w:rPr>
      </w:pPr>
      <w:r w:rsidRPr="00816EB2">
        <w:rPr>
          <w:sz w:val="24"/>
          <w:szCs w:val="24"/>
        </w:rPr>
        <w:t>Furthermore, the government's discussion on the criminalization of enforced disappearances and the examination of related complaints is vague, lacking details crucial for compliance with international standards like General Comment 36 and the Istanbul Protocol. While the government asserts that there are no detention places other than those specified by law, it does not address the conditions in these places or the issue of secret detention centers. The response also mentions a central public register for all places of detention but refers to another document for details, leaving questions about transparency and monitoring unanswered. Lastly, the government's statement on the non-implementation of release orders lacks elaboration on mechanisms to ensure prompt release, a concern that could potentially violate international standards. Thus, while Egypt has made efforts to outline its legal stances, the lack of detail in practical implementation and safeguards reveals a significant gap between policy and practice.</w:t>
      </w:r>
    </w:p>
    <w:p w14:paraId="0C82512D" w14:textId="77777777" w:rsidR="002C47C6" w:rsidRPr="002C47C6" w:rsidRDefault="002C47C6" w:rsidP="00EE13D3">
      <w:pPr>
        <w:jc w:val="both"/>
        <w:rPr>
          <w:sz w:val="24"/>
          <w:szCs w:val="24"/>
        </w:rPr>
      </w:pPr>
      <w:r w:rsidRPr="002C47C6">
        <w:rPr>
          <w:sz w:val="24"/>
          <w:szCs w:val="24"/>
        </w:rPr>
        <w:t xml:space="preserve">In its </w:t>
      </w:r>
      <w:r w:rsidRPr="002C47C6">
        <w:rPr>
          <w:b/>
          <w:bCs/>
          <w:sz w:val="24"/>
          <w:szCs w:val="24"/>
        </w:rPr>
        <w:t>response to Paragraph (5) of the List of Issues</w:t>
      </w:r>
      <w:r w:rsidRPr="002C47C6">
        <w:rPr>
          <w:sz w:val="24"/>
          <w:szCs w:val="24"/>
        </w:rPr>
        <w:t>, the Egyptian government elaborates on legislative amendments to the National Human Rights Council Law, granting the Council expanded powers such as visiting detention centers and receiving complaints. While these changes align with the Paris Principles and the Mendez Principles, the effectiveness of the Council in executing these new powers remains ambiguous. The response mentions that the Council received a significant number of complaints, including those related to torture, but lacks details on the nature of these complaints or the actions taken, leaving gaps in understanding Egypt's compliance with international standards like Article 7 of the ICCPR and the Convention Against Torture. Moreover, the response notes periodic visits to detention centers by various entities but omits findings from these visits, making it difficult to assess conditions within these facilities and their compliance with international norms.</w:t>
      </w:r>
    </w:p>
    <w:p w14:paraId="1C158A02" w14:textId="4A54FF82" w:rsidR="0092242A" w:rsidRPr="00502921" w:rsidRDefault="002C47C6" w:rsidP="00EE13D3">
      <w:pPr>
        <w:jc w:val="both"/>
        <w:rPr>
          <w:sz w:val="24"/>
          <w:szCs w:val="24"/>
          <w:lang w:val="en-US"/>
        </w:rPr>
      </w:pPr>
      <w:r w:rsidRPr="002C47C6">
        <w:rPr>
          <w:sz w:val="24"/>
          <w:szCs w:val="24"/>
        </w:rPr>
        <w:t xml:space="preserve">Additionally, the response discusses Egypt's stance on international conventions, particularly its position on the Optional Protocol to the Convention Against Torture. While the government emphasizes that joining international conventions is an act of sovereignty, this stance raises questions about Egypt's commitment to international oversight mechanisms designed to </w:t>
      </w:r>
      <w:r w:rsidRPr="002C47C6">
        <w:rPr>
          <w:sz w:val="24"/>
          <w:szCs w:val="24"/>
        </w:rPr>
        <w:lastRenderedPageBreak/>
        <w:t>prevent torture and ill-treatment. The Optional Protocol establishes a system of regular visits to detention centers by independent bodies, and Egypt's non-accession could be seen as a missed opportunity to strengthen its compliance with international standards. Thus, while the Egyptian government has made legislative strides, the lack of specificity in detailing practical implementation and outcomes indicates a considerable gap between policy and practice.</w:t>
      </w:r>
    </w:p>
    <w:p w14:paraId="063F35C2" w14:textId="77777777" w:rsidR="00D44309" w:rsidRPr="00D44309" w:rsidRDefault="00D44309" w:rsidP="00EE13D3">
      <w:pPr>
        <w:jc w:val="both"/>
        <w:rPr>
          <w:sz w:val="24"/>
          <w:szCs w:val="24"/>
        </w:rPr>
      </w:pPr>
      <w:r w:rsidRPr="00D44309">
        <w:rPr>
          <w:sz w:val="24"/>
          <w:szCs w:val="24"/>
        </w:rPr>
        <w:t xml:space="preserve">In its </w:t>
      </w:r>
      <w:r w:rsidRPr="00D44309">
        <w:rPr>
          <w:b/>
          <w:bCs/>
          <w:sz w:val="24"/>
          <w:szCs w:val="24"/>
        </w:rPr>
        <w:t>response to Paragraph (6) of the List of Issues</w:t>
      </w:r>
      <w:r w:rsidRPr="00D44309">
        <w:rPr>
          <w:sz w:val="24"/>
          <w:szCs w:val="24"/>
        </w:rPr>
        <w:t>, the Egyptian government outlines various measures to combat violence against women, including the establishment of a national referral mechanism and special units within universities and hospitals. While these initiatives are commendable steps toward fulfilling obligations under Article 7 of the ICCPR and the Convention Against Torture, the response lacks details on the effectiveness of these mechanisms in ensuring confidentiality, victim safety, and accountability. For instance, the National Women's Council's hotline, which has reportedly served nearly 100,000 women, leaves questions about the adequacy of investigations and outcomes, as it does not elaborate on how these referrals have been handled or their results, which are crucial for compliance with international standards like the Mendez Principles and Article 14 of the ICCPR.</w:t>
      </w:r>
    </w:p>
    <w:p w14:paraId="41FDF532" w14:textId="77777777" w:rsidR="00D44309" w:rsidRPr="00D44309" w:rsidRDefault="00D44309" w:rsidP="00EE13D3">
      <w:pPr>
        <w:jc w:val="both"/>
        <w:rPr>
          <w:sz w:val="24"/>
          <w:szCs w:val="24"/>
        </w:rPr>
      </w:pPr>
      <w:r w:rsidRPr="00D44309">
        <w:rPr>
          <w:sz w:val="24"/>
          <w:szCs w:val="24"/>
        </w:rPr>
        <w:t>Furthermore, the government discusses legal reforms and awareness campaigns aimed at eliminating female genital mutilation (FGM), but does not provide information on the effectiveness of these measures in reducing FGM incidents. The response also touches upon the legal framework for punishing physical harm and states that there is no exemption for aggressors based on their relationship with the victim. However, it does not clarify how these laws are practically implemented, especially in cases of domestic violence. Additionally, while the legal definitions of rape and sexual assault are mentioned, the definition of rape appears limited and does not address the issue of marital rape, leaving gaps in compliance with international human rights standards. The absence of details on medical examinations and psychological support for victims further indicates a lack of comprehensive safeguards and accountability mechanisms.</w:t>
      </w:r>
    </w:p>
    <w:p w14:paraId="4561000E" w14:textId="77777777" w:rsidR="005E183A" w:rsidRPr="005E183A" w:rsidRDefault="005E183A" w:rsidP="00EE13D3">
      <w:pPr>
        <w:jc w:val="both"/>
        <w:rPr>
          <w:sz w:val="24"/>
          <w:szCs w:val="24"/>
        </w:rPr>
      </w:pPr>
      <w:r w:rsidRPr="005E183A">
        <w:rPr>
          <w:sz w:val="24"/>
          <w:szCs w:val="24"/>
        </w:rPr>
        <w:t xml:space="preserve">In its </w:t>
      </w:r>
      <w:r w:rsidRPr="005E183A">
        <w:rPr>
          <w:b/>
          <w:bCs/>
          <w:sz w:val="24"/>
          <w:szCs w:val="24"/>
        </w:rPr>
        <w:t>response to Paragraph (7) of the List of Issues</w:t>
      </w:r>
      <w:r w:rsidRPr="005E183A">
        <w:rPr>
          <w:sz w:val="24"/>
          <w:szCs w:val="24"/>
        </w:rPr>
        <w:t>, the Egyptian government presents a multifaceted approach to combat human trafficking, encompassing statistical data, legislative measures, and institutional frameworks. While the government provides numbers on victims and convictions, it falls short in elaborating on the effectiveness of specialized prosecutions and judicial circuits, leaving questions about the adequacy of victim support and legal consequences for perpetrators. This lack of detail raises concerns about compliance with international human rights standards, including Articles 4 and 7 of the ICCPR and the Convention Against Torture. Moreover, the government outlines a comprehensive policy based on the United Nations' four pillars—prevention, protection, punishment, and international cooperation—but does not discuss the effectiveness of these measures, particularly in ensuring victim protection and rehabilitation.</w:t>
      </w:r>
    </w:p>
    <w:p w14:paraId="21B638A7" w14:textId="3EDB5273" w:rsidR="003529B6" w:rsidRPr="00502921" w:rsidRDefault="005E183A" w:rsidP="00EE13D3">
      <w:pPr>
        <w:jc w:val="both"/>
        <w:rPr>
          <w:sz w:val="24"/>
          <w:szCs w:val="24"/>
        </w:rPr>
      </w:pPr>
      <w:r w:rsidRPr="005E183A">
        <w:rPr>
          <w:sz w:val="24"/>
          <w:szCs w:val="24"/>
        </w:rPr>
        <w:t xml:space="preserve">The government also mentions various initiatives such as mapping prevalent areas for human trafficking, providing financial assistance to victims, and establishing shelters and training programs for law enforcement and judicial personnel. However, the response is notably silent on how these measures have been effective in preventing human trafficking, ensuring victim rehabilitation, or improving law enforcement efforts. For instance, it does not indicate </w:t>
      </w:r>
      <w:r w:rsidRPr="005E183A">
        <w:rPr>
          <w:sz w:val="24"/>
          <w:szCs w:val="24"/>
        </w:rPr>
        <w:lastRenderedPageBreak/>
        <w:t>whether the shelters meet the standards set out in the Istanbul Protocol or whether the training programs align with international human rights standards. This absence of information on the practical effectiveness of these initiatives leaves gaps in understanding Egypt's compliance with international standards, including the Mendez Principles, the Istanbul Protocol, and various articles of the ICCPR.</w:t>
      </w:r>
    </w:p>
    <w:p w14:paraId="6F75BF75" w14:textId="77777777" w:rsidR="00695E0B" w:rsidRPr="00695E0B" w:rsidRDefault="00695E0B" w:rsidP="00EE13D3">
      <w:pPr>
        <w:jc w:val="both"/>
        <w:rPr>
          <w:sz w:val="24"/>
          <w:szCs w:val="24"/>
          <w:lang w:val="en-US"/>
        </w:rPr>
      </w:pPr>
      <w:r w:rsidRPr="00695E0B">
        <w:rPr>
          <w:sz w:val="24"/>
          <w:szCs w:val="24"/>
          <w:lang w:val="en-US"/>
        </w:rPr>
        <w:t xml:space="preserve">In its </w:t>
      </w:r>
      <w:r w:rsidRPr="00695E0B">
        <w:rPr>
          <w:b/>
          <w:bCs/>
          <w:sz w:val="24"/>
          <w:szCs w:val="24"/>
          <w:lang w:val="en-US"/>
        </w:rPr>
        <w:t>response to Paragraph (8) of the List of Issues</w:t>
      </w:r>
      <w:r w:rsidRPr="00695E0B">
        <w:rPr>
          <w:sz w:val="24"/>
          <w:szCs w:val="24"/>
          <w:lang w:val="en-US"/>
        </w:rPr>
        <w:t xml:space="preserve">, the Egyptian government outlines a comprehensive approach to refugees and asylum seekers, discussing constitutional provisions, legislative projects, and judicial rulings. The government proposes a "Permanent Committee for Refugee Affairs" aimed at overseeing all matters related to refugees, including their support and care. While the initiative appears promising, especially in its focus on vulnerable groups, the response lacks details on its practical effectiveness. Specifically, it does not clarify how the committee will ensure effective remedies and reparations for victims, particularly those of human trafficking and torture, as emphasized by the Mendez Principles and Article 14 of the ICCPR. </w:t>
      </w:r>
    </w:p>
    <w:p w14:paraId="71D61587" w14:textId="77777777" w:rsidR="00695E0B" w:rsidRDefault="00695E0B" w:rsidP="00EE13D3">
      <w:pPr>
        <w:jc w:val="both"/>
        <w:rPr>
          <w:sz w:val="24"/>
          <w:szCs w:val="24"/>
          <w:lang w:val="en-US"/>
        </w:rPr>
      </w:pPr>
      <w:r w:rsidRPr="00695E0B">
        <w:rPr>
          <w:sz w:val="24"/>
          <w:szCs w:val="24"/>
          <w:lang w:val="en-US"/>
        </w:rPr>
        <w:t>The government also addresses the principle of non-refoulement and claims that detentions at the border target criminal elements rather than asylum seekers. However, the response falls short in explaining the implementation of these judicial rulings and the procedures for distinguishing between asylum seekers and criminal elements. This leaves questions about the adequacy of legal safeguards and due process, as outlined in Article 9 of the ICCPR. Additionally, while the government's policy of not detaining refugees in camps is commendable, the response is silent on the conditions of their residence and their access to essential services like education and healthcare. This lack of information raises concerns about Egypt's compliance with international human rights standards, including Article 26 of the ICCPR, which ensures equality before the law, and General Comment 36, which elaborates on the right to life.</w:t>
      </w:r>
    </w:p>
    <w:p w14:paraId="48FA42A1" w14:textId="77777777" w:rsidR="004155F4" w:rsidRPr="004155F4" w:rsidRDefault="004155F4" w:rsidP="00EE13D3">
      <w:pPr>
        <w:jc w:val="both"/>
        <w:rPr>
          <w:sz w:val="24"/>
          <w:szCs w:val="24"/>
        </w:rPr>
      </w:pPr>
      <w:r w:rsidRPr="004155F4">
        <w:rPr>
          <w:sz w:val="24"/>
          <w:szCs w:val="24"/>
        </w:rPr>
        <w:t xml:space="preserve">In its </w:t>
      </w:r>
      <w:r w:rsidRPr="004155F4">
        <w:rPr>
          <w:b/>
          <w:bCs/>
          <w:sz w:val="24"/>
          <w:szCs w:val="24"/>
        </w:rPr>
        <w:t>response to Paragraph (10) of the List of Issues</w:t>
      </w:r>
      <w:r w:rsidRPr="004155F4">
        <w:rPr>
          <w:sz w:val="24"/>
          <w:szCs w:val="24"/>
        </w:rPr>
        <w:t>, the Egyptian government outlines its approach to extradition agreements and judicial cooperation, particularly in the context of combating torture. The government emphasizes that torture is included among the crimes subject to extradition and outlines the criteria that the Public Prosecution considers when evaluating such requests. These criteria aim to ensure that extraditions are not politically motivated and that individuals will not be subjected to torture or ill-treatment. However, the response lacks specific details on how these criteria are rigorously applied in practice, leaving questions about the effectiveness of these agreements in preventing torture. For instance, it remains unclear how the Public Prosecution verifies compliance with the principle of non-refoulement, as outlined in Article 3 of the Convention Against Torture and General Comment 20 of the ICCPR.</w:t>
      </w:r>
    </w:p>
    <w:p w14:paraId="43DAF7A0" w14:textId="77777777" w:rsidR="004155F4" w:rsidRPr="004155F4" w:rsidRDefault="004155F4" w:rsidP="00EE13D3">
      <w:pPr>
        <w:jc w:val="both"/>
        <w:rPr>
          <w:sz w:val="24"/>
          <w:szCs w:val="24"/>
        </w:rPr>
      </w:pPr>
      <w:r w:rsidRPr="004155F4">
        <w:rPr>
          <w:sz w:val="24"/>
          <w:szCs w:val="24"/>
        </w:rPr>
        <w:t xml:space="preserve">Furthermore, the government states that no extradition requests related to torture have been received from 2017 to 2023. While this could be interpreted as a positive sign, indicating that Egypt is not viewed as a haven for individuals accused of torture, it also raises questions about the effectiveness of international cooperation in this area. The absence of such requests could either signify alignment with the objectives of the Convention Against Torture (CAT) or indicate gaps in international efforts to combat torture. Moreover, the response does not elaborate on </w:t>
      </w:r>
      <w:r w:rsidRPr="004155F4">
        <w:rPr>
          <w:sz w:val="24"/>
          <w:szCs w:val="24"/>
        </w:rPr>
        <w:lastRenderedPageBreak/>
        <w:t>how the guarantees of a fair trial, as stipulated in Article 14 of the ICCPR, are ensured in the context of potential extraditions for crimes related to torture. This leaves room for questioning Egypt's compliance with international standards, including the Mendez Principles, which emphasize the need for effective remedies for victims of torture.</w:t>
      </w:r>
    </w:p>
    <w:p w14:paraId="300EB1CD" w14:textId="77777777" w:rsidR="00615A15" w:rsidRPr="00615A15" w:rsidRDefault="00615A15" w:rsidP="00EE13D3">
      <w:pPr>
        <w:jc w:val="both"/>
        <w:rPr>
          <w:sz w:val="24"/>
          <w:szCs w:val="24"/>
        </w:rPr>
      </w:pPr>
      <w:r w:rsidRPr="00615A15">
        <w:rPr>
          <w:sz w:val="24"/>
          <w:szCs w:val="24"/>
        </w:rPr>
        <w:t xml:space="preserve">In its </w:t>
      </w:r>
      <w:r w:rsidRPr="00615A15">
        <w:rPr>
          <w:b/>
          <w:bCs/>
          <w:sz w:val="24"/>
          <w:szCs w:val="24"/>
        </w:rPr>
        <w:t>response to Paragraph (11) of the List of Issues</w:t>
      </w:r>
      <w:r w:rsidRPr="00615A15">
        <w:rPr>
          <w:sz w:val="24"/>
          <w:szCs w:val="24"/>
        </w:rPr>
        <w:t>, the Egyptian government presents a multi-faceted approach to human rights education and training, focusing on civil and political rights. The government's "National Strategy for Human Rights," launched in September 2021, aims to enhance these rights within five years and includes campaigns to confront violence and inhumane practices. While the initiative is commendable, it lacks specific details on its alignment with international guidelines like the Mendez Principles and the Istanbul Protocol, which are essential for the effective prevention, investigation, and documentation of torture and ill-treatment. Furthermore, the government does not elaborate on the mechanisms for monitoring the strategy's effectiveness.</w:t>
      </w:r>
    </w:p>
    <w:p w14:paraId="3EC7E502" w14:textId="77777777" w:rsidR="00615A15" w:rsidRPr="00615A15" w:rsidRDefault="00615A15" w:rsidP="00EE13D3">
      <w:pPr>
        <w:jc w:val="both"/>
        <w:rPr>
          <w:sz w:val="24"/>
          <w:szCs w:val="24"/>
        </w:rPr>
      </w:pPr>
      <w:r w:rsidRPr="00615A15">
        <w:rPr>
          <w:sz w:val="24"/>
          <w:szCs w:val="24"/>
        </w:rPr>
        <w:t>The response also discusses the roles of various ministries, including the Ministry of Interior and the Ministry of Defense, in training law enforcement and military personnel. While the involvement of international organizations in these training programs is promising, the government does not provide sufficient details on the curriculum or its alignment with international standards. This is particularly concerning in high-risk areas like border control and military law enforcement, where the risk of human rights abuses is often elevated. Similarly, the Ministry of Justice's efforts in training judges, prosecutors, and forensic doctors are mentioned, but the response lacks specifics on how these programs adhere to international guidelines, such as the Mendez Principles and the Istanbul Protocol. This leaves questions about the effectiveness of these training programs in preventing human rights abuses, including torture and ill-treatment.</w:t>
      </w:r>
    </w:p>
    <w:p w14:paraId="5837FA84" w14:textId="77777777" w:rsidR="00EE13D3" w:rsidRPr="00EE13D3" w:rsidRDefault="00EE13D3" w:rsidP="00EE13D3">
      <w:pPr>
        <w:jc w:val="both"/>
        <w:rPr>
          <w:sz w:val="24"/>
          <w:szCs w:val="24"/>
        </w:rPr>
      </w:pPr>
      <w:r w:rsidRPr="00EE13D3">
        <w:rPr>
          <w:sz w:val="24"/>
          <w:szCs w:val="24"/>
        </w:rPr>
        <w:t xml:space="preserve">In its </w:t>
      </w:r>
      <w:r w:rsidRPr="00EE13D3">
        <w:rPr>
          <w:b/>
          <w:bCs/>
          <w:sz w:val="24"/>
          <w:szCs w:val="24"/>
        </w:rPr>
        <w:t>response to Paragraph (12) of the List of Issues</w:t>
      </w:r>
      <w:r w:rsidRPr="00EE13D3">
        <w:rPr>
          <w:sz w:val="24"/>
          <w:szCs w:val="24"/>
        </w:rPr>
        <w:t>, the Egyptian government outlines a series of legal provisions and ongoing efforts aimed at safeguarding the rights of individuals during interrogations. While the government emphasizes the role of Public Prosecution and the immediate informing of the accused about their detention reasons and rights, the response falls short of aligning these practices with international human rights standards such as the Mendez Principles and the Istanbul Protocol. Furthermore, it lacks clarity on how these rules are practically implemented, including whether medical examinations are conducted post-detention to ensure no torture has occurred.</w:t>
      </w:r>
    </w:p>
    <w:p w14:paraId="76928266" w14:textId="77777777" w:rsidR="00EE13D3" w:rsidRPr="00EE13D3" w:rsidRDefault="00EE13D3" w:rsidP="00EE13D3">
      <w:pPr>
        <w:jc w:val="both"/>
        <w:rPr>
          <w:sz w:val="24"/>
          <w:szCs w:val="24"/>
        </w:rPr>
      </w:pPr>
      <w:r w:rsidRPr="00EE13D3">
        <w:rPr>
          <w:sz w:val="24"/>
          <w:szCs w:val="24"/>
        </w:rPr>
        <w:t>The government also discusses its ongoing efforts to amend the Criminal Procedure Law, aiming to elevate constitutional rights and align with international commitments. However, the response is vague on how these amendments will incorporate international standards, particularly those related to torture prevention. Additionally, while the government outlines the entities authorized to arrest and detain individuals, it does not specify how this hierarchical structure ensures compliance with international standards, especially those prohibiting arbitrary detention. This leaves a gap in understanding the full scope of accountability mechanisms and raises questions about Egypt's commitment to international human rights obligations.</w:t>
      </w:r>
    </w:p>
    <w:p w14:paraId="0A3D88CA" w14:textId="77777777" w:rsidR="008B3311" w:rsidRPr="008B3311" w:rsidRDefault="008B3311" w:rsidP="00EE13D3">
      <w:pPr>
        <w:jc w:val="both"/>
        <w:rPr>
          <w:sz w:val="24"/>
          <w:szCs w:val="24"/>
          <w:lang w:val="en-US"/>
        </w:rPr>
      </w:pPr>
      <w:r w:rsidRPr="008B3311">
        <w:rPr>
          <w:sz w:val="24"/>
          <w:szCs w:val="24"/>
          <w:lang w:val="en-US"/>
        </w:rPr>
        <w:lastRenderedPageBreak/>
        <w:t xml:space="preserve">The Egyptian government's </w:t>
      </w:r>
      <w:r w:rsidRPr="008B3311">
        <w:rPr>
          <w:b/>
          <w:bCs/>
          <w:sz w:val="24"/>
          <w:szCs w:val="24"/>
          <w:lang w:val="en-US"/>
        </w:rPr>
        <w:t>response to Paragraph (13) of the List of Issues</w:t>
      </w:r>
      <w:r w:rsidRPr="008B3311">
        <w:rPr>
          <w:sz w:val="24"/>
          <w:szCs w:val="24"/>
          <w:lang w:val="en-US"/>
        </w:rPr>
        <w:t xml:space="preserve"> outlines its approach to the separation of pre-trial detainees from convicted prisoners, as well as the segregation of minors, men, and women. Article 14 of the Law on Correctional and Rehabilitation Centers is cited as the legal basis for these separations, aligning with Article 10 of the ICCPR. While the response mentions commendable provisions for special medical treatment for mothers and pregnant women, it lacks details on the practical implementation of these measures and their alignment with international standards like Article 7 of the ICCPR and the Convention Against Torture. The absence of information on how these guidelines adhere to the Mendez Principles and the Istanbul Protocol, which offer comprehensive frameworks for the humane treatment of detainees, leaves questions about their effectiveness.</w:t>
      </w:r>
    </w:p>
    <w:p w14:paraId="60F05FF2" w14:textId="77777777" w:rsidR="008B3311" w:rsidRDefault="008B3311" w:rsidP="00EE13D3">
      <w:pPr>
        <w:jc w:val="both"/>
        <w:rPr>
          <w:sz w:val="24"/>
          <w:szCs w:val="24"/>
          <w:lang w:val="en-US"/>
        </w:rPr>
      </w:pPr>
      <w:r w:rsidRPr="008B3311">
        <w:rPr>
          <w:sz w:val="24"/>
          <w:szCs w:val="24"/>
          <w:lang w:val="en-US"/>
        </w:rPr>
        <w:t>The response also discusses alternatives to pre-trial detention, referring to Law No. 49 of 2014, which allows for employment outside prison as an alternative form of sentence. While this is a positive step towards reducing prison overcrowding, the response is vague on how these alternatives align with international human rights standards, such as Article 9 of the ICCPR and General Comment 35, which emphasize the presumption of liberty and the use of non-custodial measures. The law's provision for conditional and medical release is mentioned, but the criteria for these releases are not elaborated upon, leaving gaps in understanding their compliance with international standards like Article 16 of the Convention Against Torture and the Istanbul Protocol, which set the bar for the humane treatment of detainees, including those with medical conditions.</w:t>
      </w:r>
    </w:p>
    <w:p w14:paraId="2CA9828C" w14:textId="77777777" w:rsidR="004412E9" w:rsidRPr="004412E9" w:rsidRDefault="004412E9" w:rsidP="00EE13D3">
      <w:pPr>
        <w:jc w:val="both"/>
        <w:rPr>
          <w:sz w:val="24"/>
          <w:szCs w:val="24"/>
        </w:rPr>
      </w:pPr>
      <w:r w:rsidRPr="004412E9">
        <w:rPr>
          <w:sz w:val="24"/>
          <w:szCs w:val="24"/>
        </w:rPr>
        <w:t xml:space="preserve">The Egyptian government's </w:t>
      </w:r>
      <w:r w:rsidRPr="004412E9">
        <w:rPr>
          <w:b/>
          <w:bCs/>
          <w:sz w:val="24"/>
          <w:szCs w:val="24"/>
        </w:rPr>
        <w:t>response to Paragraph (14) of the List of Issues</w:t>
      </w:r>
      <w:r w:rsidRPr="004412E9">
        <w:rPr>
          <w:sz w:val="24"/>
          <w:szCs w:val="24"/>
        </w:rPr>
        <w:t xml:space="preserve"> outlines a series of measures aimed at modernizing the penal system and improving the conditions for inmates. The Ministry of Interior discusses replacing old prisons with new correctional and rehabilitation centers and establishing a "Community Protection Training Institute." While these are positive steps, the response is notably silent on how these initiatives align with international standards like the Mendez Principles and the Istanbul Protocol, which provide comprehensive guidelines for the humane treatment of detainees. Healthcare, medical, and psychological services are mentioned, but their adequacy is not assessed in light of Article 7 of the ICCPR and the Convention Against Torture, which prohibit torture and cruel, inhuman, or degrading treatment.</w:t>
      </w:r>
    </w:p>
    <w:p w14:paraId="7E0207A7" w14:textId="77777777" w:rsidR="004412E9" w:rsidRPr="004412E9" w:rsidRDefault="004412E9" w:rsidP="00EE13D3">
      <w:pPr>
        <w:jc w:val="both"/>
        <w:rPr>
          <w:sz w:val="24"/>
          <w:szCs w:val="24"/>
        </w:rPr>
      </w:pPr>
      <w:r w:rsidRPr="004412E9">
        <w:rPr>
          <w:sz w:val="24"/>
          <w:szCs w:val="24"/>
        </w:rPr>
        <w:t>The government also highlights its efforts to provide educational and vocational training to inmates, including the establishment of technical schools within correctional centers. While these programs are commendable for their focus on social reintegration, the response lacks clarity on how they comply with international standards, such as Article 14 of the ICCPR, which could extend to the rehabilitation of inmates. The provision of nursery shelters and healthcare for female inmates and their children is discussed, but the response does not elaborate on their compliance with international guidelines like the Mendez Principles and the Istanbul Protocol. Moreover, the issue of solitary confinement is touched upon but lacks specific details on its alignment with international human rights standards, particularly those that consider it a form of torture or cruel, inhuman, or degrading treatment.</w:t>
      </w:r>
    </w:p>
    <w:p w14:paraId="22A22A8B" w14:textId="77777777" w:rsidR="008E14D1" w:rsidRPr="008E14D1" w:rsidRDefault="008E14D1" w:rsidP="00EE13D3">
      <w:pPr>
        <w:jc w:val="both"/>
        <w:rPr>
          <w:sz w:val="24"/>
          <w:szCs w:val="24"/>
        </w:rPr>
      </w:pPr>
      <w:r w:rsidRPr="008E14D1">
        <w:rPr>
          <w:sz w:val="24"/>
          <w:szCs w:val="24"/>
        </w:rPr>
        <w:lastRenderedPageBreak/>
        <w:t xml:space="preserve">The Egyptian government's </w:t>
      </w:r>
      <w:r w:rsidRPr="008E14D1">
        <w:rPr>
          <w:b/>
          <w:bCs/>
          <w:sz w:val="24"/>
          <w:szCs w:val="24"/>
        </w:rPr>
        <w:t>response to Paragraph (15) of the List of Issues</w:t>
      </w:r>
      <w:r w:rsidRPr="008E14D1">
        <w:rPr>
          <w:sz w:val="24"/>
          <w:szCs w:val="24"/>
        </w:rPr>
        <w:t xml:space="preserve"> focuses on the handling of allegations of torture, mistreatment, or medical neglect during detention, as well as efforts to minimize violence among prisoners. While the government asserts that it takes allegations seriously and initiates prompt investigations, the response is notably lacking in details about the methodology and transparency of these probes. The absence of references to international guidelines like the Mendez Principles and the Istanbul Protocol, which provide a framework for impartial, thorough, and effective investigations, raises questions about the adequacy and impartiality of the government's efforts. Moreover, the claim that allegations received from UN mechanisms were found to be untrue further intensifies concerns about the thoroughness and impartiality of these investigations, especially in light of obligations under Article 7 of the ICCPR and the Convention Against Torture.</w:t>
      </w:r>
    </w:p>
    <w:p w14:paraId="6712E4B3" w14:textId="77777777" w:rsidR="008E14D1" w:rsidRDefault="008E14D1" w:rsidP="00EE13D3">
      <w:pPr>
        <w:jc w:val="both"/>
        <w:rPr>
          <w:sz w:val="24"/>
          <w:szCs w:val="24"/>
        </w:rPr>
      </w:pPr>
      <w:r w:rsidRPr="008E14D1">
        <w:rPr>
          <w:sz w:val="24"/>
          <w:szCs w:val="24"/>
        </w:rPr>
        <w:t>In discussing measures to minimize violence among prisoners, the government outlines various supervisory frameworks but does not explicitly align these with international human rights standards. While the role of the Public Prosecution in oversight is highlighted, the absence of international guidelines in the government's response leaves questions about the adequacy and accuracy of the claimed implementation and compliance. Additionally, the government outlines procedures for investigating deaths in detention centers but does not provide data on the number of such investigations or their outcomes. This lack of information makes it difficult to assess the effectiveness of these procedures and their compliance with international standards, including Articles 9 and 14 of the ICCPR, which relate to the right to liberty and a fair trial.</w:t>
      </w:r>
    </w:p>
    <w:p w14:paraId="2CD97729" w14:textId="77777777" w:rsidR="00D24564" w:rsidRPr="00D24564" w:rsidRDefault="00D24564" w:rsidP="00EE13D3">
      <w:pPr>
        <w:jc w:val="both"/>
        <w:rPr>
          <w:sz w:val="24"/>
          <w:szCs w:val="24"/>
        </w:rPr>
      </w:pPr>
      <w:r w:rsidRPr="00D24564">
        <w:rPr>
          <w:sz w:val="24"/>
          <w:szCs w:val="24"/>
        </w:rPr>
        <w:t xml:space="preserve">The Egyptian government's </w:t>
      </w:r>
      <w:r w:rsidRPr="00D24564">
        <w:rPr>
          <w:b/>
          <w:bCs/>
          <w:sz w:val="24"/>
          <w:szCs w:val="24"/>
        </w:rPr>
        <w:t>response to Paragraph (17) of the List of Issues</w:t>
      </w:r>
      <w:r w:rsidRPr="00D24564">
        <w:rPr>
          <w:sz w:val="24"/>
          <w:szCs w:val="24"/>
        </w:rPr>
        <w:t xml:space="preserve"> outlines the internal and external oversight mechanisms for investigating complaints against law enforcement officers and prison staff. The government highlights the role of the Ministry of Interior's Inspection and Control Sector and the establishment of specialized human rights units in police departments. While these steps appear positive, the response lacks details on how these units comply with international standards, such as the Istanbul Protocol and the Mendez Principles, which call for effective, independent, and impartial investigations. The government also mentions that military entities have their own Human Rights Department for investigations, but this raises concerns about the independence and impartiality of such probes, especially in the context of international obligations under the Convention Against Torture and the ICCPR.</w:t>
      </w:r>
    </w:p>
    <w:p w14:paraId="2DBD310B" w14:textId="77777777" w:rsidR="00D24564" w:rsidRPr="00D24564" w:rsidRDefault="00D24564" w:rsidP="00EE13D3">
      <w:pPr>
        <w:jc w:val="both"/>
        <w:rPr>
          <w:sz w:val="24"/>
          <w:szCs w:val="24"/>
        </w:rPr>
      </w:pPr>
      <w:r w:rsidRPr="00D24564">
        <w:rPr>
          <w:sz w:val="24"/>
          <w:szCs w:val="24"/>
        </w:rPr>
        <w:t xml:space="preserve">The Public Prosecution's role in initiating investigations into allegations of torture and mistreatment is also discussed. While the ability of the Public Prosecution to initiate investigations without a victim's complaint is commendable, the response is silent on how these investigations align with international guidelines. Similarly, the Administrative Prosecution's role in investigating less severe forms of mistreatment is mentioned, but the response does not clarify how its investigations meet international human rights standards. The absence of details on the relationship between the Administrative Prosecution and the Public Prosecution leaves a gap in understanding the full scope of accountability mechanisms. Moreover, the mention of 60 cases investigated from 2015 to 2020 provides a numerical figure but lacks qualitative insights into the effectiveness and outcomes of these investigations, </w:t>
      </w:r>
      <w:r w:rsidRPr="00D24564">
        <w:rPr>
          <w:sz w:val="24"/>
          <w:szCs w:val="24"/>
        </w:rPr>
        <w:lastRenderedPageBreak/>
        <w:t>which is crucial when considering international guidelines for the effective investigation of torture and ill-treatment.</w:t>
      </w:r>
    </w:p>
    <w:p w14:paraId="03B61C93" w14:textId="77777777" w:rsidR="00DD3F58" w:rsidRPr="00DD3F58" w:rsidRDefault="00DD3F58" w:rsidP="00EE13D3">
      <w:pPr>
        <w:jc w:val="both"/>
        <w:rPr>
          <w:sz w:val="24"/>
          <w:szCs w:val="24"/>
        </w:rPr>
      </w:pPr>
      <w:r w:rsidRPr="00DD3F58">
        <w:rPr>
          <w:sz w:val="24"/>
          <w:szCs w:val="24"/>
        </w:rPr>
        <w:t xml:space="preserve">The Egyptian government's </w:t>
      </w:r>
      <w:r w:rsidRPr="00DD3F58">
        <w:rPr>
          <w:b/>
          <w:bCs/>
          <w:sz w:val="24"/>
          <w:szCs w:val="24"/>
        </w:rPr>
        <w:t>response to Paragraph (19) of the List of Issues</w:t>
      </w:r>
      <w:r w:rsidRPr="00DD3F58">
        <w:rPr>
          <w:sz w:val="24"/>
          <w:szCs w:val="24"/>
        </w:rPr>
        <w:t xml:space="preserve"> introduces a unified electronic petitions system managed by the Public Prosecution, designed to streamline the submission of complaints, including those related to torture or harsh treatment. While the system's establishment is a positive step toward accessibility, the government's response lacks crucial details on how it aligns with international standards like the Mendez Principles and the Istanbul Protocol. Specifically, there is no information on how the system ensures the confidentiality and safety of complainants, a critical aspect given the sensitive nature of torture allegations. This omission is particularly relevant when considering international obligations under Article 13 of the Convention Against Torture and General Comment 20 of the ICCPR, which mandate the right to have complaints promptly and impartially examined.</w:t>
      </w:r>
    </w:p>
    <w:p w14:paraId="7C72F6C2" w14:textId="77777777" w:rsidR="00DD3F58" w:rsidRPr="00DD3F58" w:rsidRDefault="00DD3F58" w:rsidP="00EE13D3">
      <w:pPr>
        <w:jc w:val="both"/>
        <w:rPr>
          <w:sz w:val="24"/>
          <w:szCs w:val="24"/>
        </w:rPr>
      </w:pPr>
      <w:r w:rsidRPr="00DD3F58">
        <w:rPr>
          <w:sz w:val="24"/>
          <w:szCs w:val="24"/>
        </w:rPr>
        <w:t>The response also highlights the role of the Technical Office of the Attorney General as a specialized unit for handling cases of torture and harsh treatment. While centralizing these cases may offer expertise, the government does not clarify how this office maintains impartiality and independence, especially when allegations involve public employees or law enforcement officers. This raises concerns under Article 2 of the Convention Against Torture and Articles 7 and 9 of the ICCPR, which call for effective preventative measures and the right to a fair trial. Furthermore, the response is notably silent on the outcomes of the complaints received, leaving questions about the system's effectiveness. It also fails to address how the system protects complainants from potential reprisals, a significant omission given that the Convention Against Torture requires states to protect complainants against ill-treatment or intimidation.</w:t>
      </w:r>
    </w:p>
    <w:p w14:paraId="13BD47C7" w14:textId="77777777" w:rsidR="00766282" w:rsidRPr="00766282" w:rsidRDefault="00766282" w:rsidP="00EE13D3">
      <w:pPr>
        <w:jc w:val="both"/>
        <w:rPr>
          <w:sz w:val="24"/>
          <w:szCs w:val="24"/>
        </w:rPr>
      </w:pPr>
      <w:r w:rsidRPr="00766282">
        <w:rPr>
          <w:sz w:val="24"/>
          <w:szCs w:val="24"/>
        </w:rPr>
        <w:t xml:space="preserve">The Egyptian government's </w:t>
      </w:r>
      <w:r w:rsidRPr="00766282">
        <w:rPr>
          <w:b/>
          <w:bCs/>
          <w:sz w:val="24"/>
          <w:szCs w:val="24"/>
        </w:rPr>
        <w:t>response to Paragraph (20) of the List of Issues</w:t>
      </w:r>
      <w:r w:rsidRPr="00766282">
        <w:rPr>
          <w:sz w:val="24"/>
          <w:szCs w:val="24"/>
        </w:rPr>
        <w:t xml:space="preserve"> covers three critical areas: the independence of judges in the Public Prosecution, the role of military courts, and the jurisdiction of the Supreme State Security Emergency Courts. While the government outlines legal and practical guarantees for the independence and impartiality of judges, it falls short of detailing how these measures align with international standards, such as Articles 14 and 26 of the ICCPR and the Mendez Principles. This lack of specificity is particularly concerning in cases involving allegations of torture or mistreatment, which are governed by Article 7 of the ICCPR and the Convention Against Torture. The response also refers to another document for details on military courts but omits crucial information that could address concerns about their impartiality and independence, especially in cases involving human rights abuses.</w:t>
      </w:r>
    </w:p>
    <w:p w14:paraId="5F7753B0" w14:textId="77777777" w:rsidR="00766282" w:rsidRPr="00766282" w:rsidRDefault="00766282" w:rsidP="00EE13D3">
      <w:pPr>
        <w:jc w:val="both"/>
        <w:rPr>
          <w:sz w:val="24"/>
          <w:szCs w:val="24"/>
        </w:rPr>
      </w:pPr>
      <w:r w:rsidRPr="00766282">
        <w:rPr>
          <w:sz w:val="24"/>
          <w:szCs w:val="24"/>
        </w:rPr>
        <w:t xml:space="preserve">Regarding the Supreme State Security Emergency Courts, the government claims that these courts adhere to all guarantees of a fair criminal trial but does not elaborate on their compliance with international standards, particularly during states of emergency. This is a significant concern given that Articles 4 and 9 of the ICCPR and General Comment 35 stress that certain fundamental rights, including the right to a fair trial, cannot be derogated even in emergency situations. Although the government provides statistics on the number of cases adjudicated and the acquittal rate, these figures alone do not alleviate concerns about the full application of fair trial guarantees, especially when these courts operate under an Emergency </w:t>
      </w:r>
      <w:r w:rsidRPr="00766282">
        <w:rPr>
          <w:sz w:val="24"/>
          <w:szCs w:val="24"/>
        </w:rPr>
        <w:lastRenderedPageBreak/>
        <w:t>Law. The existence of such special courts raises questions about the potential compromise of the rights of the accused, a matter that is underscored by both the Mendez Principles and Articles 9 and 14 of the ICCPR.</w:t>
      </w:r>
    </w:p>
    <w:p w14:paraId="63E0A07E" w14:textId="77777777" w:rsidR="001B10E7" w:rsidRPr="001B10E7" w:rsidRDefault="001B10E7" w:rsidP="00EE13D3">
      <w:pPr>
        <w:jc w:val="both"/>
        <w:rPr>
          <w:sz w:val="24"/>
          <w:szCs w:val="24"/>
        </w:rPr>
      </w:pPr>
      <w:r w:rsidRPr="001B10E7">
        <w:rPr>
          <w:sz w:val="24"/>
          <w:szCs w:val="24"/>
        </w:rPr>
        <w:t xml:space="preserve">The Egyptian government's </w:t>
      </w:r>
      <w:r w:rsidRPr="001B10E7">
        <w:rPr>
          <w:b/>
          <w:bCs/>
          <w:sz w:val="24"/>
          <w:szCs w:val="24"/>
        </w:rPr>
        <w:t>response to Paragraph (21) of the List of Issues</w:t>
      </w:r>
      <w:r w:rsidRPr="001B10E7">
        <w:rPr>
          <w:sz w:val="24"/>
          <w:szCs w:val="24"/>
        </w:rPr>
        <w:t xml:space="preserve"> centers on the legal framework for the use of force by law enforcement and their human rights training. While the government outlines a graduated approach to force, starting with verbal warnings and escalating to lethal force in extreme cases, it leaves several questions unanswered. The response does not clarify how this framework aligns with international human rights standards, such as the Mendez Principles and Articles 6, 9, and 14 of the ICCPR, which emphasize the right to life, liberty, and a fair trial. Particularly concerning is the lack of detail on how "risk to public security" is defined, who makes this determination, and what mechanisms exist for accountability in cases of excessive force. This vagueness could potentially allow for arbitrary or excessive use of force, undermining the principles of legality, legitimacy, necessity, and proportionality.</w:t>
      </w:r>
    </w:p>
    <w:p w14:paraId="3B79FBAF" w14:textId="77777777" w:rsidR="001B10E7" w:rsidRPr="001B10E7" w:rsidRDefault="001B10E7" w:rsidP="00EE13D3">
      <w:pPr>
        <w:jc w:val="both"/>
        <w:rPr>
          <w:sz w:val="24"/>
          <w:szCs w:val="24"/>
        </w:rPr>
      </w:pPr>
      <w:r w:rsidRPr="001B10E7">
        <w:rPr>
          <w:sz w:val="24"/>
          <w:szCs w:val="24"/>
        </w:rPr>
        <w:t>On the topic of training and awareness programs, the Ministry of Interior claims to disseminate human rights-related circulars and to organize seminars. However, the response lacks specificity on how these programs incorporate international human rights standards, such as those outlined in the Mendez Principles and Articles 7 and 9 of the ICCPR. While the government's initiatives appear promising, they fall short of providing evidence of their effectiveness. There is no mention of mechanisms to evaluate the impact of this training on law enforcement behavior, nor are there any statistics or case studies to substantiate the claims. This absence of evaluative data makes it challenging to fully assess the adequacy and accuracy of the government's initiatives in aligning law enforcement practices with international human rights standards.</w:t>
      </w:r>
    </w:p>
    <w:p w14:paraId="2B0806B8" w14:textId="77777777" w:rsidR="00C634F0" w:rsidRPr="00C634F0" w:rsidRDefault="00C634F0" w:rsidP="00EE13D3">
      <w:pPr>
        <w:jc w:val="both"/>
        <w:rPr>
          <w:sz w:val="24"/>
          <w:szCs w:val="24"/>
        </w:rPr>
      </w:pPr>
      <w:r w:rsidRPr="00C634F0">
        <w:rPr>
          <w:sz w:val="24"/>
          <w:szCs w:val="24"/>
        </w:rPr>
        <w:t xml:space="preserve">In addressing </w:t>
      </w:r>
      <w:r w:rsidRPr="00C634F0">
        <w:rPr>
          <w:b/>
          <w:bCs/>
          <w:sz w:val="24"/>
          <w:szCs w:val="24"/>
        </w:rPr>
        <w:t>Paragraph (22) of the List of Issues</w:t>
      </w:r>
      <w:r w:rsidRPr="00C634F0">
        <w:rPr>
          <w:sz w:val="24"/>
          <w:szCs w:val="24"/>
        </w:rPr>
        <w:t>, the Egyptian government covers multiple facets, including the legal framework for counter-terrorism, the situation in North Sinai, and redress for victims of terrorism. The government asserts that its counter-terrorism measures adhere to domestic and international laws, but the response lacks concrete evidence or examples to substantiate this claim. Particularly, it does not clarify how these measures align with international human rights standards, such as the Mendez Principles and various articles of the ICCPR, which emphasize due process, the right to a fair trial, and the prohibition of torture. The government's characterization of the North Sinai situation as counter-terrorism activities rather than an "armed conflict" is significant, as it dictates the legal framework under which operations are conducted. However, the response is vague on how this framework is practically implemented and overseen, leaving questions about its compliance with international standards, including principles of legality, legitimacy, proportionality, and necessity.</w:t>
      </w:r>
    </w:p>
    <w:p w14:paraId="6DF683D4" w14:textId="77777777" w:rsidR="00C634F0" w:rsidRPr="00C634F0" w:rsidRDefault="00C634F0" w:rsidP="00EE13D3">
      <w:pPr>
        <w:jc w:val="both"/>
        <w:rPr>
          <w:sz w:val="24"/>
          <w:szCs w:val="24"/>
        </w:rPr>
      </w:pPr>
      <w:r w:rsidRPr="00C634F0">
        <w:rPr>
          <w:sz w:val="24"/>
          <w:szCs w:val="24"/>
        </w:rPr>
        <w:t xml:space="preserve">Regarding the legislative system governing counter-terrorism, the government refers to several laws but does not elaborate on their practical implementation or alignment with international standards. This lack of detail raises questions about the adequacy and accuracy of the government's claims, especially when considering guidelines provided by the Mendez Principles and relevant General Comments of the ICCPR and CAT. On a positive note, the </w:t>
      </w:r>
      <w:r w:rsidRPr="00C634F0">
        <w:rPr>
          <w:sz w:val="24"/>
          <w:szCs w:val="24"/>
        </w:rPr>
        <w:lastRenderedPageBreak/>
        <w:t>government's approach to redress for victims of terrorism is comprehensive, covering legal, medical, psychological, and social support. A fund has been established for this purpose, but the response falls short of detailing how this fund is operationalized or evaluated for effectiveness, leaving room for further scrutiny.</w:t>
      </w:r>
    </w:p>
    <w:p w14:paraId="6ACE33E9" w14:textId="77777777" w:rsidR="00017242" w:rsidRPr="00017242" w:rsidRDefault="00017242" w:rsidP="00EE13D3">
      <w:pPr>
        <w:jc w:val="both"/>
        <w:rPr>
          <w:sz w:val="24"/>
          <w:szCs w:val="24"/>
        </w:rPr>
      </w:pPr>
      <w:r w:rsidRPr="00017242">
        <w:rPr>
          <w:sz w:val="24"/>
          <w:szCs w:val="24"/>
        </w:rPr>
        <w:t xml:space="preserve">In </w:t>
      </w:r>
      <w:r w:rsidRPr="00017242">
        <w:rPr>
          <w:b/>
          <w:bCs/>
          <w:sz w:val="24"/>
          <w:szCs w:val="24"/>
        </w:rPr>
        <w:t>response to Paragraph (23) of the List of Issues</w:t>
      </w:r>
      <w:r w:rsidRPr="00017242">
        <w:rPr>
          <w:sz w:val="24"/>
          <w:szCs w:val="24"/>
        </w:rPr>
        <w:t>, the Egyptian government outlines the legal avenues for victims to seek compensation, the process for determining the value of such compensation, and Egypt's contributions to the United Nations Voluntary Fund for Victims of Torture. The government specifies three scenarios where victims can file for compensation, but the response lacks detail on how accessible these avenues are, especially for marginalized or detained individuals. It also falls short of explaining whether independent complaint and investigation procedures exist, as emphasized by the Mendez Principles. The value of compensation is left to judicial discretion, raising concerns about potential arbitrariness and inconsistency. The response mentions that victims are referred to the Forensic Medicine Department for a detailed report but does not clarify how this aligns with the Istanbul Protocol's guidelines on effective investigation and documentation of torture.</w:t>
      </w:r>
    </w:p>
    <w:p w14:paraId="03AA730D" w14:textId="77777777" w:rsidR="00017242" w:rsidRPr="00017242" w:rsidRDefault="00017242" w:rsidP="00EE13D3">
      <w:pPr>
        <w:jc w:val="both"/>
        <w:rPr>
          <w:sz w:val="24"/>
          <w:szCs w:val="24"/>
        </w:rPr>
      </w:pPr>
      <w:r w:rsidRPr="00017242">
        <w:rPr>
          <w:sz w:val="24"/>
          <w:szCs w:val="24"/>
        </w:rPr>
        <w:t>While the government's contributions to the United Nations Voluntary Fund are commendable, they do not directly address the domestic mechanisms for victim compensation and support. The focus on international contributions risks overshadowing the need for robust national mechanisms to ensure effective redress and rehabilitation for victims, as mandated by Article 14 of the ICCPR and the Convention Against Torture. The government's response, therefore, leaves several questions unanswered, particularly concerning the accessibility and fairness of the compensation system and its alignment with international human rights standards.</w:t>
      </w:r>
    </w:p>
    <w:p w14:paraId="5E478948" w14:textId="77777777" w:rsidR="001F1D7C" w:rsidRPr="001F1D7C" w:rsidRDefault="001F1D7C" w:rsidP="00EE13D3">
      <w:pPr>
        <w:jc w:val="both"/>
        <w:rPr>
          <w:sz w:val="24"/>
          <w:szCs w:val="24"/>
        </w:rPr>
      </w:pPr>
      <w:r w:rsidRPr="001F1D7C">
        <w:rPr>
          <w:sz w:val="24"/>
          <w:szCs w:val="24"/>
        </w:rPr>
        <w:t xml:space="preserve">In addressing </w:t>
      </w:r>
      <w:r w:rsidRPr="00C37656">
        <w:rPr>
          <w:b/>
          <w:bCs/>
          <w:sz w:val="24"/>
          <w:szCs w:val="24"/>
        </w:rPr>
        <w:t>Paragraph (24) of the List of Issues</w:t>
      </w:r>
      <w:r w:rsidRPr="001F1D7C">
        <w:rPr>
          <w:sz w:val="24"/>
          <w:szCs w:val="24"/>
        </w:rPr>
        <w:t>, the Egyptian government outlines its constitutional and legal framework that explicitly prohibits torture and ill-treatment. While this is a commendable step, the government's response lacks specificity on how these laws are implemented and enforced in practice. It also falls short of detailing how international standards, such as the Mendez Principles and Articles 7, 9, and 14 of the ICCPR, are incorporated into domestic law. Particularly, the response omits information on effective mechanisms for accountability and redress, which are essential for upholding human rights. On the judicial front, the government states that evidence obtained through coercion is not admissible in court, a practice that aligns well with international standards. However, the response does not elaborate on safeguards to ensure the accused's right to remain silent, especially in situations where they might be subjected to coercion or intimidation.</w:t>
      </w:r>
    </w:p>
    <w:p w14:paraId="2C8514C0" w14:textId="77777777" w:rsidR="00C37656" w:rsidRDefault="001F1D7C" w:rsidP="00EE13D3">
      <w:pPr>
        <w:jc w:val="both"/>
        <w:rPr>
          <w:sz w:val="24"/>
          <w:szCs w:val="24"/>
        </w:rPr>
      </w:pPr>
      <w:r w:rsidRPr="001F1D7C">
        <w:rPr>
          <w:sz w:val="24"/>
          <w:szCs w:val="24"/>
        </w:rPr>
        <w:t>The Court of Cassation's jurisprudence is cited to affirm that an accused person's silence cannot be used against them, aligning with Article 14 of the ICCPR. Yet, the government does not provide information on whether detainees are promptly informed of their right to remain silent, a crucial aspect for the effective exercise of this right. Overall, while the government's stance on discarding coerced evidence and upholding the accused's right to silence is in line with international standards, the response leaves gaps in explaining how these practices are consistently implemented and how they align with international human rights guidelines.</w:t>
      </w:r>
    </w:p>
    <w:p w14:paraId="60D2E7FA" w14:textId="77777777" w:rsidR="003E3961" w:rsidRPr="003E3961" w:rsidRDefault="003E3961" w:rsidP="00EE13D3">
      <w:pPr>
        <w:jc w:val="both"/>
        <w:rPr>
          <w:sz w:val="24"/>
          <w:szCs w:val="24"/>
        </w:rPr>
      </w:pPr>
      <w:r w:rsidRPr="003E3961">
        <w:rPr>
          <w:sz w:val="24"/>
          <w:szCs w:val="24"/>
        </w:rPr>
        <w:lastRenderedPageBreak/>
        <w:t xml:space="preserve">In addressing </w:t>
      </w:r>
      <w:r w:rsidRPr="003E3961">
        <w:rPr>
          <w:b/>
          <w:bCs/>
          <w:sz w:val="24"/>
          <w:szCs w:val="24"/>
        </w:rPr>
        <w:t>Paragraph (25) of the List of Issues</w:t>
      </w:r>
      <w:r w:rsidRPr="003E3961">
        <w:rPr>
          <w:sz w:val="24"/>
          <w:szCs w:val="24"/>
        </w:rPr>
        <w:t>, the Egyptian government contends that the death penalty is permissible for the most serious crimes and is in line with the International Covenant on Civil and Political Rights (ICCPR). While the government outlines legal safeguards, such as the requirement for a unanimous decision by judges and prohibitions against executing minors and pregnant women, it falls short of detailing how these measures align with international standards like the Mendez Principles and Article 14 of the ICCPR, which emphasize due process and fair trial guarantees. The government also acknowledges the influence of cultural and societal factors on the application of the death penalty but does not engage with international calls for its abolition, as reflected in various General Comments of the ICCPR and the Convention Against Torture (CAT).</w:t>
      </w:r>
    </w:p>
    <w:p w14:paraId="2A71804B" w14:textId="77777777" w:rsidR="003E3961" w:rsidRDefault="003E3961" w:rsidP="00EE13D3">
      <w:pPr>
        <w:jc w:val="both"/>
        <w:rPr>
          <w:sz w:val="24"/>
          <w:szCs w:val="24"/>
        </w:rPr>
      </w:pPr>
      <w:r w:rsidRPr="003E3961">
        <w:rPr>
          <w:sz w:val="24"/>
          <w:szCs w:val="24"/>
        </w:rPr>
        <w:t>Furthermore, the government's response mentions efforts to review legislations and laws as part of a national strategy for human rights but lacks specificity on how this process will align with international standards, particularly those related to the death penalty. While the government asserts that the death penalty is subject to various legal safeguards, it does not elaborate on how these safeguards are implemented in practice or how they comply with international guidelines, such as those outlined in the Istanbul Protocol and various General Comments of the ICCPR and CAT. This leaves room for questioning the adequacy and comprehensiveness of the government's approach to this contentious issue.</w:t>
      </w:r>
    </w:p>
    <w:p w14:paraId="07CB6423" w14:textId="77777777" w:rsidR="00CA5ACE" w:rsidRPr="00CA5ACE" w:rsidRDefault="00CA5ACE" w:rsidP="00EE13D3">
      <w:pPr>
        <w:jc w:val="both"/>
        <w:rPr>
          <w:sz w:val="24"/>
          <w:szCs w:val="24"/>
        </w:rPr>
      </w:pPr>
      <w:r w:rsidRPr="00CA5ACE">
        <w:rPr>
          <w:sz w:val="24"/>
          <w:szCs w:val="24"/>
        </w:rPr>
        <w:t xml:space="preserve">In response to </w:t>
      </w:r>
      <w:r w:rsidRPr="00CA5ACE">
        <w:rPr>
          <w:b/>
          <w:bCs/>
          <w:sz w:val="24"/>
          <w:szCs w:val="24"/>
        </w:rPr>
        <w:t>Paragraph (26) of the List of Issues</w:t>
      </w:r>
      <w:r w:rsidRPr="00CA5ACE">
        <w:rPr>
          <w:sz w:val="24"/>
          <w:szCs w:val="24"/>
        </w:rPr>
        <w:t>, the Egyptian government addresses freedom of the press and expression, defamation and publication crimes, and the role of the Public Prosecution. While the government asserts that it upholds freedom of thought and expression as guaranteed by the Egyptian Constitution and Law No. 180 of 2018, it does not offer specific information on the practical implementation of these laws. This omission is significant, especially in light of international standards such as Articles 18 and 19 of the ICCPR, which emphasize the need for laws to be applied in a manner consistent with human rights. The government also claims that it does not target individuals like journalists or human rights defenders for criticism but fails to elaborate on how defamation and publication laws are applied in a manner that does not stifle dissent, an issue that needs to be verified against independent reports and international guidelines like the Mendez Principles and the Istanbul Protocol.</w:t>
      </w:r>
    </w:p>
    <w:p w14:paraId="20CD43B8" w14:textId="77777777" w:rsidR="00CA5ACE" w:rsidRDefault="00CA5ACE" w:rsidP="00EE13D3">
      <w:pPr>
        <w:jc w:val="both"/>
        <w:rPr>
          <w:sz w:val="24"/>
          <w:szCs w:val="24"/>
        </w:rPr>
      </w:pPr>
      <w:r w:rsidRPr="00CA5ACE">
        <w:rPr>
          <w:sz w:val="24"/>
          <w:szCs w:val="24"/>
        </w:rPr>
        <w:t>Regarding the role of the Public Prosecution, the government describes it as an independent judicial body, a characterization that raises questions about Egypt's understanding of international standards. This is particularly relevant in the MENA region, where the role of the prosecution is often conflated with judicial powers. The government's claim that the Public Prosecution ensures the presence of an accused's lawyer during investigations is positive but lacks details on its practical implementation. This is especially important in the context of the Istanbul Protocol, which provides guidelines for effective investigation and documentation of torture and other forms of cruel, inhuman, or degrading treatment. Overall, the government's response leaves several questions unanswered, particularly concerning the practical application of laws and adherence to international human rights standards.</w:t>
      </w:r>
    </w:p>
    <w:p w14:paraId="306FFCC0" w14:textId="77777777" w:rsidR="0013124F" w:rsidRPr="0013124F" w:rsidRDefault="0013124F" w:rsidP="00EE13D3">
      <w:pPr>
        <w:jc w:val="both"/>
        <w:rPr>
          <w:sz w:val="24"/>
          <w:szCs w:val="24"/>
        </w:rPr>
      </w:pPr>
      <w:r w:rsidRPr="0013124F">
        <w:rPr>
          <w:sz w:val="24"/>
          <w:szCs w:val="24"/>
        </w:rPr>
        <w:t xml:space="preserve">In addressing </w:t>
      </w:r>
      <w:r w:rsidRPr="0013124F">
        <w:rPr>
          <w:b/>
          <w:bCs/>
          <w:sz w:val="24"/>
          <w:szCs w:val="24"/>
        </w:rPr>
        <w:t>Paragraph (27) of the List of Issues</w:t>
      </w:r>
      <w:r w:rsidRPr="0013124F">
        <w:rPr>
          <w:sz w:val="24"/>
          <w:szCs w:val="24"/>
        </w:rPr>
        <w:t xml:space="preserve">, the Egyptian government focuses on the prohibition of physical violence and corporal punishment, the protection of children, and </w:t>
      </w:r>
      <w:r w:rsidRPr="0013124F">
        <w:rPr>
          <w:sz w:val="24"/>
          <w:szCs w:val="24"/>
        </w:rPr>
        <w:lastRenderedPageBreak/>
        <w:t>disciplinary actions against public employees like schoolteachers. While the government asserts that its Constitution and Penal Code align with international standards, such as Article 7 of the ICCPR, it falls short of providing specific information on the practical application of these laws. This is particularly concerning given the emphasis that international standards, including the Mendez Principles and various General Comments of the ICCPR and CAT, place on effective implementation. The government also highlights the Child Law and actions taken against schoolteachers but does not elaborate on how these measures are consistent with international guidelines or serve as effective deterrents against future violations.</w:t>
      </w:r>
    </w:p>
    <w:p w14:paraId="53402B5D" w14:textId="77777777" w:rsidR="0013124F" w:rsidRPr="0013124F" w:rsidRDefault="0013124F" w:rsidP="00EE13D3">
      <w:pPr>
        <w:jc w:val="both"/>
        <w:rPr>
          <w:sz w:val="24"/>
          <w:szCs w:val="24"/>
        </w:rPr>
      </w:pPr>
      <w:r w:rsidRPr="0013124F">
        <w:rPr>
          <w:sz w:val="24"/>
          <w:szCs w:val="24"/>
        </w:rPr>
        <w:t>The role of the Administrative Prosecution in investigating cases of cruelty by public employees adds another layer to the government's response. While the government cites specific disciplinary actions, such as forced retirements and salary deductions, these measures raise questions about their adequacy and consistency. The varying degrees of punishment could indicate inconsistencies in handling such cases, undermining the effectiveness of these disciplinary actions. This is especially relevant when considering international standards like the Mendez Principles and the Istanbul Protocol, which call for effective complaint and investigation procedures and appropriate penalties for perpetrators. Overall, the government's response leaves several gaps, particularly in terms of the practical application of laws and the alignment with international human rights standards.</w:t>
      </w:r>
    </w:p>
    <w:p w14:paraId="5274DAA0" w14:textId="77777777" w:rsidR="00347B56" w:rsidRPr="00347B56" w:rsidRDefault="00347B56" w:rsidP="00EE13D3">
      <w:pPr>
        <w:jc w:val="both"/>
        <w:rPr>
          <w:sz w:val="24"/>
          <w:szCs w:val="24"/>
        </w:rPr>
      </w:pPr>
      <w:r w:rsidRPr="00347B56">
        <w:rPr>
          <w:sz w:val="24"/>
          <w:szCs w:val="24"/>
        </w:rPr>
        <w:t xml:space="preserve">In response to </w:t>
      </w:r>
      <w:r w:rsidRPr="00347B56">
        <w:rPr>
          <w:b/>
          <w:bCs/>
          <w:sz w:val="24"/>
          <w:szCs w:val="24"/>
        </w:rPr>
        <w:t>Paragraph (28) of the List</w:t>
      </w:r>
      <w:r w:rsidRPr="00347B56">
        <w:rPr>
          <w:sz w:val="24"/>
          <w:szCs w:val="24"/>
        </w:rPr>
        <w:t xml:space="preserve"> of Issues, the Egyptian government discusses its Anti-Prostitution Law and the contentious issue of "virginity tests." The government emphasizes that its legislative framework does not criminalize homosexuality or private sexual relations between consenting adults, focusing instead on prostitution and human trafficking. While the law may align with international conventions, the government's response is notably lacking in details about its practical application, especially concerning marginalized communities. This absence of information is significant, as effective implementation is crucial for the law to be more than just words on paper. The government's approach should be consistent with international human rights standards, including Articles 4, 6, 7, and 9 of the ICCPR, as well as the Istanbul Protocol, which outlines guidelines for investigating and documenting cruel, inhuman, or degrading treatment.</w:t>
      </w:r>
    </w:p>
    <w:p w14:paraId="67F4030A" w14:textId="77777777" w:rsidR="00347B56" w:rsidRPr="00347B56" w:rsidRDefault="00347B56" w:rsidP="00EE13D3">
      <w:pPr>
        <w:jc w:val="both"/>
        <w:rPr>
          <w:sz w:val="24"/>
          <w:szCs w:val="24"/>
        </w:rPr>
      </w:pPr>
      <w:r w:rsidRPr="00347B56">
        <w:rPr>
          <w:sz w:val="24"/>
          <w:szCs w:val="24"/>
        </w:rPr>
        <w:t>Regarding "virginity tests," the government denies their legal or medical existence, stating that such examinations occur only under specific circumstances and with individual consent. However, the government's response fails to address the ethical and human rights implications of these tests. International standards, as outlined in the Istanbul Protocol and various General Comments of the ICCPR and CAT, consider any medical examination conducted without informed consent to be a form of cruel, inhuman, or degrading treatment. The government's stance leaves unanswered questions about the use of such tests in different contexts, such as detention facilities, which would contravene international human rights standards.</w:t>
      </w:r>
    </w:p>
    <w:p w14:paraId="17258B73" w14:textId="77777777" w:rsidR="00347B56" w:rsidRPr="00347B56" w:rsidRDefault="00347B56" w:rsidP="00EE13D3">
      <w:pPr>
        <w:jc w:val="both"/>
        <w:rPr>
          <w:vanish/>
          <w:sz w:val="24"/>
          <w:szCs w:val="24"/>
        </w:rPr>
      </w:pPr>
      <w:r w:rsidRPr="00347B56">
        <w:rPr>
          <w:vanish/>
          <w:sz w:val="24"/>
          <w:szCs w:val="24"/>
        </w:rPr>
        <w:t>Top of Form</w:t>
      </w:r>
    </w:p>
    <w:p w14:paraId="7E1703C1" w14:textId="77777777" w:rsidR="00377001" w:rsidRPr="00377001" w:rsidRDefault="00377001" w:rsidP="00EE13D3">
      <w:pPr>
        <w:jc w:val="both"/>
        <w:rPr>
          <w:vanish/>
          <w:sz w:val="24"/>
          <w:szCs w:val="24"/>
        </w:rPr>
      </w:pPr>
      <w:r w:rsidRPr="00377001">
        <w:rPr>
          <w:vanish/>
          <w:sz w:val="24"/>
          <w:szCs w:val="24"/>
        </w:rPr>
        <w:t>Top of Form</w:t>
      </w:r>
    </w:p>
    <w:sectPr w:rsidR="00377001" w:rsidRPr="0037700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88BE3" w14:textId="77777777" w:rsidR="0018145D" w:rsidRDefault="0018145D" w:rsidP="00721588">
      <w:pPr>
        <w:spacing w:after="0" w:line="240" w:lineRule="auto"/>
      </w:pPr>
      <w:r>
        <w:separator/>
      </w:r>
    </w:p>
  </w:endnote>
  <w:endnote w:type="continuationSeparator" w:id="0">
    <w:p w14:paraId="48EF29AD" w14:textId="77777777" w:rsidR="0018145D" w:rsidRDefault="0018145D" w:rsidP="00721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7664295"/>
      <w:docPartObj>
        <w:docPartGallery w:val="Page Numbers (Bottom of Page)"/>
        <w:docPartUnique/>
      </w:docPartObj>
    </w:sdtPr>
    <w:sdtEndPr>
      <w:rPr>
        <w:noProof/>
      </w:rPr>
    </w:sdtEndPr>
    <w:sdtContent>
      <w:p w14:paraId="7F877440" w14:textId="7BCC36AC" w:rsidR="00721588" w:rsidRDefault="007215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4F714A" w14:textId="77777777" w:rsidR="00721588" w:rsidRDefault="00721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24A2A" w14:textId="77777777" w:rsidR="0018145D" w:rsidRDefault="0018145D" w:rsidP="00721588">
      <w:pPr>
        <w:spacing w:after="0" w:line="240" w:lineRule="auto"/>
      </w:pPr>
      <w:r>
        <w:separator/>
      </w:r>
    </w:p>
  </w:footnote>
  <w:footnote w:type="continuationSeparator" w:id="0">
    <w:p w14:paraId="4E8F5A00" w14:textId="77777777" w:rsidR="0018145D" w:rsidRDefault="0018145D" w:rsidP="007215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F349E4"/>
    <w:multiLevelType w:val="multilevel"/>
    <w:tmpl w:val="E8EAFE7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4D4710F"/>
    <w:multiLevelType w:val="multilevel"/>
    <w:tmpl w:val="30243A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68B539B1"/>
    <w:multiLevelType w:val="multilevel"/>
    <w:tmpl w:val="836683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2020926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5528905">
    <w:abstractNumId w:val="2"/>
  </w:num>
  <w:num w:numId="3" w16cid:durableId="576325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A64"/>
    <w:rsid w:val="00014B9C"/>
    <w:rsid w:val="00017242"/>
    <w:rsid w:val="00025FC7"/>
    <w:rsid w:val="00026EAD"/>
    <w:rsid w:val="0004357C"/>
    <w:rsid w:val="00050598"/>
    <w:rsid w:val="0006102B"/>
    <w:rsid w:val="00062808"/>
    <w:rsid w:val="00082778"/>
    <w:rsid w:val="00096091"/>
    <w:rsid w:val="00096931"/>
    <w:rsid w:val="000A3248"/>
    <w:rsid w:val="000A5ADA"/>
    <w:rsid w:val="000D089E"/>
    <w:rsid w:val="000D6A9D"/>
    <w:rsid w:val="000D77F2"/>
    <w:rsid w:val="000E539C"/>
    <w:rsid w:val="0013124F"/>
    <w:rsid w:val="00132820"/>
    <w:rsid w:val="00140F89"/>
    <w:rsid w:val="001453E0"/>
    <w:rsid w:val="00150ACD"/>
    <w:rsid w:val="00160C8D"/>
    <w:rsid w:val="0018145D"/>
    <w:rsid w:val="001A47ED"/>
    <w:rsid w:val="001B10E7"/>
    <w:rsid w:val="001B7FB8"/>
    <w:rsid w:val="001D329C"/>
    <w:rsid w:val="001E5518"/>
    <w:rsid w:val="001F1BDD"/>
    <w:rsid w:val="001F1D7C"/>
    <w:rsid w:val="0023067B"/>
    <w:rsid w:val="0023370B"/>
    <w:rsid w:val="002353FC"/>
    <w:rsid w:val="00240A7C"/>
    <w:rsid w:val="0024273F"/>
    <w:rsid w:val="00244531"/>
    <w:rsid w:val="00254E7B"/>
    <w:rsid w:val="002960F8"/>
    <w:rsid w:val="002A020B"/>
    <w:rsid w:val="002C47C6"/>
    <w:rsid w:val="002D10FC"/>
    <w:rsid w:val="002D3571"/>
    <w:rsid w:val="002E4519"/>
    <w:rsid w:val="002E619E"/>
    <w:rsid w:val="002E781B"/>
    <w:rsid w:val="002F256F"/>
    <w:rsid w:val="00322093"/>
    <w:rsid w:val="003277A0"/>
    <w:rsid w:val="003278C7"/>
    <w:rsid w:val="00344794"/>
    <w:rsid w:val="003468D8"/>
    <w:rsid w:val="00346924"/>
    <w:rsid w:val="00347B56"/>
    <w:rsid w:val="003505A6"/>
    <w:rsid w:val="003529B6"/>
    <w:rsid w:val="00355B23"/>
    <w:rsid w:val="00361A1F"/>
    <w:rsid w:val="00370442"/>
    <w:rsid w:val="00370F20"/>
    <w:rsid w:val="00374571"/>
    <w:rsid w:val="00377001"/>
    <w:rsid w:val="00387F6A"/>
    <w:rsid w:val="003A6C2A"/>
    <w:rsid w:val="003B0539"/>
    <w:rsid w:val="003D4D14"/>
    <w:rsid w:val="003D6535"/>
    <w:rsid w:val="003E3961"/>
    <w:rsid w:val="004045EC"/>
    <w:rsid w:val="00407E2A"/>
    <w:rsid w:val="004155F4"/>
    <w:rsid w:val="00422357"/>
    <w:rsid w:val="0042776A"/>
    <w:rsid w:val="0043229A"/>
    <w:rsid w:val="004412E9"/>
    <w:rsid w:val="00443103"/>
    <w:rsid w:val="00443568"/>
    <w:rsid w:val="004520D8"/>
    <w:rsid w:val="004524C8"/>
    <w:rsid w:val="004658BE"/>
    <w:rsid w:val="00490139"/>
    <w:rsid w:val="004A2FB8"/>
    <w:rsid w:val="004A40DE"/>
    <w:rsid w:val="004A7105"/>
    <w:rsid w:val="004B5EFD"/>
    <w:rsid w:val="004C05BF"/>
    <w:rsid w:val="004E1E96"/>
    <w:rsid w:val="00502921"/>
    <w:rsid w:val="00513EC0"/>
    <w:rsid w:val="00527876"/>
    <w:rsid w:val="00527D29"/>
    <w:rsid w:val="0054295C"/>
    <w:rsid w:val="00545DE5"/>
    <w:rsid w:val="00546D92"/>
    <w:rsid w:val="0055632F"/>
    <w:rsid w:val="005602F9"/>
    <w:rsid w:val="00574BFE"/>
    <w:rsid w:val="00580608"/>
    <w:rsid w:val="005863A9"/>
    <w:rsid w:val="005873D2"/>
    <w:rsid w:val="00590583"/>
    <w:rsid w:val="0059244D"/>
    <w:rsid w:val="00592D4A"/>
    <w:rsid w:val="00597224"/>
    <w:rsid w:val="005C1E90"/>
    <w:rsid w:val="005E102A"/>
    <w:rsid w:val="005E183A"/>
    <w:rsid w:val="005F4D15"/>
    <w:rsid w:val="00601E92"/>
    <w:rsid w:val="00604D1B"/>
    <w:rsid w:val="00610362"/>
    <w:rsid w:val="006124D3"/>
    <w:rsid w:val="0061398F"/>
    <w:rsid w:val="00615A15"/>
    <w:rsid w:val="0061782D"/>
    <w:rsid w:val="00623CA5"/>
    <w:rsid w:val="00631DCB"/>
    <w:rsid w:val="006506B0"/>
    <w:rsid w:val="0065313E"/>
    <w:rsid w:val="00654865"/>
    <w:rsid w:val="00662664"/>
    <w:rsid w:val="0069034B"/>
    <w:rsid w:val="00695E0B"/>
    <w:rsid w:val="006A1B4A"/>
    <w:rsid w:val="006B18DC"/>
    <w:rsid w:val="006B318C"/>
    <w:rsid w:val="006C6D27"/>
    <w:rsid w:val="006D1639"/>
    <w:rsid w:val="006E295E"/>
    <w:rsid w:val="006E3AD9"/>
    <w:rsid w:val="006E3D00"/>
    <w:rsid w:val="006E3ED7"/>
    <w:rsid w:val="00714B97"/>
    <w:rsid w:val="00721588"/>
    <w:rsid w:val="007270A4"/>
    <w:rsid w:val="007318B2"/>
    <w:rsid w:val="007376A1"/>
    <w:rsid w:val="00740704"/>
    <w:rsid w:val="00744037"/>
    <w:rsid w:val="007568E8"/>
    <w:rsid w:val="00766282"/>
    <w:rsid w:val="00766AB4"/>
    <w:rsid w:val="00771108"/>
    <w:rsid w:val="007761F0"/>
    <w:rsid w:val="007809BB"/>
    <w:rsid w:val="00780CE0"/>
    <w:rsid w:val="00782A42"/>
    <w:rsid w:val="00782CCE"/>
    <w:rsid w:val="007C6A0E"/>
    <w:rsid w:val="007D5717"/>
    <w:rsid w:val="007D691C"/>
    <w:rsid w:val="007E55E9"/>
    <w:rsid w:val="007F2D7A"/>
    <w:rsid w:val="00802E78"/>
    <w:rsid w:val="00806FF5"/>
    <w:rsid w:val="008077BC"/>
    <w:rsid w:val="00816EB2"/>
    <w:rsid w:val="0082107E"/>
    <w:rsid w:val="00825639"/>
    <w:rsid w:val="0084193E"/>
    <w:rsid w:val="008437ED"/>
    <w:rsid w:val="008710CB"/>
    <w:rsid w:val="00872123"/>
    <w:rsid w:val="00872393"/>
    <w:rsid w:val="008723BF"/>
    <w:rsid w:val="00877F3D"/>
    <w:rsid w:val="00880EDC"/>
    <w:rsid w:val="00881348"/>
    <w:rsid w:val="008845A4"/>
    <w:rsid w:val="00884D55"/>
    <w:rsid w:val="00896E1E"/>
    <w:rsid w:val="008979A2"/>
    <w:rsid w:val="008A1B6B"/>
    <w:rsid w:val="008A5DE4"/>
    <w:rsid w:val="008B3311"/>
    <w:rsid w:val="008C5884"/>
    <w:rsid w:val="008C75DE"/>
    <w:rsid w:val="008E14D1"/>
    <w:rsid w:val="008F02CC"/>
    <w:rsid w:val="009053DB"/>
    <w:rsid w:val="00911C78"/>
    <w:rsid w:val="0091603B"/>
    <w:rsid w:val="009208D1"/>
    <w:rsid w:val="0092242A"/>
    <w:rsid w:val="009337F2"/>
    <w:rsid w:val="00942E33"/>
    <w:rsid w:val="00947A4B"/>
    <w:rsid w:val="00970245"/>
    <w:rsid w:val="00971D3B"/>
    <w:rsid w:val="00975840"/>
    <w:rsid w:val="009943B0"/>
    <w:rsid w:val="009948C9"/>
    <w:rsid w:val="009A1850"/>
    <w:rsid w:val="009B1327"/>
    <w:rsid w:val="009B2629"/>
    <w:rsid w:val="009D04D3"/>
    <w:rsid w:val="009D0597"/>
    <w:rsid w:val="009D0BCF"/>
    <w:rsid w:val="009D2404"/>
    <w:rsid w:val="009D2BF9"/>
    <w:rsid w:val="009D56FA"/>
    <w:rsid w:val="009E42D1"/>
    <w:rsid w:val="00A2163B"/>
    <w:rsid w:val="00A3036A"/>
    <w:rsid w:val="00A3350D"/>
    <w:rsid w:val="00A375F3"/>
    <w:rsid w:val="00A53ACE"/>
    <w:rsid w:val="00A56223"/>
    <w:rsid w:val="00A607FE"/>
    <w:rsid w:val="00A65FFE"/>
    <w:rsid w:val="00A728B6"/>
    <w:rsid w:val="00AB2846"/>
    <w:rsid w:val="00AB6015"/>
    <w:rsid w:val="00AC2F5C"/>
    <w:rsid w:val="00AC6202"/>
    <w:rsid w:val="00AE17B3"/>
    <w:rsid w:val="00AE3756"/>
    <w:rsid w:val="00AE50B1"/>
    <w:rsid w:val="00AF2587"/>
    <w:rsid w:val="00B04201"/>
    <w:rsid w:val="00B23696"/>
    <w:rsid w:val="00B379D4"/>
    <w:rsid w:val="00B52E76"/>
    <w:rsid w:val="00B64E72"/>
    <w:rsid w:val="00B71C0D"/>
    <w:rsid w:val="00B8035C"/>
    <w:rsid w:val="00B8124A"/>
    <w:rsid w:val="00B813AF"/>
    <w:rsid w:val="00B86DFD"/>
    <w:rsid w:val="00BA0A25"/>
    <w:rsid w:val="00BD1182"/>
    <w:rsid w:val="00C010B0"/>
    <w:rsid w:val="00C015E2"/>
    <w:rsid w:val="00C05F24"/>
    <w:rsid w:val="00C15EB4"/>
    <w:rsid w:val="00C17214"/>
    <w:rsid w:val="00C2566D"/>
    <w:rsid w:val="00C37656"/>
    <w:rsid w:val="00C41377"/>
    <w:rsid w:val="00C4451E"/>
    <w:rsid w:val="00C50111"/>
    <w:rsid w:val="00C5379B"/>
    <w:rsid w:val="00C634F0"/>
    <w:rsid w:val="00C66C70"/>
    <w:rsid w:val="00C72D3C"/>
    <w:rsid w:val="00C91A7F"/>
    <w:rsid w:val="00CA598B"/>
    <w:rsid w:val="00CA5ACE"/>
    <w:rsid w:val="00CB1AB9"/>
    <w:rsid w:val="00CB7045"/>
    <w:rsid w:val="00CD7A7C"/>
    <w:rsid w:val="00CE36AB"/>
    <w:rsid w:val="00D24564"/>
    <w:rsid w:val="00D33A64"/>
    <w:rsid w:val="00D43A5B"/>
    <w:rsid w:val="00D44309"/>
    <w:rsid w:val="00D6587E"/>
    <w:rsid w:val="00D67BCD"/>
    <w:rsid w:val="00D71802"/>
    <w:rsid w:val="00D76BFE"/>
    <w:rsid w:val="00D80C41"/>
    <w:rsid w:val="00D83880"/>
    <w:rsid w:val="00DA3644"/>
    <w:rsid w:val="00DA4F36"/>
    <w:rsid w:val="00DA6254"/>
    <w:rsid w:val="00DB2722"/>
    <w:rsid w:val="00DC711E"/>
    <w:rsid w:val="00DD23ED"/>
    <w:rsid w:val="00DD3F58"/>
    <w:rsid w:val="00E24A4A"/>
    <w:rsid w:val="00E4649D"/>
    <w:rsid w:val="00E5666F"/>
    <w:rsid w:val="00E8154A"/>
    <w:rsid w:val="00E94201"/>
    <w:rsid w:val="00EA3256"/>
    <w:rsid w:val="00EB320E"/>
    <w:rsid w:val="00EB5E54"/>
    <w:rsid w:val="00ED079C"/>
    <w:rsid w:val="00EE13D3"/>
    <w:rsid w:val="00EF62D5"/>
    <w:rsid w:val="00EF7112"/>
    <w:rsid w:val="00F05559"/>
    <w:rsid w:val="00F1402B"/>
    <w:rsid w:val="00F176DD"/>
    <w:rsid w:val="00F23C85"/>
    <w:rsid w:val="00F41828"/>
    <w:rsid w:val="00F434E3"/>
    <w:rsid w:val="00F57275"/>
    <w:rsid w:val="00F61346"/>
    <w:rsid w:val="00F67868"/>
    <w:rsid w:val="00F76592"/>
    <w:rsid w:val="00F80EC6"/>
    <w:rsid w:val="00F8193C"/>
    <w:rsid w:val="00F84BE5"/>
    <w:rsid w:val="00F92AE1"/>
    <w:rsid w:val="00FA458A"/>
    <w:rsid w:val="00FB5CBA"/>
    <w:rsid w:val="00FE7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B5CFC"/>
  <w15:chartTrackingRefBased/>
  <w15:docId w15:val="{BB347CF0-50E3-4482-B18B-7A98EACD6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15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588"/>
  </w:style>
  <w:style w:type="paragraph" w:styleId="Footer">
    <w:name w:val="footer"/>
    <w:basedOn w:val="Normal"/>
    <w:link w:val="FooterChar"/>
    <w:uiPriority w:val="99"/>
    <w:unhideWhenUsed/>
    <w:rsid w:val="007215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588"/>
  </w:style>
  <w:style w:type="character" w:styleId="Hyperlink">
    <w:name w:val="Hyperlink"/>
    <w:basedOn w:val="DefaultParagraphFont"/>
    <w:uiPriority w:val="99"/>
    <w:unhideWhenUsed/>
    <w:rsid w:val="00026EAD"/>
    <w:rPr>
      <w:color w:val="0563C1" w:themeColor="hyperlink"/>
      <w:u w:val="single"/>
    </w:rPr>
  </w:style>
  <w:style w:type="paragraph" w:styleId="NormalWeb">
    <w:name w:val="Normal (Web)"/>
    <w:basedOn w:val="Normal"/>
    <w:uiPriority w:val="99"/>
    <w:unhideWhenUsed/>
    <w:rsid w:val="005602F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table" w:styleId="TableGrid">
    <w:name w:val="Table Grid"/>
    <w:basedOn w:val="TableNormal"/>
    <w:uiPriority w:val="39"/>
    <w:rsid w:val="005602F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2787">
      <w:bodyDiv w:val="1"/>
      <w:marLeft w:val="0"/>
      <w:marRight w:val="0"/>
      <w:marTop w:val="0"/>
      <w:marBottom w:val="0"/>
      <w:divBdr>
        <w:top w:val="none" w:sz="0" w:space="0" w:color="auto"/>
        <w:left w:val="none" w:sz="0" w:space="0" w:color="auto"/>
        <w:bottom w:val="none" w:sz="0" w:space="0" w:color="auto"/>
        <w:right w:val="none" w:sz="0" w:space="0" w:color="auto"/>
      </w:divBdr>
    </w:div>
    <w:div w:id="20522945">
      <w:bodyDiv w:val="1"/>
      <w:marLeft w:val="0"/>
      <w:marRight w:val="0"/>
      <w:marTop w:val="0"/>
      <w:marBottom w:val="0"/>
      <w:divBdr>
        <w:top w:val="none" w:sz="0" w:space="0" w:color="auto"/>
        <w:left w:val="none" w:sz="0" w:space="0" w:color="auto"/>
        <w:bottom w:val="none" w:sz="0" w:space="0" w:color="auto"/>
        <w:right w:val="none" w:sz="0" w:space="0" w:color="auto"/>
      </w:divBdr>
    </w:div>
    <w:div w:id="38626787">
      <w:bodyDiv w:val="1"/>
      <w:marLeft w:val="0"/>
      <w:marRight w:val="0"/>
      <w:marTop w:val="0"/>
      <w:marBottom w:val="0"/>
      <w:divBdr>
        <w:top w:val="none" w:sz="0" w:space="0" w:color="auto"/>
        <w:left w:val="none" w:sz="0" w:space="0" w:color="auto"/>
        <w:bottom w:val="none" w:sz="0" w:space="0" w:color="auto"/>
        <w:right w:val="none" w:sz="0" w:space="0" w:color="auto"/>
      </w:divBdr>
    </w:div>
    <w:div w:id="58601126">
      <w:bodyDiv w:val="1"/>
      <w:marLeft w:val="0"/>
      <w:marRight w:val="0"/>
      <w:marTop w:val="0"/>
      <w:marBottom w:val="0"/>
      <w:divBdr>
        <w:top w:val="none" w:sz="0" w:space="0" w:color="auto"/>
        <w:left w:val="none" w:sz="0" w:space="0" w:color="auto"/>
        <w:bottom w:val="none" w:sz="0" w:space="0" w:color="auto"/>
        <w:right w:val="none" w:sz="0" w:space="0" w:color="auto"/>
      </w:divBdr>
      <w:divsChild>
        <w:div w:id="1904877153">
          <w:marLeft w:val="0"/>
          <w:marRight w:val="0"/>
          <w:marTop w:val="0"/>
          <w:marBottom w:val="0"/>
          <w:divBdr>
            <w:top w:val="single" w:sz="2" w:space="0" w:color="D9D9E3"/>
            <w:left w:val="single" w:sz="2" w:space="0" w:color="D9D9E3"/>
            <w:bottom w:val="single" w:sz="2" w:space="0" w:color="D9D9E3"/>
            <w:right w:val="single" w:sz="2" w:space="0" w:color="D9D9E3"/>
          </w:divBdr>
          <w:divsChild>
            <w:div w:id="2021616594">
              <w:marLeft w:val="0"/>
              <w:marRight w:val="0"/>
              <w:marTop w:val="0"/>
              <w:marBottom w:val="0"/>
              <w:divBdr>
                <w:top w:val="single" w:sz="2" w:space="0" w:color="D9D9E3"/>
                <w:left w:val="single" w:sz="2" w:space="0" w:color="D9D9E3"/>
                <w:bottom w:val="single" w:sz="2" w:space="0" w:color="D9D9E3"/>
                <w:right w:val="single" w:sz="2" w:space="0" w:color="D9D9E3"/>
              </w:divBdr>
              <w:divsChild>
                <w:div w:id="1196308494">
                  <w:marLeft w:val="0"/>
                  <w:marRight w:val="0"/>
                  <w:marTop w:val="0"/>
                  <w:marBottom w:val="0"/>
                  <w:divBdr>
                    <w:top w:val="single" w:sz="2" w:space="0" w:color="D9D9E3"/>
                    <w:left w:val="single" w:sz="2" w:space="0" w:color="D9D9E3"/>
                    <w:bottom w:val="single" w:sz="2" w:space="0" w:color="D9D9E3"/>
                    <w:right w:val="single" w:sz="2" w:space="0" w:color="D9D9E3"/>
                  </w:divBdr>
                  <w:divsChild>
                    <w:div w:id="1096554996">
                      <w:marLeft w:val="0"/>
                      <w:marRight w:val="0"/>
                      <w:marTop w:val="0"/>
                      <w:marBottom w:val="0"/>
                      <w:divBdr>
                        <w:top w:val="single" w:sz="2" w:space="0" w:color="D9D9E3"/>
                        <w:left w:val="single" w:sz="2" w:space="0" w:color="D9D9E3"/>
                        <w:bottom w:val="single" w:sz="2" w:space="0" w:color="D9D9E3"/>
                        <w:right w:val="single" w:sz="2" w:space="0" w:color="D9D9E3"/>
                      </w:divBdr>
                      <w:divsChild>
                        <w:div w:id="1509253926">
                          <w:marLeft w:val="0"/>
                          <w:marRight w:val="0"/>
                          <w:marTop w:val="0"/>
                          <w:marBottom w:val="0"/>
                          <w:divBdr>
                            <w:top w:val="single" w:sz="2" w:space="0" w:color="auto"/>
                            <w:left w:val="single" w:sz="2" w:space="0" w:color="auto"/>
                            <w:bottom w:val="single" w:sz="6" w:space="0" w:color="auto"/>
                            <w:right w:val="single" w:sz="2" w:space="0" w:color="auto"/>
                          </w:divBdr>
                          <w:divsChild>
                            <w:div w:id="2140099899">
                              <w:marLeft w:val="0"/>
                              <w:marRight w:val="0"/>
                              <w:marTop w:val="100"/>
                              <w:marBottom w:val="100"/>
                              <w:divBdr>
                                <w:top w:val="single" w:sz="2" w:space="0" w:color="D9D9E3"/>
                                <w:left w:val="single" w:sz="2" w:space="0" w:color="D9D9E3"/>
                                <w:bottom w:val="single" w:sz="2" w:space="0" w:color="D9D9E3"/>
                                <w:right w:val="single" w:sz="2" w:space="0" w:color="D9D9E3"/>
                              </w:divBdr>
                              <w:divsChild>
                                <w:div w:id="540215096">
                                  <w:marLeft w:val="0"/>
                                  <w:marRight w:val="0"/>
                                  <w:marTop w:val="0"/>
                                  <w:marBottom w:val="0"/>
                                  <w:divBdr>
                                    <w:top w:val="single" w:sz="2" w:space="0" w:color="D9D9E3"/>
                                    <w:left w:val="single" w:sz="2" w:space="0" w:color="D9D9E3"/>
                                    <w:bottom w:val="single" w:sz="2" w:space="0" w:color="D9D9E3"/>
                                    <w:right w:val="single" w:sz="2" w:space="0" w:color="D9D9E3"/>
                                  </w:divBdr>
                                  <w:divsChild>
                                    <w:div w:id="1651247906">
                                      <w:marLeft w:val="0"/>
                                      <w:marRight w:val="0"/>
                                      <w:marTop w:val="0"/>
                                      <w:marBottom w:val="0"/>
                                      <w:divBdr>
                                        <w:top w:val="single" w:sz="2" w:space="0" w:color="D9D9E3"/>
                                        <w:left w:val="single" w:sz="2" w:space="0" w:color="D9D9E3"/>
                                        <w:bottom w:val="single" w:sz="2" w:space="0" w:color="D9D9E3"/>
                                        <w:right w:val="single" w:sz="2" w:space="0" w:color="D9D9E3"/>
                                      </w:divBdr>
                                      <w:divsChild>
                                        <w:div w:id="1331175892">
                                          <w:marLeft w:val="0"/>
                                          <w:marRight w:val="0"/>
                                          <w:marTop w:val="0"/>
                                          <w:marBottom w:val="0"/>
                                          <w:divBdr>
                                            <w:top w:val="single" w:sz="2" w:space="0" w:color="D9D9E3"/>
                                            <w:left w:val="single" w:sz="2" w:space="0" w:color="D9D9E3"/>
                                            <w:bottom w:val="single" w:sz="2" w:space="0" w:color="D9D9E3"/>
                                            <w:right w:val="single" w:sz="2" w:space="0" w:color="D9D9E3"/>
                                          </w:divBdr>
                                          <w:divsChild>
                                            <w:div w:id="1300300418">
                                              <w:marLeft w:val="0"/>
                                              <w:marRight w:val="0"/>
                                              <w:marTop w:val="0"/>
                                              <w:marBottom w:val="0"/>
                                              <w:divBdr>
                                                <w:top w:val="single" w:sz="2" w:space="0" w:color="D9D9E3"/>
                                                <w:left w:val="single" w:sz="2" w:space="0" w:color="D9D9E3"/>
                                                <w:bottom w:val="single" w:sz="2" w:space="0" w:color="D9D9E3"/>
                                                <w:right w:val="single" w:sz="2" w:space="0" w:color="D9D9E3"/>
                                              </w:divBdr>
                                              <w:divsChild>
                                                <w:div w:id="605194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69564413">
          <w:marLeft w:val="0"/>
          <w:marRight w:val="0"/>
          <w:marTop w:val="0"/>
          <w:marBottom w:val="0"/>
          <w:divBdr>
            <w:top w:val="none" w:sz="0" w:space="0" w:color="auto"/>
            <w:left w:val="none" w:sz="0" w:space="0" w:color="auto"/>
            <w:bottom w:val="none" w:sz="0" w:space="0" w:color="auto"/>
            <w:right w:val="none" w:sz="0" w:space="0" w:color="auto"/>
          </w:divBdr>
        </w:div>
      </w:divsChild>
    </w:div>
    <w:div w:id="64495868">
      <w:bodyDiv w:val="1"/>
      <w:marLeft w:val="0"/>
      <w:marRight w:val="0"/>
      <w:marTop w:val="0"/>
      <w:marBottom w:val="0"/>
      <w:divBdr>
        <w:top w:val="none" w:sz="0" w:space="0" w:color="auto"/>
        <w:left w:val="none" w:sz="0" w:space="0" w:color="auto"/>
        <w:bottom w:val="none" w:sz="0" w:space="0" w:color="auto"/>
        <w:right w:val="none" w:sz="0" w:space="0" w:color="auto"/>
      </w:divBdr>
    </w:div>
    <w:div w:id="72708535">
      <w:bodyDiv w:val="1"/>
      <w:marLeft w:val="0"/>
      <w:marRight w:val="0"/>
      <w:marTop w:val="0"/>
      <w:marBottom w:val="0"/>
      <w:divBdr>
        <w:top w:val="none" w:sz="0" w:space="0" w:color="auto"/>
        <w:left w:val="none" w:sz="0" w:space="0" w:color="auto"/>
        <w:bottom w:val="none" w:sz="0" w:space="0" w:color="auto"/>
        <w:right w:val="none" w:sz="0" w:space="0" w:color="auto"/>
      </w:divBdr>
    </w:div>
    <w:div w:id="112404374">
      <w:bodyDiv w:val="1"/>
      <w:marLeft w:val="0"/>
      <w:marRight w:val="0"/>
      <w:marTop w:val="0"/>
      <w:marBottom w:val="0"/>
      <w:divBdr>
        <w:top w:val="none" w:sz="0" w:space="0" w:color="auto"/>
        <w:left w:val="none" w:sz="0" w:space="0" w:color="auto"/>
        <w:bottom w:val="none" w:sz="0" w:space="0" w:color="auto"/>
        <w:right w:val="none" w:sz="0" w:space="0" w:color="auto"/>
      </w:divBdr>
    </w:div>
    <w:div w:id="159199892">
      <w:bodyDiv w:val="1"/>
      <w:marLeft w:val="0"/>
      <w:marRight w:val="0"/>
      <w:marTop w:val="0"/>
      <w:marBottom w:val="0"/>
      <w:divBdr>
        <w:top w:val="none" w:sz="0" w:space="0" w:color="auto"/>
        <w:left w:val="none" w:sz="0" w:space="0" w:color="auto"/>
        <w:bottom w:val="none" w:sz="0" w:space="0" w:color="auto"/>
        <w:right w:val="none" w:sz="0" w:space="0" w:color="auto"/>
      </w:divBdr>
    </w:div>
    <w:div w:id="162554094">
      <w:bodyDiv w:val="1"/>
      <w:marLeft w:val="0"/>
      <w:marRight w:val="0"/>
      <w:marTop w:val="0"/>
      <w:marBottom w:val="0"/>
      <w:divBdr>
        <w:top w:val="none" w:sz="0" w:space="0" w:color="auto"/>
        <w:left w:val="none" w:sz="0" w:space="0" w:color="auto"/>
        <w:bottom w:val="none" w:sz="0" w:space="0" w:color="auto"/>
        <w:right w:val="none" w:sz="0" w:space="0" w:color="auto"/>
      </w:divBdr>
    </w:div>
    <w:div w:id="163252372">
      <w:bodyDiv w:val="1"/>
      <w:marLeft w:val="0"/>
      <w:marRight w:val="0"/>
      <w:marTop w:val="0"/>
      <w:marBottom w:val="0"/>
      <w:divBdr>
        <w:top w:val="none" w:sz="0" w:space="0" w:color="auto"/>
        <w:left w:val="none" w:sz="0" w:space="0" w:color="auto"/>
        <w:bottom w:val="none" w:sz="0" w:space="0" w:color="auto"/>
        <w:right w:val="none" w:sz="0" w:space="0" w:color="auto"/>
      </w:divBdr>
    </w:div>
    <w:div w:id="186263846">
      <w:bodyDiv w:val="1"/>
      <w:marLeft w:val="0"/>
      <w:marRight w:val="0"/>
      <w:marTop w:val="0"/>
      <w:marBottom w:val="0"/>
      <w:divBdr>
        <w:top w:val="none" w:sz="0" w:space="0" w:color="auto"/>
        <w:left w:val="none" w:sz="0" w:space="0" w:color="auto"/>
        <w:bottom w:val="none" w:sz="0" w:space="0" w:color="auto"/>
        <w:right w:val="none" w:sz="0" w:space="0" w:color="auto"/>
      </w:divBdr>
    </w:div>
    <w:div w:id="235239902">
      <w:bodyDiv w:val="1"/>
      <w:marLeft w:val="0"/>
      <w:marRight w:val="0"/>
      <w:marTop w:val="0"/>
      <w:marBottom w:val="0"/>
      <w:divBdr>
        <w:top w:val="none" w:sz="0" w:space="0" w:color="auto"/>
        <w:left w:val="none" w:sz="0" w:space="0" w:color="auto"/>
        <w:bottom w:val="none" w:sz="0" w:space="0" w:color="auto"/>
        <w:right w:val="none" w:sz="0" w:space="0" w:color="auto"/>
      </w:divBdr>
    </w:div>
    <w:div w:id="238903721">
      <w:bodyDiv w:val="1"/>
      <w:marLeft w:val="0"/>
      <w:marRight w:val="0"/>
      <w:marTop w:val="0"/>
      <w:marBottom w:val="0"/>
      <w:divBdr>
        <w:top w:val="none" w:sz="0" w:space="0" w:color="auto"/>
        <w:left w:val="none" w:sz="0" w:space="0" w:color="auto"/>
        <w:bottom w:val="none" w:sz="0" w:space="0" w:color="auto"/>
        <w:right w:val="none" w:sz="0" w:space="0" w:color="auto"/>
      </w:divBdr>
    </w:div>
    <w:div w:id="242422276">
      <w:bodyDiv w:val="1"/>
      <w:marLeft w:val="0"/>
      <w:marRight w:val="0"/>
      <w:marTop w:val="0"/>
      <w:marBottom w:val="0"/>
      <w:divBdr>
        <w:top w:val="none" w:sz="0" w:space="0" w:color="auto"/>
        <w:left w:val="none" w:sz="0" w:space="0" w:color="auto"/>
        <w:bottom w:val="none" w:sz="0" w:space="0" w:color="auto"/>
        <w:right w:val="none" w:sz="0" w:space="0" w:color="auto"/>
      </w:divBdr>
    </w:div>
    <w:div w:id="253248353">
      <w:bodyDiv w:val="1"/>
      <w:marLeft w:val="0"/>
      <w:marRight w:val="0"/>
      <w:marTop w:val="0"/>
      <w:marBottom w:val="0"/>
      <w:divBdr>
        <w:top w:val="none" w:sz="0" w:space="0" w:color="auto"/>
        <w:left w:val="none" w:sz="0" w:space="0" w:color="auto"/>
        <w:bottom w:val="none" w:sz="0" w:space="0" w:color="auto"/>
        <w:right w:val="none" w:sz="0" w:space="0" w:color="auto"/>
      </w:divBdr>
    </w:div>
    <w:div w:id="265623335">
      <w:bodyDiv w:val="1"/>
      <w:marLeft w:val="0"/>
      <w:marRight w:val="0"/>
      <w:marTop w:val="0"/>
      <w:marBottom w:val="0"/>
      <w:divBdr>
        <w:top w:val="none" w:sz="0" w:space="0" w:color="auto"/>
        <w:left w:val="none" w:sz="0" w:space="0" w:color="auto"/>
        <w:bottom w:val="none" w:sz="0" w:space="0" w:color="auto"/>
        <w:right w:val="none" w:sz="0" w:space="0" w:color="auto"/>
      </w:divBdr>
    </w:div>
    <w:div w:id="276958327">
      <w:bodyDiv w:val="1"/>
      <w:marLeft w:val="0"/>
      <w:marRight w:val="0"/>
      <w:marTop w:val="0"/>
      <w:marBottom w:val="0"/>
      <w:divBdr>
        <w:top w:val="none" w:sz="0" w:space="0" w:color="auto"/>
        <w:left w:val="none" w:sz="0" w:space="0" w:color="auto"/>
        <w:bottom w:val="none" w:sz="0" w:space="0" w:color="auto"/>
        <w:right w:val="none" w:sz="0" w:space="0" w:color="auto"/>
      </w:divBdr>
    </w:div>
    <w:div w:id="289868221">
      <w:bodyDiv w:val="1"/>
      <w:marLeft w:val="0"/>
      <w:marRight w:val="0"/>
      <w:marTop w:val="0"/>
      <w:marBottom w:val="0"/>
      <w:divBdr>
        <w:top w:val="none" w:sz="0" w:space="0" w:color="auto"/>
        <w:left w:val="none" w:sz="0" w:space="0" w:color="auto"/>
        <w:bottom w:val="none" w:sz="0" w:space="0" w:color="auto"/>
        <w:right w:val="none" w:sz="0" w:space="0" w:color="auto"/>
      </w:divBdr>
    </w:div>
    <w:div w:id="328406542">
      <w:bodyDiv w:val="1"/>
      <w:marLeft w:val="0"/>
      <w:marRight w:val="0"/>
      <w:marTop w:val="0"/>
      <w:marBottom w:val="0"/>
      <w:divBdr>
        <w:top w:val="none" w:sz="0" w:space="0" w:color="auto"/>
        <w:left w:val="none" w:sz="0" w:space="0" w:color="auto"/>
        <w:bottom w:val="none" w:sz="0" w:space="0" w:color="auto"/>
        <w:right w:val="none" w:sz="0" w:space="0" w:color="auto"/>
      </w:divBdr>
    </w:div>
    <w:div w:id="329990548">
      <w:bodyDiv w:val="1"/>
      <w:marLeft w:val="0"/>
      <w:marRight w:val="0"/>
      <w:marTop w:val="0"/>
      <w:marBottom w:val="0"/>
      <w:divBdr>
        <w:top w:val="none" w:sz="0" w:space="0" w:color="auto"/>
        <w:left w:val="none" w:sz="0" w:space="0" w:color="auto"/>
        <w:bottom w:val="none" w:sz="0" w:space="0" w:color="auto"/>
        <w:right w:val="none" w:sz="0" w:space="0" w:color="auto"/>
      </w:divBdr>
    </w:div>
    <w:div w:id="343439412">
      <w:bodyDiv w:val="1"/>
      <w:marLeft w:val="0"/>
      <w:marRight w:val="0"/>
      <w:marTop w:val="0"/>
      <w:marBottom w:val="0"/>
      <w:divBdr>
        <w:top w:val="none" w:sz="0" w:space="0" w:color="auto"/>
        <w:left w:val="none" w:sz="0" w:space="0" w:color="auto"/>
        <w:bottom w:val="none" w:sz="0" w:space="0" w:color="auto"/>
        <w:right w:val="none" w:sz="0" w:space="0" w:color="auto"/>
      </w:divBdr>
    </w:div>
    <w:div w:id="352191511">
      <w:bodyDiv w:val="1"/>
      <w:marLeft w:val="0"/>
      <w:marRight w:val="0"/>
      <w:marTop w:val="0"/>
      <w:marBottom w:val="0"/>
      <w:divBdr>
        <w:top w:val="none" w:sz="0" w:space="0" w:color="auto"/>
        <w:left w:val="none" w:sz="0" w:space="0" w:color="auto"/>
        <w:bottom w:val="none" w:sz="0" w:space="0" w:color="auto"/>
        <w:right w:val="none" w:sz="0" w:space="0" w:color="auto"/>
      </w:divBdr>
    </w:div>
    <w:div w:id="359091299">
      <w:bodyDiv w:val="1"/>
      <w:marLeft w:val="0"/>
      <w:marRight w:val="0"/>
      <w:marTop w:val="0"/>
      <w:marBottom w:val="0"/>
      <w:divBdr>
        <w:top w:val="none" w:sz="0" w:space="0" w:color="auto"/>
        <w:left w:val="none" w:sz="0" w:space="0" w:color="auto"/>
        <w:bottom w:val="none" w:sz="0" w:space="0" w:color="auto"/>
        <w:right w:val="none" w:sz="0" w:space="0" w:color="auto"/>
      </w:divBdr>
    </w:div>
    <w:div w:id="369689764">
      <w:bodyDiv w:val="1"/>
      <w:marLeft w:val="0"/>
      <w:marRight w:val="0"/>
      <w:marTop w:val="0"/>
      <w:marBottom w:val="0"/>
      <w:divBdr>
        <w:top w:val="none" w:sz="0" w:space="0" w:color="auto"/>
        <w:left w:val="none" w:sz="0" w:space="0" w:color="auto"/>
        <w:bottom w:val="none" w:sz="0" w:space="0" w:color="auto"/>
        <w:right w:val="none" w:sz="0" w:space="0" w:color="auto"/>
      </w:divBdr>
    </w:div>
    <w:div w:id="376513666">
      <w:bodyDiv w:val="1"/>
      <w:marLeft w:val="0"/>
      <w:marRight w:val="0"/>
      <w:marTop w:val="0"/>
      <w:marBottom w:val="0"/>
      <w:divBdr>
        <w:top w:val="none" w:sz="0" w:space="0" w:color="auto"/>
        <w:left w:val="none" w:sz="0" w:space="0" w:color="auto"/>
        <w:bottom w:val="none" w:sz="0" w:space="0" w:color="auto"/>
        <w:right w:val="none" w:sz="0" w:space="0" w:color="auto"/>
      </w:divBdr>
    </w:div>
    <w:div w:id="376710781">
      <w:bodyDiv w:val="1"/>
      <w:marLeft w:val="0"/>
      <w:marRight w:val="0"/>
      <w:marTop w:val="0"/>
      <w:marBottom w:val="0"/>
      <w:divBdr>
        <w:top w:val="none" w:sz="0" w:space="0" w:color="auto"/>
        <w:left w:val="none" w:sz="0" w:space="0" w:color="auto"/>
        <w:bottom w:val="none" w:sz="0" w:space="0" w:color="auto"/>
        <w:right w:val="none" w:sz="0" w:space="0" w:color="auto"/>
      </w:divBdr>
      <w:divsChild>
        <w:div w:id="1603147568">
          <w:marLeft w:val="0"/>
          <w:marRight w:val="0"/>
          <w:marTop w:val="0"/>
          <w:marBottom w:val="0"/>
          <w:divBdr>
            <w:top w:val="single" w:sz="2" w:space="0" w:color="auto"/>
            <w:left w:val="single" w:sz="2" w:space="0" w:color="auto"/>
            <w:bottom w:val="single" w:sz="6" w:space="0" w:color="auto"/>
            <w:right w:val="single" w:sz="2" w:space="0" w:color="auto"/>
          </w:divBdr>
          <w:divsChild>
            <w:div w:id="346521268">
              <w:marLeft w:val="0"/>
              <w:marRight w:val="0"/>
              <w:marTop w:val="100"/>
              <w:marBottom w:val="100"/>
              <w:divBdr>
                <w:top w:val="single" w:sz="2" w:space="0" w:color="D9D9E3"/>
                <w:left w:val="single" w:sz="2" w:space="0" w:color="D9D9E3"/>
                <w:bottom w:val="single" w:sz="2" w:space="0" w:color="D9D9E3"/>
                <w:right w:val="single" w:sz="2" w:space="0" w:color="D9D9E3"/>
              </w:divBdr>
              <w:divsChild>
                <w:div w:id="718942946">
                  <w:marLeft w:val="0"/>
                  <w:marRight w:val="0"/>
                  <w:marTop w:val="0"/>
                  <w:marBottom w:val="0"/>
                  <w:divBdr>
                    <w:top w:val="single" w:sz="2" w:space="0" w:color="D9D9E3"/>
                    <w:left w:val="single" w:sz="2" w:space="0" w:color="D9D9E3"/>
                    <w:bottom w:val="single" w:sz="2" w:space="0" w:color="D9D9E3"/>
                    <w:right w:val="single" w:sz="2" w:space="0" w:color="D9D9E3"/>
                  </w:divBdr>
                  <w:divsChild>
                    <w:div w:id="1777601825">
                      <w:marLeft w:val="0"/>
                      <w:marRight w:val="0"/>
                      <w:marTop w:val="0"/>
                      <w:marBottom w:val="0"/>
                      <w:divBdr>
                        <w:top w:val="single" w:sz="2" w:space="0" w:color="D9D9E3"/>
                        <w:left w:val="single" w:sz="2" w:space="0" w:color="D9D9E3"/>
                        <w:bottom w:val="single" w:sz="2" w:space="0" w:color="D9D9E3"/>
                        <w:right w:val="single" w:sz="2" w:space="0" w:color="D9D9E3"/>
                      </w:divBdr>
                      <w:divsChild>
                        <w:div w:id="2002199317">
                          <w:marLeft w:val="0"/>
                          <w:marRight w:val="0"/>
                          <w:marTop w:val="0"/>
                          <w:marBottom w:val="0"/>
                          <w:divBdr>
                            <w:top w:val="single" w:sz="2" w:space="0" w:color="D9D9E3"/>
                            <w:left w:val="single" w:sz="2" w:space="0" w:color="D9D9E3"/>
                            <w:bottom w:val="single" w:sz="2" w:space="0" w:color="D9D9E3"/>
                            <w:right w:val="single" w:sz="2" w:space="0" w:color="D9D9E3"/>
                          </w:divBdr>
                          <w:divsChild>
                            <w:div w:id="51077033">
                              <w:marLeft w:val="0"/>
                              <w:marRight w:val="0"/>
                              <w:marTop w:val="0"/>
                              <w:marBottom w:val="0"/>
                              <w:divBdr>
                                <w:top w:val="single" w:sz="2" w:space="0" w:color="D9D9E3"/>
                                <w:left w:val="single" w:sz="2" w:space="0" w:color="D9D9E3"/>
                                <w:bottom w:val="single" w:sz="2" w:space="0" w:color="D9D9E3"/>
                                <w:right w:val="single" w:sz="2" w:space="0" w:color="D9D9E3"/>
                              </w:divBdr>
                              <w:divsChild>
                                <w:div w:id="10207430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83064698">
      <w:bodyDiv w:val="1"/>
      <w:marLeft w:val="0"/>
      <w:marRight w:val="0"/>
      <w:marTop w:val="0"/>
      <w:marBottom w:val="0"/>
      <w:divBdr>
        <w:top w:val="none" w:sz="0" w:space="0" w:color="auto"/>
        <w:left w:val="none" w:sz="0" w:space="0" w:color="auto"/>
        <w:bottom w:val="none" w:sz="0" w:space="0" w:color="auto"/>
        <w:right w:val="none" w:sz="0" w:space="0" w:color="auto"/>
      </w:divBdr>
    </w:div>
    <w:div w:id="388916872">
      <w:bodyDiv w:val="1"/>
      <w:marLeft w:val="0"/>
      <w:marRight w:val="0"/>
      <w:marTop w:val="0"/>
      <w:marBottom w:val="0"/>
      <w:divBdr>
        <w:top w:val="none" w:sz="0" w:space="0" w:color="auto"/>
        <w:left w:val="none" w:sz="0" w:space="0" w:color="auto"/>
        <w:bottom w:val="none" w:sz="0" w:space="0" w:color="auto"/>
        <w:right w:val="none" w:sz="0" w:space="0" w:color="auto"/>
      </w:divBdr>
    </w:div>
    <w:div w:id="406265891">
      <w:bodyDiv w:val="1"/>
      <w:marLeft w:val="0"/>
      <w:marRight w:val="0"/>
      <w:marTop w:val="0"/>
      <w:marBottom w:val="0"/>
      <w:divBdr>
        <w:top w:val="none" w:sz="0" w:space="0" w:color="auto"/>
        <w:left w:val="none" w:sz="0" w:space="0" w:color="auto"/>
        <w:bottom w:val="none" w:sz="0" w:space="0" w:color="auto"/>
        <w:right w:val="none" w:sz="0" w:space="0" w:color="auto"/>
      </w:divBdr>
    </w:div>
    <w:div w:id="409277318">
      <w:bodyDiv w:val="1"/>
      <w:marLeft w:val="0"/>
      <w:marRight w:val="0"/>
      <w:marTop w:val="0"/>
      <w:marBottom w:val="0"/>
      <w:divBdr>
        <w:top w:val="none" w:sz="0" w:space="0" w:color="auto"/>
        <w:left w:val="none" w:sz="0" w:space="0" w:color="auto"/>
        <w:bottom w:val="none" w:sz="0" w:space="0" w:color="auto"/>
        <w:right w:val="none" w:sz="0" w:space="0" w:color="auto"/>
      </w:divBdr>
    </w:div>
    <w:div w:id="436755267">
      <w:bodyDiv w:val="1"/>
      <w:marLeft w:val="0"/>
      <w:marRight w:val="0"/>
      <w:marTop w:val="0"/>
      <w:marBottom w:val="0"/>
      <w:divBdr>
        <w:top w:val="none" w:sz="0" w:space="0" w:color="auto"/>
        <w:left w:val="none" w:sz="0" w:space="0" w:color="auto"/>
        <w:bottom w:val="none" w:sz="0" w:space="0" w:color="auto"/>
        <w:right w:val="none" w:sz="0" w:space="0" w:color="auto"/>
      </w:divBdr>
    </w:div>
    <w:div w:id="458650482">
      <w:bodyDiv w:val="1"/>
      <w:marLeft w:val="0"/>
      <w:marRight w:val="0"/>
      <w:marTop w:val="0"/>
      <w:marBottom w:val="0"/>
      <w:divBdr>
        <w:top w:val="none" w:sz="0" w:space="0" w:color="auto"/>
        <w:left w:val="none" w:sz="0" w:space="0" w:color="auto"/>
        <w:bottom w:val="none" w:sz="0" w:space="0" w:color="auto"/>
        <w:right w:val="none" w:sz="0" w:space="0" w:color="auto"/>
      </w:divBdr>
    </w:div>
    <w:div w:id="490875724">
      <w:bodyDiv w:val="1"/>
      <w:marLeft w:val="0"/>
      <w:marRight w:val="0"/>
      <w:marTop w:val="0"/>
      <w:marBottom w:val="0"/>
      <w:divBdr>
        <w:top w:val="none" w:sz="0" w:space="0" w:color="auto"/>
        <w:left w:val="none" w:sz="0" w:space="0" w:color="auto"/>
        <w:bottom w:val="none" w:sz="0" w:space="0" w:color="auto"/>
        <w:right w:val="none" w:sz="0" w:space="0" w:color="auto"/>
      </w:divBdr>
    </w:div>
    <w:div w:id="532498835">
      <w:bodyDiv w:val="1"/>
      <w:marLeft w:val="0"/>
      <w:marRight w:val="0"/>
      <w:marTop w:val="0"/>
      <w:marBottom w:val="0"/>
      <w:divBdr>
        <w:top w:val="none" w:sz="0" w:space="0" w:color="auto"/>
        <w:left w:val="none" w:sz="0" w:space="0" w:color="auto"/>
        <w:bottom w:val="none" w:sz="0" w:space="0" w:color="auto"/>
        <w:right w:val="none" w:sz="0" w:space="0" w:color="auto"/>
      </w:divBdr>
      <w:divsChild>
        <w:div w:id="543099367">
          <w:marLeft w:val="0"/>
          <w:marRight w:val="0"/>
          <w:marTop w:val="0"/>
          <w:marBottom w:val="0"/>
          <w:divBdr>
            <w:top w:val="single" w:sz="2" w:space="0" w:color="D9D9E3"/>
            <w:left w:val="single" w:sz="2" w:space="0" w:color="D9D9E3"/>
            <w:bottom w:val="single" w:sz="2" w:space="0" w:color="D9D9E3"/>
            <w:right w:val="single" w:sz="2" w:space="0" w:color="D9D9E3"/>
          </w:divBdr>
          <w:divsChild>
            <w:div w:id="781724139">
              <w:marLeft w:val="0"/>
              <w:marRight w:val="0"/>
              <w:marTop w:val="0"/>
              <w:marBottom w:val="0"/>
              <w:divBdr>
                <w:top w:val="single" w:sz="2" w:space="0" w:color="D9D9E3"/>
                <w:left w:val="single" w:sz="2" w:space="0" w:color="D9D9E3"/>
                <w:bottom w:val="single" w:sz="2" w:space="0" w:color="D9D9E3"/>
                <w:right w:val="single" w:sz="2" w:space="0" w:color="D9D9E3"/>
              </w:divBdr>
              <w:divsChild>
                <w:div w:id="462577932">
                  <w:marLeft w:val="0"/>
                  <w:marRight w:val="0"/>
                  <w:marTop w:val="0"/>
                  <w:marBottom w:val="0"/>
                  <w:divBdr>
                    <w:top w:val="single" w:sz="2" w:space="0" w:color="D9D9E3"/>
                    <w:left w:val="single" w:sz="2" w:space="0" w:color="D9D9E3"/>
                    <w:bottom w:val="single" w:sz="2" w:space="0" w:color="D9D9E3"/>
                    <w:right w:val="single" w:sz="2" w:space="0" w:color="D9D9E3"/>
                  </w:divBdr>
                  <w:divsChild>
                    <w:div w:id="1958758926">
                      <w:marLeft w:val="0"/>
                      <w:marRight w:val="0"/>
                      <w:marTop w:val="0"/>
                      <w:marBottom w:val="0"/>
                      <w:divBdr>
                        <w:top w:val="single" w:sz="2" w:space="0" w:color="D9D9E3"/>
                        <w:left w:val="single" w:sz="2" w:space="0" w:color="D9D9E3"/>
                        <w:bottom w:val="single" w:sz="2" w:space="0" w:color="D9D9E3"/>
                        <w:right w:val="single" w:sz="2" w:space="0" w:color="D9D9E3"/>
                      </w:divBdr>
                      <w:divsChild>
                        <w:div w:id="523591987">
                          <w:marLeft w:val="0"/>
                          <w:marRight w:val="0"/>
                          <w:marTop w:val="0"/>
                          <w:marBottom w:val="0"/>
                          <w:divBdr>
                            <w:top w:val="single" w:sz="2" w:space="0" w:color="auto"/>
                            <w:left w:val="single" w:sz="2" w:space="0" w:color="auto"/>
                            <w:bottom w:val="single" w:sz="6" w:space="0" w:color="auto"/>
                            <w:right w:val="single" w:sz="2" w:space="0" w:color="auto"/>
                          </w:divBdr>
                          <w:divsChild>
                            <w:div w:id="157310149">
                              <w:marLeft w:val="0"/>
                              <w:marRight w:val="0"/>
                              <w:marTop w:val="100"/>
                              <w:marBottom w:val="100"/>
                              <w:divBdr>
                                <w:top w:val="single" w:sz="2" w:space="0" w:color="D9D9E3"/>
                                <w:left w:val="single" w:sz="2" w:space="0" w:color="D9D9E3"/>
                                <w:bottom w:val="single" w:sz="2" w:space="0" w:color="D9D9E3"/>
                                <w:right w:val="single" w:sz="2" w:space="0" w:color="D9D9E3"/>
                              </w:divBdr>
                              <w:divsChild>
                                <w:div w:id="1633052322">
                                  <w:marLeft w:val="0"/>
                                  <w:marRight w:val="0"/>
                                  <w:marTop w:val="0"/>
                                  <w:marBottom w:val="0"/>
                                  <w:divBdr>
                                    <w:top w:val="single" w:sz="2" w:space="0" w:color="D9D9E3"/>
                                    <w:left w:val="single" w:sz="2" w:space="0" w:color="D9D9E3"/>
                                    <w:bottom w:val="single" w:sz="2" w:space="0" w:color="D9D9E3"/>
                                    <w:right w:val="single" w:sz="2" w:space="0" w:color="D9D9E3"/>
                                  </w:divBdr>
                                  <w:divsChild>
                                    <w:div w:id="1976906785">
                                      <w:marLeft w:val="0"/>
                                      <w:marRight w:val="0"/>
                                      <w:marTop w:val="0"/>
                                      <w:marBottom w:val="0"/>
                                      <w:divBdr>
                                        <w:top w:val="single" w:sz="2" w:space="0" w:color="D9D9E3"/>
                                        <w:left w:val="single" w:sz="2" w:space="0" w:color="D9D9E3"/>
                                        <w:bottom w:val="single" w:sz="2" w:space="0" w:color="D9D9E3"/>
                                        <w:right w:val="single" w:sz="2" w:space="0" w:color="D9D9E3"/>
                                      </w:divBdr>
                                      <w:divsChild>
                                        <w:div w:id="369041176">
                                          <w:marLeft w:val="0"/>
                                          <w:marRight w:val="0"/>
                                          <w:marTop w:val="0"/>
                                          <w:marBottom w:val="0"/>
                                          <w:divBdr>
                                            <w:top w:val="single" w:sz="2" w:space="0" w:color="D9D9E3"/>
                                            <w:left w:val="single" w:sz="2" w:space="0" w:color="D9D9E3"/>
                                            <w:bottom w:val="single" w:sz="2" w:space="0" w:color="D9D9E3"/>
                                            <w:right w:val="single" w:sz="2" w:space="0" w:color="D9D9E3"/>
                                          </w:divBdr>
                                          <w:divsChild>
                                            <w:div w:id="1848790385">
                                              <w:marLeft w:val="0"/>
                                              <w:marRight w:val="0"/>
                                              <w:marTop w:val="0"/>
                                              <w:marBottom w:val="0"/>
                                              <w:divBdr>
                                                <w:top w:val="single" w:sz="2" w:space="0" w:color="D9D9E3"/>
                                                <w:left w:val="single" w:sz="2" w:space="0" w:color="D9D9E3"/>
                                                <w:bottom w:val="single" w:sz="2" w:space="0" w:color="D9D9E3"/>
                                                <w:right w:val="single" w:sz="2" w:space="0" w:color="D9D9E3"/>
                                              </w:divBdr>
                                              <w:divsChild>
                                                <w:div w:id="2031799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76319896">
          <w:marLeft w:val="0"/>
          <w:marRight w:val="0"/>
          <w:marTop w:val="0"/>
          <w:marBottom w:val="0"/>
          <w:divBdr>
            <w:top w:val="none" w:sz="0" w:space="0" w:color="auto"/>
            <w:left w:val="none" w:sz="0" w:space="0" w:color="auto"/>
            <w:bottom w:val="none" w:sz="0" w:space="0" w:color="auto"/>
            <w:right w:val="none" w:sz="0" w:space="0" w:color="auto"/>
          </w:divBdr>
        </w:div>
      </w:divsChild>
    </w:div>
    <w:div w:id="540750945">
      <w:bodyDiv w:val="1"/>
      <w:marLeft w:val="0"/>
      <w:marRight w:val="0"/>
      <w:marTop w:val="0"/>
      <w:marBottom w:val="0"/>
      <w:divBdr>
        <w:top w:val="none" w:sz="0" w:space="0" w:color="auto"/>
        <w:left w:val="none" w:sz="0" w:space="0" w:color="auto"/>
        <w:bottom w:val="none" w:sz="0" w:space="0" w:color="auto"/>
        <w:right w:val="none" w:sz="0" w:space="0" w:color="auto"/>
      </w:divBdr>
    </w:div>
    <w:div w:id="581183813">
      <w:bodyDiv w:val="1"/>
      <w:marLeft w:val="0"/>
      <w:marRight w:val="0"/>
      <w:marTop w:val="0"/>
      <w:marBottom w:val="0"/>
      <w:divBdr>
        <w:top w:val="none" w:sz="0" w:space="0" w:color="auto"/>
        <w:left w:val="none" w:sz="0" w:space="0" w:color="auto"/>
        <w:bottom w:val="none" w:sz="0" w:space="0" w:color="auto"/>
        <w:right w:val="none" w:sz="0" w:space="0" w:color="auto"/>
      </w:divBdr>
    </w:div>
    <w:div w:id="597367452">
      <w:bodyDiv w:val="1"/>
      <w:marLeft w:val="0"/>
      <w:marRight w:val="0"/>
      <w:marTop w:val="0"/>
      <w:marBottom w:val="0"/>
      <w:divBdr>
        <w:top w:val="none" w:sz="0" w:space="0" w:color="auto"/>
        <w:left w:val="none" w:sz="0" w:space="0" w:color="auto"/>
        <w:bottom w:val="none" w:sz="0" w:space="0" w:color="auto"/>
        <w:right w:val="none" w:sz="0" w:space="0" w:color="auto"/>
      </w:divBdr>
    </w:div>
    <w:div w:id="616372583">
      <w:bodyDiv w:val="1"/>
      <w:marLeft w:val="0"/>
      <w:marRight w:val="0"/>
      <w:marTop w:val="0"/>
      <w:marBottom w:val="0"/>
      <w:divBdr>
        <w:top w:val="none" w:sz="0" w:space="0" w:color="auto"/>
        <w:left w:val="none" w:sz="0" w:space="0" w:color="auto"/>
        <w:bottom w:val="none" w:sz="0" w:space="0" w:color="auto"/>
        <w:right w:val="none" w:sz="0" w:space="0" w:color="auto"/>
      </w:divBdr>
    </w:div>
    <w:div w:id="648823102">
      <w:bodyDiv w:val="1"/>
      <w:marLeft w:val="0"/>
      <w:marRight w:val="0"/>
      <w:marTop w:val="0"/>
      <w:marBottom w:val="0"/>
      <w:divBdr>
        <w:top w:val="none" w:sz="0" w:space="0" w:color="auto"/>
        <w:left w:val="none" w:sz="0" w:space="0" w:color="auto"/>
        <w:bottom w:val="none" w:sz="0" w:space="0" w:color="auto"/>
        <w:right w:val="none" w:sz="0" w:space="0" w:color="auto"/>
      </w:divBdr>
    </w:div>
    <w:div w:id="679354113">
      <w:bodyDiv w:val="1"/>
      <w:marLeft w:val="0"/>
      <w:marRight w:val="0"/>
      <w:marTop w:val="0"/>
      <w:marBottom w:val="0"/>
      <w:divBdr>
        <w:top w:val="none" w:sz="0" w:space="0" w:color="auto"/>
        <w:left w:val="none" w:sz="0" w:space="0" w:color="auto"/>
        <w:bottom w:val="none" w:sz="0" w:space="0" w:color="auto"/>
        <w:right w:val="none" w:sz="0" w:space="0" w:color="auto"/>
      </w:divBdr>
    </w:div>
    <w:div w:id="683895173">
      <w:bodyDiv w:val="1"/>
      <w:marLeft w:val="0"/>
      <w:marRight w:val="0"/>
      <w:marTop w:val="0"/>
      <w:marBottom w:val="0"/>
      <w:divBdr>
        <w:top w:val="none" w:sz="0" w:space="0" w:color="auto"/>
        <w:left w:val="none" w:sz="0" w:space="0" w:color="auto"/>
        <w:bottom w:val="none" w:sz="0" w:space="0" w:color="auto"/>
        <w:right w:val="none" w:sz="0" w:space="0" w:color="auto"/>
      </w:divBdr>
    </w:div>
    <w:div w:id="711612443">
      <w:bodyDiv w:val="1"/>
      <w:marLeft w:val="0"/>
      <w:marRight w:val="0"/>
      <w:marTop w:val="0"/>
      <w:marBottom w:val="0"/>
      <w:divBdr>
        <w:top w:val="none" w:sz="0" w:space="0" w:color="auto"/>
        <w:left w:val="none" w:sz="0" w:space="0" w:color="auto"/>
        <w:bottom w:val="none" w:sz="0" w:space="0" w:color="auto"/>
        <w:right w:val="none" w:sz="0" w:space="0" w:color="auto"/>
      </w:divBdr>
    </w:div>
    <w:div w:id="757099755">
      <w:bodyDiv w:val="1"/>
      <w:marLeft w:val="0"/>
      <w:marRight w:val="0"/>
      <w:marTop w:val="0"/>
      <w:marBottom w:val="0"/>
      <w:divBdr>
        <w:top w:val="none" w:sz="0" w:space="0" w:color="auto"/>
        <w:left w:val="none" w:sz="0" w:space="0" w:color="auto"/>
        <w:bottom w:val="none" w:sz="0" w:space="0" w:color="auto"/>
        <w:right w:val="none" w:sz="0" w:space="0" w:color="auto"/>
      </w:divBdr>
    </w:div>
    <w:div w:id="763107167">
      <w:bodyDiv w:val="1"/>
      <w:marLeft w:val="0"/>
      <w:marRight w:val="0"/>
      <w:marTop w:val="0"/>
      <w:marBottom w:val="0"/>
      <w:divBdr>
        <w:top w:val="none" w:sz="0" w:space="0" w:color="auto"/>
        <w:left w:val="none" w:sz="0" w:space="0" w:color="auto"/>
        <w:bottom w:val="none" w:sz="0" w:space="0" w:color="auto"/>
        <w:right w:val="none" w:sz="0" w:space="0" w:color="auto"/>
      </w:divBdr>
    </w:div>
    <w:div w:id="841942157">
      <w:bodyDiv w:val="1"/>
      <w:marLeft w:val="0"/>
      <w:marRight w:val="0"/>
      <w:marTop w:val="0"/>
      <w:marBottom w:val="0"/>
      <w:divBdr>
        <w:top w:val="none" w:sz="0" w:space="0" w:color="auto"/>
        <w:left w:val="none" w:sz="0" w:space="0" w:color="auto"/>
        <w:bottom w:val="none" w:sz="0" w:space="0" w:color="auto"/>
        <w:right w:val="none" w:sz="0" w:space="0" w:color="auto"/>
      </w:divBdr>
    </w:div>
    <w:div w:id="849874718">
      <w:bodyDiv w:val="1"/>
      <w:marLeft w:val="0"/>
      <w:marRight w:val="0"/>
      <w:marTop w:val="0"/>
      <w:marBottom w:val="0"/>
      <w:divBdr>
        <w:top w:val="none" w:sz="0" w:space="0" w:color="auto"/>
        <w:left w:val="none" w:sz="0" w:space="0" w:color="auto"/>
        <w:bottom w:val="none" w:sz="0" w:space="0" w:color="auto"/>
        <w:right w:val="none" w:sz="0" w:space="0" w:color="auto"/>
      </w:divBdr>
    </w:div>
    <w:div w:id="855534181">
      <w:bodyDiv w:val="1"/>
      <w:marLeft w:val="0"/>
      <w:marRight w:val="0"/>
      <w:marTop w:val="0"/>
      <w:marBottom w:val="0"/>
      <w:divBdr>
        <w:top w:val="none" w:sz="0" w:space="0" w:color="auto"/>
        <w:left w:val="none" w:sz="0" w:space="0" w:color="auto"/>
        <w:bottom w:val="none" w:sz="0" w:space="0" w:color="auto"/>
        <w:right w:val="none" w:sz="0" w:space="0" w:color="auto"/>
      </w:divBdr>
    </w:div>
    <w:div w:id="882711345">
      <w:bodyDiv w:val="1"/>
      <w:marLeft w:val="0"/>
      <w:marRight w:val="0"/>
      <w:marTop w:val="0"/>
      <w:marBottom w:val="0"/>
      <w:divBdr>
        <w:top w:val="none" w:sz="0" w:space="0" w:color="auto"/>
        <w:left w:val="none" w:sz="0" w:space="0" w:color="auto"/>
        <w:bottom w:val="none" w:sz="0" w:space="0" w:color="auto"/>
        <w:right w:val="none" w:sz="0" w:space="0" w:color="auto"/>
      </w:divBdr>
    </w:div>
    <w:div w:id="901793933">
      <w:bodyDiv w:val="1"/>
      <w:marLeft w:val="0"/>
      <w:marRight w:val="0"/>
      <w:marTop w:val="0"/>
      <w:marBottom w:val="0"/>
      <w:divBdr>
        <w:top w:val="none" w:sz="0" w:space="0" w:color="auto"/>
        <w:left w:val="none" w:sz="0" w:space="0" w:color="auto"/>
        <w:bottom w:val="none" w:sz="0" w:space="0" w:color="auto"/>
        <w:right w:val="none" w:sz="0" w:space="0" w:color="auto"/>
      </w:divBdr>
    </w:div>
    <w:div w:id="903027458">
      <w:bodyDiv w:val="1"/>
      <w:marLeft w:val="0"/>
      <w:marRight w:val="0"/>
      <w:marTop w:val="0"/>
      <w:marBottom w:val="0"/>
      <w:divBdr>
        <w:top w:val="none" w:sz="0" w:space="0" w:color="auto"/>
        <w:left w:val="none" w:sz="0" w:space="0" w:color="auto"/>
        <w:bottom w:val="none" w:sz="0" w:space="0" w:color="auto"/>
        <w:right w:val="none" w:sz="0" w:space="0" w:color="auto"/>
      </w:divBdr>
    </w:div>
    <w:div w:id="923611727">
      <w:bodyDiv w:val="1"/>
      <w:marLeft w:val="0"/>
      <w:marRight w:val="0"/>
      <w:marTop w:val="0"/>
      <w:marBottom w:val="0"/>
      <w:divBdr>
        <w:top w:val="none" w:sz="0" w:space="0" w:color="auto"/>
        <w:left w:val="none" w:sz="0" w:space="0" w:color="auto"/>
        <w:bottom w:val="none" w:sz="0" w:space="0" w:color="auto"/>
        <w:right w:val="none" w:sz="0" w:space="0" w:color="auto"/>
      </w:divBdr>
    </w:div>
    <w:div w:id="935407241">
      <w:bodyDiv w:val="1"/>
      <w:marLeft w:val="0"/>
      <w:marRight w:val="0"/>
      <w:marTop w:val="0"/>
      <w:marBottom w:val="0"/>
      <w:divBdr>
        <w:top w:val="none" w:sz="0" w:space="0" w:color="auto"/>
        <w:left w:val="none" w:sz="0" w:space="0" w:color="auto"/>
        <w:bottom w:val="none" w:sz="0" w:space="0" w:color="auto"/>
        <w:right w:val="none" w:sz="0" w:space="0" w:color="auto"/>
      </w:divBdr>
    </w:div>
    <w:div w:id="940532414">
      <w:bodyDiv w:val="1"/>
      <w:marLeft w:val="0"/>
      <w:marRight w:val="0"/>
      <w:marTop w:val="0"/>
      <w:marBottom w:val="0"/>
      <w:divBdr>
        <w:top w:val="none" w:sz="0" w:space="0" w:color="auto"/>
        <w:left w:val="none" w:sz="0" w:space="0" w:color="auto"/>
        <w:bottom w:val="none" w:sz="0" w:space="0" w:color="auto"/>
        <w:right w:val="none" w:sz="0" w:space="0" w:color="auto"/>
      </w:divBdr>
    </w:div>
    <w:div w:id="1003121772">
      <w:bodyDiv w:val="1"/>
      <w:marLeft w:val="0"/>
      <w:marRight w:val="0"/>
      <w:marTop w:val="0"/>
      <w:marBottom w:val="0"/>
      <w:divBdr>
        <w:top w:val="none" w:sz="0" w:space="0" w:color="auto"/>
        <w:left w:val="none" w:sz="0" w:space="0" w:color="auto"/>
        <w:bottom w:val="none" w:sz="0" w:space="0" w:color="auto"/>
        <w:right w:val="none" w:sz="0" w:space="0" w:color="auto"/>
      </w:divBdr>
    </w:div>
    <w:div w:id="1016007718">
      <w:bodyDiv w:val="1"/>
      <w:marLeft w:val="0"/>
      <w:marRight w:val="0"/>
      <w:marTop w:val="0"/>
      <w:marBottom w:val="0"/>
      <w:divBdr>
        <w:top w:val="none" w:sz="0" w:space="0" w:color="auto"/>
        <w:left w:val="none" w:sz="0" w:space="0" w:color="auto"/>
        <w:bottom w:val="none" w:sz="0" w:space="0" w:color="auto"/>
        <w:right w:val="none" w:sz="0" w:space="0" w:color="auto"/>
      </w:divBdr>
    </w:div>
    <w:div w:id="1032458479">
      <w:bodyDiv w:val="1"/>
      <w:marLeft w:val="0"/>
      <w:marRight w:val="0"/>
      <w:marTop w:val="0"/>
      <w:marBottom w:val="0"/>
      <w:divBdr>
        <w:top w:val="none" w:sz="0" w:space="0" w:color="auto"/>
        <w:left w:val="none" w:sz="0" w:space="0" w:color="auto"/>
        <w:bottom w:val="none" w:sz="0" w:space="0" w:color="auto"/>
        <w:right w:val="none" w:sz="0" w:space="0" w:color="auto"/>
      </w:divBdr>
    </w:div>
    <w:div w:id="1042678738">
      <w:bodyDiv w:val="1"/>
      <w:marLeft w:val="0"/>
      <w:marRight w:val="0"/>
      <w:marTop w:val="0"/>
      <w:marBottom w:val="0"/>
      <w:divBdr>
        <w:top w:val="none" w:sz="0" w:space="0" w:color="auto"/>
        <w:left w:val="none" w:sz="0" w:space="0" w:color="auto"/>
        <w:bottom w:val="none" w:sz="0" w:space="0" w:color="auto"/>
        <w:right w:val="none" w:sz="0" w:space="0" w:color="auto"/>
      </w:divBdr>
      <w:divsChild>
        <w:div w:id="237836205">
          <w:marLeft w:val="0"/>
          <w:marRight w:val="0"/>
          <w:marTop w:val="0"/>
          <w:marBottom w:val="0"/>
          <w:divBdr>
            <w:top w:val="single" w:sz="2" w:space="0" w:color="D9D9E3"/>
            <w:left w:val="single" w:sz="2" w:space="0" w:color="D9D9E3"/>
            <w:bottom w:val="single" w:sz="2" w:space="0" w:color="D9D9E3"/>
            <w:right w:val="single" w:sz="2" w:space="0" w:color="D9D9E3"/>
          </w:divBdr>
          <w:divsChild>
            <w:div w:id="1753309955">
              <w:marLeft w:val="0"/>
              <w:marRight w:val="0"/>
              <w:marTop w:val="0"/>
              <w:marBottom w:val="0"/>
              <w:divBdr>
                <w:top w:val="single" w:sz="2" w:space="0" w:color="D9D9E3"/>
                <w:left w:val="single" w:sz="2" w:space="0" w:color="D9D9E3"/>
                <w:bottom w:val="single" w:sz="2" w:space="0" w:color="D9D9E3"/>
                <w:right w:val="single" w:sz="2" w:space="0" w:color="D9D9E3"/>
              </w:divBdr>
              <w:divsChild>
                <w:div w:id="1146816495">
                  <w:marLeft w:val="0"/>
                  <w:marRight w:val="0"/>
                  <w:marTop w:val="0"/>
                  <w:marBottom w:val="0"/>
                  <w:divBdr>
                    <w:top w:val="single" w:sz="2" w:space="0" w:color="D9D9E3"/>
                    <w:left w:val="single" w:sz="2" w:space="0" w:color="D9D9E3"/>
                    <w:bottom w:val="single" w:sz="2" w:space="0" w:color="D9D9E3"/>
                    <w:right w:val="single" w:sz="2" w:space="0" w:color="D9D9E3"/>
                  </w:divBdr>
                  <w:divsChild>
                    <w:div w:id="1472089258">
                      <w:marLeft w:val="0"/>
                      <w:marRight w:val="0"/>
                      <w:marTop w:val="0"/>
                      <w:marBottom w:val="0"/>
                      <w:divBdr>
                        <w:top w:val="single" w:sz="2" w:space="0" w:color="D9D9E3"/>
                        <w:left w:val="single" w:sz="2" w:space="0" w:color="D9D9E3"/>
                        <w:bottom w:val="single" w:sz="2" w:space="0" w:color="D9D9E3"/>
                        <w:right w:val="single" w:sz="2" w:space="0" w:color="D9D9E3"/>
                      </w:divBdr>
                      <w:divsChild>
                        <w:div w:id="554127955">
                          <w:marLeft w:val="0"/>
                          <w:marRight w:val="0"/>
                          <w:marTop w:val="0"/>
                          <w:marBottom w:val="0"/>
                          <w:divBdr>
                            <w:top w:val="single" w:sz="2" w:space="0" w:color="auto"/>
                            <w:left w:val="single" w:sz="2" w:space="0" w:color="auto"/>
                            <w:bottom w:val="single" w:sz="6" w:space="0" w:color="auto"/>
                            <w:right w:val="single" w:sz="2" w:space="0" w:color="auto"/>
                          </w:divBdr>
                          <w:divsChild>
                            <w:div w:id="1625189691">
                              <w:marLeft w:val="0"/>
                              <w:marRight w:val="0"/>
                              <w:marTop w:val="100"/>
                              <w:marBottom w:val="100"/>
                              <w:divBdr>
                                <w:top w:val="single" w:sz="2" w:space="0" w:color="D9D9E3"/>
                                <w:left w:val="single" w:sz="2" w:space="0" w:color="D9D9E3"/>
                                <w:bottom w:val="single" w:sz="2" w:space="0" w:color="D9D9E3"/>
                                <w:right w:val="single" w:sz="2" w:space="0" w:color="D9D9E3"/>
                              </w:divBdr>
                              <w:divsChild>
                                <w:div w:id="858281222">
                                  <w:marLeft w:val="0"/>
                                  <w:marRight w:val="0"/>
                                  <w:marTop w:val="0"/>
                                  <w:marBottom w:val="0"/>
                                  <w:divBdr>
                                    <w:top w:val="single" w:sz="2" w:space="0" w:color="D9D9E3"/>
                                    <w:left w:val="single" w:sz="2" w:space="0" w:color="D9D9E3"/>
                                    <w:bottom w:val="single" w:sz="2" w:space="0" w:color="D9D9E3"/>
                                    <w:right w:val="single" w:sz="2" w:space="0" w:color="D9D9E3"/>
                                  </w:divBdr>
                                  <w:divsChild>
                                    <w:div w:id="1541091920">
                                      <w:marLeft w:val="0"/>
                                      <w:marRight w:val="0"/>
                                      <w:marTop w:val="0"/>
                                      <w:marBottom w:val="0"/>
                                      <w:divBdr>
                                        <w:top w:val="single" w:sz="2" w:space="0" w:color="D9D9E3"/>
                                        <w:left w:val="single" w:sz="2" w:space="0" w:color="D9D9E3"/>
                                        <w:bottom w:val="single" w:sz="2" w:space="0" w:color="D9D9E3"/>
                                        <w:right w:val="single" w:sz="2" w:space="0" w:color="D9D9E3"/>
                                      </w:divBdr>
                                      <w:divsChild>
                                        <w:div w:id="592511192">
                                          <w:marLeft w:val="0"/>
                                          <w:marRight w:val="0"/>
                                          <w:marTop w:val="0"/>
                                          <w:marBottom w:val="0"/>
                                          <w:divBdr>
                                            <w:top w:val="single" w:sz="2" w:space="0" w:color="D9D9E3"/>
                                            <w:left w:val="single" w:sz="2" w:space="0" w:color="D9D9E3"/>
                                            <w:bottom w:val="single" w:sz="2" w:space="0" w:color="D9D9E3"/>
                                            <w:right w:val="single" w:sz="2" w:space="0" w:color="D9D9E3"/>
                                          </w:divBdr>
                                          <w:divsChild>
                                            <w:div w:id="1002587599">
                                              <w:marLeft w:val="0"/>
                                              <w:marRight w:val="0"/>
                                              <w:marTop w:val="0"/>
                                              <w:marBottom w:val="0"/>
                                              <w:divBdr>
                                                <w:top w:val="single" w:sz="2" w:space="0" w:color="D9D9E3"/>
                                                <w:left w:val="single" w:sz="2" w:space="0" w:color="D9D9E3"/>
                                                <w:bottom w:val="single" w:sz="2" w:space="0" w:color="D9D9E3"/>
                                                <w:right w:val="single" w:sz="2" w:space="0" w:color="D9D9E3"/>
                                              </w:divBdr>
                                              <w:divsChild>
                                                <w:div w:id="15720365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50021898">
          <w:marLeft w:val="0"/>
          <w:marRight w:val="0"/>
          <w:marTop w:val="0"/>
          <w:marBottom w:val="0"/>
          <w:divBdr>
            <w:top w:val="none" w:sz="0" w:space="0" w:color="auto"/>
            <w:left w:val="none" w:sz="0" w:space="0" w:color="auto"/>
            <w:bottom w:val="none" w:sz="0" w:space="0" w:color="auto"/>
            <w:right w:val="none" w:sz="0" w:space="0" w:color="auto"/>
          </w:divBdr>
        </w:div>
      </w:divsChild>
    </w:div>
    <w:div w:id="1047992896">
      <w:bodyDiv w:val="1"/>
      <w:marLeft w:val="0"/>
      <w:marRight w:val="0"/>
      <w:marTop w:val="0"/>
      <w:marBottom w:val="0"/>
      <w:divBdr>
        <w:top w:val="none" w:sz="0" w:space="0" w:color="auto"/>
        <w:left w:val="none" w:sz="0" w:space="0" w:color="auto"/>
        <w:bottom w:val="none" w:sz="0" w:space="0" w:color="auto"/>
        <w:right w:val="none" w:sz="0" w:space="0" w:color="auto"/>
      </w:divBdr>
    </w:div>
    <w:div w:id="1051419861">
      <w:bodyDiv w:val="1"/>
      <w:marLeft w:val="0"/>
      <w:marRight w:val="0"/>
      <w:marTop w:val="0"/>
      <w:marBottom w:val="0"/>
      <w:divBdr>
        <w:top w:val="none" w:sz="0" w:space="0" w:color="auto"/>
        <w:left w:val="none" w:sz="0" w:space="0" w:color="auto"/>
        <w:bottom w:val="none" w:sz="0" w:space="0" w:color="auto"/>
        <w:right w:val="none" w:sz="0" w:space="0" w:color="auto"/>
      </w:divBdr>
    </w:div>
    <w:div w:id="1080561793">
      <w:bodyDiv w:val="1"/>
      <w:marLeft w:val="0"/>
      <w:marRight w:val="0"/>
      <w:marTop w:val="0"/>
      <w:marBottom w:val="0"/>
      <w:divBdr>
        <w:top w:val="none" w:sz="0" w:space="0" w:color="auto"/>
        <w:left w:val="none" w:sz="0" w:space="0" w:color="auto"/>
        <w:bottom w:val="none" w:sz="0" w:space="0" w:color="auto"/>
        <w:right w:val="none" w:sz="0" w:space="0" w:color="auto"/>
      </w:divBdr>
      <w:divsChild>
        <w:div w:id="1108155442">
          <w:marLeft w:val="0"/>
          <w:marRight w:val="0"/>
          <w:marTop w:val="0"/>
          <w:marBottom w:val="0"/>
          <w:divBdr>
            <w:top w:val="single" w:sz="2" w:space="0" w:color="auto"/>
            <w:left w:val="single" w:sz="2" w:space="0" w:color="auto"/>
            <w:bottom w:val="single" w:sz="6" w:space="0" w:color="auto"/>
            <w:right w:val="single" w:sz="2" w:space="0" w:color="auto"/>
          </w:divBdr>
          <w:divsChild>
            <w:div w:id="914124779">
              <w:marLeft w:val="0"/>
              <w:marRight w:val="0"/>
              <w:marTop w:val="100"/>
              <w:marBottom w:val="100"/>
              <w:divBdr>
                <w:top w:val="single" w:sz="2" w:space="0" w:color="D9D9E3"/>
                <w:left w:val="single" w:sz="2" w:space="0" w:color="D9D9E3"/>
                <w:bottom w:val="single" w:sz="2" w:space="0" w:color="D9D9E3"/>
                <w:right w:val="single" w:sz="2" w:space="0" w:color="D9D9E3"/>
              </w:divBdr>
              <w:divsChild>
                <w:div w:id="379476863">
                  <w:marLeft w:val="0"/>
                  <w:marRight w:val="0"/>
                  <w:marTop w:val="0"/>
                  <w:marBottom w:val="0"/>
                  <w:divBdr>
                    <w:top w:val="single" w:sz="2" w:space="0" w:color="D9D9E3"/>
                    <w:left w:val="single" w:sz="2" w:space="0" w:color="D9D9E3"/>
                    <w:bottom w:val="single" w:sz="2" w:space="0" w:color="D9D9E3"/>
                    <w:right w:val="single" w:sz="2" w:space="0" w:color="D9D9E3"/>
                  </w:divBdr>
                  <w:divsChild>
                    <w:div w:id="484707533">
                      <w:marLeft w:val="0"/>
                      <w:marRight w:val="0"/>
                      <w:marTop w:val="0"/>
                      <w:marBottom w:val="0"/>
                      <w:divBdr>
                        <w:top w:val="single" w:sz="2" w:space="0" w:color="D9D9E3"/>
                        <w:left w:val="single" w:sz="2" w:space="0" w:color="D9D9E3"/>
                        <w:bottom w:val="single" w:sz="2" w:space="0" w:color="D9D9E3"/>
                        <w:right w:val="single" w:sz="2" w:space="0" w:color="D9D9E3"/>
                      </w:divBdr>
                      <w:divsChild>
                        <w:div w:id="947926137">
                          <w:marLeft w:val="0"/>
                          <w:marRight w:val="0"/>
                          <w:marTop w:val="0"/>
                          <w:marBottom w:val="0"/>
                          <w:divBdr>
                            <w:top w:val="single" w:sz="2" w:space="0" w:color="D9D9E3"/>
                            <w:left w:val="single" w:sz="2" w:space="0" w:color="D9D9E3"/>
                            <w:bottom w:val="single" w:sz="2" w:space="0" w:color="D9D9E3"/>
                            <w:right w:val="single" w:sz="2" w:space="0" w:color="D9D9E3"/>
                          </w:divBdr>
                          <w:divsChild>
                            <w:div w:id="1994720518">
                              <w:marLeft w:val="0"/>
                              <w:marRight w:val="0"/>
                              <w:marTop w:val="0"/>
                              <w:marBottom w:val="0"/>
                              <w:divBdr>
                                <w:top w:val="single" w:sz="2" w:space="0" w:color="D9D9E3"/>
                                <w:left w:val="single" w:sz="2" w:space="0" w:color="D9D9E3"/>
                                <w:bottom w:val="single" w:sz="2" w:space="0" w:color="D9D9E3"/>
                                <w:right w:val="single" w:sz="2" w:space="0" w:color="D9D9E3"/>
                              </w:divBdr>
                              <w:divsChild>
                                <w:div w:id="5266770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81370713">
      <w:bodyDiv w:val="1"/>
      <w:marLeft w:val="0"/>
      <w:marRight w:val="0"/>
      <w:marTop w:val="0"/>
      <w:marBottom w:val="0"/>
      <w:divBdr>
        <w:top w:val="none" w:sz="0" w:space="0" w:color="auto"/>
        <w:left w:val="none" w:sz="0" w:space="0" w:color="auto"/>
        <w:bottom w:val="none" w:sz="0" w:space="0" w:color="auto"/>
        <w:right w:val="none" w:sz="0" w:space="0" w:color="auto"/>
      </w:divBdr>
    </w:div>
    <w:div w:id="1099984906">
      <w:bodyDiv w:val="1"/>
      <w:marLeft w:val="0"/>
      <w:marRight w:val="0"/>
      <w:marTop w:val="0"/>
      <w:marBottom w:val="0"/>
      <w:divBdr>
        <w:top w:val="none" w:sz="0" w:space="0" w:color="auto"/>
        <w:left w:val="none" w:sz="0" w:space="0" w:color="auto"/>
        <w:bottom w:val="none" w:sz="0" w:space="0" w:color="auto"/>
        <w:right w:val="none" w:sz="0" w:space="0" w:color="auto"/>
      </w:divBdr>
    </w:div>
    <w:div w:id="1107192004">
      <w:bodyDiv w:val="1"/>
      <w:marLeft w:val="0"/>
      <w:marRight w:val="0"/>
      <w:marTop w:val="0"/>
      <w:marBottom w:val="0"/>
      <w:divBdr>
        <w:top w:val="none" w:sz="0" w:space="0" w:color="auto"/>
        <w:left w:val="none" w:sz="0" w:space="0" w:color="auto"/>
        <w:bottom w:val="none" w:sz="0" w:space="0" w:color="auto"/>
        <w:right w:val="none" w:sz="0" w:space="0" w:color="auto"/>
      </w:divBdr>
    </w:div>
    <w:div w:id="1176382951">
      <w:bodyDiv w:val="1"/>
      <w:marLeft w:val="0"/>
      <w:marRight w:val="0"/>
      <w:marTop w:val="0"/>
      <w:marBottom w:val="0"/>
      <w:divBdr>
        <w:top w:val="none" w:sz="0" w:space="0" w:color="auto"/>
        <w:left w:val="none" w:sz="0" w:space="0" w:color="auto"/>
        <w:bottom w:val="none" w:sz="0" w:space="0" w:color="auto"/>
        <w:right w:val="none" w:sz="0" w:space="0" w:color="auto"/>
      </w:divBdr>
    </w:div>
    <w:div w:id="1237401571">
      <w:bodyDiv w:val="1"/>
      <w:marLeft w:val="0"/>
      <w:marRight w:val="0"/>
      <w:marTop w:val="0"/>
      <w:marBottom w:val="0"/>
      <w:divBdr>
        <w:top w:val="none" w:sz="0" w:space="0" w:color="auto"/>
        <w:left w:val="none" w:sz="0" w:space="0" w:color="auto"/>
        <w:bottom w:val="none" w:sz="0" w:space="0" w:color="auto"/>
        <w:right w:val="none" w:sz="0" w:space="0" w:color="auto"/>
      </w:divBdr>
    </w:div>
    <w:div w:id="1253007282">
      <w:bodyDiv w:val="1"/>
      <w:marLeft w:val="0"/>
      <w:marRight w:val="0"/>
      <w:marTop w:val="0"/>
      <w:marBottom w:val="0"/>
      <w:divBdr>
        <w:top w:val="none" w:sz="0" w:space="0" w:color="auto"/>
        <w:left w:val="none" w:sz="0" w:space="0" w:color="auto"/>
        <w:bottom w:val="none" w:sz="0" w:space="0" w:color="auto"/>
        <w:right w:val="none" w:sz="0" w:space="0" w:color="auto"/>
      </w:divBdr>
    </w:div>
    <w:div w:id="1271474504">
      <w:bodyDiv w:val="1"/>
      <w:marLeft w:val="0"/>
      <w:marRight w:val="0"/>
      <w:marTop w:val="0"/>
      <w:marBottom w:val="0"/>
      <w:divBdr>
        <w:top w:val="none" w:sz="0" w:space="0" w:color="auto"/>
        <w:left w:val="none" w:sz="0" w:space="0" w:color="auto"/>
        <w:bottom w:val="none" w:sz="0" w:space="0" w:color="auto"/>
        <w:right w:val="none" w:sz="0" w:space="0" w:color="auto"/>
      </w:divBdr>
      <w:divsChild>
        <w:div w:id="1977373820">
          <w:marLeft w:val="0"/>
          <w:marRight w:val="0"/>
          <w:marTop w:val="0"/>
          <w:marBottom w:val="0"/>
          <w:divBdr>
            <w:top w:val="none" w:sz="0" w:space="0" w:color="auto"/>
            <w:left w:val="none" w:sz="0" w:space="0" w:color="auto"/>
            <w:bottom w:val="none" w:sz="0" w:space="0" w:color="auto"/>
            <w:right w:val="none" w:sz="0" w:space="0" w:color="auto"/>
          </w:divBdr>
        </w:div>
        <w:div w:id="1125852216">
          <w:marLeft w:val="0"/>
          <w:marRight w:val="0"/>
          <w:marTop w:val="0"/>
          <w:marBottom w:val="0"/>
          <w:divBdr>
            <w:top w:val="none" w:sz="0" w:space="0" w:color="auto"/>
            <w:left w:val="none" w:sz="0" w:space="0" w:color="auto"/>
            <w:bottom w:val="none" w:sz="0" w:space="0" w:color="auto"/>
            <w:right w:val="none" w:sz="0" w:space="0" w:color="auto"/>
          </w:divBdr>
        </w:div>
        <w:div w:id="436560318">
          <w:marLeft w:val="0"/>
          <w:marRight w:val="0"/>
          <w:marTop w:val="0"/>
          <w:marBottom w:val="0"/>
          <w:divBdr>
            <w:top w:val="none" w:sz="0" w:space="0" w:color="auto"/>
            <w:left w:val="none" w:sz="0" w:space="0" w:color="auto"/>
            <w:bottom w:val="none" w:sz="0" w:space="0" w:color="auto"/>
            <w:right w:val="none" w:sz="0" w:space="0" w:color="auto"/>
          </w:divBdr>
          <w:divsChild>
            <w:div w:id="7636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64330">
      <w:bodyDiv w:val="1"/>
      <w:marLeft w:val="0"/>
      <w:marRight w:val="0"/>
      <w:marTop w:val="0"/>
      <w:marBottom w:val="0"/>
      <w:divBdr>
        <w:top w:val="none" w:sz="0" w:space="0" w:color="auto"/>
        <w:left w:val="none" w:sz="0" w:space="0" w:color="auto"/>
        <w:bottom w:val="none" w:sz="0" w:space="0" w:color="auto"/>
        <w:right w:val="none" w:sz="0" w:space="0" w:color="auto"/>
      </w:divBdr>
    </w:div>
    <w:div w:id="1290475785">
      <w:bodyDiv w:val="1"/>
      <w:marLeft w:val="0"/>
      <w:marRight w:val="0"/>
      <w:marTop w:val="0"/>
      <w:marBottom w:val="0"/>
      <w:divBdr>
        <w:top w:val="none" w:sz="0" w:space="0" w:color="auto"/>
        <w:left w:val="none" w:sz="0" w:space="0" w:color="auto"/>
        <w:bottom w:val="none" w:sz="0" w:space="0" w:color="auto"/>
        <w:right w:val="none" w:sz="0" w:space="0" w:color="auto"/>
      </w:divBdr>
    </w:div>
    <w:div w:id="1312831501">
      <w:bodyDiv w:val="1"/>
      <w:marLeft w:val="0"/>
      <w:marRight w:val="0"/>
      <w:marTop w:val="0"/>
      <w:marBottom w:val="0"/>
      <w:divBdr>
        <w:top w:val="none" w:sz="0" w:space="0" w:color="auto"/>
        <w:left w:val="none" w:sz="0" w:space="0" w:color="auto"/>
        <w:bottom w:val="none" w:sz="0" w:space="0" w:color="auto"/>
        <w:right w:val="none" w:sz="0" w:space="0" w:color="auto"/>
      </w:divBdr>
    </w:div>
    <w:div w:id="1350139355">
      <w:bodyDiv w:val="1"/>
      <w:marLeft w:val="0"/>
      <w:marRight w:val="0"/>
      <w:marTop w:val="0"/>
      <w:marBottom w:val="0"/>
      <w:divBdr>
        <w:top w:val="none" w:sz="0" w:space="0" w:color="auto"/>
        <w:left w:val="none" w:sz="0" w:space="0" w:color="auto"/>
        <w:bottom w:val="none" w:sz="0" w:space="0" w:color="auto"/>
        <w:right w:val="none" w:sz="0" w:space="0" w:color="auto"/>
      </w:divBdr>
    </w:div>
    <w:div w:id="1389112206">
      <w:bodyDiv w:val="1"/>
      <w:marLeft w:val="0"/>
      <w:marRight w:val="0"/>
      <w:marTop w:val="0"/>
      <w:marBottom w:val="0"/>
      <w:divBdr>
        <w:top w:val="none" w:sz="0" w:space="0" w:color="auto"/>
        <w:left w:val="none" w:sz="0" w:space="0" w:color="auto"/>
        <w:bottom w:val="none" w:sz="0" w:space="0" w:color="auto"/>
        <w:right w:val="none" w:sz="0" w:space="0" w:color="auto"/>
      </w:divBdr>
    </w:div>
    <w:div w:id="1396464636">
      <w:bodyDiv w:val="1"/>
      <w:marLeft w:val="0"/>
      <w:marRight w:val="0"/>
      <w:marTop w:val="0"/>
      <w:marBottom w:val="0"/>
      <w:divBdr>
        <w:top w:val="none" w:sz="0" w:space="0" w:color="auto"/>
        <w:left w:val="none" w:sz="0" w:space="0" w:color="auto"/>
        <w:bottom w:val="none" w:sz="0" w:space="0" w:color="auto"/>
        <w:right w:val="none" w:sz="0" w:space="0" w:color="auto"/>
      </w:divBdr>
    </w:div>
    <w:div w:id="1404915557">
      <w:bodyDiv w:val="1"/>
      <w:marLeft w:val="0"/>
      <w:marRight w:val="0"/>
      <w:marTop w:val="0"/>
      <w:marBottom w:val="0"/>
      <w:divBdr>
        <w:top w:val="none" w:sz="0" w:space="0" w:color="auto"/>
        <w:left w:val="none" w:sz="0" w:space="0" w:color="auto"/>
        <w:bottom w:val="none" w:sz="0" w:space="0" w:color="auto"/>
        <w:right w:val="none" w:sz="0" w:space="0" w:color="auto"/>
      </w:divBdr>
    </w:div>
    <w:div w:id="1412315613">
      <w:bodyDiv w:val="1"/>
      <w:marLeft w:val="0"/>
      <w:marRight w:val="0"/>
      <w:marTop w:val="0"/>
      <w:marBottom w:val="0"/>
      <w:divBdr>
        <w:top w:val="none" w:sz="0" w:space="0" w:color="auto"/>
        <w:left w:val="none" w:sz="0" w:space="0" w:color="auto"/>
        <w:bottom w:val="none" w:sz="0" w:space="0" w:color="auto"/>
        <w:right w:val="none" w:sz="0" w:space="0" w:color="auto"/>
      </w:divBdr>
    </w:div>
    <w:div w:id="1417434107">
      <w:bodyDiv w:val="1"/>
      <w:marLeft w:val="0"/>
      <w:marRight w:val="0"/>
      <w:marTop w:val="0"/>
      <w:marBottom w:val="0"/>
      <w:divBdr>
        <w:top w:val="none" w:sz="0" w:space="0" w:color="auto"/>
        <w:left w:val="none" w:sz="0" w:space="0" w:color="auto"/>
        <w:bottom w:val="none" w:sz="0" w:space="0" w:color="auto"/>
        <w:right w:val="none" w:sz="0" w:space="0" w:color="auto"/>
      </w:divBdr>
    </w:div>
    <w:div w:id="1442341863">
      <w:bodyDiv w:val="1"/>
      <w:marLeft w:val="0"/>
      <w:marRight w:val="0"/>
      <w:marTop w:val="0"/>
      <w:marBottom w:val="0"/>
      <w:divBdr>
        <w:top w:val="none" w:sz="0" w:space="0" w:color="auto"/>
        <w:left w:val="none" w:sz="0" w:space="0" w:color="auto"/>
        <w:bottom w:val="none" w:sz="0" w:space="0" w:color="auto"/>
        <w:right w:val="none" w:sz="0" w:space="0" w:color="auto"/>
      </w:divBdr>
    </w:div>
    <w:div w:id="1452164796">
      <w:bodyDiv w:val="1"/>
      <w:marLeft w:val="0"/>
      <w:marRight w:val="0"/>
      <w:marTop w:val="0"/>
      <w:marBottom w:val="0"/>
      <w:divBdr>
        <w:top w:val="none" w:sz="0" w:space="0" w:color="auto"/>
        <w:left w:val="none" w:sz="0" w:space="0" w:color="auto"/>
        <w:bottom w:val="none" w:sz="0" w:space="0" w:color="auto"/>
        <w:right w:val="none" w:sz="0" w:space="0" w:color="auto"/>
      </w:divBdr>
    </w:div>
    <w:div w:id="1455055310">
      <w:bodyDiv w:val="1"/>
      <w:marLeft w:val="0"/>
      <w:marRight w:val="0"/>
      <w:marTop w:val="0"/>
      <w:marBottom w:val="0"/>
      <w:divBdr>
        <w:top w:val="none" w:sz="0" w:space="0" w:color="auto"/>
        <w:left w:val="none" w:sz="0" w:space="0" w:color="auto"/>
        <w:bottom w:val="none" w:sz="0" w:space="0" w:color="auto"/>
        <w:right w:val="none" w:sz="0" w:space="0" w:color="auto"/>
      </w:divBdr>
    </w:div>
    <w:div w:id="1478650162">
      <w:bodyDiv w:val="1"/>
      <w:marLeft w:val="0"/>
      <w:marRight w:val="0"/>
      <w:marTop w:val="0"/>
      <w:marBottom w:val="0"/>
      <w:divBdr>
        <w:top w:val="none" w:sz="0" w:space="0" w:color="auto"/>
        <w:left w:val="none" w:sz="0" w:space="0" w:color="auto"/>
        <w:bottom w:val="none" w:sz="0" w:space="0" w:color="auto"/>
        <w:right w:val="none" w:sz="0" w:space="0" w:color="auto"/>
      </w:divBdr>
    </w:div>
    <w:div w:id="1490292656">
      <w:bodyDiv w:val="1"/>
      <w:marLeft w:val="0"/>
      <w:marRight w:val="0"/>
      <w:marTop w:val="0"/>
      <w:marBottom w:val="0"/>
      <w:divBdr>
        <w:top w:val="none" w:sz="0" w:space="0" w:color="auto"/>
        <w:left w:val="none" w:sz="0" w:space="0" w:color="auto"/>
        <w:bottom w:val="none" w:sz="0" w:space="0" w:color="auto"/>
        <w:right w:val="none" w:sz="0" w:space="0" w:color="auto"/>
      </w:divBdr>
    </w:div>
    <w:div w:id="1494450003">
      <w:bodyDiv w:val="1"/>
      <w:marLeft w:val="0"/>
      <w:marRight w:val="0"/>
      <w:marTop w:val="0"/>
      <w:marBottom w:val="0"/>
      <w:divBdr>
        <w:top w:val="none" w:sz="0" w:space="0" w:color="auto"/>
        <w:left w:val="none" w:sz="0" w:space="0" w:color="auto"/>
        <w:bottom w:val="none" w:sz="0" w:space="0" w:color="auto"/>
        <w:right w:val="none" w:sz="0" w:space="0" w:color="auto"/>
      </w:divBdr>
      <w:divsChild>
        <w:div w:id="837966549">
          <w:marLeft w:val="0"/>
          <w:marRight w:val="0"/>
          <w:marTop w:val="0"/>
          <w:marBottom w:val="0"/>
          <w:divBdr>
            <w:top w:val="single" w:sz="2" w:space="0" w:color="D9D9E3"/>
            <w:left w:val="single" w:sz="2" w:space="0" w:color="D9D9E3"/>
            <w:bottom w:val="single" w:sz="2" w:space="0" w:color="D9D9E3"/>
            <w:right w:val="single" w:sz="2" w:space="0" w:color="D9D9E3"/>
          </w:divBdr>
          <w:divsChild>
            <w:div w:id="44916180">
              <w:marLeft w:val="0"/>
              <w:marRight w:val="0"/>
              <w:marTop w:val="0"/>
              <w:marBottom w:val="0"/>
              <w:divBdr>
                <w:top w:val="single" w:sz="2" w:space="0" w:color="D9D9E3"/>
                <w:left w:val="single" w:sz="2" w:space="0" w:color="D9D9E3"/>
                <w:bottom w:val="single" w:sz="2" w:space="0" w:color="D9D9E3"/>
                <w:right w:val="single" w:sz="2" w:space="0" w:color="D9D9E3"/>
              </w:divBdr>
              <w:divsChild>
                <w:div w:id="1465537398">
                  <w:marLeft w:val="0"/>
                  <w:marRight w:val="0"/>
                  <w:marTop w:val="0"/>
                  <w:marBottom w:val="0"/>
                  <w:divBdr>
                    <w:top w:val="single" w:sz="2" w:space="0" w:color="D9D9E3"/>
                    <w:left w:val="single" w:sz="2" w:space="0" w:color="D9D9E3"/>
                    <w:bottom w:val="single" w:sz="2" w:space="0" w:color="D9D9E3"/>
                    <w:right w:val="single" w:sz="2" w:space="0" w:color="D9D9E3"/>
                  </w:divBdr>
                  <w:divsChild>
                    <w:div w:id="2001149940">
                      <w:marLeft w:val="0"/>
                      <w:marRight w:val="0"/>
                      <w:marTop w:val="0"/>
                      <w:marBottom w:val="0"/>
                      <w:divBdr>
                        <w:top w:val="single" w:sz="2" w:space="0" w:color="D9D9E3"/>
                        <w:left w:val="single" w:sz="2" w:space="0" w:color="D9D9E3"/>
                        <w:bottom w:val="single" w:sz="2" w:space="0" w:color="D9D9E3"/>
                        <w:right w:val="single" w:sz="2" w:space="0" w:color="D9D9E3"/>
                      </w:divBdr>
                      <w:divsChild>
                        <w:div w:id="1060404850">
                          <w:marLeft w:val="0"/>
                          <w:marRight w:val="0"/>
                          <w:marTop w:val="0"/>
                          <w:marBottom w:val="0"/>
                          <w:divBdr>
                            <w:top w:val="single" w:sz="2" w:space="0" w:color="auto"/>
                            <w:left w:val="single" w:sz="2" w:space="0" w:color="auto"/>
                            <w:bottom w:val="single" w:sz="6" w:space="0" w:color="auto"/>
                            <w:right w:val="single" w:sz="2" w:space="0" w:color="auto"/>
                          </w:divBdr>
                          <w:divsChild>
                            <w:div w:id="1868447917">
                              <w:marLeft w:val="0"/>
                              <w:marRight w:val="0"/>
                              <w:marTop w:val="100"/>
                              <w:marBottom w:val="100"/>
                              <w:divBdr>
                                <w:top w:val="single" w:sz="2" w:space="0" w:color="D9D9E3"/>
                                <w:left w:val="single" w:sz="2" w:space="0" w:color="D9D9E3"/>
                                <w:bottom w:val="single" w:sz="2" w:space="0" w:color="D9D9E3"/>
                                <w:right w:val="single" w:sz="2" w:space="0" w:color="D9D9E3"/>
                              </w:divBdr>
                              <w:divsChild>
                                <w:div w:id="1081609693">
                                  <w:marLeft w:val="0"/>
                                  <w:marRight w:val="0"/>
                                  <w:marTop w:val="0"/>
                                  <w:marBottom w:val="0"/>
                                  <w:divBdr>
                                    <w:top w:val="single" w:sz="2" w:space="0" w:color="D9D9E3"/>
                                    <w:left w:val="single" w:sz="2" w:space="0" w:color="D9D9E3"/>
                                    <w:bottom w:val="single" w:sz="2" w:space="0" w:color="D9D9E3"/>
                                    <w:right w:val="single" w:sz="2" w:space="0" w:color="D9D9E3"/>
                                  </w:divBdr>
                                  <w:divsChild>
                                    <w:div w:id="278687727">
                                      <w:marLeft w:val="0"/>
                                      <w:marRight w:val="0"/>
                                      <w:marTop w:val="0"/>
                                      <w:marBottom w:val="0"/>
                                      <w:divBdr>
                                        <w:top w:val="single" w:sz="2" w:space="0" w:color="D9D9E3"/>
                                        <w:left w:val="single" w:sz="2" w:space="0" w:color="D9D9E3"/>
                                        <w:bottom w:val="single" w:sz="2" w:space="0" w:color="D9D9E3"/>
                                        <w:right w:val="single" w:sz="2" w:space="0" w:color="D9D9E3"/>
                                      </w:divBdr>
                                      <w:divsChild>
                                        <w:div w:id="1795363081">
                                          <w:marLeft w:val="0"/>
                                          <w:marRight w:val="0"/>
                                          <w:marTop w:val="0"/>
                                          <w:marBottom w:val="0"/>
                                          <w:divBdr>
                                            <w:top w:val="single" w:sz="2" w:space="0" w:color="D9D9E3"/>
                                            <w:left w:val="single" w:sz="2" w:space="0" w:color="D9D9E3"/>
                                            <w:bottom w:val="single" w:sz="2" w:space="0" w:color="D9D9E3"/>
                                            <w:right w:val="single" w:sz="2" w:space="0" w:color="D9D9E3"/>
                                          </w:divBdr>
                                          <w:divsChild>
                                            <w:div w:id="925189301">
                                              <w:marLeft w:val="0"/>
                                              <w:marRight w:val="0"/>
                                              <w:marTop w:val="0"/>
                                              <w:marBottom w:val="0"/>
                                              <w:divBdr>
                                                <w:top w:val="single" w:sz="2" w:space="0" w:color="D9D9E3"/>
                                                <w:left w:val="single" w:sz="2" w:space="0" w:color="D9D9E3"/>
                                                <w:bottom w:val="single" w:sz="2" w:space="0" w:color="D9D9E3"/>
                                                <w:right w:val="single" w:sz="2" w:space="0" w:color="D9D9E3"/>
                                              </w:divBdr>
                                              <w:divsChild>
                                                <w:div w:id="12674224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418596282">
          <w:marLeft w:val="0"/>
          <w:marRight w:val="0"/>
          <w:marTop w:val="0"/>
          <w:marBottom w:val="0"/>
          <w:divBdr>
            <w:top w:val="none" w:sz="0" w:space="0" w:color="auto"/>
            <w:left w:val="none" w:sz="0" w:space="0" w:color="auto"/>
            <w:bottom w:val="none" w:sz="0" w:space="0" w:color="auto"/>
            <w:right w:val="none" w:sz="0" w:space="0" w:color="auto"/>
          </w:divBdr>
        </w:div>
      </w:divsChild>
    </w:div>
    <w:div w:id="1530096692">
      <w:bodyDiv w:val="1"/>
      <w:marLeft w:val="0"/>
      <w:marRight w:val="0"/>
      <w:marTop w:val="0"/>
      <w:marBottom w:val="0"/>
      <w:divBdr>
        <w:top w:val="none" w:sz="0" w:space="0" w:color="auto"/>
        <w:left w:val="none" w:sz="0" w:space="0" w:color="auto"/>
        <w:bottom w:val="none" w:sz="0" w:space="0" w:color="auto"/>
        <w:right w:val="none" w:sz="0" w:space="0" w:color="auto"/>
      </w:divBdr>
    </w:div>
    <w:div w:id="1534687999">
      <w:bodyDiv w:val="1"/>
      <w:marLeft w:val="0"/>
      <w:marRight w:val="0"/>
      <w:marTop w:val="0"/>
      <w:marBottom w:val="0"/>
      <w:divBdr>
        <w:top w:val="none" w:sz="0" w:space="0" w:color="auto"/>
        <w:left w:val="none" w:sz="0" w:space="0" w:color="auto"/>
        <w:bottom w:val="none" w:sz="0" w:space="0" w:color="auto"/>
        <w:right w:val="none" w:sz="0" w:space="0" w:color="auto"/>
      </w:divBdr>
    </w:div>
    <w:div w:id="1539925999">
      <w:bodyDiv w:val="1"/>
      <w:marLeft w:val="0"/>
      <w:marRight w:val="0"/>
      <w:marTop w:val="0"/>
      <w:marBottom w:val="0"/>
      <w:divBdr>
        <w:top w:val="none" w:sz="0" w:space="0" w:color="auto"/>
        <w:left w:val="none" w:sz="0" w:space="0" w:color="auto"/>
        <w:bottom w:val="none" w:sz="0" w:space="0" w:color="auto"/>
        <w:right w:val="none" w:sz="0" w:space="0" w:color="auto"/>
      </w:divBdr>
    </w:div>
    <w:div w:id="1568685174">
      <w:bodyDiv w:val="1"/>
      <w:marLeft w:val="0"/>
      <w:marRight w:val="0"/>
      <w:marTop w:val="0"/>
      <w:marBottom w:val="0"/>
      <w:divBdr>
        <w:top w:val="none" w:sz="0" w:space="0" w:color="auto"/>
        <w:left w:val="none" w:sz="0" w:space="0" w:color="auto"/>
        <w:bottom w:val="none" w:sz="0" w:space="0" w:color="auto"/>
        <w:right w:val="none" w:sz="0" w:space="0" w:color="auto"/>
      </w:divBdr>
    </w:div>
    <w:div w:id="1613168908">
      <w:bodyDiv w:val="1"/>
      <w:marLeft w:val="0"/>
      <w:marRight w:val="0"/>
      <w:marTop w:val="0"/>
      <w:marBottom w:val="0"/>
      <w:divBdr>
        <w:top w:val="none" w:sz="0" w:space="0" w:color="auto"/>
        <w:left w:val="none" w:sz="0" w:space="0" w:color="auto"/>
        <w:bottom w:val="none" w:sz="0" w:space="0" w:color="auto"/>
        <w:right w:val="none" w:sz="0" w:space="0" w:color="auto"/>
      </w:divBdr>
    </w:div>
    <w:div w:id="1637829398">
      <w:bodyDiv w:val="1"/>
      <w:marLeft w:val="0"/>
      <w:marRight w:val="0"/>
      <w:marTop w:val="0"/>
      <w:marBottom w:val="0"/>
      <w:divBdr>
        <w:top w:val="none" w:sz="0" w:space="0" w:color="auto"/>
        <w:left w:val="none" w:sz="0" w:space="0" w:color="auto"/>
        <w:bottom w:val="none" w:sz="0" w:space="0" w:color="auto"/>
        <w:right w:val="none" w:sz="0" w:space="0" w:color="auto"/>
      </w:divBdr>
    </w:div>
    <w:div w:id="1653169460">
      <w:bodyDiv w:val="1"/>
      <w:marLeft w:val="0"/>
      <w:marRight w:val="0"/>
      <w:marTop w:val="0"/>
      <w:marBottom w:val="0"/>
      <w:divBdr>
        <w:top w:val="none" w:sz="0" w:space="0" w:color="auto"/>
        <w:left w:val="none" w:sz="0" w:space="0" w:color="auto"/>
        <w:bottom w:val="none" w:sz="0" w:space="0" w:color="auto"/>
        <w:right w:val="none" w:sz="0" w:space="0" w:color="auto"/>
      </w:divBdr>
    </w:div>
    <w:div w:id="1655253851">
      <w:bodyDiv w:val="1"/>
      <w:marLeft w:val="0"/>
      <w:marRight w:val="0"/>
      <w:marTop w:val="0"/>
      <w:marBottom w:val="0"/>
      <w:divBdr>
        <w:top w:val="none" w:sz="0" w:space="0" w:color="auto"/>
        <w:left w:val="none" w:sz="0" w:space="0" w:color="auto"/>
        <w:bottom w:val="none" w:sz="0" w:space="0" w:color="auto"/>
        <w:right w:val="none" w:sz="0" w:space="0" w:color="auto"/>
      </w:divBdr>
    </w:div>
    <w:div w:id="1721855198">
      <w:bodyDiv w:val="1"/>
      <w:marLeft w:val="0"/>
      <w:marRight w:val="0"/>
      <w:marTop w:val="0"/>
      <w:marBottom w:val="0"/>
      <w:divBdr>
        <w:top w:val="none" w:sz="0" w:space="0" w:color="auto"/>
        <w:left w:val="none" w:sz="0" w:space="0" w:color="auto"/>
        <w:bottom w:val="none" w:sz="0" w:space="0" w:color="auto"/>
        <w:right w:val="none" w:sz="0" w:space="0" w:color="auto"/>
      </w:divBdr>
    </w:div>
    <w:div w:id="1724670499">
      <w:bodyDiv w:val="1"/>
      <w:marLeft w:val="0"/>
      <w:marRight w:val="0"/>
      <w:marTop w:val="0"/>
      <w:marBottom w:val="0"/>
      <w:divBdr>
        <w:top w:val="none" w:sz="0" w:space="0" w:color="auto"/>
        <w:left w:val="none" w:sz="0" w:space="0" w:color="auto"/>
        <w:bottom w:val="none" w:sz="0" w:space="0" w:color="auto"/>
        <w:right w:val="none" w:sz="0" w:space="0" w:color="auto"/>
      </w:divBdr>
    </w:div>
    <w:div w:id="1733386772">
      <w:bodyDiv w:val="1"/>
      <w:marLeft w:val="0"/>
      <w:marRight w:val="0"/>
      <w:marTop w:val="0"/>
      <w:marBottom w:val="0"/>
      <w:divBdr>
        <w:top w:val="none" w:sz="0" w:space="0" w:color="auto"/>
        <w:left w:val="none" w:sz="0" w:space="0" w:color="auto"/>
        <w:bottom w:val="none" w:sz="0" w:space="0" w:color="auto"/>
        <w:right w:val="none" w:sz="0" w:space="0" w:color="auto"/>
      </w:divBdr>
    </w:div>
    <w:div w:id="1733695724">
      <w:bodyDiv w:val="1"/>
      <w:marLeft w:val="0"/>
      <w:marRight w:val="0"/>
      <w:marTop w:val="0"/>
      <w:marBottom w:val="0"/>
      <w:divBdr>
        <w:top w:val="none" w:sz="0" w:space="0" w:color="auto"/>
        <w:left w:val="none" w:sz="0" w:space="0" w:color="auto"/>
        <w:bottom w:val="none" w:sz="0" w:space="0" w:color="auto"/>
        <w:right w:val="none" w:sz="0" w:space="0" w:color="auto"/>
      </w:divBdr>
    </w:div>
    <w:div w:id="1787113192">
      <w:bodyDiv w:val="1"/>
      <w:marLeft w:val="0"/>
      <w:marRight w:val="0"/>
      <w:marTop w:val="0"/>
      <w:marBottom w:val="0"/>
      <w:divBdr>
        <w:top w:val="none" w:sz="0" w:space="0" w:color="auto"/>
        <w:left w:val="none" w:sz="0" w:space="0" w:color="auto"/>
        <w:bottom w:val="none" w:sz="0" w:space="0" w:color="auto"/>
        <w:right w:val="none" w:sz="0" w:space="0" w:color="auto"/>
      </w:divBdr>
    </w:div>
    <w:div w:id="1797986667">
      <w:bodyDiv w:val="1"/>
      <w:marLeft w:val="0"/>
      <w:marRight w:val="0"/>
      <w:marTop w:val="0"/>
      <w:marBottom w:val="0"/>
      <w:divBdr>
        <w:top w:val="none" w:sz="0" w:space="0" w:color="auto"/>
        <w:left w:val="none" w:sz="0" w:space="0" w:color="auto"/>
        <w:bottom w:val="none" w:sz="0" w:space="0" w:color="auto"/>
        <w:right w:val="none" w:sz="0" w:space="0" w:color="auto"/>
      </w:divBdr>
    </w:div>
    <w:div w:id="1803497057">
      <w:bodyDiv w:val="1"/>
      <w:marLeft w:val="0"/>
      <w:marRight w:val="0"/>
      <w:marTop w:val="0"/>
      <w:marBottom w:val="0"/>
      <w:divBdr>
        <w:top w:val="none" w:sz="0" w:space="0" w:color="auto"/>
        <w:left w:val="none" w:sz="0" w:space="0" w:color="auto"/>
        <w:bottom w:val="none" w:sz="0" w:space="0" w:color="auto"/>
        <w:right w:val="none" w:sz="0" w:space="0" w:color="auto"/>
      </w:divBdr>
    </w:div>
    <w:div w:id="1857427218">
      <w:bodyDiv w:val="1"/>
      <w:marLeft w:val="0"/>
      <w:marRight w:val="0"/>
      <w:marTop w:val="0"/>
      <w:marBottom w:val="0"/>
      <w:divBdr>
        <w:top w:val="none" w:sz="0" w:space="0" w:color="auto"/>
        <w:left w:val="none" w:sz="0" w:space="0" w:color="auto"/>
        <w:bottom w:val="none" w:sz="0" w:space="0" w:color="auto"/>
        <w:right w:val="none" w:sz="0" w:space="0" w:color="auto"/>
      </w:divBdr>
    </w:div>
    <w:div w:id="1857841800">
      <w:bodyDiv w:val="1"/>
      <w:marLeft w:val="0"/>
      <w:marRight w:val="0"/>
      <w:marTop w:val="0"/>
      <w:marBottom w:val="0"/>
      <w:divBdr>
        <w:top w:val="none" w:sz="0" w:space="0" w:color="auto"/>
        <w:left w:val="none" w:sz="0" w:space="0" w:color="auto"/>
        <w:bottom w:val="none" w:sz="0" w:space="0" w:color="auto"/>
        <w:right w:val="none" w:sz="0" w:space="0" w:color="auto"/>
      </w:divBdr>
    </w:div>
    <w:div w:id="1867787694">
      <w:bodyDiv w:val="1"/>
      <w:marLeft w:val="0"/>
      <w:marRight w:val="0"/>
      <w:marTop w:val="0"/>
      <w:marBottom w:val="0"/>
      <w:divBdr>
        <w:top w:val="none" w:sz="0" w:space="0" w:color="auto"/>
        <w:left w:val="none" w:sz="0" w:space="0" w:color="auto"/>
        <w:bottom w:val="none" w:sz="0" w:space="0" w:color="auto"/>
        <w:right w:val="none" w:sz="0" w:space="0" w:color="auto"/>
      </w:divBdr>
    </w:div>
    <w:div w:id="1879783574">
      <w:bodyDiv w:val="1"/>
      <w:marLeft w:val="0"/>
      <w:marRight w:val="0"/>
      <w:marTop w:val="0"/>
      <w:marBottom w:val="0"/>
      <w:divBdr>
        <w:top w:val="none" w:sz="0" w:space="0" w:color="auto"/>
        <w:left w:val="none" w:sz="0" w:space="0" w:color="auto"/>
        <w:bottom w:val="none" w:sz="0" w:space="0" w:color="auto"/>
        <w:right w:val="none" w:sz="0" w:space="0" w:color="auto"/>
      </w:divBdr>
    </w:div>
    <w:div w:id="1950426632">
      <w:bodyDiv w:val="1"/>
      <w:marLeft w:val="0"/>
      <w:marRight w:val="0"/>
      <w:marTop w:val="0"/>
      <w:marBottom w:val="0"/>
      <w:divBdr>
        <w:top w:val="none" w:sz="0" w:space="0" w:color="auto"/>
        <w:left w:val="none" w:sz="0" w:space="0" w:color="auto"/>
        <w:bottom w:val="none" w:sz="0" w:space="0" w:color="auto"/>
        <w:right w:val="none" w:sz="0" w:space="0" w:color="auto"/>
      </w:divBdr>
    </w:div>
    <w:div w:id="1953512021">
      <w:bodyDiv w:val="1"/>
      <w:marLeft w:val="0"/>
      <w:marRight w:val="0"/>
      <w:marTop w:val="0"/>
      <w:marBottom w:val="0"/>
      <w:divBdr>
        <w:top w:val="none" w:sz="0" w:space="0" w:color="auto"/>
        <w:left w:val="none" w:sz="0" w:space="0" w:color="auto"/>
        <w:bottom w:val="none" w:sz="0" w:space="0" w:color="auto"/>
        <w:right w:val="none" w:sz="0" w:space="0" w:color="auto"/>
      </w:divBdr>
    </w:div>
    <w:div w:id="1958832964">
      <w:bodyDiv w:val="1"/>
      <w:marLeft w:val="0"/>
      <w:marRight w:val="0"/>
      <w:marTop w:val="0"/>
      <w:marBottom w:val="0"/>
      <w:divBdr>
        <w:top w:val="none" w:sz="0" w:space="0" w:color="auto"/>
        <w:left w:val="none" w:sz="0" w:space="0" w:color="auto"/>
        <w:bottom w:val="none" w:sz="0" w:space="0" w:color="auto"/>
        <w:right w:val="none" w:sz="0" w:space="0" w:color="auto"/>
      </w:divBdr>
    </w:div>
    <w:div w:id="2001275216">
      <w:bodyDiv w:val="1"/>
      <w:marLeft w:val="0"/>
      <w:marRight w:val="0"/>
      <w:marTop w:val="0"/>
      <w:marBottom w:val="0"/>
      <w:divBdr>
        <w:top w:val="none" w:sz="0" w:space="0" w:color="auto"/>
        <w:left w:val="none" w:sz="0" w:space="0" w:color="auto"/>
        <w:bottom w:val="none" w:sz="0" w:space="0" w:color="auto"/>
        <w:right w:val="none" w:sz="0" w:space="0" w:color="auto"/>
      </w:divBdr>
    </w:div>
    <w:div w:id="2005470798">
      <w:bodyDiv w:val="1"/>
      <w:marLeft w:val="0"/>
      <w:marRight w:val="0"/>
      <w:marTop w:val="0"/>
      <w:marBottom w:val="0"/>
      <w:divBdr>
        <w:top w:val="none" w:sz="0" w:space="0" w:color="auto"/>
        <w:left w:val="none" w:sz="0" w:space="0" w:color="auto"/>
        <w:bottom w:val="none" w:sz="0" w:space="0" w:color="auto"/>
        <w:right w:val="none" w:sz="0" w:space="0" w:color="auto"/>
      </w:divBdr>
    </w:div>
    <w:div w:id="2026981514">
      <w:bodyDiv w:val="1"/>
      <w:marLeft w:val="0"/>
      <w:marRight w:val="0"/>
      <w:marTop w:val="0"/>
      <w:marBottom w:val="0"/>
      <w:divBdr>
        <w:top w:val="none" w:sz="0" w:space="0" w:color="auto"/>
        <w:left w:val="none" w:sz="0" w:space="0" w:color="auto"/>
        <w:bottom w:val="none" w:sz="0" w:space="0" w:color="auto"/>
        <w:right w:val="none" w:sz="0" w:space="0" w:color="auto"/>
      </w:divBdr>
    </w:div>
    <w:div w:id="2051105220">
      <w:bodyDiv w:val="1"/>
      <w:marLeft w:val="0"/>
      <w:marRight w:val="0"/>
      <w:marTop w:val="0"/>
      <w:marBottom w:val="0"/>
      <w:divBdr>
        <w:top w:val="none" w:sz="0" w:space="0" w:color="auto"/>
        <w:left w:val="none" w:sz="0" w:space="0" w:color="auto"/>
        <w:bottom w:val="none" w:sz="0" w:space="0" w:color="auto"/>
        <w:right w:val="none" w:sz="0" w:space="0" w:color="auto"/>
      </w:divBdr>
    </w:div>
    <w:div w:id="2081977921">
      <w:bodyDiv w:val="1"/>
      <w:marLeft w:val="0"/>
      <w:marRight w:val="0"/>
      <w:marTop w:val="0"/>
      <w:marBottom w:val="0"/>
      <w:divBdr>
        <w:top w:val="none" w:sz="0" w:space="0" w:color="auto"/>
        <w:left w:val="none" w:sz="0" w:space="0" w:color="auto"/>
        <w:bottom w:val="none" w:sz="0" w:space="0" w:color="auto"/>
        <w:right w:val="none" w:sz="0" w:space="0" w:color="auto"/>
      </w:divBdr>
    </w:div>
    <w:div w:id="2086342412">
      <w:bodyDiv w:val="1"/>
      <w:marLeft w:val="0"/>
      <w:marRight w:val="0"/>
      <w:marTop w:val="0"/>
      <w:marBottom w:val="0"/>
      <w:divBdr>
        <w:top w:val="none" w:sz="0" w:space="0" w:color="auto"/>
        <w:left w:val="none" w:sz="0" w:space="0" w:color="auto"/>
        <w:bottom w:val="none" w:sz="0" w:space="0" w:color="auto"/>
        <w:right w:val="none" w:sz="0" w:space="0" w:color="auto"/>
      </w:divBdr>
    </w:div>
    <w:div w:id="2116094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ce-for-all-international.business.sit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justiceforallinternational@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C05208-EB9C-422D-A669-B54DA1015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6781</Words>
  <Characters>38656</Characters>
  <Application>Microsoft Office Word</Application>
  <DocSecurity>0</DocSecurity>
  <Lines>322</Lines>
  <Paragraphs>90</Paragraphs>
  <ScaleCrop>false</ScaleCrop>
  <Company/>
  <LinksUpToDate>false</LinksUpToDate>
  <CharactersWithSpaces>45347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Sharof 👋🏻</dc:creator>
  <cp:keywords/>
  <dc:description/>
  <cp:lastModifiedBy>Youssef Hamdan</cp:lastModifiedBy>
  <cp:revision>2</cp:revision>
  <dcterms:created xsi:type="dcterms:W3CDTF">2023-10-17T17:54:00Z</dcterms:created>
  <dcterms:modified xsi:type="dcterms:W3CDTF">2023-10-17T17:54:00Z</dcterms:modified>
</cp:coreProperties>
</file>