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495" w:rsidRDefault="00CC7495">
      <w:pPr>
        <w:ind w:left="2880"/>
        <w:jc w:val="both"/>
        <w:rPr>
          <w:rFonts w:ascii="Garamond" w:eastAsia="Garamond" w:hAnsi="Garamond" w:cs="Garamond"/>
        </w:rPr>
      </w:pPr>
    </w:p>
    <w:p w:rsidR="009B6A77" w:rsidRDefault="00CC1160">
      <w:pPr>
        <w:ind w:left="2880"/>
        <w:jc w:val="both"/>
        <w:rPr>
          <w:rFonts w:ascii="Garamond" w:eastAsia="Garamond" w:hAnsi="Garamond" w:cs="Garamond"/>
          <w:highlight w:val="white"/>
        </w:rPr>
      </w:pPr>
      <w:r>
        <w:rPr>
          <w:rFonts w:ascii="Garamond" w:eastAsia="Garamond" w:hAnsi="Garamond" w:cs="Garamond"/>
        </w:rPr>
        <w:t xml:space="preserve">Shadow Report submitted by </w:t>
      </w:r>
      <w:r>
        <w:rPr>
          <w:rFonts w:ascii="Garamond" w:eastAsia="Garamond" w:hAnsi="Garamond" w:cs="Garamond"/>
          <w:b/>
        </w:rPr>
        <w:t>GELEDÉS - Instituto da Mulher Negra</w:t>
      </w:r>
      <w:r w:rsidR="009B6A77">
        <w:rPr>
          <w:rFonts w:ascii="Garamond" w:eastAsia="Garamond" w:hAnsi="Garamond" w:cs="Garamond"/>
          <w:b/>
          <w:vertAlign w:val="superscript"/>
        </w:rPr>
        <w:endnoteReference w:id="2"/>
      </w:r>
      <w:r w:rsidR="009B6A77">
        <w:rPr>
          <w:rFonts w:ascii="Garamond" w:eastAsia="Garamond" w:hAnsi="Garamond" w:cs="Garamond"/>
        </w:rPr>
        <w:t xml:space="preserve"> for the </w:t>
      </w:r>
      <w:r w:rsidR="009B6A77">
        <w:rPr>
          <w:rFonts w:ascii="Garamond" w:eastAsia="Garamond" w:hAnsi="Garamond" w:cs="Garamond"/>
          <w:b/>
        </w:rPr>
        <w:t>88th Session of the Committee on the Elimination of Discrimination against Women (CEDAW)</w:t>
      </w:r>
      <w:r w:rsidR="009B6A77">
        <w:rPr>
          <w:rFonts w:ascii="Garamond" w:eastAsia="Garamond" w:hAnsi="Garamond" w:cs="Garamond"/>
        </w:rPr>
        <w:t xml:space="preserve"> regarding the examination of the 8th and 9th periodic reports presented by Brazil following Article 18 of the Convention on the Elimination of All Forms of Discrimination against Women, in Geneva, from May 13 to 31, 2024.</w:t>
      </w:r>
    </w:p>
    <w:p w:rsidR="009B6A77" w:rsidRDefault="009B6A77">
      <w:pPr>
        <w:jc w:val="both"/>
        <w:rPr>
          <w:rFonts w:ascii="Garamond" w:eastAsia="Garamond" w:hAnsi="Garamond" w:cs="Garamond"/>
        </w:rPr>
      </w:pPr>
    </w:p>
    <w:p w:rsidR="009B6A77" w:rsidRDefault="009B6A77">
      <w:pPr>
        <w:keepNext/>
        <w:keepLines/>
        <w:rPr>
          <w:rFonts w:ascii="Garamond" w:eastAsia="Garamond" w:hAnsi="Garamond" w:cs="Garamond"/>
          <w:sz w:val="16"/>
          <w:szCs w:val="16"/>
          <w:highlight w:val="white"/>
        </w:rPr>
      </w:pPr>
      <w:bookmarkStart w:id="0" w:name="_heading=h.xhp6tcqbqzct" w:colFirst="0" w:colLast="0"/>
      <w:bookmarkEnd w:id="0"/>
      <w:r>
        <w:rPr>
          <w:rFonts w:ascii="Garamond" w:eastAsia="Garamond" w:hAnsi="Garamond" w:cs="Garamond"/>
          <w:b/>
          <w:sz w:val="28"/>
          <w:szCs w:val="28"/>
        </w:rPr>
        <w:t xml:space="preserve">Introduction </w:t>
      </w:r>
    </w:p>
    <w:p w:rsidR="009B6A77" w:rsidRDefault="009B6A77">
      <w:pPr>
        <w:ind w:left="720"/>
        <w:jc w:val="both"/>
        <w:rPr>
          <w:rFonts w:ascii="Garamond" w:eastAsia="Garamond" w:hAnsi="Garamond" w:cs="Garamond"/>
          <w:highlight w:val="white"/>
        </w:rPr>
      </w:pPr>
    </w:p>
    <w:p w:rsidR="009B6A77" w:rsidRDefault="009B6A77">
      <w:pPr>
        <w:numPr>
          <w:ilvl w:val="0"/>
          <w:numId w:val="3"/>
        </w:numPr>
        <w:jc w:val="both"/>
        <w:rPr>
          <w:rFonts w:ascii="Garamond" w:eastAsia="Garamond" w:hAnsi="Garamond" w:cs="Garamond"/>
        </w:rPr>
      </w:pPr>
      <w:r>
        <w:rPr>
          <w:rFonts w:ascii="Garamond" w:eastAsia="Garamond" w:hAnsi="Garamond" w:cs="Garamond"/>
        </w:rPr>
        <w:t xml:space="preserve">The reality of Afro-Brazilian people is permeated by systemic, institutional, and environmental racism, an infamous legacy of colonial slavery that sustains the ongoing project of extermination of this population. In this report, we highlight the </w:t>
      </w:r>
      <w:r>
        <w:rPr>
          <w:rFonts w:ascii="Garamond" w:eastAsia="Garamond" w:hAnsi="Garamond" w:cs="Garamond"/>
          <w:b/>
        </w:rPr>
        <w:t>main challenges faced by Afro-descendant women and girls.</w:t>
      </w:r>
      <w:r>
        <w:rPr>
          <w:rFonts w:ascii="Garamond" w:eastAsia="Garamond" w:hAnsi="Garamond" w:cs="Garamond"/>
        </w:rPr>
        <w:t xml:space="preserve"> From the information presented, it is possible to say that, despite their positive contributions to the formation of Brazilian society, engaging and enriching culture, promoting diversity, and driving social and economic progress in the country, Afro-descendant women and girls constitute the most vulnerable social group in Brazilian society due to the complex conjunction of discriminatory factors associated with racism, sexism, and socioeconomic inequalities.</w:t>
      </w:r>
    </w:p>
    <w:p w:rsidR="009B6A77" w:rsidRDefault="009B6A77">
      <w:pPr>
        <w:numPr>
          <w:ilvl w:val="0"/>
          <w:numId w:val="3"/>
        </w:numPr>
        <w:jc w:val="both"/>
        <w:rPr>
          <w:rFonts w:ascii="Garamond" w:eastAsia="Garamond" w:hAnsi="Garamond" w:cs="Garamond"/>
        </w:rPr>
      </w:pPr>
      <w:r>
        <w:rPr>
          <w:rFonts w:ascii="Garamond" w:eastAsia="Garamond" w:hAnsi="Garamond" w:cs="Garamond"/>
          <w:highlight w:val="white"/>
        </w:rPr>
        <w:t>In this sense, the report includes, in a cross-cutting manner, an intersectional analysis (considering gender, race, and class) of the Brazilian reality and, complementarily, covers the commitments assumed by the Brazilian State in the Durban Declaration and Programme of Action, adopted at the III World Conference Against Racism. At the end of each thematic section, there are proposed additional questions to be addressed by the Committee to the State Party regarding the actions it intends to undertake to ensure the fulfilment of the rights of women while committed to the ratification of the Convention on the Elimination of All Forms of Discrimination against Women in 1984.</w:t>
      </w:r>
    </w:p>
    <w:p w:rsidR="009B6A77" w:rsidRDefault="009B6A77">
      <w:pPr>
        <w:keepNext/>
        <w:keepLines/>
        <w:jc w:val="both"/>
        <w:rPr>
          <w:rFonts w:ascii="Garamond" w:eastAsia="Garamond" w:hAnsi="Garamond" w:cs="Garamond"/>
          <w:b/>
          <w:highlight w:val="green"/>
          <w:u w:val="single"/>
        </w:rPr>
      </w:pPr>
      <w:bookmarkStart w:id="1" w:name="_heading=h.ie651725nt61" w:colFirst="0" w:colLast="0"/>
      <w:bookmarkEnd w:id="1"/>
    </w:p>
    <w:p w:rsidR="009B6A77" w:rsidRDefault="009B6A77">
      <w:pPr>
        <w:rPr>
          <w:rFonts w:ascii="Garamond" w:eastAsia="Garamond" w:hAnsi="Garamond" w:cs="Garamond"/>
          <w:b/>
          <w:sz w:val="28"/>
          <w:szCs w:val="28"/>
        </w:rPr>
      </w:pPr>
      <w:r>
        <w:rPr>
          <w:rFonts w:ascii="Garamond" w:eastAsia="Garamond" w:hAnsi="Garamond" w:cs="Garamond"/>
          <w:b/>
          <w:sz w:val="28"/>
          <w:szCs w:val="28"/>
        </w:rPr>
        <w:t>Topic 1: General</w:t>
      </w:r>
    </w:p>
    <w:p w:rsidR="009B6A77" w:rsidRDefault="009B6A77">
      <w:pPr>
        <w:rPr>
          <w:rFonts w:ascii="Garamond" w:eastAsia="Garamond" w:hAnsi="Garamond" w:cs="Garamond"/>
        </w:rPr>
      </w:pPr>
    </w:p>
    <w:p w:rsidR="009B6A77" w:rsidRDefault="009B6A77">
      <w:pPr>
        <w:numPr>
          <w:ilvl w:val="0"/>
          <w:numId w:val="3"/>
        </w:numPr>
        <w:jc w:val="both"/>
        <w:rPr>
          <w:rFonts w:ascii="Garamond" w:eastAsia="Garamond" w:hAnsi="Garamond" w:cs="Garamond"/>
        </w:rPr>
      </w:pPr>
      <w:r>
        <w:rPr>
          <w:rFonts w:ascii="Garamond" w:eastAsia="Garamond" w:hAnsi="Garamond" w:cs="Garamond"/>
          <w:highlight w:val="white"/>
        </w:rPr>
        <w:t>In Brazil, there remains a substantial lack of stratified data that enables the understanding of specific realities, such as the Afro-descendant LGBTQIA+ population. It was only in 2019 that the Brazilian Institute of Geography and Statistics (IBGE) conducted the first survey on LGBTQIA+ people</w:t>
      </w:r>
      <w:r>
        <w:rPr>
          <w:rStyle w:val="Refdenotadefim"/>
          <w:rFonts w:ascii="Garamond" w:eastAsia="Garamond" w:hAnsi="Garamond" w:cs="Garamond"/>
        </w:rPr>
        <w:endnoteReference w:id="3"/>
      </w:r>
      <w:r>
        <w:rPr>
          <w:rFonts w:ascii="Garamond" w:eastAsia="Garamond" w:hAnsi="Garamond" w:cs="Garamond"/>
          <w:highlight w:val="white"/>
        </w:rPr>
        <w:t xml:space="preserve">, hindering the strengthening and creation of specific public policies. The absence of data becomes even more concerning when we consider that </w:t>
      </w:r>
      <w:r>
        <w:rPr>
          <w:rFonts w:ascii="Garamond" w:eastAsia="Garamond" w:hAnsi="Garamond" w:cs="Garamond"/>
          <w:b/>
          <w:highlight w:val="white"/>
        </w:rPr>
        <w:t>Brazil is the country with the highest rate of transgender homicides in the world</w:t>
      </w:r>
      <w:r>
        <w:rPr>
          <w:rStyle w:val="Refdenotadefim"/>
          <w:rFonts w:ascii="Garamond" w:eastAsia="Garamond" w:hAnsi="Garamond" w:cs="Garamond"/>
          <w:b/>
        </w:rPr>
        <w:endnoteReference w:id="4"/>
      </w:r>
      <w:r>
        <w:rPr>
          <w:rFonts w:ascii="Garamond" w:eastAsia="Garamond" w:hAnsi="Garamond" w:cs="Garamond"/>
          <w:highlight w:val="white"/>
        </w:rPr>
        <w:t>, in addition to the various cases of lesbicides in the country</w:t>
      </w:r>
      <w:r>
        <w:rPr>
          <w:rStyle w:val="Refdenotadefim"/>
          <w:rFonts w:ascii="Garamond" w:eastAsia="Garamond" w:hAnsi="Garamond" w:cs="Garamond"/>
        </w:rPr>
        <w:endnoteReference w:id="5"/>
      </w:r>
      <w:r>
        <w:rPr>
          <w:rFonts w:ascii="Garamond" w:eastAsia="Garamond" w:hAnsi="Garamond" w:cs="Garamond"/>
          <w:highlight w:val="white"/>
        </w:rPr>
        <w:t xml:space="preserve">. [See Annex 1, paragraph 1] </w:t>
      </w: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sz w:val="28"/>
          <w:szCs w:val="28"/>
        </w:rPr>
      </w:pPr>
      <w:r>
        <w:rPr>
          <w:rFonts w:ascii="Garamond" w:eastAsia="Garamond" w:hAnsi="Garamond" w:cs="Garamond"/>
          <w:b/>
          <w:sz w:val="28"/>
          <w:szCs w:val="28"/>
        </w:rPr>
        <w:t>Proposed additional question to be addressed to the State Party</w:t>
      </w:r>
    </w:p>
    <w:p w:rsidR="009B6A77" w:rsidRDefault="009B6A77">
      <w:pPr>
        <w:ind w:left="720"/>
        <w:jc w:val="both"/>
        <w:rPr>
          <w:rFonts w:ascii="Garamond" w:eastAsia="Garamond" w:hAnsi="Garamond" w:cs="Garamond"/>
          <w:b/>
          <w:highlight w:val="white"/>
        </w:rPr>
      </w:pPr>
    </w:p>
    <w:p w:rsidR="009B6A77" w:rsidRDefault="009B6A77">
      <w:pPr>
        <w:numPr>
          <w:ilvl w:val="0"/>
          <w:numId w:val="2"/>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b/>
          <w:highlight w:val="white"/>
        </w:rPr>
        <w:t>What measures have been adopted by the State Party, in data collection in various areas, to ensure the possibility of generating disaggregated microdata by race?</w:t>
      </w:r>
    </w:p>
    <w:p w:rsidR="009B6A77" w:rsidRDefault="009B6A77">
      <w:pPr>
        <w:jc w:val="both"/>
        <w:rPr>
          <w:rFonts w:ascii="Garamond" w:eastAsia="Garamond" w:hAnsi="Garamond" w:cs="Garamond"/>
          <w:b/>
          <w:highlight w:val="green"/>
          <w:u w:val="single"/>
        </w:rPr>
      </w:pPr>
    </w:p>
    <w:p w:rsidR="009B6A77" w:rsidRDefault="009B6A77">
      <w:pPr>
        <w:jc w:val="both"/>
        <w:rPr>
          <w:rFonts w:ascii="Garamond" w:eastAsia="Garamond" w:hAnsi="Garamond" w:cs="Garamond"/>
          <w:b/>
          <w:sz w:val="28"/>
          <w:szCs w:val="28"/>
        </w:rPr>
      </w:pPr>
      <w:r>
        <w:rPr>
          <w:rFonts w:ascii="Garamond" w:eastAsia="Garamond" w:hAnsi="Garamond" w:cs="Garamond"/>
          <w:b/>
          <w:sz w:val="28"/>
          <w:szCs w:val="28"/>
        </w:rPr>
        <w:t>Topic 2: Impact of the pandemic on women’s rights and gender equality</w:t>
      </w:r>
    </w:p>
    <w:p w:rsidR="009B6A77" w:rsidRDefault="009B6A77">
      <w:pPr>
        <w:pBdr>
          <w:top w:val="nil"/>
          <w:left w:val="nil"/>
          <w:bottom w:val="nil"/>
          <w:right w:val="nil"/>
          <w:between w:val="nil"/>
        </w:pBdr>
        <w:jc w:val="both"/>
        <w:rPr>
          <w:rFonts w:ascii="Garamond" w:eastAsia="Garamond" w:hAnsi="Garamond" w:cs="Garamond"/>
        </w:rPr>
      </w:pPr>
    </w:p>
    <w:p w:rsidR="009B6A77" w:rsidRDefault="009B6A77">
      <w:pPr>
        <w:numPr>
          <w:ilvl w:val="0"/>
          <w:numId w:val="3"/>
        </w:numPr>
        <w:pBdr>
          <w:top w:val="nil"/>
          <w:left w:val="nil"/>
          <w:bottom w:val="nil"/>
          <w:right w:val="nil"/>
          <w:between w:val="nil"/>
        </w:pBdr>
        <w:jc w:val="both"/>
        <w:rPr>
          <w:rFonts w:ascii="Garamond" w:eastAsia="Garamond" w:hAnsi="Garamond" w:cs="Garamond"/>
        </w:rPr>
      </w:pPr>
      <w:bookmarkStart w:id="2" w:name="_heading=h.yn3y0smg0zoi" w:colFirst="0" w:colLast="0"/>
      <w:bookmarkEnd w:id="2"/>
      <w:r>
        <w:rPr>
          <w:rFonts w:ascii="Garamond" w:eastAsia="Garamond" w:hAnsi="Garamond" w:cs="Garamond"/>
        </w:rPr>
        <w:t>According to the "Social Map of the Corona," poor and Afro-descendant people were affected by the COVID-19 pandemic in different ways, especially those living in peripheral regions</w:t>
      </w:r>
      <w:r>
        <w:rPr>
          <w:rStyle w:val="Refdenotadefim"/>
          <w:rFonts w:ascii="Garamond" w:eastAsia="Garamond" w:hAnsi="Garamond" w:cs="Garamond"/>
        </w:rPr>
        <w:endnoteReference w:id="6"/>
      </w:r>
      <w:r>
        <w:rPr>
          <w:rFonts w:ascii="Garamond" w:eastAsia="Garamond" w:hAnsi="Garamond" w:cs="Garamond"/>
        </w:rPr>
        <w:t>, making it possible to affirm that the Afro-descendant population was more affected by the effects of the pandemic than the white population</w:t>
      </w:r>
      <w:r>
        <w:rPr>
          <w:rStyle w:val="Refdenotadefim"/>
          <w:rFonts w:ascii="Garamond" w:eastAsia="Garamond" w:hAnsi="Garamond" w:cs="Garamond"/>
        </w:rPr>
        <w:endnoteReference w:id="7"/>
      </w:r>
      <w:r>
        <w:rPr>
          <w:rFonts w:ascii="Garamond" w:eastAsia="Garamond" w:hAnsi="Garamond" w:cs="Garamond"/>
        </w:rPr>
        <w:t>. While 55% of people who died from COVID-19 were Afro-descendants, the proportion among white people was 38%</w:t>
      </w:r>
      <w:r>
        <w:rPr>
          <w:rStyle w:val="Refdenotadefim"/>
          <w:rFonts w:ascii="Garamond" w:eastAsia="Garamond" w:hAnsi="Garamond" w:cs="Garamond"/>
        </w:rPr>
        <w:endnoteReference w:id="8"/>
      </w:r>
      <w:r>
        <w:rPr>
          <w:rFonts w:ascii="Garamond" w:eastAsia="Garamond" w:hAnsi="Garamond" w:cs="Garamond"/>
        </w:rPr>
        <w:t>. A survey conducted by the Solidarity Research Network showed that Afro-descendant women were the ones who died the most from COVID-19</w:t>
      </w:r>
      <w:r>
        <w:rPr>
          <w:rStyle w:val="Refdenotadefim"/>
          <w:rFonts w:ascii="Garamond" w:eastAsia="Garamond" w:hAnsi="Garamond" w:cs="Garamond"/>
        </w:rPr>
        <w:endnoteReference w:id="9"/>
      </w:r>
      <w:r>
        <w:rPr>
          <w:rFonts w:ascii="Garamond" w:eastAsia="Garamond" w:hAnsi="Garamond" w:cs="Garamond"/>
        </w:rPr>
        <w:t>.</w:t>
      </w:r>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rPr>
        <w:t xml:space="preserve">In cases of </w:t>
      </w:r>
      <w:r>
        <w:rPr>
          <w:rFonts w:ascii="Garamond" w:eastAsia="Garamond" w:hAnsi="Garamond" w:cs="Garamond"/>
          <w:b/>
        </w:rPr>
        <w:t>legal abortion</w:t>
      </w:r>
      <w:r>
        <w:rPr>
          <w:rFonts w:ascii="Garamond" w:eastAsia="Garamond" w:hAnsi="Garamond" w:cs="Garamond"/>
        </w:rPr>
        <w:t>, during the COVID-19 pandemic, there was a 45% reduction in services performing the procedure</w:t>
      </w:r>
      <w:r>
        <w:rPr>
          <w:rStyle w:val="Refdenotadefim"/>
          <w:rFonts w:ascii="Garamond" w:eastAsia="Garamond" w:hAnsi="Garamond" w:cs="Garamond"/>
        </w:rPr>
        <w:endnoteReference w:id="10"/>
      </w:r>
      <w:r>
        <w:rPr>
          <w:rFonts w:ascii="Garamond" w:eastAsia="Garamond" w:hAnsi="Garamond" w:cs="Garamond"/>
        </w:rPr>
        <w:t xml:space="preserve">, pushing girls and women towards clandestine procedures and </w:t>
      </w:r>
      <w:r>
        <w:rPr>
          <w:rFonts w:ascii="Garamond" w:eastAsia="Garamond" w:hAnsi="Garamond" w:cs="Garamond"/>
        </w:rPr>
        <w:lastRenderedPageBreak/>
        <w:t>consequent criminalization. According to the National Abortion Survey (PNA), 52% of women who had an abortion for the first time were 19 years old or younger. Of this total, 46% were adolescents between 16 and 19 years old, and 6% were between 12 and 14</w:t>
      </w:r>
      <w:r>
        <w:rPr>
          <w:rStyle w:val="Refdenotadefim"/>
          <w:rFonts w:ascii="Garamond" w:eastAsia="Garamond" w:hAnsi="Garamond" w:cs="Garamond"/>
        </w:rPr>
        <w:endnoteReference w:id="11"/>
      </w:r>
      <w:r>
        <w:rPr>
          <w:rFonts w:ascii="Garamond" w:eastAsia="Garamond" w:hAnsi="Garamond" w:cs="Garamond"/>
        </w:rPr>
        <w:t xml:space="preserve">. </w:t>
      </w:r>
      <w:r>
        <w:rPr>
          <w:rFonts w:ascii="Garamond" w:eastAsia="Garamond" w:hAnsi="Garamond" w:cs="Garamond"/>
          <w:b/>
        </w:rPr>
        <w:t>Data on hospitalizations and deaths from unsafe abortion show that Afro-descendant and Indigenous women are the most affected. In the last decade, 6 out of 10 deaths from abortion were of Afro-descendant women;</w:t>
      </w:r>
      <w:r>
        <w:rPr>
          <w:rFonts w:ascii="Garamond" w:eastAsia="Garamond" w:hAnsi="Garamond" w:cs="Garamond"/>
        </w:rPr>
        <w:t xml:space="preserve"> the highest incidence of abortions in 2021 was among Indigenous women, and </w:t>
      </w:r>
      <w:r>
        <w:rPr>
          <w:rFonts w:ascii="Garamond" w:eastAsia="Garamond" w:hAnsi="Garamond" w:cs="Garamond"/>
          <w:b/>
        </w:rPr>
        <w:t>when compared to white women, Afro-descendant women are twice as likely to die</w:t>
      </w:r>
      <w:r>
        <w:rPr>
          <w:rStyle w:val="Refdenotadefim"/>
          <w:rFonts w:ascii="Garamond" w:eastAsia="Garamond" w:hAnsi="Garamond" w:cs="Garamond"/>
          <w:b/>
        </w:rPr>
        <w:endnoteReference w:id="12"/>
      </w:r>
      <w:r>
        <w:rPr>
          <w:rFonts w:ascii="Garamond" w:eastAsia="Garamond" w:hAnsi="Garamond" w:cs="Garamond"/>
          <w:b/>
        </w:rPr>
        <w:t>.</w:t>
      </w:r>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rPr>
        <w:t xml:space="preserve">According to the 2nd National Survey on Food Insecurity in the Context of the COVID-19 Pandemic in Brazil (Vigisan), </w:t>
      </w:r>
      <w:r>
        <w:rPr>
          <w:rFonts w:ascii="Garamond" w:eastAsia="Garamond" w:hAnsi="Garamond" w:cs="Garamond"/>
          <w:b/>
        </w:rPr>
        <w:t>1 in every five families headed by Afro-descendant individuals in Brazil suffers from hunger (37.6%)</w:t>
      </w:r>
      <w:r>
        <w:rPr>
          <w:rFonts w:ascii="Garamond" w:eastAsia="Garamond" w:hAnsi="Garamond" w:cs="Garamond"/>
        </w:rPr>
        <w:t>. In contrast, for white individuals, the rate is 10.6%</w:t>
      </w:r>
      <w:r>
        <w:rPr>
          <w:rStyle w:val="Refdenotadefim"/>
          <w:rFonts w:ascii="Garamond" w:eastAsia="Garamond" w:hAnsi="Garamond" w:cs="Garamond"/>
        </w:rPr>
        <w:endnoteReference w:id="13"/>
      </w:r>
      <w:r>
        <w:rPr>
          <w:rFonts w:ascii="Garamond" w:eastAsia="Garamond" w:hAnsi="Garamond" w:cs="Garamond"/>
        </w:rPr>
        <w:t xml:space="preserve">. In this context, it is relevant to consider that </w:t>
      </w:r>
      <w:r>
        <w:rPr>
          <w:rFonts w:ascii="Garamond" w:eastAsia="Garamond" w:hAnsi="Garamond" w:cs="Garamond"/>
          <w:b/>
        </w:rPr>
        <w:t>more than 7.8 million people are living inhouseholds headed by Afro-descendant women</w:t>
      </w:r>
      <w:r>
        <w:rPr>
          <w:rFonts w:ascii="Garamond" w:eastAsia="Garamond" w:hAnsi="Garamond" w:cs="Garamond"/>
        </w:rPr>
        <w:t xml:space="preserve">, while for the population of white women, the number is 3.6 million. Furthermore, </w:t>
      </w:r>
      <w:r>
        <w:rPr>
          <w:rFonts w:ascii="Garamond" w:eastAsia="Garamond" w:hAnsi="Garamond" w:cs="Garamond"/>
          <w:b/>
        </w:rPr>
        <w:t>of the families in extreme poverty, 63% are headed by Afro-descendant women</w:t>
      </w:r>
      <w:r>
        <w:rPr>
          <w:rStyle w:val="Refdenotadefim"/>
          <w:rFonts w:ascii="Garamond" w:eastAsia="Garamond" w:hAnsi="Garamond" w:cs="Garamond"/>
          <w:b/>
        </w:rPr>
        <w:endnoteReference w:id="14"/>
      </w:r>
      <w:r>
        <w:rPr>
          <w:rFonts w:ascii="Garamond" w:eastAsia="Garamond" w:hAnsi="Garamond" w:cs="Garamond"/>
          <w:b/>
        </w:rPr>
        <w:t>, which further highlights the feminization and racialization of poverty in Brazil.</w:t>
      </w:r>
    </w:p>
    <w:p w:rsidR="009B6A77" w:rsidRDefault="009B6A77">
      <w:pPr>
        <w:keepNext/>
        <w:keepLines/>
        <w:jc w:val="both"/>
        <w:rPr>
          <w:rFonts w:ascii="Garamond" w:eastAsia="Garamond" w:hAnsi="Garamond" w:cs="Garamond"/>
          <w:b/>
          <w:sz w:val="28"/>
          <w:szCs w:val="28"/>
        </w:rPr>
      </w:pPr>
      <w:bookmarkStart w:id="3" w:name="_heading=h.rlvr2r85cku6" w:colFirst="0" w:colLast="0"/>
      <w:bookmarkEnd w:id="3"/>
    </w:p>
    <w:p w:rsidR="009B6A77" w:rsidRDefault="009B6A77">
      <w:pPr>
        <w:keepNext/>
        <w:keepLines/>
        <w:jc w:val="both"/>
        <w:rPr>
          <w:rFonts w:ascii="Garamond" w:eastAsia="Garamond" w:hAnsi="Garamond" w:cs="Garamond"/>
          <w:b/>
          <w:sz w:val="28"/>
          <w:szCs w:val="28"/>
        </w:rPr>
      </w:pPr>
      <w:bookmarkStart w:id="4" w:name="_heading=h.fmqokalxx43" w:colFirst="0" w:colLast="0"/>
      <w:bookmarkEnd w:id="4"/>
      <w:r>
        <w:rPr>
          <w:rFonts w:ascii="Garamond" w:eastAsia="Garamond" w:hAnsi="Garamond" w:cs="Garamond"/>
          <w:b/>
          <w:sz w:val="28"/>
          <w:szCs w:val="28"/>
        </w:rPr>
        <w:t>Proposed additional question to be addressed to the State Party</w:t>
      </w:r>
    </w:p>
    <w:p w:rsidR="009B6A77" w:rsidRDefault="009B6A77">
      <w:pPr>
        <w:ind w:left="720"/>
        <w:jc w:val="both"/>
        <w:rPr>
          <w:rFonts w:ascii="Garamond" w:eastAsia="Garamond" w:hAnsi="Garamond" w:cs="Garamond"/>
          <w:color w:val="980000"/>
          <w:highlight w:val="white"/>
        </w:rPr>
      </w:pPr>
    </w:p>
    <w:p w:rsidR="009B6A77" w:rsidRDefault="009B6A77">
      <w:pPr>
        <w:numPr>
          <w:ilvl w:val="0"/>
          <w:numId w:val="2"/>
        </w:numPr>
        <w:jc w:val="both"/>
        <w:rPr>
          <w:rFonts w:ascii="Garamond" w:eastAsia="Garamond" w:hAnsi="Garamond" w:cs="Garamond"/>
        </w:rPr>
      </w:pPr>
      <w:r>
        <w:rPr>
          <w:rFonts w:ascii="Garamond" w:eastAsia="Garamond" w:hAnsi="Garamond" w:cs="Garamond"/>
          <w:b/>
          <w:highlight w:val="white"/>
        </w:rPr>
        <w:t>Considering the insufficiency of using the universal category of "women" to address specific contexts, such as the historical and systemic issues that disproportionately impact Afro-descendant women, and which have been exacerbated by the COVID-19 pandemic, what reparative measures have been implemented by the State Party? And what preventive measures are being adopted to mitigate the risks and harms of pandemics experienced by Afro-descendant girls and women?</w:t>
      </w:r>
    </w:p>
    <w:p w:rsidR="009B6A77" w:rsidRDefault="009B6A77">
      <w:pPr>
        <w:pBdr>
          <w:top w:val="nil"/>
          <w:left w:val="nil"/>
          <w:bottom w:val="nil"/>
          <w:right w:val="nil"/>
          <w:between w:val="nil"/>
        </w:pBdr>
        <w:jc w:val="both"/>
        <w:rPr>
          <w:rFonts w:ascii="Garamond" w:eastAsia="Garamond" w:hAnsi="Garamond" w:cs="Garamond"/>
          <w:highlight w:val="white"/>
        </w:rPr>
      </w:pPr>
    </w:p>
    <w:p w:rsidR="009B6A77" w:rsidRDefault="009B6A77">
      <w:r>
        <w:rPr>
          <w:rFonts w:ascii="Garamond" w:eastAsia="Garamond" w:hAnsi="Garamond" w:cs="Garamond"/>
          <w:b/>
          <w:sz w:val="28"/>
          <w:szCs w:val="28"/>
        </w:rPr>
        <w:t>Topic 4: Constitutional and legislative framework</w:t>
      </w:r>
    </w:p>
    <w:p w:rsidR="009B6A77" w:rsidRDefault="009B6A77">
      <w:pPr>
        <w:rPr>
          <w:rFonts w:ascii="Garamond" w:eastAsia="Garamond" w:hAnsi="Garamond" w:cs="Garamond"/>
        </w:rPr>
      </w:pPr>
    </w:p>
    <w:p w:rsidR="009B6A77" w:rsidRDefault="009B6A77">
      <w:pPr>
        <w:numPr>
          <w:ilvl w:val="0"/>
          <w:numId w:val="3"/>
        </w:numPr>
        <w:jc w:val="both"/>
        <w:rPr>
          <w:rFonts w:ascii="Garamond" w:eastAsia="Garamond" w:hAnsi="Garamond" w:cs="Garamond"/>
        </w:rPr>
      </w:pPr>
      <w:r>
        <w:rPr>
          <w:rFonts w:ascii="Garamond" w:eastAsia="Garamond" w:hAnsi="Garamond" w:cs="Garamond"/>
          <w:highlight w:val="white"/>
        </w:rPr>
        <w:t xml:space="preserve">In Brazil, there are nearly </w:t>
      </w:r>
      <w:r>
        <w:rPr>
          <w:rFonts w:ascii="Garamond" w:eastAsia="Garamond" w:hAnsi="Garamond" w:cs="Garamond"/>
          <w:b/>
          <w:highlight w:val="white"/>
        </w:rPr>
        <w:t>6 million domestic workers. Of this total, 90% are women</w:t>
      </w:r>
      <w:r>
        <w:rPr>
          <w:rStyle w:val="Refdenotadefim"/>
          <w:rFonts w:ascii="Garamond" w:eastAsia="Garamond" w:hAnsi="Garamond" w:cs="Garamond"/>
          <w:b/>
        </w:rPr>
        <w:endnoteReference w:id="15"/>
      </w:r>
      <w:r>
        <w:rPr>
          <w:rFonts w:ascii="Garamond" w:eastAsia="Garamond" w:hAnsi="Garamond" w:cs="Garamond"/>
          <w:b/>
          <w:highlight w:val="white"/>
        </w:rPr>
        <w:t>, and 65% are Afro-descendants</w:t>
      </w:r>
      <w:r>
        <w:rPr>
          <w:rStyle w:val="Refdenotadefim"/>
          <w:rFonts w:ascii="Garamond" w:eastAsia="Garamond" w:hAnsi="Garamond" w:cs="Garamond"/>
          <w:b/>
        </w:rPr>
        <w:endnoteReference w:id="16"/>
      </w:r>
      <w:r>
        <w:rPr>
          <w:rFonts w:ascii="Garamond" w:eastAsia="Garamond" w:hAnsi="Garamond" w:cs="Garamond"/>
          <w:b/>
          <w:highlight w:val="white"/>
        </w:rPr>
        <w:t>.</w:t>
      </w:r>
      <w:r>
        <w:rPr>
          <w:rFonts w:ascii="Garamond" w:eastAsia="Garamond" w:hAnsi="Garamond" w:cs="Garamond"/>
          <w:highlight w:val="white"/>
        </w:rPr>
        <w:t xml:space="preserve"> Despite the constitutional and infra-constitutional protection of the rights of domestic workers, a series of violations still occur daily, legitimized by judicial apparatuses. According to the IBGE, 3 out of 4 domestic workers work without a formal contract, and about 61% receive a lower average salary than other workers</w:t>
      </w:r>
      <w:r>
        <w:rPr>
          <w:rStyle w:val="Refdenotadefim"/>
          <w:rFonts w:ascii="Garamond" w:eastAsia="Garamond" w:hAnsi="Garamond" w:cs="Garamond"/>
        </w:rPr>
        <w:endnoteReference w:id="17"/>
      </w:r>
      <w:r>
        <w:rPr>
          <w:rFonts w:ascii="Garamond" w:eastAsia="Garamond" w:hAnsi="Garamond" w:cs="Garamond"/>
          <w:highlight w:val="white"/>
        </w:rPr>
        <w:t xml:space="preserve">. [See Annex 1, paragraph 2] </w:t>
      </w:r>
    </w:p>
    <w:p w:rsidR="009B6A77" w:rsidRDefault="009B6A77">
      <w:pPr>
        <w:ind w:left="720"/>
        <w:jc w:val="both"/>
        <w:rPr>
          <w:rFonts w:ascii="Garamond" w:eastAsia="Garamond" w:hAnsi="Garamond" w:cs="Garamond"/>
          <w:highlight w:val="white"/>
        </w:rPr>
      </w:pPr>
    </w:p>
    <w:p w:rsidR="009B6A77" w:rsidRDefault="009B6A77">
      <w:pPr>
        <w:keepNext/>
        <w:keepLines/>
        <w:jc w:val="both"/>
        <w:rPr>
          <w:rFonts w:ascii="Garamond" w:eastAsia="Garamond" w:hAnsi="Garamond" w:cs="Garamond"/>
          <w:b/>
          <w:color w:val="000000"/>
          <w:highlight w:val="cyan"/>
        </w:rPr>
      </w:pPr>
      <w:r>
        <w:rPr>
          <w:rFonts w:ascii="Garamond" w:eastAsia="Garamond" w:hAnsi="Garamond" w:cs="Garamond"/>
          <w:b/>
          <w:sz w:val="28"/>
          <w:szCs w:val="28"/>
        </w:rPr>
        <w:t>Proposed additional question to be addressed to the State Party</w:t>
      </w:r>
    </w:p>
    <w:p w:rsidR="009B6A77" w:rsidRDefault="009B6A77">
      <w:pPr>
        <w:ind w:left="720"/>
        <w:jc w:val="both"/>
        <w:rPr>
          <w:rFonts w:ascii="Garamond" w:eastAsia="Garamond" w:hAnsi="Garamond" w:cs="Garamond"/>
          <w:b/>
          <w:highlight w:val="white"/>
        </w:rPr>
      </w:pPr>
    </w:p>
    <w:p w:rsidR="009B6A77" w:rsidRDefault="009B6A77">
      <w:pPr>
        <w:numPr>
          <w:ilvl w:val="0"/>
          <w:numId w:val="2"/>
        </w:numPr>
        <w:jc w:val="both"/>
        <w:rPr>
          <w:rFonts w:ascii="Garamond" w:eastAsia="Garamond" w:hAnsi="Garamond" w:cs="Garamond"/>
          <w:highlight w:val="white"/>
        </w:rPr>
      </w:pPr>
      <w:r>
        <w:rPr>
          <w:rFonts w:ascii="Garamond" w:eastAsia="Garamond" w:hAnsi="Garamond" w:cs="Garamond"/>
          <w:b/>
          <w:highlight w:val="white"/>
        </w:rPr>
        <w:t>Considering the precariousness of domestic work in Brazil, primarily carried out by Afro-descendant women, what measures have been adopted by the State Party to ensure the dignity and labour rights of these workers?</w:t>
      </w:r>
    </w:p>
    <w:p w:rsidR="009B6A77" w:rsidRDefault="009B6A77">
      <w:pPr>
        <w:jc w:val="both"/>
        <w:rPr>
          <w:rFonts w:ascii="Garamond" w:eastAsia="Garamond" w:hAnsi="Garamond" w:cs="Garamond"/>
          <w:highlight w:val="white"/>
        </w:rPr>
      </w:pPr>
    </w:p>
    <w:p w:rsidR="009B6A77" w:rsidRDefault="009B6A77">
      <w:pPr>
        <w:keepNext/>
        <w:keepLines/>
        <w:pBdr>
          <w:top w:val="nil"/>
          <w:left w:val="nil"/>
          <w:bottom w:val="nil"/>
          <w:right w:val="nil"/>
          <w:between w:val="nil"/>
        </w:pBdr>
        <w:jc w:val="both"/>
        <w:rPr>
          <w:rFonts w:ascii="Garamond" w:eastAsia="Garamond" w:hAnsi="Garamond" w:cs="Garamond"/>
          <w:b/>
          <w:highlight w:val="green"/>
          <w:u w:val="single"/>
        </w:rPr>
      </w:pPr>
      <w:r>
        <w:rPr>
          <w:rFonts w:ascii="Garamond" w:eastAsia="Garamond" w:hAnsi="Garamond" w:cs="Garamond"/>
          <w:b/>
          <w:sz w:val="28"/>
          <w:szCs w:val="28"/>
        </w:rPr>
        <w:t>Topic 5: Women’s access to justice</w:t>
      </w:r>
    </w:p>
    <w:p w:rsidR="009B6A77" w:rsidRDefault="009B6A77">
      <w:pPr>
        <w:keepNext/>
        <w:keepLines/>
        <w:jc w:val="both"/>
        <w:rPr>
          <w:rFonts w:ascii="Garamond" w:eastAsia="Garamond" w:hAnsi="Garamond" w:cs="Garamond"/>
          <w:b/>
          <w:u w:val="single"/>
        </w:rPr>
      </w:pPr>
      <w:bookmarkStart w:id="5" w:name="_heading=h.fdw0z7fjvupk" w:colFirst="0" w:colLast="0"/>
      <w:bookmarkEnd w:id="5"/>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b/>
        </w:rPr>
        <w:t>Access to justice for women, especially Afro-descendant ones, is still very limited in Brazil.</w:t>
      </w:r>
      <w:r>
        <w:rPr>
          <w:rFonts w:ascii="Garamond" w:eastAsia="Garamond" w:hAnsi="Garamond" w:cs="Garamond"/>
        </w:rPr>
        <w:t xml:space="preserve"> In cases involving rape, stereotyped discourses are commonly mobilized, both by jurists and civil society, delegitimizing and stigmatizing the victims. In this context, it is worth noting that in 2021, the National Council of Justice identified that only</w:t>
      </w:r>
      <w:r>
        <w:rPr>
          <w:rFonts w:ascii="Garamond" w:eastAsia="Garamond" w:hAnsi="Garamond" w:cs="Garamond"/>
          <w:b/>
        </w:rPr>
        <w:t xml:space="preserve"> 5% of the judiciary comprises Afro-descendant women</w:t>
      </w:r>
      <w:r>
        <w:rPr>
          <w:rStyle w:val="Refdenotadefim"/>
          <w:rFonts w:ascii="Garamond" w:eastAsia="Garamond" w:hAnsi="Garamond" w:cs="Garamond"/>
          <w:b/>
        </w:rPr>
        <w:endnoteReference w:id="18"/>
      </w:r>
      <w:r>
        <w:rPr>
          <w:rFonts w:ascii="Garamond" w:eastAsia="Garamond" w:hAnsi="Garamond" w:cs="Garamond"/>
          <w:b/>
        </w:rPr>
        <w:t xml:space="preserve">, even though they are the largest population group in Brazil </w:t>
      </w:r>
      <w:r>
        <w:rPr>
          <w:rFonts w:ascii="Garamond" w:eastAsia="Garamond" w:hAnsi="Garamond" w:cs="Garamond"/>
        </w:rPr>
        <w:t>(60.6 million people)</w:t>
      </w:r>
      <w:r>
        <w:rPr>
          <w:rStyle w:val="Refdenotadefim"/>
          <w:rFonts w:ascii="Garamond" w:eastAsia="Garamond" w:hAnsi="Garamond" w:cs="Garamond"/>
        </w:rPr>
        <w:endnoteReference w:id="19"/>
      </w:r>
      <w:r>
        <w:rPr>
          <w:rFonts w:ascii="Garamond" w:eastAsia="Garamond" w:hAnsi="Garamond" w:cs="Garamond"/>
        </w:rPr>
        <w:t xml:space="preserve">. At the same time, </w:t>
      </w:r>
      <w:r>
        <w:rPr>
          <w:rFonts w:ascii="Garamond" w:eastAsia="Garamond" w:hAnsi="Garamond" w:cs="Garamond"/>
          <w:b/>
        </w:rPr>
        <w:t>Afro-descendant women are the primary victims of sexual violence in the country.</w:t>
      </w:r>
      <w:r>
        <w:rPr>
          <w:rFonts w:ascii="Garamond" w:eastAsia="Garamond" w:hAnsi="Garamond" w:cs="Garamond"/>
        </w:rPr>
        <w:t xml:space="preserve"> In 2022, </w:t>
      </w:r>
      <w:r>
        <w:rPr>
          <w:rFonts w:ascii="Garamond" w:eastAsia="Garamond" w:hAnsi="Garamond" w:cs="Garamond"/>
          <w:b/>
        </w:rPr>
        <w:t>52.2% of victims of rape and rape of vulnerable persons were Afro-descendants</w:t>
      </w:r>
      <w:r>
        <w:rPr>
          <w:rFonts w:ascii="Garamond" w:eastAsia="Garamond" w:hAnsi="Garamond" w:cs="Garamond"/>
        </w:rPr>
        <w:t>, while 46.9% were white women</w:t>
      </w:r>
      <w:r>
        <w:rPr>
          <w:rStyle w:val="Refdenotadefim"/>
          <w:rFonts w:ascii="Garamond" w:eastAsia="Garamond" w:hAnsi="Garamond" w:cs="Garamond"/>
        </w:rPr>
        <w:endnoteReference w:id="20"/>
      </w:r>
      <w:r>
        <w:rPr>
          <w:rFonts w:ascii="Garamond" w:eastAsia="Garamond" w:hAnsi="Garamond" w:cs="Garamond"/>
        </w:rPr>
        <w:t>. [See Annex 1, paragraph 3]</w:t>
      </w:r>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rPr>
        <w:t xml:space="preserve">The visit of the International Independent Expert Mechanism to Advance Racial Justice and Equality in the context of Law Enforcement (EMLER) to Brazil in 2023 reinforced that the militarization of the police, with disproportionate use of force, has led to extrajudicial killings, </w:t>
      </w:r>
      <w:r>
        <w:rPr>
          <w:rFonts w:ascii="Garamond" w:eastAsia="Garamond" w:hAnsi="Garamond" w:cs="Garamond"/>
        </w:rPr>
        <w:lastRenderedPageBreak/>
        <w:t xml:space="preserve">including of children. </w:t>
      </w:r>
      <w:r>
        <w:rPr>
          <w:rFonts w:ascii="Garamond" w:eastAsia="Garamond" w:hAnsi="Garamond" w:cs="Garamond"/>
          <w:b/>
        </w:rPr>
        <w:t>As a result of this scenario, Afro-descendant mothers who denounce violence against their children face persecution</w:t>
      </w:r>
      <w:r>
        <w:rPr>
          <w:rStyle w:val="Refdenotadefim"/>
          <w:rFonts w:ascii="Garamond" w:eastAsia="Garamond" w:hAnsi="Garamond" w:cs="Garamond"/>
          <w:b/>
        </w:rPr>
        <w:endnoteReference w:id="21"/>
      </w:r>
      <w:r>
        <w:rPr>
          <w:rFonts w:ascii="Garamond" w:eastAsia="Garamond" w:hAnsi="Garamond" w:cs="Garamond"/>
          <w:b/>
        </w:rPr>
        <w:t>.</w:t>
      </w:r>
    </w:p>
    <w:p w:rsidR="009B6A77" w:rsidRDefault="009B6A77">
      <w:pPr>
        <w:pBdr>
          <w:top w:val="nil"/>
          <w:left w:val="nil"/>
          <w:bottom w:val="nil"/>
          <w:right w:val="nil"/>
          <w:between w:val="nil"/>
        </w:pBdr>
        <w:ind w:left="720"/>
        <w:jc w:val="both"/>
        <w:rPr>
          <w:rFonts w:ascii="Garamond" w:eastAsia="Garamond" w:hAnsi="Garamond" w:cs="Garamond"/>
          <w:highlight w:val="white"/>
        </w:rPr>
      </w:pPr>
    </w:p>
    <w:p w:rsidR="009B6A77" w:rsidRDefault="009B6A77">
      <w:pPr>
        <w:keepNext/>
        <w:keepLines/>
        <w:jc w:val="both"/>
        <w:rPr>
          <w:rFonts w:ascii="Garamond" w:eastAsia="Garamond" w:hAnsi="Garamond" w:cs="Garamond"/>
          <w:highlight w:val="cyan"/>
        </w:rPr>
      </w:pPr>
      <w:r>
        <w:rPr>
          <w:rFonts w:ascii="Garamond" w:eastAsia="Garamond" w:hAnsi="Garamond" w:cs="Garamond"/>
          <w:b/>
          <w:sz w:val="28"/>
          <w:szCs w:val="28"/>
        </w:rPr>
        <w:t>Proposed additional question to be addressed to the State Party</w:t>
      </w:r>
    </w:p>
    <w:p w:rsidR="009B6A77" w:rsidRDefault="009B6A77">
      <w:pPr>
        <w:ind w:left="720"/>
        <w:jc w:val="both"/>
        <w:rPr>
          <w:rFonts w:ascii="Garamond" w:eastAsia="Garamond" w:hAnsi="Garamond" w:cs="Garamond"/>
          <w:b/>
          <w:highlight w:val="white"/>
        </w:rPr>
      </w:pPr>
    </w:p>
    <w:p w:rsidR="009B6A77" w:rsidRDefault="009B6A77">
      <w:pPr>
        <w:numPr>
          <w:ilvl w:val="0"/>
          <w:numId w:val="2"/>
        </w:numPr>
        <w:jc w:val="both"/>
        <w:rPr>
          <w:rFonts w:ascii="Garamond" w:eastAsia="Garamond" w:hAnsi="Garamond" w:cs="Garamond"/>
          <w:b/>
        </w:rPr>
      </w:pPr>
      <w:r>
        <w:rPr>
          <w:rFonts w:ascii="Garamond" w:eastAsia="Garamond" w:hAnsi="Garamond" w:cs="Garamond"/>
          <w:b/>
        </w:rPr>
        <w:t>Considering the stigma and violence perpetrated against women victims of violence in accessing justice, particularly Afro-descendant ones, what measures have been adopted by the State Party to overcome systemic and institutional sexism and racism in institutions within the Justice System?</w:t>
      </w:r>
    </w:p>
    <w:p w:rsidR="009B6A77" w:rsidRDefault="009B6A77">
      <w:pPr>
        <w:numPr>
          <w:ilvl w:val="0"/>
          <w:numId w:val="2"/>
        </w:numPr>
        <w:jc w:val="both"/>
        <w:rPr>
          <w:rFonts w:ascii="Garamond" w:eastAsia="Garamond" w:hAnsi="Garamond" w:cs="Garamond"/>
        </w:rPr>
      </w:pPr>
      <w:r>
        <w:rPr>
          <w:rFonts w:ascii="Garamond" w:eastAsia="Garamond" w:hAnsi="Garamond" w:cs="Garamond"/>
          <w:b/>
        </w:rPr>
        <w:t>Considering the rights violations suffered by Afro-descendant mothers who are human rights defenders denouncing police violence, what reparative and preventive measures are being adopted by the State Party?</w:t>
      </w:r>
    </w:p>
    <w:p w:rsidR="009B6A77" w:rsidRDefault="009B6A77">
      <w:pPr>
        <w:jc w:val="both"/>
        <w:rPr>
          <w:rFonts w:ascii="Garamond" w:eastAsia="Garamond" w:hAnsi="Garamond" w:cs="Garamond"/>
          <w:b/>
          <w:highlight w:val="white"/>
        </w:rPr>
      </w:pPr>
    </w:p>
    <w:p w:rsidR="009B6A77" w:rsidRDefault="009B6A77">
      <w:pPr>
        <w:pBdr>
          <w:top w:val="nil"/>
          <w:left w:val="nil"/>
          <w:bottom w:val="nil"/>
          <w:right w:val="nil"/>
          <w:between w:val="nil"/>
        </w:pBdr>
        <w:jc w:val="both"/>
        <w:rPr>
          <w:rFonts w:ascii="Garamond" w:eastAsia="Garamond" w:hAnsi="Garamond" w:cs="Garamond"/>
          <w:b/>
          <w:sz w:val="28"/>
          <w:szCs w:val="28"/>
        </w:rPr>
      </w:pPr>
      <w:r>
        <w:rPr>
          <w:rFonts w:ascii="Garamond" w:eastAsia="Garamond" w:hAnsi="Garamond" w:cs="Garamond"/>
          <w:b/>
          <w:sz w:val="28"/>
          <w:szCs w:val="28"/>
        </w:rPr>
        <w:t>Topic 9: Gender-based violence against women</w:t>
      </w:r>
    </w:p>
    <w:p w:rsidR="009B6A77" w:rsidRDefault="009B6A77">
      <w:pPr>
        <w:jc w:val="both"/>
        <w:rPr>
          <w:rFonts w:ascii="Garamond" w:eastAsia="Garamond" w:hAnsi="Garamond" w:cs="Garamond"/>
          <w:b/>
          <w:sz w:val="28"/>
          <w:szCs w:val="28"/>
        </w:rPr>
      </w:pPr>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highlight w:val="white"/>
        </w:rPr>
        <w:t xml:space="preserve">In Brazil, </w:t>
      </w:r>
      <w:r>
        <w:rPr>
          <w:rFonts w:ascii="Garamond" w:eastAsia="Garamond" w:hAnsi="Garamond" w:cs="Garamond"/>
          <w:b/>
          <w:highlight w:val="white"/>
        </w:rPr>
        <w:t>66% of murdered women are Afro-descendants. Although there has been a decrease in lethal violence rates, violence has increased among racialized women.</w:t>
      </w:r>
      <w:r>
        <w:rPr>
          <w:rFonts w:ascii="Garamond" w:eastAsia="Garamond" w:hAnsi="Garamond" w:cs="Garamond"/>
          <w:highlight w:val="white"/>
        </w:rPr>
        <w:t xml:space="preserve"> In 2009, Afro-descendant women had a mortality rate 48.5% higher than white women; eleven years later, this disparity increased to 65.8%</w:t>
      </w:r>
      <w:r>
        <w:rPr>
          <w:rStyle w:val="Refdenotadefim"/>
          <w:rFonts w:ascii="Garamond" w:eastAsia="Garamond" w:hAnsi="Garamond" w:cs="Garamond"/>
        </w:rPr>
        <w:endnoteReference w:id="22"/>
      </w:r>
      <w:r>
        <w:rPr>
          <w:rFonts w:ascii="Garamond" w:eastAsia="Garamond" w:hAnsi="Garamond" w:cs="Garamond"/>
          <w:highlight w:val="white"/>
        </w:rPr>
        <w:t xml:space="preserve">. This data demonstrates how socioeconomic inequality and other systemic issues of racism and gender violence specifically affect Afro-descendant women, contrary to the Durban Programme of Action, which in Article 62 urges States to take measures, through policies and programs, against racism and violence against women and girls. [See Annex 1, paragraphs 4 and 5] </w:t>
      </w:r>
    </w:p>
    <w:p w:rsidR="009B6A77" w:rsidRDefault="009B6A77">
      <w:pPr>
        <w:ind w:left="720"/>
        <w:jc w:val="both"/>
        <w:rPr>
          <w:rFonts w:ascii="Garamond" w:eastAsia="Garamond" w:hAnsi="Garamond" w:cs="Garamond"/>
          <w:highlight w:val="white"/>
        </w:rPr>
      </w:pPr>
    </w:p>
    <w:p w:rsidR="009B6A77" w:rsidRDefault="009B6A77">
      <w:pPr>
        <w:keepNext/>
        <w:keepLines/>
        <w:jc w:val="both"/>
        <w:rPr>
          <w:rFonts w:ascii="Garamond" w:eastAsia="Garamond" w:hAnsi="Garamond" w:cs="Garamond"/>
          <w:sz w:val="28"/>
          <w:szCs w:val="28"/>
        </w:rPr>
      </w:pPr>
      <w:r>
        <w:rPr>
          <w:rFonts w:ascii="Garamond" w:eastAsia="Garamond" w:hAnsi="Garamond" w:cs="Garamond"/>
          <w:b/>
          <w:sz w:val="28"/>
          <w:szCs w:val="28"/>
        </w:rPr>
        <w:t>Proposed additional question to be addressed to the State Party</w:t>
      </w:r>
    </w:p>
    <w:p w:rsidR="009B6A77" w:rsidRDefault="009B6A77">
      <w:pPr>
        <w:ind w:left="720"/>
        <w:jc w:val="both"/>
        <w:rPr>
          <w:rFonts w:ascii="Garamond" w:eastAsia="Garamond" w:hAnsi="Garamond" w:cs="Garamond"/>
          <w:b/>
          <w:highlight w:val="white"/>
        </w:rPr>
      </w:pPr>
    </w:p>
    <w:p w:rsidR="009B6A77" w:rsidRDefault="009B6A77">
      <w:pPr>
        <w:numPr>
          <w:ilvl w:val="0"/>
          <w:numId w:val="2"/>
        </w:numPr>
        <w:jc w:val="both"/>
        <w:rPr>
          <w:rFonts w:ascii="Garamond" w:eastAsia="Garamond" w:hAnsi="Garamond" w:cs="Garamond"/>
        </w:rPr>
      </w:pPr>
      <w:r>
        <w:rPr>
          <w:rFonts w:ascii="Garamond" w:eastAsia="Garamond" w:hAnsi="Garamond" w:cs="Garamond"/>
          <w:b/>
        </w:rPr>
        <w:t xml:space="preserve">Considering the increase in violence against Afro-descendant women, what measures have been adopted by the State Party to address domestic violence in an intersectional manner, from prevention to accountability?  </w:t>
      </w:r>
    </w:p>
    <w:p w:rsidR="009B6A77" w:rsidRDefault="009B6A77">
      <w:pPr>
        <w:pBdr>
          <w:top w:val="nil"/>
          <w:left w:val="nil"/>
          <w:bottom w:val="nil"/>
          <w:right w:val="nil"/>
          <w:between w:val="nil"/>
        </w:pBdr>
        <w:jc w:val="both"/>
        <w:rPr>
          <w:rFonts w:ascii="Garamond" w:eastAsia="Garamond" w:hAnsi="Garamond" w:cs="Garamond"/>
          <w:highlight w:val="white"/>
        </w:rPr>
      </w:pPr>
    </w:p>
    <w:p w:rsidR="009B6A77" w:rsidRDefault="009B6A77">
      <w:p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b/>
          <w:sz w:val="28"/>
          <w:szCs w:val="28"/>
        </w:rPr>
        <w:t>Topic 11: Participation in political and public life</w:t>
      </w:r>
    </w:p>
    <w:p w:rsidR="009B6A77" w:rsidRDefault="009B6A77">
      <w:pPr>
        <w:jc w:val="both"/>
        <w:rPr>
          <w:rFonts w:ascii="Garamond" w:eastAsia="Garamond" w:hAnsi="Garamond" w:cs="Garamond"/>
          <w:b/>
          <w:highlight w:val="green"/>
        </w:rPr>
      </w:pPr>
    </w:p>
    <w:p w:rsidR="009B6A77" w:rsidRDefault="009B6A77">
      <w:pPr>
        <w:numPr>
          <w:ilvl w:val="0"/>
          <w:numId w:val="3"/>
        </w:numPr>
        <w:pBdr>
          <w:top w:val="nil"/>
          <w:left w:val="nil"/>
          <w:bottom w:val="nil"/>
          <w:right w:val="nil"/>
          <w:between w:val="nil"/>
        </w:pBdr>
        <w:jc w:val="both"/>
        <w:rPr>
          <w:rFonts w:ascii="Garamond" w:eastAsia="Garamond" w:hAnsi="Garamond" w:cs="Garamond"/>
          <w:sz w:val="20"/>
          <w:szCs w:val="20"/>
        </w:rPr>
      </w:pPr>
      <w:r>
        <w:rPr>
          <w:rFonts w:ascii="Garamond" w:eastAsia="Garamond" w:hAnsi="Garamond" w:cs="Garamond"/>
          <w:highlight w:val="white"/>
        </w:rPr>
        <w:t xml:space="preserve">In the 2022 election, the number of elected women increased from 15% to 18%, far below expectations. </w:t>
      </w:r>
      <w:r>
        <w:rPr>
          <w:rFonts w:ascii="Garamond" w:eastAsia="Garamond" w:hAnsi="Garamond" w:cs="Garamond"/>
          <w:b/>
          <w:highlight w:val="white"/>
        </w:rPr>
        <w:t>Of the elected Federal Deputies</w:t>
      </w:r>
      <w:r>
        <w:rPr>
          <w:rFonts w:ascii="Garamond" w:eastAsia="Garamond" w:hAnsi="Garamond" w:cs="Garamond"/>
          <w:highlight w:val="white"/>
        </w:rPr>
        <w:t>, 64% are white, 32% are Afro-descendants, and 4% are Indigenous. According to the Superior Electoral Court (TSE), four Brazilian states</w:t>
      </w:r>
      <w:r>
        <w:rPr>
          <w:rStyle w:val="Refdenotadefim"/>
          <w:rFonts w:ascii="Garamond" w:eastAsia="Garamond" w:hAnsi="Garamond" w:cs="Garamond"/>
        </w:rPr>
        <w:endnoteReference w:id="23"/>
      </w:r>
      <w:r>
        <w:rPr>
          <w:rFonts w:ascii="Garamond" w:eastAsia="Garamond" w:hAnsi="Garamond" w:cs="Garamond"/>
          <w:highlight w:val="white"/>
        </w:rPr>
        <w:t xml:space="preserve"> did not elect any women</w:t>
      </w:r>
      <w:r>
        <w:rPr>
          <w:rStyle w:val="Refdenotadefim"/>
          <w:rFonts w:ascii="Garamond" w:eastAsia="Garamond" w:hAnsi="Garamond" w:cs="Garamond"/>
        </w:rPr>
        <w:endnoteReference w:id="24"/>
      </w:r>
      <w:r>
        <w:rPr>
          <w:rFonts w:ascii="Garamond" w:eastAsia="Garamond" w:hAnsi="Garamond" w:cs="Garamond"/>
          <w:highlight w:val="white"/>
        </w:rPr>
        <w:t>. Moreover, the mini-electoral reform</w:t>
      </w:r>
      <w:r>
        <w:rPr>
          <w:rFonts w:ascii="Garamond" w:eastAsia="Garamond" w:hAnsi="Garamond" w:cs="Garamond"/>
          <w:highlight w:val="white"/>
          <w:vertAlign w:val="superscript"/>
        </w:rPr>
        <w:endnoteReference w:id="25"/>
      </w:r>
      <w:r>
        <w:rPr>
          <w:rFonts w:ascii="Garamond" w:eastAsia="Garamond" w:hAnsi="Garamond" w:cs="Garamond"/>
          <w:highlight w:val="white"/>
        </w:rPr>
        <w:t xml:space="preserve"> represents a setback in gender and racial parity in the Legislative branch. In addition to forgiving political parties that have not complied with the minimum quota of candidacies for women and Afro-descendants in the last elections, if approved, the mini-electoral reform will decrease female and Afro-descendant representation in the Legislative branch</w:t>
      </w:r>
      <w:r>
        <w:rPr>
          <w:rStyle w:val="Refdenotadefim"/>
          <w:rFonts w:ascii="Garamond" w:eastAsia="Garamond" w:hAnsi="Garamond" w:cs="Garamond"/>
        </w:rPr>
        <w:endnoteReference w:id="26"/>
      </w:r>
      <w:r>
        <w:rPr>
          <w:rFonts w:ascii="Garamond" w:eastAsia="Garamond" w:hAnsi="Garamond" w:cs="Garamond"/>
          <w:highlight w:val="white"/>
        </w:rPr>
        <w:t xml:space="preserve">. Furthermore, there is a growing number of cases of </w:t>
      </w:r>
      <w:r>
        <w:rPr>
          <w:rFonts w:ascii="Garamond" w:eastAsia="Garamond" w:hAnsi="Garamond" w:cs="Garamond"/>
          <w:b/>
          <w:highlight w:val="white"/>
        </w:rPr>
        <w:t>gender-based political violence against Afro-descendant parliamentarians, a severe threat to civil and political rights and to democracy itself.</w:t>
      </w:r>
      <w:r>
        <w:rPr>
          <w:rFonts w:ascii="Garamond" w:eastAsia="Garamond" w:hAnsi="Garamond" w:cs="Garamond"/>
          <w:highlight w:val="white"/>
        </w:rPr>
        <w:t xml:space="preserve"> [See Annex 1, paragraph 6]</w:t>
      </w:r>
    </w:p>
    <w:p w:rsidR="009B6A77" w:rsidRDefault="009B6A77">
      <w:pPr>
        <w:jc w:val="both"/>
        <w:rPr>
          <w:rFonts w:ascii="Garamond" w:eastAsia="Garamond" w:hAnsi="Garamond" w:cs="Garamond"/>
          <w:highlight w:val="white"/>
        </w:rPr>
      </w:pPr>
    </w:p>
    <w:p w:rsidR="009B6A77" w:rsidRDefault="009B6A77">
      <w:pPr>
        <w:keepNext/>
        <w:keepLines/>
        <w:jc w:val="both"/>
        <w:rPr>
          <w:rFonts w:ascii="Garamond" w:eastAsia="Garamond" w:hAnsi="Garamond" w:cs="Garamond"/>
          <w:highlight w:val="cyan"/>
        </w:rPr>
      </w:pPr>
      <w:r>
        <w:rPr>
          <w:rFonts w:ascii="Garamond" w:eastAsia="Garamond" w:hAnsi="Garamond" w:cs="Garamond"/>
          <w:b/>
          <w:sz w:val="28"/>
          <w:szCs w:val="28"/>
        </w:rPr>
        <w:t>Proposed additional question to be addressed to the State Party</w:t>
      </w:r>
    </w:p>
    <w:p w:rsidR="009B6A77" w:rsidRDefault="009B6A77">
      <w:pPr>
        <w:ind w:left="720"/>
        <w:jc w:val="both"/>
        <w:rPr>
          <w:rFonts w:ascii="Garamond" w:eastAsia="Garamond" w:hAnsi="Garamond" w:cs="Garamond"/>
          <w:b/>
          <w:highlight w:val="white"/>
        </w:rPr>
      </w:pPr>
    </w:p>
    <w:p w:rsidR="009B6A77" w:rsidRDefault="009B6A77">
      <w:pPr>
        <w:numPr>
          <w:ilvl w:val="0"/>
          <w:numId w:val="2"/>
        </w:numPr>
        <w:jc w:val="both"/>
        <w:rPr>
          <w:rFonts w:ascii="Garamond" w:eastAsia="Garamond" w:hAnsi="Garamond" w:cs="Garamond"/>
          <w:highlight w:val="white"/>
        </w:rPr>
      </w:pPr>
      <w:r>
        <w:rPr>
          <w:rFonts w:ascii="Garamond" w:eastAsia="Garamond" w:hAnsi="Garamond" w:cs="Garamond"/>
          <w:b/>
          <w:highlight w:val="white"/>
        </w:rPr>
        <w:t>Considering the risk of further reducing the representation of Afro-descendant women in the Legislative branch with the approval of the mini-electoral reform, what measures have been adopted by the State Party to prevent this setback?</w:t>
      </w:r>
    </w:p>
    <w:p w:rsidR="009B6A77" w:rsidRDefault="009B6A77">
      <w:pPr>
        <w:pBdr>
          <w:top w:val="nil"/>
          <w:left w:val="nil"/>
          <w:bottom w:val="nil"/>
          <w:right w:val="nil"/>
          <w:between w:val="nil"/>
        </w:pBdr>
        <w:jc w:val="both"/>
        <w:rPr>
          <w:rFonts w:ascii="Garamond" w:eastAsia="Garamond" w:hAnsi="Garamond" w:cs="Garamond"/>
          <w:highlight w:val="white"/>
        </w:rPr>
      </w:pPr>
    </w:p>
    <w:p w:rsidR="009B6A77" w:rsidRDefault="009B6A77">
      <w:pPr>
        <w:pBdr>
          <w:top w:val="nil"/>
          <w:left w:val="nil"/>
          <w:bottom w:val="nil"/>
          <w:right w:val="nil"/>
          <w:between w:val="nil"/>
        </w:pBdr>
        <w:jc w:val="both"/>
        <w:rPr>
          <w:rFonts w:ascii="Garamond" w:eastAsia="Garamond" w:hAnsi="Garamond" w:cs="Garamond"/>
          <w:b/>
          <w:sz w:val="28"/>
          <w:szCs w:val="28"/>
        </w:rPr>
      </w:pPr>
      <w:r>
        <w:rPr>
          <w:rFonts w:ascii="Garamond" w:eastAsia="Garamond" w:hAnsi="Garamond" w:cs="Garamond"/>
          <w:b/>
          <w:sz w:val="28"/>
          <w:szCs w:val="28"/>
        </w:rPr>
        <w:t>Topic 12: Education</w:t>
      </w:r>
    </w:p>
    <w:p w:rsidR="009B6A77" w:rsidRDefault="009B6A77">
      <w:pPr>
        <w:pBdr>
          <w:top w:val="nil"/>
          <w:left w:val="nil"/>
          <w:bottom w:val="nil"/>
          <w:right w:val="nil"/>
          <w:between w:val="nil"/>
        </w:pBdr>
        <w:jc w:val="both"/>
        <w:rPr>
          <w:rFonts w:ascii="Garamond" w:eastAsia="Garamond" w:hAnsi="Garamond" w:cs="Garamond"/>
          <w:b/>
          <w:sz w:val="28"/>
          <w:szCs w:val="28"/>
        </w:rPr>
      </w:pPr>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rPr>
        <w:lastRenderedPageBreak/>
        <w:t xml:space="preserve">In Brazil, among the 71.7% of young people not in school, 44.4% are </w:t>
      </w:r>
      <w:r>
        <w:rPr>
          <w:rFonts w:ascii="Garamond" w:eastAsia="Garamond" w:hAnsi="Garamond" w:cs="Garamond"/>
          <w:b/>
        </w:rPr>
        <w:t>Afro-descendants</w:t>
      </w:r>
      <w:r>
        <w:rPr>
          <w:rFonts w:ascii="Garamond" w:eastAsia="Garamond" w:hAnsi="Garamond" w:cs="Garamond"/>
        </w:rPr>
        <w:t>, while only 27.3% are white young people</w:t>
      </w:r>
      <w:r>
        <w:rPr>
          <w:rStyle w:val="Refdenotadefim"/>
          <w:rFonts w:ascii="Garamond" w:eastAsia="Garamond" w:hAnsi="Garamond" w:cs="Garamond"/>
        </w:rPr>
        <w:endnoteReference w:id="27"/>
      </w:r>
      <w:r>
        <w:rPr>
          <w:rFonts w:ascii="Garamond" w:eastAsia="Garamond" w:hAnsi="Garamond" w:cs="Garamond"/>
        </w:rPr>
        <w:t xml:space="preserve">. When relating education and employment, </w:t>
      </w:r>
      <w:r>
        <w:rPr>
          <w:rFonts w:ascii="Garamond" w:eastAsia="Garamond" w:hAnsi="Garamond" w:cs="Garamond"/>
          <w:b/>
        </w:rPr>
        <w:t>in 2016, only 27% of positions requiring higher education were filled by Afro-descendant individuals, while 45.2% of positions requiring elementary education and 44.7% of those requiring incomplete secondary education were filled by Afro-descendant individuals</w:t>
      </w:r>
      <w:r>
        <w:rPr>
          <w:rStyle w:val="Refdenotadefim"/>
          <w:rFonts w:ascii="Garamond" w:eastAsia="Garamond" w:hAnsi="Garamond" w:cs="Garamond"/>
          <w:b/>
        </w:rPr>
        <w:endnoteReference w:id="28"/>
      </w:r>
      <w:r>
        <w:rPr>
          <w:rFonts w:ascii="Garamond" w:eastAsia="Garamond" w:hAnsi="Garamond" w:cs="Garamond"/>
          <w:b/>
        </w:rPr>
        <w:t xml:space="preserve">. </w:t>
      </w:r>
      <w:r>
        <w:rPr>
          <w:rFonts w:ascii="Garamond" w:eastAsia="Garamond" w:hAnsi="Garamond" w:cs="Garamond"/>
        </w:rPr>
        <w:t>According to a survey conducted by Geledés in 2021, the COVID-19 pandemic deepened educational inequalities between Afro-descendants and white girls due to factors such as access to the internet and educational materials during remote learning, a decrease in family income, an increase in domestic chores for Afro-descendants girls, an increase in school dropout rates, and an increase in gender-based violence</w:t>
      </w:r>
      <w:r>
        <w:rPr>
          <w:rStyle w:val="Refdenotadefim"/>
          <w:rFonts w:ascii="Garamond" w:eastAsia="Garamond" w:hAnsi="Garamond" w:cs="Garamond"/>
        </w:rPr>
        <w:endnoteReference w:id="29"/>
      </w:r>
      <w:r>
        <w:rPr>
          <w:rFonts w:ascii="Garamond" w:eastAsia="Garamond" w:hAnsi="Garamond" w:cs="Garamond"/>
        </w:rPr>
        <w:t xml:space="preserve">. </w:t>
      </w:r>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rPr>
        <w:t>The Durban Programme of Action, in Article 10, urges States to ensure access to education and promote the inclusion of the history and contributions of Africans and Afro-descendants in the educational curriculum. However, despite the validity of Law No. 10,639/03, which includes the mandatory inclusion of the theme 'Afro-Brazilian History and Culture' in the official curriculum of the Education Network, the State is still far from achieving its implementation. The research on the implementation of the Law, conducted by Geledés and Instituto Alana, identified, for example, that in the Southern region of the country, "only 22% of the municipalities that responded to the survey considered race as a factor in the learning process."</w:t>
      </w:r>
      <w:r>
        <w:rPr>
          <w:rStyle w:val="Refdenotadefim"/>
          <w:rFonts w:ascii="Garamond" w:eastAsia="Garamond" w:hAnsi="Garamond" w:cs="Garamond"/>
        </w:rPr>
        <w:endnoteReference w:id="30"/>
      </w:r>
    </w:p>
    <w:p w:rsidR="009B6A77" w:rsidRDefault="009B6A77">
      <w:pPr>
        <w:jc w:val="both"/>
        <w:rPr>
          <w:rFonts w:ascii="Garamond" w:eastAsia="Garamond" w:hAnsi="Garamond" w:cs="Garamond"/>
          <w:highlight w:val="white"/>
        </w:rPr>
      </w:pPr>
    </w:p>
    <w:p w:rsidR="009B6A77" w:rsidRDefault="009B6A77">
      <w:pPr>
        <w:keepNext/>
        <w:keepLines/>
        <w:jc w:val="both"/>
        <w:rPr>
          <w:rFonts w:ascii="Garamond" w:eastAsia="Garamond" w:hAnsi="Garamond" w:cs="Garamond"/>
          <w:highlight w:val="cyan"/>
        </w:rPr>
      </w:pPr>
      <w:r>
        <w:rPr>
          <w:rFonts w:ascii="Garamond" w:eastAsia="Garamond" w:hAnsi="Garamond" w:cs="Garamond"/>
          <w:b/>
          <w:sz w:val="28"/>
          <w:szCs w:val="28"/>
        </w:rPr>
        <w:t>Proposed additional question to be addressed to the State Party</w:t>
      </w:r>
    </w:p>
    <w:p w:rsidR="009B6A77" w:rsidRDefault="009B6A77">
      <w:pPr>
        <w:ind w:left="720"/>
        <w:jc w:val="both"/>
        <w:rPr>
          <w:rFonts w:ascii="Garamond" w:eastAsia="Garamond" w:hAnsi="Garamond" w:cs="Garamond"/>
          <w:b/>
        </w:rPr>
      </w:pPr>
    </w:p>
    <w:p w:rsidR="009B6A77" w:rsidRDefault="009B6A77">
      <w:pPr>
        <w:numPr>
          <w:ilvl w:val="0"/>
          <w:numId w:val="2"/>
        </w:numPr>
        <w:jc w:val="both"/>
        <w:rPr>
          <w:rFonts w:ascii="Garamond" w:eastAsia="Garamond" w:hAnsi="Garamond" w:cs="Garamond"/>
        </w:rPr>
      </w:pPr>
      <w:r>
        <w:rPr>
          <w:rFonts w:ascii="Garamond" w:eastAsia="Garamond" w:hAnsi="Garamond" w:cs="Garamond"/>
          <w:b/>
        </w:rPr>
        <w:t>Considering the social and racial inequalities in the exercise of the right to education - in access, retention, and completion of education - what measures does the State Party intend to adopt to ensure the right to education of Afro-descendant girls and women?</w:t>
      </w:r>
    </w:p>
    <w:p w:rsidR="009B6A77" w:rsidRDefault="009B6A77">
      <w:pPr>
        <w:jc w:val="both"/>
        <w:rPr>
          <w:rFonts w:ascii="Garamond" w:eastAsia="Garamond" w:hAnsi="Garamond" w:cs="Garamond"/>
          <w:b/>
          <w:highlight w:val="green"/>
        </w:rPr>
      </w:pPr>
    </w:p>
    <w:p w:rsidR="009B6A77" w:rsidRDefault="009B6A77">
      <w:pPr>
        <w:jc w:val="both"/>
        <w:rPr>
          <w:rFonts w:ascii="Garamond" w:eastAsia="Garamond" w:hAnsi="Garamond" w:cs="Garamond"/>
          <w:b/>
          <w:sz w:val="28"/>
          <w:szCs w:val="28"/>
        </w:rPr>
      </w:pPr>
      <w:r>
        <w:rPr>
          <w:rFonts w:ascii="Garamond" w:eastAsia="Garamond" w:hAnsi="Garamond" w:cs="Garamond"/>
          <w:b/>
          <w:sz w:val="28"/>
          <w:szCs w:val="28"/>
        </w:rPr>
        <w:t>Topic 13: Employment and Social Security</w:t>
      </w:r>
    </w:p>
    <w:p w:rsidR="009B6A77" w:rsidRDefault="009B6A77">
      <w:pPr>
        <w:jc w:val="both"/>
        <w:rPr>
          <w:rFonts w:ascii="Garamond" w:eastAsia="Garamond" w:hAnsi="Garamond" w:cs="Garamond"/>
          <w:b/>
          <w:highlight w:val="green"/>
        </w:rPr>
      </w:pPr>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rPr>
        <w:t xml:space="preserve">According to a survey by the IBGE for the year 2022, in the gender breakdown, the unemployment rate of 11.1% on average in the first quarter fell to 9.1% among men and rose to 13.7% for women. The National Household Sample Survey (PNAD) shows that, </w:t>
      </w:r>
      <w:r>
        <w:rPr>
          <w:rFonts w:ascii="Garamond" w:eastAsia="Garamond" w:hAnsi="Garamond" w:cs="Garamond"/>
          <w:b/>
        </w:rPr>
        <w:t>of the nearly 12 million unemployed people in the first quarter, 64.2% were Afro-descendants</w:t>
      </w:r>
      <w:r>
        <w:rPr>
          <w:rFonts w:ascii="Garamond" w:eastAsia="Garamond" w:hAnsi="Garamond" w:cs="Garamond"/>
        </w:rPr>
        <w:t>,</w:t>
      </w:r>
      <w:r>
        <w:rPr>
          <w:rFonts w:ascii="Garamond" w:eastAsia="Garamond" w:hAnsi="Garamond" w:cs="Garamond"/>
          <w:vertAlign w:val="superscript"/>
        </w:rPr>
        <w:endnoteReference w:id="31"/>
      </w:r>
      <w:r>
        <w:rPr>
          <w:rFonts w:ascii="Garamond" w:eastAsia="Garamond" w:hAnsi="Garamond" w:cs="Garamond"/>
        </w:rPr>
        <w:t xml:space="preserve"> while whites represented 34.8%</w:t>
      </w:r>
      <w:r>
        <w:rPr>
          <w:rStyle w:val="Refdenotadefim"/>
          <w:rFonts w:ascii="Garamond" w:eastAsia="Garamond" w:hAnsi="Garamond" w:cs="Garamond"/>
        </w:rPr>
        <w:endnoteReference w:id="32"/>
      </w:r>
      <w:r>
        <w:rPr>
          <w:rFonts w:ascii="Garamond" w:eastAsia="Garamond" w:hAnsi="Garamond" w:cs="Garamond"/>
        </w:rPr>
        <w:t xml:space="preserve">. Additionally, </w:t>
      </w:r>
      <w:r>
        <w:rPr>
          <w:rFonts w:ascii="Garamond" w:eastAsia="Garamond" w:hAnsi="Garamond" w:cs="Garamond"/>
          <w:b/>
        </w:rPr>
        <w:t>Afro-descendant women with disabilities face even more significant difficulties in entering the formal labour market: they are the most likely to face unemployment (13.4%)</w:t>
      </w:r>
      <w:r>
        <w:rPr>
          <w:rFonts w:ascii="Garamond" w:eastAsia="Garamond" w:hAnsi="Garamond" w:cs="Garamond"/>
        </w:rPr>
        <w:t>, compared to Afro-descendant men with disabilities (8%), white men with disabilities (5.4%), and white women with disabilities (12.6%)</w:t>
      </w:r>
      <w:r>
        <w:rPr>
          <w:rStyle w:val="Refdenotadefim"/>
          <w:rFonts w:ascii="Garamond" w:eastAsia="Garamond" w:hAnsi="Garamond" w:cs="Garamond"/>
        </w:rPr>
        <w:endnoteReference w:id="33"/>
      </w:r>
      <w:r>
        <w:rPr>
          <w:rFonts w:ascii="Garamond" w:eastAsia="Garamond" w:hAnsi="Garamond" w:cs="Garamond"/>
        </w:rPr>
        <w:t>.</w:t>
      </w:r>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rPr>
        <w:t xml:space="preserve">According to the IBGE, in 2019, </w:t>
      </w:r>
      <w:r>
        <w:rPr>
          <w:rFonts w:ascii="Garamond" w:eastAsia="Garamond" w:hAnsi="Garamond" w:cs="Garamond"/>
          <w:b/>
        </w:rPr>
        <w:t>the average wage of Afro-descendant workers was 45% lower than that of white workers. The situation is even more severe among Afro-descendant</w:t>
      </w:r>
      <w:r>
        <w:rPr>
          <w:rFonts w:ascii="Garamond" w:eastAsia="Garamond" w:hAnsi="Garamond" w:cs="Garamond"/>
          <w:b/>
          <w:highlight w:val="white"/>
        </w:rPr>
        <w:t>women, for whom the average wage was 70% lower than that of white women</w:t>
      </w:r>
      <w:r>
        <w:rPr>
          <w:rStyle w:val="Refdenotadefim"/>
          <w:rFonts w:ascii="Garamond" w:eastAsia="Garamond" w:hAnsi="Garamond" w:cs="Garamond"/>
          <w:b/>
        </w:rPr>
        <w:endnoteReference w:id="34"/>
      </w:r>
      <w:r>
        <w:rPr>
          <w:rFonts w:ascii="Garamond" w:eastAsia="Garamond" w:hAnsi="Garamond" w:cs="Garamond"/>
          <w:b/>
          <w:highlight w:val="white"/>
        </w:rPr>
        <w:t>. Afro-descendant women earn, on average, less than half the salaries of white women (42%)</w:t>
      </w:r>
      <w:r>
        <w:rPr>
          <w:rStyle w:val="Refdenotadefim"/>
          <w:rFonts w:ascii="Garamond" w:eastAsia="Garamond" w:hAnsi="Garamond" w:cs="Garamond"/>
          <w:b/>
        </w:rPr>
        <w:endnoteReference w:id="35"/>
      </w:r>
      <w:r>
        <w:rPr>
          <w:rFonts w:ascii="Garamond" w:eastAsia="Garamond" w:hAnsi="Garamond" w:cs="Garamond"/>
          <w:b/>
          <w:highlight w:val="white"/>
        </w:rPr>
        <w:t>.</w:t>
      </w:r>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rPr>
        <w:t xml:space="preserve">Based on the Continuous National Household Sample Survey (PNAD), in 2022, of all single mothers (women with children but without a spouse) aged 15 to 60, 29.4% were out of the workforce, 7.2% were unemployed, and 63.3% were employed. Analyzing single mothers with young children (up to five years old), the chances of them being out of the workforce increase to 32.4%, and the chances of being unemployed rise to 10%. </w:t>
      </w:r>
      <w:r>
        <w:rPr>
          <w:rFonts w:ascii="Garamond" w:eastAsia="Garamond" w:hAnsi="Garamond" w:cs="Garamond"/>
          <w:b/>
        </w:rPr>
        <w:t>Among Afro-descendant single mothers, these indicators are even more alarming, as of all Afro-descendant single mothers with young children, 34.6% are out of the workforce, and 11.6% are unemployed</w:t>
      </w:r>
      <w:r>
        <w:rPr>
          <w:rStyle w:val="Refdenotadefim"/>
          <w:rFonts w:ascii="Garamond" w:eastAsia="Garamond" w:hAnsi="Garamond" w:cs="Garamond"/>
          <w:b/>
        </w:rPr>
        <w:endnoteReference w:id="36"/>
      </w:r>
      <w:r>
        <w:rPr>
          <w:rFonts w:ascii="Garamond" w:eastAsia="Garamond" w:hAnsi="Garamond" w:cs="Garamond"/>
          <w:b/>
        </w:rPr>
        <w:t>. In 2021, about 62.8% of people living in households headed by single women with children under 14 years old were below the poverty line</w:t>
      </w:r>
      <w:r>
        <w:rPr>
          <w:rStyle w:val="Refdenotadefim"/>
          <w:rFonts w:ascii="Garamond" w:eastAsia="Garamond" w:hAnsi="Garamond" w:cs="Garamond"/>
          <w:b/>
        </w:rPr>
        <w:endnoteReference w:id="37"/>
      </w:r>
      <w:r>
        <w:rPr>
          <w:rFonts w:ascii="Garamond" w:eastAsia="Garamond" w:hAnsi="Garamond" w:cs="Garamond"/>
          <w:b/>
        </w:rPr>
        <w:t>.</w:t>
      </w:r>
    </w:p>
    <w:p w:rsidR="009B6A77" w:rsidRDefault="009B6A77">
      <w:pPr>
        <w:ind w:left="720"/>
        <w:jc w:val="both"/>
        <w:rPr>
          <w:rFonts w:ascii="Garamond" w:eastAsia="Garamond" w:hAnsi="Garamond" w:cs="Garamond"/>
          <w:highlight w:val="white"/>
        </w:rPr>
      </w:pPr>
    </w:p>
    <w:p w:rsidR="009B6A77" w:rsidRDefault="009B6A77">
      <w:pPr>
        <w:keepNext/>
        <w:keepLines/>
        <w:jc w:val="both"/>
        <w:rPr>
          <w:rFonts w:ascii="Garamond" w:eastAsia="Garamond" w:hAnsi="Garamond" w:cs="Garamond"/>
          <w:highlight w:val="cyan"/>
        </w:rPr>
      </w:pPr>
      <w:r>
        <w:rPr>
          <w:rFonts w:ascii="Garamond" w:eastAsia="Garamond" w:hAnsi="Garamond" w:cs="Garamond"/>
          <w:b/>
          <w:sz w:val="28"/>
          <w:szCs w:val="28"/>
        </w:rPr>
        <w:t>Proposed additional question to be addressed to the State Party</w:t>
      </w:r>
    </w:p>
    <w:p w:rsidR="009B6A77" w:rsidRDefault="009B6A77">
      <w:pPr>
        <w:ind w:left="720"/>
        <w:jc w:val="both"/>
        <w:rPr>
          <w:rFonts w:ascii="Garamond" w:eastAsia="Garamond" w:hAnsi="Garamond" w:cs="Garamond"/>
          <w:b/>
        </w:rPr>
      </w:pPr>
    </w:p>
    <w:p w:rsidR="009B6A77" w:rsidRDefault="009B6A77">
      <w:pPr>
        <w:numPr>
          <w:ilvl w:val="0"/>
          <w:numId w:val="2"/>
        </w:numPr>
        <w:jc w:val="both"/>
        <w:rPr>
          <w:rFonts w:ascii="Garamond" w:eastAsia="Garamond" w:hAnsi="Garamond" w:cs="Garamond"/>
          <w:highlight w:val="white"/>
        </w:rPr>
      </w:pPr>
      <w:r>
        <w:rPr>
          <w:rFonts w:ascii="Garamond" w:eastAsia="Garamond" w:hAnsi="Garamond" w:cs="Garamond"/>
          <w:b/>
          <w:highlight w:val="white"/>
        </w:rPr>
        <w:lastRenderedPageBreak/>
        <w:t>Considering the context of unemployment, informality, and precariousness of labour relations that disproportionately affect Afro-descendant women in the country, how does the State Party intend to ensure the increase in employability and income considering gender and race along with other social markers such as disability and sexual orientation?</w:t>
      </w:r>
    </w:p>
    <w:p w:rsidR="009B6A77" w:rsidRDefault="009B6A77">
      <w:pPr>
        <w:pBdr>
          <w:top w:val="nil"/>
          <w:left w:val="nil"/>
          <w:bottom w:val="nil"/>
          <w:right w:val="nil"/>
          <w:between w:val="nil"/>
        </w:pBdr>
        <w:jc w:val="both"/>
        <w:rPr>
          <w:rFonts w:ascii="Garamond" w:eastAsia="Garamond" w:hAnsi="Garamond" w:cs="Garamond"/>
          <w:highlight w:val="white"/>
        </w:rPr>
      </w:pPr>
    </w:p>
    <w:p w:rsidR="009B6A77" w:rsidRDefault="009B6A77">
      <w:pPr>
        <w:jc w:val="both"/>
        <w:rPr>
          <w:rFonts w:ascii="Garamond" w:eastAsia="Garamond" w:hAnsi="Garamond" w:cs="Garamond"/>
          <w:b/>
          <w:sz w:val="28"/>
          <w:szCs w:val="28"/>
        </w:rPr>
      </w:pPr>
      <w:r>
        <w:rPr>
          <w:rFonts w:ascii="Garamond" w:eastAsia="Garamond" w:hAnsi="Garamond" w:cs="Garamond"/>
          <w:b/>
          <w:sz w:val="28"/>
          <w:szCs w:val="28"/>
        </w:rPr>
        <w:t>Topic 14: Health</w:t>
      </w:r>
    </w:p>
    <w:p w:rsidR="009B6A77" w:rsidRDefault="009B6A77">
      <w:pPr>
        <w:jc w:val="both"/>
        <w:rPr>
          <w:rFonts w:ascii="Garamond" w:eastAsia="Garamond" w:hAnsi="Garamond" w:cs="Garamond"/>
          <w:b/>
          <w:highlight w:val="green"/>
        </w:rPr>
      </w:pPr>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b/>
        </w:rPr>
        <w:t xml:space="preserve">The obstacles to accessing sexual and reproductive rights affect the lives of many Brazilian women and girls and, even more violently, the lives of Afro-descendant ones. </w:t>
      </w:r>
      <w:r>
        <w:rPr>
          <w:rFonts w:ascii="Garamond" w:eastAsia="Garamond" w:hAnsi="Garamond" w:cs="Garamond"/>
        </w:rPr>
        <w:t>In Brazil, abortion is the fourth leading cause of maternal death</w:t>
      </w:r>
      <w:r>
        <w:rPr>
          <w:rStyle w:val="Refdenotadefim"/>
          <w:rFonts w:ascii="Garamond" w:eastAsia="Garamond" w:hAnsi="Garamond" w:cs="Garamond"/>
        </w:rPr>
        <w:endnoteReference w:id="38"/>
      </w:r>
      <w:r>
        <w:rPr>
          <w:rFonts w:ascii="Garamond" w:eastAsia="Garamond" w:hAnsi="Garamond" w:cs="Garamond"/>
        </w:rPr>
        <w:t>. In the years 2015 and 2016, there were 211 and 203 deaths from abortion in Brazil, respectively. For every death from abortion, 25 women nearly die. In 2016, about five thousand women nearly died and suffered severe complications as a result of abortion</w:t>
      </w:r>
      <w:r>
        <w:rPr>
          <w:rStyle w:val="Refdenotadefim"/>
          <w:rFonts w:ascii="Garamond" w:eastAsia="Garamond" w:hAnsi="Garamond" w:cs="Garamond"/>
        </w:rPr>
        <w:endnoteReference w:id="39"/>
      </w:r>
      <w:r>
        <w:rPr>
          <w:rFonts w:ascii="Garamond" w:eastAsia="Garamond" w:hAnsi="Garamond" w:cs="Garamond"/>
        </w:rPr>
        <w:t xml:space="preserve">. These data demonstrate that women continue to seek abortions even though the practice is criminalized in the country. </w:t>
      </w:r>
      <w:r>
        <w:rPr>
          <w:rFonts w:ascii="Garamond" w:eastAsia="Garamond" w:hAnsi="Garamond" w:cs="Garamond"/>
          <w:b/>
        </w:rPr>
        <w:t>Women with better socioeconomic conditions seek technical resources for safe abortion, while women with worse socioeconomic conditions, who in Brazil are predominantly Afro-descendant women, seek unsafe solutions and end up encountering complications, suffering, and death</w:t>
      </w:r>
      <w:r>
        <w:rPr>
          <w:rStyle w:val="Refdenotadefim"/>
          <w:rFonts w:ascii="Garamond" w:eastAsia="Garamond" w:hAnsi="Garamond" w:cs="Garamond"/>
          <w:b/>
        </w:rPr>
        <w:endnoteReference w:id="40"/>
      </w:r>
      <w:r>
        <w:rPr>
          <w:rFonts w:ascii="Garamond" w:eastAsia="Garamond" w:hAnsi="Garamond" w:cs="Garamond"/>
          <w:b/>
        </w:rPr>
        <w:t>.</w:t>
      </w:r>
      <w:r>
        <w:rPr>
          <w:rFonts w:ascii="Garamond" w:eastAsia="Garamond" w:hAnsi="Garamond" w:cs="Garamond"/>
        </w:rPr>
        <w:t xml:space="preserve"> In this sense, the Brazilian State fails to comply with articles 53, 54, 62, 69, and 72 of the Durban Programme of Action, which call on States, in different ways, to take all necessary measures to address violence against women and girls.</w:t>
      </w:r>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b/>
        </w:rPr>
        <w:t>Maternal mortality is a reality in the Brazilian health system, especially for Afro-descendant women, who are victimized by institutionalized racist practices. In 2019, the maternal mortality rate was 57.9 per 100,000 live births, increasing to 107.5 per 100,000 in 2021. Of this total, 61.3% were Afro-descendant women. While about 84.2% of white women access prenatal care, this rate drops to 73% for Afro-descendant women, which is also reflected in the increase in maternal mortality.</w:t>
      </w:r>
      <w:r>
        <w:rPr>
          <w:rFonts w:ascii="Garamond" w:eastAsia="Garamond" w:hAnsi="Garamond" w:cs="Garamond"/>
          <w:b/>
          <w:vertAlign w:val="superscript"/>
        </w:rPr>
        <w:endnoteReference w:id="41"/>
      </w:r>
      <w:r>
        <w:rPr>
          <w:rFonts w:ascii="Garamond" w:eastAsia="Garamond" w:hAnsi="Garamond" w:cs="Garamond"/>
        </w:rPr>
        <w:t xml:space="preserve">These data demonstrate the violation of the commitment outlined in Article 101 of the Durban Programme of Action, which urges States to establish programs to promote access, without discrimination, to groups or individuals who are victims of racism, to health services and to make efforts to eliminate disparities, </w:t>
      </w:r>
      <w:r>
        <w:rPr>
          <w:rFonts w:ascii="Garamond" w:eastAsia="Garamond" w:hAnsi="Garamond" w:cs="Garamond"/>
          <w:i/>
        </w:rPr>
        <w:t>inter alia</w:t>
      </w:r>
      <w:r>
        <w:rPr>
          <w:rFonts w:ascii="Garamond" w:eastAsia="Garamond" w:hAnsi="Garamond" w:cs="Garamond"/>
        </w:rPr>
        <w:t>, in maternal and child mortality rates, child vaccinations, HIV/AIDS, heart disease, cancer, and infectious diseases. In this sense,</w:t>
      </w:r>
      <w:r>
        <w:rPr>
          <w:rFonts w:ascii="Garamond" w:eastAsia="Garamond" w:hAnsi="Garamond" w:cs="Garamond"/>
          <w:b/>
        </w:rPr>
        <w:t xml:space="preserve"> the State also fails to comply with the 'National Policy for Comprehensive Health Care for the Black Population', established in 2009 through Ordinance GM/MS No. 992</w:t>
      </w:r>
      <w:r>
        <w:rPr>
          <w:rStyle w:val="Refdenotadefim"/>
          <w:rFonts w:ascii="Garamond" w:eastAsia="Garamond" w:hAnsi="Garamond" w:cs="Garamond"/>
          <w:b/>
        </w:rPr>
        <w:endnoteReference w:id="42"/>
      </w:r>
      <w:r>
        <w:rPr>
          <w:rFonts w:ascii="Garamond" w:eastAsia="Garamond" w:hAnsi="Garamond" w:cs="Garamond"/>
          <w:b/>
        </w:rPr>
        <w:t>.</w:t>
      </w:r>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b/>
        </w:rPr>
        <w:t>In Brazil, the stereotype from colonial times still prevails, which asserts that Afro-descendant people are stronger and more resistant to pain. This racist elaboration sustains some discriminatory practices in the health care and prenatal care of Afro-descendant pregnant women, leading to significant cases of obstetric violence.</w:t>
      </w:r>
      <w:r>
        <w:rPr>
          <w:rFonts w:ascii="Garamond" w:eastAsia="Garamond" w:hAnsi="Garamond" w:cs="Garamond"/>
          <w:b/>
          <w:vertAlign w:val="superscript"/>
        </w:rPr>
        <w:endnoteReference w:id="43"/>
      </w:r>
      <w:r>
        <w:rPr>
          <w:rFonts w:ascii="Garamond" w:eastAsia="Garamond" w:hAnsi="Garamond" w:cs="Garamond"/>
        </w:rPr>
        <w:t xml:space="preserve"> In addition to the lack of legal regulation regarding obstetric violence, in 2022, the Ministry of Health published the 6th edition of the Pregnant Woman's Booklet</w:t>
      </w:r>
      <w:r>
        <w:rPr>
          <w:rStyle w:val="Refdenotadefim"/>
          <w:rFonts w:ascii="Garamond" w:eastAsia="Garamond" w:hAnsi="Garamond" w:cs="Garamond"/>
        </w:rPr>
        <w:endnoteReference w:id="44"/>
      </w:r>
      <w:r>
        <w:rPr>
          <w:rFonts w:ascii="Garamond" w:eastAsia="Garamond" w:hAnsi="Garamond" w:cs="Garamond"/>
        </w:rPr>
        <w:t>, contradicting established scientific evidence and the Ministry's guidelines for normal childbirth, established in 2017 with technical and social actors.</w:t>
      </w:r>
      <w:r>
        <w:rPr>
          <w:rFonts w:ascii="Garamond" w:eastAsia="Garamond" w:hAnsi="Garamond" w:cs="Garamond"/>
          <w:vertAlign w:val="superscript"/>
        </w:rPr>
        <w:endnoteReference w:id="45"/>
      </w:r>
    </w:p>
    <w:p w:rsidR="009B6A77" w:rsidRDefault="009B6A77">
      <w:pPr>
        <w:jc w:val="both"/>
        <w:rPr>
          <w:rFonts w:ascii="Garamond" w:eastAsia="Garamond" w:hAnsi="Garamond" w:cs="Garamond"/>
          <w:highlight w:val="white"/>
        </w:rPr>
      </w:pPr>
    </w:p>
    <w:p w:rsidR="009B6A77" w:rsidRDefault="009B6A77">
      <w:pPr>
        <w:keepNext/>
        <w:keepLines/>
        <w:jc w:val="both"/>
        <w:rPr>
          <w:rFonts w:ascii="Garamond" w:eastAsia="Garamond" w:hAnsi="Garamond" w:cs="Garamond"/>
          <w:highlight w:val="cyan"/>
        </w:rPr>
      </w:pPr>
      <w:r>
        <w:rPr>
          <w:rFonts w:ascii="Garamond" w:eastAsia="Garamond" w:hAnsi="Garamond" w:cs="Garamond"/>
          <w:b/>
          <w:sz w:val="28"/>
          <w:szCs w:val="28"/>
        </w:rPr>
        <w:t>Proposed additional question to be addressed to the State Party</w:t>
      </w:r>
    </w:p>
    <w:p w:rsidR="009B6A77" w:rsidRDefault="009B6A77">
      <w:pPr>
        <w:ind w:left="720"/>
        <w:jc w:val="both"/>
        <w:rPr>
          <w:rFonts w:ascii="Garamond" w:eastAsia="Garamond" w:hAnsi="Garamond" w:cs="Garamond"/>
          <w:b/>
        </w:rPr>
      </w:pPr>
    </w:p>
    <w:p w:rsidR="009B6A77" w:rsidRDefault="009B6A77">
      <w:pPr>
        <w:numPr>
          <w:ilvl w:val="0"/>
          <w:numId w:val="2"/>
        </w:numPr>
        <w:jc w:val="both"/>
        <w:rPr>
          <w:rFonts w:ascii="Garamond" w:eastAsia="Garamond" w:hAnsi="Garamond" w:cs="Garamond"/>
        </w:rPr>
      </w:pPr>
      <w:r>
        <w:rPr>
          <w:rFonts w:ascii="Garamond" w:eastAsia="Garamond" w:hAnsi="Garamond" w:cs="Garamond"/>
          <w:b/>
        </w:rPr>
        <w:t>Considering the current obstacles to guaranteeing the sexual and reproductive rights of Afro-descendant girls and women, how does the State Party intend to prevent setbacks in legislative and public policy frameworks and to advance in the prevention of rights violations, including regarding the National Policy for Comprehensive Health Care for the Black Population affected by the new financing model in the Unified Health System (SUS)</w:t>
      </w:r>
      <w:r>
        <w:rPr>
          <w:rFonts w:ascii="Garamond" w:eastAsia="Garamond" w:hAnsi="Garamond" w:cs="Garamond"/>
          <w:b/>
          <w:vertAlign w:val="superscript"/>
        </w:rPr>
        <w:endnoteReference w:id="46"/>
      </w:r>
      <w:r>
        <w:rPr>
          <w:rFonts w:ascii="Garamond" w:eastAsia="Garamond" w:hAnsi="Garamond" w:cs="Garamond"/>
          <w:b/>
        </w:rPr>
        <w:t>?</w:t>
      </w:r>
    </w:p>
    <w:p w:rsidR="009B6A77" w:rsidRDefault="009B6A77">
      <w:pPr>
        <w:ind w:left="720"/>
        <w:jc w:val="both"/>
        <w:rPr>
          <w:rFonts w:ascii="Garamond" w:eastAsia="Garamond" w:hAnsi="Garamond" w:cs="Garamond"/>
          <w:b/>
        </w:rPr>
      </w:pPr>
    </w:p>
    <w:p w:rsidR="009B6A77" w:rsidRDefault="009B6A77">
      <w:pPr>
        <w:jc w:val="both"/>
        <w:rPr>
          <w:rFonts w:ascii="Garamond" w:eastAsia="Garamond" w:hAnsi="Garamond" w:cs="Garamond"/>
          <w:b/>
          <w:highlight w:val="green"/>
        </w:rPr>
      </w:pPr>
      <w:r>
        <w:rPr>
          <w:rFonts w:ascii="Garamond" w:eastAsia="Garamond" w:hAnsi="Garamond" w:cs="Garamond"/>
          <w:b/>
          <w:sz w:val="28"/>
          <w:szCs w:val="28"/>
        </w:rPr>
        <w:t>Topic 17: Marriage and family relations</w:t>
      </w:r>
    </w:p>
    <w:p w:rsidR="009B6A77" w:rsidRDefault="009B6A77">
      <w:pPr>
        <w:jc w:val="both"/>
        <w:rPr>
          <w:rFonts w:ascii="Garamond" w:eastAsia="Garamond" w:hAnsi="Garamond" w:cs="Garamond"/>
          <w:b/>
          <w:highlight w:val="green"/>
        </w:rPr>
      </w:pPr>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rPr>
        <w:t>The Parental Alienation Law (Law No. 12,318/2010) lacks a consolidated scientific basis</w:t>
      </w:r>
      <w:r>
        <w:rPr>
          <w:rStyle w:val="Refdenotadefim"/>
          <w:rFonts w:ascii="Garamond" w:eastAsia="Garamond" w:hAnsi="Garamond" w:cs="Garamond"/>
        </w:rPr>
        <w:endnoteReference w:id="47"/>
      </w:r>
      <w:r>
        <w:rPr>
          <w:rFonts w:ascii="Garamond" w:eastAsia="Garamond" w:hAnsi="Garamond" w:cs="Garamond"/>
        </w:rPr>
        <w:t xml:space="preserve"> and, therefore, is based on the mistaken idea of "parental alienation syndrome." As a result, the Law has been used as another form of violence by delegitimizing women who report domestic violence </w:t>
      </w:r>
      <w:r>
        <w:rPr>
          <w:rFonts w:ascii="Garamond" w:eastAsia="Garamond" w:hAnsi="Garamond" w:cs="Garamond"/>
        </w:rPr>
        <w:lastRenderedPageBreak/>
        <w:t>against themselves and their children</w:t>
      </w:r>
      <w:r>
        <w:rPr>
          <w:rStyle w:val="Refdenotadefim"/>
          <w:rFonts w:ascii="Garamond" w:eastAsia="Garamond" w:hAnsi="Garamond" w:cs="Garamond"/>
        </w:rPr>
        <w:endnoteReference w:id="48"/>
      </w:r>
      <w:r>
        <w:rPr>
          <w:rFonts w:ascii="Garamond" w:eastAsia="Garamond" w:hAnsi="Garamond" w:cs="Garamond"/>
        </w:rPr>
        <w:t>. In addition to the punishments received by mothers being more severe compared to men accused of being alienators, the procedural analyses of inquiries about mothers are considerably more derogatory. A study by Fabiana Severi and Camila Villarroel identified that mothers were charged with alienation in 80% of the analyzed cases</w:t>
      </w:r>
      <w:r>
        <w:rPr>
          <w:rStyle w:val="Refdenotadefim"/>
          <w:rFonts w:ascii="Garamond" w:eastAsia="Garamond" w:hAnsi="Garamond" w:cs="Garamond"/>
        </w:rPr>
        <w:endnoteReference w:id="49"/>
      </w:r>
      <w:r>
        <w:rPr>
          <w:rFonts w:ascii="Garamond" w:eastAsia="Garamond" w:hAnsi="Garamond" w:cs="Garamond"/>
        </w:rPr>
        <w:t>. According to the National Council of Justice (CNJ), 4,500 cases of parental alienation were filed between 2018 and 2022, a number that increased during the COVID-19 pandemic. Up to October 2023, 5,152 cases of parental alienation had been filed. The issue becomes even more urgent when we observe a lack of disaggregated data on how the Law affects Afro-descendants, quilombola, and indigenous mothers.</w:t>
      </w:r>
      <w:r>
        <w:rPr>
          <w:rFonts w:ascii="Garamond" w:eastAsia="Garamond" w:hAnsi="Garamond" w:cs="Garamond"/>
          <w:vertAlign w:val="superscript"/>
        </w:rPr>
        <w:endnoteReference w:id="50"/>
      </w:r>
    </w:p>
    <w:p w:rsidR="009B6A77" w:rsidRDefault="009B6A77">
      <w:pPr>
        <w:ind w:left="720"/>
        <w:jc w:val="both"/>
        <w:rPr>
          <w:rFonts w:ascii="Garamond" w:eastAsia="Garamond" w:hAnsi="Garamond" w:cs="Garamond"/>
          <w:highlight w:val="white"/>
        </w:rPr>
      </w:pPr>
    </w:p>
    <w:p w:rsidR="009B6A77" w:rsidRDefault="009B6A77">
      <w:pPr>
        <w:keepNext/>
        <w:keepLines/>
        <w:jc w:val="both"/>
        <w:rPr>
          <w:rFonts w:ascii="Garamond" w:eastAsia="Garamond" w:hAnsi="Garamond" w:cs="Garamond"/>
          <w:highlight w:val="cyan"/>
        </w:rPr>
      </w:pPr>
      <w:r>
        <w:rPr>
          <w:rFonts w:ascii="Garamond" w:eastAsia="Garamond" w:hAnsi="Garamond" w:cs="Garamond"/>
          <w:b/>
          <w:sz w:val="28"/>
          <w:szCs w:val="28"/>
        </w:rPr>
        <w:t>Proposed additional question to be addressed to the State Party</w:t>
      </w:r>
    </w:p>
    <w:p w:rsidR="009B6A77" w:rsidRDefault="009B6A77">
      <w:pPr>
        <w:ind w:left="720"/>
        <w:jc w:val="both"/>
        <w:rPr>
          <w:rFonts w:ascii="Garamond" w:eastAsia="Garamond" w:hAnsi="Garamond" w:cs="Garamond"/>
          <w:b/>
        </w:rPr>
      </w:pPr>
    </w:p>
    <w:p w:rsidR="009B6A77" w:rsidRDefault="009B6A77">
      <w:pPr>
        <w:numPr>
          <w:ilvl w:val="0"/>
          <w:numId w:val="2"/>
        </w:numPr>
        <w:jc w:val="both"/>
        <w:rPr>
          <w:rFonts w:ascii="Garamond" w:eastAsia="Garamond" w:hAnsi="Garamond" w:cs="Garamond"/>
        </w:rPr>
      </w:pPr>
      <w:r>
        <w:rPr>
          <w:rFonts w:ascii="Garamond" w:eastAsia="Garamond" w:hAnsi="Garamond" w:cs="Garamond"/>
          <w:b/>
        </w:rPr>
        <w:t>Considering that the Parental Alienation Law (LAP) has become a new form of violence against women, what measures has the State Party taken to advance the processing of Bill No. 2,812/2022, which repeals the LAP, and ensure that the institute of parental alienation is not mobilized in legal actions regardless of the Law, especially in conjunction with the various ways in which racism can manifest in litigation?</w:t>
      </w:r>
    </w:p>
    <w:p w:rsidR="009B6A77" w:rsidRDefault="009B6A77">
      <w:pPr>
        <w:jc w:val="both"/>
        <w:rPr>
          <w:rFonts w:ascii="Garamond" w:eastAsia="Garamond" w:hAnsi="Garamond" w:cs="Garamond"/>
          <w:b/>
          <w:highlight w:val="white"/>
        </w:rPr>
      </w:pPr>
    </w:p>
    <w:p w:rsidR="009B6A77" w:rsidRDefault="009B6A77">
      <w:pPr>
        <w:jc w:val="both"/>
        <w:rPr>
          <w:rFonts w:ascii="Garamond" w:eastAsia="Garamond" w:hAnsi="Garamond" w:cs="Garamond"/>
          <w:b/>
          <w:sz w:val="28"/>
          <w:szCs w:val="28"/>
        </w:rPr>
      </w:pPr>
      <w:r>
        <w:rPr>
          <w:rFonts w:ascii="Garamond" w:eastAsia="Garamond" w:hAnsi="Garamond" w:cs="Garamond"/>
          <w:b/>
          <w:sz w:val="28"/>
          <w:szCs w:val="28"/>
        </w:rPr>
        <w:t>Topic 18: Climate change</w:t>
      </w:r>
    </w:p>
    <w:p w:rsidR="009B6A77" w:rsidRDefault="009B6A77">
      <w:pPr>
        <w:jc w:val="both"/>
        <w:rPr>
          <w:rFonts w:ascii="Garamond" w:eastAsia="Garamond" w:hAnsi="Garamond" w:cs="Garamond"/>
          <w:highlight w:val="white"/>
        </w:rPr>
      </w:pPr>
    </w:p>
    <w:p w:rsidR="009B6A77" w:rsidRDefault="009B6A77">
      <w:pPr>
        <w:numPr>
          <w:ilvl w:val="0"/>
          <w:numId w:val="3"/>
        </w:numPr>
        <w:pBdr>
          <w:top w:val="nil"/>
          <w:left w:val="nil"/>
          <w:bottom w:val="nil"/>
          <w:right w:val="nil"/>
          <w:between w:val="nil"/>
        </w:pBdr>
        <w:jc w:val="both"/>
        <w:rPr>
          <w:rFonts w:ascii="Garamond" w:eastAsia="Garamond" w:hAnsi="Garamond" w:cs="Garamond"/>
        </w:rPr>
      </w:pPr>
      <w:r>
        <w:rPr>
          <w:rFonts w:ascii="Garamond" w:eastAsia="Garamond" w:hAnsi="Garamond" w:cs="Garamond"/>
        </w:rPr>
        <w:t>In Brazilian cities, the areas with the most minor infrastructure and essential environmental services are those where the Afro-descendant population and households headed by low-income women are concentrated</w:t>
      </w:r>
      <w:r>
        <w:rPr>
          <w:rStyle w:val="Refdenotadefim"/>
          <w:rFonts w:ascii="Garamond" w:eastAsia="Garamond" w:hAnsi="Garamond" w:cs="Garamond"/>
        </w:rPr>
        <w:endnoteReference w:id="51"/>
      </w:r>
      <w:r>
        <w:rPr>
          <w:rFonts w:ascii="Garamond" w:eastAsia="Garamond" w:hAnsi="Garamond" w:cs="Garamond"/>
        </w:rPr>
        <w:t xml:space="preserve">. As a result, </w:t>
      </w:r>
      <w:r>
        <w:rPr>
          <w:rFonts w:ascii="Garamond" w:eastAsia="Garamond" w:hAnsi="Garamond" w:cs="Garamond"/>
          <w:b/>
        </w:rPr>
        <w:t>Afro-descendant women are the ones who suffer the most from the climate crisis, also highlighting environmental racism. In this context, it is essential to note that Afro-descendant women human rights defenders engaged in the fight for climate and socio-environmental justice are subject to particular forms of gender violence that are invisible. Yet, their leadership is crucial to overcoming injustices</w:t>
      </w:r>
      <w:r>
        <w:rPr>
          <w:rStyle w:val="Refdenotadefim"/>
          <w:rFonts w:ascii="Garamond" w:eastAsia="Garamond" w:hAnsi="Garamond" w:cs="Garamond"/>
          <w:b/>
        </w:rPr>
        <w:endnoteReference w:id="52"/>
      </w:r>
      <w:r>
        <w:rPr>
          <w:rFonts w:ascii="Garamond" w:eastAsia="Garamond" w:hAnsi="Garamond" w:cs="Garamond"/>
          <w:b/>
        </w:rPr>
        <w:t xml:space="preserve">. </w:t>
      </w:r>
      <w:r>
        <w:rPr>
          <w:rFonts w:ascii="Garamond" w:eastAsia="Garamond" w:hAnsi="Garamond" w:cs="Garamond"/>
        </w:rPr>
        <w:t>In this sense, the State fails to comply with articles 5, 8 "c," and 111 of the Durban Programme of Action, which recommend, respectively, investment in environmental control where the black population resides, developing sanitation, housing, and environmental control programs for the black population; promoting access to information on health, environmental issues, and participation of the Afro-descendant population in decision-making on the environment.</w:t>
      </w:r>
    </w:p>
    <w:p w:rsidR="009B6A77" w:rsidRDefault="009B6A77">
      <w:pPr>
        <w:jc w:val="both"/>
        <w:rPr>
          <w:rFonts w:ascii="Roboto" w:eastAsia="Roboto" w:hAnsi="Roboto" w:cs="Roboto"/>
          <w:sz w:val="23"/>
          <w:szCs w:val="23"/>
          <w:highlight w:val="white"/>
        </w:rPr>
      </w:pPr>
    </w:p>
    <w:p w:rsidR="009B6A77" w:rsidRDefault="009B6A77">
      <w:pPr>
        <w:keepNext/>
        <w:keepLines/>
        <w:jc w:val="both"/>
        <w:rPr>
          <w:rFonts w:ascii="Garamond" w:eastAsia="Garamond" w:hAnsi="Garamond" w:cs="Garamond"/>
          <w:b/>
          <w:sz w:val="28"/>
          <w:szCs w:val="28"/>
        </w:rPr>
      </w:pPr>
      <w:r>
        <w:rPr>
          <w:rFonts w:ascii="Garamond" w:eastAsia="Garamond" w:hAnsi="Garamond" w:cs="Garamond"/>
          <w:b/>
          <w:sz w:val="28"/>
          <w:szCs w:val="28"/>
        </w:rPr>
        <w:t>Proposed additional question to be addressed to the State Party</w:t>
      </w:r>
    </w:p>
    <w:p w:rsidR="009B6A77" w:rsidRDefault="009B6A77">
      <w:pPr>
        <w:jc w:val="both"/>
        <w:rPr>
          <w:rFonts w:ascii="Garamond" w:eastAsia="Garamond" w:hAnsi="Garamond" w:cs="Garamond"/>
        </w:rPr>
      </w:pPr>
    </w:p>
    <w:p w:rsidR="009B6A77" w:rsidRDefault="009B6A77">
      <w:pPr>
        <w:numPr>
          <w:ilvl w:val="0"/>
          <w:numId w:val="2"/>
        </w:numPr>
        <w:pBdr>
          <w:top w:val="nil"/>
          <w:left w:val="nil"/>
          <w:bottom w:val="nil"/>
          <w:right w:val="nil"/>
          <w:between w:val="nil"/>
        </w:pBdr>
        <w:jc w:val="both"/>
        <w:rPr>
          <w:rFonts w:ascii="Garamond" w:eastAsia="Garamond" w:hAnsi="Garamond" w:cs="Garamond"/>
        </w:rPr>
      </w:pPr>
      <w:r>
        <w:rPr>
          <w:rFonts w:ascii="Garamond" w:eastAsia="Garamond" w:hAnsi="Garamond" w:cs="Garamond"/>
          <w:b/>
        </w:rPr>
        <w:t>Considering that Afro-descendant women are disproportionately affected by the climate crisis while the solutions pass through their experiences, what measures has the State Party adopted to ensure the participation and safety of Afro-descendant women in the climate and environmental agenda?</w:t>
      </w:r>
    </w:p>
    <w:p w:rsidR="009B6A77" w:rsidRDefault="009B6A77">
      <w:pPr>
        <w:pBdr>
          <w:top w:val="nil"/>
          <w:left w:val="nil"/>
          <w:bottom w:val="nil"/>
          <w:right w:val="nil"/>
          <w:between w:val="nil"/>
        </w:pBdr>
        <w:jc w:val="both"/>
        <w:rPr>
          <w:rFonts w:ascii="Garamond" w:eastAsia="Garamond" w:hAnsi="Garamond" w:cs="Garamond"/>
          <w:b/>
        </w:rPr>
      </w:pPr>
    </w:p>
    <w:p w:rsidR="009B6A77" w:rsidRDefault="009B6A77">
      <w:pPr>
        <w:jc w:val="center"/>
        <w:rPr>
          <w:rFonts w:ascii="Garamond" w:eastAsia="Garamond" w:hAnsi="Garamond" w:cs="Garamond"/>
          <w:b/>
        </w:rPr>
      </w:pPr>
    </w:p>
    <w:p w:rsidR="009B6A77" w:rsidRDefault="009B6A77">
      <w:pPr>
        <w:jc w:val="center"/>
        <w:rPr>
          <w:rFonts w:ascii="Garamond" w:eastAsia="Garamond" w:hAnsi="Garamond" w:cs="Garamond"/>
          <w:b/>
        </w:rPr>
      </w:pPr>
    </w:p>
    <w:p w:rsidR="009B6A77" w:rsidRDefault="009B6A77">
      <w:pPr>
        <w:jc w:val="center"/>
        <w:rPr>
          <w:rFonts w:ascii="Garamond" w:eastAsia="Garamond" w:hAnsi="Garamond" w:cs="Garamond"/>
          <w:b/>
        </w:rPr>
      </w:pPr>
    </w:p>
    <w:p w:rsidR="009B6A77" w:rsidRDefault="009B6A77">
      <w:pPr>
        <w:jc w:val="center"/>
        <w:rPr>
          <w:rFonts w:ascii="Garamond" w:eastAsia="Garamond" w:hAnsi="Garamond" w:cs="Garamond"/>
          <w:b/>
        </w:rPr>
      </w:pPr>
    </w:p>
    <w:p w:rsidR="009B6A77" w:rsidRDefault="009B6A77">
      <w:pPr>
        <w:jc w:val="center"/>
        <w:rPr>
          <w:rFonts w:ascii="Garamond" w:eastAsia="Garamond" w:hAnsi="Garamond" w:cs="Garamond"/>
        </w:rPr>
      </w:pPr>
      <w:r>
        <w:rPr>
          <w:rFonts w:ascii="Garamond" w:eastAsia="Garamond" w:hAnsi="Garamond" w:cs="Garamond"/>
          <w:b/>
        </w:rPr>
        <w:t>Annex 1</w:t>
      </w:r>
    </w:p>
    <w:p w:rsidR="009B6A77" w:rsidRDefault="009B6A77">
      <w:pPr>
        <w:jc w:val="center"/>
        <w:rPr>
          <w:rFonts w:ascii="Garamond" w:eastAsia="Garamond" w:hAnsi="Garamond" w:cs="Garamond"/>
        </w:rPr>
      </w:pPr>
      <w:r>
        <w:rPr>
          <w:rFonts w:ascii="Garamond" w:eastAsia="Garamond" w:hAnsi="Garamond" w:cs="Garamond"/>
          <w:b/>
        </w:rPr>
        <w:t xml:space="preserve"> Emblematic Cases</w:t>
      </w:r>
    </w:p>
    <w:p w:rsidR="009B6A77" w:rsidRDefault="009B6A77">
      <w:pPr>
        <w:jc w:val="center"/>
        <w:rPr>
          <w:rFonts w:ascii="Garamond" w:eastAsia="Garamond" w:hAnsi="Garamond" w:cs="Garamond"/>
          <w:b/>
        </w:rPr>
      </w:pPr>
    </w:p>
    <w:p w:rsidR="009B6A77" w:rsidRDefault="009B6A77">
      <w:pPr>
        <w:rPr>
          <w:rFonts w:ascii="Garamond" w:eastAsia="Garamond" w:hAnsi="Garamond" w:cs="Garamond"/>
          <w:b/>
          <w:sz w:val="28"/>
          <w:szCs w:val="28"/>
        </w:rPr>
      </w:pPr>
      <w:r>
        <w:rPr>
          <w:rFonts w:ascii="Garamond" w:eastAsia="Garamond" w:hAnsi="Garamond" w:cs="Garamond"/>
          <w:b/>
          <w:sz w:val="28"/>
          <w:szCs w:val="28"/>
        </w:rPr>
        <w:t xml:space="preserve">Topic 1: General </w:t>
      </w:r>
    </w:p>
    <w:p w:rsidR="009B6A77" w:rsidRDefault="009B6A77">
      <w:pPr>
        <w:rPr>
          <w:rFonts w:ascii="Garamond" w:eastAsia="Garamond" w:hAnsi="Garamond" w:cs="Garamond"/>
          <w:b/>
          <w:sz w:val="28"/>
          <w:szCs w:val="28"/>
        </w:rPr>
      </w:pPr>
    </w:p>
    <w:p w:rsidR="009B6A77" w:rsidRDefault="009B6A77">
      <w:pPr>
        <w:numPr>
          <w:ilvl w:val="0"/>
          <w:numId w:val="1"/>
        </w:numPr>
        <w:jc w:val="both"/>
        <w:rPr>
          <w:rFonts w:ascii="Garamond" w:eastAsia="Garamond" w:hAnsi="Garamond" w:cs="Garamond"/>
        </w:rPr>
      </w:pPr>
      <w:r>
        <w:rPr>
          <w:rFonts w:ascii="Garamond" w:eastAsia="Garamond" w:hAnsi="Garamond" w:cs="Garamond"/>
          <w:highlight w:val="white"/>
        </w:rPr>
        <w:t>According to data provided by the National Human Rights Ombudsman of the Ministry of Human Rights and Citizenship (MDHC), only between January and August 2023, there were 5,036 violations against lesbian individuals in Brazil</w:t>
      </w:r>
      <w:r>
        <w:rPr>
          <w:rStyle w:val="Refdenotadefim"/>
          <w:rFonts w:ascii="Garamond" w:eastAsia="Garamond" w:hAnsi="Garamond" w:cs="Garamond"/>
        </w:rPr>
        <w:endnoteReference w:id="53"/>
      </w:r>
      <w:r>
        <w:rPr>
          <w:rFonts w:ascii="Garamond" w:eastAsia="Garamond" w:hAnsi="Garamond" w:cs="Garamond"/>
          <w:highlight w:val="white"/>
        </w:rPr>
        <w:t xml:space="preserve">. The "Dossier on Lesbicide in Brazil: from 2014 to </w:t>
      </w:r>
      <w:r>
        <w:rPr>
          <w:rFonts w:ascii="Garamond" w:eastAsia="Garamond" w:hAnsi="Garamond" w:cs="Garamond"/>
          <w:highlight w:val="white"/>
        </w:rPr>
        <w:lastRenderedPageBreak/>
        <w:t>2017" identified that most of the victims of lesbicides</w:t>
      </w:r>
      <w:r>
        <w:rPr>
          <w:rFonts w:ascii="Garamond" w:eastAsia="Garamond" w:hAnsi="Garamond" w:cs="Garamond"/>
          <w:highlight w:val="white"/>
          <w:vertAlign w:val="superscript"/>
        </w:rPr>
        <w:endnoteReference w:id="54"/>
      </w:r>
      <w:r>
        <w:rPr>
          <w:rFonts w:ascii="Garamond" w:eastAsia="Garamond" w:hAnsi="Garamond" w:cs="Garamond"/>
          <w:highlight w:val="white"/>
        </w:rPr>
        <w:t>are young people up to 24 years old, accounting for 57%. However, regarding race/ethnicity, the research highlights that the data, which indicate that white lesbians are more victimized (57%) than Afro-descendant ones (42%), is a reflection of the racist media that does not even report cases of torture and violence against Afro-descendant women.</w:t>
      </w:r>
      <w:r>
        <w:rPr>
          <w:rFonts w:ascii="Garamond" w:eastAsia="Garamond" w:hAnsi="Garamond" w:cs="Garamond"/>
          <w:highlight w:val="white"/>
          <w:vertAlign w:val="superscript"/>
        </w:rPr>
        <w:endnoteReference w:id="55"/>
      </w:r>
      <w:r>
        <w:rPr>
          <w:rFonts w:ascii="Garamond" w:eastAsia="Garamond" w:hAnsi="Garamond" w:cs="Garamond"/>
          <w:highlight w:val="white"/>
        </w:rPr>
        <w:t xml:space="preserve">An emblematic case of lesbicide is that of a </w:t>
      </w:r>
      <w:r>
        <w:rPr>
          <w:rFonts w:ascii="Garamond" w:eastAsia="Garamond" w:hAnsi="Garamond" w:cs="Garamond"/>
          <w:b/>
          <w:highlight w:val="white"/>
        </w:rPr>
        <w:t xml:space="preserve">non-feminized, black mother and peripheral lesbian </w:t>
      </w:r>
      <w:r>
        <w:rPr>
          <w:rFonts w:ascii="Garamond" w:eastAsia="Garamond" w:hAnsi="Garamond" w:cs="Garamond"/>
          <w:highlight w:val="white"/>
        </w:rPr>
        <w:t>who was brutally beaten and killed by three police officers on duty who "demanded to die saying she was a lesbian, that she was a woman."</w:t>
      </w:r>
      <w:r>
        <w:rPr>
          <w:rStyle w:val="Refdenotadefim"/>
          <w:rFonts w:ascii="Garamond" w:eastAsia="Garamond" w:hAnsi="Garamond" w:cs="Garamond"/>
        </w:rPr>
        <w:endnoteReference w:id="56"/>
      </w:r>
      <w:r>
        <w:rPr>
          <w:rFonts w:ascii="Garamond" w:eastAsia="Garamond" w:hAnsi="Garamond" w:cs="Garamond"/>
          <w:highlight w:val="white"/>
        </w:rPr>
        <w:t xml:space="preserve"> Another case that generated national mobilization was the brutal murder of </w:t>
      </w:r>
      <w:r>
        <w:rPr>
          <w:rFonts w:ascii="Garamond" w:eastAsia="Garamond" w:hAnsi="Garamond" w:cs="Garamond"/>
          <w:b/>
          <w:highlight w:val="white"/>
        </w:rPr>
        <w:t>Ana Caroline, a young black worker who had the skin of her face, scalp, eyes, and ears ripped off</w:t>
      </w:r>
      <w:r>
        <w:rPr>
          <w:rStyle w:val="Refdenotadefim"/>
          <w:rFonts w:ascii="Garamond" w:eastAsia="Garamond" w:hAnsi="Garamond" w:cs="Garamond"/>
          <w:b/>
        </w:rPr>
        <w:endnoteReference w:id="57"/>
      </w:r>
      <w:r>
        <w:rPr>
          <w:rFonts w:ascii="Garamond" w:eastAsia="Garamond" w:hAnsi="Garamond" w:cs="Garamond"/>
          <w:highlight w:val="white"/>
        </w:rPr>
        <w:t>. In this regard, the Committee for the Elimination of Racial Discrimination (CERD) expressed its concern and recommended that the Brazilian State carefully evaluate its demographic data systems. (</w:t>
      </w:r>
      <w:hyperlink r:id="rId9">
        <w:r>
          <w:rPr>
            <w:rFonts w:ascii="Garamond" w:eastAsia="Garamond" w:hAnsi="Garamond" w:cs="Garamond"/>
            <w:color w:val="1155CC"/>
            <w:u w:val="single"/>
          </w:rPr>
          <w:t>CERD/C/BRA/CO/18-19</w:t>
        </w:r>
      </w:hyperlink>
      <w:r>
        <w:rPr>
          <w:rFonts w:ascii="Garamond" w:eastAsia="Garamond" w:hAnsi="Garamond" w:cs="Garamond"/>
          <w:highlight w:val="white"/>
        </w:rPr>
        <w:t>).</w:t>
      </w:r>
    </w:p>
    <w:p w:rsidR="009B6A77" w:rsidRDefault="009B6A77">
      <w:pPr>
        <w:jc w:val="both"/>
        <w:rPr>
          <w:rFonts w:ascii="Garamond" w:eastAsia="Garamond" w:hAnsi="Garamond" w:cs="Garamond"/>
          <w:highlight w:val="white"/>
        </w:rPr>
      </w:pPr>
    </w:p>
    <w:p w:rsidR="009B6A77" w:rsidRDefault="009B6A77">
      <w:pPr>
        <w:rPr>
          <w:rFonts w:ascii="Garamond" w:eastAsia="Garamond" w:hAnsi="Garamond" w:cs="Garamond"/>
          <w:b/>
          <w:sz w:val="28"/>
          <w:szCs w:val="28"/>
        </w:rPr>
      </w:pPr>
      <w:r>
        <w:rPr>
          <w:rFonts w:ascii="Garamond" w:eastAsia="Garamond" w:hAnsi="Garamond" w:cs="Garamond"/>
          <w:b/>
          <w:sz w:val="28"/>
          <w:szCs w:val="28"/>
        </w:rPr>
        <w:t>Topic 4: Constitutional and legislative framework</w:t>
      </w:r>
    </w:p>
    <w:p w:rsidR="009B6A77" w:rsidRDefault="009B6A77">
      <w:pPr>
        <w:rPr>
          <w:rFonts w:ascii="Garamond" w:eastAsia="Garamond" w:hAnsi="Garamond" w:cs="Garamond"/>
          <w:b/>
          <w:sz w:val="28"/>
          <w:szCs w:val="28"/>
        </w:rPr>
      </w:pPr>
    </w:p>
    <w:p w:rsidR="009B6A77" w:rsidRDefault="009B6A77">
      <w:pPr>
        <w:numPr>
          <w:ilvl w:val="0"/>
          <w:numId w:val="1"/>
        </w:numPr>
        <w:jc w:val="both"/>
        <w:rPr>
          <w:rFonts w:ascii="Garamond" w:eastAsia="Garamond" w:hAnsi="Garamond" w:cs="Garamond"/>
        </w:rPr>
      </w:pPr>
      <w:r>
        <w:rPr>
          <w:rFonts w:ascii="Garamond" w:eastAsia="Garamond" w:hAnsi="Garamond" w:cs="Garamond"/>
          <w:highlight w:val="white"/>
        </w:rPr>
        <w:t xml:space="preserve">Recently, there was </w:t>
      </w:r>
      <w:r>
        <w:rPr>
          <w:rFonts w:ascii="Garamond" w:eastAsia="Garamond" w:hAnsi="Garamond" w:cs="Garamond"/>
          <w:b/>
          <w:highlight w:val="white"/>
        </w:rPr>
        <w:t>the emblematic case of Sônia Maria de Jesus, a black, poor, and disabled woman who was subjected to conditions analogous to slavery in the state of Santa Catarina by a judge from the same state. After being rescued and a judicial process being initiated to investigate the case, the Superior Court of Justice (STJ) allowed Sônia Maria de Jesus to be subjected again to conditions of work analogous to slavery, using in the judgment a racist vocabulary that refers to the slave past</w:t>
      </w:r>
      <w:r>
        <w:rPr>
          <w:rStyle w:val="Refdenotadefim"/>
          <w:rFonts w:ascii="Garamond" w:eastAsia="Garamond" w:hAnsi="Garamond" w:cs="Garamond"/>
          <w:b/>
        </w:rPr>
        <w:endnoteReference w:id="58"/>
      </w:r>
      <w:r>
        <w:rPr>
          <w:rFonts w:ascii="Garamond" w:eastAsia="Garamond" w:hAnsi="Garamond" w:cs="Garamond"/>
          <w:b/>
          <w:highlight w:val="white"/>
        </w:rPr>
        <w:t>.</w:t>
      </w:r>
      <w:r>
        <w:rPr>
          <w:rFonts w:ascii="Garamond" w:eastAsia="Garamond" w:hAnsi="Garamond" w:cs="Garamond"/>
          <w:highlight w:val="white"/>
        </w:rPr>
        <w:t xml:space="preserve"> The case in question includes legal documents that violate a series of international human rights treaties, constitutional and infra-constitutional norms, and the development of legal theses that violate principles of labour law.</w:t>
      </w:r>
    </w:p>
    <w:p w:rsidR="009B6A77" w:rsidRDefault="009B6A77">
      <w:pPr>
        <w:jc w:val="both"/>
        <w:rPr>
          <w:rFonts w:ascii="Garamond" w:eastAsia="Garamond" w:hAnsi="Garamond" w:cs="Garamond"/>
        </w:rPr>
      </w:pPr>
    </w:p>
    <w:p w:rsidR="009B6A77" w:rsidRDefault="009B6A77">
      <w:pPr>
        <w:keepNext/>
        <w:keepLines/>
        <w:jc w:val="both"/>
        <w:rPr>
          <w:rFonts w:ascii="Garamond" w:eastAsia="Garamond" w:hAnsi="Garamond" w:cs="Garamond"/>
          <w:b/>
          <w:sz w:val="28"/>
          <w:szCs w:val="28"/>
        </w:rPr>
      </w:pPr>
      <w:bookmarkStart w:id="6" w:name="_heading=h.tline7d8vs3d" w:colFirst="0" w:colLast="0"/>
      <w:bookmarkEnd w:id="6"/>
      <w:r>
        <w:rPr>
          <w:rFonts w:ascii="Garamond" w:eastAsia="Garamond" w:hAnsi="Garamond" w:cs="Garamond"/>
          <w:b/>
          <w:sz w:val="28"/>
          <w:szCs w:val="28"/>
        </w:rPr>
        <w:t>Topic 5: Women’s access to justice</w:t>
      </w:r>
    </w:p>
    <w:p w:rsidR="009B6A77" w:rsidRDefault="009B6A77">
      <w:pPr>
        <w:keepNext/>
        <w:keepLines/>
        <w:jc w:val="both"/>
        <w:rPr>
          <w:rFonts w:ascii="Garamond" w:eastAsia="Garamond" w:hAnsi="Garamond" w:cs="Garamond"/>
          <w:b/>
          <w:sz w:val="28"/>
          <w:szCs w:val="28"/>
        </w:rPr>
      </w:pPr>
      <w:bookmarkStart w:id="7" w:name="_heading=h.xne1qu6umdmn" w:colFirst="0" w:colLast="0"/>
      <w:bookmarkEnd w:id="7"/>
    </w:p>
    <w:p w:rsidR="009B6A77" w:rsidRDefault="009B6A77">
      <w:pPr>
        <w:numPr>
          <w:ilvl w:val="0"/>
          <w:numId w:val="1"/>
        </w:numPr>
        <w:jc w:val="both"/>
        <w:rPr>
          <w:rFonts w:ascii="Garamond" w:eastAsia="Garamond" w:hAnsi="Garamond" w:cs="Garamond"/>
        </w:rPr>
      </w:pPr>
      <w:r>
        <w:rPr>
          <w:rFonts w:ascii="Garamond" w:eastAsia="Garamond" w:hAnsi="Garamond" w:cs="Garamond"/>
        </w:rPr>
        <w:t>An emblematic case in this regard was that of Mariana Ferrer, a young woman who was a victim of sexual violence, including rape, at a luxury club in the city of Florianópolis, in the state of Santa Catarina. The perpetrator was charged but acquitted due to lack of evidence. During the trial, the victim was repeatedly humiliated by the defence lawyer of the accused</w:t>
      </w:r>
      <w:r>
        <w:rPr>
          <w:rStyle w:val="Refdenotadefim"/>
          <w:rFonts w:ascii="Garamond" w:eastAsia="Garamond" w:hAnsi="Garamond" w:cs="Garamond"/>
        </w:rPr>
        <w:endnoteReference w:id="59"/>
      </w:r>
      <w:r>
        <w:rPr>
          <w:rFonts w:ascii="Garamond" w:eastAsia="Garamond" w:hAnsi="Garamond" w:cs="Garamond"/>
        </w:rPr>
        <w:t>. This case led to the creation of Law No. 14,245/2021 (known as the Mariana Ferrer Law)</w:t>
      </w:r>
      <w:r>
        <w:rPr>
          <w:rStyle w:val="Refdenotadefim"/>
          <w:rFonts w:ascii="Garamond" w:eastAsia="Garamond" w:hAnsi="Garamond" w:cs="Garamond"/>
        </w:rPr>
        <w:endnoteReference w:id="60"/>
      </w:r>
      <w:r>
        <w:rPr>
          <w:rFonts w:ascii="Garamond" w:eastAsia="Garamond" w:hAnsi="Garamond" w:cs="Garamond"/>
        </w:rPr>
        <w:t>, which seeks to prevent acts that undermine the victim's and witnesses' dignity. However, the main challenge at the moment is to determine how the Law is being enforced. Another significant development in the case was the conviction of journalist Schilei Alves, author of the article in The Intercept Brasil that brought widespread attention to the allegations of violence against Mariana Ferrer during the trial. The journalist was sentenced to 6 months of house arrest and fines totalling R$ 400,000 in two defamation lawsuits filed by a judge and a prosecutor involved in the Mariana Ferrer case</w:t>
      </w:r>
      <w:r>
        <w:rPr>
          <w:rStyle w:val="Refdenotadefim"/>
          <w:rFonts w:ascii="Garamond" w:eastAsia="Garamond" w:hAnsi="Garamond" w:cs="Garamond"/>
        </w:rPr>
        <w:endnoteReference w:id="61"/>
      </w:r>
      <w:r>
        <w:rPr>
          <w:rFonts w:ascii="Garamond" w:eastAsia="Garamond" w:hAnsi="Garamond" w:cs="Garamond"/>
        </w:rPr>
        <w:t>.</w:t>
      </w:r>
    </w:p>
    <w:p w:rsidR="009B6A77" w:rsidRDefault="009B6A77">
      <w:pPr>
        <w:jc w:val="both"/>
        <w:rPr>
          <w:rFonts w:ascii="Garamond" w:eastAsia="Garamond" w:hAnsi="Garamond" w:cs="Garamond"/>
        </w:rPr>
      </w:pPr>
    </w:p>
    <w:p w:rsidR="009B6A77" w:rsidRDefault="009B6A77">
      <w:pPr>
        <w:jc w:val="both"/>
        <w:rPr>
          <w:rFonts w:ascii="Garamond" w:eastAsia="Garamond" w:hAnsi="Garamond" w:cs="Garamond"/>
          <w:b/>
          <w:sz w:val="28"/>
          <w:szCs w:val="28"/>
        </w:rPr>
      </w:pPr>
      <w:r>
        <w:rPr>
          <w:rFonts w:ascii="Garamond" w:eastAsia="Garamond" w:hAnsi="Garamond" w:cs="Garamond"/>
          <w:b/>
          <w:sz w:val="28"/>
          <w:szCs w:val="28"/>
        </w:rPr>
        <w:t>Topic 9: Gender-based violence against women</w:t>
      </w:r>
    </w:p>
    <w:p w:rsidR="009B6A77" w:rsidRDefault="009B6A77">
      <w:pPr>
        <w:jc w:val="both"/>
        <w:rPr>
          <w:rFonts w:ascii="Garamond" w:eastAsia="Garamond" w:hAnsi="Garamond" w:cs="Garamond"/>
          <w:b/>
          <w:sz w:val="28"/>
          <w:szCs w:val="28"/>
        </w:rPr>
      </w:pPr>
    </w:p>
    <w:p w:rsidR="009B6A77" w:rsidRDefault="009B6A77">
      <w:pPr>
        <w:numPr>
          <w:ilvl w:val="0"/>
          <w:numId w:val="1"/>
        </w:numPr>
        <w:jc w:val="both"/>
        <w:rPr>
          <w:rFonts w:ascii="Garamond" w:eastAsia="Garamond" w:hAnsi="Garamond" w:cs="Garamond"/>
        </w:rPr>
      </w:pPr>
      <w:r>
        <w:rPr>
          <w:rFonts w:ascii="Garamond" w:eastAsia="Garamond" w:hAnsi="Garamond" w:cs="Garamond"/>
          <w:highlight w:val="white"/>
        </w:rPr>
        <w:t xml:space="preserve">In addition to high rates of domestic and family violence, there are also numerous deaths perpetrated by State agents. An emblematic case was that of </w:t>
      </w:r>
      <w:r>
        <w:rPr>
          <w:rFonts w:ascii="Garamond" w:eastAsia="Garamond" w:hAnsi="Garamond" w:cs="Garamond"/>
          <w:b/>
          <w:highlight w:val="white"/>
        </w:rPr>
        <w:t>Cláudia Silva Ferreira, an Afro-descendant woman killed by the Military Police of Rio de Janeiro in 2014</w:t>
      </w:r>
      <w:r>
        <w:rPr>
          <w:rFonts w:ascii="Garamond" w:eastAsia="Garamond" w:hAnsi="Garamond" w:cs="Garamond"/>
          <w:highlight w:val="white"/>
        </w:rPr>
        <w:t>. Cláudia was a mother of four children, a caregiver to four nieces and nephews, and a hospital janitor. She was shot in the neck and back while walking to buy bread and was then dragged 300 meters by a Military Police vehicle. In 2024, the public agents responsible for Cláudia's death were acquitted</w:t>
      </w:r>
      <w:r>
        <w:rPr>
          <w:rStyle w:val="Refdenotadefim"/>
          <w:rFonts w:ascii="Garamond" w:eastAsia="Garamond" w:hAnsi="Garamond" w:cs="Garamond"/>
        </w:rPr>
        <w:endnoteReference w:id="62"/>
      </w:r>
      <w:r>
        <w:rPr>
          <w:rFonts w:ascii="Garamond" w:eastAsia="Garamond" w:hAnsi="Garamond" w:cs="Garamond"/>
          <w:highlight w:val="white"/>
        </w:rPr>
        <w:t>.</w:t>
      </w:r>
    </w:p>
    <w:p w:rsidR="009B6A77" w:rsidRDefault="009B6A77">
      <w:pPr>
        <w:numPr>
          <w:ilvl w:val="0"/>
          <w:numId w:val="1"/>
        </w:numPr>
        <w:jc w:val="both"/>
        <w:rPr>
          <w:rFonts w:ascii="Garamond" w:eastAsia="Garamond" w:hAnsi="Garamond" w:cs="Garamond"/>
        </w:rPr>
      </w:pPr>
      <w:r>
        <w:rPr>
          <w:rFonts w:ascii="Garamond" w:eastAsia="Garamond" w:hAnsi="Garamond" w:cs="Garamond"/>
        </w:rPr>
        <w:t>Recently, two cases caught the attention of the national media. The first was the femicide of Venezuelan artist</w:t>
      </w:r>
      <w:r>
        <w:rPr>
          <w:rFonts w:ascii="Garamond" w:eastAsia="Garamond" w:hAnsi="Garamond" w:cs="Garamond"/>
          <w:b/>
        </w:rPr>
        <w:t xml:space="preserve"> Julieta Hernandez</w:t>
      </w:r>
      <w:r>
        <w:rPr>
          <w:rFonts w:ascii="Garamond" w:eastAsia="Garamond" w:hAnsi="Garamond" w:cs="Garamond"/>
        </w:rPr>
        <w:t>, who was killed while riding her bicycle to spend the end-of-year holidays with her family</w:t>
      </w:r>
      <w:r>
        <w:rPr>
          <w:rStyle w:val="Refdenotadefim"/>
          <w:rFonts w:ascii="Garamond" w:eastAsia="Garamond" w:hAnsi="Garamond" w:cs="Garamond"/>
        </w:rPr>
        <w:endnoteReference w:id="63"/>
      </w:r>
      <w:r>
        <w:rPr>
          <w:rFonts w:ascii="Garamond" w:eastAsia="Garamond" w:hAnsi="Garamond" w:cs="Garamond"/>
        </w:rPr>
        <w:t xml:space="preserve">. The second case was the assault on </w:t>
      </w:r>
      <w:r>
        <w:rPr>
          <w:rFonts w:ascii="Garamond" w:eastAsia="Garamond" w:hAnsi="Garamond" w:cs="Garamond"/>
          <w:b/>
        </w:rPr>
        <w:t>transgender women</w:t>
      </w:r>
      <w:r>
        <w:rPr>
          <w:rFonts w:ascii="Garamond" w:eastAsia="Garamond" w:hAnsi="Garamond" w:cs="Garamond"/>
        </w:rPr>
        <w:t xml:space="preserve"> in the city of Rio de Janeiro by 15 men in a clear attempt at collective murder</w:t>
      </w:r>
      <w:r>
        <w:rPr>
          <w:rStyle w:val="Refdenotadefim"/>
          <w:rFonts w:ascii="Garamond" w:eastAsia="Garamond" w:hAnsi="Garamond" w:cs="Garamond"/>
        </w:rPr>
        <w:endnoteReference w:id="64"/>
      </w:r>
      <w:r>
        <w:rPr>
          <w:rFonts w:ascii="Garamond" w:eastAsia="Garamond" w:hAnsi="Garamond" w:cs="Garamond"/>
        </w:rPr>
        <w:t xml:space="preserve">. In this latter case, some of the transgender women who suffered violence are of African descent, such as the model Zurialm. Without disaggregated data, it is difficult to know how some public policies have been mobilized to </w:t>
      </w:r>
      <w:r>
        <w:rPr>
          <w:rFonts w:ascii="Garamond" w:eastAsia="Garamond" w:hAnsi="Garamond" w:cs="Garamond"/>
        </w:rPr>
        <w:lastRenderedPageBreak/>
        <w:t>support girls and women from disadvantaged groups, such as the "Casa da Mulher Brasileira" program.</w:t>
      </w: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r>
        <w:rPr>
          <w:rFonts w:ascii="Garamond" w:eastAsia="Garamond" w:hAnsi="Garamond" w:cs="Garamond"/>
          <w:b/>
          <w:sz w:val="28"/>
          <w:szCs w:val="28"/>
        </w:rPr>
        <w:t>Topic 11: Participation in political and public life</w:t>
      </w:r>
    </w:p>
    <w:p w:rsidR="009B6A77" w:rsidRDefault="009B6A77">
      <w:pPr>
        <w:jc w:val="both"/>
        <w:rPr>
          <w:rFonts w:ascii="Garamond" w:eastAsia="Garamond" w:hAnsi="Garamond" w:cs="Garamond"/>
          <w:highlight w:val="white"/>
        </w:rPr>
      </w:pPr>
    </w:p>
    <w:p w:rsidR="00CC7495" w:rsidRDefault="009B6A77">
      <w:pPr>
        <w:numPr>
          <w:ilvl w:val="0"/>
          <w:numId w:val="1"/>
        </w:numPr>
        <w:jc w:val="both"/>
        <w:rPr>
          <w:rFonts w:ascii="Garamond" w:eastAsia="Garamond" w:hAnsi="Garamond" w:cs="Garamond"/>
        </w:rPr>
      </w:pPr>
      <w:r>
        <w:rPr>
          <w:rFonts w:ascii="Garamond" w:eastAsia="Garamond" w:hAnsi="Garamond" w:cs="Garamond"/>
        </w:rPr>
        <w:t xml:space="preserve">The assassination of </w:t>
      </w:r>
      <w:r>
        <w:rPr>
          <w:rFonts w:ascii="Garamond" w:eastAsia="Garamond" w:hAnsi="Garamond" w:cs="Garamond"/>
          <w:b/>
        </w:rPr>
        <w:t>Marielle Franco, a black councilwoman, LGBTQIA+ community member, and resident of the Complexo da Maré</w:t>
      </w:r>
      <w:r>
        <w:rPr>
          <w:rFonts w:ascii="Garamond" w:eastAsia="Garamond" w:hAnsi="Garamond" w:cs="Garamond"/>
        </w:rPr>
        <w:t>, and the obstacles imposed on the investigation of the crime committed against her</w:t>
      </w:r>
      <w:r>
        <w:rPr>
          <w:rStyle w:val="Refdenotadefim"/>
          <w:rFonts w:ascii="Garamond" w:eastAsia="Garamond" w:hAnsi="Garamond" w:cs="Garamond"/>
        </w:rPr>
        <w:endnoteReference w:id="65"/>
      </w:r>
      <w:r>
        <w:rPr>
          <w:rFonts w:ascii="Garamond" w:eastAsia="Garamond" w:hAnsi="Garamond" w:cs="Garamond"/>
        </w:rPr>
        <w:t xml:space="preserve"> represent a emblematic case of political violence. Daily, women, especially Afro-descendants, have their rights violated in these predominantly white and male institutional spaces. An example of this was the transphobic speech by Federal Deputy Pastor Sargento Isidório (Avante-BA), who, during a session in the Chamber of Deputies, disrespected the gender identity of Federal Deputy </w:t>
      </w:r>
      <w:r>
        <w:rPr>
          <w:rFonts w:ascii="Garamond" w:eastAsia="Garamond" w:hAnsi="Garamond" w:cs="Garamond"/>
          <w:b/>
        </w:rPr>
        <w:t>Erika Hilton, a black trans woman</w:t>
      </w:r>
      <w:r>
        <w:rPr>
          <w:rFonts w:ascii="Garamond" w:eastAsia="Garamond" w:hAnsi="Garamond" w:cs="Garamond"/>
        </w:rPr>
        <w:t>, calling her "my [male] friend" and referring to transgender identity as a fantasy, with no accountability for this transphobic action</w:t>
      </w:r>
      <w:r>
        <w:rPr>
          <w:rStyle w:val="Refdenotadefim"/>
          <w:rFonts w:ascii="Garamond" w:eastAsia="Garamond" w:hAnsi="Garamond" w:cs="Garamond"/>
        </w:rPr>
        <w:endnoteReference w:id="66"/>
      </w:r>
      <w:r>
        <w:rPr>
          <w:rFonts w:ascii="Garamond" w:eastAsia="Garamond" w:hAnsi="Garamond" w:cs="Garamond"/>
        </w:rPr>
        <w:t>.</w:t>
      </w:r>
    </w:p>
    <w:p w:rsidR="00CC7495" w:rsidRDefault="00CC7495">
      <w:pPr>
        <w:ind w:left="720"/>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p>
    <w:p w:rsidR="009B6A77" w:rsidRDefault="009B6A77">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7495">
      <w:pPr>
        <w:jc w:val="both"/>
        <w:rPr>
          <w:rFonts w:ascii="Garamond" w:eastAsia="Garamond" w:hAnsi="Garamond" w:cs="Garamond"/>
          <w:highlight w:val="white"/>
        </w:rPr>
      </w:pPr>
    </w:p>
    <w:p w:rsidR="00CC7495" w:rsidRDefault="00CC1160">
      <w:pPr>
        <w:jc w:val="center"/>
        <w:rPr>
          <w:rFonts w:ascii="Garamond" w:eastAsia="Garamond" w:hAnsi="Garamond" w:cs="Garamond"/>
          <w:b/>
        </w:rPr>
      </w:pPr>
      <w:r>
        <w:rPr>
          <w:rFonts w:ascii="Garamond" w:eastAsia="Garamond" w:hAnsi="Garamond" w:cs="Garamond"/>
          <w:b/>
        </w:rPr>
        <w:t>Annex 2</w:t>
      </w:r>
    </w:p>
    <w:p w:rsidR="00CC7495" w:rsidRDefault="00CC1160">
      <w:pPr>
        <w:jc w:val="center"/>
        <w:rPr>
          <w:rFonts w:ascii="Garamond" w:eastAsia="Garamond" w:hAnsi="Garamond" w:cs="Garamond"/>
        </w:rPr>
      </w:pPr>
      <w:r>
        <w:rPr>
          <w:rFonts w:ascii="Garamond" w:eastAsia="Garamond" w:hAnsi="Garamond" w:cs="Garamond"/>
          <w:b/>
        </w:rPr>
        <w:t>Explanation Notes</w:t>
      </w:r>
    </w:p>
    <w:p w:rsidR="00CC7495" w:rsidRDefault="00CC7495">
      <w:pPr>
        <w:jc w:val="both"/>
        <w:rPr>
          <w:rFonts w:ascii="Garamond" w:eastAsia="Garamond" w:hAnsi="Garamond" w:cs="Garamond"/>
          <w:highlight w:val="white"/>
        </w:rPr>
      </w:pPr>
    </w:p>
    <w:sectPr w:rsidR="00CC7495" w:rsidSect="00120533">
      <w:headerReference w:type="default" r:id="rId10"/>
      <w:footerReference w:type="default" r:id="rId11"/>
      <w:headerReference w:type="first" r:id="rId12"/>
      <w:footerReference w:type="first" r:id="rId13"/>
      <w:endnotePr>
        <w:numFmt w:val="decimal"/>
      </w:endnotePr>
      <w:pgSz w:w="11900" w:h="16840"/>
      <w:pgMar w:top="1133" w:right="844" w:bottom="566" w:left="992"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1160" w:rsidRDefault="00CC1160">
      <w:r>
        <w:separator/>
      </w:r>
    </w:p>
  </w:endnote>
  <w:endnote w:type="continuationSeparator" w:id="1">
    <w:p w:rsidR="00CC1160" w:rsidRDefault="00CC1160">
      <w:r>
        <w:continuationSeparator/>
      </w:r>
    </w:p>
  </w:endnote>
  <w:endnote w:id="2">
    <w:p w:rsidR="009B6A77" w:rsidRDefault="009B6A77">
      <w:pPr>
        <w:jc w:val="both"/>
        <w:rPr>
          <w:rFonts w:ascii="Garamond" w:eastAsia="Garamond" w:hAnsi="Garamond" w:cs="Garamond"/>
          <w:sz w:val="20"/>
          <w:szCs w:val="20"/>
        </w:rPr>
      </w:pPr>
      <w:r>
        <w:rPr>
          <w:vertAlign w:val="superscript"/>
        </w:rPr>
        <w:endnoteRef/>
      </w:r>
      <w:r>
        <w:rPr>
          <w:rFonts w:ascii="Garamond" w:eastAsia="Garamond" w:hAnsi="Garamond" w:cs="Garamond"/>
          <w:color w:val="222222"/>
          <w:sz w:val="20"/>
          <w:szCs w:val="20"/>
          <w:highlight w:val="white"/>
        </w:rPr>
        <w:t xml:space="preserve">Civil society organization that stands in defense of black men and women as it understands that these two social segments suffer from disadvantages and discrimination in accessing social opportunities due to racism and sexism prevailing in Brazilian society. Website: </w:t>
      </w:r>
      <w:hyperlink r:id="rId1">
        <w:r>
          <w:rPr>
            <w:rFonts w:ascii="Garamond" w:eastAsia="Garamond" w:hAnsi="Garamond" w:cs="Garamond"/>
            <w:color w:val="1155CC"/>
            <w:sz w:val="20"/>
            <w:szCs w:val="20"/>
            <w:u w:val="single"/>
          </w:rPr>
          <w:t>www.geledes.org.br</w:t>
        </w:r>
      </w:hyperlink>
    </w:p>
  </w:endnote>
  <w:endnote w:id="3">
    <w:p w:rsidR="009B6A77" w:rsidRPr="00AE5E94" w:rsidRDefault="009B6A77">
      <w:pPr>
        <w:pStyle w:val="Textodenotadefim"/>
        <w:rPr>
          <w:lang w:val="pt-BR"/>
        </w:rPr>
      </w:pPr>
      <w:r>
        <w:rPr>
          <w:rStyle w:val="Refdenotadefim"/>
        </w:rPr>
        <w:endnoteRef/>
      </w:r>
      <w:hyperlink r:id="rId2" w:history="1">
        <w:r>
          <w:rPr>
            <w:rStyle w:val="Hyperlink"/>
            <w:rFonts w:ascii="Garamond" w:hAnsi="Garamond"/>
            <w:color w:val="1155CC"/>
            <w:szCs w:val="20"/>
          </w:rPr>
          <w:t>IBGE divulga primeiro levantamento sobre homossexuais e bissexuais no Brasil</w:t>
        </w:r>
      </w:hyperlink>
    </w:p>
  </w:endnote>
  <w:endnote w:id="4">
    <w:p w:rsidR="009B6A77" w:rsidRPr="00AE5E94" w:rsidRDefault="009B6A77">
      <w:pPr>
        <w:pStyle w:val="Textodenotadefim"/>
        <w:rPr>
          <w:lang w:val="pt-BR"/>
        </w:rPr>
      </w:pPr>
      <w:r>
        <w:rPr>
          <w:rStyle w:val="Refdenotadefim"/>
        </w:rPr>
        <w:endnoteRef/>
      </w:r>
      <w:r>
        <w:rPr>
          <w:color w:val="000000"/>
        </w:rPr>
        <w:t> </w:t>
      </w:r>
      <w:hyperlink r:id="rId3" w:history="1">
        <w:r>
          <w:rPr>
            <w:rStyle w:val="Hyperlink"/>
            <w:rFonts w:ascii="Garamond" w:hAnsi="Garamond"/>
            <w:color w:val="1155CC"/>
            <w:szCs w:val="20"/>
          </w:rPr>
          <w:t>Brasil é o país que mais mata travestis e pessoas trans no mundo, alerta relatório da sociedade civil entregue ao UNFPA</w:t>
        </w:r>
      </w:hyperlink>
    </w:p>
  </w:endnote>
  <w:endnote w:id="5">
    <w:p w:rsidR="009B6A77" w:rsidRPr="009B6A77" w:rsidRDefault="009B6A77" w:rsidP="009B6A77">
      <w:pPr>
        <w:pStyle w:val="NormalWeb"/>
        <w:spacing w:before="0" w:beforeAutospacing="0" w:after="0" w:afterAutospacing="0"/>
      </w:pPr>
      <w:r>
        <w:rPr>
          <w:rStyle w:val="Refdenotadefim"/>
        </w:rPr>
        <w:endnoteRef/>
      </w:r>
      <w:r>
        <w:rPr>
          <w:rFonts w:ascii="Garamond" w:hAnsi="Garamond"/>
          <w:color w:val="000000"/>
          <w:sz w:val="20"/>
          <w:szCs w:val="20"/>
        </w:rPr>
        <w:t xml:space="preserve">PERES, Milena C. C.; SOARES, Suane F.; </w:t>
      </w:r>
      <w:r>
        <w:rPr>
          <w:rFonts w:ascii="Garamond" w:hAnsi="Garamond"/>
          <w:color w:val="000000"/>
          <w:sz w:val="20"/>
          <w:szCs w:val="20"/>
          <w:shd w:val="clear" w:color="auto" w:fill="FFFFFF"/>
        </w:rPr>
        <w:t xml:space="preserve">DIAS, Maria Clara. </w:t>
      </w:r>
      <w:hyperlink r:id="rId4" w:history="1">
        <w:r>
          <w:rPr>
            <w:rStyle w:val="Hyperlink"/>
            <w:rFonts w:ascii="Garamond" w:hAnsi="Garamond"/>
            <w:color w:val="1155CC"/>
            <w:sz w:val="20"/>
            <w:szCs w:val="20"/>
            <w:shd w:val="clear" w:color="auto" w:fill="FFFFFF"/>
          </w:rPr>
          <w:t>Dossiê sobre lesbocídio no Brasil: de 2014 a 2017</w:t>
        </w:r>
      </w:hyperlink>
    </w:p>
  </w:endnote>
  <w:endnote w:id="6">
    <w:p w:rsidR="009B6A77" w:rsidRPr="00AE5E94" w:rsidRDefault="009B6A77" w:rsidP="00AE5E94">
      <w:pPr>
        <w:pStyle w:val="NormalWeb"/>
        <w:spacing w:before="0" w:beforeAutospacing="0" w:after="0" w:afterAutospacing="0"/>
        <w:jc w:val="both"/>
      </w:pPr>
      <w:r>
        <w:rPr>
          <w:rStyle w:val="Refdenotadefim"/>
        </w:rPr>
        <w:endnoteRef/>
      </w:r>
      <w:r>
        <w:rPr>
          <w:rFonts w:ascii="Garamond" w:hAnsi="Garamond"/>
          <w:color w:val="000000"/>
          <w:sz w:val="20"/>
          <w:szCs w:val="20"/>
        </w:rPr>
        <w:t xml:space="preserve">Observatório de Favelas. </w:t>
      </w:r>
      <w:hyperlink r:id="rId5" w:history="1">
        <w:r>
          <w:rPr>
            <w:rStyle w:val="Hyperlink"/>
            <w:rFonts w:ascii="Garamond" w:hAnsi="Garamond"/>
            <w:color w:val="1155CC"/>
            <w:sz w:val="20"/>
            <w:szCs w:val="20"/>
          </w:rPr>
          <w:t>Mapa Social do Corona</w:t>
        </w:r>
      </w:hyperlink>
    </w:p>
  </w:endnote>
  <w:endnote w:id="7">
    <w:p w:rsidR="009B6A77" w:rsidRPr="00AE5E94" w:rsidRDefault="009B6A77">
      <w:pPr>
        <w:pStyle w:val="Textodenotadefim"/>
        <w:rPr>
          <w:lang w:val="pt-BR"/>
        </w:rPr>
      </w:pPr>
      <w:r>
        <w:rPr>
          <w:rStyle w:val="Refdenotadefim"/>
        </w:rPr>
        <w:endnoteRef/>
      </w:r>
      <w:hyperlink r:id="rId6" w:history="1">
        <w:r>
          <w:rPr>
            <w:rStyle w:val="Hyperlink"/>
            <w:rFonts w:ascii="Garamond" w:hAnsi="Garamond"/>
            <w:color w:val="1155CC"/>
            <w:szCs w:val="20"/>
          </w:rPr>
          <w:t>Relatório da CPI aponta que população negra foi mais atingida durante a pandemia</w:t>
        </w:r>
      </w:hyperlink>
    </w:p>
  </w:endnote>
  <w:endnote w:id="8">
    <w:p w:rsidR="009B6A77" w:rsidRPr="00AE5E94" w:rsidRDefault="009B6A77">
      <w:pPr>
        <w:pStyle w:val="Textodenotadefim"/>
        <w:rPr>
          <w:lang w:val="pt-BR"/>
        </w:rPr>
      </w:pPr>
      <w:r>
        <w:rPr>
          <w:rStyle w:val="Refdenotadefim"/>
        </w:rPr>
        <w:endnoteRef/>
      </w:r>
      <w:hyperlink r:id="rId7" w:history="1">
        <w:r>
          <w:rPr>
            <w:rStyle w:val="Hyperlink"/>
            <w:rFonts w:ascii="Garamond" w:hAnsi="Garamond"/>
            <w:color w:val="1155CC"/>
            <w:szCs w:val="20"/>
          </w:rPr>
          <w:t>Negros são os que mais morrem por Covid-19 e os que menos recebem vacinas no Brasil</w:t>
        </w:r>
      </w:hyperlink>
    </w:p>
  </w:endnote>
  <w:endnote w:id="9">
    <w:p w:rsidR="009B6A77" w:rsidRPr="00AE5E94" w:rsidRDefault="009B6A77">
      <w:pPr>
        <w:pStyle w:val="Textodenotadefim"/>
        <w:rPr>
          <w:lang w:val="pt-BR"/>
        </w:rPr>
      </w:pPr>
      <w:r>
        <w:rPr>
          <w:rStyle w:val="Refdenotadefim"/>
        </w:rPr>
        <w:endnoteRef/>
      </w:r>
      <w:hyperlink r:id="rId8" w:history="1">
        <w:r>
          <w:rPr>
            <w:rStyle w:val="Hyperlink"/>
            <w:rFonts w:ascii="Garamond" w:hAnsi="Garamond"/>
            <w:color w:val="1155CC"/>
            <w:szCs w:val="20"/>
          </w:rPr>
          <w:t>No Brasil, mulheres negras têm maior mortalidade por Covid que qualquer grupo na base do mercado de trabalho</w:t>
        </w:r>
      </w:hyperlink>
    </w:p>
  </w:endnote>
  <w:endnote w:id="10">
    <w:p w:rsidR="009B6A77" w:rsidRPr="00AE5E94" w:rsidRDefault="009B6A77">
      <w:pPr>
        <w:pStyle w:val="Textodenotadefim"/>
        <w:rPr>
          <w:lang w:val="pt-BR"/>
        </w:rPr>
      </w:pPr>
      <w:r>
        <w:rPr>
          <w:rStyle w:val="Refdenotadefim"/>
        </w:rPr>
        <w:endnoteRef/>
      </w:r>
      <w:r>
        <w:rPr>
          <w:rFonts w:ascii="Garamond" w:hAnsi="Garamond"/>
          <w:color w:val="000000"/>
          <w:szCs w:val="20"/>
        </w:rPr>
        <w:t xml:space="preserve">GT Agenda 2030. </w:t>
      </w:r>
      <w:hyperlink r:id="rId9" w:history="1">
        <w:r>
          <w:rPr>
            <w:rStyle w:val="Hyperlink"/>
            <w:rFonts w:ascii="Garamond" w:hAnsi="Garamond"/>
            <w:color w:val="1155CC"/>
            <w:szCs w:val="20"/>
          </w:rPr>
          <w:t>V Relatório Luz da Sociedade Civil da Agenda 2030 de Desenvolvimento Sustentável: Brasil</w:t>
        </w:r>
      </w:hyperlink>
    </w:p>
  </w:endnote>
  <w:endnote w:id="11">
    <w:p w:rsidR="009B6A77" w:rsidRPr="00AE5E94" w:rsidRDefault="009B6A77">
      <w:pPr>
        <w:pStyle w:val="Textodenotadefim"/>
        <w:rPr>
          <w:lang w:val="pt-BR"/>
        </w:rPr>
      </w:pPr>
      <w:r>
        <w:rPr>
          <w:rStyle w:val="Refdenotadefim"/>
        </w:rPr>
        <w:endnoteRef/>
      </w:r>
      <w:hyperlink r:id="rId10" w:history="1">
        <w:r>
          <w:rPr>
            <w:rStyle w:val="Hyperlink"/>
            <w:rFonts w:ascii="Garamond" w:hAnsi="Garamond"/>
            <w:color w:val="1155CC"/>
            <w:szCs w:val="20"/>
          </w:rPr>
          <w:t>Uma em cada sete mulheres, aos 40 anos, já passou por aborto no Brasil</w:t>
        </w:r>
      </w:hyperlink>
    </w:p>
  </w:endnote>
  <w:endnote w:id="12">
    <w:p w:rsidR="009B6A77" w:rsidRPr="00AE5E94" w:rsidRDefault="009B6A77">
      <w:pPr>
        <w:pStyle w:val="Textodenotadefim"/>
        <w:rPr>
          <w:lang w:val="pt-BR"/>
        </w:rPr>
      </w:pPr>
      <w:r>
        <w:rPr>
          <w:rStyle w:val="Refdenotadefim"/>
        </w:rPr>
        <w:endnoteRef/>
      </w:r>
      <w:hyperlink r:id="rId11" w:history="1">
        <w:r>
          <w:rPr>
            <w:rStyle w:val="Hyperlink"/>
            <w:rFonts w:ascii="Garamond" w:hAnsi="Garamond"/>
            <w:color w:val="1155CC"/>
            <w:szCs w:val="20"/>
          </w:rPr>
          <w:t>Aborto: Dados mostram que o assunto é questão de saúde pública no Brasil</w:t>
        </w:r>
      </w:hyperlink>
    </w:p>
  </w:endnote>
  <w:endnote w:id="13">
    <w:p w:rsidR="009B6A77" w:rsidRPr="00AE5E94" w:rsidRDefault="009B6A77">
      <w:pPr>
        <w:pStyle w:val="Textodenotadefim"/>
        <w:rPr>
          <w:lang w:val="pt-BR"/>
        </w:rPr>
      </w:pPr>
      <w:r>
        <w:rPr>
          <w:rStyle w:val="Refdenotadefim"/>
        </w:rPr>
        <w:endnoteRef/>
      </w:r>
      <w:hyperlink r:id="rId12" w:history="1">
        <w:r>
          <w:rPr>
            <w:rStyle w:val="Hyperlink"/>
            <w:rFonts w:ascii="Garamond" w:hAnsi="Garamond"/>
            <w:color w:val="1155CC"/>
            <w:szCs w:val="20"/>
          </w:rPr>
          <w:t>Fome atinge uma a cada cinco famílias chefiadas por pessoas pretas no Brasil, aponta pesquisa</w:t>
        </w:r>
      </w:hyperlink>
    </w:p>
  </w:endnote>
  <w:endnote w:id="14">
    <w:p w:rsidR="009B6A77" w:rsidRPr="00AE5E94" w:rsidRDefault="009B6A77">
      <w:pPr>
        <w:pStyle w:val="Textodenotadefim"/>
        <w:rPr>
          <w:lang w:val="pt-BR"/>
        </w:rPr>
      </w:pPr>
      <w:r>
        <w:rPr>
          <w:rStyle w:val="Refdenotadefim"/>
        </w:rPr>
        <w:endnoteRef/>
      </w:r>
      <w:hyperlink r:id="rId13" w:history="1">
        <w:r>
          <w:rPr>
            <w:rStyle w:val="Hyperlink"/>
            <w:rFonts w:ascii="Garamond" w:hAnsi="Garamond"/>
            <w:color w:val="1155CC"/>
            <w:szCs w:val="20"/>
          </w:rPr>
          <w:t>No Brasil, 63% das casas chefiadas por mulheres negras estão abaixo da linha da pobreza</w:t>
        </w:r>
      </w:hyperlink>
    </w:p>
  </w:endnote>
  <w:endnote w:id="15">
    <w:p w:rsidR="009B6A77" w:rsidRPr="00AE5E94" w:rsidRDefault="009B6A77">
      <w:pPr>
        <w:pStyle w:val="Textodenotadefim"/>
        <w:rPr>
          <w:lang w:val="pt-BR"/>
        </w:rPr>
      </w:pPr>
      <w:r>
        <w:rPr>
          <w:rStyle w:val="Refdenotadefim"/>
        </w:rPr>
        <w:endnoteRef/>
      </w:r>
      <w:hyperlink r:id="rId14" w:history="1">
        <w:r>
          <w:rPr>
            <w:rStyle w:val="Hyperlink"/>
            <w:rFonts w:ascii="Garamond" w:hAnsi="Garamond"/>
            <w:color w:val="1155CC"/>
            <w:szCs w:val="20"/>
          </w:rPr>
          <w:t>Emprego doméstico no Brasil é formado por mulheres</w:t>
        </w:r>
      </w:hyperlink>
    </w:p>
  </w:endnote>
  <w:endnote w:id="16">
    <w:p w:rsidR="009B6A77" w:rsidRPr="00AE5E94" w:rsidRDefault="009B6A77">
      <w:pPr>
        <w:pStyle w:val="Textodenotadefim"/>
        <w:rPr>
          <w:lang w:val="pt-BR"/>
        </w:rPr>
      </w:pPr>
      <w:r>
        <w:rPr>
          <w:rStyle w:val="Refdenotadefim"/>
        </w:rPr>
        <w:endnoteRef/>
      </w:r>
      <w:hyperlink r:id="rId15" w:history="1">
        <w:r>
          <w:rPr>
            <w:rStyle w:val="Hyperlink"/>
            <w:rFonts w:ascii="Garamond" w:hAnsi="Garamond"/>
            <w:color w:val="1155CC"/>
            <w:szCs w:val="20"/>
          </w:rPr>
          <w:t>Mulheres negras são 65% das trabalhadoras domésticas no país</w:t>
        </w:r>
      </w:hyperlink>
    </w:p>
  </w:endnote>
  <w:endnote w:id="17">
    <w:p w:rsidR="009B6A77" w:rsidRPr="004F190E" w:rsidRDefault="009B6A77">
      <w:pPr>
        <w:pStyle w:val="Textodenotadefim"/>
        <w:rPr>
          <w:lang w:val="pt-BR"/>
        </w:rPr>
      </w:pPr>
      <w:r>
        <w:rPr>
          <w:rStyle w:val="Refdenotadefim"/>
        </w:rPr>
        <w:endnoteRef/>
      </w:r>
      <w:r>
        <w:rPr>
          <w:rFonts w:ascii="Garamond" w:hAnsi="Garamond"/>
          <w:color w:val="000000"/>
          <w:szCs w:val="20"/>
        </w:rPr>
        <w:t xml:space="preserve">IBGE. </w:t>
      </w:r>
      <w:hyperlink r:id="rId16" w:history="1">
        <w:r>
          <w:rPr>
            <w:rStyle w:val="Hyperlink"/>
            <w:rFonts w:ascii="Garamond" w:hAnsi="Garamond"/>
            <w:color w:val="1155CC"/>
            <w:szCs w:val="20"/>
          </w:rPr>
          <w:t>PNAD Contínua - Pesquisa Nacional por Amostra de Domicílios Contínua</w:t>
        </w:r>
      </w:hyperlink>
    </w:p>
  </w:endnote>
  <w:endnote w:id="18">
    <w:p w:rsidR="009B6A77" w:rsidRPr="004F190E" w:rsidRDefault="009B6A77">
      <w:pPr>
        <w:pStyle w:val="Textodenotadefim"/>
        <w:rPr>
          <w:lang w:val="pt-BR"/>
        </w:rPr>
      </w:pPr>
      <w:r>
        <w:rPr>
          <w:rStyle w:val="Refdenotadefim"/>
        </w:rPr>
        <w:endnoteRef/>
      </w:r>
      <w:r>
        <w:rPr>
          <w:rFonts w:ascii="Garamond" w:hAnsi="Garamond"/>
          <w:color w:val="000000"/>
          <w:szCs w:val="20"/>
        </w:rPr>
        <w:t xml:space="preserve">CNJ. </w:t>
      </w:r>
      <w:hyperlink r:id="rId17" w:history="1">
        <w:r>
          <w:rPr>
            <w:rStyle w:val="Hyperlink"/>
            <w:rFonts w:ascii="Garamond" w:hAnsi="Garamond"/>
            <w:color w:val="1155CC"/>
            <w:szCs w:val="20"/>
          </w:rPr>
          <w:t>Pesquisa sobre negros e negras no Poder Judiciário</w:t>
        </w:r>
      </w:hyperlink>
    </w:p>
  </w:endnote>
  <w:endnote w:id="19">
    <w:p w:rsidR="009B6A77" w:rsidRPr="004F190E" w:rsidRDefault="009B6A77">
      <w:pPr>
        <w:pStyle w:val="Textodenotadefim"/>
        <w:rPr>
          <w:lang w:val="pt-BR"/>
        </w:rPr>
      </w:pPr>
      <w:r>
        <w:rPr>
          <w:rStyle w:val="Refdenotadefim"/>
        </w:rPr>
        <w:endnoteRef/>
      </w:r>
      <w:r>
        <w:rPr>
          <w:rFonts w:ascii="Garamond" w:hAnsi="Garamond"/>
          <w:color w:val="000000"/>
          <w:szCs w:val="20"/>
        </w:rPr>
        <w:t xml:space="preserve">Ministério da Igualdade Racial. </w:t>
      </w:r>
      <w:hyperlink r:id="rId18" w:history="1">
        <w:r>
          <w:rPr>
            <w:rStyle w:val="Hyperlink"/>
            <w:rFonts w:ascii="Garamond" w:hAnsi="Garamond"/>
            <w:color w:val="1155CC"/>
            <w:szCs w:val="20"/>
          </w:rPr>
          <w:t>Informe MIR. Monitoramento e avaliação nº 2 – Edição Mulheres Negras</w:t>
        </w:r>
      </w:hyperlink>
    </w:p>
  </w:endnote>
  <w:endnote w:id="20">
    <w:p w:rsidR="009B6A77" w:rsidRPr="004F190E" w:rsidRDefault="009B6A77">
      <w:pPr>
        <w:pStyle w:val="Textodenotadefim"/>
        <w:rPr>
          <w:lang w:val="pt-BR"/>
        </w:rPr>
      </w:pPr>
      <w:r>
        <w:rPr>
          <w:rStyle w:val="Refdenotadefim"/>
        </w:rPr>
        <w:endnoteRef/>
      </w:r>
      <w:r>
        <w:rPr>
          <w:rFonts w:ascii="Garamond" w:hAnsi="Garamond"/>
          <w:color w:val="000000"/>
          <w:szCs w:val="20"/>
        </w:rPr>
        <w:t>Fórum Brasileiro de Segurança Pública.</w:t>
      </w:r>
      <w:hyperlink r:id="rId19" w:history="1">
        <w:r>
          <w:rPr>
            <w:rStyle w:val="Hyperlink"/>
            <w:rFonts w:ascii="Garamond" w:hAnsi="Garamond"/>
            <w:color w:val="1155CC"/>
            <w:szCs w:val="20"/>
          </w:rPr>
          <w:t xml:space="preserve"> Anuário Brasileiro de Segurança Pública 2022</w:t>
        </w:r>
      </w:hyperlink>
    </w:p>
  </w:endnote>
  <w:endnote w:id="21">
    <w:p w:rsidR="009B6A77" w:rsidRPr="004F190E" w:rsidRDefault="009B6A77">
      <w:pPr>
        <w:pStyle w:val="Textodenotadefim"/>
        <w:rPr>
          <w:lang w:val="pt-BR"/>
        </w:rPr>
      </w:pPr>
      <w:r>
        <w:rPr>
          <w:rStyle w:val="Refdenotadefim"/>
        </w:rPr>
        <w:endnoteRef/>
      </w:r>
      <w:r>
        <w:rPr>
          <w:color w:val="000000"/>
        </w:rPr>
        <w:t> </w:t>
      </w:r>
      <w:hyperlink r:id="rId20" w:history="1">
        <w:r>
          <w:rPr>
            <w:rStyle w:val="Hyperlink"/>
            <w:rFonts w:ascii="Garamond" w:hAnsi="Garamond"/>
            <w:color w:val="1155CC"/>
            <w:szCs w:val="20"/>
          </w:rPr>
          <w:t>Na luta pela memória dos filhos, Mães de Maio são ligadas ao crime pelo próprio Estado que os matou</w:t>
        </w:r>
      </w:hyperlink>
    </w:p>
  </w:endnote>
  <w:endnote w:id="22">
    <w:p w:rsidR="009B6A77" w:rsidRPr="004F190E" w:rsidRDefault="009B6A77">
      <w:pPr>
        <w:pStyle w:val="Textodenotadefim"/>
        <w:rPr>
          <w:lang w:val="pt-BR"/>
        </w:rPr>
      </w:pPr>
      <w:r>
        <w:rPr>
          <w:rStyle w:val="Refdenotadefim"/>
        </w:rPr>
        <w:endnoteRef/>
      </w:r>
      <w:r>
        <w:rPr>
          <w:rFonts w:ascii="Garamond" w:hAnsi="Garamond"/>
          <w:color w:val="000000"/>
          <w:szCs w:val="20"/>
        </w:rPr>
        <w:t xml:space="preserve">IPEA. </w:t>
      </w:r>
      <w:hyperlink r:id="rId21" w:history="1">
        <w:r>
          <w:rPr>
            <w:rStyle w:val="Hyperlink"/>
            <w:rFonts w:ascii="Garamond" w:hAnsi="Garamond"/>
            <w:color w:val="1155CC"/>
            <w:szCs w:val="20"/>
          </w:rPr>
          <w:t>Atlas da Violência 2021</w:t>
        </w:r>
      </w:hyperlink>
    </w:p>
  </w:endnote>
  <w:endnote w:id="23">
    <w:p w:rsidR="009B6A77" w:rsidRPr="004F190E" w:rsidRDefault="009B6A77">
      <w:pPr>
        <w:pStyle w:val="Textodenotadefim"/>
        <w:rPr>
          <w:lang w:val="pt-BR"/>
        </w:rPr>
      </w:pPr>
      <w:r>
        <w:rPr>
          <w:rStyle w:val="Refdenotadefim"/>
        </w:rPr>
        <w:endnoteRef/>
      </w:r>
      <w:r>
        <w:rPr>
          <w:rFonts w:ascii="Garamond" w:hAnsi="Garamond"/>
          <w:color w:val="000000"/>
          <w:szCs w:val="20"/>
          <w:shd w:val="clear" w:color="auto" w:fill="FFFFFF"/>
        </w:rPr>
        <w:t>Alagoas, Amazonas, Paraíba and Tocantins</w:t>
      </w:r>
      <w:r>
        <w:rPr>
          <w:rFonts w:ascii="Garamond" w:hAnsi="Garamond"/>
          <w:color w:val="000000"/>
          <w:szCs w:val="20"/>
        </w:rPr>
        <w:t>.</w:t>
      </w:r>
    </w:p>
  </w:endnote>
  <w:endnote w:id="24">
    <w:p w:rsidR="009B6A77" w:rsidRPr="004F190E" w:rsidRDefault="009B6A77">
      <w:pPr>
        <w:pStyle w:val="Textodenotadefim"/>
        <w:rPr>
          <w:lang w:val="pt-BR"/>
        </w:rPr>
      </w:pPr>
      <w:r>
        <w:rPr>
          <w:rStyle w:val="Refdenotadefim"/>
        </w:rPr>
        <w:endnoteRef/>
      </w:r>
      <w:hyperlink r:id="rId22" w:history="1">
        <w:r>
          <w:rPr>
            <w:rStyle w:val="Hyperlink"/>
            <w:rFonts w:ascii="Garamond" w:hAnsi="Garamond"/>
            <w:color w:val="1155CC"/>
            <w:szCs w:val="20"/>
          </w:rPr>
          <w:t>Mulheres na política: a desigualdade entre o mesmo gênero</w:t>
        </w:r>
      </w:hyperlink>
    </w:p>
  </w:endnote>
  <w:endnote w:id="25">
    <w:p w:rsidR="009B6A77" w:rsidRDefault="009B6A77">
      <w:pPr>
        <w:rPr>
          <w:rFonts w:ascii="Garamond" w:eastAsia="Garamond" w:hAnsi="Garamond" w:cs="Garamond"/>
          <w:sz w:val="20"/>
          <w:szCs w:val="20"/>
        </w:rPr>
      </w:pPr>
      <w:r>
        <w:rPr>
          <w:vertAlign w:val="superscript"/>
        </w:rPr>
        <w:endnoteRef/>
      </w:r>
      <w:r>
        <w:rPr>
          <w:rFonts w:ascii="Garamond" w:eastAsia="Garamond" w:hAnsi="Garamond" w:cs="Garamond"/>
          <w:color w:val="0D0D0D"/>
          <w:sz w:val="20"/>
          <w:szCs w:val="20"/>
          <w:highlight w:val="white"/>
        </w:rPr>
        <w:t>Formed by Constitutional Amendment Proposal 9/2023, known as the Amnesty PEC, Bill No. 4438/2023, and two other bills.</w:t>
      </w:r>
    </w:p>
  </w:endnote>
  <w:endnote w:id="26">
    <w:p w:rsidR="009B6A77" w:rsidRPr="004F190E" w:rsidRDefault="009B6A77">
      <w:pPr>
        <w:pStyle w:val="Textodenotadefim"/>
        <w:rPr>
          <w:lang w:val="pt-BR"/>
        </w:rPr>
      </w:pPr>
      <w:r>
        <w:rPr>
          <w:rStyle w:val="Refdenotadefim"/>
        </w:rPr>
        <w:endnoteRef/>
      </w:r>
      <w:hyperlink r:id="rId23" w:history="1">
        <w:r>
          <w:rPr>
            <w:rStyle w:val="Hyperlink"/>
            <w:rFonts w:ascii="Garamond" w:hAnsi="Garamond"/>
            <w:color w:val="1155CC"/>
            <w:szCs w:val="20"/>
          </w:rPr>
          <w:t>Candidaturas de mulheres e negros sob ataque em propostas no Congresso</w:t>
        </w:r>
      </w:hyperlink>
    </w:p>
  </w:endnote>
  <w:endnote w:id="27">
    <w:p w:rsidR="009B6A77" w:rsidRPr="004F190E" w:rsidRDefault="009B6A77">
      <w:pPr>
        <w:pStyle w:val="Textodenotadefim"/>
        <w:rPr>
          <w:lang w:val="pt-BR"/>
        </w:rPr>
      </w:pPr>
      <w:r>
        <w:rPr>
          <w:rStyle w:val="Refdenotadefim"/>
        </w:rPr>
        <w:endnoteRef/>
      </w:r>
      <w:r>
        <w:rPr>
          <w:rFonts w:ascii="Garamond" w:hAnsi="Garamond"/>
          <w:color w:val="000000"/>
          <w:szCs w:val="20"/>
        </w:rPr>
        <w:t xml:space="preserve">IBGE. </w:t>
      </w:r>
      <w:hyperlink r:id="rId24" w:history="1">
        <w:r>
          <w:rPr>
            <w:rStyle w:val="Hyperlink"/>
            <w:rFonts w:ascii="Garamond" w:hAnsi="Garamond"/>
            <w:color w:val="1155CC"/>
            <w:szCs w:val="20"/>
          </w:rPr>
          <w:t>Pesquisa Nacional por Amostra de Domicílios Contínua: PNAD Educação 2019</w:t>
        </w:r>
      </w:hyperlink>
    </w:p>
  </w:endnote>
  <w:endnote w:id="28">
    <w:p w:rsidR="009B6A77" w:rsidRPr="004F190E" w:rsidRDefault="009B6A77">
      <w:pPr>
        <w:pStyle w:val="Textodenotadefim"/>
        <w:rPr>
          <w:lang w:val="pt-BR"/>
        </w:rPr>
      </w:pPr>
      <w:r>
        <w:rPr>
          <w:rStyle w:val="Refdenotadefim"/>
        </w:rPr>
        <w:endnoteRef/>
      </w:r>
      <w:hyperlink r:id="rId25" w:history="1">
        <w:r>
          <w:rPr>
            <w:rStyle w:val="Hyperlink"/>
            <w:rFonts w:ascii="Garamond" w:hAnsi="Garamond"/>
            <w:color w:val="1155CC"/>
            <w:szCs w:val="20"/>
          </w:rPr>
          <w:t>Brancos são maioria em empregos de elite e negros ocupam vagas sem qualificação</w:t>
        </w:r>
      </w:hyperlink>
    </w:p>
  </w:endnote>
  <w:endnote w:id="29">
    <w:p w:rsidR="009B6A77" w:rsidRPr="004F190E" w:rsidRDefault="009B6A77">
      <w:pPr>
        <w:pStyle w:val="Textodenotadefim"/>
        <w:rPr>
          <w:lang w:val="pt-BR"/>
        </w:rPr>
      </w:pPr>
      <w:r>
        <w:rPr>
          <w:rStyle w:val="Refdenotadefim"/>
        </w:rPr>
        <w:endnoteRef/>
      </w:r>
      <w:r>
        <w:rPr>
          <w:rFonts w:ascii="Garamond" w:hAnsi="Garamond"/>
          <w:color w:val="000000"/>
          <w:szCs w:val="20"/>
        </w:rPr>
        <w:t xml:space="preserve">Geledés Instituto da Mulher Negra. </w:t>
      </w:r>
      <w:hyperlink r:id="rId26" w:history="1">
        <w:r>
          <w:rPr>
            <w:rStyle w:val="Hyperlink"/>
            <w:rFonts w:ascii="Garamond" w:hAnsi="Garamond"/>
            <w:color w:val="1155CC"/>
            <w:szCs w:val="20"/>
          </w:rPr>
          <w:t>A educação de meninas negras em tempos de pandemia: o aprofundamento das desigualdades</w:t>
        </w:r>
      </w:hyperlink>
    </w:p>
  </w:endnote>
  <w:endnote w:id="30">
    <w:p w:rsidR="009B6A77" w:rsidRPr="004F190E" w:rsidRDefault="009B6A77">
      <w:pPr>
        <w:pStyle w:val="Textodenotadefim"/>
        <w:rPr>
          <w:lang w:val="pt-BR"/>
        </w:rPr>
      </w:pPr>
      <w:r>
        <w:rPr>
          <w:rStyle w:val="Refdenotadefim"/>
        </w:rPr>
        <w:endnoteRef/>
      </w:r>
      <w:r>
        <w:rPr>
          <w:rFonts w:ascii="Garamond" w:hAnsi="Garamond"/>
          <w:color w:val="000000"/>
          <w:szCs w:val="20"/>
        </w:rPr>
        <w:t xml:space="preserve">Geledés Instituto da Mulher Negra; Instituto Alana. </w:t>
      </w:r>
      <w:hyperlink r:id="rId27" w:history="1">
        <w:r>
          <w:rPr>
            <w:rStyle w:val="Hyperlink"/>
            <w:rFonts w:ascii="Garamond" w:hAnsi="Garamond"/>
            <w:color w:val="1155CC"/>
            <w:szCs w:val="20"/>
          </w:rPr>
          <w:t>Lei 10.639/03: a atuação das Secretarias Municipais de Educação no ensino de história e cultura africana e afrobrasileira</w:t>
        </w:r>
      </w:hyperlink>
    </w:p>
  </w:endnote>
  <w:endnote w:id="31">
    <w:p w:rsidR="009B6A77" w:rsidRDefault="009B6A77">
      <w:pPr>
        <w:jc w:val="both"/>
        <w:rPr>
          <w:rFonts w:ascii="Garamond" w:eastAsia="Garamond" w:hAnsi="Garamond" w:cs="Garamond"/>
          <w:sz w:val="20"/>
          <w:szCs w:val="20"/>
        </w:rPr>
      </w:pPr>
      <w:r>
        <w:rPr>
          <w:vertAlign w:val="superscript"/>
        </w:rPr>
        <w:endnoteRef/>
      </w:r>
      <w:r>
        <w:rPr>
          <w:rFonts w:ascii="Garamond" w:eastAsia="Garamond" w:hAnsi="Garamond" w:cs="Garamond"/>
          <w:sz w:val="20"/>
          <w:szCs w:val="20"/>
        </w:rPr>
        <w:t xml:space="preserve"> Case No. 12.751, involving Neusa dos Santos Nascimento and Gisele Ana Ferreira against Brazil, stands out in this context. In March 2020, the Inter-American Commission on Human Rights (IACHR) concluded in its Merits Report that the Brazilian State is responsible for violating the victims' rights related to access to justice within the scope of the right to work. On July 29, 2021, the IACHR presented the case to the Inter-American Court of Human Rights. This case illustrates the persistent racial discrimination in the workplace that occurred in 1998 and reveals a situation of impunity, highlighting the Brazilian State's neglect, especially the Justice System, regarding structural and institutional racism.</w:t>
      </w:r>
    </w:p>
  </w:endnote>
  <w:endnote w:id="32">
    <w:p w:rsidR="009B6A77" w:rsidRPr="004F190E" w:rsidRDefault="009B6A77">
      <w:pPr>
        <w:pStyle w:val="Textodenotadefim"/>
        <w:rPr>
          <w:lang w:val="pt-BR"/>
        </w:rPr>
      </w:pPr>
      <w:r>
        <w:rPr>
          <w:rStyle w:val="Refdenotadefim"/>
        </w:rPr>
        <w:endnoteRef/>
      </w:r>
      <w:hyperlink r:id="rId28" w:history="1">
        <w:r>
          <w:rPr>
            <w:rStyle w:val="Hyperlink"/>
            <w:rFonts w:ascii="Garamond" w:hAnsi="Garamond"/>
            <w:color w:val="1155CC"/>
            <w:szCs w:val="20"/>
          </w:rPr>
          <w:t>De 12 milhões de desempregados no primeiro trimestre, 64% eram negros - Geledés</w:t>
        </w:r>
      </w:hyperlink>
    </w:p>
  </w:endnote>
  <w:endnote w:id="33">
    <w:p w:rsidR="009B6A77" w:rsidRPr="004F190E" w:rsidRDefault="009B6A77">
      <w:pPr>
        <w:pStyle w:val="Textodenotadefim"/>
        <w:rPr>
          <w:lang w:val="pt-BR"/>
        </w:rPr>
      </w:pPr>
      <w:r>
        <w:rPr>
          <w:rStyle w:val="Refdenotadefim"/>
        </w:rPr>
        <w:endnoteRef/>
      </w:r>
      <w:hyperlink r:id="rId29" w:history="1">
        <w:r>
          <w:rPr>
            <w:rStyle w:val="Hyperlink"/>
            <w:rFonts w:ascii="Garamond" w:hAnsi="Garamond"/>
            <w:color w:val="1155CC"/>
            <w:szCs w:val="20"/>
          </w:rPr>
          <w:t>A Situação das Pessoas Negras com Deficiência no Brasil</w:t>
        </w:r>
      </w:hyperlink>
    </w:p>
  </w:endnote>
  <w:endnote w:id="34">
    <w:p w:rsidR="009B6A77" w:rsidRPr="004F190E" w:rsidRDefault="009B6A77">
      <w:pPr>
        <w:pStyle w:val="Textodenotadefim"/>
        <w:rPr>
          <w:lang w:val="pt-BR"/>
        </w:rPr>
      </w:pPr>
      <w:r>
        <w:rPr>
          <w:rStyle w:val="Refdenotadefim"/>
        </w:rPr>
        <w:endnoteRef/>
      </w:r>
      <w:r>
        <w:rPr>
          <w:color w:val="000000"/>
        </w:rPr>
        <w:t> </w:t>
      </w:r>
      <w:hyperlink r:id="rId30" w:history="1">
        <w:r>
          <w:rPr>
            <w:rStyle w:val="Hyperlink"/>
            <w:rFonts w:ascii="Garamond" w:hAnsi="Garamond"/>
            <w:color w:val="1155CC"/>
            <w:szCs w:val="20"/>
          </w:rPr>
          <w:t>Racismo estrutural segrega negros no mercado de trabalho</w:t>
        </w:r>
      </w:hyperlink>
    </w:p>
  </w:endnote>
  <w:endnote w:id="35">
    <w:p w:rsidR="009B6A77" w:rsidRPr="004F190E" w:rsidRDefault="009B6A77">
      <w:pPr>
        <w:pStyle w:val="Textodenotadefim"/>
        <w:rPr>
          <w:lang w:val="pt-BR"/>
        </w:rPr>
      </w:pPr>
      <w:r>
        <w:rPr>
          <w:rStyle w:val="Refdenotadefim"/>
        </w:rPr>
        <w:endnoteRef/>
      </w:r>
      <w:hyperlink r:id="rId31" w:history="1">
        <w:r>
          <w:rPr>
            <w:rStyle w:val="Hyperlink"/>
            <w:rFonts w:ascii="Garamond" w:hAnsi="Garamond"/>
            <w:color w:val="1155CC"/>
            <w:szCs w:val="20"/>
          </w:rPr>
          <w:t xml:space="preserve">Mulheres Negras recebem em média 42% a menos do que mulheres brancas </w:t>
        </w:r>
      </w:hyperlink>
    </w:p>
  </w:endnote>
  <w:endnote w:id="36">
    <w:p w:rsidR="009B6A77" w:rsidRPr="004F190E" w:rsidRDefault="009B6A77">
      <w:pPr>
        <w:pStyle w:val="Textodenotadefim"/>
        <w:rPr>
          <w:lang w:val="pt-BR"/>
        </w:rPr>
      </w:pPr>
      <w:r>
        <w:rPr>
          <w:rStyle w:val="Refdenotadefim"/>
        </w:rPr>
        <w:endnoteRef/>
      </w:r>
      <w:hyperlink r:id="rId32" w:history="1">
        <w:r>
          <w:rPr>
            <w:rStyle w:val="Hyperlink"/>
            <w:rFonts w:ascii="Garamond" w:hAnsi="Garamond"/>
            <w:color w:val="1155CC"/>
            <w:szCs w:val="20"/>
          </w:rPr>
          <w:t>Mães solo no mercado de trabalho</w:t>
        </w:r>
      </w:hyperlink>
    </w:p>
  </w:endnote>
  <w:endnote w:id="37">
    <w:p w:rsidR="009B6A77" w:rsidRPr="004F190E" w:rsidRDefault="009B6A77">
      <w:pPr>
        <w:pStyle w:val="Textodenotadefim"/>
        <w:rPr>
          <w:lang w:val="pt-BR"/>
        </w:rPr>
      </w:pPr>
      <w:r>
        <w:rPr>
          <w:rStyle w:val="Refdenotadefim"/>
        </w:rPr>
        <w:endnoteRef/>
      </w:r>
      <w:hyperlink r:id="rId33" w:history="1">
        <w:r>
          <w:rPr>
            <w:rStyle w:val="Hyperlink"/>
            <w:rFonts w:ascii="Garamond" w:hAnsi="Garamond"/>
            <w:color w:val="1155CC"/>
            <w:szCs w:val="20"/>
            <w:shd w:val="clear" w:color="auto" w:fill="FFFFFF"/>
          </w:rPr>
          <w:t>Em 2021, pobreza tem aumento recorde e atinge 62,5 milhões de pessoas, maior nível desde 2012</w:t>
        </w:r>
      </w:hyperlink>
    </w:p>
  </w:endnote>
  <w:endnote w:id="38">
    <w:p w:rsidR="009B6A77" w:rsidRPr="004F190E" w:rsidRDefault="009B6A77">
      <w:pPr>
        <w:pStyle w:val="Textodenotadefim"/>
        <w:rPr>
          <w:lang w:val="pt-BR"/>
        </w:rPr>
      </w:pPr>
      <w:r>
        <w:rPr>
          <w:rStyle w:val="Refdenotadefim"/>
        </w:rPr>
        <w:endnoteRef/>
      </w:r>
      <w:r>
        <w:rPr>
          <w:color w:val="000000"/>
        </w:rPr>
        <w:t> </w:t>
      </w:r>
      <w:hyperlink r:id="rId34" w:history="1">
        <w:r>
          <w:rPr>
            <w:rStyle w:val="Hyperlink"/>
            <w:rFonts w:ascii="Garamond" w:hAnsi="Garamond"/>
            <w:color w:val="1155CC"/>
            <w:szCs w:val="20"/>
          </w:rPr>
          <w:t>“Aborto é a quarta causa de morte materna no Brasil”, afirma pesquisadora</w:t>
        </w:r>
      </w:hyperlink>
    </w:p>
  </w:endnote>
  <w:endnote w:id="39">
    <w:p w:rsidR="009B6A77" w:rsidRPr="004F190E" w:rsidRDefault="009B6A77">
      <w:pPr>
        <w:pStyle w:val="Textodenotadefim"/>
        <w:rPr>
          <w:lang w:val="pt-BR"/>
        </w:rPr>
      </w:pPr>
      <w:r>
        <w:rPr>
          <w:rStyle w:val="Refdenotadefim"/>
        </w:rPr>
        <w:endnoteRef/>
      </w:r>
      <w:r>
        <w:rPr>
          <w:color w:val="000000"/>
        </w:rPr>
        <w:t> </w:t>
      </w:r>
      <w:hyperlink r:id="rId35" w:history="1">
        <w:r>
          <w:rPr>
            <w:rStyle w:val="Hyperlink"/>
            <w:rFonts w:ascii="Garamond" w:hAnsi="Garamond"/>
            <w:color w:val="1155CC"/>
            <w:szCs w:val="20"/>
          </w:rPr>
          <w:t>“Aborto é a quarta causa de morte materna no Brasil”, afirma pesquisadora</w:t>
        </w:r>
      </w:hyperlink>
    </w:p>
  </w:endnote>
  <w:endnote w:id="40">
    <w:p w:rsidR="009B6A77" w:rsidRPr="007A1288" w:rsidRDefault="009B6A77">
      <w:pPr>
        <w:pStyle w:val="Textodenotadefim"/>
        <w:rPr>
          <w:lang w:val="pt-BR"/>
        </w:rPr>
      </w:pPr>
      <w:r>
        <w:rPr>
          <w:rStyle w:val="Refdenotadefim"/>
        </w:rPr>
        <w:endnoteRef/>
      </w:r>
      <w:r>
        <w:rPr>
          <w:color w:val="000000"/>
        </w:rPr>
        <w:t> </w:t>
      </w:r>
      <w:hyperlink r:id="rId36" w:history="1">
        <w:r>
          <w:rPr>
            <w:rStyle w:val="Hyperlink"/>
            <w:rFonts w:ascii="Garamond" w:hAnsi="Garamond"/>
            <w:color w:val="1155CC"/>
            <w:szCs w:val="20"/>
          </w:rPr>
          <w:t>“Aborto é a quarta causa de morte materna no Brasil”, afirma pesquisadora</w:t>
        </w:r>
      </w:hyperlink>
    </w:p>
  </w:endnote>
  <w:endnote w:id="41">
    <w:p w:rsidR="009B6A77" w:rsidRDefault="009B6A77">
      <w:pPr>
        <w:jc w:val="both"/>
        <w:rPr>
          <w:rFonts w:ascii="Garamond" w:eastAsia="Garamond" w:hAnsi="Garamond" w:cs="Garamond"/>
          <w:sz w:val="20"/>
          <w:szCs w:val="20"/>
        </w:rPr>
      </w:pPr>
      <w:r>
        <w:rPr>
          <w:vertAlign w:val="superscript"/>
        </w:rPr>
        <w:endnoteRef/>
      </w:r>
      <w:r>
        <w:rPr>
          <w:rFonts w:ascii="Garamond" w:eastAsia="Garamond" w:hAnsi="Garamond" w:cs="Garamond"/>
          <w:sz w:val="20"/>
          <w:szCs w:val="20"/>
        </w:rPr>
        <w:t xml:space="preserve"> "Obstetric violence, which often precedes the mortality of pregnant and postpartum individuals, is ruthless among trans men and women in carceral situations. There are numerous reports of Afro-descendant individuals receiving inadequate medical care during pregnancy or childbirth and being subjected to extreme violations such as the use of handcuffs or being separated from their newborns for days. What's worse: in most cases, these individuals shouldn't even be incarcerated." Criola. </w:t>
      </w:r>
      <w:hyperlink r:id="rId37">
        <w:r>
          <w:rPr>
            <w:rFonts w:ascii="Garamond" w:eastAsia="Garamond" w:hAnsi="Garamond" w:cs="Garamond"/>
            <w:color w:val="1155CC"/>
            <w:sz w:val="20"/>
            <w:szCs w:val="20"/>
            <w:u w:val="single"/>
          </w:rPr>
          <w:t>Morte materna é a mais cruel expressão do racismo no Brasil</w:t>
        </w:r>
      </w:hyperlink>
    </w:p>
  </w:endnote>
  <w:endnote w:id="42">
    <w:p w:rsidR="009B6A77" w:rsidRPr="007A1288" w:rsidRDefault="009B6A77">
      <w:pPr>
        <w:pStyle w:val="Textodenotadefim"/>
        <w:rPr>
          <w:lang w:val="pt-BR"/>
        </w:rPr>
      </w:pPr>
      <w:r>
        <w:rPr>
          <w:rStyle w:val="Refdenotadefim"/>
        </w:rPr>
        <w:endnoteRef/>
      </w:r>
      <w:r>
        <w:rPr>
          <w:rFonts w:ascii="Garamond" w:hAnsi="Garamond"/>
          <w:color w:val="000000"/>
          <w:szCs w:val="20"/>
        </w:rPr>
        <w:t xml:space="preserve">BRASIL. </w:t>
      </w:r>
      <w:r>
        <w:rPr>
          <w:rFonts w:ascii="Garamond" w:hAnsi="Garamond"/>
          <w:b/>
          <w:bCs/>
          <w:color w:val="000000"/>
          <w:szCs w:val="20"/>
        </w:rPr>
        <w:t>Política Nacional de Saúde Integral da População Negra</w:t>
      </w:r>
      <w:r>
        <w:rPr>
          <w:rFonts w:ascii="Garamond" w:hAnsi="Garamond"/>
          <w:color w:val="000000"/>
          <w:szCs w:val="20"/>
        </w:rPr>
        <w:t>: uma política para o SUS. 3. ed. Brasília: Editora do Ministério da Saúde, 2017.</w:t>
      </w:r>
    </w:p>
  </w:endnote>
  <w:endnote w:id="43">
    <w:p w:rsidR="009B6A77" w:rsidRDefault="009B6A77">
      <w:pPr>
        <w:jc w:val="both"/>
        <w:rPr>
          <w:rFonts w:ascii="Garamond" w:eastAsia="Garamond" w:hAnsi="Garamond" w:cs="Garamond"/>
          <w:sz w:val="20"/>
          <w:szCs w:val="20"/>
        </w:rPr>
      </w:pPr>
      <w:r>
        <w:rPr>
          <w:vertAlign w:val="superscript"/>
        </w:rPr>
        <w:endnoteRef/>
      </w:r>
      <w:r>
        <w:rPr>
          <w:rFonts w:ascii="Garamond" w:eastAsia="Garamond" w:hAnsi="Garamond" w:cs="Garamond"/>
          <w:sz w:val="20"/>
          <w:szCs w:val="20"/>
        </w:rPr>
        <w:t xml:space="preserve"> A study conducted by Fiocruz in 2017, titled "The Color of Pain: Racial Inequities in Prenatal and Delivery Care in Brazil," analyzed interviews and medical records evaluations of 23,894 Brazilian women. The study revealed that Afro-descendant women receive less local anesthesia for episiotomy compared to white women. (FIOCRUZ. </w:t>
      </w:r>
      <w:hyperlink r:id="rId38">
        <w:r>
          <w:rPr>
            <w:rFonts w:ascii="Garamond" w:eastAsia="Garamond" w:hAnsi="Garamond" w:cs="Garamond"/>
            <w:color w:val="1155CC"/>
            <w:sz w:val="20"/>
            <w:szCs w:val="20"/>
            <w:highlight w:val="white"/>
            <w:u w:val="single"/>
          </w:rPr>
          <w:t>A cor da dor: iniquidades raciais na atenção pré-natal e ao parto no Brasil</w:t>
        </w:r>
      </w:hyperlink>
      <w:r>
        <w:rPr>
          <w:rFonts w:ascii="Garamond" w:eastAsia="Garamond" w:hAnsi="Garamond" w:cs="Garamond"/>
          <w:sz w:val="20"/>
          <w:szCs w:val="20"/>
        </w:rPr>
        <w:t>)</w:t>
      </w:r>
    </w:p>
  </w:endnote>
  <w:endnote w:id="44">
    <w:p w:rsidR="009B6A77" w:rsidRPr="007A1288" w:rsidRDefault="009B6A77">
      <w:pPr>
        <w:pStyle w:val="Textodenotadefim"/>
        <w:rPr>
          <w:lang w:val="pt-BR"/>
        </w:rPr>
      </w:pPr>
      <w:r>
        <w:rPr>
          <w:rStyle w:val="Refdenotadefim"/>
        </w:rPr>
        <w:endnoteRef/>
      </w:r>
      <w:r>
        <w:rPr>
          <w:rFonts w:ascii="Garamond" w:hAnsi="Garamond"/>
          <w:color w:val="000000"/>
          <w:szCs w:val="20"/>
        </w:rPr>
        <w:t xml:space="preserve">Ministério da Saúde. </w:t>
      </w:r>
      <w:hyperlink r:id="rId39" w:history="1">
        <w:r>
          <w:rPr>
            <w:rStyle w:val="Hyperlink"/>
            <w:rFonts w:ascii="Garamond" w:hAnsi="Garamond"/>
            <w:color w:val="1155CC"/>
            <w:szCs w:val="20"/>
          </w:rPr>
          <w:t>Caderneta da Gestante</w:t>
        </w:r>
      </w:hyperlink>
    </w:p>
  </w:endnote>
  <w:endnote w:id="45">
    <w:p w:rsidR="009B6A77" w:rsidRDefault="009B6A77">
      <w:pPr>
        <w:jc w:val="both"/>
        <w:rPr>
          <w:rFonts w:ascii="Garamond" w:eastAsia="Garamond" w:hAnsi="Garamond" w:cs="Garamond"/>
          <w:sz w:val="20"/>
          <w:szCs w:val="20"/>
        </w:rPr>
      </w:pPr>
      <w:r>
        <w:rPr>
          <w:vertAlign w:val="superscript"/>
        </w:rPr>
        <w:endnoteRef/>
      </w:r>
      <w:r>
        <w:rPr>
          <w:rFonts w:ascii="Garamond" w:eastAsia="Garamond" w:hAnsi="Garamond" w:cs="Garamond"/>
          <w:sz w:val="20"/>
          <w:szCs w:val="20"/>
        </w:rPr>
        <w:t xml:space="preserve"> Since 2018, episiotomy has been contraindicated by the World Health Organization (WHO). However, the practice of episiotomy, for instance, is encouraged in the maternity card. The same applies to the Kristeller maneuver, which is recommended based on medical discretion. Furthermore, the maternity card promotes breastfeeding as a method of pregnancy prevention despite it being a contraceptive method with proven low effectiveness. (</w:t>
      </w:r>
      <w:hyperlink r:id="rId40">
        <w:r>
          <w:rPr>
            <w:rFonts w:ascii="Garamond" w:eastAsia="Garamond" w:hAnsi="Garamond" w:cs="Garamond"/>
            <w:color w:val="1155CC"/>
            <w:sz w:val="20"/>
            <w:szCs w:val="20"/>
            <w:u w:val="single"/>
          </w:rPr>
          <w:t>Nova caderneta para gestantes contraria evidências e diretrizes do MS</w:t>
        </w:r>
      </w:hyperlink>
      <w:r>
        <w:rPr>
          <w:rFonts w:ascii="Garamond" w:eastAsia="Garamond" w:hAnsi="Garamond" w:cs="Garamond"/>
          <w:sz w:val="20"/>
          <w:szCs w:val="20"/>
        </w:rPr>
        <w:t>)</w:t>
      </w:r>
    </w:p>
  </w:endnote>
  <w:endnote w:id="46">
    <w:p w:rsidR="009B6A77" w:rsidRDefault="009B6A77">
      <w:pPr>
        <w:jc w:val="both"/>
        <w:rPr>
          <w:rFonts w:ascii="Garamond" w:eastAsia="Garamond" w:hAnsi="Garamond" w:cs="Garamond"/>
          <w:sz w:val="20"/>
          <w:szCs w:val="20"/>
        </w:rPr>
      </w:pPr>
      <w:r>
        <w:rPr>
          <w:vertAlign w:val="superscript"/>
        </w:rPr>
        <w:endnoteRef/>
      </w:r>
      <w:r>
        <w:rPr>
          <w:rFonts w:ascii="Garamond" w:eastAsia="Garamond" w:hAnsi="Garamond" w:cs="Garamond"/>
          <w:sz w:val="20"/>
          <w:szCs w:val="20"/>
        </w:rPr>
        <w:t xml:space="preserve"> In 2019, the government implemented a funding model within the Unified Health System (SUS), introducing a new policy for Primary Health Care (PHC) called "Previne Brasil." This financing policy appears to be restrictive as it could potentially limit the universality of SUS and contribute to reversing historical achievements in reducing health inequalities in Brazil.</w:t>
      </w:r>
    </w:p>
  </w:endnote>
  <w:endnote w:id="47">
    <w:p w:rsidR="009B6A77" w:rsidRPr="007A1288" w:rsidRDefault="009B6A77">
      <w:pPr>
        <w:pStyle w:val="Textodenotadefim"/>
        <w:rPr>
          <w:lang w:val="pt-BR"/>
        </w:rPr>
      </w:pPr>
      <w:r>
        <w:rPr>
          <w:rStyle w:val="Refdenotadefim"/>
        </w:rPr>
        <w:endnoteRef/>
      </w:r>
      <w:r>
        <w:rPr>
          <w:color w:val="000000"/>
        </w:rPr>
        <w:t> </w:t>
      </w:r>
      <w:hyperlink r:id="rId41" w:history="1">
        <w:r>
          <w:rPr>
            <w:rStyle w:val="Hyperlink"/>
            <w:rFonts w:ascii="Garamond" w:hAnsi="Garamond"/>
            <w:color w:val="1155CC"/>
            <w:szCs w:val="20"/>
          </w:rPr>
          <w:t>Para a proteção de mães e filhos, organizações pedem mudanças na Lei de Alienação Parental, por CLADEM Brasil</w:t>
        </w:r>
      </w:hyperlink>
    </w:p>
  </w:endnote>
  <w:endnote w:id="48">
    <w:p w:rsidR="009B6A77" w:rsidRPr="007A1288" w:rsidRDefault="009B6A77">
      <w:pPr>
        <w:pStyle w:val="Textodenotadefim"/>
        <w:rPr>
          <w:lang w:val="pt-BR"/>
        </w:rPr>
      </w:pPr>
      <w:r>
        <w:rPr>
          <w:rStyle w:val="Refdenotadefim"/>
        </w:rPr>
        <w:endnoteRef/>
      </w:r>
      <w:hyperlink r:id="rId42" w:history="1">
        <w:r>
          <w:rPr>
            <w:rStyle w:val="Hyperlink"/>
            <w:rFonts w:ascii="Garamond" w:hAnsi="Garamond"/>
            <w:color w:val="1155CC"/>
            <w:szCs w:val="20"/>
          </w:rPr>
          <w:t>Lei brasileira que trata da alienação parental não tem base científica, afirma debatedora</w:t>
        </w:r>
      </w:hyperlink>
    </w:p>
  </w:endnote>
  <w:endnote w:id="49">
    <w:p w:rsidR="009B6A77" w:rsidRPr="007A1288" w:rsidRDefault="009B6A77">
      <w:pPr>
        <w:pStyle w:val="Textodenotadefim"/>
        <w:rPr>
          <w:lang w:val="pt-BR"/>
        </w:rPr>
      </w:pPr>
      <w:r>
        <w:rPr>
          <w:rStyle w:val="Refdenotadefim"/>
        </w:rPr>
        <w:endnoteRef/>
      </w:r>
      <w:hyperlink r:id="rId43" w:history="1">
        <w:r>
          <w:rPr>
            <w:rStyle w:val="Hyperlink"/>
            <w:rFonts w:ascii="Garamond" w:hAnsi="Garamond"/>
            <w:color w:val="1155CC"/>
            <w:szCs w:val="20"/>
          </w:rPr>
          <w:t>Alienação parental: a lei baseada em teoria sem comprovação científica e contestada por juristas e parlamentares</w:t>
        </w:r>
      </w:hyperlink>
    </w:p>
  </w:endnote>
  <w:endnote w:id="50">
    <w:p w:rsidR="009B6A77" w:rsidRDefault="009B6A77">
      <w:pPr>
        <w:jc w:val="both"/>
        <w:rPr>
          <w:rFonts w:ascii="Garamond" w:eastAsia="Garamond" w:hAnsi="Garamond" w:cs="Garamond"/>
          <w:sz w:val="20"/>
          <w:szCs w:val="20"/>
        </w:rPr>
      </w:pPr>
      <w:r>
        <w:rPr>
          <w:vertAlign w:val="superscript"/>
        </w:rPr>
        <w:endnoteRef/>
      </w:r>
      <w:r>
        <w:rPr>
          <w:rFonts w:ascii="Garamond" w:eastAsia="Garamond" w:hAnsi="Garamond" w:cs="Garamond"/>
          <w:sz w:val="20"/>
          <w:szCs w:val="20"/>
        </w:rPr>
        <w:t xml:space="preserve"> "Finally, we highlight that one of the limitations of this study concerns the absence of an empirical and in-depth analysis of the impacts of gender stereotypes on racialized women. This limitation arises from the lack of racial identification of litigants in the legal proceedings, which limits reflections on the possible use of control images (COLLINS, 2000) by the judiciary and the consequences for the access to justice of Black [Afro-descendant], Indigenous, etc., women." SEVERI, Fabiana Cristina; VILLARROEL, Camila Maria de Lima. Análise jurisprudencial dos tribunais da região sudeste sobre a aplicação do instituto: (síndrome da) alienação parental. </w:t>
      </w:r>
      <w:r>
        <w:rPr>
          <w:rFonts w:ascii="Garamond" w:eastAsia="Garamond" w:hAnsi="Garamond" w:cs="Garamond"/>
          <w:b/>
          <w:sz w:val="20"/>
          <w:szCs w:val="20"/>
        </w:rPr>
        <w:t>Pensar. Revista de Ciências Jurídicas</w:t>
      </w:r>
      <w:r>
        <w:rPr>
          <w:rFonts w:ascii="Garamond" w:eastAsia="Garamond" w:hAnsi="Garamond" w:cs="Garamond"/>
          <w:sz w:val="20"/>
          <w:szCs w:val="20"/>
        </w:rPr>
        <w:t>. Fortaleza, v. 26, n. 2, p. 1-14, abr./jun. 2021.</w:t>
      </w:r>
    </w:p>
  </w:endnote>
  <w:endnote w:id="51">
    <w:p w:rsidR="009B6A77" w:rsidRPr="007A1288" w:rsidRDefault="009B6A77">
      <w:pPr>
        <w:pStyle w:val="Textodenotadefim"/>
        <w:rPr>
          <w:lang w:val="pt-BR"/>
        </w:rPr>
      </w:pPr>
      <w:r>
        <w:rPr>
          <w:rStyle w:val="Refdenotadefim"/>
        </w:rPr>
        <w:endnoteRef/>
      </w:r>
      <w:r>
        <w:rPr>
          <w:rFonts w:ascii="Garamond" w:hAnsi="Garamond"/>
          <w:color w:val="000000"/>
          <w:szCs w:val="20"/>
        </w:rPr>
        <w:t xml:space="preserve">Instituto Pólis. </w:t>
      </w:r>
      <w:hyperlink r:id="rId44" w:history="1">
        <w:r>
          <w:rPr>
            <w:rStyle w:val="Hyperlink"/>
            <w:rFonts w:ascii="Garamond" w:hAnsi="Garamond"/>
            <w:color w:val="1155CC"/>
            <w:szCs w:val="20"/>
          </w:rPr>
          <w:t>Racismo ambiental e justiça socioambiental nas cidades</w:t>
        </w:r>
      </w:hyperlink>
    </w:p>
  </w:endnote>
  <w:endnote w:id="52">
    <w:p w:rsidR="009B6A77" w:rsidRPr="007A1288" w:rsidRDefault="009B6A77">
      <w:pPr>
        <w:pStyle w:val="Textodenotadefim"/>
        <w:rPr>
          <w:lang w:val="pt-BR"/>
        </w:rPr>
      </w:pPr>
      <w:r>
        <w:rPr>
          <w:rStyle w:val="Refdenotadefim"/>
        </w:rPr>
        <w:endnoteRef/>
      </w:r>
      <w:hyperlink r:id="rId45" w:history="1">
        <w:r>
          <w:rPr>
            <w:rStyle w:val="Hyperlink"/>
            <w:rFonts w:ascii="Garamond" w:hAnsi="Garamond"/>
            <w:color w:val="1155CC"/>
            <w:szCs w:val="20"/>
          </w:rPr>
          <w:t>As injustiças climáticas atingem as mulheres negras e periféricas</w:t>
        </w:r>
      </w:hyperlink>
    </w:p>
  </w:endnote>
  <w:endnote w:id="53">
    <w:p w:rsidR="009B6A77" w:rsidRPr="007A1288" w:rsidRDefault="009B6A77">
      <w:pPr>
        <w:pStyle w:val="Textodenotadefim"/>
        <w:rPr>
          <w:lang w:val="pt-BR"/>
        </w:rPr>
      </w:pPr>
      <w:r>
        <w:rPr>
          <w:rStyle w:val="Refdenotadefim"/>
        </w:rPr>
        <w:endnoteRef/>
      </w:r>
      <w:hyperlink r:id="rId46" w:history="1">
        <w:r>
          <w:rPr>
            <w:rStyle w:val="Hyperlink"/>
            <w:rFonts w:ascii="Garamond" w:hAnsi="Garamond"/>
            <w:color w:val="1155CC"/>
            <w:szCs w:val="20"/>
          </w:rPr>
          <w:t>Brasil registra mais de 5 mil casos de violações de direitos contra lésbicas nos primeiros oito meses de 2023</w:t>
        </w:r>
      </w:hyperlink>
    </w:p>
  </w:endnote>
  <w:endnote w:id="54">
    <w:p w:rsidR="009B6A77" w:rsidRDefault="009B6A77">
      <w:pPr>
        <w:rPr>
          <w:rFonts w:ascii="Garamond" w:eastAsia="Garamond" w:hAnsi="Garamond" w:cs="Garamond"/>
          <w:sz w:val="20"/>
          <w:szCs w:val="20"/>
        </w:rPr>
      </w:pPr>
      <w:r>
        <w:rPr>
          <w:vertAlign w:val="superscript"/>
        </w:rPr>
        <w:endnoteRef/>
      </w:r>
      <w:r>
        <w:rPr>
          <w:rFonts w:ascii="Garamond" w:eastAsia="Garamond" w:hAnsi="Garamond" w:cs="Garamond"/>
          <w:sz w:val="20"/>
          <w:szCs w:val="20"/>
        </w:rPr>
        <w:t xml:space="preserve"> Term that refers to the lethal level that lesbophobia can reach.</w:t>
      </w:r>
    </w:p>
  </w:endnote>
  <w:endnote w:id="55">
    <w:p w:rsidR="009B6A77" w:rsidRDefault="009B6A77">
      <w:pPr>
        <w:jc w:val="both"/>
        <w:rPr>
          <w:rFonts w:ascii="Garamond" w:eastAsia="Garamond" w:hAnsi="Garamond" w:cs="Garamond"/>
          <w:sz w:val="20"/>
          <w:szCs w:val="20"/>
        </w:rPr>
      </w:pPr>
      <w:r>
        <w:rPr>
          <w:vertAlign w:val="superscript"/>
        </w:rPr>
        <w:endnoteRef/>
      </w:r>
      <w:r>
        <w:rPr>
          <w:rFonts w:ascii="Garamond" w:eastAsia="Garamond" w:hAnsi="Garamond" w:cs="Garamond"/>
          <w:sz w:val="20"/>
          <w:szCs w:val="20"/>
        </w:rPr>
        <w:t xml:space="preserve"> The data used in the research were obtained solely and exclusively through notifications found in digital media and social networks.</w:t>
      </w:r>
    </w:p>
  </w:endnote>
  <w:endnote w:id="56">
    <w:p w:rsidR="009B6A77" w:rsidRPr="007A1288" w:rsidRDefault="009B6A77">
      <w:pPr>
        <w:pStyle w:val="Textodenotadefim"/>
        <w:rPr>
          <w:lang w:val="pt-BR"/>
        </w:rPr>
      </w:pPr>
      <w:r>
        <w:rPr>
          <w:rStyle w:val="Refdenotadefim"/>
        </w:rPr>
        <w:endnoteRef/>
      </w:r>
      <w:r>
        <w:rPr>
          <w:rFonts w:ascii="Garamond" w:hAnsi="Garamond"/>
          <w:color w:val="000000"/>
          <w:szCs w:val="20"/>
        </w:rPr>
        <w:t xml:space="preserve">PERES, Milena C. C.; SOARES, Suane F.; </w:t>
      </w:r>
      <w:r>
        <w:rPr>
          <w:rFonts w:ascii="Garamond" w:hAnsi="Garamond"/>
          <w:color w:val="000000"/>
          <w:szCs w:val="20"/>
          <w:shd w:val="clear" w:color="auto" w:fill="FFFFFF"/>
        </w:rPr>
        <w:t xml:space="preserve">DIAS, Maria Clara. </w:t>
      </w:r>
      <w:hyperlink r:id="rId47" w:history="1">
        <w:r>
          <w:rPr>
            <w:rStyle w:val="Hyperlink"/>
            <w:rFonts w:ascii="Garamond" w:hAnsi="Garamond"/>
            <w:color w:val="1155CC"/>
            <w:szCs w:val="20"/>
            <w:shd w:val="clear" w:color="auto" w:fill="FFFFFF"/>
          </w:rPr>
          <w:t>Dossiê sobre lesbocídio no Brasil: de 2014 a 2017</w:t>
        </w:r>
      </w:hyperlink>
    </w:p>
  </w:endnote>
  <w:endnote w:id="57">
    <w:p w:rsidR="009B6A77" w:rsidRPr="007A1288" w:rsidRDefault="009B6A77">
      <w:pPr>
        <w:pStyle w:val="Textodenotadefim"/>
        <w:rPr>
          <w:lang w:val="pt-BR"/>
        </w:rPr>
      </w:pPr>
      <w:r>
        <w:rPr>
          <w:rStyle w:val="Refdenotadefim"/>
        </w:rPr>
        <w:endnoteRef/>
      </w:r>
      <w:hyperlink r:id="rId48" w:history="1">
        <w:r>
          <w:rPr>
            <w:rStyle w:val="Hyperlink"/>
            <w:rFonts w:ascii="Garamond" w:hAnsi="Garamond"/>
            <w:color w:val="1155CC"/>
            <w:szCs w:val="20"/>
          </w:rPr>
          <w:t>Caso Ana Caroline: vídeo mostra jovem lésbica momentos antes de ser assassinada</w:t>
        </w:r>
      </w:hyperlink>
    </w:p>
  </w:endnote>
  <w:endnote w:id="58">
    <w:p w:rsidR="009B6A77" w:rsidRPr="007A1288" w:rsidRDefault="009B6A77">
      <w:pPr>
        <w:pStyle w:val="Textodenotadefim"/>
        <w:rPr>
          <w:lang w:val="pt-BR"/>
        </w:rPr>
      </w:pPr>
      <w:r>
        <w:rPr>
          <w:rStyle w:val="Refdenotadefim"/>
        </w:rPr>
        <w:endnoteRef/>
      </w:r>
      <w:hyperlink r:id="rId49" w:history="1">
        <w:r>
          <w:rPr>
            <w:rStyle w:val="Hyperlink"/>
            <w:rFonts w:ascii="Garamond" w:hAnsi="Garamond"/>
            <w:color w:val="1155CC"/>
            <w:szCs w:val="20"/>
          </w:rPr>
          <w:t>De volta à Casa Grande</w:t>
        </w:r>
        <w:r>
          <w:rPr>
            <w:rStyle w:val="Hyperlink"/>
            <w:rFonts w:ascii="Garamond" w:hAnsi="Garamond"/>
            <w:color w:val="1155CC"/>
            <w:szCs w:val="20"/>
            <w:shd w:val="clear" w:color="auto" w:fill="FFFFFF"/>
          </w:rPr>
          <w:t>: Desembargador denunciado por trabalho escravo usou ‘manipulação psicológica’ para vítima voltar à sua casa, revelam laudos</w:t>
        </w:r>
      </w:hyperlink>
    </w:p>
  </w:endnote>
  <w:endnote w:id="59">
    <w:p w:rsidR="009B6A77" w:rsidRPr="007A1288" w:rsidRDefault="009B6A77">
      <w:pPr>
        <w:pStyle w:val="Textodenotadefim"/>
        <w:rPr>
          <w:lang w:val="pt-BR"/>
        </w:rPr>
      </w:pPr>
      <w:r>
        <w:rPr>
          <w:rStyle w:val="Refdenotadefim"/>
        </w:rPr>
        <w:endnoteRef/>
      </w:r>
      <w:hyperlink r:id="rId50" w:history="1">
        <w:r>
          <w:rPr>
            <w:rStyle w:val="Hyperlink"/>
            <w:rFonts w:ascii="Garamond" w:hAnsi="Garamond"/>
            <w:color w:val="1155CC"/>
            <w:szCs w:val="20"/>
          </w:rPr>
          <w:t>Julgamento de influencer Mariana Ferrer termina com tese inédita de ‘estupro culposo’e advogado humilhando jovem</w:t>
        </w:r>
      </w:hyperlink>
    </w:p>
  </w:endnote>
  <w:endnote w:id="60">
    <w:p w:rsidR="009B6A77" w:rsidRPr="007A1288" w:rsidRDefault="009B6A77" w:rsidP="007A1288">
      <w:pPr>
        <w:pStyle w:val="NormalWeb"/>
        <w:spacing w:before="0" w:beforeAutospacing="0" w:after="0" w:afterAutospacing="0"/>
        <w:jc w:val="both"/>
      </w:pPr>
      <w:r>
        <w:rPr>
          <w:rStyle w:val="Refdenotadefim"/>
        </w:rPr>
        <w:endnoteRef/>
      </w:r>
      <w:r>
        <w:rPr>
          <w:rFonts w:ascii="Garamond" w:hAnsi="Garamond"/>
          <w:color w:val="222222"/>
          <w:sz w:val="20"/>
          <w:szCs w:val="20"/>
          <w:shd w:val="clear" w:color="auto" w:fill="FFFFFF"/>
        </w:rPr>
        <w:t xml:space="preserve">ALMEIDA, Jéssica Grisa de. </w:t>
      </w:r>
      <w:hyperlink r:id="rId51" w:history="1">
        <w:r>
          <w:rPr>
            <w:rStyle w:val="Hyperlink"/>
            <w:rFonts w:ascii="Garamond" w:hAnsi="Garamond"/>
            <w:color w:val="1155CC"/>
            <w:sz w:val="20"/>
            <w:szCs w:val="20"/>
            <w:shd w:val="clear" w:color="auto" w:fill="FFFFFF"/>
          </w:rPr>
          <w:t>Lei Mariana Ferrer: entre demandas feministas e concretizações legislativas</w:t>
        </w:r>
      </w:hyperlink>
    </w:p>
  </w:endnote>
  <w:endnote w:id="61">
    <w:p w:rsidR="009B6A77" w:rsidRPr="007A1288" w:rsidRDefault="009B6A77">
      <w:pPr>
        <w:pStyle w:val="Textodenotadefim"/>
        <w:rPr>
          <w:lang w:val="pt-BR"/>
        </w:rPr>
      </w:pPr>
      <w:r>
        <w:rPr>
          <w:rStyle w:val="Refdenotadefim"/>
        </w:rPr>
        <w:endnoteRef/>
      </w:r>
      <w:hyperlink r:id="rId52" w:history="1">
        <w:r>
          <w:rPr>
            <w:rStyle w:val="Hyperlink"/>
            <w:rFonts w:ascii="Garamond" w:hAnsi="Garamond"/>
            <w:color w:val="1155CC"/>
            <w:szCs w:val="20"/>
          </w:rPr>
          <w:t>Jornalista do caso Mari Ferrer é condenada à detenção e multa de R$ 400 mil</w:t>
        </w:r>
      </w:hyperlink>
    </w:p>
  </w:endnote>
  <w:endnote w:id="62">
    <w:p w:rsidR="009B6A77" w:rsidRPr="007A1288" w:rsidRDefault="009B6A77">
      <w:pPr>
        <w:pStyle w:val="Textodenotadefim"/>
        <w:rPr>
          <w:lang w:val="pt-BR"/>
        </w:rPr>
      </w:pPr>
      <w:r>
        <w:rPr>
          <w:rStyle w:val="Refdenotadefim"/>
        </w:rPr>
        <w:endnoteRef/>
      </w:r>
      <w:hyperlink r:id="rId53" w:history="1">
        <w:r>
          <w:rPr>
            <w:rStyle w:val="Hyperlink"/>
            <w:rFonts w:ascii="Garamond" w:hAnsi="Garamond"/>
            <w:color w:val="1155CC"/>
            <w:szCs w:val="20"/>
          </w:rPr>
          <w:t>Justiça inocenta PMs acusados de matar e arrastar Cláudia Ferreira em viatura há dez anos no Rio</w:t>
        </w:r>
      </w:hyperlink>
    </w:p>
  </w:endnote>
  <w:endnote w:id="63">
    <w:p w:rsidR="009B6A77" w:rsidRPr="007A1288" w:rsidRDefault="009B6A77">
      <w:pPr>
        <w:pStyle w:val="Textodenotadefim"/>
        <w:rPr>
          <w:lang w:val="pt-BR"/>
        </w:rPr>
      </w:pPr>
      <w:r>
        <w:rPr>
          <w:rStyle w:val="Refdenotadefim"/>
        </w:rPr>
        <w:endnoteRef/>
      </w:r>
      <w:hyperlink r:id="rId54" w:history="1">
        <w:r>
          <w:rPr>
            <w:rStyle w:val="Hyperlink"/>
            <w:rFonts w:ascii="Garamond" w:hAnsi="Garamond"/>
            <w:color w:val="1155CC"/>
            <w:szCs w:val="20"/>
          </w:rPr>
          <w:t>Quem era Julieta Hernández, artista venezuelana morta no Amazonas</w:t>
        </w:r>
      </w:hyperlink>
    </w:p>
  </w:endnote>
  <w:endnote w:id="64">
    <w:p w:rsidR="009B6A77" w:rsidRPr="007E5D37" w:rsidRDefault="009B6A77">
      <w:pPr>
        <w:pStyle w:val="Textodenotadefim"/>
        <w:rPr>
          <w:lang w:val="pt-BR"/>
        </w:rPr>
      </w:pPr>
      <w:r>
        <w:rPr>
          <w:rStyle w:val="Refdenotadefim"/>
        </w:rPr>
        <w:endnoteRef/>
      </w:r>
      <w:r>
        <w:rPr>
          <w:color w:val="000000"/>
        </w:rPr>
        <w:t> </w:t>
      </w:r>
      <w:hyperlink r:id="rId55" w:history="1">
        <w:r>
          <w:rPr>
            <w:rStyle w:val="Hyperlink"/>
            <w:rFonts w:ascii="Garamond" w:hAnsi="Garamond"/>
            <w:color w:val="1155CC"/>
            <w:szCs w:val="20"/>
          </w:rPr>
          <w:t>Mulheres trans são agredidas por 15 homens ao saírem de festa no Rio de Janeiro</w:t>
        </w:r>
      </w:hyperlink>
    </w:p>
  </w:endnote>
  <w:endnote w:id="65">
    <w:p w:rsidR="009B6A77" w:rsidRPr="007E5D37" w:rsidRDefault="009B6A77">
      <w:pPr>
        <w:pStyle w:val="Textodenotadefim"/>
        <w:rPr>
          <w:lang w:val="pt-BR"/>
        </w:rPr>
      </w:pPr>
      <w:r>
        <w:rPr>
          <w:rStyle w:val="Refdenotadefim"/>
        </w:rPr>
        <w:endnoteRef/>
      </w:r>
      <w:hyperlink r:id="rId56" w:history="1">
        <w:r>
          <w:rPr>
            <w:rStyle w:val="Hyperlink"/>
            <w:rFonts w:ascii="Garamond" w:hAnsi="Garamond"/>
            <w:color w:val="1155CC"/>
            <w:szCs w:val="20"/>
          </w:rPr>
          <w:t>Quem foi Marielle Franco? Conheça a sua história</w:t>
        </w:r>
      </w:hyperlink>
    </w:p>
  </w:endnote>
  <w:endnote w:id="66">
    <w:p w:rsidR="009B6A77" w:rsidRPr="007E5D37" w:rsidRDefault="009B6A77">
      <w:pPr>
        <w:pStyle w:val="Textodenotadefim"/>
        <w:rPr>
          <w:lang w:val="pt-BR"/>
        </w:rPr>
      </w:pPr>
      <w:r>
        <w:rPr>
          <w:rStyle w:val="Refdenotadefim"/>
        </w:rPr>
        <w:endnoteRef/>
      </w:r>
      <w:hyperlink r:id="rId57" w:history="1">
        <w:r>
          <w:rPr>
            <w:rStyle w:val="Hyperlink"/>
            <w:rFonts w:ascii="Garamond" w:hAnsi="Garamond"/>
            <w:color w:val="1155CC"/>
            <w:szCs w:val="20"/>
          </w:rPr>
          <w:t>Deputado comete transfobia e chama Érika Hilton de “amigo” durante sessão da Câmara</w:t>
        </w:r>
      </w:hyperlink>
    </w:p>
  </w:endnote>
</w:endnotes>
</file>

<file path=word/fontTable.xml><?xml version="1.0" encoding="utf-8"?>
<w:fonts xmlns:r="http://schemas.openxmlformats.org/officeDocument/2006/relationships" xmlns:w="http://schemas.openxmlformats.org/wordprocessingml/2006/main">
  <w:font w:name="Garamond">
    <w:panose1 w:val="02020404030301010803"/>
    <w:charset w:val="00"/>
    <w:family w:val="roman"/>
    <w:pitch w:val="variable"/>
    <w:sig w:usb0="00000287" w:usb1="00000000" w:usb2="00000000" w:usb3="00000000" w:csb0="0000009F" w:csb1="00000000"/>
    <w:embedRegular r:id="rId1" w:fontKey="{8DC02E5F-45C8-4C31-B19B-29CB7324425F}"/>
    <w:embedBold r:id="rId2" w:fontKey="{8B9E3298-21FD-4B3E-BCB3-A7A2BD3F0F35}"/>
    <w:embedItalic r:id="rId3" w:fontKey="{5F3A36B7-10C4-45DD-8C51-CD43B12CD0C5}"/>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altName w:val="Arial"/>
    <w:charset w:val="00"/>
    <w:family w:val="auto"/>
    <w:pitch w:val="default"/>
    <w:sig w:usb0="00000000" w:usb1="00000000" w:usb2="00000000" w:usb3="00000000" w:csb0="00000000" w:csb1="00000000"/>
    <w:embedRegular r:id="rId4" w:fontKey="{1AD7FF38-49CD-4E5D-A66F-9CCCA1E09132}"/>
  </w:font>
  <w:font w:name="Arial Unicode MS">
    <w:panose1 w:val="020B0604020202020204"/>
    <w:charset w:val="80"/>
    <w:family w:val="swiss"/>
    <w:pitch w:val="variable"/>
    <w:sig w:usb0="F7FFAFFF" w:usb1="E9DFFFFF" w:usb2="0000003F" w:usb3="00000000" w:csb0="003F01FF" w:csb1="00000000"/>
  </w:font>
  <w:font w:name="Lucida Grande">
    <w:panose1 w:val="00000000000000000000"/>
    <w:charset w:val="00"/>
    <w:family w:val="roman"/>
    <w:notTrueType/>
    <w:pitch w:val="default"/>
    <w:sig w:usb0="00000000" w:usb1="00000000" w:usb2="00000000" w:usb3="00000000" w:csb0="00000000" w:csb1="00000000"/>
  </w:font>
  <w:font w:name="MinionPro-Bold">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10022FF" w:usb1="C000E47F" w:usb2="00000029" w:usb3="00000000" w:csb0="000001DF" w:csb1="00000000"/>
    <w:embedRegular r:id="rId5" w:fontKey="{0EB4B71E-1BAC-4A1D-AB8D-009EB4238B65}"/>
  </w:font>
  <w:font w:name="Roboto">
    <w:charset w:val="00"/>
    <w:family w:val="auto"/>
    <w:pitch w:val="variable"/>
    <w:sig w:usb0="E0000AFF" w:usb1="5000217F" w:usb2="00000021" w:usb3="00000000" w:csb0="0000019F" w:csb1="00000000"/>
    <w:embedRegular r:id="rId6" w:fontKey="{CC226BBE-420E-455F-9C3C-3EC136D269D5}"/>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495" w:rsidRDefault="00120533">
    <w:pPr>
      <w:pBdr>
        <w:top w:val="nil"/>
        <w:left w:val="nil"/>
        <w:bottom w:val="nil"/>
        <w:right w:val="nil"/>
        <w:between w:val="nil"/>
      </w:pBdr>
      <w:spacing w:line="276" w:lineRule="auto"/>
      <w:jc w:val="right"/>
      <w:rPr>
        <w:rFonts w:ascii="Garamond" w:eastAsia="Garamond" w:hAnsi="Garamond" w:cs="Garamond"/>
        <w:color w:val="000000"/>
        <w:sz w:val="22"/>
        <w:szCs w:val="22"/>
      </w:rPr>
    </w:pPr>
    <w:r>
      <w:rPr>
        <w:rFonts w:ascii="Garamond" w:eastAsia="Garamond" w:hAnsi="Garamond" w:cs="Garamond"/>
        <w:b/>
        <w:color w:val="000000"/>
      </w:rPr>
      <w:fldChar w:fldCharType="begin"/>
    </w:r>
    <w:r w:rsidR="00CC1160">
      <w:rPr>
        <w:rFonts w:ascii="Garamond" w:eastAsia="Garamond" w:hAnsi="Garamond" w:cs="Garamond"/>
        <w:b/>
        <w:color w:val="000000"/>
      </w:rPr>
      <w:instrText>PAGE</w:instrText>
    </w:r>
    <w:r>
      <w:rPr>
        <w:rFonts w:ascii="Garamond" w:eastAsia="Garamond" w:hAnsi="Garamond" w:cs="Garamond"/>
        <w:b/>
        <w:color w:val="000000"/>
      </w:rPr>
      <w:fldChar w:fldCharType="separate"/>
    </w:r>
    <w:r w:rsidR="00A86DDB">
      <w:rPr>
        <w:rFonts w:ascii="Garamond" w:eastAsia="Garamond" w:hAnsi="Garamond" w:cs="Garamond"/>
        <w:b/>
        <w:noProof/>
        <w:color w:val="000000"/>
      </w:rPr>
      <w:t>2</w:t>
    </w:r>
    <w:r>
      <w:rPr>
        <w:rFonts w:ascii="Garamond" w:eastAsia="Garamond" w:hAnsi="Garamond" w:cs="Garamond"/>
        <w:b/>
        <w:color w:val="00000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495" w:rsidRDefault="00CC7495">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1160" w:rsidRDefault="00CC1160">
      <w:r>
        <w:separator/>
      </w:r>
    </w:p>
  </w:footnote>
  <w:footnote w:type="continuationSeparator" w:id="1">
    <w:p w:rsidR="00CC1160" w:rsidRDefault="00CC11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495" w:rsidRDefault="00CC7495">
    <w:pPr>
      <w:pBdr>
        <w:top w:val="nil"/>
        <w:left w:val="nil"/>
        <w:bottom w:val="nil"/>
        <w:right w:val="nil"/>
        <w:between w:val="nil"/>
      </w:pBdr>
      <w:tabs>
        <w:tab w:val="right" w:pos="9020"/>
      </w:tabs>
      <w:rPr>
        <w:rFonts w:ascii="Helvetica Neue" w:eastAsia="Helvetica Neue" w:hAnsi="Helvetica Neue" w:cs="Helvetica Neue"/>
      </w:rPr>
    </w:pPr>
  </w:p>
  <w:p w:rsidR="00CC7495" w:rsidRDefault="00120533">
    <w:pPr>
      <w:pBdr>
        <w:top w:val="nil"/>
        <w:left w:val="nil"/>
        <w:bottom w:val="nil"/>
        <w:right w:val="nil"/>
        <w:between w:val="nil"/>
      </w:pBdr>
      <w:tabs>
        <w:tab w:val="right" w:pos="9020"/>
      </w:tabs>
      <w:rPr>
        <w:rFonts w:ascii="Helvetica Neue" w:eastAsia="Helvetica Neue" w:hAnsi="Helvetica Neue" w:cs="Helvetica Neue"/>
        <w:color w:val="000000"/>
      </w:rPr>
    </w:pPr>
    <w:r w:rsidRPr="00120533">
      <w:rPr>
        <w:noProof/>
      </w:rPr>
      <w:pict>
        <v:roundrect id="Retângulo: Cantos Arredondados 884449642" o:spid="_x0000_s2049" style="position:absolute;margin-left:-127.85pt;margin-top:1855.15pt;width:607.75pt;height:854.75pt;z-index:-251658240;visibility:visible;mso-wrap-distance-left:0;mso-wrap-distance-right:0;mso-position-horizontal-relative:page;mso-position-vertical-relative:page;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" stroked="f">
          <v:textbox inset="2.53958mm,2.53958mm,2.53958mm,2.53958mm">
            <w:txbxContent>
              <w:p w:rsidR="00CC7495" w:rsidRDefault="00CC7495">
                <w:pPr>
                  <w:textDirection w:val="btLr"/>
                </w:pPr>
              </w:p>
            </w:txbxContent>
          </v:textbox>
          <w10:wrap anchorx="page" anchory="page"/>
        </v:round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495" w:rsidRDefault="00CC1160">
    <w:pPr>
      <w:pBdr>
        <w:top w:val="nil"/>
        <w:left w:val="nil"/>
        <w:bottom w:val="nil"/>
        <w:right w:val="nil"/>
        <w:between w:val="nil"/>
      </w:pBdr>
      <w:tabs>
        <w:tab w:val="right" w:pos="9020"/>
      </w:tabs>
      <w:rPr>
        <w:rFonts w:ascii="Helvetica Neue" w:eastAsia="Helvetica Neue" w:hAnsi="Helvetica Neue" w:cs="Helvetica Neue"/>
        <w:color w:val="000000"/>
      </w:rPr>
    </w:pPr>
    <w:r>
      <w:rPr>
        <w:rFonts w:ascii="Helvetica Neue" w:eastAsia="Helvetica Neue" w:hAnsi="Helvetica Neue" w:cs="Helvetica Neue"/>
        <w:noProof/>
        <w:lang w:val="pt-BR"/>
      </w:rPr>
      <w:drawing>
        <wp:anchor distT="0" distB="0" distL="0" distR="0" simplePos="0" relativeHeight="251657216" behindDoc="1" locked="0" layoutInCell="1" allowOverlap="1">
          <wp:simplePos x="0" y="0"/>
          <wp:positionH relativeFrom="page">
            <wp:posOffset>6258975</wp:posOffset>
          </wp:positionH>
          <wp:positionV relativeFrom="page">
            <wp:posOffset>195262</wp:posOffset>
          </wp:positionV>
          <wp:extent cx="580167" cy="580167"/>
          <wp:effectExtent l="0" t="0" r="0" b="0"/>
          <wp:wrapNone/>
          <wp:docPr id="8844496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80167" cy="580167"/>
                  </a:xfrm>
                  <a:prstGeom prst="rect">
                    <a:avLst/>
                  </a:prstGeom>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0D5F8F"/>
    <w:multiLevelType w:val="multilevel"/>
    <w:tmpl w:val="73F62FD2"/>
    <w:lvl w:ilvl="0">
      <w:start w:val="1"/>
      <w:numFmt w:val="lowerLetter"/>
      <w:lvlText w:val="%1)"/>
      <w:lvlJc w:val="left"/>
      <w:pPr>
        <w:ind w:left="720" w:hanging="360"/>
      </w:pPr>
      <w:rPr>
        <w:rFonts w:ascii="Garamond" w:eastAsia="Garamond" w:hAnsi="Garamond" w:cs="Garamond"/>
        <w:b/>
        <w:color w:val="000000"/>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63200452"/>
    <w:multiLevelType w:val="multilevel"/>
    <w:tmpl w:val="C3726ABE"/>
    <w:lvl w:ilvl="0">
      <w:start w:val="1"/>
      <w:numFmt w:val="decimal"/>
      <w:lvlText w:val="%1."/>
      <w:lvlJc w:val="left"/>
      <w:pPr>
        <w:ind w:left="720" w:hanging="360"/>
      </w:pPr>
      <w:rPr>
        <w:rFonts w:ascii="Garamond" w:eastAsia="Garamond" w:hAnsi="Garamond" w:cs="Garamond"/>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664A7239"/>
    <w:multiLevelType w:val="multilevel"/>
    <w:tmpl w:val="98F80E7C"/>
    <w:lvl w:ilvl="0">
      <w:start w:val="1"/>
      <w:numFmt w:val="decimal"/>
      <w:lvlText w:val="%1."/>
      <w:lvlJc w:val="left"/>
      <w:pPr>
        <w:ind w:left="720" w:hanging="360"/>
      </w:pPr>
      <w:rPr>
        <w:rFonts w:ascii="Garamond" w:eastAsia="Garamond" w:hAnsi="Garamond" w:cs="Garamond"/>
        <w:b/>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hyphenationZone w:val="425"/>
  <w:characterSpacingControl w:val="doNotCompress"/>
  <w:hdrShapeDefaults>
    <o:shapedefaults v:ext="edit" spidmax="3074"/>
    <o:shapelayout v:ext="edit">
      <o:idmap v:ext="edit" data="2"/>
    </o:shapelayout>
  </w:hdrShapeDefaults>
  <w:footnotePr>
    <w:footnote w:id="0"/>
    <w:footnote w:id="1"/>
  </w:footnotePr>
  <w:endnotePr>
    <w:numFmt w:val="decimal"/>
    <w:endnote w:id="0"/>
    <w:endnote w:id="1"/>
  </w:endnotePr>
  <w:compat/>
  <w:rsids>
    <w:rsidRoot w:val="00CC7495"/>
    <w:rsid w:val="00120533"/>
    <w:rsid w:val="004F190E"/>
    <w:rsid w:val="007A1288"/>
    <w:rsid w:val="007C7D09"/>
    <w:rsid w:val="007E5D37"/>
    <w:rsid w:val="0093081A"/>
    <w:rsid w:val="009B6A77"/>
    <w:rsid w:val="00A408AE"/>
    <w:rsid w:val="00A86DDB"/>
    <w:rsid w:val="00AE5E94"/>
    <w:rsid w:val="00B0765C"/>
    <w:rsid w:val="00CC1160"/>
    <w:rsid w:val="00CC7495"/>
    <w:rsid w:val="00E47E2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CD2"/>
  </w:style>
  <w:style w:type="paragraph" w:styleId="Ttulo1">
    <w:name w:val="heading 1"/>
    <w:basedOn w:val="Normal"/>
    <w:link w:val="Ttulo1Char"/>
    <w:uiPriority w:val="9"/>
    <w:qFormat/>
    <w:rsid w:val="00120533"/>
    <w:pPr>
      <w:spacing w:before="480"/>
      <w:outlineLvl w:val="0"/>
    </w:pPr>
    <w:rPr>
      <w:b/>
      <w:color w:val="345A8A"/>
      <w:sz w:val="32"/>
    </w:rPr>
  </w:style>
  <w:style w:type="paragraph" w:styleId="Ttulo2">
    <w:name w:val="heading 2"/>
    <w:basedOn w:val="Normal"/>
    <w:link w:val="Ttulo2Char"/>
    <w:uiPriority w:val="9"/>
    <w:semiHidden/>
    <w:unhideWhenUsed/>
    <w:qFormat/>
    <w:rsid w:val="00120533"/>
    <w:pPr>
      <w:spacing w:before="200"/>
      <w:outlineLvl w:val="1"/>
    </w:pPr>
    <w:rPr>
      <w:b/>
      <w:color w:val="4F81BD"/>
      <w:sz w:val="26"/>
    </w:rPr>
  </w:style>
  <w:style w:type="paragraph" w:styleId="Ttulo3">
    <w:name w:val="heading 3"/>
    <w:basedOn w:val="Normal"/>
    <w:link w:val="Ttulo3Char"/>
    <w:uiPriority w:val="9"/>
    <w:semiHidden/>
    <w:unhideWhenUsed/>
    <w:qFormat/>
    <w:rsid w:val="00120533"/>
    <w:pPr>
      <w:spacing w:before="200"/>
      <w:outlineLvl w:val="2"/>
    </w:pPr>
    <w:rPr>
      <w:b/>
      <w:color w:val="4F81BD"/>
    </w:rPr>
  </w:style>
  <w:style w:type="paragraph" w:styleId="Ttulo4">
    <w:name w:val="heading 4"/>
    <w:basedOn w:val="Normal"/>
    <w:next w:val="Normal"/>
    <w:link w:val="Ttulo4Char"/>
    <w:uiPriority w:val="9"/>
    <w:semiHidden/>
    <w:unhideWhenUsed/>
    <w:qFormat/>
    <w:rsid w:val="008C7CD2"/>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har"/>
    <w:uiPriority w:val="9"/>
    <w:semiHidden/>
    <w:unhideWhenUsed/>
    <w:qFormat/>
    <w:rsid w:val="008C7CD2"/>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rsid w:val="008C7CD2"/>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har"/>
    <w:uiPriority w:val="9"/>
    <w:unhideWhenUsed/>
    <w:qFormat/>
    <w:rsid w:val="008C7CD2"/>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rsid w:val="008C7CD2"/>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rsid w:val="008C7CD2"/>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120533"/>
    <w:tblPr>
      <w:tblCellMar>
        <w:top w:w="0" w:type="dxa"/>
        <w:left w:w="0" w:type="dxa"/>
        <w:bottom w:w="0" w:type="dxa"/>
        <w:right w:w="0" w:type="dxa"/>
      </w:tblCellMar>
    </w:tblPr>
  </w:style>
  <w:style w:type="paragraph" w:styleId="Ttulo">
    <w:name w:val="Title"/>
    <w:basedOn w:val="Normal"/>
    <w:link w:val="TtuloChar"/>
    <w:uiPriority w:val="10"/>
    <w:qFormat/>
    <w:rsid w:val="00120533"/>
    <w:pPr>
      <w:spacing w:after="300"/>
    </w:pPr>
    <w:rPr>
      <w:color w:val="17365D"/>
      <w:sz w:val="52"/>
    </w:rPr>
  </w:style>
  <w:style w:type="table" w:customStyle="1" w:styleId="TableNormal0">
    <w:name w:val="Table Normal"/>
    <w:rsid w:val="00DB7415"/>
    <w:tblPr>
      <w:tblCellMar>
        <w:top w:w="0" w:type="dxa"/>
        <w:left w:w="0" w:type="dxa"/>
        <w:bottom w:w="0" w:type="dxa"/>
        <w:right w:w="0" w:type="dxa"/>
      </w:tblCellMar>
    </w:tblPr>
  </w:style>
  <w:style w:type="table" w:customStyle="1" w:styleId="TableNormal1">
    <w:name w:val="Table Normal1"/>
    <w:rsid w:val="00DB7415"/>
    <w:tblPr>
      <w:tblCellMar>
        <w:top w:w="0" w:type="dxa"/>
        <w:left w:w="0" w:type="dxa"/>
        <w:bottom w:w="0" w:type="dxa"/>
        <w:right w:w="0" w:type="dxa"/>
      </w:tblCellMar>
    </w:tblPr>
  </w:style>
  <w:style w:type="table" w:customStyle="1" w:styleId="TableNormal10">
    <w:name w:val="Table Normal1"/>
    <w:rsid w:val="00DB7415"/>
    <w:tblPr>
      <w:tblCellMar>
        <w:top w:w="0" w:type="dxa"/>
        <w:left w:w="0" w:type="dxa"/>
        <w:bottom w:w="0" w:type="dxa"/>
        <w:right w:w="0" w:type="dxa"/>
      </w:tblCellMar>
    </w:tblPr>
  </w:style>
  <w:style w:type="table" w:customStyle="1" w:styleId="TableNormal8">
    <w:name w:val="Table Normal8"/>
    <w:rsid w:val="00DB7415"/>
    <w:tblPr>
      <w:tblCellMar>
        <w:top w:w="0" w:type="dxa"/>
        <w:left w:w="0" w:type="dxa"/>
        <w:bottom w:w="0" w:type="dxa"/>
        <w:right w:w="0" w:type="dxa"/>
      </w:tblCellMar>
    </w:tblPr>
  </w:style>
  <w:style w:type="table" w:customStyle="1" w:styleId="TableNormal7">
    <w:name w:val="Table Normal7"/>
    <w:rsid w:val="00DB7415"/>
    <w:tblPr>
      <w:tblCellMar>
        <w:top w:w="0" w:type="dxa"/>
        <w:left w:w="0" w:type="dxa"/>
        <w:bottom w:w="0" w:type="dxa"/>
        <w:right w:w="0" w:type="dxa"/>
      </w:tblCellMar>
    </w:tblPr>
  </w:style>
  <w:style w:type="table" w:customStyle="1" w:styleId="TableNormal6">
    <w:name w:val="Table Normal6"/>
    <w:rsid w:val="00DB7415"/>
    <w:tblPr>
      <w:tblCellMar>
        <w:top w:w="0" w:type="dxa"/>
        <w:left w:w="0" w:type="dxa"/>
        <w:bottom w:w="0" w:type="dxa"/>
        <w:right w:w="0" w:type="dxa"/>
      </w:tblCellMar>
    </w:tblPr>
  </w:style>
  <w:style w:type="table" w:customStyle="1" w:styleId="TableNormal5">
    <w:name w:val="Table Normal5"/>
    <w:rsid w:val="0088751B"/>
    <w:tblPr>
      <w:tblCellMar>
        <w:top w:w="0" w:type="dxa"/>
        <w:left w:w="0" w:type="dxa"/>
        <w:bottom w:w="0" w:type="dxa"/>
        <w:right w:w="0" w:type="dxa"/>
      </w:tblCellMar>
    </w:tblPr>
  </w:style>
  <w:style w:type="table" w:customStyle="1" w:styleId="TableNormal4">
    <w:name w:val="Table Normal4"/>
    <w:rsid w:val="0088751B"/>
    <w:tblPr>
      <w:tblCellMar>
        <w:top w:w="0" w:type="dxa"/>
        <w:left w:w="0" w:type="dxa"/>
        <w:bottom w:w="0" w:type="dxa"/>
        <w:right w:w="0" w:type="dxa"/>
      </w:tblCellMar>
    </w:tblPr>
  </w:style>
  <w:style w:type="table" w:customStyle="1" w:styleId="TableNormal3">
    <w:name w:val="Table Normal3"/>
    <w:rsid w:val="0088751B"/>
    <w:tblPr>
      <w:tblCellMar>
        <w:top w:w="0" w:type="dxa"/>
        <w:left w:w="0" w:type="dxa"/>
        <w:bottom w:w="0" w:type="dxa"/>
        <w:right w:w="0" w:type="dxa"/>
      </w:tblCellMar>
    </w:tblPr>
  </w:style>
  <w:style w:type="table" w:customStyle="1" w:styleId="TableNormal2">
    <w:name w:val="Table Normal2"/>
    <w:rsid w:val="0088751B"/>
    <w:tblPr>
      <w:tblCellMar>
        <w:top w:w="0" w:type="dxa"/>
        <w:left w:w="0" w:type="dxa"/>
        <w:bottom w:w="0" w:type="dxa"/>
        <w:right w:w="0" w:type="dxa"/>
      </w:tblCellMar>
    </w:tblPr>
  </w:style>
  <w:style w:type="table" w:customStyle="1" w:styleId="TableNormal11">
    <w:name w:val="Table Normal1"/>
    <w:rsid w:val="0088751B"/>
    <w:tblPr>
      <w:tblCellMar>
        <w:top w:w="0" w:type="dxa"/>
        <w:left w:w="0" w:type="dxa"/>
        <w:bottom w:w="0" w:type="dxa"/>
        <w:right w:w="0" w:type="dxa"/>
      </w:tblCellMar>
    </w:tblPr>
  </w:style>
  <w:style w:type="paragraph" w:customStyle="1" w:styleId="Normal1">
    <w:name w:val="Normal1"/>
    <w:rsid w:val="0088751B"/>
  </w:style>
  <w:style w:type="paragraph" w:customStyle="1" w:styleId="Normal2">
    <w:name w:val="Normal2"/>
    <w:rsid w:val="0088751B"/>
  </w:style>
  <w:style w:type="paragraph" w:customStyle="1" w:styleId="Normal3">
    <w:name w:val="Normal3"/>
    <w:rsid w:val="008C7CD2"/>
  </w:style>
  <w:style w:type="paragraph" w:customStyle="1" w:styleId="Normal4">
    <w:name w:val="Normal4"/>
    <w:rsid w:val="008C7CD2"/>
  </w:style>
  <w:style w:type="paragraph" w:customStyle="1" w:styleId="Normal5">
    <w:name w:val="Normal5"/>
    <w:rsid w:val="008C7CD2"/>
  </w:style>
  <w:style w:type="character" w:customStyle="1" w:styleId="Ttulo1Char">
    <w:name w:val="Título 1 Char"/>
    <w:basedOn w:val="Fontepargpadro"/>
    <w:link w:val="Ttulo1"/>
    <w:uiPriority w:val="9"/>
    <w:rsid w:val="008C7CD2"/>
    <w:rPr>
      <w:rFonts w:ascii="Arial" w:eastAsia="Arial" w:hAnsi="Arial" w:cs="Arial"/>
      <w:sz w:val="40"/>
      <w:szCs w:val="40"/>
    </w:rPr>
  </w:style>
  <w:style w:type="character" w:customStyle="1" w:styleId="Ttulo2Char">
    <w:name w:val="Título 2 Char"/>
    <w:basedOn w:val="Fontepargpadro"/>
    <w:link w:val="Ttulo2"/>
    <w:uiPriority w:val="9"/>
    <w:rsid w:val="008C7CD2"/>
    <w:rPr>
      <w:rFonts w:ascii="Arial" w:eastAsia="Arial" w:hAnsi="Arial" w:cs="Arial"/>
      <w:sz w:val="34"/>
    </w:rPr>
  </w:style>
  <w:style w:type="character" w:customStyle="1" w:styleId="Ttulo3Char">
    <w:name w:val="Título 3 Char"/>
    <w:basedOn w:val="Fontepargpadro"/>
    <w:link w:val="Ttulo3"/>
    <w:uiPriority w:val="9"/>
    <w:rsid w:val="008C7CD2"/>
    <w:rPr>
      <w:rFonts w:ascii="Arial" w:eastAsia="Arial" w:hAnsi="Arial" w:cs="Arial"/>
      <w:sz w:val="30"/>
      <w:szCs w:val="30"/>
    </w:rPr>
  </w:style>
  <w:style w:type="character" w:customStyle="1" w:styleId="Ttulo4Char">
    <w:name w:val="Título 4 Char"/>
    <w:basedOn w:val="Fontepargpadro"/>
    <w:link w:val="Ttulo4"/>
    <w:uiPriority w:val="9"/>
    <w:rsid w:val="008C7CD2"/>
    <w:rPr>
      <w:rFonts w:ascii="Arial" w:eastAsia="Arial" w:hAnsi="Arial" w:cs="Arial"/>
      <w:b/>
      <w:bCs/>
      <w:sz w:val="26"/>
      <w:szCs w:val="26"/>
    </w:rPr>
  </w:style>
  <w:style w:type="character" w:customStyle="1" w:styleId="Ttulo5Char">
    <w:name w:val="Título 5 Char"/>
    <w:basedOn w:val="Fontepargpadro"/>
    <w:link w:val="Ttulo5"/>
    <w:uiPriority w:val="9"/>
    <w:rsid w:val="008C7CD2"/>
    <w:rPr>
      <w:rFonts w:ascii="Arial" w:eastAsia="Arial" w:hAnsi="Arial" w:cs="Arial"/>
      <w:b/>
      <w:bCs/>
      <w:sz w:val="24"/>
      <w:szCs w:val="24"/>
    </w:rPr>
  </w:style>
  <w:style w:type="character" w:customStyle="1" w:styleId="Ttulo6Char">
    <w:name w:val="Título 6 Char"/>
    <w:basedOn w:val="Fontepargpadro"/>
    <w:link w:val="Ttulo6"/>
    <w:uiPriority w:val="9"/>
    <w:rsid w:val="008C7CD2"/>
    <w:rPr>
      <w:rFonts w:ascii="Arial" w:eastAsia="Arial" w:hAnsi="Arial" w:cs="Arial"/>
      <w:b/>
      <w:bCs/>
      <w:sz w:val="22"/>
      <w:szCs w:val="22"/>
    </w:rPr>
  </w:style>
  <w:style w:type="character" w:customStyle="1" w:styleId="Ttulo7Char">
    <w:name w:val="Título 7 Char"/>
    <w:basedOn w:val="Fontepargpadro"/>
    <w:link w:val="Ttulo7"/>
    <w:uiPriority w:val="9"/>
    <w:rsid w:val="008C7CD2"/>
    <w:rPr>
      <w:rFonts w:ascii="Arial" w:eastAsia="Arial" w:hAnsi="Arial" w:cs="Arial"/>
      <w:b/>
      <w:bCs/>
      <w:i/>
      <w:iCs/>
      <w:sz w:val="22"/>
      <w:szCs w:val="22"/>
    </w:rPr>
  </w:style>
  <w:style w:type="character" w:customStyle="1" w:styleId="Ttulo8Char">
    <w:name w:val="Título 8 Char"/>
    <w:basedOn w:val="Fontepargpadro"/>
    <w:link w:val="Ttulo8"/>
    <w:uiPriority w:val="9"/>
    <w:rsid w:val="008C7CD2"/>
    <w:rPr>
      <w:rFonts w:ascii="Arial" w:eastAsia="Arial" w:hAnsi="Arial" w:cs="Arial"/>
      <w:i/>
      <w:iCs/>
      <w:sz w:val="22"/>
      <w:szCs w:val="22"/>
    </w:rPr>
  </w:style>
  <w:style w:type="character" w:customStyle="1" w:styleId="Ttulo9Char">
    <w:name w:val="Título 9 Char"/>
    <w:basedOn w:val="Fontepargpadro"/>
    <w:link w:val="Ttulo9"/>
    <w:uiPriority w:val="9"/>
    <w:rsid w:val="008C7CD2"/>
    <w:rPr>
      <w:rFonts w:ascii="Arial" w:eastAsia="Arial" w:hAnsi="Arial" w:cs="Arial"/>
      <w:i/>
      <w:iCs/>
      <w:sz w:val="21"/>
      <w:szCs w:val="21"/>
    </w:rPr>
  </w:style>
  <w:style w:type="paragraph" w:styleId="PargrafodaLista">
    <w:name w:val="List Paragraph"/>
    <w:basedOn w:val="Normal"/>
    <w:uiPriority w:val="34"/>
    <w:qFormat/>
    <w:rsid w:val="008C7CD2"/>
    <w:pPr>
      <w:ind w:left="720"/>
      <w:contextualSpacing/>
    </w:pPr>
  </w:style>
  <w:style w:type="paragraph" w:styleId="SemEspaamento">
    <w:name w:val="No Spacing"/>
    <w:uiPriority w:val="1"/>
    <w:qFormat/>
    <w:rsid w:val="008C7CD2"/>
  </w:style>
  <w:style w:type="character" w:customStyle="1" w:styleId="TtuloChar">
    <w:name w:val="Título Char"/>
    <w:basedOn w:val="Fontepargpadro"/>
    <w:link w:val="Ttulo"/>
    <w:uiPriority w:val="10"/>
    <w:rsid w:val="008C7CD2"/>
    <w:rPr>
      <w:sz w:val="48"/>
      <w:szCs w:val="48"/>
    </w:rPr>
  </w:style>
  <w:style w:type="paragraph" w:styleId="Subttulo">
    <w:name w:val="Subtitle"/>
    <w:basedOn w:val="Normal"/>
    <w:next w:val="Normal"/>
    <w:link w:val="SubttuloChar"/>
    <w:uiPriority w:val="11"/>
    <w:qFormat/>
    <w:rsid w:val="00120533"/>
    <w:rPr>
      <w:i/>
      <w:color w:val="4F81BD"/>
    </w:rPr>
  </w:style>
  <w:style w:type="character" w:customStyle="1" w:styleId="SubttuloChar">
    <w:name w:val="Subtítulo Char"/>
    <w:basedOn w:val="Fontepargpadro"/>
    <w:link w:val="Subttulo"/>
    <w:uiPriority w:val="11"/>
    <w:rsid w:val="008C7CD2"/>
    <w:rPr>
      <w:sz w:val="24"/>
      <w:szCs w:val="24"/>
    </w:rPr>
  </w:style>
  <w:style w:type="paragraph" w:styleId="Citao">
    <w:name w:val="Quote"/>
    <w:basedOn w:val="Normal"/>
    <w:next w:val="Normal"/>
    <w:link w:val="CitaoChar"/>
    <w:uiPriority w:val="29"/>
    <w:qFormat/>
    <w:rsid w:val="008C7CD2"/>
    <w:pPr>
      <w:ind w:left="720" w:right="720"/>
    </w:pPr>
    <w:rPr>
      <w:i/>
    </w:rPr>
  </w:style>
  <w:style w:type="character" w:customStyle="1" w:styleId="CitaoChar">
    <w:name w:val="Citação Char"/>
    <w:link w:val="Citao"/>
    <w:uiPriority w:val="29"/>
    <w:rsid w:val="008C7CD2"/>
    <w:rPr>
      <w:i/>
    </w:rPr>
  </w:style>
  <w:style w:type="paragraph" w:styleId="CitaoIntensa">
    <w:name w:val="Intense Quote"/>
    <w:basedOn w:val="Normal"/>
    <w:next w:val="Normal"/>
    <w:link w:val="CitaoIntensaChar"/>
    <w:uiPriority w:val="30"/>
    <w:qFormat/>
    <w:rsid w:val="008C7CD2"/>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sid w:val="008C7CD2"/>
    <w:rPr>
      <w:i/>
    </w:rPr>
  </w:style>
  <w:style w:type="paragraph" w:styleId="Cabealho">
    <w:name w:val="header"/>
    <w:basedOn w:val="Normal"/>
    <w:link w:val="CabealhoChar"/>
    <w:uiPriority w:val="99"/>
    <w:unhideWhenUsed/>
    <w:rsid w:val="008C7CD2"/>
    <w:pPr>
      <w:tabs>
        <w:tab w:val="center" w:pos="7143"/>
        <w:tab w:val="right" w:pos="14287"/>
      </w:tabs>
    </w:pPr>
  </w:style>
  <w:style w:type="character" w:customStyle="1" w:styleId="CabealhoChar">
    <w:name w:val="Cabeçalho Char"/>
    <w:basedOn w:val="Fontepargpadro"/>
    <w:link w:val="Cabealho"/>
    <w:uiPriority w:val="99"/>
    <w:rsid w:val="008C7CD2"/>
  </w:style>
  <w:style w:type="paragraph" w:styleId="Rodap">
    <w:name w:val="footer"/>
    <w:basedOn w:val="Normal"/>
    <w:link w:val="RodapChar"/>
    <w:uiPriority w:val="99"/>
    <w:unhideWhenUsed/>
    <w:rsid w:val="008C7CD2"/>
    <w:pPr>
      <w:tabs>
        <w:tab w:val="center" w:pos="7143"/>
        <w:tab w:val="right" w:pos="14287"/>
      </w:tabs>
    </w:pPr>
  </w:style>
  <w:style w:type="character" w:customStyle="1" w:styleId="FooterChar">
    <w:name w:val="Footer Char"/>
    <w:basedOn w:val="Fontepargpadro"/>
    <w:uiPriority w:val="99"/>
    <w:rsid w:val="008C7CD2"/>
  </w:style>
  <w:style w:type="paragraph" w:styleId="Legenda">
    <w:name w:val="caption"/>
    <w:basedOn w:val="Normal"/>
    <w:next w:val="Normal"/>
    <w:uiPriority w:val="35"/>
    <w:semiHidden/>
    <w:unhideWhenUsed/>
    <w:qFormat/>
    <w:rsid w:val="008C7CD2"/>
    <w:pPr>
      <w:spacing w:line="276" w:lineRule="auto"/>
    </w:pPr>
    <w:rPr>
      <w:b/>
      <w:bCs/>
      <w:color w:val="4F81BD"/>
      <w:sz w:val="18"/>
      <w:szCs w:val="18"/>
    </w:rPr>
  </w:style>
  <w:style w:type="character" w:customStyle="1" w:styleId="RodapChar">
    <w:name w:val="Rodapé Char"/>
    <w:link w:val="Rodap"/>
    <w:uiPriority w:val="99"/>
    <w:rsid w:val="008C7CD2"/>
  </w:style>
  <w:style w:type="table" w:styleId="Tabelacomgrade">
    <w:name w:val="Table Grid"/>
    <w:basedOn w:val="Tabelanormal"/>
    <w:uiPriority w:val="59"/>
    <w:rsid w:val="008C7CD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anormal"/>
    <w:uiPriority w:val="59"/>
    <w:rsid w:val="008C7CD2"/>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SimplesTabela11">
    <w:name w:val="Simples Tabela 11"/>
    <w:basedOn w:val="Tabelanormal"/>
    <w:uiPriority w:val="59"/>
    <w:rsid w:val="008C7CD2"/>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SimplesTabela21">
    <w:name w:val="Simples Tabela 21"/>
    <w:basedOn w:val="Tabelanormal"/>
    <w:uiPriority w:val="59"/>
    <w:rsid w:val="008C7CD2"/>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rsid w:val="008C7CD2"/>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TabelaSimples41">
    <w:name w:val="Tabela Simples 41"/>
    <w:basedOn w:val="Tabelanormal"/>
    <w:uiPriority w:val="99"/>
    <w:rsid w:val="008C7CD2"/>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TabelaSimples51">
    <w:name w:val="Tabela Simples 51"/>
    <w:basedOn w:val="Tabelanormal"/>
    <w:uiPriority w:val="99"/>
    <w:rsid w:val="008C7CD2"/>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TabeladeGrade1Clara1">
    <w:name w:val="Tabela de Grade 1 Clara1"/>
    <w:basedOn w:val="Tabelanormal"/>
    <w:uiPriority w:val="99"/>
    <w:rsid w:val="008C7CD2"/>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elanormal"/>
    <w:uiPriority w:val="99"/>
    <w:rsid w:val="008C7CD2"/>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elanormal"/>
    <w:uiPriority w:val="99"/>
    <w:rsid w:val="008C7CD2"/>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elanormal"/>
    <w:uiPriority w:val="99"/>
    <w:rsid w:val="008C7CD2"/>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elanormal"/>
    <w:uiPriority w:val="99"/>
    <w:rsid w:val="008C7CD2"/>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elanormal"/>
    <w:uiPriority w:val="99"/>
    <w:rsid w:val="008C7CD2"/>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elanormal"/>
    <w:uiPriority w:val="99"/>
    <w:rsid w:val="008C7CD2"/>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TabeladeGrade21">
    <w:name w:val="Tabela de Grade 21"/>
    <w:basedOn w:val="Tabelanormal"/>
    <w:uiPriority w:val="99"/>
    <w:rsid w:val="008C7CD2"/>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elanormal"/>
    <w:uiPriority w:val="99"/>
    <w:rsid w:val="008C7CD2"/>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1">
    <w:name w:val="Grid Table 2 - Accent 21"/>
    <w:basedOn w:val="Tabelanormal"/>
    <w:uiPriority w:val="99"/>
    <w:rsid w:val="008C7CD2"/>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1">
    <w:name w:val="Grid Table 2 - Accent 31"/>
    <w:basedOn w:val="Tabelanormal"/>
    <w:uiPriority w:val="99"/>
    <w:rsid w:val="008C7CD2"/>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1">
    <w:name w:val="Grid Table 2 - Accent 41"/>
    <w:basedOn w:val="Tabelanormal"/>
    <w:uiPriority w:val="99"/>
    <w:rsid w:val="008C7CD2"/>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1">
    <w:name w:val="Grid Table 2 - Accent 51"/>
    <w:basedOn w:val="Tabelanormal"/>
    <w:uiPriority w:val="99"/>
    <w:rsid w:val="008C7CD2"/>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1">
    <w:name w:val="Grid Table 2 - Accent 61"/>
    <w:basedOn w:val="Tabelanormal"/>
    <w:uiPriority w:val="99"/>
    <w:rsid w:val="008C7CD2"/>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deGrade31">
    <w:name w:val="Tabela de Grade 31"/>
    <w:basedOn w:val="Tabelanormal"/>
    <w:uiPriority w:val="99"/>
    <w:rsid w:val="008C7CD2"/>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elanormal"/>
    <w:uiPriority w:val="99"/>
    <w:rsid w:val="008C7CD2"/>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1">
    <w:name w:val="Grid Table 3 - Accent 21"/>
    <w:basedOn w:val="Tabelanormal"/>
    <w:uiPriority w:val="99"/>
    <w:rsid w:val="008C7CD2"/>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1">
    <w:name w:val="Grid Table 3 - Accent 31"/>
    <w:basedOn w:val="Tabelanormal"/>
    <w:uiPriority w:val="99"/>
    <w:rsid w:val="008C7CD2"/>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1">
    <w:name w:val="Grid Table 3 - Accent 41"/>
    <w:basedOn w:val="Tabelanormal"/>
    <w:uiPriority w:val="99"/>
    <w:rsid w:val="008C7CD2"/>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1">
    <w:name w:val="Grid Table 3 - Accent 51"/>
    <w:basedOn w:val="Tabelanormal"/>
    <w:uiPriority w:val="99"/>
    <w:rsid w:val="008C7CD2"/>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1">
    <w:name w:val="Grid Table 3 - Accent 61"/>
    <w:basedOn w:val="Tabelanormal"/>
    <w:uiPriority w:val="99"/>
    <w:rsid w:val="008C7CD2"/>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deGrade41">
    <w:name w:val="Tabela de Grade 41"/>
    <w:basedOn w:val="Tabelanormal"/>
    <w:uiPriority w:val="59"/>
    <w:rsid w:val="008C7CD2"/>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elanormal"/>
    <w:uiPriority w:val="59"/>
    <w:rsid w:val="008C7CD2"/>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1">
    <w:name w:val="Grid Table 4 - Accent 21"/>
    <w:basedOn w:val="Tabelanormal"/>
    <w:uiPriority w:val="59"/>
    <w:rsid w:val="008C7CD2"/>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1">
    <w:name w:val="Grid Table 4 - Accent 31"/>
    <w:basedOn w:val="Tabelanormal"/>
    <w:uiPriority w:val="59"/>
    <w:rsid w:val="008C7CD2"/>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1">
    <w:name w:val="Grid Table 4 - Accent 41"/>
    <w:basedOn w:val="Tabelanormal"/>
    <w:uiPriority w:val="59"/>
    <w:rsid w:val="008C7CD2"/>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1">
    <w:name w:val="Grid Table 4 - Accent 51"/>
    <w:basedOn w:val="Tabelanormal"/>
    <w:uiPriority w:val="59"/>
    <w:rsid w:val="008C7CD2"/>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1">
    <w:name w:val="Grid Table 4 - Accent 61"/>
    <w:basedOn w:val="Tabelanormal"/>
    <w:uiPriority w:val="59"/>
    <w:rsid w:val="008C7CD2"/>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deGrade5Escura1">
    <w:name w:val="Tabela de Grade 5 Escura1"/>
    <w:basedOn w:val="Tabelanormal"/>
    <w:uiPriority w:val="99"/>
    <w:rsid w:val="008C7CD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rsid w:val="008C7CD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1">
    <w:name w:val="Grid Table 5 Dark - Accent 21"/>
    <w:basedOn w:val="Tabelanormal"/>
    <w:uiPriority w:val="99"/>
    <w:rsid w:val="008C7CD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1">
    <w:name w:val="Grid Table 5 Dark - Accent 31"/>
    <w:basedOn w:val="Tabelanormal"/>
    <w:uiPriority w:val="99"/>
    <w:rsid w:val="008C7CD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rsid w:val="008C7CD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1">
    <w:name w:val="Grid Table 5 Dark - Accent 51"/>
    <w:basedOn w:val="Tabelanormal"/>
    <w:uiPriority w:val="99"/>
    <w:rsid w:val="008C7CD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1">
    <w:name w:val="Grid Table 5 Dark - Accent 61"/>
    <w:basedOn w:val="Tabelanormal"/>
    <w:uiPriority w:val="99"/>
    <w:rsid w:val="008C7CD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TabeladeGrade6Colorida1">
    <w:name w:val="Tabela de Grade 6 Colorida1"/>
    <w:basedOn w:val="Tabelanormal"/>
    <w:uiPriority w:val="99"/>
    <w:rsid w:val="008C7CD2"/>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rPr>
      <w:tblPr/>
      <w:tcPr>
        <w:tcBorders>
          <w:bottom w:val="single" w:sz="12" w:space="0" w:color="7F7F7F" w:themeColor="text1" w:themeTint="80"/>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themeColor="text1" w:themeTint="34" w:fill="CBCBCB" w:themeFill="text1" w:themeFillTint="34"/>
      </w:tcPr>
    </w:tblStylePr>
    <w:tblStylePr w:type="band1Horz">
      <w:rPr>
        <w:rFonts w:ascii="Arial" w:hAnsi="Arial"/>
        <w:color w:val="7F7F7F"/>
        <w:sz w:val="22"/>
      </w:rPr>
      <w:tblPr/>
      <w:tcPr>
        <w:shd w:val="clear" w:color="CBCBCB" w:themeColor="text1" w:themeTint="34" w:fill="CBCBCB" w:themeFill="text1" w:themeFillTint="34"/>
      </w:tcPr>
    </w:tblStylePr>
    <w:tblStylePr w:type="band2Horz">
      <w:rPr>
        <w:rFonts w:ascii="Arial" w:hAnsi="Arial"/>
        <w:color w:val="7F7F7F"/>
        <w:sz w:val="22"/>
      </w:rPr>
    </w:tblStylePr>
  </w:style>
  <w:style w:type="table" w:customStyle="1" w:styleId="GridTable6Colorful-Accent11">
    <w:name w:val="Grid Table 6 Colorful - Accent 11"/>
    <w:basedOn w:val="Tabelanormal"/>
    <w:uiPriority w:val="99"/>
    <w:rsid w:val="008C7CD2"/>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rPr>
      <w:tblPr/>
      <w:tcPr>
        <w:tcBorders>
          <w:bottom w:val="single" w:sz="12" w:space="0" w:color="A6BFDD" w:themeColor="accent1" w:themeTint="80"/>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themeColor="accent1" w:themeTint="34" w:fill="DAE5F1" w:themeFill="accent1" w:themeFillTint="34"/>
      </w:tcPr>
    </w:tblStylePr>
    <w:tblStylePr w:type="band1Horz">
      <w:rPr>
        <w:rFonts w:ascii="Arial" w:hAnsi="Arial"/>
        <w:color w:val="A6BFDD"/>
        <w:sz w:val="22"/>
      </w:rPr>
      <w:tblPr/>
      <w:tcPr>
        <w:shd w:val="clear" w:color="DAE5F1" w:themeColor="accent1" w:themeTint="34" w:fill="DAE5F1" w:themeFill="accent1" w:themeFillTint="34"/>
      </w:tcPr>
    </w:tblStylePr>
    <w:tblStylePr w:type="band2Horz">
      <w:rPr>
        <w:rFonts w:ascii="Arial" w:hAnsi="Arial"/>
        <w:color w:val="A6BFDD"/>
        <w:sz w:val="22"/>
      </w:rPr>
    </w:tblStylePr>
  </w:style>
  <w:style w:type="table" w:customStyle="1" w:styleId="GridTable6Colorful-Accent21">
    <w:name w:val="Grid Table 6 Colorful - Accent 21"/>
    <w:basedOn w:val="Tabelanormal"/>
    <w:uiPriority w:val="99"/>
    <w:rsid w:val="008C7CD2"/>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rPr>
      <w:tblPr/>
      <w:tcPr>
        <w:tcBorders>
          <w:bottom w:val="single" w:sz="12" w:space="0" w:color="D99695" w:themeColor="accent2" w:themeTint="97"/>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themeColor="accent2" w:themeTint="32" w:fill="F2DCDC" w:themeFill="accent2" w:themeFillTint="32"/>
      </w:tcPr>
    </w:tblStylePr>
    <w:tblStylePr w:type="band1Horz">
      <w:rPr>
        <w:rFonts w:ascii="Arial" w:hAnsi="Arial"/>
        <w:color w:val="D99695"/>
        <w:sz w:val="22"/>
      </w:rPr>
      <w:tblPr/>
      <w:tcPr>
        <w:shd w:val="clear" w:color="F2DCDC" w:themeColor="accent2" w:themeTint="32" w:fill="F2DCDC" w:themeFill="accent2" w:themeFillTint="32"/>
      </w:tcPr>
    </w:tblStylePr>
    <w:tblStylePr w:type="band2Horz">
      <w:rPr>
        <w:rFonts w:ascii="Arial" w:hAnsi="Arial"/>
        <w:color w:val="D99695"/>
        <w:sz w:val="22"/>
      </w:rPr>
    </w:tblStylePr>
  </w:style>
  <w:style w:type="table" w:customStyle="1" w:styleId="GridTable6Colorful-Accent31">
    <w:name w:val="Grid Table 6 Colorful - Accent 31"/>
    <w:basedOn w:val="Tabelanormal"/>
    <w:uiPriority w:val="99"/>
    <w:rsid w:val="008C7CD2"/>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rPr>
      <w:tblPr/>
      <w:tcPr>
        <w:tcBorders>
          <w:bottom w:val="single" w:sz="12" w:space="0" w:color="9ABB59" w:themeColor="accent3" w:themeTint="FE"/>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themeColor="accent3" w:themeTint="34" w:fill="EAF1DC" w:themeFill="accent3" w:themeFillTint="34"/>
      </w:tcPr>
    </w:tblStylePr>
    <w:tblStylePr w:type="band1Horz">
      <w:rPr>
        <w:rFonts w:ascii="Arial" w:hAnsi="Arial"/>
        <w:color w:val="9ABB59"/>
        <w:sz w:val="22"/>
      </w:rPr>
      <w:tblPr/>
      <w:tcPr>
        <w:shd w:val="clear" w:color="EAF1DC" w:themeColor="accent3" w:themeTint="34" w:fill="EAF1DC" w:themeFill="accent3" w:themeFillTint="34"/>
      </w:tcPr>
    </w:tblStylePr>
    <w:tblStylePr w:type="band2Horz">
      <w:rPr>
        <w:rFonts w:ascii="Arial" w:hAnsi="Arial"/>
        <w:color w:val="9ABB59"/>
        <w:sz w:val="22"/>
      </w:rPr>
    </w:tblStylePr>
  </w:style>
  <w:style w:type="table" w:customStyle="1" w:styleId="GridTable6Colorful-Accent41">
    <w:name w:val="Grid Table 6 Colorful - Accent 41"/>
    <w:basedOn w:val="Tabelanormal"/>
    <w:uiPriority w:val="99"/>
    <w:rsid w:val="008C7CD2"/>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rPr>
      <w:tblPr/>
      <w:tcPr>
        <w:tcBorders>
          <w:bottom w:val="single" w:sz="12" w:space="0" w:color="B2A1C6" w:themeColor="accent4" w:themeTint="9A"/>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themeColor="accent4" w:themeTint="34" w:fill="E5DFEC" w:themeFill="accent4" w:themeFillTint="34"/>
      </w:tcPr>
    </w:tblStylePr>
    <w:tblStylePr w:type="band1Horz">
      <w:rPr>
        <w:rFonts w:ascii="Arial" w:hAnsi="Arial"/>
        <w:color w:val="B2A1C6"/>
        <w:sz w:val="22"/>
      </w:rPr>
      <w:tblPr/>
      <w:tcPr>
        <w:shd w:val="clear" w:color="E5DFEC" w:themeColor="accent4" w:themeTint="34" w:fill="E5DFEC" w:themeFill="accent4" w:themeFillTint="34"/>
      </w:tcPr>
    </w:tblStylePr>
    <w:tblStylePr w:type="band2Horz">
      <w:rPr>
        <w:rFonts w:ascii="Arial" w:hAnsi="Arial"/>
        <w:color w:val="B2A1C6"/>
        <w:sz w:val="22"/>
      </w:rPr>
    </w:tblStylePr>
  </w:style>
  <w:style w:type="table" w:customStyle="1" w:styleId="GridTable6Colorful-Accent51">
    <w:name w:val="Grid Table 6 Colorful - Accent 51"/>
    <w:basedOn w:val="Tabelanormal"/>
    <w:uiPriority w:val="99"/>
    <w:rsid w:val="008C7CD2"/>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rPr>
      <w:tblPr/>
      <w:tcPr>
        <w:tcBorders>
          <w:bottom w:val="single" w:sz="12" w:space="0" w:color="4BACC6" w:themeColor="accent5"/>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themeColor="accent5" w:themeTint="34" w:fill="DAEEF3" w:themeFill="accent5" w:themeFillTint="34"/>
      </w:tcPr>
    </w:tblStylePr>
    <w:tblStylePr w:type="band1Horz">
      <w:rPr>
        <w:rFonts w:ascii="Arial" w:hAnsi="Arial"/>
        <w:color w:val="266779"/>
        <w:sz w:val="22"/>
      </w:rPr>
      <w:tblPr/>
      <w:tcPr>
        <w:shd w:val="clear" w:color="DAEEF3" w:themeColor="accent5" w:themeTint="34" w:fill="DAEEF3" w:themeFill="accent5" w:themeFillTint="34"/>
      </w:tcPr>
    </w:tblStylePr>
    <w:tblStylePr w:type="band2Horz">
      <w:rPr>
        <w:rFonts w:ascii="Arial" w:hAnsi="Arial"/>
        <w:color w:val="266779"/>
        <w:sz w:val="22"/>
      </w:rPr>
    </w:tblStylePr>
  </w:style>
  <w:style w:type="table" w:customStyle="1" w:styleId="GridTable6Colorful-Accent61">
    <w:name w:val="Grid Table 6 Colorful - Accent 61"/>
    <w:basedOn w:val="Tabelanormal"/>
    <w:uiPriority w:val="99"/>
    <w:rsid w:val="008C7CD2"/>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rPr>
      <w:tblPr/>
      <w:tcPr>
        <w:tcBorders>
          <w:bottom w:val="single" w:sz="12" w:space="0" w:color="F79646" w:themeColor="accent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themeColor="accent6" w:themeTint="34" w:fill="FDE9D8" w:themeFill="accent6" w:themeFillTint="34"/>
      </w:tcPr>
    </w:tblStylePr>
    <w:tblStylePr w:type="band1Horz">
      <w:rPr>
        <w:rFonts w:ascii="Arial" w:hAnsi="Arial"/>
        <w:color w:val="266779"/>
        <w:sz w:val="22"/>
      </w:rPr>
      <w:tblPr/>
      <w:tcPr>
        <w:shd w:val="clear" w:color="FDE9D8" w:themeColor="accent6" w:themeTint="34" w:fill="FDE9D8" w:themeFill="accent6" w:themeFillTint="34"/>
      </w:tcPr>
    </w:tblStylePr>
    <w:tblStylePr w:type="band2Horz">
      <w:rPr>
        <w:rFonts w:ascii="Arial" w:hAnsi="Arial"/>
        <w:color w:val="266779"/>
        <w:sz w:val="22"/>
      </w:rPr>
    </w:tblStylePr>
  </w:style>
  <w:style w:type="table" w:customStyle="1" w:styleId="TabeladeGrade7Colorida1">
    <w:name w:val="Tabela de Grade 7 Colorida1"/>
    <w:basedOn w:val="Tabelanormal"/>
    <w:uiPriority w:val="99"/>
    <w:rsid w:val="008C7CD2"/>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sz w:val="22"/>
      </w:rPr>
      <w:tblPr/>
      <w:tcPr>
        <w:shd w:val="clear" w:color="F2F2F2" w:themeColor="text1" w:themeTint="D" w:fill="F2F2F2" w:themeFill="text1" w:themeFillTint="D"/>
      </w:tcPr>
    </w:tblStylePr>
    <w:tblStylePr w:type="band2Horz">
      <w:rPr>
        <w:rFonts w:ascii="Arial" w:hAnsi="Arial"/>
        <w:color w:val="7F7F7F"/>
        <w:sz w:val="22"/>
      </w:rPr>
    </w:tblStylePr>
  </w:style>
  <w:style w:type="table" w:customStyle="1" w:styleId="GridTable7Colorful-Accent11">
    <w:name w:val="Grid Table 7 Colorful - Accent 11"/>
    <w:basedOn w:val="Tabelanormal"/>
    <w:uiPriority w:val="99"/>
    <w:rsid w:val="008C7CD2"/>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sz w:val="22"/>
      </w:rPr>
      <w:tblPr/>
      <w:tcPr>
        <w:shd w:val="clear" w:color="DAE5F1" w:themeColor="accent1" w:themeTint="34" w:fill="DAE5F1" w:themeFill="accent1" w:themeFillTint="34"/>
      </w:tcPr>
    </w:tblStylePr>
    <w:tblStylePr w:type="band2Horz">
      <w:rPr>
        <w:rFonts w:ascii="Arial" w:hAnsi="Arial"/>
        <w:color w:val="A6BFDD"/>
        <w:sz w:val="22"/>
      </w:rPr>
    </w:tblStylePr>
  </w:style>
  <w:style w:type="table" w:customStyle="1" w:styleId="GridTable7Colorful-Accent21">
    <w:name w:val="Grid Table 7 Colorful - Accent 21"/>
    <w:basedOn w:val="Tabelanormal"/>
    <w:uiPriority w:val="99"/>
    <w:rsid w:val="008C7CD2"/>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99695"/>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99695"/>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99695"/>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sz w:val="22"/>
      </w:rPr>
      <w:tblPr/>
      <w:tcPr>
        <w:shd w:val="clear" w:color="F2DCDC" w:themeColor="accent2" w:themeTint="32" w:fill="F2DCDC" w:themeFill="accent2" w:themeFillTint="32"/>
      </w:tcPr>
    </w:tblStylePr>
    <w:tblStylePr w:type="band2Horz">
      <w:rPr>
        <w:rFonts w:ascii="Arial" w:hAnsi="Arial"/>
        <w:color w:val="D99695"/>
        <w:sz w:val="22"/>
      </w:rPr>
    </w:tblStylePr>
  </w:style>
  <w:style w:type="table" w:customStyle="1" w:styleId="GridTable7Colorful-Accent31">
    <w:name w:val="Grid Table 7 Colorful - Accent 31"/>
    <w:basedOn w:val="Tabelanormal"/>
    <w:uiPriority w:val="99"/>
    <w:rsid w:val="008C7CD2"/>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ABB59"/>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ABB59"/>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ABB59"/>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sz w:val="22"/>
      </w:rPr>
      <w:tblPr/>
      <w:tcPr>
        <w:shd w:val="clear" w:color="EAF1DC" w:themeColor="accent3" w:themeTint="34" w:fill="EAF1DC" w:themeFill="accent3" w:themeFillTint="34"/>
      </w:tcPr>
    </w:tblStylePr>
    <w:tblStylePr w:type="band2Horz">
      <w:rPr>
        <w:rFonts w:ascii="Arial" w:hAnsi="Arial"/>
        <w:color w:val="9ABB59"/>
        <w:sz w:val="22"/>
      </w:rPr>
    </w:tblStylePr>
  </w:style>
  <w:style w:type="table" w:customStyle="1" w:styleId="GridTable7Colorful-Accent41">
    <w:name w:val="Grid Table 7 Colorful - Accent 41"/>
    <w:basedOn w:val="Tabelanormal"/>
    <w:uiPriority w:val="99"/>
    <w:rsid w:val="008C7CD2"/>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6"/>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6"/>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6"/>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sz w:val="22"/>
      </w:rPr>
      <w:tblPr/>
      <w:tcPr>
        <w:shd w:val="clear" w:color="E5DFEC" w:themeColor="accent4" w:themeTint="34" w:fill="E5DFEC" w:themeFill="accent4" w:themeFillTint="34"/>
      </w:tcPr>
    </w:tblStylePr>
    <w:tblStylePr w:type="band2Horz">
      <w:rPr>
        <w:rFonts w:ascii="Arial" w:hAnsi="Arial"/>
        <w:color w:val="B2A1C6"/>
        <w:sz w:val="22"/>
      </w:rPr>
    </w:tblStylePr>
  </w:style>
  <w:style w:type="table" w:customStyle="1" w:styleId="GridTable7Colorful-Accent51">
    <w:name w:val="Grid Table 7 Colorful - Accent 51"/>
    <w:basedOn w:val="Tabelanormal"/>
    <w:uiPriority w:val="99"/>
    <w:rsid w:val="008C7CD2"/>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779"/>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779"/>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779"/>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sz w:val="22"/>
      </w:rPr>
      <w:tblPr/>
      <w:tcPr>
        <w:shd w:val="clear" w:color="DAEEF3" w:themeColor="accent5" w:themeTint="34" w:fill="DAEEF3" w:themeFill="accent5" w:themeFillTint="34"/>
      </w:tcPr>
    </w:tblStylePr>
    <w:tblStylePr w:type="band2Horz">
      <w:rPr>
        <w:rFonts w:ascii="Arial" w:hAnsi="Arial"/>
        <w:color w:val="266779"/>
        <w:sz w:val="22"/>
      </w:rPr>
    </w:tblStylePr>
  </w:style>
  <w:style w:type="table" w:customStyle="1" w:styleId="GridTable7Colorful-Accent61">
    <w:name w:val="Grid Table 7 Colorful - Accent 61"/>
    <w:basedOn w:val="Tabelanormal"/>
    <w:uiPriority w:val="99"/>
    <w:rsid w:val="008C7CD2"/>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15407"/>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15407"/>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15407"/>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sz w:val="22"/>
      </w:rPr>
      <w:tblPr/>
      <w:tcPr>
        <w:shd w:val="clear" w:color="FDE9D8" w:themeColor="accent6" w:themeTint="34" w:fill="FDE9D8" w:themeFill="accent6" w:themeFillTint="34"/>
      </w:tcPr>
    </w:tblStylePr>
    <w:tblStylePr w:type="band2Horz">
      <w:rPr>
        <w:rFonts w:ascii="Arial" w:hAnsi="Arial"/>
        <w:color w:val="B15407"/>
        <w:sz w:val="22"/>
      </w:rPr>
    </w:tblStylePr>
  </w:style>
  <w:style w:type="table" w:customStyle="1" w:styleId="TabeladeLista1Clara1">
    <w:name w:val="Tabela de Lista 1 Clara1"/>
    <w:basedOn w:val="Tabelanormal"/>
    <w:uiPriority w:val="99"/>
    <w:rsid w:val="008C7CD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elanormal"/>
    <w:uiPriority w:val="99"/>
    <w:rsid w:val="008C7CD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1">
    <w:name w:val="List Table 1 Light - Accent 21"/>
    <w:basedOn w:val="Tabelanormal"/>
    <w:uiPriority w:val="99"/>
    <w:rsid w:val="008C7CD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1">
    <w:name w:val="List Table 1 Light - Accent 31"/>
    <w:basedOn w:val="Tabelanormal"/>
    <w:uiPriority w:val="99"/>
    <w:rsid w:val="008C7CD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1">
    <w:name w:val="List Table 1 Light - Accent 41"/>
    <w:basedOn w:val="Tabelanormal"/>
    <w:uiPriority w:val="99"/>
    <w:rsid w:val="008C7CD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1">
    <w:name w:val="List Table 1 Light - Accent 51"/>
    <w:basedOn w:val="Tabelanormal"/>
    <w:uiPriority w:val="99"/>
    <w:rsid w:val="008C7CD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1">
    <w:name w:val="List Table 1 Light - Accent 61"/>
    <w:basedOn w:val="Tabelanormal"/>
    <w:uiPriority w:val="99"/>
    <w:rsid w:val="008C7CD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TabeladeLista21">
    <w:name w:val="Tabela de Lista 21"/>
    <w:basedOn w:val="Tabelanormal"/>
    <w:uiPriority w:val="99"/>
    <w:rsid w:val="008C7CD2"/>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elanormal"/>
    <w:uiPriority w:val="99"/>
    <w:rsid w:val="008C7CD2"/>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1">
    <w:name w:val="List Table 2 - Accent 21"/>
    <w:basedOn w:val="Tabelanormal"/>
    <w:uiPriority w:val="99"/>
    <w:rsid w:val="008C7CD2"/>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1">
    <w:name w:val="List Table 2 - Accent 31"/>
    <w:basedOn w:val="Tabelanormal"/>
    <w:uiPriority w:val="99"/>
    <w:rsid w:val="008C7CD2"/>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1">
    <w:name w:val="List Table 2 - Accent 41"/>
    <w:basedOn w:val="Tabelanormal"/>
    <w:uiPriority w:val="99"/>
    <w:rsid w:val="008C7CD2"/>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1">
    <w:name w:val="List Table 2 - Accent 51"/>
    <w:basedOn w:val="Tabelanormal"/>
    <w:uiPriority w:val="99"/>
    <w:rsid w:val="008C7CD2"/>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1">
    <w:name w:val="List Table 2 - Accent 61"/>
    <w:basedOn w:val="Tabelanormal"/>
    <w:uiPriority w:val="99"/>
    <w:rsid w:val="008C7CD2"/>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TabeladeLista31">
    <w:name w:val="Tabela de Lista 31"/>
    <w:basedOn w:val="Tabelanormal"/>
    <w:uiPriority w:val="99"/>
    <w:rsid w:val="008C7CD2"/>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elanormal"/>
    <w:uiPriority w:val="99"/>
    <w:rsid w:val="008C7CD2"/>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elanormal"/>
    <w:uiPriority w:val="99"/>
    <w:rsid w:val="008C7CD2"/>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elanormal"/>
    <w:uiPriority w:val="99"/>
    <w:rsid w:val="008C7CD2"/>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elanormal"/>
    <w:uiPriority w:val="99"/>
    <w:rsid w:val="008C7CD2"/>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elanormal"/>
    <w:uiPriority w:val="99"/>
    <w:rsid w:val="008C7CD2"/>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elanormal"/>
    <w:uiPriority w:val="99"/>
    <w:rsid w:val="008C7CD2"/>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TabeladeLista41">
    <w:name w:val="Tabela de Lista 41"/>
    <w:basedOn w:val="Tabelanormal"/>
    <w:uiPriority w:val="99"/>
    <w:rsid w:val="008C7CD2"/>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elanormal"/>
    <w:uiPriority w:val="99"/>
    <w:rsid w:val="008C7CD2"/>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1">
    <w:name w:val="List Table 4 - Accent 21"/>
    <w:basedOn w:val="Tabelanormal"/>
    <w:uiPriority w:val="99"/>
    <w:rsid w:val="008C7CD2"/>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1">
    <w:name w:val="List Table 4 - Accent 31"/>
    <w:basedOn w:val="Tabelanormal"/>
    <w:uiPriority w:val="99"/>
    <w:rsid w:val="008C7CD2"/>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1">
    <w:name w:val="List Table 4 - Accent 41"/>
    <w:basedOn w:val="Tabelanormal"/>
    <w:uiPriority w:val="99"/>
    <w:rsid w:val="008C7CD2"/>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1">
    <w:name w:val="List Table 4 - Accent 51"/>
    <w:basedOn w:val="Tabelanormal"/>
    <w:uiPriority w:val="99"/>
    <w:rsid w:val="008C7CD2"/>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1">
    <w:name w:val="List Table 4 - Accent 61"/>
    <w:basedOn w:val="Tabelanormal"/>
    <w:uiPriority w:val="99"/>
    <w:rsid w:val="008C7CD2"/>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TabeladeLista5Escura1">
    <w:name w:val="Tabela de Lista 5 Escura1"/>
    <w:basedOn w:val="Tabelanormal"/>
    <w:uiPriority w:val="99"/>
    <w:rsid w:val="008C7CD2"/>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elanormal"/>
    <w:uiPriority w:val="99"/>
    <w:rsid w:val="008C7CD2"/>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basedOn w:val="Tabelanormal"/>
    <w:uiPriority w:val="99"/>
    <w:rsid w:val="008C7CD2"/>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basedOn w:val="Tabelanormal"/>
    <w:uiPriority w:val="99"/>
    <w:rsid w:val="008C7CD2"/>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basedOn w:val="Tabelanormal"/>
    <w:uiPriority w:val="99"/>
    <w:rsid w:val="008C7CD2"/>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basedOn w:val="Tabelanormal"/>
    <w:uiPriority w:val="99"/>
    <w:rsid w:val="008C7CD2"/>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basedOn w:val="Tabelanormal"/>
    <w:uiPriority w:val="99"/>
    <w:rsid w:val="008C7CD2"/>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TabeladeLista6Colorida1">
    <w:name w:val="Tabela de Lista 6 Colorida1"/>
    <w:basedOn w:val="Tabelanormal"/>
    <w:uiPriority w:val="99"/>
    <w:rsid w:val="008C7CD2"/>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rPr>
      <w:tblPr/>
      <w:tcPr>
        <w:tcBorders>
          <w:bottom w:val="single" w:sz="4" w:space="0" w:color="7F7F7F" w:themeColor="text1" w:themeTint="80"/>
        </w:tcBorders>
      </w:tcPr>
    </w:tblStylePr>
    <w:tblStylePr w:type="lastRow">
      <w:rPr>
        <w:b/>
        <w:color w:val="000000"/>
      </w:rPr>
      <w:tblPr/>
      <w:tcPr>
        <w:tcBorders>
          <w:top w:val="single" w:sz="4" w:space="0" w:color="7F7F7F" w:themeColor="text1" w:themeTint="80"/>
        </w:tcBorders>
      </w:tcPr>
    </w:tblStylePr>
    <w:tblStylePr w:type="firstCol">
      <w:rPr>
        <w:b/>
        <w:color w:val="000000"/>
      </w:rPr>
    </w:tblStylePr>
    <w:tblStylePr w:type="lastCol">
      <w:rPr>
        <w:b/>
        <w:color w:val="000000"/>
      </w:rPr>
    </w:tblStylePr>
    <w:tblStylePr w:type="band1Vert">
      <w:tblPr/>
      <w:tcPr>
        <w:shd w:val="clear" w:color="BFBFBF" w:themeColor="text1" w:themeTint="40" w:fill="BFBFBF" w:themeFill="text1" w:themeFillTint="40"/>
      </w:tcPr>
    </w:tblStylePr>
    <w:tblStylePr w:type="band1Horz">
      <w:rPr>
        <w:rFonts w:ascii="Arial" w:hAnsi="Arial"/>
        <w:color w:val="000000"/>
        <w:sz w:val="22"/>
      </w:rPr>
      <w:tblPr/>
      <w:tcPr>
        <w:shd w:val="clear" w:color="BFBFBF" w:themeColor="text1" w:themeTint="40" w:fill="BFBFBF" w:themeFill="text1" w:themeFillTint="40"/>
      </w:tcPr>
    </w:tblStylePr>
    <w:tblStylePr w:type="band2Horz">
      <w:rPr>
        <w:rFonts w:ascii="Arial" w:hAnsi="Arial"/>
        <w:color w:val="000000"/>
        <w:sz w:val="22"/>
      </w:rPr>
    </w:tblStylePr>
  </w:style>
  <w:style w:type="table" w:customStyle="1" w:styleId="ListTable6Colorful-Accent11">
    <w:name w:val="List Table 6 Colorful - Accent 11"/>
    <w:basedOn w:val="Tabelanormal"/>
    <w:uiPriority w:val="99"/>
    <w:rsid w:val="008C7CD2"/>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rPr>
      <w:tblPr/>
      <w:tcPr>
        <w:tcBorders>
          <w:bottom w:val="single" w:sz="4" w:space="0" w:color="4F81BD" w:themeColor="accent1"/>
        </w:tcBorders>
      </w:tcPr>
    </w:tblStylePr>
    <w:tblStylePr w:type="lastRow">
      <w:rPr>
        <w:b/>
        <w:color w:val="2A4A71"/>
      </w:rPr>
      <w:tblPr/>
      <w:tcPr>
        <w:tcBorders>
          <w:top w:val="single" w:sz="4" w:space="0" w:color="4F81BD" w:themeColor="accent1"/>
        </w:tcBorders>
      </w:tcPr>
    </w:tblStylePr>
    <w:tblStylePr w:type="firstCol">
      <w:rPr>
        <w:b/>
        <w:color w:val="2A4A71"/>
      </w:rPr>
    </w:tblStylePr>
    <w:tblStylePr w:type="lastCol">
      <w:rPr>
        <w:b/>
        <w:color w:val="2A4A71"/>
      </w:rPr>
    </w:tblStylePr>
    <w:tblStylePr w:type="band1Vert">
      <w:tblPr/>
      <w:tcPr>
        <w:shd w:val="clear" w:color="D2DFEE" w:themeColor="accent1" w:themeTint="40" w:fill="D2DFEE" w:themeFill="accent1" w:themeFillTint="40"/>
      </w:tcPr>
    </w:tblStylePr>
    <w:tblStylePr w:type="band1Horz">
      <w:rPr>
        <w:rFonts w:ascii="Arial" w:hAnsi="Arial"/>
        <w:color w:val="2A4A71"/>
        <w:sz w:val="22"/>
      </w:rPr>
      <w:tblPr/>
      <w:tcPr>
        <w:shd w:val="clear" w:color="D2DFEE" w:themeColor="accent1" w:themeTint="40" w:fill="D2DFEE" w:themeFill="accent1" w:themeFillTint="40"/>
      </w:tcPr>
    </w:tblStylePr>
    <w:tblStylePr w:type="band2Horz">
      <w:rPr>
        <w:rFonts w:ascii="Arial" w:hAnsi="Arial"/>
        <w:color w:val="2A4A71"/>
        <w:sz w:val="22"/>
      </w:rPr>
    </w:tblStylePr>
  </w:style>
  <w:style w:type="table" w:customStyle="1" w:styleId="ListTable6Colorful-Accent21">
    <w:name w:val="List Table 6 Colorful - Accent 21"/>
    <w:basedOn w:val="Tabelanormal"/>
    <w:uiPriority w:val="99"/>
    <w:rsid w:val="008C7CD2"/>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rPr>
      <w:tblPr/>
      <w:tcPr>
        <w:tcBorders>
          <w:bottom w:val="single" w:sz="4" w:space="0" w:color="D99695" w:themeColor="accent2" w:themeTint="97"/>
        </w:tcBorders>
      </w:tcPr>
    </w:tblStylePr>
    <w:tblStylePr w:type="lastRow">
      <w:rPr>
        <w:b/>
        <w:color w:val="D99695"/>
      </w:rPr>
      <w:tblPr/>
      <w:tcPr>
        <w:tcBorders>
          <w:top w:val="single" w:sz="4" w:space="0" w:color="D99695" w:themeColor="accent2" w:themeTint="97"/>
        </w:tcBorders>
      </w:tcPr>
    </w:tblStylePr>
    <w:tblStylePr w:type="firstCol">
      <w:rPr>
        <w:b/>
        <w:color w:val="D99695"/>
      </w:rPr>
    </w:tblStylePr>
    <w:tblStylePr w:type="lastCol">
      <w:rPr>
        <w:b/>
        <w:color w:val="D99695"/>
      </w:rPr>
    </w:tblStylePr>
    <w:tblStylePr w:type="band1Vert">
      <w:tblPr/>
      <w:tcPr>
        <w:shd w:val="clear" w:color="EFD2D2" w:themeColor="accent2" w:themeTint="40" w:fill="EFD2D2" w:themeFill="accent2" w:themeFillTint="40"/>
      </w:tcPr>
    </w:tblStylePr>
    <w:tblStylePr w:type="band1Horz">
      <w:rPr>
        <w:rFonts w:ascii="Arial" w:hAnsi="Arial"/>
        <w:color w:val="D99695"/>
        <w:sz w:val="22"/>
      </w:rPr>
      <w:tblPr/>
      <w:tcPr>
        <w:shd w:val="clear" w:color="EFD2D2" w:themeColor="accent2" w:themeTint="40" w:fill="EFD2D2" w:themeFill="accent2" w:themeFillTint="40"/>
      </w:tcPr>
    </w:tblStylePr>
    <w:tblStylePr w:type="band2Horz">
      <w:rPr>
        <w:rFonts w:ascii="Arial" w:hAnsi="Arial"/>
        <w:color w:val="D99695"/>
        <w:sz w:val="22"/>
      </w:rPr>
    </w:tblStylePr>
  </w:style>
  <w:style w:type="table" w:customStyle="1" w:styleId="ListTable6Colorful-Accent31">
    <w:name w:val="List Table 6 Colorful - Accent 31"/>
    <w:basedOn w:val="Tabelanormal"/>
    <w:uiPriority w:val="99"/>
    <w:rsid w:val="008C7CD2"/>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rPr>
      <w:tblPr/>
      <w:tcPr>
        <w:tcBorders>
          <w:bottom w:val="single" w:sz="4" w:space="0" w:color="C3D69B" w:themeColor="accent3" w:themeTint="98"/>
        </w:tcBorders>
      </w:tcPr>
    </w:tblStylePr>
    <w:tblStylePr w:type="lastRow">
      <w:rPr>
        <w:b/>
        <w:color w:val="C3D69B"/>
      </w:rPr>
      <w:tblPr/>
      <w:tcPr>
        <w:tcBorders>
          <w:top w:val="single" w:sz="4" w:space="0" w:color="C3D69B" w:themeColor="accent3" w:themeTint="98"/>
        </w:tcBorders>
      </w:tcPr>
    </w:tblStylePr>
    <w:tblStylePr w:type="firstCol">
      <w:rPr>
        <w:b/>
        <w:color w:val="C3D69B"/>
      </w:rPr>
    </w:tblStylePr>
    <w:tblStylePr w:type="lastCol">
      <w:rPr>
        <w:b/>
        <w:color w:val="C3D69B"/>
      </w:rPr>
    </w:tblStylePr>
    <w:tblStylePr w:type="band1Vert">
      <w:tblPr/>
      <w:tcPr>
        <w:shd w:val="clear" w:color="E5EED5" w:themeColor="accent3" w:themeTint="40" w:fill="E5EED5" w:themeFill="accent3" w:themeFillTint="40"/>
      </w:tcPr>
    </w:tblStylePr>
    <w:tblStylePr w:type="band1Horz">
      <w:rPr>
        <w:rFonts w:ascii="Arial" w:hAnsi="Arial"/>
        <w:color w:val="C3D69B"/>
        <w:sz w:val="22"/>
      </w:rPr>
      <w:tblPr/>
      <w:tcPr>
        <w:shd w:val="clear" w:color="E5EED5" w:themeColor="accent3" w:themeTint="40" w:fill="E5EED5" w:themeFill="accent3" w:themeFillTint="40"/>
      </w:tcPr>
    </w:tblStylePr>
    <w:tblStylePr w:type="band2Horz">
      <w:rPr>
        <w:rFonts w:ascii="Arial" w:hAnsi="Arial"/>
        <w:color w:val="C3D69B"/>
        <w:sz w:val="22"/>
      </w:rPr>
    </w:tblStylePr>
  </w:style>
  <w:style w:type="table" w:customStyle="1" w:styleId="ListTable6Colorful-Accent41">
    <w:name w:val="List Table 6 Colorful - Accent 41"/>
    <w:basedOn w:val="Tabelanormal"/>
    <w:uiPriority w:val="99"/>
    <w:rsid w:val="008C7CD2"/>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rPr>
      <w:tblPr/>
      <w:tcPr>
        <w:tcBorders>
          <w:bottom w:val="single" w:sz="4" w:space="0" w:color="B2A1C6" w:themeColor="accent4" w:themeTint="9A"/>
        </w:tcBorders>
      </w:tcPr>
    </w:tblStylePr>
    <w:tblStylePr w:type="lastRow">
      <w:rPr>
        <w:b/>
        <w:color w:val="B2A1C6"/>
      </w:rPr>
      <w:tblPr/>
      <w:tcPr>
        <w:tcBorders>
          <w:top w:val="single" w:sz="4" w:space="0" w:color="B2A1C6" w:themeColor="accent4" w:themeTint="9A"/>
        </w:tcBorders>
      </w:tcPr>
    </w:tblStylePr>
    <w:tblStylePr w:type="firstCol">
      <w:rPr>
        <w:b/>
        <w:color w:val="B2A1C6"/>
      </w:rPr>
    </w:tblStylePr>
    <w:tblStylePr w:type="lastCol">
      <w:rPr>
        <w:b/>
        <w:color w:val="B2A1C6"/>
      </w:rPr>
    </w:tblStylePr>
    <w:tblStylePr w:type="band1Vert">
      <w:tblPr/>
      <w:tcPr>
        <w:shd w:val="clear" w:color="DFD8E7" w:themeColor="accent4" w:themeTint="40" w:fill="DFD8E7" w:themeFill="accent4" w:themeFillTint="40"/>
      </w:tcPr>
    </w:tblStylePr>
    <w:tblStylePr w:type="band1Horz">
      <w:rPr>
        <w:rFonts w:ascii="Arial" w:hAnsi="Arial"/>
        <w:color w:val="B2A1C6"/>
        <w:sz w:val="22"/>
      </w:rPr>
      <w:tblPr/>
      <w:tcPr>
        <w:shd w:val="clear" w:color="DFD8E7" w:themeColor="accent4" w:themeTint="40" w:fill="DFD8E7" w:themeFill="accent4" w:themeFillTint="40"/>
      </w:tcPr>
    </w:tblStylePr>
    <w:tblStylePr w:type="band2Horz">
      <w:rPr>
        <w:rFonts w:ascii="Arial" w:hAnsi="Arial"/>
        <w:color w:val="B2A1C6"/>
        <w:sz w:val="22"/>
      </w:rPr>
    </w:tblStylePr>
  </w:style>
  <w:style w:type="table" w:customStyle="1" w:styleId="ListTable6Colorful-Accent51">
    <w:name w:val="List Table 6 Colorful - Accent 51"/>
    <w:basedOn w:val="Tabelanormal"/>
    <w:uiPriority w:val="99"/>
    <w:rsid w:val="008C7CD2"/>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rPr>
      <w:tblPr/>
      <w:tcPr>
        <w:tcBorders>
          <w:bottom w:val="single" w:sz="4" w:space="0" w:color="92CCDC" w:themeColor="accent5" w:themeTint="9A"/>
        </w:tcBorders>
      </w:tcPr>
    </w:tblStylePr>
    <w:tblStylePr w:type="lastRow">
      <w:rPr>
        <w:b/>
        <w:color w:val="92CCDC"/>
      </w:rPr>
      <w:tblPr/>
      <w:tcPr>
        <w:tcBorders>
          <w:top w:val="single" w:sz="4" w:space="0" w:color="92CCDC" w:themeColor="accent5" w:themeTint="9A"/>
        </w:tcBorders>
      </w:tcPr>
    </w:tblStylePr>
    <w:tblStylePr w:type="firstCol">
      <w:rPr>
        <w:b/>
        <w:color w:val="92CCDC"/>
      </w:rPr>
    </w:tblStylePr>
    <w:tblStylePr w:type="lastCol">
      <w:rPr>
        <w:b/>
        <w:color w:val="92CCDC"/>
      </w:rPr>
    </w:tblStylePr>
    <w:tblStylePr w:type="band1Vert">
      <w:tblPr/>
      <w:tcPr>
        <w:shd w:val="clear" w:color="D1EAF0" w:themeColor="accent5" w:themeTint="40" w:fill="D1EAF0" w:themeFill="accent5" w:themeFillTint="40"/>
      </w:tcPr>
    </w:tblStylePr>
    <w:tblStylePr w:type="band1Horz">
      <w:rPr>
        <w:rFonts w:ascii="Arial" w:hAnsi="Arial"/>
        <w:color w:val="92CCDC"/>
        <w:sz w:val="22"/>
      </w:rPr>
      <w:tblPr/>
      <w:tcPr>
        <w:shd w:val="clear" w:color="D1EAF0" w:themeColor="accent5" w:themeTint="40" w:fill="D1EAF0" w:themeFill="accent5" w:themeFillTint="40"/>
      </w:tcPr>
    </w:tblStylePr>
    <w:tblStylePr w:type="band2Horz">
      <w:rPr>
        <w:rFonts w:ascii="Arial" w:hAnsi="Arial"/>
        <w:color w:val="92CCDC"/>
        <w:sz w:val="22"/>
      </w:rPr>
    </w:tblStylePr>
  </w:style>
  <w:style w:type="table" w:customStyle="1" w:styleId="ListTable6Colorful-Accent61">
    <w:name w:val="List Table 6 Colorful - Accent 61"/>
    <w:basedOn w:val="Tabelanormal"/>
    <w:uiPriority w:val="99"/>
    <w:rsid w:val="008C7CD2"/>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rPr>
      <w:tblPr/>
      <w:tcPr>
        <w:tcBorders>
          <w:bottom w:val="single" w:sz="4" w:space="0" w:color="FAC090" w:themeColor="accent6" w:themeTint="98"/>
        </w:tcBorders>
      </w:tcPr>
    </w:tblStylePr>
    <w:tblStylePr w:type="lastRow">
      <w:rPr>
        <w:b/>
        <w:color w:val="FAC090"/>
      </w:rPr>
      <w:tblPr/>
      <w:tcPr>
        <w:tcBorders>
          <w:top w:val="single" w:sz="4" w:space="0" w:color="FAC090" w:themeColor="accent6" w:themeTint="98"/>
        </w:tcBorders>
      </w:tcPr>
    </w:tblStylePr>
    <w:tblStylePr w:type="firstCol">
      <w:rPr>
        <w:b/>
        <w:color w:val="FAC090"/>
      </w:rPr>
    </w:tblStylePr>
    <w:tblStylePr w:type="lastCol">
      <w:rPr>
        <w:b/>
        <w:color w:val="FAC090"/>
      </w:rPr>
    </w:tblStylePr>
    <w:tblStylePr w:type="band1Vert">
      <w:tblPr/>
      <w:tcPr>
        <w:shd w:val="clear" w:color="FDE4D0" w:themeColor="accent6" w:themeTint="40" w:fill="FDE4D0" w:themeFill="accent6" w:themeFillTint="40"/>
      </w:tcPr>
    </w:tblStylePr>
    <w:tblStylePr w:type="band1Horz">
      <w:rPr>
        <w:rFonts w:ascii="Arial" w:hAnsi="Arial"/>
        <w:color w:val="FAC090"/>
        <w:sz w:val="22"/>
      </w:rPr>
      <w:tblPr/>
      <w:tcPr>
        <w:shd w:val="clear" w:color="FDE4D0" w:themeColor="accent6" w:themeTint="40" w:fill="FDE4D0" w:themeFill="accent6" w:themeFillTint="40"/>
      </w:tcPr>
    </w:tblStylePr>
    <w:tblStylePr w:type="band2Horz">
      <w:rPr>
        <w:rFonts w:ascii="Arial" w:hAnsi="Arial"/>
        <w:color w:val="FAC090"/>
        <w:sz w:val="22"/>
      </w:rPr>
    </w:tblStylePr>
  </w:style>
  <w:style w:type="table" w:customStyle="1" w:styleId="TabeladeLista7Colorida1">
    <w:name w:val="Tabela de Lista 7 Colorida1"/>
    <w:basedOn w:val="Tabelanormal"/>
    <w:uiPriority w:val="99"/>
    <w:rsid w:val="008C7CD2"/>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sz w:val="22"/>
      </w:rPr>
      <w:tblPr/>
      <w:tcPr>
        <w:shd w:val="clear" w:color="BFBFBF" w:themeColor="text1" w:themeTint="40" w:fill="BFBFBF" w:themeFill="text1" w:themeFillTint="40"/>
      </w:tcPr>
    </w:tblStylePr>
    <w:tblStylePr w:type="band2Horz">
      <w:rPr>
        <w:rFonts w:ascii="Arial" w:hAnsi="Arial"/>
        <w:color w:val="7F7F7F"/>
        <w:sz w:val="22"/>
      </w:rPr>
    </w:tblStylePr>
  </w:style>
  <w:style w:type="table" w:customStyle="1" w:styleId="ListTable7Colorful-Accent11">
    <w:name w:val="List Table 7 Colorful - Accent 11"/>
    <w:basedOn w:val="Tabelanormal"/>
    <w:uiPriority w:val="99"/>
    <w:rsid w:val="008C7CD2"/>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1"/>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1"/>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1"/>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sz w:val="22"/>
      </w:rPr>
      <w:tblPr/>
      <w:tcPr>
        <w:shd w:val="clear" w:color="D2DFEE" w:themeColor="accent1" w:themeTint="40" w:fill="D2DFEE" w:themeFill="accent1" w:themeFillTint="40"/>
      </w:tcPr>
    </w:tblStylePr>
    <w:tblStylePr w:type="band2Horz">
      <w:rPr>
        <w:rFonts w:ascii="Arial" w:hAnsi="Arial"/>
        <w:color w:val="2A4A71"/>
        <w:sz w:val="22"/>
      </w:rPr>
    </w:tblStylePr>
  </w:style>
  <w:style w:type="table" w:customStyle="1" w:styleId="ListTable7Colorful-Accent21">
    <w:name w:val="List Table 7 Colorful - Accent 21"/>
    <w:basedOn w:val="Tabelanormal"/>
    <w:uiPriority w:val="99"/>
    <w:rsid w:val="008C7CD2"/>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99695"/>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99695"/>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99695"/>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sz w:val="22"/>
      </w:rPr>
      <w:tblPr/>
      <w:tcPr>
        <w:shd w:val="clear" w:color="EFD2D2" w:themeColor="accent2" w:themeTint="40" w:fill="EFD2D2" w:themeFill="accent2" w:themeFillTint="40"/>
      </w:tcPr>
    </w:tblStylePr>
    <w:tblStylePr w:type="band2Horz">
      <w:rPr>
        <w:rFonts w:ascii="Arial" w:hAnsi="Arial"/>
        <w:color w:val="D99695"/>
        <w:sz w:val="22"/>
      </w:rPr>
    </w:tblStylePr>
  </w:style>
  <w:style w:type="table" w:customStyle="1" w:styleId="ListTable7Colorful-Accent31">
    <w:name w:val="List Table 7 Colorful - Accent 31"/>
    <w:basedOn w:val="Tabelanormal"/>
    <w:uiPriority w:val="99"/>
    <w:rsid w:val="008C7CD2"/>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3D69B"/>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3D69B"/>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3D69B"/>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sz w:val="22"/>
      </w:rPr>
      <w:tblPr/>
      <w:tcPr>
        <w:shd w:val="clear" w:color="E5EED5" w:themeColor="accent3" w:themeTint="40" w:fill="E5EED5" w:themeFill="accent3" w:themeFillTint="40"/>
      </w:tcPr>
    </w:tblStylePr>
    <w:tblStylePr w:type="band2Horz">
      <w:rPr>
        <w:rFonts w:ascii="Arial" w:hAnsi="Arial"/>
        <w:color w:val="C3D69B"/>
        <w:sz w:val="22"/>
      </w:rPr>
    </w:tblStylePr>
  </w:style>
  <w:style w:type="table" w:customStyle="1" w:styleId="ListTable7Colorful-Accent41">
    <w:name w:val="List Table 7 Colorful - Accent 41"/>
    <w:basedOn w:val="Tabelanormal"/>
    <w:uiPriority w:val="99"/>
    <w:rsid w:val="008C7CD2"/>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6"/>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6"/>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6"/>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sz w:val="22"/>
      </w:rPr>
      <w:tblPr/>
      <w:tcPr>
        <w:shd w:val="clear" w:color="DFD8E7" w:themeColor="accent4" w:themeTint="40" w:fill="DFD8E7" w:themeFill="accent4" w:themeFillTint="40"/>
      </w:tcPr>
    </w:tblStylePr>
    <w:tblStylePr w:type="band2Horz">
      <w:rPr>
        <w:rFonts w:ascii="Arial" w:hAnsi="Arial"/>
        <w:color w:val="B2A1C6"/>
        <w:sz w:val="22"/>
      </w:rPr>
    </w:tblStylePr>
  </w:style>
  <w:style w:type="table" w:customStyle="1" w:styleId="ListTable7Colorful-Accent51">
    <w:name w:val="List Table 7 Colorful - Accent 51"/>
    <w:basedOn w:val="Tabelanormal"/>
    <w:uiPriority w:val="99"/>
    <w:rsid w:val="008C7CD2"/>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CDC"/>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CDC"/>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CDC"/>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sz w:val="22"/>
      </w:rPr>
      <w:tblPr/>
      <w:tcPr>
        <w:shd w:val="clear" w:color="D1EAF0" w:themeColor="accent5" w:themeTint="40" w:fill="D1EAF0" w:themeFill="accent5" w:themeFillTint="40"/>
      </w:tcPr>
    </w:tblStylePr>
    <w:tblStylePr w:type="band2Horz">
      <w:rPr>
        <w:rFonts w:ascii="Arial" w:hAnsi="Arial"/>
        <w:color w:val="92CCDC"/>
        <w:sz w:val="22"/>
      </w:rPr>
    </w:tblStylePr>
  </w:style>
  <w:style w:type="table" w:customStyle="1" w:styleId="ListTable7Colorful-Accent61">
    <w:name w:val="List Table 7 Colorful - Accent 61"/>
    <w:basedOn w:val="Tabelanormal"/>
    <w:uiPriority w:val="99"/>
    <w:rsid w:val="008C7CD2"/>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C090"/>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C090"/>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C090"/>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sz w:val="22"/>
      </w:rPr>
      <w:tblPr/>
      <w:tcPr>
        <w:shd w:val="clear" w:color="FDE4D0" w:themeColor="accent6" w:themeTint="40" w:fill="FDE4D0" w:themeFill="accent6" w:themeFillTint="40"/>
      </w:tcPr>
    </w:tblStylePr>
    <w:tblStylePr w:type="band2Horz">
      <w:rPr>
        <w:rFonts w:ascii="Arial" w:hAnsi="Arial"/>
        <w:color w:val="FAC090"/>
        <w:sz w:val="22"/>
      </w:rPr>
    </w:tblStylePr>
  </w:style>
  <w:style w:type="table" w:customStyle="1" w:styleId="Lined-Accent">
    <w:name w:val="Lined - Accent"/>
    <w:basedOn w:val="Tabelanormal"/>
    <w:uiPriority w:val="99"/>
    <w:rsid w:val="008C7CD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Tabelanormal"/>
    <w:uiPriority w:val="99"/>
    <w:rsid w:val="008C7CD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rsid w:val="008C7CD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rsid w:val="008C7CD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rsid w:val="008C7CD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rsid w:val="008C7CD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rsid w:val="008C7CD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rsid w:val="008C7CD2"/>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Tabelanormal"/>
    <w:uiPriority w:val="99"/>
    <w:rsid w:val="008C7CD2"/>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rsid w:val="008C7CD2"/>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rsid w:val="008C7CD2"/>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rsid w:val="008C7CD2"/>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rsid w:val="008C7CD2"/>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rsid w:val="008C7CD2"/>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rsid w:val="008C7CD2"/>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rsid w:val="008C7CD2"/>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rsid w:val="008C7CD2"/>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rsid w:val="008C7CD2"/>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rsid w:val="008C7CD2"/>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rsid w:val="008C7CD2"/>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rsid w:val="008C7CD2"/>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xtodenotaderodap">
    <w:name w:val="footnote text"/>
    <w:basedOn w:val="Normal"/>
    <w:link w:val="TextodenotaderodapChar"/>
    <w:uiPriority w:val="99"/>
    <w:unhideWhenUsed/>
    <w:rsid w:val="008C7CD2"/>
    <w:pPr>
      <w:spacing w:after="40"/>
    </w:pPr>
    <w:rPr>
      <w:sz w:val="18"/>
    </w:rPr>
  </w:style>
  <w:style w:type="character" w:customStyle="1" w:styleId="TextodenotaderodapChar">
    <w:name w:val="Texto de nota de rodapé Char"/>
    <w:link w:val="Textodenotaderodap"/>
    <w:uiPriority w:val="99"/>
    <w:rsid w:val="008C7CD2"/>
    <w:rPr>
      <w:sz w:val="18"/>
    </w:rPr>
  </w:style>
  <w:style w:type="character" w:styleId="Refdenotaderodap">
    <w:name w:val="footnote reference"/>
    <w:basedOn w:val="Fontepargpadro"/>
    <w:uiPriority w:val="99"/>
    <w:unhideWhenUsed/>
    <w:rsid w:val="008C7CD2"/>
    <w:rPr>
      <w:vertAlign w:val="superscript"/>
    </w:rPr>
  </w:style>
  <w:style w:type="paragraph" w:styleId="Textodenotadefim">
    <w:name w:val="endnote text"/>
    <w:basedOn w:val="Normal"/>
    <w:link w:val="TextodenotadefimChar"/>
    <w:uiPriority w:val="99"/>
    <w:semiHidden/>
    <w:unhideWhenUsed/>
    <w:rsid w:val="008C7CD2"/>
    <w:rPr>
      <w:sz w:val="20"/>
    </w:rPr>
  </w:style>
  <w:style w:type="character" w:customStyle="1" w:styleId="TextodenotadefimChar">
    <w:name w:val="Texto de nota de fim Char"/>
    <w:link w:val="Textodenotadefim"/>
    <w:uiPriority w:val="99"/>
    <w:rsid w:val="008C7CD2"/>
    <w:rPr>
      <w:sz w:val="20"/>
    </w:rPr>
  </w:style>
  <w:style w:type="character" w:styleId="Refdenotadefim">
    <w:name w:val="endnote reference"/>
    <w:basedOn w:val="Fontepargpadro"/>
    <w:uiPriority w:val="99"/>
    <w:semiHidden/>
    <w:unhideWhenUsed/>
    <w:rsid w:val="008C7CD2"/>
    <w:rPr>
      <w:vertAlign w:val="superscript"/>
    </w:rPr>
  </w:style>
  <w:style w:type="paragraph" w:styleId="Sumrio1">
    <w:name w:val="toc 1"/>
    <w:basedOn w:val="Normal"/>
    <w:next w:val="Normal"/>
    <w:uiPriority w:val="39"/>
    <w:unhideWhenUsed/>
    <w:rsid w:val="008C7CD2"/>
    <w:pPr>
      <w:spacing w:after="57"/>
    </w:pPr>
  </w:style>
  <w:style w:type="paragraph" w:styleId="Sumrio2">
    <w:name w:val="toc 2"/>
    <w:basedOn w:val="Normal"/>
    <w:next w:val="Normal"/>
    <w:uiPriority w:val="39"/>
    <w:unhideWhenUsed/>
    <w:rsid w:val="008C7CD2"/>
    <w:pPr>
      <w:spacing w:after="57"/>
      <w:ind w:left="283"/>
    </w:pPr>
  </w:style>
  <w:style w:type="paragraph" w:styleId="Sumrio3">
    <w:name w:val="toc 3"/>
    <w:basedOn w:val="Normal"/>
    <w:next w:val="Normal"/>
    <w:uiPriority w:val="39"/>
    <w:unhideWhenUsed/>
    <w:rsid w:val="008C7CD2"/>
    <w:pPr>
      <w:spacing w:after="57"/>
      <w:ind w:left="567"/>
    </w:pPr>
  </w:style>
  <w:style w:type="paragraph" w:styleId="Sumrio4">
    <w:name w:val="toc 4"/>
    <w:basedOn w:val="Normal"/>
    <w:next w:val="Normal"/>
    <w:uiPriority w:val="39"/>
    <w:unhideWhenUsed/>
    <w:rsid w:val="008C7CD2"/>
    <w:pPr>
      <w:spacing w:after="57"/>
      <w:ind w:left="850"/>
    </w:pPr>
  </w:style>
  <w:style w:type="paragraph" w:styleId="Sumrio5">
    <w:name w:val="toc 5"/>
    <w:basedOn w:val="Normal"/>
    <w:next w:val="Normal"/>
    <w:uiPriority w:val="39"/>
    <w:unhideWhenUsed/>
    <w:rsid w:val="008C7CD2"/>
    <w:pPr>
      <w:spacing w:after="57"/>
      <w:ind w:left="1134"/>
    </w:pPr>
  </w:style>
  <w:style w:type="paragraph" w:styleId="Sumrio6">
    <w:name w:val="toc 6"/>
    <w:basedOn w:val="Normal"/>
    <w:next w:val="Normal"/>
    <w:uiPriority w:val="39"/>
    <w:unhideWhenUsed/>
    <w:rsid w:val="008C7CD2"/>
    <w:pPr>
      <w:spacing w:after="57"/>
      <w:ind w:left="1417"/>
    </w:pPr>
  </w:style>
  <w:style w:type="paragraph" w:styleId="Sumrio7">
    <w:name w:val="toc 7"/>
    <w:basedOn w:val="Normal"/>
    <w:next w:val="Normal"/>
    <w:uiPriority w:val="39"/>
    <w:unhideWhenUsed/>
    <w:rsid w:val="008C7CD2"/>
    <w:pPr>
      <w:spacing w:after="57"/>
      <w:ind w:left="1701"/>
    </w:pPr>
  </w:style>
  <w:style w:type="paragraph" w:styleId="Sumrio8">
    <w:name w:val="toc 8"/>
    <w:basedOn w:val="Normal"/>
    <w:next w:val="Normal"/>
    <w:uiPriority w:val="39"/>
    <w:unhideWhenUsed/>
    <w:rsid w:val="008C7CD2"/>
    <w:pPr>
      <w:spacing w:after="57"/>
      <w:ind w:left="1984"/>
    </w:pPr>
  </w:style>
  <w:style w:type="paragraph" w:styleId="Sumrio9">
    <w:name w:val="toc 9"/>
    <w:basedOn w:val="Normal"/>
    <w:next w:val="Normal"/>
    <w:uiPriority w:val="39"/>
    <w:unhideWhenUsed/>
    <w:rsid w:val="008C7CD2"/>
    <w:pPr>
      <w:spacing w:after="57"/>
      <w:ind w:left="2268"/>
    </w:pPr>
  </w:style>
  <w:style w:type="paragraph" w:styleId="CabealhodoSumrio">
    <w:name w:val="TOC Heading"/>
    <w:uiPriority w:val="39"/>
    <w:unhideWhenUsed/>
    <w:rsid w:val="008C7CD2"/>
  </w:style>
  <w:style w:type="paragraph" w:styleId="ndicedeilustraes">
    <w:name w:val="table of figures"/>
    <w:basedOn w:val="Normal"/>
    <w:next w:val="Normal"/>
    <w:uiPriority w:val="99"/>
    <w:unhideWhenUsed/>
    <w:rsid w:val="008C7CD2"/>
  </w:style>
  <w:style w:type="character" w:styleId="Hyperlink">
    <w:name w:val="Hyperlink"/>
    <w:rsid w:val="008C7CD2"/>
    <w:rPr>
      <w:u w:val="single"/>
    </w:rPr>
  </w:style>
  <w:style w:type="paragraph" w:customStyle="1" w:styleId="CabealhoeRodap">
    <w:name w:val="Cabeçalho e Rodapé"/>
    <w:rsid w:val="008C7CD2"/>
    <w:pPr>
      <w:tabs>
        <w:tab w:val="right" w:pos="9020"/>
      </w:tabs>
    </w:pPr>
    <w:rPr>
      <w:rFonts w:ascii="Helvetica Neue" w:hAnsi="Helvetica Neue" w:cs="Arial Unicode MS"/>
      <w:color w:val="000000"/>
    </w:rPr>
  </w:style>
  <w:style w:type="paragraph" w:customStyle="1" w:styleId="Corpo">
    <w:name w:val="Corpo"/>
    <w:rsid w:val="008C7CD2"/>
    <w:pPr>
      <w:spacing w:line="276" w:lineRule="auto"/>
    </w:pPr>
    <w:rPr>
      <w:rFonts w:ascii="Arial" w:hAnsi="Arial" w:cs="Arial Unicode MS"/>
      <w:color w:val="000000"/>
      <w:sz w:val="22"/>
      <w:szCs w:val="22"/>
    </w:rPr>
  </w:style>
  <w:style w:type="paragraph" w:customStyle="1" w:styleId="Cabealho1">
    <w:name w:val="Cabeçalho1"/>
    <w:rsid w:val="008C7CD2"/>
    <w:pPr>
      <w:keepNext/>
      <w:keepLines/>
      <w:spacing w:line="360" w:lineRule="auto"/>
      <w:outlineLvl w:val="0"/>
    </w:pPr>
    <w:rPr>
      <w:rFonts w:cs="Arial Unicode MS"/>
      <w:b/>
      <w:bCs/>
      <w:color w:val="000000"/>
    </w:rPr>
  </w:style>
  <w:style w:type="paragraph" w:customStyle="1" w:styleId="Padro">
    <w:name w:val="Padrão"/>
    <w:rsid w:val="008C7CD2"/>
    <w:pPr>
      <w:spacing w:before="160" w:line="288" w:lineRule="auto"/>
    </w:pPr>
    <w:rPr>
      <w:rFonts w:ascii="Helvetica Neue" w:eastAsia="Helvetica Neue" w:hAnsi="Helvetica Neue" w:cs="Helvetica Neue"/>
      <w:color w:val="000000"/>
    </w:rPr>
  </w:style>
  <w:style w:type="numbering" w:customStyle="1" w:styleId="EstiloImportado1">
    <w:name w:val="Estilo Importado 1"/>
    <w:rsid w:val="008C7CD2"/>
  </w:style>
  <w:style w:type="character" w:customStyle="1" w:styleId="Nenhum">
    <w:name w:val="Nenhum"/>
    <w:rsid w:val="008C7CD2"/>
  </w:style>
  <w:style w:type="character" w:customStyle="1" w:styleId="Hyperlink0">
    <w:name w:val="Hyperlink.0"/>
    <w:basedOn w:val="Nenhum"/>
    <w:rsid w:val="008C7CD2"/>
    <w:rPr>
      <w:rFonts w:ascii="Times New Roman" w:eastAsia="Times New Roman" w:hAnsi="Times New Roman" w:cs="Times New Roman"/>
      <w:color w:val="1155CC"/>
      <w:sz w:val="20"/>
      <w:szCs w:val="20"/>
      <w:u w:val="single"/>
    </w:rPr>
  </w:style>
  <w:style w:type="character" w:customStyle="1" w:styleId="Hyperlink1">
    <w:name w:val="Hyperlink.1"/>
    <w:basedOn w:val="Nenhum"/>
    <w:rsid w:val="008C7CD2"/>
    <w:rPr>
      <w:rFonts w:ascii="Times New Roman" w:eastAsia="Times New Roman" w:hAnsi="Times New Roman" w:cs="Times New Roman"/>
      <w:color w:val="1155CC"/>
      <w:sz w:val="20"/>
      <w:szCs w:val="20"/>
      <w:u w:val="single"/>
      <w:shd w:val="clear" w:color="auto" w:fill="FFFFFF"/>
    </w:rPr>
  </w:style>
  <w:style w:type="character" w:customStyle="1" w:styleId="Hyperlink2">
    <w:name w:val="Hyperlink.2"/>
    <w:basedOn w:val="Nenhum"/>
    <w:rsid w:val="008C7CD2"/>
    <w:rPr>
      <w:color w:val="000000"/>
      <w:shd w:val="clear" w:color="auto" w:fill="FFFFFF"/>
    </w:rPr>
  </w:style>
  <w:style w:type="character" w:customStyle="1" w:styleId="Hyperlink3">
    <w:name w:val="Hyperlink.3"/>
    <w:basedOn w:val="Nenhum"/>
    <w:rsid w:val="008C7CD2"/>
  </w:style>
  <w:style w:type="character" w:customStyle="1" w:styleId="Hyperlink4">
    <w:name w:val="Hyperlink.4"/>
    <w:basedOn w:val="Nenhum"/>
    <w:rsid w:val="008C7CD2"/>
    <w:rPr>
      <w:rFonts w:ascii="Times New Roman" w:eastAsia="Times New Roman" w:hAnsi="Times New Roman" w:cs="Times New Roman"/>
      <w:b/>
      <w:bCs/>
      <w:color w:val="222222"/>
      <w:shd w:val="clear" w:color="auto" w:fill="FFFFFF"/>
    </w:rPr>
  </w:style>
  <w:style w:type="paragraph" w:customStyle="1" w:styleId="Cabealho2">
    <w:name w:val="Cabeçalho 2"/>
    <w:rsid w:val="008C7CD2"/>
    <w:pPr>
      <w:keepNext/>
      <w:keepLines/>
      <w:spacing w:line="360" w:lineRule="auto"/>
      <w:ind w:left="720" w:hanging="360"/>
      <w:outlineLvl w:val="1"/>
    </w:pPr>
    <w:rPr>
      <w:rFonts w:cs="Arial Unicode MS"/>
      <w:color w:val="000000"/>
      <w:lang w:val="pt-PT"/>
    </w:rPr>
  </w:style>
  <w:style w:type="character" w:customStyle="1" w:styleId="Hyperlink5">
    <w:name w:val="Hyperlink.5"/>
    <w:basedOn w:val="Nenhum"/>
    <w:rsid w:val="008C7CD2"/>
    <w:rPr>
      <w:rFonts w:ascii="Times New Roman" w:eastAsia="Times New Roman" w:hAnsi="Times New Roman" w:cs="Times New Roman"/>
      <w:color w:val="1155CC"/>
      <w:sz w:val="20"/>
      <w:szCs w:val="20"/>
      <w:u w:val="single"/>
      <w:lang w:val="pt-PT"/>
    </w:rPr>
  </w:style>
  <w:style w:type="paragraph" w:styleId="Textodecomentrio">
    <w:name w:val="annotation text"/>
    <w:basedOn w:val="Normal"/>
    <w:link w:val="TextodecomentrioChar"/>
    <w:uiPriority w:val="99"/>
    <w:unhideWhenUsed/>
    <w:rsid w:val="008C7CD2"/>
  </w:style>
  <w:style w:type="character" w:customStyle="1" w:styleId="TextodecomentrioChar">
    <w:name w:val="Texto de comentário Char"/>
    <w:basedOn w:val="Fontepargpadro"/>
    <w:link w:val="Textodecomentrio"/>
    <w:uiPriority w:val="99"/>
    <w:rsid w:val="008C7CD2"/>
    <w:rPr>
      <w:sz w:val="24"/>
      <w:szCs w:val="24"/>
    </w:rPr>
  </w:style>
  <w:style w:type="character" w:styleId="Refdecomentrio">
    <w:name w:val="annotation reference"/>
    <w:basedOn w:val="Fontepargpadro"/>
    <w:uiPriority w:val="99"/>
    <w:semiHidden/>
    <w:unhideWhenUsed/>
    <w:rsid w:val="008C7CD2"/>
    <w:rPr>
      <w:sz w:val="18"/>
      <w:szCs w:val="18"/>
    </w:rPr>
  </w:style>
  <w:style w:type="paragraph" w:styleId="Textodebalo">
    <w:name w:val="Balloon Text"/>
    <w:basedOn w:val="Normal"/>
    <w:link w:val="TextodebaloChar"/>
    <w:uiPriority w:val="99"/>
    <w:semiHidden/>
    <w:unhideWhenUsed/>
    <w:rsid w:val="008C7CD2"/>
    <w:rPr>
      <w:rFonts w:ascii="Lucida Grande" w:hAnsi="Lucida Grande" w:cs="Lucida Grande"/>
      <w:sz w:val="18"/>
      <w:szCs w:val="18"/>
    </w:rPr>
  </w:style>
  <w:style w:type="character" w:customStyle="1" w:styleId="TextodebaloChar">
    <w:name w:val="Texto de balão Char"/>
    <w:basedOn w:val="Fontepargpadro"/>
    <w:link w:val="Textodebalo"/>
    <w:uiPriority w:val="99"/>
    <w:semiHidden/>
    <w:rsid w:val="008C7CD2"/>
    <w:rPr>
      <w:rFonts w:ascii="Lucida Grande" w:hAnsi="Lucida Grande" w:cs="Lucida Grande"/>
      <w:sz w:val="18"/>
      <w:szCs w:val="18"/>
    </w:rPr>
  </w:style>
  <w:style w:type="paragraph" w:styleId="Assuntodocomentrio">
    <w:name w:val="annotation subject"/>
    <w:basedOn w:val="Textodecomentrio"/>
    <w:next w:val="Textodecomentrio"/>
    <w:link w:val="AssuntodocomentrioChar"/>
    <w:uiPriority w:val="99"/>
    <w:semiHidden/>
    <w:unhideWhenUsed/>
    <w:rsid w:val="008C7CD2"/>
    <w:rPr>
      <w:b/>
      <w:bCs/>
      <w:sz w:val="20"/>
      <w:szCs w:val="20"/>
    </w:rPr>
  </w:style>
  <w:style w:type="character" w:customStyle="1" w:styleId="AssuntodocomentrioChar">
    <w:name w:val="Assunto do comentário Char"/>
    <w:basedOn w:val="TextodecomentrioChar"/>
    <w:link w:val="Assuntodocomentrio"/>
    <w:uiPriority w:val="99"/>
    <w:semiHidden/>
    <w:rsid w:val="008C7CD2"/>
    <w:rPr>
      <w:b/>
      <w:bCs/>
      <w:sz w:val="24"/>
      <w:szCs w:val="24"/>
    </w:rPr>
  </w:style>
  <w:style w:type="paragraph" w:styleId="Reviso">
    <w:name w:val="Revision"/>
    <w:hidden/>
    <w:uiPriority w:val="99"/>
    <w:semiHidden/>
    <w:rsid w:val="008C7CD2"/>
  </w:style>
  <w:style w:type="character" w:styleId="Forte">
    <w:name w:val="Strong"/>
    <w:basedOn w:val="Fontepargpadro"/>
    <w:uiPriority w:val="22"/>
    <w:qFormat/>
    <w:rsid w:val="008C7CD2"/>
    <w:rPr>
      <w:b/>
      <w:bCs/>
    </w:rPr>
  </w:style>
  <w:style w:type="character" w:customStyle="1" w:styleId="fontstyle01">
    <w:name w:val="fontstyle01"/>
    <w:basedOn w:val="Fontepargpadro"/>
    <w:rsid w:val="000F52A3"/>
    <w:rPr>
      <w:rFonts w:ascii="MinionPro-Bold" w:hAnsi="MinionPro-Bold" w:hint="default"/>
      <w:b/>
      <w:bCs/>
      <w:i w:val="0"/>
      <w:iCs w:val="0"/>
      <w:color w:val="242021"/>
      <w:sz w:val="20"/>
      <w:szCs w:val="20"/>
    </w:rPr>
  </w:style>
  <w:style w:type="table" w:customStyle="1" w:styleId="5">
    <w:name w:val="5"/>
    <w:basedOn w:val="Tabelanormal"/>
    <w:rsid w:val="008C7CD2"/>
    <w:tblPr>
      <w:tblStyleRowBandSize w:val="1"/>
      <w:tblStyleColBandSize w:val="1"/>
      <w:tblInd w:w="0" w:type="dxa"/>
      <w:tblCellMar>
        <w:top w:w="100" w:type="dxa"/>
        <w:left w:w="100" w:type="dxa"/>
        <w:bottom w:w="100" w:type="dxa"/>
        <w:right w:w="100" w:type="dxa"/>
      </w:tblCellMar>
    </w:tblPr>
  </w:style>
  <w:style w:type="table" w:customStyle="1" w:styleId="4">
    <w:name w:val="4"/>
    <w:basedOn w:val="Tabelanormal"/>
    <w:rsid w:val="008C7CD2"/>
    <w:tblPr>
      <w:tblStyleRowBandSize w:val="1"/>
      <w:tblStyleColBandSize w:val="1"/>
      <w:tblInd w:w="0" w:type="dxa"/>
      <w:tblCellMar>
        <w:top w:w="100" w:type="dxa"/>
        <w:left w:w="100" w:type="dxa"/>
        <w:bottom w:w="100" w:type="dxa"/>
        <w:right w:w="100" w:type="dxa"/>
      </w:tblCellMar>
    </w:tblPr>
  </w:style>
  <w:style w:type="table" w:customStyle="1" w:styleId="3">
    <w:name w:val="3"/>
    <w:basedOn w:val="Tabelanormal"/>
    <w:rsid w:val="008C7CD2"/>
    <w:tblPr>
      <w:tblStyleRowBandSize w:val="1"/>
      <w:tblStyleColBandSize w:val="1"/>
      <w:tblInd w:w="0" w:type="dxa"/>
      <w:tblCellMar>
        <w:top w:w="100" w:type="dxa"/>
        <w:left w:w="100" w:type="dxa"/>
        <w:bottom w:w="100" w:type="dxa"/>
        <w:right w:w="100" w:type="dxa"/>
      </w:tblCellMar>
    </w:tblPr>
  </w:style>
  <w:style w:type="table" w:customStyle="1" w:styleId="2">
    <w:name w:val="2"/>
    <w:basedOn w:val="Tabelanormal"/>
    <w:rsid w:val="008C7CD2"/>
    <w:tblPr>
      <w:tblStyleRowBandSize w:val="1"/>
      <w:tblStyleColBandSize w:val="1"/>
      <w:tblInd w:w="0" w:type="dxa"/>
      <w:tblCellMar>
        <w:top w:w="100" w:type="dxa"/>
        <w:left w:w="100" w:type="dxa"/>
        <w:bottom w:w="100" w:type="dxa"/>
        <w:right w:w="100" w:type="dxa"/>
      </w:tblCellMar>
    </w:tblPr>
  </w:style>
  <w:style w:type="table" w:customStyle="1" w:styleId="1">
    <w:name w:val="1"/>
    <w:basedOn w:val="Tabelanormal"/>
    <w:rsid w:val="008C7CD2"/>
    <w:tblPr>
      <w:tblStyleRowBandSize w:val="1"/>
      <w:tblStyleColBandSize w:val="1"/>
      <w:tblInd w:w="0" w:type="dxa"/>
      <w:tblCellMar>
        <w:top w:w="100" w:type="dxa"/>
        <w:left w:w="100" w:type="dxa"/>
        <w:bottom w:w="100" w:type="dxa"/>
        <w:right w:w="100" w:type="dxa"/>
      </w:tblCellMar>
    </w:tblPr>
  </w:style>
  <w:style w:type="character" w:customStyle="1" w:styleId="MenoPendente1">
    <w:name w:val="Menção Pendente1"/>
    <w:basedOn w:val="Fontepargpadro"/>
    <w:uiPriority w:val="99"/>
    <w:semiHidden/>
    <w:unhideWhenUsed/>
    <w:rsid w:val="00776426"/>
    <w:rPr>
      <w:color w:val="605E5C"/>
      <w:shd w:val="clear" w:color="auto" w:fill="E1DFDD"/>
    </w:rPr>
  </w:style>
  <w:style w:type="paragraph" w:styleId="NormalWeb">
    <w:name w:val="Normal (Web)"/>
    <w:basedOn w:val="Normal"/>
    <w:uiPriority w:val="99"/>
    <w:unhideWhenUsed/>
    <w:rsid w:val="00A07C90"/>
    <w:pPr>
      <w:spacing w:before="100" w:beforeAutospacing="1" w:after="100" w:afterAutospacing="1"/>
    </w:pPr>
  </w:style>
  <w:style w:type="character" w:customStyle="1" w:styleId="MenoPendente2">
    <w:name w:val="Menção Pendente2"/>
    <w:basedOn w:val="Fontepargpadro"/>
    <w:uiPriority w:val="99"/>
    <w:semiHidden/>
    <w:unhideWhenUsed/>
    <w:rsid w:val="0075027E"/>
    <w:rPr>
      <w:color w:val="605E5C"/>
      <w:shd w:val="clear" w:color="auto" w:fill="E1DFDD"/>
    </w:rPr>
  </w:style>
  <w:style w:type="paragraph" w:customStyle="1" w:styleId="rtejustify">
    <w:name w:val="rtejustify"/>
    <w:basedOn w:val="Normal"/>
    <w:rsid w:val="00220DF5"/>
    <w:pPr>
      <w:spacing w:before="100" w:beforeAutospacing="1" w:after="100" w:afterAutospacing="1"/>
    </w:pPr>
    <w:rPr>
      <w:lang w:eastAsia="en-US"/>
    </w:rPr>
  </w:style>
  <w:style w:type="character" w:styleId="HiperlinkVisitado">
    <w:name w:val="FollowedHyperlink"/>
    <w:basedOn w:val="Fontepargpadro"/>
    <w:uiPriority w:val="99"/>
    <w:semiHidden/>
    <w:unhideWhenUsed/>
    <w:rsid w:val="008C1E11"/>
    <w:rPr>
      <w:color w:val="FF00FF"/>
      <w:u w:val="single"/>
    </w:rPr>
  </w:style>
  <w:style w:type="paragraph" w:customStyle="1" w:styleId="pf0">
    <w:name w:val="pf0"/>
    <w:basedOn w:val="Normal"/>
    <w:rsid w:val="00DA1961"/>
    <w:pPr>
      <w:spacing w:before="100" w:beforeAutospacing="1" w:after="100" w:afterAutospacing="1"/>
    </w:pPr>
  </w:style>
  <w:style w:type="character" w:customStyle="1" w:styleId="cf01">
    <w:name w:val="cf01"/>
    <w:basedOn w:val="Fontepargpadro"/>
    <w:rsid w:val="00DA1961"/>
    <w:rPr>
      <w:rFonts w:ascii="Segoe UI" w:hAnsi="Segoe UI" w:cs="Segoe UI" w:hint="default"/>
      <w:sz w:val="18"/>
      <w:szCs w:val="18"/>
    </w:rPr>
  </w:style>
  <w:style w:type="character" w:customStyle="1" w:styleId="UnresolvedMention">
    <w:name w:val="Unresolved Mention"/>
    <w:basedOn w:val="Fontepargpadro"/>
    <w:uiPriority w:val="99"/>
    <w:semiHidden/>
    <w:unhideWhenUsed/>
    <w:rsid w:val="00841A9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0954024">
      <w:bodyDiv w:val="1"/>
      <w:marLeft w:val="0"/>
      <w:marRight w:val="0"/>
      <w:marTop w:val="0"/>
      <w:marBottom w:val="0"/>
      <w:divBdr>
        <w:top w:val="none" w:sz="0" w:space="0" w:color="auto"/>
        <w:left w:val="none" w:sz="0" w:space="0" w:color="auto"/>
        <w:bottom w:val="none" w:sz="0" w:space="0" w:color="auto"/>
        <w:right w:val="none" w:sz="0" w:space="0" w:color="auto"/>
      </w:divBdr>
    </w:div>
    <w:div w:id="663243698">
      <w:bodyDiv w:val="1"/>
      <w:marLeft w:val="0"/>
      <w:marRight w:val="0"/>
      <w:marTop w:val="0"/>
      <w:marBottom w:val="0"/>
      <w:divBdr>
        <w:top w:val="none" w:sz="0" w:space="0" w:color="auto"/>
        <w:left w:val="none" w:sz="0" w:space="0" w:color="auto"/>
        <w:bottom w:val="none" w:sz="0" w:space="0" w:color="auto"/>
        <w:right w:val="none" w:sz="0" w:space="0" w:color="auto"/>
      </w:divBdr>
    </w:div>
    <w:div w:id="10622143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documents.un.org/doc/undoc/gen/g22/607/39/pdf/g2260739.pdf?token=VOpsWaBnztn9XVjqYF&amp;fe=true" TargetMode="Externa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3" Type="http://schemas.openxmlformats.org/officeDocument/2006/relationships/hyperlink" Target="https://www.cartacapital.com.br/sociedade/no-brasil-63-das-casas-chefiadas-por-mulheres-negras-estao-abaixo-da-linha-da-pobreza/" TargetMode="External"/><Relationship Id="rId18" Type="http://schemas.openxmlformats.org/officeDocument/2006/relationships/hyperlink" Target="https://www.gov.br/igualdaderacial/pt-br/composicao/secretaria-de-gestao-do-sistema-nacional-de-promocao-da-igualdade-racial/diretoria-de-avaliacao-monitoramento-e-gestao-da-informacao/informativos/InformeMIRMonitoramentoeavaliaon2EdioMulheresNegras.pdf" TargetMode="External"/><Relationship Id="rId26" Type="http://schemas.openxmlformats.org/officeDocument/2006/relationships/hyperlink" Target="https://www.geledes.org.br/wp-content/uploads/2021/04/A-educacao-de-meninas-negras-em-tempo-de-pandemia.pdf" TargetMode="External"/><Relationship Id="rId39" Type="http://schemas.openxmlformats.org/officeDocument/2006/relationships/hyperlink" Target="http://189.28.128.100/dab/docs/portaldab/publicacoes/caderneta_gestante.pdf" TargetMode="External"/><Relationship Id="rId21" Type="http://schemas.openxmlformats.org/officeDocument/2006/relationships/hyperlink" Target="https://www.ipea.gov.br/atlasviolencia/arquivos/artigos/1375-atlasdaviolencia2021completo.pdf" TargetMode="External"/><Relationship Id="rId34" Type="http://schemas.openxmlformats.org/officeDocument/2006/relationships/hyperlink" Target="https://www.brasildefato.com.br/2018/07/31/aborto-e-a-quarta-causa-de-morte-materna-no-brasil-afirma-pesquisadora" TargetMode="External"/><Relationship Id="rId42" Type="http://schemas.openxmlformats.org/officeDocument/2006/relationships/hyperlink" Target="https://www.camara.leg.br/noticias/548680-lei-brasileira-que-trata-da-alienacao-parental-nao-tem-base-cientifica-afirma-debatedora/" TargetMode="External"/><Relationship Id="rId47" Type="http://schemas.openxmlformats.org/officeDocument/2006/relationships/hyperlink" Target="https://dossies.agenciapatriciagalvao.org.br/fontes-e-pesquisas/wp-content/uploads/sites/3/2018/04/Dossi%C3%AA-sobre-lesboc%C3%ADdio-no-Brasil.pdf" TargetMode="External"/><Relationship Id="rId50" Type="http://schemas.openxmlformats.org/officeDocument/2006/relationships/hyperlink" Target="https://www.intercept.com.br/2020/11/03/influencer-mariana-ferrer-estupro-culposo/" TargetMode="External"/><Relationship Id="rId55" Type="http://schemas.openxmlformats.org/officeDocument/2006/relationships/hyperlink" Target="https://www.meionorte.com/policia/mulheres-trans-sao-agredidas-por-15-homens-ao-sairem-de-festa-no-rio-de-janeiro-489249" TargetMode="External"/><Relationship Id="rId7" Type="http://schemas.openxmlformats.org/officeDocument/2006/relationships/hyperlink" Target="https://www.epsjv.fiocruz.br/podcast/negros-sao-os-que-mais-morrem-por-covid-19-e-os-que-menos-recebem-vacinas-no-brasil" TargetMode="External"/><Relationship Id="rId12" Type="http://schemas.openxmlformats.org/officeDocument/2006/relationships/hyperlink" Target="https://www.cartacapital.com.br/sociedade/fome-atinge-uma-a-cada-cinco-familias-chefiadas-por-pessoas-pretas-no-brasil-aponta-pesquisa/" TargetMode="External"/><Relationship Id="rId17" Type="http://schemas.openxmlformats.org/officeDocument/2006/relationships/hyperlink" Target="https://www.cnj.jus.br/wp-content/uploads/2021/09/rela-negros-negras-no-poder-judiciario-290921.pdf" TargetMode="External"/><Relationship Id="rId25" Type="http://schemas.openxmlformats.org/officeDocument/2006/relationships/hyperlink" Target="https://g1.globo.com/economia/noticia/brancos-sao-maioria-em-empregos-de-elite-e-negros-ocupam-vagas-sem-qualificacao.ghtml" TargetMode="External"/><Relationship Id="rId33" Type="http://schemas.openxmlformats.org/officeDocument/2006/relationships/hyperlink" Target="https://agenciadenoticias.ibge.gov.br/agencia-noticias/2012-agencia-de-noticias/noticias/35687-em-2021-pobreza-tem-aumento-recorde-e-atinge-62-5-milhoes-de-pessoas-maior-nivel-desde-2012" TargetMode="External"/><Relationship Id="rId38" Type="http://schemas.openxmlformats.org/officeDocument/2006/relationships/hyperlink" Target="https://www.arca.fiocruz.br/handle/icict/27811" TargetMode="External"/><Relationship Id="rId46" Type="http://schemas.openxmlformats.org/officeDocument/2006/relationships/hyperlink" Target="https://www.gov.br/mdh/pt-br/assuntos/noticias/2023/agosto/brasil-registra-mais-de-5-mil-casos-de-violacoes-de-direitos-contra-lesbicas-nos-primeiros-oito-meses-de-2023-aponta-disque-100" TargetMode="External"/><Relationship Id="rId2" Type="http://schemas.openxmlformats.org/officeDocument/2006/relationships/hyperlink" Target="https://g1.globo.com/jornal-nacional/noticia/2022/05/25/ibge-divulga-primeiro-levantamento-sobre-homossexuais-e-bissexuais-no-brasil.ghtml" TargetMode="External"/><Relationship Id="rId16" Type="http://schemas.openxmlformats.org/officeDocument/2006/relationships/hyperlink" Target="https://www.ibge.gov.br/estatisticas/sociais/trabalho/9171-pesquisa-nacional-por-amostra-de-domicilios-continua-mensal.html" TargetMode="External"/><Relationship Id="rId20" Type="http://schemas.openxmlformats.org/officeDocument/2006/relationships/hyperlink" Target="https://brasil.elpais.com/brasil/2021-05-07/na-luta-pela-memoria-dos-filhos-maes-de-maio-sao-ligadas-ao-crime-pelo-proprio-estado-que-os-matou.html" TargetMode="External"/><Relationship Id="rId29" Type="http://schemas.openxmlformats.org/officeDocument/2006/relationships/hyperlink" Target="https://minorityrights.org/wp-content/uploads/2023/03/MRG_Brief_Brazil_PORT-1.pdf" TargetMode="External"/><Relationship Id="rId41" Type="http://schemas.openxmlformats.org/officeDocument/2006/relationships/hyperlink" Target="https://agenciapatriciagalvao.org.br/destaques/para-a-protecao-de-maes-e-filhos-organizacoes-pedem-mudancas-na-lei-de-alienacao-parental-por-cladem-brasil/" TargetMode="External"/><Relationship Id="rId54" Type="http://schemas.openxmlformats.org/officeDocument/2006/relationships/hyperlink" Target="https://www.cnnbrasil.com.br/nacional/quem-era-julieta-hernandez-artista-venezuelana-morta-no-amazonas/" TargetMode="External"/><Relationship Id="rId1" Type="http://schemas.openxmlformats.org/officeDocument/2006/relationships/hyperlink" Target="http://www.geledes.org.br/" TargetMode="External"/><Relationship Id="rId6" Type="http://schemas.openxmlformats.org/officeDocument/2006/relationships/hyperlink" Target="https://www12.senado.leg.br/radio/1/noticia/2021/10/29/relatorio-da-cpi-aponta-que-populacao-negra-foi-mais-atingida-durante-a-pandemia" TargetMode="External"/><Relationship Id="rId11" Type="http://schemas.openxmlformats.org/officeDocument/2006/relationships/hyperlink" Target="https://revistaforum.com.br/direitos/2023/9/22/aborto-dados-mostram-que-assunto-questo-de-saude-publica-no-brasil-144599.html" TargetMode="External"/><Relationship Id="rId24" Type="http://schemas.openxmlformats.org/officeDocument/2006/relationships/hyperlink" Target="https://biblioteca.ibge.gov.br/visualizacao/livros/liv101736_informativo.pdf" TargetMode="External"/><Relationship Id="rId32" Type="http://schemas.openxmlformats.org/officeDocument/2006/relationships/hyperlink" Target="https://blogdoibre.fgv.br/posts/maes-solo-no-mercado-de-trabalho" TargetMode="External"/><Relationship Id="rId37" Type="http://schemas.openxmlformats.org/officeDocument/2006/relationships/hyperlink" Target="https://criola.org.br/artigo-morte-materna-e-a-mais-cruel-expressao-do-racismo-no-brasil/" TargetMode="External"/><Relationship Id="rId40" Type="http://schemas.openxmlformats.org/officeDocument/2006/relationships/hyperlink" Target="http://www.cofen.gov.br/nova-caderneta-para-gestantes-contraria-evidencias-e-diretrizes-do-ms_98900.html" TargetMode="External"/><Relationship Id="rId45" Type="http://schemas.openxmlformats.org/officeDocument/2006/relationships/hyperlink" Target="https://www.uol.com.br/ecoa/colunas/opiniao/2023/03/13/as-injusticas-climaticas-atingem-as-mulheres-negras-e-perifericas.htm" TargetMode="External"/><Relationship Id="rId53" Type="http://schemas.openxmlformats.org/officeDocument/2006/relationships/hyperlink" Target="https://g1.globo.com/rj/rio-de-janeiro/noticia/2024/03/18/justica-inocenta-pms-acusados-de-matar-e-arrastar-claudia-ferreira-em-viatura-ha-dez-anos-no-rio.ghtml" TargetMode="External"/><Relationship Id="rId5" Type="http://schemas.openxmlformats.org/officeDocument/2006/relationships/hyperlink" Target="https://observatoriodefavelas.org.br/acervo/mapa-social-do-corona" TargetMode="External"/><Relationship Id="rId15" Type="http://schemas.openxmlformats.org/officeDocument/2006/relationships/hyperlink" Target="https://agenciabrasil.ebc.com.br/geral/noticia/2022-04/mulheres-negras-sao-65-das-trabalhadoras-domesticas-no-pais" TargetMode="External"/><Relationship Id="rId23" Type="http://schemas.openxmlformats.org/officeDocument/2006/relationships/hyperlink" Target="https://cfemea.org.br/index.php/pt/?view=article&amp;id=7799:candidaturas-de-mulheres-e-negros-sob-ataque-em-propostas-no-congresso&amp;catid=595" TargetMode="External"/><Relationship Id="rId28" Type="http://schemas.openxmlformats.org/officeDocument/2006/relationships/hyperlink" Target="https://www.geledes.org.br/de-12-milhoes-de-desempregados-no-primeiro-trimestre-64-eram-negros/" TargetMode="External"/><Relationship Id="rId36" Type="http://schemas.openxmlformats.org/officeDocument/2006/relationships/hyperlink" Target="https://www.brasildefato.com.br/2018/07/31/aborto-e-a-quarta-causa-de-morte-materna-no-brasil-afirma-pesquisadora" TargetMode="External"/><Relationship Id="rId49" Type="http://schemas.openxmlformats.org/officeDocument/2006/relationships/hyperlink" Target="https://www.intercept.com.br/2023/12/11/desembargador-denunciado-por-trabalho-escravo-usou-manipulacao-psicologica-para-vitima-voltar-a-sua-casa-revelam-laudos/" TargetMode="External"/><Relationship Id="rId57" Type="http://schemas.openxmlformats.org/officeDocument/2006/relationships/hyperlink" Target="https://www.cnnbrasil.com.br/politica/deputado-comete-transfobia-e-chama-erika-hilton-de-amigo-durante-sessao-da-camara/" TargetMode="External"/><Relationship Id="rId10" Type="http://schemas.openxmlformats.org/officeDocument/2006/relationships/hyperlink" Target="https://agenciabrasil.ebc.com.br/saude/noticia/2023-03/uma-em-cada-sete-mulheres-aos-40-anos-ja-passou-por-aborto-no-brasil" TargetMode="External"/><Relationship Id="rId19" Type="http://schemas.openxmlformats.org/officeDocument/2006/relationships/hyperlink" Target="https://forumseguranca.org.br/wp-content/uploads/2022/07/11-anuario-2022-uma-decada-e-mais-de-meio-milhao-de-vitimas-de-violencia-sexual.pdf" TargetMode="External"/><Relationship Id="rId31" Type="http://schemas.openxmlformats.org/officeDocument/2006/relationships/hyperlink" Target="https://noticiapreta.com.br/mulheres-negras-mulheres-brancas/" TargetMode="External"/><Relationship Id="rId44" Type="http://schemas.openxmlformats.org/officeDocument/2006/relationships/hyperlink" Target="https://polis.org.br/estudos/racismo-ambiental/" TargetMode="External"/><Relationship Id="rId52" Type="http://schemas.openxmlformats.org/officeDocument/2006/relationships/hyperlink" Target="https://www.cnnbrasil.com.br/nacional/jornalista-do-caso-mari-ferrer-e-condenada-a-detencao-e-multa-de-r-400-mil/" TargetMode="External"/><Relationship Id="rId4" Type="http://schemas.openxmlformats.org/officeDocument/2006/relationships/hyperlink" Target="https://dossies.agenciapatriciagalvao.org.br/fontes-e-pesquisas/wp-content/uploads/sites/3/2018/04/Dossi%C3%AA-sobre-lesboc%C3%ADdio-no-Brasil.pdf" TargetMode="External"/><Relationship Id="rId9" Type="http://schemas.openxmlformats.org/officeDocument/2006/relationships/hyperlink" Target="https://brasilnaagenda2030.files.wordpress.com/2021/07/por_rl_2021_completo_vs_03_lowres.pdf" TargetMode="External"/><Relationship Id="rId14" Type="http://schemas.openxmlformats.org/officeDocument/2006/relationships/hyperlink" Target="https://www.gov.br/trabalho-e-emprego/pt-br/noticias-e-conteudo/2024/Marco/emprego-domestico-no-brasil-e-formado-por-mulheres" TargetMode="External"/><Relationship Id="rId22" Type="http://schemas.openxmlformats.org/officeDocument/2006/relationships/hyperlink" Target="https://www.jota.info/opiniao-e-analise/artigos/mulheres-na-politica-a-desigualdade-entre-o-mesmo-genero-23102022" TargetMode="External"/><Relationship Id="rId27" Type="http://schemas.openxmlformats.org/officeDocument/2006/relationships/hyperlink" Target="https://www.geledes.org.br/pesquisa-inedita-mostra-engajamento-das-secretarias-de-educacao-com-aplicacao-da-lei-10-639/" TargetMode="External"/><Relationship Id="rId30" Type="http://schemas.openxmlformats.org/officeDocument/2006/relationships/hyperlink" Target="https://www.cut.org.br/noticias/racismo-estrutural-segrega-negros-no-mercado-de-trabalho-548e" TargetMode="External"/><Relationship Id="rId35" Type="http://schemas.openxmlformats.org/officeDocument/2006/relationships/hyperlink" Target="https://www.brasildefato.com.br/2018/07/31/aborto-e-a-quarta-causa-de-morte-materna-no-brasil-afirma-pesquisadora" TargetMode="External"/><Relationship Id="rId43" Type="http://schemas.openxmlformats.org/officeDocument/2006/relationships/hyperlink" Target="https://g1.globo.com/politica/noticia/2024/02/25/alienacao-parental-a-lei-baseada-em-teoria-sem-comprovacao-cientifica-e-contestada-por-juristas-e-parlamentares.ghtml?utm_source=share-universal&amp;utm_medium=share-bar-app&amp;utm_campaign=materias" TargetMode="External"/><Relationship Id="rId48" Type="http://schemas.openxmlformats.org/officeDocument/2006/relationships/hyperlink" Target="https://g1.globo.com/ma/maranhao/noticia/2024/01/19/caso-ana-caroline-video-mostra-jovem-lesbica-momentos-antes-de-ser-assassinada.ghtml" TargetMode="External"/><Relationship Id="rId56" Type="http://schemas.openxmlformats.org/officeDocument/2006/relationships/hyperlink" Target="https://www.politize.com.br/quem-foi-marielle-franco/" TargetMode="External"/><Relationship Id="rId8" Type="http://schemas.openxmlformats.org/officeDocument/2006/relationships/hyperlink" Target="https://jornal.usp.br/ciencias/mulheres-negras-tem-maior-mortalidade-por-covid-19-do-que-restante-da-populacao/" TargetMode="External"/><Relationship Id="rId51" Type="http://schemas.openxmlformats.org/officeDocument/2006/relationships/hyperlink" Target="https://repositorio.ufsc.br/bitstream/handle/123456789/233066/TCC.pdf?sequence=1" TargetMode="External"/><Relationship Id="rId3" Type="http://schemas.openxmlformats.org/officeDocument/2006/relationships/hyperlink" Target="https://brasil.un.org/pt-br/110425-brasil-%C3%A9-o-pa%C3%ADs-que-mais-mata-travestis-e-pessoas-trans-no-mundo-alerta-relat%C3%B3rio-da"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prstGeom prst="rect">
          <a:avLst/>
        </a:prstGeom>
        <a:solidFill>
          <a:srgbClr val="FFFFFF"/>
        </a:solidFill>
        <a:ln w="25400" cap="flat">
          <a:solidFill>
            <a:schemeClr val="accent1"/>
          </a:solidFill>
          <a:prstDash val="solid"/>
          <a:round/>
        </a:ln>
      </a:spPr>
      <a:bodyPr/>
      <a:lstStyle/>
      <a:style>
        <a:lnRef idx="0">
          <a:srgbClr val="000000"/>
        </a:lnRef>
        <a:fillRef idx="0">
          <a:srgbClr val="000000"/>
        </a:fillRef>
        <a:effectRef idx="0">
          <a:srgbClr val="000000"/>
        </a:effectRef>
        <a:fontRef idx="none"/>
      </a:style>
    </a:spDef>
    <a:lnDef>
      <a:spPr bwMode="auto">
        <a:prstGeom prst="rect">
          <a:avLst/>
        </a:prstGeom>
        <a:noFill/>
        <a:ln w="25400" cap="flat">
          <a:solidFill>
            <a:schemeClr val="accent1"/>
          </a:solidFill>
          <a:prstDash val="solid"/>
          <a:round/>
        </a:ln>
      </a:spPr>
      <a:bodyPr/>
      <a:lstStyle/>
      <a:style>
        <a:lnRef idx="0">
          <a:srgbClr val="000000"/>
        </a:lnRef>
        <a:fillRef idx="0">
          <a:srgbClr val="000000"/>
        </a:fillRef>
        <a:effectRef idx="0">
          <a:srgbClr val="000000"/>
        </a:effectRef>
        <a:fontRef idx="none"/>
      </a:style>
    </a:lnDef>
    <a:txDef>
      <a:spPr bwMode="auto">
        <a:prstGeom prst="rect">
          <a:avLst/>
        </a:prstGeom>
        <a:noFill/>
        <a:ln w="12700" cap="flat">
          <a:noFill/>
          <a:miter lim="400000"/>
        </a:ln>
      </a:spPr>
      <a:bodyPr/>
      <a:lstStyle/>
      <a:style>
        <a:lnRef idx="0">
          <a:srgbClr val="000000"/>
        </a:lnRef>
        <a:fillRef idx="0">
          <a:srgbClr val="000000"/>
        </a:fillRef>
        <a:effectRef idx="0">
          <a:srgbClr val="00000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c3oCXAZ7lOo/XPGo1gDlRPs9A==">CgMxLjAyDmgueGhwNnRjcWJxemN0Mg5oLmllNjUxNzI1bnQ2MTIOaC55bjN5MHNtZzB6b2kyDmgucmx2cjJyODVja3U2Mg1oLmZtcW9rYWx4eDQzMg5oLmZkdzB6N2ZqdnVwazIOaC50bGluZTdkOHZzM2QyDmgueG5lMXF1NnVtZG1uOAByITEtTnBUNGpzUENEWUxmcUNub3hVd0ZKWDlIX09UeGlnRA==</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4E1206-8674-449B-8A8D-B8024155C63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D9640249-DA44-4802-BFD4-67215CC612D5}"/>
</file>

<file path=customXml/itemProps4.xml><?xml version="1.0" encoding="utf-8"?>
<ds:datastoreItem xmlns:ds="http://schemas.openxmlformats.org/officeDocument/2006/customXml" ds:itemID="{2A3FB5FC-2DBC-4030-BD18-9468BA700BBD}"/>
</file>

<file path=docProps/app.xml><?xml version="1.0" encoding="utf-8"?>
<Properties xmlns="http://schemas.openxmlformats.org/officeDocument/2006/extended-properties" xmlns:vt="http://schemas.openxmlformats.org/officeDocument/2006/docPropsVTypes">
  <Template>Normal</Template>
  <TotalTime>1</TotalTime>
  <Pages>10</Pages>
  <Words>4118</Words>
  <Characters>22238</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Rodnei</dc:creator>
  <cp:lastModifiedBy>Rafael</cp:lastModifiedBy>
  <cp:revision>2</cp:revision>
  <dcterms:created xsi:type="dcterms:W3CDTF">2024-04-10T20:02:00Z</dcterms:created>
  <dcterms:modified xsi:type="dcterms:W3CDTF">2024-04-10T20:02:00Z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c4aed9c5cf4c74f8eddffd6e21f72dde76f7723aebd84e7fb6fe840746df3a2e</vt:lpwstr>
  </property>
</Properties>
</file>