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971C6" w14:textId="4117F6D9" w:rsidR="001754DB" w:rsidRPr="00B46A79" w:rsidRDefault="001754DB" w:rsidP="007B3895">
      <w:pPr>
        <w:spacing w:line="240" w:lineRule="auto"/>
        <w:rPr>
          <w:rFonts w:ascii="Verdana" w:hAnsi="Verdana"/>
          <w:b/>
          <w:bCs/>
          <w:sz w:val="19"/>
          <w:szCs w:val="19"/>
        </w:rPr>
      </w:pPr>
      <w:r w:rsidRPr="00A02052">
        <w:rPr>
          <w:rFonts w:ascii="Verdana" w:hAnsi="Verdana"/>
          <w:b/>
          <w:bCs/>
          <w:noProof/>
          <w:sz w:val="19"/>
          <w:szCs w:val="19"/>
        </w:rPr>
        <w:drawing>
          <wp:anchor distT="0" distB="0" distL="114300" distR="114300" simplePos="0" relativeHeight="251658240" behindDoc="0" locked="0" layoutInCell="1" hidden="0" allowOverlap="1" wp14:anchorId="0624F272" wp14:editId="5256ACAE">
            <wp:simplePos x="0" y="0"/>
            <wp:positionH relativeFrom="page">
              <wp:posOffset>4629873</wp:posOffset>
            </wp:positionH>
            <wp:positionV relativeFrom="page">
              <wp:posOffset>243067</wp:posOffset>
            </wp:positionV>
            <wp:extent cx="2187616" cy="596097"/>
            <wp:effectExtent l="0" t="0" r="3175" b="0"/>
            <wp:wrapSquare wrapText="bothSides"/>
            <wp:docPr id="1" name="image1.jpg" descr="Afbeelding met Lettertype, tekst, wit, lijn&#10;&#10;Door AI gegenereerde inhoud is mogelijk onjuist."/>
            <wp:cNvGraphicFramePr/>
            <a:graphic xmlns:a="http://schemas.openxmlformats.org/drawingml/2006/main">
              <a:graphicData uri="http://schemas.openxmlformats.org/drawingml/2006/picture">
                <pic:pic xmlns:pic="http://schemas.openxmlformats.org/drawingml/2006/picture">
                  <pic:nvPicPr>
                    <pic:cNvPr id="0" name="image1.jpg" descr="Afbeelding met Lettertype, tekst, wit, lijn&#10;&#10;Door AI gegenereerde inhoud is mogelijk onjuist."/>
                    <pic:cNvPicPr preferRelativeResize="0"/>
                  </pic:nvPicPr>
                  <pic:blipFill>
                    <a:blip r:embed="rId8"/>
                    <a:srcRect/>
                    <a:stretch>
                      <a:fillRect/>
                    </a:stretch>
                  </pic:blipFill>
                  <pic:spPr>
                    <a:xfrm>
                      <a:off x="0" y="0"/>
                      <a:ext cx="2211162" cy="602513"/>
                    </a:xfrm>
                    <a:prstGeom prst="rect">
                      <a:avLst/>
                    </a:prstGeom>
                    <a:ln/>
                  </pic:spPr>
                </pic:pic>
              </a:graphicData>
            </a:graphic>
            <wp14:sizeRelH relativeFrom="margin">
              <wp14:pctWidth>0</wp14:pctWidth>
            </wp14:sizeRelH>
            <wp14:sizeRelV relativeFrom="margin">
              <wp14:pctHeight>0</wp14:pctHeight>
            </wp14:sizeRelV>
          </wp:anchor>
        </w:drawing>
      </w:r>
    </w:p>
    <w:p w14:paraId="64612BAD" w14:textId="677B50B7" w:rsidR="002334E3" w:rsidRPr="00B46A79" w:rsidRDefault="00000000" w:rsidP="007B3895">
      <w:pPr>
        <w:spacing w:line="240" w:lineRule="auto"/>
        <w:rPr>
          <w:rFonts w:ascii="Verdana" w:hAnsi="Verdana"/>
          <w:b/>
          <w:bCs/>
        </w:rPr>
      </w:pPr>
      <w:r w:rsidRPr="00B46A79">
        <w:rPr>
          <w:rFonts w:ascii="Verdana" w:hAnsi="Verdana"/>
          <w:b/>
          <w:bCs/>
        </w:rPr>
        <w:t xml:space="preserve">Addendum </w:t>
      </w:r>
      <w:hyperlink r:id="rId9" w:history="1">
        <w:r w:rsidR="002334E3" w:rsidRPr="00B46A79">
          <w:rPr>
            <w:rStyle w:val="Hyperlink"/>
            <w:rFonts w:ascii="Verdana" w:hAnsi="Verdana"/>
            <w:b/>
            <w:bCs/>
          </w:rPr>
          <w:t>Shadow Report</w:t>
        </w:r>
        <w:r w:rsidR="004D525E">
          <w:rPr>
            <w:rStyle w:val="Hyperlink"/>
            <w:rFonts w:ascii="Verdana" w:hAnsi="Verdana"/>
            <w:b/>
            <w:bCs/>
          </w:rPr>
          <w:t xml:space="preserve"> </w:t>
        </w:r>
        <w:r w:rsidR="002334E3" w:rsidRPr="00B46A79">
          <w:rPr>
            <w:rStyle w:val="Hyperlink"/>
            <w:rFonts w:ascii="Verdana" w:hAnsi="Verdana"/>
            <w:b/>
            <w:bCs/>
          </w:rPr>
          <w:t>Dutch CEDAW Network</w:t>
        </w:r>
      </w:hyperlink>
      <w:r w:rsidRPr="00B46A79">
        <w:rPr>
          <w:rFonts w:ascii="Verdana" w:hAnsi="Verdana"/>
          <w:b/>
          <w:bCs/>
        </w:rPr>
        <w:t xml:space="preserve"> </w:t>
      </w:r>
    </w:p>
    <w:p w14:paraId="7ED5889A" w14:textId="4EE0D8BF" w:rsidR="002334E3" w:rsidRPr="000613E1" w:rsidRDefault="74639142" w:rsidP="74639142">
      <w:pPr>
        <w:spacing w:line="240" w:lineRule="auto"/>
        <w:rPr>
          <w:rFonts w:ascii="Verdana" w:hAnsi="Verdana"/>
          <w:i/>
          <w:iCs/>
          <w:sz w:val="18"/>
          <w:szCs w:val="18"/>
        </w:rPr>
      </w:pPr>
      <w:r w:rsidRPr="000613E1">
        <w:rPr>
          <w:rFonts w:ascii="Verdana" w:hAnsi="Verdana"/>
          <w:i/>
          <w:iCs/>
          <w:sz w:val="18"/>
          <w:szCs w:val="18"/>
        </w:rPr>
        <w:t>December 15, 2025</w:t>
      </w:r>
    </w:p>
    <w:p w14:paraId="5F27363D" w14:textId="77777777" w:rsidR="00D11273" w:rsidRPr="00B46A79" w:rsidRDefault="00D11273" w:rsidP="007B3895">
      <w:pPr>
        <w:spacing w:line="240" w:lineRule="auto"/>
        <w:rPr>
          <w:rFonts w:ascii="Verdana" w:hAnsi="Verdana"/>
          <w:sz w:val="19"/>
          <w:szCs w:val="19"/>
        </w:rPr>
      </w:pPr>
    </w:p>
    <w:p w14:paraId="60E66658" w14:textId="044649F8" w:rsidR="002334E3" w:rsidRPr="00B46A79" w:rsidRDefault="0D297B24" w:rsidP="007B3895">
      <w:pPr>
        <w:spacing w:line="240" w:lineRule="auto"/>
        <w:rPr>
          <w:rFonts w:ascii="Verdana" w:hAnsi="Verdana"/>
          <w:sz w:val="19"/>
          <w:szCs w:val="19"/>
        </w:rPr>
      </w:pPr>
      <w:r w:rsidRPr="00B46A79">
        <w:rPr>
          <w:rFonts w:ascii="Verdana" w:hAnsi="Verdana"/>
          <w:sz w:val="19"/>
          <w:szCs w:val="19"/>
        </w:rPr>
        <w:t>This addendum provides a brief update on new developments relating to women’s rights and gender equality in the Netherlands since the July 2024 shadow report.</w:t>
      </w:r>
      <w:r w:rsidR="000613E1">
        <w:rPr>
          <w:rFonts w:ascii="Verdana" w:hAnsi="Verdana"/>
          <w:sz w:val="19"/>
          <w:szCs w:val="19"/>
        </w:rPr>
        <w:t xml:space="preserve"> (</w:t>
      </w:r>
      <w:r w:rsidR="00933753" w:rsidRPr="00933753">
        <w:rPr>
          <w:rFonts w:ascii="Verdana" w:hAnsi="Verdana"/>
          <w:sz w:val="18"/>
          <w:szCs w:val="18"/>
        </w:rPr>
        <w:t xml:space="preserve">All references are included in the </w:t>
      </w:r>
      <w:hyperlink r:id="rId10" w:history="1">
        <w:r w:rsidR="00933753" w:rsidRPr="00B6126C">
          <w:rPr>
            <w:rStyle w:val="Hyperlink"/>
            <w:rFonts w:ascii="Verdana" w:hAnsi="Verdana"/>
            <w:sz w:val="18"/>
            <w:szCs w:val="18"/>
          </w:rPr>
          <w:t>version of</w:t>
        </w:r>
        <w:r w:rsidR="00933753" w:rsidRPr="00B6126C">
          <w:rPr>
            <w:rStyle w:val="Hyperlink"/>
            <w:rFonts w:ascii="Verdana" w:hAnsi="Verdana"/>
            <w:sz w:val="18"/>
            <w:szCs w:val="18"/>
          </w:rPr>
          <w:t xml:space="preserve"> </w:t>
        </w:r>
        <w:r w:rsidR="00933753" w:rsidRPr="00B6126C">
          <w:rPr>
            <w:rStyle w:val="Hyperlink"/>
            <w:rFonts w:ascii="Verdana" w:hAnsi="Verdana"/>
            <w:sz w:val="18"/>
            <w:szCs w:val="18"/>
          </w:rPr>
          <w:t>this addendum</w:t>
        </w:r>
      </w:hyperlink>
      <w:r w:rsidR="00933753" w:rsidRPr="00933753">
        <w:rPr>
          <w:rFonts w:ascii="Verdana" w:hAnsi="Verdana"/>
          <w:sz w:val="18"/>
          <w:szCs w:val="18"/>
        </w:rPr>
        <w:t xml:space="preserve"> published </w:t>
      </w:r>
      <w:r w:rsidR="00933753">
        <w:rPr>
          <w:rFonts w:ascii="Verdana" w:hAnsi="Verdana"/>
          <w:sz w:val="18"/>
          <w:szCs w:val="18"/>
        </w:rPr>
        <w:t xml:space="preserve">on the </w:t>
      </w:r>
      <w:r w:rsidR="000613E1" w:rsidRPr="00B6126C">
        <w:rPr>
          <w:rFonts w:ascii="Verdana" w:hAnsi="Verdana"/>
          <w:sz w:val="18"/>
          <w:szCs w:val="18"/>
        </w:rPr>
        <w:t xml:space="preserve">Dutch CEDAW Network </w:t>
      </w:r>
      <w:hyperlink r:id="rId11" w:history="1">
        <w:r w:rsidR="000613E1" w:rsidRPr="00B6126C">
          <w:rPr>
            <w:rStyle w:val="Hyperlink"/>
            <w:rFonts w:ascii="Verdana" w:hAnsi="Verdana"/>
            <w:sz w:val="18"/>
            <w:szCs w:val="18"/>
          </w:rPr>
          <w:t>we</w:t>
        </w:r>
        <w:r w:rsidR="000613E1" w:rsidRPr="00B6126C">
          <w:rPr>
            <w:rStyle w:val="Hyperlink"/>
            <w:rFonts w:ascii="Verdana" w:hAnsi="Verdana"/>
            <w:sz w:val="18"/>
            <w:szCs w:val="18"/>
          </w:rPr>
          <w:t>b</w:t>
        </w:r>
        <w:r w:rsidR="000613E1" w:rsidRPr="00B6126C">
          <w:rPr>
            <w:rStyle w:val="Hyperlink"/>
            <w:rFonts w:ascii="Verdana" w:hAnsi="Verdana"/>
            <w:sz w:val="18"/>
            <w:szCs w:val="18"/>
          </w:rPr>
          <w:t>site</w:t>
        </w:r>
      </w:hyperlink>
      <w:r w:rsidR="000613E1">
        <w:rPr>
          <w:rFonts w:ascii="Verdana" w:hAnsi="Verdana"/>
          <w:sz w:val="18"/>
          <w:szCs w:val="18"/>
        </w:rPr>
        <w:t xml:space="preserve">.) </w:t>
      </w:r>
    </w:p>
    <w:p w14:paraId="01F1151D" w14:textId="77777777" w:rsidR="002334E3" w:rsidRPr="00B46A79" w:rsidRDefault="0D297B24" w:rsidP="007B3895">
      <w:pPr>
        <w:spacing w:line="240" w:lineRule="auto"/>
        <w:rPr>
          <w:rFonts w:ascii="Verdana" w:eastAsia="Verdana" w:hAnsi="Verdana" w:cs="Verdana"/>
          <w:sz w:val="19"/>
          <w:szCs w:val="19"/>
        </w:rPr>
      </w:pPr>
      <w:r w:rsidRPr="00B46A79">
        <w:rPr>
          <w:rFonts w:ascii="Verdana" w:eastAsia="Verdana" w:hAnsi="Verdana" w:cs="Verdana"/>
          <w:sz w:val="19"/>
          <w:szCs w:val="19"/>
        </w:rPr>
        <w:t xml:space="preserve"> </w:t>
      </w:r>
    </w:p>
    <w:p w14:paraId="18C3B688" w14:textId="77777777" w:rsidR="002334E3" w:rsidRPr="00B46A79" w:rsidRDefault="0D297B24" w:rsidP="007B3895">
      <w:pPr>
        <w:spacing w:line="240" w:lineRule="auto"/>
        <w:rPr>
          <w:rFonts w:ascii="Verdana" w:eastAsia="Verdana" w:hAnsi="Verdana" w:cs="Verdana"/>
          <w:b/>
          <w:bCs/>
          <w:sz w:val="19"/>
          <w:szCs w:val="19"/>
        </w:rPr>
      </w:pPr>
      <w:r w:rsidRPr="00B46A79">
        <w:rPr>
          <w:rFonts w:ascii="Verdana" w:eastAsia="Verdana" w:hAnsi="Verdana" w:cs="Verdana"/>
          <w:b/>
          <w:bCs/>
          <w:sz w:val="19"/>
          <w:szCs w:val="19"/>
        </w:rPr>
        <w:t>DETERIORATED POLITICAL LANDSCAPE</w:t>
      </w:r>
    </w:p>
    <w:p w14:paraId="273E2D57" w14:textId="6985D10A" w:rsidR="000C472C" w:rsidRPr="00B46A79" w:rsidRDefault="00000000" w:rsidP="007B3895">
      <w:pPr>
        <w:spacing w:line="240" w:lineRule="auto"/>
        <w:rPr>
          <w:rFonts w:ascii="Verdana" w:eastAsia="Verdana" w:hAnsi="Verdana" w:cs="Verdana"/>
          <w:sz w:val="19"/>
          <w:szCs w:val="19"/>
          <w:vertAlign w:val="superscript"/>
        </w:rPr>
      </w:pPr>
      <w:r w:rsidRPr="00B46A79">
        <w:rPr>
          <w:rFonts w:ascii="Verdana" w:eastAsia="Verdana" w:hAnsi="Verdana" w:cs="Verdana"/>
          <w:sz w:val="19"/>
          <w:szCs w:val="19"/>
        </w:rPr>
        <w:t>The researchers behind the 2024 SDG Gender Index warn that global gender equality may regress rather than progress by 2030.</w:t>
      </w:r>
      <w:r w:rsidR="00933753" w:rsidRPr="00933753">
        <w:rPr>
          <w:rFonts w:ascii="Verdana" w:eastAsia="Verdana" w:hAnsi="Verdana" w:cs="Verdana"/>
          <w:sz w:val="19"/>
          <w:szCs w:val="19"/>
          <w:vertAlign w:val="superscript"/>
        </w:rPr>
        <w:t xml:space="preserve"> 1</w:t>
      </w:r>
      <w:r w:rsidR="000C472C" w:rsidRPr="00B46A79">
        <w:rPr>
          <w:rFonts w:ascii="Verdana" w:eastAsia="Verdana" w:hAnsi="Verdana" w:cs="Verdana"/>
          <w:sz w:val="19"/>
          <w:szCs w:val="19"/>
        </w:rPr>
        <w:t xml:space="preserve"> This worldwide trend is also evident in the Netherlands.</w:t>
      </w:r>
    </w:p>
    <w:p w14:paraId="2D5DBABA" w14:textId="176D7D8F" w:rsidR="000C472C" w:rsidRPr="00B46A79" w:rsidRDefault="52E48751" w:rsidP="52E48751">
      <w:pPr>
        <w:numPr>
          <w:ilvl w:val="0"/>
          <w:numId w:val="5"/>
        </w:numPr>
        <w:pBdr>
          <w:top w:val="nil"/>
          <w:left w:val="nil"/>
          <w:bottom w:val="nil"/>
          <w:right w:val="nil"/>
          <w:between w:val="nil"/>
        </w:pBdr>
        <w:spacing w:line="240" w:lineRule="auto"/>
        <w:ind w:left="720"/>
        <w:rPr>
          <w:rFonts w:ascii="Verdana" w:eastAsia="Verdana" w:hAnsi="Verdana" w:cs="Verdana"/>
          <w:color w:val="000000"/>
          <w:sz w:val="19"/>
          <w:szCs w:val="19"/>
        </w:rPr>
      </w:pPr>
      <w:r w:rsidRPr="52E48751">
        <w:rPr>
          <w:rFonts w:ascii="Verdana" w:eastAsia="Verdana" w:hAnsi="Verdana" w:cs="Verdana"/>
          <w:b/>
          <w:bCs/>
          <w:color w:val="000000" w:themeColor="text1"/>
          <w:sz w:val="19"/>
          <w:szCs w:val="19"/>
        </w:rPr>
        <w:t>The Dutch political climate has grown increasingly hostile toward advocacy for migrants, women’s rights, LGBTQI+ rights, and gender equality</w:t>
      </w:r>
      <w:r w:rsidR="00F25A13">
        <w:rPr>
          <w:rFonts w:ascii="Verdana" w:eastAsia="Verdana" w:hAnsi="Verdana" w:cs="Verdana"/>
          <w:b/>
          <w:bCs/>
          <w:color w:val="000000" w:themeColor="text1"/>
          <w:sz w:val="19"/>
          <w:szCs w:val="19"/>
        </w:rPr>
        <w:t>.</w:t>
      </w:r>
      <w:r w:rsidRPr="52E48751">
        <w:rPr>
          <w:rFonts w:ascii="Verdana" w:eastAsia="Verdana" w:hAnsi="Verdana" w:cs="Verdana"/>
          <w:color w:val="000000" w:themeColor="text1"/>
          <w:sz w:val="19"/>
          <w:szCs w:val="19"/>
        </w:rPr>
        <w:t xml:space="preserve"> </w:t>
      </w:r>
      <w:r w:rsidR="00F25A13">
        <w:rPr>
          <w:rFonts w:ascii="Verdana" w:eastAsia="Verdana" w:hAnsi="Verdana" w:cs="Verdana"/>
          <w:color w:val="000000" w:themeColor="text1"/>
          <w:sz w:val="19"/>
          <w:szCs w:val="19"/>
        </w:rPr>
        <w:t>P</w:t>
      </w:r>
      <w:r w:rsidR="00F25A13" w:rsidRPr="52E48751">
        <w:rPr>
          <w:rFonts w:ascii="Verdana" w:eastAsia="Verdana" w:hAnsi="Verdana" w:cs="Verdana"/>
          <w:color w:val="000000" w:themeColor="text1"/>
          <w:sz w:val="19"/>
          <w:szCs w:val="19"/>
        </w:rPr>
        <w:t xml:space="preserve">ublic </w:t>
      </w:r>
      <w:r w:rsidRPr="52E48751">
        <w:rPr>
          <w:rFonts w:ascii="Verdana" w:eastAsia="Verdana" w:hAnsi="Verdana" w:cs="Verdana"/>
          <w:color w:val="000000" w:themeColor="text1"/>
          <w:sz w:val="19"/>
          <w:szCs w:val="19"/>
        </w:rPr>
        <w:t>support for activists is eroding. NGOs are warning of an increasingly unsafe environment for women human rights defenders, particularly those from LGBTQI+, migrant, and refugee communities, as intolerant discourse and aggressive responses are largely going unchallenged by political leaders.</w:t>
      </w:r>
    </w:p>
    <w:p w14:paraId="15B3ABCD" w14:textId="4DB15AB4" w:rsidR="000C472C" w:rsidRPr="00B46A79" w:rsidRDefault="000C472C" w:rsidP="007B3895">
      <w:pPr>
        <w:pStyle w:val="Lijstalinea"/>
        <w:numPr>
          <w:ilvl w:val="0"/>
          <w:numId w:val="5"/>
        </w:numPr>
        <w:spacing w:line="240" w:lineRule="auto"/>
        <w:ind w:left="720"/>
        <w:rPr>
          <w:rFonts w:ascii="Verdana" w:eastAsia="Verdana" w:hAnsi="Verdana" w:cs="Verdana"/>
          <w:sz w:val="19"/>
          <w:szCs w:val="19"/>
        </w:rPr>
      </w:pPr>
      <w:r w:rsidRPr="00B46A79">
        <w:rPr>
          <w:rFonts w:ascii="Verdana" w:eastAsia="Verdana" w:hAnsi="Verdana" w:cs="Verdana"/>
          <w:sz w:val="19"/>
          <w:szCs w:val="19"/>
        </w:rPr>
        <w:t xml:space="preserve">Government communications show a consistent pattern </w:t>
      </w:r>
      <w:r w:rsidRPr="00B46A79">
        <w:rPr>
          <w:rFonts w:ascii="Verdana" w:eastAsia="Verdana" w:hAnsi="Verdana" w:cs="Verdana"/>
          <w:b/>
          <w:bCs/>
          <w:sz w:val="19"/>
          <w:szCs w:val="19"/>
        </w:rPr>
        <w:t>of diluting or omitting references to gender equality and L</w:t>
      </w:r>
      <w:r w:rsidRPr="00E11978">
        <w:rPr>
          <w:rFonts w:ascii="Verdana" w:eastAsia="Verdana" w:hAnsi="Verdana" w:cs="Verdana"/>
          <w:b/>
          <w:bCs/>
          <w:sz w:val="19"/>
          <w:szCs w:val="19"/>
        </w:rPr>
        <w:t>G</w:t>
      </w:r>
      <w:r w:rsidRPr="00B46A79">
        <w:rPr>
          <w:rFonts w:ascii="Verdana" w:eastAsia="Verdana" w:hAnsi="Verdana" w:cs="Verdana"/>
          <w:b/>
          <w:bCs/>
          <w:sz w:val="19"/>
          <w:szCs w:val="19"/>
        </w:rPr>
        <w:t>BTQI+ rights</w:t>
      </w:r>
      <w:r w:rsidRPr="00E11978">
        <w:rPr>
          <w:rFonts w:ascii="Verdana" w:eastAsia="Verdana" w:hAnsi="Verdana" w:cs="Verdana"/>
          <w:b/>
          <w:bCs/>
          <w:sz w:val="19"/>
          <w:szCs w:val="19"/>
        </w:rPr>
        <w:t>.</w:t>
      </w:r>
      <w:r w:rsidRPr="00B46A79">
        <w:rPr>
          <w:rFonts w:ascii="Verdana" w:eastAsia="Verdana" w:hAnsi="Verdana" w:cs="Verdana"/>
          <w:b/>
          <w:bCs/>
          <w:sz w:val="19"/>
          <w:szCs w:val="19"/>
        </w:rPr>
        <w:t xml:space="preserve"> </w:t>
      </w:r>
      <w:r w:rsidRPr="00B46A79">
        <w:rPr>
          <w:rFonts w:ascii="Verdana" w:eastAsia="Verdana" w:hAnsi="Verdana" w:cs="Verdana"/>
          <w:sz w:val="19"/>
          <w:szCs w:val="19"/>
        </w:rPr>
        <w:t xml:space="preserve">There has also been a failure to consult </w:t>
      </w:r>
      <w:r w:rsidRPr="00E11978">
        <w:rPr>
          <w:rFonts w:ascii="Verdana" w:eastAsia="Verdana" w:hAnsi="Verdana" w:cs="Verdana"/>
          <w:sz w:val="19"/>
          <w:szCs w:val="19"/>
        </w:rPr>
        <w:t xml:space="preserve">with </w:t>
      </w:r>
      <w:r w:rsidRPr="00B46A79">
        <w:rPr>
          <w:rFonts w:ascii="Verdana" w:eastAsia="Verdana" w:hAnsi="Verdana" w:cs="Verdana"/>
          <w:sz w:val="19"/>
          <w:szCs w:val="19"/>
        </w:rPr>
        <w:t xml:space="preserve">women’s organisations, including the Dutch CEDAW Network and most NGOs </w:t>
      </w:r>
      <w:r w:rsidRPr="00E11978">
        <w:rPr>
          <w:rFonts w:ascii="Verdana" w:eastAsia="Verdana" w:hAnsi="Verdana" w:cs="Verdana"/>
          <w:sz w:val="19"/>
          <w:szCs w:val="19"/>
        </w:rPr>
        <w:t xml:space="preserve">that endorsed both </w:t>
      </w:r>
      <w:r w:rsidRPr="00B46A79">
        <w:rPr>
          <w:rFonts w:ascii="Verdana" w:eastAsia="Verdana" w:hAnsi="Verdana" w:cs="Verdana"/>
          <w:sz w:val="19"/>
          <w:szCs w:val="19"/>
        </w:rPr>
        <w:t>shadow reports. The November 2024 Emancipation Policy letter notably avoids the term “gender” altogether</w:t>
      </w:r>
      <w:r w:rsidR="00933753">
        <w:rPr>
          <w:rFonts w:ascii="Verdana" w:eastAsia="Verdana" w:hAnsi="Verdana" w:cs="Verdana"/>
          <w:sz w:val="19"/>
          <w:szCs w:val="19"/>
          <w:vertAlign w:val="superscript"/>
        </w:rPr>
        <w:t>2</w:t>
      </w:r>
      <w:r w:rsidRPr="00B46A79">
        <w:rPr>
          <w:rFonts w:ascii="Verdana" w:eastAsia="Verdana" w:hAnsi="Verdana" w:cs="Verdana"/>
          <w:sz w:val="19"/>
          <w:szCs w:val="19"/>
        </w:rPr>
        <w:t>, signalling a deliberate policy shift that undermines</w:t>
      </w:r>
      <w:r w:rsidR="00672491">
        <w:rPr>
          <w:rFonts w:ascii="Verdana" w:eastAsia="Verdana" w:hAnsi="Verdana" w:cs="Verdana"/>
          <w:sz w:val="19"/>
          <w:szCs w:val="19"/>
        </w:rPr>
        <w:t xml:space="preserve"> the</w:t>
      </w:r>
      <w:r w:rsidRPr="00B46A79">
        <w:rPr>
          <w:rFonts w:ascii="Verdana" w:eastAsia="Verdana" w:hAnsi="Verdana" w:cs="Verdana"/>
          <w:sz w:val="19"/>
          <w:szCs w:val="19"/>
        </w:rPr>
        <w:t xml:space="preserve"> long-established intersectional approaches and obligations under the Convention.</w:t>
      </w:r>
    </w:p>
    <w:p w14:paraId="4162B235" w14:textId="4E0213A7" w:rsidR="000C472C" w:rsidRPr="00B46A79" w:rsidRDefault="000C472C" w:rsidP="007B3895">
      <w:pPr>
        <w:pStyle w:val="Lijstalinea"/>
        <w:numPr>
          <w:ilvl w:val="0"/>
          <w:numId w:val="5"/>
        </w:numPr>
        <w:spacing w:line="240" w:lineRule="auto"/>
        <w:ind w:left="720"/>
        <w:rPr>
          <w:rFonts w:ascii="Verdana" w:eastAsia="Verdana" w:hAnsi="Verdana" w:cs="Verdana"/>
          <w:sz w:val="19"/>
          <w:szCs w:val="19"/>
        </w:rPr>
      </w:pPr>
      <w:r w:rsidRPr="00B46A79">
        <w:rPr>
          <w:rFonts w:ascii="Verdana" w:eastAsia="Verdana" w:hAnsi="Verdana" w:cs="Verdana"/>
          <w:sz w:val="19"/>
          <w:szCs w:val="19"/>
        </w:rPr>
        <w:t xml:space="preserve">NGOs are further concerned about </w:t>
      </w:r>
      <w:r w:rsidRPr="00B46A79">
        <w:rPr>
          <w:rFonts w:ascii="Verdana" w:eastAsia="Verdana" w:hAnsi="Verdana" w:cs="Verdana"/>
          <w:b/>
          <w:bCs/>
          <w:sz w:val="19"/>
          <w:szCs w:val="19"/>
        </w:rPr>
        <w:t>the rise in mis- and disinformation</w:t>
      </w:r>
      <w:r w:rsidRPr="00E11978">
        <w:rPr>
          <w:rFonts w:ascii="Verdana" w:eastAsia="Verdana" w:hAnsi="Verdana" w:cs="Verdana"/>
          <w:sz w:val="19"/>
          <w:szCs w:val="19"/>
        </w:rPr>
        <w:t>, which is</w:t>
      </w:r>
      <w:r w:rsidR="00FA714C">
        <w:rPr>
          <w:rFonts w:ascii="Verdana" w:eastAsia="Verdana" w:hAnsi="Verdana" w:cs="Verdana"/>
          <w:sz w:val="19"/>
          <w:szCs w:val="19"/>
        </w:rPr>
        <w:t xml:space="preserve"> </w:t>
      </w:r>
      <w:r w:rsidRPr="00B46A79">
        <w:rPr>
          <w:rFonts w:ascii="Verdana" w:eastAsia="Verdana" w:hAnsi="Verdana" w:cs="Verdana"/>
          <w:sz w:val="19"/>
          <w:szCs w:val="19"/>
        </w:rPr>
        <w:t>often unchallenged or even amplified by government actors and threatens evidence-based policymaking. The erosion of trust in facts and the growing influence of ideological</w:t>
      </w:r>
      <w:r w:rsidR="00672491">
        <w:rPr>
          <w:rFonts w:ascii="Verdana" w:eastAsia="Verdana" w:hAnsi="Verdana" w:cs="Verdana"/>
          <w:sz w:val="19"/>
          <w:szCs w:val="19"/>
        </w:rPr>
        <w:t>ly</w:t>
      </w:r>
      <w:r w:rsidRPr="00B46A79">
        <w:rPr>
          <w:rFonts w:ascii="Verdana" w:eastAsia="Verdana" w:hAnsi="Verdana" w:cs="Verdana"/>
          <w:sz w:val="19"/>
          <w:szCs w:val="19"/>
        </w:rPr>
        <w:t xml:space="preserve"> </w:t>
      </w:r>
      <w:r w:rsidRPr="00E11978">
        <w:rPr>
          <w:rFonts w:ascii="Verdana" w:eastAsia="Verdana" w:hAnsi="Verdana" w:cs="Verdana"/>
          <w:sz w:val="19"/>
          <w:szCs w:val="19"/>
        </w:rPr>
        <w:t xml:space="preserve">driven </w:t>
      </w:r>
      <w:r w:rsidRPr="00B46A79">
        <w:rPr>
          <w:rFonts w:ascii="Verdana" w:eastAsia="Verdana" w:hAnsi="Verdana" w:cs="Verdana"/>
          <w:sz w:val="19"/>
          <w:szCs w:val="19"/>
        </w:rPr>
        <w:t xml:space="preserve">narratives weaken democratic debate and hinder effective responses to gender inequality, </w:t>
      </w:r>
      <w:r w:rsidRPr="00E11978">
        <w:rPr>
          <w:rFonts w:ascii="Verdana" w:eastAsia="Verdana" w:hAnsi="Verdana" w:cs="Verdana"/>
          <w:sz w:val="19"/>
          <w:szCs w:val="19"/>
        </w:rPr>
        <w:t xml:space="preserve">thereby </w:t>
      </w:r>
      <w:r w:rsidRPr="00B46A79">
        <w:rPr>
          <w:rFonts w:ascii="Verdana" w:eastAsia="Verdana" w:hAnsi="Verdana" w:cs="Verdana"/>
          <w:sz w:val="19"/>
          <w:szCs w:val="19"/>
        </w:rPr>
        <w:t>putting women’s rights and safety at</w:t>
      </w:r>
      <w:r w:rsidR="00672491">
        <w:rPr>
          <w:rFonts w:ascii="Verdana" w:eastAsia="Verdana" w:hAnsi="Verdana" w:cs="Verdana"/>
          <w:sz w:val="19"/>
          <w:szCs w:val="19"/>
        </w:rPr>
        <w:t xml:space="preserve"> a</w:t>
      </w:r>
      <w:r w:rsidRPr="00B46A79">
        <w:rPr>
          <w:rFonts w:ascii="Verdana" w:eastAsia="Verdana" w:hAnsi="Verdana" w:cs="Verdana"/>
          <w:sz w:val="19"/>
          <w:szCs w:val="19"/>
        </w:rPr>
        <w:t xml:space="preserve"> heightened risk.</w:t>
      </w:r>
    </w:p>
    <w:p w14:paraId="5C3DF76F" w14:textId="20E71B67" w:rsidR="000C472C" w:rsidRPr="00B46A79" w:rsidRDefault="000C472C" w:rsidP="007B3895">
      <w:pPr>
        <w:tabs>
          <w:tab w:val="right" w:pos="9029"/>
        </w:tabs>
        <w:spacing w:line="240" w:lineRule="auto"/>
        <w:rPr>
          <w:rFonts w:ascii="Verdana" w:eastAsia="Verdana" w:hAnsi="Verdana" w:cs="Verdana"/>
          <w:b/>
          <w:bCs/>
          <w:sz w:val="19"/>
          <w:szCs w:val="19"/>
        </w:rPr>
      </w:pPr>
    </w:p>
    <w:p w14:paraId="504A512A" w14:textId="77777777" w:rsidR="000C472C" w:rsidRPr="00B46A79" w:rsidRDefault="000C472C" w:rsidP="007B3895">
      <w:pPr>
        <w:tabs>
          <w:tab w:val="right" w:pos="9029"/>
        </w:tabs>
        <w:spacing w:line="240" w:lineRule="auto"/>
        <w:rPr>
          <w:rFonts w:ascii="Verdana" w:eastAsia="Verdana" w:hAnsi="Verdana" w:cs="Verdana"/>
          <w:b/>
          <w:bCs/>
          <w:sz w:val="19"/>
          <w:szCs w:val="19"/>
        </w:rPr>
      </w:pPr>
      <w:r w:rsidRPr="00B46A79">
        <w:rPr>
          <w:rFonts w:ascii="Verdana" w:eastAsia="Verdana" w:hAnsi="Verdana" w:cs="Verdana"/>
          <w:b/>
          <w:bCs/>
          <w:sz w:val="19"/>
          <w:szCs w:val="19"/>
        </w:rPr>
        <w:t>UPDATES</w:t>
      </w:r>
      <w:r w:rsidRPr="00B46A79">
        <w:rPr>
          <w:rFonts w:ascii="Verdana" w:hAnsi="Verdana"/>
          <w:sz w:val="19"/>
          <w:szCs w:val="19"/>
        </w:rPr>
        <w:tab/>
      </w:r>
    </w:p>
    <w:p w14:paraId="4E188B0E" w14:textId="30282F2C" w:rsidR="000C472C" w:rsidRPr="00B46A79" w:rsidRDefault="000C472C" w:rsidP="2391D912">
      <w:pPr>
        <w:numPr>
          <w:ilvl w:val="0"/>
          <w:numId w:val="4"/>
        </w:numPr>
        <w:pBdr>
          <w:top w:val="nil"/>
          <w:left w:val="nil"/>
          <w:bottom w:val="nil"/>
          <w:right w:val="nil"/>
          <w:between w:val="nil"/>
        </w:pBdr>
        <w:tabs>
          <w:tab w:val="left" w:pos="284"/>
        </w:tabs>
        <w:spacing w:line="240" w:lineRule="auto"/>
        <w:ind w:left="0" w:firstLine="0"/>
        <w:rPr>
          <w:rFonts w:ascii="Verdana" w:eastAsia="Verdana" w:hAnsi="Verdana" w:cs="Verdana"/>
          <w:color w:val="000000"/>
          <w:sz w:val="19"/>
          <w:szCs w:val="19"/>
        </w:rPr>
      </w:pPr>
      <w:r w:rsidRPr="00B46A79">
        <w:rPr>
          <w:rFonts w:ascii="Verdana" w:eastAsia="Verdana" w:hAnsi="Verdana" w:cs="Verdana"/>
          <w:color w:val="000000"/>
          <w:sz w:val="19"/>
          <w:szCs w:val="19"/>
        </w:rPr>
        <w:t xml:space="preserve">The Shadow Report 2024 was finalised during a transitional government period. Similarly, the Addendum to the Shadow Report was completed amidst political instability. </w:t>
      </w:r>
      <w:r w:rsidRPr="00B46A79">
        <w:rPr>
          <w:rFonts w:ascii="Verdana" w:eastAsia="Verdana" w:hAnsi="Verdana" w:cs="Verdana"/>
          <w:color w:val="000000" w:themeColor="text1"/>
          <w:sz w:val="19"/>
          <w:szCs w:val="19"/>
        </w:rPr>
        <w:t xml:space="preserve">On 2 June 2025, the government </w:t>
      </w:r>
      <w:r w:rsidRPr="00E11978">
        <w:rPr>
          <w:rFonts w:ascii="Verdana" w:eastAsia="Verdana" w:hAnsi="Verdana" w:cs="Verdana"/>
          <w:color w:val="000000" w:themeColor="text1"/>
          <w:sz w:val="19"/>
          <w:szCs w:val="19"/>
        </w:rPr>
        <w:t>fell</w:t>
      </w:r>
      <w:r w:rsidRPr="00B46A79">
        <w:rPr>
          <w:rFonts w:ascii="Verdana" w:eastAsia="Verdana" w:hAnsi="Verdana" w:cs="Verdana"/>
          <w:color w:val="000000" w:themeColor="text1"/>
          <w:sz w:val="19"/>
          <w:szCs w:val="19"/>
        </w:rPr>
        <w:t xml:space="preserve"> after 11 months.</w:t>
      </w:r>
      <w:r w:rsidRPr="00B46A79">
        <w:rPr>
          <w:rFonts w:ascii="Verdana" w:eastAsia="Verdana" w:hAnsi="Verdana" w:cs="Verdana"/>
          <w:color w:val="000000"/>
          <w:sz w:val="19"/>
          <w:szCs w:val="19"/>
        </w:rPr>
        <w:t xml:space="preserve"> </w:t>
      </w:r>
      <w:r w:rsidR="002E52A5" w:rsidRPr="002E52A5">
        <w:rPr>
          <w:rFonts w:ascii="Verdana" w:eastAsia="Verdana" w:hAnsi="Verdana" w:cs="Verdana"/>
          <w:color w:val="000000" w:themeColor="text1"/>
          <w:sz w:val="19"/>
          <w:szCs w:val="19"/>
        </w:rPr>
        <w:t xml:space="preserve">Ten days later, the caretaker cabinet introduced </w:t>
      </w:r>
      <w:r w:rsidR="002E52A5" w:rsidRPr="00672491">
        <w:rPr>
          <w:rFonts w:ascii="Verdana" w:eastAsia="Verdana" w:hAnsi="Verdana" w:cs="Verdana"/>
          <w:b/>
          <w:bCs/>
          <w:color w:val="000000" w:themeColor="text1"/>
          <w:sz w:val="19"/>
          <w:szCs w:val="19"/>
        </w:rPr>
        <w:t>a new Emancipation White Paper</w:t>
      </w:r>
      <w:r w:rsidR="002E52A5" w:rsidRPr="002E52A5">
        <w:rPr>
          <w:rFonts w:ascii="Verdana" w:eastAsia="Verdana" w:hAnsi="Verdana" w:cs="Verdana"/>
          <w:color w:val="000000" w:themeColor="text1"/>
          <w:sz w:val="19"/>
          <w:szCs w:val="19"/>
        </w:rPr>
        <w:t xml:space="preserve"> that replaces the former and </w:t>
      </w:r>
      <w:r w:rsidR="002E52A5" w:rsidRPr="00672491">
        <w:rPr>
          <w:rFonts w:ascii="Verdana" w:eastAsia="Verdana" w:hAnsi="Verdana" w:cs="Verdana"/>
          <w:b/>
          <w:bCs/>
          <w:color w:val="000000" w:themeColor="text1"/>
          <w:sz w:val="19"/>
          <w:szCs w:val="19"/>
        </w:rPr>
        <w:t>signals reduced alignment with CEDAW</w:t>
      </w:r>
      <w:r w:rsidR="002E52A5" w:rsidRPr="002E52A5">
        <w:rPr>
          <w:rFonts w:ascii="Verdana" w:eastAsia="Verdana" w:hAnsi="Verdana" w:cs="Verdana"/>
          <w:color w:val="000000" w:themeColor="text1"/>
          <w:sz w:val="19"/>
          <w:szCs w:val="19"/>
        </w:rPr>
        <w:t>.</w:t>
      </w:r>
      <w:r w:rsidR="00DA33B0">
        <w:rPr>
          <w:rStyle w:val="Voetnootmarkering"/>
          <w:rFonts w:ascii="Verdana" w:eastAsia="Verdana" w:hAnsi="Verdana" w:cs="Verdana"/>
          <w:color w:val="000000" w:themeColor="text1"/>
          <w:sz w:val="19"/>
          <w:szCs w:val="19"/>
        </w:rPr>
        <w:footnoteReference w:id="1"/>
      </w:r>
      <w:r w:rsidR="00DA33B0">
        <w:rPr>
          <w:rFonts w:ascii="Verdana" w:eastAsia="Verdana" w:hAnsi="Verdana" w:cs="Verdana"/>
          <w:color w:val="000000" w:themeColor="text1"/>
          <w:sz w:val="19"/>
          <w:szCs w:val="19"/>
        </w:rPr>
        <w:t xml:space="preserve"> </w:t>
      </w:r>
      <w:r w:rsidR="00A02052">
        <w:rPr>
          <w:rFonts w:ascii="Verdana" w:eastAsia="Verdana" w:hAnsi="Verdana" w:cs="Verdana"/>
          <w:color w:val="000000" w:themeColor="text1"/>
          <w:sz w:val="19"/>
          <w:szCs w:val="19"/>
        </w:rPr>
        <w:t>P</w:t>
      </w:r>
      <w:r w:rsidRPr="00B46A79">
        <w:rPr>
          <w:rFonts w:ascii="Verdana" w:eastAsia="Verdana" w:hAnsi="Verdana" w:cs="Verdana"/>
          <w:color w:val="000000" w:themeColor="text1"/>
          <w:sz w:val="19"/>
          <w:szCs w:val="19"/>
        </w:rPr>
        <w:t>arliamentary elections were held on 29 October 2025, and negotiations for a new government are currently underway.</w:t>
      </w:r>
    </w:p>
    <w:p w14:paraId="1E9B66EA" w14:textId="77777777" w:rsidR="000C472C" w:rsidRPr="00B46A79" w:rsidRDefault="000C472C" w:rsidP="007B3895">
      <w:pPr>
        <w:spacing w:line="240" w:lineRule="auto"/>
        <w:rPr>
          <w:rFonts w:ascii="Verdana" w:eastAsia="Verdana" w:hAnsi="Verdana" w:cs="Verdana"/>
          <w:b/>
          <w:bCs/>
          <w:i/>
          <w:iCs/>
          <w:sz w:val="19"/>
          <w:szCs w:val="19"/>
        </w:rPr>
      </w:pPr>
    </w:p>
    <w:p w14:paraId="4AC7D5C8" w14:textId="27F17EB6" w:rsidR="000C472C" w:rsidRPr="00B46A79" w:rsidRDefault="000C472C" w:rsidP="2391D912">
      <w:pPr>
        <w:numPr>
          <w:ilvl w:val="0"/>
          <w:numId w:val="4"/>
        </w:numPr>
        <w:pBdr>
          <w:top w:val="nil"/>
          <w:left w:val="nil"/>
          <w:bottom w:val="nil"/>
          <w:right w:val="nil"/>
          <w:between w:val="nil"/>
        </w:pBdr>
        <w:tabs>
          <w:tab w:val="left" w:pos="426"/>
        </w:tabs>
        <w:spacing w:line="240" w:lineRule="auto"/>
        <w:ind w:left="0" w:firstLine="0"/>
        <w:rPr>
          <w:rFonts w:ascii="Verdana" w:eastAsia="Verdana" w:hAnsi="Verdana" w:cs="Verdana"/>
          <w:color w:val="000000"/>
          <w:sz w:val="19"/>
          <w:szCs w:val="19"/>
        </w:rPr>
      </w:pPr>
      <w:r w:rsidRPr="00B46A79">
        <w:rPr>
          <w:rFonts w:ascii="Verdana" w:eastAsia="Verdana" w:hAnsi="Verdana" w:cs="Verdana"/>
          <w:color w:val="000000" w:themeColor="text1"/>
          <w:sz w:val="19"/>
          <w:szCs w:val="19"/>
        </w:rPr>
        <w:t xml:space="preserve">The government has decided that the new ODA funding mechanisms for NGOs cannot be used for any lobby or advocacy activities in the Netherlands. This </w:t>
      </w:r>
      <w:r w:rsidRPr="00672491">
        <w:rPr>
          <w:rFonts w:ascii="Verdana" w:eastAsia="Verdana" w:hAnsi="Verdana" w:cs="Verdana"/>
          <w:b/>
          <w:bCs/>
          <w:color w:val="000000" w:themeColor="text1"/>
          <w:sz w:val="19"/>
          <w:szCs w:val="19"/>
        </w:rPr>
        <w:t>significantly curtails civic space and limits NGOs</w:t>
      </w:r>
      <w:r w:rsidR="00416BF6">
        <w:rPr>
          <w:rFonts w:ascii="Verdana" w:eastAsia="Verdana" w:hAnsi="Verdana" w:cs="Verdana"/>
          <w:b/>
          <w:bCs/>
          <w:color w:val="000000" w:themeColor="text1"/>
          <w:sz w:val="19"/>
          <w:szCs w:val="19"/>
        </w:rPr>
        <w:t>’ ability</w:t>
      </w:r>
      <w:r w:rsidRPr="00672491">
        <w:rPr>
          <w:rFonts w:ascii="Verdana" w:eastAsia="Verdana" w:hAnsi="Verdana" w:cs="Verdana"/>
          <w:b/>
          <w:bCs/>
          <w:color w:val="000000" w:themeColor="text1"/>
          <w:sz w:val="19"/>
          <w:szCs w:val="19"/>
        </w:rPr>
        <w:t xml:space="preserve"> to hold the Duch government accountable for its international commitments, including CEDAW</w:t>
      </w:r>
      <w:r w:rsidRPr="00B46A79">
        <w:rPr>
          <w:rFonts w:ascii="Verdana" w:eastAsia="Verdana" w:hAnsi="Verdana" w:cs="Verdana"/>
          <w:color w:val="000000" w:themeColor="text1"/>
          <w:sz w:val="19"/>
          <w:szCs w:val="19"/>
        </w:rPr>
        <w:t>. In December 2025</w:t>
      </w:r>
      <w:r w:rsidR="00416BF6">
        <w:rPr>
          <w:rFonts w:ascii="Verdana" w:eastAsia="Verdana" w:hAnsi="Verdana" w:cs="Verdana"/>
          <w:color w:val="000000" w:themeColor="text1"/>
          <w:sz w:val="19"/>
          <w:szCs w:val="19"/>
        </w:rPr>
        <w:t>,</w:t>
      </w:r>
      <w:r w:rsidRPr="00B46A79">
        <w:rPr>
          <w:rFonts w:ascii="Verdana" w:eastAsia="Verdana" w:hAnsi="Verdana" w:cs="Verdana"/>
          <w:color w:val="000000" w:themeColor="text1"/>
          <w:sz w:val="19"/>
          <w:szCs w:val="19"/>
        </w:rPr>
        <w:t xml:space="preserve"> </w:t>
      </w:r>
      <w:r w:rsidR="00FA714C">
        <w:rPr>
          <w:rFonts w:ascii="Verdana" w:eastAsia="Verdana" w:hAnsi="Verdana" w:cs="Verdana"/>
          <w:color w:val="000000" w:themeColor="text1"/>
          <w:sz w:val="19"/>
          <w:szCs w:val="19"/>
        </w:rPr>
        <w:t xml:space="preserve">the </w:t>
      </w:r>
      <w:r w:rsidRPr="00B46A79">
        <w:rPr>
          <w:rFonts w:ascii="Verdana" w:eastAsia="Verdana" w:hAnsi="Verdana" w:cs="Verdana"/>
          <w:color w:val="000000" w:themeColor="text1"/>
          <w:sz w:val="19"/>
          <w:szCs w:val="19"/>
        </w:rPr>
        <w:t>S</w:t>
      </w:r>
      <w:r w:rsidRPr="00B46A79">
        <w:rPr>
          <w:rFonts w:ascii="Verdana" w:eastAsia="Verdana" w:hAnsi="Verdana" w:cs="Verdana"/>
          <w:sz w:val="19"/>
          <w:szCs w:val="19"/>
        </w:rPr>
        <w:t xml:space="preserve">tate Secretary rejected a motion that would </w:t>
      </w:r>
      <w:r w:rsidRPr="00E11978">
        <w:rPr>
          <w:rFonts w:ascii="Verdana" w:eastAsia="Verdana" w:hAnsi="Verdana" w:cs="Verdana"/>
          <w:sz w:val="19"/>
          <w:szCs w:val="19"/>
        </w:rPr>
        <w:t xml:space="preserve">have </w:t>
      </w:r>
      <w:r w:rsidRPr="00B46A79">
        <w:rPr>
          <w:rFonts w:ascii="Verdana" w:eastAsia="Verdana" w:hAnsi="Verdana" w:cs="Verdana"/>
          <w:sz w:val="19"/>
          <w:szCs w:val="19"/>
        </w:rPr>
        <w:t>allow</w:t>
      </w:r>
      <w:r w:rsidRPr="00E11978">
        <w:rPr>
          <w:rFonts w:ascii="Verdana" w:eastAsia="Verdana" w:hAnsi="Verdana" w:cs="Verdana"/>
          <w:sz w:val="19"/>
          <w:szCs w:val="19"/>
        </w:rPr>
        <w:t>ed</w:t>
      </w:r>
      <w:r w:rsidRPr="00B46A79">
        <w:rPr>
          <w:rFonts w:ascii="Verdana" w:eastAsia="Verdana" w:hAnsi="Verdana" w:cs="Verdana"/>
          <w:sz w:val="19"/>
          <w:szCs w:val="19"/>
        </w:rPr>
        <w:t xml:space="preserve"> NGOs to </w:t>
      </w:r>
      <w:r w:rsidR="00754461">
        <w:rPr>
          <w:rFonts w:ascii="Verdana" w:eastAsia="Verdana" w:hAnsi="Verdana" w:cs="Verdana"/>
          <w:sz w:val="19"/>
          <w:szCs w:val="19"/>
        </w:rPr>
        <w:t xml:space="preserve">again </w:t>
      </w:r>
      <w:r w:rsidRPr="00B46A79">
        <w:rPr>
          <w:rFonts w:ascii="Verdana" w:eastAsia="Verdana" w:hAnsi="Verdana" w:cs="Verdana"/>
          <w:sz w:val="19"/>
          <w:szCs w:val="19"/>
        </w:rPr>
        <w:t>receive funding for lobbying in The Hague.</w:t>
      </w:r>
      <w:r w:rsidR="00933753" w:rsidRPr="00933753">
        <w:rPr>
          <w:rFonts w:ascii="Verdana" w:eastAsia="Verdana" w:hAnsi="Verdana" w:cs="Verdana"/>
          <w:sz w:val="19"/>
          <w:szCs w:val="19"/>
          <w:vertAlign w:val="superscript"/>
        </w:rPr>
        <w:t xml:space="preserve"> </w:t>
      </w:r>
      <w:r w:rsidR="00933753">
        <w:rPr>
          <w:rFonts w:ascii="Verdana" w:eastAsia="Verdana" w:hAnsi="Verdana" w:cs="Verdana"/>
          <w:sz w:val="19"/>
          <w:szCs w:val="19"/>
          <w:vertAlign w:val="superscript"/>
        </w:rPr>
        <w:t>3</w:t>
      </w:r>
      <w:r w:rsidRPr="00B46A79">
        <w:rPr>
          <w:rFonts w:ascii="Verdana" w:eastAsia="Verdana" w:hAnsi="Verdana" w:cs="Verdana"/>
          <w:color w:val="000000" w:themeColor="text1"/>
          <w:sz w:val="19"/>
          <w:szCs w:val="19"/>
        </w:rPr>
        <w:t xml:space="preserve"> </w:t>
      </w:r>
      <w:r w:rsidRPr="2391D912">
        <w:rPr>
          <w:rFonts w:ascii="Verdana" w:eastAsia="Verdana" w:hAnsi="Verdana" w:cs="Verdana"/>
          <w:i/>
          <w:iCs/>
          <w:color w:val="000000"/>
          <w:sz w:val="19"/>
          <w:szCs w:val="19"/>
        </w:rPr>
        <w:t>(Update Shadow Report 2024, para 10; Shadow Report 2021, para 6)</w:t>
      </w:r>
    </w:p>
    <w:p w14:paraId="6D078856" w14:textId="77777777" w:rsidR="000C472C" w:rsidRPr="00B46A79" w:rsidRDefault="000C472C" w:rsidP="007B3895">
      <w:pPr>
        <w:pBdr>
          <w:top w:val="nil"/>
          <w:left w:val="nil"/>
          <w:bottom w:val="nil"/>
          <w:right w:val="nil"/>
          <w:between w:val="nil"/>
        </w:pBdr>
        <w:tabs>
          <w:tab w:val="left" w:pos="426"/>
        </w:tabs>
        <w:spacing w:line="240" w:lineRule="auto"/>
        <w:rPr>
          <w:rFonts w:ascii="Verdana" w:eastAsia="Verdana" w:hAnsi="Verdana" w:cs="Verdana"/>
          <w:b/>
          <w:bCs/>
          <w:color w:val="000000"/>
          <w:sz w:val="19"/>
          <w:szCs w:val="19"/>
        </w:rPr>
      </w:pPr>
    </w:p>
    <w:p w14:paraId="7DBC8F6B" w14:textId="72EE7E35" w:rsidR="000C472C" w:rsidRPr="00B46A79" w:rsidRDefault="41FED085" w:rsidP="41FED085">
      <w:pPr>
        <w:numPr>
          <w:ilvl w:val="0"/>
          <w:numId w:val="4"/>
        </w:numPr>
        <w:pBdr>
          <w:top w:val="nil"/>
          <w:left w:val="nil"/>
          <w:bottom w:val="nil"/>
          <w:right w:val="nil"/>
          <w:between w:val="nil"/>
        </w:pBdr>
        <w:tabs>
          <w:tab w:val="left" w:pos="426"/>
        </w:tabs>
        <w:spacing w:line="240" w:lineRule="auto"/>
        <w:ind w:left="0" w:firstLine="0"/>
        <w:rPr>
          <w:rFonts w:ascii="Verdana" w:eastAsia="Verdana" w:hAnsi="Verdana" w:cs="Verdana"/>
          <w:color w:val="000000"/>
          <w:sz w:val="19"/>
          <w:szCs w:val="19"/>
        </w:rPr>
      </w:pPr>
      <w:r w:rsidRPr="41FED085">
        <w:rPr>
          <w:rFonts w:ascii="Verdana" w:eastAsia="Verdana" w:hAnsi="Verdana" w:cs="Verdana"/>
          <w:color w:val="000000" w:themeColor="text1"/>
          <w:sz w:val="19"/>
          <w:szCs w:val="19"/>
        </w:rPr>
        <w:t xml:space="preserve">The government has formally </w:t>
      </w:r>
      <w:r w:rsidRPr="00672491">
        <w:rPr>
          <w:rFonts w:ascii="Verdana" w:eastAsia="Verdana" w:hAnsi="Verdana" w:cs="Verdana"/>
          <w:b/>
          <w:bCs/>
          <w:color w:val="000000" w:themeColor="text1"/>
          <w:sz w:val="19"/>
          <w:szCs w:val="19"/>
        </w:rPr>
        <w:t>ended its commitment to Feminist Foreign Policy and implemented substantial budget cuts on gender equality programmes</w:t>
      </w:r>
      <w:r w:rsidRPr="41FED085">
        <w:rPr>
          <w:rFonts w:ascii="Verdana" w:eastAsia="Verdana" w:hAnsi="Verdana" w:cs="Verdana"/>
          <w:color w:val="000000" w:themeColor="text1"/>
          <w:sz w:val="19"/>
          <w:szCs w:val="19"/>
        </w:rPr>
        <w:t xml:space="preserve"> within the Ministry of Foreign Affairs. This means a reduction of €20 million in annual funding, affecting 2,291 women’s organisations worldwide, on top of a budget cut of </w:t>
      </w:r>
      <w:r w:rsidR="00D55505" w:rsidRPr="41FED085">
        <w:rPr>
          <w:rFonts w:ascii="Verdana" w:eastAsia="Verdana" w:hAnsi="Verdana" w:cs="Verdana"/>
          <w:color w:val="000000" w:themeColor="text1"/>
          <w:sz w:val="19"/>
          <w:szCs w:val="19"/>
        </w:rPr>
        <w:t>€</w:t>
      </w:r>
      <w:r w:rsidRPr="41FED085">
        <w:rPr>
          <w:rFonts w:ascii="Verdana" w:eastAsia="Verdana" w:hAnsi="Verdana" w:cs="Verdana"/>
          <w:color w:val="000000" w:themeColor="text1"/>
          <w:sz w:val="19"/>
          <w:szCs w:val="19"/>
        </w:rPr>
        <w:t xml:space="preserve">300 million. </w:t>
      </w:r>
      <w:r w:rsidRPr="41FED085">
        <w:rPr>
          <w:rFonts w:ascii="Verdana" w:eastAsia="Verdana" w:hAnsi="Verdana" w:cs="Verdana"/>
          <w:i/>
          <w:iCs/>
          <w:color w:val="000000" w:themeColor="text1"/>
          <w:sz w:val="19"/>
          <w:szCs w:val="19"/>
        </w:rPr>
        <w:t>(Update Shadow Report 2024, para 7)</w:t>
      </w:r>
    </w:p>
    <w:p w14:paraId="0A042D1E" w14:textId="77777777" w:rsidR="00B818C8" w:rsidRPr="00B818C8" w:rsidRDefault="00B818C8" w:rsidP="00B818C8">
      <w:pPr>
        <w:rPr>
          <w:rFonts w:ascii="Verdana" w:eastAsia="Verdana" w:hAnsi="Verdana" w:cs="Verdana"/>
          <w:color w:val="000000"/>
          <w:sz w:val="19"/>
          <w:szCs w:val="19"/>
        </w:rPr>
      </w:pPr>
    </w:p>
    <w:p w14:paraId="2CCE8655" w14:textId="426CB3C9" w:rsidR="00B818C8" w:rsidRPr="00B46A79" w:rsidRDefault="00B818C8" w:rsidP="6F7774D1">
      <w:pPr>
        <w:numPr>
          <w:ilvl w:val="0"/>
          <w:numId w:val="4"/>
        </w:numPr>
        <w:pBdr>
          <w:top w:val="nil"/>
          <w:left w:val="nil"/>
          <w:bottom w:val="nil"/>
          <w:right w:val="nil"/>
          <w:between w:val="nil"/>
        </w:pBdr>
        <w:tabs>
          <w:tab w:val="left" w:pos="426"/>
        </w:tabs>
        <w:spacing w:line="240" w:lineRule="auto"/>
        <w:ind w:left="0" w:firstLine="0"/>
        <w:rPr>
          <w:rFonts w:ascii="Verdana" w:eastAsia="Verdana" w:hAnsi="Verdana" w:cs="Verdana"/>
          <w:color w:val="000000"/>
          <w:sz w:val="19"/>
          <w:szCs w:val="19"/>
        </w:rPr>
      </w:pPr>
      <w:r w:rsidRPr="00B818C8">
        <w:rPr>
          <w:rFonts w:ascii="Verdana" w:eastAsia="Verdana" w:hAnsi="Verdana" w:cs="Verdana"/>
          <w:color w:val="000000"/>
          <w:sz w:val="19"/>
          <w:szCs w:val="19"/>
        </w:rPr>
        <w:t>In its</w:t>
      </w:r>
      <w:r>
        <w:rPr>
          <w:rFonts w:ascii="Verdana" w:eastAsia="Verdana" w:hAnsi="Verdana" w:cs="Verdana"/>
          <w:color w:val="000000"/>
          <w:sz w:val="19"/>
          <w:szCs w:val="19"/>
        </w:rPr>
        <w:t xml:space="preserve"> </w:t>
      </w:r>
      <w:r w:rsidRPr="00B818C8">
        <w:rPr>
          <w:rFonts w:ascii="Verdana" w:eastAsia="Verdana" w:hAnsi="Verdana" w:cs="Verdana"/>
          <w:b/>
          <w:bCs/>
          <w:color w:val="000000"/>
          <w:sz w:val="19"/>
          <w:szCs w:val="19"/>
        </w:rPr>
        <w:t>recent view</w:t>
      </w:r>
      <w:r w:rsidRPr="00B818C8">
        <w:rPr>
          <w:rFonts w:ascii="Verdana" w:eastAsia="Verdana" w:hAnsi="Verdana" w:cs="Verdana"/>
          <w:color w:val="000000"/>
          <w:sz w:val="19"/>
          <w:szCs w:val="19"/>
        </w:rPr>
        <w:t xml:space="preserve"> (CEDAW/C/90/D/162/2020,</w:t>
      </w:r>
      <w:r>
        <w:rPr>
          <w:rFonts w:ascii="Verdana" w:eastAsia="Verdana" w:hAnsi="Verdana" w:cs="Verdana"/>
          <w:color w:val="000000"/>
          <w:sz w:val="19"/>
          <w:szCs w:val="19"/>
        </w:rPr>
        <w:t xml:space="preserve"> </w:t>
      </w:r>
      <w:r w:rsidRPr="00B818C8">
        <w:rPr>
          <w:rFonts w:ascii="Verdana" w:eastAsia="Verdana" w:hAnsi="Verdana" w:cs="Verdana"/>
          <w:color w:val="000000"/>
          <w:sz w:val="19"/>
          <w:szCs w:val="19"/>
        </w:rPr>
        <w:t xml:space="preserve">February 2025), CEDAW found that the Netherlands </w:t>
      </w:r>
      <w:r w:rsidRPr="00B818C8">
        <w:rPr>
          <w:rFonts w:ascii="Verdana" w:eastAsia="Verdana" w:hAnsi="Verdana" w:cs="Verdana"/>
          <w:b/>
          <w:bCs/>
          <w:color w:val="000000"/>
          <w:sz w:val="19"/>
          <w:szCs w:val="19"/>
        </w:rPr>
        <w:t>discriminates in its regulations on name changes</w:t>
      </w:r>
      <w:r w:rsidRPr="00B818C8">
        <w:rPr>
          <w:rFonts w:ascii="Verdana" w:eastAsia="Verdana" w:hAnsi="Verdana" w:cs="Verdana"/>
          <w:color w:val="000000"/>
          <w:sz w:val="19"/>
          <w:szCs w:val="19"/>
        </w:rPr>
        <w:t xml:space="preserve">. The Committee ruled that a divorced woman must be allowed to regain her birth name free of charge. NGOs note that a settlement was reached between the author and the government. However, the government is vague about the general measures and timeline for new legislation to ensure </w:t>
      </w:r>
      <w:r w:rsidRPr="00B818C8">
        <w:rPr>
          <w:rFonts w:ascii="Verdana" w:eastAsia="Verdana" w:hAnsi="Verdana" w:cs="Verdana"/>
          <w:color w:val="000000"/>
          <w:sz w:val="19"/>
          <w:szCs w:val="19"/>
        </w:rPr>
        <w:lastRenderedPageBreak/>
        <w:t xml:space="preserve">that barriers are eliminated for women in the same position as the author, and as of this submission, has not proposed any temporary solution for affected </w:t>
      </w:r>
      <w:r w:rsidR="0062445D" w:rsidRPr="00B818C8">
        <w:rPr>
          <w:rFonts w:ascii="Verdana" w:eastAsia="Verdana" w:hAnsi="Verdana" w:cs="Verdana"/>
          <w:color w:val="000000"/>
          <w:sz w:val="19"/>
          <w:szCs w:val="19"/>
        </w:rPr>
        <w:t>wom</w:t>
      </w:r>
      <w:r w:rsidR="0062445D">
        <w:rPr>
          <w:rFonts w:ascii="Verdana" w:eastAsia="Verdana" w:hAnsi="Verdana" w:cs="Verdana"/>
          <w:color w:val="000000"/>
          <w:sz w:val="19"/>
          <w:szCs w:val="19"/>
        </w:rPr>
        <w:t>e</w:t>
      </w:r>
      <w:r w:rsidR="0062445D" w:rsidRPr="00B818C8">
        <w:rPr>
          <w:rFonts w:ascii="Verdana" w:eastAsia="Verdana" w:hAnsi="Verdana" w:cs="Verdana"/>
          <w:color w:val="000000"/>
          <w:sz w:val="19"/>
          <w:szCs w:val="19"/>
        </w:rPr>
        <w:t>n</w:t>
      </w:r>
      <w:r w:rsidRPr="00B818C8">
        <w:rPr>
          <w:rFonts w:ascii="Verdana" w:eastAsia="Verdana" w:hAnsi="Verdana" w:cs="Verdana"/>
          <w:color w:val="000000"/>
          <w:sz w:val="19"/>
          <w:szCs w:val="19"/>
        </w:rPr>
        <w:t>.</w:t>
      </w:r>
    </w:p>
    <w:p w14:paraId="4311AB72" w14:textId="77777777" w:rsidR="000C472C" w:rsidRPr="00B46A79" w:rsidRDefault="000C472C" w:rsidP="007B3895">
      <w:pPr>
        <w:spacing w:line="240" w:lineRule="auto"/>
        <w:rPr>
          <w:rFonts w:ascii="Verdana" w:eastAsia="Verdana" w:hAnsi="Verdana" w:cs="Verdana"/>
          <w:sz w:val="19"/>
          <w:szCs w:val="19"/>
        </w:rPr>
      </w:pPr>
    </w:p>
    <w:p w14:paraId="17EB173F" w14:textId="0A144F27" w:rsidR="000C472C" w:rsidRPr="00B46A79" w:rsidRDefault="32B62AFE" w:rsidP="32B62AFE">
      <w:pPr>
        <w:numPr>
          <w:ilvl w:val="0"/>
          <w:numId w:val="4"/>
        </w:numPr>
        <w:pBdr>
          <w:top w:val="nil"/>
          <w:left w:val="nil"/>
          <w:bottom w:val="nil"/>
          <w:right w:val="nil"/>
          <w:between w:val="nil"/>
        </w:pBdr>
        <w:tabs>
          <w:tab w:val="left" w:pos="426"/>
        </w:tabs>
        <w:spacing w:line="240" w:lineRule="auto"/>
        <w:ind w:left="0" w:firstLine="0"/>
        <w:rPr>
          <w:rFonts w:ascii="Verdana" w:eastAsia="Verdana" w:hAnsi="Verdana" w:cs="Verdana"/>
          <w:color w:val="000000"/>
          <w:sz w:val="19"/>
          <w:szCs w:val="19"/>
        </w:rPr>
      </w:pPr>
      <w:r w:rsidRPr="32B62AFE">
        <w:rPr>
          <w:rFonts w:ascii="Verdana" w:eastAsia="Verdana" w:hAnsi="Verdana" w:cs="Verdana"/>
          <w:color w:val="000000" w:themeColor="text1"/>
          <w:sz w:val="19"/>
          <w:szCs w:val="19"/>
        </w:rPr>
        <w:t xml:space="preserve">In 2024, Parliament passed two motions calling for a </w:t>
      </w:r>
      <w:r w:rsidRPr="32B62AFE">
        <w:rPr>
          <w:rFonts w:ascii="Verdana" w:eastAsia="Verdana" w:hAnsi="Verdana" w:cs="Verdana"/>
          <w:b/>
          <w:bCs/>
          <w:color w:val="000000" w:themeColor="text1"/>
          <w:sz w:val="19"/>
          <w:szCs w:val="19"/>
        </w:rPr>
        <w:t>ban on non-essential medical treatments for intersex children</w:t>
      </w:r>
      <w:r w:rsidRPr="32B62AFE">
        <w:rPr>
          <w:rFonts w:ascii="Verdana" w:eastAsia="Verdana" w:hAnsi="Verdana" w:cs="Verdana"/>
          <w:color w:val="000000" w:themeColor="text1"/>
          <w:sz w:val="19"/>
          <w:szCs w:val="19"/>
        </w:rPr>
        <w:t xml:space="preserve">, one of which urged immediate action. </w:t>
      </w:r>
      <w:r w:rsidRPr="32B62AFE">
        <w:rPr>
          <w:rFonts w:ascii="Verdana" w:eastAsia="Verdana" w:hAnsi="Verdana" w:cs="Verdana"/>
          <w:sz w:val="19"/>
          <w:szCs w:val="19"/>
        </w:rPr>
        <w:t>The 2025 Emancipation White Paper includes the launch of a study in summer 2025 into measures to prevent non-consensual, non-essential medical treatments on intersex children, a possible legal ban</w:t>
      </w:r>
      <w:r w:rsidR="00C86864">
        <w:rPr>
          <w:rFonts w:ascii="Verdana" w:eastAsia="Verdana" w:hAnsi="Verdana" w:cs="Verdana"/>
          <w:sz w:val="19"/>
          <w:szCs w:val="19"/>
        </w:rPr>
        <w:t>,</w:t>
      </w:r>
      <w:r w:rsidRPr="32B62AFE">
        <w:rPr>
          <w:rFonts w:ascii="Verdana" w:eastAsia="Verdana" w:hAnsi="Verdana" w:cs="Verdana"/>
          <w:sz w:val="19"/>
          <w:szCs w:val="19"/>
        </w:rPr>
        <w:t xml:space="preserve"> and lessons from other European countries. Results are expected somewhere in 2026. </w:t>
      </w:r>
      <w:r w:rsidRPr="32B62AFE">
        <w:rPr>
          <w:rFonts w:ascii="Verdana" w:eastAsia="Verdana" w:hAnsi="Verdana" w:cs="Verdana"/>
          <w:i/>
          <w:iCs/>
          <w:color w:val="000000" w:themeColor="text1"/>
          <w:sz w:val="19"/>
          <w:szCs w:val="19"/>
        </w:rPr>
        <w:t>(Update Shadow Report 2024, para 15)</w:t>
      </w:r>
    </w:p>
    <w:p w14:paraId="30E795C4" w14:textId="77777777" w:rsidR="000C472C" w:rsidRPr="00B46A79" w:rsidRDefault="000C472C" w:rsidP="007B3895">
      <w:pPr>
        <w:spacing w:line="240" w:lineRule="auto"/>
        <w:rPr>
          <w:rFonts w:ascii="Verdana" w:eastAsia="Verdana" w:hAnsi="Verdana" w:cs="Verdana"/>
          <w:sz w:val="19"/>
          <w:szCs w:val="19"/>
        </w:rPr>
      </w:pPr>
    </w:p>
    <w:p w14:paraId="3F695DCA" w14:textId="15E9BAB7" w:rsidR="000C472C" w:rsidRPr="00B46A79" w:rsidRDefault="000C472C" w:rsidP="007B3895">
      <w:pPr>
        <w:numPr>
          <w:ilvl w:val="0"/>
          <w:numId w:val="4"/>
        </w:numPr>
        <w:pBdr>
          <w:top w:val="nil"/>
          <w:left w:val="nil"/>
          <w:bottom w:val="nil"/>
          <w:right w:val="nil"/>
          <w:between w:val="nil"/>
        </w:pBdr>
        <w:tabs>
          <w:tab w:val="left" w:pos="426"/>
        </w:tabs>
        <w:spacing w:line="240" w:lineRule="auto"/>
        <w:ind w:left="0" w:firstLine="0"/>
        <w:rPr>
          <w:rFonts w:ascii="Verdana" w:eastAsia="Verdana" w:hAnsi="Verdana" w:cs="Verdana"/>
          <w:color w:val="000000"/>
          <w:sz w:val="19"/>
          <w:szCs w:val="19"/>
        </w:rPr>
      </w:pPr>
      <w:r w:rsidRPr="00B46A79">
        <w:rPr>
          <w:rFonts w:ascii="Verdana" w:eastAsia="Verdana" w:hAnsi="Verdana" w:cs="Verdana"/>
          <w:b/>
          <w:bCs/>
          <w:color w:val="000000"/>
          <w:sz w:val="19"/>
          <w:szCs w:val="19"/>
        </w:rPr>
        <w:t>Women are being underserved by the medical system</w:t>
      </w:r>
      <w:r w:rsidRPr="00B46A79">
        <w:rPr>
          <w:rFonts w:ascii="Verdana" w:eastAsia="Verdana" w:hAnsi="Verdana" w:cs="Verdana"/>
          <w:color w:val="000000"/>
          <w:sz w:val="19"/>
          <w:szCs w:val="19"/>
        </w:rPr>
        <w:t>.</w:t>
      </w:r>
      <w:r w:rsidR="00933753" w:rsidRPr="00933753">
        <w:rPr>
          <w:rFonts w:ascii="Verdana" w:eastAsia="Verdana" w:hAnsi="Verdana" w:cs="Verdana"/>
          <w:sz w:val="19"/>
          <w:szCs w:val="19"/>
          <w:vertAlign w:val="superscript"/>
        </w:rPr>
        <w:t xml:space="preserve"> </w:t>
      </w:r>
      <w:r w:rsidR="00933753">
        <w:rPr>
          <w:rFonts w:ascii="Verdana" w:eastAsia="Verdana" w:hAnsi="Verdana" w:cs="Verdana"/>
          <w:sz w:val="19"/>
          <w:szCs w:val="19"/>
          <w:vertAlign w:val="superscript"/>
        </w:rPr>
        <w:t>4</w:t>
      </w:r>
      <w:r w:rsidRPr="00B46A79">
        <w:rPr>
          <w:rFonts w:ascii="Verdana" w:eastAsia="Verdana" w:hAnsi="Verdana" w:cs="Verdana"/>
          <w:color w:val="000000"/>
          <w:sz w:val="19"/>
          <w:szCs w:val="19"/>
        </w:rPr>
        <w:t xml:space="preserve"> Recent research, for example, shows that one in two women experiences severe pain during IUD insertion</w:t>
      </w:r>
      <w:r w:rsidR="00933753">
        <w:rPr>
          <w:rFonts w:ascii="Verdana" w:eastAsia="Verdana" w:hAnsi="Verdana" w:cs="Verdana"/>
          <w:sz w:val="19"/>
          <w:szCs w:val="19"/>
          <w:vertAlign w:val="superscript"/>
        </w:rPr>
        <w:t>5</w:t>
      </w:r>
      <w:r w:rsidRPr="00B46A79">
        <w:rPr>
          <w:rFonts w:ascii="Verdana" w:eastAsia="Verdana" w:hAnsi="Verdana" w:cs="Verdana"/>
          <w:color w:val="000000"/>
          <w:sz w:val="19"/>
          <w:szCs w:val="19"/>
        </w:rPr>
        <w:t xml:space="preserve">, underscoring </w:t>
      </w:r>
      <w:r w:rsidRPr="00B46A79">
        <w:rPr>
          <w:rFonts w:ascii="Verdana" w:eastAsia="Verdana" w:hAnsi="Verdana" w:cs="Verdana"/>
          <w:b/>
          <w:bCs/>
          <w:color w:val="000000"/>
          <w:sz w:val="19"/>
          <w:szCs w:val="19"/>
        </w:rPr>
        <w:t>persistent shortcomings in women’s healthcare</w:t>
      </w:r>
      <w:r w:rsidRPr="00B46A79">
        <w:rPr>
          <w:rFonts w:ascii="Verdana" w:eastAsia="Verdana" w:hAnsi="Verdana" w:cs="Verdana"/>
          <w:color w:val="000000"/>
          <w:sz w:val="19"/>
          <w:szCs w:val="19"/>
        </w:rPr>
        <w:t>.</w:t>
      </w:r>
      <w:r w:rsidRPr="00B46A79">
        <w:rPr>
          <w:rFonts w:ascii="Verdana" w:eastAsia="Verdana" w:hAnsi="Verdana" w:cs="Verdana"/>
          <w:sz w:val="19"/>
          <w:szCs w:val="19"/>
        </w:rPr>
        <w:t xml:space="preserve"> Also, </w:t>
      </w:r>
      <w:r w:rsidRPr="00B46A79">
        <w:rPr>
          <w:rFonts w:ascii="Verdana" w:eastAsia="Verdana" w:hAnsi="Verdana" w:cs="Verdana"/>
          <w:color w:val="444746"/>
          <w:sz w:val="19"/>
          <w:szCs w:val="19"/>
          <w:highlight w:val="white"/>
        </w:rPr>
        <w:t xml:space="preserve">women in menopause are underserved: many GPs hesitate to prescribe hormone replacement therapy, </w:t>
      </w:r>
      <w:r w:rsidRPr="00B46A79">
        <w:rPr>
          <w:rFonts w:ascii="Verdana" w:eastAsia="Verdana" w:hAnsi="Verdana" w:cs="Verdana"/>
          <w:color w:val="444746"/>
          <w:sz w:val="19"/>
          <w:szCs w:val="19"/>
        </w:rPr>
        <w:t>especially for women over 60</w:t>
      </w:r>
      <w:r w:rsidRPr="00B46A79">
        <w:rPr>
          <w:rFonts w:ascii="Verdana" w:eastAsia="Verdana" w:hAnsi="Verdana" w:cs="Verdana"/>
          <w:color w:val="444746"/>
          <w:sz w:val="19"/>
          <w:szCs w:val="19"/>
          <w:highlight w:val="white"/>
        </w:rPr>
        <w:t>, and testosterone, important for bone</w:t>
      </w:r>
      <w:r w:rsidRPr="00E11978">
        <w:rPr>
          <w:rFonts w:ascii="Verdana" w:eastAsia="Verdana" w:hAnsi="Verdana" w:cs="Verdana"/>
          <w:color w:val="444746"/>
          <w:sz w:val="19"/>
          <w:szCs w:val="19"/>
          <w:highlight w:val="white"/>
        </w:rPr>
        <w:t xml:space="preserve"> </w:t>
      </w:r>
      <w:r w:rsidRPr="00B46A79">
        <w:rPr>
          <w:rFonts w:ascii="Verdana" w:eastAsia="Verdana" w:hAnsi="Verdana" w:cs="Verdana"/>
          <w:color w:val="444746"/>
          <w:sz w:val="19"/>
          <w:szCs w:val="19"/>
          <w:highlight w:val="white"/>
        </w:rPr>
        <w:t>strength and heart health, is not prescribed to women at all.</w:t>
      </w:r>
      <w:r w:rsidRPr="00E11978">
        <w:rPr>
          <w:rFonts w:ascii="Verdana" w:hAnsi="Verdana"/>
          <w:sz w:val="19"/>
          <w:szCs w:val="19"/>
        </w:rPr>
        <w:br/>
      </w:r>
    </w:p>
    <w:p w14:paraId="483FE334" w14:textId="42ACAC43" w:rsidR="000C472C" w:rsidRPr="00B46A79" w:rsidRDefault="000C472C" w:rsidP="6F7774D1">
      <w:pPr>
        <w:numPr>
          <w:ilvl w:val="0"/>
          <w:numId w:val="4"/>
        </w:numPr>
        <w:pBdr>
          <w:top w:val="nil"/>
          <w:left w:val="nil"/>
          <w:bottom w:val="nil"/>
          <w:right w:val="nil"/>
          <w:between w:val="nil"/>
        </w:pBdr>
        <w:tabs>
          <w:tab w:val="left" w:pos="426"/>
        </w:tabs>
        <w:spacing w:line="240" w:lineRule="auto"/>
        <w:ind w:left="0" w:firstLine="0"/>
        <w:rPr>
          <w:rFonts w:ascii="Verdana" w:eastAsia="Verdana" w:hAnsi="Verdana" w:cs="Verdana"/>
          <w:color w:val="000000"/>
          <w:sz w:val="19"/>
          <w:szCs w:val="19"/>
        </w:rPr>
      </w:pPr>
      <w:r w:rsidRPr="00B46A79">
        <w:rPr>
          <w:rFonts w:ascii="Verdana" w:eastAsia="Verdana" w:hAnsi="Verdana" w:cs="Verdana"/>
          <w:color w:val="000000"/>
          <w:sz w:val="19"/>
          <w:szCs w:val="19"/>
        </w:rPr>
        <w:t xml:space="preserve">A 2025 study documents how </w:t>
      </w:r>
      <w:r w:rsidRPr="00B46A79">
        <w:rPr>
          <w:rFonts w:ascii="Verdana" w:eastAsia="Verdana" w:hAnsi="Verdana" w:cs="Verdana"/>
          <w:b/>
          <w:bCs/>
          <w:color w:val="000000"/>
          <w:sz w:val="19"/>
          <w:szCs w:val="19"/>
        </w:rPr>
        <w:t xml:space="preserve">women politicians with a migration background face </w:t>
      </w:r>
      <w:r w:rsidRPr="00672491">
        <w:rPr>
          <w:rFonts w:ascii="Verdana" w:eastAsia="Verdana" w:hAnsi="Verdana" w:cs="Verdana"/>
          <w:b/>
          <w:bCs/>
          <w:color w:val="000000"/>
          <w:sz w:val="19"/>
          <w:szCs w:val="19"/>
        </w:rPr>
        <w:t>discrimination, intimidation, and unequal access to opportunities</w:t>
      </w:r>
      <w:r w:rsidRPr="00B46A79">
        <w:rPr>
          <w:rFonts w:ascii="Verdana" w:eastAsia="Verdana" w:hAnsi="Verdana" w:cs="Verdana"/>
          <w:color w:val="000000"/>
          <w:sz w:val="19"/>
          <w:szCs w:val="19"/>
        </w:rPr>
        <w:t>. Many report needing to work harder and facing threats or online abuse when speaking out politically.</w:t>
      </w:r>
      <w:r w:rsidR="00933753" w:rsidRPr="00933753">
        <w:rPr>
          <w:rFonts w:ascii="Verdana" w:eastAsia="Verdana" w:hAnsi="Verdana" w:cs="Verdana"/>
          <w:sz w:val="19"/>
          <w:szCs w:val="19"/>
          <w:vertAlign w:val="superscript"/>
        </w:rPr>
        <w:t xml:space="preserve"> </w:t>
      </w:r>
      <w:r w:rsidR="00933753">
        <w:rPr>
          <w:rFonts w:ascii="Verdana" w:eastAsia="Verdana" w:hAnsi="Verdana" w:cs="Verdana"/>
          <w:sz w:val="19"/>
          <w:szCs w:val="19"/>
          <w:vertAlign w:val="superscript"/>
        </w:rPr>
        <w:t>6</w:t>
      </w:r>
      <w:r w:rsidRPr="00B46A79">
        <w:rPr>
          <w:rFonts w:ascii="Verdana" w:eastAsia="Verdana" w:hAnsi="Verdana" w:cs="Verdana"/>
          <w:color w:val="000000"/>
          <w:sz w:val="19"/>
          <w:szCs w:val="19"/>
        </w:rPr>
        <w:t xml:space="preserve"> However, no concrete steps to ensure their safety, equal treatment, and political inclusion have been made</w:t>
      </w:r>
      <w:r w:rsidRPr="6F7774D1">
        <w:rPr>
          <w:rFonts w:ascii="Verdana" w:eastAsia="Verdana" w:hAnsi="Verdana" w:cs="Verdana"/>
          <w:b/>
          <w:bCs/>
          <w:i/>
          <w:iCs/>
          <w:color w:val="000000"/>
          <w:sz w:val="19"/>
          <w:szCs w:val="19"/>
        </w:rPr>
        <w:t>. (</w:t>
      </w:r>
      <w:r w:rsidRPr="6F7774D1">
        <w:rPr>
          <w:rFonts w:ascii="Verdana" w:eastAsia="Verdana" w:hAnsi="Verdana" w:cs="Verdana"/>
          <w:i/>
          <w:iCs/>
          <w:color w:val="000000"/>
          <w:sz w:val="19"/>
          <w:szCs w:val="19"/>
        </w:rPr>
        <w:t>Update Shadow Report 2024, para 12)</w:t>
      </w:r>
    </w:p>
    <w:p w14:paraId="55FC0D0B" w14:textId="77777777" w:rsidR="000C472C" w:rsidRPr="00B46A79" w:rsidRDefault="000C472C" w:rsidP="007B3895">
      <w:pPr>
        <w:spacing w:line="240" w:lineRule="auto"/>
        <w:rPr>
          <w:rFonts w:ascii="Verdana" w:eastAsia="Verdana" w:hAnsi="Verdana" w:cs="Verdana"/>
          <w:sz w:val="19"/>
          <w:szCs w:val="19"/>
        </w:rPr>
      </w:pPr>
    </w:p>
    <w:p w14:paraId="418D3FF4" w14:textId="75595F80" w:rsidR="000C472C" w:rsidRPr="00B46A79" w:rsidRDefault="000C472C" w:rsidP="007B3895">
      <w:pPr>
        <w:numPr>
          <w:ilvl w:val="0"/>
          <w:numId w:val="4"/>
        </w:numPr>
        <w:pBdr>
          <w:top w:val="nil"/>
          <w:left w:val="nil"/>
          <w:bottom w:val="nil"/>
          <w:right w:val="nil"/>
          <w:between w:val="nil"/>
        </w:pBdr>
        <w:tabs>
          <w:tab w:val="left" w:pos="426"/>
        </w:tabs>
        <w:spacing w:line="240" w:lineRule="auto"/>
        <w:ind w:left="0" w:firstLine="0"/>
        <w:rPr>
          <w:rFonts w:ascii="Verdana" w:eastAsia="Verdana" w:hAnsi="Verdana" w:cs="Verdana"/>
          <w:color w:val="000000"/>
          <w:sz w:val="19"/>
          <w:szCs w:val="19"/>
        </w:rPr>
      </w:pPr>
      <w:r w:rsidRPr="00B46A79">
        <w:rPr>
          <w:rFonts w:ascii="Verdana" w:eastAsia="Verdana" w:hAnsi="Verdana" w:cs="Verdana"/>
          <w:color w:val="000000"/>
          <w:sz w:val="19"/>
          <w:szCs w:val="19"/>
        </w:rPr>
        <w:t xml:space="preserve">NGOs are concerned about </w:t>
      </w:r>
      <w:r w:rsidRPr="00B46A79">
        <w:rPr>
          <w:rFonts w:ascii="Verdana" w:eastAsia="Verdana" w:hAnsi="Verdana" w:cs="Verdana"/>
          <w:b/>
          <w:bCs/>
          <w:color w:val="000000"/>
          <w:sz w:val="19"/>
          <w:szCs w:val="19"/>
        </w:rPr>
        <w:t>the rise of digital violence</w:t>
      </w:r>
      <w:r w:rsidRPr="00B46A79">
        <w:rPr>
          <w:rFonts w:ascii="Verdana" w:eastAsia="Verdana" w:hAnsi="Verdana" w:cs="Verdana"/>
          <w:color w:val="000000"/>
          <w:sz w:val="19"/>
          <w:szCs w:val="19"/>
        </w:rPr>
        <w:t xml:space="preserve">, including apps that provide ex-partners the opportunity to track women or access personal data like bank accounts. </w:t>
      </w:r>
      <w:r w:rsidRPr="00B46A79">
        <w:rPr>
          <w:rFonts w:ascii="Verdana" w:eastAsia="Verdana" w:hAnsi="Verdana" w:cs="Verdana"/>
          <w:b/>
          <w:bCs/>
          <w:color w:val="000000"/>
          <w:sz w:val="19"/>
          <w:szCs w:val="19"/>
        </w:rPr>
        <w:t>Online gender-based violence is increasing rapidly</w:t>
      </w:r>
      <w:r w:rsidRPr="00B46A79">
        <w:rPr>
          <w:rFonts w:ascii="Verdana" w:eastAsia="Verdana" w:hAnsi="Verdana" w:cs="Verdana"/>
          <w:color w:val="000000"/>
          <w:sz w:val="19"/>
          <w:szCs w:val="19"/>
        </w:rPr>
        <w:t>, with female politicians and public figures being especially targeted with hate speech, threats, and digital abuse. In some cases, this has escalated to the point of physical danger, pushing women out of public life. Yet, a national, coordinated strategy that focuses on improving victim protection, prevention, education, and accountability is lacking. NGOs expect more proactive action against gender-based violence, both online and offline. For example, no action was taken by the Public Prosecution Service or the Municipality in the case of an imam promoting FGM, a stance upheld by the Council of State.</w:t>
      </w:r>
      <w:r w:rsidR="00933753" w:rsidRPr="00933753">
        <w:rPr>
          <w:rFonts w:ascii="Verdana" w:eastAsia="Verdana" w:hAnsi="Verdana" w:cs="Verdana"/>
          <w:sz w:val="19"/>
          <w:szCs w:val="19"/>
          <w:vertAlign w:val="superscript"/>
        </w:rPr>
        <w:t xml:space="preserve"> </w:t>
      </w:r>
      <w:r w:rsidR="00933753">
        <w:rPr>
          <w:rFonts w:ascii="Verdana" w:eastAsia="Verdana" w:hAnsi="Verdana" w:cs="Verdana"/>
          <w:sz w:val="19"/>
          <w:szCs w:val="19"/>
          <w:vertAlign w:val="superscript"/>
        </w:rPr>
        <w:t>7</w:t>
      </w:r>
      <w:r w:rsidRPr="00B46A79">
        <w:rPr>
          <w:rFonts w:ascii="Verdana" w:eastAsia="Verdana" w:hAnsi="Verdana" w:cs="Verdana"/>
          <w:color w:val="000000"/>
          <w:sz w:val="19"/>
          <w:szCs w:val="19"/>
        </w:rPr>
        <w:t xml:space="preserve"> </w:t>
      </w:r>
      <w:r w:rsidRPr="00B46A79">
        <w:rPr>
          <w:rFonts w:ascii="Verdana" w:eastAsia="Verdana" w:hAnsi="Verdana" w:cs="Verdana"/>
          <w:i/>
          <w:iCs/>
          <w:color w:val="000000"/>
          <w:sz w:val="19"/>
          <w:szCs w:val="19"/>
        </w:rPr>
        <w:t>(Update Shadow Report 2024, para 16-18; Shadow Report 2021, para 10)</w:t>
      </w:r>
      <w:r w:rsidRPr="00B46A79">
        <w:rPr>
          <w:rFonts w:ascii="Verdana" w:eastAsia="Verdana" w:hAnsi="Verdana" w:cs="Verdana"/>
          <w:color w:val="000000"/>
          <w:sz w:val="19"/>
          <w:szCs w:val="19"/>
        </w:rPr>
        <w:t xml:space="preserve"> </w:t>
      </w:r>
    </w:p>
    <w:p w14:paraId="76F04C4C" w14:textId="77777777" w:rsidR="000C472C" w:rsidRPr="00B46A79" w:rsidRDefault="000C472C" w:rsidP="007B3895">
      <w:pPr>
        <w:pBdr>
          <w:top w:val="nil"/>
          <w:left w:val="nil"/>
          <w:bottom w:val="nil"/>
          <w:right w:val="nil"/>
          <w:between w:val="nil"/>
        </w:pBdr>
        <w:tabs>
          <w:tab w:val="left" w:pos="426"/>
        </w:tabs>
        <w:spacing w:line="240" w:lineRule="auto"/>
        <w:rPr>
          <w:rFonts w:ascii="Verdana" w:eastAsia="Verdana" w:hAnsi="Verdana" w:cs="Verdana"/>
          <w:sz w:val="19"/>
          <w:szCs w:val="19"/>
        </w:rPr>
      </w:pPr>
    </w:p>
    <w:p w14:paraId="12777683" w14:textId="00B1B78D" w:rsidR="000C472C" w:rsidRPr="00B46A79" w:rsidRDefault="000C472C" w:rsidP="007B3895">
      <w:pPr>
        <w:pBdr>
          <w:top w:val="nil"/>
          <w:left w:val="nil"/>
          <w:bottom w:val="nil"/>
          <w:right w:val="nil"/>
          <w:between w:val="nil"/>
        </w:pBdr>
        <w:tabs>
          <w:tab w:val="left" w:pos="426"/>
        </w:tabs>
        <w:spacing w:line="240" w:lineRule="auto"/>
        <w:rPr>
          <w:rFonts w:ascii="Verdana" w:eastAsia="Verdana" w:hAnsi="Verdana" w:cs="Verdana"/>
          <w:color w:val="000000"/>
          <w:sz w:val="19"/>
          <w:szCs w:val="19"/>
        </w:rPr>
      </w:pPr>
      <w:r w:rsidRPr="00B46A79">
        <w:rPr>
          <w:rFonts w:ascii="Verdana" w:eastAsia="Verdana" w:hAnsi="Verdana" w:cs="Verdana"/>
          <w:color w:val="000000"/>
          <w:sz w:val="19"/>
          <w:szCs w:val="19"/>
        </w:rPr>
        <w:t xml:space="preserve">9. </w:t>
      </w:r>
      <w:r w:rsidRPr="00B46A79">
        <w:rPr>
          <w:rFonts w:ascii="Verdana" w:eastAsia="Verdana" w:hAnsi="Verdana" w:cs="Verdana"/>
          <w:color w:val="000000"/>
          <w:sz w:val="19"/>
          <w:szCs w:val="19"/>
        </w:rPr>
        <w:tab/>
      </w:r>
      <w:r w:rsidRPr="00B46A79">
        <w:rPr>
          <w:rFonts w:ascii="Verdana" w:eastAsia="Verdana" w:hAnsi="Verdana" w:cs="Verdana"/>
          <w:b/>
          <w:bCs/>
          <w:color w:val="000000"/>
          <w:sz w:val="19"/>
          <w:szCs w:val="19"/>
        </w:rPr>
        <w:t xml:space="preserve">The government’s plan to considerably reduce the costs of childcare for parents has been postponed again </w:t>
      </w:r>
      <w:r w:rsidRPr="00B46A79">
        <w:rPr>
          <w:rFonts w:ascii="Verdana" w:eastAsia="Verdana" w:hAnsi="Verdana" w:cs="Verdana"/>
          <w:b/>
          <w:bCs/>
          <w:sz w:val="19"/>
          <w:szCs w:val="19"/>
        </w:rPr>
        <w:t>to 2029</w:t>
      </w:r>
      <w:r w:rsidRPr="00B46A79">
        <w:rPr>
          <w:rFonts w:ascii="Verdana" w:eastAsia="Verdana" w:hAnsi="Verdana" w:cs="Verdana"/>
          <w:b/>
          <w:bCs/>
          <w:color w:val="000000"/>
          <w:sz w:val="19"/>
          <w:szCs w:val="19"/>
        </w:rPr>
        <w:t xml:space="preserve">. </w:t>
      </w:r>
      <w:r w:rsidRPr="00B46A79">
        <w:rPr>
          <w:rFonts w:ascii="Verdana" w:eastAsia="Verdana" w:hAnsi="Verdana" w:cs="Verdana"/>
          <w:color w:val="000000"/>
          <w:sz w:val="19"/>
          <w:szCs w:val="19"/>
        </w:rPr>
        <w:t xml:space="preserve">Other measures even have the effect that particularly low-income families (often single mothers) </w:t>
      </w:r>
      <w:r w:rsidR="00F45B75" w:rsidRPr="00B46A79">
        <w:rPr>
          <w:rFonts w:ascii="Verdana" w:eastAsia="Verdana" w:hAnsi="Verdana" w:cs="Verdana"/>
          <w:color w:val="000000"/>
          <w:sz w:val="19"/>
          <w:szCs w:val="19"/>
        </w:rPr>
        <w:t>must</w:t>
      </w:r>
      <w:r w:rsidRPr="00B46A79">
        <w:rPr>
          <w:rFonts w:ascii="Verdana" w:eastAsia="Verdana" w:hAnsi="Verdana" w:cs="Verdana"/>
          <w:color w:val="000000"/>
          <w:sz w:val="19"/>
          <w:szCs w:val="19"/>
        </w:rPr>
        <w:t xml:space="preserve"> pay more for using childcare facilities, hindering rather than supporting their social and economic participation.</w:t>
      </w:r>
      <w:r w:rsidR="00933753" w:rsidRPr="00933753">
        <w:rPr>
          <w:rFonts w:ascii="Verdana" w:eastAsia="Verdana" w:hAnsi="Verdana" w:cs="Verdana"/>
          <w:sz w:val="19"/>
          <w:szCs w:val="19"/>
          <w:vertAlign w:val="superscript"/>
        </w:rPr>
        <w:t xml:space="preserve"> </w:t>
      </w:r>
      <w:r w:rsidR="00933753">
        <w:rPr>
          <w:rFonts w:ascii="Verdana" w:eastAsia="Verdana" w:hAnsi="Verdana" w:cs="Verdana"/>
          <w:sz w:val="19"/>
          <w:szCs w:val="19"/>
          <w:vertAlign w:val="superscript"/>
        </w:rPr>
        <w:t>8</w:t>
      </w:r>
      <w:r w:rsidRPr="00B46A79">
        <w:rPr>
          <w:rFonts w:ascii="Verdana" w:eastAsia="Verdana" w:hAnsi="Verdana" w:cs="Verdana"/>
          <w:color w:val="000000"/>
          <w:sz w:val="19"/>
          <w:szCs w:val="19"/>
        </w:rPr>
        <w:t xml:space="preserve"> </w:t>
      </w:r>
      <w:r w:rsidRPr="00B46A79">
        <w:rPr>
          <w:rFonts w:ascii="Verdana" w:eastAsia="Verdana" w:hAnsi="Verdana" w:cs="Verdana"/>
          <w:i/>
          <w:iCs/>
          <w:color w:val="000000"/>
          <w:sz w:val="19"/>
          <w:szCs w:val="19"/>
        </w:rPr>
        <w:t>(Update Shadow Report 2024, para 27)</w:t>
      </w:r>
    </w:p>
    <w:p w14:paraId="5B93DAE9" w14:textId="77777777" w:rsidR="000C472C" w:rsidRPr="00B46A79" w:rsidRDefault="000C472C" w:rsidP="007B3895">
      <w:pPr>
        <w:pStyle w:val="Lijstalinea"/>
        <w:spacing w:line="240" w:lineRule="auto"/>
        <w:rPr>
          <w:rFonts w:ascii="Verdana" w:eastAsia="Verdana" w:hAnsi="Verdana" w:cs="Verdana"/>
          <w:color w:val="000000"/>
          <w:sz w:val="19"/>
          <w:szCs w:val="19"/>
        </w:rPr>
      </w:pPr>
    </w:p>
    <w:p w14:paraId="681A7F55" w14:textId="49006D92" w:rsidR="000C472C" w:rsidRPr="00B46A79" w:rsidRDefault="00A02052" w:rsidP="7AFDFA9D">
      <w:pPr>
        <w:numPr>
          <w:ilvl w:val="0"/>
          <w:numId w:val="4"/>
        </w:numPr>
        <w:pBdr>
          <w:top w:val="nil"/>
          <w:left w:val="nil"/>
          <w:bottom w:val="nil"/>
          <w:right w:val="nil"/>
          <w:between w:val="nil"/>
        </w:pBdr>
        <w:tabs>
          <w:tab w:val="left" w:pos="426"/>
        </w:tabs>
        <w:spacing w:line="240" w:lineRule="auto"/>
        <w:ind w:left="0" w:firstLine="0"/>
        <w:rPr>
          <w:rFonts w:ascii="Verdana" w:eastAsia="Verdana" w:hAnsi="Verdana" w:cs="Verdana"/>
          <w:color w:val="000000"/>
          <w:sz w:val="19"/>
          <w:szCs w:val="19"/>
        </w:rPr>
      </w:pPr>
      <w:r w:rsidRPr="00A02052">
        <w:rPr>
          <w:rFonts w:ascii="Verdana" w:eastAsia="Verdana" w:hAnsi="Verdana" w:cs="Verdana"/>
          <w:color w:val="000000" w:themeColor="text1"/>
          <w:sz w:val="19"/>
          <w:szCs w:val="19"/>
        </w:rPr>
        <w:t xml:space="preserve">GREVIO published the </w:t>
      </w:r>
      <w:hyperlink r:id="rId12" w:history="1">
        <w:r w:rsidRPr="00A02052">
          <w:rPr>
            <w:rStyle w:val="Hyperlink"/>
            <w:rFonts w:ascii="Verdana" w:eastAsia="Verdana" w:hAnsi="Verdana" w:cs="Verdana"/>
            <w:sz w:val="19"/>
            <w:szCs w:val="19"/>
          </w:rPr>
          <w:t>First thematic evaluation report</w:t>
        </w:r>
      </w:hyperlink>
      <w:r w:rsidRPr="00A02052">
        <w:rPr>
          <w:rFonts w:ascii="Verdana" w:eastAsia="Verdana" w:hAnsi="Verdana" w:cs="Verdana"/>
          <w:color w:val="000000" w:themeColor="text1"/>
          <w:sz w:val="19"/>
          <w:szCs w:val="19"/>
        </w:rPr>
        <w:t xml:space="preserve"> on the Netherlands</w:t>
      </w:r>
      <w:r>
        <w:rPr>
          <w:rFonts w:ascii="Verdana" w:eastAsia="Verdana" w:hAnsi="Verdana" w:cs="Verdana"/>
          <w:color w:val="000000" w:themeColor="text1"/>
          <w:sz w:val="19"/>
          <w:szCs w:val="19"/>
        </w:rPr>
        <w:t xml:space="preserve">. </w:t>
      </w:r>
      <w:r w:rsidR="52E48751" w:rsidRPr="52E48751">
        <w:rPr>
          <w:rFonts w:ascii="Verdana" w:eastAsia="Verdana" w:hAnsi="Verdana" w:cs="Verdana"/>
          <w:color w:val="000000" w:themeColor="text1"/>
          <w:sz w:val="19"/>
          <w:szCs w:val="19"/>
        </w:rPr>
        <w:t xml:space="preserve">The Expert Committee made </w:t>
      </w:r>
      <w:r w:rsidR="52E48751" w:rsidRPr="00672491">
        <w:rPr>
          <w:rFonts w:ascii="Verdana" w:eastAsia="Verdana" w:hAnsi="Verdana" w:cs="Verdana"/>
          <w:b/>
          <w:bCs/>
          <w:color w:val="000000" w:themeColor="text1"/>
          <w:sz w:val="19"/>
          <w:szCs w:val="19"/>
        </w:rPr>
        <w:t>a critical assessment of the compliance with the Istanbul Conventions</w:t>
      </w:r>
      <w:r w:rsidR="52E48751" w:rsidRPr="52E48751">
        <w:rPr>
          <w:rFonts w:ascii="Verdana" w:eastAsia="Verdana" w:hAnsi="Verdana" w:cs="Verdana"/>
          <w:color w:val="000000" w:themeColor="text1"/>
          <w:sz w:val="19"/>
          <w:szCs w:val="19"/>
        </w:rPr>
        <w:t>.</w:t>
      </w:r>
    </w:p>
    <w:p w14:paraId="6D9F7E02" w14:textId="77777777" w:rsidR="000C472C" w:rsidRPr="00B46A79" w:rsidRDefault="000C472C" w:rsidP="007B3895">
      <w:pPr>
        <w:pStyle w:val="Lijstalinea"/>
        <w:spacing w:line="240" w:lineRule="auto"/>
        <w:rPr>
          <w:rFonts w:ascii="Verdana" w:eastAsia="Verdana" w:hAnsi="Verdana" w:cs="Verdana"/>
          <w:color w:val="000000"/>
          <w:sz w:val="19"/>
          <w:szCs w:val="19"/>
        </w:rPr>
      </w:pPr>
    </w:p>
    <w:p w14:paraId="6669383E" w14:textId="3CDB4E0D" w:rsidR="000C472C" w:rsidRPr="00B46A79" w:rsidRDefault="000C472C" w:rsidP="007B3895">
      <w:pPr>
        <w:numPr>
          <w:ilvl w:val="0"/>
          <w:numId w:val="4"/>
        </w:numPr>
        <w:pBdr>
          <w:top w:val="nil"/>
          <w:left w:val="nil"/>
          <w:bottom w:val="nil"/>
          <w:right w:val="nil"/>
          <w:between w:val="nil"/>
        </w:pBdr>
        <w:tabs>
          <w:tab w:val="left" w:pos="426"/>
        </w:tabs>
        <w:spacing w:line="240" w:lineRule="auto"/>
        <w:ind w:left="0" w:firstLine="0"/>
        <w:rPr>
          <w:rFonts w:ascii="Verdana" w:eastAsia="Verdana" w:hAnsi="Verdana" w:cs="Verdana"/>
          <w:color w:val="000000"/>
          <w:sz w:val="19"/>
          <w:szCs w:val="19"/>
        </w:rPr>
      </w:pPr>
      <w:r w:rsidRPr="00B46A79">
        <w:rPr>
          <w:rFonts w:ascii="Verdana" w:eastAsia="Verdana" w:hAnsi="Verdana" w:cs="Verdana"/>
          <w:color w:val="000000" w:themeColor="text1"/>
          <w:sz w:val="19"/>
          <w:szCs w:val="19"/>
        </w:rPr>
        <w:t xml:space="preserve">NGOs </w:t>
      </w:r>
      <w:r w:rsidR="001754DB" w:rsidRPr="00B46A79">
        <w:rPr>
          <w:rFonts w:ascii="Verdana" w:eastAsia="Verdana" w:hAnsi="Verdana" w:cs="Verdana"/>
          <w:color w:val="000000" w:themeColor="text1"/>
          <w:sz w:val="19"/>
          <w:szCs w:val="19"/>
        </w:rPr>
        <w:t xml:space="preserve">are </w:t>
      </w:r>
      <w:r w:rsidRPr="00B46A79">
        <w:rPr>
          <w:rFonts w:ascii="Verdana" w:eastAsia="Verdana" w:hAnsi="Verdana" w:cs="Verdana"/>
          <w:color w:val="000000" w:themeColor="text1"/>
          <w:sz w:val="19"/>
          <w:szCs w:val="19"/>
        </w:rPr>
        <w:t>deep</w:t>
      </w:r>
      <w:r w:rsidR="001754DB" w:rsidRPr="00B46A79">
        <w:rPr>
          <w:rFonts w:ascii="Verdana" w:eastAsia="Verdana" w:hAnsi="Verdana" w:cs="Verdana"/>
          <w:color w:val="000000" w:themeColor="text1"/>
          <w:sz w:val="19"/>
          <w:szCs w:val="19"/>
        </w:rPr>
        <w:t>ly</w:t>
      </w:r>
      <w:r w:rsidRPr="00B46A79">
        <w:rPr>
          <w:rFonts w:ascii="Verdana" w:eastAsia="Verdana" w:hAnsi="Verdana" w:cs="Verdana"/>
          <w:color w:val="000000" w:themeColor="text1"/>
          <w:sz w:val="19"/>
          <w:szCs w:val="19"/>
        </w:rPr>
        <w:t xml:space="preserve"> concern</w:t>
      </w:r>
      <w:r w:rsidR="001754DB" w:rsidRPr="00B46A79">
        <w:rPr>
          <w:rFonts w:ascii="Verdana" w:eastAsia="Verdana" w:hAnsi="Verdana" w:cs="Verdana"/>
          <w:color w:val="000000" w:themeColor="text1"/>
          <w:sz w:val="19"/>
          <w:szCs w:val="19"/>
        </w:rPr>
        <w:t>ed</w:t>
      </w:r>
      <w:r w:rsidRPr="00B46A79">
        <w:rPr>
          <w:rFonts w:ascii="Verdana" w:eastAsia="Verdana" w:hAnsi="Verdana" w:cs="Verdana"/>
          <w:color w:val="000000" w:themeColor="text1"/>
          <w:sz w:val="19"/>
          <w:szCs w:val="19"/>
        </w:rPr>
        <w:t xml:space="preserve"> that</w:t>
      </w:r>
      <w:r w:rsidR="004F26FE" w:rsidRPr="00B46A79">
        <w:rPr>
          <w:rFonts w:ascii="Verdana" w:eastAsia="Verdana" w:hAnsi="Verdana" w:cs="Verdana"/>
          <w:color w:val="000000" w:themeColor="text1"/>
          <w:sz w:val="19"/>
          <w:szCs w:val="19"/>
        </w:rPr>
        <w:t xml:space="preserve"> the </w:t>
      </w:r>
      <w:r w:rsidRPr="00B46A79">
        <w:rPr>
          <w:rFonts w:ascii="Verdana" w:eastAsia="Verdana" w:hAnsi="Verdana" w:cs="Verdana"/>
          <w:color w:val="000000" w:themeColor="text1"/>
          <w:sz w:val="19"/>
          <w:szCs w:val="19"/>
        </w:rPr>
        <w:t>government</w:t>
      </w:r>
      <w:r w:rsidR="004F26FE" w:rsidRPr="00E11978">
        <w:rPr>
          <w:rFonts w:ascii="Verdana" w:eastAsia="Verdana" w:hAnsi="Verdana" w:cs="Verdana"/>
          <w:color w:val="000000" w:themeColor="text1"/>
          <w:sz w:val="19"/>
          <w:szCs w:val="19"/>
        </w:rPr>
        <w:t xml:space="preserve"> has </w:t>
      </w:r>
      <w:r w:rsidR="004F26FE" w:rsidRPr="00B46A79">
        <w:rPr>
          <w:rFonts w:ascii="Verdana" w:eastAsia="Verdana" w:hAnsi="Verdana" w:cs="Verdana"/>
          <w:b/>
          <w:bCs/>
          <w:color w:val="000000" w:themeColor="text1"/>
          <w:sz w:val="19"/>
          <w:szCs w:val="19"/>
        </w:rPr>
        <w:t>rejected the asylum application of several women and intends to deport them to Afghanistan</w:t>
      </w:r>
      <w:r w:rsidR="004F26FE" w:rsidRPr="00B46A79">
        <w:rPr>
          <w:rFonts w:ascii="Verdana" w:eastAsia="Verdana" w:hAnsi="Verdana" w:cs="Verdana"/>
          <w:color w:val="000000" w:themeColor="text1"/>
          <w:sz w:val="19"/>
          <w:szCs w:val="19"/>
        </w:rPr>
        <w:t xml:space="preserve">, where they would face </w:t>
      </w:r>
      <w:r w:rsidRPr="00B46A79">
        <w:rPr>
          <w:rFonts w:ascii="Verdana" w:eastAsia="Verdana" w:hAnsi="Verdana" w:cs="Verdana"/>
          <w:color w:val="000000" w:themeColor="text1"/>
          <w:sz w:val="19"/>
          <w:szCs w:val="19"/>
        </w:rPr>
        <w:t xml:space="preserve">ongoing repression and gender-based persecution under </w:t>
      </w:r>
      <w:r w:rsidR="004F26FE" w:rsidRPr="00E11978">
        <w:rPr>
          <w:rFonts w:ascii="Verdana" w:eastAsia="Verdana" w:hAnsi="Verdana" w:cs="Verdana"/>
          <w:color w:val="000000" w:themeColor="text1"/>
          <w:sz w:val="19"/>
          <w:szCs w:val="19"/>
        </w:rPr>
        <w:t xml:space="preserve">the </w:t>
      </w:r>
      <w:r w:rsidRPr="00B46A79">
        <w:rPr>
          <w:rFonts w:ascii="Verdana" w:eastAsia="Verdana" w:hAnsi="Verdana" w:cs="Verdana"/>
          <w:color w:val="000000" w:themeColor="text1"/>
          <w:sz w:val="19"/>
          <w:szCs w:val="19"/>
        </w:rPr>
        <w:t xml:space="preserve">Taliban rule. </w:t>
      </w:r>
      <w:r w:rsidR="004F26FE" w:rsidRPr="00E11978">
        <w:rPr>
          <w:rFonts w:ascii="Verdana" w:eastAsia="Verdana" w:hAnsi="Verdana" w:cs="Verdana"/>
          <w:color w:val="000000" w:themeColor="text1"/>
          <w:sz w:val="19"/>
          <w:szCs w:val="19"/>
        </w:rPr>
        <w:t xml:space="preserve">The applications were rejected on the basis that </w:t>
      </w:r>
      <w:r w:rsidRPr="00B46A79">
        <w:rPr>
          <w:rFonts w:ascii="Verdana" w:eastAsia="Verdana" w:hAnsi="Verdana" w:cs="Verdana"/>
          <w:color w:val="000000" w:themeColor="text1"/>
          <w:sz w:val="19"/>
          <w:szCs w:val="19"/>
        </w:rPr>
        <w:t xml:space="preserve">the women </w:t>
      </w:r>
      <w:r w:rsidR="004F26FE" w:rsidRPr="00B46A79">
        <w:rPr>
          <w:rFonts w:ascii="Verdana" w:eastAsia="Verdana" w:hAnsi="Verdana" w:cs="Verdana"/>
          <w:color w:val="000000" w:themeColor="text1"/>
          <w:sz w:val="19"/>
          <w:szCs w:val="19"/>
        </w:rPr>
        <w:t xml:space="preserve">do </w:t>
      </w:r>
      <w:r w:rsidRPr="00B46A79">
        <w:rPr>
          <w:rFonts w:ascii="Verdana" w:eastAsia="Verdana" w:hAnsi="Verdana" w:cs="Verdana"/>
          <w:color w:val="000000" w:themeColor="text1"/>
          <w:sz w:val="19"/>
          <w:szCs w:val="19"/>
        </w:rPr>
        <w:t xml:space="preserve">not “dress </w:t>
      </w:r>
      <w:r w:rsidR="004F26FE" w:rsidRPr="00B46A79">
        <w:rPr>
          <w:rFonts w:ascii="Verdana" w:eastAsia="Verdana" w:hAnsi="Verdana" w:cs="Verdana"/>
          <w:color w:val="000000" w:themeColor="text1"/>
          <w:sz w:val="19"/>
          <w:szCs w:val="19"/>
        </w:rPr>
        <w:t xml:space="preserve">in a </w:t>
      </w:r>
      <w:r w:rsidRPr="00B46A79">
        <w:rPr>
          <w:rFonts w:ascii="Verdana" w:eastAsia="Verdana" w:hAnsi="Verdana" w:cs="Verdana"/>
          <w:color w:val="000000" w:themeColor="text1"/>
          <w:sz w:val="19"/>
          <w:szCs w:val="19"/>
        </w:rPr>
        <w:t>Western</w:t>
      </w:r>
      <w:r w:rsidR="004F26FE" w:rsidRPr="00E11978">
        <w:rPr>
          <w:rFonts w:ascii="Verdana" w:eastAsia="Verdana" w:hAnsi="Verdana" w:cs="Verdana"/>
          <w:color w:val="000000" w:themeColor="text1"/>
          <w:sz w:val="19"/>
          <w:szCs w:val="19"/>
        </w:rPr>
        <w:t xml:space="preserve"> way</w:t>
      </w:r>
      <w:r w:rsidRPr="00B46A79">
        <w:rPr>
          <w:rFonts w:ascii="Verdana" w:eastAsia="Verdana" w:hAnsi="Verdana" w:cs="Verdana"/>
          <w:color w:val="000000" w:themeColor="text1"/>
          <w:sz w:val="19"/>
          <w:szCs w:val="19"/>
        </w:rPr>
        <w:t xml:space="preserve">” or primarily performed “domestic </w:t>
      </w:r>
      <w:r w:rsidR="004F26FE" w:rsidRPr="00B46A79">
        <w:rPr>
          <w:rFonts w:ascii="Verdana" w:eastAsia="Verdana" w:hAnsi="Verdana" w:cs="Verdana"/>
          <w:color w:val="000000" w:themeColor="text1"/>
          <w:sz w:val="19"/>
          <w:szCs w:val="19"/>
        </w:rPr>
        <w:t>tasks</w:t>
      </w:r>
      <w:r w:rsidRPr="00B46A79">
        <w:rPr>
          <w:rFonts w:ascii="Verdana" w:eastAsia="Verdana" w:hAnsi="Verdana" w:cs="Verdana"/>
          <w:color w:val="000000" w:themeColor="text1"/>
          <w:sz w:val="19"/>
          <w:szCs w:val="19"/>
        </w:rPr>
        <w:t xml:space="preserve">” </w:t>
      </w:r>
      <w:r w:rsidR="004F26FE" w:rsidRPr="00E11978">
        <w:rPr>
          <w:rFonts w:ascii="Verdana" w:eastAsia="Verdana" w:hAnsi="Verdana" w:cs="Verdana"/>
          <w:color w:val="000000" w:themeColor="text1"/>
          <w:sz w:val="19"/>
          <w:szCs w:val="19"/>
        </w:rPr>
        <w:t xml:space="preserve">within the household, leading the authorities to conclude that they could adjust to the </w:t>
      </w:r>
      <w:r w:rsidR="004F26FE" w:rsidRPr="00B46A79">
        <w:rPr>
          <w:rFonts w:ascii="Verdana" w:eastAsia="Verdana" w:hAnsi="Verdana" w:cs="Verdana"/>
          <w:color w:val="000000" w:themeColor="text1"/>
          <w:sz w:val="19"/>
          <w:szCs w:val="19"/>
        </w:rPr>
        <w:t>Taliban’s restrictions relatively easily.</w:t>
      </w:r>
      <w:r w:rsidR="00933753" w:rsidRPr="00933753">
        <w:rPr>
          <w:rFonts w:ascii="Verdana" w:eastAsia="Verdana" w:hAnsi="Verdana" w:cs="Verdana"/>
          <w:sz w:val="19"/>
          <w:szCs w:val="19"/>
          <w:vertAlign w:val="superscript"/>
        </w:rPr>
        <w:t xml:space="preserve"> </w:t>
      </w:r>
      <w:r w:rsidR="00933753">
        <w:rPr>
          <w:rFonts w:ascii="Verdana" w:eastAsia="Verdana" w:hAnsi="Verdana" w:cs="Verdana"/>
          <w:sz w:val="19"/>
          <w:szCs w:val="19"/>
          <w:vertAlign w:val="superscript"/>
        </w:rPr>
        <w:t>9</w:t>
      </w:r>
    </w:p>
    <w:p w14:paraId="3AB665DF" w14:textId="77777777" w:rsidR="00C143EE" w:rsidRPr="00B46A79" w:rsidRDefault="00C143EE" w:rsidP="007B3895">
      <w:pPr>
        <w:spacing w:line="240" w:lineRule="auto"/>
        <w:rPr>
          <w:rFonts w:ascii="Verdana" w:eastAsia="Verdana" w:hAnsi="Verdana" w:cs="Verdana"/>
          <w:sz w:val="19"/>
          <w:szCs w:val="19"/>
        </w:rPr>
      </w:pPr>
    </w:p>
    <w:p w14:paraId="61CFA7B9" w14:textId="035D394A" w:rsidR="00B03951" w:rsidRDefault="00FD554B" w:rsidP="00933753">
      <w:pPr>
        <w:spacing w:line="240" w:lineRule="auto"/>
        <w:rPr>
          <w:rFonts w:ascii="Verdana" w:eastAsia="Verdana" w:hAnsi="Verdana" w:cs="Verdana"/>
          <w:b/>
          <w:bCs/>
          <w:color w:val="000000" w:themeColor="text1"/>
        </w:rPr>
      </w:pPr>
      <w:r w:rsidRPr="00E11978">
        <w:rPr>
          <w:rFonts w:ascii="Verdana" w:eastAsia="Verdana" w:hAnsi="Verdana" w:cs="Verdana"/>
          <w:sz w:val="19"/>
          <w:szCs w:val="19"/>
        </w:rPr>
        <w:t xml:space="preserve">11. An alarming development is the government’s plan to </w:t>
      </w:r>
      <w:r w:rsidRPr="00B46A79">
        <w:rPr>
          <w:rFonts w:ascii="Verdana" w:eastAsia="Verdana" w:hAnsi="Verdana" w:cs="Verdana"/>
          <w:b/>
          <w:bCs/>
          <w:sz w:val="19"/>
          <w:szCs w:val="19"/>
        </w:rPr>
        <w:t>criminalise undocumented migrants</w:t>
      </w:r>
      <w:r w:rsidRPr="00B46A79">
        <w:rPr>
          <w:rFonts w:ascii="Verdana" w:eastAsia="Verdana" w:hAnsi="Verdana" w:cs="Verdana"/>
          <w:sz w:val="19"/>
          <w:szCs w:val="19"/>
        </w:rPr>
        <w:t>. This puts migrant domestic workers, victims of trafficking and gender-based violence, and women facing forced marriage, marital captivity</w:t>
      </w:r>
      <w:r w:rsidR="00B1793C">
        <w:rPr>
          <w:rFonts w:ascii="Verdana" w:eastAsia="Verdana" w:hAnsi="Verdana" w:cs="Verdana"/>
          <w:sz w:val="19"/>
          <w:szCs w:val="19"/>
        </w:rPr>
        <w:t>,</w:t>
      </w:r>
      <w:r w:rsidRPr="00B46A79">
        <w:rPr>
          <w:rFonts w:ascii="Verdana" w:eastAsia="Verdana" w:hAnsi="Verdana" w:cs="Verdana"/>
          <w:sz w:val="19"/>
          <w:szCs w:val="19"/>
        </w:rPr>
        <w:t xml:space="preserve"> or abandonment at serious risk. Other women with no or insecure residence status will also be endangered. There are strong grounds to believe that such criminalisation violates CEDAW, as it increases these women's risk of exploitation, violence</w:t>
      </w:r>
      <w:r w:rsidR="00ED7698">
        <w:rPr>
          <w:rFonts w:ascii="Verdana" w:eastAsia="Verdana" w:hAnsi="Verdana" w:cs="Verdana"/>
          <w:sz w:val="19"/>
          <w:szCs w:val="19"/>
        </w:rPr>
        <w:t>,</w:t>
      </w:r>
      <w:r w:rsidRPr="00B46A79">
        <w:rPr>
          <w:rFonts w:ascii="Verdana" w:eastAsia="Verdana" w:hAnsi="Verdana" w:cs="Verdana"/>
          <w:sz w:val="19"/>
          <w:szCs w:val="19"/>
        </w:rPr>
        <w:t xml:space="preserve"> and exclusion from essential services.</w:t>
      </w:r>
    </w:p>
    <w:sectPr w:rsidR="00B03951" w:rsidSect="001754DB">
      <w:headerReference w:type="even" r:id="rId13"/>
      <w:footerReference w:type="even" r:id="rId14"/>
      <w:footerReference w:type="default" r:id="rId15"/>
      <w:headerReference w:type="first" r:id="rId16"/>
      <w:footerReference w:type="first" r:id="rId17"/>
      <w:endnotePr>
        <w:numFmt w:val="decimal"/>
      </w:endnotePr>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4ABC3" w14:textId="77777777" w:rsidR="006D3EAB" w:rsidRPr="00A02052" w:rsidRDefault="006D3EAB" w:rsidP="00A02052">
      <w:pPr>
        <w:pStyle w:val="Voettekst"/>
      </w:pPr>
    </w:p>
  </w:endnote>
  <w:endnote w:type="continuationSeparator" w:id="0">
    <w:p w14:paraId="04FC73B3" w14:textId="77777777" w:rsidR="006D3EAB" w:rsidRDefault="006D3E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64A86059-7774-4E2D-BC79-27182F7478EE}"/>
    <w:embedBold r:id="rId2" w:fontKey="{CD2C1811-036C-42EA-947D-67F941E61CBA}"/>
    <w:embedItalic r:id="rId3" w:fontKey="{AFC7B59F-659B-44BF-82FC-1F74A4B159BB}"/>
  </w:font>
  <w:font w:name="Verdana">
    <w:panose1 w:val="020B0604030504040204"/>
    <w:charset w:val="00"/>
    <w:family w:val="swiss"/>
    <w:pitch w:val="variable"/>
    <w:sig w:usb0="A00006FF" w:usb1="4000205B" w:usb2="00000010" w:usb3="00000000" w:csb0="0000019F" w:csb1="00000000"/>
    <w:embedRegular r:id="rId4" w:fontKey="{A3A05A0D-981E-44C7-8A68-4FADBD776050}"/>
    <w:embedBold r:id="rId5" w:fontKey="{76CAE8D6-CEC3-4293-ACF3-FD4A3E3C560B}"/>
    <w:embedItalic r:id="rId6" w:fontKey="{AE0167B5-85F6-4B4E-A4DC-2CFB7E7B949E}"/>
    <w:embedBoldItalic r:id="rId7" w:fontKey="{08566A87-8731-4811-9BF4-7DC34866C3A4}"/>
  </w:font>
  <w:font w:name="Calibri">
    <w:panose1 w:val="020F0502020204030204"/>
    <w:charset w:val="00"/>
    <w:family w:val="swiss"/>
    <w:pitch w:val="variable"/>
    <w:sig w:usb0="E4002EFF" w:usb1="C200247B" w:usb2="00000009" w:usb3="00000000" w:csb0="000001FF" w:csb1="00000000"/>
    <w:embedRegular r:id="rId8" w:fontKey="{C80EE09A-6BE5-43BC-9F66-9D6776B6103D}"/>
  </w:font>
  <w:font w:name="Cambria">
    <w:panose1 w:val="02040503050406030204"/>
    <w:charset w:val="00"/>
    <w:family w:val="roman"/>
    <w:pitch w:val="variable"/>
    <w:sig w:usb0="E00006FF" w:usb1="420024FF" w:usb2="02000000" w:usb3="00000000" w:csb0="0000019F" w:csb1="00000000"/>
    <w:embedRegular r:id="rId9" w:fontKey="{9D41C8D4-464F-4651-A370-1D761E94DA4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824B3" w14:textId="77777777" w:rsidR="002334E3" w:rsidRDefault="00000000">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814CB0F" w14:textId="77777777" w:rsidR="002334E3" w:rsidRDefault="002334E3">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1022F" w14:textId="77777777" w:rsidR="002334E3" w:rsidRDefault="00000000">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2B42A1">
      <w:rPr>
        <w:noProof/>
        <w:color w:val="000000"/>
      </w:rPr>
      <w:t>1</w:t>
    </w:r>
    <w:r>
      <w:rPr>
        <w:color w:val="000000"/>
      </w:rPr>
      <w:fldChar w:fldCharType="end"/>
    </w:r>
  </w:p>
  <w:p w14:paraId="330D7567" w14:textId="77777777" w:rsidR="002334E3" w:rsidRDefault="002334E3">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99D91" w14:textId="77777777" w:rsidR="002334E3" w:rsidRDefault="002334E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A7BAD" w14:textId="77777777" w:rsidR="006D3EAB" w:rsidRDefault="006D3EAB">
      <w:pPr>
        <w:spacing w:line="240" w:lineRule="auto"/>
      </w:pPr>
      <w:r>
        <w:separator/>
      </w:r>
    </w:p>
  </w:footnote>
  <w:footnote w:type="continuationSeparator" w:id="0">
    <w:p w14:paraId="1C3AC76B" w14:textId="77777777" w:rsidR="006D3EAB" w:rsidRDefault="006D3EAB">
      <w:pPr>
        <w:spacing w:line="240" w:lineRule="auto"/>
      </w:pPr>
      <w:r>
        <w:continuationSeparator/>
      </w:r>
    </w:p>
  </w:footnote>
  <w:footnote w:id="1">
    <w:p w14:paraId="43AA0788" w14:textId="66C862A1" w:rsidR="00DA33B0" w:rsidRPr="000F3CDF" w:rsidRDefault="00DA33B0">
      <w:pPr>
        <w:pStyle w:val="Voetnoottekst"/>
        <w:rPr>
          <w:rFonts w:ascii="Verdana" w:hAnsi="Verdana"/>
          <w:sz w:val="18"/>
          <w:szCs w:val="18"/>
        </w:rPr>
      </w:pPr>
      <w:r w:rsidRPr="000F3CDF">
        <w:rPr>
          <w:rStyle w:val="Voetnootmarkering"/>
          <w:rFonts w:ascii="Verdana" w:hAnsi="Verdana"/>
          <w:sz w:val="18"/>
          <w:szCs w:val="18"/>
        </w:rPr>
        <w:footnoteRef/>
      </w:r>
      <w:r w:rsidRPr="000F3CDF">
        <w:rPr>
          <w:rFonts w:ascii="Verdana" w:hAnsi="Verdana"/>
          <w:sz w:val="18"/>
          <w:szCs w:val="18"/>
        </w:rPr>
        <w:t xml:space="preserve"> </w:t>
      </w:r>
      <w:hyperlink r:id="rId1" w:history="1">
        <w:r w:rsidRPr="000F3CDF">
          <w:rPr>
            <w:rStyle w:val="Hyperlink"/>
            <w:rFonts w:ascii="Verdana" w:eastAsia="Calibri" w:hAnsi="Verdana" w:cs="Calibri"/>
            <w:sz w:val="18"/>
            <w:szCs w:val="18"/>
          </w:rPr>
          <w:t>See Anne</w:t>
        </w:r>
        <w:r w:rsidRPr="000F3CDF">
          <w:rPr>
            <w:rStyle w:val="Hyperlink"/>
            <w:rFonts w:ascii="Verdana" w:eastAsia="Calibri" w:hAnsi="Verdana" w:cs="Calibri"/>
            <w:sz w:val="18"/>
            <w:szCs w:val="18"/>
          </w:rPr>
          <w:t>x</w:t>
        </w:r>
        <w:r w:rsidRPr="000F3CDF">
          <w:rPr>
            <w:rStyle w:val="Hyperlink"/>
            <w:rFonts w:ascii="Verdana" w:eastAsia="Calibri" w:hAnsi="Verdana" w:cs="Calibri"/>
            <w:sz w:val="18"/>
            <w:szCs w:val="18"/>
          </w:rPr>
          <w:t xml:space="preserve"> </w:t>
        </w:r>
        <w:r w:rsidR="00780322">
          <w:rPr>
            <w:rStyle w:val="Hyperlink"/>
            <w:rFonts w:ascii="Verdana" w:eastAsia="Calibri" w:hAnsi="Verdana" w:cs="Calibri"/>
            <w:sz w:val="18"/>
            <w:szCs w:val="18"/>
          </w:rPr>
          <w:t xml:space="preserve">Addendum on our website </w:t>
        </w:r>
        <w:r w:rsidRPr="000F3CDF">
          <w:rPr>
            <w:rStyle w:val="Hyperlink"/>
            <w:rFonts w:ascii="Verdana" w:eastAsia="Calibri" w:hAnsi="Verdana" w:cs="Calibri"/>
            <w:sz w:val="18"/>
            <w:szCs w:val="18"/>
          </w:rPr>
          <w:t>for concise com</w:t>
        </w:r>
        <w:r w:rsidRPr="000F3CDF">
          <w:rPr>
            <w:rStyle w:val="Hyperlink"/>
            <w:rFonts w:ascii="Verdana" w:eastAsia="Calibri" w:hAnsi="Verdana" w:cs="Calibri"/>
            <w:sz w:val="18"/>
            <w:szCs w:val="18"/>
          </w:rPr>
          <w:t>p</w:t>
        </w:r>
        <w:r w:rsidRPr="000F3CDF">
          <w:rPr>
            <w:rStyle w:val="Hyperlink"/>
            <w:rFonts w:ascii="Verdana" w:eastAsia="Calibri" w:hAnsi="Verdana" w:cs="Calibri"/>
            <w:sz w:val="18"/>
            <w:szCs w:val="18"/>
          </w:rPr>
          <w:t>arison.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48A67" w14:textId="77777777" w:rsidR="002334E3" w:rsidRDefault="002334E3">
    <w:pPr>
      <w:pBdr>
        <w:top w:val="nil"/>
        <w:left w:val="nil"/>
        <w:bottom w:val="nil"/>
        <w:right w:val="nil"/>
        <w:between w:val="nil"/>
      </w:pBdr>
      <w:tabs>
        <w:tab w:val="center" w:pos="4536"/>
        <w:tab w:val="right" w:pos="9072"/>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DF8AC" w14:textId="77777777" w:rsidR="002334E3" w:rsidRDefault="002334E3">
    <w:pPr>
      <w:pBdr>
        <w:top w:val="nil"/>
        <w:left w:val="nil"/>
        <w:bottom w:val="nil"/>
        <w:right w:val="nil"/>
        <w:between w:val="nil"/>
      </w:pBdr>
      <w:tabs>
        <w:tab w:val="center" w:pos="4536"/>
        <w:tab w:val="right" w:pos="9072"/>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E50B30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24822C0"/>
    <w:multiLevelType w:val="hybridMultilevel"/>
    <w:tmpl w:val="5C3E1822"/>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203F3E06"/>
    <w:multiLevelType w:val="multilevel"/>
    <w:tmpl w:val="64C8B782"/>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0A4DD1"/>
    <w:multiLevelType w:val="multilevel"/>
    <w:tmpl w:val="FD9CD564"/>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51241539"/>
    <w:multiLevelType w:val="multilevel"/>
    <w:tmpl w:val="C7C0B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5F578A"/>
    <w:multiLevelType w:val="multilevel"/>
    <w:tmpl w:val="06E83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4442614">
    <w:abstractNumId w:val="4"/>
  </w:num>
  <w:num w:numId="2" w16cid:durableId="205484529">
    <w:abstractNumId w:val="5"/>
  </w:num>
  <w:num w:numId="3" w16cid:durableId="1583565657">
    <w:abstractNumId w:val="2"/>
  </w:num>
  <w:num w:numId="4" w16cid:durableId="174078652">
    <w:abstractNumId w:val="3"/>
  </w:num>
  <w:num w:numId="5" w16cid:durableId="1285193529">
    <w:abstractNumId w:val="1"/>
  </w:num>
  <w:num w:numId="6" w16cid:durableId="500780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4E3"/>
    <w:rsid w:val="000613E1"/>
    <w:rsid w:val="000A7639"/>
    <w:rsid w:val="000C472C"/>
    <w:rsid w:val="000F3CDF"/>
    <w:rsid w:val="00136723"/>
    <w:rsid w:val="00146EF7"/>
    <w:rsid w:val="001754DB"/>
    <w:rsid w:val="001903EE"/>
    <w:rsid w:val="0022452F"/>
    <w:rsid w:val="002252CD"/>
    <w:rsid w:val="002334E3"/>
    <w:rsid w:val="00237E50"/>
    <w:rsid w:val="0026020D"/>
    <w:rsid w:val="00273E53"/>
    <w:rsid w:val="002A0958"/>
    <w:rsid w:val="002A4D6A"/>
    <w:rsid w:val="002A604B"/>
    <w:rsid w:val="002B40BE"/>
    <w:rsid w:val="002B42A1"/>
    <w:rsid w:val="002E52A5"/>
    <w:rsid w:val="002E5AB1"/>
    <w:rsid w:val="002F360B"/>
    <w:rsid w:val="002F65F5"/>
    <w:rsid w:val="002F6D01"/>
    <w:rsid w:val="00303FD4"/>
    <w:rsid w:val="003053F4"/>
    <w:rsid w:val="00310F38"/>
    <w:rsid w:val="00316ED2"/>
    <w:rsid w:val="00337516"/>
    <w:rsid w:val="00353D54"/>
    <w:rsid w:val="00384E12"/>
    <w:rsid w:val="003D3AA1"/>
    <w:rsid w:val="003E0B7A"/>
    <w:rsid w:val="003F514C"/>
    <w:rsid w:val="00413D8C"/>
    <w:rsid w:val="00416BF6"/>
    <w:rsid w:val="00490053"/>
    <w:rsid w:val="004A2F4A"/>
    <w:rsid w:val="004A7F5B"/>
    <w:rsid w:val="004D525E"/>
    <w:rsid w:val="004F26FE"/>
    <w:rsid w:val="00534D46"/>
    <w:rsid w:val="005C5F7A"/>
    <w:rsid w:val="0062445D"/>
    <w:rsid w:val="00657E14"/>
    <w:rsid w:val="006703E5"/>
    <w:rsid w:val="00672491"/>
    <w:rsid w:val="006D3EAB"/>
    <w:rsid w:val="00713F5E"/>
    <w:rsid w:val="00722173"/>
    <w:rsid w:val="00741796"/>
    <w:rsid w:val="00754461"/>
    <w:rsid w:val="00763098"/>
    <w:rsid w:val="00780322"/>
    <w:rsid w:val="007A4375"/>
    <w:rsid w:val="007A51FD"/>
    <w:rsid w:val="007B3895"/>
    <w:rsid w:val="007F1B74"/>
    <w:rsid w:val="00801BBE"/>
    <w:rsid w:val="008406E1"/>
    <w:rsid w:val="00841686"/>
    <w:rsid w:val="00854216"/>
    <w:rsid w:val="008A4254"/>
    <w:rsid w:val="00902CCA"/>
    <w:rsid w:val="009302BF"/>
    <w:rsid w:val="00933753"/>
    <w:rsid w:val="00954BE3"/>
    <w:rsid w:val="00955D07"/>
    <w:rsid w:val="009A0E4D"/>
    <w:rsid w:val="009F2121"/>
    <w:rsid w:val="009F34D4"/>
    <w:rsid w:val="00A02052"/>
    <w:rsid w:val="00A03380"/>
    <w:rsid w:val="00A06254"/>
    <w:rsid w:val="00A47D60"/>
    <w:rsid w:val="00A61BBD"/>
    <w:rsid w:val="00A867AF"/>
    <w:rsid w:val="00AD7FBA"/>
    <w:rsid w:val="00B03951"/>
    <w:rsid w:val="00B07254"/>
    <w:rsid w:val="00B107B8"/>
    <w:rsid w:val="00B1793C"/>
    <w:rsid w:val="00B20CD3"/>
    <w:rsid w:val="00B46A79"/>
    <w:rsid w:val="00B51A45"/>
    <w:rsid w:val="00B6126C"/>
    <w:rsid w:val="00B818C8"/>
    <w:rsid w:val="00BA1817"/>
    <w:rsid w:val="00C143EE"/>
    <w:rsid w:val="00C210E5"/>
    <w:rsid w:val="00C31BAB"/>
    <w:rsid w:val="00C3407E"/>
    <w:rsid w:val="00C86864"/>
    <w:rsid w:val="00C94E51"/>
    <w:rsid w:val="00CB3129"/>
    <w:rsid w:val="00CF4ACC"/>
    <w:rsid w:val="00D11273"/>
    <w:rsid w:val="00D3064B"/>
    <w:rsid w:val="00D33E49"/>
    <w:rsid w:val="00D40EBC"/>
    <w:rsid w:val="00D554F6"/>
    <w:rsid w:val="00D55505"/>
    <w:rsid w:val="00D95373"/>
    <w:rsid w:val="00D95F77"/>
    <w:rsid w:val="00DA33B0"/>
    <w:rsid w:val="00DB0192"/>
    <w:rsid w:val="00E02446"/>
    <w:rsid w:val="00E03ECD"/>
    <w:rsid w:val="00EB4190"/>
    <w:rsid w:val="00ED0B19"/>
    <w:rsid w:val="00ED7698"/>
    <w:rsid w:val="00EF76D5"/>
    <w:rsid w:val="00F25A13"/>
    <w:rsid w:val="00F45B75"/>
    <w:rsid w:val="00F652AA"/>
    <w:rsid w:val="00F82F95"/>
    <w:rsid w:val="00FA2C2A"/>
    <w:rsid w:val="00FA714C"/>
    <w:rsid w:val="00FC435D"/>
    <w:rsid w:val="00FD00A3"/>
    <w:rsid w:val="00FD554B"/>
    <w:rsid w:val="00FE57D7"/>
    <w:rsid w:val="00FF5CDA"/>
    <w:rsid w:val="0D297B24"/>
    <w:rsid w:val="1AC1B031"/>
    <w:rsid w:val="2391D912"/>
    <w:rsid w:val="32B62AFE"/>
    <w:rsid w:val="335AC99D"/>
    <w:rsid w:val="34943395"/>
    <w:rsid w:val="4074FDD0"/>
    <w:rsid w:val="41FED085"/>
    <w:rsid w:val="46AD44F0"/>
    <w:rsid w:val="46DCD0B7"/>
    <w:rsid w:val="4BF9894D"/>
    <w:rsid w:val="52E48751"/>
    <w:rsid w:val="55A75CC4"/>
    <w:rsid w:val="63F99DC5"/>
    <w:rsid w:val="6F7774D1"/>
    <w:rsid w:val="74639142"/>
    <w:rsid w:val="7AFDFA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FD893"/>
  <w15:docId w15:val="{7979AF50-DB58-4B9F-B7DD-C928CA9AE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nl-N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11273"/>
    <w:rPr>
      <w:rFonts w:ascii="Aptos" w:hAnsi="Aptos"/>
    </w:rPr>
  </w:style>
  <w:style w:type="paragraph" w:styleId="Kop1">
    <w:name w:val="heading 1"/>
    <w:basedOn w:val="Standaard"/>
    <w:next w:val="Standaard"/>
    <w:uiPriority w:val="9"/>
    <w:qFormat/>
    <w:pPr>
      <w:keepNext/>
      <w:keepLines/>
      <w:spacing w:before="400" w:after="120"/>
      <w:outlineLvl w:val="0"/>
    </w:pPr>
    <w:rPr>
      <w:sz w:val="40"/>
      <w:szCs w:val="40"/>
    </w:rPr>
  </w:style>
  <w:style w:type="paragraph" w:styleId="Kop2">
    <w:name w:val="heading 2"/>
    <w:basedOn w:val="Standaard"/>
    <w:next w:val="Standaard"/>
    <w:uiPriority w:val="9"/>
    <w:semiHidden/>
    <w:unhideWhenUsed/>
    <w:qFormat/>
    <w:pPr>
      <w:keepNext/>
      <w:keepLines/>
      <w:spacing w:before="360" w:after="120"/>
      <w:outlineLvl w:val="1"/>
    </w:pPr>
    <w:rPr>
      <w:sz w:val="32"/>
      <w:szCs w:val="32"/>
    </w:rPr>
  </w:style>
  <w:style w:type="paragraph" w:styleId="Kop3">
    <w:name w:val="heading 3"/>
    <w:basedOn w:val="Standaard"/>
    <w:next w:val="Standaard"/>
    <w:uiPriority w:val="9"/>
    <w:semiHidden/>
    <w:unhideWhenUsed/>
    <w:qFormat/>
    <w:pPr>
      <w:keepNext/>
      <w:keepLines/>
      <w:spacing w:before="320" w:after="80"/>
      <w:outlineLvl w:val="2"/>
    </w:pPr>
    <w:rPr>
      <w:color w:val="434343"/>
      <w:sz w:val="28"/>
      <w:szCs w:val="28"/>
    </w:rPr>
  </w:style>
  <w:style w:type="paragraph" w:styleId="Kop4">
    <w:name w:val="heading 4"/>
    <w:basedOn w:val="Standaard"/>
    <w:next w:val="Standaard"/>
    <w:uiPriority w:val="9"/>
    <w:semiHidden/>
    <w:unhideWhenUsed/>
    <w:qFormat/>
    <w:pPr>
      <w:keepNext/>
      <w:keepLines/>
      <w:spacing w:before="280" w:after="80"/>
      <w:outlineLvl w:val="3"/>
    </w:pPr>
    <w:rPr>
      <w:color w:val="666666"/>
      <w:sz w:val="24"/>
      <w:szCs w:val="24"/>
    </w:rPr>
  </w:style>
  <w:style w:type="paragraph" w:styleId="Kop5">
    <w:name w:val="heading 5"/>
    <w:basedOn w:val="Standaard"/>
    <w:next w:val="Standaard"/>
    <w:uiPriority w:val="9"/>
    <w:semiHidden/>
    <w:unhideWhenUsed/>
    <w:qFormat/>
    <w:pPr>
      <w:keepNext/>
      <w:keepLines/>
      <w:spacing w:before="240" w:after="80"/>
      <w:outlineLvl w:val="4"/>
    </w:pPr>
    <w:rPr>
      <w:color w:val="666666"/>
    </w:rPr>
  </w:style>
  <w:style w:type="paragraph" w:styleId="Kop6">
    <w:name w:val="heading 6"/>
    <w:basedOn w:val="Standaard"/>
    <w:next w:val="Standaard"/>
    <w:uiPriority w:val="9"/>
    <w:semiHidden/>
    <w:unhideWhenUsed/>
    <w:qFormat/>
    <w:pPr>
      <w:keepNext/>
      <w:keepLines/>
      <w:spacing w:before="240" w:after="80"/>
      <w:outlineLvl w:val="5"/>
    </w:pPr>
    <w:rPr>
      <w:i/>
      <w:iCs/>
      <w:color w:val="66666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keepNext/>
      <w:keepLines/>
      <w:spacing w:after="60"/>
    </w:pPr>
    <w:rPr>
      <w:sz w:val="52"/>
      <w:szCs w:val="52"/>
    </w:rPr>
  </w:style>
  <w:style w:type="paragraph" w:styleId="Ondertitel">
    <w:name w:val="Subtitle"/>
    <w:basedOn w:val="Standaard"/>
    <w:next w:val="Standaard"/>
    <w:uiPriority w:val="11"/>
    <w:qFormat/>
    <w:pPr>
      <w:keepNext/>
      <w:keepLines/>
      <w:spacing w:after="320"/>
    </w:pPr>
    <w:rPr>
      <w:color w:val="666666"/>
      <w:sz w:val="30"/>
      <w:szCs w:val="30"/>
    </w:rPr>
  </w:style>
  <w:style w:type="paragraph" w:styleId="Revisie">
    <w:name w:val="Revision"/>
    <w:hidden/>
    <w:uiPriority w:val="99"/>
    <w:semiHidden/>
    <w:rsid w:val="002B42A1"/>
    <w:pPr>
      <w:spacing w:line="240" w:lineRule="auto"/>
    </w:pPr>
  </w:style>
  <w:style w:type="character" w:styleId="Verwijzingopmerking">
    <w:name w:val="annotation reference"/>
    <w:basedOn w:val="Standaardalinea-lettertype"/>
    <w:uiPriority w:val="99"/>
    <w:semiHidden/>
    <w:unhideWhenUsed/>
    <w:rsid w:val="002F360B"/>
    <w:rPr>
      <w:sz w:val="16"/>
      <w:szCs w:val="16"/>
    </w:rPr>
  </w:style>
  <w:style w:type="paragraph" w:styleId="Tekstopmerking">
    <w:name w:val="annotation text"/>
    <w:basedOn w:val="Standaard"/>
    <w:link w:val="TekstopmerkingChar"/>
    <w:uiPriority w:val="99"/>
    <w:unhideWhenUsed/>
    <w:rsid w:val="002F360B"/>
    <w:pPr>
      <w:spacing w:line="240" w:lineRule="auto"/>
    </w:pPr>
    <w:rPr>
      <w:sz w:val="20"/>
      <w:szCs w:val="20"/>
    </w:rPr>
  </w:style>
  <w:style w:type="character" w:customStyle="1" w:styleId="TekstopmerkingChar">
    <w:name w:val="Tekst opmerking Char"/>
    <w:basedOn w:val="Standaardalinea-lettertype"/>
    <w:link w:val="Tekstopmerking"/>
    <w:uiPriority w:val="99"/>
    <w:rsid w:val="002F360B"/>
    <w:rPr>
      <w:sz w:val="20"/>
      <w:szCs w:val="20"/>
    </w:rPr>
  </w:style>
  <w:style w:type="paragraph" w:styleId="Onderwerpvanopmerking">
    <w:name w:val="annotation subject"/>
    <w:basedOn w:val="Tekstopmerking"/>
    <w:next w:val="Tekstopmerking"/>
    <w:link w:val="OnderwerpvanopmerkingChar"/>
    <w:uiPriority w:val="99"/>
    <w:semiHidden/>
    <w:unhideWhenUsed/>
    <w:rsid w:val="002F360B"/>
    <w:rPr>
      <w:b/>
      <w:bCs/>
    </w:rPr>
  </w:style>
  <w:style w:type="character" w:customStyle="1" w:styleId="OnderwerpvanopmerkingChar">
    <w:name w:val="Onderwerp van opmerking Char"/>
    <w:basedOn w:val="TekstopmerkingChar"/>
    <w:link w:val="Onderwerpvanopmerking"/>
    <w:uiPriority w:val="99"/>
    <w:semiHidden/>
    <w:rsid w:val="002F360B"/>
    <w:rPr>
      <w:b/>
      <w:bCs/>
      <w:sz w:val="20"/>
      <w:szCs w:val="20"/>
    </w:rPr>
  </w:style>
  <w:style w:type="paragraph" w:styleId="Lijstalinea">
    <w:name w:val="List Paragraph"/>
    <w:basedOn w:val="Standaard"/>
    <w:uiPriority w:val="34"/>
    <w:qFormat/>
    <w:rsid w:val="007A4375"/>
    <w:pPr>
      <w:ind w:left="720"/>
      <w:contextualSpacing/>
    </w:pPr>
  </w:style>
  <w:style w:type="character" w:styleId="Hyperlink">
    <w:name w:val="Hyperlink"/>
    <w:basedOn w:val="Standaardalinea-lettertype"/>
    <w:uiPriority w:val="99"/>
    <w:unhideWhenUsed/>
    <w:rsid w:val="003F514C"/>
    <w:rPr>
      <w:color w:val="0000FF" w:themeColor="hyperlink"/>
      <w:u w:val="single"/>
    </w:rPr>
  </w:style>
  <w:style w:type="character" w:styleId="Onopgelostemelding">
    <w:name w:val="Unresolved Mention"/>
    <w:basedOn w:val="Standaardalinea-lettertype"/>
    <w:uiPriority w:val="99"/>
    <w:semiHidden/>
    <w:unhideWhenUsed/>
    <w:rsid w:val="003F514C"/>
    <w:rPr>
      <w:color w:val="605E5C"/>
      <w:shd w:val="clear" w:color="auto" w:fill="E1DFDD"/>
    </w:rPr>
  </w:style>
  <w:style w:type="character" w:styleId="GevolgdeHyperlink">
    <w:name w:val="FollowedHyperlink"/>
    <w:basedOn w:val="Standaardalinea-lettertype"/>
    <w:uiPriority w:val="99"/>
    <w:semiHidden/>
    <w:unhideWhenUsed/>
    <w:rsid w:val="004A7F5B"/>
    <w:rPr>
      <w:color w:val="800080" w:themeColor="followedHyperlink"/>
      <w:u w:val="single"/>
    </w:rPr>
  </w:style>
  <w:style w:type="paragraph" w:styleId="Voetnoottekst">
    <w:name w:val="footnote text"/>
    <w:basedOn w:val="Standaard"/>
    <w:link w:val="VoetnoottekstChar"/>
    <w:uiPriority w:val="99"/>
    <w:semiHidden/>
    <w:unhideWhenUsed/>
    <w:rsid w:val="00C31BAB"/>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C31BAB"/>
    <w:rPr>
      <w:sz w:val="20"/>
      <w:szCs w:val="20"/>
    </w:rPr>
  </w:style>
  <w:style w:type="character" w:styleId="Voetnootmarkering">
    <w:name w:val="footnote reference"/>
    <w:basedOn w:val="Standaardalinea-lettertype"/>
    <w:uiPriority w:val="99"/>
    <w:semiHidden/>
    <w:unhideWhenUsed/>
    <w:rsid w:val="00C31BAB"/>
    <w:rPr>
      <w:vertAlign w:val="superscript"/>
    </w:rPr>
  </w:style>
  <w:style w:type="paragraph" w:styleId="Normaalweb">
    <w:name w:val="Normal (Web)"/>
    <w:basedOn w:val="Standaard"/>
    <w:uiPriority w:val="99"/>
    <w:semiHidden/>
    <w:unhideWhenUsed/>
    <w:rsid w:val="00D3064B"/>
    <w:pPr>
      <w:spacing w:before="100" w:beforeAutospacing="1" w:after="100" w:afterAutospacing="1" w:line="240" w:lineRule="auto"/>
    </w:pPr>
    <w:rPr>
      <w:rFonts w:ascii="Times New Roman" w:eastAsia="Times New Roman" w:hAnsi="Times New Roman" w:cs="Times New Roman"/>
      <w:sz w:val="24"/>
      <w:szCs w:val="24"/>
      <w:lang w:val="nl-NL"/>
    </w:rPr>
  </w:style>
  <w:style w:type="paragraph" w:styleId="Lijstopsomteken">
    <w:name w:val="List Bullet"/>
    <w:basedOn w:val="Standaard"/>
    <w:uiPriority w:val="99"/>
    <w:unhideWhenUsed/>
    <w:rsid w:val="00902CCA"/>
    <w:pPr>
      <w:numPr>
        <w:numId w:val="6"/>
      </w:numPr>
      <w:contextualSpacing/>
    </w:pPr>
  </w:style>
  <w:style w:type="paragraph" w:styleId="Eindnoottekst">
    <w:name w:val="endnote text"/>
    <w:basedOn w:val="Standaard"/>
    <w:link w:val="EindnoottekstChar"/>
    <w:uiPriority w:val="99"/>
    <w:semiHidden/>
    <w:unhideWhenUsed/>
    <w:rsid w:val="000C472C"/>
    <w:pPr>
      <w:spacing w:line="240" w:lineRule="auto"/>
    </w:pPr>
    <w:rPr>
      <w:sz w:val="20"/>
      <w:szCs w:val="20"/>
    </w:rPr>
  </w:style>
  <w:style w:type="character" w:customStyle="1" w:styleId="EindnoottekstChar">
    <w:name w:val="Eindnoottekst Char"/>
    <w:basedOn w:val="Standaardalinea-lettertype"/>
    <w:link w:val="Eindnoottekst"/>
    <w:uiPriority w:val="99"/>
    <w:semiHidden/>
    <w:rsid w:val="000C472C"/>
    <w:rPr>
      <w:rFonts w:ascii="Aptos" w:hAnsi="Aptos"/>
      <w:sz w:val="20"/>
      <w:szCs w:val="20"/>
    </w:rPr>
  </w:style>
  <w:style w:type="character" w:styleId="Eindnootmarkering">
    <w:name w:val="endnote reference"/>
    <w:basedOn w:val="Standaardalinea-lettertype"/>
    <w:uiPriority w:val="99"/>
    <w:semiHidden/>
    <w:unhideWhenUsed/>
    <w:rsid w:val="000C472C"/>
    <w:rPr>
      <w:vertAlign w:val="superscript"/>
    </w:rPr>
  </w:style>
  <w:style w:type="paragraph" w:styleId="Voettekst">
    <w:name w:val="footer"/>
    <w:basedOn w:val="Standaard"/>
    <w:link w:val="VoettekstChar"/>
    <w:uiPriority w:val="99"/>
    <w:semiHidden/>
    <w:unhideWhenUsed/>
    <w:rsid w:val="00A02052"/>
    <w:pPr>
      <w:tabs>
        <w:tab w:val="center" w:pos="4536"/>
        <w:tab w:val="right" w:pos="9072"/>
      </w:tabs>
      <w:spacing w:line="240" w:lineRule="auto"/>
    </w:pPr>
  </w:style>
  <w:style w:type="character" w:customStyle="1" w:styleId="VoettekstChar">
    <w:name w:val="Voettekst Char"/>
    <w:basedOn w:val="Standaardalinea-lettertype"/>
    <w:link w:val="Voettekst"/>
    <w:uiPriority w:val="99"/>
    <w:semiHidden/>
    <w:rsid w:val="00A02052"/>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n-vrouwenverdrag.nl/wp-content/uploads/2025/10/Persbericht-GREVIO-thematische-evaluatie-Nederland-2025.pdf"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n-vrouwenverdrag.n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vn-vrouwenverdrag.nl/wp-content/uploads/2025/12/Def-addendumcomparative-analysis-15-december-2025_def.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vn-vrouwenverdrag.nl/wp-content/uploads/2024/07/Shadow_report_Dutch_CEDAW_Network_incl_references-4-July-2024def.pdf"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https://www.vn-vrouwenverdrag.nl/wp-content/uploads/2025/12/Def-addendumcomparative-analysis-15-december-2025_d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DF5DF-F2E3-DA4E-80E6-A607043BD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1247</Words>
  <Characters>6862</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Leontine Bijleveld</dc:creator>
  <cp:lastModifiedBy>PetraSn</cp:lastModifiedBy>
  <cp:revision>2</cp:revision>
  <cp:lastPrinted>2025-12-15T16:22:00Z</cp:lastPrinted>
  <dcterms:created xsi:type="dcterms:W3CDTF">2025-12-17T11:10:00Z</dcterms:created>
  <dcterms:modified xsi:type="dcterms:W3CDTF">2025-12-17T11:10:00Z</dcterms:modified>
</cp:coreProperties>
</file>