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F844D" w14:textId="77777777" w:rsidR="00776ACF" w:rsidRDefault="00000000">
      <w:pPr>
        <w:spacing w:line="240" w:lineRule="auto"/>
        <w:jc w:val="center"/>
        <w:rPr>
          <w:rFonts w:ascii="Calibri" w:eastAsia="Calibri" w:hAnsi="Calibri" w:cs="Calibri"/>
          <w:b/>
          <w:sz w:val="28"/>
          <w:szCs w:val="28"/>
        </w:rPr>
      </w:pPr>
      <w:r>
        <w:rPr>
          <w:rFonts w:ascii="Helvetica Neue" w:eastAsia="Helvetica Neue" w:hAnsi="Helvetica Neue" w:cs="Helvetica Neue"/>
          <w:b/>
          <w:noProof/>
          <w:sz w:val="32"/>
          <w:szCs w:val="32"/>
        </w:rPr>
        <w:drawing>
          <wp:inline distT="0" distB="0" distL="0" distR="0" wp14:anchorId="651A6EE2" wp14:editId="421CB549">
            <wp:extent cx="1290309" cy="1088742"/>
            <wp:effectExtent l="0" t="0" r="0" b="0"/>
            <wp:docPr id="1" name="image1.jpg" descr="A logo of two people holding hand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of two people holding hands&#10;&#10;Description automatically generated"/>
                    <pic:cNvPicPr preferRelativeResize="0"/>
                  </pic:nvPicPr>
                  <pic:blipFill>
                    <a:blip r:embed="rId7"/>
                    <a:srcRect/>
                    <a:stretch>
                      <a:fillRect/>
                    </a:stretch>
                  </pic:blipFill>
                  <pic:spPr>
                    <a:xfrm>
                      <a:off x="0" y="0"/>
                      <a:ext cx="1290309" cy="1088742"/>
                    </a:xfrm>
                    <a:prstGeom prst="rect">
                      <a:avLst/>
                    </a:prstGeom>
                    <a:ln/>
                  </pic:spPr>
                </pic:pic>
              </a:graphicData>
            </a:graphic>
          </wp:inline>
        </w:drawing>
      </w:r>
    </w:p>
    <w:p w14:paraId="21935411" w14:textId="77777777" w:rsidR="00776ACF" w:rsidRDefault="00000000">
      <w:pPr>
        <w:jc w:val="center"/>
        <w:rPr>
          <w:rFonts w:ascii="Calibri" w:eastAsia="Calibri" w:hAnsi="Calibri" w:cs="Calibri"/>
          <w:b/>
          <w:sz w:val="24"/>
          <w:szCs w:val="24"/>
        </w:rPr>
      </w:pPr>
      <w:r>
        <w:rPr>
          <w:rFonts w:ascii="Calibri" w:eastAsia="Calibri" w:hAnsi="Calibri" w:cs="Calibri"/>
          <w:b/>
          <w:sz w:val="24"/>
          <w:szCs w:val="24"/>
        </w:rPr>
        <w:t xml:space="preserve">Thailand </w:t>
      </w:r>
    </w:p>
    <w:p w14:paraId="2C0CDEB4" w14:textId="77777777" w:rsidR="00776ACF" w:rsidRDefault="00000000">
      <w:pPr>
        <w:jc w:val="center"/>
        <w:rPr>
          <w:rFonts w:ascii="Calibri" w:eastAsia="Calibri" w:hAnsi="Calibri" w:cs="Calibri"/>
          <w:b/>
          <w:sz w:val="24"/>
          <w:szCs w:val="24"/>
        </w:rPr>
      </w:pPr>
      <w:r>
        <w:rPr>
          <w:rFonts w:ascii="Calibri" w:eastAsia="Calibri" w:hAnsi="Calibri" w:cs="Calibri"/>
          <w:b/>
          <w:sz w:val="24"/>
          <w:szCs w:val="24"/>
        </w:rPr>
        <w:t>The Coalition for the Rights of Refugees and Stateless Persons</w:t>
      </w:r>
    </w:p>
    <w:p w14:paraId="04C860A8" w14:textId="77777777" w:rsidR="00776ACF" w:rsidRDefault="00000000">
      <w:pPr>
        <w:jc w:val="center"/>
        <w:rPr>
          <w:rFonts w:ascii="Calibri" w:eastAsia="Calibri" w:hAnsi="Calibri" w:cs="Calibri"/>
          <w:b/>
          <w:sz w:val="24"/>
          <w:szCs w:val="24"/>
        </w:rPr>
      </w:pPr>
      <w:r>
        <w:rPr>
          <w:rFonts w:ascii="Calibri" w:eastAsia="Calibri" w:hAnsi="Calibri" w:cs="Calibri"/>
          <w:b/>
          <w:sz w:val="24"/>
          <w:szCs w:val="24"/>
        </w:rPr>
        <w:t>(CRSP) Submission to the UN CEDAW Committee</w:t>
      </w:r>
    </w:p>
    <w:p w14:paraId="1630C887" w14:textId="77777777" w:rsidR="00776ACF" w:rsidRDefault="00000000">
      <w:pPr>
        <w:spacing w:line="263" w:lineRule="auto"/>
        <w:jc w:val="center"/>
        <w:rPr>
          <w:rFonts w:ascii="Calibri" w:eastAsia="Calibri" w:hAnsi="Calibri" w:cs="Calibri"/>
          <w:b/>
          <w:sz w:val="24"/>
          <w:szCs w:val="24"/>
        </w:rPr>
      </w:pPr>
      <w:r>
        <w:rPr>
          <w:rFonts w:ascii="Calibri" w:eastAsia="Calibri" w:hAnsi="Calibri" w:cs="Calibri"/>
          <w:b/>
          <w:sz w:val="24"/>
          <w:szCs w:val="24"/>
        </w:rPr>
        <w:t>Review of Thailand</w:t>
      </w:r>
    </w:p>
    <w:p w14:paraId="68899F0F" w14:textId="77777777" w:rsidR="00776ACF" w:rsidRDefault="00000000">
      <w:pPr>
        <w:spacing w:line="263" w:lineRule="auto"/>
        <w:jc w:val="center"/>
        <w:rPr>
          <w:rFonts w:ascii="Calibri" w:eastAsia="Calibri" w:hAnsi="Calibri" w:cs="Calibri"/>
          <w:b/>
          <w:sz w:val="24"/>
          <w:szCs w:val="24"/>
        </w:rPr>
      </w:pPr>
      <w:r>
        <w:rPr>
          <w:rFonts w:ascii="Calibri" w:eastAsia="Calibri" w:hAnsi="Calibri" w:cs="Calibri"/>
          <w:b/>
          <w:sz w:val="24"/>
          <w:szCs w:val="24"/>
        </w:rPr>
        <w:t>June 2025</w:t>
      </w:r>
    </w:p>
    <w:p w14:paraId="02A7EF40" w14:textId="77777777" w:rsidR="00776ACF" w:rsidRDefault="00776ACF">
      <w:pPr>
        <w:spacing w:line="263" w:lineRule="auto"/>
        <w:jc w:val="center"/>
        <w:rPr>
          <w:rFonts w:ascii="Calibri" w:eastAsia="Calibri" w:hAnsi="Calibri" w:cs="Calibri"/>
          <w:b/>
          <w:sz w:val="24"/>
          <w:szCs w:val="24"/>
        </w:rPr>
      </w:pPr>
    </w:p>
    <w:p w14:paraId="7F9213D5" w14:textId="77777777" w:rsidR="00776ACF" w:rsidRDefault="00000000">
      <w:pPr>
        <w:jc w:val="both"/>
        <w:rPr>
          <w:rFonts w:ascii="Calibri" w:eastAsia="Calibri" w:hAnsi="Calibri" w:cs="Calibri"/>
          <w:sz w:val="24"/>
          <w:szCs w:val="24"/>
        </w:rPr>
      </w:pPr>
      <w:r>
        <w:rPr>
          <w:rFonts w:ascii="Calibri" w:eastAsia="Calibri" w:hAnsi="Calibri" w:cs="Calibri"/>
          <w:sz w:val="24"/>
          <w:szCs w:val="24"/>
        </w:rPr>
        <w:t>The Coalition for the Rights of Refugees and Stateless Persons (CRSP) was formed in 2016 to advocate for the human rights of refugees and stateless people in Thailand. CRSP comprises members from NGOs, INGOs, and individuals who believe in and support refugee and stateless rights. CRSP believes that refugees and stateless people should be able to access their fundamental human rights while living in host countries like Thailand. Refugees and stateless people should be protected under national legislation and be free from forced return to their country of origin. CRSP advocates for all refugees in Thailand, focusing on urban refugees</w:t>
      </w:r>
      <w:r>
        <w:rPr>
          <w:rFonts w:ascii="Calibri" w:eastAsia="Calibri" w:hAnsi="Calibri" w:cs="Calibri"/>
          <w:sz w:val="24"/>
          <w:szCs w:val="24"/>
          <w:vertAlign w:val="superscript"/>
        </w:rPr>
        <w:footnoteReference w:id="1"/>
      </w:r>
      <w:r>
        <w:rPr>
          <w:rFonts w:ascii="Calibri" w:eastAsia="Calibri" w:hAnsi="Calibri" w:cs="Calibri"/>
          <w:sz w:val="24"/>
          <w:szCs w:val="24"/>
        </w:rPr>
        <w:t>.</w:t>
      </w:r>
    </w:p>
    <w:p w14:paraId="220FCB51" w14:textId="77777777" w:rsidR="00776ACF" w:rsidRDefault="00776ACF">
      <w:pPr>
        <w:jc w:val="both"/>
        <w:rPr>
          <w:rFonts w:ascii="Calibri" w:eastAsia="Calibri" w:hAnsi="Calibri" w:cs="Calibri"/>
          <w:sz w:val="24"/>
          <w:szCs w:val="24"/>
        </w:rPr>
      </w:pPr>
    </w:p>
    <w:p w14:paraId="52F7B346" w14:textId="77777777" w:rsidR="00776ACF" w:rsidRDefault="00000000">
      <w:pPr>
        <w:jc w:val="both"/>
        <w:rPr>
          <w:rFonts w:ascii="Calibri" w:eastAsia="Calibri" w:hAnsi="Calibri" w:cs="Calibri"/>
          <w:sz w:val="24"/>
          <w:szCs w:val="24"/>
        </w:rPr>
      </w:pPr>
      <w:r>
        <w:rPr>
          <w:rFonts w:ascii="Calibri" w:eastAsia="Calibri" w:hAnsi="Calibri" w:cs="Calibri"/>
          <w:sz w:val="24"/>
          <w:szCs w:val="24"/>
        </w:rPr>
        <w:t>CRSP has prepared this submission as part of our ongoing advocacy to highlight and address the urgent and systemic challenges that women refugees currently residing in Thailand face. Although Thailand has been a party to the Convention on the Elimination of All Forms of Discrimination against Women (CEDAW) since 1985, refugee women continue to be subjected to gender-based discrimination, legal exclusion, and structural violence. These women face intersecting vulnerabilities stemming from their immigration status, limited access to justice, healthcare, and employment, as well as heightened risks of gender-based violence, arbitrary detention, and human trafficking. CRSP submits this report with the aim of urging the Thai government to fulfill its obligations under CEDAW and ensure that all women within its territory, including those with irregular immigration status, are guaranteed protection, dignity, and access to their fundamental human rights.</w:t>
      </w:r>
    </w:p>
    <w:p w14:paraId="03A55DE6" w14:textId="77777777" w:rsidR="00776ACF" w:rsidRDefault="00776ACF">
      <w:pPr>
        <w:jc w:val="both"/>
        <w:rPr>
          <w:rFonts w:ascii="Calibri" w:eastAsia="Calibri" w:hAnsi="Calibri" w:cs="Calibri"/>
          <w:sz w:val="28"/>
          <w:szCs w:val="28"/>
        </w:rPr>
      </w:pPr>
    </w:p>
    <w:p w14:paraId="7A0FEF62" w14:textId="77777777" w:rsidR="00776ACF" w:rsidRDefault="00000000">
      <w:pPr>
        <w:pStyle w:val="Heading3"/>
        <w:keepNext w:val="0"/>
        <w:keepLines w:val="0"/>
        <w:spacing w:before="280"/>
        <w:jc w:val="both"/>
        <w:rPr>
          <w:rFonts w:ascii="Calibri" w:eastAsia="Calibri" w:hAnsi="Calibri" w:cs="Calibri"/>
          <w:b/>
          <w:color w:val="000000"/>
          <w:sz w:val="26"/>
          <w:szCs w:val="26"/>
        </w:rPr>
      </w:pPr>
      <w:bookmarkStart w:id="0" w:name="_blwzi3intf3w" w:colFirst="0" w:colLast="0"/>
      <w:bookmarkEnd w:id="0"/>
      <w:r>
        <w:rPr>
          <w:rFonts w:ascii="Calibri" w:eastAsia="Calibri" w:hAnsi="Calibri" w:cs="Calibri"/>
          <w:b/>
          <w:color w:val="000000"/>
          <w:sz w:val="26"/>
          <w:szCs w:val="26"/>
        </w:rPr>
        <w:lastRenderedPageBreak/>
        <w:t>Economic Vulnerability Among Women Refugees</w:t>
      </w:r>
    </w:p>
    <w:p w14:paraId="505F7098"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In urban areas of Thailand, particularly Bangkok, refugee women, especially those who are single or heads of households, face severe economic hardship due to their lack of legal status and the accompanying exclusion from formal employment. This legal and social marginalization forces many into precarious informal labor markets, where they are exposed to exploitation, abuse, and unsafe working conditions. The capacity of local NGOs to provide financial assistance or livelihood support is limited, particularly for urban refugees residing outside designated aid zones. As a result, some women turn to sex work as a means of survival. However, the work is often carried out informally and without legal protections, which exposes them to heightened risks of violence, unplanned pregnancy, sexually transmitted diseases/infection, arrest, and social stigma toward women and children.</w:t>
      </w:r>
    </w:p>
    <w:p w14:paraId="786F69EE" w14:textId="36A9A5F5"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Many women refugees engaged in survival sex do not self-identify as sex workers, a reflection of both the informal and desperate nature of their circumstances and the deep fear of community stigma and legal repercussions. This fear often prevents them from seeking assistance from their communities, NGOs, or Thai authorities. CRSP’s direct engagement with urban refugees has revealed recurring patterns of women discreetly resorting to sex work to support themselves and their children. In doing so, they face not only physical and psychological health risks but also more profound marginalization, including from healthcare and protection systems. These realities highlight the urgent need for Thailand to implement gender-sensitive protections, expand access to lawful employment, and provide emergency financial assistance tailored to urban women refugees.</w:t>
      </w:r>
    </w:p>
    <w:p w14:paraId="653FD32F"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Moreover, there is growing evidence that some women involved in survival sex become pregnant and are subsequently unable to access appropriate healthcare or reproductive services. Due to legal exclusion and a lack of awareness, many are barred from accessing public health facilities and may avoid seeking </w:t>
      </w:r>
      <w:proofErr w:type="gramStart"/>
      <w:r>
        <w:rPr>
          <w:rFonts w:ascii="Calibri" w:eastAsia="Calibri" w:hAnsi="Calibri" w:cs="Calibri"/>
          <w:sz w:val="24"/>
          <w:szCs w:val="24"/>
        </w:rPr>
        <w:t>help out</w:t>
      </w:r>
      <w:proofErr w:type="gramEnd"/>
      <w:r>
        <w:rPr>
          <w:rFonts w:ascii="Calibri" w:eastAsia="Calibri" w:hAnsi="Calibri" w:cs="Calibri"/>
          <w:sz w:val="24"/>
          <w:szCs w:val="24"/>
        </w:rPr>
        <w:t xml:space="preserve"> of fear of legal consequences. Thailand’s restrictive abortion laws and the exclusion of refugees from state-sponsored reproductive services further compound this crisis. As a result, some women resort to unsafe or illegal abortions, which carry significant risks of serious complications, long-term reproductive harm, or even death. The absence of safe, legal, and accessible reproductive care for women refugees underscores the need for inclusive healthcare policies and reproductive rights protections for all women, regardless of immigration status.</w:t>
      </w:r>
    </w:p>
    <w:p w14:paraId="5C95985A" w14:textId="77777777" w:rsidR="00776ACF" w:rsidRDefault="00000000">
      <w:pPr>
        <w:spacing w:before="240" w:after="240"/>
        <w:jc w:val="both"/>
        <w:rPr>
          <w:rFonts w:ascii="Calibri" w:eastAsia="Calibri" w:hAnsi="Calibri" w:cs="Calibri"/>
          <w:b/>
          <w:sz w:val="24"/>
          <w:szCs w:val="24"/>
        </w:rPr>
      </w:pPr>
      <w:r>
        <w:rPr>
          <w:rFonts w:ascii="Calibri" w:eastAsia="Calibri" w:hAnsi="Calibri" w:cs="Calibri"/>
          <w:b/>
          <w:sz w:val="24"/>
          <w:szCs w:val="24"/>
        </w:rPr>
        <w:t>Sexual Gender-Based Violence Against Women Refugees</w:t>
      </w:r>
    </w:p>
    <w:p w14:paraId="72028C35" w14:textId="77777777" w:rsidR="00776ACF" w:rsidRDefault="00000000">
      <w:pPr>
        <w:spacing w:before="240" w:after="240"/>
        <w:jc w:val="both"/>
        <w:rPr>
          <w:rFonts w:ascii="Calibri" w:eastAsia="Calibri" w:hAnsi="Calibri" w:cs="Calibri"/>
          <w:b/>
          <w:sz w:val="24"/>
          <w:szCs w:val="24"/>
        </w:rPr>
      </w:pPr>
      <w:r>
        <w:rPr>
          <w:rFonts w:ascii="Calibri" w:eastAsia="Calibri" w:hAnsi="Calibri" w:cs="Calibri"/>
          <w:sz w:val="24"/>
          <w:szCs w:val="24"/>
        </w:rPr>
        <w:t xml:space="preserve">Many women refugees are isolated from support networks and lack awareness of available services, while language barriers further hinder communication with Thai service providers. </w:t>
      </w:r>
      <w:r>
        <w:rPr>
          <w:rFonts w:ascii="Calibri" w:eastAsia="Calibri" w:hAnsi="Calibri" w:cs="Calibri"/>
          <w:sz w:val="24"/>
          <w:szCs w:val="24"/>
        </w:rPr>
        <w:br/>
      </w:r>
      <w:r>
        <w:rPr>
          <w:rFonts w:ascii="Calibri" w:eastAsia="Calibri" w:hAnsi="Calibri" w:cs="Calibri"/>
          <w:sz w:val="24"/>
          <w:szCs w:val="24"/>
        </w:rPr>
        <w:lastRenderedPageBreak/>
        <w:t>In host countries like Thailand, gaps in legal protection for refugees and the absence of gender-sensitive, trauma-informed support services make it difficult for survivors to report or access legal assistance, especially when it comes to reporting to the Thai police. Most refugee women do not know their rights to report crimes to local authorities and are often afraid of being arrested, detained, and deported due to their irregular status. Even when support from local NGOs is available, it may take significant time for survivors to come forward, and many are long-term victims of SGBV who have experienced abuse in at least two or more incidents before seeking help.</w:t>
      </w:r>
    </w:p>
    <w:p w14:paraId="66C9D373"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Access to justice remains a significant challenge for refugee women in Thailand. Fear of detention, corruption, and dismissal by authorities often prevents women from filing police reports or pursuing legal action in cases of gender-based violence (GBV). While some mechanisms exist, such as the option to request female officers or interpretation services, they are inconsistent and can still be intimidating or difficult to access. The limited availability of legal aid, which is primarily provided by local NGOs, further complicates the situation. These services are frequently overstretched and not easily accessible to women in crisis, especially those living in urban areas without stable housing or transportation. As a result, many survivors are left without recourse, and perpetrators often go unpunished, reinforcing a cycle of violence, fear, and impunity.</w:t>
      </w:r>
    </w:p>
    <w:p w14:paraId="67C1C8E7" w14:textId="77777777" w:rsidR="00776ACF" w:rsidRDefault="00000000">
      <w:pPr>
        <w:spacing w:before="240" w:after="240"/>
        <w:jc w:val="both"/>
        <w:rPr>
          <w:rFonts w:ascii="Calibri" w:eastAsia="Calibri" w:hAnsi="Calibri" w:cs="Calibri"/>
          <w:b/>
          <w:sz w:val="24"/>
          <w:szCs w:val="24"/>
        </w:rPr>
      </w:pPr>
      <w:r>
        <w:rPr>
          <w:rFonts w:ascii="Calibri" w:eastAsia="Calibri" w:hAnsi="Calibri" w:cs="Calibri"/>
          <w:sz w:val="24"/>
          <w:szCs w:val="24"/>
        </w:rPr>
        <w:t>In November 2024, Thailand deported a total of six Cambodian political activists and one child who were recognized as refugees and asylum seekers in the country</w:t>
      </w:r>
      <w:r>
        <w:rPr>
          <w:rFonts w:ascii="Calibri" w:eastAsia="Calibri" w:hAnsi="Calibri" w:cs="Calibri"/>
          <w:sz w:val="24"/>
          <w:szCs w:val="24"/>
          <w:vertAlign w:val="superscript"/>
        </w:rPr>
        <w:footnoteReference w:id="2"/>
      </w:r>
      <w:r>
        <w:rPr>
          <w:rFonts w:ascii="Calibri" w:eastAsia="Calibri" w:hAnsi="Calibri" w:cs="Calibri"/>
          <w:sz w:val="24"/>
          <w:szCs w:val="24"/>
        </w:rPr>
        <w:t>. Among those deported were four women identified as women human rights defenders. Notably, one of these women was apprehended and deported separately from her 14-year-old child, resulting in the forcible separation of the mother and child. This incident rendered the child a separated minor, raising serious concerns about the protection of vulnerable individuals and adherence to international human rights standards.</w:t>
      </w:r>
    </w:p>
    <w:p w14:paraId="104535DD" w14:textId="77777777" w:rsidR="00776ACF" w:rsidRDefault="00000000">
      <w:pPr>
        <w:spacing w:before="240" w:after="240"/>
        <w:jc w:val="both"/>
        <w:rPr>
          <w:rFonts w:ascii="Calibri" w:eastAsia="Calibri" w:hAnsi="Calibri" w:cs="Calibri"/>
          <w:b/>
          <w:sz w:val="24"/>
          <w:szCs w:val="24"/>
        </w:rPr>
      </w:pPr>
      <w:r>
        <w:rPr>
          <w:rFonts w:ascii="Calibri" w:eastAsia="Calibri" w:hAnsi="Calibri" w:cs="Calibri"/>
          <w:b/>
          <w:sz w:val="24"/>
          <w:szCs w:val="24"/>
        </w:rPr>
        <w:t>Women refugees in Immigration Detention Centers</w:t>
      </w:r>
    </w:p>
    <w:p w14:paraId="4A3020FF" w14:textId="77777777" w:rsidR="00776ACF" w:rsidRDefault="00000000">
      <w:pPr>
        <w:numPr>
          <w:ilvl w:val="0"/>
          <w:numId w:val="1"/>
        </w:numPr>
        <w:spacing w:before="240" w:after="240"/>
        <w:jc w:val="both"/>
        <w:rPr>
          <w:rFonts w:ascii="Calibri" w:eastAsia="Calibri" w:hAnsi="Calibri" w:cs="Calibri"/>
          <w:b/>
          <w:sz w:val="24"/>
          <w:szCs w:val="24"/>
        </w:rPr>
      </w:pPr>
      <w:r>
        <w:rPr>
          <w:rFonts w:ascii="Calibri" w:eastAsia="Calibri" w:hAnsi="Calibri" w:cs="Calibri"/>
          <w:b/>
          <w:sz w:val="24"/>
          <w:szCs w:val="24"/>
        </w:rPr>
        <w:t>Living condition</w:t>
      </w:r>
    </w:p>
    <w:p w14:paraId="336EBBF1" w14:textId="77777777" w:rsidR="00776ACF" w:rsidRDefault="00000000">
      <w:pPr>
        <w:spacing w:before="240" w:after="240"/>
        <w:jc w:val="both"/>
        <w:rPr>
          <w:rFonts w:ascii="Calibri" w:eastAsia="Calibri" w:hAnsi="Calibri" w:cs="Calibri"/>
          <w:b/>
          <w:sz w:val="24"/>
          <w:szCs w:val="24"/>
        </w:rPr>
      </w:pPr>
      <w:r>
        <w:rPr>
          <w:rFonts w:ascii="Calibri" w:eastAsia="Calibri" w:hAnsi="Calibri" w:cs="Calibri"/>
          <w:sz w:val="24"/>
          <w:szCs w:val="24"/>
        </w:rPr>
        <w:t xml:space="preserve">Women refugees in Thailand face systemic challenges when detained in Immigration Detention Centers (IDCs) due to the country's failure to distinguish between refugees and undocumented migrants. Thailand is not a signatory to the 1951 Refugee Convention and does not have a comprehensive national asylum framework. Although the country established the National Screening Mechanism (NSM), which has been in operation since 2023, the mechanism has thus </w:t>
      </w:r>
      <w:r>
        <w:rPr>
          <w:rFonts w:ascii="Calibri" w:eastAsia="Calibri" w:hAnsi="Calibri" w:cs="Calibri"/>
          <w:sz w:val="24"/>
          <w:szCs w:val="24"/>
        </w:rPr>
        <w:lastRenderedPageBreak/>
        <w:t xml:space="preserve">far granted Protected Person status to only seven individuals. Furthermore, refugees applying under the NSM are required to pay bail </w:t>
      </w:r>
      <w:proofErr w:type="gramStart"/>
      <w:r>
        <w:rPr>
          <w:rFonts w:ascii="Calibri" w:eastAsia="Calibri" w:hAnsi="Calibri" w:cs="Calibri"/>
          <w:sz w:val="24"/>
          <w:szCs w:val="24"/>
        </w:rPr>
        <w:t>in order to</w:t>
      </w:r>
      <w:proofErr w:type="gramEnd"/>
      <w:r>
        <w:rPr>
          <w:rFonts w:ascii="Calibri" w:eastAsia="Calibri" w:hAnsi="Calibri" w:cs="Calibri"/>
          <w:sz w:val="24"/>
          <w:szCs w:val="24"/>
        </w:rPr>
        <w:t xml:space="preserve"> be released from immigration detention. In the absence of legal recognition, individuals fleeing persecution are classified as "illegal aliens" under the Immigration Act. Section 54 of the Act permits arrest, detention, and deportation for immigration-related offenses without regard for an individual’s protection needs</w:t>
      </w:r>
      <w:r>
        <w:rPr>
          <w:rFonts w:ascii="Calibri" w:eastAsia="Calibri" w:hAnsi="Calibri" w:cs="Calibri"/>
          <w:sz w:val="24"/>
          <w:szCs w:val="24"/>
          <w:vertAlign w:val="superscript"/>
        </w:rPr>
        <w:footnoteReference w:id="3"/>
      </w:r>
      <w:r>
        <w:rPr>
          <w:rFonts w:ascii="Calibri" w:eastAsia="Calibri" w:hAnsi="Calibri" w:cs="Calibri"/>
          <w:sz w:val="24"/>
          <w:szCs w:val="24"/>
        </w:rPr>
        <w:t>. As a result, refugee women are routinely detained in IDCs alongside other undocumented migrants, treated as criminals rather than persons entitled to international protection.</w:t>
      </w:r>
    </w:p>
    <w:p w14:paraId="3A2CD635"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The detention conditions in IDCs are particularly harmful to women.  Even though IDCs has guidelines for the Reception, Control, and Care of Foreigners stating that the authorities must create personal health dossiers of the detainees</w:t>
      </w:r>
      <w:r>
        <w:rPr>
          <w:rFonts w:ascii="Calibri" w:eastAsia="Calibri" w:hAnsi="Calibri" w:cs="Calibri"/>
          <w:sz w:val="24"/>
          <w:szCs w:val="24"/>
          <w:vertAlign w:val="superscript"/>
        </w:rPr>
        <w:footnoteReference w:id="4"/>
      </w:r>
      <w:r>
        <w:rPr>
          <w:rFonts w:ascii="Calibri" w:eastAsia="Calibri" w:hAnsi="Calibri" w:cs="Calibri"/>
          <w:sz w:val="24"/>
          <w:szCs w:val="24"/>
        </w:rPr>
        <w:t xml:space="preserve">, women refugees rarely receive adequate medical screening. There is no consistent system to assess pregnancy status, reproductive health history, or prenatal care needs. Facilities such as the </w:t>
      </w:r>
      <w:proofErr w:type="gramStart"/>
      <w:r>
        <w:rPr>
          <w:rFonts w:ascii="Calibri" w:eastAsia="Calibri" w:hAnsi="Calibri" w:cs="Calibri"/>
          <w:sz w:val="24"/>
          <w:szCs w:val="24"/>
        </w:rPr>
        <w:t>Mother</w:t>
      </w:r>
      <w:proofErr w:type="gramEnd"/>
      <w:r>
        <w:rPr>
          <w:rFonts w:ascii="Calibri" w:eastAsia="Calibri" w:hAnsi="Calibri" w:cs="Calibri"/>
          <w:sz w:val="24"/>
          <w:szCs w:val="24"/>
        </w:rPr>
        <w:t xml:space="preserve"> and Children Reception Center in Bangkok have held pregnant women and mothers with infants for prolonged periods without systematic health monitoring. Overcrowded and unsanitary conditions—often housing 20 or more people in a single room—further endanger detainees’ health. CRSP has documented several cases of women refugees and children who frequently report skin infections, rashes, and respiratory illnesses. Upon release, many continue to suffer from chronic conditions, including gastrointestinal disorders and respiratory problems, indicating long-term health consequences of detention. </w:t>
      </w:r>
    </w:p>
    <w:p w14:paraId="652277EF" w14:textId="77777777" w:rsidR="00776ACF" w:rsidRDefault="00000000">
      <w:pPr>
        <w:numPr>
          <w:ilvl w:val="0"/>
          <w:numId w:val="1"/>
        </w:numPr>
        <w:spacing w:before="240" w:after="240"/>
        <w:jc w:val="both"/>
        <w:rPr>
          <w:rFonts w:ascii="Calibri" w:eastAsia="Calibri" w:hAnsi="Calibri" w:cs="Calibri"/>
          <w:b/>
          <w:sz w:val="24"/>
          <w:szCs w:val="24"/>
          <w:highlight w:val="white"/>
        </w:rPr>
      </w:pPr>
      <w:r>
        <w:rPr>
          <w:rFonts w:ascii="Calibri" w:eastAsia="Calibri" w:hAnsi="Calibri" w:cs="Calibri"/>
          <w:b/>
          <w:sz w:val="24"/>
          <w:szCs w:val="24"/>
          <w:highlight w:val="white"/>
        </w:rPr>
        <w:t>Sexual and Reproductive Health</w:t>
      </w:r>
    </w:p>
    <w:p w14:paraId="765FED01" w14:textId="77777777" w:rsidR="00776ACF" w:rsidRDefault="00000000">
      <w:pPr>
        <w:spacing w:before="240" w:after="240"/>
        <w:jc w:val="both"/>
        <w:rPr>
          <w:rFonts w:ascii="Calibri" w:eastAsia="Calibri" w:hAnsi="Calibri" w:cs="Calibri"/>
          <w:sz w:val="24"/>
          <w:szCs w:val="24"/>
          <w:highlight w:val="white"/>
        </w:rPr>
      </w:pPr>
      <w:r>
        <w:rPr>
          <w:rFonts w:ascii="Calibri" w:eastAsia="Calibri" w:hAnsi="Calibri" w:cs="Calibri"/>
          <w:sz w:val="24"/>
          <w:szCs w:val="24"/>
          <w:highlight w:val="white"/>
        </w:rPr>
        <w:t>Due to their legal status, refugee women in Thailand face considerable challenges in accessing essential health services, especially those related to reproductive health, pregnancy care, and the prevention and treatment of sexually transmitted diseases. These challenges are further intensified for those detained in IDCs, where access to health services is severely limited and lacks sensitivity to the gender-specific needs and the vulnerabilities associated with refugee status.</w:t>
      </w:r>
    </w:p>
    <w:p w14:paraId="59142FC1" w14:textId="77777777" w:rsidR="00776ACF" w:rsidRDefault="00000000">
      <w:pPr>
        <w:spacing w:before="240" w:after="240"/>
        <w:jc w:val="both"/>
        <w:rPr>
          <w:rFonts w:ascii="Calibri" w:eastAsia="Calibri" w:hAnsi="Calibri" w:cs="Calibri"/>
          <w:sz w:val="24"/>
          <w:szCs w:val="24"/>
          <w:highlight w:val="white"/>
        </w:rPr>
      </w:pPr>
      <w:r>
        <w:rPr>
          <w:rFonts w:ascii="Calibri" w:eastAsia="Calibri" w:hAnsi="Calibri" w:cs="Calibri"/>
          <w:sz w:val="24"/>
          <w:szCs w:val="24"/>
          <w:highlight w:val="white"/>
        </w:rPr>
        <w:t>Thailand has introduced the NSM, which offers a potential pathway for eligible individuals to be recognized as “Protected Persons.” This designation provides access to healthcare in accordance with applicable laws, international obligations, Cabinet resolutions, and government policies.</w:t>
      </w:r>
      <w:r>
        <w:rPr>
          <w:rFonts w:ascii="Calibri" w:eastAsia="Calibri" w:hAnsi="Calibri" w:cs="Calibri"/>
          <w:sz w:val="24"/>
          <w:szCs w:val="24"/>
          <w:highlight w:val="white"/>
          <w:vertAlign w:val="superscript"/>
        </w:rPr>
        <w:footnoteReference w:id="5"/>
      </w:r>
      <w:r>
        <w:rPr>
          <w:rFonts w:ascii="Calibri" w:eastAsia="Calibri" w:hAnsi="Calibri" w:cs="Calibri"/>
          <w:sz w:val="24"/>
          <w:szCs w:val="24"/>
          <w:highlight w:val="white"/>
        </w:rPr>
        <w:t xml:space="preserve"> However, the process for obtaining NSM status is protracted and does not guarantee approval. Critically, applicants must first resolve any pending immigration charges and complete related </w:t>
      </w:r>
      <w:r>
        <w:rPr>
          <w:rFonts w:ascii="Calibri" w:eastAsia="Calibri" w:hAnsi="Calibri" w:cs="Calibri"/>
          <w:sz w:val="24"/>
          <w:szCs w:val="24"/>
          <w:highlight w:val="white"/>
        </w:rPr>
        <w:lastRenderedPageBreak/>
        <w:t>legal procedures before their applications are considered. This requirement means that women refugees who have entered or remained in Thailand irregularly are often required to undergo legal proceedings, including court processes for immigration offenses and periods of detention in IDCs, before they can apply for NSM recognition.</w:t>
      </w:r>
    </w:p>
    <w:p w14:paraId="7678EAA2" w14:textId="57E588A9" w:rsidR="00776ACF" w:rsidRDefault="00000000">
      <w:pPr>
        <w:spacing w:before="240" w:after="240"/>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Women refugee detainees also face significant barriers to accessing basic sexual and reproductive health services. Essential items such as sanitary pads, soap, and other hygiene products are not systematically provided by Thai immigration authorities. Historically, detainees have relied on donations from international organizations such as the International Organization for Migration (IOM) or private donors. However, funding cuts from key donors in recent years have led to a noticeable decline in the availability of these </w:t>
      </w:r>
      <w:r w:rsidR="00A543B6">
        <w:rPr>
          <w:rFonts w:ascii="Calibri" w:eastAsia="Calibri" w:hAnsi="Calibri" w:cs="Calibri"/>
          <w:sz w:val="24"/>
          <w:szCs w:val="24"/>
          <w:highlight w:val="white"/>
        </w:rPr>
        <w:t>necessities</w:t>
      </w:r>
      <w:r>
        <w:rPr>
          <w:rFonts w:ascii="Calibri" w:eastAsia="Calibri" w:hAnsi="Calibri" w:cs="Calibri"/>
          <w:sz w:val="24"/>
          <w:szCs w:val="24"/>
          <w:highlight w:val="white"/>
        </w:rPr>
        <w:t>, leaving many women without the means to manage menstruation and maintain personal hygiene. The resulting conditions compromise their dignity and well-being, especially in overcrowded and unsanitary environments.</w:t>
      </w:r>
    </w:p>
    <w:p w14:paraId="17CE3BCB" w14:textId="198CD8DD" w:rsidR="00776ACF" w:rsidRDefault="00000000">
      <w:pPr>
        <w:spacing w:before="240" w:after="240"/>
        <w:jc w:val="both"/>
        <w:rPr>
          <w:rFonts w:ascii="Calibri" w:eastAsia="Calibri" w:hAnsi="Calibri" w:cs="Calibri"/>
          <w:sz w:val="24"/>
          <w:szCs w:val="24"/>
          <w:highlight w:val="white"/>
        </w:rPr>
      </w:pPr>
      <w:r>
        <w:rPr>
          <w:rFonts w:ascii="Calibri" w:eastAsia="Calibri" w:hAnsi="Calibri" w:cs="Calibri"/>
          <w:sz w:val="24"/>
          <w:szCs w:val="24"/>
          <w:highlight w:val="white"/>
        </w:rPr>
        <w:t xml:space="preserve">Access to reproductive healthcare is also severely limited. There are no standardized medical screenings or services to address contraception, pregnancy, or gynecological needs for refugee women in detention. In some </w:t>
      </w:r>
      <w:r w:rsidR="00A543B6">
        <w:rPr>
          <w:rFonts w:ascii="Calibri" w:eastAsia="Calibri" w:hAnsi="Calibri" w:cs="Calibri"/>
          <w:sz w:val="24"/>
          <w:szCs w:val="24"/>
          <w:highlight w:val="white"/>
        </w:rPr>
        <w:t>cases,</w:t>
      </w:r>
      <w:r>
        <w:rPr>
          <w:rFonts w:ascii="Calibri" w:eastAsia="Calibri" w:hAnsi="Calibri" w:cs="Calibri"/>
          <w:sz w:val="24"/>
          <w:szCs w:val="24"/>
          <w:highlight w:val="white"/>
        </w:rPr>
        <w:t xml:space="preserve"> documented by CRSP, women with pre-existing reproductive health concerns—including those with intrauterine devices (IUDs) or contraceptive implants—did not receive any targeted medical assessment or treatment during their detention, despite experiencing pain or complications. In one case, a Vietnamese Hmong asylum seeker detained for seven months reported chronic abdominal pain associated with an IUD inserted prior to her arrival in </w:t>
      </w:r>
      <w:proofErr w:type="gramStart"/>
      <w:r w:rsidR="00A543B6">
        <w:rPr>
          <w:rFonts w:ascii="Calibri" w:eastAsia="Calibri" w:hAnsi="Calibri" w:cs="Calibri"/>
          <w:sz w:val="24"/>
          <w:szCs w:val="24"/>
          <w:highlight w:val="white"/>
        </w:rPr>
        <w:t>Thailand, yet</w:t>
      </w:r>
      <w:proofErr w:type="gramEnd"/>
      <w:r>
        <w:rPr>
          <w:rFonts w:ascii="Calibri" w:eastAsia="Calibri" w:hAnsi="Calibri" w:cs="Calibri"/>
          <w:sz w:val="24"/>
          <w:szCs w:val="24"/>
          <w:highlight w:val="white"/>
        </w:rPr>
        <w:t xml:space="preserve"> was denied a medical examination. These cases reflect the broader failure of the Thai immigration system to meet the reproductive health needs of women in </w:t>
      </w:r>
      <w:r w:rsidR="00A543B6">
        <w:rPr>
          <w:rFonts w:ascii="Calibri" w:eastAsia="Calibri" w:hAnsi="Calibri" w:cs="Calibri"/>
          <w:sz w:val="24"/>
          <w:szCs w:val="24"/>
          <w:highlight w:val="white"/>
        </w:rPr>
        <w:t>detention and</w:t>
      </w:r>
      <w:r>
        <w:rPr>
          <w:rFonts w:ascii="Calibri" w:eastAsia="Calibri" w:hAnsi="Calibri" w:cs="Calibri"/>
          <w:sz w:val="24"/>
          <w:szCs w:val="24"/>
          <w:highlight w:val="white"/>
        </w:rPr>
        <w:t xml:space="preserve"> underscore the urgent necessity for healthcare protocols that are gender-sensitive, trauma-informed, and in line with international human rights standards.</w:t>
      </w:r>
    </w:p>
    <w:p w14:paraId="5DD8A6A6" w14:textId="77777777" w:rsidR="00776ACF" w:rsidRDefault="00000000">
      <w:pPr>
        <w:numPr>
          <w:ilvl w:val="0"/>
          <w:numId w:val="1"/>
        </w:numPr>
        <w:spacing w:before="240" w:after="240"/>
        <w:jc w:val="both"/>
        <w:rPr>
          <w:rFonts w:ascii="Calibri" w:eastAsia="Calibri" w:hAnsi="Calibri" w:cs="Calibri"/>
          <w:b/>
          <w:sz w:val="24"/>
          <w:szCs w:val="24"/>
          <w:highlight w:val="white"/>
        </w:rPr>
      </w:pPr>
      <w:r>
        <w:rPr>
          <w:rFonts w:ascii="Calibri" w:eastAsia="Calibri" w:hAnsi="Calibri" w:cs="Calibri"/>
          <w:b/>
          <w:sz w:val="24"/>
          <w:szCs w:val="24"/>
          <w:highlight w:val="white"/>
        </w:rPr>
        <w:t>Mental health</w:t>
      </w:r>
    </w:p>
    <w:p w14:paraId="5B7E0838" w14:textId="77777777" w:rsidR="00776ACF" w:rsidRDefault="00000000">
      <w:pPr>
        <w:spacing w:before="240" w:after="240"/>
        <w:jc w:val="both"/>
        <w:rPr>
          <w:rFonts w:ascii="Calibri" w:eastAsia="Calibri" w:hAnsi="Calibri" w:cs="Calibri"/>
          <w:sz w:val="24"/>
          <w:szCs w:val="24"/>
          <w:highlight w:val="white"/>
        </w:rPr>
      </w:pPr>
      <w:r>
        <w:rPr>
          <w:rFonts w:ascii="Calibri" w:eastAsia="Calibri" w:hAnsi="Calibri" w:cs="Calibri"/>
          <w:sz w:val="24"/>
          <w:szCs w:val="24"/>
          <w:highlight w:val="white"/>
        </w:rPr>
        <w:t>Many women refugees in IDCs experience trauma, anxiety, depression, and profound feelings of isolation. These conditions are exacerbated by indefinite periods of detention, lack of clear legal pathways, separation from their children or family members, and constant fear of deportation. Mental health support within most IDCs is either non-existent or extremely limited. Women detainees often have no access to psychosocial services or qualified mental health professionals, and language barriers further hinder communication and access to care.</w:t>
      </w:r>
    </w:p>
    <w:p w14:paraId="0D0E24FD" w14:textId="1AA96321" w:rsidR="00776ACF" w:rsidRDefault="00000000">
      <w:pPr>
        <w:spacing w:before="240" w:after="240"/>
        <w:jc w:val="both"/>
        <w:rPr>
          <w:rFonts w:ascii="Calibri" w:eastAsia="Calibri" w:hAnsi="Calibri" w:cs="Calibri"/>
          <w:b/>
          <w:sz w:val="24"/>
          <w:szCs w:val="24"/>
          <w:highlight w:val="white"/>
        </w:rPr>
      </w:pPr>
      <w:r>
        <w:rPr>
          <w:rFonts w:ascii="Calibri" w:eastAsia="Calibri" w:hAnsi="Calibri" w:cs="Calibri"/>
          <w:sz w:val="24"/>
          <w:szCs w:val="24"/>
          <w:highlight w:val="white"/>
        </w:rPr>
        <w:t xml:space="preserve">Currently, the International Organization for Migration (IOM) is one of the few actors providing limited psychosocial support within some </w:t>
      </w:r>
      <w:r w:rsidR="00BC6CEE">
        <w:rPr>
          <w:rFonts w:ascii="Calibri" w:eastAsia="Calibri" w:hAnsi="Calibri" w:cs="Calibri"/>
          <w:sz w:val="24"/>
          <w:szCs w:val="24"/>
          <w:highlight w:val="white"/>
        </w:rPr>
        <w:t>mother</w:t>
      </w:r>
      <w:r>
        <w:rPr>
          <w:rFonts w:ascii="Calibri" w:eastAsia="Calibri" w:hAnsi="Calibri" w:cs="Calibri"/>
          <w:sz w:val="24"/>
          <w:szCs w:val="24"/>
          <w:highlight w:val="white"/>
        </w:rPr>
        <w:t xml:space="preserve"> and child centers. These services include individual counseling, basic group activities such as art sessions, and Thai or English language classes, most of which are designed for children. While these efforts provide some relief, adult </w:t>
      </w:r>
      <w:r>
        <w:rPr>
          <w:rFonts w:ascii="Calibri" w:eastAsia="Calibri" w:hAnsi="Calibri" w:cs="Calibri"/>
          <w:sz w:val="24"/>
          <w:szCs w:val="24"/>
          <w:highlight w:val="white"/>
        </w:rPr>
        <w:lastRenderedPageBreak/>
        <w:t>women detainees have fewer tailored mental health interventions. In cases where women show signs of severe mental health issues, they may be referred to external mental health services. However, such referrals often involve delays, and immediate support is rarely available, placing women at risk of further psychological deterioration before they can access appropriate care.</w:t>
      </w:r>
    </w:p>
    <w:p w14:paraId="72ADACD0" w14:textId="77777777" w:rsidR="00776ACF" w:rsidRDefault="00000000">
      <w:pPr>
        <w:numPr>
          <w:ilvl w:val="0"/>
          <w:numId w:val="1"/>
        </w:numPr>
        <w:spacing w:before="240" w:after="240"/>
        <w:jc w:val="both"/>
        <w:rPr>
          <w:rFonts w:ascii="Calibri" w:eastAsia="Calibri" w:hAnsi="Calibri" w:cs="Calibri"/>
          <w:b/>
          <w:sz w:val="24"/>
          <w:szCs w:val="24"/>
          <w:highlight w:val="white"/>
        </w:rPr>
      </w:pPr>
      <w:r>
        <w:rPr>
          <w:rFonts w:ascii="Calibri" w:eastAsia="Calibri" w:hAnsi="Calibri" w:cs="Calibri"/>
          <w:b/>
          <w:sz w:val="24"/>
          <w:szCs w:val="24"/>
          <w:highlight w:val="white"/>
        </w:rPr>
        <w:t>Single Mother</w:t>
      </w:r>
    </w:p>
    <w:p w14:paraId="0BCB9C87"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Thailand has been implementing the Memorandum of Understanding on the Determination of Measures and Approaches Alternatives to Detention of Children in Immigration Detention </w:t>
      </w:r>
      <w:proofErr w:type="spellStart"/>
      <w:r>
        <w:rPr>
          <w:rFonts w:ascii="Calibri" w:eastAsia="Calibri" w:hAnsi="Calibri" w:cs="Calibri"/>
          <w:sz w:val="24"/>
          <w:szCs w:val="24"/>
        </w:rPr>
        <w:t>Centres</w:t>
      </w:r>
      <w:proofErr w:type="spellEnd"/>
      <w:r>
        <w:rPr>
          <w:rFonts w:ascii="Calibri" w:eastAsia="Calibri" w:hAnsi="Calibri" w:cs="Calibri"/>
          <w:sz w:val="24"/>
          <w:szCs w:val="24"/>
        </w:rPr>
        <w:t xml:space="preserve"> (ATD-MOU) since 2020, aiming to promote rights-based alternatives to detention for children and families</w:t>
      </w:r>
      <w:r>
        <w:rPr>
          <w:rFonts w:ascii="Calibri" w:eastAsia="Calibri" w:hAnsi="Calibri" w:cs="Calibri"/>
          <w:sz w:val="24"/>
          <w:szCs w:val="24"/>
          <w:vertAlign w:val="superscript"/>
        </w:rPr>
        <w:footnoteReference w:id="6"/>
      </w:r>
      <w:r>
        <w:rPr>
          <w:rFonts w:ascii="Calibri" w:eastAsia="Calibri" w:hAnsi="Calibri" w:cs="Calibri"/>
          <w:sz w:val="24"/>
          <w:szCs w:val="24"/>
        </w:rPr>
        <w:t>. While this policy represents a positive step toward aligning with international child protection standards, implementation challenges remain.</w:t>
      </w:r>
    </w:p>
    <w:p w14:paraId="1D40AF5A"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Children in Thailand continue to be arrested and detained alongside their caregivers in IDCs or designated Mother and Children Reception Centers (MCRCs), despite the government's adoption of the ATD-MOU, which permits the conditional release of children with their mothers. In practice, however, such releases are often contingent upon the payment of bail, presenting a significant financial obstacle for refugee families. Under Thailand’s immigration detention system, individuals seeking refugee status or asylum through the United Nations High Commissioner for Refugees (UNHCR) must pay a bail deposit of THB 50,000 per person</w:t>
      </w:r>
      <w:r>
        <w:rPr>
          <w:rFonts w:ascii="Calibri" w:eastAsia="Calibri" w:hAnsi="Calibri" w:cs="Calibri"/>
          <w:sz w:val="24"/>
          <w:szCs w:val="24"/>
          <w:vertAlign w:val="superscript"/>
        </w:rPr>
        <w:footnoteReference w:id="7"/>
      </w:r>
      <w:r>
        <w:rPr>
          <w:rFonts w:ascii="Calibri" w:eastAsia="Calibri" w:hAnsi="Calibri" w:cs="Calibri"/>
          <w:sz w:val="24"/>
          <w:szCs w:val="24"/>
        </w:rPr>
        <w:t>. In contrast, those recognized under the NSM as persons under screening or protected persons must pay THB 20,000</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These steep financial requirements render release unattainable for many low-income families, resulting in prolonged detention or partial family separation. Moreover, the bail process lacks transparency, which adversely affects women refugees, particularly in their ability to reside with family members such as husbands or adult male relatives. </w:t>
      </w:r>
    </w:p>
    <w:p w14:paraId="5593CE09"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Women Refugees often face challenges related to bail, including being required to pay amounts exceeding those stipulated by law. Some refugees have reported to service providers that guarantors demand additional payments to submit a bail application to the Immigration Police. While there is currently insufficient evidence to confirm corruption within the Immigration Police regarding the bail process, recurring testimonies from refugees suggest that these issues have persisted over a long period of time. While the conditions for conditional release are intended to offer an alternative to detention, they often place a heavy financial and emotional burden on </w:t>
      </w:r>
      <w:r>
        <w:rPr>
          <w:rFonts w:ascii="Calibri" w:eastAsia="Calibri" w:hAnsi="Calibri" w:cs="Calibri"/>
          <w:sz w:val="24"/>
          <w:szCs w:val="24"/>
        </w:rPr>
        <w:lastRenderedPageBreak/>
        <w:t>families, particularly those with limited resources. Under the current framework of the ATD-MOU, the release of fathers is rarely prioritized. As a result, many families experience prolonged separation, with mothers bearing the sole responsibility of caregiving in complex and often unstable circumstances. In 2023, there were reports of at least nine Vietnamese Hmong families where women became the primary caregivers following their release, while their husbands remained in detention. In one case, a mother had to care for five children alone while waiting for her husband’s bail to be approved, which often depends on support from NGOs.</w:t>
      </w:r>
    </w:p>
    <w:p w14:paraId="22540DE8" w14:textId="77777777" w:rsidR="00776ACF" w:rsidRDefault="00000000">
      <w:pPr>
        <w:spacing w:before="240" w:after="240"/>
        <w:jc w:val="both"/>
        <w:rPr>
          <w:rFonts w:ascii="Calibri" w:eastAsia="Calibri" w:hAnsi="Calibri" w:cs="Calibri"/>
          <w:sz w:val="24"/>
          <w:szCs w:val="24"/>
        </w:rPr>
      </w:pPr>
      <w:r>
        <w:rPr>
          <w:rFonts w:ascii="Calibri" w:eastAsia="Calibri" w:hAnsi="Calibri" w:cs="Calibri"/>
          <w:sz w:val="24"/>
          <w:szCs w:val="24"/>
        </w:rPr>
        <w:t>Even when individuals are released on bail, they face restrictive conditions that further undermine family stability. Most bailees are prohibited from working, as employment may be considered a breach of bail terms and lead to re-detention. This rule creates an unsustainable situation for families who must meet their basic needs without any legal means to earn an income. The combination of prolonged family separation, the pressure on single caregivers, and the inability to work highlights the urgent need for more holistic and supportive alternatives to detention that prioritize family unity and economic survival.</w:t>
      </w:r>
    </w:p>
    <w:p w14:paraId="0DA64092" w14:textId="77777777" w:rsidR="00776ACF" w:rsidRDefault="00000000">
      <w:pPr>
        <w:spacing w:before="240" w:after="240"/>
        <w:jc w:val="both"/>
        <w:rPr>
          <w:rFonts w:ascii="Calibri" w:eastAsia="Calibri" w:hAnsi="Calibri" w:cs="Calibri"/>
          <w:b/>
          <w:sz w:val="24"/>
          <w:szCs w:val="24"/>
        </w:rPr>
      </w:pPr>
      <w:r>
        <w:rPr>
          <w:rFonts w:ascii="Calibri" w:eastAsia="Calibri" w:hAnsi="Calibri" w:cs="Calibri"/>
          <w:b/>
          <w:sz w:val="24"/>
          <w:szCs w:val="24"/>
        </w:rPr>
        <w:t>Recommendations to the Royal Thai Government</w:t>
      </w:r>
    </w:p>
    <w:p w14:paraId="3E07D8DC" w14:textId="77777777" w:rsidR="00776ACF" w:rsidRDefault="00000000">
      <w:pPr>
        <w:numPr>
          <w:ilvl w:val="0"/>
          <w:numId w:val="2"/>
        </w:numPr>
        <w:spacing w:before="240"/>
        <w:jc w:val="both"/>
        <w:rPr>
          <w:rFonts w:ascii="Calibri" w:eastAsia="Calibri" w:hAnsi="Calibri" w:cs="Calibri"/>
          <w:sz w:val="24"/>
          <w:szCs w:val="24"/>
        </w:rPr>
      </w:pPr>
      <w:r>
        <w:rPr>
          <w:rFonts w:ascii="Calibri" w:eastAsia="Calibri" w:hAnsi="Calibri" w:cs="Calibri"/>
          <w:b/>
          <w:sz w:val="24"/>
          <w:szCs w:val="24"/>
        </w:rPr>
        <w:t xml:space="preserve">End </w:t>
      </w:r>
      <w:r>
        <w:rPr>
          <w:rFonts w:ascii="Calibri" w:eastAsia="Calibri" w:hAnsi="Calibri" w:cs="Calibri"/>
          <w:sz w:val="24"/>
          <w:szCs w:val="24"/>
        </w:rPr>
        <w:t>the detention of women refugees, particularly pregnant women, mothers with children, and survivors of gender-based violence. Ensure equitable and non-discriminatory access to alternative to detention (ATD) regardless of gender or family status by removing financial, procedural, and legal barriers that disproportionately impact women and delay their release.</w:t>
      </w:r>
    </w:p>
    <w:p w14:paraId="4E175620" w14:textId="77777777" w:rsidR="00776ACF" w:rsidRDefault="00000000">
      <w:pPr>
        <w:numPr>
          <w:ilvl w:val="0"/>
          <w:numId w:val="2"/>
        </w:numPr>
        <w:jc w:val="both"/>
        <w:rPr>
          <w:rFonts w:ascii="Calibri" w:eastAsia="Calibri" w:hAnsi="Calibri" w:cs="Calibri"/>
          <w:sz w:val="24"/>
          <w:szCs w:val="24"/>
        </w:rPr>
      </w:pPr>
      <w:r>
        <w:rPr>
          <w:rFonts w:ascii="Calibri" w:eastAsia="Calibri" w:hAnsi="Calibri" w:cs="Calibri"/>
          <w:b/>
          <w:sz w:val="24"/>
          <w:szCs w:val="24"/>
        </w:rPr>
        <w:t xml:space="preserve">Ensure </w:t>
      </w:r>
      <w:r>
        <w:rPr>
          <w:rFonts w:ascii="Calibri" w:eastAsia="Calibri" w:hAnsi="Calibri" w:cs="Calibri"/>
          <w:sz w:val="24"/>
          <w:szCs w:val="24"/>
        </w:rPr>
        <w:t>that all women refugees, including their dependents, are granted transparent and secure legal status under the National Screening Mechanism (NSM), enabling them to access essential services such as healthcare, education, and protection from violence, while promoting their safety, dignity, and self-reliance.</w:t>
      </w:r>
    </w:p>
    <w:p w14:paraId="704FDA2C" w14:textId="77777777" w:rsidR="00776ACF" w:rsidRDefault="00000000">
      <w:pPr>
        <w:numPr>
          <w:ilvl w:val="0"/>
          <w:numId w:val="2"/>
        </w:numPr>
        <w:jc w:val="both"/>
        <w:rPr>
          <w:rFonts w:ascii="Calibri" w:eastAsia="Calibri" w:hAnsi="Calibri" w:cs="Calibri"/>
          <w:b/>
          <w:sz w:val="24"/>
          <w:szCs w:val="24"/>
        </w:rPr>
      </w:pPr>
      <w:r>
        <w:rPr>
          <w:rFonts w:ascii="Calibri" w:eastAsia="Calibri" w:hAnsi="Calibri" w:cs="Calibri"/>
          <w:b/>
          <w:sz w:val="24"/>
          <w:szCs w:val="24"/>
        </w:rPr>
        <w:t xml:space="preserve">Establish </w:t>
      </w:r>
      <w:r>
        <w:rPr>
          <w:rFonts w:ascii="Calibri" w:eastAsia="Calibri" w:hAnsi="Calibri" w:cs="Calibri"/>
          <w:sz w:val="24"/>
          <w:szCs w:val="24"/>
        </w:rPr>
        <w:t>a Confidential and Gender-Responsive Complaint Mechanism. Introduce confidential, safe, and accessible mechanisms for women to report abuse, mistreatment, or gender-based violence while in detention or in ATD arrangements. Ensure complaints are investigated promptly and sensitively, with survivor-centered responses.</w:t>
      </w:r>
    </w:p>
    <w:p w14:paraId="4271ADF0" w14:textId="77777777" w:rsidR="00776ACF" w:rsidRDefault="00000000">
      <w:pPr>
        <w:numPr>
          <w:ilvl w:val="0"/>
          <w:numId w:val="2"/>
        </w:numPr>
        <w:jc w:val="both"/>
        <w:rPr>
          <w:rFonts w:ascii="Calibri" w:eastAsia="Calibri" w:hAnsi="Calibri" w:cs="Calibri"/>
          <w:sz w:val="24"/>
          <w:szCs w:val="24"/>
        </w:rPr>
      </w:pPr>
      <w:r>
        <w:rPr>
          <w:rFonts w:ascii="Calibri" w:eastAsia="Calibri" w:hAnsi="Calibri" w:cs="Calibri"/>
          <w:b/>
          <w:sz w:val="24"/>
          <w:szCs w:val="24"/>
        </w:rPr>
        <w:t>Promote</w:t>
      </w:r>
      <w:r>
        <w:rPr>
          <w:rFonts w:ascii="Calibri" w:eastAsia="Calibri" w:hAnsi="Calibri" w:cs="Calibri"/>
          <w:sz w:val="24"/>
          <w:szCs w:val="24"/>
        </w:rPr>
        <w:t xml:space="preserve"> Women’s Integration and Protection through Inter-Ministerial Coordination by strengthening collaboration between government ministries and civil society to integrate women refugees into national protection systems, including gender-based violence response services, healthcare, and education. Under the NSM and MOU-ATD frameworks, develop local solutions that promote women’s empowerment, access to livelihoods, and community participation, rather than relying solely on resettlement or repatriation.</w:t>
      </w:r>
    </w:p>
    <w:p w14:paraId="1E2AB5DE" w14:textId="77777777" w:rsidR="00776ACF" w:rsidRDefault="00000000">
      <w:pPr>
        <w:numPr>
          <w:ilvl w:val="0"/>
          <w:numId w:val="2"/>
        </w:numPr>
        <w:jc w:val="both"/>
        <w:rPr>
          <w:rFonts w:ascii="Calibri" w:eastAsia="Calibri" w:hAnsi="Calibri" w:cs="Calibri"/>
          <w:sz w:val="24"/>
          <w:szCs w:val="24"/>
        </w:rPr>
      </w:pPr>
      <w:r>
        <w:rPr>
          <w:rFonts w:ascii="Calibri" w:eastAsia="Calibri" w:hAnsi="Calibri" w:cs="Calibri"/>
          <w:b/>
          <w:sz w:val="24"/>
          <w:szCs w:val="24"/>
        </w:rPr>
        <w:t>Ensure</w:t>
      </w:r>
      <w:r>
        <w:rPr>
          <w:rFonts w:ascii="Calibri" w:eastAsia="Calibri" w:hAnsi="Calibri" w:cs="Calibri"/>
          <w:sz w:val="24"/>
          <w:szCs w:val="24"/>
        </w:rPr>
        <w:t xml:space="preserve"> that migration status does not impede access to justice for all women, including persons of concern under UNHCR's mandate, persons under screening, and protected </w:t>
      </w:r>
      <w:r>
        <w:rPr>
          <w:rFonts w:ascii="Calibri" w:eastAsia="Calibri" w:hAnsi="Calibri" w:cs="Calibri"/>
          <w:sz w:val="24"/>
          <w:szCs w:val="24"/>
        </w:rPr>
        <w:lastRenderedPageBreak/>
        <w:t>persons under the NSM. The State must guarantee that all women are protected under human rights principles without discrimination, regardless of their legal status.</w:t>
      </w:r>
    </w:p>
    <w:p w14:paraId="678FCBC7" w14:textId="77777777" w:rsidR="00776ACF" w:rsidRDefault="00000000">
      <w:pPr>
        <w:numPr>
          <w:ilvl w:val="0"/>
          <w:numId w:val="2"/>
        </w:numPr>
        <w:jc w:val="both"/>
        <w:rPr>
          <w:rFonts w:ascii="Calibri" w:eastAsia="Calibri" w:hAnsi="Calibri" w:cs="Calibri"/>
          <w:sz w:val="24"/>
          <w:szCs w:val="24"/>
        </w:rPr>
      </w:pPr>
      <w:r>
        <w:rPr>
          <w:rFonts w:ascii="Calibri" w:eastAsia="Calibri" w:hAnsi="Calibri" w:cs="Calibri"/>
          <w:b/>
          <w:sz w:val="24"/>
          <w:szCs w:val="24"/>
        </w:rPr>
        <w:t>Ensure</w:t>
      </w:r>
      <w:r>
        <w:rPr>
          <w:rFonts w:ascii="Calibri" w:eastAsia="Calibri" w:hAnsi="Calibri" w:cs="Calibri"/>
          <w:sz w:val="24"/>
          <w:szCs w:val="24"/>
        </w:rPr>
        <w:t xml:space="preserve"> mandatory intersectionality training, integrating gender-sensitive and human rights-based approaches, for all law enforcement personnel and decision-makers involved in the national screening process for persons under screening and protected persons.</w:t>
      </w:r>
    </w:p>
    <w:p w14:paraId="12899219" w14:textId="77777777" w:rsidR="00776ACF" w:rsidRDefault="00000000">
      <w:pPr>
        <w:numPr>
          <w:ilvl w:val="0"/>
          <w:numId w:val="2"/>
        </w:numPr>
        <w:spacing w:after="240"/>
        <w:jc w:val="both"/>
        <w:rPr>
          <w:rFonts w:ascii="Calibri" w:eastAsia="Calibri" w:hAnsi="Calibri" w:cs="Calibri"/>
          <w:sz w:val="24"/>
          <w:szCs w:val="24"/>
        </w:rPr>
      </w:pPr>
      <w:r>
        <w:rPr>
          <w:rFonts w:ascii="Calibri" w:eastAsia="Calibri" w:hAnsi="Calibri" w:cs="Calibri"/>
          <w:b/>
          <w:sz w:val="24"/>
          <w:szCs w:val="24"/>
        </w:rPr>
        <w:t xml:space="preserve">Ensure </w:t>
      </w:r>
      <w:r>
        <w:rPr>
          <w:rFonts w:ascii="Calibri" w:eastAsia="Calibri" w:hAnsi="Calibri" w:cs="Calibri"/>
          <w:sz w:val="24"/>
          <w:szCs w:val="24"/>
        </w:rPr>
        <w:t>the existing practices are in line with the Ministry of Public Health Announcement on Health Check-ups and Health Insurance for Foreigners (March 30, 2015) which established systematic procedures for health examinations and the inclusion of foreigners in health insurance schemes</w:t>
      </w:r>
      <w:r>
        <w:rPr>
          <w:rFonts w:ascii="Calibri" w:eastAsia="Calibri" w:hAnsi="Calibri" w:cs="Calibri"/>
          <w:sz w:val="24"/>
          <w:szCs w:val="24"/>
          <w:vertAlign w:val="superscript"/>
        </w:rPr>
        <w:footnoteReference w:id="9"/>
      </w:r>
      <w:r>
        <w:rPr>
          <w:rFonts w:ascii="Calibri" w:eastAsia="Calibri" w:hAnsi="Calibri" w:cs="Calibri"/>
          <w:sz w:val="24"/>
          <w:szCs w:val="24"/>
        </w:rPr>
        <w:t>—Thailand has an opportunity to expand these principles to refugees and asylum seekers, particularly vulnerable women detained in IDCs.</w:t>
      </w:r>
    </w:p>
    <w:p w14:paraId="42B685C6" w14:textId="77777777" w:rsidR="00776ACF" w:rsidRDefault="00000000">
      <w:pPr>
        <w:spacing w:before="240" w:after="240"/>
        <w:ind w:left="720"/>
        <w:jc w:val="both"/>
        <w:rPr>
          <w:rFonts w:ascii="Calibri" w:eastAsia="Calibri" w:hAnsi="Calibri" w:cs="Calibri"/>
          <w:sz w:val="24"/>
          <w:szCs w:val="24"/>
        </w:rPr>
      </w:pPr>
      <w:r>
        <w:rPr>
          <w:rFonts w:ascii="Calibri" w:eastAsia="Calibri" w:hAnsi="Calibri" w:cs="Calibri"/>
          <w:sz w:val="24"/>
          <w:szCs w:val="24"/>
        </w:rPr>
        <w:t xml:space="preserve">7.1 </w:t>
      </w:r>
      <w:r>
        <w:rPr>
          <w:rFonts w:ascii="Calibri" w:eastAsia="Calibri" w:hAnsi="Calibri" w:cs="Calibri"/>
          <w:b/>
          <w:sz w:val="24"/>
          <w:szCs w:val="24"/>
        </w:rPr>
        <w:t>Expand</w:t>
      </w:r>
      <w:r>
        <w:rPr>
          <w:rFonts w:ascii="Calibri" w:eastAsia="Calibri" w:hAnsi="Calibri" w:cs="Calibri"/>
          <w:sz w:val="24"/>
          <w:szCs w:val="24"/>
        </w:rPr>
        <w:t xml:space="preserve"> access to health insurance for women refugees by adapting the framework of the 2015 announcement to include refugee women and asylum seekers in the national health insurance system. This should mirror the policy of allowing undocumented migrants to access health coverage and services, regardless of their legal status.</w:t>
      </w:r>
    </w:p>
    <w:p w14:paraId="6F36DBB6" w14:textId="77777777" w:rsidR="00776ACF" w:rsidRDefault="00000000">
      <w:pPr>
        <w:spacing w:before="240" w:after="240"/>
        <w:ind w:left="720"/>
        <w:jc w:val="both"/>
        <w:rPr>
          <w:rFonts w:ascii="Calibri" w:eastAsia="Calibri" w:hAnsi="Calibri" w:cs="Calibri"/>
          <w:sz w:val="24"/>
          <w:szCs w:val="24"/>
        </w:rPr>
      </w:pPr>
      <w:r>
        <w:rPr>
          <w:rFonts w:ascii="Calibri" w:eastAsia="Calibri" w:hAnsi="Calibri" w:cs="Calibri"/>
          <w:sz w:val="24"/>
          <w:szCs w:val="24"/>
        </w:rPr>
        <w:t xml:space="preserve">7.2 </w:t>
      </w:r>
      <w:r>
        <w:rPr>
          <w:rFonts w:ascii="Calibri" w:eastAsia="Calibri" w:hAnsi="Calibri" w:cs="Calibri"/>
          <w:b/>
          <w:sz w:val="24"/>
          <w:szCs w:val="24"/>
        </w:rPr>
        <w:t>Implement</w:t>
      </w:r>
      <w:r>
        <w:rPr>
          <w:rFonts w:ascii="Calibri" w:eastAsia="Calibri" w:hAnsi="Calibri" w:cs="Calibri"/>
          <w:sz w:val="24"/>
          <w:szCs w:val="24"/>
        </w:rPr>
        <w:t xml:space="preserve"> systematic health screenings in IDCs by introducing comprehensive health assessments for refugee women upon detention or registration, consistent with the health check-up procedures outlined in the 2015 announcement. Screenings should address general health, reproductive health, and mental health needs.</w:t>
      </w:r>
    </w:p>
    <w:p w14:paraId="2697CCB4" w14:textId="282ABEEF" w:rsidR="00776ACF" w:rsidRDefault="00000000">
      <w:pPr>
        <w:spacing w:before="240" w:after="240"/>
        <w:ind w:left="720"/>
        <w:jc w:val="both"/>
        <w:rPr>
          <w:rFonts w:ascii="Calibri" w:eastAsia="Calibri" w:hAnsi="Calibri" w:cs="Calibri"/>
          <w:sz w:val="24"/>
          <w:szCs w:val="24"/>
        </w:rPr>
      </w:pPr>
      <w:r>
        <w:rPr>
          <w:rFonts w:ascii="Calibri" w:eastAsia="Calibri" w:hAnsi="Calibri" w:cs="Calibri"/>
          <w:sz w:val="24"/>
          <w:szCs w:val="24"/>
        </w:rPr>
        <w:t xml:space="preserve">7.3 </w:t>
      </w:r>
      <w:r>
        <w:rPr>
          <w:rFonts w:ascii="Calibri" w:eastAsia="Calibri" w:hAnsi="Calibri" w:cs="Calibri"/>
          <w:b/>
          <w:sz w:val="24"/>
          <w:szCs w:val="24"/>
        </w:rPr>
        <w:t>Remove</w:t>
      </w:r>
      <w:r>
        <w:rPr>
          <w:rFonts w:ascii="Calibri" w:eastAsia="Calibri" w:hAnsi="Calibri" w:cs="Calibri"/>
          <w:sz w:val="24"/>
          <w:szCs w:val="24"/>
        </w:rPr>
        <w:t xml:space="preserve"> legal and financial barriers to healthcare access by eliminating the re</w:t>
      </w:r>
      <w:r w:rsidR="00A543B6">
        <w:rPr>
          <w:rFonts w:ascii="Calibri" w:eastAsia="Calibri" w:hAnsi="Calibri" w:cs="Calibri"/>
          <w:sz w:val="24"/>
          <w:szCs w:val="24"/>
        </w:rPr>
        <w:t>fugee</w:t>
      </w:r>
      <w:r>
        <w:rPr>
          <w:rFonts w:ascii="Calibri" w:eastAsia="Calibri" w:hAnsi="Calibri" w:cs="Calibri"/>
          <w:sz w:val="24"/>
          <w:szCs w:val="24"/>
        </w:rPr>
        <w:t xml:space="preserve"> re</w:t>
      </w:r>
      <w:r w:rsidR="00A543B6">
        <w:rPr>
          <w:rFonts w:ascii="Calibri" w:eastAsia="Calibri" w:hAnsi="Calibri" w:cs="Calibri"/>
          <w:sz w:val="24"/>
          <w:szCs w:val="24"/>
        </w:rPr>
        <w:t>quirement</w:t>
      </w:r>
      <w:r>
        <w:rPr>
          <w:rFonts w:ascii="Calibri" w:eastAsia="Calibri" w:hAnsi="Calibri" w:cs="Calibri"/>
          <w:sz w:val="24"/>
          <w:szCs w:val="24"/>
        </w:rPr>
        <w:t xml:space="preserve"> to resolve immigration charges and complete legal processes before applying for the NSM or accessing healthcare. Instead, implement a parallel health access pathway, ensuring timely treatment for all.</w:t>
      </w:r>
    </w:p>
    <w:p w14:paraId="2894EB56" w14:textId="1BD87389" w:rsidR="00776ACF" w:rsidRDefault="00000000">
      <w:pPr>
        <w:spacing w:before="240" w:after="240"/>
        <w:ind w:left="720"/>
        <w:jc w:val="both"/>
        <w:rPr>
          <w:rFonts w:ascii="Calibri" w:eastAsia="Calibri" w:hAnsi="Calibri" w:cs="Calibri"/>
          <w:sz w:val="24"/>
          <w:szCs w:val="24"/>
        </w:rPr>
      </w:pPr>
      <w:r>
        <w:rPr>
          <w:rFonts w:ascii="Calibri" w:eastAsia="Calibri" w:hAnsi="Calibri" w:cs="Calibri"/>
          <w:sz w:val="24"/>
          <w:szCs w:val="24"/>
        </w:rPr>
        <w:t xml:space="preserve">7.4 </w:t>
      </w:r>
      <w:r>
        <w:rPr>
          <w:rFonts w:ascii="Calibri" w:eastAsia="Calibri" w:hAnsi="Calibri" w:cs="Calibri"/>
          <w:b/>
          <w:sz w:val="24"/>
          <w:szCs w:val="24"/>
        </w:rPr>
        <w:t>Develop</w:t>
      </w:r>
      <w:r>
        <w:rPr>
          <w:rFonts w:ascii="Calibri" w:eastAsia="Calibri" w:hAnsi="Calibri" w:cs="Calibri"/>
          <w:sz w:val="24"/>
          <w:szCs w:val="24"/>
        </w:rPr>
        <w:t xml:space="preserve"> gender-sensitive health services by enhancing healthcare provisions in IDCs</w:t>
      </w:r>
      <w:r w:rsidR="00A543B6">
        <w:rPr>
          <w:rFonts w:ascii="Calibri" w:eastAsia="Calibri" w:hAnsi="Calibri" w:cs="Calibri"/>
          <w:sz w:val="24"/>
          <w:szCs w:val="24"/>
        </w:rPr>
        <w:t>,</w:t>
      </w:r>
      <w:r>
        <w:rPr>
          <w:rFonts w:ascii="Calibri" w:eastAsia="Calibri" w:hAnsi="Calibri" w:cs="Calibri"/>
          <w:sz w:val="24"/>
          <w:szCs w:val="24"/>
        </w:rPr>
        <w:t xml:space="preserve"> </w:t>
      </w:r>
      <w:r w:rsidR="00A543B6">
        <w:rPr>
          <w:rFonts w:ascii="Calibri" w:eastAsia="Calibri" w:hAnsi="Calibri" w:cs="Calibri"/>
          <w:sz w:val="24"/>
          <w:szCs w:val="24"/>
        </w:rPr>
        <w:t>focusing</w:t>
      </w:r>
      <w:r>
        <w:rPr>
          <w:rFonts w:ascii="Calibri" w:eastAsia="Calibri" w:hAnsi="Calibri" w:cs="Calibri"/>
          <w:sz w:val="24"/>
          <w:szCs w:val="24"/>
        </w:rPr>
        <w:t xml:space="preserve"> on </w:t>
      </w:r>
      <w:r w:rsidR="00A543B6">
        <w:rPr>
          <w:rFonts w:ascii="Calibri" w:eastAsia="Calibri" w:hAnsi="Calibri" w:cs="Calibri"/>
          <w:sz w:val="24"/>
          <w:szCs w:val="24"/>
        </w:rPr>
        <w:t>women's</w:t>
      </w:r>
      <w:r>
        <w:rPr>
          <w:rFonts w:ascii="Calibri" w:eastAsia="Calibri" w:hAnsi="Calibri" w:cs="Calibri"/>
          <w:sz w:val="24"/>
          <w:szCs w:val="24"/>
        </w:rPr>
        <w:t xml:space="preserve"> specific needs, including access to reproductive health services, menstrual hygiene supplies, and trained female healthcare providers. </w:t>
      </w:r>
    </w:p>
    <w:p w14:paraId="6A8B4259" w14:textId="77777777" w:rsidR="00BC6CEE" w:rsidRDefault="00000000">
      <w:pPr>
        <w:spacing w:before="240" w:after="240" w:line="331" w:lineRule="auto"/>
        <w:jc w:val="both"/>
        <w:rPr>
          <w:rFonts w:ascii="Calibri" w:eastAsia="Calibri" w:hAnsi="Calibri" w:cs="Calibri"/>
          <w:sz w:val="24"/>
          <w:szCs w:val="24"/>
        </w:rPr>
      </w:pPr>
      <w:r>
        <w:rPr>
          <w:rFonts w:ascii="Calibri" w:eastAsia="Calibri" w:hAnsi="Calibri" w:cs="Calibri"/>
          <w:sz w:val="24"/>
          <w:szCs w:val="24"/>
        </w:rPr>
        <w:br/>
      </w:r>
    </w:p>
    <w:p w14:paraId="741502D4" w14:textId="0E125956" w:rsidR="00776ACF" w:rsidRDefault="00000000">
      <w:pPr>
        <w:spacing w:before="240" w:after="240" w:line="331" w:lineRule="auto"/>
        <w:jc w:val="both"/>
        <w:rPr>
          <w:rFonts w:ascii="Calibri" w:eastAsia="Calibri" w:hAnsi="Calibri" w:cs="Calibri"/>
          <w:b/>
          <w:sz w:val="20"/>
          <w:szCs w:val="20"/>
        </w:rPr>
      </w:pPr>
      <w:r>
        <w:rPr>
          <w:rFonts w:ascii="Calibri" w:eastAsia="Calibri" w:hAnsi="Calibri" w:cs="Calibri"/>
          <w:sz w:val="24"/>
          <w:szCs w:val="24"/>
        </w:rPr>
        <w:t>For further information, please contact info.crspthailand@gmail.com</w:t>
      </w:r>
    </w:p>
    <w:sectPr w:rsidR="00776AC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F4FDB" w14:textId="77777777" w:rsidR="00EA399A" w:rsidRDefault="00EA399A">
      <w:pPr>
        <w:spacing w:line="240" w:lineRule="auto"/>
      </w:pPr>
      <w:r>
        <w:separator/>
      </w:r>
    </w:p>
  </w:endnote>
  <w:endnote w:type="continuationSeparator" w:id="0">
    <w:p w14:paraId="525D8731" w14:textId="77777777" w:rsidR="00EA399A" w:rsidRDefault="00EA39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9A3A8AC-7A38-554B-B288-9FDD2B0DAD71}"/>
  </w:font>
  <w:font w:name="Arial">
    <w:panose1 w:val="020B0604020202020204"/>
    <w:charset w:val="00"/>
    <w:family w:val="swiss"/>
    <w:pitch w:val="variable"/>
    <w:sig w:usb0="E0002AFF" w:usb1="C0007843" w:usb2="00000009" w:usb3="00000000" w:csb0="000001FF" w:csb1="00000000"/>
    <w:embedRegular r:id="rId2" w:fontKey="{A6765CAF-CB38-4E45-9E8A-C2BC4553B992}"/>
    <w:embedItalic r:id="rId3" w:fontKey="{1C0F5E8D-F436-C640-8ABE-D61B4C91D7FA}"/>
  </w:font>
  <w:font w:name="Calibri">
    <w:panose1 w:val="020F0502020204030204"/>
    <w:charset w:val="00"/>
    <w:family w:val="swiss"/>
    <w:pitch w:val="variable"/>
    <w:sig w:usb0="E0002AFF" w:usb1="C000247B" w:usb2="00000009" w:usb3="00000000" w:csb0="000001FF" w:csb1="00000000"/>
    <w:embedRegular r:id="rId4" w:fontKey="{96D2EB4A-2BD2-194E-B966-4474E1D56AE0}"/>
    <w:embedBold r:id="rId5" w:fontKey="{14E9B943-F6FD-404B-B6C1-593293B23BF5}"/>
  </w:font>
  <w:font w:name="Helvetica Neue">
    <w:panose1 w:val="02000503000000020004"/>
    <w:charset w:val="00"/>
    <w:family w:val="auto"/>
    <w:pitch w:val="variable"/>
    <w:sig w:usb0="E50002FF" w:usb1="500079DB" w:usb2="00000010" w:usb3="00000000" w:csb0="00000001" w:csb1="00000000"/>
  </w:font>
  <w:font w:name="Angsana New">
    <w:panose1 w:val="02020603050405020304"/>
    <w:charset w:val="DE"/>
    <w:family w:val="roman"/>
    <w:pitch w:val="variable"/>
    <w:sig w:usb0="81000003" w:usb1="00000000" w:usb2="00000000" w:usb3="00000000" w:csb0="00010001" w:csb1="00000000"/>
    <w:embedRegular r:id="rId8" w:fontKey="{5ECF6576-D9FB-574B-AF0A-C9551575FD7D}"/>
  </w:font>
  <w:font w:name="Cambria">
    <w:panose1 w:val="02040503050406030204"/>
    <w:charset w:val="00"/>
    <w:family w:val="roman"/>
    <w:pitch w:val="variable"/>
    <w:sig w:usb0="E00002FF" w:usb1="400004FF" w:usb2="00000000" w:usb3="00000000" w:csb0="0000019F" w:csb1="00000000"/>
    <w:embedRegular r:id="rId9" w:fontKey="{5B6D9554-2DD4-8B49-9ACB-55D2DDED6201}"/>
  </w:font>
  <w:font w:name="Cordia New">
    <w:panose1 w:val="020B0304020202020204"/>
    <w:charset w:val="DE"/>
    <w:family w:val="swiss"/>
    <w:pitch w:val="variable"/>
    <w:sig w:usb0="81000003" w:usb1="00000000" w:usb2="00000000" w:usb3="00000000" w:csb0="00010001" w:csb1="00000000"/>
    <w:embedRegular r:id="rId10" w:fontKey="{E642323D-B5F7-7E49-9560-3B7C21DBC5E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1B31B" w14:textId="77777777" w:rsidR="00EA399A" w:rsidRDefault="00EA399A">
      <w:pPr>
        <w:spacing w:line="240" w:lineRule="auto"/>
      </w:pPr>
      <w:r>
        <w:separator/>
      </w:r>
    </w:p>
  </w:footnote>
  <w:footnote w:type="continuationSeparator" w:id="0">
    <w:p w14:paraId="0B589223" w14:textId="77777777" w:rsidR="00EA399A" w:rsidRDefault="00EA399A">
      <w:pPr>
        <w:spacing w:line="240" w:lineRule="auto"/>
      </w:pPr>
      <w:r>
        <w:continuationSeparator/>
      </w:r>
    </w:p>
  </w:footnote>
  <w:footnote w:id="1">
    <w:p w14:paraId="2B886E56" w14:textId="77777777" w:rsidR="00776ACF" w:rsidRDefault="00000000">
      <w:pPr>
        <w:spacing w:line="240" w:lineRule="auto"/>
        <w:jc w:val="both"/>
        <w:rPr>
          <w:i/>
          <w:sz w:val="20"/>
          <w:szCs w:val="20"/>
        </w:rPr>
      </w:pPr>
      <w:r>
        <w:rPr>
          <w:vertAlign w:val="superscript"/>
        </w:rPr>
        <w:footnoteRef/>
      </w:r>
      <w:r>
        <w:rPr>
          <w:i/>
          <w:sz w:val="20"/>
          <w:szCs w:val="20"/>
        </w:rPr>
        <w:t xml:space="preserve"> In this report, the term “urban refugees” refers to asylum seekers and refugees residing outside official refugee camps, primarily in urban and peri-urban areas such as Bangkok and surrounding provinces. These individuals come from a variety of countries, including Myanmar, Pakistan, Cambodia, Vietnam, Sri Lanka, and Somalia. Unlike camp-based populations along the </w:t>
      </w:r>
      <w:proofErr w:type="gramStart"/>
      <w:r>
        <w:rPr>
          <w:i/>
          <w:sz w:val="20"/>
          <w:szCs w:val="20"/>
        </w:rPr>
        <w:t>Thai-Myanmar</w:t>
      </w:r>
      <w:proofErr w:type="gramEnd"/>
      <w:r>
        <w:rPr>
          <w:i/>
          <w:sz w:val="20"/>
          <w:szCs w:val="20"/>
        </w:rPr>
        <w:t xml:space="preserve"> border, urban </w:t>
      </w:r>
      <w:proofErr w:type="gramStart"/>
      <w:r>
        <w:rPr>
          <w:i/>
          <w:sz w:val="20"/>
          <w:szCs w:val="20"/>
        </w:rPr>
        <w:t>refugees</w:t>
      </w:r>
      <w:proofErr w:type="gramEnd"/>
      <w:r>
        <w:rPr>
          <w:i/>
          <w:sz w:val="20"/>
          <w:szCs w:val="20"/>
        </w:rPr>
        <w:t xml:space="preserve"> </w:t>
      </w:r>
      <w:proofErr w:type="spellStart"/>
      <w:r>
        <w:rPr>
          <w:i/>
          <w:sz w:val="20"/>
          <w:szCs w:val="20"/>
        </w:rPr>
        <w:t>refugees</w:t>
      </w:r>
      <w:proofErr w:type="spellEnd"/>
      <w:r>
        <w:rPr>
          <w:i/>
          <w:sz w:val="20"/>
          <w:szCs w:val="20"/>
        </w:rPr>
        <w:t xml:space="preserve"> are not part of the parallel support systems operated in camps and often lack access to consistent humanitarian aid, protection services, or legal recognition, rendering them highly vulnerable to arrest, detention, and deportation.</w:t>
      </w:r>
    </w:p>
  </w:footnote>
  <w:footnote w:id="2">
    <w:p w14:paraId="2BFDB2C8" w14:textId="77777777" w:rsidR="00776ACF" w:rsidRDefault="00000000">
      <w:pPr>
        <w:spacing w:line="240" w:lineRule="auto"/>
        <w:rPr>
          <w:sz w:val="20"/>
          <w:szCs w:val="20"/>
        </w:rPr>
      </w:pPr>
      <w:r>
        <w:rPr>
          <w:vertAlign w:val="superscript"/>
        </w:rPr>
        <w:footnoteRef/>
      </w:r>
      <w:r>
        <w:rPr>
          <w:sz w:val="20"/>
          <w:szCs w:val="20"/>
        </w:rPr>
        <w:t xml:space="preserve"> </w:t>
      </w:r>
      <w:r>
        <w:rPr>
          <w:i/>
          <w:sz w:val="20"/>
          <w:szCs w:val="20"/>
        </w:rPr>
        <w:t>Thailand Forcibly Deports Six Cambodian Activists</w:t>
      </w:r>
      <w:r>
        <w:rPr>
          <w:sz w:val="20"/>
          <w:szCs w:val="20"/>
        </w:rPr>
        <w:t>, Bangkok Post (May 4, 2024), available at</w:t>
      </w:r>
      <w:hyperlink r:id="rId1">
        <w:r>
          <w:rPr>
            <w:sz w:val="20"/>
            <w:szCs w:val="20"/>
          </w:rPr>
          <w:t xml:space="preserve"> </w:t>
        </w:r>
      </w:hyperlink>
      <w:hyperlink r:id="rId2">
        <w:r>
          <w:rPr>
            <w:color w:val="1155CC"/>
            <w:sz w:val="20"/>
            <w:szCs w:val="20"/>
            <w:u w:val="single"/>
          </w:rPr>
          <w:t>https://www.bangkokpost.com/thailand/general/2911210/thailand-forcibly-deports-six-cambodian-activists</w:t>
        </w:r>
      </w:hyperlink>
      <w:r>
        <w:rPr>
          <w:sz w:val="20"/>
          <w:szCs w:val="20"/>
        </w:rPr>
        <w:t>.</w:t>
      </w:r>
    </w:p>
  </w:footnote>
  <w:footnote w:id="3">
    <w:p w14:paraId="3EC07ED2" w14:textId="77777777" w:rsidR="00776ACF" w:rsidRDefault="00000000">
      <w:pPr>
        <w:spacing w:line="240" w:lineRule="auto"/>
        <w:rPr>
          <w:sz w:val="20"/>
          <w:szCs w:val="20"/>
        </w:rPr>
      </w:pPr>
      <w:r>
        <w:rPr>
          <w:vertAlign w:val="superscript"/>
        </w:rPr>
        <w:footnoteRef/>
      </w:r>
      <w:r>
        <w:rPr>
          <w:sz w:val="20"/>
          <w:szCs w:val="20"/>
        </w:rPr>
        <w:t xml:space="preserve"> Thailand, </w:t>
      </w:r>
      <w:r>
        <w:rPr>
          <w:i/>
          <w:sz w:val="20"/>
          <w:szCs w:val="20"/>
        </w:rPr>
        <w:t>Immigration Act B.E. 2522 (1979)</w:t>
      </w:r>
      <w:r>
        <w:rPr>
          <w:sz w:val="20"/>
          <w:szCs w:val="20"/>
        </w:rPr>
        <w:t xml:space="preserve">, Section 54. </w:t>
      </w:r>
    </w:p>
  </w:footnote>
  <w:footnote w:id="4">
    <w:p w14:paraId="79CE01CC" w14:textId="77777777" w:rsidR="00776ACF" w:rsidRDefault="00000000">
      <w:pPr>
        <w:spacing w:line="240" w:lineRule="auto"/>
        <w:rPr>
          <w:sz w:val="20"/>
          <w:szCs w:val="20"/>
        </w:rPr>
      </w:pPr>
      <w:r>
        <w:rPr>
          <w:vertAlign w:val="superscript"/>
        </w:rPr>
        <w:footnoteRef/>
      </w:r>
      <w:r>
        <w:rPr>
          <w:sz w:val="20"/>
          <w:szCs w:val="20"/>
        </w:rPr>
        <w:t xml:space="preserve"> Immigration Bureau, </w:t>
      </w:r>
      <w:r>
        <w:rPr>
          <w:i/>
          <w:sz w:val="20"/>
          <w:szCs w:val="20"/>
        </w:rPr>
        <w:t>Order No. 89/2562: Guidelines for the Reception, Control, and Care of Foreigners</w:t>
      </w:r>
      <w:r>
        <w:rPr>
          <w:sz w:val="20"/>
          <w:szCs w:val="20"/>
        </w:rPr>
        <w:t>, Section 7., issued 27 February 2019.</w:t>
      </w:r>
    </w:p>
  </w:footnote>
  <w:footnote w:id="5">
    <w:p w14:paraId="6F27E232" w14:textId="77777777" w:rsidR="00776ACF" w:rsidRDefault="00000000">
      <w:pPr>
        <w:spacing w:line="240" w:lineRule="auto"/>
        <w:rPr>
          <w:sz w:val="20"/>
          <w:szCs w:val="20"/>
        </w:rPr>
      </w:pPr>
      <w:r>
        <w:rPr>
          <w:vertAlign w:val="superscript"/>
        </w:rPr>
        <w:footnoteRef/>
      </w:r>
      <w:r>
        <w:rPr>
          <w:sz w:val="20"/>
          <w:szCs w:val="20"/>
        </w:rPr>
        <w:t xml:space="preserve">  </w:t>
      </w:r>
      <w:r>
        <w:rPr>
          <w:i/>
          <w:sz w:val="20"/>
          <w:szCs w:val="20"/>
        </w:rPr>
        <w:t xml:space="preserve">National Screening Mechanism (NSM), Clause 25(4), Regulation of the Office of the Prime Minister on the Screening of Aliens who Enter into the Kingdom and are Unable to Return to the </w:t>
      </w:r>
      <w:proofErr w:type="gramStart"/>
      <w:r>
        <w:rPr>
          <w:i/>
          <w:sz w:val="20"/>
          <w:szCs w:val="20"/>
        </w:rPr>
        <w:t>Country of Origin</w:t>
      </w:r>
      <w:proofErr w:type="gramEnd"/>
      <w:r>
        <w:rPr>
          <w:i/>
          <w:sz w:val="20"/>
          <w:szCs w:val="20"/>
        </w:rPr>
        <w:t xml:space="preserve"> B.E. 2562 (2019)</w:t>
      </w:r>
      <w:r>
        <w:rPr>
          <w:sz w:val="20"/>
          <w:szCs w:val="20"/>
        </w:rPr>
        <w:t xml:space="preserve">.  </w:t>
      </w:r>
    </w:p>
  </w:footnote>
  <w:footnote w:id="6">
    <w:p w14:paraId="681D985D" w14:textId="77777777" w:rsidR="00776ACF" w:rsidRDefault="00000000">
      <w:pPr>
        <w:spacing w:line="240" w:lineRule="auto"/>
        <w:rPr>
          <w:sz w:val="20"/>
          <w:szCs w:val="20"/>
        </w:rPr>
      </w:pPr>
      <w:r>
        <w:rPr>
          <w:vertAlign w:val="superscript"/>
        </w:rPr>
        <w:footnoteRef/>
      </w:r>
      <w:r>
        <w:rPr>
          <w:sz w:val="20"/>
          <w:szCs w:val="20"/>
        </w:rPr>
        <w:t xml:space="preserve"> </w:t>
      </w:r>
      <w:r>
        <w:rPr>
          <w:i/>
          <w:sz w:val="20"/>
          <w:szCs w:val="20"/>
        </w:rPr>
        <w:t xml:space="preserve">Memorandum of Understanding on the Determination of Measures and Approaches Alternatives to Detention of Children in Immigration Detention </w:t>
      </w:r>
      <w:proofErr w:type="spellStart"/>
      <w:r>
        <w:rPr>
          <w:i/>
          <w:sz w:val="20"/>
          <w:szCs w:val="20"/>
        </w:rPr>
        <w:t>Centres</w:t>
      </w:r>
      <w:proofErr w:type="spellEnd"/>
      <w:r>
        <w:rPr>
          <w:i/>
          <w:sz w:val="20"/>
          <w:szCs w:val="20"/>
        </w:rPr>
        <w:t xml:space="preserve"> (ATD-MOU)</w:t>
      </w:r>
      <w:r>
        <w:rPr>
          <w:sz w:val="20"/>
          <w:szCs w:val="20"/>
        </w:rPr>
        <w:t>, available at</w:t>
      </w:r>
      <w:hyperlink r:id="rId3">
        <w:r>
          <w:rPr>
            <w:sz w:val="20"/>
            <w:szCs w:val="20"/>
          </w:rPr>
          <w:t xml:space="preserve"> </w:t>
        </w:r>
      </w:hyperlink>
      <w:hyperlink r:id="rId4">
        <w:r>
          <w:rPr>
            <w:color w:val="1155CC"/>
            <w:sz w:val="20"/>
            <w:szCs w:val="20"/>
            <w:u w:val="single"/>
          </w:rPr>
          <w:t>https://asylumaccess.org/wp-content/uploads/2021/04/ATD-MOU-TH.pdf</w:t>
        </w:r>
      </w:hyperlink>
      <w:r>
        <w:rPr>
          <w:sz w:val="20"/>
          <w:szCs w:val="20"/>
        </w:rPr>
        <w:t>.</w:t>
      </w:r>
    </w:p>
  </w:footnote>
  <w:footnote w:id="7">
    <w:p w14:paraId="526B1FE5" w14:textId="77777777" w:rsidR="00776ACF" w:rsidRDefault="00000000">
      <w:pPr>
        <w:spacing w:line="240" w:lineRule="auto"/>
        <w:rPr>
          <w:sz w:val="20"/>
          <w:szCs w:val="20"/>
        </w:rPr>
      </w:pPr>
      <w:r>
        <w:rPr>
          <w:vertAlign w:val="superscript"/>
        </w:rPr>
        <w:footnoteRef/>
      </w:r>
      <w:r>
        <w:rPr>
          <w:sz w:val="20"/>
          <w:szCs w:val="20"/>
        </w:rPr>
        <w:t xml:space="preserve">  </w:t>
      </w:r>
      <w:r>
        <w:rPr>
          <w:i/>
          <w:sz w:val="20"/>
          <w:szCs w:val="20"/>
        </w:rPr>
        <w:t>Regulation of the Royal Thai Police on the Code of Non-Criminal Regulations, Title 34: Immigration</w:t>
      </w:r>
      <w:r>
        <w:rPr>
          <w:sz w:val="20"/>
          <w:szCs w:val="20"/>
        </w:rPr>
        <w:t>, available at</w:t>
      </w:r>
      <w:hyperlink r:id="rId5">
        <w:r>
          <w:rPr>
            <w:sz w:val="20"/>
            <w:szCs w:val="20"/>
          </w:rPr>
          <w:t xml:space="preserve"> </w:t>
        </w:r>
      </w:hyperlink>
      <w:hyperlink r:id="rId6">
        <w:r>
          <w:rPr>
            <w:color w:val="1155CC"/>
            <w:sz w:val="20"/>
            <w:szCs w:val="20"/>
            <w:u w:val="single"/>
          </w:rPr>
          <w:t>https://drive.google.com/file/d/1YBiKMp2qy40SqORtLzoNBvjQ8Gg48Qib/view</w:t>
        </w:r>
      </w:hyperlink>
      <w:r>
        <w:rPr>
          <w:sz w:val="20"/>
          <w:szCs w:val="20"/>
        </w:rPr>
        <w:t xml:space="preserve">. </w:t>
      </w:r>
    </w:p>
  </w:footnote>
  <w:footnote w:id="8">
    <w:p w14:paraId="72B3748C" w14:textId="77777777" w:rsidR="00776ACF" w:rsidRDefault="00000000">
      <w:pPr>
        <w:spacing w:line="240" w:lineRule="auto"/>
        <w:rPr>
          <w:sz w:val="20"/>
          <w:szCs w:val="20"/>
        </w:rPr>
      </w:pPr>
      <w:r>
        <w:rPr>
          <w:vertAlign w:val="superscript"/>
        </w:rPr>
        <w:footnoteRef/>
      </w:r>
      <w:r>
        <w:rPr>
          <w:sz w:val="20"/>
          <w:szCs w:val="20"/>
        </w:rPr>
        <w:t xml:space="preserve">  Immigration Bureau, </w:t>
      </w:r>
      <w:r>
        <w:rPr>
          <w:i/>
          <w:sz w:val="20"/>
          <w:szCs w:val="20"/>
        </w:rPr>
        <w:t>Order No. 45/2567: Regarding the Assignment of Consideration for Bail of Aliens Awaiting Deportation in Accordance with Section 54 of the Immigration Act B.E. 2522 and Bail Criteria</w:t>
      </w:r>
      <w:r>
        <w:rPr>
          <w:sz w:val="20"/>
          <w:szCs w:val="20"/>
        </w:rPr>
        <w:t xml:space="preserve">, issued 27 February 2024. </w:t>
      </w:r>
    </w:p>
  </w:footnote>
  <w:footnote w:id="9">
    <w:p w14:paraId="698B0F53" w14:textId="77777777" w:rsidR="00776ACF" w:rsidRDefault="00000000">
      <w:pPr>
        <w:spacing w:line="240" w:lineRule="auto"/>
        <w:rPr>
          <w:sz w:val="20"/>
          <w:szCs w:val="20"/>
        </w:rPr>
      </w:pPr>
      <w:r>
        <w:rPr>
          <w:vertAlign w:val="superscript"/>
        </w:rPr>
        <w:footnoteRef/>
      </w:r>
      <w:r>
        <w:rPr>
          <w:sz w:val="20"/>
          <w:szCs w:val="20"/>
        </w:rPr>
        <w:t xml:space="preserve"> Ministry of Public Health. (2015). </w:t>
      </w:r>
      <w:r>
        <w:rPr>
          <w:i/>
          <w:sz w:val="20"/>
          <w:szCs w:val="20"/>
        </w:rPr>
        <w:t>Announcement on Health Check-ups and Health Insurance for Foreigners</w:t>
      </w:r>
      <w:r>
        <w:rPr>
          <w:sz w:val="20"/>
          <w:szCs w:val="20"/>
        </w:rPr>
        <w:t>, dated March 30,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9AA"/>
    <w:multiLevelType w:val="multilevel"/>
    <w:tmpl w:val="7ABCE43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21C08FC"/>
    <w:multiLevelType w:val="multilevel"/>
    <w:tmpl w:val="CC825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21460210">
    <w:abstractNumId w:val="0"/>
  </w:num>
  <w:num w:numId="2" w16cid:durableId="420152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ACF"/>
    <w:rsid w:val="00776ACF"/>
    <w:rsid w:val="00A543B6"/>
    <w:rsid w:val="00BC6CEE"/>
    <w:rsid w:val="00C175EF"/>
    <w:rsid w:val="00EA399A"/>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2A05F639"/>
  <w15:docId w15:val="{2C73CC2F-9537-E848-B739-685C41D60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asylumaccess.org/wp-content/uploads/2021/04/ATD-MOU-TH.pdf" TargetMode="External"/><Relationship Id="rId2" Type="http://schemas.openxmlformats.org/officeDocument/2006/relationships/hyperlink" Target="https://www.bangkokpost.com/thailand/general/2911210/thailand-forcibly-deports-six-cambodian-activists" TargetMode="External"/><Relationship Id="rId1" Type="http://schemas.openxmlformats.org/officeDocument/2006/relationships/hyperlink" Target="https://www.bangkokpost.com/thailand/general/2911210/thailand-forcibly-deports-six-cambodian-activists" TargetMode="External"/><Relationship Id="rId6" Type="http://schemas.openxmlformats.org/officeDocument/2006/relationships/hyperlink" Target="https://drive.google.com/file/d/1YBiKMp2qy40SqORtLzoNBvjQ8Gg48Qib/view" TargetMode="External"/><Relationship Id="rId5" Type="http://schemas.openxmlformats.org/officeDocument/2006/relationships/hyperlink" Target="https://drive.google.com/file/d/1YBiKMp2qy40SqORtLzoNBvjQ8Gg48Qib/view" TargetMode="External"/><Relationship Id="rId4" Type="http://schemas.openxmlformats.org/officeDocument/2006/relationships/hyperlink" Target="https://asylumaccess.org/wp-content/uploads/2021/04/ATD-MOU-T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3083</Words>
  <Characters>17574</Characters>
  <Application>Microsoft Office Word</Application>
  <DocSecurity>0</DocSecurity>
  <Lines>146</Lines>
  <Paragraphs>41</Paragraphs>
  <ScaleCrop>false</ScaleCrop>
  <Company/>
  <LinksUpToDate>false</LinksUpToDate>
  <CharactersWithSpaces>20616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Thanida Piyachot</cp:lastModifiedBy>
  <cp:revision>3</cp:revision>
  <cp:lastPrinted>2025-05-26T14:49:00Z</cp:lastPrinted>
  <dcterms:created xsi:type="dcterms:W3CDTF">2025-05-26T14:49:00Z</dcterms:created>
  <dcterms:modified xsi:type="dcterms:W3CDTF">2025-05-26T14:50:00Z</dcterms:modified>
</cp:coreProperties>
</file>