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87755" w14:textId="77777777" w:rsidR="00AB5F2B" w:rsidRPr="00AF6328" w:rsidRDefault="00AB5F2B" w:rsidP="00C15816">
      <w:pPr>
        <w:spacing w:line="276" w:lineRule="auto"/>
        <w:rPr>
          <w:rFonts w:ascii="Century Gothic" w:hAnsi="Century Gothic"/>
          <w:sz w:val="32"/>
          <w:szCs w:val="32"/>
        </w:rPr>
      </w:pPr>
    </w:p>
    <w:p w14:paraId="0426DA1D" w14:textId="77777777" w:rsidR="00AB5F2B" w:rsidRPr="00AF6328" w:rsidRDefault="00AB5F2B" w:rsidP="00C15816">
      <w:pPr>
        <w:spacing w:line="276" w:lineRule="auto"/>
        <w:rPr>
          <w:rFonts w:ascii="Century Gothic" w:hAnsi="Century Gothic"/>
          <w:sz w:val="32"/>
          <w:szCs w:val="32"/>
        </w:rPr>
      </w:pPr>
    </w:p>
    <w:p w14:paraId="618A4308" w14:textId="77777777" w:rsidR="00AB5F2B" w:rsidRPr="00AF6328" w:rsidRDefault="00AB5F2B" w:rsidP="00C15816">
      <w:pPr>
        <w:spacing w:line="276" w:lineRule="auto"/>
        <w:rPr>
          <w:rFonts w:ascii="Century Gothic" w:hAnsi="Century Gothic"/>
          <w:sz w:val="32"/>
          <w:szCs w:val="32"/>
        </w:rPr>
      </w:pPr>
    </w:p>
    <w:p w14:paraId="103A621A" w14:textId="77777777" w:rsidR="00AB5F2B" w:rsidRPr="00AF6328" w:rsidRDefault="00AB5F2B" w:rsidP="00C15816">
      <w:pPr>
        <w:spacing w:line="276" w:lineRule="auto"/>
        <w:rPr>
          <w:rFonts w:ascii="Century Gothic" w:hAnsi="Century Gothic"/>
          <w:sz w:val="32"/>
          <w:szCs w:val="32"/>
        </w:rPr>
      </w:pPr>
    </w:p>
    <w:p w14:paraId="2AD22AE8" w14:textId="77777777" w:rsidR="00AB5F2B" w:rsidRPr="00AF6328" w:rsidRDefault="00AB5F2B" w:rsidP="00C15816">
      <w:pPr>
        <w:pStyle w:val="Default"/>
        <w:spacing w:line="276" w:lineRule="auto"/>
        <w:rPr>
          <w:rFonts w:ascii="Century Gothic" w:hAnsi="Century Gothic"/>
          <w:color w:val="auto"/>
          <w:sz w:val="32"/>
          <w:szCs w:val="32"/>
        </w:rPr>
      </w:pPr>
    </w:p>
    <w:p w14:paraId="5BC4C73E" w14:textId="47CAF8A0" w:rsidR="00AB5F2B" w:rsidRPr="00AF6328" w:rsidRDefault="00BE3FA3" w:rsidP="00C15816">
      <w:pPr>
        <w:pStyle w:val="Default"/>
        <w:spacing w:line="276" w:lineRule="auto"/>
        <w:jc w:val="both"/>
        <w:rPr>
          <w:rStyle w:val="Accentuation"/>
          <w:rFonts w:ascii="Century Gothic" w:hAnsi="Century Gothic"/>
          <w:i w:val="0"/>
          <w:iCs w:val="0"/>
          <w:color w:val="auto"/>
          <w:sz w:val="32"/>
          <w:szCs w:val="32"/>
        </w:rPr>
      </w:pPr>
      <w:r>
        <w:rPr>
          <w:rStyle w:val="Accentuation"/>
          <w:rFonts w:ascii="Century Gothic" w:hAnsi="Century Gothic"/>
          <w:i w:val="0"/>
          <w:iCs w:val="0"/>
          <w:color w:val="auto"/>
          <w:sz w:val="32"/>
          <w:szCs w:val="32"/>
        </w:rPr>
        <w:t>90</w:t>
      </w:r>
      <w:r w:rsidRPr="00BE3FA3">
        <w:rPr>
          <w:rStyle w:val="Accentuation"/>
          <w:rFonts w:ascii="Century Gothic" w:hAnsi="Century Gothic"/>
          <w:i w:val="0"/>
          <w:iCs w:val="0"/>
          <w:color w:val="auto"/>
          <w:sz w:val="32"/>
          <w:szCs w:val="32"/>
          <w:vertAlign w:val="superscript"/>
        </w:rPr>
        <w:t>e</w:t>
      </w:r>
      <w:r>
        <w:rPr>
          <w:rStyle w:val="Accentuation"/>
          <w:rFonts w:ascii="Century Gothic" w:hAnsi="Century Gothic"/>
          <w:i w:val="0"/>
          <w:iCs w:val="0"/>
          <w:color w:val="auto"/>
          <w:sz w:val="32"/>
          <w:szCs w:val="32"/>
        </w:rPr>
        <w:t xml:space="preserve"> REUNION DU COMITE POUR </w:t>
      </w:r>
      <w:r w:rsidR="00AB5F2B" w:rsidRPr="00AF6328">
        <w:rPr>
          <w:rStyle w:val="Accentuation"/>
          <w:rFonts w:ascii="Century Gothic" w:hAnsi="Century Gothic"/>
          <w:i w:val="0"/>
          <w:iCs w:val="0"/>
          <w:color w:val="auto"/>
          <w:sz w:val="32"/>
          <w:szCs w:val="32"/>
        </w:rPr>
        <w:t xml:space="preserve">L’ELIMINATION DE TOUTES LES FORMES DE DISCRIMINATION A L’EGARD DES FEMMES </w:t>
      </w:r>
    </w:p>
    <w:p w14:paraId="271C81DF" w14:textId="77777777" w:rsidR="00AB5F2B" w:rsidRPr="00AF6328" w:rsidRDefault="00AB5F2B" w:rsidP="00C15816">
      <w:pPr>
        <w:spacing w:before="100" w:beforeAutospacing="1" w:after="100" w:afterAutospacing="1" w:line="276" w:lineRule="auto"/>
        <w:jc w:val="both"/>
        <w:rPr>
          <w:rFonts w:ascii="Century Gothic" w:eastAsia="Times New Roman" w:hAnsi="Century Gothic" w:cs="Times New Roman"/>
          <w:sz w:val="32"/>
          <w:szCs w:val="32"/>
          <w:lang w:eastAsia="fr-FR"/>
        </w:rPr>
      </w:pPr>
      <w:r w:rsidRPr="00AF6328">
        <w:rPr>
          <w:rFonts w:ascii="Century Gothic" w:eastAsia="Times New Roman" w:hAnsi="Century Gothic" w:cs="Times New Roman"/>
          <w:b/>
          <w:bCs/>
          <w:noProof/>
          <w:sz w:val="32"/>
          <w:szCs w:val="32"/>
          <w:lang w:eastAsia="fr-FR"/>
        </w:rPr>
        <mc:AlternateContent>
          <mc:Choice Requires="wps">
            <w:drawing>
              <wp:anchor distT="0" distB="0" distL="114300" distR="114300" simplePos="0" relativeHeight="251659264" behindDoc="0" locked="0" layoutInCell="1" allowOverlap="1" wp14:anchorId="5D947B55" wp14:editId="5ED20111">
                <wp:simplePos x="0" y="0"/>
                <wp:positionH relativeFrom="margin">
                  <wp:posOffset>-928095</wp:posOffset>
                </wp:positionH>
                <wp:positionV relativeFrom="paragraph">
                  <wp:posOffset>12065</wp:posOffset>
                </wp:positionV>
                <wp:extent cx="7130208" cy="45719"/>
                <wp:effectExtent l="0" t="0" r="0" b="12065"/>
                <wp:wrapNone/>
                <wp:docPr id="2" name="Moins 2"/>
                <wp:cNvGraphicFramePr/>
                <a:graphic xmlns:a="http://schemas.openxmlformats.org/drawingml/2006/main">
                  <a:graphicData uri="http://schemas.microsoft.com/office/word/2010/wordprocessingShape">
                    <wps:wsp>
                      <wps:cNvSpPr/>
                      <wps:spPr>
                        <a:xfrm flipV="1">
                          <a:off x="0" y="0"/>
                          <a:ext cx="7130208" cy="45719"/>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3193E" id="Moins 2" o:spid="_x0000_s1026" style="position:absolute;margin-left:-73.1pt;margin-top:.95pt;width:561.45pt;height:3.6pt;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130208,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" path="m945109,17483r5239990,l6185099,28236r-5239990,l945109,17483xe" fillcolor="#4472c4 [3204]" strokecolor="#1f3763 [1604]" strokeweight="1pt">
                <v:stroke joinstyle="miter"/>
                <v:path arrowok="t" o:connecttype="custom" o:connectlocs="945109,17483;6185099,17483;6185099,28236;945109,28236;945109,17483" o:connectangles="0,0,0,0,0"/>
                <w10:wrap anchorx="margin"/>
              </v:shape>
            </w:pict>
          </mc:Fallback>
        </mc:AlternateContent>
      </w:r>
    </w:p>
    <w:p w14:paraId="0BAF1484" w14:textId="1423A88B" w:rsidR="00AB5F2B" w:rsidRPr="00AF6328" w:rsidRDefault="00BE3FA3" w:rsidP="00C15816">
      <w:pPr>
        <w:pStyle w:val="Default"/>
        <w:spacing w:line="276" w:lineRule="auto"/>
        <w:jc w:val="both"/>
        <w:rPr>
          <w:rStyle w:val="Accentuation"/>
          <w:rFonts w:ascii="Century Gothic" w:hAnsi="Century Gothic"/>
          <w:i w:val="0"/>
          <w:iCs w:val="0"/>
          <w:color w:val="auto"/>
          <w:sz w:val="32"/>
          <w:szCs w:val="32"/>
        </w:rPr>
      </w:pPr>
      <w:r>
        <w:rPr>
          <w:rStyle w:val="Accentuation"/>
          <w:rFonts w:ascii="Century Gothic" w:hAnsi="Century Gothic"/>
          <w:b/>
          <w:bCs/>
          <w:i w:val="0"/>
          <w:iCs w:val="0"/>
          <w:color w:val="auto"/>
          <w:sz w:val="32"/>
          <w:szCs w:val="32"/>
        </w:rPr>
        <w:t>Réponses écrites aux préoccupations des experts du Comité</w:t>
      </w:r>
    </w:p>
    <w:p w14:paraId="56B2D0E3" w14:textId="77777777" w:rsidR="00AB5F2B" w:rsidRPr="00AF6328" w:rsidRDefault="00AB5F2B" w:rsidP="00C15816">
      <w:pPr>
        <w:pStyle w:val="Default"/>
        <w:spacing w:line="276" w:lineRule="auto"/>
        <w:jc w:val="center"/>
        <w:rPr>
          <w:rStyle w:val="Accentuation"/>
          <w:rFonts w:ascii="Century Gothic" w:hAnsi="Century Gothic"/>
          <w:color w:val="auto"/>
          <w:sz w:val="32"/>
          <w:szCs w:val="32"/>
        </w:rPr>
      </w:pPr>
    </w:p>
    <w:p w14:paraId="36A970C4" w14:textId="77777777" w:rsidR="00AB5F2B" w:rsidRPr="00AF6328" w:rsidRDefault="00AB5F2B" w:rsidP="00C15816">
      <w:pPr>
        <w:pStyle w:val="Default"/>
        <w:spacing w:line="276" w:lineRule="auto"/>
        <w:jc w:val="center"/>
        <w:rPr>
          <w:rStyle w:val="Accentuation"/>
          <w:rFonts w:ascii="Century Gothic" w:hAnsi="Century Gothic"/>
          <w:color w:val="auto"/>
          <w:sz w:val="32"/>
          <w:szCs w:val="32"/>
        </w:rPr>
      </w:pPr>
    </w:p>
    <w:p w14:paraId="100A75C8" w14:textId="77777777" w:rsidR="005F5727" w:rsidRPr="00AF6328" w:rsidRDefault="005F5727" w:rsidP="00C15816">
      <w:pPr>
        <w:pStyle w:val="Default"/>
        <w:spacing w:line="276" w:lineRule="auto"/>
        <w:jc w:val="center"/>
        <w:rPr>
          <w:rStyle w:val="Accentuation"/>
          <w:rFonts w:ascii="Century Gothic" w:hAnsi="Century Gothic"/>
          <w:color w:val="auto"/>
          <w:sz w:val="32"/>
          <w:szCs w:val="32"/>
        </w:rPr>
      </w:pPr>
    </w:p>
    <w:p w14:paraId="6B523BC7" w14:textId="77777777" w:rsidR="005F5727" w:rsidRPr="00AF6328" w:rsidRDefault="005F5727" w:rsidP="00C15816">
      <w:pPr>
        <w:pStyle w:val="Default"/>
        <w:spacing w:line="276" w:lineRule="auto"/>
        <w:jc w:val="center"/>
        <w:rPr>
          <w:rStyle w:val="Accentuation"/>
          <w:rFonts w:ascii="Century Gothic" w:hAnsi="Century Gothic"/>
          <w:color w:val="auto"/>
          <w:sz w:val="32"/>
          <w:szCs w:val="32"/>
        </w:rPr>
      </w:pPr>
    </w:p>
    <w:p w14:paraId="52D6F86F" w14:textId="77777777" w:rsidR="005F5727" w:rsidRPr="00AF6328" w:rsidRDefault="005F5727" w:rsidP="00C15816">
      <w:pPr>
        <w:pStyle w:val="Default"/>
        <w:spacing w:line="276" w:lineRule="auto"/>
        <w:jc w:val="center"/>
        <w:rPr>
          <w:rStyle w:val="Accentuation"/>
          <w:rFonts w:ascii="Century Gothic" w:hAnsi="Century Gothic"/>
          <w:color w:val="auto"/>
          <w:sz w:val="32"/>
          <w:szCs w:val="32"/>
        </w:rPr>
      </w:pPr>
    </w:p>
    <w:p w14:paraId="1FB5628A" w14:textId="77777777" w:rsidR="005F5727" w:rsidRPr="00AF6328" w:rsidRDefault="005F5727" w:rsidP="00C15816">
      <w:pPr>
        <w:pStyle w:val="Default"/>
        <w:spacing w:line="276" w:lineRule="auto"/>
        <w:jc w:val="center"/>
        <w:rPr>
          <w:rStyle w:val="Accentuation"/>
          <w:rFonts w:ascii="Century Gothic" w:hAnsi="Century Gothic"/>
          <w:color w:val="auto"/>
          <w:sz w:val="32"/>
          <w:szCs w:val="32"/>
        </w:rPr>
      </w:pPr>
    </w:p>
    <w:p w14:paraId="5BB59012" w14:textId="77777777" w:rsidR="005F5727" w:rsidRPr="00AF6328" w:rsidRDefault="005F5727" w:rsidP="00C15816">
      <w:pPr>
        <w:pStyle w:val="Default"/>
        <w:spacing w:line="276" w:lineRule="auto"/>
        <w:jc w:val="center"/>
        <w:rPr>
          <w:rStyle w:val="Accentuation"/>
          <w:rFonts w:ascii="Century Gothic" w:hAnsi="Century Gothic"/>
          <w:color w:val="auto"/>
          <w:sz w:val="32"/>
          <w:szCs w:val="32"/>
        </w:rPr>
      </w:pPr>
    </w:p>
    <w:p w14:paraId="3BC062E7" w14:textId="77777777" w:rsidR="005F5727" w:rsidRPr="00AF6328" w:rsidRDefault="005F5727" w:rsidP="00C15816">
      <w:pPr>
        <w:pStyle w:val="Default"/>
        <w:spacing w:line="276" w:lineRule="auto"/>
        <w:jc w:val="center"/>
        <w:rPr>
          <w:rStyle w:val="Accentuation"/>
          <w:rFonts w:ascii="Century Gothic" w:hAnsi="Century Gothic"/>
          <w:color w:val="auto"/>
          <w:sz w:val="32"/>
          <w:szCs w:val="32"/>
        </w:rPr>
      </w:pPr>
    </w:p>
    <w:p w14:paraId="158207C9" w14:textId="77777777" w:rsidR="005F5727" w:rsidRPr="00AF6328" w:rsidRDefault="005F5727" w:rsidP="00C15816">
      <w:pPr>
        <w:pStyle w:val="Default"/>
        <w:spacing w:line="276" w:lineRule="auto"/>
        <w:jc w:val="center"/>
        <w:rPr>
          <w:rStyle w:val="Accentuation"/>
          <w:rFonts w:ascii="Century Gothic" w:hAnsi="Century Gothic"/>
          <w:color w:val="auto"/>
          <w:sz w:val="32"/>
          <w:szCs w:val="32"/>
        </w:rPr>
      </w:pPr>
    </w:p>
    <w:p w14:paraId="6EE350E7" w14:textId="77777777" w:rsidR="005F5727" w:rsidRPr="00AF6328" w:rsidRDefault="005F5727" w:rsidP="00C15816">
      <w:pPr>
        <w:pStyle w:val="Default"/>
        <w:spacing w:line="276" w:lineRule="auto"/>
        <w:jc w:val="center"/>
        <w:rPr>
          <w:rStyle w:val="Accentuation"/>
          <w:rFonts w:ascii="Century Gothic" w:hAnsi="Century Gothic"/>
          <w:color w:val="auto"/>
          <w:sz w:val="32"/>
          <w:szCs w:val="32"/>
        </w:rPr>
      </w:pPr>
    </w:p>
    <w:p w14:paraId="10DAA6D4" w14:textId="77777777" w:rsidR="00BE3FA3" w:rsidRDefault="00BE3FA3" w:rsidP="00C15816">
      <w:pPr>
        <w:spacing w:before="100" w:beforeAutospacing="1" w:after="100" w:afterAutospacing="1" w:line="276" w:lineRule="auto"/>
        <w:jc w:val="right"/>
        <w:rPr>
          <w:rFonts w:ascii="Century Gothic" w:eastAsia="Times New Roman" w:hAnsi="Century Gothic" w:cs="Times New Roman"/>
          <w:bCs/>
          <w:sz w:val="32"/>
          <w:szCs w:val="32"/>
          <w:lang w:eastAsia="fr-FR"/>
        </w:rPr>
      </w:pPr>
    </w:p>
    <w:p w14:paraId="1879889E" w14:textId="77777777" w:rsidR="00BE3FA3" w:rsidRDefault="00BE3FA3" w:rsidP="00C15816">
      <w:pPr>
        <w:spacing w:before="100" w:beforeAutospacing="1" w:after="100" w:afterAutospacing="1" w:line="276" w:lineRule="auto"/>
        <w:jc w:val="right"/>
        <w:rPr>
          <w:rFonts w:ascii="Century Gothic" w:eastAsia="Times New Roman" w:hAnsi="Century Gothic" w:cs="Times New Roman"/>
          <w:bCs/>
          <w:sz w:val="32"/>
          <w:szCs w:val="32"/>
          <w:lang w:eastAsia="fr-FR"/>
        </w:rPr>
      </w:pPr>
    </w:p>
    <w:p w14:paraId="01F32986" w14:textId="2F3ED4E1" w:rsidR="005F5727" w:rsidRPr="00AF6328" w:rsidRDefault="005F5727" w:rsidP="00C15816">
      <w:pPr>
        <w:spacing w:before="100" w:beforeAutospacing="1" w:after="100" w:afterAutospacing="1" w:line="276" w:lineRule="auto"/>
        <w:jc w:val="right"/>
        <w:rPr>
          <w:rFonts w:ascii="Century Gothic" w:eastAsia="Times New Roman" w:hAnsi="Century Gothic" w:cs="Times New Roman"/>
          <w:bCs/>
          <w:sz w:val="32"/>
          <w:szCs w:val="32"/>
          <w:lang w:eastAsia="fr-FR"/>
        </w:rPr>
      </w:pPr>
      <w:r w:rsidRPr="00AF6328">
        <w:rPr>
          <w:rFonts w:ascii="Century Gothic" w:eastAsia="Times New Roman" w:hAnsi="Century Gothic" w:cs="Times New Roman"/>
          <w:bCs/>
          <w:sz w:val="32"/>
          <w:szCs w:val="32"/>
          <w:lang w:eastAsia="fr-FR"/>
        </w:rPr>
        <w:t>Palais des nations, Genève, Suisse,</w:t>
      </w:r>
    </w:p>
    <w:p w14:paraId="7C99AB59" w14:textId="6D8D7CD0" w:rsidR="007E76A4" w:rsidRPr="00AF6328" w:rsidRDefault="005F5727" w:rsidP="00C15816">
      <w:pPr>
        <w:spacing w:before="100" w:beforeAutospacing="1" w:after="100" w:afterAutospacing="1" w:line="276" w:lineRule="auto"/>
        <w:jc w:val="right"/>
        <w:rPr>
          <w:rFonts w:ascii="Century Gothic" w:hAnsi="Century Gothic"/>
          <w:b/>
          <w:bCs/>
          <w:sz w:val="32"/>
          <w:szCs w:val="32"/>
        </w:rPr>
      </w:pPr>
      <w:r w:rsidRPr="00AF6328">
        <w:rPr>
          <w:rFonts w:ascii="Century Gothic" w:eastAsia="Times New Roman" w:hAnsi="Century Gothic" w:cs="Times New Roman"/>
          <w:bCs/>
          <w:sz w:val="32"/>
          <w:szCs w:val="32"/>
          <w:lang w:eastAsia="fr-FR"/>
        </w:rPr>
        <w:t xml:space="preserve">                                                                Le 1</w:t>
      </w:r>
      <w:r w:rsidR="00BE3FA3">
        <w:rPr>
          <w:rFonts w:ascii="Century Gothic" w:eastAsia="Times New Roman" w:hAnsi="Century Gothic" w:cs="Times New Roman"/>
          <w:bCs/>
          <w:sz w:val="32"/>
          <w:szCs w:val="32"/>
          <w:lang w:eastAsia="fr-FR"/>
        </w:rPr>
        <w:t>3</w:t>
      </w:r>
      <w:r w:rsidRPr="00AF6328">
        <w:rPr>
          <w:rFonts w:ascii="Century Gothic" w:eastAsia="Times New Roman" w:hAnsi="Century Gothic" w:cs="Times New Roman"/>
          <w:bCs/>
          <w:sz w:val="32"/>
          <w:szCs w:val="32"/>
          <w:lang w:eastAsia="fr-FR"/>
        </w:rPr>
        <w:t xml:space="preserve"> février 2025</w:t>
      </w:r>
    </w:p>
    <w:p w14:paraId="5CDFF043" w14:textId="77777777" w:rsidR="00BD1E2F" w:rsidRPr="007B0E72" w:rsidRDefault="00BD1E2F" w:rsidP="00C15816">
      <w:pPr>
        <w:pStyle w:val="Default"/>
        <w:spacing w:line="276" w:lineRule="auto"/>
        <w:jc w:val="both"/>
        <w:rPr>
          <w:rFonts w:ascii="Century Gothic" w:hAnsi="Century Gothic"/>
          <w:b/>
          <w:bCs/>
          <w:color w:val="auto"/>
          <w:sz w:val="16"/>
          <w:szCs w:val="16"/>
        </w:rPr>
      </w:pPr>
    </w:p>
    <w:p w14:paraId="749A0D97" w14:textId="33117E14" w:rsidR="00AB5F2B" w:rsidRPr="00AF6328" w:rsidRDefault="00620E75" w:rsidP="009369CE">
      <w:pPr>
        <w:pStyle w:val="Default"/>
        <w:numPr>
          <w:ilvl w:val="0"/>
          <w:numId w:val="12"/>
        </w:numPr>
        <w:spacing w:line="276" w:lineRule="auto"/>
        <w:jc w:val="both"/>
        <w:rPr>
          <w:rFonts w:ascii="Century Gothic" w:hAnsi="Century Gothic"/>
          <w:color w:val="auto"/>
          <w:sz w:val="32"/>
          <w:szCs w:val="32"/>
        </w:rPr>
      </w:pPr>
      <w:r>
        <w:rPr>
          <w:rFonts w:ascii="Century Gothic" w:hAnsi="Century Gothic"/>
          <w:b/>
          <w:bCs/>
          <w:color w:val="auto"/>
          <w:sz w:val="32"/>
          <w:szCs w:val="32"/>
        </w:rPr>
        <w:lastRenderedPageBreak/>
        <w:t xml:space="preserve">Sur la commission nationale des droits de l’homme </w:t>
      </w:r>
      <w:r w:rsidR="00AB5F2B" w:rsidRPr="00AF6328">
        <w:rPr>
          <w:rFonts w:ascii="Century Gothic" w:hAnsi="Century Gothic"/>
          <w:b/>
          <w:bCs/>
          <w:color w:val="auto"/>
          <w:sz w:val="32"/>
          <w:szCs w:val="32"/>
        </w:rPr>
        <w:t xml:space="preserve"> </w:t>
      </w:r>
    </w:p>
    <w:p w14:paraId="55085B8E" w14:textId="77777777" w:rsidR="00AB5F2B" w:rsidRPr="007B0E72" w:rsidRDefault="00AB5F2B" w:rsidP="00C15816">
      <w:pPr>
        <w:pStyle w:val="Default"/>
        <w:spacing w:line="276" w:lineRule="auto"/>
        <w:jc w:val="both"/>
        <w:rPr>
          <w:rFonts w:ascii="Century Gothic" w:hAnsi="Century Gothic"/>
          <w:color w:val="auto"/>
          <w:sz w:val="22"/>
          <w:szCs w:val="22"/>
        </w:rPr>
      </w:pPr>
    </w:p>
    <w:p w14:paraId="04609DE2" w14:textId="597707AE" w:rsidR="00620E75" w:rsidRPr="00620E75" w:rsidRDefault="00620E7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r w:rsidRPr="00620E75">
        <w:rPr>
          <w:rFonts w:ascii="Century Gothic" w:eastAsia="Calibri" w:hAnsi="Century Gothic" w:cs="Tahoma"/>
          <w:kern w:val="0"/>
          <w:sz w:val="32"/>
          <w:szCs w:val="32"/>
          <w14:ligatures w14:val="none"/>
        </w:rPr>
        <w:t xml:space="preserve">Dans le but de disposer d’un organe national de suivi de la promotion et de la protection des droits de l’homme, les articles 214 et 215 de la Constitution du 25 octobre 2015 ont institué la Commission nationale des droits de l’homme (CNDH). </w:t>
      </w:r>
    </w:p>
    <w:p w14:paraId="0995A5BF" w14:textId="77777777" w:rsidR="00620E75" w:rsidRPr="00620E75" w:rsidRDefault="00620E7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p>
    <w:p w14:paraId="4D043E2B" w14:textId="17D87B1F" w:rsidR="00620E75" w:rsidRPr="00620E75" w:rsidRDefault="00620E7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r w:rsidRPr="00620E75">
        <w:rPr>
          <w:rFonts w:ascii="Century Gothic" w:eastAsia="Calibri" w:hAnsi="Century Gothic" w:cs="Tahoma"/>
          <w:kern w:val="0"/>
          <w:sz w:val="32"/>
          <w:szCs w:val="32"/>
          <w14:ligatures w14:val="none"/>
        </w:rPr>
        <w:t>La constitution lui confère le statut d’organe constitutionnel, garantissant ainsi son indépendance et son autonomie conformément aux principes de Paris.</w:t>
      </w:r>
    </w:p>
    <w:p w14:paraId="36D1D0C9" w14:textId="77777777" w:rsidR="00620E75" w:rsidRPr="00620E75" w:rsidRDefault="00620E7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p>
    <w:p w14:paraId="476F55C5" w14:textId="77777777" w:rsidR="00A330D5" w:rsidRDefault="00620E7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r w:rsidRPr="00620E75">
        <w:rPr>
          <w:rFonts w:ascii="Century Gothic" w:eastAsia="Calibri" w:hAnsi="Century Gothic" w:cs="Tahoma"/>
          <w:kern w:val="0"/>
          <w:sz w:val="32"/>
          <w:szCs w:val="32"/>
          <w14:ligatures w14:val="none"/>
        </w:rPr>
        <w:t xml:space="preserve">Les attributions, l’organisation et le fonctionnement de la CNDH sont fixés par la loi n° 30-2018 du 07 août 2018. </w:t>
      </w:r>
    </w:p>
    <w:p w14:paraId="776F3FD2" w14:textId="77777777" w:rsidR="00A330D5" w:rsidRDefault="00A330D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p>
    <w:p w14:paraId="2A438EB4" w14:textId="153A44D4" w:rsidR="00620E75" w:rsidRPr="00620E75" w:rsidRDefault="00620E7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r w:rsidRPr="00620E75">
        <w:rPr>
          <w:rFonts w:ascii="Century Gothic" w:eastAsia="Calibri" w:hAnsi="Century Gothic" w:cs="Tahoma"/>
          <w:kern w:val="0"/>
          <w:sz w:val="32"/>
          <w:szCs w:val="32"/>
          <w14:ligatures w14:val="none"/>
        </w:rPr>
        <w:t>Cette loi a doté la CNDH de trois nouvelles compétences que sont l’auto-saisine, la saisine par d’autres institutions et la compétence de faire cesser les violations des droits de l’homme.</w:t>
      </w:r>
    </w:p>
    <w:p w14:paraId="7CC66781" w14:textId="77777777" w:rsidR="00620E75" w:rsidRPr="00620E75" w:rsidRDefault="00620E7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p>
    <w:p w14:paraId="627DB114" w14:textId="4DF32F08" w:rsidR="00620E75" w:rsidRPr="00620E75" w:rsidRDefault="00620E7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r w:rsidRPr="00620E75">
        <w:rPr>
          <w:rFonts w:ascii="Century Gothic" w:eastAsia="Calibri" w:hAnsi="Century Gothic" w:cs="Tahoma"/>
          <w:kern w:val="0"/>
          <w:sz w:val="32"/>
          <w:szCs w:val="32"/>
          <w14:ligatures w14:val="none"/>
        </w:rPr>
        <w:t>L’Etat alloue à la CNDH un budget annuel qui évolue chaque année. Ce budget est actuellement de 1.600.000.000 de francs CFA.</w:t>
      </w:r>
    </w:p>
    <w:p w14:paraId="0AFF37CB" w14:textId="77777777" w:rsidR="00620E75" w:rsidRPr="00620E75" w:rsidRDefault="00620E7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p>
    <w:p w14:paraId="7AF03997" w14:textId="77777777" w:rsidR="00A330D5" w:rsidRDefault="00620E7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r w:rsidRPr="00620E75">
        <w:rPr>
          <w:rFonts w:ascii="Century Gothic" w:eastAsia="Calibri" w:hAnsi="Century Gothic" w:cs="Tahoma"/>
          <w:kern w:val="0"/>
          <w:sz w:val="32"/>
          <w:szCs w:val="32"/>
          <w14:ligatures w14:val="none"/>
        </w:rPr>
        <w:t xml:space="preserve">Pour renforcer davantage ses missions et son indépendance, la République du Congo envisage de poursuivre la réforme de la CNDH. </w:t>
      </w:r>
    </w:p>
    <w:p w14:paraId="29D777D8" w14:textId="77777777" w:rsidR="00A330D5" w:rsidRDefault="00A330D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p>
    <w:p w14:paraId="66EEAE98" w14:textId="77777777" w:rsidR="00A330D5" w:rsidRDefault="00A330D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p>
    <w:p w14:paraId="3A03979F" w14:textId="1CBD155D" w:rsidR="00BE3647" w:rsidRDefault="00620E7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r w:rsidRPr="00620E75">
        <w:rPr>
          <w:rFonts w:ascii="Century Gothic" w:eastAsia="Calibri" w:hAnsi="Century Gothic" w:cs="Tahoma"/>
          <w:kern w:val="0"/>
          <w:sz w:val="32"/>
          <w:szCs w:val="32"/>
          <w14:ligatures w14:val="none"/>
        </w:rPr>
        <w:lastRenderedPageBreak/>
        <w:t>Par ailleurs la représentation des femmes en son sein est de 40%</w:t>
      </w:r>
      <w:r w:rsidR="00A330D5">
        <w:rPr>
          <w:rFonts w:ascii="Century Gothic" w:eastAsia="Calibri" w:hAnsi="Century Gothic" w:cs="Tahoma"/>
          <w:kern w:val="0"/>
          <w:sz w:val="32"/>
          <w:szCs w:val="32"/>
          <w14:ligatures w14:val="none"/>
        </w:rPr>
        <w:t>.</w:t>
      </w:r>
    </w:p>
    <w:p w14:paraId="3C6B0A52" w14:textId="77777777" w:rsidR="00A330D5" w:rsidRPr="00620E75" w:rsidRDefault="00A330D5" w:rsidP="00620E75">
      <w:pPr>
        <w:autoSpaceDE w:val="0"/>
        <w:autoSpaceDN w:val="0"/>
        <w:adjustRightInd w:val="0"/>
        <w:spacing w:after="0" w:line="276" w:lineRule="auto"/>
        <w:jc w:val="both"/>
        <w:rPr>
          <w:rFonts w:ascii="Century Gothic" w:eastAsia="Calibri" w:hAnsi="Century Gothic" w:cs="Tahoma"/>
          <w:kern w:val="0"/>
          <w:sz w:val="32"/>
          <w:szCs w:val="32"/>
          <w14:ligatures w14:val="none"/>
        </w:rPr>
      </w:pPr>
    </w:p>
    <w:p w14:paraId="743B45DF" w14:textId="7E05F666" w:rsidR="00620E75" w:rsidRPr="00A330D5" w:rsidRDefault="00A330D5" w:rsidP="00A330D5">
      <w:pPr>
        <w:pStyle w:val="Paragraphedeliste"/>
        <w:numPr>
          <w:ilvl w:val="0"/>
          <w:numId w:val="12"/>
        </w:numPr>
        <w:spacing w:line="276" w:lineRule="auto"/>
        <w:jc w:val="both"/>
        <w:rPr>
          <w:rFonts w:ascii="Century Gothic" w:eastAsia="Calibri" w:hAnsi="Century Gothic" w:cs="Tahoma"/>
          <w:b/>
          <w:bCs/>
          <w:kern w:val="0"/>
          <w:sz w:val="32"/>
          <w:szCs w:val="32"/>
          <w14:ligatures w14:val="none"/>
        </w:rPr>
      </w:pPr>
      <w:r w:rsidRPr="00A330D5">
        <w:rPr>
          <w:rFonts w:ascii="Century Gothic" w:eastAsia="Calibri" w:hAnsi="Century Gothic" w:cs="Tahoma"/>
          <w:b/>
          <w:bCs/>
          <w:kern w:val="0"/>
          <w:sz w:val="32"/>
          <w:szCs w:val="32"/>
          <w14:ligatures w14:val="none"/>
        </w:rPr>
        <w:t xml:space="preserve">Sur les populations autochtones </w:t>
      </w:r>
    </w:p>
    <w:p w14:paraId="48C18C27" w14:textId="298D9984" w:rsidR="00471CC0" w:rsidRPr="00471CC0" w:rsidRDefault="00471CC0" w:rsidP="00471CC0">
      <w:p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t xml:space="preserve">Pour la mise en œuvre de la loi n°5-2011 du 25 février 2011 portant promotion et protection des droits des peuples autochtones et du décret n°2019-199 du 12 juillet 2019, le Gouvernement de la République du Congo collabore avec les Agences du Système des Nations Unies et avec les ONG en vue d’octroyer les pièces de l’état civil aux populations autochtones. </w:t>
      </w:r>
    </w:p>
    <w:p w14:paraId="442AA024" w14:textId="77777777" w:rsidR="00471CC0" w:rsidRPr="00471CC0" w:rsidRDefault="00471CC0" w:rsidP="00471CC0">
      <w:pPr>
        <w:spacing w:line="276" w:lineRule="auto"/>
        <w:jc w:val="both"/>
        <w:rPr>
          <w:rFonts w:ascii="Century Gothic" w:eastAsia="Calibri" w:hAnsi="Century Gothic" w:cs="Tahoma"/>
          <w:kern w:val="0"/>
          <w:sz w:val="12"/>
          <w:szCs w:val="12"/>
          <w14:ligatures w14:val="none"/>
        </w:rPr>
      </w:pPr>
    </w:p>
    <w:p w14:paraId="2BBD62B6" w14:textId="66E38E81" w:rsidR="00471CC0" w:rsidRPr="00471CC0" w:rsidRDefault="00471CC0" w:rsidP="00471CC0">
      <w:p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t xml:space="preserve">En effet, en 2015, dans le département de la </w:t>
      </w:r>
      <w:proofErr w:type="spellStart"/>
      <w:r w:rsidRPr="00471CC0">
        <w:rPr>
          <w:rFonts w:ascii="Century Gothic" w:eastAsia="Calibri" w:hAnsi="Century Gothic" w:cs="Tahoma"/>
          <w:kern w:val="0"/>
          <w:sz w:val="32"/>
          <w:szCs w:val="32"/>
          <w14:ligatures w14:val="none"/>
        </w:rPr>
        <w:t>Lékoumou</w:t>
      </w:r>
      <w:proofErr w:type="spellEnd"/>
      <w:r w:rsidRPr="00471CC0">
        <w:rPr>
          <w:rFonts w:ascii="Century Gothic" w:eastAsia="Calibri" w:hAnsi="Century Gothic" w:cs="Tahoma"/>
          <w:kern w:val="0"/>
          <w:sz w:val="32"/>
          <w:szCs w:val="32"/>
          <w14:ligatures w14:val="none"/>
        </w:rPr>
        <w:t>, le rapport de la mission conjointe de suivi réalisée par l’équipe locale et l’UNICEF, du 20 au 28 avril, indique que 2 404 enfants autochtones (1233 garçons et 1 171 filles) ont été enregistrés à l’état civil. Des documents ont été signés (1675 réquisitions de déclaration tardive et 525 actes de naissance).</w:t>
      </w:r>
    </w:p>
    <w:p w14:paraId="6D47A254" w14:textId="77777777" w:rsidR="00836E3D" w:rsidRDefault="00471CC0" w:rsidP="00836E3D">
      <w:p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t xml:space="preserve">Aussi, le ministre de la justice et des droits humains et de la promotion des peuples autochtones, a-t-il procédé, au nom du Gouvernement, à l’occasion des célébrations de la journée internationale des peuples autochtones à la remise des actes de naissance aux populations autochtones. </w:t>
      </w:r>
    </w:p>
    <w:p w14:paraId="4948E5F0" w14:textId="77777777" w:rsidR="00836E3D" w:rsidRDefault="00836E3D" w:rsidP="00836E3D">
      <w:pPr>
        <w:spacing w:line="276" w:lineRule="auto"/>
        <w:jc w:val="both"/>
        <w:rPr>
          <w:rFonts w:ascii="Century Gothic" w:eastAsia="Calibri" w:hAnsi="Century Gothic" w:cs="Tahoma"/>
          <w:kern w:val="0"/>
          <w:sz w:val="32"/>
          <w:szCs w:val="32"/>
          <w14:ligatures w14:val="none"/>
        </w:rPr>
      </w:pPr>
    </w:p>
    <w:p w14:paraId="688F94A7" w14:textId="702B542B" w:rsidR="00471CC0" w:rsidRDefault="00471CC0" w:rsidP="00836E3D">
      <w:p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t>De 2019 à 2023, 8.928 pièces de l’état ont été délivrées aux populations autochtones, notamment, les actes de naissance et les cartes nationales d’identité, reparties ainsi qu’il suit :</w:t>
      </w:r>
    </w:p>
    <w:p w14:paraId="1982E566" w14:textId="6746ADB9" w:rsidR="00471CC0" w:rsidRPr="00471CC0" w:rsidRDefault="00471CC0" w:rsidP="00471CC0">
      <w:pPr>
        <w:pStyle w:val="Paragraphedeliste"/>
        <w:numPr>
          <w:ilvl w:val="0"/>
          <w:numId w:val="13"/>
        </w:num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lastRenderedPageBreak/>
        <w:t>7.928 actes de naissance, dont :</w:t>
      </w:r>
    </w:p>
    <w:p w14:paraId="4DA72D01" w14:textId="4FE48B14" w:rsidR="00471CC0" w:rsidRPr="00471CC0" w:rsidRDefault="00471CC0" w:rsidP="00471CC0">
      <w:pPr>
        <w:pStyle w:val="Paragraphedeliste"/>
        <w:numPr>
          <w:ilvl w:val="0"/>
          <w:numId w:val="13"/>
        </w:num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t>3.166 dans le département de la Likouala ;</w:t>
      </w:r>
    </w:p>
    <w:p w14:paraId="21766CFC" w14:textId="760FDED8" w:rsidR="00471CC0" w:rsidRPr="00471CC0" w:rsidRDefault="00471CC0" w:rsidP="00471CC0">
      <w:pPr>
        <w:pStyle w:val="Paragraphedeliste"/>
        <w:numPr>
          <w:ilvl w:val="0"/>
          <w:numId w:val="13"/>
        </w:num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t>1.502 dans le département de la Sangha ;</w:t>
      </w:r>
    </w:p>
    <w:p w14:paraId="573FCF6B" w14:textId="4307DF9D" w:rsidR="00471CC0" w:rsidRPr="00471CC0" w:rsidRDefault="00471CC0" w:rsidP="00471CC0">
      <w:pPr>
        <w:pStyle w:val="Paragraphedeliste"/>
        <w:numPr>
          <w:ilvl w:val="0"/>
          <w:numId w:val="13"/>
        </w:num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t xml:space="preserve">1.929 dans le département de la </w:t>
      </w:r>
      <w:proofErr w:type="spellStart"/>
      <w:r w:rsidRPr="00471CC0">
        <w:rPr>
          <w:rFonts w:ascii="Century Gothic" w:eastAsia="Calibri" w:hAnsi="Century Gothic" w:cs="Tahoma"/>
          <w:kern w:val="0"/>
          <w:sz w:val="32"/>
          <w:szCs w:val="32"/>
          <w14:ligatures w14:val="none"/>
        </w:rPr>
        <w:t>Lékoumou</w:t>
      </w:r>
      <w:proofErr w:type="spellEnd"/>
      <w:r w:rsidRPr="00471CC0">
        <w:rPr>
          <w:rFonts w:ascii="Century Gothic" w:eastAsia="Calibri" w:hAnsi="Century Gothic" w:cs="Tahoma"/>
          <w:kern w:val="0"/>
          <w:sz w:val="32"/>
          <w:szCs w:val="32"/>
          <w14:ligatures w14:val="none"/>
        </w:rPr>
        <w:t xml:space="preserve"> ;</w:t>
      </w:r>
    </w:p>
    <w:p w14:paraId="46052DD6" w14:textId="78F06F9B" w:rsidR="00471CC0" w:rsidRPr="00471CC0" w:rsidRDefault="00471CC0" w:rsidP="00471CC0">
      <w:pPr>
        <w:pStyle w:val="Paragraphedeliste"/>
        <w:numPr>
          <w:ilvl w:val="0"/>
          <w:numId w:val="13"/>
        </w:num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t>800 dans le département de la Bouenza ;</w:t>
      </w:r>
    </w:p>
    <w:p w14:paraId="4FBC4F25" w14:textId="1F9CCC8B" w:rsidR="00471CC0" w:rsidRPr="00471CC0" w:rsidRDefault="00471CC0" w:rsidP="00471CC0">
      <w:pPr>
        <w:pStyle w:val="Paragraphedeliste"/>
        <w:numPr>
          <w:ilvl w:val="0"/>
          <w:numId w:val="13"/>
        </w:num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t>331 dans le département des Plateaux</w:t>
      </w:r>
    </w:p>
    <w:p w14:paraId="06352792" w14:textId="75969CDE" w:rsidR="00471CC0" w:rsidRPr="00471CC0" w:rsidRDefault="00471CC0" w:rsidP="00471CC0">
      <w:pPr>
        <w:pStyle w:val="Paragraphedeliste"/>
        <w:numPr>
          <w:ilvl w:val="0"/>
          <w:numId w:val="13"/>
        </w:num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t>cartes nationales d’identité dans les départements de la Sangha (500) et la Likouala (500).</w:t>
      </w:r>
    </w:p>
    <w:p w14:paraId="403BB972" w14:textId="6982F8D5" w:rsidR="00471CC0" w:rsidRDefault="00471CC0" w:rsidP="00471CC0">
      <w:pPr>
        <w:pStyle w:val="Paragraphedeliste"/>
        <w:numPr>
          <w:ilvl w:val="0"/>
          <w:numId w:val="13"/>
        </w:numPr>
        <w:spacing w:line="276" w:lineRule="auto"/>
        <w:jc w:val="both"/>
        <w:rPr>
          <w:rFonts w:ascii="Century Gothic" w:eastAsia="Calibri" w:hAnsi="Century Gothic" w:cs="Tahoma"/>
          <w:kern w:val="0"/>
          <w:sz w:val="32"/>
          <w:szCs w:val="32"/>
          <w14:ligatures w14:val="none"/>
        </w:rPr>
      </w:pPr>
      <w:r w:rsidRPr="00471CC0">
        <w:rPr>
          <w:rFonts w:ascii="Century Gothic" w:eastAsia="Calibri" w:hAnsi="Century Gothic" w:cs="Tahoma"/>
          <w:kern w:val="0"/>
          <w:sz w:val="32"/>
          <w:szCs w:val="32"/>
          <w14:ligatures w14:val="none"/>
        </w:rPr>
        <w:t>Les campagnes foraines de 2024 en cours de préparation en collaboration avec le Haut-Commissariat des Nations Unies aux Réfugiés (HCR) augurent des meilleures perspectives.</w:t>
      </w:r>
    </w:p>
    <w:p w14:paraId="6DFF1C14" w14:textId="77777777" w:rsidR="00836E3D" w:rsidRPr="00836E3D" w:rsidRDefault="00836E3D" w:rsidP="00836E3D"/>
    <w:p w14:paraId="1EAA1B0C" w14:textId="77777777" w:rsidR="00836E3D" w:rsidRPr="00836E3D" w:rsidRDefault="00836E3D" w:rsidP="00836E3D">
      <w:p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En application des dispositions de la loi n°5-2011 du 25 février 2011 indiquée si haut, le Gouvernement et ses partenaires s’emploient à soutenir l’éducation des enfants autochtones. Les actions menées consistent à doter ses enfants en kits scolaires et en installant les cantines scolaires dans certains établissements fréquentés par les enfants autochtones.</w:t>
      </w:r>
    </w:p>
    <w:p w14:paraId="7EDC6A41" w14:textId="77777777" w:rsidR="00836E3D" w:rsidRPr="00836E3D" w:rsidRDefault="00836E3D" w:rsidP="00836E3D">
      <w:pPr>
        <w:spacing w:after="0"/>
        <w:jc w:val="both"/>
        <w:rPr>
          <w:rFonts w:ascii="Century Gothic" w:eastAsia="Calibri" w:hAnsi="Century Gothic" w:cs="Times New Roman"/>
          <w:kern w:val="0"/>
          <w:sz w:val="32"/>
          <w:szCs w:val="32"/>
          <w14:ligatures w14:val="none"/>
        </w:rPr>
      </w:pPr>
    </w:p>
    <w:p w14:paraId="68E54A14" w14:textId="77777777" w:rsidR="00836E3D" w:rsidRPr="00836E3D" w:rsidRDefault="00836E3D" w:rsidP="00836E3D">
      <w:p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Dans ce contexte, la République du Congo a pris les mesures discriminatoires positives au profit des enfants autochtones, notamment à travers l’article 16 du décret n°2019-204 du 12 juillet 2019 portant mesures spéciales facilitant l’accès des enfants autochtones à l’éducation et des adultes à l’alphabétisation qui stipule que : « L’Etat soutient la scolarisation des enfants autochtones à travers :</w:t>
      </w:r>
    </w:p>
    <w:p w14:paraId="3F57D4E1" w14:textId="77777777" w:rsidR="00836E3D" w:rsidRPr="00836E3D" w:rsidRDefault="00836E3D" w:rsidP="00836E3D">
      <w:pPr>
        <w:spacing w:after="0"/>
        <w:jc w:val="both"/>
        <w:rPr>
          <w:rFonts w:ascii="Century Gothic" w:eastAsia="Calibri" w:hAnsi="Century Gothic" w:cs="Times New Roman"/>
          <w:kern w:val="0"/>
          <w:sz w:val="32"/>
          <w:szCs w:val="32"/>
          <w14:ligatures w14:val="none"/>
        </w:rPr>
      </w:pPr>
    </w:p>
    <w:p w14:paraId="278E9FFF" w14:textId="46885141" w:rsidR="00836E3D" w:rsidRPr="00836E3D" w:rsidRDefault="00836E3D" w:rsidP="00836E3D">
      <w:pPr>
        <w:numPr>
          <w:ilvl w:val="0"/>
          <w:numId w:val="15"/>
        </w:num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la gratuité des outils d’écolier distribués en kits</w:t>
      </w:r>
      <w:r>
        <w:rPr>
          <w:rFonts w:ascii="Century Gothic" w:eastAsia="Calibri" w:hAnsi="Century Gothic" w:cs="Times New Roman"/>
          <w:kern w:val="0"/>
          <w:sz w:val="32"/>
          <w:szCs w:val="32"/>
          <w14:ligatures w14:val="none"/>
        </w:rPr>
        <w:t> ;</w:t>
      </w:r>
    </w:p>
    <w:p w14:paraId="259CAE77" w14:textId="77777777" w:rsidR="00836E3D" w:rsidRPr="00836E3D" w:rsidRDefault="00836E3D" w:rsidP="00836E3D">
      <w:pPr>
        <w:numPr>
          <w:ilvl w:val="0"/>
          <w:numId w:val="15"/>
        </w:num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lastRenderedPageBreak/>
        <w:t>le financement de la conception et de la mise en œuvre dans les communautés, des programmes d’information et d’éducation pour le changement des normes sociales ;</w:t>
      </w:r>
    </w:p>
    <w:p w14:paraId="06DDC0E2" w14:textId="77777777" w:rsidR="00836E3D" w:rsidRPr="00836E3D" w:rsidRDefault="00836E3D" w:rsidP="00836E3D">
      <w:pPr>
        <w:numPr>
          <w:ilvl w:val="0"/>
          <w:numId w:val="15"/>
        </w:num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l’appui aux organisations de la société civile nationale, autochtones et locales engagées dans les activités d’éducation au profit des enfants autochtones ;</w:t>
      </w:r>
    </w:p>
    <w:p w14:paraId="15292C31" w14:textId="77777777" w:rsidR="00836E3D" w:rsidRDefault="00836E3D" w:rsidP="00836E3D">
      <w:pPr>
        <w:numPr>
          <w:ilvl w:val="0"/>
          <w:numId w:val="15"/>
        </w:num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l’intégration, dans la carte scolaire, des structures d’éducation communautaire non formelle recevant les enfants autochtones »</w:t>
      </w:r>
      <w:r>
        <w:rPr>
          <w:rFonts w:ascii="Century Gothic" w:eastAsia="Calibri" w:hAnsi="Century Gothic" w:cs="Times New Roman"/>
          <w:kern w:val="0"/>
          <w:sz w:val="32"/>
          <w:szCs w:val="32"/>
          <w14:ligatures w14:val="none"/>
        </w:rPr>
        <w:t> ;</w:t>
      </w:r>
    </w:p>
    <w:p w14:paraId="104FD863" w14:textId="77777777" w:rsidR="00836E3D" w:rsidRDefault="00836E3D" w:rsidP="00836E3D">
      <w:pPr>
        <w:numPr>
          <w:ilvl w:val="0"/>
          <w:numId w:val="15"/>
        </w:num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La création des écoles ORA dans certains départements et l’instauration des cantines scolaires ont fortement contribué à l’amélioration des avancées constatées jusqu’à ce jour</w:t>
      </w:r>
      <w:r>
        <w:rPr>
          <w:rFonts w:ascii="Century Gothic" w:eastAsia="Calibri" w:hAnsi="Century Gothic" w:cs="Times New Roman"/>
          <w:kern w:val="0"/>
          <w:sz w:val="32"/>
          <w:szCs w:val="32"/>
          <w14:ligatures w14:val="none"/>
        </w:rPr>
        <w:t> ;</w:t>
      </w:r>
    </w:p>
    <w:p w14:paraId="7409D873" w14:textId="77777777" w:rsidR="00836E3D" w:rsidRDefault="00836E3D" w:rsidP="00836E3D">
      <w:pPr>
        <w:numPr>
          <w:ilvl w:val="0"/>
          <w:numId w:val="15"/>
        </w:num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la scolarisation de 7.000 enfants autochtones dans les écoles ORA de la Likouala et de la Sangha, ainsi que la construction de 4 écoles ORA type, en vue de leur intégration dans la carte scolaire nationale</w:t>
      </w:r>
      <w:r>
        <w:rPr>
          <w:rFonts w:ascii="Century Gothic" w:eastAsia="Calibri" w:hAnsi="Century Gothic" w:cs="Times New Roman"/>
          <w:kern w:val="0"/>
          <w:sz w:val="32"/>
          <w:szCs w:val="32"/>
          <w14:ligatures w14:val="none"/>
        </w:rPr>
        <w:t> ;</w:t>
      </w:r>
    </w:p>
    <w:p w14:paraId="38E56741" w14:textId="7B5EA7B4" w:rsidR="00836E3D" w:rsidRPr="00836E3D" w:rsidRDefault="00836E3D" w:rsidP="00836E3D">
      <w:pPr>
        <w:numPr>
          <w:ilvl w:val="0"/>
          <w:numId w:val="15"/>
        </w:numPr>
        <w:spacing w:after="0"/>
        <w:contextualSpacing/>
        <w:jc w:val="both"/>
        <w:rPr>
          <w:rFonts w:ascii="Century Gothic" w:eastAsia="Calibri" w:hAnsi="Century Gothic" w:cs="Times New Roman"/>
          <w:kern w:val="0"/>
          <w:sz w:val="32"/>
          <w:szCs w:val="32"/>
          <w14:ligatures w14:val="none"/>
        </w:rPr>
      </w:pPr>
      <w:r>
        <w:rPr>
          <w:rFonts w:ascii="Century Gothic" w:eastAsia="Calibri" w:hAnsi="Century Gothic" w:cs="Times New Roman"/>
          <w:kern w:val="0"/>
          <w:sz w:val="32"/>
          <w:szCs w:val="32"/>
          <w14:ligatures w14:val="none"/>
        </w:rPr>
        <w:t>l</w:t>
      </w:r>
      <w:r w:rsidRPr="00836E3D">
        <w:rPr>
          <w:rFonts w:ascii="Century Gothic" w:eastAsia="Calibri" w:hAnsi="Century Gothic" w:cs="Times New Roman"/>
          <w:kern w:val="0"/>
          <w:sz w:val="32"/>
          <w:szCs w:val="32"/>
          <w14:ligatures w14:val="none"/>
        </w:rPr>
        <w:t>a formation de 153 éducateurs, dont 80 des écoles ORA et 73 directeurs des écoles primaires publiques sur la gestion scolaire ;</w:t>
      </w:r>
    </w:p>
    <w:p w14:paraId="53B6F8B6" w14:textId="3B83B7B3" w:rsidR="00836E3D" w:rsidRPr="00836E3D" w:rsidRDefault="00836E3D" w:rsidP="00836E3D">
      <w:pPr>
        <w:numPr>
          <w:ilvl w:val="0"/>
          <w:numId w:val="17"/>
        </w:numPr>
        <w:spacing w:after="0"/>
        <w:contextualSpacing/>
        <w:jc w:val="both"/>
        <w:rPr>
          <w:rFonts w:ascii="Century Gothic" w:eastAsia="Calibri" w:hAnsi="Century Gothic" w:cs="Times New Roman"/>
          <w:kern w:val="0"/>
          <w:sz w:val="32"/>
          <w:szCs w:val="32"/>
          <w14:ligatures w14:val="none"/>
        </w:rPr>
      </w:pPr>
      <w:r>
        <w:rPr>
          <w:rFonts w:ascii="Century Gothic" w:eastAsia="Calibri" w:hAnsi="Century Gothic" w:cs="Times New Roman"/>
          <w:kern w:val="0"/>
          <w:sz w:val="32"/>
          <w:szCs w:val="32"/>
          <w14:ligatures w14:val="none"/>
        </w:rPr>
        <w:t>l</w:t>
      </w:r>
      <w:r w:rsidRPr="00836E3D">
        <w:rPr>
          <w:rFonts w:ascii="Century Gothic" w:eastAsia="Calibri" w:hAnsi="Century Gothic" w:cs="Times New Roman"/>
          <w:kern w:val="0"/>
          <w:sz w:val="32"/>
          <w:szCs w:val="32"/>
          <w14:ligatures w14:val="none"/>
        </w:rPr>
        <w:t>a dotation de 20 633 élèves y compris les enfants réfugiés et autochtones (10 399 filles) en kits scolaires dans les départements de la Bouenza, de la Sangha, de la Likouala et du Pool ;</w:t>
      </w:r>
    </w:p>
    <w:p w14:paraId="2D703EA0" w14:textId="5B0A5F53" w:rsidR="00836E3D" w:rsidRPr="00836E3D" w:rsidRDefault="00836E3D" w:rsidP="00836E3D">
      <w:pPr>
        <w:numPr>
          <w:ilvl w:val="0"/>
          <w:numId w:val="17"/>
        </w:numPr>
        <w:spacing w:after="0"/>
        <w:contextualSpacing/>
        <w:jc w:val="both"/>
        <w:rPr>
          <w:rFonts w:ascii="Century Gothic" w:eastAsia="Calibri" w:hAnsi="Century Gothic" w:cs="Times New Roman"/>
          <w:kern w:val="0"/>
          <w:sz w:val="32"/>
          <w:szCs w:val="32"/>
          <w14:ligatures w14:val="none"/>
        </w:rPr>
      </w:pPr>
      <w:r>
        <w:rPr>
          <w:rFonts w:ascii="Century Gothic" w:eastAsia="Calibri" w:hAnsi="Century Gothic" w:cs="Times New Roman"/>
          <w:kern w:val="0"/>
          <w:sz w:val="32"/>
          <w:szCs w:val="32"/>
          <w14:ligatures w14:val="none"/>
        </w:rPr>
        <w:t>l</w:t>
      </w:r>
      <w:r w:rsidRPr="00836E3D">
        <w:rPr>
          <w:rFonts w:ascii="Century Gothic" w:eastAsia="Calibri" w:hAnsi="Century Gothic" w:cs="Times New Roman"/>
          <w:kern w:val="0"/>
          <w:sz w:val="32"/>
          <w:szCs w:val="32"/>
          <w14:ligatures w14:val="none"/>
        </w:rPr>
        <w:t xml:space="preserve">a dotation de 27 500 kits scolaires pour la scolarisation des élèves dans la </w:t>
      </w:r>
      <w:proofErr w:type="spellStart"/>
      <w:r w:rsidRPr="00836E3D">
        <w:rPr>
          <w:rFonts w:ascii="Century Gothic" w:eastAsia="Calibri" w:hAnsi="Century Gothic" w:cs="Times New Roman"/>
          <w:kern w:val="0"/>
          <w:sz w:val="32"/>
          <w:szCs w:val="32"/>
          <w14:ligatures w14:val="none"/>
        </w:rPr>
        <w:t>Lékoumou</w:t>
      </w:r>
      <w:proofErr w:type="spellEnd"/>
      <w:r w:rsidRPr="00836E3D">
        <w:rPr>
          <w:rFonts w:ascii="Century Gothic" w:eastAsia="Calibri" w:hAnsi="Century Gothic" w:cs="Times New Roman"/>
          <w:kern w:val="0"/>
          <w:sz w:val="32"/>
          <w:szCs w:val="32"/>
          <w14:ligatures w14:val="none"/>
        </w:rPr>
        <w:t xml:space="preserve"> (écoles primaires publiques) et des élèves autochtones dans les écoles ORA de la Likouala et la Sangha et des enfants en situation </w:t>
      </w:r>
      <w:r w:rsidRPr="00836E3D">
        <w:rPr>
          <w:rFonts w:ascii="Century Gothic" w:eastAsia="Calibri" w:hAnsi="Century Gothic" w:cs="Times New Roman"/>
          <w:kern w:val="0"/>
          <w:sz w:val="32"/>
          <w:szCs w:val="32"/>
          <w14:ligatures w14:val="none"/>
        </w:rPr>
        <w:lastRenderedPageBreak/>
        <w:t>humanitaire dans les Plateaux, le Pool et la Sangha ;</w:t>
      </w:r>
    </w:p>
    <w:p w14:paraId="461F582A" w14:textId="5096FF55" w:rsidR="00836E3D" w:rsidRPr="00836E3D" w:rsidRDefault="00836E3D" w:rsidP="00836E3D">
      <w:pPr>
        <w:numPr>
          <w:ilvl w:val="0"/>
          <w:numId w:val="16"/>
        </w:numPr>
        <w:spacing w:after="0"/>
        <w:contextualSpacing/>
        <w:jc w:val="both"/>
        <w:rPr>
          <w:rFonts w:ascii="Century Gothic" w:eastAsia="Calibri" w:hAnsi="Century Gothic" w:cs="Times New Roman"/>
          <w:color w:val="FF0000"/>
          <w:kern w:val="0"/>
          <w:sz w:val="32"/>
          <w:szCs w:val="32"/>
          <w14:ligatures w14:val="none"/>
        </w:rPr>
      </w:pPr>
      <w:r w:rsidRPr="00836E3D">
        <w:rPr>
          <w:rFonts w:ascii="Century Gothic" w:eastAsia="Calibri" w:hAnsi="Century Gothic" w:cs="Times New Roman"/>
          <w:kern w:val="0"/>
          <w:sz w:val="32"/>
          <w:szCs w:val="32"/>
          <w14:ligatures w14:val="none"/>
        </w:rPr>
        <w:t>a production d’un plan de construction de quatre écoles ORA type.</w:t>
      </w:r>
    </w:p>
    <w:p w14:paraId="3B862D82" w14:textId="77777777" w:rsidR="00836E3D" w:rsidRPr="00836E3D" w:rsidRDefault="00836E3D" w:rsidP="00836E3D">
      <w:pPr>
        <w:spacing w:after="0"/>
        <w:jc w:val="both"/>
        <w:rPr>
          <w:rFonts w:ascii="Century Gothic" w:eastAsia="Calibri" w:hAnsi="Century Gothic" w:cs="Times New Roman"/>
          <w:kern w:val="0"/>
          <w:sz w:val="32"/>
          <w:szCs w:val="32"/>
          <w14:ligatures w14:val="none"/>
        </w:rPr>
      </w:pPr>
    </w:p>
    <w:p w14:paraId="258C9D6F" w14:textId="77777777" w:rsidR="00836E3D" w:rsidRDefault="00836E3D" w:rsidP="00836E3D">
      <w:p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 xml:space="preserve">Dans le département de la </w:t>
      </w:r>
      <w:proofErr w:type="spellStart"/>
      <w:r w:rsidRPr="00836E3D">
        <w:rPr>
          <w:rFonts w:ascii="Century Gothic" w:eastAsia="Calibri" w:hAnsi="Century Gothic" w:cs="Times New Roman"/>
          <w:kern w:val="0"/>
          <w:sz w:val="32"/>
          <w:szCs w:val="32"/>
          <w14:ligatures w14:val="none"/>
        </w:rPr>
        <w:t>Lékoumou</w:t>
      </w:r>
      <w:proofErr w:type="spellEnd"/>
      <w:r w:rsidRPr="00836E3D">
        <w:rPr>
          <w:rFonts w:ascii="Century Gothic" w:eastAsia="Calibri" w:hAnsi="Century Gothic" w:cs="Times New Roman"/>
          <w:kern w:val="0"/>
          <w:sz w:val="32"/>
          <w:szCs w:val="32"/>
          <w14:ligatures w14:val="none"/>
        </w:rPr>
        <w:t>, le lancement du projet « Amélioration de la qualité de vie des populations autochtones » a fait passer les effectifs des enfants autochtones scolarisés de 789 à 1285 en 2015.</w:t>
      </w:r>
    </w:p>
    <w:p w14:paraId="3C05E8B9" w14:textId="77777777" w:rsidR="00836E3D" w:rsidRDefault="00836E3D" w:rsidP="00836E3D">
      <w:pPr>
        <w:spacing w:after="0"/>
        <w:contextualSpacing/>
        <w:jc w:val="both"/>
        <w:rPr>
          <w:rFonts w:ascii="Century Gothic" w:eastAsia="Calibri" w:hAnsi="Century Gothic" w:cs="Times New Roman"/>
          <w:kern w:val="0"/>
          <w:sz w:val="32"/>
          <w:szCs w:val="32"/>
          <w14:ligatures w14:val="none"/>
        </w:rPr>
      </w:pPr>
    </w:p>
    <w:p w14:paraId="1E80708F" w14:textId="5B789556" w:rsidR="00836E3D" w:rsidRPr="00836E3D" w:rsidRDefault="00836E3D" w:rsidP="00836E3D">
      <w:p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 xml:space="preserve">Dans le cadre de la mise en œuvre du plan décentralisé de la </w:t>
      </w:r>
      <w:proofErr w:type="spellStart"/>
      <w:r w:rsidRPr="00836E3D">
        <w:rPr>
          <w:rFonts w:ascii="Century Gothic" w:eastAsia="Calibri" w:hAnsi="Century Gothic" w:cs="Times New Roman"/>
          <w:kern w:val="0"/>
          <w:sz w:val="32"/>
          <w:szCs w:val="32"/>
          <w14:ligatures w14:val="none"/>
        </w:rPr>
        <w:t>Lékoumou</w:t>
      </w:r>
      <w:proofErr w:type="spellEnd"/>
      <w:r w:rsidRPr="00836E3D">
        <w:rPr>
          <w:rFonts w:ascii="Century Gothic" w:eastAsia="Calibri" w:hAnsi="Century Gothic" w:cs="Times New Roman"/>
          <w:kern w:val="0"/>
          <w:sz w:val="32"/>
          <w:szCs w:val="32"/>
          <w14:ligatures w14:val="none"/>
        </w:rPr>
        <w:t>, 257 élèves autochtones ont été recensés dans les écoles de la commune de Sibiti sur un effectif total de 2.739.</w:t>
      </w:r>
    </w:p>
    <w:p w14:paraId="406AF17F" w14:textId="77777777" w:rsidR="00836E3D" w:rsidRPr="00836E3D" w:rsidRDefault="00836E3D" w:rsidP="00836E3D">
      <w:pPr>
        <w:spacing w:after="0"/>
        <w:jc w:val="both"/>
        <w:rPr>
          <w:rFonts w:ascii="Century Gothic" w:eastAsia="Calibri" w:hAnsi="Century Gothic" w:cs="Times New Roman"/>
          <w:kern w:val="0"/>
          <w:sz w:val="32"/>
          <w:szCs w:val="32"/>
          <w14:ligatures w14:val="none"/>
        </w:rPr>
      </w:pPr>
    </w:p>
    <w:p w14:paraId="61BF5CEB" w14:textId="77777777" w:rsidR="00836E3D" w:rsidRPr="00836E3D" w:rsidRDefault="00836E3D" w:rsidP="00836E3D">
      <w:p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L’appui en matériels pédagogiques et uniformes scolaires consenti par l’UNICEF et d’autres partenaires (Banque mondiale, UNESCO…) ont eu des impacts directs, entre autres : une baisse de l’abandon scolaire à un taux moyen d’absentéisme de l’ordre de 20 % et l’adhésion progressive des parents autochtones à la scolarisation de leurs enfants (cf. Rapport d’évaluation 2015).</w:t>
      </w:r>
    </w:p>
    <w:p w14:paraId="055C7DAA" w14:textId="77777777" w:rsidR="00836E3D" w:rsidRPr="00836E3D" w:rsidRDefault="00836E3D" w:rsidP="00836E3D">
      <w:pPr>
        <w:spacing w:after="0"/>
        <w:jc w:val="both"/>
        <w:rPr>
          <w:rFonts w:ascii="Century Gothic" w:eastAsia="Calibri" w:hAnsi="Century Gothic" w:cs="Times New Roman"/>
          <w:kern w:val="0"/>
          <w:sz w:val="32"/>
          <w:szCs w:val="32"/>
          <w14:ligatures w14:val="none"/>
        </w:rPr>
      </w:pPr>
    </w:p>
    <w:p w14:paraId="484D9183" w14:textId="77777777" w:rsidR="00836E3D" w:rsidRDefault="00836E3D" w:rsidP="00836E3D">
      <w:pPr>
        <w:spacing w:after="0"/>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Depuis l’année scolaire 2019-2020, les effectifs des enfants autochtones dans les établissements scolaires ont connu une ascendance considérable, telle que l’indique les résultats ci-après :</w:t>
      </w:r>
    </w:p>
    <w:p w14:paraId="111F28D7" w14:textId="77777777" w:rsidR="00836E3D" w:rsidRPr="00836E3D" w:rsidRDefault="00836E3D" w:rsidP="00836E3D">
      <w:pPr>
        <w:spacing w:after="0"/>
        <w:contextualSpacing/>
        <w:jc w:val="both"/>
        <w:rPr>
          <w:rFonts w:ascii="Century Gothic" w:eastAsia="Calibri" w:hAnsi="Century Gothic" w:cs="Times New Roman"/>
          <w:kern w:val="0"/>
          <w:sz w:val="32"/>
          <w:szCs w:val="32"/>
          <w14:ligatures w14:val="none"/>
        </w:rPr>
      </w:pPr>
    </w:p>
    <w:p w14:paraId="62D4359D" w14:textId="77777777" w:rsidR="00836E3D" w:rsidRPr="00836E3D" w:rsidRDefault="00836E3D" w:rsidP="00836E3D">
      <w:pPr>
        <w:pStyle w:val="Paragraphedeliste"/>
        <w:numPr>
          <w:ilvl w:val="0"/>
          <w:numId w:val="20"/>
        </w:numPr>
        <w:spacing w:after="0"/>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Année scolaire 2019-2020 : 9.136 enfants autochtones scolarisés ;</w:t>
      </w:r>
    </w:p>
    <w:p w14:paraId="0219BEE0" w14:textId="77777777" w:rsidR="00836E3D" w:rsidRPr="00836E3D" w:rsidRDefault="00836E3D" w:rsidP="00836E3D">
      <w:pPr>
        <w:pStyle w:val="Paragraphedeliste"/>
        <w:numPr>
          <w:ilvl w:val="0"/>
          <w:numId w:val="20"/>
        </w:numPr>
        <w:spacing w:after="0"/>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lastRenderedPageBreak/>
        <w:t>Année scolaire 2020-2021 : 9.517 enfants autochtones scolarisés ;</w:t>
      </w:r>
    </w:p>
    <w:p w14:paraId="30BC4E00" w14:textId="77777777" w:rsidR="00836E3D" w:rsidRPr="00836E3D" w:rsidRDefault="00836E3D" w:rsidP="00836E3D">
      <w:pPr>
        <w:pStyle w:val="Paragraphedeliste"/>
        <w:numPr>
          <w:ilvl w:val="0"/>
          <w:numId w:val="20"/>
        </w:numPr>
        <w:spacing w:after="0"/>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Année scolaire 2021-2022 :11.568 enfants autochtones scolarisés, dont 5.666 filles ;</w:t>
      </w:r>
    </w:p>
    <w:p w14:paraId="43091970" w14:textId="77777777" w:rsidR="00836E3D" w:rsidRPr="00836E3D" w:rsidRDefault="00836E3D" w:rsidP="00836E3D">
      <w:pPr>
        <w:pStyle w:val="Paragraphedeliste"/>
        <w:numPr>
          <w:ilvl w:val="0"/>
          <w:numId w:val="20"/>
        </w:numPr>
        <w:spacing w:after="0"/>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Année scolaire 2022-2023 :14.570 enfants autochtones scolarisés, dont 7.456 filles ;</w:t>
      </w:r>
    </w:p>
    <w:p w14:paraId="4F21BA73" w14:textId="689392B8" w:rsidR="00836E3D" w:rsidRPr="00836E3D" w:rsidRDefault="00836E3D" w:rsidP="00836E3D">
      <w:pPr>
        <w:pStyle w:val="Paragraphedeliste"/>
        <w:numPr>
          <w:ilvl w:val="0"/>
          <w:numId w:val="20"/>
        </w:numPr>
        <w:spacing w:after="0"/>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Année scolaire 2024-2025 : 14.697 enfants autochtones scolarisés, dont 6.598 filles</w:t>
      </w:r>
      <w:r>
        <w:rPr>
          <w:rFonts w:ascii="Century Gothic" w:eastAsia="Calibri" w:hAnsi="Century Gothic" w:cs="Times New Roman"/>
          <w:kern w:val="0"/>
          <w:sz w:val="32"/>
          <w:szCs w:val="32"/>
          <w14:ligatures w14:val="none"/>
        </w:rPr>
        <w:t>.</w:t>
      </w:r>
    </w:p>
    <w:p w14:paraId="48BA3E5F" w14:textId="77777777" w:rsidR="00836E3D" w:rsidRDefault="00836E3D" w:rsidP="00836E3D">
      <w:pPr>
        <w:contextualSpacing/>
        <w:jc w:val="both"/>
        <w:rPr>
          <w:rFonts w:ascii="Century Gothic" w:eastAsia="Calibri" w:hAnsi="Century Gothic" w:cs="Times New Roman"/>
          <w:kern w:val="0"/>
          <w:sz w:val="32"/>
          <w:szCs w:val="32"/>
          <w14:ligatures w14:val="none"/>
        </w:rPr>
      </w:pPr>
    </w:p>
    <w:p w14:paraId="5BFAA2AB" w14:textId="5F140AD5" w:rsidR="00836E3D" w:rsidRPr="00836E3D" w:rsidRDefault="00836E3D" w:rsidP="00836E3D">
      <w:pPr>
        <w:contextualSpacing/>
        <w:jc w:val="both"/>
        <w:rPr>
          <w:rFonts w:ascii="Century Gothic" w:eastAsia="Calibri" w:hAnsi="Century Gothic" w:cs="Times New Roman"/>
          <w:kern w:val="0"/>
          <w:sz w:val="32"/>
          <w:szCs w:val="32"/>
          <w14:ligatures w14:val="none"/>
        </w:rPr>
      </w:pPr>
      <w:r>
        <w:rPr>
          <w:rFonts w:ascii="Century Gothic" w:eastAsia="Calibri" w:hAnsi="Century Gothic" w:cs="Times New Roman"/>
          <w:kern w:val="0"/>
          <w:sz w:val="32"/>
          <w:szCs w:val="32"/>
          <w14:ligatures w14:val="none"/>
        </w:rPr>
        <w:t>L</w:t>
      </w:r>
      <w:r w:rsidRPr="00836E3D">
        <w:rPr>
          <w:rFonts w:ascii="Century Gothic" w:eastAsia="Calibri" w:hAnsi="Century Gothic" w:cs="Times New Roman"/>
          <w:kern w:val="0"/>
          <w:sz w:val="32"/>
          <w:szCs w:val="32"/>
          <w14:ligatures w14:val="none"/>
        </w:rPr>
        <w:t>es détails de l’année scolaire 2023-2024 se présentent de la manière suivante :</w:t>
      </w:r>
    </w:p>
    <w:p w14:paraId="393F729B" w14:textId="77777777" w:rsidR="00836E3D" w:rsidRPr="00836E3D" w:rsidRDefault="00836E3D" w:rsidP="00836E3D">
      <w:pPr>
        <w:numPr>
          <w:ilvl w:val="0"/>
          <w:numId w:val="18"/>
        </w:numPr>
        <w:spacing w:after="0" w:line="240" w:lineRule="auto"/>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Primaire : 11.256 enfants scolarisés, dont 5.915 filles ;</w:t>
      </w:r>
    </w:p>
    <w:p w14:paraId="521C8125" w14:textId="77777777" w:rsidR="00836E3D" w:rsidRPr="00836E3D" w:rsidRDefault="00836E3D" w:rsidP="00836E3D">
      <w:pPr>
        <w:numPr>
          <w:ilvl w:val="0"/>
          <w:numId w:val="18"/>
        </w:numPr>
        <w:spacing w:after="0" w:line="240" w:lineRule="auto"/>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Collège :433 enfants scolarisés, dont 147 filles ;</w:t>
      </w:r>
    </w:p>
    <w:p w14:paraId="2A93444E" w14:textId="77777777" w:rsidR="00836E3D" w:rsidRPr="00836E3D" w:rsidRDefault="00836E3D" w:rsidP="00836E3D">
      <w:pPr>
        <w:numPr>
          <w:ilvl w:val="0"/>
          <w:numId w:val="18"/>
        </w:numPr>
        <w:spacing w:after="0" w:line="240" w:lineRule="auto"/>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Lycée : 91 enfants scolarisés, dont 15 filles ;</w:t>
      </w:r>
    </w:p>
    <w:p w14:paraId="6EB03255" w14:textId="77777777" w:rsidR="00836E3D" w:rsidRPr="00836E3D" w:rsidRDefault="00836E3D" w:rsidP="00836E3D">
      <w:pPr>
        <w:numPr>
          <w:ilvl w:val="0"/>
          <w:numId w:val="18"/>
        </w:numPr>
        <w:spacing w:after="0" w:line="240" w:lineRule="auto"/>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ORA : 2.905 enfants scolarisés, dont 1.395 filles ;</w:t>
      </w:r>
    </w:p>
    <w:p w14:paraId="7887EA73" w14:textId="77777777" w:rsidR="00836E3D" w:rsidRPr="00836E3D" w:rsidRDefault="00836E3D" w:rsidP="00836E3D">
      <w:pPr>
        <w:numPr>
          <w:ilvl w:val="0"/>
          <w:numId w:val="18"/>
        </w:numPr>
        <w:spacing w:after="0" w:line="240" w:lineRule="auto"/>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Université : 09 étudiants, dont 04 filles ;</w:t>
      </w:r>
    </w:p>
    <w:p w14:paraId="113A3C7C" w14:textId="77777777" w:rsidR="00836E3D" w:rsidRPr="00836E3D" w:rsidRDefault="00836E3D" w:rsidP="00836E3D">
      <w:pPr>
        <w:numPr>
          <w:ilvl w:val="0"/>
          <w:numId w:val="18"/>
        </w:numPr>
        <w:spacing w:after="0" w:line="240" w:lineRule="auto"/>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ENEF :02, dont 01 fille.</w:t>
      </w:r>
    </w:p>
    <w:p w14:paraId="022F1A85" w14:textId="77777777" w:rsidR="00836E3D" w:rsidRPr="00836E3D" w:rsidRDefault="00836E3D" w:rsidP="00836E3D">
      <w:pPr>
        <w:spacing w:after="0" w:line="240" w:lineRule="auto"/>
        <w:jc w:val="both"/>
        <w:rPr>
          <w:rFonts w:ascii="Century Gothic" w:eastAsia="Calibri" w:hAnsi="Century Gothic" w:cs="Times New Roman"/>
          <w:kern w:val="0"/>
          <w:sz w:val="32"/>
          <w:szCs w:val="32"/>
          <w14:ligatures w14:val="none"/>
        </w:rPr>
      </w:pPr>
    </w:p>
    <w:p w14:paraId="64192001" w14:textId="77777777" w:rsidR="00836E3D" w:rsidRDefault="00836E3D" w:rsidP="00836E3D">
      <w:pPr>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On note avec satisfaction la construction d’un internat à Sibiti, en collaboration avec l’ONG Espace OPOKO pour accueillir les élèves autochtones après le Brevet d’Etudes du Premier Cycle (BEPC).</w:t>
      </w:r>
    </w:p>
    <w:p w14:paraId="7A850FB1" w14:textId="77777777" w:rsidR="00836E3D" w:rsidRPr="00836E3D" w:rsidRDefault="00836E3D" w:rsidP="00836E3D">
      <w:pPr>
        <w:contextualSpacing/>
        <w:jc w:val="both"/>
        <w:rPr>
          <w:rFonts w:ascii="Century Gothic" w:eastAsia="Calibri" w:hAnsi="Century Gothic" w:cs="Times New Roman"/>
          <w:kern w:val="0"/>
          <w:sz w:val="32"/>
          <w:szCs w:val="32"/>
          <w14:ligatures w14:val="none"/>
        </w:rPr>
      </w:pPr>
    </w:p>
    <w:p w14:paraId="32EDAF57" w14:textId="114AE8A6" w:rsidR="00836E3D" w:rsidRDefault="00836E3D" w:rsidP="00836E3D">
      <w:pPr>
        <w:contextualSpacing/>
        <w:jc w:val="both"/>
        <w:rPr>
          <w:rFonts w:ascii="Century Gothic" w:eastAsia="Calibri" w:hAnsi="Century Gothic" w:cs="Times New Roman"/>
          <w:kern w:val="0"/>
          <w:sz w:val="32"/>
          <w:szCs w:val="32"/>
          <w14:ligatures w14:val="none"/>
        </w:rPr>
      </w:pPr>
      <w:r w:rsidRPr="00836E3D">
        <w:rPr>
          <w:rFonts w:ascii="Century Gothic" w:eastAsia="Calibri" w:hAnsi="Century Gothic" w:cs="Times New Roman"/>
          <w:kern w:val="0"/>
          <w:sz w:val="32"/>
          <w:szCs w:val="32"/>
          <w14:ligatures w14:val="none"/>
        </w:rPr>
        <w:t xml:space="preserve">Le 9 août de chaque année, à l’occasion de la célébration de la journée internationale des peuples autochtones, le ministre en charge de la justice procède à la remise des kits scolaires aux enfants autochtones scolarisés et du matériel pédagogique aux encadreurs. Au total, </w:t>
      </w:r>
      <w:r w:rsidRPr="00836E3D">
        <w:rPr>
          <w:rFonts w:ascii="Century Gothic" w:eastAsia="Calibri" w:hAnsi="Century Gothic" w:cs="Times New Roman"/>
          <w:b/>
          <w:kern w:val="0"/>
          <w:sz w:val="32"/>
          <w:szCs w:val="32"/>
          <w14:ligatures w14:val="none"/>
        </w:rPr>
        <w:t>2.000</w:t>
      </w:r>
      <w:r w:rsidRPr="00836E3D">
        <w:rPr>
          <w:rFonts w:ascii="Century Gothic" w:eastAsia="Calibri" w:hAnsi="Century Gothic" w:cs="Times New Roman"/>
          <w:kern w:val="0"/>
          <w:sz w:val="32"/>
          <w:szCs w:val="32"/>
          <w14:ligatures w14:val="none"/>
        </w:rPr>
        <w:t xml:space="preserve"> kits scolaires ont été remis aux enfants autochtones des départements de la Sangha, de la </w:t>
      </w:r>
      <w:proofErr w:type="spellStart"/>
      <w:r w:rsidRPr="00836E3D">
        <w:rPr>
          <w:rFonts w:ascii="Century Gothic" w:eastAsia="Calibri" w:hAnsi="Century Gothic" w:cs="Times New Roman"/>
          <w:kern w:val="0"/>
          <w:sz w:val="32"/>
          <w:szCs w:val="32"/>
          <w14:ligatures w14:val="none"/>
        </w:rPr>
        <w:t>Lékoumou</w:t>
      </w:r>
      <w:proofErr w:type="spellEnd"/>
      <w:r w:rsidRPr="00836E3D">
        <w:rPr>
          <w:rFonts w:ascii="Century Gothic" w:eastAsia="Calibri" w:hAnsi="Century Gothic" w:cs="Times New Roman"/>
          <w:kern w:val="0"/>
          <w:sz w:val="32"/>
          <w:szCs w:val="32"/>
          <w14:ligatures w14:val="none"/>
        </w:rPr>
        <w:t xml:space="preserve"> et de la Cuvette-Ouest.</w:t>
      </w:r>
    </w:p>
    <w:p w14:paraId="031D6BF4" w14:textId="77777777" w:rsidR="00836E3D" w:rsidRDefault="00836E3D" w:rsidP="00836E3D">
      <w:pPr>
        <w:contextualSpacing/>
        <w:jc w:val="both"/>
        <w:rPr>
          <w:rFonts w:ascii="Century Gothic" w:eastAsia="Calibri" w:hAnsi="Century Gothic" w:cs="Times New Roman"/>
          <w:kern w:val="0"/>
          <w:sz w:val="32"/>
          <w:szCs w:val="32"/>
          <w14:ligatures w14:val="none"/>
        </w:rPr>
      </w:pPr>
    </w:p>
    <w:p w14:paraId="4DC7C04E" w14:textId="77777777" w:rsidR="00836E3D" w:rsidRDefault="00836E3D" w:rsidP="00836E3D">
      <w:pPr>
        <w:contextualSpacing/>
        <w:jc w:val="both"/>
        <w:rPr>
          <w:rFonts w:ascii="Century Gothic" w:eastAsia="Calibri" w:hAnsi="Century Gothic" w:cs="Times New Roman"/>
          <w:kern w:val="0"/>
          <w:sz w:val="32"/>
          <w:szCs w:val="32"/>
          <w14:ligatures w14:val="none"/>
        </w:rPr>
      </w:pPr>
    </w:p>
    <w:p w14:paraId="41C6DB03" w14:textId="37AA7EBE" w:rsidR="00836E3D" w:rsidRPr="00A330D5" w:rsidRDefault="00836E3D" w:rsidP="00836E3D">
      <w:pPr>
        <w:pStyle w:val="Paragraphedeliste"/>
        <w:numPr>
          <w:ilvl w:val="0"/>
          <w:numId w:val="12"/>
        </w:numPr>
        <w:spacing w:line="276" w:lineRule="auto"/>
        <w:jc w:val="both"/>
        <w:rPr>
          <w:rFonts w:ascii="Century Gothic" w:eastAsia="Calibri" w:hAnsi="Century Gothic" w:cs="Tahoma"/>
          <w:b/>
          <w:bCs/>
          <w:kern w:val="0"/>
          <w:sz w:val="32"/>
          <w:szCs w:val="32"/>
          <w14:ligatures w14:val="none"/>
        </w:rPr>
      </w:pPr>
      <w:r>
        <w:rPr>
          <w:rFonts w:ascii="Century Gothic" w:eastAsia="Calibri" w:hAnsi="Century Gothic" w:cs="Tahoma"/>
          <w:b/>
          <w:bCs/>
          <w:kern w:val="0"/>
          <w:sz w:val="32"/>
          <w:szCs w:val="32"/>
          <w14:ligatures w14:val="none"/>
        </w:rPr>
        <w:lastRenderedPageBreak/>
        <w:t>Sur la convention de Palerme</w:t>
      </w:r>
      <w:r w:rsidRPr="00A330D5">
        <w:rPr>
          <w:rFonts w:ascii="Century Gothic" w:eastAsia="Calibri" w:hAnsi="Century Gothic" w:cs="Tahoma"/>
          <w:b/>
          <w:bCs/>
          <w:kern w:val="0"/>
          <w:sz w:val="32"/>
          <w:szCs w:val="32"/>
          <w14:ligatures w14:val="none"/>
        </w:rPr>
        <w:t xml:space="preserve"> </w:t>
      </w:r>
    </w:p>
    <w:p w14:paraId="1E1E28E7" w14:textId="111F55E2" w:rsidR="00ED386D" w:rsidRDefault="00176975" w:rsidP="00836E3D">
      <w:pPr>
        <w:contextualSpacing/>
        <w:jc w:val="both"/>
        <w:rPr>
          <w:rFonts w:ascii="Century Gothic" w:eastAsia="Calibri" w:hAnsi="Century Gothic" w:cs="Times New Roman"/>
          <w:kern w:val="0"/>
          <w:sz w:val="32"/>
          <w:szCs w:val="32"/>
          <w14:ligatures w14:val="none"/>
        </w:rPr>
      </w:pPr>
      <w:r>
        <w:rPr>
          <w:rFonts w:ascii="Century Gothic" w:eastAsia="Calibri" w:hAnsi="Century Gothic" w:cs="Times New Roman"/>
          <w:kern w:val="0"/>
          <w:sz w:val="32"/>
          <w:szCs w:val="32"/>
          <w14:ligatures w14:val="none"/>
        </w:rPr>
        <w:t>Le processus de ratification du</w:t>
      </w:r>
      <w:r w:rsidR="00EC20E6">
        <w:rPr>
          <w:rFonts w:ascii="Century Gothic" w:eastAsia="Calibri" w:hAnsi="Century Gothic" w:cs="Times New Roman"/>
          <w:kern w:val="0"/>
          <w:sz w:val="32"/>
          <w:szCs w:val="32"/>
          <w14:ligatures w14:val="none"/>
        </w:rPr>
        <w:t xml:space="preserve"> </w:t>
      </w:r>
      <w:r w:rsidR="00EC20E6" w:rsidRPr="00EC20E6">
        <w:rPr>
          <w:rFonts w:ascii="Century Gothic" w:eastAsia="Calibri" w:hAnsi="Century Gothic" w:cs="Times New Roman"/>
          <w:kern w:val="0"/>
          <w:sz w:val="32"/>
          <w:szCs w:val="32"/>
          <w14:ligatures w14:val="none"/>
        </w:rPr>
        <w:t>protocole additionnel « visant à prévenir, réprimer et punir la traite des personnes, en particulier des femmes et des enfants</w:t>
      </w:r>
      <w:r>
        <w:rPr>
          <w:rFonts w:ascii="Century Gothic" w:eastAsia="Calibri" w:hAnsi="Century Gothic" w:cs="Times New Roman"/>
          <w:kern w:val="0"/>
          <w:sz w:val="32"/>
          <w:szCs w:val="32"/>
          <w14:ligatures w14:val="none"/>
        </w:rPr>
        <w:t> » signé par le Congo le 14 décembre 2000 est en cours, de même que</w:t>
      </w:r>
      <w:r w:rsidR="00840932">
        <w:rPr>
          <w:rFonts w:ascii="Century Gothic" w:eastAsia="Calibri" w:hAnsi="Century Gothic" w:cs="Times New Roman"/>
          <w:kern w:val="0"/>
          <w:sz w:val="32"/>
          <w:szCs w:val="32"/>
          <w14:ligatures w14:val="none"/>
        </w:rPr>
        <w:t xml:space="preserve"> </w:t>
      </w:r>
      <w:r w:rsidR="00ED386D">
        <w:rPr>
          <w:rFonts w:ascii="Century Gothic" w:eastAsia="Calibri" w:hAnsi="Century Gothic" w:cs="Times New Roman"/>
          <w:kern w:val="0"/>
          <w:sz w:val="32"/>
          <w:szCs w:val="32"/>
          <w14:ligatures w14:val="none"/>
        </w:rPr>
        <w:t>l</w:t>
      </w:r>
      <w:r w:rsidR="00ED386D" w:rsidRPr="00ED386D">
        <w:rPr>
          <w:rFonts w:ascii="Century Gothic" w:eastAsia="Calibri" w:hAnsi="Century Gothic" w:cs="Times New Roman"/>
          <w:kern w:val="0"/>
          <w:sz w:val="32"/>
          <w:szCs w:val="32"/>
          <w14:ligatures w14:val="none"/>
        </w:rPr>
        <w:t xml:space="preserve">a Convention des Nations Unies de 2000 contre la criminalité transnationale </w:t>
      </w:r>
      <w:r>
        <w:rPr>
          <w:rFonts w:ascii="Century Gothic" w:eastAsia="Calibri" w:hAnsi="Century Gothic" w:cs="Times New Roman"/>
          <w:kern w:val="0"/>
          <w:sz w:val="32"/>
          <w:szCs w:val="32"/>
          <w14:ligatures w14:val="none"/>
        </w:rPr>
        <w:t>o</w:t>
      </w:r>
      <w:r w:rsidR="00ED386D" w:rsidRPr="00ED386D">
        <w:rPr>
          <w:rFonts w:ascii="Century Gothic" w:eastAsia="Calibri" w:hAnsi="Century Gothic" w:cs="Times New Roman"/>
          <w:kern w:val="0"/>
          <w:sz w:val="32"/>
          <w:szCs w:val="32"/>
          <w14:ligatures w14:val="none"/>
        </w:rPr>
        <w:t>rganisée</w:t>
      </w:r>
      <w:r>
        <w:rPr>
          <w:rFonts w:ascii="Century Gothic" w:eastAsia="Calibri" w:hAnsi="Century Gothic" w:cs="Times New Roman"/>
          <w:kern w:val="0"/>
          <w:sz w:val="32"/>
          <w:szCs w:val="32"/>
          <w14:ligatures w14:val="none"/>
        </w:rPr>
        <w:t>.</w:t>
      </w:r>
    </w:p>
    <w:p w14:paraId="42626B0B" w14:textId="77777777" w:rsidR="00ED386D" w:rsidRDefault="00ED386D" w:rsidP="00836E3D">
      <w:pPr>
        <w:contextualSpacing/>
        <w:jc w:val="both"/>
        <w:rPr>
          <w:rFonts w:ascii="Century Gothic" w:eastAsia="Calibri" w:hAnsi="Century Gothic" w:cs="Times New Roman"/>
          <w:kern w:val="0"/>
          <w:sz w:val="32"/>
          <w:szCs w:val="32"/>
          <w14:ligatures w14:val="none"/>
        </w:rPr>
      </w:pPr>
    </w:p>
    <w:sectPr w:rsidR="00ED386D" w:rsidSect="00B93112">
      <w:footerReference w:type="default" r:id="rId7"/>
      <w:pgSz w:w="11906" w:h="16838"/>
      <w:pgMar w:top="1134"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9E2A3" w14:textId="77777777" w:rsidR="003317E8" w:rsidRDefault="003317E8" w:rsidP="00AE765E">
      <w:pPr>
        <w:spacing w:after="0" w:line="240" w:lineRule="auto"/>
      </w:pPr>
      <w:r>
        <w:separator/>
      </w:r>
    </w:p>
  </w:endnote>
  <w:endnote w:type="continuationSeparator" w:id="0">
    <w:p w14:paraId="6B26AC3E" w14:textId="77777777" w:rsidR="003317E8" w:rsidRDefault="003317E8" w:rsidP="00AE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9726380"/>
      <w:docPartObj>
        <w:docPartGallery w:val="Page Numbers (Bottom of Page)"/>
        <w:docPartUnique/>
      </w:docPartObj>
    </w:sdtPr>
    <w:sdtEndPr>
      <w:rPr>
        <w:noProof/>
      </w:rPr>
    </w:sdtEndPr>
    <w:sdtContent>
      <w:p w14:paraId="6774C03F" w14:textId="585917B8" w:rsidR="00AE765E" w:rsidRDefault="00AE765E">
        <w:pPr>
          <w:pStyle w:val="Pieddepage"/>
          <w:jc w:val="right"/>
        </w:pPr>
        <w:r>
          <w:fldChar w:fldCharType="begin"/>
        </w:r>
        <w:r>
          <w:instrText xml:space="preserve"> PAGE   \* MERGEFORMAT </w:instrText>
        </w:r>
        <w:r>
          <w:fldChar w:fldCharType="separate"/>
        </w:r>
        <w:r>
          <w:rPr>
            <w:noProof/>
          </w:rPr>
          <w:t>2</w:t>
        </w:r>
        <w:r>
          <w:rPr>
            <w:noProof/>
          </w:rPr>
          <w:fldChar w:fldCharType="end"/>
        </w:r>
      </w:p>
    </w:sdtContent>
  </w:sdt>
  <w:p w14:paraId="69910586" w14:textId="77777777" w:rsidR="00AE765E" w:rsidRDefault="00AE765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46B0F" w14:textId="77777777" w:rsidR="003317E8" w:rsidRDefault="003317E8" w:rsidP="00AE765E">
      <w:pPr>
        <w:spacing w:after="0" w:line="240" w:lineRule="auto"/>
      </w:pPr>
      <w:r>
        <w:separator/>
      </w:r>
    </w:p>
  </w:footnote>
  <w:footnote w:type="continuationSeparator" w:id="0">
    <w:p w14:paraId="2F5197E4" w14:textId="77777777" w:rsidR="003317E8" w:rsidRDefault="003317E8" w:rsidP="00AE76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5CFA"/>
    <w:multiLevelType w:val="hybridMultilevel"/>
    <w:tmpl w:val="C1DA5462"/>
    <w:lvl w:ilvl="0" w:tplc="2CAE9E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AC6791"/>
    <w:multiLevelType w:val="hybridMultilevel"/>
    <w:tmpl w:val="D00A8B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970A04"/>
    <w:multiLevelType w:val="hybridMultilevel"/>
    <w:tmpl w:val="BF76907C"/>
    <w:lvl w:ilvl="0" w:tplc="2DEE6C14">
      <w:start w:val="30"/>
      <w:numFmt w:val="bullet"/>
      <w:lvlText w:val="-"/>
      <w:lvlJc w:val="left"/>
      <w:pPr>
        <w:ind w:left="720" w:hanging="360"/>
      </w:pPr>
      <w:rPr>
        <w:rFonts w:ascii="Century Gothic" w:eastAsia="Calibri"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A0279"/>
    <w:multiLevelType w:val="hybridMultilevel"/>
    <w:tmpl w:val="542CAE14"/>
    <w:lvl w:ilvl="0" w:tplc="A2FE972E">
      <w:start w:val="40"/>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367F7"/>
    <w:multiLevelType w:val="hybridMultilevel"/>
    <w:tmpl w:val="46440FD2"/>
    <w:lvl w:ilvl="0" w:tplc="669615DE">
      <w:numFmt w:val="bullet"/>
      <w:lvlText w:val="-"/>
      <w:lvlJc w:val="left"/>
      <w:pPr>
        <w:ind w:left="720" w:hanging="360"/>
      </w:pPr>
      <w:rPr>
        <w:rFonts w:ascii="Calibri" w:eastAsiaTheme="minorHAnsi" w:hAnsi="Calibri" w:cstheme="minorBidi"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1EDE5FA0"/>
    <w:multiLevelType w:val="hybridMultilevel"/>
    <w:tmpl w:val="A7CCB5F2"/>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15:restartNumberingAfterBreak="0">
    <w:nsid w:val="20D72113"/>
    <w:multiLevelType w:val="hybridMultilevel"/>
    <w:tmpl w:val="20E8C9FE"/>
    <w:lvl w:ilvl="0" w:tplc="24E83530">
      <w:numFmt w:val="bullet"/>
      <w:lvlText w:val="-"/>
      <w:lvlJc w:val="left"/>
      <w:pPr>
        <w:ind w:left="720" w:hanging="360"/>
      </w:pPr>
      <w:rPr>
        <w:rFonts w:ascii="Candara" w:eastAsiaTheme="minorHAnsi" w:hAnsi="Candar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8A630B0"/>
    <w:multiLevelType w:val="hybridMultilevel"/>
    <w:tmpl w:val="1F5A3224"/>
    <w:lvl w:ilvl="0" w:tplc="040C000D">
      <w:start w:val="1"/>
      <w:numFmt w:val="bullet"/>
      <w:lvlText w:val=""/>
      <w:lvlJc w:val="left"/>
      <w:pPr>
        <w:ind w:left="804" w:hanging="360"/>
      </w:pPr>
      <w:rPr>
        <w:rFonts w:ascii="Wingdings" w:hAnsi="Wingdings" w:hint="default"/>
      </w:rPr>
    </w:lvl>
    <w:lvl w:ilvl="1" w:tplc="040C0003" w:tentative="1">
      <w:start w:val="1"/>
      <w:numFmt w:val="bullet"/>
      <w:lvlText w:val="o"/>
      <w:lvlJc w:val="left"/>
      <w:pPr>
        <w:ind w:left="1524" w:hanging="360"/>
      </w:pPr>
      <w:rPr>
        <w:rFonts w:ascii="Courier New" w:hAnsi="Courier New" w:cs="Courier New" w:hint="default"/>
      </w:rPr>
    </w:lvl>
    <w:lvl w:ilvl="2" w:tplc="040C0005" w:tentative="1">
      <w:start w:val="1"/>
      <w:numFmt w:val="bullet"/>
      <w:lvlText w:val=""/>
      <w:lvlJc w:val="left"/>
      <w:pPr>
        <w:ind w:left="2244" w:hanging="360"/>
      </w:pPr>
      <w:rPr>
        <w:rFonts w:ascii="Wingdings" w:hAnsi="Wingdings" w:hint="default"/>
      </w:rPr>
    </w:lvl>
    <w:lvl w:ilvl="3" w:tplc="040C0001" w:tentative="1">
      <w:start w:val="1"/>
      <w:numFmt w:val="bullet"/>
      <w:lvlText w:val=""/>
      <w:lvlJc w:val="left"/>
      <w:pPr>
        <w:ind w:left="2964" w:hanging="360"/>
      </w:pPr>
      <w:rPr>
        <w:rFonts w:ascii="Symbol" w:hAnsi="Symbol" w:hint="default"/>
      </w:rPr>
    </w:lvl>
    <w:lvl w:ilvl="4" w:tplc="040C0003" w:tentative="1">
      <w:start w:val="1"/>
      <w:numFmt w:val="bullet"/>
      <w:lvlText w:val="o"/>
      <w:lvlJc w:val="left"/>
      <w:pPr>
        <w:ind w:left="3684" w:hanging="360"/>
      </w:pPr>
      <w:rPr>
        <w:rFonts w:ascii="Courier New" w:hAnsi="Courier New" w:cs="Courier New" w:hint="default"/>
      </w:rPr>
    </w:lvl>
    <w:lvl w:ilvl="5" w:tplc="040C0005" w:tentative="1">
      <w:start w:val="1"/>
      <w:numFmt w:val="bullet"/>
      <w:lvlText w:val=""/>
      <w:lvlJc w:val="left"/>
      <w:pPr>
        <w:ind w:left="4404" w:hanging="360"/>
      </w:pPr>
      <w:rPr>
        <w:rFonts w:ascii="Wingdings" w:hAnsi="Wingdings" w:hint="default"/>
      </w:rPr>
    </w:lvl>
    <w:lvl w:ilvl="6" w:tplc="040C0001" w:tentative="1">
      <w:start w:val="1"/>
      <w:numFmt w:val="bullet"/>
      <w:lvlText w:val=""/>
      <w:lvlJc w:val="left"/>
      <w:pPr>
        <w:ind w:left="5124" w:hanging="360"/>
      </w:pPr>
      <w:rPr>
        <w:rFonts w:ascii="Symbol" w:hAnsi="Symbol" w:hint="default"/>
      </w:rPr>
    </w:lvl>
    <w:lvl w:ilvl="7" w:tplc="040C0003" w:tentative="1">
      <w:start w:val="1"/>
      <w:numFmt w:val="bullet"/>
      <w:lvlText w:val="o"/>
      <w:lvlJc w:val="left"/>
      <w:pPr>
        <w:ind w:left="5844" w:hanging="360"/>
      </w:pPr>
      <w:rPr>
        <w:rFonts w:ascii="Courier New" w:hAnsi="Courier New" w:cs="Courier New" w:hint="default"/>
      </w:rPr>
    </w:lvl>
    <w:lvl w:ilvl="8" w:tplc="040C0005" w:tentative="1">
      <w:start w:val="1"/>
      <w:numFmt w:val="bullet"/>
      <w:lvlText w:val=""/>
      <w:lvlJc w:val="left"/>
      <w:pPr>
        <w:ind w:left="6564" w:hanging="360"/>
      </w:pPr>
      <w:rPr>
        <w:rFonts w:ascii="Wingdings" w:hAnsi="Wingdings" w:hint="default"/>
      </w:rPr>
    </w:lvl>
  </w:abstractNum>
  <w:abstractNum w:abstractNumId="8" w15:restartNumberingAfterBreak="0">
    <w:nsid w:val="32383CDA"/>
    <w:multiLevelType w:val="multilevel"/>
    <w:tmpl w:val="5AA87216"/>
    <w:lvl w:ilvl="0">
      <w:start w:val="1"/>
      <w:numFmt w:val="decimal"/>
      <w:lvlText w:val="%1.0"/>
      <w:lvlJc w:val="left"/>
      <w:pPr>
        <w:ind w:left="1236" w:hanging="1236"/>
      </w:pPr>
      <w:rPr>
        <w:rFonts w:hint="default"/>
      </w:rPr>
    </w:lvl>
    <w:lvl w:ilvl="1">
      <w:start w:val="1"/>
      <w:numFmt w:val="decimalZero"/>
      <w:lvlText w:val="%1.%2"/>
      <w:lvlJc w:val="left"/>
      <w:pPr>
        <w:ind w:left="1944" w:hanging="1236"/>
      </w:pPr>
      <w:rPr>
        <w:rFonts w:hint="default"/>
      </w:rPr>
    </w:lvl>
    <w:lvl w:ilvl="2">
      <w:start w:val="1"/>
      <w:numFmt w:val="decimal"/>
      <w:lvlText w:val="%1.%2.%3"/>
      <w:lvlJc w:val="left"/>
      <w:pPr>
        <w:ind w:left="2652" w:hanging="1236"/>
      </w:pPr>
      <w:rPr>
        <w:rFonts w:hint="default"/>
      </w:rPr>
    </w:lvl>
    <w:lvl w:ilvl="3">
      <w:start w:val="1"/>
      <w:numFmt w:val="decimal"/>
      <w:lvlText w:val="%1.%2.%3.%4"/>
      <w:lvlJc w:val="left"/>
      <w:pPr>
        <w:ind w:left="3564" w:hanging="1440"/>
      </w:pPr>
      <w:rPr>
        <w:rFonts w:hint="default"/>
      </w:rPr>
    </w:lvl>
    <w:lvl w:ilvl="4">
      <w:start w:val="1"/>
      <w:numFmt w:val="decimal"/>
      <w:lvlText w:val="%1.%2.%3.%4.%5"/>
      <w:lvlJc w:val="left"/>
      <w:pPr>
        <w:ind w:left="4632" w:hanging="1800"/>
      </w:pPr>
      <w:rPr>
        <w:rFonts w:hint="default"/>
      </w:rPr>
    </w:lvl>
    <w:lvl w:ilvl="5">
      <w:start w:val="1"/>
      <w:numFmt w:val="decimal"/>
      <w:lvlText w:val="%1.%2.%3.%4.%5.%6"/>
      <w:lvlJc w:val="left"/>
      <w:pPr>
        <w:ind w:left="5700" w:hanging="2160"/>
      </w:pPr>
      <w:rPr>
        <w:rFonts w:hint="default"/>
      </w:rPr>
    </w:lvl>
    <w:lvl w:ilvl="6">
      <w:start w:val="1"/>
      <w:numFmt w:val="decimal"/>
      <w:lvlText w:val="%1.%2.%3.%4.%5.%6.%7"/>
      <w:lvlJc w:val="left"/>
      <w:pPr>
        <w:ind w:left="6408" w:hanging="2160"/>
      </w:pPr>
      <w:rPr>
        <w:rFonts w:hint="default"/>
      </w:rPr>
    </w:lvl>
    <w:lvl w:ilvl="7">
      <w:start w:val="1"/>
      <w:numFmt w:val="decimal"/>
      <w:lvlText w:val="%1.%2.%3.%4.%5.%6.%7.%8"/>
      <w:lvlJc w:val="left"/>
      <w:pPr>
        <w:ind w:left="7476" w:hanging="2520"/>
      </w:pPr>
      <w:rPr>
        <w:rFonts w:hint="default"/>
      </w:rPr>
    </w:lvl>
    <w:lvl w:ilvl="8">
      <w:start w:val="1"/>
      <w:numFmt w:val="decimal"/>
      <w:lvlText w:val="%1.%2.%3.%4.%5.%6.%7.%8.%9"/>
      <w:lvlJc w:val="left"/>
      <w:pPr>
        <w:ind w:left="8544" w:hanging="2880"/>
      </w:pPr>
      <w:rPr>
        <w:rFonts w:hint="default"/>
      </w:rPr>
    </w:lvl>
  </w:abstractNum>
  <w:abstractNum w:abstractNumId="9" w15:restartNumberingAfterBreak="0">
    <w:nsid w:val="37155878"/>
    <w:multiLevelType w:val="hybridMultilevel"/>
    <w:tmpl w:val="96DE358A"/>
    <w:lvl w:ilvl="0" w:tplc="24E83530">
      <w:numFmt w:val="bullet"/>
      <w:lvlText w:val="-"/>
      <w:lvlJc w:val="left"/>
      <w:pPr>
        <w:ind w:left="720" w:hanging="360"/>
      </w:pPr>
      <w:rPr>
        <w:rFonts w:ascii="Candara" w:eastAsiaTheme="minorHAnsi" w:hAnsi="Candar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C9144FB"/>
    <w:multiLevelType w:val="hybridMultilevel"/>
    <w:tmpl w:val="49C68070"/>
    <w:lvl w:ilvl="0" w:tplc="64BAA30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A84625"/>
    <w:multiLevelType w:val="hybridMultilevel"/>
    <w:tmpl w:val="67906394"/>
    <w:lvl w:ilvl="0" w:tplc="E7F2F5C0">
      <w:start w:val="1"/>
      <w:numFmt w:val="decimal"/>
      <w:lvlText w:val="%1."/>
      <w:lvlJc w:val="left"/>
      <w:pPr>
        <w:ind w:left="360" w:hanging="360"/>
      </w:pPr>
      <w:rPr>
        <w:rFonts w:hint="default"/>
        <w:b w:val="0"/>
        <w:bCs/>
        <w:i w:val="0"/>
        <w:iCs w:val="0"/>
        <w:color w:val="auto"/>
        <w:sz w:val="24"/>
        <w:szCs w:val="24"/>
        <w:lang w:val="x-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3B70B08"/>
    <w:multiLevelType w:val="hybridMultilevel"/>
    <w:tmpl w:val="B60EC890"/>
    <w:lvl w:ilvl="0" w:tplc="1E866C7E">
      <w:numFmt w:val="bullet"/>
      <w:lvlText w:val="-"/>
      <w:lvlJc w:val="left"/>
      <w:pPr>
        <w:ind w:left="644"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BC45842"/>
    <w:multiLevelType w:val="hybridMultilevel"/>
    <w:tmpl w:val="20302678"/>
    <w:lvl w:ilvl="0" w:tplc="5554F46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3151D89"/>
    <w:multiLevelType w:val="hybridMultilevel"/>
    <w:tmpl w:val="C1DA546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A8E4B8D"/>
    <w:multiLevelType w:val="hybridMultilevel"/>
    <w:tmpl w:val="24B6D5CE"/>
    <w:lvl w:ilvl="0" w:tplc="24E83530">
      <w:numFmt w:val="bullet"/>
      <w:lvlText w:val="-"/>
      <w:lvlJc w:val="left"/>
      <w:pPr>
        <w:ind w:left="720" w:hanging="360"/>
      </w:pPr>
      <w:rPr>
        <w:rFonts w:ascii="Candara" w:eastAsiaTheme="minorHAnsi" w:hAnsi="Candar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DCC6BBA"/>
    <w:multiLevelType w:val="hybridMultilevel"/>
    <w:tmpl w:val="60003BD6"/>
    <w:lvl w:ilvl="0" w:tplc="CDD4FDBA">
      <w:start w:val="130"/>
      <w:numFmt w:val="bullet"/>
      <w:lvlText w:val="-"/>
      <w:lvlJc w:val="left"/>
      <w:pPr>
        <w:ind w:left="720" w:hanging="360"/>
      </w:pPr>
      <w:rPr>
        <w:rFonts w:ascii="Tw Cen MT" w:eastAsiaTheme="minorHAnsi" w:hAnsi="Tw Cen MT"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6E160E96"/>
    <w:multiLevelType w:val="hybridMultilevel"/>
    <w:tmpl w:val="6D92E490"/>
    <w:lvl w:ilvl="0" w:tplc="BA12F64C">
      <w:start w:val="1"/>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7B2302"/>
    <w:multiLevelType w:val="hybridMultilevel"/>
    <w:tmpl w:val="5EA2E5F8"/>
    <w:lvl w:ilvl="0" w:tplc="24E83530">
      <w:numFmt w:val="bullet"/>
      <w:lvlText w:val="-"/>
      <w:lvlJc w:val="left"/>
      <w:pPr>
        <w:ind w:left="720" w:hanging="360"/>
      </w:pPr>
      <w:rPr>
        <w:rFonts w:ascii="Candara" w:eastAsiaTheme="minorHAnsi" w:hAnsi="Candar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56A2DB0"/>
    <w:multiLevelType w:val="hybridMultilevel"/>
    <w:tmpl w:val="26341558"/>
    <w:lvl w:ilvl="0" w:tplc="BA12F64C">
      <w:start w:val="1"/>
      <w:numFmt w:val="bullet"/>
      <w:lvlText w:val="-"/>
      <w:lvlJc w:val="left"/>
      <w:pPr>
        <w:ind w:left="720" w:hanging="360"/>
      </w:pPr>
      <w:rPr>
        <w:rFonts w:ascii="Tahoma" w:eastAsiaTheme="minorHAnsi" w:hAnsi="Tahoma" w:cs="Tahom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A3506F5"/>
    <w:multiLevelType w:val="hybridMultilevel"/>
    <w:tmpl w:val="1B34221A"/>
    <w:lvl w:ilvl="0" w:tplc="64BAA30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5050385">
    <w:abstractNumId w:val="1"/>
  </w:num>
  <w:num w:numId="2" w16cid:durableId="1422993814">
    <w:abstractNumId w:val="5"/>
  </w:num>
  <w:num w:numId="3" w16cid:durableId="1044674595">
    <w:abstractNumId w:val="13"/>
  </w:num>
  <w:num w:numId="4" w16cid:durableId="646319892">
    <w:abstractNumId w:val="2"/>
  </w:num>
  <w:num w:numId="5" w16cid:durableId="2054498883">
    <w:abstractNumId w:val="19"/>
  </w:num>
  <w:num w:numId="6" w16cid:durableId="1123884606">
    <w:abstractNumId w:val="12"/>
  </w:num>
  <w:num w:numId="7" w16cid:durableId="1264263342">
    <w:abstractNumId w:val="11"/>
  </w:num>
  <w:num w:numId="8" w16cid:durableId="1054161591">
    <w:abstractNumId w:val="16"/>
  </w:num>
  <w:num w:numId="9" w16cid:durableId="1896382446">
    <w:abstractNumId w:val="7"/>
  </w:num>
  <w:num w:numId="10" w16cid:durableId="1676499054">
    <w:abstractNumId w:val="4"/>
  </w:num>
  <w:num w:numId="11" w16cid:durableId="1431387669">
    <w:abstractNumId w:val="17"/>
  </w:num>
  <w:num w:numId="12" w16cid:durableId="1842238456">
    <w:abstractNumId w:val="0"/>
  </w:num>
  <w:num w:numId="13" w16cid:durableId="927737832">
    <w:abstractNumId w:val="10"/>
  </w:num>
  <w:num w:numId="14" w16cid:durableId="361520975">
    <w:abstractNumId w:val="8"/>
  </w:num>
  <w:num w:numId="15" w16cid:durableId="751851402">
    <w:abstractNumId w:val="6"/>
  </w:num>
  <w:num w:numId="16" w16cid:durableId="16196755">
    <w:abstractNumId w:val="15"/>
  </w:num>
  <w:num w:numId="17" w16cid:durableId="2091584590">
    <w:abstractNumId w:val="9"/>
  </w:num>
  <w:num w:numId="18" w16cid:durableId="650444971">
    <w:abstractNumId w:val="18"/>
  </w:num>
  <w:num w:numId="19" w16cid:durableId="2061661738">
    <w:abstractNumId w:val="3"/>
  </w:num>
  <w:num w:numId="20" w16cid:durableId="790780209">
    <w:abstractNumId w:val="20"/>
  </w:num>
  <w:num w:numId="21" w16cid:durableId="10208557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8BF"/>
    <w:rsid w:val="00001A3F"/>
    <w:rsid w:val="000038A1"/>
    <w:rsid w:val="00005B59"/>
    <w:rsid w:val="0001128D"/>
    <w:rsid w:val="0001351F"/>
    <w:rsid w:val="0001389B"/>
    <w:rsid w:val="000154C7"/>
    <w:rsid w:val="0002444A"/>
    <w:rsid w:val="000368E4"/>
    <w:rsid w:val="000373D8"/>
    <w:rsid w:val="000410ED"/>
    <w:rsid w:val="000445D3"/>
    <w:rsid w:val="00046AD6"/>
    <w:rsid w:val="00046B74"/>
    <w:rsid w:val="00056977"/>
    <w:rsid w:val="00060798"/>
    <w:rsid w:val="0006254D"/>
    <w:rsid w:val="000629ED"/>
    <w:rsid w:val="00063BA8"/>
    <w:rsid w:val="0006575C"/>
    <w:rsid w:val="000721A3"/>
    <w:rsid w:val="000722E4"/>
    <w:rsid w:val="00083056"/>
    <w:rsid w:val="000868F8"/>
    <w:rsid w:val="000874E1"/>
    <w:rsid w:val="00091B71"/>
    <w:rsid w:val="0009265D"/>
    <w:rsid w:val="000A3DEA"/>
    <w:rsid w:val="000B020C"/>
    <w:rsid w:val="000D07B2"/>
    <w:rsid w:val="000D4049"/>
    <w:rsid w:val="000D4ED7"/>
    <w:rsid w:val="000D759A"/>
    <w:rsid w:val="000E09F3"/>
    <w:rsid w:val="000E7C96"/>
    <w:rsid w:val="000F15C4"/>
    <w:rsid w:val="000F2039"/>
    <w:rsid w:val="000F42EF"/>
    <w:rsid w:val="000F498B"/>
    <w:rsid w:val="000F6127"/>
    <w:rsid w:val="00103DC9"/>
    <w:rsid w:val="0010588F"/>
    <w:rsid w:val="00113300"/>
    <w:rsid w:val="001133BE"/>
    <w:rsid w:val="00114060"/>
    <w:rsid w:val="001149AA"/>
    <w:rsid w:val="00123B14"/>
    <w:rsid w:val="00124D7B"/>
    <w:rsid w:val="001257A6"/>
    <w:rsid w:val="0012764F"/>
    <w:rsid w:val="001372A2"/>
    <w:rsid w:val="00145EC3"/>
    <w:rsid w:val="00146537"/>
    <w:rsid w:val="001509C1"/>
    <w:rsid w:val="0015564D"/>
    <w:rsid w:val="00161B74"/>
    <w:rsid w:val="00171955"/>
    <w:rsid w:val="00173A49"/>
    <w:rsid w:val="00174A92"/>
    <w:rsid w:val="00176975"/>
    <w:rsid w:val="00177C7F"/>
    <w:rsid w:val="0018378E"/>
    <w:rsid w:val="001914AC"/>
    <w:rsid w:val="00194E69"/>
    <w:rsid w:val="001A1E44"/>
    <w:rsid w:val="001A54A8"/>
    <w:rsid w:val="001B48BE"/>
    <w:rsid w:val="001B68EF"/>
    <w:rsid w:val="001B6955"/>
    <w:rsid w:val="001B7CC6"/>
    <w:rsid w:val="001C0F24"/>
    <w:rsid w:val="001C6134"/>
    <w:rsid w:val="001D08F8"/>
    <w:rsid w:val="001F5384"/>
    <w:rsid w:val="001F63A9"/>
    <w:rsid w:val="001F6982"/>
    <w:rsid w:val="001F6A0C"/>
    <w:rsid w:val="00204193"/>
    <w:rsid w:val="002078BF"/>
    <w:rsid w:val="0021754B"/>
    <w:rsid w:val="0022330B"/>
    <w:rsid w:val="00224FC5"/>
    <w:rsid w:val="00226E42"/>
    <w:rsid w:val="002357A7"/>
    <w:rsid w:val="0024027C"/>
    <w:rsid w:val="002403B2"/>
    <w:rsid w:val="00241254"/>
    <w:rsid w:val="0026067B"/>
    <w:rsid w:val="0026406B"/>
    <w:rsid w:val="002652B5"/>
    <w:rsid w:val="002731F0"/>
    <w:rsid w:val="0029379F"/>
    <w:rsid w:val="002A2117"/>
    <w:rsid w:val="002A6B0D"/>
    <w:rsid w:val="002B15B4"/>
    <w:rsid w:val="002B6633"/>
    <w:rsid w:val="002C31DC"/>
    <w:rsid w:val="002C38D0"/>
    <w:rsid w:val="002C3E1F"/>
    <w:rsid w:val="002C5B62"/>
    <w:rsid w:val="002E23E3"/>
    <w:rsid w:val="002E3D78"/>
    <w:rsid w:val="002E5B75"/>
    <w:rsid w:val="002E5D86"/>
    <w:rsid w:val="002F26FE"/>
    <w:rsid w:val="002F5A98"/>
    <w:rsid w:val="002F7CA0"/>
    <w:rsid w:val="00302E64"/>
    <w:rsid w:val="00305CD0"/>
    <w:rsid w:val="0032111C"/>
    <w:rsid w:val="003317E8"/>
    <w:rsid w:val="003334C6"/>
    <w:rsid w:val="00333B97"/>
    <w:rsid w:val="003375F7"/>
    <w:rsid w:val="00341267"/>
    <w:rsid w:val="00352B04"/>
    <w:rsid w:val="00365088"/>
    <w:rsid w:val="00366896"/>
    <w:rsid w:val="003724F6"/>
    <w:rsid w:val="00374176"/>
    <w:rsid w:val="003767CD"/>
    <w:rsid w:val="00380A47"/>
    <w:rsid w:val="00383692"/>
    <w:rsid w:val="003A515A"/>
    <w:rsid w:val="003A6EB2"/>
    <w:rsid w:val="003B27A3"/>
    <w:rsid w:val="003B6EA2"/>
    <w:rsid w:val="003D5A4E"/>
    <w:rsid w:val="003E0A7F"/>
    <w:rsid w:val="003E5294"/>
    <w:rsid w:val="00404BD9"/>
    <w:rsid w:val="004125EA"/>
    <w:rsid w:val="00414CEF"/>
    <w:rsid w:val="00422E74"/>
    <w:rsid w:val="00435DED"/>
    <w:rsid w:val="00444B07"/>
    <w:rsid w:val="00450F21"/>
    <w:rsid w:val="004579AB"/>
    <w:rsid w:val="00460D58"/>
    <w:rsid w:val="004664EF"/>
    <w:rsid w:val="00471CC0"/>
    <w:rsid w:val="00480B03"/>
    <w:rsid w:val="0048117C"/>
    <w:rsid w:val="0048173B"/>
    <w:rsid w:val="004A0449"/>
    <w:rsid w:val="004A08CB"/>
    <w:rsid w:val="004A41BC"/>
    <w:rsid w:val="004A4F2F"/>
    <w:rsid w:val="004A7CB7"/>
    <w:rsid w:val="004C3FCF"/>
    <w:rsid w:val="004C59F7"/>
    <w:rsid w:val="004D4A83"/>
    <w:rsid w:val="004D5A3B"/>
    <w:rsid w:val="004D6746"/>
    <w:rsid w:val="004E1093"/>
    <w:rsid w:val="004E2BD3"/>
    <w:rsid w:val="004E6390"/>
    <w:rsid w:val="004E6A54"/>
    <w:rsid w:val="004F6ABA"/>
    <w:rsid w:val="00504F20"/>
    <w:rsid w:val="00505B96"/>
    <w:rsid w:val="00523AED"/>
    <w:rsid w:val="005245DE"/>
    <w:rsid w:val="00532F85"/>
    <w:rsid w:val="00533B3C"/>
    <w:rsid w:val="005424CE"/>
    <w:rsid w:val="005432EE"/>
    <w:rsid w:val="005450EF"/>
    <w:rsid w:val="005458F6"/>
    <w:rsid w:val="00555D5A"/>
    <w:rsid w:val="00562A8B"/>
    <w:rsid w:val="005658FC"/>
    <w:rsid w:val="00593667"/>
    <w:rsid w:val="005A3067"/>
    <w:rsid w:val="005A3C54"/>
    <w:rsid w:val="005B6258"/>
    <w:rsid w:val="005C03DA"/>
    <w:rsid w:val="005D1368"/>
    <w:rsid w:val="005D398A"/>
    <w:rsid w:val="005D4964"/>
    <w:rsid w:val="005D77DD"/>
    <w:rsid w:val="005F5727"/>
    <w:rsid w:val="0060198F"/>
    <w:rsid w:val="00602E59"/>
    <w:rsid w:val="0060454C"/>
    <w:rsid w:val="00604BEF"/>
    <w:rsid w:val="00605AE9"/>
    <w:rsid w:val="00611B2F"/>
    <w:rsid w:val="00620E75"/>
    <w:rsid w:val="0062202A"/>
    <w:rsid w:val="0062372B"/>
    <w:rsid w:val="00624F6A"/>
    <w:rsid w:val="00644FA9"/>
    <w:rsid w:val="00654121"/>
    <w:rsid w:val="00664E39"/>
    <w:rsid w:val="0066575F"/>
    <w:rsid w:val="0067195D"/>
    <w:rsid w:val="00673D49"/>
    <w:rsid w:val="00674ACF"/>
    <w:rsid w:val="006802DE"/>
    <w:rsid w:val="00692C86"/>
    <w:rsid w:val="006A24ED"/>
    <w:rsid w:val="006B0A3C"/>
    <w:rsid w:val="006B710C"/>
    <w:rsid w:val="006C0E0D"/>
    <w:rsid w:val="006C19AC"/>
    <w:rsid w:val="006E0BAC"/>
    <w:rsid w:val="006E2893"/>
    <w:rsid w:val="006E4E53"/>
    <w:rsid w:val="006E4EB0"/>
    <w:rsid w:val="006F2F22"/>
    <w:rsid w:val="006F2FC4"/>
    <w:rsid w:val="006F3D20"/>
    <w:rsid w:val="00700F63"/>
    <w:rsid w:val="0070648D"/>
    <w:rsid w:val="00711AFD"/>
    <w:rsid w:val="007149F0"/>
    <w:rsid w:val="0071522C"/>
    <w:rsid w:val="00715AAA"/>
    <w:rsid w:val="00715DDB"/>
    <w:rsid w:val="007177C0"/>
    <w:rsid w:val="00721C7C"/>
    <w:rsid w:val="007250B1"/>
    <w:rsid w:val="00732E84"/>
    <w:rsid w:val="0073464C"/>
    <w:rsid w:val="0073662D"/>
    <w:rsid w:val="00737013"/>
    <w:rsid w:val="007449DB"/>
    <w:rsid w:val="00751EEC"/>
    <w:rsid w:val="007529B8"/>
    <w:rsid w:val="007551CE"/>
    <w:rsid w:val="00757079"/>
    <w:rsid w:val="00757FD2"/>
    <w:rsid w:val="00765B11"/>
    <w:rsid w:val="00767B33"/>
    <w:rsid w:val="00787B1B"/>
    <w:rsid w:val="0079007D"/>
    <w:rsid w:val="00794274"/>
    <w:rsid w:val="00796D4E"/>
    <w:rsid w:val="007A5501"/>
    <w:rsid w:val="007A7808"/>
    <w:rsid w:val="007B0E72"/>
    <w:rsid w:val="007B1CBC"/>
    <w:rsid w:val="007C79AF"/>
    <w:rsid w:val="007D2859"/>
    <w:rsid w:val="007D29EA"/>
    <w:rsid w:val="007E1776"/>
    <w:rsid w:val="007E273A"/>
    <w:rsid w:val="007E4D46"/>
    <w:rsid w:val="007E76A4"/>
    <w:rsid w:val="007F529A"/>
    <w:rsid w:val="008008D9"/>
    <w:rsid w:val="00836E3D"/>
    <w:rsid w:val="00840932"/>
    <w:rsid w:val="008416F3"/>
    <w:rsid w:val="008446F7"/>
    <w:rsid w:val="00873A6F"/>
    <w:rsid w:val="008747ED"/>
    <w:rsid w:val="00883946"/>
    <w:rsid w:val="00894A76"/>
    <w:rsid w:val="00897E00"/>
    <w:rsid w:val="008A1F2F"/>
    <w:rsid w:val="008A2404"/>
    <w:rsid w:val="008A29B0"/>
    <w:rsid w:val="008A2DC8"/>
    <w:rsid w:val="008A3674"/>
    <w:rsid w:val="008A4C68"/>
    <w:rsid w:val="008A7F1B"/>
    <w:rsid w:val="008B0CC0"/>
    <w:rsid w:val="008C0D1E"/>
    <w:rsid w:val="008C3EED"/>
    <w:rsid w:val="008C5F4D"/>
    <w:rsid w:val="008E6A60"/>
    <w:rsid w:val="00901FFD"/>
    <w:rsid w:val="00903B88"/>
    <w:rsid w:val="00916D13"/>
    <w:rsid w:val="00917D58"/>
    <w:rsid w:val="00931DCC"/>
    <w:rsid w:val="00934766"/>
    <w:rsid w:val="009369CE"/>
    <w:rsid w:val="009608B9"/>
    <w:rsid w:val="009638DC"/>
    <w:rsid w:val="00964676"/>
    <w:rsid w:val="0096556C"/>
    <w:rsid w:val="009665E1"/>
    <w:rsid w:val="00970A10"/>
    <w:rsid w:val="00975C4C"/>
    <w:rsid w:val="00987595"/>
    <w:rsid w:val="00993C4E"/>
    <w:rsid w:val="009950F0"/>
    <w:rsid w:val="009A2A9F"/>
    <w:rsid w:val="009A5A67"/>
    <w:rsid w:val="009B0F60"/>
    <w:rsid w:val="009B1E15"/>
    <w:rsid w:val="009B29DC"/>
    <w:rsid w:val="009B4D50"/>
    <w:rsid w:val="009B5BFC"/>
    <w:rsid w:val="009D4A07"/>
    <w:rsid w:val="009D56D9"/>
    <w:rsid w:val="009E2ACE"/>
    <w:rsid w:val="009E6D2B"/>
    <w:rsid w:val="00A0026F"/>
    <w:rsid w:val="00A105EA"/>
    <w:rsid w:val="00A14953"/>
    <w:rsid w:val="00A219A0"/>
    <w:rsid w:val="00A23C7A"/>
    <w:rsid w:val="00A2579A"/>
    <w:rsid w:val="00A277DA"/>
    <w:rsid w:val="00A30D96"/>
    <w:rsid w:val="00A330D5"/>
    <w:rsid w:val="00A34336"/>
    <w:rsid w:val="00A366A6"/>
    <w:rsid w:val="00A41286"/>
    <w:rsid w:val="00A4209D"/>
    <w:rsid w:val="00A47A5A"/>
    <w:rsid w:val="00A526DB"/>
    <w:rsid w:val="00A5461D"/>
    <w:rsid w:val="00A603CE"/>
    <w:rsid w:val="00A60CDC"/>
    <w:rsid w:val="00A650E9"/>
    <w:rsid w:val="00A70684"/>
    <w:rsid w:val="00A71E2A"/>
    <w:rsid w:val="00A778B2"/>
    <w:rsid w:val="00A808B2"/>
    <w:rsid w:val="00A97A2D"/>
    <w:rsid w:val="00AA078C"/>
    <w:rsid w:val="00AA107E"/>
    <w:rsid w:val="00AA5E0E"/>
    <w:rsid w:val="00AA7068"/>
    <w:rsid w:val="00AB1908"/>
    <w:rsid w:val="00AB35C0"/>
    <w:rsid w:val="00AB5F2B"/>
    <w:rsid w:val="00AC7106"/>
    <w:rsid w:val="00AD2659"/>
    <w:rsid w:val="00AD2A2F"/>
    <w:rsid w:val="00AE031B"/>
    <w:rsid w:val="00AE3F79"/>
    <w:rsid w:val="00AE5B92"/>
    <w:rsid w:val="00AE765E"/>
    <w:rsid w:val="00AE7FF7"/>
    <w:rsid w:val="00AF064A"/>
    <w:rsid w:val="00AF6328"/>
    <w:rsid w:val="00AF79EB"/>
    <w:rsid w:val="00AF7E88"/>
    <w:rsid w:val="00B005E7"/>
    <w:rsid w:val="00B00FEA"/>
    <w:rsid w:val="00B04CE1"/>
    <w:rsid w:val="00B062B1"/>
    <w:rsid w:val="00B117EF"/>
    <w:rsid w:val="00B137BF"/>
    <w:rsid w:val="00B16592"/>
    <w:rsid w:val="00B16B8D"/>
    <w:rsid w:val="00B22E50"/>
    <w:rsid w:val="00B26064"/>
    <w:rsid w:val="00B27FA7"/>
    <w:rsid w:val="00B31A71"/>
    <w:rsid w:val="00B45D4E"/>
    <w:rsid w:val="00B566A2"/>
    <w:rsid w:val="00B57A45"/>
    <w:rsid w:val="00B6121A"/>
    <w:rsid w:val="00B61BB0"/>
    <w:rsid w:val="00B64481"/>
    <w:rsid w:val="00B654A0"/>
    <w:rsid w:val="00B66C81"/>
    <w:rsid w:val="00B81505"/>
    <w:rsid w:val="00B818D6"/>
    <w:rsid w:val="00B81FD5"/>
    <w:rsid w:val="00B93112"/>
    <w:rsid w:val="00BA156A"/>
    <w:rsid w:val="00BA1712"/>
    <w:rsid w:val="00BA41AD"/>
    <w:rsid w:val="00BB084F"/>
    <w:rsid w:val="00BC4A76"/>
    <w:rsid w:val="00BC660A"/>
    <w:rsid w:val="00BC7DAA"/>
    <w:rsid w:val="00BD0CE7"/>
    <w:rsid w:val="00BD1E2F"/>
    <w:rsid w:val="00BD4B75"/>
    <w:rsid w:val="00BE0D4A"/>
    <w:rsid w:val="00BE2FEE"/>
    <w:rsid w:val="00BE3647"/>
    <w:rsid w:val="00BE3FA3"/>
    <w:rsid w:val="00BE4415"/>
    <w:rsid w:val="00BE59E2"/>
    <w:rsid w:val="00BF0B07"/>
    <w:rsid w:val="00BF2F67"/>
    <w:rsid w:val="00BF345A"/>
    <w:rsid w:val="00BF36EF"/>
    <w:rsid w:val="00BF7B7B"/>
    <w:rsid w:val="00C044A2"/>
    <w:rsid w:val="00C04980"/>
    <w:rsid w:val="00C07EF8"/>
    <w:rsid w:val="00C15816"/>
    <w:rsid w:val="00C22529"/>
    <w:rsid w:val="00C3696A"/>
    <w:rsid w:val="00C436A3"/>
    <w:rsid w:val="00C44E96"/>
    <w:rsid w:val="00C47F5A"/>
    <w:rsid w:val="00C517B4"/>
    <w:rsid w:val="00C52C8B"/>
    <w:rsid w:val="00C634D2"/>
    <w:rsid w:val="00C755EB"/>
    <w:rsid w:val="00C760FD"/>
    <w:rsid w:val="00C87513"/>
    <w:rsid w:val="00C87F72"/>
    <w:rsid w:val="00C91600"/>
    <w:rsid w:val="00CB2757"/>
    <w:rsid w:val="00CB2A5B"/>
    <w:rsid w:val="00CC534D"/>
    <w:rsid w:val="00CD4AA0"/>
    <w:rsid w:val="00CD6AE6"/>
    <w:rsid w:val="00CD768B"/>
    <w:rsid w:val="00CF3E61"/>
    <w:rsid w:val="00D00190"/>
    <w:rsid w:val="00D02059"/>
    <w:rsid w:val="00D0736B"/>
    <w:rsid w:val="00D1303D"/>
    <w:rsid w:val="00D15957"/>
    <w:rsid w:val="00D30133"/>
    <w:rsid w:val="00D33B31"/>
    <w:rsid w:val="00D35678"/>
    <w:rsid w:val="00D40476"/>
    <w:rsid w:val="00D412E1"/>
    <w:rsid w:val="00D56897"/>
    <w:rsid w:val="00D601FF"/>
    <w:rsid w:val="00D60FB0"/>
    <w:rsid w:val="00D636EB"/>
    <w:rsid w:val="00D63D29"/>
    <w:rsid w:val="00D74B5D"/>
    <w:rsid w:val="00D76574"/>
    <w:rsid w:val="00D76E60"/>
    <w:rsid w:val="00D80CF8"/>
    <w:rsid w:val="00D87532"/>
    <w:rsid w:val="00D93CA3"/>
    <w:rsid w:val="00D95B6E"/>
    <w:rsid w:val="00DA23F0"/>
    <w:rsid w:val="00DA2DCD"/>
    <w:rsid w:val="00DB1161"/>
    <w:rsid w:val="00DB29C0"/>
    <w:rsid w:val="00DB383E"/>
    <w:rsid w:val="00DC5CBD"/>
    <w:rsid w:val="00DC7234"/>
    <w:rsid w:val="00DD2544"/>
    <w:rsid w:val="00DD7C5A"/>
    <w:rsid w:val="00DE7440"/>
    <w:rsid w:val="00DF2A03"/>
    <w:rsid w:val="00DF2BF5"/>
    <w:rsid w:val="00E00C2A"/>
    <w:rsid w:val="00E022C6"/>
    <w:rsid w:val="00E02DF9"/>
    <w:rsid w:val="00E11FEB"/>
    <w:rsid w:val="00E12245"/>
    <w:rsid w:val="00E20799"/>
    <w:rsid w:val="00E20861"/>
    <w:rsid w:val="00E21A40"/>
    <w:rsid w:val="00E21C47"/>
    <w:rsid w:val="00E23E18"/>
    <w:rsid w:val="00E26069"/>
    <w:rsid w:val="00E27D75"/>
    <w:rsid w:val="00E31452"/>
    <w:rsid w:val="00E31F3D"/>
    <w:rsid w:val="00E34D4B"/>
    <w:rsid w:val="00E35F2D"/>
    <w:rsid w:val="00E37344"/>
    <w:rsid w:val="00E40D4D"/>
    <w:rsid w:val="00E43CA5"/>
    <w:rsid w:val="00E43FED"/>
    <w:rsid w:val="00E47649"/>
    <w:rsid w:val="00E5264F"/>
    <w:rsid w:val="00E617EF"/>
    <w:rsid w:val="00E67D00"/>
    <w:rsid w:val="00E72C36"/>
    <w:rsid w:val="00E8279A"/>
    <w:rsid w:val="00E83548"/>
    <w:rsid w:val="00E93CFA"/>
    <w:rsid w:val="00EA0F17"/>
    <w:rsid w:val="00EB76C3"/>
    <w:rsid w:val="00EC20E6"/>
    <w:rsid w:val="00EC4F8D"/>
    <w:rsid w:val="00EC572F"/>
    <w:rsid w:val="00ED17C0"/>
    <w:rsid w:val="00ED386D"/>
    <w:rsid w:val="00ED3DE8"/>
    <w:rsid w:val="00EE1FAA"/>
    <w:rsid w:val="00EE4D09"/>
    <w:rsid w:val="00EF0466"/>
    <w:rsid w:val="00EF163A"/>
    <w:rsid w:val="00EF1699"/>
    <w:rsid w:val="00EF3AD6"/>
    <w:rsid w:val="00EF4CB8"/>
    <w:rsid w:val="00EF4E37"/>
    <w:rsid w:val="00F23072"/>
    <w:rsid w:val="00F35039"/>
    <w:rsid w:val="00F40725"/>
    <w:rsid w:val="00F41C23"/>
    <w:rsid w:val="00F46DC5"/>
    <w:rsid w:val="00F503DC"/>
    <w:rsid w:val="00F514D9"/>
    <w:rsid w:val="00F55100"/>
    <w:rsid w:val="00F6040B"/>
    <w:rsid w:val="00F63C60"/>
    <w:rsid w:val="00F6489F"/>
    <w:rsid w:val="00F8371F"/>
    <w:rsid w:val="00F83B61"/>
    <w:rsid w:val="00F86535"/>
    <w:rsid w:val="00F90FDB"/>
    <w:rsid w:val="00FB03B0"/>
    <w:rsid w:val="00FB09BB"/>
    <w:rsid w:val="00FB4A09"/>
    <w:rsid w:val="00FB54DD"/>
    <w:rsid w:val="00FB6794"/>
    <w:rsid w:val="00FB7288"/>
    <w:rsid w:val="00FB72D9"/>
    <w:rsid w:val="00FC737E"/>
    <w:rsid w:val="00FC7DBD"/>
    <w:rsid w:val="00FD0B7C"/>
    <w:rsid w:val="00FD201F"/>
    <w:rsid w:val="00FE231B"/>
    <w:rsid w:val="00FE49A7"/>
    <w:rsid w:val="00FF627F"/>
    <w:rsid w:val="00FF75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60D2A"/>
  <w15:chartTrackingRefBased/>
  <w15:docId w15:val="{6FC5D7F3-5453-4F6A-89E8-2F300BB97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2078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2078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2078BF"/>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2078BF"/>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2078BF"/>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2078BF"/>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2078BF"/>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2078BF"/>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078BF"/>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078BF"/>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2078BF"/>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2078BF"/>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2078BF"/>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2078BF"/>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2078B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078B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078BF"/>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078BF"/>
    <w:rPr>
      <w:rFonts w:eastAsiaTheme="majorEastAsia" w:cstheme="majorBidi"/>
      <w:color w:val="272727" w:themeColor="text1" w:themeTint="D8"/>
    </w:rPr>
  </w:style>
  <w:style w:type="paragraph" w:styleId="Titre">
    <w:name w:val="Title"/>
    <w:basedOn w:val="Normal"/>
    <w:next w:val="Normal"/>
    <w:link w:val="TitreCar"/>
    <w:uiPriority w:val="10"/>
    <w:qFormat/>
    <w:rsid w:val="002078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078B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2078BF"/>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078B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078BF"/>
    <w:pPr>
      <w:spacing w:before="160"/>
      <w:jc w:val="center"/>
    </w:pPr>
    <w:rPr>
      <w:i/>
      <w:iCs/>
      <w:color w:val="404040" w:themeColor="text1" w:themeTint="BF"/>
    </w:rPr>
  </w:style>
  <w:style w:type="character" w:customStyle="1" w:styleId="CitationCar">
    <w:name w:val="Citation Car"/>
    <w:basedOn w:val="Policepardfaut"/>
    <w:link w:val="Citation"/>
    <w:uiPriority w:val="29"/>
    <w:rsid w:val="002078BF"/>
    <w:rPr>
      <w:i/>
      <w:iCs/>
      <w:color w:val="404040" w:themeColor="text1" w:themeTint="BF"/>
    </w:rPr>
  </w:style>
  <w:style w:type="paragraph" w:styleId="Paragraphedeliste">
    <w:name w:val="List Paragraph"/>
    <w:basedOn w:val="Normal"/>
    <w:uiPriority w:val="34"/>
    <w:qFormat/>
    <w:rsid w:val="002078BF"/>
    <w:pPr>
      <w:ind w:left="720"/>
      <w:contextualSpacing/>
    </w:pPr>
  </w:style>
  <w:style w:type="character" w:styleId="Accentuationintense">
    <w:name w:val="Intense Emphasis"/>
    <w:basedOn w:val="Policepardfaut"/>
    <w:uiPriority w:val="21"/>
    <w:qFormat/>
    <w:rsid w:val="002078BF"/>
    <w:rPr>
      <w:i/>
      <w:iCs/>
      <w:color w:val="2F5496" w:themeColor="accent1" w:themeShade="BF"/>
    </w:rPr>
  </w:style>
  <w:style w:type="paragraph" w:styleId="Citationintense">
    <w:name w:val="Intense Quote"/>
    <w:basedOn w:val="Normal"/>
    <w:next w:val="Normal"/>
    <w:link w:val="CitationintenseCar"/>
    <w:uiPriority w:val="30"/>
    <w:qFormat/>
    <w:rsid w:val="002078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2078BF"/>
    <w:rPr>
      <w:i/>
      <w:iCs/>
      <w:color w:val="2F5496" w:themeColor="accent1" w:themeShade="BF"/>
    </w:rPr>
  </w:style>
  <w:style w:type="character" w:styleId="Rfrenceintense">
    <w:name w:val="Intense Reference"/>
    <w:basedOn w:val="Policepardfaut"/>
    <w:uiPriority w:val="32"/>
    <w:qFormat/>
    <w:rsid w:val="002078BF"/>
    <w:rPr>
      <w:b/>
      <w:bCs/>
      <w:smallCaps/>
      <w:color w:val="2F5496" w:themeColor="accent1" w:themeShade="BF"/>
      <w:spacing w:val="5"/>
    </w:rPr>
  </w:style>
  <w:style w:type="paragraph" w:customStyle="1" w:styleId="Default">
    <w:name w:val="Default"/>
    <w:rsid w:val="00AB5F2B"/>
    <w:pPr>
      <w:autoSpaceDE w:val="0"/>
      <w:autoSpaceDN w:val="0"/>
      <w:adjustRightInd w:val="0"/>
      <w:spacing w:after="0" w:line="240" w:lineRule="auto"/>
    </w:pPr>
    <w:rPr>
      <w:rFonts w:ascii="Arial" w:hAnsi="Arial" w:cs="Arial"/>
      <w:color w:val="000000"/>
      <w:kern w:val="0"/>
      <w:sz w:val="24"/>
      <w:szCs w:val="24"/>
      <w14:ligatures w14:val="none"/>
    </w:rPr>
  </w:style>
  <w:style w:type="character" w:styleId="Accentuation">
    <w:name w:val="Emphasis"/>
    <w:basedOn w:val="Policepardfaut"/>
    <w:uiPriority w:val="20"/>
    <w:qFormat/>
    <w:rsid w:val="00AB5F2B"/>
    <w:rPr>
      <w:i/>
      <w:iCs/>
    </w:rPr>
  </w:style>
  <w:style w:type="paragraph" w:styleId="En-tte">
    <w:name w:val="header"/>
    <w:basedOn w:val="Normal"/>
    <w:link w:val="En-tteCar"/>
    <w:uiPriority w:val="99"/>
    <w:unhideWhenUsed/>
    <w:rsid w:val="00AE765E"/>
    <w:pPr>
      <w:tabs>
        <w:tab w:val="center" w:pos="4680"/>
        <w:tab w:val="right" w:pos="9360"/>
      </w:tabs>
      <w:spacing w:after="0" w:line="240" w:lineRule="auto"/>
    </w:pPr>
  </w:style>
  <w:style w:type="character" w:customStyle="1" w:styleId="En-tteCar">
    <w:name w:val="En-tête Car"/>
    <w:basedOn w:val="Policepardfaut"/>
    <w:link w:val="En-tte"/>
    <w:uiPriority w:val="99"/>
    <w:rsid w:val="00AE765E"/>
  </w:style>
  <w:style w:type="paragraph" w:styleId="Pieddepage">
    <w:name w:val="footer"/>
    <w:basedOn w:val="Normal"/>
    <w:link w:val="PieddepageCar"/>
    <w:uiPriority w:val="99"/>
    <w:unhideWhenUsed/>
    <w:rsid w:val="00AE765E"/>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AE765E"/>
  </w:style>
  <w:style w:type="paragraph" w:styleId="Notedebasdepage">
    <w:name w:val="footnote text"/>
    <w:aliases w:val="FOOTNOTES,fn,single space,Footnote Text Char1 Char,Footnote Text Char Char Char1,Footnote Text Char1 Char Char Char1,Footnote Text Char1 Char1 Char,Footnote Text Char Char Char Char,Footnote Text1,Footnote,Geneva 9"/>
    <w:basedOn w:val="Normal"/>
    <w:link w:val="NotedebasdepageCar"/>
    <w:unhideWhenUsed/>
    <w:qFormat/>
    <w:rsid w:val="0024027C"/>
    <w:pPr>
      <w:spacing w:after="0" w:line="240" w:lineRule="auto"/>
    </w:pPr>
    <w:rPr>
      <w:kern w:val="0"/>
      <w:sz w:val="20"/>
      <w:szCs w:val="20"/>
      <w14:ligatures w14:val="none"/>
    </w:rPr>
  </w:style>
  <w:style w:type="character" w:customStyle="1" w:styleId="FootnoteTextChar">
    <w:name w:val="Footnote Text Char"/>
    <w:basedOn w:val="Policepardfaut"/>
    <w:uiPriority w:val="99"/>
    <w:semiHidden/>
    <w:rsid w:val="0024027C"/>
    <w:rPr>
      <w:sz w:val="20"/>
      <w:szCs w:val="20"/>
    </w:rPr>
  </w:style>
  <w:style w:type="character" w:customStyle="1" w:styleId="NotedebasdepageCar">
    <w:name w:val="Note de bas de page Car"/>
    <w:aliases w:val="FOOTNOTES Car,fn Car,single space Car,Footnote Text Char1 Char Car,Footnote Text Char Char Char1 Car,Footnote Text Char1 Char Char Char1 Car,Footnote Text Char1 Char1 Char Car,Footnote Text Char Char Char Char Car,Footnote Car"/>
    <w:basedOn w:val="Policepardfaut"/>
    <w:link w:val="Notedebasdepage"/>
    <w:rsid w:val="0024027C"/>
    <w:rPr>
      <w:kern w:val="0"/>
      <w:sz w:val="20"/>
      <w:szCs w:val="20"/>
      <w14:ligatures w14:val="none"/>
    </w:rPr>
  </w:style>
  <w:style w:type="character" w:styleId="Appelnotedebasdep">
    <w:name w:val="footnote reference"/>
    <w:basedOn w:val="Policepardfaut"/>
    <w:uiPriority w:val="99"/>
    <w:semiHidden/>
    <w:unhideWhenUsed/>
    <w:rsid w:val="002402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2025-02-14T08:21:44+00:00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3D2734-D2BE-49DE-8CDA-6C038BEE2943}"/>
</file>

<file path=customXml/itemProps2.xml><?xml version="1.0" encoding="utf-8"?>
<ds:datastoreItem xmlns:ds="http://schemas.openxmlformats.org/officeDocument/2006/customXml" ds:itemID="{28F51CC3-051B-4EE4-8883-3A19C29F82F4}"/>
</file>

<file path=customXml/itemProps3.xml><?xml version="1.0" encoding="utf-8"?>
<ds:datastoreItem xmlns:ds="http://schemas.openxmlformats.org/officeDocument/2006/customXml" ds:itemID="{3D5FA39C-5677-4232-BB2F-756FF0948DCC}"/>
</file>

<file path=docProps/app.xml><?xml version="1.0" encoding="utf-8"?>
<Properties xmlns="http://schemas.openxmlformats.org/officeDocument/2006/extended-properties" xmlns:vt="http://schemas.openxmlformats.org/officeDocument/2006/docPropsVTypes">
  <Template>Normal</Template>
  <TotalTime>1</TotalTime>
  <Pages>8</Pages>
  <Words>1243</Words>
  <Characters>6842</Characters>
  <Application>Microsoft Office Word</Application>
  <DocSecurity>0</DocSecurity>
  <Lines>57</Lines>
  <Paragraphs>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alex Ondongo</cp:lastModifiedBy>
  <cp:revision>2</cp:revision>
  <cp:lastPrinted>2025-02-09T15:48:00Z</cp:lastPrinted>
  <dcterms:created xsi:type="dcterms:W3CDTF">2025-02-13T22:59:00Z</dcterms:created>
  <dcterms:modified xsi:type="dcterms:W3CDTF">2025-02-13T22:59:00Z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3a108f-898d-4589-9ebc-7ee3b46df9b8_Enabled">
    <vt:lpwstr>true</vt:lpwstr>
  </property>
  <property fmtid="{D5CDD505-2E9C-101B-9397-08002B2CF9AE}" pid="3" name="MSIP_Label_2a3a108f-898d-4589-9ebc-7ee3b46df9b8_SetDate">
    <vt:lpwstr>2025-02-10T10:29:06Z</vt:lpwstr>
  </property>
  <property fmtid="{D5CDD505-2E9C-101B-9397-08002B2CF9AE}" pid="4" name="MSIP_Label_2a3a108f-898d-4589-9ebc-7ee3b46df9b8_Method">
    <vt:lpwstr>Standard</vt:lpwstr>
  </property>
  <property fmtid="{D5CDD505-2E9C-101B-9397-08002B2CF9AE}" pid="5" name="MSIP_Label_2a3a108f-898d-4589-9ebc-7ee3b46df9b8_Name">
    <vt:lpwstr>Official use only</vt:lpwstr>
  </property>
  <property fmtid="{D5CDD505-2E9C-101B-9397-08002B2CF9AE}" pid="6" name="MSIP_Label_2a3a108f-898d-4589-9ebc-7ee3b46df9b8_SiteId">
    <vt:lpwstr>462ad9ae-d7d9-4206-b874-71b1e079776f</vt:lpwstr>
  </property>
  <property fmtid="{D5CDD505-2E9C-101B-9397-08002B2CF9AE}" pid="7" name="MSIP_Label_2a3a108f-898d-4589-9ebc-7ee3b46df9b8_ActionId">
    <vt:lpwstr>e9015527-e833-4142-b38d-7a3ec3973a74</vt:lpwstr>
  </property>
  <property fmtid="{D5CDD505-2E9C-101B-9397-08002B2CF9AE}" pid="8" name="MSIP_Label_2a3a108f-898d-4589-9ebc-7ee3b46df9b8_ContentBits">
    <vt:lpwstr>0</vt:lpwstr>
  </property>
  <property fmtid="{D5CDD505-2E9C-101B-9397-08002B2CF9AE}" pid="9" name="ContentTypeId">
    <vt:lpwstr>0x010100A3CFA62B47352B44BFD11BEB9CD9FD5A</vt:lpwstr>
  </property>
</Properties>
</file>