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B2B" w:rsidRDefault="00D42B2B" w:rsidP="00D42B2B">
      <w:pPr>
        <w:autoSpaceDE w:val="0"/>
        <w:autoSpaceDN w:val="0"/>
        <w:adjustRightInd w:val="0"/>
        <w:spacing w:after="0" w:line="240" w:lineRule="auto"/>
        <w:jc w:val="center"/>
        <w:rPr>
          <w:rFonts w:asciiTheme="minorBidi" w:hAnsiTheme="minorBidi"/>
          <w:b/>
          <w:bCs/>
          <w:sz w:val="16"/>
          <w:szCs w:val="16"/>
          <w:lang w:eastAsia="fr-FR"/>
        </w:rPr>
      </w:pPr>
      <w:bookmarkStart w:id="0" w:name="_GoBack"/>
      <w:bookmarkEnd w:id="0"/>
      <w:r>
        <w:rPr>
          <w:noProof/>
          <w:lang w:val="en-GB" w:eastAsia="en-GB"/>
        </w:rPr>
        <w:drawing>
          <wp:anchor distT="0" distB="0" distL="114300" distR="114300" simplePos="0" relativeHeight="251655168" behindDoc="1" locked="0" layoutInCell="1" allowOverlap="1">
            <wp:simplePos x="0" y="0"/>
            <wp:positionH relativeFrom="column">
              <wp:posOffset>-247650</wp:posOffset>
            </wp:positionH>
            <wp:positionV relativeFrom="paragraph">
              <wp:posOffset>0</wp:posOffset>
            </wp:positionV>
            <wp:extent cx="1419225" cy="1438910"/>
            <wp:effectExtent l="19050" t="0" r="9525" b="0"/>
            <wp:wrapTight wrapText="bothSides">
              <wp:wrapPolygon edited="0">
                <wp:start x="-290" y="0"/>
                <wp:lineTo x="-290" y="21447"/>
                <wp:lineTo x="21745" y="21447"/>
                <wp:lineTo x="21745" y="18302"/>
                <wp:lineTo x="20295" y="13726"/>
                <wp:lineTo x="20295" y="9151"/>
                <wp:lineTo x="21745" y="6291"/>
                <wp:lineTo x="20295" y="4575"/>
                <wp:lineTo x="21745" y="4289"/>
                <wp:lineTo x="21745" y="1430"/>
                <wp:lineTo x="20295" y="0"/>
                <wp:lineTo x="-290" y="0"/>
              </wp:wrapPolygon>
            </wp:wrapTight>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5"/>
                    <a:srcRect/>
                    <a:stretch>
                      <a:fillRect/>
                    </a:stretch>
                  </pic:blipFill>
                  <pic:spPr bwMode="auto">
                    <a:xfrm>
                      <a:off x="0" y="0"/>
                      <a:ext cx="1419225" cy="1438910"/>
                    </a:xfrm>
                    <a:prstGeom prst="rect">
                      <a:avLst/>
                    </a:prstGeom>
                    <a:noFill/>
                  </pic:spPr>
                </pic:pic>
              </a:graphicData>
            </a:graphic>
          </wp:anchor>
        </w:drawing>
      </w:r>
      <w:r w:rsidR="00D85CA8">
        <w:rPr>
          <w:noProof/>
          <w:lang w:val="en-GB" w:eastAsia="en-GB"/>
        </w:rPr>
        <mc:AlternateContent>
          <mc:Choice Requires="wps">
            <w:drawing>
              <wp:anchor distT="0" distB="0" distL="114300" distR="114300" simplePos="0" relativeHeight="251657216" behindDoc="0" locked="0" layoutInCell="1" allowOverlap="1">
                <wp:simplePos x="0" y="0"/>
                <wp:positionH relativeFrom="column">
                  <wp:posOffset>91440</wp:posOffset>
                </wp:positionH>
                <wp:positionV relativeFrom="paragraph">
                  <wp:posOffset>9826625</wp:posOffset>
                </wp:positionV>
                <wp:extent cx="1914525" cy="1639570"/>
                <wp:effectExtent l="19050" t="19050" r="12065" b="2794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1639570"/>
                        </a:xfrm>
                        <a:prstGeom prst="rect">
                          <a:avLst/>
                        </a:prstGeom>
                        <a:solidFill>
                          <a:srgbClr val="FFFFFF"/>
                        </a:solidFill>
                        <a:ln w="31750" algn="in">
                          <a:solidFill>
                            <a:srgbClr val="60B5CC"/>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42B2B" w:rsidRDefault="00D42B2B" w:rsidP="00D42B2B">
                            <w:pPr>
                              <w:widowControl w:val="0"/>
                              <w:spacing w:after="0"/>
                              <w:rPr>
                                <w:b/>
                                <w:bCs/>
                              </w:rPr>
                            </w:pPr>
                            <w:r>
                              <w:rPr>
                                <w:b/>
                                <w:bCs/>
                              </w:rPr>
                              <w:t>Informations générales </w:t>
                            </w:r>
                          </w:p>
                          <w:p w:rsidR="00D42B2B" w:rsidRDefault="00D42B2B" w:rsidP="00D42B2B">
                            <w:pPr>
                              <w:widowControl w:val="0"/>
                              <w:spacing w:after="0"/>
                              <w:rPr>
                                <w:b/>
                                <w:bCs/>
                              </w:rPr>
                            </w:pPr>
                            <w:r>
                              <w:rPr>
                                <w:b/>
                                <w:bCs/>
                              </w:rPr>
                              <w:t>Montant € : 2.520.000</w:t>
                            </w:r>
                          </w:p>
                          <w:p w:rsidR="00D42B2B" w:rsidRDefault="00D42B2B" w:rsidP="00D42B2B">
                            <w:pPr>
                              <w:widowControl w:val="0"/>
                              <w:spacing w:after="0"/>
                              <w:rPr>
                                <w:b/>
                                <w:bCs/>
                              </w:rPr>
                            </w:pPr>
                            <w:r>
                              <w:rPr>
                                <w:b/>
                                <w:bCs/>
                              </w:rPr>
                              <w:t>Maitre (s) d’oeuvre : Ministére de l’Environnement et du Développêment Durable</w:t>
                            </w:r>
                          </w:p>
                          <w:p w:rsidR="00D42B2B" w:rsidRDefault="00D42B2B" w:rsidP="00D42B2B">
                            <w:pPr>
                              <w:widowControl w:val="0"/>
                              <w:spacing w:after="0"/>
                              <w:rPr>
                                <w:b/>
                                <w:bCs/>
                              </w:rPr>
                            </w:pPr>
                            <w:r>
                              <w:rPr>
                                <w:b/>
                                <w:bCs/>
                              </w:rPr>
                              <w:t>Date début : Juin 2014 – Date fin de mise en œuvre opérationnalle : Mai 2018</w:t>
                            </w:r>
                          </w:p>
                          <w:p w:rsidR="00D42B2B" w:rsidRDefault="00D42B2B" w:rsidP="00D42B2B">
                            <w:pPr>
                              <w:widowControl w:val="0"/>
                              <w:spacing w:after="0"/>
                              <w:rPr>
                                <w:b/>
                                <w:bCs/>
                              </w:rPr>
                            </w:pPr>
                            <w:r>
                              <w:rPr>
                                <w:b/>
                                <w:bCs/>
                              </w:rPr>
                              <w:t>Mode(s) de gestion et acteurs de mise en œuvre : Convention de contribution</w:t>
                            </w:r>
                          </w:p>
                          <w:p w:rsidR="00D42B2B" w:rsidRDefault="00D42B2B" w:rsidP="00D42B2B">
                            <w:pPr>
                              <w:widowControl w:val="0"/>
                              <w:spacing w:after="0"/>
                              <w:rPr>
                                <w:b/>
                                <w:bCs/>
                              </w:rPr>
                            </w:pPr>
                            <w:r>
                              <w:rPr>
                                <w:b/>
                                <w:bCs/>
                              </w:rPr>
                              <w:t>Objecif global : Accroitre la résilience des populations vulnérables aux effets des changements climatiques dans les zones ciblées dans une perspective de renforcer leur sécurité alimentaire.</w:t>
                            </w:r>
                          </w:p>
                          <w:p w:rsidR="00D42B2B" w:rsidRDefault="00D42B2B" w:rsidP="00D42B2B">
                            <w:pPr>
                              <w:widowControl w:val="0"/>
                              <w:spacing w:after="0"/>
                              <w:rPr>
                                <w:b/>
                                <w:bCs/>
                              </w:rPr>
                            </w:pPr>
                            <w:r>
                              <w:rPr>
                                <w:b/>
                                <w:bCs/>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7.2pt;margin-top:773.75pt;width:150.75pt;height:129.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" strokecolor="#60b5cc" strokeweight="2.5pt" insetpen="t">
                <v:shadow color="#868686"/>
                <v:textbox>
                  <w:txbxContent>
                    <w:p w:rsidR="00D42B2B" w:rsidRDefault="00D42B2B" w:rsidP="00D42B2B">
                      <w:pPr>
                        <w:widowControl w:val="0"/>
                        <w:spacing w:after="0"/>
                        <w:rPr>
                          <w:b/>
                          <w:bCs/>
                        </w:rPr>
                      </w:pPr>
                      <w:r>
                        <w:rPr>
                          <w:b/>
                          <w:bCs/>
                        </w:rPr>
                        <w:t>Informations générales </w:t>
                      </w:r>
                    </w:p>
                    <w:p w:rsidR="00D42B2B" w:rsidRDefault="00D42B2B" w:rsidP="00D42B2B">
                      <w:pPr>
                        <w:widowControl w:val="0"/>
                        <w:spacing w:after="0"/>
                        <w:rPr>
                          <w:b/>
                          <w:bCs/>
                        </w:rPr>
                      </w:pPr>
                      <w:r>
                        <w:rPr>
                          <w:b/>
                          <w:bCs/>
                        </w:rPr>
                        <w:t>Montant € : 2.520.000</w:t>
                      </w:r>
                    </w:p>
                    <w:p w:rsidR="00D42B2B" w:rsidRDefault="00D42B2B" w:rsidP="00D42B2B">
                      <w:pPr>
                        <w:widowControl w:val="0"/>
                        <w:spacing w:after="0"/>
                        <w:rPr>
                          <w:b/>
                          <w:bCs/>
                        </w:rPr>
                      </w:pPr>
                      <w:r>
                        <w:rPr>
                          <w:b/>
                          <w:bCs/>
                        </w:rPr>
                        <w:t>Maitre (s) d’oeuvre : Ministére de l’Environnement et du Développêment Durable</w:t>
                      </w:r>
                    </w:p>
                    <w:p w:rsidR="00D42B2B" w:rsidRDefault="00D42B2B" w:rsidP="00D42B2B">
                      <w:pPr>
                        <w:widowControl w:val="0"/>
                        <w:spacing w:after="0"/>
                        <w:rPr>
                          <w:b/>
                          <w:bCs/>
                        </w:rPr>
                      </w:pPr>
                      <w:r>
                        <w:rPr>
                          <w:b/>
                          <w:bCs/>
                        </w:rPr>
                        <w:t>Date début : Juin 2014 – Date fin de mise en œuvre opérationnalle : Mai 2018</w:t>
                      </w:r>
                    </w:p>
                    <w:p w:rsidR="00D42B2B" w:rsidRDefault="00D42B2B" w:rsidP="00D42B2B">
                      <w:pPr>
                        <w:widowControl w:val="0"/>
                        <w:spacing w:after="0"/>
                        <w:rPr>
                          <w:b/>
                          <w:bCs/>
                        </w:rPr>
                      </w:pPr>
                      <w:r>
                        <w:rPr>
                          <w:b/>
                          <w:bCs/>
                        </w:rPr>
                        <w:t>Mode(s) de gestion et acteurs de mise en œuvre : Convention de contribution</w:t>
                      </w:r>
                    </w:p>
                    <w:p w:rsidR="00D42B2B" w:rsidRDefault="00D42B2B" w:rsidP="00D42B2B">
                      <w:pPr>
                        <w:widowControl w:val="0"/>
                        <w:spacing w:after="0"/>
                        <w:rPr>
                          <w:b/>
                          <w:bCs/>
                        </w:rPr>
                      </w:pPr>
                      <w:r>
                        <w:rPr>
                          <w:b/>
                          <w:bCs/>
                        </w:rPr>
                        <w:t>Objecif global : Accroitre la résilience des populations vulnérables aux effets des changements climatiques dans les zones ciblées dans une perspective de renforcer leur sécurité alimentaire.</w:t>
                      </w:r>
                    </w:p>
                    <w:p w:rsidR="00D42B2B" w:rsidRDefault="00D42B2B" w:rsidP="00D42B2B">
                      <w:pPr>
                        <w:widowControl w:val="0"/>
                        <w:spacing w:after="0"/>
                        <w:rPr>
                          <w:b/>
                          <w:bCs/>
                        </w:rPr>
                      </w:pPr>
                      <w:r>
                        <w:rPr>
                          <w:b/>
                          <w:bCs/>
                        </w:rPr>
                        <w:t> </w:t>
                      </w:r>
                    </w:p>
                  </w:txbxContent>
                </v:textbox>
              </v:shape>
            </w:pict>
          </mc:Fallback>
        </mc:AlternateContent>
      </w:r>
      <w:r w:rsidR="00D85CA8">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91440</wp:posOffset>
                </wp:positionH>
                <wp:positionV relativeFrom="paragraph">
                  <wp:posOffset>9826625</wp:posOffset>
                </wp:positionV>
                <wp:extent cx="1914525" cy="1639570"/>
                <wp:effectExtent l="19050" t="19050" r="12065" b="2794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1639570"/>
                        </a:xfrm>
                        <a:prstGeom prst="rect">
                          <a:avLst/>
                        </a:prstGeom>
                        <a:solidFill>
                          <a:srgbClr val="FFFFFF"/>
                        </a:solidFill>
                        <a:ln w="31750" algn="in">
                          <a:solidFill>
                            <a:srgbClr val="60B5CC"/>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42B2B" w:rsidRDefault="00D42B2B" w:rsidP="00D42B2B">
                            <w:pPr>
                              <w:widowControl w:val="0"/>
                              <w:spacing w:after="0"/>
                              <w:rPr>
                                <w:b/>
                                <w:bCs/>
                              </w:rPr>
                            </w:pPr>
                            <w:r>
                              <w:rPr>
                                <w:b/>
                                <w:bCs/>
                              </w:rPr>
                              <w:t>Informations générales </w:t>
                            </w:r>
                          </w:p>
                          <w:p w:rsidR="00D42B2B" w:rsidRDefault="00D42B2B" w:rsidP="00D42B2B">
                            <w:pPr>
                              <w:widowControl w:val="0"/>
                              <w:spacing w:after="0"/>
                              <w:rPr>
                                <w:b/>
                                <w:bCs/>
                              </w:rPr>
                            </w:pPr>
                            <w:r>
                              <w:rPr>
                                <w:b/>
                                <w:bCs/>
                              </w:rPr>
                              <w:t>Montant € : 2.520.000</w:t>
                            </w:r>
                          </w:p>
                          <w:p w:rsidR="00D42B2B" w:rsidRDefault="00D42B2B" w:rsidP="00D42B2B">
                            <w:pPr>
                              <w:widowControl w:val="0"/>
                              <w:spacing w:after="0"/>
                              <w:rPr>
                                <w:b/>
                                <w:bCs/>
                              </w:rPr>
                            </w:pPr>
                            <w:r>
                              <w:rPr>
                                <w:b/>
                                <w:bCs/>
                              </w:rPr>
                              <w:t>Maitre (s) d’oeuvre : Ministére de l’Environnement et du Développêment Durable</w:t>
                            </w:r>
                          </w:p>
                          <w:p w:rsidR="00D42B2B" w:rsidRDefault="00D42B2B" w:rsidP="00D42B2B">
                            <w:pPr>
                              <w:widowControl w:val="0"/>
                              <w:spacing w:after="0"/>
                              <w:rPr>
                                <w:b/>
                                <w:bCs/>
                              </w:rPr>
                            </w:pPr>
                            <w:r>
                              <w:rPr>
                                <w:b/>
                                <w:bCs/>
                              </w:rPr>
                              <w:t>Date début : Juin 2014 – Date fin de mise en œuvre opérationnalle : Mai 2018</w:t>
                            </w:r>
                          </w:p>
                          <w:p w:rsidR="00D42B2B" w:rsidRDefault="00D42B2B" w:rsidP="00D42B2B">
                            <w:pPr>
                              <w:widowControl w:val="0"/>
                              <w:spacing w:after="0"/>
                              <w:rPr>
                                <w:b/>
                                <w:bCs/>
                              </w:rPr>
                            </w:pPr>
                            <w:r>
                              <w:rPr>
                                <w:b/>
                                <w:bCs/>
                              </w:rPr>
                              <w:t>Mode(s) de gestion et acteurs de mise en œuvre : Convention de contribution</w:t>
                            </w:r>
                          </w:p>
                          <w:p w:rsidR="00D42B2B" w:rsidRDefault="00D42B2B" w:rsidP="00D42B2B">
                            <w:pPr>
                              <w:widowControl w:val="0"/>
                              <w:spacing w:after="0"/>
                              <w:rPr>
                                <w:b/>
                                <w:bCs/>
                              </w:rPr>
                            </w:pPr>
                            <w:r>
                              <w:rPr>
                                <w:b/>
                                <w:bCs/>
                              </w:rPr>
                              <w:t>Objecif global : Accroitre la résilience des populations vulnérables aux effets des changements climatiques dans les zones ciblées dans une perspective de renforcer leur sécurité alimentaire.</w:t>
                            </w:r>
                          </w:p>
                          <w:p w:rsidR="00D42B2B" w:rsidRDefault="00D42B2B" w:rsidP="00D42B2B">
                            <w:pPr>
                              <w:widowControl w:val="0"/>
                              <w:spacing w:after="0"/>
                              <w:rPr>
                                <w:b/>
                                <w:bCs/>
                              </w:rPr>
                            </w:pPr>
                            <w:r>
                              <w:rPr>
                                <w:b/>
                                <w:bCs/>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7.2pt;margin-top:773.75pt;width:150.75pt;height:12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" strokecolor="#60b5cc" strokeweight="2.5pt" insetpen="t">
                <v:shadow color="#868686"/>
                <v:textbox>
                  <w:txbxContent>
                    <w:p w:rsidR="00D42B2B" w:rsidRDefault="00D42B2B" w:rsidP="00D42B2B">
                      <w:pPr>
                        <w:widowControl w:val="0"/>
                        <w:spacing w:after="0"/>
                        <w:rPr>
                          <w:b/>
                          <w:bCs/>
                        </w:rPr>
                      </w:pPr>
                      <w:r>
                        <w:rPr>
                          <w:b/>
                          <w:bCs/>
                        </w:rPr>
                        <w:t>Informations générales </w:t>
                      </w:r>
                    </w:p>
                    <w:p w:rsidR="00D42B2B" w:rsidRDefault="00D42B2B" w:rsidP="00D42B2B">
                      <w:pPr>
                        <w:widowControl w:val="0"/>
                        <w:spacing w:after="0"/>
                        <w:rPr>
                          <w:b/>
                          <w:bCs/>
                        </w:rPr>
                      </w:pPr>
                      <w:r>
                        <w:rPr>
                          <w:b/>
                          <w:bCs/>
                        </w:rPr>
                        <w:t>Montant € : 2.520.000</w:t>
                      </w:r>
                    </w:p>
                    <w:p w:rsidR="00D42B2B" w:rsidRDefault="00D42B2B" w:rsidP="00D42B2B">
                      <w:pPr>
                        <w:widowControl w:val="0"/>
                        <w:spacing w:after="0"/>
                        <w:rPr>
                          <w:b/>
                          <w:bCs/>
                        </w:rPr>
                      </w:pPr>
                      <w:r>
                        <w:rPr>
                          <w:b/>
                          <w:bCs/>
                        </w:rPr>
                        <w:t>Maitre (s) d’oeuvre : Ministére de l’Environnement et du Développêment Durable</w:t>
                      </w:r>
                    </w:p>
                    <w:p w:rsidR="00D42B2B" w:rsidRDefault="00D42B2B" w:rsidP="00D42B2B">
                      <w:pPr>
                        <w:widowControl w:val="0"/>
                        <w:spacing w:after="0"/>
                        <w:rPr>
                          <w:b/>
                          <w:bCs/>
                        </w:rPr>
                      </w:pPr>
                      <w:r>
                        <w:rPr>
                          <w:b/>
                          <w:bCs/>
                        </w:rPr>
                        <w:t>Date début : Juin 2014 – Date fin de mise en œuvre opérationnalle : Mai 2018</w:t>
                      </w:r>
                    </w:p>
                    <w:p w:rsidR="00D42B2B" w:rsidRDefault="00D42B2B" w:rsidP="00D42B2B">
                      <w:pPr>
                        <w:widowControl w:val="0"/>
                        <w:spacing w:after="0"/>
                        <w:rPr>
                          <w:b/>
                          <w:bCs/>
                        </w:rPr>
                      </w:pPr>
                      <w:r>
                        <w:rPr>
                          <w:b/>
                          <w:bCs/>
                        </w:rPr>
                        <w:t>Mode(s) de gestion et acteurs de mise en œuvre : Convention de contribution</w:t>
                      </w:r>
                    </w:p>
                    <w:p w:rsidR="00D42B2B" w:rsidRDefault="00D42B2B" w:rsidP="00D42B2B">
                      <w:pPr>
                        <w:widowControl w:val="0"/>
                        <w:spacing w:after="0"/>
                        <w:rPr>
                          <w:b/>
                          <w:bCs/>
                        </w:rPr>
                      </w:pPr>
                      <w:r>
                        <w:rPr>
                          <w:b/>
                          <w:bCs/>
                        </w:rPr>
                        <w:t>Objecif global : Accroitre la résilience des populations vulnérables aux effets des changements climatiques dans les zones ciblées dans une perspective de renforcer leur sécurité alimentaire.</w:t>
                      </w:r>
                    </w:p>
                    <w:p w:rsidR="00D42B2B" w:rsidRDefault="00D42B2B" w:rsidP="00D42B2B">
                      <w:pPr>
                        <w:widowControl w:val="0"/>
                        <w:spacing w:after="0"/>
                        <w:rPr>
                          <w:b/>
                          <w:bCs/>
                        </w:rPr>
                      </w:pPr>
                      <w:r>
                        <w:rPr>
                          <w:b/>
                          <w:bCs/>
                        </w:rPr>
                        <w:t> </w:t>
                      </w:r>
                    </w:p>
                  </w:txbxContent>
                </v:textbox>
              </v:shape>
            </w:pict>
          </mc:Fallback>
        </mc:AlternateContent>
      </w:r>
    </w:p>
    <w:p w:rsidR="00D42B2B" w:rsidRDefault="00D42B2B" w:rsidP="00D42B2B">
      <w:pPr>
        <w:autoSpaceDE w:val="0"/>
        <w:autoSpaceDN w:val="0"/>
        <w:adjustRightInd w:val="0"/>
        <w:spacing w:after="0" w:line="240" w:lineRule="auto"/>
        <w:jc w:val="center"/>
        <w:rPr>
          <w:rFonts w:asciiTheme="minorBidi" w:hAnsiTheme="minorBidi"/>
          <w:b/>
          <w:bCs/>
          <w:sz w:val="16"/>
          <w:szCs w:val="16"/>
          <w:lang w:eastAsia="fr-FR"/>
        </w:rPr>
      </w:pPr>
    </w:p>
    <w:p w:rsidR="00D42B2B" w:rsidRDefault="00D42B2B" w:rsidP="00D42B2B">
      <w:pPr>
        <w:autoSpaceDE w:val="0"/>
        <w:autoSpaceDN w:val="0"/>
        <w:adjustRightInd w:val="0"/>
        <w:spacing w:after="0" w:line="240" w:lineRule="auto"/>
        <w:jc w:val="center"/>
        <w:rPr>
          <w:rFonts w:asciiTheme="minorBidi" w:hAnsiTheme="minorBidi"/>
          <w:b/>
          <w:bCs/>
          <w:sz w:val="16"/>
          <w:szCs w:val="16"/>
          <w:lang w:eastAsia="fr-FR"/>
        </w:rPr>
      </w:pPr>
      <w:r>
        <w:rPr>
          <w:noProof/>
          <w:lang w:val="en-GB" w:eastAsia="en-GB"/>
        </w:rPr>
        <w:drawing>
          <wp:anchor distT="0" distB="0" distL="114300" distR="114300" simplePos="0" relativeHeight="251656192" behindDoc="1" locked="0" layoutInCell="1" allowOverlap="1">
            <wp:simplePos x="0" y="0"/>
            <wp:positionH relativeFrom="margin">
              <wp:align>right</wp:align>
            </wp:positionH>
            <wp:positionV relativeFrom="paragraph">
              <wp:posOffset>13970</wp:posOffset>
            </wp:positionV>
            <wp:extent cx="1173480" cy="1079500"/>
            <wp:effectExtent l="19050" t="0" r="7620" b="0"/>
            <wp:wrapTight wrapText="bothSides">
              <wp:wrapPolygon edited="0">
                <wp:start x="-351" y="0"/>
                <wp:lineTo x="-351" y="21346"/>
                <wp:lineTo x="21740" y="21346"/>
                <wp:lineTo x="21740" y="0"/>
                <wp:lineTo x="-351" y="0"/>
              </wp:wrapPolygon>
            </wp:wrapTight>
            <wp:docPr id="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6"/>
                    <a:srcRect/>
                    <a:stretch>
                      <a:fillRect/>
                    </a:stretch>
                  </pic:blipFill>
                  <pic:spPr bwMode="auto">
                    <a:xfrm>
                      <a:off x="0" y="0"/>
                      <a:ext cx="1173480" cy="1079500"/>
                    </a:xfrm>
                    <a:prstGeom prst="rect">
                      <a:avLst/>
                    </a:prstGeom>
                    <a:noFill/>
                  </pic:spPr>
                </pic:pic>
              </a:graphicData>
            </a:graphic>
          </wp:anchor>
        </w:drawing>
      </w:r>
    </w:p>
    <w:p w:rsidR="00D42B2B" w:rsidRDefault="00D42B2B" w:rsidP="00D42B2B">
      <w:pPr>
        <w:autoSpaceDE w:val="0"/>
        <w:autoSpaceDN w:val="0"/>
        <w:adjustRightInd w:val="0"/>
        <w:spacing w:after="0" w:line="240" w:lineRule="auto"/>
        <w:jc w:val="center"/>
        <w:rPr>
          <w:rFonts w:asciiTheme="minorBidi" w:hAnsiTheme="minorBidi"/>
          <w:b/>
          <w:bCs/>
          <w:sz w:val="16"/>
          <w:szCs w:val="16"/>
          <w:lang w:eastAsia="fr-FR"/>
        </w:rPr>
      </w:pPr>
    </w:p>
    <w:p w:rsidR="00D42B2B" w:rsidRDefault="00D42B2B" w:rsidP="00D42B2B">
      <w:pPr>
        <w:autoSpaceDE w:val="0"/>
        <w:autoSpaceDN w:val="0"/>
        <w:adjustRightInd w:val="0"/>
        <w:spacing w:after="0" w:line="240" w:lineRule="auto"/>
        <w:jc w:val="center"/>
        <w:rPr>
          <w:rFonts w:asciiTheme="minorBidi" w:hAnsiTheme="minorBidi"/>
          <w:b/>
          <w:bCs/>
          <w:sz w:val="16"/>
          <w:szCs w:val="16"/>
          <w:lang w:eastAsia="fr-FR"/>
        </w:rPr>
      </w:pPr>
    </w:p>
    <w:p w:rsidR="00D42B2B" w:rsidRDefault="00D42B2B" w:rsidP="00D42B2B">
      <w:pPr>
        <w:autoSpaceDE w:val="0"/>
        <w:autoSpaceDN w:val="0"/>
        <w:adjustRightInd w:val="0"/>
        <w:spacing w:after="0" w:line="240" w:lineRule="auto"/>
        <w:jc w:val="center"/>
        <w:rPr>
          <w:rFonts w:asciiTheme="minorBidi" w:hAnsiTheme="minorBidi"/>
          <w:b/>
          <w:bCs/>
          <w:sz w:val="16"/>
          <w:szCs w:val="16"/>
          <w:lang w:eastAsia="fr-FR"/>
        </w:rPr>
      </w:pPr>
    </w:p>
    <w:p w:rsidR="00D42B2B" w:rsidRDefault="00D42B2B" w:rsidP="00D42B2B">
      <w:pPr>
        <w:autoSpaceDE w:val="0"/>
        <w:autoSpaceDN w:val="0"/>
        <w:adjustRightInd w:val="0"/>
        <w:spacing w:after="0" w:line="240" w:lineRule="auto"/>
        <w:jc w:val="center"/>
        <w:rPr>
          <w:rFonts w:asciiTheme="minorBidi" w:hAnsiTheme="minorBidi"/>
          <w:b/>
          <w:bCs/>
          <w:sz w:val="16"/>
          <w:szCs w:val="16"/>
          <w:lang w:eastAsia="fr-FR"/>
        </w:rPr>
      </w:pPr>
    </w:p>
    <w:p w:rsidR="00D42B2B" w:rsidRDefault="00D42B2B" w:rsidP="00D42B2B">
      <w:pPr>
        <w:autoSpaceDE w:val="0"/>
        <w:autoSpaceDN w:val="0"/>
        <w:adjustRightInd w:val="0"/>
        <w:spacing w:after="0" w:line="240" w:lineRule="auto"/>
        <w:rPr>
          <w:rFonts w:asciiTheme="minorBidi" w:hAnsiTheme="minorBidi"/>
          <w:b/>
          <w:bCs/>
          <w:sz w:val="16"/>
          <w:szCs w:val="16"/>
          <w:lang w:eastAsia="fr-FR"/>
        </w:rPr>
      </w:pPr>
    </w:p>
    <w:p w:rsidR="00D42B2B" w:rsidRDefault="00D42B2B" w:rsidP="00D42B2B">
      <w:pPr>
        <w:autoSpaceDE w:val="0"/>
        <w:autoSpaceDN w:val="0"/>
        <w:adjustRightInd w:val="0"/>
        <w:spacing w:after="0" w:line="240" w:lineRule="auto"/>
        <w:jc w:val="center"/>
        <w:rPr>
          <w:rFonts w:asciiTheme="minorBidi" w:hAnsiTheme="minorBidi"/>
          <w:b/>
          <w:bCs/>
          <w:sz w:val="16"/>
          <w:szCs w:val="16"/>
          <w:lang w:eastAsia="fr-FR"/>
        </w:rPr>
      </w:pPr>
    </w:p>
    <w:p w:rsidR="00D42B2B" w:rsidRDefault="00D42B2B" w:rsidP="00D42B2B">
      <w:pPr>
        <w:autoSpaceDE w:val="0"/>
        <w:autoSpaceDN w:val="0"/>
        <w:adjustRightInd w:val="0"/>
        <w:spacing w:after="0" w:line="240" w:lineRule="auto"/>
        <w:jc w:val="center"/>
        <w:rPr>
          <w:rFonts w:asciiTheme="minorBidi" w:hAnsiTheme="minorBidi"/>
          <w:b/>
          <w:bCs/>
          <w:sz w:val="16"/>
          <w:szCs w:val="16"/>
          <w:lang w:eastAsia="fr-FR"/>
        </w:rPr>
      </w:pPr>
    </w:p>
    <w:p w:rsidR="00D42B2B" w:rsidRDefault="00D42B2B" w:rsidP="00D42B2B">
      <w:pPr>
        <w:autoSpaceDE w:val="0"/>
        <w:autoSpaceDN w:val="0"/>
        <w:adjustRightInd w:val="0"/>
        <w:spacing w:after="0" w:line="240" w:lineRule="auto"/>
        <w:jc w:val="right"/>
        <w:rPr>
          <w:rFonts w:asciiTheme="minorBidi" w:hAnsiTheme="minorBidi"/>
          <w:b/>
          <w:bCs/>
          <w:sz w:val="16"/>
          <w:szCs w:val="16"/>
          <w:lang w:eastAsia="fr-FR"/>
        </w:rPr>
      </w:pPr>
    </w:p>
    <w:p w:rsidR="00D42B2B" w:rsidRDefault="00D85CA8" w:rsidP="00D42B2B">
      <w:pPr>
        <w:rPr>
          <w:b/>
          <w:bCs/>
          <w:sz w:val="28"/>
          <w:szCs w:val="28"/>
        </w:rPr>
      </w:pPr>
      <w:r>
        <w:rPr>
          <w:noProof/>
          <w:lang w:val="en-GB" w:eastAsia="en-GB"/>
        </w:rPr>
        <mc:AlternateContent>
          <mc:Choice Requires="wps">
            <w:drawing>
              <wp:anchor distT="36576" distB="36576" distL="36576" distR="36576" simplePos="0" relativeHeight="251659264" behindDoc="0" locked="0" layoutInCell="1" allowOverlap="1">
                <wp:simplePos x="0" y="0"/>
                <wp:positionH relativeFrom="column">
                  <wp:posOffset>3867785</wp:posOffset>
                </wp:positionH>
                <wp:positionV relativeFrom="paragraph">
                  <wp:posOffset>76835</wp:posOffset>
                </wp:positionV>
                <wp:extent cx="1685925" cy="698500"/>
                <wp:effectExtent l="0" t="0" r="12065" b="9525"/>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698500"/>
                        </a:xfrm>
                        <a:prstGeom prst="rect">
                          <a:avLst/>
                        </a:prstGeom>
                        <a:noFill/>
                        <a:ln>
                          <a:noFill/>
                        </a:ln>
                        <a:effectLst/>
                        <a:extLst>
                          <a:ext uri="{909E8E84-426E-40DD-AFC4-6F175D3DCCD1}">
                            <a14:hiddenFill xmlns:a14="http://schemas.microsoft.com/office/drawing/2010/main">
                              <a:solidFill>
                                <a:srgbClr val="F77732"/>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D42B2B" w:rsidRDefault="00D42B2B" w:rsidP="00D42B2B">
                            <w:pPr>
                              <w:autoSpaceDE w:val="0"/>
                              <w:autoSpaceDN w:val="0"/>
                              <w:adjustRightInd w:val="0"/>
                              <w:spacing w:after="0" w:line="240" w:lineRule="auto"/>
                              <w:jc w:val="center"/>
                              <w:rPr>
                                <w:rFonts w:asciiTheme="minorBidi" w:hAnsiTheme="minorBidi"/>
                                <w:b/>
                                <w:bCs/>
                                <w:sz w:val="16"/>
                                <w:szCs w:val="16"/>
                                <w:lang w:eastAsia="fr-FR"/>
                              </w:rPr>
                            </w:pPr>
                            <w:r>
                              <w:rPr>
                                <w:rFonts w:asciiTheme="minorBidi" w:hAnsiTheme="minorBidi"/>
                                <w:b/>
                                <w:bCs/>
                                <w:sz w:val="16"/>
                                <w:szCs w:val="16"/>
                                <w:lang w:eastAsia="fr-FR"/>
                              </w:rPr>
                              <w:t xml:space="preserve">Association Mauritanienne pour la Transparence et le Développement </w:t>
                            </w:r>
                          </w:p>
                          <w:p w:rsidR="00D42B2B" w:rsidRDefault="00D42B2B" w:rsidP="00D42B2B">
                            <w:pPr>
                              <w:widowControl w:val="0"/>
                              <w:spacing w:after="0" w:line="240" w:lineRule="auto"/>
                              <w:jc w:val="center"/>
                              <w:rPr>
                                <w:rFonts w:asciiTheme="minorBidi" w:hAnsiTheme="minorBidi"/>
                                <w:b/>
                                <w:bCs/>
                                <w:sz w:val="16"/>
                                <w:szCs w:val="16"/>
                              </w:rPr>
                            </w:pPr>
                            <w:r>
                              <w:rPr>
                                <w:rFonts w:asciiTheme="minorBidi" w:hAnsiTheme="minorBidi"/>
                                <w:b/>
                                <w:bCs/>
                                <w:sz w:val="16"/>
                                <w:szCs w:val="16"/>
                              </w:rPr>
                              <w:t>Siège :   Ilôt B lot N°143 NOT TevraqZeina, BP 5275 Nouakchott Mauritanie</w:t>
                            </w:r>
                          </w:p>
                          <w:p w:rsidR="00D42B2B" w:rsidRDefault="00D42B2B" w:rsidP="00D42B2B">
                            <w:pPr>
                              <w:pStyle w:val="Footer"/>
                              <w:jc w:val="center"/>
                              <w:rPr>
                                <w:rFonts w:asciiTheme="minorBidi" w:hAnsiTheme="minorBidi"/>
                                <w:sz w:val="16"/>
                                <w:szCs w:val="16"/>
                              </w:rPr>
                            </w:pPr>
                            <w:r>
                              <w:rPr>
                                <w:rFonts w:asciiTheme="minorBidi" w:hAnsiTheme="minorBidi"/>
                                <w:b/>
                                <w:bCs/>
                                <w:sz w:val="16"/>
                                <w:szCs w:val="16"/>
                              </w:rPr>
                              <w:t xml:space="preserve">Tel/Fax: +22245250351 Cel : +22246481908 E-mail : </w:t>
                            </w:r>
                            <w:hyperlink r:id="rId7" w:history="1">
                              <w:r>
                                <w:rPr>
                                  <w:rStyle w:val="Hyperlink"/>
                                  <w:rFonts w:asciiTheme="minorBidi" w:hAnsiTheme="minorBidi"/>
                                  <w:b/>
                                  <w:bCs/>
                                  <w:sz w:val="20"/>
                                  <w:szCs w:val="20"/>
                                </w:rPr>
                                <w:t>ong_ated@yahoo.fr</w:t>
                              </w:r>
                            </w:hyperlink>
                          </w:p>
                          <w:p w:rsidR="00D42B2B" w:rsidRDefault="00D42B2B" w:rsidP="00D42B2B">
                            <w:pPr>
                              <w:pStyle w:val="Gnrique"/>
                              <w:widowControl w:val="0"/>
                            </w:pPr>
                          </w:p>
                        </w:txbxContent>
                      </wps:txbx>
                      <wps:bodyPr rot="0" vert="horz" wrap="square" lIns="54864"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304.55pt;margin-top:6.05pt;width:132.75pt;height:5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" filled="f" fillcolor="#f77732" stroked="f" strokecolor="black [0]" strokeweight="2pt">
                <v:textbox inset="4.32pt,0,0,0">
                  <w:txbxContent>
                    <w:p w:rsidR="00D42B2B" w:rsidRDefault="00D42B2B" w:rsidP="00D42B2B">
                      <w:pPr>
                        <w:autoSpaceDE w:val="0"/>
                        <w:autoSpaceDN w:val="0"/>
                        <w:adjustRightInd w:val="0"/>
                        <w:spacing w:after="0" w:line="240" w:lineRule="auto"/>
                        <w:jc w:val="center"/>
                        <w:rPr>
                          <w:rFonts w:asciiTheme="minorBidi" w:hAnsiTheme="minorBidi"/>
                          <w:b/>
                          <w:bCs/>
                          <w:sz w:val="16"/>
                          <w:szCs w:val="16"/>
                          <w:lang w:eastAsia="fr-FR"/>
                        </w:rPr>
                      </w:pPr>
                      <w:r>
                        <w:rPr>
                          <w:rFonts w:asciiTheme="minorBidi" w:hAnsiTheme="minorBidi"/>
                          <w:b/>
                          <w:bCs/>
                          <w:sz w:val="16"/>
                          <w:szCs w:val="16"/>
                          <w:lang w:eastAsia="fr-FR"/>
                        </w:rPr>
                        <w:t xml:space="preserve">Association Mauritanienne pour la Transparence et le Développement </w:t>
                      </w:r>
                    </w:p>
                    <w:p w:rsidR="00D42B2B" w:rsidRDefault="00D42B2B" w:rsidP="00D42B2B">
                      <w:pPr>
                        <w:widowControl w:val="0"/>
                        <w:spacing w:after="0" w:line="240" w:lineRule="auto"/>
                        <w:jc w:val="center"/>
                        <w:rPr>
                          <w:rFonts w:asciiTheme="minorBidi" w:hAnsiTheme="minorBidi"/>
                          <w:b/>
                          <w:bCs/>
                          <w:sz w:val="16"/>
                          <w:szCs w:val="16"/>
                        </w:rPr>
                      </w:pPr>
                      <w:r>
                        <w:rPr>
                          <w:rFonts w:asciiTheme="minorBidi" w:hAnsiTheme="minorBidi"/>
                          <w:b/>
                          <w:bCs/>
                          <w:sz w:val="16"/>
                          <w:szCs w:val="16"/>
                        </w:rPr>
                        <w:t>Siège :   Ilôt B lot N°143 NOT TevraqZeina, BP 5275 Nouakchott Mauritanie</w:t>
                      </w:r>
                    </w:p>
                    <w:p w:rsidR="00D42B2B" w:rsidRDefault="00D42B2B" w:rsidP="00D42B2B">
                      <w:pPr>
                        <w:pStyle w:val="Footer"/>
                        <w:jc w:val="center"/>
                        <w:rPr>
                          <w:rFonts w:asciiTheme="minorBidi" w:hAnsiTheme="minorBidi"/>
                          <w:sz w:val="16"/>
                          <w:szCs w:val="16"/>
                        </w:rPr>
                      </w:pPr>
                      <w:r>
                        <w:rPr>
                          <w:rFonts w:asciiTheme="minorBidi" w:hAnsiTheme="minorBidi"/>
                          <w:b/>
                          <w:bCs/>
                          <w:sz w:val="16"/>
                          <w:szCs w:val="16"/>
                        </w:rPr>
                        <w:t xml:space="preserve">Tel/Fax: +22245250351 Cel : +22246481908 E-mail : </w:t>
                      </w:r>
                      <w:hyperlink r:id="rId8" w:history="1">
                        <w:r>
                          <w:rPr>
                            <w:rStyle w:val="Hyperlink"/>
                            <w:rFonts w:asciiTheme="minorBidi" w:hAnsiTheme="minorBidi"/>
                            <w:b/>
                            <w:bCs/>
                            <w:sz w:val="20"/>
                            <w:szCs w:val="20"/>
                          </w:rPr>
                          <w:t>ong_ated@yahoo.fr</w:t>
                        </w:r>
                      </w:hyperlink>
                    </w:p>
                    <w:p w:rsidR="00D42B2B" w:rsidRDefault="00D42B2B" w:rsidP="00D42B2B">
                      <w:pPr>
                        <w:pStyle w:val="Gnrique"/>
                        <w:widowControl w:val="0"/>
                      </w:pPr>
                    </w:p>
                  </w:txbxContent>
                </v:textbox>
              </v:shape>
            </w:pict>
          </mc:Fallback>
        </mc:AlternateContent>
      </w:r>
      <w:r>
        <w:rPr>
          <w:noProof/>
          <w:lang w:val="en-GB" w:eastAsia="en-GB"/>
        </w:rPr>
        <mc:AlternateContent>
          <mc:Choice Requires="wps">
            <w:drawing>
              <wp:anchor distT="36576" distB="36576" distL="36576" distR="36576" simplePos="0" relativeHeight="251660288" behindDoc="0" locked="0" layoutInCell="1" allowOverlap="1">
                <wp:simplePos x="0" y="0"/>
                <wp:positionH relativeFrom="column">
                  <wp:posOffset>-504825</wp:posOffset>
                </wp:positionH>
                <wp:positionV relativeFrom="paragraph">
                  <wp:posOffset>153035</wp:posOffset>
                </wp:positionV>
                <wp:extent cx="1515745" cy="699770"/>
                <wp:effectExtent l="0" t="0" r="6350" b="8890"/>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699770"/>
                        </a:xfrm>
                        <a:prstGeom prst="rect">
                          <a:avLst/>
                        </a:prstGeom>
                        <a:noFill/>
                        <a:ln>
                          <a:noFill/>
                        </a:ln>
                        <a:effectLst/>
                        <a:extLst>
                          <a:ext uri="{909E8E84-426E-40DD-AFC4-6F175D3DCCD1}">
                            <a14:hiddenFill xmlns:a14="http://schemas.microsoft.com/office/drawing/2010/main">
                              <a:solidFill>
                                <a:srgbClr val="F77732"/>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D42B2B" w:rsidRDefault="00D42B2B" w:rsidP="00D42B2B">
                            <w:pPr>
                              <w:pStyle w:val="Gnrique"/>
                              <w:widowControl w:val="0"/>
                              <w:jc w:val="center"/>
                              <w:rPr>
                                <w:rFonts w:asciiTheme="minorBidi" w:eastAsiaTheme="minorHAnsi" w:hAnsiTheme="minorBidi" w:cstheme="minorBidi"/>
                                <w:b/>
                                <w:bCs/>
                                <w:caps w:val="0"/>
                                <w:color w:val="auto"/>
                                <w:kern w:val="0"/>
                                <w:sz w:val="16"/>
                                <w:szCs w:val="16"/>
                              </w:rPr>
                            </w:pPr>
                            <w:r>
                              <w:rPr>
                                <w:rFonts w:asciiTheme="minorBidi" w:eastAsiaTheme="minorHAnsi" w:hAnsiTheme="minorBidi" w:cstheme="minorBidi"/>
                                <w:b/>
                                <w:bCs/>
                                <w:caps w:val="0"/>
                                <w:color w:val="auto"/>
                                <w:kern w:val="0"/>
                                <w:sz w:val="16"/>
                                <w:szCs w:val="16"/>
                              </w:rPr>
                              <w:t>L’Observatoire mauritanien des droits de l’homme et de ladémocratie</w:t>
                            </w:r>
                          </w:p>
                          <w:p w:rsidR="00D42B2B" w:rsidRDefault="00D42B2B" w:rsidP="00D42B2B">
                            <w:pPr>
                              <w:pStyle w:val="Gnrique"/>
                              <w:widowControl w:val="0"/>
                              <w:jc w:val="center"/>
                              <w:rPr>
                                <w:rFonts w:asciiTheme="minorBidi" w:eastAsiaTheme="minorHAnsi" w:hAnsiTheme="minorBidi" w:cstheme="minorBidi"/>
                                <w:b/>
                                <w:bCs/>
                                <w:caps w:val="0"/>
                                <w:color w:val="auto"/>
                                <w:kern w:val="0"/>
                                <w:sz w:val="16"/>
                                <w:szCs w:val="16"/>
                              </w:rPr>
                            </w:pPr>
                            <w:r>
                              <w:rPr>
                                <w:rFonts w:asciiTheme="minorBidi" w:eastAsiaTheme="minorHAnsi" w:hAnsiTheme="minorBidi" w:cstheme="minorBidi"/>
                                <w:b/>
                                <w:bCs/>
                                <w:caps w:val="0"/>
                                <w:color w:val="auto"/>
                                <w:kern w:val="0"/>
                                <w:sz w:val="16"/>
                                <w:szCs w:val="16"/>
                              </w:rPr>
                              <w:t>Ilot M N° 17 BMD Nouakchott Mauritanie</w:t>
                            </w:r>
                          </w:p>
                          <w:p w:rsidR="00D42B2B" w:rsidRDefault="00D42B2B" w:rsidP="00D42B2B">
                            <w:pPr>
                              <w:pStyle w:val="Gnrique"/>
                              <w:widowControl w:val="0"/>
                              <w:jc w:val="center"/>
                              <w:rPr>
                                <w:rFonts w:asciiTheme="minorBidi" w:eastAsiaTheme="minorHAnsi" w:hAnsiTheme="minorBidi" w:cstheme="minorBidi"/>
                                <w:b/>
                                <w:bCs/>
                                <w:caps w:val="0"/>
                                <w:color w:val="auto"/>
                                <w:kern w:val="0"/>
                                <w:sz w:val="16"/>
                                <w:szCs w:val="16"/>
                              </w:rPr>
                            </w:pPr>
                            <w:r>
                              <w:rPr>
                                <w:rFonts w:asciiTheme="minorBidi" w:eastAsiaTheme="minorHAnsi" w:hAnsiTheme="minorBidi" w:cstheme="minorBidi"/>
                                <w:b/>
                                <w:bCs/>
                                <w:caps w:val="0"/>
                                <w:color w:val="auto"/>
                                <w:kern w:val="0"/>
                                <w:sz w:val="16"/>
                                <w:szCs w:val="16"/>
                              </w:rPr>
                              <w:t>Tél 22245253531 Cel :+22246573626</w:t>
                            </w:r>
                          </w:p>
                          <w:p w:rsidR="00D42B2B" w:rsidRDefault="00D85CA8" w:rsidP="00D42B2B">
                            <w:pPr>
                              <w:pStyle w:val="Gnrique"/>
                              <w:widowControl w:val="0"/>
                              <w:jc w:val="center"/>
                              <w:rPr>
                                <w:rFonts w:ascii="Segoe UI" w:hAnsi="Segoe UI" w:cs="Segoe UI"/>
                                <w:b/>
                                <w:bCs/>
                                <w:color w:val="828C93"/>
                                <w:sz w:val="20"/>
                                <w:szCs w:val="20"/>
                                <w:shd w:val="clear" w:color="auto" w:fill="FFFFFF"/>
                              </w:rPr>
                            </w:pPr>
                            <w:hyperlink r:id="rId9" w:history="1">
                              <w:r w:rsidR="00D42B2B">
                                <w:rPr>
                                  <w:rStyle w:val="Hyperlink"/>
                                  <w:rFonts w:ascii="Segoe UI" w:hAnsi="Segoe UI" w:cs="Segoe UI"/>
                                  <w:b/>
                                  <w:bCs/>
                                  <w:sz w:val="20"/>
                                  <w:szCs w:val="20"/>
                                  <w:shd w:val="clear" w:color="auto" w:fill="FFFFFF"/>
                                </w:rPr>
                                <w:t>omadhd2@yahoo.com</w:t>
                              </w:r>
                            </w:hyperlink>
                          </w:p>
                          <w:p w:rsidR="00D42B2B" w:rsidRDefault="00D42B2B" w:rsidP="00D42B2B">
                            <w:pPr>
                              <w:pStyle w:val="Gnrique"/>
                              <w:widowControl w:val="0"/>
                              <w:rPr>
                                <w:rFonts w:asciiTheme="minorBidi" w:eastAsiaTheme="minorHAnsi" w:hAnsiTheme="minorBidi" w:cstheme="minorBidi"/>
                                <w:b/>
                                <w:bCs/>
                                <w:caps w:val="0"/>
                                <w:color w:val="auto"/>
                                <w:kern w:val="0"/>
                                <w:sz w:val="16"/>
                                <w:szCs w:val="16"/>
                              </w:rPr>
                            </w:pPr>
                          </w:p>
                        </w:txbxContent>
                      </wps:txbx>
                      <wps:bodyPr rot="0" vert="horz" wrap="square" lIns="54864"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39.75pt;margin-top:12.05pt;width:119.35pt;height:55.1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" filled="f" fillcolor="#f77732" stroked="f" strokecolor="black [0]" strokeweight="2pt">
                <v:textbox inset="4.32pt,0,0,0">
                  <w:txbxContent>
                    <w:p w:rsidR="00D42B2B" w:rsidRDefault="00D42B2B" w:rsidP="00D42B2B">
                      <w:pPr>
                        <w:pStyle w:val="Gnrique"/>
                        <w:widowControl w:val="0"/>
                        <w:jc w:val="center"/>
                        <w:rPr>
                          <w:rFonts w:asciiTheme="minorBidi" w:eastAsiaTheme="minorHAnsi" w:hAnsiTheme="minorBidi" w:cstheme="minorBidi"/>
                          <w:b/>
                          <w:bCs/>
                          <w:caps w:val="0"/>
                          <w:color w:val="auto"/>
                          <w:kern w:val="0"/>
                          <w:sz w:val="16"/>
                          <w:szCs w:val="16"/>
                        </w:rPr>
                      </w:pPr>
                      <w:r>
                        <w:rPr>
                          <w:rFonts w:asciiTheme="minorBidi" w:eastAsiaTheme="minorHAnsi" w:hAnsiTheme="minorBidi" w:cstheme="minorBidi"/>
                          <w:b/>
                          <w:bCs/>
                          <w:caps w:val="0"/>
                          <w:color w:val="auto"/>
                          <w:kern w:val="0"/>
                          <w:sz w:val="16"/>
                          <w:szCs w:val="16"/>
                        </w:rPr>
                        <w:t>L’Observatoire mauritanien des droits de l’homme et de ladémocratie</w:t>
                      </w:r>
                    </w:p>
                    <w:p w:rsidR="00D42B2B" w:rsidRDefault="00D42B2B" w:rsidP="00D42B2B">
                      <w:pPr>
                        <w:pStyle w:val="Gnrique"/>
                        <w:widowControl w:val="0"/>
                        <w:jc w:val="center"/>
                        <w:rPr>
                          <w:rFonts w:asciiTheme="minorBidi" w:eastAsiaTheme="minorHAnsi" w:hAnsiTheme="minorBidi" w:cstheme="minorBidi"/>
                          <w:b/>
                          <w:bCs/>
                          <w:caps w:val="0"/>
                          <w:color w:val="auto"/>
                          <w:kern w:val="0"/>
                          <w:sz w:val="16"/>
                          <w:szCs w:val="16"/>
                        </w:rPr>
                      </w:pPr>
                      <w:r>
                        <w:rPr>
                          <w:rFonts w:asciiTheme="minorBidi" w:eastAsiaTheme="minorHAnsi" w:hAnsiTheme="minorBidi" w:cstheme="minorBidi"/>
                          <w:b/>
                          <w:bCs/>
                          <w:caps w:val="0"/>
                          <w:color w:val="auto"/>
                          <w:kern w:val="0"/>
                          <w:sz w:val="16"/>
                          <w:szCs w:val="16"/>
                        </w:rPr>
                        <w:t>Ilot M N° 17 BMD Nouakchott Mauritanie</w:t>
                      </w:r>
                    </w:p>
                    <w:p w:rsidR="00D42B2B" w:rsidRDefault="00D42B2B" w:rsidP="00D42B2B">
                      <w:pPr>
                        <w:pStyle w:val="Gnrique"/>
                        <w:widowControl w:val="0"/>
                        <w:jc w:val="center"/>
                        <w:rPr>
                          <w:rFonts w:asciiTheme="minorBidi" w:eastAsiaTheme="minorHAnsi" w:hAnsiTheme="minorBidi" w:cstheme="minorBidi"/>
                          <w:b/>
                          <w:bCs/>
                          <w:caps w:val="0"/>
                          <w:color w:val="auto"/>
                          <w:kern w:val="0"/>
                          <w:sz w:val="16"/>
                          <w:szCs w:val="16"/>
                        </w:rPr>
                      </w:pPr>
                      <w:r>
                        <w:rPr>
                          <w:rFonts w:asciiTheme="minorBidi" w:eastAsiaTheme="minorHAnsi" w:hAnsiTheme="minorBidi" w:cstheme="minorBidi"/>
                          <w:b/>
                          <w:bCs/>
                          <w:caps w:val="0"/>
                          <w:color w:val="auto"/>
                          <w:kern w:val="0"/>
                          <w:sz w:val="16"/>
                          <w:szCs w:val="16"/>
                        </w:rPr>
                        <w:t>Tél 22245253531 Cel :+22246573626</w:t>
                      </w:r>
                    </w:p>
                    <w:p w:rsidR="00D42B2B" w:rsidRDefault="00D85CA8" w:rsidP="00D42B2B">
                      <w:pPr>
                        <w:pStyle w:val="Gnrique"/>
                        <w:widowControl w:val="0"/>
                        <w:jc w:val="center"/>
                        <w:rPr>
                          <w:rFonts w:ascii="Segoe UI" w:hAnsi="Segoe UI" w:cs="Segoe UI"/>
                          <w:b/>
                          <w:bCs/>
                          <w:color w:val="828C93"/>
                          <w:sz w:val="20"/>
                          <w:szCs w:val="20"/>
                          <w:shd w:val="clear" w:color="auto" w:fill="FFFFFF"/>
                        </w:rPr>
                      </w:pPr>
                      <w:hyperlink r:id="rId10" w:history="1">
                        <w:r w:rsidR="00D42B2B">
                          <w:rPr>
                            <w:rStyle w:val="Hyperlink"/>
                            <w:rFonts w:ascii="Segoe UI" w:hAnsi="Segoe UI" w:cs="Segoe UI"/>
                            <w:b/>
                            <w:bCs/>
                            <w:sz w:val="20"/>
                            <w:szCs w:val="20"/>
                            <w:shd w:val="clear" w:color="auto" w:fill="FFFFFF"/>
                          </w:rPr>
                          <w:t>omadhd2@yahoo.com</w:t>
                        </w:r>
                      </w:hyperlink>
                    </w:p>
                    <w:p w:rsidR="00D42B2B" w:rsidRDefault="00D42B2B" w:rsidP="00D42B2B">
                      <w:pPr>
                        <w:pStyle w:val="Gnrique"/>
                        <w:widowControl w:val="0"/>
                        <w:rPr>
                          <w:rFonts w:asciiTheme="minorBidi" w:eastAsiaTheme="minorHAnsi" w:hAnsiTheme="minorBidi" w:cstheme="minorBidi"/>
                          <w:b/>
                          <w:bCs/>
                          <w:caps w:val="0"/>
                          <w:color w:val="auto"/>
                          <w:kern w:val="0"/>
                          <w:sz w:val="16"/>
                          <w:szCs w:val="16"/>
                        </w:rPr>
                      </w:pPr>
                    </w:p>
                  </w:txbxContent>
                </v:textbox>
              </v:shape>
            </w:pict>
          </mc:Fallback>
        </mc:AlternateContent>
      </w:r>
    </w:p>
    <w:p w:rsidR="00D42B2B" w:rsidRDefault="00D42B2B" w:rsidP="00D42B2B">
      <w:pPr>
        <w:rPr>
          <w:b/>
          <w:bCs/>
          <w:sz w:val="28"/>
          <w:szCs w:val="28"/>
        </w:rPr>
      </w:pPr>
    </w:p>
    <w:p w:rsidR="00D42B2B" w:rsidRDefault="00D42B2B" w:rsidP="00D42B2B">
      <w:pPr>
        <w:rPr>
          <w:b/>
          <w:bCs/>
          <w:sz w:val="28"/>
          <w:szCs w:val="28"/>
        </w:rPr>
      </w:pPr>
    </w:p>
    <w:p w:rsidR="00D42B2B" w:rsidRDefault="00D42B2B" w:rsidP="00D42B2B">
      <w:pPr>
        <w:rPr>
          <w:b/>
          <w:bCs/>
          <w:sz w:val="28"/>
          <w:szCs w:val="28"/>
        </w:rPr>
      </w:pPr>
    </w:p>
    <w:p w:rsidR="00D42B2B" w:rsidRDefault="00D42B2B" w:rsidP="00D42B2B">
      <w:pPr>
        <w:rPr>
          <w:b/>
          <w:bCs/>
          <w:sz w:val="28"/>
          <w:szCs w:val="28"/>
        </w:rPr>
      </w:pPr>
    </w:p>
    <w:p w:rsidR="00D42B2B" w:rsidRDefault="00D42B2B" w:rsidP="00D42B2B">
      <w:pPr>
        <w:rPr>
          <w:b/>
          <w:bCs/>
          <w:sz w:val="28"/>
          <w:szCs w:val="28"/>
        </w:rPr>
      </w:pPr>
    </w:p>
    <w:p w:rsidR="00D42B2B" w:rsidRDefault="00D42B2B" w:rsidP="00D42B2B">
      <w:pPr>
        <w:rPr>
          <w:b/>
          <w:bCs/>
          <w:sz w:val="28"/>
          <w:szCs w:val="28"/>
        </w:rPr>
      </w:pPr>
    </w:p>
    <w:p w:rsidR="00D42B2B" w:rsidRDefault="00D42B2B" w:rsidP="00D42B2B">
      <w:pPr>
        <w:pBdr>
          <w:top w:val="single" w:sz="4" w:space="1" w:color="auto"/>
          <w:left w:val="single" w:sz="4" w:space="4" w:color="auto"/>
          <w:bottom w:val="single" w:sz="4" w:space="1" w:color="auto"/>
          <w:right w:val="single" w:sz="4" w:space="4" w:color="auto"/>
        </w:pBdr>
        <w:ind w:left="-142" w:firstLine="142"/>
        <w:jc w:val="center"/>
        <w:rPr>
          <w:b/>
          <w:bCs/>
          <w:sz w:val="36"/>
          <w:szCs w:val="36"/>
        </w:rPr>
      </w:pPr>
      <w:r>
        <w:rPr>
          <w:b/>
          <w:bCs/>
          <w:sz w:val="36"/>
          <w:szCs w:val="36"/>
        </w:rPr>
        <w:t>Rapport du terrain sur la mise en œuvre des dispositions de la convention contre la torture élaborée par :</w:t>
      </w:r>
    </w:p>
    <w:p w:rsidR="00D42B2B" w:rsidRDefault="00D42B2B" w:rsidP="00D42B2B">
      <w:pPr>
        <w:pStyle w:val="ListParagraph"/>
        <w:numPr>
          <w:ilvl w:val="0"/>
          <w:numId w:val="1"/>
        </w:numPr>
        <w:pBdr>
          <w:top w:val="single" w:sz="4" w:space="1" w:color="auto"/>
          <w:left w:val="single" w:sz="4" w:space="24" w:color="auto"/>
          <w:bottom w:val="single" w:sz="4" w:space="1" w:color="auto"/>
          <w:right w:val="single" w:sz="4" w:space="4" w:color="auto"/>
        </w:pBdr>
        <w:rPr>
          <w:b/>
          <w:bCs/>
          <w:color w:val="FF0000"/>
          <w:sz w:val="28"/>
          <w:szCs w:val="28"/>
        </w:rPr>
      </w:pPr>
      <w:r>
        <w:rPr>
          <w:b/>
          <w:bCs/>
          <w:sz w:val="28"/>
          <w:szCs w:val="28"/>
        </w:rPr>
        <w:t>L’Observatoire mauritanien des droits de l’homme et de la démocratie.</w:t>
      </w:r>
    </w:p>
    <w:p w:rsidR="00D42B2B" w:rsidRDefault="00D42B2B" w:rsidP="00D42B2B">
      <w:pPr>
        <w:pStyle w:val="ListParagraph"/>
        <w:numPr>
          <w:ilvl w:val="0"/>
          <w:numId w:val="1"/>
        </w:numPr>
        <w:pBdr>
          <w:top w:val="single" w:sz="4" w:space="1" w:color="auto"/>
          <w:left w:val="single" w:sz="4" w:space="24" w:color="auto"/>
          <w:bottom w:val="single" w:sz="4" w:space="1" w:color="auto"/>
          <w:right w:val="single" w:sz="4" w:space="4" w:color="auto"/>
        </w:pBdr>
        <w:rPr>
          <w:b/>
          <w:bCs/>
          <w:color w:val="FF0000"/>
          <w:sz w:val="28"/>
          <w:szCs w:val="28"/>
        </w:rPr>
      </w:pPr>
      <w:r>
        <w:rPr>
          <w:b/>
          <w:bCs/>
          <w:sz w:val="28"/>
          <w:szCs w:val="28"/>
        </w:rPr>
        <w:t>Association Mauritanienne pour la Transparence et le Développement</w:t>
      </w:r>
    </w:p>
    <w:p w:rsidR="00D42B2B" w:rsidRDefault="00D42B2B" w:rsidP="00D42B2B">
      <w:pPr>
        <w:rPr>
          <w:b/>
          <w:bCs/>
          <w:sz w:val="28"/>
          <w:szCs w:val="28"/>
        </w:rPr>
      </w:pPr>
    </w:p>
    <w:p w:rsidR="00D42B2B" w:rsidRDefault="00D42B2B" w:rsidP="00D42B2B">
      <w:pPr>
        <w:jc w:val="center"/>
        <w:rPr>
          <w:b/>
          <w:bCs/>
          <w:sz w:val="28"/>
          <w:szCs w:val="28"/>
        </w:rPr>
      </w:pPr>
      <w:r>
        <w:rPr>
          <w:b/>
          <w:bCs/>
          <w:sz w:val="28"/>
          <w:szCs w:val="28"/>
        </w:rPr>
        <w:t>L’Etat partie examiné : Mauritanie</w:t>
      </w:r>
    </w:p>
    <w:p w:rsidR="00D42B2B" w:rsidRDefault="00D42B2B" w:rsidP="00D42B2B">
      <w:pPr>
        <w:jc w:val="center"/>
        <w:rPr>
          <w:b/>
          <w:bCs/>
          <w:sz w:val="28"/>
          <w:szCs w:val="28"/>
        </w:rPr>
      </w:pPr>
      <w:r>
        <w:rPr>
          <w:b/>
          <w:bCs/>
          <w:sz w:val="28"/>
          <w:szCs w:val="28"/>
        </w:rPr>
        <w:t>64</w:t>
      </w:r>
      <w:r>
        <w:rPr>
          <w:b/>
          <w:bCs/>
          <w:sz w:val="28"/>
          <w:szCs w:val="28"/>
          <w:vertAlign w:val="superscript"/>
        </w:rPr>
        <w:t>ème</w:t>
      </w:r>
      <w:r>
        <w:rPr>
          <w:b/>
          <w:bCs/>
          <w:sz w:val="28"/>
          <w:szCs w:val="28"/>
        </w:rPr>
        <w:t xml:space="preserve"> Session du Comité Contre la Torture</w:t>
      </w:r>
    </w:p>
    <w:p w:rsidR="00D42B2B" w:rsidRDefault="00D42B2B" w:rsidP="00D42B2B">
      <w:pPr>
        <w:rPr>
          <w:b/>
          <w:bCs/>
          <w:sz w:val="28"/>
          <w:szCs w:val="28"/>
        </w:rPr>
      </w:pPr>
    </w:p>
    <w:p w:rsidR="00D42B2B" w:rsidRDefault="00D42B2B" w:rsidP="00D42B2B">
      <w:pPr>
        <w:rPr>
          <w:b/>
          <w:bCs/>
          <w:sz w:val="28"/>
          <w:szCs w:val="28"/>
        </w:rPr>
      </w:pPr>
    </w:p>
    <w:p w:rsidR="00D42B2B" w:rsidRDefault="00D42B2B" w:rsidP="00D42B2B">
      <w:pPr>
        <w:rPr>
          <w:b/>
          <w:bCs/>
          <w:sz w:val="28"/>
          <w:szCs w:val="28"/>
        </w:rPr>
      </w:pPr>
    </w:p>
    <w:p w:rsidR="00D42B2B" w:rsidRDefault="00D42B2B" w:rsidP="00D42B2B">
      <w:pPr>
        <w:rPr>
          <w:b/>
          <w:bCs/>
          <w:sz w:val="28"/>
          <w:szCs w:val="28"/>
        </w:rPr>
      </w:pPr>
    </w:p>
    <w:p w:rsidR="00D42B2B" w:rsidRDefault="00D42B2B" w:rsidP="00D42B2B">
      <w:pPr>
        <w:rPr>
          <w:b/>
          <w:bCs/>
          <w:sz w:val="28"/>
          <w:szCs w:val="28"/>
        </w:rPr>
      </w:pPr>
    </w:p>
    <w:p w:rsidR="00D42B2B" w:rsidRDefault="00D42B2B" w:rsidP="00D42B2B">
      <w:pPr>
        <w:jc w:val="right"/>
        <w:rPr>
          <w:b/>
          <w:bCs/>
          <w:sz w:val="28"/>
          <w:szCs w:val="28"/>
        </w:rPr>
      </w:pPr>
      <w:r>
        <w:rPr>
          <w:b/>
          <w:bCs/>
          <w:sz w:val="28"/>
          <w:szCs w:val="28"/>
        </w:rPr>
        <w:t>Nouakchott, Juin 2018</w:t>
      </w:r>
    </w:p>
    <w:p w:rsidR="00D42B2B" w:rsidRDefault="00D42B2B" w:rsidP="00D42B2B">
      <w:pPr>
        <w:rPr>
          <w:b/>
          <w:bCs/>
          <w:sz w:val="28"/>
          <w:szCs w:val="28"/>
          <w:u w:val="single"/>
        </w:rPr>
      </w:pPr>
      <w:r>
        <w:rPr>
          <w:b/>
          <w:bCs/>
          <w:sz w:val="28"/>
          <w:szCs w:val="28"/>
          <w:u w:val="single"/>
        </w:rPr>
        <w:lastRenderedPageBreak/>
        <w:t>Introduction :</w:t>
      </w:r>
    </w:p>
    <w:p w:rsidR="00D42B2B" w:rsidRDefault="00D42B2B" w:rsidP="00D42B2B">
      <w:pPr>
        <w:jc w:val="both"/>
      </w:pPr>
      <w:r>
        <w:t>Ce rapport élaboré par les deux ONG ci-dessous, membres de la coordination des ONG mauritaniennes dotées du statut ECOSOC, traite essentiellement des mesures pratiques et législatives prises par l’Etat partie, la Mauritanie, en matière de surveillance et traitement des détenues, pour prévenir la torture. D’autres questions liées sont également évoquées. Il vient en complément des rapports alternatifs transmis au comité(CAT) par les ONG d’une manière individuelle et sous d’autres formes de réseautage.</w:t>
      </w:r>
    </w:p>
    <w:p w:rsidR="00D42B2B" w:rsidRDefault="00D42B2B" w:rsidP="00D42B2B">
      <w:pPr>
        <w:jc w:val="both"/>
      </w:pPr>
      <w:r>
        <w:t>La protection des droits de l’homme ne peut être effective sans la mise en place des mécanismes et institutions nationales indépendantes, efficaces et dotées des moyens humains et financiers suffisants pour l’exercice de leur mission. La volonté des autorités nationales à mettre en œuvre les dispositions des différentes conventions et pactes internationaux, relatifs aux droits de l’homme, se mesure proportionnellement au degré de l’efficacité et l’indépendance des mécanismes et institutions nationaux misent en place pour la protection des droits de l’homme.</w:t>
      </w:r>
    </w:p>
    <w:p w:rsidR="00D42B2B" w:rsidRDefault="00D42B2B" w:rsidP="00D42B2B">
      <w:pPr>
        <w:jc w:val="both"/>
      </w:pPr>
      <w:r>
        <w:t xml:space="preserve"> Donc, dans ce cadre, nous abordons les mesures de prévention de la torture et ensuite le traitement des détenus, pour en déduire l’état réel de la mise en œuvre des dispositions de la convention contre la torture.</w:t>
      </w:r>
    </w:p>
    <w:p w:rsidR="00D42B2B" w:rsidRDefault="00D42B2B" w:rsidP="00D42B2B">
      <w:pPr>
        <w:jc w:val="both"/>
      </w:pPr>
      <w:r>
        <w:t>Les ONG composant la coordination signataire de ce rapport sont :</w:t>
      </w:r>
    </w:p>
    <w:p w:rsidR="00D42B2B" w:rsidRDefault="00D42B2B" w:rsidP="00D42B2B">
      <w:pPr>
        <w:pStyle w:val="ListParagraph"/>
        <w:numPr>
          <w:ilvl w:val="0"/>
          <w:numId w:val="2"/>
        </w:numPr>
        <w:rPr>
          <w:b/>
          <w:bCs/>
          <w:sz w:val="28"/>
          <w:szCs w:val="28"/>
        </w:rPr>
      </w:pPr>
      <w:r>
        <w:rPr>
          <w:b/>
          <w:bCs/>
        </w:rPr>
        <w:t>L’Observatoire Mauritanien des Droits de l’Homme et de la Démocratie (OMADHD).</w:t>
      </w:r>
    </w:p>
    <w:p w:rsidR="00D42B2B" w:rsidRDefault="00D42B2B" w:rsidP="00D42B2B">
      <w:pPr>
        <w:pStyle w:val="ListParagraph"/>
        <w:numPr>
          <w:ilvl w:val="0"/>
          <w:numId w:val="2"/>
        </w:numPr>
        <w:rPr>
          <w:b/>
          <w:bCs/>
          <w:sz w:val="28"/>
          <w:szCs w:val="28"/>
        </w:rPr>
      </w:pPr>
      <w:r>
        <w:rPr>
          <w:b/>
          <w:bCs/>
        </w:rPr>
        <w:t>L’Association Mauritanienne pour la Transparence et le Développement (ATED)</w:t>
      </w:r>
    </w:p>
    <w:p w:rsidR="00D42B2B" w:rsidRDefault="00D42B2B" w:rsidP="00D42B2B">
      <w:pPr>
        <w:jc w:val="center"/>
        <w:rPr>
          <w:b/>
          <w:bCs/>
          <w:color w:val="002060"/>
          <w:sz w:val="28"/>
          <w:szCs w:val="28"/>
          <w:u w:val="single"/>
        </w:rPr>
      </w:pPr>
      <w:r>
        <w:rPr>
          <w:b/>
          <w:bCs/>
          <w:color w:val="002060"/>
          <w:sz w:val="28"/>
          <w:szCs w:val="28"/>
          <w:u w:val="single"/>
        </w:rPr>
        <w:t>Examen de la situation de mise en œuvre des dispositions de la convention contre la torture,</w:t>
      </w:r>
    </w:p>
    <w:p w:rsidR="00D42B2B" w:rsidRDefault="00D42B2B" w:rsidP="00D42B2B">
      <w:pPr>
        <w:rPr>
          <w:b/>
          <w:bCs/>
        </w:rPr>
      </w:pPr>
      <w:r>
        <w:rPr>
          <w:b/>
          <w:bCs/>
        </w:rPr>
        <w:t>Art22 : En matière de la Reconnaissance de la compétence du comité contre la torture (CAT) pour recevoir les plaintes individuelles de ses ressortissants, on note :</w:t>
      </w:r>
    </w:p>
    <w:p w:rsidR="00D42B2B" w:rsidRDefault="00D42B2B" w:rsidP="00D42B2B">
      <w:pPr>
        <w:jc w:val="both"/>
      </w:pPr>
      <w:r>
        <w:t xml:space="preserve">La reconnaissance de la compétence du CAT à recevoir des plaintes individuelles est une preuve de bonne volonté, cependant la Mauritanie ne reconnait pas la compétence du CAT à recevoir des plaintes individuelles. </w:t>
      </w:r>
    </w:p>
    <w:p w:rsidR="00D42B2B" w:rsidRDefault="00D42B2B" w:rsidP="00D42B2B">
      <w:pPr>
        <w:pStyle w:val="ListParagraph"/>
        <w:numPr>
          <w:ilvl w:val="0"/>
          <w:numId w:val="3"/>
        </w:numPr>
        <w:rPr>
          <w:b/>
          <w:bCs/>
        </w:rPr>
      </w:pPr>
      <w:r>
        <w:rPr>
          <w:b/>
          <w:bCs/>
        </w:rPr>
        <w:t xml:space="preserve"> Article 2 : Mesures de prévention de la torture et des mauvais traitements :</w:t>
      </w:r>
    </w:p>
    <w:p w:rsidR="00D42B2B" w:rsidRDefault="00D42B2B" w:rsidP="00D42B2B">
      <w:pPr>
        <w:pStyle w:val="ListParagraph"/>
        <w:numPr>
          <w:ilvl w:val="0"/>
          <w:numId w:val="4"/>
        </w:numPr>
        <w:rPr>
          <w:b/>
          <w:bCs/>
        </w:rPr>
      </w:pPr>
      <w:r>
        <w:rPr>
          <w:b/>
          <w:bCs/>
        </w:rPr>
        <w:t>La surveillance systématique des règles applicables lors des différentes phases de la détention :</w:t>
      </w:r>
    </w:p>
    <w:p w:rsidR="00D42B2B" w:rsidRDefault="00D42B2B" w:rsidP="00D42B2B">
      <w:pPr>
        <w:jc w:val="both"/>
      </w:pPr>
      <w:r>
        <w:rPr>
          <w:b/>
          <w:bCs/>
        </w:rPr>
        <w:t>Rôle des ONG</w:t>
      </w:r>
      <w:r>
        <w:t xml:space="preserve"> ; Les ONG ne disposent pas d’une autorisation permanente ou annuelle de visiter les prisons, ou autre lieu de détention, </w:t>
      </w:r>
      <w:r>
        <w:rPr>
          <w:rFonts w:cstheme="minorHAnsi"/>
        </w:rPr>
        <w:t xml:space="preserve">mais une ONG souhaitant visiter un lieu de privation de liberté doit en faire la demande au Directeur de l'autorité pénitentiaire qui peut l'accorder ou la refuser. </w:t>
      </w:r>
      <w:r>
        <w:rPr>
          <w:rFonts w:cstheme="minorHAnsi"/>
          <w:shd w:val="clear" w:color="auto" w:fill="FFFFFF"/>
        </w:rPr>
        <w:t>Cette formalité préalable ne permet pas d’apprécier objectivement la situation des prisons car l’administration pénitentiaire aura toujours le temps de se préparer à accueillir les militants de la société civile ; on constate que</w:t>
      </w:r>
      <w:r>
        <w:t xml:space="preserve"> les demandes de visite des prisonniers « politiques » par les ONG nationales a toujours été refusé. A titre d’exemple, une demande a été faite par l’OMADHD en vue </w:t>
      </w:r>
      <w:r>
        <w:lastRenderedPageBreak/>
        <w:t xml:space="preserve">de visiter L’ex Sénateur Mohamed Ghada en détention préventive, malheureusement, cette demande est restée sans suite. </w:t>
      </w:r>
    </w:p>
    <w:p w:rsidR="00D42B2B" w:rsidRDefault="00D42B2B" w:rsidP="00D42B2B">
      <w:r>
        <w:rPr>
          <w:b/>
          <w:bCs/>
        </w:rPr>
        <w:t>Rôle des MNPT et CNDH :</w:t>
      </w:r>
      <w:r>
        <w:t xml:space="preserve"> Les institutions nationales de prévention et de surveillance des droits de l’homme ; le Mécanisme National de Prévention de la Torture et la INDH (CNDH) sont défaillants.</w:t>
      </w:r>
    </w:p>
    <w:p w:rsidR="00D42B2B" w:rsidRDefault="00D42B2B" w:rsidP="00D42B2B">
      <w:pPr>
        <w:jc w:val="both"/>
        <w:rPr>
          <w:bCs/>
        </w:rPr>
      </w:pPr>
      <w:r>
        <w:t>S’agissant de la Commission Nationale Indépendante des droits de l’Homme(CNDH) ; on note avec insatisfaction la non-conformité de la Commission nationale des droits de l’homme, au statut A dont elle avait bénéficié depuis 2011, défini par les principes de Paris. En effet, la possibilité pour une Commission pro-gouvernementale d’entreprendre des visites inopinées dans tous les lieux de détention au sein de l’État partie, n’apporte pas de changement positif dans la situation des détenus.</w:t>
      </w:r>
      <w:r>
        <w:rPr>
          <w:bCs/>
        </w:rPr>
        <w:t xml:space="preserve"> L’État partie devrait fournir plus d’efforts pour mettre en place une CNDH indépendante en pleine conformité avec les Principes de Paris (résolution 48/134 de l’Assemblée générale), et doter cette institution des ressources financières et humaines nécessaires. Actuellement, la CNDH joue le rôle d’une officine de renseignement pour l’Etat et ses responsables profitent de leur statut pour passer le plus clair de leur temps dans des voyages, ‘missions’ qui constituent plus un tourisme voilé qu’un travail de défense des droits humains en Mauritanie. Pire, elle se range toujours du côté des thèses du Gouvernement (dans les cas documentés du blogueur Ould Mkeitir, du Sénateur Ould Ghadda, des anti-esclavagistes, tous incarcérés dans des conditions ne respectant pas les engagements de la Mauritanie en matière de protection des Droits humains, en plus de la mise sous surveillance judiciaire de plusieurs journalistes pour museler la presse…). </w:t>
      </w:r>
    </w:p>
    <w:p w:rsidR="00D42B2B" w:rsidRDefault="00D42B2B" w:rsidP="00D42B2B">
      <w:pPr>
        <w:jc w:val="both"/>
        <w:rPr>
          <w:bCs/>
        </w:rPr>
      </w:pPr>
      <w:r>
        <w:rPr>
          <w:bCs/>
        </w:rPr>
        <w:t>Le Mécanisme National de Prévention de la Torture(MNP) :</w:t>
      </w:r>
      <w:r>
        <w:t xml:space="preserve">la Mauritanie a parfaitement adopté, en septembre 2015, la loi no 2015-034 instituant un mécanisme national de prévention de la torture, dont l’objectif est d’empêcher le recours à la torture et à d’autres peines ou traitements cruels, inhumains ou dégradants dans les lieux de détention. Cependant, il est regrettable que la création de ce MNP n’ait pas été conforme avec les règles et dispositions de la loi 2015-034. </w:t>
      </w:r>
      <w:r>
        <w:rPr>
          <w:bCs/>
        </w:rPr>
        <w:t>Nous regrettons fort le fait de mettre en place frauduleusement un MNP en éloignant les organisations de défense et de protection des droits de l’homme et leurs avoir substitué des membres d’organisation de protection du consommateur et autres membres d’organisations de protection de l’environnement, voire des fonctionnaires et des chefs de partie politiques sans aucune relation ni expérience dans le domaine de la protection des droits humains ou de la lutte contre la torture. Cela traduit une volonté de ne pas prendre des mesures pratiques efficaces pour que soient menées sans délai des enquêtes pénales approfondies, indépendantes et impartiales sur toutes les allégations de torture et mauvais traitements, et nous ne pouvons croire que dans de pareilles conditions, les auteurs des actes de torture craindront des sanctions et punitions par des peines appropriées.</w:t>
      </w:r>
    </w:p>
    <w:p w:rsidR="00D42B2B" w:rsidRDefault="00D42B2B" w:rsidP="00D42B2B">
      <w:pPr>
        <w:rPr>
          <w:rFonts w:ascii="Calibri" w:hAnsi="Calibri" w:cs="Calibri"/>
          <w:b/>
          <w:bCs/>
        </w:rPr>
      </w:pPr>
      <w:r>
        <w:rPr>
          <w:b/>
          <w:bCs/>
        </w:rPr>
        <w:t xml:space="preserve">Nous invitons le Comité contre la torture à recommander à l’Etat partie de </w:t>
      </w:r>
      <w:r>
        <w:rPr>
          <w:rFonts w:ascii="Calibri" w:hAnsi="Calibri" w:cs="Calibri"/>
          <w:b/>
          <w:bCs/>
        </w:rPr>
        <w:t>bien vouloir :</w:t>
      </w:r>
    </w:p>
    <w:p w:rsidR="00D42B2B" w:rsidRDefault="00D42B2B" w:rsidP="00D42B2B">
      <w:pPr>
        <w:pStyle w:val="ListParagraph"/>
        <w:numPr>
          <w:ilvl w:val="0"/>
          <w:numId w:val="5"/>
        </w:numPr>
        <w:jc w:val="both"/>
      </w:pPr>
      <w:r>
        <w:t>Refaire les élections au niveau de la CNDH et laisser la liberté nécessaire pour qu’elle s’organise sur des bases saines</w:t>
      </w:r>
    </w:p>
    <w:p w:rsidR="00D42B2B" w:rsidRDefault="00D42B2B" w:rsidP="00D42B2B">
      <w:pPr>
        <w:pStyle w:val="ListParagraph"/>
        <w:numPr>
          <w:ilvl w:val="0"/>
          <w:numId w:val="5"/>
        </w:numPr>
        <w:jc w:val="both"/>
      </w:pPr>
      <w:r>
        <w:t>Refaire la procédure de désignation des membres du MNP de manière participative, claire et transparente.</w:t>
      </w:r>
    </w:p>
    <w:p w:rsidR="00D42B2B" w:rsidRDefault="00D42B2B" w:rsidP="00D42B2B">
      <w:pPr>
        <w:pStyle w:val="ListParagraph"/>
        <w:numPr>
          <w:ilvl w:val="0"/>
          <w:numId w:val="5"/>
        </w:numPr>
        <w:jc w:val="both"/>
      </w:pPr>
      <w:r>
        <w:t>Permettre aux ONG nationales d’avoir des autorisations permanentes pour visiter les lieux de détention et de pouvoir effectuer des visites inopinées.</w:t>
      </w:r>
    </w:p>
    <w:p w:rsidR="00D42B2B" w:rsidRDefault="00D42B2B" w:rsidP="00D42B2B">
      <w:pPr>
        <w:pStyle w:val="ListParagraph"/>
        <w:jc w:val="both"/>
      </w:pPr>
    </w:p>
    <w:p w:rsidR="00D42B2B" w:rsidRDefault="00D42B2B" w:rsidP="00D42B2B">
      <w:pPr>
        <w:pStyle w:val="ListParagraph"/>
        <w:numPr>
          <w:ilvl w:val="0"/>
          <w:numId w:val="4"/>
        </w:numPr>
        <w:jc w:val="both"/>
        <w:rPr>
          <w:rFonts w:cstheme="minorHAnsi"/>
          <w:b/>
          <w:u w:val="single"/>
        </w:rPr>
      </w:pPr>
      <w:r>
        <w:rPr>
          <w:rFonts w:cstheme="minorHAnsi"/>
          <w:b/>
          <w:noProof/>
        </w:rPr>
        <w:t>Les garanties juridiques pour les personnes privées de liberté</w:t>
      </w:r>
    </w:p>
    <w:p w:rsidR="00D42B2B" w:rsidRDefault="00D42B2B" w:rsidP="00D42B2B">
      <w:pPr>
        <w:pStyle w:val="ListParagraph"/>
        <w:numPr>
          <w:ilvl w:val="0"/>
          <w:numId w:val="6"/>
        </w:numPr>
        <w:jc w:val="both"/>
        <w:rPr>
          <w:rFonts w:cstheme="minorHAnsi"/>
          <w:bCs/>
          <w:u w:val="single"/>
        </w:rPr>
      </w:pPr>
      <w:r>
        <w:rPr>
          <w:rFonts w:cstheme="minorHAnsi"/>
          <w:bCs/>
          <w:i/>
        </w:rPr>
        <w:lastRenderedPageBreak/>
        <w:t>Droit d’être informés des raisons de l’arrestation et d’être assisté par un conseiller :</w:t>
      </w:r>
    </w:p>
    <w:p w:rsidR="00D42B2B" w:rsidRDefault="00D42B2B" w:rsidP="00D42B2B">
      <w:pPr>
        <w:jc w:val="both"/>
        <w:rPr>
          <w:rFonts w:cstheme="minorHAnsi"/>
          <w:i/>
          <w:iCs/>
        </w:rPr>
      </w:pPr>
      <w:r>
        <w:rPr>
          <w:i/>
          <w:iCs/>
        </w:rPr>
        <w:t>SECTION V : Des interrogations et confrontations ART. 102 – du code des procédures pénales stipule : « Lors de la première comparution, le juge d’instruction constate l’identité de l’inculpé, lui fait connaître les faits qui lui sont imputés et reçoit ses déclarations. Si l’inculpation est maintenue, le magistrat donne avis à l’inculpé de son droit de choisir un conseil parmi les avocats défenseurs habilités à plaider devant les juridictions mauritaniennes. »</w:t>
      </w:r>
    </w:p>
    <w:p w:rsidR="00D42B2B" w:rsidRDefault="00D42B2B" w:rsidP="00D42B2B">
      <w:pPr>
        <w:jc w:val="both"/>
        <w:rPr>
          <w:rFonts w:cstheme="minorHAnsi"/>
        </w:rPr>
      </w:pPr>
      <w:r>
        <w:rPr>
          <w:rFonts w:cstheme="minorHAnsi"/>
        </w:rPr>
        <w:t>Le code des procédures pénale mauritanien ne reconnait pas le droit de l’inculpé à être informé des raisons de son arrestation, ni son droit d’être assisté par un conseiller aux premières heures d’arrestation, ni le droit d’être examiné par un Médecin, dès les premières heures d’arrestation, devant l’officier de police judiciaire(OPJ), malgré que cela constitue des facteurs capitaux symbolisant la réelle volonté de prévention de la torture.</w:t>
      </w:r>
    </w:p>
    <w:p w:rsidR="00D42B2B" w:rsidRDefault="00D42B2B" w:rsidP="00D42B2B">
      <w:pPr>
        <w:jc w:val="both"/>
        <w:rPr>
          <w:rFonts w:cstheme="minorHAnsi"/>
        </w:rPr>
      </w:pPr>
      <w:r>
        <w:rPr>
          <w:rFonts w:cstheme="minorHAnsi"/>
        </w:rPr>
        <w:t xml:space="preserve">En effet, pour mieux prévenir la torture, l’OPJ doit faire connaître à toute personne les motifs de sa mise en garde à vue et lui notifié son droit de choisir son assistant. Alors qu’il est bien précisé dans l’article 102 CPP que cette obligation prend effet dès le moment de la privation de liberté et que c’est le juge d’instruction qui doit lui notifier. </w:t>
      </w:r>
    </w:p>
    <w:p w:rsidR="00D42B2B" w:rsidRDefault="00D42B2B" w:rsidP="00D42B2B">
      <w:pPr>
        <w:jc w:val="both"/>
      </w:pPr>
      <w:r>
        <w:t>Le droit d’être examiné par un Médecin dès les premières heures de la garde à vue n’est pas prévu de même pour   les prévenues que  les condamnés.</w:t>
      </w:r>
    </w:p>
    <w:p w:rsidR="00D42B2B" w:rsidRDefault="00D42B2B" w:rsidP="00D42B2B">
      <w:pPr>
        <w:jc w:val="both"/>
      </w:pPr>
      <w:r>
        <w:t>En outre, la grande majorité de la population mauritanienne ne connaît pas ses droits en raison notamment de l’analphabétisme et du manque de politique de communication autour du système judiciaire. Les dispositions du Code de procédure pénale et du Code pénal ne sont pas connues. Les textes ne bénéficient pas d’une grande diffusion ni d’une grande promotion de la part de l’État et des ONG, qui manquent de moyens.</w:t>
      </w:r>
    </w:p>
    <w:p w:rsidR="00D42B2B" w:rsidRDefault="00D42B2B" w:rsidP="00D42B2B">
      <w:pPr>
        <w:jc w:val="both"/>
      </w:pPr>
      <w:r>
        <w:t>Une autre mesure préoccupante est le fait d’utiliser jusqu’à à nos jours un registre sous forme de papier dans les locaux de la Police Judiciaire (PJ), ce qui rend difficile le suivi et le contrôle, et favorisant l’abus et l’arbitraire, surtout en l’absence d’une charte d’éthique et de bonne conduite du personnel de la Police ou de la gendarmerie. Il est étonnant que les registres ne soient pas informatisés (pour empêcher de les perdre, d’être détruits volontairement ou non)</w:t>
      </w:r>
    </w:p>
    <w:p w:rsidR="00D42B2B" w:rsidRDefault="00D42B2B" w:rsidP="00D42B2B">
      <w:pPr>
        <w:jc w:val="both"/>
      </w:pPr>
      <w:r>
        <w:t>Nous recommandons qu’une charte d’éthique et de bonne conduite du personnel de la police soit affichée dans tous les commissariats et mentionner dans ses articles le droit de tout justiciable à la présence d’un avocat et à un examen médical dès les premières heures de la garde à vue, et permettant, dans les localités où il n’existe pas d’avocat, à la personne de se faire assister d’un parent ou d’un ami.  Aussi, obligeant les magistrats ou les fonctionnaires chargés de la mise en mouvement et de l’exercice de l’action publique à l’avertir de ce droit. Mention de cet avertissement et éventuellement du nom de l’avocat, du parent ou de l’ami est portée au procès-verbal.</w:t>
      </w:r>
    </w:p>
    <w:p w:rsidR="00D42B2B" w:rsidRDefault="00D42B2B" w:rsidP="00D42B2B">
      <w:pPr>
        <w:jc w:val="both"/>
      </w:pPr>
      <w:r>
        <w:t>En plus, chaque lieu de détention, doit être pourvu d’une infirmerie permettant de dispenser des soins courants et ceux de premières urgences et prévoir une fiche individuelle médicale pour chaque détenu, sur laquelle sont portées toutes indications relatives à l’état de santé à l’entrée et au traitement de l’intéressé au cours de son séjour. La fiche individuelle doit être jointe au dossier du détenu.</w:t>
      </w:r>
    </w:p>
    <w:p w:rsidR="00D42B2B" w:rsidRDefault="00D42B2B" w:rsidP="00D42B2B">
      <w:pPr>
        <w:jc w:val="both"/>
      </w:pPr>
      <w:r>
        <w:t>Autre forme de négligence de droit des détenues, est la précarité des infrastructures pénitentiaire, s’agissant de la situation des lieux de détention, la plus grande partie des lieux de détention appartient à des particuliers, destinées à l’habitation et non adaptée à la détention, ne disposent  pas d’infirmeries ni aération suffisantes, les toilettes aussi et les salles de détente ou sport n’existent pas ou ne sont  pas suffisamment aménagées.</w:t>
      </w:r>
    </w:p>
    <w:p w:rsidR="00D42B2B" w:rsidRDefault="00D42B2B" w:rsidP="00D42B2B">
      <w:pPr>
        <w:jc w:val="both"/>
      </w:pPr>
      <w:r>
        <w:t>Il est également urgent d’informatiser les registres de détention et de les rendre accessibles aux ONG, avocats et autres parties autorisées et de construire des lieux de détention sur les formes standard suivant les normes internationales.</w:t>
      </w:r>
    </w:p>
    <w:p w:rsidR="00D42B2B" w:rsidRDefault="00D42B2B" w:rsidP="00D42B2B">
      <w:pPr>
        <w:rPr>
          <w:b/>
          <w:bCs/>
        </w:rPr>
      </w:pPr>
      <w:r>
        <w:rPr>
          <w:b/>
          <w:bCs/>
        </w:rPr>
        <w:t xml:space="preserve">Nous invitons le Comité contre la torture à recommander à l’Etat partie :  </w:t>
      </w:r>
    </w:p>
    <w:p w:rsidR="00D42B2B" w:rsidRDefault="00D42B2B" w:rsidP="00D42B2B">
      <w:pPr>
        <w:jc w:val="both"/>
        <w:rPr>
          <w:b/>
          <w:bCs/>
        </w:rPr>
      </w:pPr>
      <w:r>
        <w:rPr>
          <w:b/>
          <w:bCs/>
        </w:rPr>
        <w:t xml:space="preserve">De mettre en œuvre des mesures pour assurer en pratique la notification des droits de toute personne gardée à vue,  notamment de garantir le droit d’entrer en contact avec un avocat et avec sa famille et le droit d’être examiné par un médecin.   </w:t>
      </w:r>
    </w:p>
    <w:p w:rsidR="00D42B2B" w:rsidRDefault="00D42B2B" w:rsidP="00D42B2B">
      <w:pPr>
        <w:pStyle w:val="ListParagraph"/>
        <w:numPr>
          <w:ilvl w:val="0"/>
          <w:numId w:val="6"/>
        </w:numPr>
        <w:rPr>
          <w:b/>
          <w:bCs/>
        </w:rPr>
      </w:pPr>
      <w:r>
        <w:rPr>
          <w:b/>
          <w:bCs/>
        </w:rPr>
        <w:t>L’aide juridictionnelle</w:t>
      </w:r>
    </w:p>
    <w:p w:rsidR="00D42B2B" w:rsidRDefault="00D42B2B" w:rsidP="00D42B2B">
      <w:pPr>
        <w:jc w:val="both"/>
        <w:rPr>
          <w:color w:val="FF0000"/>
        </w:rPr>
      </w:pPr>
      <w:r>
        <w:t>Dans la pratique, très peu de justiciables ont recours à l’assistance judiciaire car celle-ci est peu connue de ces derniers. L’assistance judiciaire en Mauritanie n’est pas connue pour être accessible, son fonctionnement et son financement soulève beaucoup d’interrogation</w:t>
      </w:r>
      <w:r>
        <w:rPr>
          <w:color w:val="FF0000"/>
        </w:rPr>
        <w:t>.</w:t>
      </w:r>
    </w:p>
    <w:p w:rsidR="00D42B2B" w:rsidRDefault="00D42B2B" w:rsidP="00D42B2B">
      <w:pPr>
        <w:jc w:val="both"/>
        <w:rPr>
          <w:color w:val="FF0000"/>
        </w:rPr>
      </w:pPr>
      <w:r>
        <w:rPr>
          <w:b/>
          <w:bCs/>
        </w:rPr>
        <w:t xml:space="preserve">Nous invitons le Comité contre la torture à recommander à l’Etat partie de </w:t>
      </w:r>
      <w:r>
        <w:rPr>
          <w:rFonts w:ascii="Calibri" w:hAnsi="Calibri" w:cs="Calibri"/>
          <w:b/>
          <w:bCs/>
        </w:rPr>
        <w:t>Bien vouloir :</w:t>
      </w:r>
    </w:p>
    <w:p w:rsidR="00D42B2B" w:rsidRDefault="00D42B2B" w:rsidP="00D42B2B">
      <w:pPr>
        <w:pStyle w:val="ListParagraph"/>
        <w:numPr>
          <w:ilvl w:val="0"/>
          <w:numId w:val="7"/>
        </w:numPr>
        <w:jc w:val="both"/>
        <w:rPr>
          <w:b/>
          <w:bCs/>
        </w:rPr>
      </w:pPr>
      <w:r>
        <w:rPr>
          <w:rFonts w:ascii="Calibri" w:hAnsi="Calibri" w:cs="Calibri"/>
          <w:b/>
          <w:bCs/>
        </w:rPr>
        <w:t>De prendre les mesures nécessaires pour améliorer le fonctionnement de l’assistance judiciaire dans l’ensemb</w:t>
      </w:r>
      <w:r>
        <w:rPr>
          <w:b/>
          <w:bCs/>
        </w:rPr>
        <w:t xml:space="preserve">le du pays. </w:t>
      </w:r>
    </w:p>
    <w:p w:rsidR="00D42B2B" w:rsidRDefault="00D42B2B" w:rsidP="00D42B2B">
      <w:pPr>
        <w:pStyle w:val="ListParagraph"/>
        <w:numPr>
          <w:ilvl w:val="0"/>
          <w:numId w:val="7"/>
        </w:numPr>
        <w:jc w:val="both"/>
        <w:rPr>
          <w:b/>
          <w:bCs/>
        </w:rPr>
      </w:pPr>
      <w:r>
        <w:rPr>
          <w:rFonts w:ascii="Calibri" w:hAnsi="Calibri" w:cs="Calibri"/>
          <w:b/>
          <w:bCs/>
        </w:rPr>
        <w:t>De rehausser et de mobiliser effectivement le budget alloué annuellement au programme d’assistance judiciaire. </w:t>
      </w:r>
    </w:p>
    <w:p w:rsidR="00D42B2B" w:rsidRDefault="00D42B2B" w:rsidP="00D42B2B">
      <w:pPr>
        <w:pStyle w:val="ListParagraph"/>
        <w:numPr>
          <w:ilvl w:val="0"/>
          <w:numId w:val="7"/>
        </w:numPr>
        <w:jc w:val="both"/>
        <w:rPr>
          <w:b/>
          <w:bCs/>
        </w:rPr>
      </w:pPr>
      <w:r>
        <w:rPr>
          <w:rFonts w:ascii="Calibri" w:hAnsi="Calibri" w:cs="Calibri"/>
          <w:b/>
          <w:bCs/>
        </w:rPr>
        <w:t xml:space="preserve">En application de l’article 10 de la convention, de recommandé à l’Etat partie à mettre en œuvre un programme de formation continue du personnel carcéral, qui prend en compte les modules essentiels suivant : </w:t>
      </w:r>
      <w:r>
        <w:t xml:space="preserve">Le besoin en formations porte essentiellement sur les modules suivants : </w:t>
      </w:r>
    </w:p>
    <w:p w:rsidR="00D42B2B" w:rsidRDefault="00D42B2B" w:rsidP="00D42B2B">
      <w:pPr>
        <w:pStyle w:val="ListParagraph"/>
        <w:numPr>
          <w:ilvl w:val="0"/>
          <w:numId w:val="8"/>
        </w:numPr>
        <w:jc w:val="both"/>
      </w:pPr>
      <w:r>
        <w:t>Au plan international : les règles minima des Nations Unies sur le traitement des détenus,</w:t>
      </w:r>
    </w:p>
    <w:p w:rsidR="00D42B2B" w:rsidRDefault="00D42B2B" w:rsidP="00D42B2B">
      <w:pPr>
        <w:pStyle w:val="ListParagraph"/>
        <w:numPr>
          <w:ilvl w:val="0"/>
          <w:numId w:val="8"/>
        </w:numPr>
        <w:jc w:val="both"/>
      </w:pPr>
      <w:r>
        <w:t xml:space="preserve">Au plan régional : le protocole de Kampala, </w:t>
      </w:r>
    </w:p>
    <w:p w:rsidR="00D42B2B" w:rsidRDefault="00D42B2B" w:rsidP="00D42B2B">
      <w:pPr>
        <w:pStyle w:val="ListParagraph"/>
        <w:numPr>
          <w:ilvl w:val="0"/>
          <w:numId w:val="8"/>
        </w:numPr>
        <w:jc w:val="both"/>
      </w:pPr>
      <w:r>
        <w:t>au niveau national : les extraits de la Constitution,</w:t>
      </w:r>
    </w:p>
    <w:p w:rsidR="00D42B2B" w:rsidRDefault="00D42B2B" w:rsidP="00D42B2B">
      <w:pPr>
        <w:pStyle w:val="ListParagraph"/>
        <w:numPr>
          <w:ilvl w:val="0"/>
          <w:numId w:val="8"/>
        </w:numPr>
        <w:jc w:val="both"/>
      </w:pPr>
      <w:r>
        <w:t xml:space="preserve">Le décret portant réglementation des établissements pénitentiaires et fixant les modalités d’exécution des peines privatives de liberté et l’ensemble des règles relatifs au respect des droits des détenus ; </w:t>
      </w:r>
    </w:p>
    <w:p w:rsidR="00D42B2B" w:rsidRDefault="00D42B2B" w:rsidP="00D42B2B">
      <w:r>
        <w:t xml:space="preserve">Les gardes pénitentiaires doivent suivre avec intérêt l’intégralité de ces modules de formation. </w:t>
      </w:r>
    </w:p>
    <w:p w:rsidR="00D42B2B" w:rsidRDefault="00D42B2B" w:rsidP="00D42B2B">
      <w:pPr>
        <w:pStyle w:val="ListParagraph"/>
        <w:numPr>
          <w:ilvl w:val="0"/>
          <w:numId w:val="3"/>
        </w:numPr>
        <w:rPr>
          <w:b/>
          <w:bCs/>
        </w:rPr>
      </w:pPr>
      <w:r>
        <w:rPr>
          <w:b/>
          <w:bCs/>
        </w:rPr>
        <w:t xml:space="preserve"> Article 11 : Traitement des personnes privées de liberté   </w:t>
      </w:r>
    </w:p>
    <w:p w:rsidR="00D42B2B" w:rsidRDefault="00D42B2B" w:rsidP="00D42B2B">
      <w:pPr>
        <w:rPr>
          <w:b/>
          <w:bCs/>
        </w:rPr>
      </w:pPr>
      <w:r>
        <w:rPr>
          <w:b/>
          <w:bCs/>
        </w:rPr>
        <w:t xml:space="preserve">1. La garde à vue  </w:t>
      </w:r>
    </w:p>
    <w:p w:rsidR="00D42B2B" w:rsidRDefault="00D42B2B" w:rsidP="00D42B2B">
      <w:pPr>
        <w:jc w:val="both"/>
      </w:pPr>
      <w:r>
        <w:rPr>
          <w:rFonts w:ascii="Calibri" w:hAnsi="Calibri" w:cs="Calibri"/>
        </w:rPr>
        <w:t xml:space="preserve">Les délais de garde à vue : le délai légal de la garde à vue est de </w:t>
      </w:r>
      <w:r>
        <w:t>quarante-huit heures. Ce délai peut être prolongé d’un nouveau délai de quarante-huit heures sur autorisation du Procureur de la République ou du Juge d’instruction. La réalité montre que les gardes à vue excèdent bien souvent les 96 heures légales En effet, devant l’inertie des parquetiers, les Officiers de police judiciaire décident unilatéralement de la prolongation des gardes à vue, les OPJ prennent souvent l’initiative de la prorogation de la durée de la garde à vue en affirmant avoir averti le Procureur préalablement par téléphone. Comme les contrôles des registres de garde à vue par les magistrats sont rares, voire inexistants, cette pratique tend à se généraliser.</w:t>
      </w:r>
    </w:p>
    <w:p w:rsidR="00D42B2B" w:rsidRDefault="00D42B2B" w:rsidP="00D42B2B">
      <w:pPr>
        <w:rPr>
          <w:color w:val="FF0000"/>
        </w:rPr>
      </w:pPr>
      <w:r>
        <w:rPr>
          <w:b/>
          <w:bCs/>
        </w:rPr>
        <w:t>2. La détention préventive</w:t>
      </w:r>
      <w:r>
        <w:rPr>
          <w:color w:val="FF0000"/>
        </w:rPr>
        <w:t> :</w:t>
      </w:r>
    </w:p>
    <w:p w:rsidR="00D42B2B" w:rsidRDefault="00D42B2B" w:rsidP="00D42B2B">
      <w:pPr>
        <w:jc w:val="both"/>
        <w:rPr>
          <w:i/>
          <w:iCs/>
          <w:color w:val="FF0000"/>
        </w:rPr>
      </w:pPr>
      <w:r>
        <w:t xml:space="preserve">SECTION VII : De la détention préventive ART. 123 –  du CPP ; </w:t>
      </w:r>
      <w:r>
        <w:rPr>
          <w:i/>
          <w:iCs/>
        </w:rPr>
        <w:t>« La détention préventive ne doit être ordonnée par le juge d’instruction que lorsqu’elle est justifiée soit par la gravité des faits, soit par la nécessité d’empêcher la disparition des preuves de l’infraction, la fuite de l’inculpé ou la commission de nouvelles infractions »</w:t>
      </w:r>
      <w:r>
        <w:t>. « Dans</w:t>
      </w:r>
      <w:r>
        <w:rPr>
          <w:i/>
          <w:iCs/>
        </w:rPr>
        <w:t xml:space="preserve"> tous les cas de détention préventive, le juge d’instruction est tenu de hâter le plus possible le déroulement de l’information. Il est responsable, à peine de prise à partie, de toute négligence qui aurait inutilement retardé l’instruction et prolongé la détention préventive. »</w:t>
      </w:r>
    </w:p>
    <w:p w:rsidR="00D42B2B" w:rsidRDefault="00D42B2B" w:rsidP="00D42B2B">
      <w:pPr>
        <w:jc w:val="both"/>
      </w:pPr>
      <w:r>
        <w:t>Un exemple : cas de détention préventive prolongée au-delà des délais légaux relevés par nos organisations :</w:t>
      </w:r>
    </w:p>
    <w:p w:rsidR="00D42B2B" w:rsidRDefault="00D42B2B" w:rsidP="00D42B2B">
      <w:pPr>
        <w:jc w:val="both"/>
        <w:rPr>
          <w:b/>
          <w:bCs/>
          <w:i/>
          <w:iCs/>
        </w:rPr>
      </w:pPr>
      <w:r>
        <w:rPr>
          <w:b/>
          <w:bCs/>
          <w:i/>
          <w:iCs/>
        </w:rPr>
        <w:t>NOMS ET PRENOMS (Initiales) Mohamed Ghada</w:t>
      </w:r>
    </w:p>
    <w:p w:rsidR="00D42B2B" w:rsidRDefault="00D42B2B" w:rsidP="00D42B2B">
      <w:pPr>
        <w:jc w:val="both"/>
      </w:pPr>
      <w:r>
        <w:t>Accusation : Corruption</w:t>
      </w:r>
    </w:p>
    <w:p w:rsidR="00D42B2B" w:rsidRDefault="00D42B2B" w:rsidP="00D42B2B">
      <w:pPr>
        <w:pStyle w:val="ListParagraph"/>
        <w:numPr>
          <w:ilvl w:val="0"/>
          <w:numId w:val="9"/>
        </w:numPr>
        <w:jc w:val="both"/>
      </w:pPr>
      <w:r>
        <w:t>DUREE DE DETENTION : 10 mois</w:t>
      </w:r>
    </w:p>
    <w:p w:rsidR="00D42B2B" w:rsidRDefault="00D42B2B" w:rsidP="00D42B2B">
      <w:pPr>
        <w:pStyle w:val="ListParagraph"/>
        <w:numPr>
          <w:ilvl w:val="0"/>
          <w:numId w:val="9"/>
        </w:numPr>
        <w:jc w:val="both"/>
      </w:pPr>
      <w:r>
        <w:t>Autres sénateurs et journalistes accusés d’acceptation de la corruption sont en surveillance judiciaire depuis plus de 10 moi. Les passeports des journalistes ont été confisqués, les privant ainsi de leur liberté de mouvement, ce qui indiquent aussi une volonté manifeste d’intimidation et de restriction de la liberté d’expression, les journalistes incriminés étant tous connus pour leur opposition aux changements constitutionnels intervenus en 2017 (situation qu’ils partagent avec les sénateurs poursuivis). Rappelons que les Sénateurs étaient encore des parlementaires au moment de leur arrestation et jouissent donc en principe de l’immunité parlementaire.</w:t>
      </w:r>
    </w:p>
    <w:p w:rsidR="00D42B2B" w:rsidRDefault="00D42B2B" w:rsidP="00D42B2B">
      <w:pPr>
        <w:jc w:val="both"/>
      </w:pPr>
      <w:r>
        <w:t>Les statistiques de l’administration pénitentiaire indiquent un taux moyen de 38.7 % de prévenus parmi les détenus. Certains totalisent plus 12 mois de détention préventive et même au-delà de 3 ans. Cette situation est non seulement inacceptable mais elle contribue également grandement à la surpopulation carcérale déjà préoccupante. En outre, dans plusieurs maisons d’arrêt et de correction, les prévenus ne sont pas séparés des condamnés et ne bénéficient pas de régime distinct.</w:t>
      </w:r>
    </w:p>
    <w:p w:rsidR="00D42B2B" w:rsidRDefault="00D42B2B" w:rsidP="00D42B2B">
      <w:pPr>
        <w:pStyle w:val="ListParagraph"/>
        <w:numPr>
          <w:ilvl w:val="0"/>
          <w:numId w:val="9"/>
        </w:numPr>
        <w:rPr>
          <w:b/>
          <w:bCs/>
        </w:rPr>
      </w:pPr>
      <w:r>
        <w:rPr>
          <w:b/>
          <w:bCs/>
        </w:rPr>
        <w:t>Délai de programmation du procès :</w:t>
      </w:r>
    </w:p>
    <w:p w:rsidR="00D42B2B" w:rsidRDefault="00D42B2B" w:rsidP="00D42B2B">
      <w:pPr>
        <w:jc w:val="both"/>
      </w:pPr>
      <w:r>
        <w:t xml:space="preserve">Art123 : « Le juge d’instruction est tenu de hâter le plus possible le déroulement de l’information. Il est responsable, à peine de prise à partie, de toute négligence qui aurait inutilement retardé l’instruction et prolongé la détention préventive. » </w:t>
      </w:r>
    </w:p>
    <w:p w:rsidR="00D42B2B" w:rsidRDefault="00D42B2B" w:rsidP="00D42B2B">
      <w:pPr>
        <w:ind w:firstLine="708"/>
        <w:jc w:val="both"/>
      </w:pPr>
      <w:r>
        <w:t xml:space="preserve">Cet article du CPP visant à prévenir le prolongement de la détention, porte à confusion, il est seulement indiqué que le juge d’instruction est tenu de hâter le plus possible, cela peut durer très longtemps. </w:t>
      </w:r>
    </w:p>
    <w:p w:rsidR="00D42B2B" w:rsidRDefault="00D42B2B" w:rsidP="00D42B2B">
      <w:pPr>
        <w:ind w:firstLine="708"/>
        <w:jc w:val="both"/>
      </w:pPr>
      <w:r>
        <w:t>Un autre fait souligné en pratique, lors de nos enquêtes, c’est qu’une fois l’instruction bouclée, les dossiers sont transmis au procureur à qui revient la charge de transmettre le dossier à la juridiction compétente pour la programmation du procès.  Nous avons constaté quelque cas de violation de la procédure et des droits de ladéfense, parfoisle juge d’instruction ne donne pas suffisamment d’informations sur des éléments permettant à l’équipe de la défense de trouver les preuves dont ils ont besoin, sur lesquelles ils  peuvent fonder leurs travaille, et le procureur aussi  cache souvent ces éléments de preuve nécessaires pour la défense, ce qui ralenti la procédure et prolonge la détention. Donc la pratique de rétention de l’information pratiquée en complicité entre le parquet, la chambre d’accusation et le juge d’instruction est une violation grave de la procédure et une aussi violation flagrante des droits de la défense.</w:t>
      </w:r>
    </w:p>
    <w:p w:rsidR="00D42B2B" w:rsidRDefault="00D42B2B" w:rsidP="00D42B2B">
      <w:pPr>
        <w:ind w:firstLine="708"/>
        <w:jc w:val="both"/>
      </w:pPr>
      <w:r>
        <w:t>Exemple : Cas revendiqué par l’équipe de défense des sénateurs en surveillance juridique et Mohamed Ghade qui est en détention préventive. La défense n’arrive pas à trouver le clef USB supposée avoir des informations de valeur pour l’inculpation des sénateurs.</w:t>
      </w:r>
    </w:p>
    <w:p w:rsidR="00D42B2B" w:rsidRDefault="00D42B2B" w:rsidP="00D42B2B">
      <w:pPr>
        <w:jc w:val="both"/>
      </w:pPr>
      <w:r>
        <w:t xml:space="preserve">  Une autre raison de ces détentions injustifiées est l’insuffisance de moyens matériels, financiers et humains pour mener les enquêtes criminelles. Par exemple, un médecin légiste ou un psychologue, requis dans le cadre d’une telle enquête, est usuellement mal payé. Ils ne sont donc pas motivés et sont en nombre réduits. Ils ne sont pas présents dans toutes les juridictions. Cette situation allonge anormalement les temps d’enquête. Ajouter à cela, la difficulté de constitution des Cour d’assises. Alors qu’elles sont prévues pour se tenir tous les mois, elles ont du mal à se tenir régulièrement. Toutes ces raisons contribuent à maintenir un taux élevé de détenus en détention préventive et ce parfois de façon injustifiée. </w:t>
      </w:r>
    </w:p>
    <w:p w:rsidR="00D42B2B" w:rsidRDefault="00D42B2B" w:rsidP="00D42B2B">
      <w:pPr>
        <w:jc w:val="both"/>
      </w:pPr>
      <w:r>
        <w:t>Les détentions préventives injustifiées constituent la cause principale de surpeuplement des prisons, et un instrument gouvernemental pour les représailles et intimidation.  Ce problème de détention préventive est encore très critique actuellement puisqu’elles représentent encore environ 38.07% de la population carcérale, En 30/5/2018, le nombre total des détenues est de 2398, dont 913 sont en détention préventive, et 1485 condamnés.</w:t>
      </w:r>
    </w:p>
    <w:p w:rsidR="00D42B2B" w:rsidRDefault="00D42B2B" w:rsidP="00D42B2B">
      <w:pPr>
        <w:rPr>
          <w:rFonts w:ascii="Calibri" w:hAnsi="Calibri" w:cs="Calibri"/>
          <w:b/>
          <w:bCs/>
          <w:color w:val="FF0000"/>
          <w:sz w:val="24"/>
          <w:szCs w:val="24"/>
        </w:rPr>
      </w:pPr>
      <w:r>
        <w:rPr>
          <w:b/>
          <w:bCs/>
          <w:sz w:val="24"/>
          <w:szCs w:val="24"/>
        </w:rPr>
        <w:t>Conclusion :</w:t>
      </w:r>
    </w:p>
    <w:p w:rsidR="00D42B2B" w:rsidRDefault="00D42B2B" w:rsidP="00D42B2B">
      <w:pPr>
        <w:jc w:val="both"/>
      </w:pPr>
      <w:r>
        <w:rPr>
          <w:rFonts w:ascii="Calibri" w:hAnsi="Calibri" w:cs="Calibri"/>
        </w:rPr>
        <w:t>Eu égard  à la  faiblesse considérable des institutions nationales de protection des droits de l’homme et au manque de communication au tour du système judicaire,  il ne serait  pas excessif de dire que  la Mauritanie agit en violation de nombreuses dispositions de sa Constitution, et des pactes et conventions internationaux,  particulièrement,  les articles qui statuent sur le droit à la vie, l’interdiction de la torture et des peines ou traitements cruels,</w:t>
      </w:r>
      <w:r>
        <w:t xml:space="preserve"> inhumains ou dégradants, la protection des personnes contre la traite et autres formes d’esclavage,  l’interdiction de toute arrestation arbitraire ou de détention arbitraire et enfin le droit à une procédure judiciaire juste, équitable et exhaustive.</w:t>
      </w:r>
    </w:p>
    <w:p w:rsidR="00D42B2B" w:rsidRDefault="00D42B2B" w:rsidP="00D42B2B">
      <w:pPr>
        <w:jc w:val="both"/>
      </w:pPr>
      <w:r>
        <w:t>Nous recommandons par conséquent à l’Etat partie de :</w:t>
      </w:r>
    </w:p>
    <w:p w:rsidR="00D42B2B" w:rsidRDefault="00D42B2B" w:rsidP="00D42B2B">
      <w:pPr>
        <w:pStyle w:val="ListParagraph"/>
        <w:numPr>
          <w:ilvl w:val="0"/>
          <w:numId w:val="10"/>
        </w:numPr>
        <w:jc w:val="both"/>
      </w:pPr>
      <w:r>
        <w:t xml:space="preserve">Mettre fin à ces institutions défaillantes et réorganiser leur renouvellement sans délais, qui soit surveillé par une commission indépendante mixte. </w:t>
      </w:r>
    </w:p>
    <w:p w:rsidR="00D42B2B" w:rsidRDefault="00D42B2B" w:rsidP="00D42B2B">
      <w:pPr>
        <w:pStyle w:val="ListParagraph"/>
        <w:numPr>
          <w:ilvl w:val="0"/>
          <w:numId w:val="10"/>
        </w:numPr>
        <w:jc w:val="both"/>
      </w:pPr>
      <w:r>
        <w:t>Et mettre en œuvre une cellule nationale de lutte contre la traite des personnes dépendant directement de la présidence ou de premier Ministre.</w:t>
      </w:r>
    </w:p>
    <w:p w:rsidR="00D42B2B" w:rsidRDefault="00D42B2B" w:rsidP="00D42B2B">
      <w:pPr>
        <w:pStyle w:val="ListParagraph"/>
        <w:numPr>
          <w:ilvl w:val="0"/>
          <w:numId w:val="10"/>
        </w:numPr>
        <w:jc w:val="both"/>
      </w:pPr>
      <w:r>
        <w:t xml:space="preserve">Mettre en place un comité national indépendant pour la lutte contre la gabegie. </w:t>
      </w:r>
    </w:p>
    <w:p w:rsidR="00D42B2B" w:rsidRDefault="00D42B2B" w:rsidP="00D42B2B">
      <w:pPr>
        <w:pStyle w:val="ListParagraph"/>
        <w:numPr>
          <w:ilvl w:val="0"/>
          <w:numId w:val="10"/>
        </w:numPr>
        <w:jc w:val="both"/>
      </w:pPr>
      <w:r>
        <w:t>Installer dans chaque tribunal régionale un bureau d’accueil et d’orientation pour renforcer la communication au tour du système judiciaire.</w:t>
      </w:r>
    </w:p>
    <w:p w:rsidR="00D42B2B" w:rsidRDefault="00D42B2B" w:rsidP="00D42B2B">
      <w:pPr>
        <w:pStyle w:val="ListParagraph"/>
        <w:numPr>
          <w:ilvl w:val="0"/>
          <w:numId w:val="10"/>
        </w:numPr>
        <w:jc w:val="both"/>
      </w:pPr>
      <w:r>
        <w:t>Mettre en œuvre le plan d’action nationale de lutte contre la discrimination raciale</w:t>
      </w:r>
    </w:p>
    <w:p w:rsidR="00D42B2B" w:rsidRDefault="00D42B2B" w:rsidP="00D42B2B">
      <w:pPr>
        <w:pStyle w:val="ListParagraph"/>
        <w:numPr>
          <w:ilvl w:val="0"/>
          <w:numId w:val="10"/>
        </w:numPr>
        <w:jc w:val="both"/>
      </w:pPr>
      <w:r>
        <w:t>Favoriser la Prise des mesures alternatives à la détention préventive.</w:t>
      </w:r>
    </w:p>
    <w:p w:rsidR="00D42B2B" w:rsidRDefault="00D42B2B" w:rsidP="00D42B2B">
      <w:pPr>
        <w:pStyle w:val="ListParagraph"/>
        <w:numPr>
          <w:ilvl w:val="0"/>
          <w:numId w:val="10"/>
        </w:numPr>
        <w:jc w:val="both"/>
      </w:pPr>
      <w:r>
        <w:t>Appliquer fermement l’article 123 du CPP relative aux conditions de la mise en détention préventive.</w:t>
      </w:r>
    </w:p>
    <w:p w:rsidR="00D42B2B" w:rsidRDefault="00D42B2B" w:rsidP="00D42B2B"/>
    <w:p w:rsidR="00D42B2B" w:rsidRDefault="00D42B2B" w:rsidP="00D42B2B"/>
    <w:p w:rsidR="00D42B2B" w:rsidRDefault="00D42B2B" w:rsidP="00D42B2B">
      <w:r>
        <w:t>Merci pour votre attention</w:t>
      </w:r>
    </w:p>
    <w:p w:rsidR="00D7054D" w:rsidRDefault="00D7054D"/>
    <w:sectPr w:rsidR="00D7054D" w:rsidSect="00D705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2AFF" w:usb1="C000247B" w:usb2="00000009" w:usb3="00000000" w:csb0="000001FF" w:csb1="00000000"/>
  </w:font>
  <w:font w:name="Arial">
    <w:altName w:val="Arial Narrow"/>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49158A"/>
    <w:multiLevelType w:val="hybridMultilevel"/>
    <w:tmpl w:val="1F30E2EC"/>
    <w:lvl w:ilvl="0" w:tplc="040C0003">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
    <w:nsid w:val="30E444ED"/>
    <w:multiLevelType w:val="hybridMultilevel"/>
    <w:tmpl w:val="FF80785C"/>
    <w:lvl w:ilvl="0" w:tplc="040C0019">
      <w:start w:val="1"/>
      <w:numFmt w:val="lowerLetter"/>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
    <w:nsid w:val="373658D2"/>
    <w:multiLevelType w:val="hybridMultilevel"/>
    <w:tmpl w:val="61C2E744"/>
    <w:lvl w:ilvl="0" w:tplc="040C0019">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
    <w:nsid w:val="3A517BEF"/>
    <w:multiLevelType w:val="hybridMultilevel"/>
    <w:tmpl w:val="A6768E92"/>
    <w:lvl w:ilvl="0" w:tplc="BC7EBE94">
      <w:start w:val="2"/>
      <w:numFmt w:val="bullet"/>
      <w:lvlText w:val="-"/>
      <w:lvlJc w:val="left"/>
      <w:pPr>
        <w:ind w:left="720" w:hanging="360"/>
      </w:pPr>
      <w:rPr>
        <w:rFonts w:ascii="Calibri" w:eastAsiaTheme="minorHAnsi" w:hAnsi="Calibri" w:cstheme="minorBidi"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
    <w:nsid w:val="3BBA0F6B"/>
    <w:multiLevelType w:val="hybridMultilevel"/>
    <w:tmpl w:val="593EFE58"/>
    <w:lvl w:ilvl="0" w:tplc="040C000F">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5">
    <w:nsid w:val="5F0E6C1F"/>
    <w:multiLevelType w:val="hybridMultilevel"/>
    <w:tmpl w:val="56743458"/>
    <w:lvl w:ilvl="0" w:tplc="040C0011">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6">
    <w:nsid w:val="618E4628"/>
    <w:multiLevelType w:val="hybridMultilevel"/>
    <w:tmpl w:val="2CB69308"/>
    <w:lvl w:ilvl="0" w:tplc="040C0019">
      <w:start w:val="1"/>
      <w:numFmt w:val="lowerLetter"/>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7">
    <w:nsid w:val="66F463FA"/>
    <w:multiLevelType w:val="hybridMultilevel"/>
    <w:tmpl w:val="8536DF74"/>
    <w:lvl w:ilvl="0" w:tplc="4B8CB5F8">
      <w:numFmt w:val="bullet"/>
      <w:lvlText w:val="-"/>
      <w:lvlJc w:val="left"/>
      <w:pPr>
        <w:ind w:left="720" w:hanging="360"/>
      </w:pPr>
      <w:rPr>
        <w:rFonts w:ascii="Calibri" w:eastAsiaTheme="minorHAnsi" w:hAnsi="Calibri" w:cs="Calibri" w:hint="default"/>
        <w:b/>
        <w:color w:val="auto"/>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8">
    <w:nsid w:val="768C253F"/>
    <w:multiLevelType w:val="hybridMultilevel"/>
    <w:tmpl w:val="53FEC4CE"/>
    <w:lvl w:ilvl="0" w:tplc="040C000B">
      <w:start w:val="1"/>
      <w:numFmt w:val="bullet"/>
      <w:lvlText w:val=""/>
      <w:lvlJc w:val="left"/>
      <w:pPr>
        <w:ind w:left="756"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9">
    <w:nsid w:val="7E7D502F"/>
    <w:multiLevelType w:val="hybridMultilevel"/>
    <w:tmpl w:val="EB26C9F0"/>
    <w:lvl w:ilvl="0" w:tplc="148CBD4E">
      <w:start w:val="1"/>
      <w:numFmt w:val="upperRoman"/>
      <w:lvlText w:val="%1-"/>
      <w:lvlJc w:val="left"/>
      <w:pPr>
        <w:ind w:left="1080" w:hanging="72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B2B"/>
    <w:rsid w:val="007F25A3"/>
    <w:rsid w:val="00AC0B77"/>
    <w:rsid w:val="00D42B2B"/>
    <w:rsid w:val="00D7054D"/>
    <w:rsid w:val="00D85CA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docId w15:val="{A47B3B96-7CA8-4E4D-B7E9-60A4FB1CA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2B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2B2B"/>
    <w:rPr>
      <w:color w:val="6633CC"/>
      <w:u w:val="single"/>
    </w:rPr>
  </w:style>
  <w:style w:type="paragraph" w:styleId="Footer">
    <w:name w:val="footer"/>
    <w:basedOn w:val="Normal"/>
    <w:link w:val="FooterChar"/>
    <w:uiPriority w:val="99"/>
    <w:semiHidden/>
    <w:unhideWhenUsed/>
    <w:rsid w:val="00D42B2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42B2B"/>
  </w:style>
  <w:style w:type="paragraph" w:styleId="ListParagraph">
    <w:name w:val="List Paragraph"/>
    <w:basedOn w:val="Normal"/>
    <w:uiPriority w:val="34"/>
    <w:qFormat/>
    <w:rsid w:val="00D42B2B"/>
    <w:pPr>
      <w:ind w:left="720"/>
      <w:contextualSpacing/>
    </w:pPr>
  </w:style>
  <w:style w:type="paragraph" w:customStyle="1" w:styleId="Gnrique">
    <w:name w:val="Générique"/>
    <w:basedOn w:val="Normal"/>
    <w:rsid w:val="00D42B2B"/>
    <w:pPr>
      <w:spacing w:after="0" w:line="300" w:lineRule="auto"/>
    </w:pPr>
    <w:rPr>
      <w:rFonts w:ascii="Arial" w:eastAsia="Times New Roman" w:hAnsi="Arial" w:cs="Arial"/>
      <w:caps/>
      <w:color w:val="085296"/>
      <w:kern w:val="28"/>
      <w:sz w:val="12"/>
      <w:szCs w:val="1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802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ng_ated@yahoo.fr"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mailto:ong_ated@yahoo.f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emf"/><Relationship Id="rId15" Type="http://schemas.openxmlformats.org/officeDocument/2006/relationships/customXml" Target="../customXml/item3.xml"/><Relationship Id="rId10" Type="http://schemas.openxmlformats.org/officeDocument/2006/relationships/hyperlink" Target="mailto:omadhd2@yahoo.com" TargetMode="External"/><Relationship Id="rId4" Type="http://schemas.openxmlformats.org/officeDocument/2006/relationships/webSettings" Target="webSettings.xml"/><Relationship Id="rId9" Type="http://schemas.openxmlformats.org/officeDocument/2006/relationships/hyperlink" Target="mailto:omadhd2@yahoo.com" TargetMode="External"/><Relationship Id="rId14"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7007C0-C665-44DC-BC0B-097AE505ADE6}"/>
</file>

<file path=customXml/itemProps2.xml><?xml version="1.0" encoding="utf-8"?>
<ds:datastoreItem xmlns:ds="http://schemas.openxmlformats.org/officeDocument/2006/customXml" ds:itemID="{EE93A045-0B3E-4E48-B75D-FA04C2E896BD}"/>
</file>

<file path=customXml/itemProps3.xml><?xml version="1.0" encoding="utf-8"?>
<ds:datastoreItem xmlns:ds="http://schemas.openxmlformats.org/officeDocument/2006/customXml" ds:itemID="{23EC50B8-AAEC-405B-AD95-33DFDD3696F7}"/>
</file>

<file path=docProps/app.xml><?xml version="1.0" encoding="utf-8"?>
<Properties xmlns="http://schemas.openxmlformats.org/officeDocument/2006/extended-properties" xmlns:vt="http://schemas.openxmlformats.org/officeDocument/2006/docPropsVTypes">
  <Template>Normal.dotm</Template>
  <TotalTime>1</TotalTime>
  <Pages>9</Pages>
  <Words>2993</Words>
  <Characters>17064</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TRILLO DIAZ Liliana</cp:lastModifiedBy>
  <cp:revision>2</cp:revision>
  <dcterms:created xsi:type="dcterms:W3CDTF">2018-07-03T11:48:00Z</dcterms:created>
  <dcterms:modified xsi:type="dcterms:W3CDTF">2018-07-03T11:48:00Z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