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9046E" w14:textId="77777777" w:rsidR="002331FB" w:rsidRPr="002331FB" w:rsidRDefault="002331FB" w:rsidP="002331FB">
      <w:pPr>
        <w:spacing w:line="256" w:lineRule="auto"/>
        <w:jc w:val="center"/>
        <w:rPr>
          <w:rFonts w:ascii="Arial" w:eastAsia="Calibri" w:hAnsi="Arial" w:cs="Arial"/>
          <w:b/>
          <w:bCs/>
          <w:sz w:val="28"/>
          <w:szCs w:val="28"/>
        </w:rPr>
      </w:pPr>
      <w:r w:rsidRPr="002331FB">
        <w:rPr>
          <w:rFonts w:ascii="Arial" w:eastAsia="Calibri" w:hAnsi="Arial" w:cs="Arial"/>
          <w:b/>
          <w:noProof/>
          <w:sz w:val="28"/>
          <w:szCs w:val="28"/>
        </w:rPr>
        <w:drawing>
          <wp:inline distT="0" distB="0" distL="0" distR="0" wp14:anchorId="03D1E877" wp14:editId="50A368F5">
            <wp:extent cx="914400" cy="1162050"/>
            <wp:effectExtent l="0" t="0" r="0" b="0"/>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1162050"/>
                    </a:xfrm>
                    <a:prstGeom prst="rect">
                      <a:avLst/>
                    </a:prstGeom>
                    <a:noFill/>
                    <a:ln>
                      <a:noFill/>
                    </a:ln>
                  </pic:spPr>
                </pic:pic>
              </a:graphicData>
            </a:graphic>
          </wp:inline>
        </w:drawing>
      </w:r>
    </w:p>
    <w:p w14:paraId="130B9F9E" w14:textId="04FF7E6D" w:rsidR="002331FB" w:rsidRPr="002331FB" w:rsidRDefault="002331FB" w:rsidP="002331FB">
      <w:pPr>
        <w:spacing w:line="256" w:lineRule="auto"/>
        <w:jc w:val="center"/>
        <w:rPr>
          <w:rFonts w:ascii="Arial" w:eastAsia="Calibri" w:hAnsi="Arial" w:cs="Arial"/>
          <w:b/>
          <w:bCs/>
          <w:sz w:val="26"/>
          <w:szCs w:val="26"/>
        </w:rPr>
      </w:pPr>
      <w:r w:rsidRPr="002331FB">
        <w:rPr>
          <w:rFonts w:ascii="Arial" w:eastAsia="Calibri" w:hAnsi="Arial" w:cs="Arial"/>
          <w:b/>
          <w:bCs/>
          <w:sz w:val="26"/>
          <w:szCs w:val="26"/>
        </w:rPr>
        <w:t>INFORME DE LA COMISIÓN NACIONAL DE LOS DERECHOS HUMANOS DE MÉXICO (CN</w:t>
      </w:r>
      <w:r w:rsidRPr="004F0A4B">
        <w:rPr>
          <w:rFonts w:ascii="Arial" w:eastAsia="Calibri" w:hAnsi="Arial" w:cs="Arial"/>
          <w:b/>
          <w:bCs/>
          <w:sz w:val="26"/>
          <w:szCs w:val="26"/>
        </w:rPr>
        <w:t>D</w:t>
      </w:r>
      <w:r w:rsidRPr="002331FB">
        <w:rPr>
          <w:rFonts w:ascii="Arial" w:eastAsia="Calibri" w:hAnsi="Arial" w:cs="Arial"/>
          <w:b/>
          <w:bCs/>
          <w:sz w:val="26"/>
          <w:szCs w:val="26"/>
        </w:rPr>
        <w:t>H), CON MOTIVO DE</w:t>
      </w:r>
      <w:r w:rsidR="00755C4F" w:rsidRPr="004F0A4B">
        <w:rPr>
          <w:rFonts w:ascii="Arial" w:eastAsia="Calibri" w:hAnsi="Arial" w:cs="Arial"/>
          <w:b/>
          <w:bCs/>
          <w:sz w:val="26"/>
          <w:szCs w:val="26"/>
        </w:rPr>
        <w:t xml:space="preserve">L EXAMEN DEL INFORME DE SEGUIMIENTO PRESENTADO POR LOS ESTADOS UNIDOS MEXICANOS SOBRE LAS PRINCIPALES RECOMENDACIONES CONTENIDAS EN LAS OBSERVACIONES FINALES DEL COMITÉ DE PROTECCIÓN DE LOS DERECHOS DE TODOS LOS TRABAJADORES MIGRATORIOS Y DE SUS FAMILIARES (CMW) SOBRE EL TERCER INFORME PERIÓDICO DE MÉXICO </w:t>
      </w:r>
    </w:p>
    <w:p w14:paraId="3FF737F5" w14:textId="77777777" w:rsidR="002331FB" w:rsidRPr="002331FB" w:rsidRDefault="002331FB" w:rsidP="002331FB">
      <w:pPr>
        <w:widowControl w:val="0"/>
        <w:autoSpaceDE w:val="0"/>
        <w:autoSpaceDN w:val="0"/>
        <w:spacing w:after="0" w:line="260" w:lineRule="exact"/>
        <w:rPr>
          <w:rFonts w:ascii="Arial" w:eastAsia="Arial" w:hAnsi="Arial" w:cs="Arial"/>
          <w:b/>
          <w:bCs/>
          <w:lang w:val="es-ES"/>
        </w:rPr>
      </w:pPr>
    </w:p>
    <w:p w14:paraId="0A2A7764" w14:textId="77777777" w:rsidR="002331FB" w:rsidRPr="002331FB" w:rsidRDefault="002331FB" w:rsidP="002331FB">
      <w:pPr>
        <w:widowControl w:val="0"/>
        <w:autoSpaceDE w:val="0"/>
        <w:autoSpaceDN w:val="0"/>
        <w:spacing w:after="0" w:line="260" w:lineRule="exact"/>
        <w:rPr>
          <w:rFonts w:ascii="Arial" w:eastAsia="Arial" w:hAnsi="Arial" w:cs="Arial"/>
          <w:b/>
          <w:bCs/>
          <w:lang w:val="es-ES"/>
        </w:rPr>
      </w:pPr>
      <w:r w:rsidRPr="002331FB">
        <w:rPr>
          <w:rFonts w:ascii="Arial" w:eastAsia="Arial" w:hAnsi="Arial" w:cs="Arial"/>
          <w:b/>
          <w:bCs/>
          <w:lang w:val="es-ES"/>
        </w:rPr>
        <w:t>INTRODUCCIÓN</w:t>
      </w:r>
    </w:p>
    <w:p w14:paraId="1A32F273" w14:textId="77777777" w:rsidR="002331FB" w:rsidRPr="002331FB" w:rsidRDefault="002331FB" w:rsidP="002331FB">
      <w:pPr>
        <w:widowControl w:val="0"/>
        <w:autoSpaceDE w:val="0"/>
        <w:autoSpaceDN w:val="0"/>
        <w:spacing w:after="0" w:line="260" w:lineRule="exact"/>
        <w:jc w:val="both"/>
        <w:rPr>
          <w:rFonts w:ascii="Arial" w:eastAsia="Arial" w:hAnsi="Arial" w:cs="Arial"/>
          <w:b/>
          <w:bCs/>
          <w:lang w:val="es-ES"/>
        </w:rPr>
      </w:pPr>
    </w:p>
    <w:p w14:paraId="2F8BE551" w14:textId="3D6C24A9" w:rsidR="002331FB" w:rsidRPr="002331FB" w:rsidRDefault="002331FB" w:rsidP="002331FB">
      <w:pPr>
        <w:widowControl w:val="0"/>
        <w:autoSpaceDE w:val="0"/>
        <w:autoSpaceDN w:val="0"/>
        <w:spacing w:after="0" w:line="260" w:lineRule="exact"/>
        <w:jc w:val="both"/>
        <w:rPr>
          <w:rFonts w:ascii="Arial" w:eastAsia="Arial" w:hAnsi="Arial" w:cs="Arial"/>
        </w:rPr>
      </w:pPr>
      <w:r w:rsidRPr="002331FB">
        <w:rPr>
          <w:rFonts w:ascii="Arial" w:eastAsia="Arial" w:hAnsi="Arial" w:cs="Arial"/>
        </w:rPr>
        <w:t>La Comisión Nacional de los Derechos Humanos de México (CNDH), en su carácter de Institución Nacional de Derechos Humanos con Estatus “A” ante la Alianza Global de Instituciones Nacionales de Derechos Humanos (GANHRI), presenta el siguiente Informe alternativo al Comité</w:t>
      </w:r>
      <w:r w:rsidR="002624D3">
        <w:rPr>
          <w:rFonts w:ascii="Arial" w:eastAsia="Arial" w:hAnsi="Arial" w:cs="Arial"/>
        </w:rPr>
        <w:t xml:space="preserve"> de Protección de los Derechos de todos los Trabajadores Migratorios y sus Familiares (CMW)</w:t>
      </w:r>
      <w:r w:rsidRPr="002331FB">
        <w:rPr>
          <w:rFonts w:ascii="Arial" w:eastAsia="Arial" w:hAnsi="Arial" w:cs="Arial"/>
        </w:rPr>
        <w:t>, en apoyo a</w:t>
      </w:r>
      <w:r w:rsidR="00F45E16">
        <w:rPr>
          <w:rFonts w:ascii="Arial" w:eastAsia="Arial" w:hAnsi="Arial" w:cs="Arial"/>
        </w:rPr>
        <w:t xml:space="preserve">l examen del Informe de Seguimiento sobre las principales recomendaciones </w:t>
      </w:r>
      <w:bookmarkStart w:id="0" w:name="_Hlk94024781"/>
      <w:r w:rsidR="00F45E16">
        <w:rPr>
          <w:rFonts w:ascii="Arial" w:eastAsia="Arial" w:hAnsi="Arial" w:cs="Arial"/>
        </w:rPr>
        <w:t>contenidas en las observaciones finales del CMW sobre el Tercer Informe Periódico de México.</w:t>
      </w:r>
      <w:r w:rsidRPr="002331FB">
        <w:rPr>
          <w:rFonts w:ascii="Arial" w:eastAsia="Arial" w:hAnsi="Arial" w:cs="Arial"/>
        </w:rPr>
        <w:t xml:space="preserve"> </w:t>
      </w:r>
    </w:p>
    <w:bookmarkEnd w:id="0"/>
    <w:p w14:paraId="24E92F77" w14:textId="77777777" w:rsidR="002331FB" w:rsidRPr="002331FB" w:rsidRDefault="002331FB" w:rsidP="002331FB">
      <w:pPr>
        <w:widowControl w:val="0"/>
        <w:autoSpaceDE w:val="0"/>
        <w:autoSpaceDN w:val="0"/>
        <w:spacing w:after="0" w:line="260" w:lineRule="exact"/>
        <w:jc w:val="both"/>
        <w:rPr>
          <w:rFonts w:ascii="Arial" w:eastAsia="Arial" w:hAnsi="Arial" w:cs="Arial"/>
        </w:rPr>
      </w:pPr>
    </w:p>
    <w:p w14:paraId="20CEB64F" w14:textId="0710860D" w:rsidR="002331FB" w:rsidRPr="002331FB" w:rsidRDefault="002331FB" w:rsidP="002331FB">
      <w:pPr>
        <w:widowControl w:val="0"/>
        <w:autoSpaceDE w:val="0"/>
        <w:autoSpaceDN w:val="0"/>
        <w:spacing w:after="0" w:line="260" w:lineRule="exact"/>
        <w:jc w:val="both"/>
        <w:rPr>
          <w:rFonts w:ascii="Arial" w:eastAsia="Arial" w:hAnsi="Arial" w:cs="Arial"/>
        </w:rPr>
      </w:pPr>
      <w:r w:rsidRPr="002331FB">
        <w:rPr>
          <w:rFonts w:ascii="Arial" w:eastAsia="Arial" w:hAnsi="Arial" w:cs="Arial"/>
        </w:rPr>
        <w:t>El Informe da cuenta de la</w:t>
      </w:r>
      <w:r w:rsidR="005E6A04">
        <w:rPr>
          <w:rFonts w:ascii="Arial" w:eastAsia="Arial" w:hAnsi="Arial" w:cs="Arial"/>
        </w:rPr>
        <w:t xml:space="preserve"> información con que cuenta esta Comisión Nacional sobre las  </w:t>
      </w:r>
      <w:r w:rsidRPr="002331FB">
        <w:rPr>
          <w:rFonts w:ascii="Arial" w:eastAsia="Arial" w:hAnsi="Arial" w:cs="Arial"/>
        </w:rPr>
        <w:t xml:space="preserve"> acciones y avances que ha</w:t>
      </w:r>
      <w:r w:rsidR="005E6A04">
        <w:rPr>
          <w:rFonts w:ascii="Arial" w:eastAsia="Arial" w:hAnsi="Arial" w:cs="Arial"/>
        </w:rPr>
        <w:t>n</w:t>
      </w:r>
      <w:r w:rsidRPr="002331FB">
        <w:rPr>
          <w:rFonts w:ascii="Arial" w:eastAsia="Arial" w:hAnsi="Arial" w:cs="Arial"/>
        </w:rPr>
        <w:t xml:space="preserve"> </w:t>
      </w:r>
      <w:r w:rsidR="005E6A04">
        <w:rPr>
          <w:rFonts w:ascii="Arial" w:eastAsia="Arial" w:hAnsi="Arial" w:cs="Arial"/>
        </w:rPr>
        <w:t>realizado tanto el Estado Mexicano, y desde sus atribuciones</w:t>
      </w:r>
      <w:r w:rsidR="00E210CA">
        <w:rPr>
          <w:rFonts w:ascii="Arial" w:eastAsia="Arial" w:hAnsi="Arial" w:cs="Arial"/>
        </w:rPr>
        <w:t xml:space="preserve"> como Institución Nacional de Derechos Humanos</w:t>
      </w:r>
      <w:r w:rsidR="005E6A04">
        <w:rPr>
          <w:rFonts w:ascii="Arial" w:eastAsia="Arial" w:hAnsi="Arial" w:cs="Arial"/>
        </w:rPr>
        <w:t xml:space="preserve">, </w:t>
      </w:r>
      <w:r w:rsidR="00E210CA">
        <w:rPr>
          <w:rFonts w:ascii="Arial" w:eastAsia="Arial" w:hAnsi="Arial" w:cs="Arial"/>
        </w:rPr>
        <w:t xml:space="preserve">la </w:t>
      </w:r>
      <w:r w:rsidR="00E210CA" w:rsidRPr="002331FB">
        <w:rPr>
          <w:rFonts w:ascii="Arial" w:eastAsia="Arial" w:hAnsi="Arial" w:cs="Arial"/>
        </w:rPr>
        <w:t>Comisión</w:t>
      </w:r>
      <w:r w:rsidRPr="002331FB">
        <w:rPr>
          <w:rFonts w:ascii="Arial" w:eastAsia="Arial" w:hAnsi="Arial" w:cs="Arial"/>
        </w:rPr>
        <w:t xml:space="preserve"> Nacional de los Derechos Humanos de México (CNDH), para dar cumplimiento a las recomendaciones</w:t>
      </w:r>
      <w:r w:rsidR="005E6A04">
        <w:rPr>
          <w:rFonts w:ascii="Arial" w:eastAsia="Arial" w:hAnsi="Arial" w:cs="Arial"/>
        </w:rPr>
        <w:t xml:space="preserve"> 10, 34, 38, 40, 42 y 56 supra</w:t>
      </w:r>
      <w:r w:rsidRPr="002331FB">
        <w:rPr>
          <w:rFonts w:ascii="Arial" w:eastAsia="Arial" w:hAnsi="Arial" w:cs="Arial"/>
        </w:rPr>
        <w:t>.</w:t>
      </w:r>
      <w:r w:rsidR="005E6A04" w:rsidRPr="005E6A04">
        <w:t xml:space="preserve"> </w:t>
      </w:r>
      <w:r w:rsidR="005E6A04" w:rsidRPr="005E6A04">
        <w:rPr>
          <w:rFonts w:ascii="Arial" w:eastAsia="Arial" w:hAnsi="Arial" w:cs="Arial"/>
        </w:rPr>
        <w:t>contenidas en las observaciones finales del CMW sobre el Tercer Informe Periódico de México.</w:t>
      </w:r>
    </w:p>
    <w:p w14:paraId="3534B284" w14:textId="77777777" w:rsidR="002331FB" w:rsidRPr="002331FB" w:rsidRDefault="002331FB" w:rsidP="002331FB">
      <w:pPr>
        <w:widowControl w:val="0"/>
        <w:autoSpaceDE w:val="0"/>
        <w:autoSpaceDN w:val="0"/>
        <w:spacing w:after="0" w:line="260" w:lineRule="exact"/>
        <w:jc w:val="both"/>
        <w:rPr>
          <w:rFonts w:ascii="Arial" w:eastAsia="Arial" w:hAnsi="Arial" w:cs="Arial"/>
          <w:lang w:val="es-ES"/>
        </w:rPr>
      </w:pPr>
    </w:p>
    <w:p w14:paraId="41B1462C" w14:textId="77777777" w:rsidR="002331FB" w:rsidRPr="002331FB" w:rsidRDefault="002331FB" w:rsidP="002331FB">
      <w:pPr>
        <w:widowControl w:val="0"/>
        <w:autoSpaceDE w:val="0"/>
        <w:autoSpaceDN w:val="0"/>
        <w:spacing w:after="0" w:line="260" w:lineRule="exact"/>
        <w:jc w:val="both"/>
        <w:rPr>
          <w:rFonts w:ascii="Arial" w:eastAsia="Arial" w:hAnsi="Arial" w:cs="Arial"/>
          <w:b/>
          <w:bCs/>
          <w:lang w:val="es-ES"/>
        </w:rPr>
      </w:pPr>
    </w:p>
    <w:p w14:paraId="48DDE61E" w14:textId="77777777" w:rsidR="002331FB" w:rsidRPr="002331FB" w:rsidRDefault="002331FB" w:rsidP="002331FB">
      <w:pPr>
        <w:widowControl w:val="0"/>
        <w:autoSpaceDE w:val="0"/>
        <w:autoSpaceDN w:val="0"/>
        <w:spacing w:after="0" w:line="260" w:lineRule="exact"/>
        <w:jc w:val="both"/>
        <w:rPr>
          <w:rFonts w:ascii="Arial" w:eastAsia="Arial" w:hAnsi="Arial" w:cs="Arial"/>
          <w:b/>
          <w:bCs/>
          <w:lang w:val="es-ES"/>
        </w:rPr>
      </w:pPr>
      <w:r w:rsidRPr="002331FB">
        <w:rPr>
          <w:rFonts w:ascii="Arial" w:eastAsia="Arial" w:hAnsi="Arial" w:cs="Arial"/>
          <w:b/>
          <w:bCs/>
          <w:lang w:val="es-ES"/>
        </w:rPr>
        <w:t>DESARROLLO</w:t>
      </w:r>
    </w:p>
    <w:p w14:paraId="23118D4B" w14:textId="77777777" w:rsidR="00F47ECD" w:rsidRDefault="00F47ECD" w:rsidP="00F47ECD">
      <w:pPr>
        <w:spacing w:after="0" w:line="240" w:lineRule="auto"/>
        <w:jc w:val="both"/>
        <w:rPr>
          <w:rFonts w:ascii="Arial" w:eastAsia="Times New Roman" w:hAnsi="Arial" w:cs="Arial"/>
          <w:lang w:val="es-ES" w:eastAsia="es-MX"/>
        </w:rPr>
      </w:pPr>
    </w:p>
    <w:p w14:paraId="0A4C49AA" w14:textId="5F60E3D7" w:rsidR="00F47ECD" w:rsidRPr="00F47ECD" w:rsidRDefault="00F47ECD" w:rsidP="00F47ECD">
      <w:pPr>
        <w:spacing w:after="0" w:line="240" w:lineRule="auto"/>
        <w:jc w:val="both"/>
        <w:rPr>
          <w:rFonts w:ascii="Arial" w:eastAsia="Times New Roman" w:hAnsi="Arial" w:cs="Arial"/>
          <w:i/>
          <w:iCs/>
          <w:lang w:val="es-ES" w:eastAsia="es-MX"/>
        </w:rPr>
      </w:pPr>
      <w:r w:rsidRPr="00F47ECD">
        <w:rPr>
          <w:rFonts w:ascii="Arial" w:eastAsia="Times New Roman" w:hAnsi="Arial" w:cs="Arial"/>
          <w:lang w:val="es-ES" w:eastAsia="es-MX"/>
        </w:rPr>
        <w:t xml:space="preserve">63. </w:t>
      </w:r>
      <w:r w:rsidRPr="00F47ECD">
        <w:rPr>
          <w:rFonts w:ascii="Arial" w:eastAsia="Times New Roman" w:hAnsi="Arial" w:cs="Arial"/>
          <w:i/>
          <w:iCs/>
          <w:lang w:val="es-ES" w:eastAsia="es-MX"/>
        </w:rPr>
        <w:t>El</w:t>
      </w:r>
      <w:r w:rsidRPr="00F47ECD">
        <w:rPr>
          <w:rFonts w:ascii="Arial" w:eastAsia="Times New Roman" w:hAnsi="Arial" w:cs="Arial"/>
          <w:lang w:val="es-ES" w:eastAsia="es-MX"/>
        </w:rPr>
        <w:t xml:space="preserve"> </w:t>
      </w:r>
      <w:r w:rsidRPr="00F47ECD">
        <w:rPr>
          <w:rFonts w:ascii="Arial" w:eastAsia="Times New Roman" w:hAnsi="Arial" w:cs="Arial"/>
          <w:i/>
          <w:iCs/>
          <w:lang w:val="es-ES" w:eastAsia="es-MX"/>
        </w:rPr>
        <w:t>Comité solicita al Estado parte que presente al Comité, a más tardar el 1 de octubre de 2019, información escrita sobre la aplicación de las recomendaciones formuladas en los párrafos 10, 34, 38, 40, 42 y 56 supra.</w:t>
      </w:r>
    </w:p>
    <w:p w14:paraId="2BB2B395" w14:textId="77777777" w:rsidR="00F47ECD" w:rsidRPr="00F47ECD" w:rsidRDefault="00F47ECD" w:rsidP="00F47ECD">
      <w:pPr>
        <w:spacing w:after="0" w:line="240" w:lineRule="auto"/>
        <w:jc w:val="both"/>
        <w:rPr>
          <w:rFonts w:ascii="Arial" w:eastAsia="Times New Roman" w:hAnsi="Arial" w:cs="Arial"/>
          <w:b/>
          <w:bCs/>
          <w:i/>
          <w:iCs/>
          <w:lang w:val="es-ES" w:eastAsia="es-MX"/>
        </w:rPr>
      </w:pPr>
    </w:p>
    <w:p w14:paraId="01A03725" w14:textId="77777777" w:rsidR="00F47ECD" w:rsidRPr="00F47ECD" w:rsidRDefault="00F47ECD" w:rsidP="00F47ECD">
      <w:pPr>
        <w:shd w:val="clear" w:color="auto" w:fill="F2F2F2"/>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10.</w:t>
      </w:r>
      <w:r w:rsidRPr="00F47ECD">
        <w:rPr>
          <w:rFonts w:ascii="Arial" w:eastAsia="Times New Roman" w:hAnsi="Arial" w:cs="Arial"/>
          <w:b/>
          <w:bCs/>
          <w:i/>
          <w:iCs/>
          <w:lang w:val="es-ES" w:eastAsia="es-MX"/>
        </w:rPr>
        <w:tab/>
        <w:t>El Comité reitera su recomendación anterior (véase CMW/C/MEX/CO/2, párr. 16), para que se tomen medidas para asegurar que la Ley de Migración</w:t>
      </w:r>
      <w:r w:rsidRPr="00F47ECD" w:rsidDel="0079028A">
        <w:rPr>
          <w:rFonts w:ascii="Arial" w:eastAsia="Times New Roman" w:hAnsi="Arial" w:cs="Arial"/>
          <w:b/>
          <w:bCs/>
          <w:i/>
          <w:iCs/>
          <w:lang w:val="es-ES" w:eastAsia="es-MX"/>
        </w:rPr>
        <w:t xml:space="preserve"> </w:t>
      </w:r>
      <w:r w:rsidRPr="00F47ECD">
        <w:rPr>
          <w:rFonts w:ascii="Arial" w:eastAsia="Times New Roman" w:hAnsi="Arial" w:cs="Arial"/>
          <w:b/>
          <w:bCs/>
          <w:i/>
          <w:iCs/>
          <w:lang w:val="es-ES" w:eastAsia="es-MX"/>
        </w:rPr>
        <w:t xml:space="preserve">y otras normativas vigentes sean plenamente compatibles con todas las disposiciones de la Convención y otros instrumentos internacionales de derechos humanos, incluyendo: </w:t>
      </w:r>
    </w:p>
    <w:p w14:paraId="7A703C03" w14:textId="77777777" w:rsidR="00F47ECD" w:rsidRPr="00F47ECD" w:rsidRDefault="00F47ECD" w:rsidP="00F47ECD">
      <w:pPr>
        <w:shd w:val="clear" w:color="auto" w:fill="F2F2F2"/>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a)</w:t>
      </w:r>
      <w:r w:rsidRPr="00F47ECD">
        <w:rPr>
          <w:rFonts w:ascii="Arial" w:eastAsia="Times New Roman" w:hAnsi="Arial" w:cs="Arial"/>
          <w:b/>
          <w:bCs/>
          <w:i/>
          <w:iCs/>
          <w:lang w:val="es-ES" w:eastAsia="es-MX"/>
        </w:rPr>
        <w:tab/>
        <w:t>La finalización del proceso legislativo de reforma del artículo 33 de la Constitución;</w:t>
      </w:r>
    </w:p>
    <w:p w14:paraId="3EBB3A6C" w14:textId="77777777" w:rsidR="00F47ECD" w:rsidRPr="00F47ECD" w:rsidRDefault="00F47ECD" w:rsidP="00F47ECD">
      <w:pPr>
        <w:shd w:val="clear" w:color="auto" w:fill="F2F2F2"/>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lastRenderedPageBreak/>
        <w:tab/>
        <w:t>b)</w:t>
      </w:r>
      <w:r w:rsidRPr="00F47ECD">
        <w:rPr>
          <w:rFonts w:ascii="Arial" w:eastAsia="Times New Roman" w:hAnsi="Arial" w:cs="Arial"/>
          <w:b/>
          <w:bCs/>
          <w:i/>
          <w:iCs/>
          <w:lang w:val="es-ES" w:eastAsia="es-MX"/>
        </w:rPr>
        <w:tab/>
        <w:t>La armonización de la Ley de Migración</w:t>
      </w:r>
      <w:r w:rsidRPr="00F47ECD" w:rsidDel="001D4E5F">
        <w:rPr>
          <w:rFonts w:ascii="Arial" w:eastAsia="Times New Roman" w:hAnsi="Arial" w:cs="Arial"/>
          <w:b/>
          <w:bCs/>
          <w:i/>
          <w:iCs/>
          <w:lang w:val="es-ES" w:eastAsia="es-MX"/>
        </w:rPr>
        <w:t xml:space="preserve"> </w:t>
      </w:r>
      <w:r w:rsidRPr="00F47ECD">
        <w:rPr>
          <w:rFonts w:ascii="Arial" w:eastAsia="Times New Roman" w:hAnsi="Arial" w:cs="Arial"/>
          <w:b/>
          <w:bCs/>
          <w:i/>
          <w:iCs/>
          <w:lang w:val="es-ES" w:eastAsia="es-MX"/>
        </w:rPr>
        <w:t>con la Ley General de los Derechos de Niñas, Niños y Adolescentes;</w:t>
      </w:r>
    </w:p>
    <w:p w14:paraId="2FBD25DD" w14:textId="77777777" w:rsidR="00F47ECD" w:rsidRPr="00F47ECD" w:rsidRDefault="00F47ECD" w:rsidP="00F47ECD">
      <w:pPr>
        <w:shd w:val="clear" w:color="auto" w:fill="F2F2F2"/>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c)</w:t>
      </w:r>
      <w:r w:rsidRPr="00F47ECD">
        <w:rPr>
          <w:rFonts w:ascii="Arial" w:eastAsia="Times New Roman" w:hAnsi="Arial" w:cs="Arial"/>
          <w:b/>
          <w:bCs/>
          <w:i/>
          <w:iCs/>
          <w:lang w:val="es-ES" w:eastAsia="es-MX"/>
        </w:rPr>
        <w:tab/>
        <w:t>La aprobación y promulgación del proyecto de ley general contra la desaparición forzada y desapariciones cometidas por particulares;</w:t>
      </w:r>
    </w:p>
    <w:p w14:paraId="066266F5" w14:textId="77777777" w:rsidR="00F47ECD" w:rsidRPr="00F47ECD" w:rsidRDefault="00F47ECD" w:rsidP="00F47ECD">
      <w:pPr>
        <w:shd w:val="clear" w:color="auto" w:fill="F2F2F2"/>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d)</w:t>
      </w:r>
      <w:r w:rsidRPr="00F47ECD">
        <w:rPr>
          <w:rFonts w:ascii="Arial" w:eastAsia="Times New Roman" w:hAnsi="Arial" w:cs="Arial"/>
          <w:b/>
          <w:bCs/>
          <w:i/>
          <w:iCs/>
          <w:lang w:val="es-ES" w:eastAsia="es-MX"/>
        </w:rPr>
        <w:tab/>
        <w:t>La modificación y homologación de las normativas estatales y municipales con arreglo a la Convención, otros tratados y las leyes federales y generales en la materia.</w:t>
      </w:r>
    </w:p>
    <w:p w14:paraId="0814660D" w14:textId="77777777" w:rsidR="00F47ECD" w:rsidRPr="00F47ECD" w:rsidRDefault="00F47ECD" w:rsidP="00F47ECD">
      <w:pPr>
        <w:spacing w:after="0" w:line="240" w:lineRule="auto"/>
        <w:jc w:val="both"/>
        <w:rPr>
          <w:rFonts w:ascii="Arial" w:eastAsia="Times New Roman" w:hAnsi="Arial" w:cs="Arial"/>
          <w:b/>
          <w:bCs/>
          <w:i/>
          <w:iCs/>
          <w:lang w:val="es-ES" w:eastAsia="es-MX"/>
        </w:rPr>
      </w:pPr>
    </w:p>
    <w:p w14:paraId="119BB82C"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b/>
          <w:bCs/>
          <w:lang w:val="es-ES" w:eastAsia="es-MX"/>
        </w:rPr>
        <w:t>Inciso a)</w:t>
      </w:r>
      <w:r w:rsidRPr="00F47ECD">
        <w:rPr>
          <w:rFonts w:ascii="Arial" w:eastAsia="Times New Roman" w:hAnsi="Arial" w:cs="Arial"/>
          <w:lang w:val="es-ES" w:eastAsia="es-MX"/>
        </w:rPr>
        <w:t xml:space="preserve"> La CNDH informa que desde el 10 de junio de 2011 no ha habido reforma al artículo 33 de la Constitución Política de los Estados Unidos Mexicanos (CPEUM), que establece en su segundo párrafo la facultad del E</w:t>
      </w:r>
      <w:proofErr w:type="spellStart"/>
      <w:r w:rsidRPr="00F47ECD">
        <w:rPr>
          <w:rFonts w:ascii="Arial" w:eastAsia="Times New Roman" w:hAnsi="Arial" w:cs="Arial"/>
          <w:lang w:eastAsia="es-MX"/>
        </w:rPr>
        <w:t>jecutivo</w:t>
      </w:r>
      <w:proofErr w:type="spellEnd"/>
      <w:r w:rsidRPr="00F47ECD">
        <w:rPr>
          <w:rFonts w:ascii="Arial" w:eastAsia="Times New Roman" w:hAnsi="Arial" w:cs="Arial"/>
          <w:lang w:eastAsia="es-MX"/>
        </w:rPr>
        <w:t xml:space="preserve"> de la Unión, previa audiencia, de expulsar del territorio nacional a personas extranjeras con fundamento en la ley, la cual regulará el procedimiento administrativo, así como el lugar y tiempo que dure la detención</w:t>
      </w:r>
      <w:r w:rsidRPr="00F47ECD">
        <w:rPr>
          <w:rFonts w:ascii="Arial" w:eastAsia="Times New Roman" w:hAnsi="Arial" w:cs="Arial"/>
          <w:lang w:val="es-ES" w:eastAsia="es-MX"/>
        </w:rPr>
        <w:t xml:space="preserve">; por lo que las iniciativas de reforma que incluyen el derecho al </w:t>
      </w:r>
      <w:r w:rsidRPr="00F47ECD">
        <w:rPr>
          <w:rFonts w:ascii="Arial" w:eastAsia="Times New Roman" w:hAnsi="Arial" w:cs="Arial"/>
          <w:lang w:eastAsia="es-MX"/>
        </w:rPr>
        <w:t xml:space="preserve">debido proceso, no han prosperado, garantizándose con ello el derecho a recurrir el fallo ante una segunda instancia. </w:t>
      </w:r>
    </w:p>
    <w:p w14:paraId="1DF53359" w14:textId="77777777" w:rsidR="00F47ECD" w:rsidRPr="00F47ECD" w:rsidRDefault="00F47ECD" w:rsidP="00F47ECD">
      <w:pPr>
        <w:spacing w:after="0" w:line="240" w:lineRule="auto"/>
        <w:jc w:val="both"/>
        <w:rPr>
          <w:rFonts w:ascii="Arial" w:eastAsia="Times New Roman" w:hAnsi="Arial" w:cs="Arial"/>
          <w:lang w:eastAsia="es-MX"/>
        </w:rPr>
      </w:pPr>
    </w:p>
    <w:p w14:paraId="62BF9C1F"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Sin embargo, cabe mencionar que el 23 de septiembre de 2021, en su Conferencia de Prensa Matutina, el </w:t>
      </w:r>
      <w:proofErr w:type="gramStart"/>
      <w:r w:rsidRPr="00F47ECD">
        <w:rPr>
          <w:rFonts w:ascii="Arial" w:eastAsia="Times New Roman" w:hAnsi="Arial" w:cs="Arial"/>
          <w:lang w:eastAsia="es-MX"/>
        </w:rPr>
        <w:t>Presidente</w:t>
      </w:r>
      <w:proofErr w:type="gramEnd"/>
      <w:r w:rsidRPr="00F47ECD">
        <w:rPr>
          <w:rFonts w:ascii="Arial" w:eastAsia="Times New Roman" w:hAnsi="Arial" w:cs="Arial"/>
          <w:lang w:eastAsia="es-MX"/>
        </w:rPr>
        <w:t xml:space="preserve"> de la República, Andrés Manuel López Obrador señaló que analizaría la posibilidad de eliminar o modificar el artículo 33 de la Constitución al considerar que “</w:t>
      </w:r>
      <w:r w:rsidRPr="00F47ECD">
        <w:rPr>
          <w:rFonts w:ascii="Arial" w:eastAsia="Times New Roman" w:hAnsi="Arial" w:cs="Arial"/>
          <w:i/>
          <w:iCs/>
          <w:lang w:eastAsia="es-MX"/>
        </w:rPr>
        <w:t>se ha usado como medida represiva en otros gobiernos; nosotros nunca lo hemos aplicado y no lo vamos a aplicar, aquí pueden venir extranjeros y manifestarse con absoluta libertad. Entonces, hay que analizar la posibilidad de quitarlo, reformarlo. No nos ayuda, porque nosotros no tenemos propósitos autoritarios ni de censura a nadie, queremos garantizar las libertades plenas a todos, además es muy bueno el debate</w:t>
      </w:r>
      <w:r w:rsidRPr="00F47ECD">
        <w:rPr>
          <w:rFonts w:ascii="Arial" w:eastAsia="Times New Roman" w:hAnsi="Arial" w:cs="Arial"/>
          <w:lang w:eastAsia="es-MX"/>
        </w:rPr>
        <w:t>”.</w:t>
      </w:r>
      <w:r w:rsidRPr="00F47ECD">
        <w:rPr>
          <w:rFonts w:ascii="Arial" w:eastAsia="Times New Roman" w:hAnsi="Arial" w:cs="Arial"/>
          <w:vertAlign w:val="superscript"/>
          <w:lang w:eastAsia="es-MX"/>
        </w:rPr>
        <w:footnoteReference w:id="1"/>
      </w:r>
      <w:r w:rsidRPr="00F47ECD">
        <w:rPr>
          <w:rFonts w:ascii="Arial" w:eastAsia="Times New Roman" w:hAnsi="Arial" w:cs="Arial"/>
          <w:lang w:eastAsia="es-MX"/>
        </w:rPr>
        <w:t xml:space="preserve">  Por lo que esta Comisión Nacional estará atenta y dará el seguimiento correspondiente.</w:t>
      </w:r>
    </w:p>
    <w:p w14:paraId="6BD53357" w14:textId="77777777" w:rsidR="00F47ECD" w:rsidRPr="00F47ECD" w:rsidRDefault="00F47ECD" w:rsidP="00F47ECD">
      <w:pPr>
        <w:spacing w:after="0" w:line="240" w:lineRule="auto"/>
        <w:jc w:val="both"/>
        <w:rPr>
          <w:rFonts w:ascii="Arial" w:eastAsia="Times New Roman" w:hAnsi="Arial" w:cs="Arial"/>
          <w:lang w:eastAsia="es-MX"/>
        </w:rPr>
      </w:pPr>
    </w:p>
    <w:p w14:paraId="6D1F87E4"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b/>
          <w:bCs/>
          <w:lang w:eastAsia="es-MX"/>
        </w:rPr>
        <w:t xml:space="preserve">Inciso b) </w:t>
      </w:r>
      <w:r w:rsidRPr="00F47ECD">
        <w:rPr>
          <w:rFonts w:ascii="Arial" w:eastAsia="Times New Roman" w:hAnsi="Arial" w:cs="Arial"/>
          <w:lang w:eastAsia="es-MX"/>
        </w:rPr>
        <w:t>El 29 de septiembre de 2020 se sometió en la Cámara de Diputados, el dictamen aprobado por la Cámara de Senadores en primera instancia para la modificación de la Ley de Migración y la Ley Sobre Refugiados, Protección Complementaria y Asilo Político, a favor en acciones tendientes a generar un efecto directo en el interés superior de la niñez y garantizará los derechos y principios establecidos en la Constitución.</w:t>
      </w:r>
    </w:p>
    <w:p w14:paraId="6DAD1642" w14:textId="77777777" w:rsidR="00F47ECD" w:rsidRPr="00F47ECD" w:rsidRDefault="00F47ECD" w:rsidP="00F47ECD">
      <w:pPr>
        <w:spacing w:after="0" w:line="240" w:lineRule="auto"/>
        <w:jc w:val="both"/>
        <w:rPr>
          <w:rFonts w:ascii="Arial" w:eastAsia="Times New Roman" w:hAnsi="Arial" w:cs="Arial"/>
          <w:lang w:eastAsia="es-MX"/>
        </w:rPr>
      </w:pPr>
    </w:p>
    <w:p w14:paraId="243BD97D"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Dentro de la exposición de motivos, se enfatizó que las modificaciones legislativas son una respuesta a las peticiones que organismos internacionales han demandado y tendrían como consecuencia la participación y coordinación entre las instituciones mexicanas, tutelado por el Sistema Nacional DIF y los sistemas DIF de las entidades federativas quienes establecerán un nuevo modelo alternativo a la detención, identificando aquellos menores de edad que requieran protección internacional, ya sea como refugiados o como Visitantes con razones Humanitarias</w:t>
      </w:r>
    </w:p>
    <w:p w14:paraId="27135F76" w14:textId="77777777" w:rsidR="00F47ECD" w:rsidRPr="00F47ECD" w:rsidRDefault="00F47ECD" w:rsidP="00F47ECD">
      <w:pPr>
        <w:spacing w:after="0" w:line="240" w:lineRule="auto"/>
        <w:jc w:val="both"/>
        <w:rPr>
          <w:rFonts w:ascii="Arial" w:eastAsia="Times New Roman" w:hAnsi="Arial" w:cs="Arial"/>
          <w:lang w:eastAsia="es-MX"/>
        </w:rPr>
      </w:pPr>
    </w:p>
    <w:p w14:paraId="2D41FD8C"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El 11 de noviembre de 2020, se publicaron tales reformas y entraron en vigor el 11 de enero de 2021</w:t>
      </w:r>
      <w:r w:rsidRPr="00F47ECD">
        <w:rPr>
          <w:rFonts w:ascii="Arial" w:eastAsia="Times New Roman" w:hAnsi="Arial" w:cs="Arial"/>
          <w:vertAlign w:val="superscript"/>
          <w:lang w:eastAsia="es-MX"/>
        </w:rPr>
        <w:footnoteReference w:id="2"/>
      </w:r>
      <w:r w:rsidRPr="00F47ECD">
        <w:rPr>
          <w:rFonts w:ascii="Arial" w:eastAsia="Times New Roman" w:hAnsi="Arial" w:cs="Arial"/>
          <w:lang w:eastAsia="es-MX"/>
        </w:rPr>
        <w:t xml:space="preserve">, con lo que se advierte la armonización de la Ley de Migración con el artículo 111 del Reglamento de la Ley General los Derechos de las Niñas, Niños y Adolescentes (2015), que establece que en ningún momento las niñas, niños o adolescentes migrantes, independientemente de que viajen o no en compañía de una persona adulta, serán privados de la libertad en estaciones migratorias o en cualquier otro centro de detención migratoria. </w:t>
      </w:r>
      <w:r w:rsidRPr="00F47ECD">
        <w:rPr>
          <w:rFonts w:ascii="Arial" w:eastAsia="Times New Roman" w:hAnsi="Arial" w:cs="Arial"/>
          <w:lang w:eastAsia="es-MX"/>
        </w:rPr>
        <w:lastRenderedPageBreak/>
        <w:t>Con ello, se sigue al espíritu del artículo 4º de la CPEUM, que mandata que en todas las decisiones y actuaciones del Estado se velará y cumplirá con el principio del interés superior de la niñez. El Decreto establece en su Transitorio Tercero que el Congreso de la Unión deberá destinar los recursos necesarios para la operación de los Centros de Asistencia Social, así como para el funcionamiento de las Procuradurías de Protección, de conformidad con la Ley General de los Derechos de Niñas, Niños y Adolescentes y su Reglamento. Las partidas presupuestales deberán señalarse en el presupuesto inmediato siguiente a la entrada en vigor del presente Decreto y en los presupuestos sucesivos.</w:t>
      </w:r>
    </w:p>
    <w:p w14:paraId="57A8A8DE" w14:textId="77777777" w:rsidR="00F47ECD" w:rsidRPr="00F47ECD" w:rsidRDefault="00F47ECD" w:rsidP="00F47ECD">
      <w:pPr>
        <w:spacing w:after="0" w:line="240" w:lineRule="auto"/>
        <w:jc w:val="both"/>
        <w:rPr>
          <w:rFonts w:ascii="Arial" w:eastAsia="Times New Roman" w:hAnsi="Arial" w:cs="Arial"/>
          <w:lang w:eastAsia="es-MX"/>
        </w:rPr>
      </w:pPr>
    </w:p>
    <w:p w14:paraId="7C6331A6"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
          <w:bCs/>
          <w:lang w:val="es-ES" w:eastAsia="es-MX"/>
        </w:rPr>
        <w:t xml:space="preserve">Inciso c) </w:t>
      </w:r>
      <w:r w:rsidRPr="00F47ECD">
        <w:rPr>
          <w:rFonts w:ascii="Arial" w:eastAsia="Times New Roman" w:hAnsi="Arial" w:cs="Arial"/>
          <w:lang w:val="es-ES" w:eastAsia="es-MX"/>
        </w:rPr>
        <w:t xml:space="preserve">En materia de desaparición forzada, la CNDH reconoce que derivado del </w:t>
      </w:r>
      <w:r w:rsidRPr="00F47ECD">
        <w:rPr>
          <w:rFonts w:ascii="Arial" w:eastAsia="Times New Roman" w:hAnsi="Arial" w:cs="Arial"/>
          <w:bCs/>
          <w:lang w:eastAsia="es-MX"/>
        </w:rPr>
        <w:t>trabajo de diversas organizaciones de la sociedad civil, colectivos de víctimas y a familiares de personas desaparecidas, así como a los integrantes del Poder Legislativo Federal, se publicó en 2017 la Ley General en Materia de Desaparición Forzada de Personas, Desaparición Cometida por Particulares y del Sistema Nacional de Búsqueda de Personas</w:t>
      </w:r>
      <w:r w:rsidRPr="00F47ECD">
        <w:rPr>
          <w:rFonts w:ascii="Arial" w:eastAsia="Times New Roman" w:hAnsi="Arial" w:cs="Arial"/>
          <w:bCs/>
          <w:vertAlign w:val="superscript"/>
          <w:lang w:eastAsia="es-MX"/>
        </w:rPr>
        <w:footnoteReference w:id="3"/>
      </w:r>
      <w:r w:rsidRPr="00F47ECD">
        <w:rPr>
          <w:rFonts w:ascii="Arial" w:eastAsia="Times New Roman" w:hAnsi="Arial" w:cs="Arial"/>
          <w:bCs/>
          <w:lang w:eastAsia="es-MX"/>
        </w:rPr>
        <w:t xml:space="preserve">, que distribuye competencias y mandata la coordinación entre las autoridades para buscar a las personas desaparecidas y esclarecer los hechos, así como prevenir, investigar, sancionar y erradicar los delitos en materia de desaparición forzada de personas y desaparición cometida por particulares. </w:t>
      </w:r>
    </w:p>
    <w:p w14:paraId="0474A7D1" w14:textId="77777777" w:rsidR="00F47ECD" w:rsidRPr="00F47ECD" w:rsidRDefault="00F47ECD" w:rsidP="00F47ECD">
      <w:pPr>
        <w:spacing w:after="0" w:line="240" w:lineRule="auto"/>
        <w:jc w:val="both"/>
        <w:rPr>
          <w:rFonts w:ascii="Arial" w:eastAsia="Times New Roman" w:hAnsi="Arial" w:cs="Arial"/>
          <w:bCs/>
          <w:lang w:eastAsia="es-MX"/>
        </w:rPr>
      </w:pPr>
    </w:p>
    <w:p w14:paraId="0A56AFCE"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Cabe decir, que la Ley General </w:t>
      </w:r>
      <w:r w:rsidRPr="00F47ECD">
        <w:rPr>
          <w:rFonts w:ascii="Arial" w:eastAsia="Times New Roman" w:hAnsi="Arial" w:cs="Arial"/>
          <w:bCs/>
          <w:lang w:val="es-ES" w:eastAsia="es-MX"/>
        </w:rPr>
        <w:t xml:space="preserve">unifica criterios y establece responsabilidades en materia de búsqueda, investigación e identificación, </w:t>
      </w:r>
      <w:r w:rsidRPr="00F47ECD">
        <w:rPr>
          <w:rFonts w:ascii="Arial" w:eastAsia="Times New Roman" w:hAnsi="Arial" w:cs="Arial"/>
          <w:bCs/>
          <w:lang w:eastAsia="es-MX"/>
        </w:rPr>
        <w:t xml:space="preserve">establece el Registro Nacional de Personas Desaparecidas y No localizadas, mandata el Mecanismo Extraordinario de Identificación Forense y sienta las bases del </w:t>
      </w:r>
      <w:r w:rsidRPr="00F47ECD">
        <w:rPr>
          <w:rFonts w:ascii="Arial" w:eastAsia="Times New Roman" w:hAnsi="Arial" w:cs="Arial"/>
          <w:bCs/>
          <w:lang w:val="es-GT" w:eastAsia="es-MX"/>
        </w:rPr>
        <w:t>Grupo de Trabajo interinstitucional para la búsqueda de personas migrantes desaparecidas.</w:t>
      </w:r>
      <w:r w:rsidRPr="00F47ECD">
        <w:rPr>
          <w:rFonts w:ascii="Arial" w:eastAsia="Times New Roman" w:hAnsi="Arial" w:cs="Arial"/>
          <w:bCs/>
          <w:lang w:eastAsia="es-MX"/>
        </w:rPr>
        <w:t xml:space="preserve"> </w:t>
      </w:r>
    </w:p>
    <w:p w14:paraId="3AA33220" w14:textId="77777777" w:rsidR="00F47ECD" w:rsidRPr="00F47ECD" w:rsidRDefault="00F47ECD" w:rsidP="00F47ECD">
      <w:pPr>
        <w:spacing w:after="0" w:line="240" w:lineRule="auto"/>
        <w:jc w:val="both"/>
        <w:rPr>
          <w:rFonts w:ascii="Arial" w:eastAsia="Times New Roman" w:hAnsi="Arial" w:cs="Arial"/>
          <w:bCs/>
          <w:lang w:eastAsia="es-MX"/>
        </w:rPr>
      </w:pPr>
    </w:p>
    <w:p w14:paraId="21C6C99F"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Ahora bien, no pasa desapercibido para esta CNDH, los siguientes retos en la materia:</w:t>
      </w:r>
    </w:p>
    <w:p w14:paraId="6231A3FD" w14:textId="77777777" w:rsidR="00F47ECD" w:rsidRPr="00F47ECD" w:rsidRDefault="00F47ECD" w:rsidP="00F47ECD">
      <w:pPr>
        <w:spacing w:after="0" w:line="240" w:lineRule="auto"/>
        <w:jc w:val="both"/>
        <w:rPr>
          <w:rFonts w:ascii="Arial" w:eastAsia="Times New Roman" w:hAnsi="Arial" w:cs="Arial"/>
          <w:bCs/>
          <w:lang w:eastAsia="es-MX"/>
        </w:rPr>
      </w:pPr>
    </w:p>
    <w:p w14:paraId="256D08D6" w14:textId="77777777" w:rsidR="00F47ECD" w:rsidRPr="00F47ECD" w:rsidRDefault="00F47ECD" w:rsidP="00F47ECD">
      <w:pPr>
        <w:numPr>
          <w:ilvl w:val="0"/>
          <w:numId w:val="1"/>
        </w:numPr>
        <w:spacing w:after="0" w:line="240" w:lineRule="auto"/>
        <w:contextualSpacing/>
        <w:jc w:val="both"/>
        <w:rPr>
          <w:rFonts w:ascii="Arial" w:eastAsia="Times New Roman" w:hAnsi="Arial" w:cs="Arial"/>
          <w:bCs/>
          <w:lang w:eastAsia="es-MX"/>
        </w:rPr>
      </w:pPr>
      <w:r w:rsidRPr="00F47ECD">
        <w:rPr>
          <w:rFonts w:ascii="Arial" w:eastAsia="Times New Roman" w:hAnsi="Arial" w:cs="Arial"/>
          <w:bCs/>
          <w:lang w:eastAsia="es-MX"/>
        </w:rPr>
        <w:t xml:space="preserve">El Sistema Nacional de Búsqueda de Personas aún debe consolidarse, a través del funcionamiento eficiente de la totalidad de las herramientas con las que cuenta, como son el Registro Nacional de Personas Desaparecidas y No Localizadas; el Banco Nacional de Datos Forenses; el Registro Nacional de Personas Fallecidas, No identificadas y No Reclamadas; el Registro Nacional de Fosas y el Protocolo Homologado de Búsqueda, entre otros, en cuyo proceso, la canalización de recursos presupuestales y la coordinación entre autoridades federales, estatales y municipales es indispensable. </w:t>
      </w:r>
    </w:p>
    <w:p w14:paraId="62F8D11B" w14:textId="77777777" w:rsidR="00F47ECD" w:rsidRPr="00F47ECD" w:rsidRDefault="00F47ECD" w:rsidP="00F47ECD">
      <w:pPr>
        <w:spacing w:after="0" w:line="240" w:lineRule="auto"/>
        <w:ind w:left="720"/>
        <w:contextualSpacing/>
        <w:jc w:val="both"/>
        <w:rPr>
          <w:rFonts w:ascii="Arial" w:eastAsia="Times New Roman" w:hAnsi="Arial" w:cs="Arial"/>
          <w:bCs/>
          <w:lang w:eastAsia="es-MX"/>
        </w:rPr>
      </w:pPr>
    </w:p>
    <w:p w14:paraId="7E7AF111" w14:textId="77777777" w:rsidR="00F47ECD" w:rsidRPr="00F47ECD" w:rsidRDefault="00F47ECD" w:rsidP="00F47ECD">
      <w:pPr>
        <w:numPr>
          <w:ilvl w:val="0"/>
          <w:numId w:val="1"/>
        </w:numPr>
        <w:spacing w:after="0" w:line="240" w:lineRule="auto"/>
        <w:contextualSpacing/>
        <w:jc w:val="both"/>
        <w:rPr>
          <w:rFonts w:ascii="Arial" w:eastAsia="Times New Roman" w:hAnsi="Arial" w:cs="Arial"/>
          <w:bCs/>
          <w:lang w:eastAsia="es-MX"/>
        </w:rPr>
      </w:pPr>
      <w:r w:rsidRPr="00F47ECD">
        <w:rPr>
          <w:rFonts w:ascii="Arial" w:eastAsia="Times New Roman" w:hAnsi="Arial" w:cs="Arial"/>
          <w:bCs/>
          <w:lang w:eastAsia="es-MX"/>
        </w:rPr>
        <w:t xml:space="preserve">Se debe abordar la deuda histórica que se tiene con las víctimas de la represión política del Estado y el esclarecimiento del periodo conocido como “la Guerra Sucia”, a fin de investigar todas las violaciones a derechos cometidas desde mucho antes de los años sesenta y hasta fechas muy recientes. </w:t>
      </w:r>
    </w:p>
    <w:p w14:paraId="4D7F0778" w14:textId="77777777" w:rsidR="00F47ECD" w:rsidRPr="00F47ECD" w:rsidRDefault="00F47ECD" w:rsidP="00F47ECD">
      <w:pPr>
        <w:spacing w:after="0" w:line="240" w:lineRule="auto"/>
        <w:ind w:left="720"/>
        <w:contextualSpacing/>
        <w:rPr>
          <w:rFonts w:ascii="Arial" w:eastAsia="Times New Roman" w:hAnsi="Arial" w:cs="Arial"/>
          <w:bCs/>
          <w:lang w:eastAsia="es-MX"/>
        </w:rPr>
      </w:pPr>
    </w:p>
    <w:p w14:paraId="1D4E6ED2" w14:textId="77777777" w:rsidR="00F47ECD" w:rsidRPr="00F47ECD" w:rsidRDefault="00F47ECD" w:rsidP="00F47ECD">
      <w:pPr>
        <w:numPr>
          <w:ilvl w:val="0"/>
          <w:numId w:val="1"/>
        </w:numPr>
        <w:spacing w:after="0" w:line="240" w:lineRule="auto"/>
        <w:contextualSpacing/>
        <w:jc w:val="both"/>
        <w:rPr>
          <w:rFonts w:ascii="Arial" w:eastAsia="Times New Roman" w:hAnsi="Arial" w:cs="Arial"/>
          <w:b/>
          <w:bCs/>
          <w:i/>
          <w:iCs/>
          <w:lang w:val="es-ES" w:eastAsia="es-MX"/>
        </w:rPr>
      </w:pPr>
      <w:r w:rsidRPr="00F47ECD">
        <w:rPr>
          <w:rFonts w:ascii="Arial" w:eastAsia="Times New Roman" w:hAnsi="Arial" w:cs="Arial"/>
          <w:bCs/>
          <w:lang w:eastAsia="es-MX"/>
        </w:rPr>
        <w:t xml:space="preserve">Asimismo, la </w:t>
      </w:r>
      <w:proofErr w:type="gramStart"/>
      <w:r w:rsidRPr="00F47ECD">
        <w:rPr>
          <w:rFonts w:ascii="Arial" w:eastAsia="Times New Roman" w:hAnsi="Arial" w:cs="Arial"/>
          <w:bCs/>
          <w:lang w:eastAsia="es-MX"/>
        </w:rPr>
        <w:t>Presidenta</w:t>
      </w:r>
      <w:proofErr w:type="gramEnd"/>
      <w:r w:rsidRPr="00F47ECD">
        <w:rPr>
          <w:rFonts w:ascii="Arial" w:eastAsia="Times New Roman" w:hAnsi="Arial" w:cs="Arial"/>
          <w:bCs/>
          <w:lang w:eastAsia="es-MX"/>
        </w:rPr>
        <w:t xml:space="preserve"> de la CNDH ha señalado la importancia de continuar con la construcción de centros regionales de identificación humana y priorizar la toma de acciones que materialice, en los ámbitos federal y local, las estructuras creadas para la búsqueda en vida de personas desaparecidas en los plazos establecidos en la Ley General en Materia de Desaparición Forzada de Personas, Desaparición Cometida por Particulares y del Sistema Nacional de Búsqueda de Personas. Queda pendiente aprobar leyes y crear instituciones a nivel estatal, como las Comisiones Estatales o locales de búsqueda, dotando a las fiscalías de personal especializado </w:t>
      </w:r>
      <w:r w:rsidRPr="00F47ECD">
        <w:rPr>
          <w:rFonts w:ascii="Arial" w:eastAsia="Times New Roman" w:hAnsi="Arial" w:cs="Arial"/>
          <w:bCs/>
          <w:lang w:eastAsia="es-MX"/>
        </w:rPr>
        <w:lastRenderedPageBreak/>
        <w:t>para investigar, generar y sistematizar información relevante para cumplir con los objetivos de la Ley, y fortalecer la capacitación y certificación de ministerios públicos, policías, peritos y de todo el personal que participe en labores de búsqueda</w:t>
      </w:r>
      <w:r w:rsidRPr="00F47ECD">
        <w:rPr>
          <w:rFonts w:ascii="Arial" w:eastAsia="Times New Roman" w:hAnsi="Arial" w:cs="Arial"/>
          <w:bCs/>
          <w:vertAlign w:val="superscript"/>
          <w:lang w:eastAsia="es-MX"/>
        </w:rPr>
        <w:footnoteReference w:id="4"/>
      </w:r>
      <w:r w:rsidRPr="00F47ECD">
        <w:rPr>
          <w:rFonts w:ascii="Arial" w:eastAsia="Times New Roman" w:hAnsi="Arial" w:cs="Arial"/>
          <w:bCs/>
          <w:lang w:eastAsia="es-MX"/>
        </w:rPr>
        <w:t xml:space="preserve">. </w:t>
      </w:r>
    </w:p>
    <w:p w14:paraId="64FE3B2A" w14:textId="77777777" w:rsidR="00F47ECD" w:rsidRPr="00F47ECD" w:rsidRDefault="00F47ECD" w:rsidP="00F47ECD">
      <w:pPr>
        <w:spacing w:after="0" w:line="240" w:lineRule="auto"/>
        <w:ind w:left="720"/>
        <w:contextualSpacing/>
        <w:rPr>
          <w:rFonts w:ascii="Arial" w:eastAsia="Times New Roman" w:hAnsi="Arial" w:cs="Arial"/>
          <w:b/>
          <w:bCs/>
          <w:i/>
          <w:iCs/>
          <w:lang w:val="es-ES" w:eastAsia="es-MX"/>
        </w:rPr>
      </w:pPr>
    </w:p>
    <w:p w14:paraId="0830A20A"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34.</w:t>
      </w:r>
      <w:r w:rsidRPr="00F47ECD">
        <w:rPr>
          <w:rFonts w:ascii="Arial" w:eastAsia="Times New Roman" w:hAnsi="Arial" w:cs="Arial"/>
          <w:b/>
          <w:bCs/>
          <w:i/>
          <w:iCs/>
          <w:lang w:val="es-ES" w:eastAsia="es-MX"/>
        </w:rPr>
        <w:tab/>
        <w:t>El Comité reitera su recomendación anterior (véase CMW/C/MEX/CO/2, párr. 30) y asimismo urge al Estado parte a que:</w:t>
      </w:r>
    </w:p>
    <w:p w14:paraId="4CC4FCB3"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a)</w:t>
      </w:r>
      <w:r w:rsidRPr="00F47ECD">
        <w:rPr>
          <w:rFonts w:ascii="Arial" w:eastAsia="Times New Roman" w:hAnsi="Arial" w:cs="Arial"/>
          <w:b/>
          <w:bCs/>
          <w:i/>
          <w:iCs/>
          <w:lang w:val="es-ES" w:eastAsia="es-MX"/>
        </w:rPr>
        <w:tab/>
        <w:t>Asegure que se investiguen seria y diligentemente esos actos, incluyendo la relación de agentes estatales con estructuras criminales y delitos como la corrupción y la impunidad, y se adopten sanciones proporcionales a la gravedad del delito cometido;</w:t>
      </w:r>
    </w:p>
    <w:p w14:paraId="3C1F392B"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b)</w:t>
      </w:r>
      <w:r w:rsidRPr="00F47ECD">
        <w:rPr>
          <w:rFonts w:ascii="Arial" w:eastAsia="Times New Roman" w:hAnsi="Arial" w:cs="Arial"/>
          <w:b/>
          <w:bCs/>
          <w:i/>
          <w:iCs/>
          <w:lang w:val="es-ES" w:eastAsia="es-MX"/>
        </w:rPr>
        <w:tab/>
        <w:t xml:space="preserve">Investigue exhaustiva y ágilmente las masacres en los estados de Tamaulipas y Nuevo León bajo la clasificación de graves violaciones a los derechos humanos; </w:t>
      </w:r>
    </w:p>
    <w:p w14:paraId="14E0EDCE"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c)</w:t>
      </w:r>
      <w:r w:rsidRPr="00F47ECD">
        <w:rPr>
          <w:rFonts w:ascii="Arial" w:eastAsia="Times New Roman" w:hAnsi="Arial" w:cs="Arial"/>
          <w:b/>
          <w:bCs/>
          <w:i/>
          <w:iCs/>
          <w:lang w:val="es-ES" w:eastAsia="es-MX"/>
        </w:rPr>
        <w:tab/>
        <w:t>Gestione la ampliación del mandato y el financiamiento de la Comisión Forense a efecto de garantizar un cruce gradual de información forense de personas migrantes desaparecidas de otros casos además de las tres masacres;</w:t>
      </w:r>
    </w:p>
    <w:p w14:paraId="140FC0BF"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d)</w:t>
      </w:r>
      <w:r w:rsidRPr="00F47ECD">
        <w:rPr>
          <w:rFonts w:ascii="Arial" w:eastAsia="Times New Roman" w:hAnsi="Arial" w:cs="Arial"/>
          <w:b/>
          <w:bCs/>
          <w:i/>
          <w:iCs/>
          <w:lang w:val="es-ES" w:eastAsia="es-MX"/>
        </w:rPr>
        <w:tab/>
        <w:t>Garantice la implementación del Mecanismo de Apoyo Exterior Mexicano de Búsqueda e Investigación</w:t>
      </w:r>
      <w:r w:rsidRPr="00F47ECD" w:rsidDel="00F146F4">
        <w:rPr>
          <w:rFonts w:ascii="Arial" w:eastAsia="Times New Roman" w:hAnsi="Arial" w:cs="Arial"/>
          <w:b/>
          <w:bCs/>
          <w:i/>
          <w:iCs/>
          <w:lang w:val="es-ES" w:eastAsia="es-MX"/>
        </w:rPr>
        <w:t xml:space="preserve"> </w:t>
      </w:r>
      <w:r w:rsidRPr="00F47ECD">
        <w:rPr>
          <w:rFonts w:ascii="Arial" w:eastAsia="Times New Roman" w:hAnsi="Arial" w:cs="Arial"/>
          <w:b/>
          <w:bCs/>
          <w:i/>
          <w:iCs/>
          <w:lang w:val="es-ES" w:eastAsia="es-MX"/>
        </w:rPr>
        <w:t>en los diferentes países de América Central, asegurando que las personas migrantes y sus familiares tengan acceso fácil a las instituciones federales estatales e información sobre las investigaciones y participen en el proceso, incluyendo a través de la creación de unidades permanentes en embajadas y consulados del Estado parte;</w:t>
      </w:r>
    </w:p>
    <w:p w14:paraId="3B6208BF"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e)</w:t>
      </w:r>
      <w:r w:rsidRPr="00F47ECD">
        <w:rPr>
          <w:rFonts w:ascii="Arial" w:eastAsia="Times New Roman" w:hAnsi="Arial" w:cs="Arial"/>
          <w:b/>
          <w:bCs/>
          <w:i/>
          <w:iCs/>
          <w:lang w:val="es-ES" w:eastAsia="es-MX"/>
        </w:rPr>
        <w:tab/>
        <w:t>Asegure la cooperación efectiva con comisiones de expertos y grupos multidisciplinarios de los países de origen y destino para asistir a las personas migrantes víctimas de delitos graves, incluyendo desapariciones forzadas, así como en la búsqueda, localización y liberación de las personas desaparecidas y, en caso de fallecimiento, en la exhumación, la identificación y la restitución digna de sus restos;</w:t>
      </w:r>
    </w:p>
    <w:p w14:paraId="3AF66B6B"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f)</w:t>
      </w:r>
      <w:r w:rsidRPr="00F47ECD">
        <w:rPr>
          <w:rFonts w:ascii="Arial" w:eastAsia="Times New Roman" w:hAnsi="Arial" w:cs="Arial"/>
          <w:b/>
          <w:bCs/>
          <w:i/>
          <w:iCs/>
          <w:lang w:val="es-ES" w:eastAsia="es-MX"/>
        </w:rPr>
        <w:tab/>
        <w:t>Garantice que las víctimas sean identificadas y remitidas a los servicios apropiados y sensibles a sus circunstancias, incluyendo servicios médicos y psicosociales, y que a petición de las víctimas se solicite la cooperación de las organizaciones sociales;</w:t>
      </w:r>
    </w:p>
    <w:p w14:paraId="1A83AE28"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g)</w:t>
      </w:r>
      <w:r w:rsidRPr="00F47ECD">
        <w:rPr>
          <w:rFonts w:ascii="Arial" w:eastAsia="Times New Roman" w:hAnsi="Arial" w:cs="Arial"/>
          <w:b/>
          <w:bCs/>
          <w:i/>
          <w:iCs/>
          <w:lang w:val="es-ES" w:eastAsia="es-MX"/>
        </w:rPr>
        <w:tab/>
        <w:t>Garantice que los sobrevivientes de esos crímenes tengan acceso a la regularización por razones humanitarias;</w:t>
      </w:r>
    </w:p>
    <w:p w14:paraId="48BCF68B" w14:textId="77777777" w:rsidR="00F47ECD" w:rsidRPr="00F47ECD" w:rsidRDefault="00F47ECD" w:rsidP="00F47ECD">
      <w:pPr>
        <w:shd w:val="clear" w:color="auto" w:fill="D9D9D9"/>
        <w:spacing w:after="0" w:line="240" w:lineRule="auto"/>
        <w:jc w:val="both"/>
        <w:rPr>
          <w:rFonts w:ascii="Arial" w:eastAsia="Times New Roman" w:hAnsi="Arial" w:cs="Arial"/>
          <w:b/>
          <w:bCs/>
          <w:i/>
          <w:iCs/>
          <w:lang w:val="es-ES" w:eastAsia="es-MX"/>
        </w:rPr>
      </w:pPr>
      <w:r w:rsidRPr="00F47ECD">
        <w:rPr>
          <w:rFonts w:ascii="Arial" w:eastAsia="Times New Roman" w:hAnsi="Arial" w:cs="Arial"/>
          <w:b/>
          <w:bCs/>
          <w:i/>
          <w:iCs/>
          <w:lang w:val="es-ES" w:eastAsia="es-MX"/>
        </w:rPr>
        <w:tab/>
        <w:t>h)</w:t>
      </w:r>
      <w:r w:rsidRPr="00F47ECD">
        <w:rPr>
          <w:rFonts w:ascii="Arial" w:eastAsia="Times New Roman" w:hAnsi="Arial" w:cs="Arial"/>
          <w:b/>
          <w:bCs/>
          <w:i/>
          <w:iCs/>
          <w:lang w:val="es-ES" w:eastAsia="es-MX"/>
        </w:rPr>
        <w:tab/>
        <w:t>Sancione a los responsables, con penas adecuadas a la gravedad del delito, incluyendo a los funcionarios del Estado involucrados.</w:t>
      </w:r>
      <w:r w:rsidRPr="00F47ECD">
        <w:rPr>
          <w:rFonts w:ascii="Arial" w:eastAsia="Times New Roman" w:hAnsi="Arial" w:cs="Arial"/>
          <w:b/>
          <w:bCs/>
          <w:i/>
          <w:iCs/>
          <w:vertAlign w:val="superscript"/>
          <w:lang w:val="es-ES" w:eastAsia="es-MX"/>
        </w:rPr>
        <w:t xml:space="preserve"> </w:t>
      </w:r>
    </w:p>
    <w:p w14:paraId="144B0D50" w14:textId="77777777" w:rsidR="00F47ECD" w:rsidRPr="00F47ECD" w:rsidRDefault="00F47ECD" w:rsidP="00F47ECD">
      <w:pPr>
        <w:spacing w:after="0" w:line="240" w:lineRule="auto"/>
        <w:jc w:val="both"/>
        <w:rPr>
          <w:rFonts w:ascii="Arial" w:eastAsia="Times New Roman" w:hAnsi="Arial" w:cs="Arial"/>
          <w:b/>
          <w:bCs/>
          <w:i/>
          <w:iCs/>
          <w:lang w:val="es-ES" w:eastAsia="es-MX"/>
        </w:rPr>
      </w:pPr>
    </w:p>
    <w:p w14:paraId="1E4A6F3C" w14:textId="77777777" w:rsidR="00F47ECD" w:rsidRPr="00F47ECD" w:rsidRDefault="00F47ECD" w:rsidP="00F47ECD">
      <w:pPr>
        <w:spacing w:after="0" w:line="240" w:lineRule="auto"/>
        <w:jc w:val="both"/>
        <w:rPr>
          <w:rFonts w:ascii="Arial" w:eastAsia="Times New Roman" w:hAnsi="Arial" w:cs="Arial"/>
          <w:strike/>
          <w:lang w:eastAsia="es-MX"/>
        </w:rPr>
      </w:pPr>
      <w:r w:rsidRPr="00F47ECD">
        <w:rPr>
          <w:rFonts w:ascii="Arial" w:eastAsia="Times New Roman" w:hAnsi="Arial" w:cs="Arial"/>
          <w:lang w:eastAsia="es-MX"/>
        </w:rPr>
        <w:t>Sobre el punto 34 en su generalidad,</w:t>
      </w:r>
      <w:r w:rsidRPr="00F47ECD">
        <w:rPr>
          <w:rFonts w:ascii="Arial" w:eastAsia="Times New Roman" w:hAnsi="Arial" w:cs="Arial"/>
          <w:b/>
          <w:bCs/>
          <w:lang w:eastAsia="es-MX"/>
        </w:rPr>
        <w:t xml:space="preserve"> </w:t>
      </w:r>
      <w:r w:rsidRPr="00F47ECD">
        <w:rPr>
          <w:rFonts w:ascii="Arial" w:eastAsia="Times New Roman" w:hAnsi="Arial" w:cs="Arial"/>
          <w:lang w:eastAsia="es-MX"/>
        </w:rPr>
        <w:t>se expone</w:t>
      </w:r>
      <w:r w:rsidRPr="00F47ECD">
        <w:rPr>
          <w:rFonts w:ascii="Arial" w:eastAsia="Times New Roman" w:hAnsi="Arial" w:cs="Arial"/>
          <w:b/>
          <w:bCs/>
          <w:lang w:eastAsia="es-MX"/>
        </w:rPr>
        <w:t xml:space="preserve"> </w:t>
      </w:r>
      <w:r w:rsidRPr="00F47ECD">
        <w:rPr>
          <w:rFonts w:ascii="Arial" w:eastAsia="Times New Roman" w:hAnsi="Arial" w:cs="Arial"/>
          <w:lang w:eastAsia="es-MX"/>
        </w:rPr>
        <w:t>que el 7 de agosto de 2021, la CNDH hizo pública la Recomendación por Violaciones Graves 44VG/2021</w:t>
      </w:r>
      <w:r w:rsidRPr="00F47ECD">
        <w:rPr>
          <w:rFonts w:ascii="Arial" w:eastAsia="Times New Roman" w:hAnsi="Arial" w:cs="Arial"/>
          <w:vertAlign w:val="superscript"/>
          <w:lang w:eastAsia="es-MX"/>
        </w:rPr>
        <w:footnoteReference w:id="5"/>
      </w:r>
      <w:r w:rsidRPr="00F47ECD">
        <w:rPr>
          <w:rFonts w:ascii="Arial" w:eastAsia="Times New Roman" w:hAnsi="Arial" w:cs="Arial"/>
          <w:lang w:eastAsia="es-MX"/>
        </w:rPr>
        <w:t xml:space="preserve"> a la Fiscalía General de la República (FGR), a la Secretaría de Seguridad y Protección Ciudadana (SSPC), al Instituto Nacional de Migración (INM), a la Comisión Nacional de Búsquedas de Personas, así como al Gobernador y al Fiscal General de Justicia del estado de Tamaulipas por la privación de la libertad de aproximadamente 95 personas migrantes que transitaban por esa entidad, ocurrida en 2019.</w:t>
      </w:r>
    </w:p>
    <w:p w14:paraId="289A1AFA" w14:textId="77777777" w:rsidR="00F47ECD" w:rsidRPr="00F47ECD" w:rsidRDefault="00F47ECD" w:rsidP="00F47ECD">
      <w:pPr>
        <w:spacing w:after="0" w:line="240" w:lineRule="auto"/>
        <w:jc w:val="both"/>
        <w:rPr>
          <w:rFonts w:ascii="Arial" w:eastAsia="Times New Roman" w:hAnsi="Arial" w:cs="Arial"/>
          <w:lang w:eastAsia="es-MX"/>
        </w:rPr>
      </w:pPr>
    </w:p>
    <w:p w14:paraId="3B09BBEB"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Al documentar los casos de personas en contexto de movilidad internacional que fueron secuestradas mientras viajaban en diversos autobuses por territorio tamaulipeco, el 19, 20 </w:t>
      </w:r>
      <w:r w:rsidRPr="00F47ECD">
        <w:rPr>
          <w:rFonts w:ascii="Arial" w:eastAsia="Times New Roman" w:hAnsi="Arial" w:cs="Arial"/>
          <w:lang w:eastAsia="es-MX"/>
        </w:rPr>
        <w:lastRenderedPageBreak/>
        <w:t xml:space="preserve">y 27 de febrero, así como 7 y 12 de marzo de ese año, la CNDH contó con elementos para acreditar violaciones a los derechos humanos a la seguridad ciudadana, de acceso a la justicia en su modalidad de procuración y a la verdad, así como al principio del interés superior de la niñez y adolescencia, por dilación e irregular integración de las carpetas de investigación. </w:t>
      </w:r>
    </w:p>
    <w:p w14:paraId="7F7AEAB4" w14:textId="77777777" w:rsidR="00F47ECD" w:rsidRPr="00F47ECD" w:rsidRDefault="00F47ECD" w:rsidP="00F47ECD">
      <w:pPr>
        <w:spacing w:after="0" w:line="240" w:lineRule="auto"/>
        <w:jc w:val="both"/>
        <w:rPr>
          <w:rFonts w:ascii="Arial" w:eastAsia="Times New Roman" w:hAnsi="Arial" w:cs="Arial"/>
          <w:lang w:eastAsia="es-MX"/>
        </w:rPr>
      </w:pPr>
    </w:p>
    <w:p w14:paraId="298AEE68"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Esta Comisión advirtió que las instancias de seguridad pública pertenecientes a los gobiernos federal y de Tamaulipas no garantizaron el derecho a la seguridad ciudadana de las víctimas y tampoco implementaron estrategias y políticas públicas que garantizaran el respeto a sus derechos humanos; omitieron aplicar los procedimientos e instrumentos jurídicos relacionados con la búsqueda de personas y rechazaron brindar información a esta Comisión Nacional.</w:t>
      </w:r>
    </w:p>
    <w:p w14:paraId="51E8DEBA"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 </w:t>
      </w:r>
    </w:p>
    <w:p w14:paraId="6DB56254" w14:textId="77777777" w:rsidR="00F47ECD" w:rsidRPr="00F47ECD" w:rsidRDefault="00F47ECD" w:rsidP="00F47ECD">
      <w:pPr>
        <w:spacing w:after="0" w:line="240" w:lineRule="auto"/>
        <w:jc w:val="both"/>
        <w:rPr>
          <w:rFonts w:ascii="Arial" w:eastAsia="Times New Roman" w:hAnsi="Arial" w:cs="Arial"/>
          <w:strike/>
          <w:lang w:eastAsia="es-MX"/>
        </w:rPr>
      </w:pPr>
      <w:r w:rsidRPr="00F47ECD">
        <w:rPr>
          <w:rFonts w:ascii="Arial" w:eastAsia="Times New Roman" w:hAnsi="Arial" w:cs="Arial"/>
          <w:lang w:eastAsia="es-MX"/>
        </w:rPr>
        <w:t>Ante esta situación, la CNDH recomendó a las autoridades destinatarias celebrar un convenio interinstitucional para identificar las zonas en las que se presenta la privación ilegal de libertad de pasajeros de autobús y las rutas de tránsito de personas en contexto de migración internacional en ese estado, con la finalidad de implementar operativos en materia de seguridad que incluyan todas las zonas de alto riesgo para el secuestro de personas migrantes y se eviten hechos similares. También deberán colaborar ampliamente en el trámite y seguimiento de las quejas que se presenten ante los Órganos Internos de Control en cada dependencia, en contra de las autoridades responsables, por las omisiones expuestas en la Recomendación; así como impartir cursos de capacitación integral sobre derechos humanos que se relacionen con la aplicación de los protocolos referidos en la Ley General en Materia de Desaparición Forzada de Personas, Desaparición Cometida por Particulares y del Sistema Nacional de Búsqueda de Personas y con la privación de libertad de personas en contexto de migración, entre otros</w:t>
      </w:r>
      <w:r w:rsidRPr="00F47ECD">
        <w:rPr>
          <w:rFonts w:ascii="Arial" w:eastAsia="Times New Roman" w:hAnsi="Arial" w:cs="Arial"/>
          <w:strike/>
          <w:lang w:eastAsia="es-MX"/>
        </w:rPr>
        <w:t>.</w:t>
      </w:r>
    </w:p>
    <w:p w14:paraId="628A2BC5" w14:textId="77777777" w:rsidR="00F47ECD" w:rsidRPr="00F47ECD" w:rsidRDefault="00F47ECD" w:rsidP="00F47ECD">
      <w:pPr>
        <w:spacing w:after="0" w:line="240" w:lineRule="auto"/>
        <w:jc w:val="both"/>
        <w:rPr>
          <w:rFonts w:ascii="Arial" w:eastAsia="Times New Roman" w:hAnsi="Arial" w:cs="Arial"/>
          <w:lang w:eastAsia="es-MX"/>
        </w:rPr>
      </w:pPr>
    </w:p>
    <w:p w14:paraId="69BE1D20"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Particularmente, la CNDH solicitó a la FGR que, a partir de la identificación de las víctimas directas y, en su caso, indirectas de estos hechos, se les inscriba en el Registro Nacional de Víctimas y se les otorgue la atención médica y psicológica que requieran, además de una compensación y/o indemnización justa, a efecto de que accedan a la reparación integral que proceda conforme a lo previsto en la Ley General de Víctimas. </w:t>
      </w:r>
    </w:p>
    <w:p w14:paraId="3D70386E" w14:textId="77777777" w:rsidR="00F47ECD" w:rsidRPr="00F47ECD" w:rsidRDefault="00F47ECD" w:rsidP="00F47ECD">
      <w:pPr>
        <w:spacing w:after="0" w:line="240" w:lineRule="auto"/>
        <w:jc w:val="both"/>
        <w:rPr>
          <w:rFonts w:ascii="Arial" w:eastAsia="Times New Roman" w:hAnsi="Arial" w:cs="Arial"/>
          <w:lang w:eastAsia="es-MX"/>
        </w:rPr>
      </w:pPr>
    </w:p>
    <w:p w14:paraId="1531ABB4" w14:textId="77777777" w:rsidR="00F47ECD" w:rsidRPr="00F47ECD" w:rsidRDefault="00F47ECD" w:rsidP="00F47ECD">
      <w:pPr>
        <w:spacing w:after="0" w:line="240" w:lineRule="auto"/>
        <w:jc w:val="both"/>
        <w:rPr>
          <w:rFonts w:ascii="Arial" w:eastAsia="Times New Roman" w:hAnsi="Arial" w:cs="Arial"/>
          <w:lang w:val="es-ES" w:eastAsia="es-MX"/>
        </w:rPr>
      </w:pPr>
      <w:r w:rsidRPr="00F47ECD">
        <w:rPr>
          <w:rFonts w:ascii="Arial" w:eastAsia="Times New Roman" w:hAnsi="Arial" w:cs="Arial"/>
          <w:lang w:eastAsia="es-MX"/>
        </w:rPr>
        <w:t xml:space="preserve">Al INM se recomendó capacitar en materia de derechos humanos a su personal adscrito y/o comisionado en Tamaulipas y, a la Comisión Nacional de Búsqueda de Personas continuar, junto con la FGR, con la búsqueda de las aproximadamente 95 personas relacionadas con el trámite de las indagatorias. Finalmente, a la Fiscalía Estatal se le solicitó ubicar las carpetas de investigación que existen por secuestro y/o privación de la libertad de personas migrantes en la entidad, y una vez identificadas, realizar un análisis de estas y diseñar un diagnóstico sobre la situación de incidencia delictiva en esa entidad federativa, así como identificación de grupos criminales. </w:t>
      </w:r>
    </w:p>
    <w:p w14:paraId="2D94E6C4" w14:textId="77777777" w:rsidR="00F47ECD" w:rsidRPr="00F47ECD" w:rsidRDefault="00F47ECD" w:rsidP="00F47ECD">
      <w:pPr>
        <w:spacing w:after="0" w:line="240" w:lineRule="auto"/>
        <w:jc w:val="both"/>
        <w:rPr>
          <w:rFonts w:ascii="Arial" w:eastAsia="Times New Roman" w:hAnsi="Arial" w:cs="Arial"/>
          <w:color w:val="FF0000"/>
          <w:highlight w:val="yellow"/>
          <w:lang w:val="es-ES" w:eastAsia="es-MX"/>
        </w:rPr>
      </w:pPr>
    </w:p>
    <w:p w14:paraId="4465C6E4"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val="es-ES" w:eastAsia="es-MX"/>
        </w:rPr>
        <w:t xml:space="preserve">También, el 23 de noviembre de 2021 la </w:t>
      </w:r>
      <w:proofErr w:type="gramStart"/>
      <w:r w:rsidRPr="00F47ECD">
        <w:rPr>
          <w:rFonts w:ascii="Arial" w:eastAsia="Times New Roman" w:hAnsi="Arial" w:cs="Arial"/>
          <w:lang w:val="es-ES" w:eastAsia="es-MX"/>
        </w:rPr>
        <w:t>Presidenta</w:t>
      </w:r>
      <w:proofErr w:type="gramEnd"/>
      <w:r w:rsidRPr="00F47ECD">
        <w:rPr>
          <w:rFonts w:ascii="Arial" w:eastAsia="Times New Roman" w:hAnsi="Arial" w:cs="Arial"/>
          <w:lang w:val="es-ES" w:eastAsia="es-MX"/>
        </w:rPr>
        <w:t xml:space="preserve"> de la CNDH dio a conocer el </w:t>
      </w:r>
      <w:r w:rsidRPr="00F47ECD">
        <w:rPr>
          <w:rFonts w:ascii="Arial" w:eastAsia="Times New Roman" w:hAnsi="Arial" w:cs="Arial"/>
          <w:lang w:eastAsia="es-MX"/>
        </w:rPr>
        <w:t>Informe Especial sobre la situación que guarda el tráfico y el secuestro en perjuicio de personas migrantes en México 2011-2020</w:t>
      </w:r>
      <w:r w:rsidRPr="00F47ECD">
        <w:rPr>
          <w:rFonts w:ascii="Arial" w:eastAsia="Times New Roman" w:hAnsi="Arial" w:cs="Arial"/>
          <w:vertAlign w:val="superscript"/>
          <w:lang w:eastAsia="es-MX"/>
        </w:rPr>
        <w:footnoteReference w:id="6"/>
      </w:r>
      <w:r w:rsidRPr="00F47ECD">
        <w:rPr>
          <w:rFonts w:ascii="Arial" w:eastAsia="Times New Roman" w:hAnsi="Arial" w:cs="Arial"/>
          <w:lang w:eastAsia="es-MX"/>
        </w:rPr>
        <w:t>.</w:t>
      </w:r>
    </w:p>
    <w:p w14:paraId="0F8C02EE" w14:textId="77777777" w:rsidR="00F47ECD" w:rsidRPr="00F47ECD" w:rsidRDefault="00F47ECD" w:rsidP="00F47ECD">
      <w:pPr>
        <w:spacing w:after="0" w:line="240" w:lineRule="auto"/>
        <w:jc w:val="both"/>
        <w:rPr>
          <w:rFonts w:ascii="Arial" w:eastAsia="Times New Roman" w:hAnsi="Arial" w:cs="Arial"/>
          <w:lang w:eastAsia="es-MX"/>
        </w:rPr>
      </w:pPr>
    </w:p>
    <w:p w14:paraId="09591FBC"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En efecto, derivado de un trabajo que abarcó la sistematización de información desde el 1 de enero de 2011 al 31 de diciembre de 2020, la CNDH encontró que, en los últimos diez </w:t>
      </w:r>
      <w:r w:rsidRPr="00F47ECD">
        <w:rPr>
          <w:rFonts w:ascii="Arial" w:eastAsia="Times New Roman" w:hAnsi="Arial" w:cs="Arial"/>
          <w:lang w:eastAsia="es-MX"/>
        </w:rPr>
        <w:lastRenderedPageBreak/>
        <w:t>años, más de 70 mil personas migrantes han sido víctimas de tráfico y secuestro en México. Asimismo, que los operativos contra el tráfico de migrantes han aumentado en promedio en 600%; que las entidades con más casos de secuestro en perjuicio de personas en movilidad son Chiapas, Nuevo León, Tabasco, Veracruz y Tamaulipas, y que las personas más afectadas son nacionales de Guatemala, El Salvador, Honduras, Nicaragua y Cuba.</w:t>
      </w:r>
    </w:p>
    <w:p w14:paraId="3B231669"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 </w:t>
      </w:r>
    </w:p>
    <w:p w14:paraId="4C1F8CF1"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El Informe Especial que se presentó a la opinión pública evalúa, desde una perspectiva de derechos humanos, las acciones realizadas en ese período por las autoridades migratorias, así como por las encargadas de la seguridad pública y la procuración de justicia, relacionadas con la persecución y sanción de los delitos de tráfico ilícito y secuestro en perjuicio de personas migrantes en México.</w:t>
      </w:r>
    </w:p>
    <w:p w14:paraId="716EC85F"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 </w:t>
      </w:r>
    </w:p>
    <w:p w14:paraId="4209E803"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Para su elaboración, la CNDH requirió información a las autoridades: migratoria, seguridad pública, organismos autónomos de derechos humanos y comisiones ejecutivas de atención a víctimas, competentes en los ámbitos federal y local. Además, se hizo un seguimiento de las noticias relacionadas con el tráfico y secuestro de personas migrantes publicadas en 11 medios de comunicación digital durante el mismo periodo.</w:t>
      </w:r>
    </w:p>
    <w:p w14:paraId="11168C8A" w14:textId="77777777" w:rsidR="00F47ECD" w:rsidRPr="00F47ECD" w:rsidRDefault="00F47ECD" w:rsidP="00F47ECD">
      <w:pPr>
        <w:spacing w:after="0" w:line="240" w:lineRule="auto"/>
        <w:jc w:val="both"/>
        <w:rPr>
          <w:rFonts w:ascii="Arial" w:eastAsia="Times New Roman" w:hAnsi="Arial" w:cs="Arial"/>
          <w:lang w:eastAsia="es-MX"/>
        </w:rPr>
      </w:pPr>
    </w:p>
    <w:p w14:paraId="291A4E9E"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De los distintos informes rendidos por las autoridades, la CNDH advierte que México no cuenta con un Protocolo Homologado de Actuación especializado en el tema que garantice un procedimiento de coordinación entre las autoridades para la prevención, investigación, búsqueda y sanción de los delitos de tráfico y secuestro de personas migrantes, así como medidas de asistencia y protección y seguridad a las víctimas que atienda sus necesidades especiales.</w:t>
      </w:r>
    </w:p>
    <w:p w14:paraId="7146DDFC"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 </w:t>
      </w:r>
    </w:p>
    <w:p w14:paraId="46BEFD8A"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En dicho Informe Especial, la CNDH emitió 13 propuestas generales y 44 propuestas particulares para que las autoridades mexicanas emprendan acciones precisas de coordinación en los tres órdenes de gobierno e impulsar el combate al tráfico y secuestro de personas migrantes en el que se incluya el fortalecimiento de las tareas de prevención del delito, procuración de justicia y el respeto de los derechos humanos.</w:t>
      </w:r>
    </w:p>
    <w:p w14:paraId="28116DAD" w14:textId="77777777" w:rsidR="00F47ECD" w:rsidRPr="00F47ECD" w:rsidRDefault="00F47ECD" w:rsidP="00F47ECD">
      <w:pPr>
        <w:spacing w:after="0" w:line="240" w:lineRule="auto"/>
        <w:jc w:val="both"/>
        <w:rPr>
          <w:rFonts w:ascii="Arial" w:eastAsia="Times New Roman" w:hAnsi="Arial" w:cs="Arial"/>
          <w:lang w:eastAsia="es-MX"/>
        </w:rPr>
      </w:pPr>
    </w:p>
    <w:p w14:paraId="3FA957D2"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Entre las propuestas generales, resalta la urgente necesidad de cumplir el deber jurídico que tienen las instituciones del Estado competentes para garantizar la seguridad pública, de prevenir la comisión de conductas delictivas y, en su caso, investigar los delitos que lleguen a cometerse, a fin de identificar a los responsables y lograr que se les impongan las sanciones legales correspondientes, garantizando que no queden impunes. Todo ello acompañado de una política pública específica e integral. </w:t>
      </w:r>
    </w:p>
    <w:p w14:paraId="5E9AE230" w14:textId="77777777" w:rsidR="00F47ECD" w:rsidRPr="00F47ECD" w:rsidRDefault="00F47ECD" w:rsidP="00F47ECD">
      <w:pPr>
        <w:spacing w:after="0" w:line="240" w:lineRule="auto"/>
        <w:jc w:val="both"/>
        <w:rPr>
          <w:rFonts w:ascii="Arial" w:eastAsia="Times New Roman" w:hAnsi="Arial" w:cs="Arial"/>
          <w:lang w:eastAsia="es-MX"/>
        </w:rPr>
      </w:pPr>
    </w:p>
    <w:p w14:paraId="76E42F8A"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Por su parte, entre las propuestas específicas más relevantes se encuentra aquella dirigida al INM para que adopte mayores medidas para facilitar el ingreso y tránsito de las personas migrantes de forma regular, a fin de que no recurran a vías clandestinas, de modo que se reduzca el riesgo a ser objeto de delitos y/o violaciones a sus derechos humanos y fomentar la denuncia. </w:t>
      </w:r>
    </w:p>
    <w:p w14:paraId="2B00B4C0" w14:textId="77777777" w:rsidR="00F47ECD" w:rsidRPr="00F47ECD" w:rsidRDefault="00F47ECD" w:rsidP="00F47ECD">
      <w:pPr>
        <w:spacing w:after="0" w:line="240" w:lineRule="auto"/>
        <w:jc w:val="both"/>
        <w:rPr>
          <w:rFonts w:ascii="Arial" w:eastAsia="Times New Roman" w:hAnsi="Arial" w:cs="Arial"/>
          <w:lang w:eastAsia="es-MX"/>
        </w:rPr>
      </w:pPr>
    </w:p>
    <w:p w14:paraId="5522E7B7" w14:textId="77777777" w:rsidR="00F47ECD" w:rsidRPr="00F47ECD" w:rsidRDefault="00F47ECD" w:rsidP="00F47ECD">
      <w:pPr>
        <w:spacing w:after="0" w:line="240" w:lineRule="auto"/>
        <w:jc w:val="both"/>
        <w:rPr>
          <w:rFonts w:ascii="Arial" w:eastAsia="Times New Roman" w:hAnsi="Arial" w:cs="Arial"/>
          <w:lang w:val="es-ES" w:eastAsia="es-MX"/>
        </w:rPr>
      </w:pPr>
      <w:r w:rsidRPr="00F47ECD">
        <w:rPr>
          <w:rFonts w:ascii="Arial" w:eastAsia="Times New Roman" w:hAnsi="Arial" w:cs="Arial"/>
          <w:lang w:val="es-ES" w:eastAsia="es-MX"/>
        </w:rPr>
        <w:t xml:space="preserve">Por cuanto hace a las recomendaciones emitidas por la CNDH respecto de los casos de Cadereyta y los dos de San Fernando, cabe señalar que con fundamento en lo previsto en el artículo 33, fracciones I y II, del Reglamento Interno de la Comisión Nacional de los Derechos Humanos, la Coordinación General de Seguimiento de Recomendaciones y de Asuntos Jurídicos de la CNDH, es la unidad competente para solicitar y requerir información y documentación a las diversas autoridades federales y locales, así como realizar todas las acciones y gestiones necesarias, con el objeto de dar seguimiento al cumplimiento de las </w:t>
      </w:r>
      <w:r w:rsidRPr="00F47ECD">
        <w:rPr>
          <w:rFonts w:ascii="Arial" w:eastAsia="Times New Roman" w:hAnsi="Arial" w:cs="Arial"/>
          <w:lang w:val="es-ES" w:eastAsia="es-MX"/>
        </w:rPr>
        <w:lastRenderedPageBreak/>
        <w:t>recomendaciones emitidas por la Comisión Nacional; así como recibir la información y documentación referida en la fracción anterior, evaluando y determinado el estado de cumplimiento de las recomendaciones.</w:t>
      </w:r>
    </w:p>
    <w:p w14:paraId="372039A3" w14:textId="77777777" w:rsidR="00F47ECD" w:rsidRPr="00F47ECD" w:rsidRDefault="00F47ECD" w:rsidP="00F47ECD">
      <w:pPr>
        <w:spacing w:after="0" w:line="240" w:lineRule="auto"/>
        <w:jc w:val="both"/>
        <w:rPr>
          <w:rFonts w:ascii="Arial" w:eastAsia="Times New Roman" w:hAnsi="Arial" w:cs="Arial"/>
          <w:b/>
          <w:lang w:val="es-ES" w:eastAsia="es-MX"/>
        </w:rPr>
      </w:pPr>
    </w:p>
    <w:p w14:paraId="6A4FFA1A" w14:textId="77777777" w:rsidR="00F47ECD" w:rsidRPr="00F47ECD" w:rsidRDefault="00F47ECD" w:rsidP="00F47ECD">
      <w:pPr>
        <w:shd w:val="clear" w:color="auto" w:fill="D9D9D9"/>
        <w:spacing w:after="0" w:line="240" w:lineRule="auto"/>
        <w:jc w:val="both"/>
        <w:rPr>
          <w:rFonts w:ascii="Arial" w:eastAsia="Times New Roman" w:hAnsi="Arial" w:cs="Arial"/>
          <w:b/>
          <w:i/>
          <w:iCs/>
          <w:lang w:val="es-ES" w:eastAsia="es-MX"/>
        </w:rPr>
      </w:pPr>
      <w:r w:rsidRPr="00F47ECD">
        <w:rPr>
          <w:rFonts w:ascii="Arial" w:eastAsia="Times New Roman" w:hAnsi="Arial" w:cs="Arial"/>
          <w:b/>
          <w:i/>
          <w:iCs/>
          <w:lang w:val="es-ES" w:eastAsia="es-MX"/>
        </w:rPr>
        <w:t>38.</w:t>
      </w:r>
      <w:r w:rsidRPr="00F47ECD">
        <w:rPr>
          <w:rFonts w:ascii="Arial" w:eastAsia="Times New Roman" w:hAnsi="Arial" w:cs="Arial"/>
          <w:b/>
          <w:i/>
          <w:iCs/>
          <w:lang w:val="es-ES" w:eastAsia="es-MX"/>
        </w:rPr>
        <w:tab/>
        <w:t xml:space="preserve">El Comité recomienda al Estado parte, con carácter de urgencia, que: </w:t>
      </w:r>
    </w:p>
    <w:p w14:paraId="193ABA1F" w14:textId="77777777" w:rsidR="00F47ECD" w:rsidRPr="00F47ECD" w:rsidRDefault="00F47ECD" w:rsidP="00F47ECD">
      <w:pPr>
        <w:shd w:val="clear" w:color="auto" w:fill="D9D9D9"/>
        <w:spacing w:after="0" w:line="240" w:lineRule="auto"/>
        <w:jc w:val="both"/>
        <w:rPr>
          <w:rFonts w:ascii="Arial" w:eastAsia="Times New Roman" w:hAnsi="Arial" w:cs="Arial"/>
          <w:b/>
          <w:i/>
          <w:iCs/>
          <w:lang w:val="es-ES" w:eastAsia="es-MX"/>
        </w:rPr>
      </w:pPr>
      <w:r w:rsidRPr="00F47ECD">
        <w:rPr>
          <w:rFonts w:ascii="Arial" w:eastAsia="Times New Roman" w:hAnsi="Arial" w:cs="Arial"/>
          <w:b/>
          <w:i/>
          <w:iCs/>
          <w:lang w:val="es-ES" w:eastAsia="es-MX"/>
        </w:rPr>
        <w:tab/>
        <w:t>a)</w:t>
      </w:r>
      <w:r w:rsidRPr="00F47ECD">
        <w:rPr>
          <w:rFonts w:ascii="Arial" w:eastAsia="Times New Roman" w:hAnsi="Arial" w:cs="Arial"/>
          <w:b/>
          <w:i/>
          <w:iCs/>
          <w:lang w:val="es-ES" w:eastAsia="es-MX"/>
        </w:rPr>
        <w:tab/>
        <w:t>Adopte con carácter de urgencia todas las medidas necesarias para poner fin inmediato a la privación de libertad de niños, niñas y adolescentes, así como de familias migrantes, garantizando en la ley y la práctica medidas alternativas adecuadas, centradas exclusivamente en la protección de los derechos bajo la Ley General de los Derechos de Niñas, Niños y Adolescentes;</w:t>
      </w:r>
    </w:p>
    <w:p w14:paraId="7D0308B5" w14:textId="77777777" w:rsidR="00F47ECD" w:rsidRPr="00F47ECD" w:rsidRDefault="00F47ECD" w:rsidP="00F47ECD">
      <w:pPr>
        <w:shd w:val="clear" w:color="auto" w:fill="D9D9D9"/>
        <w:spacing w:after="0" w:line="240" w:lineRule="auto"/>
        <w:jc w:val="both"/>
        <w:rPr>
          <w:rFonts w:ascii="Arial" w:eastAsia="Times New Roman" w:hAnsi="Arial" w:cs="Arial"/>
          <w:b/>
          <w:i/>
          <w:iCs/>
          <w:lang w:val="es-ES" w:eastAsia="es-MX"/>
        </w:rPr>
      </w:pPr>
      <w:r w:rsidRPr="00F47ECD">
        <w:rPr>
          <w:rFonts w:ascii="Arial" w:eastAsia="Times New Roman" w:hAnsi="Arial" w:cs="Arial"/>
          <w:b/>
          <w:i/>
          <w:iCs/>
          <w:lang w:val="es-ES" w:eastAsia="es-MX"/>
        </w:rPr>
        <w:tab/>
        <w:t>b)</w:t>
      </w:r>
      <w:r w:rsidRPr="00F47ECD">
        <w:rPr>
          <w:rFonts w:ascii="Arial" w:eastAsia="Times New Roman" w:hAnsi="Arial" w:cs="Arial"/>
          <w:b/>
          <w:i/>
          <w:iCs/>
          <w:lang w:val="es-ES" w:eastAsia="es-MX"/>
        </w:rPr>
        <w:tab/>
        <w:t>Garantice la aplicación efectiva e inmediata de procesos de identificación y referencia de personas en situaciones de vulnerabilidad y su traslado a alojamientos alternativos;</w:t>
      </w:r>
    </w:p>
    <w:p w14:paraId="7871F299" w14:textId="77777777" w:rsidR="00F47ECD" w:rsidRPr="00F47ECD" w:rsidRDefault="00F47ECD" w:rsidP="00F47ECD">
      <w:pPr>
        <w:shd w:val="clear" w:color="auto" w:fill="D9D9D9"/>
        <w:spacing w:after="0" w:line="240" w:lineRule="auto"/>
        <w:jc w:val="both"/>
        <w:rPr>
          <w:rFonts w:ascii="Arial" w:eastAsia="Times New Roman" w:hAnsi="Arial" w:cs="Arial"/>
          <w:b/>
          <w:i/>
          <w:iCs/>
          <w:lang w:val="es-ES" w:eastAsia="es-MX"/>
        </w:rPr>
      </w:pPr>
      <w:r w:rsidRPr="00F47ECD">
        <w:rPr>
          <w:rFonts w:ascii="Arial" w:eastAsia="Times New Roman" w:hAnsi="Arial" w:cs="Arial"/>
          <w:b/>
          <w:i/>
          <w:iCs/>
          <w:lang w:val="es-ES" w:eastAsia="es-MX"/>
        </w:rPr>
        <w:tab/>
        <w:t>c)</w:t>
      </w:r>
      <w:r w:rsidRPr="00F47ECD">
        <w:rPr>
          <w:rFonts w:ascii="Arial" w:eastAsia="Times New Roman" w:hAnsi="Arial" w:cs="Arial"/>
          <w:b/>
          <w:i/>
          <w:iCs/>
          <w:lang w:val="es-ES" w:eastAsia="es-MX"/>
        </w:rPr>
        <w:tab/>
        <w:t>Elabore un plan de acción dirigido a garantizar que la privación de libertad por razones migratorias de trabajadores migratorios adultos únicamente se aplica como medida de último recurso y por el menor tiempo posible, sobre la base de los principios de excepcionalidad, proporcionalidad, necesidad y razonabilidad;</w:t>
      </w:r>
    </w:p>
    <w:p w14:paraId="4674D8AF" w14:textId="77777777" w:rsidR="00F47ECD" w:rsidRPr="00F47ECD" w:rsidRDefault="00F47ECD" w:rsidP="00F47ECD">
      <w:pPr>
        <w:shd w:val="clear" w:color="auto" w:fill="D9D9D9"/>
        <w:spacing w:after="0" w:line="240" w:lineRule="auto"/>
        <w:jc w:val="both"/>
        <w:rPr>
          <w:rFonts w:ascii="Arial" w:eastAsia="Times New Roman" w:hAnsi="Arial" w:cs="Arial"/>
          <w:b/>
          <w:i/>
          <w:iCs/>
          <w:lang w:val="es-ES" w:eastAsia="es-MX"/>
        </w:rPr>
      </w:pPr>
      <w:r w:rsidRPr="00F47ECD">
        <w:rPr>
          <w:rFonts w:ascii="Arial" w:eastAsia="Times New Roman" w:hAnsi="Arial" w:cs="Arial"/>
          <w:b/>
          <w:i/>
          <w:iCs/>
          <w:lang w:val="es-ES" w:eastAsia="es-MX"/>
        </w:rPr>
        <w:tab/>
        <w:t>d)</w:t>
      </w:r>
      <w:r w:rsidRPr="00F47ECD">
        <w:rPr>
          <w:rFonts w:ascii="Arial" w:eastAsia="Times New Roman" w:hAnsi="Arial" w:cs="Arial"/>
          <w:b/>
          <w:i/>
          <w:iCs/>
          <w:lang w:val="es-ES" w:eastAsia="es-MX"/>
        </w:rPr>
        <w:tab/>
        <w:t>Garantice en la ley y en la práctica</w:t>
      </w:r>
      <w:r w:rsidRPr="00F47ECD" w:rsidDel="006210B0">
        <w:rPr>
          <w:rFonts w:ascii="Arial" w:eastAsia="Times New Roman" w:hAnsi="Arial" w:cs="Arial"/>
          <w:b/>
          <w:i/>
          <w:iCs/>
          <w:lang w:val="es-ES" w:eastAsia="es-MX"/>
        </w:rPr>
        <w:t xml:space="preserve"> </w:t>
      </w:r>
      <w:r w:rsidRPr="00F47ECD">
        <w:rPr>
          <w:rFonts w:ascii="Arial" w:eastAsia="Times New Roman" w:hAnsi="Arial" w:cs="Arial"/>
          <w:b/>
          <w:i/>
          <w:iCs/>
          <w:lang w:val="es-ES" w:eastAsia="es-MX"/>
        </w:rPr>
        <w:t>la existencia de medidas alternativas a la privación de la libertad para trabajadores migratorios en situación irregular, las cuales deben aplicarse de manera prioritaria y con base en las circunstancias de cada persona, por las autoridades administrativas y/o judiciales correspondientes;</w:t>
      </w:r>
    </w:p>
    <w:p w14:paraId="0BA98A38"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i/>
          <w:iCs/>
          <w:lang w:val="es-ES" w:eastAsia="es-MX"/>
        </w:rPr>
        <w:tab/>
        <w:t>e)</w:t>
      </w:r>
      <w:r w:rsidRPr="00F47ECD">
        <w:rPr>
          <w:rFonts w:ascii="Arial" w:eastAsia="Times New Roman" w:hAnsi="Arial" w:cs="Arial"/>
          <w:b/>
          <w:i/>
          <w:iCs/>
          <w:lang w:val="es-ES" w:eastAsia="es-MX"/>
        </w:rPr>
        <w:tab/>
        <w:t>Asegure que los trabajadores migrantes sean informados sobre los procedimientos y derechos en un idioma que entienden</w:t>
      </w:r>
      <w:r w:rsidRPr="00F47ECD">
        <w:rPr>
          <w:rFonts w:ascii="Arial" w:eastAsia="Times New Roman" w:hAnsi="Arial" w:cs="Arial"/>
          <w:b/>
          <w:lang w:val="es-ES" w:eastAsia="es-MX"/>
        </w:rPr>
        <w:t xml:space="preserve">. </w:t>
      </w:r>
    </w:p>
    <w:p w14:paraId="02283541" w14:textId="77777777" w:rsidR="00F47ECD" w:rsidRPr="00F47ECD" w:rsidRDefault="00F47ECD" w:rsidP="00F47ECD">
      <w:pPr>
        <w:spacing w:after="0" w:line="240" w:lineRule="auto"/>
        <w:jc w:val="both"/>
        <w:rPr>
          <w:rFonts w:ascii="Arial" w:eastAsia="Times New Roman" w:hAnsi="Arial" w:cs="Arial"/>
          <w:bCs/>
          <w:lang w:val="es-ES" w:eastAsia="es-MX"/>
        </w:rPr>
      </w:pPr>
    </w:p>
    <w:p w14:paraId="5B8FA6D9" w14:textId="77777777" w:rsidR="00F47ECD" w:rsidRPr="00F47ECD" w:rsidRDefault="00F47ECD" w:rsidP="00F47ECD">
      <w:pPr>
        <w:spacing w:after="0" w:line="240" w:lineRule="auto"/>
        <w:jc w:val="both"/>
        <w:rPr>
          <w:rFonts w:ascii="Arial" w:eastAsia="Times New Roman" w:hAnsi="Arial" w:cs="Arial"/>
          <w:bCs/>
          <w:lang w:val="es-ES_tradnl" w:eastAsia="es-MX"/>
        </w:rPr>
      </w:pPr>
      <w:r w:rsidRPr="00F47ECD">
        <w:rPr>
          <w:rFonts w:ascii="Arial" w:eastAsia="Times New Roman" w:hAnsi="Arial" w:cs="Arial"/>
          <w:bCs/>
          <w:lang w:val="es-ES_tradnl" w:eastAsia="es-MX"/>
        </w:rPr>
        <w:t xml:space="preserve">De acuerdo con las reformas en materia de protección a la niñez migrante, que entraron en vigor a principios de año 2021, cuando algún NNA sea puesto a disposición del INM éste deberá notificar de manera inmediata a la Procuraduría de Protección y enseguida canalizarlos al Sistema DIF correspondiente, garantizando el respeto a sus derechos humanos; de manera cautelar el Instituto reconocerá a toda NNA la condición de Visitante por Razones Humanitarias y resolverá el procedimiento administrativo correspondiente atendiendo a las determinaciones que en ese sentido provea el plan de restitución de derechos emitido por la Procuraduría de Protección; se le deberá informar a los NNA en lenguaje claro y conforme a su edad y madurez los procedimientos respectivos, de ser procedente, se le podrá poner en contacto con el consulado de su país, salvo las excepciones señaladas y, personal del INM especializado en la protección de la infancia, podrá entrevistarles con el único objeto de conocer determinados datos. </w:t>
      </w:r>
    </w:p>
    <w:p w14:paraId="3100C16E" w14:textId="77777777" w:rsidR="00F47ECD" w:rsidRPr="00F47ECD" w:rsidRDefault="00F47ECD" w:rsidP="00F47ECD">
      <w:pPr>
        <w:spacing w:after="0" w:line="240" w:lineRule="auto"/>
        <w:jc w:val="both"/>
        <w:rPr>
          <w:rFonts w:ascii="Arial" w:eastAsia="Times New Roman" w:hAnsi="Arial" w:cs="Arial"/>
          <w:bCs/>
          <w:lang w:val="es-ES" w:eastAsia="es-MX"/>
        </w:rPr>
      </w:pPr>
    </w:p>
    <w:p w14:paraId="05096757"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val="es-ES" w:eastAsia="es-MX"/>
        </w:rPr>
        <w:t>En relación con este numeral, l</w:t>
      </w:r>
      <w:r w:rsidRPr="00F47ECD">
        <w:rPr>
          <w:rFonts w:ascii="Arial" w:eastAsia="Times New Roman" w:hAnsi="Arial" w:cs="Arial"/>
          <w:bCs/>
          <w:lang w:eastAsia="es-MX"/>
        </w:rPr>
        <w:t>a CNDH continúa atenta a que la actuación de las autoridades hacia los casos de niñas, niños y adolescentes (NNA) siga los principios de no discriminación, no detención, no devolución, reunificación familiar, derecho a la vida, a la supervivencia, derecho a la libertad y derecho a la protección contra la violencia.</w:t>
      </w:r>
    </w:p>
    <w:p w14:paraId="54CE27EE" w14:textId="77777777" w:rsidR="00F47ECD" w:rsidRPr="00F47ECD" w:rsidRDefault="00F47ECD" w:rsidP="00F47ECD">
      <w:pPr>
        <w:spacing w:after="0" w:line="240" w:lineRule="auto"/>
        <w:jc w:val="both"/>
        <w:rPr>
          <w:rFonts w:ascii="Arial" w:eastAsia="Times New Roman" w:hAnsi="Arial" w:cs="Arial"/>
          <w:bCs/>
          <w:lang w:eastAsia="es-MX"/>
        </w:rPr>
      </w:pPr>
    </w:p>
    <w:p w14:paraId="03DEBF90"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En ese sentido, la Presidenta de la CNDH ha reiterado el llamado a fortalecer las capacidades presupuestales, de recursos humanos y procedimentales, para que el INM, la COMAR, el Sistema Nacional DIF y los sistemas DIF de las entidades federativas, cumplan con sus obligaciones de protección para las NNA en migración, y con su responsabilidad de identificar a personas menores de edad extranjeras y verificar que sean alojadas en lugares apropiados, así también señaló que se les deberá garantizar procedimientos de </w:t>
      </w:r>
      <w:r w:rsidRPr="00F47ECD">
        <w:rPr>
          <w:rFonts w:ascii="Arial" w:eastAsia="Times New Roman" w:hAnsi="Arial" w:cs="Arial"/>
          <w:bCs/>
          <w:lang w:eastAsia="es-MX"/>
        </w:rPr>
        <w:lastRenderedPageBreak/>
        <w:t>protección internacional, como el retorno asistido y el reconocimiento de la condición de refugiado.</w:t>
      </w:r>
      <w:r w:rsidRPr="00F47ECD">
        <w:rPr>
          <w:rFonts w:ascii="Arial" w:eastAsia="Times New Roman" w:hAnsi="Arial" w:cs="Arial"/>
          <w:bCs/>
          <w:vertAlign w:val="superscript"/>
          <w:lang w:eastAsia="es-MX"/>
        </w:rPr>
        <w:footnoteReference w:id="7"/>
      </w:r>
      <w:r w:rsidRPr="00F47ECD">
        <w:rPr>
          <w:rFonts w:ascii="Arial" w:eastAsia="Times New Roman" w:hAnsi="Arial" w:cs="Arial"/>
          <w:bCs/>
          <w:lang w:eastAsia="es-MX"/>
        </w:rPr>
        <w:t xml:space="preserve"> </w:t>
      </w:r>
    </w:p>
    <w:p w14:paraId="1367B295" w14:textId="77777777" w:rsidR="00F47ECD" w:rsidRPr="00F47ECD" w:rsidRDefault="00F47ECD" w:rsidP="00F47ECD">
      <w:pPr>
        <w:spacing w:after="0" w:line="240" w:lineRule="auto"/>
        <w:jc w:val="both"/>
        <w:rPr>
          <w:rFonts w:ascii="Arial" w:eastAsia="Times New Roman" w:hAnsi="Arial" w:cs="Arial"/>
          <w:bCs/>
          <w:lang w:eastAsia="es-MX"/>
        </w:rPr>
      </w:pPr>
    </w:p>
    <w:p w14:paraId="0C3ACB9C"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40.</w:t>
      </w:r>
      <w:r w:rsidRPr="00F47ECD">
        <w:rPr>
          <w:rFonts w:ascii="Arial" w:eastAsia="Times New Roman" w:hAnsi="Arial" w:cs="Arial"/>
          <w:b/>
          <w:lang w:val="es-ES" w:eastAsia="es-MX"/>
        </w:rPr>
        <w:tab/>
        <w:t xml:space="preserve">El Comité urge al Estado parte a que: </w:t>
      </w:r>
    </w:p>
    <w:p w14:paraId="46A1CC1B"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a)</w:t>
      </w:r>
      <w:r w:rsidRPr="00F47ECD">
        <w:rPr>
          <w:rFonts w:ascii="Arial" w:eastAsia="Times New Roman" w:hAnsi="Arial" w:cs="Arial"/>
          <w:b/>
          <w:lang w:val="es-ES" w:eastAsia="es-MX"/>
        </w:rPr>
        <w:tab/>
        <w:t>Asegure en los procedimientos de detención migratoria las debidas garantías procesales, incluyendo el derecho a un intérprete;</w:t>
      </w:r>
    </w:p>
    <w:p w14:paraId="481FF6A2"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b)</w:t>
      </w:r>
      <w:r w:rsidRPr="00F47ECD">
        <w:rPr>
          <w:rFonts w:ascii="Arial" w:eastAsia="Times New Roman" w:hAnsi="Arial" w:cs="Arial"/>
          <w:b/>
          <w:lang w:val="es-ES" w:eastAsia="es-MX"/>
        </w:rPr>
        <w:tab/>
        <w:t>Adopte todas las medidas dirigidas a garantizar el derecho a la asistencia y representación jurídica gratuita en procedimientos de detención migratoria, incluyendo la provisión de recursos y capacitación al Instituto Federal de Defensoría Pública. De forma complementaria, se recomienda la realización de convenios con organizaciones de la sociedad civil especializadas en dicha asistencia;</w:t>
      </w:r>
    </w:p>
    <w:p w14:paraId="0D4581FE"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c)</w:t>
      </w:r>
      <w:r w:rsidRPr="00F47ECD">
        <w:rPr>
          <w:rFonts w:ascii="Arial" w:eastAsia="Times New Roman" w:hAnsi="Arial" w:cs="Arial"/>
          <w:b/>
          <w:lang w:val="es-ES" w:eastAsia="es-MX"/>
        </w:rPr>
        <w:tab/>
        <w:t>Garantice que la detención migratoria sea una medida excepcional, de último recurso y limitada al menor tiempo posible, que esté fundamentada en el caso concreto, incluyendo las razones por las cuales no pueden ser aplicadas las medidas alternativas, y sea revisada en menos de 24 horas por una autoridad judicial independiente e imparcial;</w:t>
      </w:r>
    </w:p>
    <w:p w14:paraId="3E989848"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d)</w:t>
      </w:r>
      <w:r w:rsidRPr="00F47ECD">
        <w:rPr>
          <w:rFonts w:ascii="Arial" w:eastAsia="Times New Roman" w:hAnsi="Arial" w:cs="Arial"/>
          <w:b/>
          <w:lang w:val="es-ES" w:eastAsia="es-MX"/>
        </w:rPr>
        <w:tab/>
        <w:t xml:space="preserve">Garantice el derecho al acceso a justicia, sin que ello redunde en una extensión de la detención en aplicación del artículo 111.V de la Ley de Migración, para evitar que la persona que accede a una medida alternativa o solicite asilo tenga plazo indefinido de detención mientras se resuelve su petición. </w:t>
      </w:r>
    </w:p>
    <w:p w14:paraId="7F16E608" w14:textId="77777777" w:rsidR="00F47ECD" w:rsidRPr="00F47ECD" w:rsidRDefault="00F47ECD" w:rsidP="00F47ECD">
      <w:pPr>
        <w:spacing w:after="0" w:line="240" w:lineRule="auto"/>
        <w:jc w:val="both"/>
        <w:rPr>
          <w:rFonts w:ascii="Arial" w:eastAsia="Times New Roman" w:hAnsi="Arial" w:cs="Arial"/>
          <w:b/>
          <w:lang w:val="es-ES" w:eastAsia="es-MX"/>
        </w:rPr>
      </w:pPr>
    </w:p>
    <w:p w14:paraId="2C83C5FB"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Sobre este apartado, en el año 2020, la CNDH emitió </w:t>
      </w:r>
      <w:r w:rsidRPr="00F47ECD">
        <w:rPr>
          <w:rFonts w:ascii="Arial" w:eastAsia="Times New Roman" w:hAnsi="Arial" w:cs="Arial"/>
          <w:b/>
          <w:lang w:eastAsia="es-MX"/>
        </w:rPr>
        <w:t xml:space="preserve">2 </w:t>
      </w:r>
      <w:r w:rsidRPr="00F47ECD">
        <w:rPr>
          <w:rFonts w:ascii="Arial" w:eastAsia="Times New Roman" w:hAnsi="Arial" w:cs="Arial"/>
          <w:bCs/>
          <w:lang w:eastAsia="es-MX"/>
        </w:rPr>
        <w:t xml:space="preserve">recomendaciones relativas al derecho a un intérprete de las personas migrantes dentro de los procesos administrativos en los que sean parte. </w:t>
      </w:r>
    </w:p>
    <w:p w14:paraId="564EF870" w14:textId="77777777" w:rsidR="00F47ECD" w:rsidRPr="00F47ECD" w:rsidRDefault="00F47ECD" w:rsidP="00F47ECD">
      <w:pPr>
        <w:spacing w:after="0" w:line="240" w:lineRule="auto"/>
        <w:jc w:val="both"/>
        <w:rPr>
          <w:rFonts w:ascii="Arial" w:eastAsia="Times New Roman" w:hAnsi="Arial" w:cs="Arial"/>
          <w:bCs/>
          <w:lang w:eastAsia="es-MX"/>
        </w:rPr>
      </w:pPr>
    </w:p>
    <w:p w14:paraId="2E9DBAC1"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La primera, fue la Recomendación 24/2020</w:t>
      </w:r>
      <w:r w:rsidRPr="00F47ECD">
        <w:rPr>
          <w:rFonts w:ascii="Arial" w:eastAsia="Times New Roman" w:hAnsi="Arial" w:cs="Arial"/>
          <w:bCs/>
          <w:vertAlign w:val="superscript"/>
          <w:lang w:eastAsia="es-MX"/>
        </w:rPr>
        <w:footnoteReference w:id="8"/>
      </w:r>
      <w:r w:rsidRPr="00F47ECD">
        <w:rPr>
          <w:rFonts w:ascii="Arial" w:eastAsia="Times New Roman" w:hAnsi="Arial" w:cs="Arial"/>
          <w:lang w:eastAsia="es-MX"/>
        </w:rPr>
        <w:t xml:space="preserve"> </w:t>
      </w:r>
      <w:r w:rsidRPr="00F47ECD">
        <w:rPr>
          <w:rFonts w:ascii="Arial" w:eastAsia="Times New Roman" w:hAnsi="Arial" w:cs="Arial"/>
          <w:bCs/>
          <w:lang w:eastAsia="es-MX"/>
        </w:rPr>
        <w:t>dirigida a la Comisión Mexicana de Ayuda a Refugiados (COMAR) por la dilación en la determinación de los procedimientos y la omisión de proporcionar información respecto del estado de la solicitud de reconocimiento de la condición de refugiados de 24 personas en contexto de migración internacional, dentro de las que también, a varias de ellas, no se les brindó un traductor o intérprete para el seguimiento de sus procesos.</w:t>
      </w:r>
    </w:p>
    <w:p w14:paraId="74123E53" w14:textId="77777777" w:rsidR="00F47ECD" w:rsidRPr="00F47ECD" w:rsidRDefault="00F47ECD" w:rsidP="00F47ECD">
      <w:pPr>
        <w:spacing w:after="0" w:line="240" w:lineRule="auto"/>
        <w:jc w:val="both"/>
        <w:rPr>
          <w:rFonts w:ascii="Arial" w:eastAsia="Times New Roman" w:hAnsi="Arial" w:cs="Arial"/>
          <w:bCs/>
          <w:lang w:eastAsia="es-MX"/>
        </w:rPr>
      </w:pPr>
    </w:p>
    <w:p w14:paraId="7AEDE98A"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En tal pronunciamiento, la CNDH documentó que personal de la COMAR fue omiso en respetar las garantías que se establecen para el procedimiento de reconocimiento de la condición de refugiado, entre ellas a realizar las diligencias encaminadas a dictar una resolución y emitir las constancias de trámite con vigencia de 45 días hábiles, vulnerando el derecho a la seguridad jurídica y legalidad de las víctimas. Asimismo, omitió atender el principio del interés superior de las niñas, niños y adolescentes, adoptar las medidas de protección a su favor y brindar la asistencia institucional que requerían. </w:t>
      </w:r>
    </w:p>
    <w:p w14:paraId="142548D9" w14:textId="77777777" w:rsidR="00F47ECD" w:rsidRPr="00F47ECD" w:rsidRDefault="00F47ECD" w:rsidP="00F47ECD">
      <w:pPr>
        <w:spacing w:after="0" w:line="240" w:lineRule="auto"/>
        <w:jc w:val="both"/>
        <w:rPr>
          <w:rFonts w:ascii="Arial" w:eastAsia="Times New Roman" w:hAnsi="Arial" w:cs="Arial"/>
          <w:bCs/>
          <w:lang w:eastAsia="es-MX"/>
        </w:rPr>
      </w:pPr>
    </w:p>
    <w:p w14:paraId="75686E17"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Como resultado de las investigaciones, a través de la citada Recomendación esta Comisión Nacional solicitó al Coordinador General de la COMAR lo siguiente: En coordinación con la Comisión Ejecutiva de Atención a Víctimas, conforme a los hechos y responsabilidad que le son atribuidos, se brinde la reparación integral por los daños causados a las víctimas que incluya la atención psicológica, médica y asesoría jurídica; se colabore con este Organismo </w:t>
      </w:r>
      <w:r w:rsidRPr="00F47ECD">
        <w:rPr>
          <w:rFonts w:ascii="Arial" w:eastAsia="Times New Roman" w:hAnsi="Arial" w:cs="Arial"/>
          <w:bCs/>
          <w:lang w:eastAsia="es-MX"/>
        </w:rPr>
        <w:lastRenderedPageBreak/>
        <w:t xml:space="preserve">Nacional en la presentación y seguimiento de la queja que se presente ante el Órgano Interno de Control correspondiente, por los actos y omisiones precisados; se realicen las acciones pertinentes para efectuar las diligencias respectivas en los procedimientos de reconocimiento de la condición de refugiado de las víctimas, se emita una resolución y se les notifique a las personas solicitantes en los plazos y términos establecidos en la normatividad aplicable; y en aquellos en los que haya niñas, niños y adolescentes involucrados se atienda el principio del interés superior de la niñez; asimismo, suscriba el acuerdo o los acuerdos interinstitucionales necesarios a efecto que se garantice de manera adecuada y oportuna la intervención y asistencia de traductores o interpretes para las víctimas que los requieran, mencionadas en la Recomendación, así como, en general para las personas en contexto de migración internacional. </w:t>
      </w:r>
    </w:p>
    <w:p w14:paraId="42547093" w14:textId="77777777" w:rsidR="00F47ECD" w:rsidRPr="00F47ECD" w:rsidRDefault="00F47ECD" w:rsidP="00F47ECD">
      <w:pPr>
        <w:spacing w:after="0" w:line="240" w:lineRule="auto"/>
        <w:jc w:val="both"/>
        <w:rPr>
          <w:rFonts w:ascii="Arial" w:eastAsia="Times New Roman" w:hAnsi="Arial" w:cs="Arial"/>
          <w:bCs/>
          <w:lang w:eastAsia="es-MX"/>
        </w:rPr>
      </w:pPr>
    </w:p>
    <w:p w14:paraId="3C6F99EF"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Emitir una circular interna en la que se instruyera al personal encargado de resolver las solicitudes de reconocimiento de la condición de refugiado para que, en caso que los procedimientos se encuentren suspendidos con fundamento en el “Acuerdo por el que se suspenden los plazos y términos de los procedimientos que lleve a cabo la Coordinación General de la Comisión Mexicana de Ayuda a Refugiados en la Ciudad de México”, publicado en el DOF el 30 de octubre de 2017, se reinicien de manera inmediata; se elabore un protocolo de actuación para las y los servidores públicos de la COMAR en que se establezca la atención prioritaria y las acciones de protección y asistencia institucional, cuando las personas solicitantes del reconocimiento de la condición de refugiado se ubiquen en un supuesto de vulnerabilidad, como la niñez migrante, personas de la comunidad LGBTTTI, personas con padecimientos de salud, personas adultas mayores, entre otros y se diseñe e imparta a los servidores públicos encargados de substanciar los procedimientos de reconocimiento de la condición de refugiado, un curso sobre los derechos humanos particularmente a la seguridad jurídica y legalidad, al principio del interés superior de la niñez y del derecho internacional humanitario.</w:t>
      </w:r>
    </w:p>
    <w:p w14:paraId="20713A32" w14:textId="77777777" w:rsidR="00F47ECD" w:rsidRPr="00F47ECD" w:rsidRDefault="00F47ECD" w:rsidP="00F47ECD">
      <w:pPr>
        <w:spacing w:after="0" w:line="240" w:lineRule="auto"/>
        <w:jc w:val="both"/>
        <w:rPr>
          <w:rFonts w:ascii="Arial" w:eastAsia="Times New Roman" w:hAnsi="Arial" w:cs="Arial"/>
          <w:bCs/>
          <w:lang w:eastAsia="es-MX"/>
        </w:rPr>
      </w:pPr>
    </w:p>
    <w:p w14:paraId="32D257DF"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La segunda, fue la Recomendación 61/2020</w:t>
      </w:r>
      <w:r w:rsidRPr="00F47ECD">
        <w:rPr>
          <w:rFonts w:ascii="Arial" w:eastAsia="Times New Roman" w:hAnsi="Arial" w:cs="Arial"/>
          <w:bCs/>
          <w:vertAlign w:val="superscript"/>
          <w:lang w:eastAsia="es-MX"/>
        </w:rPr>
        <w:footnoteReference w:id="9"/>
      </w:r>
      <w:r w:rsidRPr="00F47ECD">
        <w:rPr>
          <w:rFonts w:ascii="Arial" w:eastAsia="Times New Roman" w:hAnsi="Arial" w:cs="Arial"/>
          <w:bCs/>
          <w:lang w:eastAsia="es-MX"/>
        </w:rPr>
        <w:t xml:space="preserve"> al Coordinador General de la Comisión Mexicana de Ayuda a Refugiados, por el caso de 56 víctimas, solicitantes del reconocimiento de la condición de refugiado, quienes se inconformaron por la omisión y dilación para resolver sus procedimientos por parte de la Comisión Mexicana de Atención a Refugiados (COMAR), así como por omitir proporcionar información y seguimiento a las solicitudes de reconocimiento mencionadas. </w:t>
      </w:r>
    </w:p>
    <w:p w14:paraId="4A81D955" w14:textId="77777777" w:rsidR="00F47ECD" w:rsidRPr="00F47ECD" w:rsidRDefault="00F47ECD" w:rsidP="00F47ECD">
      <w:pPr>
        <w:spacing w:after="0" w:line="240" w:lineRule="auto"/>
        <w:jc w:val="both"/>
        <w:rPr>
          <w:rFonts w:ascii="Arial" w:eastAsia="Times New Roman" w:hAnsi="Arial" w:cs="Arial"/>
          <w:bCs/>
          <w:lang w:eastAsia="es-MX"/>
        </w:rPr>
      </w:pPr>
    </w:p>
    <w:p w14:paraId="727B6B1E"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Este Organismo Nacional contó con elementos que permitieron evidenciar violaciones a los derechos humanos a la seguridad jurídica, a la legalidad y al interés superior de la niñez, en agravio de las víctimas, atribuibles a servidores públicos de la COMAR con facultades para brindar el trámite de la solicitud de condición de refugiado. Asimismo, se advirtió que personal de la COMAR debió observar los principios pro persona, de convencionalidad y de celeridad e inmediatez, a fin de que el tiempo transcurrido entre la presentación de las solicitudes del caso y las respuestas a las mismas fuera acorde con la legislación de la materia, con lo que se daría a las personas solicitantes la garantía de una mayor eficacia a sus procedimientos y certeza al derecho a la seguridad jurídica, en atención a la múltiple vulnerabilidad en la que se encuentran las víctimas mencionadas en la presente Recomendación, así como las personas solicitantes de refugio en general, ya que en su mayoría están huyendo de sus países de origen, donde su vida e integridad corren peligro, </w:t>
      </w:r>
      <w:r w:rsidRPr="00F47ECD">
        <w:rPr>
          <w:rFonts w:ascii="Arial" w:eastAsia="Times New Roman" w:hAnsi="Arial" w:cs="Arial"/>
          <w:bCs/>
          <w:lang w:eastAsia="es-MX"/>
        </w:rPr>
        <w:lastRenderedPageBreak/>
        <w:t xml:space="preserve">y que en gran parte de los casos se involucran a niñas, niños y adolescentes, mujeres y personas adultas mayores. </w:t>
      </w:r>
    </w:p>
    <w:p w14:paraId="03C9448E" w14:textId="77777777" w:rsidR="00F47ECD" w:rsidRPr="00F47ECD" w:rsidRDefault="00F47ECD" w:rsidP="00F47ECD">
      <w:pPr>
        <w:spacing w:after="0" w:line="240" w:lineRule="auto"/>
        <w:jc w:val="both"/>
        <w:rPr>
          <w:rFonts w:ascii="Arial" w:eastAsia="Times New Roman" w:hAnsi="Arial" w:cs="Arial"/>
          <w:bCs/>
          <w:lang w:eastAsia="es-MX"/>
        </w:rPr>
      </w:pPr>
    </w:p>
    <w:p w14:paraId="5B57A95E"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Por ello, esta Comisión Nacional solicitó al Coordinador General de la COMAR que, en coordinación con la Comisión Ejecutiva de Atención a Víctimas (CEAV), conforme a los hechos y responsabilidad que le son atribuidos en la presente Recomendación, brinde la reparación integral por los daños causados a las víctimas, que incluya la atención psicológica, médica y asesoría jurídica necesarios, en términos de la Ley General de Víctimas y se les inscriba en el Registro Nacional de Víctimas. También se solicitó que se colabore con este Organismo Nacional en la presentación y seguimiento de la queja que se presente ante el Órgano Interno de Control en la Secretaría de Gobernación, respecto de los servidores públicos responsables, así como en contra de quien resulte responsable.</w:t>
      </w:r>
    </w:p>
    <w:p w14:paraId="4D095450"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 </w:t>
      </w:r>
    </w:p>
    <w:p w14:paraId="79F460BE"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Asimismo, que se realicen las acciones pertinentes para efectuar las diligencias respectivas en los procedimientos de reconocimiento de la condición de refugiado de las víctimas; que se emita una resolución y se les notifique a las personas solicitantes en los plazos y términos establecidos en la normatividad aplicable, y en aquellos en los que haya niñas, niños y adolescentes involucrados se atienda el principio del interés superior de la niñez.</w:t>
      </w:r>
    </w:p>
    <w:p w14:paraId="2F305781"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 </w:t>
      </w:r>
    </w:p>
    <w:p w14:paraId="6C99BAB7"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También se solicitó se suscriba el acuerdo o los acuerdos interinstitucionales necesarios a efecto que se garantice de manera adecuada y oportuna la intervención y asistencia de traductores o interpretes para las víctimas que los requieran, así como, en general para las personas en contexto de migración internacional que se encuentren en territorio nacional, y que soliciten el reconocimiento de la condición de refugiado. Finalmente, se solicita que se elabore un protocolo de actuación para las y los servidores públicos de la COMAR en que se establezca la atención prioritaria y las acciones de protección y asistencia institucional, cuando las personas solicitantes del reconocimiento de la condición de refugiado se ubiquen en un supuesto de vulnerabilidad, como la niñez migrante, personas de la comunidad LGBTTTI+, personas con padecimientos de salud, personas adultas mayores, entre otros, y se diseñe e imparta a los servidores públicos un curso sobre los derechos humanos, enfocados en la seguridad jurídica y legalidad, al principio del interés superior de la niñez y del derecho internacional humanitario, poniendo énfasis en los derechos fundamentales de las personas en contexto de migración y solicitantes de refugio.</w:t>
      </w:r>
    </w:p>
    <w:p w14:paraId="609CE9ED" w14:textId="77777777" w:rsidR="00F47ECD" w:rsidRPr="00F47ECD" w:rsidRDefault="00F47ECD" w:rsidP="00F47ECD">
      <w:pPr>
        <w:spacing w:after="0" w:line="240" w:lineRule="auto"/>
        <w:jc w:val="both"/>
        <w:rPr>
          <w:rFonts w:ascii="Arial" w:eastAsia="Times New Roman" w:hAnsi="Arial" w:cs="Arial"/>
          <w:bCs/>
          <w:lang w:eastAsia="es-MX"/>
        </w:rPr>
      </w:pPr>
    </w:p>
    <w:p w14:paraId="7EC71537" w14:textId="77777777" w:rsidR="00F47ECD" w:rsidRPr="00F47ECD" w:rsidRDefault="00F47ECD" w:rsidP="00F47ECD">
      <w:pPr>
        <w:spacing w:after="0" w:line="240" w:lineRule="auto"/>
        <w:jc w:val="both"/>
        <w:rPr>
          <w:rFonts w:ascii="Arial" w:eastAsia="Times New Roman" w:hAnsi="Arial" w:cs="Arial"/>
          <w:bCs/>
          <w:lang w:eastAsia="es-MX"/>
        </w:rPr>
      </w:pPr>
    </w:p>
    <w:p w14:paraId="3685E34E"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42.</w:t>
      </w:r>
      <w:r w:rsidRPr="00F47ECD">
        <w:rPr>
          <w:rFonts w:ascii="Arial" w:eastAsia="Times New Roman" w:hAnsi="Arial" w:cs="Arial"/>
          <w:b/>
          <w:lang w:val="es-ES" w:eastAsia="es-MX"/>
        </w:rPr>
        <w:tab/>
        <w:t>El Comité reitera su recomendación anterior (véase CMW/C/MEX/CO/2, párr. 34), e insta al Estado parte a garantizar condiciones dignas y adecuadas en los centros de detención migratoria, los cuales no pueden tener similares características y finalidades que un ámbito penitenciario. En particular, el Comité le recomienda que:</w:t>
      </w:r>
    </w:p>
    <w:p w14:paraId="496DF8C8"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a)</w:t>
      </w:r>
      <w:r w:rsidRPr="00F47ECD">
        <w:rPr>
          <w:rFonts w:ascii="Arial" w:eastAsia="Times New Roman" w:hAnsi="Arial" w:cs="Arial"/>
          <w:b/>
          <w:lang w:val="es-ES" w:eastAsia="es-MX"/>
        </w:rPr>
        <w:tab/>
        <w:t xml:space="preserve">Brinde servicios adecuados de salud y sensibles al género, incluyendo salud sexual y reproductiva, asistencia psicológica, agua, saneamiento e higiene, alimentación, actividades recreativas y de ocio; </w:t>
      </w:r>
    </w:p>
    <w:p w14:paraId="1AEDFB82"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b)</w:t>
      </w:r>
      <w:r w:rsidRPr="00F47ECD">
        <w:rPr>
          <w:rFonts w:ascii="Arial" w:eastAsia="Times New Roman" w:hAnsi="Arial" w:cs="Arial"/>
          <w:b/>
          <w:lang w:val="es-ES" w:eastAsia="es-MX"/>
        </w:rPr>
        <w:tab/>
        <w:t>Erradique de forma inmediata el uso de celdas de castigo;</w:t>
      </w:r>
    </w:p>
    <w:p w14:paraId="36D65E74"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c)</w:t>
      </w:r>
      <w:r w:rsidRPr="00F47ECD">
        <w:rPr>
          <w:rFonts w:ascii="Arial" w:eastAsia="Times New Roman" w:hAnsi="Arial" w:cs="Arial"/>
          <w:b/>
          <w:lang w:val="es-ES" w:eastAsia="es-MX"/>
        </w:rPr>
        <w:tab/>
        <w:t>Ponga fin a cualquier situación de sobrepoblación y hacinamiento;</w:t>
      </w:r>
    </w:p>
    <w:p w14:paraId="58F252C5"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d)</w:t>
      </w:r>
      <w:r w:rsidRPr="00F47ECD">
        <w:rPr>
          <w:rFonts w:ascii="Arial" w:eastAsia="Times New Roman" w:hAnsi="Arial" w:cs="Arial"/>
          <w:b/>
          <w:lang w:val="es-ES" w:eastAsia="es-MX"/>
        </w:rPr>
        <w:tab/>
        <w:t>Investigue y sancione adecuadamente a los agentes estatales que violen los derechos de migrantes en esos centros;</w:t>
      </w:r>
    </w:p>
    <w:p w14:paraId="635E261B"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e)</w:t>
      </w:r>
      <w:r w:rsidRPr="00F47ECD">
        <w:rPr>
          <w:rFonts w:ascii="Arial" w:eastAsia="Times New Roman" w:hAnsi="Arial" w:cs="Arial"/>
          <w:b/>
          <w:lang w:val="es-ES" w:eastAsia="es-MX"/>
        </w:rPr>
        <w:tab/>
        <w:t xml:space="preserve">Capacite a los agentes estatales en los centros de detención, sobre derechos humanos, igualdad de género, el interés superior de los niños, niñas y adolescentes, y no discriminación; </w:t>
      </w:r>
    </w:p>
    <w:p w14:paraId="2DE8D225"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lastRenderedPageBreak/>
        <w:tab/>
        <w:t>f)</w:t>
      </w:r>
      <w:r w:rsidRPr="00F47ECD">
        <w:rPr>
          <w:rFonts w:ascii="Arial" w:eastAsia="Times New Roman" w:hAnsi="Arial" w:cs="Arial"/>
          <w:b/>
          <w:lang w:val="es-ES" w:eastAsia="es-MX"/>
        </w:rPr>
        <w:tab/>
        <w:t>Implemente las recomendaciones de la Comisión Nacional de Derechos Humanos y garantice la plena aplicación del Mecanismo Nacional de Prevención de la Tortura</w:t>
      </w:r>
    </w:p>
    <w:p w14:paraId="57D2A457" w14:textId="77777777" w:rsidR="00F47ECD" w:rsidRPr="00F47ECD" w:rsidRDefault="00F47ECD" w:rsidP="00F47ECD">
      <w:pPr>
        <w:spacing w:after="0" w:line="240" w:lineRule="auto"/>
        <w:jc w:val="both"/>
        <w:rPr>
          <w:rFonts w:ascii="Arial" w:eastAsia="Times New Roman" w:hAnsi="Arial" w:cs="Arial"/>
          <w:b/>
          <w:lang w:val="es-ES" w:eastAsia="es-MX"/>
        </w:rPr>
      </w:pPr>
    </w:p>
    <w:p w14:paraId="46F781B6"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val="es-ES" w:eastAsia="es-MX"/>
        </w:rPr>
        <w:t xml:space="preserve">Al respecto, mediante las visitas realizadas a estancias y estaciones migratorias, la CNDH </w:t>
      </w:r>
      <w:r w:rsidRPr="00F47ECD">
        <w:rPr>
          <w:rFonts w:ascii="Arial" w:eastAsia="Times New Roman" w:hAnsi="Arial" w:cs="Arial"/>
          <w:bCs/>
          <w:lang w:eastAsia="es-MX"/>
        </w:rPr>
        <w:t>garantiza el acceso de las personas migrantes a una estancia digna durante su alojamiento en éstas, e igualmente se realizan gestiones ante la autoridad migratoria, derivadas de las entrevistas sostenidas con dichas personas, para resolver problemas específicos de manera inmediata, tales como:</w:t>
      </w:r>
    </w:p>
    <w:p w14:paraId="2037F05F" w14:textId="77777777" w:rsidR="00F47ECD" w:rsidRPr="00F47ECD" w:rsidRDefault="00F47ECD" w:rsidP="00F47ECD">
      <w:pPr>
        <w:spacing w:after="0" w:line="240" w:lineRule="auto"/>
        <w:jc w:val="both"/>
        <w:rPr>
          <w:rFonts w:ascii="Arial" w:eastAsia="Times New Roman" w:hAnsi="Arial" w:cs="Arial"/>
          <w:bCs/>
          <w:lang w:eastAsia="es-MX"/>
        </w:rPr>
      </w:pPr>
    </w:p>
    <w:p w14:paraId="1D0D2A68"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a. Gestiones médicas: solicitar que las personas sean atendidas por un médico de la estación; que se les proporcione algún medicamento; traslado a hospitales; consultas odontológicas.</w:t>
      </w:r>
    </w:p>
    <w:p w14:paraId="1D208C9C" w14:textId="77777777" w:rsidR="00F47ECD" w:rsidRPr="00F47ECD" w:rsidRDefault="00F47ECD" w:rsidP="00F47ECD">
      <w:pPr>
        <w:spacing w:after="0" w:line="240" w:lineRule="auto"/>
        <w:jc w:val="both"/>
        <w:rPr>
          <w:rFonts w:ascii="Arial" w:eastAsia="Times New Roman" w:hAnsi="Arial" w:cs="Arial"/>
          <w:bCs/>
          <w:lang w:eastAsia="es-MX"/>
        </w:rPr>
      </w:pPr>
    </w:p>
    <w:p w14:paraId="04BEF253"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b. Gestiones jurídicas: que se les informe el estado que guarda su procedimiento migratorio, solicitar audiencia para que nombren un representante legal o persona de confianza, solicitar se les canalice a la Comisión Mexicana de Ayuda a Refugiados en caso de que deseen solicitar el reconocimiento de la condición de refugiado. De igual manera cuando son víctima de un delito, que sean trasladados ante el agente del ministerio público para que presenten su denuncia. </w:t>
      </w:r>
    </w:p>
    <w:p w14:paraId="2C630FBA" w14:textId="77777777" w:rsidR="00F47ECD" w:rsidRPr="00F47ECD" w:rsidRDefault="00F47ECD" w:rsidP="00F47ECD">
      <w:pPr>
        <w:spacing w:after="0" w:line="240" w:lineRule="auto"/>
        <w:jc w:val="both"/>
        <w:rPr>
          <w:rFonts w:ascii="Arial" w:eastAsia="Times New Roman" w:hAnsi="Arial" w:cs="Arial"/>
          <w:bCs/>
          <w:lang w:eastAsia="es-MX"/>
        </w:rPr>
      </w:pPr>
    </w:p>
    <w:p w14:paraId="6F5F2789"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c. Gestiones administrativas: llamadas telefónicas, solicitud de enseres de aseo personal, ropa y zapatos, visitas a sus familiares que se encuentran en alguna otra área. Si durante la visita se observa que hay niñas, niños y adolescentes que viajan solos, se gestiona ante la autoridad para que sean canalizados y trasladados a un Centro de Asistencia Social.</w:t>
      </w:r>
    </w:p>
    <w:p w14:paraId="307CB239" w14:textId="77777777" w:rsidR="00F47ECD" w:rsidRPr="00F47ECD" w:rsidRDefault="00F47ECD" w:rsidP="00F47ECD">
      <w:pPr>
        <w:spacing w:after="0" w:line="240" w:lineRule="auto"/>
        <w:jc w:val="both"/>
        <w:rPr>
          <w:rFonts w:ascii="Arial" w:eastAsia="Times New Roman" w:hAnsi="Arial" w:cs="Arial"/>
          <w:bCs/>
          <w:lang w:eastAsia="es-MX"/>
        </w:rPr>
      </w:pPr>
    </w:p>
    <w:p w14:paraId="3ACE0D7F" w14:textId="77777777" w:rsidR="00F47ECD" w:rsidRPr="00F47ECD" w:rsidRDefault="00F47ECD" w:rsidP="00F47ECD">
      <w:pPr>
        <w:spacing w:after="0" w:line="240" w:lineRule="auto"/>
        <w:jc w:val="both"/>
        <w:rPr>
          <w:rFonts w:ascii="Arial" w:eastAsia="Times New Roman" w:hAnsi="Arial" w:cs="Arial"/>
          <w:bCs/>
          <w:u w:val="single"/>
          <w:lang w:val="es-ES" w:eastAsia="es-MX"/>
        </w:rPr>
      </w:pPr>
      <w:r w:rsidRPr="00F47ECD">
        <w:rPr>
          <w:rFonts w:ascii="Arial" w:eastAsia="Times New Roman" w:hAnsi="Arial" w:cs="Arial"/>
          <w:bCs/>
          <w:lang w:eastAsia="es-MX"/>
        </w:rPr>
        <w:t>El 15 de noviembre de 2019, se publicó el Informe Especial sobre la situación de las Estaciones Migratorias en México 2019</w:t>
      </w:r>
      <w:r w:rsidRPr="00F47ECD">
        <w:rPr>
          <w:rFonts w:ascii="Arial" w:eastAsia="Times New Roman" w:hAnsi="Arial" w:cs="Arial"/>
          <w:bCs/>
          <w:vertAlign w:val="superscript"/>
          <w:lang w:eastAsia="es-MX"/>
        </w:rPr>
        <w:footnoteReference w:id="10"/>
      </w:r>
      <w:r w:rsidRPr="00F47ECD">
        <w:rPr>
          <w:rFonts w:ascii="Arial" w:eastAsia="Times New Roman" w:hAnsi="Arial" w:cs="Arial"/>
          <w:bCs/>
          <w:lang w:eastAsia="es-MX"/>
        </w:rPr>
        <w:t xml:space="preserve">, en el que se señaló que si bien la detención migratoria de las personas migrantes pasó de ser considerada un delito a una infracción a normas administrativas, las condiciones y características estructurales y de administración de las Estaciones Migratorias y Estancias Provisionales del Instituto Nacional de Migración, en las que son privadas de su libertad en tanto se resuelve su condición migratoria en el país, mantienen el modelo carcelario, en el que permanecen en celdas bajo llave y sometidas a un tratamiento similar al que reciben aquellas personas que han infringido la ley penal. Consultable en: </w:t>
      </w:r>
    </w:p>
    <w:p w14:paraId="0DE8A458" w14:textId="77777777" w:rsidR="00F47ECD" w:rsidRPr="00F47ECD" w:rsidRDefault="00F47ECD" w:rsidP="00F47ECD">
      <w:pPr>
        <w:spacing w:after="0" w:line="240" w:lineRule="auto"/>
        <w:jc w:val="both"/>
        <w:rPr>
          <w:rFonts w:ascii="Arial" w:eastAsia="Times New Roman" w:hAnsi="Arial" w:cs="Arial"/>
          <w:bCs/>
          <w:lang w:eastAsia="es-MX"/>
        </w:rPr>
      </w:pPr>
    </w:p>
    <w:p w14:paraId="30F58A54"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Durante los últimos dos años (2020-2021), se han realizado: </w:t>
      </w:r>
    </w:p>
    <w:p w14:paraId="56C8817F" w14:textId="77777777" w:rsidR="00F47ECD" w:rsidRPr="00F47ECD" w:rsidRDefault="00F47ECD" w:rsidP="00F47ECD">
      <w:pPr>
        <w:spacing w:after="0" w:line="240" w:lineRule="auto"/>
        <w:jc w:val="both"/>
        <w:rPr>
          <w:rFonts w:ascii="Arial" w:eastAsia="Times New Roman" w:hAnsi="Arial" w:cs="Arial"/>
          <w:bCs/>
          <w:lang w:eastAsia="es-MX"/>
        </w:rPr>
      </w:pPr>
    </w:p>
    <w:tbl>
      <w:tblPr>
        <w:tblW w:w="9634" w:type="dxa"/>
        <w:tblCellMar>
          <w:left w:w="70" w:type="dxa"/>
          <w:right w:w="70" w:type="dxa"/>
        </w:tblCellMar>
        <w:tblLook w:val="04A0" w:firstRow="1" w:lastRow="0" w:firstColumn="1" w:lastColumn="0" w:noHBand="0" w:noVBand="1"/>
      </w:tblPr>
      <w:tblGrid>
        <w:gridCol w:w="2122"/>
        <w:gridCol w:w="2268"/>
        <w:gridCol w:w="2693"/>
        <w:gridCol w:w="2551"/>
      </w:tblGrid>
      <w:tr w:rsidR="00F47ECD" w:rsidRPr="00F47ECD" w14:paraId="737F794C" w14:textId="77777777" w:rsidTr="00A10C27">
        <w:trPr>
          <w:trHeight w:val="901"/>
        </w:trPr>
        <w:tc>
          <w:tcPr>
            <w:tcW w:w="2122" w:type="dxa"/>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651CBBD4" w14:textId="77777777" w:rsidR="00F47ECD" w:rsidRPr="00F47ECD" w:rsidRDefault="00F47ECD" w:rsidP="00F47ECD">
            <w:pPr>
              <w:spacing w:after="0" w:line="240" w:lineRule="auto"/>
              <w:jc w:val="both"/>
              <w:rPr>
                <w:rFonts w:ascii="Arial" w:eastAsia="Times New Roman" w:hAnsi="Arial" w:cs="Arial"/>
                <w:b/>
                <w:bCs/>
                <w:lang w:eastAsia="es-MX"/>
              </w:rPr>
            </w:pPr>
            <w:r w:rsidRPr="00F47ECD">
              <w:rPr>
                <w:rFonts w:ascii="Arial" w:eastAsia="Times New Roman" w:hAnsi="Arial" w:cs="Arial"/>
                <w:b/>
                <w:bCs/>
                <w:lang w:eastAsia="es-MX"/>
              </w:rPr>
              <w:t>Año</w:t>
            </w:r>
          </w:p>
        </w:tc>
        <w:tc>
          <w:tcPr>
            <w:tcW w:w="2268" w:type="dxa"/>
            <w:tcBorders>
              <w:top w:val="single" w:sz="4" w:space="0" w:color="auto"/>
              <w:left w:val="nil"/>
              <w:bottom w:val="single" w:sz="4" w:space="0" w:color="auto"/>
              <w:right w:val="single" w:sz="4" w:space="0" w:color="auto"/>
            </w:tcBorders>
            <w:shd w:val="clear" w:color="000000" w:fill="8EA9DB"/>
            <w:vAlign w:val="center"/>
            <w:hideMark/>
          </w:tcPr>
          <w:p w14:paraId="1A5E93ED"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
                <w:bCs/>
                <w:lang w:eastAsia="es-MX"/>
              </w:rPr>
              <w:t>Visitas realizadas</w:t>
            </w:r>
            <w:r w:rsidRPr="00F47ECD">
              <w:rPr>
                <w:rFonts w:ascii="Arial" w:eastAsia="Times New Roman" w:hAnsi="Arial" w:cs="Arial"/>
                <w:bCs/>
                <w:lang w:eastAsia="es-MX"/>
              </w:rPr>
              <w:t xml:space="preserve"> a Estaciones y Estancias Migratorias</w:t>
            </w:r>
          </w:p>
        </w:tc>
        <w:tc>
          <w:tcPr>
            <w:tcW w:w="2693" w:type="dxa"/>
            <w:tcBorders>
              <w:top w:val="single" w:sz="4" w:space="0" w:color="auto"/>
              <w:left w:val="nil"/>
              <w:bottom w:val="single" w:sz="4" w:space="0" w:color="auto"/>
              <w:right w:val="single" w:sz="4" w:space="0" w:color="auto"/>
            </w:tcBorders>
            <w:shd w:val="clear" w:color="000000" w:fill="8EA9DB"/>
            <w:vAlign w:val="center"/>
            <w:hideMark/>
          </w:tcPr>
          <w:p w14:paraId="395DB1C1"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
                <w:bCs/>
                <w:lang w:eastAsia="es-MX"/>
              </w:rPr>
              <w:t>Personas atendidas</w:t>
            </w:r>
            <w:r w:rsidRPr="00F47ECD">
              <w:rPr>
                <w:rFonts w:ascii="Arial" w:eastAsia="Times New Roman" w:hAnsi="Arial" w:cs="Arial"/>
                <w:bCs/>
                <w:lang w:eastAsia="es-MX"/>
              </w:rPr>
              <w:t xml:space="preserve"> en las visitas a Estaciones y Estancias Migratorias</w:t>
            </w:r>
          </w:p>
        </w:tc>
        <w:tc>
          <w:tcPr>
            <w:tcW w:w="2551" w:type="dxa"/>
            <w:tcBorders>
              <w:top w:val="single" w:sz="4" w:space="0" w:color="auto"/>
              <w:left w:val="nil"/>
              <w:bottom w:val="single" w:sz="4" w:space="0" w:color="auto"/>
              <w:right w:val="single" w:sz="4" w:space="0" w:color="auto"/>
            </w:tcBorders>
            <w:shd w:val="clear" w:color="000000" w:fill="8EA9DB"/>
            <w:vAlign w:val="center"/>
            <w:hideMark/>
          </w:tcPr>
          <w:p w14:paraId="5A791DF7"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
                <w:bCs/>
                <w:lang w:eastAsia="es-MX"/>
              </w:rPr>
              <w:t>Gestiones realizadas</w:t>
            </w:r>
            <w:r w:rsidRPr="00F47ECD">
              <w:rPr>
                <w:rFonts w:ascii="Arial" w:eastAsia="Times New Roman" w:hAnsi="Arial" w:cs="Arial"/>
                <w:bCs/>
                <w:lang w:eastAsia="es-MX"/>
              </w:rPr>
              <w:t xml:space="preserve"> en las visitas a Estaciones y Estancias Migratorias</w:t>
            </w:r>
          </w:p>
        </w:tc>
      </w:tr>
      <w:tr w:rsidR="00F47ECD" w:rsidRPr="00F47ECD" w14:paraId="4500E2AB" w14:textId="77777777" w:rsidTr="00A10C27">
        <w:trPr>
          <w:trHeight w:val="31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7C5D6060"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2020</w:t>
            </w:r>
          </w:p>
        </w:tc>
        <w:tc>
          <w:tcPr>
            <w:tcW w:w="2268" w:type="dxa"/>
            <w:tcBorders>
              <w:top w:val="nil"/>
              <w:left w:val="nil"/>
              <w:bottom w:val="single" w:sz="4" w:space="0" w:color="auto"/>
              <w:right w:val="single" w:sz="4" w:space="0" w:color="auto"/>
            </w:tcBorders>
            <w:shd w:val="clear" w:color="auto" w:fill="auto"/>
            <w:noWrap/>
            <w:vAlign w:val="center"/>
            <w:hideMark/>
          </w:tcPr>
          <w:p w14:paraId="2547482D"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1,017</w:t>
            </w:r>
          </w:p>
        </w:tc>
        <w:tc>
          <w:tcPr>
            <w:tcW w:w="2693" w:type="dxa"/>
            <w:tcBorders>
              <w:top w:val="nil"/>
              <w:left w:val="nil"/>
              <w:bottom w:val="single" w:sz="4" w:space="0" w:color="auto"/>
              <w:right w:val="single" w:sz="4" w:space="0" w:color="auto"/>
            </w:tcBorders>
            <w:shd w:val="clear" w:color="auto" w:fill="auto"/>
            <w:noWrap/>
            <w:vAlign w:val="center"/>
            <w:hideMark/>
          </w:tcPr>
          <w:p w14:paraId="3AA89F38"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 75,101</w:t>
            </w:r>
          </w:p>
        </w:tc>
        <w:tc>
          <w:tcPr>
            <w:tcW w:w="2551" w:type="dxa"/>
            <w:tcBorders>
              <w:top w:val="nil"/>
              <w:left w:val="nil"/>
              <w:bottom w:val="single" w:sz="4" w:space="0" w:color="auto"/>
              <w:right w:val="single" w:sz="4" w:space="0" w:color="auto"/>
            </w:tcBorders>
            <w:shd w:val="clear" w:color="auto" w:fill="auto"/>
            <w:noWrap/>
            <w:vAlign w:val="center"/>
            <w:hideMark/>
          </w:tcPr>
          <w:p w14:paraId="71F0FC03"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19,439</w:t>
            </w:r>
          </w:p>
        </w:tc>
      </w:tr>
      <w:tr w:rsidR="00F47ECD" w:rsidRPr="00F47ECD" w14:paraId="08C6628D" w14:textId="77777777" w:rsidTr="00A10C27">
        <w:trPr>
          <w:trHeight w:val="420"/>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E04A365"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2021</w:t>
            </w:r>
          </w:p>
        </w:tc>
        <w:tc>
          <w:tcPr>
            <w:tcW w:w="2268" w:type="dxa"/>
            <w:tcBorders>
              <w:top w:val="nil"/>
              <w:left w:val="nil"/>
              <w:bottom w:val="single" w:sz="4" w:space="0" w:color="auto"/>
              <w:right w:val="single" w:sz="4" w:space="0" w:color="auto"/>
            </w:tcBorders>
            <w:shd w:val="clear" w:color="auto" w:fill="auto"/>
            <w:noWrap/>
            <w:vAlign w:val="center"/>
            <w:hideMark/>
          </w:tcPr>
          <w:p w14:paraId="22FD3B66"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1,229</w:t>
            </w:r>
          </w:p>
        </w:tc>
        <w:tc>
          <w:tcPr>
            <w:tcW w:w="2693" w:type="dxa"/>
            <w:tcBorders>
              <w:top w:val="nil"/>
              <w:left w:val="nil"/>
              <w:bottom w:val="single" w:sz="4" w:space="0" w:color="auto"/>
              <w:right w:val="single" w:sz="4" w:space="0" w:color="auto"/>
            </w:tcBorders>
            <w:shd w:val="clear" w:color="auto" w:fill="auto"/>
            <w:noWrap/>
            <w:vAlign w:val="center"/>
            <w:hideMark/>
          </w:tcPr>
          <w:p w14:paraId="67DC8C7F"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105,646</w:t>
            </w:r>
          </w:p>
        </w:tc>
        <w:tc>
          <w:tcPr>
            <w:tcW w:w="2551" w:type="dxa"/>
            <w:tcBorders>
              <w:top w:val="nil"/>
              <w:left w:val="nil"/>
              <w:bottom w:val="single" w:sz="4" w:space="0" w:color="auto"/>
              <w:right w:val="single" w:sz="4" w:space="0" w:color="auto"/>
            </w:tcBorders>
            <w:shd w:val="clear" w:color="auto" w:fill="auto"/>
            <w:noWrap/>
            <w:vAlign w:val="center"/>
            <w:hideMark/>
          </w:tcPr>
          <w:p w14:paraId="1306D92E"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29,536</w:t>
            </w:r>
          </w:p>
        </w:tc>
      </w:tr>
      <w:tr w:rsidR="00F47ECD" w:rsidRPr="00F47ECD" w14:paraId="732AED8B" w14:textId="77777777" w:rsidTr="00A10C27">
        <w:trPr>
          <w:trHeight w:val="361"/>
        </w:trPr>
        <w:tc>
          <w:tcPr>
            <w:tcW w:w="2122" w:type="dxa"/>
            <w:tcBorders>
              <w:top w:val="nil"/>
              <w:left w:val="single" w:sz="4" w:space="0" w:color="auto"/>
              <w:bottom w:val="single" w:sz="4" w:space="0" w:color="auto"/>
              <w:right w:val="single" w:sz="4" w:space="0" w:color="auto"/>
            </w:tcBorders>
            <w:shd w:val="clear" w:color="000000" w:fill="D9D9D9"/>
            <w:noWrap/>
            <w:vAlign w:val="center"/>
            <w:hideMark/>
          </w:tcPr>
          <w:p w14:paraId="3DBF6E79" w14:textId="77777777" w:rsidR="00F47ECD" w:rsidRPr="00F47ECD" w:rsidRDefault="00F47ECD" w:rsidP="00F47ECD">
            <w:pPr>
              <w:spacing w:after="0" w:line="240" w:lineRule="auto"/>
              <w:jc w:val="both"/>
              <w:rPr>
                <w:rFonts w:ascii="Arial" w:eastAsia="Times New Roman" w:hAnsi="Arial" w:cs="Arial"/>
                <w:b/>
                <w:bCs/>
                <w:lang w:eastAsia="es-MX"/>
              </w:rPr>
            </w:pPr>
            <w:r w:rsidRPr="00F47ECD">
              <w:rPr>
                <w:rFonts w:ascii="Arial" w:eastAsia="Times New Roman" w:hAnsi="Arial" w:cs="Arial"/>
                <w:b/>
                <w:bCs/>
                <w:lang w:eastAsia="es-MX"/>
              </w:rPr>
              <w:t>TOTAL</w:t>
            </w:r>
          </w:p>
        </w:tc>
        <w:tc>
          <w:tcPr>
            <w:tcW w:w="2268" w:type="dxa"/>
            <w:tcBorders>
              <w:top w:val="nil"/>
              <w:left w:val="nil"/>
              <w:bottom w:val="single" w:sz="4" w:space="0" w:color="auto"/>
              <w:right w:val="single" w:sz="4" w:space="0" w:color="auto"/>
            </w:tcBorders>
            <w:shd w:val="clear" w:color="000000" w:fill="D9D9D9"/>
            <w:noWrap/>
            <w:vAlign w:val="center"/>
            <w:hideMark/>
          </w:tcPr>
          <w:p w14:paraId="73FDFB16" w14:textId="77777777" w:rsidR="00F47ECD" w:rsidRPr="00F47ECD" w:rsidRDefault="00F47ECD" w:rsidP="00F47ECD">
            <w:pPr>
              <w:spacing w:after="0" w:line="240" w:lineRule="auto"/>
              <w:jc w:val="both"/>
              <w:rPr>
                <w:rFonts w:ascii="Arial" w:eastAsia="Times New Roman" w:hAnsi="Arial" w:cs="Arial"/>
                <w:b/>
                <w:bCs/>
                <w:lang w:eastAsia="es-MX"/>
              </w:rPr>
            </w:pPr>
            <w:r w:rsidRPr="00F47ECD">
              <w:rPr>
                <w:rFonts w:ascii="Arial" w:eastAsia="Times New Roman" w:hAnsi="Arial" w:cs="Arial"/>
                <w:b/>
                <w:bCs/>
                <w:lang w:eastAsia="es-MX"/>
              </w:rPr>
              <w:t>2, 246</w:t>
            </w:r>
          </w:p>
        </w:tc>
        <w:tc>
          <w:tcPr>
            <w:tcW w:w="2693" w:type="dxa"/>
            <w:tcBorders>
              <w:top w:val="nil"/>
              <w:left w:val="nil"/>
              <w:bottom w:val="single" w:sz="4" w:space="0" w:color="auto"/>
              <w:right w:val="single" w:sz="4" w:space="0" w:color="auto"/>
            </w:tcBorders>
            <w:shd w:val="clear" w:color="000000" w:fill="D9D9D9"/>
            <w:noWrap/>
            <w:vAlign w:val="center"/>
            <w:hideMark/>
          </w:tcPr>
          <w:p w14:paraId="719660BE" w14:textId="77777777" w:rsidR="00F47ECD" w:rsidRPr="00F47ECD" w:rsidRDefault="00F47ECD" w:rsidP="00F47ECD">
            <w:pPr>
              <w:spacing w:after="0" w:line="240" w:lineRule="auto"/>
              <w:jc w:val="both"/>
              <w:rPr>
                <w:rFonts w:ascii="Arial" w:eastAsia="Times New Roman" w:hAnsi="Arial" w:cs="Arial"/>
                <w:b/>
                <w:bCs/>
                <w:lang w:eastAsia="es-MX"/>
              </w:rPr>
            </w:pPr>
            <w:r w:rsidRPr="00F47ECD">
              <w:rPr>
                <w:rFonts w:ascii="Arial" w:eastAsia="Times New Roman" w:hAnsi="Arial" w:cs="Arial"/>
                <w:b/>
                <w:bCs/>
                <w:lang w:eastAsia="es-MX"/>
              </w:rPr>
              <w:t>180,747</w:t>
            </w:r>
          </w:p>
        </w:tc>
        <w:tc>
          <w:tcPr>
            <w:tcW w:w="2551" w:type="dxa"/>
            <w:tcBorders>
              <w:top w:val="nil"/>
              <w:left w:val="nil"/>
              <w:bottom w:val="single" w:sz="4" w:space="0" w:color="auto"/>
              <w:right w:val="single" w:sz="4" w:space="0" w:color="auto"/>
            </w:tcBorders>
            <w:shd w:val="clear" w:color="000000" w:fill="D9D9D9"/>
            <w:noWrap/>
            <w:vAlign w:val="center"/>
            <w:hideMark/>
          </w:tcPr>
          <w:p w14:paraId="310A4CA4" w14:textId="77777777" w:rsidR="00F47ECD" w:rsidRPr="00F47ECD" w:rsidRDefault="00F47ECD" w:rsidP="00F47ECD">
            <w:pPr>
              <w:spacing w:after="0" w:line="240" w:lineRule="auto"/>
              <w:jc w:val="both"/>
              <w:rPr>
                <w:rFonts w:ascii="Arial" w:eastAsia="Times New Roman" w:hAnsi="Arial" w:cs="Arial"/>
                <w:b/>
                <w:bCs/>
                <w:lang w:eastAsia="es-MX"/>
              </w:rPr>
            </w:pPr>
            <w:r w:rsidRPr="00F47ECD">
              <w:rPr>
                <w:rFonts w:ascii="Arial" w:eastAsia="Times New Roman" w:hAnsi="Arial" w:cs="Arial"/>
                <w:b/>
                <w:bCs/>
                <w:lang w:eastAsia="es-MX"/>
              </w:rPr>
              <w:t>48,975</w:t>
            </w:r>
          </w:p>
        </w:tc>
      </w:tr>
    </w:tbl>
    <w:p w14:paraId="50E7CFA7" w14:textId="77777777" w:rsidR="00F47ECD" w:rsidRPr="00F47ECD" w:rsidRDefault="00F47ECD" w:rsidP="00F47ECD">
      <w:pPr>
        <w:spacing w:after="0" w:line="240" w:lineRule="auto"/>
        <w:jc w:val="both"/>
        <w:rPr>
          <w:rFonts w:ascii="Arial" w:eastAsia="Times New Roman" w:hAnsi="Arial" w:cs="Arial"/>
          <w:bCs/>
          <w:lang w:eastAsia="es-MX"/>
        </w:rPr>
      </w:pPr>
    </w:p>
    <w:p w14:paraId="681611B5"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lastRenderedPageBreak/>
        <w:t xml:space="preserve">Este Organismo Nacional tiene como tarea sustantiva la protección y defensa de los derechos humanos, a través de la investigación y determinación de expedientes de queja, de los que, en los últimos dos años, 2020-2021, se emitieron </w:t>
      </w:r>
      <w:r w:rsidRPr="00F47ECD">
        <w:rPr>
          <w:rFonts w:ascii="Arial" w:eastAsia="Times New Roman" w:hAnsi="Arial" w:cs="Arial"/>
          <w:b/>
          <w:bCs/>
          <w:lang w:eastAsia="es-MX"/>
        </w:rPr>
        <w:t>6</w:t>
      </w:r>
      <w:r w:rsidRPr="00F47ECD">
        <w:rPr>
          <w:rFonts w:ascii="Arial" w:eastAsia="Times New Roman" w:hAnsi="Arial" w:cs="Arial"/>
          <w:bCs/>
          <w:lang w:eastAsia="es-MX"/>
        </w:rPr>
        <w:t xml:space="preserve"> Recomendaciones relativas a las condiciones de alojamiento de las personas migrantes; sobre niñas, niños y adolescentes alojados en las estaciones migratorias, así como solicitantes del reconocimiento de la condición de refugiado. Las cuales se encuentran disponibles para su consulta en la página electrónica de esta CNDH </w:t>
      </w:r>
      <w:hyperlink r:id="rId8" w:history="1">
        <w:r w:rsidRPr="00F47ECD">
          <w:rPr>
            <w:rFonts w:ascii="Arial" w:eastAsia="Times New Roman" w:hAnsi="Arial" w:cs="Arial"/>
            <w:bCs/>
            <w:color w:val="0563C1"/>
            <w:u w:val="single"/>
            <w:lang w:val="es-ES" w:eastAsia="es-MX"/>
          </w:rPr>
          <w:t>https://www.cndh.org.mx/tipo/1/recomendacion</w:t>
        </w:r>
      </w:hyperlink>
      <w:r w:rsidRPr="00F47ECD">
        <w:rPr>
          <w:rFonts w:ascii="Arial" w:eastAsia="Times New Roman" w:hAnsi="Arial" w:cs="Arial"/>
          <w:bCs/>
          <w:lang w:eastAsia="es-MX"/>
        </w:rPr>
        <w:t xml:space="preserve"> 34/2020, 36/2020, 68/2020, 69/2020, 33/2021 y 80/2021.</w:t>
      </w:r>
    </w:p>
    <w:p w14:paraId="31B23701" w14:textId="77777777" w:rsidR="00F47ECD" w:rsidRPr="00F47ECD" w:rsidRDefault="00F47ECD" w:rsidP="00F47ECD">
      <w:pPr>
        <w:spacing w:after="0" w:line="240" w:lineRule="auto"/>
        <w:jc w:val="both"/>
        <w:rPr>
          <w:rFonts w:ascii="Arial" w:eastAsia="Times New Roman" w:hAnsi="Arial" w:cs="Arial"/>
          <w:bCs/>
          <w:lang w:eastAsia="es-MX"/>
        </w:rPr>
      </w:pPr>
    </w:p>
    <w:p w14:paraId="1CF4EA92"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 xml:space="preserve">Durante el ese periodo, se solicitó la adopción de medidas cautelares para salvaguardar la integridad física y psicológica de personas migrantes, a fin de evitar daños inminentes y de imposible reparación, </w:t>
      </w:r>
      <w:r w:rsidRPr="00F47ECD">
        <w:rPr>
          <w:rFonts w:ascii="Arial" w:eastAsia="Times New Roman" w:hAnsi="Arial" w:cs="Arial"/>
          <w:b/>
          <w:bCs/>
          <w:lang w:eastAsia="es-MX"/>
        </w:rPr>
        <w:t xml:space="preserve">10 </w:t>
      </w:r>
      <w:r w:rsidRPr="00F47ECD">
        <w:rPr>
          <w:rFonts w:ascii="Arial" w:eastAsia="Times New Roman" w:hAnsi="Arial" w:cs="Arial"/>
          <w:bCs/>
          <w:lang w:eastAsia="es-MX"/>
        </w:rPr>
        <w:t xml:space="preserve">en 2020 y </w:t>
      </w:r>
      <w:r w:rsidRPr="00F47ECD">
        <w:rPr>
          <w:rFonts w:ascii="Arial" w:eastAsia="Times New Roman" w:hAnsi="Arial" w:cs="Arial"/>
          <w:b/>
          <w:bCs/>
          <w:lang w:eastAsia="es-MX"/>
        </w:rPr>
        <w:t xml:space="preserve">17 </w:t>
      </w:r>
      <w:r w:rsidRPr="00F47ECD">
        <w:rPr>
          <w:rFonts w:ascii="Arial" w:eastAsia="Times New Roman" w:hAnsi="Arial" w:cs="Arial"/>
          <w:bCs/>
          <w:lang w:eastAsia="es-MX"/>
        </w:rPr>
        <w:t>durante 2021, dichas medidas fueron elevadas a diversas autoridades de los tres ámbitos de gobierno.</w:t>
      </w:r>
    </w:p>
    <w:p w14:paraId="7AD7A845" w14:textId="77777777" w:rsidR="00F47ECD" w:rsidRPr="00F47ECD" w:rsidRDefault="00F47ECD" w:rsidP="00F47ECD">
      <w:pPr>
        <w:spacing w:after="0" w:line="240" w:lineRule="auto"/>
        <w:jc w:val="both"/>
        <w:rPr>
          <w:rFonts w:ascii="Arial" w:eastAsia="Times New Roman" w:hAnsi="Arial" w:cs="Arial"/>
          <w:bCs/>
          <w:lang w:val="es-ES" w:eastAsia="es-MX"/>
        </w:rPr>
      </w:pPr>
    </w:p>
    <w:p w14:paraId="3E5F58FA"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56.</w:t>
      </w:r>
      <w:r w:rsidRPr="00F47ECD">
        <w:rPr>
          <w:rFonts w:ascii="Arial" w:eastAsia="Times New Roman" w:hAnsi="Arial" w:cs="Arial"/>
          <w:b/>
          <w:lang w:val="es-ES" w:eastAsia="es-MX"/>
        </w:rPr>
        <w:tab/>
        <w:t xml:space="preserve">El Comité recomienda al Estado parte que: </w:t>
      </w:r>
    </w:p>
    <w:p w14:paraId="6AE536AD"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a)</w:t>
      </w:r>
      <w:r w:rsidRPr="00F47ECD">
        <w:rPr>
          <w:rFonts w:ascii="Arial" w:eastAsia="Times New Roman" w:hAnsi="Arial" w:cs="Arial"/>
          <w:b/>
          <w:lang w:val="es-ES" w:eastAsia="es-MX"/>
        </w:rPr>
        <w:tab/>
        <w:t>Implemente a la mayor brevedad posible un procedimiento interinstitucional de determinación del interés superior del niño, coordinado por la Procuraduría Federal de Protección de Niñas, Niños y Adolescentes en el marco del Sistema de Protección Integral de Niños Niñas y Adolescentes y de la Ley General de los Derechos de Niñas, Niños y Adolescentes, asegurando las debidas garantías procesales, incluyendo el derecho a la información y asistencia jurídica gratuita por parte de profesionales especializados en derechos de niños, niñas y adolescentes, y en caso de niños no acompañados, de un tutor, el cual debe velar por el interés superior de los niños, niñas y adolescentes en todo el proceso;</w:t>
      </w:r>
    </w:p>
    <w:p w14:paraId="766F6C1A"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b)</w:t>
      </w:r>
      <w:r w:rsidRPr="00F47ECD">
        <w:rPr>
          <w:rFonts w:ascii="Arial" w:eastAsia="Times New Roman" w:hAnsi="Arial" w:cs="Arial"/>
          <w:b/>
          <w:lang w:val="es-ES" w:eastAsia="es-MX"/>
        </w:rPr>
        <w:tab/>
        <w:t>Asegure que los sistemas e instituciones de protección de niños, niñas y adolescentes funcionen independientemente del INM y cuenten con las capacidades necesarias para aplicar el principio del interés superior de los niños, niñas y adolescentes, y que esas decisiones tengan prioridad respecto de otras consideraciones relativas a la condición migratoria;</w:t>
      </w:r>
    </w:p>
    <w:p w14:paraId="2B9318F5"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c)</w:t>
      </w:r>
      <w:r w:rsidRPr="00F47ECD">
        <w:rPr>
          <w:rFonts w:ascii="Arial" w:eastAsia="Times New Roman" w:hAnsi="Arial" w:cs="Arial"/>
          <w:b/>
          <w:lang w:val="es-ES" w:eastAsia="es-MX"/>
        </w:rPr>
        <w:tab/>
        <w:t>Redoble los esfuerzos para prevenir la violencia, abuso y explotación de los niños, niñas y adolescentes migrantes, protegerlos frente a esos crímenes, e investigue, juzgue y sancione a los responsables, incluyendo agentes estatales;</w:t>
      </w:r>
    </w:p>
    <w:p w14:paraId="45313E0E"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d)</w:t>
      </w:r>
      <w:r w:rsidRPr="00F47ECD">
        <w:rPr>
          <w:rFonts w:ascii="Arial" w:eastAsia="Times New Roman" w:hAnsi="Arial" w:cs="Arial"/>
          <w:b/>
          <w:lang w:val="es-ES" w:eastAsia="es-MX"/>
        </w:rPr>
        <w:tab/>
        <w:t>Asegure que los niños, niñas y adolescentes tengan acceso inmediato a procedimientos relacionados a la regularización y protección internacional, y que las políticas migratorias respeten los derechos de los niños, niñas y adolescentes en línea con los instrumentos internacionales, incluyendo el principio de no devolución;</w:t>
      </w:r>
    </w:p>
    <w:p w14:paraId="0D266AC4"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e)</w:t>
      </w:r>
      <w:r w:rsidRPr="00F47ECD">
        <w:rPr>
          <w:rFonts w:ascii="Arial" w:eastAsia="Times New Roman" w:hAnsi="Arial" w:cs="Arial"/>
          <w:b/>
          <w:lang w:val="es-ES" w:eastAsia="es-MX"/>
        </w:rPr>
        <w:tab/>
        <w:t>Continúe desarrollando y finalice el sistema de datos desglosados sobre la protección de niños, niñas y adolescentes migrantes, refugiados y solicitantes de asilo;</w:t>
      </w:r>
    </w:p>
    <w:p w14:paraId="15DAA637"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f)</w:t>
      </w:r>
      <w:r w:rsidRPr="00F47ECD">
        <w:rPr>
          <w:rFonts w:ascii="Arial" w:eastAsia="Times New Roman" w:hAnsi="Arial" w:cs="Arial"/>
          <w:b/>
          <w:lang w:val="es-ES" w:eastAsia="es-MX"/>
        </w:rPr>
        <w:tab/>
        <w:t>Asegure su acceso a la educación y salud;</w:t>
      </w:r>
    </w:p>
    <w:p w14:paraId="00274AA0"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g)</w:t>
      </w:r>
      <w:r w:rsidRPr="00F47ECD">
        <w:rPr>
          <w:rFonts w:ascii="Arial" w:eastAsia="Times New Roman" w:hAnsi="Arial" w:cs="Arial"/>
          <w:b/>
          <w:lang w:val="es-ES" w:eastAsia="es-MX"/>
        </w:rPr>
        <w:tab/>
        <w:t>Adopte medidas de protección integral para atender la situación de niños, niñas y adolescentes migrantes que viven en la calle, así como en situaciones de explotación laboral en plantaciones de café, explotación por el crimen organizado y explotación sexual, entre otras;</w:t>
      </w:r>
    </w:p>
    <w:p w14:paraId="7E6689E7"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t>h)</w:t>
      </w:r>
      <w:r w:rsidRPr="00F47ECD">
        <w:rPr>
          <w:rFonts w:ascii="Arial" w:eastAsia="Times New Roman" w:hAnsi="Arial" w:cs="Arial"/>
          <w:b/>
          <w:lang w:val="es-ES" w:eastAsia="es-MX"/>
        </w:rPr>
        <w:tab/>
        <w:t>Implemente las recomendaciones de la Comisión Nacional de Derechos Humanos.</w:t>
      </w:r>
    </w:p>
    <w:p w14:paraId="3EC56273" w14:textId="77777777" w:rsidR="00F47ECD" w:rsidRPr="00F47ECD" w:rsidRDefault="00F47ECD" w:rsidP="00F47ECD">
      <w:pPr>
        <w:shd w:val="clear" w:color="auto" w:fill="D9D9D9"/>
        <w:spacing w:after="0" w:line="240" w:lineRule="auto"/>
        <w:jc w:val="both"/>
        <w:rPr>
          <w:rFonts w:ascii="Arial" w:eastAsia="Times New Roman" w:hAnsi="Arial" w:cs="Arial"/>
          <w:b/>
          <w:lang w:val="es-ES" w:eastAsia="es-MX"/>
        </w:rPr>
      </w:pPr>
      <w:r w:rsidRPr="00F47ECD">
        <w:rPr>
          <w:rFonts w:ascii="Arial" w:eastAsia="Times New Roman" w:hAnsi="Arial" w:cs="Arial"/>
          <w:b/>
          <w:lang w:val="es-ES" w:eastAsia="es-MX"/>
        </w:rPr>
        <w:tab/>
      </w:r>
    </w:p>
    <w:p w14:paraId="355E9D7C" w14:textId="77777777" w:rsidR="00F47ECD" w:rsidRPr="00F47ECD" w:rsidRDefault="00F47ECD" w:rsidP="00F47ECD">
      <w:pPr>
        <w:spacing w:after="0" w:line="240" w:lineRule="auto"/>
        <w:jc w:val="both"/>
        <w:rPr>
          <w:rFonts w:ascii="Arial" w:eastAsia="Times New Roman" w:hAnsi="Arial" w:cs="Arial"/>
          <w:b/>
          <w:lang w:val="es-ES" w:eastAsia="es-MX"/>
        </w:rPr>
      </w:pPr>
    </w:p>
    <w:p w14:paraId="09CC715F"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val="es-ES" w:eastAsia="es-MX"/>
        </w:rPr>
        <w:t xml:space="preserve">Sobre este punto, además de lo establecido en relación con la protección y atención integral a niñas, niños y adolescentes en movilidad dentro de las recomendaciones citadas </w:t>
      </w:r>
      <w:r w:rsidRPr="00F47ECD">
        <w:rPr>
          <w:rFonts w:ascii="Arial" w:eastAsia="Times New Roman" w:hAnsi="Arial" w:cs="Arial"/>
          <w:lang w:val="es-ES" w:eastAsia="es-MX"/>
        </w:rPr>
        <w:lastRenderedPageBreak/>
        <w:t>anteriormente, el 23 de junio de 2021 la Presidenta de la Comisión Nacional de los Derechos Humanos firmó un Convenio de Colaboración con el Sistema Nacional para el Desarrollo Integral de la Familia, a fin de capacitar al personal del DIF federal, estatales y municipales, incluidas las procuradurías de protección en la atención a la niñez y adolescencia en movilidad de acuerdo a sus derechos humanos, con perspectiva de género, con enfoque intersectorial y siempre de acuerdo al principio del interés superior de la niñez</w:t>
      </w:r>
      <w:r w:rsidRPr="00F47ECD">
        <w:rPr>
          <w:rFonts w:ascii="Arial" w:eastAsia="Times New Roman" w:hAnsi="Arial" w:cs="Arial"/>
          <w:vertAlign w:val="superscript"/>
          <w:lang w:val="es-ES" w:eastAsia="es-MX"/>
        </w:rPr>
        <w:footnoteReference w:id="11"/>
      </w:r>
      <w:r w:rsidRPr="00F47ECD">
        <w:rPr>
          <w:rFonts w:ascii="Arial" w:eastAsia="Times New Roman" w:hAnsi="Arial" w:cs="Arial"/>
          <w:lang w:val="es-ES" w:eastAsia="es-MX"/>
        </w:rPr>
        <w:t>.</w:t>
      </w:r>
      <w:r w:rsidRPr="00F47ECD">
        <w:rPr>
          <w:rFonts w:ascii="Arial" w:eastAsia="Times New Roman" w:hAnsi="Arial" w:cs="Arial"/>
          <w:lang w:eastAsia="es-MX"/>
        </w:rPr>
        <w:t xml:space="preserve"> </w:t>
      </w:r>
    </w:p>
    <w:p w14:paraId="0325FC64" w14:textId="77777777" w:rsidR="00F47ECD" w:rsidRPr="00F47ECD" w:rsidRDefault="00F47ECD" w:rsidP="00F47ECD">
      <w:pPr>
        <w:spacing w:after="0" w:line="240" w:lineRule="auto"/>
        <w:jc w:val="both"/>
        <w:rPr>
          <w:rFonts w:ascii="Arial" w:eastAsia="Times New Roman" w:hAnsi="Arial" w:cs="Arial"/>
          <w:lang w:val="es-ES" w:eastAsia="es-MX"/>
        </w:rPr>
      </w:pPr>
    </w:p>
    <w:p w14:paraId="6350489D"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val="es-ES" w:eastAsia="es-MX"/>
        </w:rPr>
        <w:t xml:space="preserve">La CNDH </w:t>
      </w:r>
      <w:bookmarkStart w:id="1" w:name="_Hlk90523102"/>
      <w:r w:rsidRPr="00F47ECD">
        <w:rPr>
          <w:rFonts w:ascii="Arial" w:eastAsia="Times New Roman" w:hAnsi="Arial" w:cs="Arial"/>
          <w:lang w:val="es-ES" w:eastAsia="es-MX"/>
        </w:rPr>
        <w:t xml:space="preserve">da seguimiento a los acuerdos de la </w:t>
      </w:r>
      <w:r w:rsidRPr="00F47ECD">
        <w:rPr>
          <w:rFonts w:ascii="Arial" w:eastAsia="Times New Roman" w:hAnsi="Arial" w:cs="Arial"/>
          <w:lang w:eastAsia="es-MX"/>
        </w:rPr>
        <w:t>Comisión para la Protección Integral de Niñas, Niños y Adolescentes Migrantes y Solicitantes de la Condición de Refugiado</w:t>
      </w:r>
      <w:bookmarkEnd w:id="1"/>
      <w:r w:rsidRPr="00F47ECD">
        <w:rPr>
          <w:rFonts w:ascii="Arial" w:eastAsia="Times New Roman" w:hAnsi="Arial" w:cs="Arial"/>
          <w:lang w:eastAsia="es-MX"/>
        </w:rPr>
        <w:t xml:space="preserve"> del Sistema Nacional de Protección Integral de Niñas, Niños y Adolescentes (SIPINNA).</w:t>
      </w:r>
    </w:p>
    <w:p w14:paraId="19FEA966"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 </w:t>
      </w:r>
    </w:p>
    <w:p w14:paraId="59B569EC" w14:textId="77777777" w:rsidR="00F47ECD" w:rsidRPr="00F47ECD" w:rsidRDefault="00F47ECD" w:rsidP="00F47ECD">
      <w:pPr>
        <w:spacing w:after="0" w:line="240" w:lineRule="auto"/>
        <w:jc w:val="both"/>
        <w:rPr>
          <w:rFonts w:ascii="Arial" w:eastAsia="Times New Roman" w:hAnsi="Arial" w:cs="Arial"/>
          <w:lang w:eastAsia="es-MX"/>
        </w:rPr>
      </w:pPr>
      <w:r w:rsidRPr="00F47ECD">
        <w:rPr>
          <w:rFonts w:ascii="Arial" w:eastAsia="Times New Roman" w:hAnsi="Arial" w:cs="Arial"/>
          <w:lang w:eastAsia="es-MX"/>
        </w:rPr>
        <w:t xml:space="preserve">En la Quinta Sesión, celebrada el 13 de diciembre de 2021, se presentaron Mejoras a la Ruta de Protección Integral de los Derechos de Niñas, Niños y Adolescentes en Situación de Migración en el marco del </w:t>
      </w:r>
      <w:r w:rsidRPr="00F47ECD">
        <w:rPr>
          <w:rFonts w:ascii="Arial" w:eastAsia="Times New Roman" w:hAnsi="Arial" w:cs="Arial"/>
          <w:bCs/>
          <w:lang w:eastAsia="es-MX"/>
        </w:rPr>
        <w:t xml:space="preserve">Plan Estratégico de Acciones para la Atención a Niñas, Niños y Adolescentes en Situación de Movilidad (PEAANNAM). Se anunció que se incluyen en la ruta a nuevos actores como UNICEF, ACNUR, ONU-DH y la OIM; asimismo por parte de las organizaciones de la sociedad civil se incluyó a </w:t>
      </w:r>
      <w:proofErr w:type="spellStart"/>
      <w:r w:rsidRPr="00F47ECD">
        <w:rPr>
          <w:rFonts w:ascii="Arial" w:eastAsia="Times New Roman" w:hAnsi="Arial" w:cs="Arial"/>
          <w:bCs/>
          <w:lang w:eastAsia="es-MX"/>
        </w:rPr>
        <w:t>Save</w:t>
      </w:r>
      <w:proofErr w:type="spellEnd"/>
      <w:r w:rsidRPr="00F47ECD">
        <w:rPr>
          <w:rFonts w:ascii="Arial" w:eastAsia="Times New Roman" w:hAnsi="Arial" w:cs="Arial"/>
          <w:bCs/>
          <w:lang w:eastAsia="es-MX"/>
        </w:rPr>
        <w:t xml:space="preserve"> </w:t>
      </w:r>
      <w:proofErr w:type="spellStart"/>
      <w:r w:rsidRPr="00F47ECD">
        <w:rPr>
          <w:rFonts w:ascii="Arial" w:eastAsia="Times New Roman" w:hAnsi="Arial" w:cs="Arial"/>
          <w:bCs/>
          <w:lang w:eastAsia="es-MX"/>
        </w:rPr>
        <w:t>the</w:t>
      </w:r>
      <w:proofErr w:type="spellEnd"/>
      <w:r w:rsidRPr="00F47ECD">
        <w:rPr>
          <w:rFonts w:ascii="Arial" w:eastAsia="Times New Roman" w:hAnsi="Arial" w:cs="Arial"/>
          <w:bCs/>
          <w:lang w:eastAsia="es-MX"/>
        </w:rPr>
        <w:t xml:space="preserve"> </w:t>
      </w:r>
      <w:proofErr w:type="spellStart"/>
      <w:r w:rsidRPr="00F47ECD">
        <w:rPr>
          <w:rFonts w:ascii="Arial" w:eastAsia="Times New Roman" w:hAnsi="Arial" w:cs="Arial"/>
          <w:bCs/>
          <w:lang w:eastAsia="es-MX"/>
        </w:rPr>
        <w:t>Children</w:t>
      </w:r>
      <w:proofErr w:type="spellEnd"/>
      <w:r w:rsidRPr="00F47ECD">
        <w:rPr>
          <w:rFonts w:ascii="Arial" w:eastAsia="Times New Roman" w:hAnsi="Arial" w:cs="Arial"/>
          <w:bCs/>
          <w:lang w:eastAsia="es-MX"/>
        </w:rPr>
        <w:t>, a IMUMI y a IDC, y finalmente, por parte del Gobierno las autoridades que se incluyeron son el Instituto Federal de la Defensoría Pública, IMJUVE, RENAPO, INMUJERES y la Guardia Nacional.</w:t>
      </w:r>
    </w:p>
    <w:p w14:paraId="1FAD6199" w14:textId="77777777" w:rsidR="00F47ECD" w:rsidRPr="00F47ECD" w:rsidRDefault="00F47ECD" w:rsidP="00F47ECD">
      <w:pPr>
        <w:spacing w:after="0" w:line="240" w:lineRule="auto"/>
        <w:jc w:val="both"/>
        <w:rPr>
          <w:rFonts w:ascii="Arial" w:eastAsia="Times New Roman" w:hAnsi="Arial" w:cs="Arial"/>
          <w:bCs/>
          <w:lang w:eastAsia="es-MX"/>
        </w:rPr>
      </w:pPr>
    </w:p>
    <w:p w14:paraId="5985DC68" w14:textId="77777777" w:rsidR="00F47ECD" w:rsidRPr="00F47ECD" w:rsidRDefault="00F47ECD" w:rsidP="00F47ECD">
      <w:pPr>
        <w:spacing w:after="0" w:line="240" w:lineRule="auto"/>
        <w:jc w:val="both"/>
        <w:rPr>
          <w:rFonts w:ascii="Arial" w:eastAsia="Times New Roman" w:hAnsi="Arial" w:cs="Arial"/>
          <w:bCs/>
          <w:lang w:eastAsia="es-MX"/>
        </w:rPr>
      </w:pPr>
      <w:r w:rsidRPr="00F47ECD">
        <w:rPr>
          <w:rFonts w:ascii="Arial" w:eastAsia="Times New Roman" w:hAnsi="Arial" w:cs="Arial"/>
          <w:bCs/>
          <w:lang w:eastAsia="es-MX"/>
        </w:rPr>
        <w:t>El Componente de Emergencias establece de manera clara cuál sería la implementación de la Ruta en casos de emergencia, en casos de un contexto de crisis, para lo cual se ha estado trabajando de manera cercana con la Organización Internacional para las Migraciones.</w:t>
      </w:r>
    </w:p>
    <w:p w14:paraId="7F6579F6" w14:textId="77777777" w:rsidR="00F47ECD" w:rsidRPr="00F47ECD" w:rsidRDefault="00F47ECD" w:rsidP="00F47ECD">
      <w:pPr>
        <w:spacing w:after="0" w:line="240" w:lineRule="auto"/>
        <w:jc w:val="both"/>
        <w:rPr>
          <w:rFonts w:ascii="Arial" w:eastAsia="Times New Roman" w:hAnsi="Arial" w:cs="Arial"/>
          <w:bCs/>
          <w:lang w:eastAsia="es-MX"/>
        </w:rPr>
      </w:pPr>
    </w:p>
    <w:p w14:paraId="7304E00E" w14:textId="77777777" w:rsidR="00F47ECD" w:rsidRPr="00F47ECD" w:rsidRDefault="00F47ECD" w:rsidP="00F47ECD">
      <w:pPr>
        <w:spacing w:after="0" w:line="240" w:lineRule="auto"/>
        <w:jc w:val="both"/>
        <w:rPr>
          <w:rFonts w:ascii="Arial" w:eastAsia="Times New Roman" w:hAnsi="Arial" w:cs="Arial"/>
          <w:lang w:val="es-ES" w:eastAsia="es-MX"/>
        </w:rPr>
      </w:pPr>
      <w:r w:rsidRPr="00F47ECD">
        <w:rPr>
          <w:rFonts w:ascii="Arial" w:eastAsia="Times New Roman" w:hAnsi="Arial" w:cs="Arial"/>
          <w:bCs/>
          <w:lang w:eastAsia="es-MX"/>
        </w:rPr>
        <w:t>La sistematización de información de las autoridades municipales, estatales y federales sobre NNAM sigue pendiente. La CNDH trabaja constantemente en la vigilancia de los programas elaborados por el gobierno, de modo que garanticen, efectivamente el acceso de las personas en movilidad a sus más fundamentales derechos.</w:t>
      </w:r>
    </w:p>
    <w:p w14:paraId="5F6D97A6" w14:textId="77777777" w:rsidR="008D5883" w:rsidRDefault="008D5883"/>
    <w:sectPr w:rsidR="008D5883">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BB4F6C" w14:textId="77777777" w:rsidR="0069150E" w:rsidRDefault="0069150E" w:rsidP="00F47ECD">
      <w:pPr>
        <w:spacing w:after="0" w:line="240" w:lineRule="auto"/>
      </w:pPr>
      <w:r>
        <w:separator/>
      </w:r>
    </w:p>
  </w:endnote>
  <w:endnote w:type="continuationSeparator" w:id="0">
    <w:p w14:paraId="76D9D99A" w14:textId="77777777" w:rsidR="0069150E" w:rsidRDefault="0069150E" w:rsidP="00F47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2185090"/>
      <w:docPartObj>
        <w:docPartGallery w:val="Page Numbers (Bottom of Page)"/>
        <w:docPartUnique/>
      </w:docPartObj>
    </w:sdtPr>
    <w:sdtEndPr/>
    <w:sdtContent>
      <w:p w14:paraId="046EB908" w14:textId="3D077059" w:rsidR="003E4E79" w:rsidRDefault="003E4E79">
        <w:pPr>
          <w:pStyle w:val="Footer"/>
          <w:jc w:val="center"/>
        </w:pPr>
        <w:r>
          <w:fldChar w:fldCharType="begin"/>
        </w:r>
        <w:r>
          <w:instrText>PAGE   \* MERGEFORMAT</w:instrText>
        </w:r>
        <w:r>
          <w:fldChar w:fldCharType="separate"/>
        </w:r>
        <w:r>
          <w:rPr>
            <w:lang w:val="es-ES"/>
          </w:rPr>
          <w:t>2</w:t>
        </w:r>
        <w:r>
          <w:fldChar w:fldCharType="end"/>
        </w:r>
      </w:p>
    </w:sdtContent>
  </w:sdt>
  <w:p w14:paraId="72DEAFE6" w14:textId="77777777" w:rsidR="003E4E79" w:rsidRDefault="003E4E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08454E" w14:textId="77777777" w:rsidR="0069150E" w:rsidRDefault="0069150E" w:rsidP="00F47ECD">
      <w:pPr>
        <w:spacing w:after="0" w:line="240" w:lineRule="auto"/>
      </w:pPr>
      <w:r>
        <w:separator/>
      </w:r>
    </w:p>
  </w:footnote>
  <w:footnote w:type="continuationSeparator" w:id="0">
    <w:p w14:paraId="27057238" w14:textId="77777777" w:rsidR="0069150E" w:rsidRDefault="0069150E" w:rsidP="00F47ECD">
      <w:pPr>
        <w:spacing w:after="0" w:line="240" w:lineRule="auto"/>
      </w:pPr>
      <w:r>
        <w:continuationSeparator/>
      </w:r>
    </w:p>
  </w:footnote>
  <w:footnote w:id="1">
    <w:p w14:paraId="1D146582" w14:textId="77777777" w:rsidR="00F47ECD" w:rsidRPr="00934A3E" w:rsidRDefault="00F47ECD" w:rsidP="00F47ECD">
      <w:pPr>
        <w:pStyle w:val="FootnoteText"/>
        <w:rPr>
          <w:rFonts w:ascii="Arial" w:hAnsi="Arial" w:cs="Arial"/>
          <w:sz w:val="16"/>
          <w:szCs w:val="16"/>
        </w:rPr>
      </w:pPr>
      <w:r>
        <w:rPr>
          <w:rStyle w:val="FootnoteReference"/>
        </w:rPr>
        <w:footnoteRef/>
      </w:r>
      <w:r>
        <w:t xml:space="preserve"> </w:t>
      </w:r>
      <w:hyperlink r:id="rId1" w:history="1">
        <w:r w:rsidRPr="00934A3E">
          <w:rPr>
            <w:rStyle w:val="Hipervnculo1"/>
            <w:rFonts w:ascii="Arial" w:hAnsi="Arial" w:cs="Arial"/>
            <w:color w:val="auto"/>
            <w:sz w:val="16"/>
            <w:szCs w:val="16"/>
          </w:rPr>
          <w:t>https://lopezobrador.org.mx/2021/09/23/version-estenografica-de-la-conferencia-de-prensa-matutina-del-presidente-andres-manuel-lopez-obrador-613/</w:t>
        </w:r>
      </w:hyperlink>
    </w:p>
  </w:footnote>
  <w:footnote w:id="2">
    <w:p w14:paraId="000F16B7" w14:textId="2F42242A" w:rsidR="00F47ECD" w:rsidRPr="00F47ECD" w:rsidRDefault="00F47ECD" w:rsidP="00F47ECD">
      <w:pPr>
        <w:jc w:val="both"/>
        <w:rPr>
          <w:rFonts w:ascii="Arial" w:hAnsi="Arial" w:cs="Arial"/>
          <w:sz w:val="16"/>
          <w:szCs w:val="16"/>
        </w:rPr>
      </w:pPr>
      <w:r w:rsidRPr="00934A3E">
        <w:rPr>
          <w:rStyle w:val="FootnoteReference"/>
          <w:rFonts w:ascii="Arial" w:hAnsi="Arial" w:cs="Arial"/>
          <w:sz w:val="16"/>
          <w:szCs w:val="16"/>
        </w:rPr>
        <w:footnoteRef/>
      </w:r>
      <w:r w:rsidRPr="00934A3E">
        <w:rPr>
          <w:rFonts w:ascii="Arial" w:hAnsi="Arial" w:cs="Arial"/>
          <w:sz w:val="16"/>
          <w:szCs w:val="16"/>
        </w:rPr>
        <w:t xml:space="preserve"> http://www.diputados.gob.mx/LeyesBiblio/pdf/LMigra_200521.pd</w:t>
      </w:r>
      <w:r>
        <w:rPr>
          <w:rFonts w:ascii="Arial" w:hAnsi="Arial" w:cs="Arial"/>
          <w:sz w:val="16"/>
          <w:szCs w:val="16"/>
        </w:rPr>
        <w:t>f</w:t>
      </w:r>
    </w:p>
  </w:footnote>
  <w:footnote w:id="3">
    <w:p w14:paraId="5DE71E67" w14:textId="77777777" w:rsidR="00F47ECD" w:rsidRDefault="00F47ECD" w:rsidP="00F47ECD">
      <w:pPr>
        <w:pStyle w:val="FootnoteText"/>
      </w:pPr>
      <w:r>
        <w:rPr>
          <w:rStyle w:val="FootnoteReference"/>
        </w:rPr>
        <w:footnoteRef/>
      </w:r>
      <w:r>
        <w:t xml:space="preserve"> </w:t>
      </w:r>
      <w:r w:rsidRPr="00AE71F6">
        <w:rPr>
          <w:rFonts w:ascii="Arial" w:hAnsi="Arial" w:cs="Arial"/>
          <w:sz w:val="16"/>
          <w:szCs w:val="16"/>
        </w:rPr>
        <w:t>https://www.diputados.gob.mx/LeyesBiblio/pdf/LGMDFP_200521.pdf</w:t>
      </w:r>
    </w:p>
  </w:footnote>
  <w:footnote w:id="4">
    <w:p w14:paraId="068650E8" w14:textId="77777777" w:rsidR="00F47ECD" w:rsidRDefault="00F47ECD" w:rsidP="00F47ECD">
      <w:pPr>
        <w:pStyle w:val="FootnoteText"/>
      </w:pPr>
      <w:r>
        <w:rPr>
          <w:rStyle w:val="FootnoteReference"/>
        </w:rPr>
        <w:footnoteRef/>
      </w:r>
      <w:r>
        <w:t xml:space="preserve"> </w:t>
      </w:r>
      <w:hyperlink r:id="rId2" w:history="1">
        <w:r w:rsidRPr="00FD24F9">
          <w:rPr>
            <w:rStyle w:val="Hipervnculo1"/>
            <w:rFonts w:ascii="Arial" w:hAnsi="Arial" w:cs="Arial"/>
            <w:color w:val="auto"/>
            <w:sz w:val="16"/>
            <w:szCs w:val="16"/>
          </w:rPr>
          <w:t>https://www.cndh.org.mx/sites/default/files/documentos/2021-11/COM_2021_288.pdf</w:t>
        </w:r>
      </w:hyperlink>
    </w:p>
  </w:footnote>
  <w:footnote w:id="5">
    <w:p w14:paraId="69DA7C37" w14:textId="77777777" w:rsidR="00F47ECD" w:rsidRPr="001E4103" w:rsidRDefault="00F47ECD" w:rsidP="00F47ECD">
      <w:pPr>
        <w:pStyle w:val="FootnoteText"/>
        <w:rPr>
          <w:rFonts w:ascii="Arial" w:hAnsi="Arial" w:cs="Arial"/>
          <w:sz w:val="16"/>
          <w:szCs w:val="16"/>
        </w:rPr>
      </w:pPr>
      <w:r w:rsidRPr="001E4103">
        <w:rPr>
          <w:rStyle w:val="FootnoteReference"/>
          <w:rFonts w:ascii="Arial" w:hAnsi="Arial" w:cs="Arial"/>
          <w:sz w:val="16"/>
          <w:szCs w:val="16"/>
        </w:rPr>
        <w:footnoteRef/>
      </w:r>
      <w:r w:rsidRPr="001E4103">
        <w:rPr>
          <w:rFonts w:ascii="Arial" w:hAnsi="Arial" w:cs="Arial"/>
          <w:sz w:val="16"/>
          <w:szCs w:val="16"/>
        </w:rPr>
        <w:t xml:space="preserve"> </w:t>
      </w:r>
      <w:hyperlink r:id="rId3" w:history="1">
        <w:r w:rsidRPr="001E4103">
          <w:rPr>
            <w:rStyle w:val="Hipervnculo1"/>
            <w:rFonts w:ascii="Arial" w:hAnsi="Arial" w:cs="Arial"/>
            <w:color w:val="auto"/>
            <w:sz w:val="16"/>
            <w:szCs w:val="16"/>
          </w:rPr>
          <w:t>https://www.cndh.org.mx/documento/recomendacion-por-violaciones-graves-44-vg2021</w:t>
        </w:r>
      </w:hyperlink>
    </w:p>
    <w:p w14:paraId="7DDC4310" w14:textId="77777777" w:rsidR="00F47ECD" w:rsidRDefault="00F47ECD" w:rsidP="00F47ECD">
      <w:pPr>
        <w:pStyle w:val="FootnoteText"/>
      </w:pPr>
    </w:p>
  </w:footnote>
  <w:footnote w:id="6">
    <w:p w14:paraId="0605AB09" w14:textId="77777777" w:rsidR="00F47ECD" w:rsidRPr="00973FB9" w:rsidRDefault="00F47ECD" w:rsidP="00F47ECD">
      <w:pPr>
        <w:pStyle w:val="FootnoteText"/>
        <w:jc w:val="both"/>
        <w:rPr>
          <w:rFonts w:ascii="Arial" w:hAnsi="Arial" w:cs="Arial"/>
          <w:sz w:val="16"/>
          <w:szCs w:val="16"/>
        </w:rPr>
      </w:pPr>
      <w:r>
        <w:rPr>
          <w:rStyle w:val="FootnoteReference"/>
        </w:rPr>
        <w:footnoteRef/>
      </w:r>
      <w:r>
        <w:t xml:space="preserve"> </w:t>
      </w:r>
      <w:hyperlink r:id="rId4" w:history="1">
        <w:r w:rsidRPr="00973FB9">
          <w:rPr>
            <w:rStyle w:val="Hipervnculo1"/>
            <w:rFonts w:ascii="Arial" w:hAnsi="Arial" w:cs="Arial"/>
            <w:color w:val="auto"/>
            <w:sz w:val="16"/>
            <w:szCs w:val="16"/>
          </w:rPr>
          <w:t>https://www.cndh.org.mx/documento/informe-especial-de-la-cndh-sobre-el-estado-que-guarda-el-trafico-y-el-secuestro-en</w:t>
        </w:r>
      </w:hyperlink>
    </w:p>
    <w:p w14:paraId="227F333D" w14:textId="77777777" w:rsidR="00F47ECD" w:rsidRDefault="00F47ECD" w:rsidP="00F47ECD">
      <w:pPr>
        <w:pStyle w:val="FootnoteText"/>
      </w:pPr>
    </w:p>
  </w:footnote>
  <w:footnote w:id="7">
    <w:p w14:paraId="04DD8321" w14:textId="77777777" w:rsidR="00F47ECD" w:rsidRDefault="00F47ECD" w:rsidP="00F47ECD">
      <w:pPr>
        <w:spacing w:line="276" w:lineRule="auto"/>
        <w:jc w:val="both"/>
      </w:pPr>
      <w:r>
        <w:rPr>
          <w:rStyle w:val="FootnoteReference"/>
        </w:rPr>
        <w:footnoteRef/>
      </w:r>
      <w:r w:rsidRPr="00973FB9">
        <w:rPr>
          <w:rFonts w:ascii="Arial" w:hAnsi="Arial" w:cs="Arial"/>
          <w:bCs/>
          <w:sz w:val="16"/>
          <w:szCs w:val="16"/>
        </w:rPr>
        <w:t>https://www.cndh.org.mx/sites/default/files/documentos/2021-02/COM_2021_046.pdf</w:t>
      </w:r>
    </w:p>
  </w:footnote>
  <w:footnote w:id="8">
    <w:p w14:paraId="40FC45E8" w14:textId="77777777" w:rsidR="00F47ECD" w:rsidRDefault="00F47ECD" w:rsidP="00F47ECD">
      <w:pPr>
        <w:pStyle w:val="FootnoteText"/>
      </w:pPr>
      <w:r>
        <w:rPr>
          <w:rStyle w:val="FootnoteReference"/>
        </w:rPr>
        <w:footnoteRef/>
      </w:r>
      <w:r>
        <w:t xml:space="preserve"> </w:t>
      </w:r>
      <w:hyperlink r:id="rId5" w:history="1">
        <w:r w:rsidRPr="00087FC4">
          <w:rPr>
            <w:rFonts w:ascii="Arial" w:hAnsi="Arial" w:cs="Arial"/>
            <w:bCs/>
            <w:sz w:val="16"/>
            <w:szCs w:val="16"/>
          </w:rPr>
          <w:t>https://www.cndh.org.mx/sites/default/files/documentos/2020-07/REC_2020_024.pdf</w:t>
        </w:r>
      </w:hyperlink>
    </w:p>
    <w:p w14:paraId="2912A29C" w14:textId="77777777" w:rsidR="00F47ECD" w:rsidRDefault="00F47ECD" w:rsidP="00F47ECD">
      <w:pPr>
        <w:pStyle w:val="FootnoteText"/>
      </w:pPr>
    </w:p>
  </w:footnote>
  <w:footnote w:id="9">
    <w:p w14:paraId="4AF4FF88" w14:textId="77777777" w:rsidR="00F47ECD" w:rsidRPr="007F5DEB" w:rsidRDefault="00F47ECD" w:rsidP="00F47ECD">
      <w:pPr>
        <w:pStyle w:val="FootnoteText"/>
        <w:rPr>
          <w:rFonts w:ascii="Arial" w:hAnsi="Arial" w:cs="Arial"/>
          <w:sz w:val="16"/>
          <w:szCs w:val="16"/>
        </w:rPr>
      </w:pPr>
      <w:r w:rsidRPr="007F5DEB">
        <w:rPr>
          <w:rStyle w:val="FootnoteReference"/>
        </w:rPr>
        <w:footnoteRef/>
      </w:r>
      <w:r w:rsidRPr="007F5DEB">
        <w:t xml:space="preserve"> </w:t>
      </w:r>
      <w:hyperlink r:id="rId6" w:history="1">
        <w:r w:rsidRPr="007F5DEB">
          <w:rPr>
            <w:rStyle w:val="Hipervnculo1"/>
            <w:rFonts w:ascii="Arial" w:hAnsi="Arial" w:cs="Arial"/>
            <w:color w:val="auto"/>
            <w:sz w:val="16"/>
            <w:szCs w:val="16"/>
          </w:rPr>
          <w:t>https://www.cndh.org.mx/sites/default/files/documentos/2020-12/REC_2020_061.pdf</w:t>
        </w:r>
      </w:hyperlink>
    </w:p>
    <w:p w14:paraId="33FBDB79" w14:textId="77777777" w:rsidR="00F47ECD" w:rsidRDefault="00F47ECD" w:rsidP="00F47ECD">
      <w:pPr>
        <w:pStyle w:val="FootnoteText"/>
      </w:pPr>
    </w:p>
  </w:footnote>
  <w:footnote w:id="10">
    <w:p w14:paraId="601F8D58" w14:textId="77777777" w:rsidR="00F47ECD" w:rsidRPr="003C2BDA" w:rsidRDefault="00F47ECD" w:rsidP="00F47ECD">
      <w:pPr>
        <w:spacing w:line="276" w:lineRule="auto"/>
        <w:jc w:val="both"/>
        <w:rPr>
          <w:rFonts w:ascii="Arial Narrow" w:hAnsi="Arial Narrow" w:cs="Arial"/>
          <w:bCs/>
          <w:sz w:val="16"/>
          <w:szCs w:val="16"/>
          <w:u w:val="single"/>
          <w:lang w:val="es-ES"/>
        </w:rPr>
      </w:pPr>
      <w:r>
        <w:rPr>
          <w:rStyle w:val="FootnoteReference"/>
        </w:rPr>
        <w:footnoteRef/>
      </w:r>
      <w:r>
        <w:t xml:space="preserve"> </w:t>
      </w:r>
      <w:hyperlink r:id="rId7" w:history="1">
        <w:r w:rsidRPr="003C2BDA">
          <w:rPr>
            <w:rStyle w:val="Hipervnculo1"/>
            <w:rFonts w:ascii="Arial Narrow" w:hAnsi="Arial Narrow" w:cs="Arial"/>
            <w:bCs/>
            <w:color w:val="auto"/>
            <w:sz w:val="16"/>
            <w:szCs w:val="16"/>
            <w:lang w:val="es-ES"/>
          </w:rPr>
          <w:t>https://www.cndh.org.mx/sites/default/files/documentos/2019-11/Informe-Estaciones-Migratorias-2019.pdf</w:t>
        </w:r>
      </w:hyperlink>
    </w:p>
    <w:p w14:paraId="357E4163" w14:textId="77777777" w:rsidR="00F47ECD" w:rsidRPr="003C2BDA" w:rsidRDefault="00F47ECD" w:rsidP="00F47ECD">
      <w:pPr>
        <w:pStyle w:val="FootnoteText"/>
        <w:rPr>
          <w:sz w:val="16"/>
          <w:szCs w:val="16"/>
        </w:rPr>
      </w:pPr>
    </w:p>
  </w:footnote>
  <w:footnote w:id="11">
    <w:p w14:paraId="479F3354" w14:textId="77777777" w:rsidR="00F47ECD" w:rsidRPr="004645E4" w:rsidRDefault="00F47ECD" w:rsidP="00F47ECD">
      <w:pPr>
        <w:spacing w:line="276" w:lineRule="auto"/>
        <w:jc w:val="both"/>
        <w:rPr>
          <w:rFonts w:ascii="Arial Narrow" w:hAnsi="Arial Narrow" w:cs="Arial"/>
          <w:sz w:val="16"/>
          <w:szCs w:val="16"/>
          <w:lang w:val="es-ES"/>
        </w:rPr>
      </w:pPr>
      <w:r w:rsidRPr="004645E4">
        <w:rPr>
          <w:rStyle w:val="FootnoteReference"/>
          <w:sz w:val="16"/>
          <w:szCs w:val="16"/>
        </w:rPr>
        <w:footnoteRef/>
      </w:r>
      <w:r w:rsidRPr="004645E4">
        <w:rPr>
          <w:sz w:val="16"/>
          <w:szCs w:val="16"/>
        </w:rPr>
        <w:t xml:space="preserve"> </w:t>
      </w:r>
      <w:hyperlink r:id="rId8" w:history="1">
        <w:r w:rsidRPr="004645E4">
          <w:rPr>
            <w:rStyle w:val="Hipervnculo1"/>
            <w:rFonts w:ascii="Arial Narrow" w:hAnsi="Arial Narrow" w:cs="Arial"/>
            <w:sz w:val="16"/>
            <w:szCs w:val="16"/>
            <w:lang w:val="es-ES"/>
          </w:rPr>
          <w:t>https://www.cndh.org.mx/documento/cndh-y-dif-nacional-firman-convenio-de-colaboracion-para-proteger-ddhh-de-ninas-ninos-y</w:t>
        </w:r>
      </w:hyperlink>
    </w:p>
    <w:p w14:paraId="4180F87B" w14:textId="77777777" w:rsidR="00F47ECD" w:rsidRDefault="00F47ECD" w:rsidP="00F47EC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5E71E2"/>
    <w:multiLevelType w:val="hybridMultilevel"/>
    <w:tmpl w:val="11261F0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S1+Sbry1QWsPZ65v5x2/2CO+HAEeK2i7S9cSvxV5ZddlN38ghD0let2Ljqiuijc/PTDf2XF+QyM0LeSihZo4IA==" w:salt="LRihA45tOeqYYj643Qf3q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ECD"/>
    <w:rsid w:val="00221271"/>
    <w:rsid w:val="002331FB"/>
    <w:rsid w:val="002624D3"/>
    <w:rsid w:val="003E4E79"/>
    <w:rsid w:val="004F0A4B"/>
    <w:rsid w:val="005E6A04"/>
    <w:rsid w:val="0069150E"/>
    <w:rsid w:val="00755C4F"/>
    <w:rsid w:val="008D5883"/>
    <w:rsid w:val="00E210CA"/>
    <w:rsid w:val="00F45E16"/>
    <w:rsid w:val="00F47EC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6A75"/>
  <w15:chartTrackingRefBased/>
  <w15:docId w15:val="{7B4D63A9-76AC-48B2-8AA8-379A59506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pervnculo1">
    <w:name w:val="Hipervínculo1"/>
    <w:basedOn w:val="DefaultParagraphFont"/>
    <w:uiPriority w:val="99"/>
    <w:unhideWhenUsed/>
    <w:rsid w:val="00F47ECD"/>
    <w:rPr>
      <w:color w:val="0563C1"/>
      <w:u w:val="single"/>
    </w:rPr>
  </w:style>
  <w:style w:type="paragraph" w:styleId="FootnoteText">
    <w:name w:val="footnote text"/>
    <w:basedOn w:val="Normal"/>
    <w:link w:val="FootnoteTextChar"/>
    <w:uiPriority w:val="99"/>
    <w:semiHidden/>
    <w:unhideWhenUsed/>
    <w:rsid w:val="00F47ECD"/>
    <w:pPr>
      <w:spacing w:after="0" w:line="240" w:lineRule="auto"/>
    </w:pPr>
    <w:rPr>
      <w:rFonts w:ascii="Times New Roman" w:eastAsia="Times New Roman" w:hAnsi="Times New Roman" w:cs="Times New Roman"/>
      <w:sz w:val="20"/>
      <w:szCs w:val="20"/>
      <w:lang w:eastAsia="es-MX"/>
    </w:rPr>
  </w:style>
  <w:style w:type="character" w:customStyle="1" w:styleId="FootnoteTextChar">
    <w:name w:val="Footnote Text Char"/>
    <w:basedOn w:val="DefaultParagraphFont"/>
    <w:link w:val="FootnoteText"/>
    <w:uiPriority w:val="99"/>
    <w:semiHidden/>
    <w:rsid w:val="00F47ECD"/>
    <w:rPr>
      <w:rFonts w:ascii="Times New Roman" w:eastAsia="Times New Roman" w:hAnsi="Times New Roman" w:cs="Times New Roman"/>
      <w:sz w:val="20"/>
      <w:szCs w:val="20"/>
      <w:lang w:eastAsia="es-MX"/>
    </w:rPr>
  </w:style>
  <w:style w:type="character" w:styleId="FootnoteReference">
    <w:name w:val="footnote reference"/>
    <w:basedOn w:val="DefaultParagraphFont"/>
    <w:uiPriority w:val="99"/>
    <w:semiHidden/>
    <w:unhideWhenUsed/>
    <w:rsid w:val="00F47ECD"/>
    <w:rPr>
      <w:vertAlign w:val="superscript"/>
    </w:rPr>
  </w:style>
  <w:style w:type="character" w:styleId="Hyperlink">
    <w:name w:val="Hyperlink"/>
    <w:basedOn w:val="DefaultParagraphFont"/>
    <w:uiPriority w:val="99"/>
    <w:semiHidden/>
    <w:unhideWhenUsed/>
    <w:rsid w:val="00F47ECD"/>
    <w:rPr>
      <w:color w:val="0563C1" w:themeColor="hyperlink"/>
      <w:u w:val="single"/>
    </w:rPr>
  </w:style>
  <w:style w:type="paragraph" w:styleId="Header">
    <w:name w:val="header"/>
    <w:basedOn w:val="Normal"/>
    <w:link w:val="HeaderChar"/>
    <w:uiPriority w:val="99"/>
    <w:unhideWhenUsed/>
    <w:rsid w:val="003E4E79"/>
    <w:pPr>
      <w:tabs>
        <w:tab w:val="center" w:pos="4419"/>
        <w:tab w:val="right" w:pos="8838"/>
      </w:tabs>
      <w:spacing w:after="0" w:line="240" w:lineRule="auto"/>
    </w:pPr>
  </w:style>
  <w:style w:type="character" w:customStyle="1" w:styleId="HeaderChar">
    <w:name w:val="Header Char"/>
    <w:basedOn w:val="DefaultParagraphFont"/>
    <w:link w:val="Header"/>
    <w:uiPriority w:val="99"/>
    <w:rsid w:val="003E4E79"/>
  </w:style>
  <w:style w:type="paragraph" w:styleId="Footer">
    <w:name w:val="footer"/>
    <w:basedOn w:val="Normal"/>
    <w:link w:val="FooterChar"/>
    <w:uiPriority w:val="99"/>
    <w:unhideWhenUsed/>
    <w:rsid w:val="003E4E79"/>
    <w:pPr>
      <w:tabs>
        <w:tab w:val="center" w:pos="4419"/>
        <w:tab w:val="right" w:pos="8838"/>
      </w:tabs>
      <w:spacing w:after="0" w:line="240" w:lineRule="auto"/>
    </w:pPr>
  </w:style>
  <w:style w:type="character" w:customStyle="1" w:styleId="FooterChar">
    <w:name w:val="Footer Char"/>
    <w:basedOn w:val="DefaultParagraphFont"/>
    <w:link w:val="Footer"/>
    <w:uiPriority w:val="99"/>
    <w:rsid w:val="003E4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652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dh.org.mx/tipo/1/recomendacion"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cndh.org.mx/documento/cndh-y-dif-nacional-firman-convenio-de-colaboracion-para-proteger-ddhh-de-ninas-ninos-y" TargetMode="External"/><Relationship Id="rId3" Type="http://schemas.openxmlformats.org/officeDocument/2006/relationships/hyperlink" Target="https://www.cndh.org.mx/documento/recomendacion-por-violaciones-graves-44-vg2021" TargetMode="External"/><Relationship Id="rId7" Type="http://schemas.openxmlformats.org/officeDocument/2006/relationships/hyperlink" Target="https://www.cndh.org.mx/sites/default/files/documentos/2019-11/Informe-Estaciones-Migratorias-2019.pdf" TargetMode="External"/><Relationship Id="rId2" Type="http://schemas.openxmlformats.org/officeDocument/2006/relationships/hyperlink" Target="https://www.cndh.org.mx/sites/default/files/documentos/2021-11/COM_2021_288.pdf" TargetMode="External"/><Relationship Id="rId1" Type="http://schemas.openxmlformats.org/officeDocument/2006/relationships/hyperlink" Target="https://lopezobrador.org.mx/2021/09/23/version-estenografica-de-la-conferencia-de-prensa-matutina-del-presidente-andres-manuel-lopez-obrador-613/" TargetMode="External"/><Relationship Id="rId6" Type="http://schemas.openxmlformats.org/officeDocument/2006/relationships/hyperlink" Target="https://www.cndh.org.mx/sites/default/files/documentos/2020-12/REC_2020_061.pdf" TargetMode="External"/><Relationship Id="rId5" Type="http://schemas.openxmlformats.org/officeDocument/2006/relationships/hyperlink" Target="https://www.cndh.org.mx/sites/default/files/documentos/2020-07/REC_2020_024.pdf" TargetMode="External"/><Relationship Id="rId4" Type="http://schemas.openxmlformats.org/officeDocument/2006/relationships/hyperlink" Target="https://www.cndh.org.mx/documento/informe-especial-de-la-cndh-sobre-el-estado-que-guarda-el-trafico-y-el-secuestro-e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2B7FD-5070-4B26-9265-B9AFB9AC2ED6}"/>
</file>

<file path=customXml/itemProps2.xml><?xml version="1.0" encoding="utf-8"?>
<ds:datastoreItem xmlns:ds="http://schemas.openxmlformats.org/officeDocument/2006/customXml" ds:itemID="{70863623-2505-4F90-A746-FAE5BA28F7D6}"/>
</file>

<file path=customXml/itemProps3.xml><?xml version="1.0" encoding="utf-8"?>
<ds:datastoreItem xmlns:ds="http://schemas.openxmlformats.org/officeDocument/2006/customXml" ds:itemID="{D7F06EA1-2C04-42DF-BC7F-0AEEC6E22EC2}"/>
</file>

<file path=docProps/app.xml><?xml version="1.0" encoding="utf-8"?>
<Properties xmlns="http://schemas.openxmlformats.org/officeDocument/2006/extended-properties" xmlns:vt="http://schemas.openxmlformats.org/officeDocument/2006/docPropsVTypes">
  <Template>Normal.dotm</Template>
  <TotalTime>22</TotalTime>
  <Pages>13</Pages>
  <Words>6119</Words>
  <Characters>34880</Characters>
  <Application>Microsoft Office Word</Application>
  <DocSecurity>8</DocSecurity>
  <Lines>290</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Montiel Razo</dc:creator>
  <cp:keywords/>
  <dc:description/>
  <cp:lastModifiedBy>FLECHE Isabelle</cp:lastModifiedBy>
  <cp:revision>9</cp:revision>
  <dcterms:created xsi:type="dcterms:W3CDTF">2022-01-25T23:09:00Z</dcterms:created>
  <dcterms:modified xsi:type="dcterms:W3CDTF">2022-02-01T09:19:00Z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