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6C648" w14:textId="772BDE7B" w:rsidR="002F6F17" w:rsidRDefault="003078F6">
      <w:pPr>
        <w:jc w:val="center"/>
        <w:rPr>
          <w:rFonts w:ascii="Arial" w:eastAsia="Arial" w:hAnsi="Arial" w:cs="Arial"/>
          <w:sz w:val="24"/>
          <w:szCs w:val="24"/>
        </w:rPr>
      </w:pPr>
      <w:bookmarkStart w:id="0" w:name="_GoBack"/>
      <w:bookmarkEnd w:id="0"/>
      <w:r>
        <w:rPr>
          <w:rFonts w:ascii="Arial" w:eastAsia="Arial" w:hAnsi="Arial" w:cs="Arial"/>
          <w:sz w:val="24"/>
          <w:szCs w:val="24"/>
        </w:rPr>
        <w:t>Submission prior to the combined fifth and sixth periodic reports of Germany on the Convention on the Rights of the Child</w:t>
      </w:r>
    </w:p>
    <w:p w14:paraId="6902FBDC" w14:textId="77777777" w:rsidR="00FE2ECE" w:rsidRDefault="00FE2ECE">
      <w:pPr>
        <w:jc w:val="center"/>
        <w:rPr>
          <w:rFonts w:ascii="Arial" w:eastAsia="Arial" w:hAnsi="Arial" w:cs="Arial"/>
          <w:sz w:val="24"/>
          <w:szCs w:val="24"/>
        </w:rPr>
      </w:pPr>
    </w:p>
    <w:p w14:paraId="21F1B0CB" w14:textId="77777777" w:rsidR="002F6F17" w:rsidRDefault="003078F6">
      <w:pPr>
        <w:jc w:val="center"/>
        <w:rPr>
          <w:rFonts w:ascii="Arial" w:eastAsia="Arial" w:hAnsi="Arial" w:cs="Arial"/>
          <w:b/>
          <w:sz w:val="26"/>
          <w:szCs w:val="26"/>
        </w:rPr>
      </w:pPr>
      <w:r>
        <w:rPr>
          <w:rFonts w:ascii="Arial" w:eastAsia="Arial" w:hAnsi="Arial" w:cs="Arial"/>
          <w:b/>
          <w:sz w:val="26"/>
          <w:szCs w:val="26"/>
        </w:rPr>
        <w:t>Military enlistment of children by state armed forces</w:t>
      </w:r>
    </w:p>
    <w:p w14:paraId="50182028" w14:textId="77777777" w:rsidR="002F6F17" w:rsidRDefault="002F6F17">
      <w:pPr>
        <w:rPr>
          <w:rFonts w:ascii="Arial" w:eastAsia="Arial" w:hAnsi="Arial" w:cs="Arial"/>
          <w:b/>
          <w:i/>
          <w:sz w:val="24"/>
          <w:szCs w:val="24"/>
        </w:rPr>
      </w:pPr>
    </w:p>
    <w:p w14:paraId="48967227" w14:textId="77777777" w:rsidR="002F6F17" w:rsidRDefault="003078F6">
      <w:pPr>
        <w:rPr>
          <w:rFonts w:ascii="Arial" w:eastAsia="Arial" w:hAnsi="Arial" w:cs="Arial"/>
          <w:b/>
          <w:sz w:val="24"/>
          <w:szCs w:val="24"/>
        </w:rPr>
      </w:pPr>
      <w:r>
        <w:rPr>
          <w:rFonts w:ascii="Arial" w:eastAsia="Arial" w:hAnsi="Arial" w:cs="Arial"/>
          <w:b/>
          <w:sz w:val="24"/>
          <w:szCs w:val="24"/>
        </w:rPr>
        <w:t>Introduction</w:t>
      </w:r>
    </w:p>
    <w:p w14:paraId="4EA610EB" w14:textId="77777777" w:rsidR="002F6F17" w:rsidRDefault="003078F6">
      <w:pPr>
        <w:rPr>
          <w:rFonts w:ascii="Arial" w:eastAsia="Arial" w:hAnsi="Arial" w:cs="Arial"/>
        </w:rPr>
      </w:pPr>
      <w:r>
        <w:rPr>
          <w:rFonts w:ascii="Arial" w:eastAsia="Arial" w:hAnsi="Arial" w:cs="Arial"/>
        </w:rPr>
        <w:t xml:space="preserve">This submission has been prepared by the Child Rights </w:t>
      </w:r>
      <w:r>
        <w:rPr>
          <w:rFonts w:ascii="Arial" w:eastAsia="Arial" w:hAnsi="Arial" w:cs="Arial"/>
        </w:rPr>
        <w:t>International Network in support of the Committee’s examination of Germany’s State Party Report.</w:t>
      </w:r>
    </w:p>
    <w:p w14:paraId="53E3DD8A" w14:textId="77777777" w:rsidR="002F6F17" w:rsidRDefault="003078F6">
      <w:pPr>
        <w:rPr>
          <w:rFonts w:ascii="Arial" w:eastAsia="Arial" w:hAnsi="Arial" w:cs="Arial"/>
        </w:rPr>
      </w:pPr>
      <w:r>
        <w:rPr>
          <w:rFonts w:ascii="Arial" w:eastAsia="Arial" w:hAnsi="Arial" w:cs="Arial"/>
        </w:rPr>
        <w:t>The submission is focused on the recruitment of children by the State Party for military purposes.</w:t>
      </w:r>
    </w:p>
    <w:p w14:paraId="67B6CCA0" w14:textId="77777777" w:rsidR="002F6F17" w:rsidRDefault="003078F6">
      <w:pPr>
        <w:rPr>
          <w:rFonts w:ascii="Arial" w:eastAsia="Arial" w:hAnsi="Arial" w:cs="Arial"/>
          <w:b/>
          <w:sz w:val="24"/>
          <w:szCs w:val="24"/>
        </w:rPr>
      </w:pPr>
      <w:r>
        <w:rPr>
          <w:rFonts w:ascii="Arial" w:eastAsia="Arial" w:hAnsi="Arial" w:cs="Arial"/>
          <w:b/>
          <w:sz w:val="24"/>
          <w:szCs w:val="24"/>
        </w:rPr>
        <w:t>Background</w:t>
      </w:r>
    </w:p>
    <w:p w14:paraId="6AD4F9A1" w14:textId="77777777" w:rsidR="002F6F17" w:rsidRDefault="003078F6">
      <w:pPr>
        <w:rPr>
          <w:rFonts w:ascii="Arial" w:eastAsia="Arial" w:hAnsi="Arial" w:cs="Arial"/>
        </w:rPr>
      </w:pPr>
      <w:r>
        <w:rPr>
          <w:rFonts w:ascii="Arial" w:eastAsia="Arial" w:hAnsi="Arial" w:cs="Arial"/>
        </w:rPr>
        <w:t xml:space="preserve">Following extensive ratification globally of the </w:t>
      </w:r>
      <w:r>
        <w:rPr>
          <w:rFonts w:ascii="Arial" w:eastAsia="Arial" w:hAnsi="Arial" w:cs="Arial"/>
        </w:rPr>
        <w:t>Optional Protocol on the involvement of children in armed conflict since 2002, approximately three-quarters of states worldwide now allow only adults aged 18 and above to be recruited into state armed forces.</w:t>
      </w:r>
    </w:p>
    <w:p w14:paraId="077977B9" w14:textId="77777777" w:rsidR="002F6F17" w:rsidRDefault="003078F6">
      <w:pPr>
        <w:rPr>
          <w:rFonts w:ascii="Arial" w:eastAsia="Arial" w:hAnsi="Arial" w:cs="Arial"/>
        </w:rPr>
      </w:pPr>
      <w:r>
        <w:rPr>
          <w:rFonts w:ascii="Arial" w:eastAsia="Arial" w:hAnsi="Arial" w:cs="Arial"/>
        </w:rPr>
        <w:t xml:space="preserve">The </w:t>
      </w:r>
      <w:r>
        <w:rPr>
          <w:rFonts w:ascii="Arial" w:eastAsia="Arial" w:hAnsi="Arial" w:cs="Arial"/>
          <w:i/>
        </w:rPr>
        <w:t>General Comment on adolescence on the imple</w:t>
      </w:r>
      <w:r>
        <w:rPr>
          <w:rFonts w:ascii="Arial" w:eastAsia="Arial" w:hAnsi="Arial" w:cs="Arial"/>
          <w:i/>
        </w:rPr>
        <w:t>mentation of the rights of the child during adolescence</w:t>
      </w:r>
      <w:r>
        <w:rPr>
          <w:rFonts w:ascii="Arial" w:eastAsia="Arial" w:hAnsi="Arial" w:cs="Arial"/>
        </w:rPr>
        <w:t xml:space="preserve"> (2016) records the Committee’s ‘deep concern’ that adolescent children continue to be recruited into state armed forces (para 81) and specifies that the minimum age for entry should be 18 (para 40).</w:t>
      </w:r>
    </w:p>
    <w:p w14:paraId="59F2ACC7" w14:textId="77777777" w:rsidR="002F6F17" w:rsidRDefault="003078F6">
      <w:pPr>
        <w:rPr>
          <w:rFonts w:ascii="Arial" w:eastAsia="Arial" w:hAnsi="Arial" w:cs="Arial"/>
        </w:rPr>
      </w:pPr>
      <w:r>
        <w:rPr>
          <w:rFonts w:ascii="Arial" w:eastAsia="Arial" w:hAnsi="Arial" w:cs="Arial"/>
        </w:rPr>
        <w:t>I</w:t>
      </w:r>
      <w:r>
        <w:rPr>
          <w:rFonts w:ascii="Arial" w:eastAsia="Arial" w:hAnsi="Arial" w:cs="Arial"/>
        </w:rPr>
        <w:t>n response to State Parties that continue to allow the military recruitment of children, the general practice of the Committee has been to include in its Concluding Observations a recommendation that the minimum age for entry into the armed forces be 18.</w:t>
      </w:r>
    </w:p>
    <w:p w14:paraId="4DDB2D74" w14:textId="77777777" w:rsidR="002F6F17" w:rsidRDefault="003078F6">
      <w:pPr>
        <w:rPr>
          <w:rFonts w:ascii="Arial" w:eastAsia="Arial" w:hAnsi="Arial" w:cs="Arial"/>
          <w:b/>
          <w:sz w:val="24"/>
          <w:szCs w:val="24"/>
        </w:rPr>
      </w:pPr>
      <w:r>
        <w:rPr>
          <w:rFonts w:ascii="Arial" w:eastAsia="Arial" w:hAnsi="Arial" w:cs="Arial"/>
          <w:b/>
          <w:sz w:val="24"/>
          <w:szCs w:val="24"/>
        </w:rPr>
        <w:t>C</w:t>
      </w:r>
      <w:r>
        <w:rPr>
          <w:rFonts w:ascii="Arial" w:eastAsia="Arial" w:hAnsi="Arial" w:cs="Arial"/>
          <w:b/>
          <w:sz w:val="24"/>
          <w:szCs w:val="24"/>
        </w:rPr>
        <w:t>ountry situation</w:t>
      </w:r>
    </w:p>
    <w:p w14:paraId="6C6B88D7" w14:textId="71A5DC62" w:rsidR="00FE2ECE" w:rsidRDefault="003078F6">
      <w:pPr>
        <w:rPr>
          <w:rFonts w:ascii="Arial" w:eastAsia="Arial" w:hAnsi="Arial" w:cs="Arial"/>
        </w:rPr>
      </w:pPr>
      <w:r>
        <w:rPr>
          <w:rFonts w:ascii="Arial" w:eastAsia="Arial" w:hAnsi="Arial" w:cs="Arial"/>
        </w:rPr>
        <w:t>The German armed forces (Bundeswehr) are around 174,000 personnel strong.</w:t>
      </w:r>
      <w:r w:rsidR="00FE2ECE">
        <w:rPr>
          <w:rFonts w:ascii="Arial" w:eastAsia="Arial" w:hAnsi="Arial" w:cs="Arial"/>
          <w:vertAlign w:val="superscript"/>
        </w:rPr>
        <w:endnoteReference w:id="1"/>
      </w:r>
      <w:r w:rsidR="00FE2ECE">
        <w:rPr>
          <w:rFonts w:ascii="Arial" w:eastAsia="Arial" w:hAnsi="Arial" w:cs="Arial"/>
        </w:rPr>
        <w:t xml:space="preserve"> Enlistment is permissible </w:t>
      </w:r>
      <w:r w:rsidR="00FE2ECE">
        <w:rPr>
          <w:rFonts w:ascii="Arial" w:eastAsia="Arial" w:hAnsi="Arial" w:cs="Arial"/>
          <w:b/>
        </w:rPr>
        <w:t>from age 17</w:t>
      </w:r>
      <w:r w:rsidR="00FE2ECE">
        <w:rPr>
          <w:rFonts w:ascii="Arial" w:eastAsia="Arial" w:hAnsi="Arial" w:cs="Arial"/>
        </w:rPr>
        <w:t xml:space="preserve">. Approximately </w:t>
      </w:r>
      <w:r w:rsidR="00FE2ECE">
        <w:rPr>
          <w:rFonts w:ascii="Arial" w:eastAsia="Arial" w:hAnsi="Arial" w:cs="Arial"/>
          <w:b/>
        </w:rPr>
        <w:t>1,100 new recruits</w:t>
      </w:r>
      <w:r w:rsidR="00FE2ECE">
        <w:rPr>
          <w:rFonts w:ascii="Arial" w:eastAsia="Arial" w:hAnsi="Arial" w:cs="Arial"/>
        </w:rPr>
        <w:t xml:space="preserve"> were this age in 2020.</w:t>
      </w:r>
      <w:r w:rsidR="00FE2ECE">
        <w:rPr>
          <w:rFonts w:ascii="Arial" w:eastAsia="Arial" w:hAnsi="Arial" w:cs="Arial"/>
          <w:vertAlign w:val="superscript"/>
        </w:rPr>
        <w:endnoteReference w:id="2"/>
      </w:r>
    </w:p>
    <w:p w14:paraId="746D87CE" w14:textId="77777777" w:rsidR="00FE2ECE" w:rsidRDefault="00FE2ECE">
      <w:pPr>
        <w:rPr>
          <w:rFonts w:ascii="Arial" w:eastAsia="Arial" w:hAnsi="Arial" w:cs="Arial"/>
        </w:rPr>
      </w:pPr>
      <w:r>
        <w:rPr>
          <w:rFonts w:ascii="Arial" w:eastAsia="Arial" w:hAnsi="Arial" w:cs="Arial"/>
        </w:rPr>
        <w:t>Child recruits are not permitted to break their contract after the six-month point and face legal sanction if they do so, irrespective of their age at the time.</w:t>
      </w:r>
      <w:r>
        <w:rPr>
          <w:rFonts w:ascii="Arial" w:eastAsia="Arial" w:hAnsi="Arial" w:cs="Arial"/>
          <w:vertAlign w:val="superscript"/>
        </w:rPr>
        <w:endnoteReference w:id="3"/>
      </w:r>
    </w:p>
    <w:p w14:paraId="28FFD2AA" w14:textId="77777777" w:rsidR="00FE2ECE" w:rsidRDefault="00FE2ECE">
      <w:pPr>
        <w:rPr>
          <w:rFonts w:ascii="Arial" w:eastAsia="Arial" w:hAnsi="Arial" w:cs="Arial"/>
        </w:rPr>
      </w:pPr>
      <w:r>
        <w:rPr>
          <w:rFonts w:ascii="Arial" w:eastAsia="Arial" w:hAnsi="Arial" w:cs="Arial"/>
        </w:rPr>
        <w:t>In its Concluding Observations on the State Party’s previous report, the Committee recommended that Germany raise the minimum age of enlistment to 18. The State Party has replied that it believes recruitment of children aged 17 complies with its human rights obligations.</w:t>
      </w:r>
      <w:r>
        <w:rPr>
          <w:rFonts w:ascii="Arial" w:eastAsia="Arial" w:hAnsi="Arial" w:cs="Arial"/>
          <w:vertAlign w:val="superscript"/>
        </w:rPr>
        <w:endnoteReference w:id="4"/>
      </w:r>
    </w:p>
    <w:p w14:paraId="79417BBA" w14:textId="77777777" w:rsidR="00FE2ECE" w:rsidRDefault="00FE2ECE">
      <w:pPr>
        <w:rPr>
          <w:rFonts w:ascii="Arial" w:eastAsia="Arial" w:hAnsi="Arial" w:cs="Arial"/>
        </w:rPr>
      </w:pPr>
      <w:r>
        <w:rPr>
          <w:rFonts w:ascii="Arial" w:eastAsia="Arial" w:hAnsi="Arial" w:cs="Arial"/>
        </w:rPr>
        <w:t>We refer the Committee to the submission from Kindernothilfe and Terre des Hommes, which presents evidence showing that underage recruits are frequently subject to abuse, including sexual abuse, by their peers and superiors in the Bundeswehr, and that a high proportion drop out of their training or are dismissed.</w:t>
      </w:r>
      <w:r>
        <w:rPr>
          <w:rFonts w:ascii="Arial" w:eastAsia="Arial" w:hAnsi="Arial" w:cs="Arial"/>
          <w:vertAlign w:val="superscript"/>
        </w:rPr>
        <w:endnoteReference w:id="5"/>
      </w:r>
    </w:p>
    <w:p w14:paraId="603482B5" w14:textId="77777777" w:rsidR="002F6F17" w:rsidRDefault="003078F6">
      <w:pPr>
        <w:rPr>
          <w:rFonts w:ascii="Arial" w:eastAsia="Arial" w:hAnsi="Arial" w:cs="Arial"/>
        </w:rPr>
      </w:pPr>
      <w:r>
        <w:rPr>
          <w:rFonts w:ascii="Arial" w:eastAsia="Arial" w:hAnsi="Arial" w:cs="Arial"/>
        </w:rPr>
        <w:t>On this evidence, the State Party is failing to meet its Convention obligations unde</w:t>
      </w:r>
      <w:r>
        <w:rPr>
          <w:rFonts w:ascii="Arial" w:eastAsia="Arial" w:hAnsi="Arial" w:cs="Arial"/>
        </w:rPr>
        <w:t>r Article 3 (the best interests of children as a primary consideration); Article 10 (protection from violence); Article 24 (highest standards of health); Article 32 (protection from exploitation); and Article 34 (protection from sexual abuse).</w:t>
      </w:r>
    </w:p>
    <w:p w14:paraId="59874892" w14:textId="77777777" w:rsidR="002F6F17" w:rsidRDefault="003078F6">
      <w:pPr>
        <w:rPr>
          <w:rFonts w:ascii="Arial" w:eastAsia="Arial" w:hAnsi="Arial" w:cs="Arial"/>
          <w:b/>
          <w:sz w:val="24"/>
          <w:szCs w:val="24"/>
        </w:rPr>
      </w:pPr>
      <w:r>
        <w:rPr>
          <w:rFonts w:ascii="Arial" w:eastAsia="Arial" w:hAnsi="Arial" w:cs="Arial"/>
          <w:b/>
          <w:sz w:val="24"/>
          <w:szCs w:val="24"/>
        </w:rPr>
        <w:lastRenderedPageBreak/>
        <w:t>Recommendati</w:t>
      </w:r>
      <w:r>
        <w:rPr>
          <w:rFonts w:ascii="Arial" w:eastAsia="Arial" w:hAnsi="Arial" w:cs="Arial"/>
          <w:b/>
          <w:sz w:val="24"/>
          <w:szCs w:val="24"/>
        </w:rPr>
        <w:t>ons</w:t>
      </w:r>
    </w:p>
    <w:p w14:paraId="7C44E713" w14:textId="77777777" w:rsidR="00FE2ECE" w:rsidRDefault="003078F6">
      <w:pPr>
        <w:rPr>
          <w:rFonts w:ascii="Arial" w:eastAsia="Arial" w:hAnsi="Arial" w:cs="Arial"/>
          <w:b/>
        </w:rPr>
      </w:pPr>
      <w:r>
        <w:rPr>
          <w:rFonts w:ascii="Arial" w:eastAsia="Arial" w:hAnsi="Arial" w:cs="Arial"/>
        </w:rPr>
        <w:t xml:space="preserve">We </w:t>
      </w:r>
      <w:r w:rsidR="00FE2ECE">
        <w:rPr>
          <w:rFonts w:ascii="Arial" w:eastAsia="Arial" w:hAnsi="Arial" w:cs="Arial"/>
        </w:rPr>
        <w:t xml:space="preserve">suggest </w:t>
      </w:r>
      <w:r>
        <w:rPr>
          <w:rFonts w:ascii="Arial" w:eastAsia="Arial" w:hAnsi="Arial" w:cs="Arial"/>
        </w:rPr>
        <w:t>that the Committee</w:t>
      </w:r>
      <w:r>
        <w:rPr>
          <w:rFonts w:ascii="Arial" w:eastAsia="Arial" w:hAnsi="Arial" w:cs="Arial"/>
          <w:b/>
        </w:rPr>
        <w:t xml:space="preserve"> </w:t>
      </w:r>
      <w:r w:rsidR="00FE2ECE" w:rsidRPr="00FE2ECE">
        <w:rPr>
          <w:rFonts w:ascii="Arial" w:eastAsia="Arial" w:hAnsi="Arial" w:cs="Arial"/>
          <w:bCs/>
        </w:rPr>
        <w:t>recommend:</w:t>
      </w:r>
    </w:p>
    <w:p w14:paraId="14DB7661" w14:textId="6B1A3A68" w:rsidR="00FE2ECE" w:rsidRPr="00FE2ECE" w:rsidRDefault="00FE2ECE" w:rsidP="00FE2ECE">
      <w:pPr>
        <w:pStyle w:val="ListParagraph"/>
        <w:numPr>
          <w:ilvl w:val="0"/>
          <w:numId w:val="1"/>
        </w:numPr>
        <w:pBdr>
          <w:top w:val="nil"/>
          <w:left w:val="nil"/>
          <w:bottom w:val="nil"/>
          <w:right w:val="nil"/>
          <w:between w:val="nil"/>
        </w:pBdr>
        <w:spacing w:after="0"/>
        <w:rPr>
          <w:rFonts w:ascii="Arial" w:eastAsia="Arial" w:hAnsi="Arial" w:cs="Arial"/>
          <w:b/>
          <w:color w:val="000000"/>
        </w:rPr>
      </w:pPr>
      <w:r w:rsidRPr="00FE2ECE">
        <w:rPr>
          <w:rFonts w:ascii="Arial" w:eastAsia="Arial" w:hAnsi="Arial" w:cs="Arial"/>
          <w:b/>
        </w:rPr>
        <w:t>The State Party raise the minimum age for enlistment to 18 to safeguard children from the harms associated with military training and work</w:t>
      </w:r>
      <w:r w:rsidR="00FB5735">
        <w:rPr>
          <w:rFonts w:ascii="Arial" w:eastAsia="Arial" w:hAnsi="Arial" w:cs="Arial"/>
          <w:b/>
        </w:rPr>
        <w:t>,</w:t>
      </w:r>
      <w:r w:rsidRPr="00FE2ECE">
        <w:rPr>
          <w:rFonts w:ascii="Arial" w:eastAsia="Arial" w:hAnsi="Arial" w:cs="Arial"/>
          <w:b/>
        </w:rPr>
        <w:t xml:space="preserve"> and to establish a higher legal standard overall;</w:t>
      </w:r>
    </w:p>
    <w:p w14:paraId="77DFB657" w14:textId="683FA7AF" w:rsidR="002F6F17" w:rsidRPr="00FE2ECE" w:rsidRDefault="00FE2ECE" w:rsidP="00FE2ECE">
      <w:pPr>
        <w:pStyle w:val="ListParagraph"/>
        <w:numPr>
          <w:ilvl w:val="0"/>
          <w:numId w:val="1"/>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The State Party a</w:t>
      </w:r>
      <w:r w:rsidRPr="00FE2ECE">
        <w:rPr>
          <w:rFonts w:ascii="Arial" w:eastAsia="Arial" w:hAnsi="Arial" w:cs="Arial"/>
          <w:b/>
          <w:color w:val="000000"/>
        </w:rPr>
        <w:t>llow child recruits an unfettered right to leave the armed forces at will;</w:t>
      </w:r>
      <w:r>
        <w:rPr>
          <w:rFonts w:ascii="Arial" w:eastAsia="Arial" w:hAnsi="Arial" w:cs="Arial"/>
          <w:b/>
          <w:color w:val="000000"/>
        </w:rPr>
        <w:t xml:space="preserve"> and</w:t>
      </w:r>
    </w:p>
    <w:p w14:paraId="6293869A" w14:textId="6D10C0CF" w:rsidR="002F6F17" w:rsidRDefault="00FE2ECE">
      <w:pPr>
        <w:numPr>
          <w:ilvl w:val="0"/>
          <w:numId w:val="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The State Party publish data on the number of formal complaints by child recruits or their parents of bullying and sexual abuse.</w:t>
      </w:r>
    </w:p>
    <w:p w14:paraId="509F9D35" w14:textId="77777777" w:rsidR="002F6F17" w:rsidRDefault="003078F6">
      <w:pPr>
        <w:rPr>
          <w:rFonts w:ascii="Arial" w:eastAsia="Arial" w:hAnsi="Arial" w:cs="Arial"/>
        </w:rPr>
      </w:pPr>
      <w:r>
        <w:rPr>
          <w:rFonts w:ascii="Arial" w:eastAsia="Arial" w:hAnsi="Arial" w:cs="Arial"/>
        </w:rPr>
        <w:t>___________________</w:t>
      </w:r>
    </w:p>
    <w:p w14:paraId="165EDD3D" w14:textId="727C43D1" w:rsidR="002F6F17" w:rsidRDefault="003078F6">
      <w:pPr>
        <w:rPr>
          <w:rFonts w:ascii="Arial" w:eastAsia="Arial" w:hAnsi="Arial" w:cs="Arial"/>
        </w:rPr>
      </w:pPr>
      <w:r>
        <w:rPr>
          <w:rFonts w:ascii="Arial" w:eastAsia="Arial" w:hAnsi="Arial" w:cs="Arial"/>
        </w:rPr>
        <w:t xml:space="preserve">Child Rights International Network, August 2022. Contact: </w:t>
      </w:r>
      <w:hyperlink r:id="rId9">
        <w:r>
          <w:rPr>
            <w:rFonts w:ascii="Arial" w:eastAsia="Arial" w:hAnsi="Arial" w:cs="Arial"/>
            <w:color w:val="0563C1"/>
            <w:u w:val="single"/>
          </w:rPr>
          <w:t>charlotte@crin.org</w:t>
        </w:r>
      </w:hyperlink>
      <w:r>
        <w:rPr>
          <w:rFonts w:ascii="Arial" w:eastAsia="Arial" w:hAnsi="Arial" w:cs="Arial"/>
        </w:rPr>
        <w:t>.</w:t>
      </w:r>
    </w:p>
    <w:p w14:paraId="244294F9" w14:textId="2959EB9A" w:rsidR="00FE2ECE" w:rsidRDefault="00FE2ECE">
      <w:pPr>
        <w:rPr>
          <w:rFonts w:ascii="Arial" w:eastAsia="Arial" w:hAnsi="Arial" w:cs="Arial"/>
        </w:rPr>
      </w:pPr>
    </w:p>
    <w:p w14:paraId="79B02FEF" w14:textId="77777777" w:rsidR="00FE2ECE" w:rsidRDefault="00FE2ECE">
      <w:pPr>
        <w:rPr>
          <w:rFonts w:ascii="Arial" w:eastAsia="Arial" w:hAnsi="Arial" w:cs="Arial"/>
        </w:rPr>
      </w:pPr>
    </w:p>
    <w:sectPr w:rsidR="00FE2ECE">
      <w:headerReference w:type="default" r:id="rId10"/>
      <w:footerReference w:type="default" r:id="rId11"/>
      <w:endnotePr>
        <w:numFmt w:val="decimal"/>
      </w:endnotePr>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A76E1D" w14:textId="77777777" w:rsidR="00706595" w:rsidRDefault="00706595">
      <w:pPr>
        <w:spacing w:after="0" w:line="240" w:lineRule="auto"/>
      </w:pPr>
      <w:r>
        <w:separator/>
      </w:r>
    </w:p>
  </w:endnote>
  <w:endnote w:type="continuationSeparator" w:id="0">
    <w:p w14:paraId="365B9722" w14:textId="77777777" w:rsidR="00706595" w:rsidRDefault="00706595">
      <w:pPr>
        <w:spacing w:after="0" w:line="240" w:lineRule="auto"/>
      </w:pPr>
      <w:r>
        <w:continuationSeparator/>
      </w:r>
    </w:p>
  </w:endnote>
  <w:endnote w:id="1">
    <w:p w14:paraId="0FAC0A7F" w14:textId="77777777" w:rsidR="00FE2ECE" w:rsidRDefault="00FE2ECE">
      <w:pPr>
        <w:pBdr>
          <w:top w:val="nil"/>
          <w:left w:val="nil"/>
          <w:bottom w:val="nil"/>
          <w:right w:val="nil"/>
          <w:between w:val="nil"/>
        </w:pBdr>
        <w:spacing w:after="0" w:line="240" w:lineRule="auto"/>
        <w:rPr>
          <w:color w:val="000000"/>
          <w:sz w:val="20"/>
          <w:szCs w:val="20"/>
        </w:rPr>
      </w:pPr>
      <w:r>
        <w:rPr>
          <w:rStyle w:val="EndnoteReference"/>
        </w:rPr>
        <w:endnoteRef/>
      </w:r>
      <w:r>
        <w:rPr>
          <w:color w:val="000000"/>
          <w:sz w:val="20"/>
          <w:szCs w:val="20"/>
        </w:rPr>
        <w:t xml:space="preserve"> Statista, ‘Number of soldiers in the German Federal Armed Forces as of October 2021, by type of service’, 2022, </w:t>
      </w:r>
      <w:hyperlink r:id="rId1">
        <w:r>
          <w:rPr>
            <w:color w:val="0563C1"/>
            <w:sz w:val="20"/>
            <w:szCs w:val="20"/>
            <w:u w:val="single"/>
          </w:rPr>
          <w:t>https://www.statista.com/statistics/1279826/soldier-numbers-german-federal-armed-forces-type-of-service</w:t>
        </w:r>
      </w:hyperlink>
      <w:r>
        <w:rPr>
          <w:color w:val="000000"/>
          <w:sz w:val="20"/>
          <w:szCs w:val="20"/>
        </w:rPr>
        <w:t>.</w:t>
      </w:r>
    </w:p>
  </w:endnote>
  <w:endnote w:id="2">
    <w:p w14:paraId="561B6554" w14:textId="3C4A29C2" w:rsidR="00FE2ECE" w:rsidRDefault="00FE2ECE">
      <w:pPr>
        <w:pBdr>
          <w:top w:val="nil"/>
          <w:left w:val="nil"/>
          <w:bottom w:val="nil"/>
          <w:right w:val="nil"/>
          <w:between w:val="nil"/>
        </w:pBdr>
        <w:spacing w:after="0" w:line="240" w:lineRule="auto"/>
        <w:rPr>
          <w:color w:val="000000"/>
          <w:sz w:val="20"/>
          <w:szCs w:val="20"/>
        </w:rPr>
      </w:pPr>
      <w:r>
        <w:rPr>
          <w:rStyle w:val="EndnoteReference"/>
        </w:rPr>
        <w:endnoteRef/>
      </w:r>
      <w:r>
        <w:rPr>
          <w:color w:val="000000"/>
          <w:sz w:val="20"/>
          <w:szCs w:val="20"/>
        </w:rPr>
        <w:t xml:space="preserve"> Anlage zu Parl Sts bei der Bundesministerin der Verteidigung Dr. Tauber 1980034-V267</w:t>
      </w:r>
      <w:r w:rsidR="003524F6">
        <w:rPr>
          <w:color w:val="000000"/>
          <w:sz w:val="20"/>
          <w:szCs w:val="20"/>
        </w:rPr>
        <w:t xml:space="preserve"> [in German]. </w:t>
      </w:r>
      <w:r>
        <w:rPr>
          <w:color w:val="000000"/>
          <w:sz w:val="20"/>
          <w:szCs w:val="20"/>
        </w:rPr>
        <w:t>1 Februar</w:t>
      </w:r>
      <w:r w:rsidR="003524F6">
        <w:rPr>
          <w:color w:val="000000"/>
          <w:sz w:val="20"/>
          <w:szCs w:val="20"/>
        </w:rPr>
        <w:t>y</w:t>
      </w:r>
      <w:r>
        <w:rPr>
          <w:color w:val="000000"/>
          <w:sz w:val="20"/>
          <w:szCs w:val="20"/>
        </w:rPr>
        <w:t xml:space="preserve"> 2021</w:t>
      </w:r>
      <w:r w:rsidR="003524F6">
        <w:rPr>
          <w:color w:val="000000"/>
          <w:sz w:val="20"/>
          <w:szCs w:val="20"/>
        </w:rPr>
        <w:t>,</w:t>
      </w:r>
      <w:r>
        <w:rPr>
          <w:color w:val="000000"/>
          <w:sz w:val="20"/>
          <w:szCs w:val="20"/>
        </w:rPr>
        <w:t xml:space="preserve"> </w:t>
      </w:r>
      <w:hyperlink r:id="rId2">
        <w:r>
          <w:rPr>
            <w:color w:val="0563C1"/>
            <w:sz w:val="20"/>
            <w:szCs w:val="20"/>
            <w:u w:val="single"/>
          </w:rPr>
          <w:t>https://unter18nie.de/wordpress/wp-content/uploads/2021/09/Antw_Verteidigungsmin_zu_SexGewalt_Suizide_Abbrecher_PsychProbleme_ua_bei_minderjaehrigen_BWSoldat.pdf</w:t>
        </w:r>
      </w:hyperlink>
      <w:r>
        <w:rPr>
          <w:color w:val="000000"/>
          <w:sz w:val="20"/>
          <w:szCs w:val="20"/>
        </w:rPr>
        <w:t>.</w:t>
      </w:r>
    </w:p>
  </w:endnote>
  <w:endnote w:id="3">
    <w:p w14:paraId="740B3462" w14:textId="77777777" w:rsidR="00FE2ECE" w:rsidRDefault="00FE2ECE">
      <w:pPr>
        <w:pBdr>
          <w:top w:val="nil"/>
          <w:left w:val="nil"/>
          <w:bottom w:val="nil"/>
          <w:right w:val="nil"/>
          <w:between w:val="nil"/>
        </w:pBdr>
        <w:spacing w:after="0" w:line="240" w:lineRule="auto"/>
        <w:rPr>
          <w:color w:val="000000"/>
          <w:sz w:val="20"/>
          <w:szCs w:val="20"/>
        </w:rPr>
      </w:pPr>
      <w:r>
        <w:rPr>
          <w:rStyle w:val="EndnoteReference"/>
        </w:rPr>
        <w:endnoteRef/>
      </w:r>
      <w:r>
        <w:rPr>
          <w:color w:val="000000"/>
          <w:sz w:val="20"/>
          <w:szCs w:val="20"/>
        </w:rPr>
        <w:t xml:space="preserve"> Michael Krennerich, </w:t>
      </w:r>
      <w:r>
        <w:rPr>
          <w:i/>
          <w:color w:val="000000"/>
          <w:sz w:val="20"/>
          <w:szCs w:val="20"/>
        </w:rPr>
        <w:t>Child soldiers: Shadow report 2020</w:t>
      </w:r>
      <w:r>
        <w:rPr>
          <w:color w:val="000000"/>
          <w:sz w:val="20"/>
          <w:szCs w:val="20"/>
        </w:rPr>
        <w:t xml:space="preserve">, 2020, </w:t>
      </w:r>
      <w:hyperlink r:id="rId3">
        <w:r>
          <w:rPr>
            <w:color w:val="0563C1"/>
            <w:sz w:val="20"/>
            <w:szCs w:val="20"/>
            <w:u w:val="single"/>
          </w:rPr>
          <w:t>https://tbinternet.ohchr.org/Treaties/CRC/Shared%20Documents/DEU/INT_CRC_NGO_DEU_44158_E.pdf</w:t>
        </w:r>
      </w:hyperlink>
      <w:r>
        <w:rPr>
          <w:color w:val="000000"/>
          <w:sz w:val="20"/>
          <w:szCs w:val="20"/>
        </w:rPr>
        <w:t>, p. 18.</w:t>
      </w:r>
    </w:p>
  </w:endnote>
  <w:endnote w:id="4">
    <w:p w14:paraId="6CE590E1" w14:textId="77777777" w:rsidR="00FE2ECE" w:rsidRDefault="00FE2ECE">
      <w:pPr>
        <w:pBdr>
          <w:top w:val="nil"/>
          <w:left w:val="nil"/>
          <w:bottom w:val="nil"/>
          <w:right w:val="nil"/>
          <w:between w:val="nil"/>
        </w:pBdr>
        <w:spacing w:after="0" w:line="240" w:lineRule="auto"/>
        <w:rPr>
          <w:color w:val="000000"/>
          <w:sz w:val="20"/>
          <w:szCs w:val="20"/>
        </w:rPr>
      </w:pPr>
      <w:r>
        <w:rPr>
          <w:rStyle w:val="EndnoteReference"/>
        </w:rPr>
        <w:endnoteRef/>
      </w:r>
      <w:r>
        <w:rPr>
          <w:color w:val="000000"/>
          <w:sz w:val="20"/>
          <w:szCs w:val="20"/>
        </w:rPr>
        <w:t xml:space="preserve"> Germany State Party report and Reply to the List of Issues.</w:t>
      </w:r>
    </w:p>
  </w:endnote>
  <w:endnote w:id="5">
    <w:p w14:paraId="3DF3FC8D" w14:textId="77777777" w:rsidR="00FE2ECE" w:rsidRDefault="00FE2ECE">
      <w:pPr>
        <w:pBdr>
          <w:top w:val="nil"/>
          <w:left w:val="nil"/>
          <w:bottom w:val="nil"/>
          <w:right w:val="nil"/>
          <w:between w:val="nil"/>
        </w:pBdr>
        <w:spacing w:after="0" w:line="240" w:lineRule="auto"/>
        <w:rPr>
          <w:color w:val="000000"/>
          <w:sz w:val="20"/>
          <w:szCs w:val="20"/>
        </w:rPr>
      </w:pPr>
      <w:r>
        <w:rPr>
          <w:rStyle w:val="EndnoteReference"/>
        </w:rPr>
        <w:endnoteRef/>
      </w:r>
      <w:r>
        <w:rPr>
          <w:color w:val="000000"/>
          <w:sz w:val="20"/>
          <w:szCs w:val="20"/>
        </w:rPr>
        <w:t xml:space="preserve"> Krennerich, 2020, op cit.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549D0" w14:textId="77777777" w:rsidR="002F6F17" w:rsidRDefault="003078F6">
    <w:pPr>
      <w:spacing w:after="0" w:line="276" w:lineRule="auto"/>
      <w:jc w:val="center"/>
      <w:rPr>
        <w:rFonts w:ascii="Arial" w:eastAsia="Arial" w:hAnsi="Arial" w:cs="Arial"/>
        <w:sz w:val="16"/>
        <w:szCs w:val="16"/>
      </w:rPr>
    </w:pPr>
    <w:r>
      <w:rPr>
        <w:rFonts w:ascii="Arial" w:eastAsia="Arial" w:hAnsi="Arial" w:cs="Arial"/>
        <w:sz w:val="16"/>
        <w:szCs w:val="16"/>
      </w:rPr>
      <w:t>Child Rights International Network - CRIN</w:t>
    </w:r>
  </w:p>
  <w:p w14:paraId="557D5C9F" w14:textId="77777777" w:rsidR="002F6F17" w:rsidRDefault="003078F6">
    <w:pPr>
      <w:spacing w:after="0" w:line="276" w:lineRule="auto"/>
      <w:jc w:val="center"/>
      <w:rPr>
        <w:rFonts w:ascii="Arial" w:eastAsia="Arial" w:hAnsi="Arial" w:cs="Arial"/>
        <w:sz w:val="16"/>
        <w:szCs w:val="16"/>
      </w:rPr>
    </w:pPr>
    <w:r>
      <w:rPr>
        <w:rFonts w:ascii="Arial" w:eastAsia="Arial" w:hAnsi="Arial" w:cs="Arial"/>
        <w:sz w:val="16"/>
        <w:szCs w:val="16"/>
      </w:rPr>
      <w:t>Unit 4, Old Parad</w:t>
    </w:r>
    <w:r>
      <w:rPr>
        <w:rFonts w:ascii="Arial" w:eastAsia="Arial" w:hAnsi="Arial" w:cs="Arial"/>
        <w:sz w:val="16"/>
        <w:szCs w:val="16"/>
      </w:rPr>
      <w:t>ise Yard, 20 Carlisle Lane</w:t>
    </w:r>
  </w:p>
  <w:p w14:paraId="4557121C" w14:textId="77777777" w:rsidR="002F6F17" w:rsidRDefault="003078F6">
    <w:pPr>
      <w:spacing w:after="0" w:line="276" w:lineRule="auto"/>
      <w:jc w:val="center"/>
      <w:rPr>
        <w:rFonts w:ascii="Arial" w:eastAsia="Arial" w:hAnsi="Arial" w:cs="Arial"/>
        <w:sz w:val="16"/>
        <w:szCs w:val="16"/>
      </w:rPr>
    </w:pPr>
    <w:r>
      <w:rPr>
        <w:rFonts w:ascii="Arial" w:eastAsia="Arial" w:hAnsi="Arial" w:cs="Arial"/>
        <w:sz w:val="16"/>
        <w:szCs w:val="16"/>
      </w:rPr>
      <w:t>London, SE1 7LG, United Kingdom</w:t>
    </w:r>
  </w:p>
  <w:p w14:paraId="385E878D" w14:textId="77777777" w:rsidR="002F6F17" w:rsidRDefault="003078F6">
    <w:pPr>
      <w:spacing w:after="0" w:line="276" w:lineRule="auto"/>
      <w:jc w:val="center"/>
      <w:rPr>
        <w:rFonts w:ascii="Arial" w:eastAsia="Arial" w:hAnsi="Arial" w:cs="Arial"/>
      </w:rPr>
    </w:pPr>
    <w:r>
      <w:rPr>
        <w:rFonts w:ascii="Arial" w:eastAsia="Arial" w:hAnsi="Arial" w:cs="Arial"/>
        <w:sz w:val="16"/>
        <w:szCs w:val="16"/>
      </w:rPr>
      <w:t xml:space="preserve">E: </w:t>
    </w:r>
    <w:hyperlink r:id="rId1">
      <w:r>
        <w:rPr>
          <w:rFonts w:ascii="Arial" w:eastAsia="Arial" w:hAnsi="Arial" w:cs="Arial"/>
          <w:color w:val="1155CC"/>
          <w:sz w:val="16"/>
          <w:szCs w:val="16"/>
          <w:u w:val="single"/>
        </w:rPr>
        <w:t>info@crin.org</w:t>
      </w:r>
    </w:hyperlink>
    <w:r>
      <w:rPr>
        <w:rFonts w:ascii="Arial" w:eastAsia="Arial" w:hAnsi="Arial" w:cs="Arial"/>
        <w:sz w:val="16"/>
        <w:szCs w:val="16"/>
      </w:rPr>
      <w:t xml:space="preserve">  / W:</w:t>
    </w:r>
    <w:hyperlink r:id="rId2">
      <w:r>
        <w:rPr>
          <w:rFonts w:ascii="Arial" w:eastAsia="Arial" w:hAnsi="Arial" w:cs="Arial"/>
          <w:sz w:val="16"/>
          <w:szCs w:val="16"/>
        </w:rPr>
        <w:t xml:space="preserve"> </w:t>
      </w:r>
    </w:hyperlink>
    <w:hyperlink r:id="rId3">
      <w:r>
        <w:rPr>
          <w:rFonts w:ascii="Arial" w:eastAsia="Arial" w:hAnsi="Arial" w:cs="Arial"/>
          <w:color w:val="1155CC"/>
          <w:sz w:val="16"/>
          <w:szCs w:val="16"/>
          <w:u w:val="single"/>
        </w:rPr>
        <w:t>www.crin.org</w:t>
      </w:r>
    </w:hyperlink>
  </w:p>
  <w:p w14:paraId="1D82FBB9" w14:textId="41154A6D" w:rsidR="002F6F17" w:rsidRDefault="003078F6">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4FFB755" w14:textId="77777777" w:rsidR="002F6F17" w:rsidRDefault="002F6F1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8FD0CA" w14:textId="77777777" w:rsidR="00706595" w:rsidRDefault="00706595">
      <w:pPr>
        <w:spacing w:after="0" w:line="240" w:lineRule="auto"/>
      </w:pPr>
      <w:r>
        <w:separator/>
      </w:r>
    </w:p>
  </w:footnote>
  <w:footnote w:type="continuationSeparator" w:id="0">
    <w:p w14:paraId="58A00632" w14:textId="77777777" w:rsidR="00706595" w:rsidRDefault="007065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292D4" w14:textId="77777777" w:rsidR="002F6F17" w:rsidRDefault="003078F6">
    <w:r>
      <w:rPr>
        <w:noProof/>
      </w:rPr>
      <w:drawing>
        <wp:anchor distT="114300" distB="114300" distL="114300" distR="114300" simplePos="0" relativeHeight="251658240" behindDoc="0" locked="0" layoutInCell="1" hidden="0" allowOverlap="1" wp14:anchorId="270898D7" wp14:editId="0FDC40BB">
          <wp:simplePos x="0" y="0"/>
          <wp:positionH relativeFrom="column">
            <wp:posOffset>1784513</wp:posOffset>
          </wp:positionH>
          <wp:positionV relativeFrom="paragraph">
            <wp:posOffset>-135254</wp:posOffset>
          </wp:positionV>
          <wp:extent cx="2157413" cy="408159"/>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57413" cy="408159"/>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4132C3"/>
    <w:multiLevelType w:val="multilevel"/>
    <w:tmpl w:val="218AEF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17"/>
    <w:rsid w:val="002F6F17"/>
    <w:rsid w:val="003078F6"/>
    <w:rsid w:val="003524F6"/>
    <w:rsid w:val="00706595"/>
    <w:rsid w:val="00C35460"/>
    <w:rsid w:val="00FB5735"/>
    <w:rsid w:val="00FE2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F7662"/>
  <w15:docId w15:val="{ABEA03FD-A2A0-448C-809E-633FDB2A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33BBF"/>
    <w:pPr>
      <w:ind w:left="720"/>
      <w:contextualSpacing/>
    </w:pPr>
  </w:style>
  <w:style w:type="paragraph" w:styleId="Header">
    <w:name w:val="header"/>
    <w:basedOn w:val="Normal"/>
    <w:link w:val="HeaderChar"/>
    <w:uiPriority w:val="99"/>
    <w:unhideWhenUsed/>
    <w:rsid w:val="00233B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BBF"/>
  </w:style>
  <w:style w:type="paragraph" w:styleId="Footer">
    <w:name w:val="footer"/>
    <w:basedOn w:val="Normal"/>
    <w:link w:val="FooterChar"/>
    <w:uiPriority w:val="99"/>
    <w:unhideWhenUsed/>
    <w:rsid w:val="00233B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BBF"/>
  </w:style>
  <w:style w:type="paragraph" w:styleId="EndnoteText">
    <w:name w:val="endnote text"/>
    <w:basedOn w:val="Normal"/>
    <w:link w:val="EndnoteTextChar"/>
    <w:uiPriority w:val="99"/>
    <w:semiHidden/>
    <w:unhideWhenUsed/>
    <w:rsid w:val="00A53BF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53BFE"/>
    <w:rPr>
      <w:sz w:val="20"/>
      <w:szCs w:val="20"/>
    </w:rPr>
  </w:style>
  <w:style w:type="character" w:styleId="EndnoteReference">
    <w:name w:val="endnote reference"/>
    <w:basedOn w:val="DefaultParagraphFont"/>
    <w:uiPriority w:val="99"/>
    <w:semiHidden/>
    <w:unhideWhenUsed/>
    <w:rsid w:val="00A53BFE"/>
    <w:rPr>
      <w:vertAlign w:val="superscript"/>
    </w:rPr>
  </w:style>
  <w:style w:type="character" w:styleId="Hyperlink">
    <w:name w:val="Hyperlink"/>
    <w:basedOn w:val="DefaultParagraphFont"/>
    <w:uiPriority w:val="99"/>
    <w:unhideWhenUsed/>
    <w:rsid w:val="00A53BFE"/>
    <w:rPr>
      <w:color w:val="0563C1" w:themeColor="hyperlink"/>
      <w:u w:val="single"/>
    </w:rPr>
  </w:style>
  <w:style w:type="character" w:customStyle="1" w:styleId="UnresolvedMention">
    <w:name w:val="Unresolved Mention"/>
    <w:basedOn w:val="DefaultParagraphFont"/>
    <w:uiPriority w:val="99"/>
    <w:semiHidden/>
    <w:unhideWhenUsed/>
    <w:rsid w:val="00A53BFE"/>
    <w:rPr>
      <w:color w:val="605E5C"/>
      <w:shd w:val="clear" w:color="auto" w:fill="E1DFDD"/>
    </w:rPr>
  </w:style>
  <w:style w:type="paragraph" w:styleId="FootnoteText">
    <w:name w:val="footnote text"/>
    <w:basedOn w:val="Normal"/>
    <w:link w:val="FootnoteTextChar"/>
    <w:uiPriority w:val="99"/>
    <w:semiHidden/>
    <w:unhideWhenUsed/>
    <w:rsid w:val="00FA64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64E0"/>
    <w:rPr>
      <w:sz w:val="20"/>
      <w:szCs w:val="20"/>
    </w:rPr>
  </w:style>
  <w:style w:type="character" w:styleId="FootnoteReference">
    <w:name w:val="footnote reference"/>
    <w:basedOn w:val="DefaultParagraphFont"/>
    <w:uiPriority w:val="99"/>
    <w:semiHidden/>
    <w:unhideWhenUsed/>
    <w:rsid w:val="00FA64E0"/>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charlotte@crin.org" TargetMode="Externa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3" Type="http://schemas.openxmlformats.org/officeDocument/2006/relationships/hyperlink" Target="https://tbinternet.ohchr.org/Treaties/CRC/Shared%20Documents/DEU/INT_CRC_NGO_DEU_44158_E.pdf" TargetMode="External"/><Relationship Id="rId2" Type="http://schemas.openxmlformats.org/officeDocument/2006/relationships/hyperlink" Target="https://unter18nie.de/wordpress/wp-content/uploads/2021/09/Antw_Verteidigungsmin_zu_SexGewalt_Suizide_Abbrecher_PsychProbleme_ua_bei_minderjaehrigen_BWSoldat.pdf" TargetMode="External"/><Relationship Id="rId1" Type="http://schemas.openxmlformats.org/officeDocument/2006/relationships/hyperlink" Target="https://www.statista.com/statistics/1279826/soldier-numbers-german-federal-armed-forces-type-of-service"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crin.org" TargetMode="External"/><Relationship Id="rId2" Type="http://schemas.openxmlformats.org/officeDocument/2006/relationships/hyperlink" Target="http://www.crin.org" TargetMode="External"/><Relationship Id="rId1" Type="http://schemas.openxmlformats.org/officeDocument/2006/relationships/hyperlink" Target="mailto:info@crin.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4bnes+GKit6HYdnmQUr+O/hu2Yg==">AMUW2mX/r9bo1PWSkW+KQhiBATNF2DZRd61tMdFOmNZjx7loCpOpVJ/Tns5emYKNS8ybR6/qlDIWamAqVUN7MUh5pASW9HarP5JDZPPG2Jmz2g27JUJkHMc=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30A467-3066-4C0F-8F81-D3E3277EA54A}">
  <ds:schemaRefs>
    <ds:schemaRef ds:uri="http://schemas.openxmlformats.org/officeDocument/2006/bibliography"/>
  </ds:schemaRefs>
</ds:datastoreItem>
</file>

<file path=customXml/itemProps3.xml><?xml version="1.0" encoding="utf-8"?>
<ds:datastoreItem xmlns:ds="http://schemas.openxmlformats.org/officeDocument/2006/customXml" ds:itemID="{F172D5D0-C411-4B37-B9A6-0AADFB58E876}"/>
</file>

<file path=customXml/itemProps4.xml><?xml version="1.0" encoding="utf-8"?>
<ds:datastoreItem xmlns:ds="http://schemas.openxmlformats.org/officeDocument/2006/customXml" ds:itemID="{267CC49E-2BA5-4D38-88B7-4448DCA31CF9}"/>
</file>

<file path=customXml/itemProps5.xml><?xml version="1.0" encoding="utf-8"?>
<ds:datastoreItem xmlns:ds="http://schemas.openxmlformats.org/officeDocument/2006/customXml" ds:itemID="{5129FD65-47A8-4D03-ACA2-3741AE28DD59}"/>
</file>

<file path=docProps/app.xml><?xml version="1.0" encoding="utf-8"?>
<Properties xmlns="http://schemas.openxmlformats.org/officeDocument/2006/extended-properties" xmlns:vt="http://schemas.openxmlformats.org/officeDocument/2006/docPropsVTypes">
  <Template>Normal.dotm</Template>
  <TotalTime>1</TotalTime>
  <Pages>2</Pages>
  <Words>491</Words>
  <Characters>2662</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BOIT James</cp:lastModifiedBy>
  <cp:revision>2</cp:revision>
  <dcterms:created xsi:type="dcterms:W3CDTF">2022-09-05T16:20:00Z</dcterms:created>
  <dcterms:modified xsi:type="dcterms:W3CDTF">2022-09-05T16:20:00Z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