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2850" w:rsidRDefault="00BB19B7">
      <w:r>
        <w:rPr>
          <w:noProof/>
          <w:lang w:val="en-GB" w:eastAsia="en-GB"/>
        </w:rPr>
        <w:drawing>
          <wp:anchor distT="0" distB="0" distL="114300" distR="114300" simplePos="0" relativeHeight="251658240" behindDoc="0" locked="0" layoutInCell="1" allowOverlap="1">
            <wp:simplePos x="0" y="0"/>
            <wp:positionH relativeFrom="column">
              <wp:posOffset>1874519</wp:posOffset>
            </wp:positionH>
            <wp:positionV relativeFrom="paragraph">
              <wp:posOffset>175263</wp:posOffset>
            </wp:positionV>
            <wp:extent cx="1971674" cy="1192624"/>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t="7784" b="7784"/>
                    <a:stretch>
                      <a:fillRect/>
                    </a:stretch>
                  </pic:blipFill>
                  <pic:spPr>
                    <a:xfrm>
                      <a:off x="0" y="0"/>
                      <a:ext cx="1971674" cy="1192624"/>
                    </a:xfrm>
                    <a:prstGeom prst="rect">
                      <a:avLst/>
                    </a:prstGeom>
                    <a:noFill/>
                    <a:ln>
                      <a:noFill/>
                      <a:prstDash/>
                    </a:ln>
                  </pic:spPr>
                </pic:pic>
              </a:graphicData>
            </a:graphic>
          </wp:anchor>
        </w:drawing>
      </w:r>
    </w:p>
    <w:p w:rsidR="00C92850" w:rsidRDefault="00C92850"/>
    <w:p w:rsidR="00C92850" w:rsidRDefault="00C92850"/>
    <w:p w:rsidR="00C92850" w:rsidRDefault="00C92850"/>
    <w:p w:rsidR="00C92850" w:rsidRDefault="00C92850"/>
    <w:p w:rsidR="00C92850" w:rsidRDefault="00C92850"/>
    <w:p w:rsidR="00C92850" w:rsidRDefault="00C92850"/>
    <w:p w:rsidR="00C92850" w:rsidRDefault="00C92850"/>
    <w:p w:rsidR="00C92850" w:rsidRDefault="00BB19B7">
      <w:pPr>
        <w:spacing w:line="240" w:lineRule="auto"/>
        <w:jc w:val="center"/>
        <w:rPr>
          <w:rFonts w:ascii="Verdana" w:eastAsia="Verdana" w:hAnsi="Verdana" w:cs="Verdana"/>
          <w:sz w:val="32"/>
          <w:szCs w:val="32"/>
        </w:rPr>
      </w:pPr>
      <w:bookmarkStart w:id="0" w:name="_GoBack"/>
      <w:r>
        <w:rPr>
          <w:rFonts w:ascii="Verdana" w:eastAsia="Verdana" w:hAnsi="Verdana" w:cs="Verdana"/>
          <w:sz w:val="32"/>
          <w:szCs w:val="32"/>
        </w:rPr>
        <w:t xml:space="preserve">Collectif pour la Liberté d’Expression des Autistes - CLE Autistes </w:t>
      </w:r>
      <w:bookmarkEnd w:id="0"/>
    </w:p>
    <w:p w:rsidR="00C92850" w:rsidRDefault="00C92850">
      <w:pPr>
        <w:spacing w:line="240" w:lineRule="auto"/>
        <w:jc w:val="center"/>
        <w:rPr>
          <w:rFonts w:ascii="Verdana" w:eastAsia="Verdana" w:hAnsi="Verdana" w:cs="Verdana"/>
        </w:rPr>
      </w:pPr>
    </w:p>
    <w:p w:rsidR="00C92850" w:rsidRDefault="00BB19B7">
      <w:pPr>
        <w:spacing w:line="240" w:lineRule="auto"/>
        <w:jc w:val="center"/>
        <w:rPr>
          <w:rFonts w:ascii="Verdana" w:eastAsia="Verdana" w:hAnsi="Verdana" w:cs="Verdana"/>
        </w:rPr>
      </w:pPr>
      <w:r>
        <w:rPr>
          <w:rFonts w:ascii="Verdana" w:eastAsia="Verdana" w:hAnsi="Verdana" w:cs="Verdana"/>
        </w:rPr>
        <w:t>ASSOCIATION loi 1901 de personnes autistes adultes enregistrée sous le N° W751246140 (FR)</w:t>
      </w:r>
    </w:p>
    <w:p w:rsidR="00C92850" w:rsidRDefault="00BB19B7">
      <w:pPr>
        <w:spacing w:line="240" w:lineRule="auto"/>
        <w:jc w:val="center"/>
        <w:rPr>
          <w:rFonts w:ascii="Verdana" w:eastAsia="Verdana" w:hAnsi="Verdana" w:cs="Verdana"/>
          <w:lang w:val="en-GB"/>
        </w:rPr>
      </w:pPr>
      <w:r>
        <w:rPr>
          <w:rFonts w:ascii="Verdana" w:eastAsia="Verdana" w:hAnsi="Verdana" w:cs="Verdana"/>
          <w:lang w:val="en-GB"/>
        </w:rPr>
        <w:t xml:space="preserve">Siret : FR </w:t>
      </w:r>
      <w:r>
        <w:rPr>
          <w:rFonts w:ascii="Verdana" w:eastAsia="Verdana" w:hAnsi="Verdana" w:cs="Verdana"/>
          <w:lang w:val="en-GB"/>
        </w:rPr>
        <w:t xml:space="preserve">85349933300021 </w:t>
      </w:r>
    </w:p>
    <w:p w:rsidR="00C92850" w:rsidRDefault="00BB19B7">
      <w:pPr>
        <w:spacing w:line="240" w:lineRule="auto"/>
        <w:jc w:val="center"/>
        <w:rPr>
          <w:rFonts w:ascii="Verdana" w:eastAsia="Verdana" w:hAnsi="Verdana" w:cs="Verdana"/>
          <w:lang w:val="en-GB"/>
        </w:rPr>
      </w:pPr>
      <w:r>
        <w:rPr>
          <w:rFonts w:ascii="Verdana" w:eastAsia="Verdana" w:hAnsi="Verdana" w:cs="Verdana"/>
          <w:lang w:val="en-GB"/>
        </w:rPr>
        <w:t>Email: contact@cle-autistes.fr</w:t>
      </w:r>
    </w:p>
    <w:p w:rsidR="00C92850" w:rsidRDefault="00BB19B7">
      <w:pPr>
        <w:spacing w:line="240" w:lineRule="auto"/>
        <w:jc w:val="center"/>
        <w:rPr>
          <w:rFonts w:ascii="Verdana" w:eastAsia="Verdana" w:hAnsi="Verdana" w:cs="Verdana"/>
        </w:rPr>
      </w:pPr>
      <w:r>
        <w:rPr>
          <w:rFonts w:ascii="Verdana" w:eastAsia="Verdana" w:hAnsi="Verdana" w:cs="Verdana"/>
        </w:rPr>
        <w:t>Adresse du siège : MVAC20, boîte n°146, 18 rue Ramus. 75020 Paris.</w:t>
      </w:r>
    </w:p>
    <w:p w:rsidR="00C92850" w:rsidRDefault="00C92850">
      <w:pPr>
        <w:spacing w:line="240" w:lineRule="auto"/>
        <w:jc w:val="center"/>
        <w:rPr>
          <w:rFonts w:ascii="Verdana" w:eastAsia="Verdana" w:hAnsi="Verdana" w:cs="Verdana"/>
        </w:rPr>
      </w:pPr>
    </w:p>
    <w:p w:rsidR="00C92850" w:rsidRDefault="00C92850">
      <w:pPr>
        <w:spacing w:line="240" w:lineRule="auto"/>
        <w:jc w:val="center"/>
        <w:rPr>
          <w:rFonts w:ascii="Verdana" w:eastAsia="Verdana" w:hAnsi="Verdana" w:cs="Verdana"/>
        </w:rPr>
      </w:pPr>
    </w:p>
    <w:p w:rsidR="00C92850" w:rsidRDefault="00C92850">
      <w:pPr>
        <w:rPr>
          <w:rFonts w:ascii="Verdana" w:eastAsia="Verdana" w:hAnsi="Verdana" w:cs="Verdana"/>
        </w:rPr>
      </w:pPr>
    </w:p>
    <w:p w:rsidR="00C92850" w:rsidRDefault="00BB19B7">
      <w:pPr>
        <w:rPr>
          <w:rFonts w:ascii="Verdana" w:eastAsia="Verdana" w:hAnsi="Verdana" w:cs="Verdana"/>
          <w:b/>
          <w:sz w:val="26"/>
          <w:szCs w:val="26"/>
        </w:rPr>
      </w:pPr>
      <w:r>
        <w:rPr>
          <w:rFonts w:ascii="Verdana" w:eastAsia="Verdana" w:hAnsi="Verdana" w:cs="Verdana"/>
          <w:b/>
          <w:sz w:val="26"/>
          <w:szCs w:val="26"/>
        </w:rPr>
        <w:t>Qui sommes-nous ?</w:t>
      </w:r>
    </w:p>
    <w:p w:rsidR="00C92850" w:rsidRDefault="00C92850">
      <w:pPr>
        <w:rPr>
          <w:rFonts w:ascii="Verdana" w:eastAsia="Verdana" w:hAnsi="Verdana" w:cs="Verdana"/>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 xml:space="preserve"> Une association de défense de personnes autistes et  handicapés  ayant pour objet :  organiser le développement d'un </w:t>
      </w:r>
      <w:r>
        <w:rPr>
          <w:rFonts w:ascii="Verdana" w:eastAsia="Verdana" w:hAnsi="Verdana" w:cs="Verdana"/>
          <w:sz w:val="24"/>
          <w:szCs w:val="24"/>
        </w:rPr>
        <w:t>réseau d'entraide et de solidarité entre personnes autistes de France ; défendre la liberté d'expression, l'acceptation et la représentation des personnes autistes ; défendre les droits civils, les libertés fondamentales et l'intégrité des personnes autist</w:t>
      </w:r>
      <w:r>
        <w:rPr>
          <w:rFonts w:ascii="Verdana" w:eastAsia="Verdana" w:hAnsi="Verdana" w:cs="Verdana"/>
          <w:sz w:val="24"/>
          <w:szCs w:val="24"/>
        </w:rPr>
        <w:t xml:space="preserve">es ; alerter et lutter contre les prises en charge visant à rendre neurotypique et sur les dérives visant à abuser des personnes autistes et de leurs familles ; défendre la culture autistique et toutes les capacités intellectuelles et cognitives ; aider à </w:t>
      </w:r>
      <w:r>
        <w:rPr>
          <w:rFonts w:ascii="Verdana" w:eastAsia="Verdana" w:hAnsi="Verdana" w:cs="Verdana"/>
          <w:sz w:val="24"/>
          <w:szCs w:val="24"/>
        </w:rPr>
        <w:t>la création d'associations indépendantes de personnes autistes.</w:t>
      </w: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Nous avons notamment organisé plusieurs actions juridiques lors de l’épidémie du covid19 pour l’application du droit commun dans les établissements pour personnes handicapées et alerté sur de</w:t>
      </w:r>
      <w:r>
        <w:rPr>
          <w:rFonts w:ascii="Verdana" w:eastAsia="Verdana" w:hAnsi="Verdana" w:cs="Verdana"/>
          <w:sz w:val="24"/>
          <w:szCs w:val="24"/>
        </w:rPr>
        <w:t xml:space="preserve">s maltraitances dans certains établissements. Nos actions se centrent également sur la pair-aidance et l’entraide entre pairs autistes avec tout handicap pour la vie autonome. </w:t>
      </w:r>
    </w:p>
    <w:p w:rsidR="00C92850" w:rsidRDefault="00C92850">
      <w:pPr>
        <w:spacing w:line="360" w:lineRule="auto"/>
        <w:rPr>
          <w:rFonts w:ascii="Verdana" w:eastAsia="Verdana" w:hAnsi="Verdana" w:cs="Verdana"/>
          <w:sz w:val="24"/>
          <w:szCs w:val="24"/>
        </w:rPr>
      </w:pPr>
    </w:p>
    <w:p w:rsidR="00C92850" w:rsidRDefault="00BB19B7">
      <w:pPr>
        <w:spacing w:line="360" w:lineRule="auto"/>
      </w:pPr>
      <w:r>
        <w:rPr>
          <w:rStyle w:val="Policepardfaut"/>
          <w:rFonts w:ascii="Verdana" w:eastAsia="Verdana" w:hAnsi="Verdana" w:cs="Verdana"/>
          <w:b/>
          <w:sz w:val="24"/>
          <w:szCs w:val="24"/>
        </w:rPr>
        <w:lastRenderedPageBreak/>
        <w:t>Rédacteur et rédactrice du rapport :</w:t>
      </w:r>
      <w:r>
        <w:rPr>
          <w:rStyle w:val="Policepardfaut"/>
          <w:rFonts w:ascii="Verdana" w:eastAsia="Verdana" w:hAnsi="Verdana" w:cs="Verdana"/>
          <w:sz w:val="24"/>
          <w:szCs w:val="24"/>
        </w:rPr>
        <w:t xml:space="preserve"> Thibault Corneloup, administrateur, charg</w:t>
      </w:r>
      <w:r>
        <w:rPr>
          <w:rStyle w:val="Policepardfaut"/>
          <w:rFonts w:ascii="Verdana" w:eastAsia="Verdana" w:hAnsi="Verdana" w:cs="Verdana"/>
          <w:sz w:val="24"/>
          <w:szCs w:val="24"/>
        </w:rPr>
        <w:t xml:space="preserve">ée de la communication. Catherine Marécal, administratrice, chargée du plaidoyer. </w:t>
      </w:r>
    </w:p>
    <w:p w:rsidR="00C92850" w:rsidRDefault="00BB19B7">
      <w:pPr>
        <w:spacing w:line="360" w:lineRule="auto"/>
        <w:rPr>
          <w:rFonts w:ascii="Verdana" w:eastAsia="Verdana" w:hAnsi="Verdana" w:cs="Verdana"/>
          <w:b/>
          <w:bCs/>
          <w:sz w:val="24"/>
          <w:szCs w:val="24"/>
        </w:rPr>
      </w:pPr>
      <w:r>
        <w:rPr>
          <w:rFonts w:ascii="Verdana" w:eastAsia="Verdana" w:hAnsi="Verdana" w:cs="Verdana"/>
          <w:b/>
          <w:bCs/>
          <w:sz w:val="24"/>
          <w:szCs w:val="24"/>
        </w:rPr>
        <w:t>Mots : 6332.</w:t>
      </w:r>
    </w:p>
    <w:p w:rsidR="00C92850" w:rsidRDefault="00BB19B7">
      <w:pPr>
        <w:rPr>
          <w:rFonts w:ascii="Verdana" w:eastAsia="Verdana" w:hAnsi="Verdana" w:cs="Verdana"/>
        </w:rPr>
      </w:pPr>
      <w:r>
        <w:rPr>
          <w:rFonts w:ascii="Verdana" w:eastAsia="Verdana" w:hAnsi="Verdana" w:cs="Verdana"/>
        </w:rPr>
        <w:t xml:space="preserve"> </w:t>
      </w:r>
    </w:p>
    <w:p w:rsidR="00C92850" w:rsidRDefault="00BB19B7">
      <w:pPr>
        <w:jc w:val="center"/>
        <w:rPr>
          <w:rFonts w:ascii="Verdana" w:eastAsia="Verdana" w:hAnsi="Verdana" w:cs="Verdana"/>
          <w:sz w:val="28"/>
          <w:szCs w:val="28"/>
        </w:rPr>
      </w:pPr>
      <w:r>
        <w:rPr>
          <w:rFonts w:ascii="Verdana" w:eastAsia="Verdana" w:hAnsi="Verdana" w:cs="Verdana"/>
          <w:sz w:val="28"/>
          <w:szCs w:val="28"/>
        </w:rPr>
        <w:t>EVALUATION DE LA FRANCE SUR L’APPLICATION DE LA CONVENTION INTERNATIONALE RELATIVE AUX DROITS</w:t>
      </w:r>
    </w:p>
    <w:p w:rsidR="00C92850" w:rsidRDefault="00BB19B7">
      <w:pPr>
        <w:jc w:val="center"/>
        <w:rPr>
          <w:rFonts w:ascii="Verdana" w:eastAsia="Verdana" w:hAnsi="Verdana" w:cs="Verdana"/>
          <w:sz w:val="28"/>
          <w:szCs w:val="28"/>
        </w:rPr>
      </w:pPr>
      <w:r>
        <w:rPr>
          <w:rFonts w:ascii="Verdana" w:eastAsia="Verdana" w:hAnsi="Verdana" w:cs="Verdana"/>
          <w:sz w:val="28"/>
          <w:szCs w:val="28"/>
        </w:rPr>
        <w:t>DES PERSONNES HANDICAPÉES - Août 2021</w:t>
      </w:r>
    </w:p>
    <w:p w:rsidR="00C92850" w:rsidRDefault="00C92850">
      <w:pPr>
        <w:rPr>
          <w:rFonts w:ascii="Verdana" w:eastAsia="Verdana" w:hAnsi="Verdana" w:cs="Verdana"/>
        </w:rPr>
      </w:pPr>
    </w:p>
    <w:p w:rsidR="00C92850" w:rsidRDefault="00BB19B7">
      <w:pPr>
        <w:rPr>
          <w:rFonts w:ascii="Verdana" w:eastAsia="Verdana" w:hAnsi="Verdana" w:cs="Verdana"/>
          <w:i/>
          <w:sz w:val="28"/>
          <w:szCs w:val="28"/>
        </w:rPr>
      </w:pPr>
      <w:r>
        <w:rPr>
          <w:rFonts w:ascii="Verdana" w:eastAsia="Verdana" w:hAnsi="Verdana" w:cs="Verdana"/>
          <w:i/>
          <w:sz w:val="28"/>
          <w:szCs w:val="28"/>
        </w:rPr>
        <w:t xml:space="preserve">Soumission d’un rapport </w:t>
      </w:r>
      <w:r>
        <w:rPr>
          <w:rFonts w:ascii="Verdana" w:eastAsia="Verdana" w:hAnsi="Verdana" w:cs="Verdana"/>
          <w:i/>
          <w:sz w:val="28"/>
          <w:szCs w:val="28"/>
        </w:rPr>
        <w:t>alternatif sur l’article 4, 5, 9 12, 13, 14, 15 et 19 de la Convention.</w:t>
      </w:r>
    </w:p>
    <w:p w:rsidR="00C92850" w:rsidRDefault="00C92850">
      <w:pPr>
        <w:spacing w:line="360" w:lineRule="auto"/>
        <w:rPr>
          <w:rFonts w:ascii="Verdana" w:eastAsia="Verdana" w:hAnsi="Verdana" w:cs="Verdana"/>
          <w:i/>
          <w:sz w:val="28"/>
          <w:szCs w:val="28"/>
        </w:rPr>
      </w:pPr>
    </w:p>
    <w:p w:rsidR="00C92850" w:rsidRDefault="00BB19B7">
      <w:pPr>
        <w:spacing w:line="360" w:lineRule="auto"/>
        <w:rPr>
          <w:rFonts w:ascii="Verdana" w:eastAsia="Verdana" w:hAnsi="Verdana" w:cs="Verdana"/>
          <w:b/>
          <w:sz w:val="26"/>
          <w:szCs w:val="26"/>
        </w:rPr>
      </w:pPr>
      <w:r>
        <w:rPr>
          <w:rFonts w:ascii="Verdana" w:eastAsia="Verdana" w:hAnsi="Verdana" w:cs="Verdana"/>
          <w:b/>
          <w:sz w:val="26"/>
          <w:szCs w:val="26"/>
        </w:rPr>
        <w:t xml:space="preserve">Termes utilisés : </w:t>
      </w:r>
    </w:p>
    <w:p w:rsidR="00C92850" w:rsidRDefault="00C92850">
      <w:pPr>
        <w:spacing w:line="360" w:lineRule="auto"/>
        <w:rPr>
          <w:rFonts w:ascii="Verdana" w:eastAsia="Verdana" w:hAnsi="Verdana" w:cs="Verdana"/>
        </w:rPr>
      </w:pPr>
    </w:p>
    <w:p w:rsidR="00C92850" w:rsidRDefault="00BB19B7">
      <w:pPr>
        <w:spacing w:line="360" w:lineRule="auto"/>
      </w:pPr>
      <w:r>
        <w:rPr>
          <w:rStyle w:val="Policepardfaut"/>
          <w:rFonts w:ascii="Verdana" w:eastAsia="Verdana" w:hAnsi="Verdana" w:cs="Verdana"/>
          <w:sz w:val="24"/>
          <w:szCs w:val="24"/>
        </w:rPr>
        <w:t>La France dispose de diverses structures ségréguées selon les critères de la convention de l’ONU relative aux droits du handicap (CRDPH).  Le rapport utilisera les</w:t>
      </w:r>
      <w:r>
        <w:rPr>
          <w:rStyle w:val="Policepardfaut"/>
          <w:rFonts w:ascii="Verdana" w:eastAsia="Verdana" w:hAnsi="Verdana" w:cs="Verdana"/>
          <w:sz w:val="24"/>
          <w:szCs w:val="24"/>
        </w:rPr>
        <w:t xml:space="preserve"> termes généraux de « établissement spécialisé » ou « établissement médico-social » qui sont les termes légaux et courants en France pour désigner des institutions pour personnes handicapées en contexte ségrégué.  </w:t>
      </w: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CLE Autistes a choisi de baser son rappo</w:t>
      </w:r>
      <w:r>
        <w:rPr>
          <w:rFonts w:ascii="Verdana" w:eastAsia="Verdana" w:hAnsi="Verdana" w:cs="Verdana"/>
          <w:sz w:val="24"/>
          <w:szCs w:val="24"/>
        </w:rPr>
        <w:t>rt alternatif sur une contribution courte relative à cinq articles clés pour nos objectifs et missions. Nous souhaitons expliquer généralement certains problèmes structurels en préambule sur les articles 4, 5 et 9, puis nous exposerons nos avis dans la rép</w:t>
      </w:r>
      <w:r>
        <w:rPr>
          <w:rFonts w:ascii="Verdana" w:eastAsia="Verdana" w:hAnsi="Verdana" w:cs="Verdana"/>
          <w:sz w:val="24"/>
          <w:szCs w:val="24"/>
        </w:rPr>
        <w:t xml:space="preserve">onse de l’Etat Français sur les articles 12, 13, 14, 15 et 19. </w:t>
      </w:r>
    </w:p>
    <w:p w:rsidR="00C92850" w:rsidRDefault="00C92850">
      <w:pPr>
        <w:spacing w:line="360" w:lineRule="auto"/>
        <w:rPr>
          <w:rFonts w:ascii="Verdana" w:eastAsia="Verdana" w:hAnsi="Verdana" w:cs="Verdana"/>
          <w:sz w:val="24"/>
          <w:szCs w:val="24"/>
        </w:rPr>
      </w:pP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Le rapport repose sur les échanges internes et les différents avis de nos membres qui sont autistes, mais ont une diversité de handicaps. Notamment des handicaps psychosociaux, des handicaps</w:t>
      </w:r>
      <w:r>
        <w:rPr>
          <w:rFonts w:ascii="Verdana" w:eastAsia="Verdana" w:hAnsi="Verdana" w:cs="Verdana"/>
          <w:sz w:val="24"/>
          <w:szCs w:val="24"/>
        </w:rPr>
        <w:t xml:space="preserve"> intellectuels ou de langage. Nous faisons également un suivi des avis des différentes personnes autistes qui ne sont pas membres de notre organisation. </w:t>
      </w: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 xml:space="preserve">Pour des raisons matérielles, nous n’avons pas encore les moyens de procéder à une large consultation </w:t>
      </w:r>
      <w:r>
        <w:rPr>
          <w:rFonts w:ascii="Verdana" w:eastAsia="Verdana" w:hAnsi="Verdana" w:cs="Verdana"/>
          <w:sz w:val="24"/>
          <w:szCs w:val="24"/>
        </w:rPr>
        <w:t>des personnes autistes car certaines barrières sont propres aux articles de la convention de l’ONU, que la France n’a pas totalement mise en application. Pour cette raison nous n’avons pas souhaité rédiger un rapport alternatif complet car nous n’avons pas</w:t>
      </w:r>
      <w:r>
        <w:rPr>
          <w:rFonts w:ascii="Verdana" w:eastAsia="Verdana" w:hAnsi="Verdana" w:cs="Verdana"/>
          <w:sz w:val="24"/>
          <w:szCs w:val="24"/>
        </w:rPr>
        <w:t xml:space="preserve"> l’expertise ni les avis pour répondre à l’ensemble des articles et cela ne serait pas légitime. </w:t>
      </w: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Les articles choisis correspondent à nos principales actions ainsi qu’aux priorités de nos membres qui rencontrent des difficultés dans ces domaines.</w:t>
      </w: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 xml:space="preserve">Le </w:t>
      </w:r>
      <w:r>
        <w:rPr>
          <w:rFonts w:ascii="Verdana" w:eastAsia="Verdana" w:hAnsi="Verdana" w:cs="Verdana"/>
          <w:sz w:val="24"/>
          <w:szCs w:val="24"/>
        </w:rPr>
        <w:t>rapport a été rédigé par les administrateurs chargés du plaidoyer et de la communication. Il a été approuvé par le conseil d’administration de l’association, lui-même élu démocratiquement par l’ensemble des membres lors de la dernière assemblée générale du</w:t>
      </w:r>
      <w:r>
        <w:rPr>
          <w:rFonts w:ascii="Verdana" w:eastAsia="Verdana" w:hAnsi="Verdana" w:cs="Verdana"/>
          <w:sz w:val="24"/>
          <w:szCs w:val="24"/>
        </w:rPr>
        <w:t xml:space="preserve"> 27 février 2021.</w:t>
      </w: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 xml:space="preserve">Les [] représentent les sources et références comme preuve de notre argumentation. Nous les citons dans le rapport pour expliciter le propos et le traduire. </w:t>
      </w: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 xml:space="preserve">Nous remercions les associations de personnes handicapées Alliance Autiste et </w:t>
      </w:r>
      <w:r>
        <w:rPr>
          <w:rFonts w:ascii="Verdana" w:eastAsia="Verdana" w:hAnsi="Verdana" w:cs="Verdana"/>
          <w:sz w:val="24"/>
          <w:szCs w:val="24"/>
        </w:rPr>
        <w:t xml:space="preserve">Handi-Social pour ses commentaires et observations lors de nos échanges communs sur ce rapport alternatif. Nous remercions aussi chaleureusement European Disability Forum et International Disability Alliance pour leur aide précieuse, la relecture et leurs </w:t>
      </w:r>
      <w:r>
        <w:rPr>
          <w:rFonts w:ascii="Verdana" w:eastAsia="Verdana" w:hAnsi="Verdana" w:cs="Verdana"/>
          <w:sz w:val="24"/>
          <w:szCs w:val="24"/>
        </w:rPr>
        <w:t>commentaires sur ce rapport.</w:t>
      </w: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b/>
          <w:sz w:val="28"/>
          <w:szCs w:val="28"/>
        </w:rPr>
      </w:pPr>
      <w:r>
        <w:rPr>
          <w:rFonts w:ascii="Verdana" w:eastAsia="Verdana" w:hAnsi="Verdana" w:cs="Verdana"/>
          <w:b/>
          <w:sz w:val="28"/>
          <w:szCs w:val="28"/>
        </w:rPr>
        <w:t>Préambule sur les articles 4, 5 et 9 de la CDPH :</w:t>
      </w:r>
    </w:p>
    <w:p w:rsidR="00C92850" w:rsidRDefault="00BB19B7">
      <w:pPr>
        <w:spacing w:before="240" w:after="240" w:line="360" w:lineRule="auto"/>
        <w:rPr>
          <w:rFonts w:ascii="Verdana" w:eastAsia="Verdana" w:hAnsi="Verdana" w:cs="Verdana"/>
          <w:sz w:val="24"/>
          <w:szCs w:val="24"/>
        </w:rPr>
      </w:pPr>
      <w:r>
        <w:rPr>
          <w:rFonts w:ascii="Verdana" w:eastAsia="Verdana" w:hAnsi="Verdana" w:cs="Verdana"/>
          <w:sz w:val="24"/>
          <w:szCs w:val="24"/>
        </w:rPr>
        <w:t>Nous souhaitons revenir sur deux principes de la convention : la représentation des associations représentatives de personnes handicapées et la notion d’aménagement raisonnable</w:t>
      </w:r>
      <w:r>
        <w:rPr>
          <w:rFonts w:ascii="Verdana" w:eastAsia="Verdana" w:hAnsi="Verdana" w:cs="Verdana"/>
          <w:sz w:val="24"/>
          <w:szCs w:val="24"/>
        </w:rPr>
        <w:t xml:space="preserve">. </w:t>
      </w:r>
    </w:p>
    <w:p w:rsidR="00C92850" w:rsidRDefault="00BB19B7">
      <w:pPr>
        <w:spacing w:before="240" w:after="240" w:line="360" w:lineRule="auto"/>
        <w:rPr>
          <w:rFonts w:ascii="Verdana" w:eastAsia="Verdana" w:hAnsi="Verdana" w:cs="Verdana"/>
          <w:sz w:val="24"/>
          <w:szCs w:val="24"/>
        </w:rPr>
      </w:pPr>
      <w:r>
        <w:rPr>
          <w:rFonts w:ascii="Verdana" w:eastAsia="Verdana" w:hAnsi="Verdana" w:cs="Verdana"/>
          <w:sz w:val="24"/>
          <w:szCs w:val="24"/>
        </w:rPr>
        <w:t xml:space="preserve">Les dispositifs législatifs de la France permettant d’associer les personnes handicapées aux politiques qui les concernent ne sont pas conformes au point 4.3 de la convention de l’ONU puisque le cadre de la loi principale sur le handicap : la loi du 11 </w:t>
      </w:r>
      <w:r>
        <w:rPr>
          <w:rFonts w:ascii="Verdana" w:eastAsia="Verdana" w:hAnsi="Verdana" w:cs="Verdana"/>
          <w:sz w:val="24"/>
          <w:szCs w:val="24"/>
        </w:rPr>
        <w:t>février 2005 spécifie dans son article premier : « Art. L. 146-1 A. - Dans toutes les instances nationales ou territoriales qui émettent un avis ou adoptent des décisions concernant la politique en faveur des personnes handicapées, les représentants des pe</w:t>
      </w:r>
      <w:r>
        <w:rPr>
          <w:rFonts w:ascii="Verdana" w:eastAsia="Verdana" w:hAnsi="Verdana" w:cs="Verdana"/>
          <w:sz w:val="24"/>
          <w:szCs w:val="24"/>
        </w:rPr>
        <w:t>rsonnes handicapées sont nommés sur proposition de leurs associations représentatives en veillant à la présence simultanée d'associations participant à la gestion des établissements et services sociaux et médico-sociaux mentionnés aux 2°, 3°, 5° et 7° du I</w:t>
      </w:r>
      <w:r>
        <w:rPr>
          <w:rFonts w:ascii="Verdana" w:eastAsia="Verdana" w:hAnsi="Verdana" w:cs="Verdana"/>
          <w:sz w:val="24"/>
          <w:szCs w:val="24"/>
        </w:rPr>
        <w:t xml:space="preserve"> de l'article L. 312-1 et d'associations n'y participant pas. »</w:t>
      </w:r>
    </w:p>
    <w:p w:rsidR="00C92850" w:rsidRDefault="00BB19B7">
      <w:pPr>
        <w:spacing w:before="240" w:after="240" w:line="360" w:lineRule="auto"/>
        <w:rPr>
          <w:rFonts w:ascii="Verdana" w:eastAsia="Verdana" w:hAnsi="Verdana" w:cs="Verdana"/>
          <w:sz w:val="24"/>
          <w:szCs w:val="24"/>
        </w:rPr>
      </w:pPr>
      <w:r>
        <w:rPr>
          <w:rFonts w:ascii="Verdana" w:eastAsia="Verdana" w:hAnsi="Verdana" w:cs="Verdana"/>
          <w:sz w:val="24"/>
          <w:szCs w:val="24"/>
        </w:rPr>
        <w:t>Les associations gérant des institutions ségréguées ou des services non adaptés aux besoins des personnes handicapées sont donc considérées comme des interlocuteurs légitimes auprès des instan</w:t>
      </w:r>
      <w:r>
        <w:rPr>
          <w:rFonts w:ascii="Verdana" w:eastAsia="Verdana" w:hAnsi="Verdana" w:cs="Verdana"/>
          <w:sz w:val="24"/>
          <w:szCs w:val="24"/>
        </w:rPr>
        <w:t>ces de décisions de l’échelon local à national et dans les organismes d’expertise. Elles sont souvent représentatives tout en gérant des services, cette autorisation permet donc de les faire entendre prioritairement sur les avis des organisations de person</w:t>
      </w:r>
      <w:r>
        <w:rPr>
          <w:rFonts w:ascii="Verdana" w:eastAsia="Verdana" w:hAnsi="Verdana" w:cs="Verdana"/>
          <w:sz w:val="24"/>
          <w:szCs w:val="24"/>
        </w:rPr>
        <w:t>nes handicapées non-gestionnaires de services. Nous attirons l’attention sur le fait que ces mêmes associations ont soumis des rapports à votre comité et que les deux fonctions se mélangent et sont des conflits d’intérêts. De même dans de nombreuses instan</w:t>
      </w:r>
      <w:r>
        <w:rPr>
          <w:rFonts w:ascii="Verdana" w:eastAsia="Verdana" w:hAnsi="Verdana" w:cs="Verdana"/>
          <w:sz w:val="24"/>
          <w:szCs w:val="24"/>
        </w:rPr>
        <w:t>ces de décisions, la loi ne fait pas la différence entre usagers, représentants d’associations d’usagers, associations de personnes handicapés ou associations de familles et de proches non-handicapés. La loi ne définit ni la part de chaque type d’associati</w:t>
      </w:r>
      <w:r>
        <w:rPr>
          <w:rFonts w:ascii="Verdana" w:eastAsia="Verdana" w:hAnsi="Verdana" w:cs="Verdana"/>
          <w:sz w:val="24"/>
          <w:szCs w:val="24"/>
        </w:rPr>
        <w:t>on pouvant siéger ni n’instaure un processus démocratique d’élections des associations représentatives dans ces instances représentatives. Il s’agit d’un blocage majeur pour faire appliquer les principes de la convention sur la participation aux politiques</w:t>
      </w:r>
      <w:r>
        <w:rPr>
          <w:rFonts w:ascii="Verdana" w:eastAsia="Verdana" w:hAnsi="Verdana" w:cs="Verdana"/>
          <w:sz w:val="24"/>
          <w:szCs w:val="24"/>
        </w:rPr>
        <w:t xml:space="preserve"> et programmes car les personnes directement concernées par le handicap n’ont pas accès aux financements et aux mêmes moyens que les organismes gestionnaires de services spécialisés. </w:t>
      </w:r>
    </w:p>
    <w:p w:rsidR="00C92850" w:rsidRDefault="00BB19B7">
      <w:pPr>
        <w:spacing w:before="240" w:after="240" w:line="360" w:lineRule="auto"/>
        <w:rPr>
          <w:rFonts w:ascii="Verdana" w:eastAsia="Verdana" w:hAnsi="Verdana" w:cs="Verdana"/>
          <w:sz w:val="24"/>
          <w:szCs w:val="24"/>
        </w:rPr>
      </w:pPr>
      <w:r>
        <w:rPr>
          <w:rFonts w:ascii="Verdana" w:eastAsia="Verdana" w:hAnsi="Verdana" w:cs="Verdana"/>
          <w:sz w:val="24"/>
          <w:szCs w:val="24"/>
        </w:rPr>
        <w:t>C’est par exemple le cas des organismes experts éditant les recommandati</w:t>
      </w:r>
      <w:r>
        <w:rPr>
          <w:rFonts w:ascii="Verdana" w:eastAsia="Verdana" w:hAnsi="Verdana" w:cs="Verdana"/>
          <w:sz w:val="24"/>
          <w:szCs w:val="24"/>
        </w:rPr>
        <w:t xml:space="preserve">ons et les bonnes pratiques à destination des professionnels du handicap pour la réadaptation ou pour les soins en établissement ségrégué. Ces recommandations déterminent l’accompagnement des personnes handicapées. En France il s’agit de la Haute Autorité </w:t>
      </w:r>
      <w:r>
        <w:rPr>
          <w:rFonts w:ascii="Verdana" w:eastAsia="Verdana" w:hAnsi="Verdana" w:cs="Verdana"/>
          <w:sz w:val="24"/>
          <w:szCs w:val="24"/>
        </w:rPr>
        <w:t xml:space="preserve">de Santé.  A ce jour, le protocole permettant la sélection des personnes au comité pilote de la Haute Autorité de Santé n’est pas rendu public. Les personnes autistes restent largement minoritaires parmi les différents groupes du comité, et seulement deux </w:t>
      </w:r>
      <w:r>
        <w:rPr>
          <w:rFonts w:ascii="Verdana" w:eastAsia="Verdana" w:hAnsi="Verdana" w:cs="Verdana"/>
          <w:sz w:val="24"/>
          <w:szCs w:val="24"/>
        </w:rPr>
        <w:t>font partie du groupe de pilotage, sans qu’ils soient représentatifs non plus des personnes autistes. La méthode d’écriture des recommandations de la Haute Autorité de Santé est dite “méthode de recommandation par consensus formalisé”. Elle permet l'interv</w:t>
      </w:r>
      <w:r>
        <w:rPr>
          <w:rFonts w:ascii="Verdana" w:eastAsia="Verdana" w:hAnsi="Verdana" w:cs="Verdana"/>
          <w:sz w:val="24"/>
          <w:szCs w:val="24"/>
        </w:rPr>
        <w:t>ention d’un groupe élargi d’experts, en relecture. Néanmoins cet élargissement ne s’étend qu’aux professions de santé et à la catégorie trop générale “d’usagers” - catégorie qui recouvre indifféremment des présidents d’associations, des parents, des aidant</w:t>
      </w:r>
      <w:r>
        <w:rPr>
          <w:rFonts w:ascii="Verdana" w:eastAsia="Verdana" w:hAnsi="Verdana" w:cs="Verdana"/>
          <w:sz w:val="24"/>
          <w:szCs w:val="24"/>
        </w:rPr>
        <w:t>s, des personnes autistes. Certaines personnalités, présidentes d’association de parents de personnes autistes y sont présentées comme usagers. Nous pouvons nous demander dans quelle mesure la qualité d’usager entre en conflit avec les intérêts de leurs as</w:t>
      </w:r>
      <w:r>
        <w:rPr>
          <w:rFonts w:ascii="Verdana" w:eastAsia="Verdana" w:hAnsi="Verdana" w:cs="Verdana"/>
          <w:sz w:val="24"/>
          <w:szCs w:val="24"/>
        </w:rPr>
        <w:t>sociations respectives, surtout lorsque celles-ci sont gestionnaires d’établissements et/ou proposent des formations pour certaines thérapies qui seront ensuite recommandées par ce comité expert. Cette catégorie d’usager ne semble pas avoir de définition p</w:t>
      </w:r>
      <w:r>
        <w:rPr>
          <w:rFonts w:ascii="Verdana" w:eastAsia="Verdana" w:hAnsi="Verdana" w:cs="Verdana"/>
          <w:sz w:val="24"/>
          <w:szCs w:val="24"/>
        </w:rPr>
        <w:t>récise et représentative contrairement à l’alinéa 3. de l’article 4 de la convention.</w:t>
      </w:r>
    </w:p>
    <w:p w:rsidR="00C92850" w:rsidRDefault="00BB19B7">
      <w:pPr>
        <w:rPr>
          <w:rFonts w:ascii="Verdana" w:eastAsia="Verdana" w:hAnsi="Verdana" w:cs="Verdana"/>
          <w:sz w:val="16"/>
          <w:szCs w:val="16"/>
        </w:rPr>
      </w:pPr>
      <w:r>
        <w:rPr>
          <w:rFonts w:ascii="Verdana" w:eastAsia="Verdana" w:hAnsi="Verdana" w:cs="Verdana"/>
          <w:sz w:val="16"/>
          <w:szCs w:val="16"/>
        </w:rPr>
        <w:t>Sources :</w:t>
      </w:r>
    </w:p>
    <w:p w:rsidR="00C92850" w:rsidRDefault="00C92850">
      <w:pPr>
        <w:rPr>
          <w:rFonts w:ascii="Verdana" w:eastAsia="Verdana" w:hAnsi="Verdana" w:cs="Verdana"/>
          <w:sz w:val="16"/>
          <w:szCs w:val="16"/>
        </w:rPr>
      </w:pPr>
    </w:p>
    <w:p w:rsidR="00C92850" w:rsidRDefault="00BB19B7">
      <w:pPr>
        <w:rPr>
          <w:rFonts w:ascii="Verdana" w:eastAsia="Verdana" w:hAnsi="Verdana" w:cs="Verdana"/>
          <w:sz w:val="16"/>
          <w:szCs w:val="16"/>
        </w:rPr>
      </w:pPr>
      <w:r>
        <w:rPr>
          <w:rFonts w:ascii="Verdana" w:eastAsia="Verdana" w:hAnsi="Verdana" w:cs="Verdana"/>
          <w:sz w:val="16"/>
          <w:szCs w:val="16"/>
        </w:rPr>
        <w:t xml:space="preserve"> Composition de l’expertise de la HAS pour les recommandations sur l’autisme : </w:t>
      </w:r>
    </w:p>
    <w:p w:rsidR="00C92850" w:rsidRDefault="00C92850">
      <w:pPr>
        <w:rPr>
          <w:rFonts w:ascii="Verdana" w:eastAsia="Verdana" w:hAnsi="Verdana" w:cs="Verdana"/>
          <w:sz w:val="16"/>
          <w:szCs w:val="16"/>
        </w:rPr>
      </w:pPr>
    </w:p>
    <w:p w:rsidR="00C92850" w:rsidRDefault="00BB19B7">
      <w:hyperlink r:id="rId8" w:history="1">
        <w:r>
          <w:rPr>
            <w:rStyle w:val="Policepardfaut"/>
            <w:rFonts w:ascii="Verdana" w:hAnsi="Verdana"/>
            <w:color w:val="1155CC"/>
            <w:sz w:val="16"/>
            <w:szCs w:val="16"/>
          </w:rPr>
          <w:t>https://www.has-sante.fr/upload/docs/application/pdf/2011-01/fiche_consensus_formalise.pdf</w:t>
        </w:r>
      </w:hyperlink>
      <w:r>
        <w:rPr>
          <w:rStyle w:val="Policepardfaut"/>
          <w:rFonts w:ascii="Verdana" w:hAnsi="Verdana"/>
          <w:sz w:val="16"/>
          <w:szCs w:val="16"/>
        </w:rPr>
        <w:t xml:space="preserve"> </w:t>
      </w:r>
    </w:p>
    <w:p w:rsidR="00C92850" w:rsidRDefault="00C92850">
      <w:pPr>
        <w:rPr>
          <w:rFonts w:ascii="Verdana" w:hAnsi="Verdana"/>
          <w:sz w:val="16"/>
          <w:szCs w:val="16"/>
        </w:rPr>
      </w:pPr>
    </w:p>
    <w:p w:rsidR="00C92850" w:rsidRDefault="00BB19B7">
      <w:hyperlink r:id="rId9" w:history="1">
        <w:r>
          <w:rPr>
            <w:rStyle w:val="Policepardfaut"/>
            <w:rFonts w:ascii="Verdana" w:hAnsi="Verdana"/>
            <w:color w:val="1155CC"/>
            <w:sz w:val="16"/>
            <w:szCs w:val="16"/>
          </w:rPr>
          <w:t>https://www.has-sante</w:t>
        </w:r>
        <w:r>
          <w:rPr>
            <w:rStyle w:val="Policepardfaut"/>
            <w:rFonts w:ascii="Verdana" w:hAnsi="Verdana"/>
            <w:color w:val="1155CC"/>
            <w:sz w:val="16"/>
            <w:szCs w:val="16"/>
          </w:rPr>
          <w:t>.fr/upload/docs/application/pdf/2018-02/20180213_recommandations_vdef.pdf</w:t>
        </w:r>
      </w:hyperlink>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 xml:space="preserve">De plus, nous nous appuyons également sur la notion d’aménagement raisonnable de l’article 2, 5 qui est la condition principale de mise en œuvre des articles examinés. Nous partons </w:t>
      </w:r>
      <w:r>
        <w:rPr>
          <w:rFonts w:ascii="Verdana" w:eastAsia="Verdana" w:hAnsi="Verdana" w:cs="Verdana"/>
          <w:sz w:val="24"/>
          <w:szCs w:val="24"/>
        </w:rPr>
        <w:t xml:space="preserve">du principe que l’Etat français n’a pas toujours reconnu cette notion puisqu’il ne le mentionne pas dans sa réponse sur l’article 5. </w:t>
      </w:r>
    </w:p>
    <w:p w:rsidR="00C92850" w:rsidRDefault="00BB19B7">
      <w:pPr>
        <w:spacing w:line="360" w:lineRule="auto"/>
      </w:pPr>
      <w:r>
        <w:rPr>
          <w:rStyle w:val="Policepardfaut"/>
          <w:rFonts w:ascii="Verdana" w:eastAsia="Verdana" w:hAnsi="Verdana" w:cs="Verdana"/>
          <w:sz w:val="24"/>
          <w:szCs w:val="24"/>
        </w:rPr>
        <w:t>Il y a en effet certains aménagements raisonnables tels que le droit d’aménagement des examens ou une reconnaissance de la</w:t>
      </w:r>
      <w:r>
        <w:rPr>
          <w:rStyle w:val="Policepardfaut"/>
          <w:rFonts w:ascii="Verdana" w:eastAsia="Verdana" w:hAnsi="Verdana" w:cs="Verdana"/>
          <w:sz w:val="24"/>
          <w:szCs w:val="24"/>
        </w:rPr>
        <w:t xml:space="preserve"> discrimination en cas de refus d’aménagements. Mais ce sont des droits spécifiques et mineurs qui restent insuffisants pour nous.  Les aménagements proposés sont souvent globaux et dépendant de prestations qui ne sont pas contrôlées par les personnes hand</w:t>
      </w:r>
      <w:r>
        <w:rPr>
          <w:rStyle w:val="Policepardfaut"/>
          <w:rFonts w:ascii="Verdana" w:eastAsia="Verdana" w:hAnsi="Verdana" w:cs="Verdana"/>
          <w:sz w:val="24"/>
          <w:szCs w:val="24"/>
        </w:rPr>
        <w:t>icapées. Il n’y a pas de demande individualisée d’aménagement de la personne sur ses besoins propres ou ils ne sont pas respectés et écoutés quand on le propose contrairement à la définition de l’article 5 de la convention. La discrimination sur la base de</w:t>
      </w:r>
      <w:r>
        <w:rPr>
          <w:rStyle w:val="Policepardfaut"/>
          <w:rFonts w:ascii="Verdana" w:eastAsia="Verdana" w:hAnsi="Verdana" w:cs="Verdana"/>
          <w:sz w:val="24"/>
          <w:szCs w:val="24"/>
        </w:rPr>
        <w:t xml:space="preserve"> ce aménagements n’est pas définie de façon précise et se heurte aussi à l’inégalité des connaissances en termes d’aménagements pour le handicap cognitif et psychosocial </w:t>
      </w:r>
    </w:p>
    <w:p w:rsidR="00C92850" w:rsidRDefault="00BB19B7">
      <w:pPr>
        <w:spacing w:before="240" w:after="240" w:line="360" w:lineRule="auto"/>
      </w:pPr>
      <w:r>
        <w:rPr>
          <w:rStyle w:val="Policepardfaut"/>
          <w:rFonts w:ascii="Verdana" w:hAnsi="Verdana"/>
          <w:sz w:val="24"/>
          <w:szCs w:val="24"/>
        </w:rPr>
        <w:t xml:space="preserve">Sur les alinéas de l’article 9 concernant l’Accessibilité, sous l’impulsion de </w:t>
      </w:r>
      <w:r>
        <w:rPr>
          <w:rStyle w:val="Policepardfaut"/>
          <w:rFonts w:ascii="Verdana" w:hAnsi="Verdana"/>
          <w:sz w:val="24"/>
          <w:szCs w:val="24"/>
        </w:rPr>
        <w:t>l’association Espoir pour mon futur, des aménagements d’heures silencieuses permettant aux personnes autistes d’accéder aux supermarchés et de faire leur course, seules ou accompagnées, dans des conditions sensorielles et cognitives adéquates. Des modifica</w:t>
      </w:r>
      <w:r>
        <w:rPr>
          <w:rStyle w:val="Policepardfaut"/>
          <w:rFonts w:ascii="Verdana" w:hAnsi="Verdana"/>
          <w:sz w:val="24"/>
          <w:szCs w:val="24"/>
        </w:rPr>
        <w:t>tions environnementales ont été effectuées : diminution de l’intensité lumineuse, réduction de la pollution sonore, arrêt des annonces aux haut-parleurs et sensibilisation du personnel pour l’aspect sensoriel, et discussions avec les gérants du supermarché</w:t>
      </w:r>
      <w:r>
        <w:rPr>
          <w:rStyle w:val="Policepardfaut"/>
          <w:rFonts w:ascii="Verdana" w:hAnsi="Verdana"/>
          <w:sz w:val="24"/>
          <w:szCs w:val="24"/>
        </w:rPr>
        <w:t xml:space="preserve"> Super U afin de simplifier l’organisation des rayons et prévoir une communication visuelle afin de permettre aux personnes de s’orienter dans les rayons. Ces initiatives, rassemblées sous le terme “heures silencieuses”, ont ensuite été systématisées à l'e</w:t>
      </w:r>
      <w:r>
        <w:rPr>
          <w:rStyle w:val="Policepardfaut"/>
          <w:rFonts w:ascii="Verdana" w:hAnsi="Verdana"/>
          <w:sz w:val="24"/>
          <w:szCs w:val="24"/>
        </w:rPr>
        <w:t>nsemble des SuperU du territoire français, puis à l’ensemble des ERP grâce au projet de loi “heure silencieuse”.</w:t>
      </w:r>
    </w:p>
    <w:p w:rsidR="00C92850" w:rsidRDefault="00BB19B7">
      <w:pPr>
        <w:spacing w:before="240" w:after="240" w:line="360" w:lineRule="auto"/>
      </w:pPr>
      <w:r>
        <w:rPr>
          <w:rStyle w:val="Policepardfaut"/>
          <w:rFonts w:ascii="Verdana" w:hAnsi="Verdana"/>
          <w:sz w:val="24"/>
          <w:szCs w:val="24"/>
        </w:rPr>
        <w:t>Une fois de plus, ce sont les associations d’usagers qui doivent, bénévolement, prendre les mesures appropriées pour réaliser ses aménagements.</w:t>
      </w:r>
      <w:r>
        <w:rPr>
          <w:rStyle w:val="Policepardfaut"/>
          <w:rFonts w:ascii="Verdana" w:hAnsi="Verdana"/>
          <w:sz w:val="24"/>
          <w:szCs w:val="24"/>
        </w:rPr>
        <w:t xml:space="preserve"> En outre, l’article 9 prévoit l’accessibilité des équipements ouverts et fournis au public, il serait alors judicieux que l’État français s’interroge sur le caractère restrictif de la loi sur les heures silencieuses qui ne concerne à ce jour que les Établ</w:t>
      </w:r>
      <w:r>
        <w:rPr>
          <w:rStyle w:val="Policepardfaut"/>
          <w:rFonts w:ascii="Verdana" w:hAnsi="Verdana"/>
          <w:sz w:val="24"/>
          <w:szCs w:val="24"/>
        </w:rPr>
        <w:t>issements Recevant du Public type grande surface de plus 1000 mètres carrés (ce qui ne correspond pas à la surface des supermarchés de proximité dans des communes à forte densité de population comme Paris). Cette loi ne concerne, en outre, qu’indirectement</w:t>
      </w:r>
      <w:r>
        <w:rPr>
          <w:rStyle w:val="Policepardfaut"/>
          <w:rFonts w:ascii="Verdana" w:hAnsi="Verdana"/>
          <w:sz w:val="24"/>
          <w:szCs w:val="24"/>
        </w:rPr>
        <w:t xml:space="preserve"> les autres ERP telles que les gares, les hôpitaux, les universités alors même que la loi de 2005 relative à l’égalité des droits, des chances, la participation et la citoyenneté des personnes handicapées prévoit un certain nombre de réglementations d’acce</w:t>
      </w:r>
      <w:r>
        <w:rPr>
          <w:rStyle w:val="Policepardfaut"/>
          <w:rFonts w:ascii="Verdana" w:hAnsi="Verdana"/>
          <w:sz w:val="24"/>
          <w:szCs w:val="24"/>
        </w:rPr>
        <w:t>ssibilité pour ces mêmes lieux. De plus, les transports en commun sont oubliés de ce projet de loi.</w:t>
      </w:r>
    </w:p>
    <w:p w:rsidR="00C92850" w:rsidRDefault="00BB19B7">
      <w:pPr>
        <w:pStyle w:val="NormalWeb"/>
        <w:spacing w:before="240" w:after="240"/>
      </w:pPr>
      <w:r>
        <w:rPr>
          <w:rStyle w:val="Policepardfaut"/>
          <w:rFonts w:ascii="Verdana" w:eastAsia="Verdana" w:hAnsi="Verdana" w:cs="Verdana"/>
          <w:b/>
          <w:bCs/>
        </w:rPr>
        <w:t>Sur ce préambule</w:t>
      </w:r>
      <w:r>
        <w:rPr>
          <w:rStyle w:val="Policepardfaut"/>
          <w:rFonts w:ascii="Verdana" w:eastAsia="Verdana" w:hAnsi="Verdana" w:cs="Verdana"/>
          <w:b/>
          <w:bCs/>
          <w:color w:val="7030A0"/>
        </w:rPr>
        <w:t xml:space="preserve">, </w:t>
      </w:r>
      <w:r>
        <w:rPr>
          <w:rStyle w:val="Policepardfaut"/>
          <w:rFonts w:ascii="Verdana" w:eastAsia="Verdana" w:hAnsi="Verdana" w:cs="Verdana"/>
          <w:b/>
          <w:bCs/>
        </w:rPr>
        <w:t xml:space="preserve">nous proposons au comité les recommandations suivantes pour l’Etat : </w:t>
      </w:r>
    </w:p>
    <w:p w:rsidR="00C92850" w:rsidRDefault="00BB19B7">
      <w:pPr>
        <w:pStyle w:val="NormalWeb"/>
        <w:numPr>
          <w:ilvl w:val="0"/>
          <w:numId w:val="1"/>
        </w:numPr>
        <w:spacing w:before="240" w:after="240"/>
        <w:rPr>
          <w:rFonts w:ascii="Verdana" w:hAnsi="Verdana" w:cs="Arial"/>
          <w:b/>
          <w:bCs/>
          <w:color w:val="000000"/>
          <w:sz w:val="22"/>
          <w:szCs w:val="22"/>
        </w:rPr>
      </w:pPr>
      <w:r>
        <w:rPr>
          <w:rFonts w:ascii="Verdana" w:hAnsi="Verdana" w:cs="Arial"/>
          <w:b/>
          <w:bCs/>
          <w:color w:val="000000"/>
          <w:sz w:val="22"/>
          <w:szCs w:val="22"/>
        </w:rPr>
        <w:t>Inscrire dans la loi des distinctions entre les associations représe</w:t>
      </w:r>
      <w:r>
        <w:rPr>
          <w:rFonts w:ascii="Verdana" w:hAnsi="Verdana" w:cs="Arial"/>
          <w:b/>
          <w:bCs/>
          <w:color w:val="000000"/>
          <w:sz w:val="22"/>
          <w:szCs w:val="22"/>
        </w:rPr>
        <w:t xml:space="preserve">ntatives de personnes handicapées dirigées par des personnes handicapées en majorité, celles non-dirigées par des personnes handicapées et celles qui gèrent des services pour personnes handicapées. </w:t>
      </w:r>
    </w:p>
    <w:p w:rsidR="00C92850" w:rsidRDefault="00BB19B7">
      <w:pPr>
        <w:pStyle w:val="NormalWeb"/>
        <w:numPr>
          <w:ilvl w:val="0"/>
          <w:numId w:val="1"/>
        </w:numPr>
        <w:spacing w:before="240" w:after="240"/>
        <w:rPr>
          <w:rFonts w:ascii="Verdana" w:hAnsi="Verdana" w:cs="Arial"/>
          <w:b/>
          <w:bCs/>
          <w:color w:val="000000"/>
          <w:sz w:val="22"/>
          <w:szCs w:val="22"/>
        </w:rPr>
      </w:pPr>
      <w:r>
        <w:rPr>
          <w:rFonts w:ascii="Verdana" w:hAnsi="Verdana" w:cs="Arial"/>
          <w:b/>
          <w:bCs/>
          <w:color w:val="000000"/>
          <w:sz w:val="22"/>
          <w:szCs w:val="22"/>
        </w:rPr>
        <w:t>Renforcer et implémenter des mécanismes transparents pour</w:t>
      </w:r>
      <w:r>
        <w:rPr>
          <w:rFonts w:ascii="Verdana" w:hAnsi="Verdana" w:cs="Arial"/>
          <w:b/>
          <w:bCs/>
          <w:color w:val="000000"/>
          <w:sz w:val="22"/>
          <w:szCs w:val="22"/>
        </w:rPr>
        <w:t xml:space="preserve"> que ce soient les personnes handicapées à travers leurs organisations représentatives qui soient impliquées en majorité dans toutes les procédures et organismes représentatifs d’élaboration des politiques publiques et des expertises techniques. L’Etat doi</w:t>
      </w:r>
      <w:r>
        <w:rPr>
          <w:rFonts w:ascii="Verdana" w:hAnsi="Verdana" w:cs="Arial"/>
          <w:b/>
          <w:bCs/>
          <w:color w:val="000000"/>
          <w:sz w:val="22"/>
          <w:szCs w:val="22"/>
        </w:rPr>
        <w:t xml:space="preserve">t s’assurer que l’ensemble des organisations de personnes handicapées soient consultées y compris les personnes avec handicaps intellectuels et psychosociaux, les personnes autistes et les personnes handicapées ayant besoin d’accompagnement continu.  </w:t>
      </w:r>
    </w:p>
    <w:p w:rsidR="00C92850" w:rsidRDefault="00BB19B7">
      <w:pPr>
        <w:pStyle w:val="NormalWeb"/>
        <w:numPr>
          <w:ilvl w:val="0"/>
          <w:numId w:val="1"/>
        </w:numPr>
        <w:spacing w:before="240" w:after="240"/>
        <w:rPr>
          <w:rFonts w:ascii="Verdana" w:hAnsi="Verdana" w:cs="Arial"/>
          <w:b/>
          <w:bCs/>
          <w:color w:val="000000"/>
          <w:sz w:val="22"/>
          <w:szCs w:val="22"/>
        </w:rPr>
      </w:pPr>
      <w:r>
        <w:rPr>
          <w:rFonts w:ascii="Verdana" w:hAnsi="Verdana" w:cs="Arial"/>
          <w:b/>
          <w:bCs/>
          <w:color w:val="000000"/>
          <w:sz w:val="22"/>
          <w:szCs w:val="22"/>
        </w:rPr>
        <w:t>L’ac</w:t>
      </w:r>
      <w:r>
        <w:rPr>
          <w:rFonts w:ascii="Verdana" w:hAnsi="Verdana" w:cs="Arial"/>
          <w:b/>
          <w:bCs/>
          <w:color w:val="000000"/>
          <w:sz w:val="22"/>
          <w:szCs w:val="22"/>
        </w:rPr>
        <w:t>compagnement nécessaire, le financement, les aménagements raisonnables et l’accessibilité de l’information pour participer à ces instances représentatives et d’expertise doivent être mises en œuvre.</w:t>
      </w:r>
    </w:p>
    <w:p w:rsidR="00C92850" w:rsidRDefault="00BB19B7">
      <w:pPr>
        <w:pStyle w:val="NormalWeb"/>
        <w:numPr>
          <w:ilvl w:val="0"/>
          <w:numId w:val="1"/>
        </w:numPr>
        <w:spacing w:before="240" w:after="240"/>
        <w:rPr>
          <w:rFonts w:ascii="Verdana" w:hAnsi="Verdana" w:cs="Arial"/>
          <w:b/>
          <w:bCs/>
          <w:color w:val="000000"/>
          <w:sz w:val="22"/>
          <w:szCs w:val="22"/>
        </w:rPr>
      </w:pPr>
      <w:r>
        <w:rPr>
          <w:rFonts w:ascii="Verdana" w:hAnsi="Verdana" w:cs="Arial"/>
          <w:b/>
          <w:bCs/>
          <w:color w:val="000000"/>
          <w:sz w:val="22"/>
          <w:szCs w:val="22"/>
        </w:rPr>
        <w:t>Adopter une définition de l’aménagement raisonnable confo</w:t>
      </w:r>
      <w:r>
        <w:rPr>
          <w:rFonts w:ascii="Verdana" w:hAnsi="Verdana" w:cs="Arial"/>
          <w:b/>
          <w:bCs/>
          <w:color w:val="000000"/>
          <w:sz w:val="22"/>
          <w:szCs w:val="22"/>
        </w:rPr>
        <w:t>rme à la convention, reconnaitre le droit à toute personne handicapée de demander un aménagement raisonnable dans tous les secteurs et domaines de la vie. Reconnaitre dans la législation le refus des aménagements raisonnables comme une discrimination à l’e</w:t>
      </w:r>
      <w:r>
        <w:rPr>
          <w:rFonts w:ascii="Verdana" w:hAnsi="Verdana" w:cs="Arial"/>
          <w:b/>
          <w:bCs/>
          <w:color w:val="000000"/>
          <w:sz w:val="22"/>
          <w:szCs w:val="22"/>
        </w:rPr>
        <w:t xml:space="preserve">ncontre des personnes handicapées.  </w:t>
      </w:r>
    </w:p>
    <w:p w:rsidR="00C92850" w:rsidRDefault="00BB19B7">
      <w:pPr>
        <w:pStyle w:val="NormalWeb"/>
        <w:numPr>
          <w:ilvl w:val="0"/>
          <w:numId w:val="1"/>
        </w:numPr>
        <w:spacing w:before="240" w:after="240"/>
      </w:pPr>
      <w:r>
        <w:rPr>
          <w:rStyle w:val="Policepardfaut"/>
          <w:rFonts w:ascii="Verdana" w:hAnsi="Verdana" w:cs="Arial"/>
          <w:b/>
          <w:bCs/>
          <w:color w:val="000000"/>
          <w:sz w:val="22"/>
          <w:szCs w:val="22"/>
        </w:rPr>
        <w:t>S’assurer que les comités d’expertise et d’autorisation des projets et protocoles de recherche et médicaux concernant les personnes handicapées incluent la participation de toutes les personnes handicapées par l’intermé</w:t>
      </w:r>
      <w:r>
        <w:rPr>
          <w:rStyle w:val="Policepardfaut"/>
          <w:rFonts w:ascii="Verdana" w:hAnsi="Verdana" w:cs="Arial"/>
          <w:b/>
          <w:bCs/>
          <w:color w:val="000000"/>
          <w:sz w:val="22"/>
          <w:szCs w:val="22"/>
        </w:rPr>
        <w:t xml:space="preserve">diaire de leurs organisations représentatives. S’assurer que le droit aux aménagements raisonnables soit reconnu dans la participation aux protocoles de recherches et essais cliniques médicaux.  </w:t>
      </w:r>
    </w:p>
    <w:p w:rsidR="00C92850" w:rsidRDefault="00C92850">
      <w:pPr>
        <w:spacing w:line="360" w:lineRule="auto"/>
        <w:rPr>
          <w:rFonts w:ascii="Verdana" w:eastAsia="Verdana" w:hAnsi="Verdana" w:cs="Verdana"/>
          <w:lang w:val="fr-FR"/>
        </w:rPr>
      </w:pPr>
    </w:p>
    <w:p w:rsidR="00C92850" w:rsidRDefault="00BB19B7">
      <w:pPr>
        <w:spacing w:line="360" w:lineRule="auto"/>
        <w:rPr>
          <w:rFonts w:ascii="Verdana" w:eastAsia="Verdana" w:hAnsi="Verdana" w:cs="Verdana"/>
          <w:b/>
          <w:sz w:val="24"/>
          <w:szCs w:val="24"/>
        </w:rPr>
      </w:pPr>
      <w:r>
        <w:rPr>
          <w:rFonts w:ascii="Verdana" w:eastAsia="Verdana" w:hAnsi="Verdana" w:cs="Verdana"/>
          <w:b/>
          <w:sz w:val="24"/>
          <w:szCs w:val="24"/>
        </w:rPr>
        <w:t xml:space="preserve">Article 12 : Reconnaissance de la personnalité juridique </w:t>
      </w:r>
      <w:r>
        <w:rPr>
          <w:rFonts w:ascii="Verdana" w:eastAsia="Verdana" w:hAnsi="Verdana" w:cs="Verdana"/>
          <w:b/>
          <w:sz w:val="24"/>
          <w:szCs w:val="24"/>
        </w:rPr>
        <w:t>dans des conditions d’égalité</w:t>
      </w: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La France utilise un régime substitutif pour l’exercice de la capacité juridique des personnes handicapées.  C’est le système de tutelle et de curatelle ou de l’habilitation familiale comme mesure de protection. On appelle le</w:t>
      </w:r>
      <w:r>
        <w:rPr>
          <w:rFonts w:ascii="Verdana" w:eastAsia="Verdana" w:hAnsi="Verdana" w:cs="Verdana"/>
          <w:sz w:val="24"/>
          <w:szCs w:val="24"/>
        </w:rPr>
        <w:t xml:space="preserve">s personnes handicapées bénéficiant des mesures de protection des majeurs protégés. </w:t>
      </w:r>
    </w:p>
    <w:p w:rsidR="00C92850" w:rsidRDefault="00C92850">
      <w:pPr>
        <w:spacing w:line="360" w:lineRule="auto"/>
        <w:rPr>
          <w:rFonts w:ascii="Verdana" w:eastAsia="Verdana" w:hAnsi="Verdana" w:cs="Verdana"/>
          <w:sz w:val="24"/>
          <w:szCs w:val="24"/>
        </w:rPr>
      </w:pPr>
    </w:p>
    <w:p w:rsidR="00C92850" w:rsidRDefault="00BB19B7">
      <w:pPr>
        <w:spacing w:line="360" w:lineRule="auto"/>
      </w:pPr>
      <w:r>
        <w:rPr>
          <w:rStyle w:val="Policepardfaut"/>
          <w:rFonts w:ascii="Verdana" w:eastAsia="Verdana" w:hAnsi="Verdana" w:cs="Verdana"/>
          <w:sz w:val="24"/>
          <w:szCs w:val="24"/>
        </w:rPr>
        <w:t xml:space="preserve">L’Etat français dans sa réponse ne cite que la mise en œuvre de la </w:t>
      </w:r>
      <w:r>
        <w:rPr>
          <w:rStyle w:val="Policepardfaut"/>
          <w:rFonts w:ascii="Verdana" w:eastAsia="Verdana" w:hAnsi="Verdana" w:cs="Verdana"/>
          <w:b/>
          <w:sz w:val="24"/>
          <w:szCs w:val="24"/>
        </w:rPr>
        <w:t xml:space="preserve">loi n° 2019-222 du 23 mars 2019 appelée “programmation et de réforme pour la justice”. </w:t>
      </w: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 xml:space="preserve">CLE Autistes </w:t>
      </w:r>
      <w:r>
        <w:rPr>
          <w:rFonts w:ascii="Verdana" w:eastAsia="Verdana" w:hAnsi="Verdana" w:cs="Verdana"/>
          <w:sz w:val="24"/>
          <w:szCs w:val="24"/>
        </w:rPr>
        <w:t>avait déjà adressé une lettre ouverte [1] au député chargé d’une mission sur la réforme de la capacité juridique en soulignant les incohérences et manquement aux valeurs de la convention.</w:t>
      </w:r>
    </w:p>
    <w:p w:rsidR="00C92850" w:rsidRDefault="00C92850">
      <w:pPr>
        <w:spacing w:line="360" w:lineRule="auto"/>
        <w:rPr>
          <w:rFonts w:ascii="Verdana" w:eastAsia="Verdana" w:hAnsi="Verdana" w:cs="Verdana"/>
          <w:sz w:val="24"/>
          <w:szCs w:val="24"/>
        </w:rPr>
      </w:pPr>
    </w:p>
    <w:p w:rsidR="00C92850" w:rsidRDefault="00BB19B7">
      <w:pPr>
        <w:spacing w:line="360" w:lineRule="auto"/>
      </w:pPr>
      <w:r>
        <w:rPr>
          <w:rStyle w:val="Policepardfaut"/>
          <w:rFonts w:ascii="Verdana" w:eastAsia="Verdana" w:hAnsi="Verdana" w:cs="Verdana"/>
          <w:b/>
          <w:bCs/>
          <w:sz w:val="24"/>
          <w:szCs w:val="24"/>
        </w:rPr>
        <w:t>Dans sa réponse et dans la mise en œuvre de cette loi, l’Etat franç</w:t>
      </w:r>
      <w:r>
        <w:rPr>
          <w:rStyle w:val="Policepardfaut"/>
          <w:rFonts w:ascii="Verdana" w:eastAsia="Verdana" w:hAnsi="Verdana" w:cs="Verdana"/>
          <w:b/>
          <w:bCs/>
          <w:sz w:val="24"/>
          <w:szCs w:val="24"/>
        </w:rPr>
        <w:t>ais ne peut pas dire que ces dispositions sont conformes à l’article 12 de la CIDPH. Il soumet la plupart des décisions à l’approbation du juge et le régime substitutif n’est pas supprimé.</w:t>
      </w:r>
      <w:r>
        <w:rPr>
          <w:rStyle w:val="Policepardfaut"/>
          <w:rFonts w:ascii="Verdana" w:eastAsia="Verdana" w:hAnsi="Verdana" w:cs="Verdana"/>
          <w:sz w:val="24"/>
          <w:szCs w:val="24"/>
        </w:rPr>
        <w:t xml:space="preserve"> La tutelle, la curatelle et l’habilitation familiale sont toujours </w:t>
      </w:r>
      <w:r>
        <w:rPr>
          <w:rStyle w:val="Policepardfaut"/>
          <w:rFonts w:ascii="Verdana" w:eastAsia="Verdana" w:hAnsi="Verdana" w:cs="Verdana"/>
          <w:sz w:val="24"/>
          <w:szCs w:val="24"/>
        </w:rPr>
        <w:t>inscrites dans le code civil et le juge continue à surveiller les diverses situations des personnes handicapées concernées en ayant le droit de prononcer une mesure de protection juridique à leur encontre.</w:t>
      </w: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 xml:space="preserve"> L’Etat français dans sa réponse au comité soulig</w:t>
      </w:r>
      <w:r>
        <w:rPr>
          <w:rFonts w:ascii="Verdana" w:eastAsia="Verdana" w:hAnsi="Verdana" w:cs="Verdana"/>
          <w:sz w:val="24"/>
          <w:szCs w:val="24"/>
        </w:rPr>
        <w:t>ne que “L’autorisation préalable du juge n’est plus requise pour certains actes patrimoniaux et l’exercice de droits fondamentaux tels que se marier, se pacser, divorcer, voter ou pour le consentement personnel aux soins. Cette déjudiciarisation visant l’e</w:t>
      </w:r>
      <w:r>
        <w:rPr>
          <w:rFonts w:ascii="Verdana" w:eastAsia="Verdana" w:hAnsi="Verdana" w:cs="Verdana"/>
          <w:sz w:val="24"/>
          <w:szCs w:val="24"/>
        </w:rPr>
        <w:t xml:space="preserve">xpression directe de la volonté du majeur protégé, ne constitue pas une perte de garantie, puisque le juge reste tenu d’un devoir de surveillance continue des mesures de protection.” </w:t>
      </w:r>
      <w:r>
        <w:rPr>
          <w:rFonts w:ascii="Verdana" w:eastAsia="Verdana" w:hAnsi="Verdana" w:cs="Verdana"/>
          <w:sz w:val="24"/>
          <w:szCs w:val="24"/>
        </w:rPr>
        <w:br/>
      </w: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Cette justification ne peut raisonnablement pas correspondre aux points</w:t>
      </w:r>
      <w:r>
        <w:rPr>
          <w:rFonts w:ascii="Verdana" w:eastAsia="Verdana" w:hAnsi="Verdana" w:cs="Verdana"/>
          <w:sz w:val="24"/>
          <w:szCs w:val="24"/>
        </w:rPr>
        <w:t xml:space="preserve"> 1, 2 et  3 de l’article 12. En effet, dans la formulation, l’Etat Français affirme que “la procédure est déjudiciarisée pour ces actes mais souligne que le juge reste habilité à surveiller et à maintenir des mesures de protection”. L’application précise d</w:t>
      </w:r>
      <w:r>
        <w:rPr>
          <w:rFonts w:ascii="Verdana" w:eastAsia="Verdana" w:hAnsi="Verdana" w:cs="Verdana"/>
          <w:sz w:val="24"/>
          <w:szCs w:val="24"/>
        </w:rPr>
        <w:t>e la loi [2] mentionne que le juge peut “ désigner une personne habilitée s’il estime qu’une habilitation familiale est plus adaptée à la situation de la personne protégée ou, à l’inverse, de prononcer une curatelle ou une tutelle s’il estime que l’habilit</w:t>
      </w:r>
      <w:r>
        <w:rPr>
          <w:rFonts w:ascii="Verdana" w:eastAsia="Verdana" w:hAnsi="Verdana" w:cs="Verdana"/>
          <w:sz w:val="24"/>
          <w:szCs w:val="24"/>
        </w:rPr>
        <w:t xml:space="preserve">ation familiale ne répond pas au besoin de protection d’un majeur”. </w:t>
      </w: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Sur le mariage et le PACS que l’Etat Français se félicite d’avoir autorisé sans juge aux personnes sous tutelle, mais “les personnes chargées de la mesure de protection auront la possibi</w:t>
      </w:r>
      <w:r>
        <w:rPr>
          <w:rFonts w:ascii="Verdana" w:eastAsia="Verdana" w:hAnsi="Verdana" w:cs="Verdana"/>
          <w:sz w:val="24"/>
          <w:szCs w:val="24"/>
        </w:rPr>
        <w:t>lité de s’y opposer si les circonstances l’exigent.”</w:t>
      </w: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Sur les biens patrimoniaux, la réforme ne respecte pas non plus le point 5. de l’article 12. En effet,  “L’article 1399 du code civil est modifié pour permettre à la personne chargée de la mesure de pro</w:t>
      </w:r>
      <w:r>
        <w:rPr>
          <w:rFonts w:ascii="Verdana" w:eastAsia="Verdana" w:hAnsi="Verdana" w:cs="Verdana"/>
          <w:sz w:val="24"/>
          <w:szCs w:val="24"/>
        </w:rPr>
        <w:t>tection d’être autorisée à conclure seule une convention matrimoniale pour préserver les intérêts du majeur protégé”. Et “seule l’approbation du partage amiable demeure soumise à l’autorisation du juge, ce qui maintient le contrôle du juge uniquement lorsq</w:t>
      </w:r>
      <w:r>
        <w:rPr>
          <w:rFonts w:ascii="Verdana" w:eastAsia="Verdana" w:hAnsi="Verdana" w:cs="Verdana"/>
          <w:sz w:val="24"/>
          <w:szCs w:val="24"/>
        </w:rPr>
        <w:t>ue l’intérêt du majeur doit être apprécié”</w:t>
      </w: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Les associations de tutelle recommandent la co-construction des décisions entre la personne chargée de la mesure de protection et la personne sous tutelle et curatelle. Or dans les faits, comme il est indiqué dan</w:t>
      </w:r>
      <w:r>
        <w:rPr>
          <w:rFonts w:ascii="Verdana" w:eastAsia="Verdana" w:hAnsi="Verdana" w:cs="Verdana"/>
          <w:sz w:val="24"/>
          <w:szCs w:val="24"/>
        </w:rPr>
        <w:t xml:space="preserve">s la citation de l’application de la réforme : la personne chargée des mesures de protection reste disposée à s’opposer à la décision de la personne. </w:t>
      </w: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Enfin sur les biens patrimoniaux, l’égalité de posséder ses biens n’est pas respectée. C’est bien le prin</w:t>
      </w:r>
      <w:r>
        <w:rPr>
          <w:rFonts w:ascii="Verdana" w:eastAsia="Verdana" w:hAnsi="Verdana" w:cs="Verdana"/>
          <w:sz w:val="24"/>
          <w:szCs w:val="24"/>
        </w:rPr>
        <w:t xml:space="preserve">cipe de “l’intérêt supérieur” de la personne protégée qui est consacrée dans cette loi ce qui ne correspond pas à l’esprit du paragraphe 3 de l’article 12. L’Etat français plus loin parle de pair-aidance et d’expertise d’usage mais sans aucune disposition </w:t>
      </w:r>
      <w:r>
        <w:rPr>
          <w:rFonts w:ascii="Verdana" w:eastAsia="Verdana" w:hAnsi="Verdana" w:cs="Verdana"/>
          <w:sz w:val="24"/>
          <w:szCs w:val="24"/>
        </w:rPr>
        <w:t>applicative dans cette loi. “La reconnaissance de l’expertise d’usage change les relations entre la personne handicapée, sa famille et les professionnels” dit l’Etat français, n’est en aucun cas une mesure juridique et une disposition législative de la réf</w:t>
      </w:r>
      <w:r>
        <w:rPr>
          <w:rFonts w:ascii="Verdana" w:eastAsia="Verdana" w:hAnsi="Verdana" w:cs="Verdana"/>
          <w:sz w:val="24"/>
          <w:szCs w:val="24"/>
        </w:rPr>
        <w:t>orme mentionnée. Il s’agit également d’un accompagnement parmi d’autres, non mis en œuvre.</w:t>
      </w: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 xml:space="preserve"> Dans son ensemble, la loi ne permet pas l’accompagnement nécessaire pour permettre de prendre des décisions ayant un effet juridique. La notion d’aménagement raison</w:t>
      </w:r>
      <w:r>
        <w:rPr>
          <w:rFonts w:ascii="Verdana" w:eastAsia="Verdana" w:hAnsi="Verdana" w:cs="Verdana"/>
          <w:sz w:val="24"/>
          <w:szCs w:val="24"/>
        </w:rPr>
        <w:t>nable n’étant pas reconnue comme dit précédemment, cela s’ajoute à l’absence de garantie sur la diversité des moyens d’accompagnements et de soutien proposés pour exercer cette capacité juridique. Seules les personnes ayant les capacités langagières, de co</w:t>
      </w:r>
      <w:r>
        <w:rPr>
          <w:rFonts w:ascii="Verdana" w:eastAsia="Verdana" w:hAnsi="Verdana" w:cs="Verdana"/>
          <w:sz w:val="24"/>
          <w:szCs w:val="24"/>
        </w:rPr>
        <w:t>mmunication et de raisonnement pourront se faire entendre sans reconnaissance et mise en œuvre de ce principe. De notre point de vue, les changements législatifs de cette loi ne permettront pas aux personnes autistes, handicapées cognitives, intellectuelle</w:t>
      </w:r>
      <w:r>
        <w:rPr>
          <w:rFonts w:ascii="Verdana" w:eastAsia="Verdana" w:hAnsi="Verdana" w:cs="Verdana"/>
          <w:sz w:val="24"/>
          <w:szCs w:val="24"/>
        </w:rPr>
        <w:t>s et psycho-sociales d’accéder à ces “améliorations”, puisque aucune garantie sur ces aménagements raisonnables n’est mentionnée ni mise en œuvre.</w:t>
      </w: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En conséquence, ce qui est présenté comme une avancée s’avère n’être que d’une portée très limitée, voire nu</w:t>
      </w:r>
      <w:r>
        <w:rPr>
          <w:rFonts w:ascii="Verdana" w:eastAsia="Verdana" w:hAnsi="Verdana" w:cs="Verdana"/>
          <w:sz w:val="24"/>
          <w:szCs w:val="24"/>
        </w:rPr>
        <w:t>lle, confronté à l’absence de toute considération sur la décision assistée. À ce titre, il apparaît plus que probable que les personnes avec une altération cognitive et/ou psycho-sociale en soient exclues, car perçues comme non capables de discernement. Da</w:t>
      </w:r>
      <w:r>
        <w:rPr>
          <w:rFonts w:ascii="Verdana" w:eastAsia="Verdana" w:hAnsi="Verdana" w:cs="Verdana"/>
          <w:sz w:val="24"/>
          <w:szCs w:val="24"/>
        </w:rPr>
        <w:t>ns les faits, même si le juge pourra plus facilement rencontrer la personne majeure protégée, l’absence de garanties sur les aménagements raisonnables et la décision assistée fera passer le stigmate social des handicaps cognitifs et psycho-sociaux comme pr</w:t>
      </w:r>
      <w:r>
        <w:rPr>
          <w:rFonts w:ascii="Verdana" w:eastAsia="Verdana" w:hAnsi="Verdana" w:cs="Verdana"/>
          <w:sz w:val="24"/>
          <w:szCs w:val="24"/>
        </w:rPr>
        <w:t>incipal déterminant de la décision du juge.</w:t>
      </w: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Si la tutelle n’est pas bannie explicitement, l’ensemble de l’article 12 indique clairement que la capacité juridique ne se subdivise pas, autant qu’elle ne peut se déléguer. L’Observation générale du comité sur</w:t>
      </w:r>
      <w:r>
        <w:rPr>
          <w:rFonts w:ascii="Verdana" w:eastAsia="Verdana" w:hAnsi="Verdana" w:cs="Verdana"/>
          <w:sz w:val="24"/>
          <w:szCs w:val="24"/>
        </w:rPr>
        <w:t xml:space="preserve"> l’article 12 précise bien que la solution par défaut devrait, toujours selon la Convention, être la décision assistée. </w:t>
      </w: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 xml:space="preserve">Sur la réforme du droit de vote des personnes sous tutelle, cela fait appel à la fois au non-respect de l’article 5 et de l’article 9 </w:t>
      </w:r>
      <w:r>
        <w:rPr>
          <w:rFonts w:ascii="Verdana" w:eastAsia="Verdana" w:hAnsi="Verdana" w:cs="Verdana"/>
          <w:sz w:val="24"/>
          <w:szCs w:val="24"/>
        </w:rPr>
        <w:t>sur l’accessibilité des bureaux de votes. Ces derniers ne le sont pas encore pour l’ensemble des handicaps et plus particulièrement pour les handicaps cognitifs et psychosociaux.  Sur l’article 12, l’accompagnement nécessaire pour s’inscrire sur les listes</w:t>
      </w:r>
      <w:r>
        <w:rPr>
          <w:rFonts w:ascii="Verdana" w:eastAsia="Verdana" w:hAnsi="Verdana" w:cs="Verdana"/>
          <w:sz w:val="24"/>
          <w:szCs w:val="24"/>
        </w:rPr>
        <w:t xml:space="preserve"> électorales ou pour voter n’est pas garanti ni proposé. Selon l’application de cette loi, le droit de vote peut être délégué aux tuteurs familiaux ce qui ne correspond pas au régime de décision assistée. </w:t>
      </w: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De plus, en lien avec l’article 19, il a été montr</w:t>
      </w:r>
      <w:r>
        <w:rPr>
          <w:rFonts w:ascii="Verdana" w:eastAsia="Verdana" w:hAnsi="Verdana" w:cs="Verdana"/>
          <w:sz w:val="24"/>
          <w:szCs w:val="24"/>
        </w:rPr>
        <w:t>é par Baudot et al (2020) [3] que 30% des personnes administrativement reconnues comme handicapées en âge de voter (contre 12.4% pour la population générale) continuent à être exclues de l’inscription sur les listes électorales. Cette exclusion est princip</w:t>
      </w:r>
      <w:r>
        <w:rPr>
          <w:rFonts w:ascii="Verdana" w:eastAsia="Verdana" w:hAnsi="Verdana" w:cs="Verdana"/>
          <w:sz w:val="24"/>
          <w:szCs w:val="24"/>
        </w:rPr>
        <w:t>alement expliquée par les conditions de vie et une vie dans un milieu ségrégué à l’écart de la société, dans un établissement spécialisé. Les personnes autistes, handicapées intellectuelles et psychosociales sont donc principalement concernées par cette ex</w:t>
      </w:r>
      <w:r>
        <w:rPr>
          <w:rFonts w:ascii="Verdana" w:eastAsia="Verdana" w:hAnsi="Verdana" w:cs="Verdana"/>
          <w:sz w:val="24"/>
          <w:szCs w:val="24"/>
        </w:rPr>
        <w:t>clusion du droit de vote puisqu’une bonne partie de ces personnes vivent en France majoritairement dans ces établissements spécialisés résidentiels. Là encore ni des aménagements raisonnables, ni accompagnement pour exercer ce droit, ni la décision assisté</w:t>
      </w:r>
      <w:r>
        <w:rPr>
          <w:rFonts w:ascii="Verdana" w:eastAsia="Verdana" w:hAnsi="Verdana" w:cs="Verdana"/>
          <w:sz w:val="24"/>
          <w:szCs w:val="24"/>
        </w:rPr>
        <w:t xml:space="preserve">e n’a été mise en place pour assurer ce droit de vote dans les bureaux  de vote et au moment de l’inscription sur les listes électorales. </w:t>
      </w:r>
    </w:p>
    <w:p w:rsidR="00C92850" w:rsidRDefault="00C92850">
      <w:pPr>
        <w:spacing w:line="360" w:lineRule="auto"/>
        <w:rPr>
          <w:rFonts w:ascii="Verdana" w:eastAsia="Verdana" w:hAnsi="Verdana" w:cs="Verdana"/>
        </w:rPr>
      </w:pPr>
    </w:p>
    <w:p w:rsidR="00C92850" w:rsidRDefault="00BB19B7">
      <w:pPr>
        <w:spacing w:line="360" w:lineRule="auto"/>
        <w:rPr>
          <w:rFonts w:ascii="Verdana" w:eastAsia="Verdana" w:hAnsi="Verdana" w:cs="Verdana"/>
          <w:sz w:val="16"/>
          <w:szCs w:val="16"/>
        </w:rPr>
      </w:pPr>
      <w:r>
        <w:rPr>
          <w:rFonts w:ascii="Verdana" w:eastAsia="Verdana" w:hAnsi="Verdana" w:cs="Verdana"/>
          <w:sz w:val="16"/>
          <w:szCs w:val="16"/>
        </w:rPr>
        <w:t xml:space="preserve">Références  : </w:t>
      </w:r>
    </w:p>
    <w:p w:rsidR="00C92850" w:rsidRDefault="00BB19B7">
      <w:pPr>
        <w:spacing w:line="360" w:lineRule="auto"/>
      </w:pPr>
      <w:r>
        <w:rPr>
          <w:rStyle w:val="Policepardfaut"/>
          <w:rFonts w:ascii="Verdana" w:eastAsia="Verdana" w:hAnsi="Verdana" w:cs="Verdana"/>
          <w:sz w:val="16"/>
          <w:szCs w:val="16"/>
        </w:rPr>
        <w:t xml:space="preserve">[1]  </w:t>
      </w:r>
      <w:hyperlink r:id="rId10" w:history="1">
        <w:r>
          <w:rPr>
            <w:rStyle w:val="Policepardfaut"/>
            <w:rFonts w:ascii="Verdana" w:eastAsia="Verdana" w:hAnsi="Verdana" w:cs="Verdana"/>
            <w:color w:val="1155CC"/>
            <w:sz w:val="16"/>
            <w:szCs w:val="16"/>
            <w:u w:val="single"/>
          </w:rPr>
          <w:t>https://cle-a</w:t>
        </w:r>
        <w:r>
          <w:rPr>
            <w:rStyle w:val="Policepardfaut"/>
            <w:rFonts w:ascii="Verdana" w:eastAsia="Verdana" w:hAnsi="Verdana" w:cs="Verdana"/>
            <w:color w:val="1155CC"/>
            <w:sz w:val="16"/>
            <w:szCs w:val="16"/>
            <w:u w:val="single"/>
          </w:rPr>
          <w:t>utistes.fr/capacite-juridique-rapport-parlementaire/</w:t>
        </w:r>
      </w:hyperlink>
      <w:r>
        <w:rPr>
          <w:rStyle w:val="Policepardfaut"/>
          <w:rFonts w:ascii="Verdana" w:eastAsia="Verdana" w:hAnsi="Verdana" w:cs="Verdana"/>
          <w:sz w:val="16"/>
          <w:szCs w:val="16"/>
        </w:rPr>
        <w:t xml:space="preserve"> </w:t>
      </w:r>
      <w:r>
        <w:rPr>
          <w:rStyle w:val="Policepardfaut"/>
          <w:rFonts w:ascii="Verdana" w:eastAsia="Verdana" w:hAnsi="Verdana" w:cs="Verdana"/>
          <w:sz w:val="16"/>
          <w:szCs w:val="16"/>
        </w:rPr>
        <w:br/>
      </w:r>
      <w:r>
        <w:rPr>
          <w:rStyle w:val="Policepardfaut"/>
          <w:rFonts w:ascii="Verdana" w:eastAsia="Verdana" w:hAnsi="Verdana" w:cs="Verdana"/>
          <w:sz w:val="16"/>
          <w:szCs w:val="16"/>
        </w:rPr>
        <w:t xml:space="preserve">[2] </w:t>
      </w:r>
      <w:hyperlink r:id="rId11" w:history="1">
        <w:r>
          <w:rPr>
            <w:rStyle w:val="Policepardfaut"/>
            <w:rFonts w:ascii="Verdana" w:eastAsia="Verdana" w:hAnsi="Verdana" w:cs="Verdana"/>
            <w:color w:val="1155CC"/>
            <w:sz w:val="16"/>
            <w:szCs w:val="16"/>
            <w:u w:val="single"/>
          </w:rPr>
          <w:t>https://consultation.avocat.fr/blog/nathalie-preguimb</w:t>
        </w:r>
        <w:r>
          <w:rPr>
            <w:rStyle w:val="Policepardfaut"/>
            <w:rFonts w:ascii="Verdana" w:eastAsia="Verdana" w:hAnsi="Verdana" w:cs="Verdana"/>
            <w:color w:val="1155CC"/>
            <w:sz w:val="16"/>
            <w:szCs w:val="16"/>
            <w:u w:val="single"/>
          </w:rPr>
          <w:t>eau/article-28012-majeurs-proteges-ce-que-change-la-loi-n-2019-222-du-23-mars-2019-de-programmation-et-de-reforme-pour-la-justice.html</w:t>
        </w:r>
      </w:hyperlink>
      <w:r>
        <w:rPr>
          <w:rStyle w:val="Policepardfaut"/>
          <w:rFonts w:ascii="Verdana" w:eastAsia="Verdana" w:hAnsi="Verdana" w:cs="Verdana"/>
          <w:sz w:val="16"/>
          <w:szCs w:val="16"/>
        </w:rPr>
        <w:t xml:space="preserve"> </w:t>
      </w:r>
      <w:r>
        <w:rPr>
          <w:rStyle w:val="Policepardfaut"/>
          <w:rFonts w:ascii="Verdana" w:eastAsia="Verdana" w:hAnsi="Verdana" w:cs="Verdana"/>
          <w:sz w:val="16"/>
          <w:szCs w:val="16"/>
        </w:rPr>
        <w:br/>
      </w:r>
      <w:r>
        <w:rPr>
          <w:rStyle w:val="Policepardfaut"/>
          <w:rFonts w:ascii="Verdana" w:eastAsia="Verdana" w:hAnsi="Verdana" w:cs="Verdana"/>
          <w:sz w:val="16"/>
          <w:szCs w:val="16"/>
        </w:rPr>
        <w:t xml:space="preserve">[3]  </w:t>
      </w:r>
      <w:hyperlink r:id="rId12" w:history="1">
        <w:r>
          <w:rPr>
            <w:rStyle w:val="Policepardfaut"/>
            <w:rFonts w:ascii="Verdana" w:eastAsia="Verdana" w:hAnsi="Verdana" w:cs="Verdana"/>
            <w:color w:val="1155CC"/>
            <w:sz w:val="16"/>
            <w:szCs w:val="16"/>
            <w:u w:val="single"/>
          </w:rPr>
          <w:t>https://www.cairn.</w:t>
        </w:r>
        <w:r>
          <w:rPr>
            <w:rStyle w:val="Policepardfaut"/>
            <w:rFonts w:ascii="Verdana" w:eastAsia="Verdana" w:hAnsi="Verdana" w:cs="Verdana"/>
            <w:color w:val="1155CC"/>
            <w:sz w:val="16"/>
            <w:szCs w:val="16"/>
            <w:u w:val="single"/>
          </w:rPr>
          <w:t>info/revue-francaise-de-science-politique-2020-6-page-747.htm</w:t>
        </w:r>
      </w:hyperlink>
      <w:r>
        <w:rPr>
          <w:rStyle w:val="Policepardfaut"/>
          <w:rFonts w:ascii="Verdana" w:eastAsia="Verdana" w:hAnsi="Verdana" w:cs="Verdana"/>
          <w:sz w:val="16"/>
          <w:szCs w:val="16"/>
        </w:rPr>
        <w:t xml:space="preserve"> </w:t>
      </w:r>
    </w:p>
    <w:p w:rsidR="00C92850" w:rsidRDefault="00C92850">
      <w:pPr>
        <w:spacing w:line="360" w:lineRule="auto"/>
        <w:rPr>
          <w:rFonts w:ascii="Verdana" w:eastAsia="Verdana" w:hAnsi="Verdana" w:cs="Verdana"/>
          <w:sz w:val="16"/>
          <w:szCs w:val="16"/>
        </w:rPr>
      </w:pPr>
    </w:p>
    <w:p w:rsidR="00C92850" w:rsidRDefault="00BB19B7">
      <w:pPr>
        <w:pStyle w:val="NormalWeb"/>
        <w:spacing w:before="240" w:after="240"/>
      </w:pPr>
      <w:r>
        <w:rPr>
          <w:rStyle w:val="Policepardfaut"/>
          <w:rFonts w:ascii="Verdana" w:eastAsia="Verdana" w:hAnsi="Verdana" w:cs="Verdana"/>
          <w:b/>
          <w:bCs/>
        </w:rPr>
        <w:t>Sur l’article 12, nous proposons au comité les recommandations suivantes pour l’Etat :</w:t>
      </w:r>
    </w:p>
    <w:p w:rsidR="00C92850" w:rsidRDefault="00BB19B7">
      <w:pPr>
        <w:pStyle w:val="NormalWeb"/>
        <w:numPr>
          <w:ilvl w:val="0"/>
          <w:numId w:val="2"/>
        </w:numPr>
        <w:spacing w:before="240" w:after="240"/>
        <w:rPr>
          <w:rFonts w:ascii="Verdana" w:hAnsi="Verdana" w:cs="Arial"/>
          <w:b/>
          <w:bCs/>
          <w:color w:val="000000"/>
          <w:sz w:val="22"/>
          <w:szCs w:val="22"/>
        </w:rPr>
      </w:pPr>
      <w:r>
        <w:rPr>
          <w:rFonts w:ascii="Verdana" w:hAnsi="Verdana" w:cs="Arial"/>
          <w:b/>
          <w:bCs/>
          <w:color w:val="000000"/>
          <w:sz w:val="22"/>
          <w:szCs w:val="22"/>
        </w:rPr>
        <w:t xml:space="preserve">Revenir sur sa déclaration interprétative de l’article 12 et garantir le droit à toutes les personnes </w:t>
      </w:r>
      <w:r>
        <w:rPr>
          <w:rFonts w:ascii="Verdana" w:hAnsi="Verdana" w:cs="Arial"/>
          <w:b/>
          <w:bCs/>
          <w:color w:val="000000"/>
          <w:sz w:val="22"/>
          <w:szCs w:val="22"/>
        </w:rPr>
        <w:t xml:space="preserve">handicapées de l’égalité devant la loi et établir des mécanismes de décision assistée dans tous les domaines de la vie. </w:t>
      </w:r>
    </w:p>
    <w:p w:rsidR="00C92850" w:rsidRDefault="00BB19B7">
      <w:pPr>
        <w:pStyle w:val="NormalWeb"/>
        <w:numPr>
          <w:ilvl w:val="0"/>
          <w:numId w:val="2"/>
        </w:numPr>
        <w:spacing w:before="240" w:after="240"/>
      </w:pPr>
      <w:r>
        <w:rPr>
          <w:rStyle w:val="Policepardfaut"/>
          <w:rFonts w:ascii="Verdana" w:hAnsi="Verdana" w:cs="Arial"/>
          <w:b/>
          <w:bCs/>
          <w:color w:val="000000"/>
          <w:sz w:val="22"/>
          <w:szCs w:val="22"/>
        </w:rPr>
        <w:t>Abroger la tutelle, curatelle et l’habilitation familiale dans le Code Civil pour développer un régime de décision assistée et d’autono</w:t>
      </w:r>
      <w:r>
        <w:rPr>
          <w:rStyle w:val="Policepardfaut"/>
          <w:rFonts w:ascii="Verdana" w:hAnsi="Verdana" w:cs="Arial"/>
          <w:b/>
          <w:bCs/>
          <w:color w:val="000000"/>
          <w:sz w:val="22"/>
          <w:szCs w:val="22"/>
        </w:rPr>
        <w:t xml:space="preserve">mie dans la prise de décisions des personnes handicapées. </w:t>
      </w:r>
    </w:p>
    <w:p w:rsidR="00C92850" w:rsidRDefault="00BB19B7">
      <w:pPr>
        <w:pStyle w:val="NormalWeb"/>
        <w:numPr>
          <w:ilvl w:val="0"/>
          <w:numId w:val="2"/>
        </w:numPr>
        <w:spacing w:before="240" w:after="240"/>
      </w:pPr>
      <w:r>
        <w:rPr>
          <w:rStyle w:val="Policepardfaut"/>
          <w:rFonts w:ascii="Verdana" w:hAnsi="Verdana" w:cs="Arial"/>
          <w:b/>
          <w:bCs/>
          <w:color w:val="000000"/>
          <w:sz w:val="22"/>
          <w:szCs w:val="22"/>
        </w:rPr>
        <w:t xml:space="preserve">Adopter un plan d’action pour restaurer la capacité légale de toutes les personnes handicapées quel que soit le type de besoin en accompagnement. </w:t>
      </w:r>
    </w:p>
    <w:p w:rsidR="00C92850" w:rsidRDefault="00C92850">
      <w:pPr>
        <w:pStyle w:val="NormalWeb"/>
        <w:spacing w:before="240" w:after="240"/>
        <w:ind w:left="756"/>
        <w:rPr>
          <w:rFonts w:ascii="Verdana" w:eastAsia="Verdana" w:hAnsi="Verdana" w:cs="Verdana"/>
          <w:b/>
          <w:bCs/>
        </w:rPr>
      </w:pPr>
    </w:p>
    <w:p w:rsidR="00C92850" w:rsidRDefault="00BB19B7">
      <w:pPr>
        <w:spacing w:line="360" w:lineRule="auto"/>
        <w:rPr>
          <w:rFonts w:ascii="Verdana" w:eastAsia="Verdana" w:hAnsi="Verdana" w:cs="Verdana"/>
          <w:b/>
          <w:sz w:val="26"/>
          <w:szCs w:val="26"/>
        </w:rPr>
      </w:pPr>
      <w:r>
        <w:rPr>
          <w:rFonts w:ascii="Verdana" w:eastAsia="Verdana" w:hAnsi="Verdana" w:cs="Verdana"/>
          <w:b/>
          <w:sz w:val="26"/>
          <w:szCs w:val="26"/>
        </w:rPr>
        <w:t>Article 13 : Accès à la justice</w:t>
      </w: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 xml:space="preserve">Ces mesures sur </w:t>
      </w:r>
      <w:r>
        <w:rPr>
          <w:rFonts w:ascii="Verdana" w:eastAsia="Verdana" w:hAnsi="Verdana" w:cs="Verdana"/>
          <w:sz w:val="24"/>
          <w:szCs w:val="24"/>
        </w:rPr>
        <w:t>la capacité juridique peuvent être ainsi complétées par une observation sur l’article 13 et l’accès à la justice. L’Etat français mentionne quelques aménagements de procédure possibles dans sa réponse sur l’article 13 “ La personne handicapée peut être rep</w:t>
      </w:r>
      <w:r>
        <w:rPr>
          <w:rFonts w:ascii="Verdana" w:eastAsia="Verdana" w:hAnsi="Verdana" w:cs="Verdana"/>
          <w:sz w:val="24"/>
          <w:szCs w:val="24"/>
        </w:rPr>
        <w:t>résentée si elle le souhaite par son tuteur ou assistée par son curateur, tout au long de la procédure. Elle peut être assistée par un interprète en LSF, désigné judiciairement et rémunéré par l’Etat, ou de toute personne qualifiée maîtrisant un langage ou</w:t>
      </w:r>
      <w:r>
        <w:rPr>
          <w:rFonts w:ascii="Verdana" w:eastAsia="Verdana" w:hAnsi="Verdana" w:cs="Verdana"/>
          <w:sz w:val="24"/>
          <w:szCs w:val="24"/>
        </w:rPr>
        <w:t xml:space="preserve"> une méthode permettant la communication avec une personne atteinte de surdité”.</w:t>
      </w:r>
    </w:p>
    <w:p w:rsidR="00C92850" w:rsidRDefault="00BB19B7">
      <w:pPr>
        <w:pStyle w:val="pf0"/>
      </w:pPr>
      <w:r>
        <w:rPr>
          <w:rStyle w:val="Policepardfaut"/>
          <w:rFonts w:ascii="Verdana" w:eastAsia="Verdana" w:hAnsi="Verdana" w:cs="Verdana"/>
        </w:rPr>
        <w:t xml:space="preserve"> Il s’agit ainsi de mesures portant exclusivement sur un handicap sensoriel et non sur l’ensemble des handicaps. </w:t>
      </w:r>
    </w:p>
    <w:p w:rsidR="00C92850" w:rsidRDefault="00BB19B7">
      <w:pPr>
        <w:pStyle w:val="pf0"/>
        <w:spacing w:line="360" w:lineRule="auto"/>
      </w:pPr>
      <w:r>
        <w:rPr>
          <w:rStyle w:val="cf01"/>
          <w:rFonts w:ascii="Verdana" w:hAnsi="Verdana"/>
          <w:sz w:val="24"/>
          <w:szCs w:val="24"/>
        </w:rPr>
        <w:t>La loi ne prévoit pas ni l´obligation de fournir d´ « aménage</w:t>
      </w:r>
      <w:r>
        <w:rPr>
          <w:rStyle w:val="cf01"/>
          <w:rFonts w:ascii="Verdana" w:hAnsi="Verdana"/>
          <w:sz w:val="24"/>
          <w:szCs w:val="24"/>
        </w:rPr>
        <w:t>ment de procédure » a toutes les personnes handicapées, ni des exemples concrets d´ « aménagement de la procédure » typiquement requis par les personnes autistes, conformément à l’observation générale 5 sur l’article 5.</w:t>
      </w: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Cette réponse confirme définitivemen</w:t>
      </w:r>
      <w:r>
        <w:rPr>
          <w:rFonts w:ascii="Verdana" w:eastAsia="Verdana" w:hAnsi="Verdana" w:cs="Verdana"/>
          <w:sz w:val="24"/>
          <w:szCs w:val="24"/>
        </w:rPr>
        <w:t xml:space="preserve">t la nullité de la réforme 2019 et sur l’application de la convention de l’article 12 de la CIDPH. </w:t>
      </w: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 xml:space="preserve">Sur l’accès à la justice, le reste de la réponse de l’Etat français porte exclusivement sur la formation “ Des formations obligatoires relatives au corpus </w:t>
      </w:r>
      <w:r>
        <w:rPr>
          <w:rFonts w:ascii="Verdana" w:eastAsia="Verdana" w:hAnsi="Verdana" w:cs="Verdana"/>
          <w:sz w:val="24"/>
          <w:szCs w:val="24"/>
        </w:rPr>
        <w:t>juridique sur le handicap, dont la Convention, sont suivies par les magistrats en charge des enfants, des affaires familiales, des tutelles et de la protection des majeurs ou par les directeurs des services de greffe prenant la direction de services d’accu</w:t>
      </w:r>
      <w:r>
        <w:rPr>
          <w:rFonts w:ascii="Verdana" w:eastAsia="Verdana" w:hAnsi="Verdana" w:cs="Verdana"/>
          <w:sz w:val="24"/>
          <w:szCs w:val="24"/>
        </w:rPr>
        <w:t>eil. La réforme statutaire 2019 introduit un module « handicap » dans la formation obligatoire des éducateurs de la PJJ. [...] Sous l’égide du Défenseur des droits et en lien avec la Commission nationale consultative des droits de l’Homme (CNCDH), une mall</w:t>
      </w:r>
      <w:r>
        <w:rPr>
          <w:rFonts w:ascii="Verdana" w:eastAsia="Verdana" w:hAnsi="Verdana" w:cs="Verdana"/>
          <w:sz w:val="24"/>
          <w:szCs w:val="24"/>
        </w:rPr>
        <w:t xml:space="preserve">ette pédagogique à destination de toutes les écoles formant les professionnels du droit, sera livrable en 2020. La CNSA organise des formations pour l’Ecole nationale de la magistrature, aux tuteurs, aux personnes, aux familles pour garantir leurs droits. </w:t>
      </w:r>
      <w:r>
        <w:rPr>
          <w:rFonts w:ascii="Verdana" w:eastAsia="Verdana" w:hAnsi="Verdana" w:cs="Verdana"/>
          <w:sz w:val="24"/>
          <w:szCs w:val="24"/>
        </w:rPr>
        <w:t>Pour l’ensemble des forces de l’ordre, la formation initiale contient des modules de sensibilisation au handicap. “</w:t>
      </w: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Si le point 2. de l’article 13 semble respecté, nous ne sommes pas d’accord avec le fait que ces formations soient “appropriées”. En effet,</w:t>
      </w:r>
      <w:r>
        <w:rPr>
          <w:rFonts w:ascii="Verdana" w:eastAsia="Verdana" w:hAnsi="Verdana" w:cs="Verdana"/>
          <w:sz w:val="24"/>
          <w:szCs w:val="24"/>
        </w:rPr>
        <w:t xml:space="preserve"> sans garanties juridiques et législatives, il n’y aura pas d’accès effectif aux tribunaux pour toutes les personnes handicapées et encore moins aux handicaps cognitifs et psychosociaux. Les modules de formation et de sensibilisation concernent le personne</w:t>
      </w:r>
      <w:r>
        <w:rPr>
          <w:rFonts w:ascii="Verdana" w:eastAsia="Verdana" w:hAnsi="Verdana" w:cs="Verdana"/>
          <w:sz w:val="24"/>
          <w:szCs w:val="24"/>
        </w:rPr>
        <w:t xml:space="preserve">l de la justice et la police, mais ils ne permettent de notre point de vue de mettre en œuvre des aménagements de la procédure. De plus, si les magistrats sont mieux formés aux principes de la convention, ce n’est pas le cas des autres personnels ni de la </w:t>
      </w:r>
      <w:r>
        <w:rPr>
          <w:rFonts w:ascii="Verdana" w:eastAsia="Verdana" w:hAnsi="Verdana" w:cs="Verdana"/>
          <w:sz w:val="24"/>
          <w:szCs w:val="24"/>
        </w:rPr>
        <w:t>police qui bénéficient d’un module de sensibilisation au handicap et non aux mêmes principes et droits permis par la convention. Cette sensibilisation semble vague et non spécifique à chaque handicap, puis elle ne peut suffire à agir et à mettre en œuvre d</w:t>
      </w:r>
      <w:r>
        <w:rPr>
          <w:rFonts w:ascii="Verdana" w:eastAsia="Verdana" w:hAnsi="Verdana" w:cs="Verdana"/>
          <w:sz w:val="24"/>
          <w:szCs w:val="24"/>
        </w:rPr>
        <w:t xml:space="preserve">es adaptations pour les personnes handicapées pour déposer plainte ou lors des interactions avec la police. </w:t>
      </w: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 xml:space="preserve">Nous tenons à souligner que l’Etat français mentionne que ces formations sont faites avec les associations représentant les personnes handicapées </w:t>
      </w:r>
      <w:r>
        <w:rPr>
          <w:rFonts w:ascii="Verdana" w:eastAsia="Verdana" w:hAnsi="Verdana" w:cs="Verdana"/>
          <w:sz w:val="24"/>
          <w:szCs w:val="24"/>
        </w:rPr>
        <w:t>“UNAPEI et UNAFAM)”. Mais ces associations gèrent également des établissements spécialisés et des services qui ne favorisent pas l’inclusion ni la participation communautaire des personnes handicapées (observation de Mme Catalina DEVANDAS-AGUILAR, rapporte</w:t>
      </w:r>
      <w:r>
        <w:rPr>
          <w:rFonts w:ascii="Verdana" w:eastAsia="Verdana" w:hAnsi="Verdana" w:cs="Verdana"/>
          <w:sz w:val="24"/>
          <w:szCs w:val="24"/>
        </w:rPr>
        <w:t xml:space="preserve">ure spéciale de l’ONU sur les droits des personnes handicapées, lors de sa visite en France en 2019). Ce partenariat est un conflit d’intérêt et ne permet pas de garantir que les valeurs et les articles de la convention de l’ONU soient connus. </w:t>
      </w: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Cette sens</w:t>
      </w:r>
      <w:r>
        <w:rPr>
          <w:rFonts w:ascii="Verdana" w:eastAsia="Verdana" w:hAnsi="Verdana" w:cs="Verdana"/>
          <w:sz w:val="24"/>
          <w:szCs w:val="24"/>
        </w:rPr>
        <w:t>ibilisation sans accessibilité des tribunaux et de mise en œuvre des aménagements de procédure a donné lieu à plusieurs procès absurdes, inéquitables et qui violent les principes de la convention. L’association handi-social constituée de personnes handicap</w:t>
      </w:r>
      <w:r>
        <w:rPr>
          <w:rFonts w:ascii="Verdana" w:eastAsia="Verdana" w:hAnsi="Verdana" w:cs="Verdana"/>
          <w:sz w:val="24"/>
          <w:szCs w:val="24"/>
        </w:rPr>
        <w:t>ées [4] a été jugée pour des actions activistes contre le manque d’accessibilité des trains et avions français. Leur procès n’a mis en œuvre aucun aménagement en termes de temps, d’accès aux toilettes ou de la mise à disposition d’interprètes contrairement</w:t>
      </w:r>
      <w:r>
        <w:rPr>
          <w:rFonts w:ascii="Verdana" w:eastAsia="Verdana" w:hAnsi="Verdana" w:cs="Verdana"/>
          <w:sz w:val="24"/>
          <w:szCs w:val="24"/>
        </w:rPr>
        <w:t xml:space="preserve"> à ce qui est avancé. Le tribunal de Toulouse a également réduit le nombre de personnes autorisées dans la salle pour respecter les normes sanitaires du covid19, mais sans réponse proportionnée par rapport à la présence des assistants de vie des personnes </w:t>
      </w:r>
      <w:r>
        <w:rPr>
          <w:rFonts w:ascii="Verdana" w:eastAsia="Verdana" w:hAnsi="Verdana" w:cs="Verdana"/>
          <w:sz w:val="24"/>
          <w:szCs w:val="24"/>
        </w:rPr>
        <w:t xml:space="preserve">handicapées. Le tribunal s’est aussi justifié sur les normes de l’accessibilité physique mais à aucun moment sur les aménagements de procédure  en termes de communication et d’assistance quotidienne. </w:t>
      </w: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Les activistes de handi-social ont finalement été conda</w:t>
      </w:r>
      <w:r>
        <w:rPr>
          <w:rFonts w:ascii="Verdana" w:eastAsia="Verdana" w:hAnsi="Verdana" w:cs="Verdana"/>
          <w:sz w:val="24"/>
          <w:szCs w:val="24"/>
        </w:rPr>
        <w:t>mnés à de lourdes peines pour avoir protesté contre le manque d´accessibilité, alors que le procès lui-même n’a pas respecté leur droit à la défense. Le Tribunal de Paris bien que neuf ne comportait pas non plus d’accessibilité et d’aménagements de procédu</w:t>
      </w:r>
      <w:r>
        <w:rPr>
          <w:rFonts w:ascii="Verdana" w:eastAsia="Verdana" w:hAnsi="Verdana" w:cs="Verdana"/>
          <w:sz w:val="24"/>
          <w:szCs w:val="24"/>
        </w:rPr>
        <w:t xml:space="preserve">re pour les personnes handicapées cognitives et psychosociales. </w:t>
      </w: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Une autre affaire conteste le fait que des interprètes en langue des signes soient fournis lors des procès, en 2021 une personne sourde et étrangère a été envoyée en prison sans interprète ce</w:t>
      </w:r>
      <w:r>
        <w:rPr>
          <w:rFonts w:ascii="Verdana" w:eastAsia="Verdana" w:hAnsi="Verdana" w:cs="Verdana"/>
          <w:sz w:val="24"/>
          <w:szCs w:val="24"/>
        </w:rPr>
        <w:t xml:space="preserve"> qui n’a pas permis d’avoir un procès équitable [5]. La mesure présentée par l’Etat français ne semble pas prendre en compte la diversité des personnes handicapées dont leurs origines étrangères et la non-maîtrise du français. </w:t>
      </w:r>
    </w:p>
    <w:p w:rsidR="00C92850" w:rsidRDefault="00C92850">
      <w:pPr>
        <w:spacing w:line="360" w:lineRule="auto"/>
        <w:rPr>
          <w:rFonts w:ascii="Verdana" w:eastAsia="Verdana" w:hAnsi="Verdana" w:cs="Verdana"/>
          <w:sz w:val="24"/>
          <w:szCs w:val="24"/>
        </w:rPr>
      </w:pP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 xml:space="preserve">Enfin, il faut noter qu’à </w:t>
      </w:r>
      <w:r>
        <w:rPr>
          <w:rFonts w:ascii="Verdana" w:eastAsia="Verdana" w:hAnsi="Verdana" w:cs="Verdana"/>
          <w:sz w:val="24"/>
          <w:szCs w:val="24"/>
        </w:rPr>
        <w:t>aucun moment ces “améliorations” présentées par l’Etat-Français n’ont pris en compte les personnes handicapées vivant en établissement spécialisé. Les aménagements de procédure et les garanties d’accès à la justice, comme pour les décisions liées à la tute</w:t>
      </w:r>
      <w:r>
        <w:rPr>
          <w:rFonts w:ascii="Verdana" w:eastAsia="Verdana" w:hAnsi="Verdana" w:cs="Verdana"/>
          <w:sz w:val="24"/>
          <w:szCs w:val="24"/>
        </w:rPr>
        <w:t xml:space="preserve">lle n’ont pas fait l’objet de mesure législative précise. </w:t>
      </w: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 xml:space="preserve">Notre association s’est prononcée sur l’affaire du “vacuum challenge” [6] qui a montré qu’un jeune autiste, victime de maltraitance dans son établissement spécialisé, n'a pas pu être entendu lors </w:t>
      </w:r>
      <w:r>
        <w:rPr>
          <w:rFonts w:ascii="Verdana" w:eastAsia="Verdana" w:hAnsi="Verdana" w:cs="Verdana"/>
          <w:sz w:val="24"/>
          <w:szCs w:val="24"/>
        </w:rPr>
        <w:t>du procès des éducatrices responsables de cette maltraitance. Les coupables ont été finalement relaxés sans aucune condamnation y compris en appel. Le jeune autiste non-verbal n’a pu obtenir des moyens de communication pour faire entendre son témoignage au</w:t>
      </w:r>
      <w:r>
        <w:rPr>
          <w:rFonts w:ascii="Verdana" w:eastAsia="Verdana" w:hAnsi="Verdana" w:cs="Verdana"/>
          <w:sz w:val="24"/>
          <w:szCs w:val="24"/>
        </w:rPr>
        <w:t xml:space="preserve">près des juges et n’a pas pu se défendre. </w:t>
      </w: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 xml:space="preserve">De même, notre association agit depuis plus de deux ans pour un jeune autiste en établissement spécialisé [7] qui a fait l’objet de plusieurs maltraitances. La personne étant sous tutelle, elle n’a aucun moyen de </w:t>
      </w:r>
      <w:r>
        <w:rPr>
          <w:rFonts w:ascii="Verdana" w:eastAsia="Verdana" w:hAnsi="Verdana" w:cs="Verdana"/>
          <w:sz w:val="24"/>
          <w:szCs w:val="24"/>
        </w:rPr>
        <w:t>déposer plainte auprès de la police. Or ce sont les témoignages et dépôt de plainte des victimes qui sont prises en compte, et non ceux des proches, surtout si elles sont sous tutelle.</w:t>
      </w: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b/>
          <w:bCs/>
          <w:sz w:val="24"/>
          <w:szCs w:val="24"/>
        </w:rPr>
      </w:pPr>
      <w:r>
        <w:rPr>
          <w:rFonts w:ascii="Verdana" w:eastAsia="Verdana" w:hAnsi="Verdana" w:cs="Verdana"/>
          <w:b/>
          <w:bCs/>
          <w:sz w:val="24"/>
          <w:szCs w:val="24"/>
        </w:rPr>
        <w:t xml:space="preserve"> Les personnes handicapées vivant en établissement spécialisé n’ont au</w:t>
      </w:r>
      <w:r>
        <w:rPr>
          <w:rFonts w:ascii="Verdana" w:eastAsia="Verdana" w:hAnsi="Verdana" w:cs="Verdana"/>
          <w:b/>
          <w:bCs/>
          <w:sz w:val="24"/>
          <w:szCs w:val="24"/>
        </w:rPr>
        <w:t xml:space="preserve">cun moyen de déposer plainte et ne sont pas concernées par les “améliorations” législatives de l’article 12 et 13, ces articles restent non appliqués pour l’ensemble de la population handicapée vivant en établissement médico-social. </w:t>
      </w:r>
    </w:p>
    <w:p w:rsidR="00C92850" w:rsidRDefault="00C92850">
      <w:pPr>
        <w:spacing w:line="360" w:lineRule="auto"/>
        <w:rPr>
          <w:rFonts w:ascii="Verdana" w:eastAsia="Verdana" w:hAnsi="Verdana" w:cs="Verdana"/>
          <w:sz w:val="24"/>
          <w:szCs w:val="24"/>
        </w:rPr>
      </w:pPr>
    </w:p>
    <w:p w:rsidR="00C92850" w:rsidRDefault="00BB19B7">
      <w:pPr>
        <w:spacing w:line="360" w:lineRule="auto"/>
      </w:pPr>
      <w:r>
        <w:rPr>
          <w:rStyle w:val="Policepardfaut"/>
          <w:rFonts w:ascii="Verdana" w:eastAsia="Verdana" w:hAnsi="Verdana" w:cs="Verdana"/>
          <w:b/>
          <w:bCs/>
          <w:sz w:val="24"/>
          <w:szCs w:val="24"/>
        </w:rPr>
        <w:t>Toutes ces affaires m</w:t>
      </w:r>
      <w:r>
        <w:rPr>
          <w:rStyle w:val="Policepardfaut"/>
          <w:rFonts w:ascii="Verdana" w:eastAsia="Verdana" w:hAnsi="Verdana" w:cs="Verdana"/>
          <w:b/>
          <w:bCs/>
          <w:sz w:val="24"/>
          <w:szCs w:val="24"/>
        </w:rPr>
        <w:t>ontrent que le point 1. de l’article 13 d’accès à la justice n’est pas respecté par l’Etat français et que sa réponse ne dispose d’aucune mesure législative, de plan d’accompagnement et d’aménagements de procédure pour changer cette situation</w:t>
      </w:r>
      <w:r>
        <w:rPr>
          <w:rStyle w:val="Policepardfaut"/>
          <w:rFonts w:ascii="Verdana" w:eastAsia="Verdana" w:hAnsi="Verdana" w:cs="Verdana"/>
          <w:sz w:val="24"/>
          <w:szCs w:val="24"/>
        </w:rPr>
        <w:t xml:space="preserve">. </w:t>
      </w:r>
    </w:p>
    <w:p w:rsidR="00C92850" w:rsidRDefault="00C92850">
      <w:pPr>
        <w:spacing w:line="360" w:lineRule="auto"/>
        <w:rPr>
          <w:rFonts w:ascii="Verdana" w:eastAsia="Verdana" w:hAnsi="Verdana" w:cs="Verdana"/>
        </w:rPr>
      </w:pPr>
    </w:p>
    <w:p w:rsidR="00C92850" w:rsidRDefault="00BB19B7">
      <w:pPr>
        <w:spacing w:line="360" w:lineRule="auto"/>
        <w:rPr>
          <w:rFonts w:ascii="Verdana" w:eastAsia="Verdana" w:hAnsi="Verdana" w:cs="Verdana"/>
          <w:sz w:val="16"/>
          <w:szCs w:val="16"/>
        </w:rPr>
      </w:pPr>
      <w:r>
        <w:rPr>
          <w:rFonts w:ascii="Verdana" w:eastAsia="Verdana" w:hAnsi="Verdana" w:cs="Verdana"/>
          <w:sz w:val="16"/>
          <w:szCs w:val="16"/>
        </w:rPr>
        <w:t>Références</w:t>
      </w:r>
      <w:r>
        <w:rPr>
          <w:rFonts w:ascii="Verdana" w:eastAsia="Verdana" w:hAnsi="Verdana" w:cs="Verdana"/>
          <w:sz w:val="16"/>
          <w:szCs w:val="16"/>
        </w:rPr>
        <w:t xml:space="preserve"> : </w:t>
      </w:r>
    </w:p>
    <w:p w:rsidR="00C92850" w:rsidRDefault="00C92850">
      <w:pPr>
        <w:spacing w:line="360" w:lineRule="auto"/>
        <w:rPr>
          <w:rFonts w:ascii="Verdana" w:eastAsia="Verdana" w:hAnsi="Verdana" w:cs="Verdana"/>
          <w:sz w:val="16"/>
          <w:szCs w:val="16"/>
        </w:rPr>
      </w:pPr>
    </w:p>
    <w:p w:rsidR="00C92850" w:rsidRDefault="00BB19B7">
      <w:pPr>
        <w:spacing w:line="360" w:lineRule="auto"/>
      </w:pPr>
      <w:r>
        <w:rPr>
          <w:rStyle w:val="Policepardfaut"/>
          <w:rFonts w:ascii="Verdana" w:eastAsia="Verdana" w:hAnsi="Verdana" w:cs="Verdana"/>
          <w:sz w:val="16"/>
          <w:szCs w:val="16"/>
        </w:rPr>
        <w:t xml:space="preserve">[4] </w:t>
      </w:r>
      <w:hyperlink r:id="rId13" w:history="1">
        <w:r>
          <w:rPr>
            <w:rStyle w:val="Policepardfaut"/>
            <w:rFonts w:ascii="Verdana" w:eastAsia="Verdana" w:hAnsi="Verdana" w:cs="Verdana"/>
            <w:color w:val="1155CC"/>
            <w:sz w:val="16"/>
            <w:szCs w:val="16"/>
            <w:u w:val="single"/>
          </w:rPr>
          <w:t>https://www.20minutes.fr/justice/3005119-20210323-toulouse-accessibilite-tribunal-pointe-doigt-lors-proces-militants-situation-handicap</w:t>
        </w:r>
      </w:hyperlink>
      <w:r>
        <w:rPr>
          <w:rStyle w:val="Policepardfaut"/>
          <w:rFonts w:ascii="Verdana" w:eastAsia="Verdana" w:hAnsi="Verdana" w:cs="Verdana"/>
          <w:sz w:val="16"/>
          <w:szCs w:val="16"/>
        </w:rPr>
        <w:t xml:space="preserve"> </w:t>
      </w:r>
    </w:p>
    <w:p w:rsidR="00C92850" w:rsidRDefault="00BB19B7">
      <w:pPr>
        <w:spacing w:line="360" w:lineRule="auto"/>
      </w:pPr>
      <w:r>
        <w:rPr>
          <w:rStyle w:val="Policepardfaut"/>
          <w:rFonts w:ascii="Verdana" w:eastAsia="Verdana" w:hAnsi="Verdana" w:cs="Verdana"/>
          <w:sz w:val="16"/>
          <w:szCs w:val="16"/>
        </w:rPr>
        <w:t xml:space="preserve">[5] </w:t>
      </w:r>
      <w:hyperlink r:id="rId14" w:history="1">
        <w:r>
          <w:rPr>
            <w:rStyle w:val="Policepardfaut"/>
            <w:rFonts w:ascii="Verdana" w:eastAsia="Verdana" w:hAnsi="Verdana" w:cs="Verdana"/>
            <w:color w:val="1155CC"/>
            <w:sz w:val="16"/>
            <w:szCs w:val="16"/>
            <w:u w:val="single"/>
          </w:rPr>
          <w:t>https://www.leprogres.fr/faits-divers-justice/2021/07/01/un-prevenu-sourd-et-muet-envoye-en-prison-malgre-l-absence-d-interprete</w:t>
        </w:r>
      </w:hyperlink>
    </w:p>
    <w:p w:rsidR="00C92850" w:rsidRDefault="00BB19B7">
      <w:pPr>
        <w:spacing w:line="360" w:lineRule="auto"/>
      </w:pPr>
      <w:r>
        <w:rPr>
          <w:rStyle w:val="Policepardfaut"/>
          <w:rFonts w:ascii="Verdana" w:eastAsia="Verdana" w:hAnsi="Verdana" w:cs="Verdana"/>
          <w:sz w:val="16"/>
          <w:szCs w:val="16"/>
        </w:rPr>
        <w:t xml:space="preserve">[6] </w:t>
      </w:r>
      <w:hyperlink r:id="rId15" w:history="1">
        <w:r>
          <w:rPr>
            <w:rStyle w:val="Policepardfaut"/>
            <w:rFonts w:ascii="Verdana" w:eastAsia="Verdana" w:hAnsi="Verdana" w:cs="Verdana"/>
            <w:color w:val="1155CC"/>
            <w:sz w:val="16"/>
            <w:szCs w:val="16"/>
            <w:u w:val="single"/>
          </w:rPr>
          <w:t>https://informations.handicap.fr/a-xavier-autiste-vacuum-challenge-poubelle-enferme-12978.php</w:t>
        </w:r>
      </w:hyperlink>
      <w:r>
        <w:rPr>
          <w:rStyle w:val="Policepardfaut"/>
          <w:rFonts w:ascii="Verdana" w:eastAsia="Verdana" w:hAnsi="Verdana" w:cs="Verdana"/>
          <w:sz w:val="16"/>
          <w:szCs w:val="16"/>
        </w:rPr>
        <w:t xml:space="preserve"> </w:t>
      </w:r>
    </w:p>
    <w:p w:rsidR="00C92850" w:rsidRDefault="00BB19B7">
      <w:pPr>
        <w:spacing w:line="360" w:lineRule="auto"/>
      </w:pPr>
      <w:r>
        <w:rPr>
          <w:rStyle w:val="Policepardfaut"/>
          <w:rFonts w:ascii="Verdana" w:eastAsia="Verdana" w:hAnsi="Verdana" w:cs="Verdana"/>
          <w:sz w:val="16"/>
          <w:szCs w:val="16"/>
        </w:rPr>
        <w:t xml:space="preserve">[7] </w:t>
      </w:r>
      <w:hyperlink r:id="rId16" w:history="1">
        <w:r>
          <w:rPr>
            <w:rStyle w:val="Policepardfaut"/>
            <w:rFonts w:ascii="Verdana" w:eastAsia="Verdana" w:hAnsi="Verdana" w:cs="Verdana"/>
            <w:color w:val="1155CC"/>
            <w:sz w:val="16"/>
            <w:szCs w:val="16"/>
            <w:u w:val="single"/>
          </w:rPr>
          <w:t>https://cle-autistes.fr/mas-michel-chapuis-punitions-isol</w:t>
        </w:r>
        <w:r>
          <w:rPr>
            <w:rStyle w:val="Policepardfaut"/>
            <w:rFonts w:ascii="Verdana" w:eastAsia="Verdana" w:hAnsi="Verdana" w:cs="Verdana"/>
            <w:color w:val="1155CC"/>
            <w:sz w:val="16"/>
            <w:szCs w:val="16"/>
            <w:u w:val="single"/>
          </w:rPr>
          <w:t>ement/</w:t>
        </w:r>
      </w:hyperlink>
      <w:r>
        <w:rPr>
          <w:rStyle w:val="Policepardfaut"/>
          <w:rFonts w:ascii="Verdana" w:eastAsia="Verdana" w:hAnsi="Verdana" w:cs="Verdana"/>
          <w:sz w:val="16"/>
          <w:szCs w:val="16"/>
        </w:rPr>
        <w:t xml:space="preserve"> </w:t>
      </w:r>
    </w:p>
    <w:p w:rsidR="00C92850" w:rsidRDefault="00C92850">
      <w:pPr>
        <w:spacing w:line="360" w:lineRule="auto"/>
        <w:rPr>
          <w:rFonts w:ascii="Verdana" w:eastAsia="Verdana" w:hAnsi="Verdana" w:cs="Verdana"/>
          <w:sz w:val="16"/>
          <w:szCs w:val="16"/>
        </w:rPr>
      </w:pPr>
    </w:p>
    <w:p w:rsidR="00C92850" w:rsidRDefault="00BB19B7">
      <w:pPr>
        <w:spacing w:line="360" w:lineRule="auto"/>
      </w:pPr>
      <w:r>
        <w:rPr>
          <w:rStyle w:val="Policepardfaut"/>
          <w:rFonts w:ascii="Verdana" w:eastAsia="Verdana" w:hAnsi="Verdana" w:cs="Verdana"/>
          <w:b/>
          <w:bCs/>
          <w:sz w:val="24"/>
          <w:szCs w:val="24"/>
        </w:rPr>
        <w:t>Sur l’article 13</w:t>
      </w:r>
      <w:r>
        <w:rPr>
          <w:rStyle w:val="Policepardfaut"/>
          <w:rFonts w:ascii="Verdana" w:eastAsia="Verdana" w:hAnsi="Verdana" w:cs="Verdana"/>
          <w:b/>
          <w:bCs/>
          <w:sz w:val="28"/>
          <w:szCs w:val="28"/>
        </w:rPr>
        <w:t>,</w:t>
      </w:r>
      <w:r>
        <w:rPr>
          <w:rStyle w:val="Policepardfaut"/>
          <w:rFonts w:ascii="Verdana" w:eastAsia="Verdana" w:hAnsi="Verdana" w:cs="Verdana"/>
          <w:b/>
          <w:bCs/>
          <w:sz w:val="24"/>
          <w:szCs w:val="24"/>
        </w:rPr>
        <w:t xml:space="preserve"> nous proposons au comité les recommandations suivantes pour l’Etat :</w:t>
      </w:r>
    </w:p>
    <w:p w:rsidR="00C92850" w:rsidRDefault="00C92850">
      <w:pPr>
        <w:spacing w:line="360" w:lineRule="auto"/>
        <w:rPr>
          <w:rFonts w:ascii="Verdana" w:eastAsia="Verdana" w:hAnsi="Verdana" w:cs="Verdana"/>
          <w:b/>
          <w:bCs/>
        </w:rPr>
      </w:pPr>
    </w:p>
    <w:p w:rsidR="00C92850" w:rsidRDefault="00BB19B7">
      <w:pPr>
        <w:pStyle w:val="Paragraphedeliste"/>
        <w:numPr>
          <w:ilvl w:val="0"/>
          <w:numId w:val="3"/>
        </w:numPr>
        <w:spacing w:line="360" w:lineRule="auto"/>
      </w:pPr>
      <w:r>
        <w:rPr>
          <w:rStyle w:val="Policepardfaut"/>
          <w:rFonts w:ascii="Verdana" w:hAnsi="Verdana"/>
          <w:b/>
          <w:bCs/>
          <w:color w:val="000000"/>
          <w:lang w:val="fr-FR"/>
        </w:rPr>
        <w:t>Reconnaitre la capacité juridique des personnes handicapées et leur droit à accéder à la justice sur la base de l’égalité avec les autres et dans toutes les pr</w:t>
      </w:r>
      <w:r>
        <w:rPr>
          <w:rStyle w:val="Policepardfaut"/>
          <w:rFonts w:ascii="Verdana" w:hAnsi="Verdana"/>
          <w:b/>
          <w:bCs/>
          <w:color w:val="000000"/>
          <w:lang w:val="fr-FR"/>
        </w:rPr>
        <w:t xml:space="preserve">océdures judiciaires. </w:t>
      </w:r>
    </w:p>
    <w:p w:rsidR="00C92850" w:rsidRDefault="00C92850">
      <w:pPr>
        <w:pStyle w:val="Paragraphedeliste"/>
        <w:spacing w:line="360" w:lineRule="auto"/>
        <w:rPr>
          <w:rFonts w:ascii="Verdana" w:eastAsia="Verdana" w:hAnsi="Verdana" w:cs="Verdana"/>
          <w:b/>
          <w:bCs/>
          <w:lang w:val="fr-FR"/>
        </w:rPr>
      </w:pPr>
    </w:p>
    <w:p w:rsidR="00C92850" w:rsidRDefault="00BB19B7">
      <w:pPr>
        <w:pStyle w:val="Paragraphedeliste"/>
        <w:numPr>
          <w:ilvl w:val="0"/>
          <w:numId w:val="3"/>
        </w:numPr>
        <w:spacing w:line="360" w:lineRule="auto"/>
      </w:pPr>
      <w:r>
        <w:rPr>
          <w:rStyle w:val="Policepardfaut"/>
          <w:rFonts w:ascii="Verdana" w:hAnsi="Verdana"/>
          <w:b/>
          <w:bCs/>
          <w:color w:val="000000"/>
          <w:lang w:val="fr-FR"/>
        </w:rPr>
        <w:t>Développer des mécanismes d’assistance</w:t>
      </w:r>
      <w:r>
        <w:rPr>
          <w:rStyle w:val="Policepardfaut"/>
          <w:rFonts w:ascii="Verdana" w:hAnsi="Verdana"/>
          <w:b/>
          <w:bCs/>
          <w:color w:val="000000"/>
        </w:rPr>
        <w:t xml:space="preserve"> juridique appropriée et </w:t>
      </w:r>
      <w:r>
        <w:rPr>
          <w:rStyle w:val="Policepardfaut"/>
          <w:rFonts w:ascii="Verdana" w:hAnsi="Verdana"/>
          <w:b/>
          <w:bCs/>
          <w:color w:val="000000"/>
          <w:lang w:val="fr-FR"/>
        </w:rPr>
        <w:t>d’accompagnement</w:t>
      </w:r>
      <w:r>
        <w:rPr>
          <w:rStyle w:val="Policepardfaut"/>
          <w:rFonts w:ascii="Verdana" w:hAnsi="Verdana"/>
          <w:b/>
          <w:bCs/>
          <w:color w:val="000000"/>
        </w:rPr>
        <w:t xml:space="preserve"> </w:t>
      </w:r>
      <w:r>
        <w:rPr>
          <w:rStyle w:val="Policepardfaut"/>
          <w:rFonts w:ascii="Verdana" w:hAnsi="Verdana"/>
          <w:b/>
          <w:bCs/>
          <w:color w:val="000000"/>
          <w:lang w:val="fr-FR"/>
        </w:rPr>
        <w:t>dans tous les domaines.</w:t>
      </w:r>
    </w:p>
    <w:p w:rsidR="00C92850" w:rsidRDefault="00BB19B7">
      <w:pPr>
        <w:pStyle w:val="NormalWeb"/>
        <w:numPr>
          <w:ilvl w:val="0"/>
          <w:numId w:val="3"/>
        </w:numPr>
        <w:spacing w:before="240" w:after="240"/>
      </w:pPr>
      <w:r>
        <w:rPr>
          <w:rStyle w:val="Policepardfaut"/>
          <w:rFonts w:ascii="Verdana" w:hAnsi="Verdana" w:cs="Arial"/>
          <w:b/>
          <w:bCs/>
          <w:color w:val="000000"/>
          <w:sz w:val="22"/>
          <w:szCs w:val="22"/>
        </w:rPr>
        <w:t xml:space="preserve">Développer des moyens alternatifs d’informations et de communication augmentée pour les procédures légales et judiciaires selon </w:t>
      </w:r>
      <w:r>
        <w:rPr>
          <w:rStyle w:val="Policepardfaut"/>
          <w:rFonts w:ascii="Verdana" w:hAnsi="Verdana" w:cs="Arial"/>
          <w:b/>
          <w:bCs/>
          <w:color w:val="000000"/>
          <w:sz w:val="22"/>
          <w:szCs w:val="22"/>
        </w:rPr>
        <w:t xml:space="preserve">le principe du design universel et adopter un plan d’action pour l’accessibilité des tribunaux et services juridiques. </w:t>
      </w:r>
    </w:p>
    <w:p w:rsidR="00C92850" w:rsidRDefault="00C92850">
      <w:pPr>
        <w:spacing w:line="360" w:lineRule="auto"/>
        <w:rPr>
          <w:rFonts w:ascii="Verdana" w:eastAsia="Verdana" w:hAnsi="Verdana" w:cs="Verdana"/>
          <w:sz w:val="16"/>
          <w:szCs w:val="16"/>
          <w:lang w:val="fr-FR"/>
        </w:rPr>
      </w:pPr>
    </w:p>
    <w:p w:rsidR="00C92850" w:rsidRDefault="00BB19B7">
      <w:pPr>
        <w:spacing w:before="240" w:after="240" w:line="360" w:lineRule="auto"/>
      </w:pPr>
      <w:r>
        <w:rPr>
          <w:rStyle w:val="Policepardfaut"/>
          <w:rFonts w:ascii="Verdana" w:eastAsia="Verdana" w:hAnsi="Verdana" w:cs="Verdana"/>
          <w:b/>
          <w:sz w:val="24"/>
          <w:szCs w:val="24"/>
        </w:rPr>
        <w:t xml:space="preserve">Article 14 :  Liberté et sécurité de la personne </w:t>
      </w:r>
      <w:r>
        <w:rPr>
          <w:rStyle w:val="Policepardfaut"/>
          <w:rFonts w:ascii="Verdana" w:eastAsia="Verdana" w:hAnsi="Verdana" w:cs="Verdana"/>
          <w:sz w:val="24"/>
          <w:szCs w:val="24"/>
        </w:rPr>
        <w:t xml:space="preserve"> </w:t>
      </w:r>
    </w:p>
    <w:p w:rsidR="00C92850" w:rsidRDefault="00BB19B7">
      <w:pPr>
        <w:spacing w:before="240" w:after="240" w:line="360" w:lineRule="auto"/>
      </w:pPr>
      <w:r>
        <w:rPr>
          <w:rStyle w:val="Policepardfaut"/>
          <w:rFonts w:ascii="Verdana" w:eastAsia="Verdana" w:hAnsi="Verdana" w:cs="Verdana"/>
          <w:sz w:val="24"/>
          <w:szCs w:val="24"/>
        </w:rPr>
        <w:t>Dans le cadre d’une affaire de tutelle d’un jeune autiste placé dans un établissemen</w:t>
      </w:r>
      <w:r>
        <w:rPr>
          <w:rStyle w:val="Policepardfaut"/>
          <w:rFonts w:ascii="Verdana" w:eastAsia="Verdana" w:hAnsi="Verdana" w:cs="Verdana"/>
          <w:sz w:val="24"/>
          <w:szCs w:val="24"/>
        </w:rPr>
        <w:t>t spécialisé que nous avons traité, le tribunal de la cour d’appel de Lyon en janvier 2021 (Réf: UR/CRPD/16/FRA/1) a re</w:t>
      </w:r>
      <w:r>
        <w:rPr>
          <w:rStyle w:val="Policepardfaut"/>
          <w:rFonts w:ascii="Verdana" w:eastAsia="Verdana" w:hAnsi="Verdana" w:cs="Verdana"/>
          <w:sz w:val="26"/>
          <w:szCs w:val="26"/>
        </w:rPr>
        <w:t>connu</w:t>
      </w:r>
      <w:r>
        <w:rPr>
          <w:rStyle w:val="Policepardfaut"/>
          <w:rFonts w:ascii="Verdana" w:eastAsia="Verdana" w:hAnsi="Verdana" w:cs="Verdana"/>
          <w:sz w:val="24"/>
          <w:szCs w:val="24"/>
        </w:rPr>
        <w:t xml:space="preserve"> que les personnes handicapées pouvaient être privées de liberté sur la base de leur handicap. Ce jugement est ainsi en conflit avec</w:t>
      </w:r>
      <w:r>
        <w:rPr>
          <w:rStyle w:val="Policepardfaut"/>
          <w:rFonts w:ascii="Verdana" w:eastAsia="Verdana" w:hAnsi="Verdana" w:cs="Verdana"/>
          <w:sz w:val="24"/>
          <w:szCs w:val="24"/>
        </w:rPr>
        <w:t xml:space="preserve"> l’article 14 de la convention et ne va pas dans le sens d’une sensibilisation des juges contrairement à ce qui a été avancée par  l’Etat Français.</w:t>
      </w:r>
    </w:p>
    <w:p w:rsidR="00C92850" w:rsidRDefault="00C92850">
      <w:pPr>
        <w:spacing w:before="240" w:after="240" w:line="360" w:lineRule="auto"/>
        <w:rPr>
          <w:rFonts w:ascii="Verdana" w:eastAsia="Verdana" w:hAnsi="Verdana" w:cs="Verdana"/>
          <w:sz w:val="24"/>
          <w:szCs w:val="24"/>
        </w:rPr>
      </w:pPr>
    </w:p>
    <w:p w:rsidR="00C92850" w:rsidRDefault="00BB19B7">
      <w:pPr>
        <w:spacing w:before="240" w:after="240" w:line="360" w:lineRule="auto"/>
        <w:rPr>
          <w:rFonts w:ascii="Verdana" w:eastAsia="Verdana" w:hAnsi="Verdana" w:cs="Verdana"/>
          <w:b/>
          <w:sz w:val="24"/>
          <w:szCs w:val="24"/>
        </w:rPr>
      </w:pPr>
      <w:r>
        <w:rPr>
          <w:rFonts w:ascii="Verdana" w:eastAsia="Verdana" w:hAnsi="Verdana" w:cs="Verdana"/>
          <w:b/>
          <w:sz w:val="24"/>
          <w:szCs w:val="24"/>
        </w:rPr>
        <w:t>Article 15 : Droit de ne pas être soumis à la torture ni à des peines ou traitements cruels, inhumains ou d</w:t>
      </w:r>
      <w:r>
        <w:rPr>
          <w:rFonts w:ascii="Verdana" w:eastAsia="Verdana" w:hAnsi="Verdana" w:cs="Verdana"/>
          <w:b/>
          <w:sz w:val="24"/>
          <w:szCs w:val="24"/>
        </w:rPr>
        <w:t xml:space="preserve">égradants </w:t>
      </w:r>
    </w:p>
    <w:p w:rsidR="00C92850" w:rsidRDefault="00BB19B7">
      <w:pPr>
        <w:spacing w:before="240" w:after="240" w:line="360" w:lineRule="auto"/>
        <w:rPr>
          <w:rFonts w:ascii="Verdana" w:eastAsia="Verdana" w:hAnsi="Verdana" w:cs="Verdana"/>
          <w:sz w:val="24"/>
          <w:szCs w:val="24"/>
        </w:rPr>
      </w:pPr>
      <w:r>
        <w:rPr>
          <w:rFonts w:ascii="Verdana" w:eastAsia="Verdana" w:hAnsi="Verdana" w:cs="Verdana"/>
          <w:sz w:val="24"/>
          <w:szCs w:val="24"/>
        </w:rPr>
        <w:t xml:space="preserve">La France ne reconnaît pas le cadre de l’article 15 de la convention et préfère la convention d'Oviedo dans sa déclaration interprétative de la convention en 2016.  La notion de consentement n’est pas reconnue pour les personnes ayant un </w:t>
      </w:r>
      <w:r>
        <w:rPr>
          <w:rFonts w:ascii="Verdana" w:eastAsia="Verdana" w:hAnsi="Verdana" w:cs="Verdana"/>
          <w:sz w:val="24"/>
          <w:szCs w:val="24"/>
        </w:rPr>
        <w:t>diagnostic de handicap cognitif, intellectuel ou psychosocial et la plupart du temps elles font l’objet d’expériences médicales et scientifiques sans consentement. Les traitements forcés sont la norme en psychiatrie surtout pour les situations d’urgence et</w:t>
      </w:r>
      <w:r>
        <w:rPr>
          <w:rFonts w:ascii="Verdana" w:eastAsia="Verdana" w:hAnsi="Verdana" w:cs="Verdana"/>
          <w:sz w:val="24"/>
          <w:szCs w:val="24"/>
        </w:rPr>
        <w:t xml:space="preserve"> pour l’accompagnement des enfants. Une affaire récente a fait scandale: de nombreux essais scientifiques médicaux illégaux ont été menés sur des enfants autistes. Et il n’y a pas eu de sanctions de la majorité des responsables impliqués. Dans l’ensemble, </w:t>
      </w:r>
      <w:r>
        <w:rPr>
          <w:rFonts w:ascii="Verdana" w:eastAsia="Verdana" w:hAnsi="Verdana" w:cs="Verdana"/>
          <w:sz w:val="24"/>
          <w:szCs w:val="24"/>
        </w:rPr>
        <w:t>des projets de recherche identiques autorisés sur les mêmes sujets n’intègrent pas la notion de consentement aux essais cliniques pour des enfants ou adultes avec un handicap cognitif, intellectuel ou psychosocial s’ils sont perçus comme “sans discernement</w:t>
      </w:r>
      <w:r>
        <w:rPr>
          <w:rFonts w:ascii="Verdana" w:eastAsia="Verdana" w:hAnsi="Verdana" w:cs="Verdana"/>
          <w:sz w:val="24"/>
          <w:szCs w:val="24"/>
        </w:rPr>
        <w:t xml:space="preserve">”.  De nombreux protocoles de recherche ne comportent pas de la réflexion éthique nécessaire à la prise en compte du consentement et de l’accessibilité dans les expériences scientifiques ou médicales. </w:t>
      </w:r>
    </w:p>
    <w:p w:rsidR="00C92850" w:rsidRDefault="00BB19B7">
      <w:pPr>
        <w:spacing w:before="240" w:after="240" w:line="360" w:lineRule="auto"/>
      </w:pPr>
      <w:r>
        <w:rPr>
          <w:rStyle w:val="Policepardfaut"/>
          <w:rFonts w:ascii="Verdana" w:eastAsia="Verdana" w:hAnsi="Verdana" w:cs="Verdana"/>
          <w:b/>
          <w:bCs/>
          <w:sz w:val="24"/>
          <w:szCs w:val="24"/>
        </w:rPr>
        <w:t>Sur l’article 15,</w:t>
      </w:r>
      <w:r>
        <w:rPr>
          <w:rStyle w:val="Policepardfaut"/>
          <w:rFonts w:ascii="Verdana" w:eastAsia="Verdana" w:hAnsi="Verdana" w:cs="Verdana"/>
          <w:b/>
          <w:bCs/>
          <w:sz w:val="28"/>
          <w:szCs w:val="28"/>
        </w:rPr>
        <w:t xml:space="preserve"> </w:t>
      </w:r>
      <w:r>
        <w:rPr>
          <w:rStyle w:val="Policepardfaut"/>
          <w:rFonts w:ascii="Verdana" w:eastAsia="Verdana" w:hAnsi="Verdana" w:cs="Verdana"/>
          <w:b/>
          <w:bCs/>
          <w:sz w:val="24"/>
          <w:szCs w:val="24"/>
        </w:rPr>
        <w:t xml:space="preserve">nous proposons au comité les </w:t>
      </w:r>
      <w:r>
        <w:rPr>
          <w:rStyle w:val="Policepardfaut"/>
          <w:rFonts w:ascii="Verdana" w:eastAsia="Verdana" w:hAnsi="Verdana" w:cs="Verdana"/>
          <w:b/>
          <w:bCs/>
          <w:sz w:val="24"/>
          <w:szCs w:val="24"/>
        </w:rPr>
        <w:t>recommandations suivantes pour l’Etat :</w:t>
      </w:r>
    </w:p>
    <w:p w:rsidR="00C92850" w:rsidRDefault="00BB19B7">
      <w:pPr>
        <w:pStyle w:val="NormalWeb"/>
        <w:numPr>
          <w:ilvl w:val="0"/>
          <w:numId w:val="4"/>
        </w:numPr>
        <w:spacing w:before="240" w:after="240"/>
        <w:rPr>
          <w:rFonts w:ascii="Verdana" w:hAnsi="Verdana" w:cs="Arial"/>
          <w:b/>
          <w:bCs/>
          <w:color w:val="000000"/>
          <w:sz w:val="22"/>
          <w:szCs w:val="22"/>
        </w:rPr>
      </w:pPr>
      <w:r>
        <w:rPr>
          <w:rFonts w:ascii="Verdana" w:hAnsi="Verdana" w:cs="Arial"/>
          <w:b/>
          <w:bCs/>
          <w:color w:val="000000"/>
          <w:sz w:val="22"/>
          <w:szCs w:val="22"/>
        </w:rPr>
        <w:t>Revenir sur sa déclaration interprétative de l’article 15 et reconnaitre les traitements forcés sur la base du handicap comme une violation du droit des personnes handicapées à être libre de tout traitement cruel, in</w:t>
      </w:r>
      <w:r>
        <w:rPr>
          <w:rFonts w:ascii="Verdana" w:hAnsi="Verdana" w:cs="Arial"/>
          <w:b/>
          <w:bCs/>
          <w:color w:val="000000"/>
          <w:sz w:val="22"/>
          <w:szCs w:val="22"/>
        </w:rPr>
        <w:t xml:space="preserve">humain ou dégradant. </w:t>
      </w:r>
    </w:p>
    <w:p w:rsidR="00C92850" w:rsidRDefault="00BB19B7">
      <w:pPr>
        <w:pStyle w:val="NormalWeb"/>
        <w:numPr>
          <w:ilvl w:val="0"/>
          <w:numId w:val="4"/>
        </w:numPr>
        <w:spacing w:before="240" w:after="240"/>
        <w:rPr>
          <w:rFonts w:ascii="Verdana" w:hAnsi="Verdana" w:cs="Arial"/>
          <w:b/>
          <w:bCs/>
          <w:color w:val="000000"/>
          <w:sz w:val="22"/>
          <w:szCs w:val="22"/>
        </w:rPr>
      </w:pPr>
      <w:r>
        <w:rPr>
          <w:rFonts w:ascii="Verdana" w:hAnsi="Verdana" w:cs="Arial"/>
          <w:b/>
          <w:bCs/>
          <w:color w:val="000000"/>
          <w:sz w:val="22"/>
          <w:szCs w:val="22"/>
        </w:rPr>
        <w:t>S’assurer du droit des personnes handicapées à prendre des décisions autonomes basée sur leur consentement libre et éclairé, incluant des mécanismes de décision assistée pour tous les traitements médicaux ou de réadaptation, y compris</w:t>
      </w:r>
      <w:r>
        <w:rPr>
          <w:rFonts w:ascii="Verdana" w:hAnsi="Verdana" w:cs="Arial"/>
          <w:b/>
          <w:bCs/>
          <w:color w:val="000000"/>
          <w:sz w:val="22"/>
          <w:szCs w:val="22"/>
        </w:rPr>
        <w:t xml:space="preserve"> pour les enfants handicapés.</w:t>
      </w:r>
    </w:p>
    <w:p w:rsidR="00C92850" w:rsidRDefault="00BB19B7">
      <w:pPr>
        <w:pStyle w:val="NormalWeb"/>
        <w:numPr>
          <w:ilvl w:val="0"/>
          <w:numId w:val="4"/>
        </w:numPr>
        <w:spacing w:before="240" w:after="240"/>
      </w:pPr>
      <w:r>
        <w:rPr>
          <w:rStyle w:val="Policepardfaut"/>
          <w:rFonts w:ascii="Verdana" w:hAnsi="Verdana" w:cs="Arial"/>
          <w:b/>
          <w:bCs/>
          <w:color w:val="000000"/>
          <w:sz w:val="22"/>
          <w:szCs w:val="22"/>
        </w:rPr>
        <w:t>Renforcer et implémenter des cadres légaux pour s’assurer du consentement libre et éclairé et de l’accessibilité des protocoles de recherche et médicaux à toutes les personnes handicapées quelle que soit leur capacité.</w:t>
      </w:r>
    </w:p>
    <w:p w:rsidR="00C92850" w:rsidRDefault="00C92850">
      <w:pPr>
        <w:spacing w:line="360" w:lineRule="auto"/>
        <w:ind w:left="-1080"/>
        <w:rPr>
          <w:rFonts w:ascii="Verdana" w:eastAsia="Verdana" w:hAnsi="Verdana" w:cs="Verdana"/>
          <w:sz w:val="16"/>
          <w:szCs w:val="16"/>
          <w:lang w:val="fr-FR"/>
        </w:rPr>
      </w:pPr>
    </w:p>
    <w:p w:rsidR="00C92850" w:rsidRDefault="00C92850">
      <w:pPr>
        <w:spacing w:line="360" w:lineRule="auto"/>
        <w:ind w:left="-1080"/>
        <w:rPr>
          <w:rFonts w:ascii="Verdana" w:eastAsia="Verdana" w:hAnsi="Verdana" w:cs="Verdana"/>
          <w:sz w:val="24"/>
          <w:szCs w:val="24"/>
          <w:lang w:val="fr-FR"/>
        </w:rPr>
      </w:pPr>
    </w:p>
    <w:p w:rsidR="00C92850" w:rsidRDefault="00BB19B7">
      <w:r>
        <w:rPr>
          <w:rStyle w:val="Policepardfaut"/>
          <w:rFonts w:ascii="Verdana" w:eastAsia="Verdana" w:hAnsi="Verdana" w:cs="Verdana"/>
          <w:b/>
          <w:sz w:val="24"/>
          <w:szCs w:val="24"/>
          <w:lang w:val="fr-FR"/>
        </w:rPr>
        <w:t xml:space="preserve"> </w:t>
      </w:r>
      <w:r>
        <w:rPr>
          <w:rStyle w:val="Policepardfaut"/>
          <w:rFonts w:ascii="Verdana" w:eastAsia="Verdana" w:hAnsi="Verdana" w:cs="Verdana"/>
          <w:b/>
          <w:sz w:val="24"/>
          <w:szCs w:val="24"/>
        </w:rPr>
        <w:t>Arti</w:t>
      </w:r>
      <w:r>
        <w:rPr>
          <w:rStyle w:val="Policepardfaut"/>
          <w:rFonts w:ascii="Verdana" w:eastAsia="Verdana" w:hAnsi="Verdana" w:cs="Verdana"/>
          <w:b/>
          <w:sz w:val="24"/>
          <w:szCs w:val="24"/>
        </w:rPr>
        <w:t xml:space="preserve">cle 19 : Droit à l'Autonomie de vie et inclusion dans la société </w:t>
      </w: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Notre association souhaite enfin attirer l’attention sur la mise en œuvre de l’article 19, relative au choix de son lieu de vie et de résidence en société. Il est clair que dans son observa</w:t>
      </w:r>
      <w:r>
        <w:rPr>
          <w:rFonts w:ascii="Verdana" w:eastAsia="Verdana" w:hAnsi="Verdana" w:cs="Verdana"/>
          <w:sz w:val="24"/>
          <w:szCs w:val="24"/>
        </w:rPr>
        <w:t xml:space="preserve">tion générale sur l’article 19, le comité associe la mise en œuvre de cet article à une politique de désinstitutionalisation et de développement des services en assistance personnelle. </w:t>
      </w: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Dans sa réponse, l'État français dit “Des stratégies ont d’ores et déj</w:t>
      </w:r>
      <w:r>
        <w:rPr>
          <w:rFonts w:ascii="Verdana" w:eastAsia="Verdana" w:hAnsi="Verdana" w:cs="Verdana"/>
          <w:sz w:val="24"/>
          <w:szCs w:val="24"/>
        </w:rPr>
        <w:t xml:space="preserve">à été déployées dans les domaines de l’école, de l’emploi, du logement, de la santé, du sport, de la culture pour faire évoluer à la fois les dispositifs « ordinaires » et « spécialisés ».” </w:t>
      </w: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Ce décloisonnement du milieu spécialisé et ordinaire a été appuy</w:t>
      </w:r>
      <w:r>
        <w:rPr>
          <w:rFonts w:ascii="Verdana" w:eastAsia="Verdana" w:hAnsi="Verdana" w:cs="Verdana"/>
          <w:sz w:val="24"/>
          <w:szCs w:val="24"/>
        </w:rPr>
        <w:t>é également par les conseillers du cabinet ministériel de la Secrétaire chargée des personnes handicapées Mme Cluzel lors de réunions sur l’accès à l’emploi des personnes handicapées. Il n’y a pas de volonté de fermer les établissements spécialisés, mais d</w:t>
      </w:r>
      <w:r>
        <w:rPr>
          <w:rFonts w:ascii="Verdana" w:eastAsia="Verdana" w:hAnsi="Verdana" w:cs="Verdana"/>
          <w:sz w:val="24"/>
          <w:szCs w:val="24"/>
        </w:rPr>
        <w:t>e simplifier les différents parcours entre les établissements et les lieux de vie. Par exemple, une directrice d’une agence régionale de santé chargée du financement des établissements spécialisés soulignait qu’il s’agissait de pouvoir faire un aller retou</w:t>
      </w:r>
      <w:r>
        <w:rPr>
          <w:rFonts w:ascii="Verdana" w:eastAsia="Verdana" w:hAnsi="Verdana" w:cs="Verdana"/>
          <w:sz w:val="24"/>
          <w:szCs w:val="24"/>
        </w:rPr>
        <w:t>r d’un foyer à un habitat inclusif sans les contraintes administratives actuelles. De même, une réforme de l’emploi protégé prévoit d’être mise à disposition d’entreprises ordinaires tout en ayant un statut de travailleur protégé avec moins de droits socia</w:t>
      </w:r>
      <w:r>
        <w:rPr>
          <w:rFonts w:ascii="Verdana" w:eastAsia="Verdana" w:hAnsi="Verdana" w:cs="Verdana"/>
          <w:sz w:val="24"/>
          <w:szCs w:val="24"/>
        </w:rPr>
        <w:t>ux que les travailleurs non handicapés [8].</w:t>
      </w: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L’Etat français reconnaît que “La France n’a pas instauré de moratoire sur les admissions en institutions, mais promeut une liberté de choix pour les personnes en renforçant l’offre d’accompagnement inclusive da</w:t>
      </w:r>
      <w:r>
        <w:rPr>
          <w:rFonts w:ascii="Verdana" w:eastAsia="Verdana" w:hAnsi="Verdana" w:cs="Verdana"/>
          <w:sz w:val="24"/>
          <w:szCs w:val="24"/>
        </w:rPr>
        <w:t>ns une logique de désinstitutionalisation”, ce qui va à l’encontre des observations de Mme Catalina DEVANDAS-AGUILAR lors de sa visite en France en 2019.  La réponse de l’Etat français ne mentionne que l’accès à l’école en mentionnant une navette “entre le</w:t>
      </w:r>
      <w:r>
        <w:rPr>
          <w:rFonts w:ascii="Verdana" w:eastAsia="Verdana" w:hAnsi="Verdana" w:cs="Verdana"/>
          <w:sz w:val="24"/>
          <w:szCs w:val="24"/>
        </w:rPr>
        <w:t>s établissements scolaires et les structures médico-sociales et le déploiement d’équipes mobiles “.</w:t>
      </w: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 xml:space="preserve">De plus, l’Etat français a mis en œuvre une réforme de tarification des établissements, permettant dans sa réponse que “Les professionnels du secteur </w:t>
      </w:r>
      <w:r>
        <w:rPr>
          <w:rFonts w:ascii="Verdana" w:eastAsia="Verdana" w:hAnsi="Verdana" w:cs="Verdana"/>
          <w:sz w:val="24"/>
          <w:szCs w:val="24"/>
        </w:rPr>
        <w:t>médico-social, en développant des prestations de support et de soutien, doivent mettre leur expertise au service et en complémentarité des dispositifs du droit commun. “ [9]</w:t>
      </w: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Les termes de “complémentarité”, de “transformation de l’offre” sont massivement u</w:t>
      </w:r>
      <w:r>
        <w:rPr>
          <w:rFonts w:ascii="Verdana" w:eastAsia="Verdana" w:hAnsi="Verdana" w:cs="Verdana"/>
          <w:sz w:val="24"/>
          <w:szCs w:val="24"/>
        </w:rPr>
        <w:t xml:space="preserve">tilisés dans la communication gouvernementale [10] mais cela ne correspond pas aux points 1 et 3 de l'article 19 de la convention. Dans les dernières annonces du comité de suivi des mesures sur le handicap [10], l’Etat français a retardé l’extension de la </w:t>
      </w:r>
      <w:r>
        <w:rPr>
          <w:rFonts w:ascii="Verdana" w:eastAsia="Verdana" w:hAnsi="Verdana" w:cs="Verdana"/>
          <w:sz w:val="24"/>
          <w:szCs w:val="24"/>
        </w:rPr>
        <w:t>Prestation de compensation du handicap (équivalent à une prestation pour l’assistance personnelle et à domicile) au handicap cognitif et psychosocial et à la suppression de certaines barrières d’assistance comme l’aide au ménage, l’aide à la décision ou au</w:t>
      </w:r>
      <w:r>
        <w:rPr>
          <w:rFonts w:ascii="Verdana" w:eastAsia="Verdana" w:hAnsi="Verdana" w:cs="Verdana"/>
          <w:sz w:val="24"/>
          <w:szCs w:val="24"/>
        </w:rPr>
        <w:t xml:space="preserve"> repas. Il a préféré la réforme du secteur protégé et “ la généralisation de l’habitat inclusif “[11].</w:t>
      </w: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Sur ce dernier point, l’Etat français privilégie de plus petites structures résidentielles et impose donc un cadre défini aux personnes handicapées. Il p</w:t>
      </w:r>
      <w:r>
        <w:rPr>
          <w:rFonts w:ascii="Verdana" w:eastAsia="Verdana" w:hAnsi="Verdana" w:cs="Verdana"/>
          <w:sz w:val="24"/>
          <w:szCs w:val="24"/>
        </w:rPr>
        <w:t>révoit la mise en place d’une nouvelle aide à la vie partagée qui va mutualiser les aides humaines pour les personnes handicapées.  Il ne s’agit pas de choisir ses assistants de vie avec un nombre suffisant d’heures, puisque ces prestations ne sont pas ind</w:t>
      </w:r>
      <w:r>
        <w:rPr>
          <w:rFonts w:ascii="Verdana" w:eastAsia="Verdana" w:hAnsi="Verdana" w:cs="Verdana"/>
          <w:sz w:val="24"/>
          <w:szCs w:val="24"/>
        </w:rPr>
        <w:t>ividualisées selon les besoins de chaque personne handicapée. Ce point ne respecte pas les points 1,2 et 3 de l’article 19 même s’il y a proposition de nouveaux services.</w:t>
      </w: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De plus, nous souhaitons dire que les habitats inclusifs en projet semblent très hét</w:t>
      </w:r>
      <w:r>
        <w:rPr>
          <w:rFonts w:ascii="Verdana" w:eastAsia="Verdana" w:hAnsi="Verdana" w:cs="Verdana"/>
          <w:sz w:val="24"/>
          <w:szCs w:val="24"/>
        </w:rPr>
        <w:t>érogènes et la plupart des projets ne concernent que des personnes très autonomes et dont l’accompagnement serait optionnel. Un habitat inclusif mentionnait qu’il fallait être autonome et en recherche d’emploi pour y bénéficier, un autre disait très précis</w:t>
      </w:r>
      <w:r>
        <w:rPr>
          <w:rFonts w:ascii="Verdana" w:eastAsia="Verdana" w:hAnsi="Verdana" w:cs="Verdana"/>
          <w:sz w:val="24"/>
          <w:szCs w:val="24"/>
        </w:rPr>
        <w:t xml:space="preserve">ément que ce n’était pas pour des personnes ayant besoin d’un accompagnement continu. </w:t>
      </w: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En effet, en réponse à nos demandes, il a été mentionné que ces habitats inclusifs ne sont pas “une prise en charge de la personne comme l'on peut le voir dans les établ</w:t>
      </w:r>
      <w:r>
        <w:rPr>
          <w:rFonts w:ascii="Verdana" w:eastAsia="Verdana" w:hAnsi="Verdana" w:cs="Verdana"/>
          <w:sz w:val="24"/>
          <w:szCs w:val="24"/>
        </w:rPr>
        <w:t>issements médico-sociaux”.  La prestation de proximité développée permet “à la personne de s'améliorer sur les questions administratives liées au logement, la sécurisation de son logement, l'entretien du logement et stimuler son envie de socialisation pour</w:t>
      </w:r>
      <w:r>
        <w:rPr>
          <w:rFonts w:ascii="Verdana" w:eastAsia="Verdana" w:hAnsi="Verdana" w:cs="Verdana"/>
          <w:sz w:val="24"/>
          <w:szCs w:val="24"/>
        </w:rPr>
        <w:t xml:space="preserve"> éviter un repli sur soi dû au fait de vivre seul dans son logement”.</w:t>
      </w: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 xml:space="preserve"> Le dispositif ne fonctionne également pas avec la Prestation de Compensation du Handicap, puisqu’il y aura une aide indépendante pour ces habitats. Il n’aura pas de quota d’heure des in</w:t>
      </w:r>
      <w:r>
        <w:rPr>
          <w:rFonts w:ascii="Verdana" w:eastAsia="Verdana" w:hAnsi="Verdana" w:cs="Verdana"/>
          <w:sz w:val="24"/>
          <w:szCs w:val="24"/>
        </w:rPr>
        <w:t xml:space="preserve">terventions ce qui ne donne aucun moyen de contrôler son accompagnement. </w:t>
      </w: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La prestation est fournie par un prestataire sans possibilité de choisir ses besoins et ses heures et ne correspond pas à un dispositif d’assistance personnelle. La plupart des autre</w:t>
      </w:r>
      <w:r>
        <w:rPr>
          <w:rFonts w:ascii="Verdana" w:eastAsia="Verdana" w:hAnsi="Verdana" w:cs="Verdana"/>
          <w:sz w:val="24"/>
          <w:szCs w:val="24"/>
        </w:rPr>
        <w:t>s projets d’habitats inclusifs sont également des établissements spécialisés de plus petite taille où un accompagnement thérapeutique sera imposé ainsi qu’un cadre de vie et un emploi du temps, notamment pour les personnes autistes. Aucun de ces projets ne</w:t>
      </w:r>
      <w:r>
        <w:rPr>
          <w:rFonts w:ascii="Verdana" w:eastAsia="Verdana" w:hAnsi="Verdana" w:cs="Verdana"/>
          <w:sz w:val="24"/>
          <w:szCs w:val="24"/>
        </w:rPr>
        <w:t xml:space="preserve"> correspond à l’esprit de la convention et de l’article 19 sur le “choix de son lieu de vie”. </w:t>
      </w: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Des projets d’unité spécialisés de 6 personnes [12] sont également prévus pour personnes autistes dites en “situation complexe” et qui ont le plus haut niveau d</w:t>
      </w:r>
      <w:r>
        <w:rPr>
          <w:rFonts w:ascii="Verdana" w:eastAsia="Verdana" w:hAnsi="Verdana" w:cs="Verdana"/>
          <w:sz w:val="24"/>
          <w:szCs w:val="24"/>
        </w:rPr>
        <w:t xml:space="preserve">e besoins d’assistance. Ces unités seront adossées à un établissement spécialisé existant et à des unités médicales et psychiatriques. L’accompagnement sera de même imposé et intensif sans qu’il y ait de droit d’aide à choisir son lieu de vie ou à accéder </w:t>
      </w:r>
      <w:r>
        <w:rPr>
          <w:rFonts w:ascii="Verdana" w:eastAsia="Verdana" w:hAnsi="Verdana" w:cs="Verdana"/>
          <w:sz w:val="24"/>
          <w:szCs w:val="24"/>
        </w:rPr>
        <w:t>aux activités de son choix. De notre point de vue, il s’agit de “group homes” que le comité a plusieurs fois dénoncé dans son observation générale sur l’article 19.</w:t>
      </w: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Entre des habitats inclusifs et des unités ségrégués, ces habitats sont aussi organisés et</w:t>
      </w:r>
      <w:r>
        <w:rPr>
          <w:rFonts w:ascii="Verdana" w:eastAsia="Verdana" w:hAnsi="Verdana" w:cs="Verdana"/>
          <w:sz w:val="24"/>
          <w:szCs w:val="24"/>
        </w:rPr>
        <w:t xml:space="preserve"> gérés par les mêmes associations que celles qui gèrent des établissements spécialisés et ségrégués. </w:t>
      </w: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Dans l’esprit des navettes entre les établissements et les habitats inclusifs, gérés par les mêmes organisations, cela ne garantit pas le choix des person</w:t>
      </w:r>
      <w:r>
        <w:rPr>
          <w:rFonts w:ascii="Verdana" w:eastAsia="Verdana" w:hAnsi="Verdana" w:cs="Verdana"/>
          <w:sz w:val="24"/>
          <w:szCs w:val="24"/>
        </w:rPr>
        <w:t xml:space="preserve">nes dit par l’Etat français dans sa réponse. </w:t>
      </w: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Au vu de ces constatations, il est fort probable que ce soit des personnes déjà autonomes qui bénéficient de ces habitats au détriment du droit à l’aide humaine des personnes handicapées ayant le plus besoin d’</w:t>
      </w:r>
      <w:r>
        <w:rPr>
          <w:rFonts w:ascii="Verdana" w:eastAsia="Verdana" w:hAnsi="Verdana" w:cs="Verdana"/>
          <w:sz w:val="24"/>
          <w:szCs w:val="24"/>
        </w:rPr>
        <w:t xml:space="preserve">aides. Notamment parce que les logements ordinaires sont peu accessibles et la loi ELAN de 2018 a restreint l’obligation de construction de logement accessibles aux personnes handicapées à 20%. </w:t>
      </w: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De plus, dans notre vie quotidienne nous ne voyons pas l’appa</w:t>
      </w:r>
      <w:r>
        <w:rPr>
          <w:rFonts w:ascii="Verdana" w:eastAsia="Verdana" w:hAnsi="Verdana" w:cs="Verdana"/>
          <w:sz w:val="24"/>
          <w:szCs w:val="24"/>
        </w:rPr>
        <w:t>rition de ces services de proximité auxquels on pourrait accéder facilement, alors même que le système d’attribution d’aides est très limité et sélectif. Les personnes handicapées adultes qui ne peuvent bénéficier de l’allocation autonomie pour le handicap</w:t>
      </w:r>
      <w:r>
        <w:rPr>
          <w:rFonts w:ascii="Verdana" w:eastAsia="Verdana" w:hAnsi="Verdana" w:cs="Verdana"/>
          <w:sz w:val="24"/>
          <w:szCs w:val="24"/>
        </w:rPr>
        <w:t xml:space="preserve"> et d’un emploi malgré leur handicap, ne pourront ainsi se loger dans ces habitats inclusifs, au détriment de l’article 19 et de l’article 26 de la convention. </w:t>
      </w:r>
    </w:p>
    <w:p w:rsidR="00C92850" w:rsidRDefault="00C92850">
      <w:pPr>
        <w:spacing w:line="360" w:lineRule="auto"/>
        <w:rPr>
          <w:rFonts w:ascii="Verdana" w:eastAsia="Verdana" w:hAnsi="Verdana" w:cs="Verdana"/>
          <w:sz w:val="24"/>
          <w:szCs w:val="24"/>
        </w:rPr>
      </w:pPr>
    </w:p>
    <w:p w:rsidR="00C92850" w:rsidRDefault="00BB19B7">
      <w:r>
        <w:rPr>
          <w:rStyle w:val="Policepardfaut"/>
          <w:sz w:val="16"/>
          <w:szCs w:val="16"/>
        </w:rPr>
        <w:t xml:space="preserve">Références : </w:t>
      </w:r>
    </w:p>
    <w:p w:rsidR="00C92850" w:rsidRDefault="00BB19B7">
      <w:pPr>
        <w:spacing w:before="240" w:after="240"/>
      </w:pPr>
      <w:r>
        <w:rPr>
          <w:rStyle w:val="Policepardfaut"/>
          <w:sz w:val="16"/>
          <w:szCs w:val="16"/>
        </w:rPr>
        <w:t xml:space="preserve">[8] </w:t>
      </w:r>
      <w:hyperlink r:id="rId17" w:history="1">
        <w:r>
          <w:rPr>
            <w:rStyle w:val="Policepardfaut"/>
            <w:color w:val="1155CC"/>
            <w:sz w:val="16"/>
            <w:szCs w:val="16"/>
            <w:u w:val="single"/>
          </w:rPr>
          <w:t>https://handicap.gouv.fr/presse-actualites/nos-publications/communiques-de-presse/article/un-plan-de-</w:t>
        </w:r>
        <w:r>
          <w:rPr>
            <w:rStyle w:val="Policepardfaut"/>
            <w:color w:val="1155CC"/>
            <w:sz w:val="16"/>
            <w:szCs w:val="16"/>
            <w:u w:val="single"/>
          </w:rPr>
          <w:t>transformation-des-esat-au-benefice-de-tous?fbclid=IwAR1G1GB4u-cBRWMLFml9C96K-zhR0AVevoI_ttEPFtV1f6j8acrsmC-VJgw</w:t>
        </w:r>
      </w:hyperlink>
    </w:p>
    <w:p w:rsidR="00C92850" w:rsidRDefault="00BB19B7">
      <w:r>
        <w:rPr>
          <w:rStyle w:val="Policepardfaut"/>
          <w:sz w:val="16"/>
          <w:szCs w:val="16"/>
        </w:rPr>
        <w:t xml:space="preserve">[9] </w:t>
      </w:r>
      <w:hyperlink r:id="rId18" w:history="1">
        <w:r>
          <w:rPr>
            <w:rStyle w:val="Policepardfaut"/>
            <w:color w:val="1155CC"/>
            <w:sz w:val="16"/>
            <w:szCs w:val="16"/>
            <w:u w:val="single"/>
          </w:rPr>
          <w:t>https://www.pratiquesensante.org/2021-05-18-03/</w:t>
        </w:r>
      </w:hyperlink>
    </w:p>
    <w:p w:rsidR="00C92850" w:rsidRDefault="00C92850">
      <w:pPr>
        <w:rPr>
          <w:sz w:val="16"/>
          <w:szCs w:val="16"/>
        </w:rPr>
      </w:pPr>
    </w:p>
    <w:p w:rsidR="00C92850" w:rsidRDefault="00BB19B7">
      <w:r>
        <w:rPr>
          <w:rStyle w:val="Policepardfaut"/>
          <w:rFonts w:ascii="Verdana" w:eastAsia="Verdana" w:hAnsi="Verdana" w:cs="Verdana"/>
          <w:sz w:val="16"/>
          <w:szCs w:val="16"/>
        </w:rPr>
        <w:t xml:space="preserve">[10] </w:t>
      </w:r>
      <w:hyperlink r:id="rId19" w:history="1">
        <w:r>
          <w:rPr>
            <w:rStyle w:val="Policepardfaut"/>
            <w:color w:val="1155CC"/>
            <w:sz w:val="16"/>
            <w:szCs w:val="16"/>
            <w:u w:val="single"/>
          </w:rPr>
          <w:t>https://www.gouvernement.fr/sites/default/files/document/document/2021/07/dp_comite_interministeriel_du_handicap_05.07.2021.pdf</w:t>
        </w:r>
      </w:hyperlink>
    </w:p>
    <w:p w:rsidR="00C92850" w:rsidRDefault="00BB19B7">
      <w:pPr>
        <w:spacing w:before="240" w:after="240"/>
      </w:pPr>
      <w:r>
        <w:rPr>
          <w:rStyle w:val="Policepardfaut"/>
          <w:sz w:val="16"/>
          <w:szCs w:val="16"/>
        </w:rPr>
        <w:t xml:space="preserve"> </w:t>
      </w:r>
      <w:r>
        <w:rPr>
          <w:rStyle w:val="Policepardfaut"/>
          <w:rFonts w:ascii="Verdana" w:eastAsia="Verdana" w:hAnsi="Verdana" w:cs="Verdana"/>
          <w:sz w:val="16"/>
          <w:szCs w:val="16"/>
        </w:rPr>
        <w:t>[1</w:t>
      </w:r>
      <w:r>
        <w:rPr>
          <w:rStyle w:val="Policepardfaut"/>
          <w:rFonts w:ascii="Verdana" w:eastAsia="Verdana" w:hAnsi="Verdana" w:cs="Verdana"/>
          <w:sz w:val="16"/>
          <w:szCs w:val="16"/>
        </w:rPr>
        <w:t xml:space="preserve">1] </w:t>
      </w:r>
      <w:hyperlink r:id="rId20" w:history="1">
        <w:r>
          <w:rPr>
            <w:rStyle w:val="Policepardfaut"/>
            <w:rFonts w:ascii="Verdana" w:eastAsia="Verdana" w:hAnsi="Verdana" w:cs="Verdana"/>
            <w:color w:val="1155CC"/>
            <w:sz w:val="16"/>
            <w:szCs w:val="16"/>
            <w:u w:val="single"/>
          </w:rPr>
          <w:t>https://www.haute-vienne.fr/fileadmi</w:t>
        </w:r>
        <w:r>
          <w:rPr>
            <w:rStyle w:val="Policepardfaut"/>
            <w:rFonts w:ascii="Verdana" w:eastAsia="Verdana" w:hAnsi="Verdana" w:cs="Verdana"/>
            <w:color w:val="1155CC"/>
            <w:sz w:val="16"/>
            <w:szCs w:val="16"/>
            <w:u w:val="single"/>
          </w:rPr>
          <w:t>n/mediatheque/cd87/documents/nos_actions/personnes-handicap/politique-autonomie/programme-actions-prevention-perte-autonomie/Dossier_technique_habitat_inclusif.pdf</w:t>
        </w:r>
      </w:hyperlink>
    </w:p>
    <w:p w:rsidR="00C92850" w:rsidRDefault="00BB19B7">
      <w:r>
        <w:rPr>
          <w:rStyle w:val="Policepardfaut"/>
          <w:sz w:val="16"/>
          <w:szCs w:val="16"/>
        </w:rPr>
        <w:t xml:space="preserve">[12] </w:t>
      </w:r>
      <w:hyperlink r:id="rId21" w:history="1">
        <w:r>
          <w:rPr>
            <w:rStyle w:val="Policepardfaut"/>
            <w:color w:val="1155CC"/>
            <w:sz w:val="16"/>
            <w:szCs w:val="16"/>
            <w:u w:val="single"/>
          </w:rPr>
          <w:t>https://www.iledefrance.ars.sante.fr/creation-de-8-unites-specialisees-dans-laccueil-dadultes-avec-troubles-du-spectre-de-lautisme-en</w:t>
        </w:r>
      </w:hyperlink>
    </w:p>
    <w:p w:rsidR="00C92850" w:rsidRDefault="00C92850">
      <w:pPr>
        <w:rPr>
          <w:sz w:val="16"/>
          <w:szCs w:val="16"/>
        </w:rPr>
      </w:pPr>
    </w:p>
    <w:p w:rsidR="00C92850" w:rsidRDefault="00C92850">
      <w:pPr>
        <w:spacing w:line="360" w:lineRule="auto"/>
        <w:rPr>
          <w:rFonts w:ascii="Verdana" w:eastAsia="Verdana" w:hAnsi="Verdana" w:cs="Verdana"/>
          <w:sz w:val="24"/>
          <w:szCs w:val="24"/>
        </w:rPr>
      </w:pP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b/>
          <w:bCs/>
          <w:sz w:val="24"/>
          <w:szCs w:val="24"/>
        </w:rPr>
      </w:pPr>
      <w:r>
        <w:rPr>
          <w:rFonts w:ascii="Verdana" w:eastAsia="Verdana" w:hAnsi="Verdana" w:cs="Verdana"/>
          <w:b/>
          <w:bCs/>
          <w:sz w:val="24"/>
          <w:szCs w:val="24"/>
        </w:rPr>
        <w:t xml:space="preserve">Pour l’article 19, nous proposons au comité les </w:t>
      </w:r>
      <w:r>
        <w:rPr>
          <w:rFonts w:ascii="Verdana" w:eastAsia="Verdana" w:hAnsi="Verdana" w:cs="Verdana"/>
          <w:b/>
          <w:bCs/>
          <w:sz w:val="24"/>
          <w:szCs w:val="24"/>
        </w:rPr>
        <w:t>recommandations suivantes pour l’Etat :</w:t>
      </w:r>
    </w:p>
    <w:p w:rsidR="00C92850" w:rsidRDefault="00BB19B7">
      <w:pPr>
        <w:spacing w:before="240" w:after="240" w:line="360" w:lineRule="auto"/>
      </w:pPr>
      <w:r>
        <w:rPr>
          <w:rStyle w:val="Policepardfaut"/>
          <w:rFonts w:ascii="Verdana" w:eastAsia="Times New Roman" w:hAnsi="Verdana"/>
          <w:b/>
          <w:bCs/>
          <w:color w:val="000000"/>
          <w:lang w:val="fr-FR"/>
        </w:rPr>
        <w:t>            (a)       Adopter un plan de désinstitutionalisation avec des objectifs précis quantifiés et évaluables par les personnes handicapées via leurs organisations représentatives. Rediriger tous les financemen</w:t>
      </w:r>
      <w:r>
        <w:rPr>
          <w:rStyle w:val="Policepardfaut"/>
          <w:rFonts w:ascii="Verdana" w:eastAsia="Times New Roman" w:hAnsi="Verdana"/>
          <w:b/>
          <w:bCs/>
          <w:color w:val="000000"/>
          <w:lang w:val="fr-FR"/>
        </w:rPr>
        <w:t>ts publics, incluant ceux des fonds européens, vers des projets respectant tous les articles de la convention. Lancer un moratoire sur la construction et l’admission en institutions. S’assurer que les programmes de type “habitat inclusif” ou “petites unité</w:t>
      </w:r>
      <w:r>
        <w:rPr>
          <w:rStyle w:val="Policepardfaut"/>
          <w:rFonts w:ascii="Verdana" w:eastAsia="Times New Roman" w:hAnsi="Verdana"/>
          <w:b/>
          <w:bCs/>
          <w:color w:val="000000"/>
          <w:lang w:val="fr-FR"/>
        </w:rPr>
        <w:t>s” soient modifiés vers le respect des principes de la convention et la participation communautaire sans contraintes.</w:t>
      </w:r>
    </w:p>
    <w:p w:rsidR="00C92850" w:rsidRDefault="00BB19B7">
      <w:pPr>
        <w:spacing w:line="360" w:lineRule="auto"/>
      </w:pPr>
      <w:r>
        <w:rPr>
          <w:rStyle w:val="Policepardfaut"/>
          <w:rFonts w:ascii="Verdana" w:eastAsia="Times New Roman" w:hAnsi="Verdana"/>
          <w:b/>
          <w:bCs/>
          <w:color w:val="000000"/>
          <w:lang w:val="fr-FR"/>
        </w:rPr>
        <w:t>            (c)     Développer un système d’assistance personnelle basée sur l’évaluation individualisée des besoins de chaque personne ha</w:t>
      </w:r>
      <w:r>
        <w:rPr>
          <w:rStyle w:val="Policepardfaut"/>
          <w:rFonts w:ascii="Verdana" w:eastAsia="Times New Roman" w:hAnsi="Verdana"/>
          <w:b/>
          <w:bCs/>
          <w:color w:val="000000"/>
          <w:lang w:val="fr-FR"/>
        </w:rPr>
        <w:t>ndicapée et géré par elle. Ce système doit inclure des aides à la décision et des outils centrés sur la personne pour soutenir la vie autonome dans la cité selon les préférences, choix, besoins et désirs de chaque individu.</w:t>
      </w:r>
      <w:r>
        <w:rPr>
          <w:rStyle w:val="Policepardfaut"/>
          <w:rFonts w:eastAsia="Times New Roman"/>
          <w:b/>
          <w:bCs/>
          <w:color w:val="000000"/>
          <w:lang w:val="fr-FR"/>
        </w:rPr>
        <w:t xml:space="preserve"> </w:t>
      </w:r>
    </w:p>
    <w:p w:rsidR="00C92850" w:rsidRDefault="00C92850">
      <w:pPr>
        <w:spacing w:line="360" w:lineRule="auto"/>
        <w:rPr>
          <w:rFonts w:ascii="Verdana" w:eastAsia="Verdana" w:hAnsi="Verdana" w:cs="Verdana"/>
          <w:sz w:val="24"/>
          <w:szCs w:val="24"/>
          <w:lang w:val="fr-FR"/>
        </w:rPr>
      </w:pPr>
    </w:p>
    <w:p w:rsidR="00C92850" w:rsidRDefault="00C92850">
      <w:pPr>
        <w:spacing w:line="360" w:lineRule="auto"/>
        <w:rPr>
          <w:rFonts w:ascii="Verdana" w:eastAsia="Verdana" w:hAnsi="Verdana" w:cs="Verdana"/>
          <w:b/>
          <w:sz w:val="24"/>
          <w:szCs w:val="24"/>
          <w:lang w:val="fr-FR"/>
        </w:rPr>
      </w:pPr>
    </w:p>
    <w:p w:rsidR="00C92850" w:rsidRDefault="00BB19B7">
      <w:pPr>
        <w:spacing w:line="360" w:lineRule="auto"/>
        <w:rPr>
          <w:rFonts w:ascii="Verdana" w:eastAsia="Verdana" w:hAnsi="Verdana" w:cs="Verdana"/>
          <w:b/>
          <w:sz w:val="24"/>
          <w:szCs w:val="24"/>
        </w:rPr>
      </w:pPr>
      <w:r>
        <w:rPr>
          <w:rFonts w:ascii="Verdana" w:eastAsia="Verdana" w:hAnsi="Verdana" w:cs="Verdana"/>
          <w:b/>
          <w:sz w:val="24"/>
          <w:szCs w:val="24"/>
        </w:rPr>
        <w:t>Conclusion :</w:t>
      </w:r>
    </w:p>
    <w:p w:rsidR="00C92850" w:rsidRDefault="00C92850">
      <w:pPr>
        <w:spacing w:line="360" w:lineRule="auto"/>
        <w:rPr>
          <w:rFonts w:ascii="Verdana" w:eastAsia="Verdana" w:hAnsi="Verdana" w:cs="Verdana"/>
          <w:sz w:val="24"/>
          <w:szCs w:val="24"/>
        </w:rPr>
      </w:pPr>
    </w:p>
    <w:p w:rsidR="00C92850" w:rsidRDefault="00BB19B7">
      <w:pPr>
        <w:spacing w:line="360" w:lineRule="auto"/>
        <w:rPr>
          <w:rFonts w:ascii="Verdana" w:eastAsia="Verdana" w:hAnsi="Verdana" w:cs="Verdana"/>
          <w:sz w:val="24"/>
          <w:szCs w:val="24"/>
        </w:rPr>
      </w:pPr>
      <w:r>
        <w:rPr>
          <w:rFonts w:ascii="Verdana" w:eastAsia="Verdana" w:hAnsi="Verdana" w:cs="Verdana"/>
          <w:sz w:val="24"/>
          <w:szCs w:val="24"/>
        </w:rPr>
        <w:t>Au vu de ces co</w:t>
      </w:r>
      <w:r>
        <w:rPr>
          <w:rFonts w:ascii="Verdana" w:eastAsia="Verdana" w:hAnsi="Verdana" w:cs="Verdana"/>
          <w:sz w:val="24"/>
          <w:szCs w:val="24"/>
        </w:rPr>
        <w:t>nstats, l’Etat Français n’a pas fourni les changements suffisants pour nous convaincre sur la mise en œuvre des articles 4, 5, 9 12, 13, 14, 15 et 19.</w:t>
      </w:r>
    </w:p>
    <w:p w:rsidR="00C92850" w:rsidRDefault="00BB19B7">
      <w:pPr>
        <w:spacing w:line="360" w:lineRule="auto"/>
      </w:pPr>
      <w:r>
        <w:rPr>
          <w:rStyle w:val="Policepardfaut"/>
          <w:rFonts w:ascii="Verdana" w:eastAsia="Verdana" w:hAnsi="Verdana" w:cs="Verdana"/>
          <w:sz w:val="24"/>
          <w:szCs w:val="24"/>
        </w:rPr>
        <w:t>Avec ces mesures partielles, la plupart de la population handicapée restera en établissement spécialisé c</w:t>
      </w:r>
      <w:r>
        <w:rPr>
          <w:rStyle w:val="Policepardfaut"/>
          <w:rFonts w:ascii="Verdana" w:eastAsia="Verdana" w:hAnsi="Verdana" w:cs="Verdana"/>
          <w:sz w:val="24"/>
          <w:szCs w:val="24"/>
        </w:rPr>
        <w:t>ar aucun des articles de la convention citées sont mis en œuvre. Le stigmate social des personnes handicapées cognitives et psychosociales sera également déterminant dans le choix des lieux de vie et de l’accès à ces nouveaux dispositifs.  Il restera une s</w:t>
      </w:r>
      <w:r>
        <w:rPr>
          <w:rStyle w:val="Policepardfaut"/>
          <w:rFonts w:ascii="Verdana" w:eastAsia="Verdana" w:hAnsi="Verdana" w:cs="Verdana"/>
          <w:sz w:val="24"/>
          <w:szCs w:val="24"/>
        </w:rPr>
        <w:t xml:space="preserve">égrégation différenciée en fonction des capacités perçues, supposées ou attribuées. Les personnes autistes, handicapées intellectuelles et avec un handicap psychosocial seront les premières à ne pas bénéficier de ces améliorations revendiquées.  </w:t>
      </w:r>
    </w:p>
    <w:sectPr w:rsidR="00C92850">
      <w:footerReference w:type="default" r:id="rId2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B19B7">
      <w:pPr>
        <w:spacing w:line="240" w:lineRule="auto"/>
      </w:pPr>
      <w:r>
        <w:separator/>
      </w:r>
    </w:p>
  </w:endnote>
  <w:endnote w:type="continuationSeparator" w:id="0">
    <w:p w:rsidR="00000000" w:rsidRDefault="00BB19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2AD6" w:rsidRDefault="00BB19B7">
    <w:pPr>
      <w:rPr>
        <w:sz w:val="16"/>
        <w:szCs w:val="16"/>
      </w:rPr>
    </w:pPr>
  </w:p>
  <w:p w:rsidR="006A2AD6" w:rsidRDefault="00BB19B7">
    <w:r>
      <w:rPr>
        <w:rStyle w:val="Policepardfaut"/>
        <w:sz w:val="16"/>
        <w:szCs w:val="16"/>
      </w:rPr>
      <w:fldChar w:fldCharType="begin"/>
    </w:r>
    <w:r>
      <w:rPr>
        <w:rStyle w:val="Policepardfaut"/>
        <w:sz w:val="16"/>
        <w:szCs w:val="16"/>
      </w:rPr>
      <w:instrText xml:space="preserve"> PAGE </w:instrText>
    </w:r>
    <w:r>
      <w:rPr>
        <w:rStyle w:val="Policepardfaut"/>
        <w:sz w:val="16"/>
        <w:szCs w:val="16"/>
      </w:rPr>
      <w:fldChar w:fldCharType="separate"/>
    </w:r>
    <w:r>
      <w:rPr>
        <w:rStyle w:val="Policepardfaut"/>
        <w:noProof/>
        <w:sz w:val="16"/>
        <w:szCs w:val="16"/>
      </w:rPr>
      <w:t>1</w:t>
    </w:r>
    <w:r>
      <w:rPr>
        <w:rStyle w:val="Policepardfaut"/>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B19B7">
      <w:pPr>
        <w:spacing w:line="240" w:lineRule="auto"/>
      </w:pPr>
      <w:r>
        <w:rPr>
          <w:color w:val="000000"/>
        </w:rPr>
        <w:separator/>
      </w:r>
    </w:p>
  </w:footnote>
  <w:footnote w:type="continuationSeparator" w:id="0">
    <w:p w:rsidR="00000000" w:rsidRDefault="00BB19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F42A1"/>
    <w:multiLevelType w:val="multilevel"/>
    <w:tmpl w:val="9B6C2D3C"/>
    <w:lvl w:ilvl="0">
      <w:start w:val="1"/>
      <w:numFmt w:val="lowerLetter"/>
      <w:lvlText w:val="(%1)"/>
      <w:lvlJc w:val="left"/>
      <w:pPr>
        <w:ind w:left="756" w:hanging="696"/>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1" w15:restartNumberingAfterBreak="0">
    <w:nsid w:val="23702D66"/>
    <w:multiLevelType w:val="multilevel"/>
    <w:tmpl w:val="E15C4982"/>
    <w:lvl w:ilvl="0">
      <w:start w:val="1"/>
      <w:numFmt w:val="lowerLetter"/>
      <w:lvlText w:val="(%1)"/>
      <w:lvlJc w:val="left"/>
      <w:pPr>
        <w:ind w:left="1248" w:hanging="516"/>
      </w:pPr>
    </w:lvl>
    <w:lvl w:ilvl="1">
      <w:start w:val="1"/>
      <w:numFmt w:val="lowerLetter"/>
      <w:lvlText w:val="%2."/>
      <w:lvlJc w:val="left"/>
      <w:pPr>
        <w:ind w:left="1812" w:hanging="360"/>
      </w:pPr>
    </w:lvl>
    <w:lvl w:ilvl="2">
      <w:start w:val="1"/>
      <w:numFmt w:val="lowerRoman"/>
      <w:lvlText w:val="%3."/>
      <w:lvlJc w:val="right"/>
      <w:pPr>
        <w:ind w:left="2532" w:hanging="180"/>
      </w:pPr>
    </w:lvl>
    <w:lvl w:ilvl="3">
      <w:start w:val="1"/>
      <w:numFmt w:val="decimal"/>
      <w:lvlText w:val="%4."/>
      <w:lvlJc w:val="left"/>
      <w:pPr>
        <w:ind w:left="3252" w:hanging="360"/>
      </w:pPr>
    </w:lvl>
    <w:lvl w:ilvl="4">
      <w:start w:val="1"/>
      <w:numFmt w:val="lowerLetter"/>
      <w:lvlText w:val="%5."/>
      <w:lvlJc w:val="left"/>
      <w:pPr>
        <w:ind w:left="3972" w:hanging="360"/>
      </w:pPr>
    </w:lvl>
    <w:lvl w:ilvl="5">
      <w:start w:val="1"/>
      <w:numFmt w:val="lowerRoman"/>
      <w:lvlText w:val="%6."/>
      <w:lvlJc w:val="right"/>
      <w:pPr>
        <w:ind w:left="4692" w:hanging="180"/>
      </w:pPr>
    </w:lvl>
    <w:lvl w:ilvl="6">
      <w:start w:val="1"/>
      <w:numFmt w:val="decimal"/>
      <w:lvlText w:val="%7."/>
      <w:lvlJc w:val="left"/>
      <w:pPr>
        <w:ind w:left="5412" w:hanging="360"/>
      </w:pPr>
    </w:lvl>
    <w:lvl w:ilvl="7">
      <w:start w:val="1"/>
      <w:numFmt w:val="lowerLetter"/>
      <w:lvlText w:val="%8."/>
      <w:lvlJc w:val="left"/>
      <w:pPr>
        <w:ind w:left="6132" w:hanging="360"/>
      </w:pPr>
    </w:lvl>
    <w:lvl w:ilvl="8">
      <w:start w:val="1"/>
      <w:numFmt w:val="lowerRoman"/>
      <w:lvlText w:val="%9."/>
      <w:lvlJc w:val="right"/>
      <w:pPr>
        <w:ind w:left="6852" w:hanging="180"/>
      </w:pPr>
    </w:lvl>
  </w:abstractNum>
  <w:abstractNum w:abstractNumId="2" w15:restartNumberingAfterBreak="0">
    <w:nsid w:val="571A36C5"/>
    <w:multiLevelType w:val="multilevel"/>
    <w:tmpl w:val="DAA69422"/>
    <w:lvl w:ilvl="0">
      <w:start w:val="1"/>
      <w:numFmt w:val="lowerLetter"/>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DD14214"/>
    <w:multiLevelType w:val="multilevel"/>
    <w:tmpl w:val="66FC3B30"/>
    <w:lvl w:ilvl="0">
      <w:start w:val="1"/>
      <w:numFmt w:val="lowerLetter"/>
      <w:lvlText w:val="(%1)"/>
      <w:lvlJc w:val="left"/>
      <w:pPr>
        <w:ind w:left="1428" w:hanging="696"/>
      </w:pPr>
    </w:lvl>
    <w:lvl w:ilvl="1">
      <w:start w:val="1"/>
      <w:numFmt w:val="lowerLetter"/>
      <w:lvlText w:val="%2."/>
      <w:lvlJc w:val="left"/>
      <w:pPr>
        <w:ind w:left="1812" w:hanging="360"/>
      </w:pPr>
    </w:lvl>
    <w:lvl w:ilvl="2">
      <w:start w:val="1"/>
      <w:numFmt w:val="lowerRoman"/>
      <w:lvlText w:val="%3."/>
      <w:lvlJc w:val="right"/>
      <w:pPr>
        <w:ind w:left="2532" w:hanging="180"/>
      </w:pPr>
    </w:lvl>
    <w:lvl w:ilvl="3">
      <w:start w:val="1"/>
      <w:numFmt w:val="decimal"/>
      <w:lvlText w:val="%4."/>
      <w:lvlJc w:val="left"/>
      <w:pPr>
        <w:ind w:left="3252" w:hanging="360"/>
      </w:pPr>
    </w:lvl>
    <w:lvl w:ilvl="4">
      <w:start w:val="1"/>
      <w:numFmt w:val="lowerLetter"/>
      <w:lvlText w:val="%5."/>
      <w:lvlJc w:val="left"/>
      <w:pPr>
        <w:ind w:left="3972" w:hanging="360"/>
      </w:pPr>
    </w:lvl>
    <w:lvl w:ilvl="5">
      <w:start w:val="1"/>
      <w:numFmt w:val="lowerRoman"/>
      <w:lvlText w:val="%6."/>
      <w:lvlJc w:val="right"/>
      <w:pPr>
        <w:ind w:left="4692" w:hanging="180"/>
      </w:pPr>
    </w:lvl>
    <w:lvl w:ilvl="6">
      <w:start w:val="1"/>
      <w:numFmt w:val="decimal"/>
      <w:lvlText w:val="%7."/>
      <w:lvlJc w:val="left"/>
      <w:pPr>
        <w:ind w:left="5412" w:hanging="360"/>
      </w:pPr>
    </w:lvl>
    <w:lvl w:ilvl="7">
      <w:start w:val="1"/>
      <w:numFmt w:val="lowerLetter"/>
      <w:lvlText w:val="%8."/>
      <w:lvlJc w:val="left"/>
      <w:pPr>
        <w:ind w:left="6132" w:hanging="360"/>
      </w:pPr>
    </w:lvl>
    <w:lvl w:ilvl="8">
      <w:start w:val="1"/>
      <w:numFmt w:val="lowerRoman"/>
      <w:lvlText w:val="%9."/>
      <w:lvlJc w:val="right"/>
      <w:pPr>
        <w:ind w:left="6852"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ttachedTemplate r:id="rId1"/>
  <w:revisionView w:inkAnnotations="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C92850"/>
    <w:rsid w:val="00BB19B7"/>
    <w:rsid w:val="00C92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C9067941-7E25-4D3E-85D7-B74A794AD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fr" w:eastAsia="fr-FR" w:bidi="ar-SA"/>
      </w:rPr>
    </w:rPrDefault>
    <w:pPrDefault>
      <w:pPr>
        <w:autoSpaceDN w:val="0"/>
        <w:spacing w:line="27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re1">
    <w:name w:val="Titre 1"/>
    <w:basedOn w:val="Normal"/>
    <w:next w:val="Normal"/>
    <w:pPr>
      <w:keepNext/>
      <w:keepLines/>
      <w:spacing w:before="400" w:after="120"/>
      <w:outlineLvl w:val="0"/>
    </w:pPr>
    <w:rPr>
      <w:sz w:val="40"/>
      <w:szCs w:val="40"/>
    </w:rPr>
  </w:style>
  <w:style w:type="paragraph" w:customStyle="1" w:styleId="Titre2">
    <w:name w:val="Titre 2"/>
    <w:basedOn w:val="Normal"/>
    <w:next w:val="Normal"/>
    <w:pPr>
      <w:keepNext/>
      <w:keepLines/>
      <w:spacing w:before="360" w:after="120"/>
      <w:outlineLvl w:val="1"/>
    </w:pPr>
    <w:rPr>
      <w:sz w:val="32"/>
      <w:szCs w:val="32"/>
    </w:rPr>
  </w:style>
  <w:style w:type="paragraph" w:customStyle="1" w:styleId="Titre3">
    <w:name w:val="Titre 3"/>
    <w:basedOn w:val="Normal"/>
    <w:next w:val="Normal"/>
    <w:pPr>
      <w:keepNext/>
      <w:keepLines/>
      <w:spacing w:before="320" w:after="80"/>
      <w:outlineLvl w:val="2"/>
    </w:pPr>
    <w:rPr>
      <w:color w:val="434343"/>
      <w:sz w:val="28"/>
      <w:szCs w:val="28"/>
    </w:rPr>
  </w:style>
  <w:style w:type="paragraph" w:customStyle="1" w:styleId="Titre4">
    <w:name w:val="Titre 4"/>
    <w:basedOn w:val="Normal"/>
    <w:next w:val="Normal"/>
    <w:pPr>
      <w:keepNext/>
      <w:keepLines/>
      <w:spacing w:before="280" w:after="80"/>
      <w:outlineLvl w:val="3"/>
    </w:pPr>
    <w:rPr>
      <w:color w:val="666666"/>
      <w:sz w:val="24"/>
      <w:szCs w:val="24"/>
    </w:rPr>
  </w:style>
  <w:style w:type="paragraph" w:customStyle="1" w:styleId="Titre5">
    <w:name w:val="Titre 5"/>
    <w:basedOn w:val="Normal"/>
    <w:next w:val="Normal"/>
    <w:pPr>
      <w:keepNext/>
      <w:keepLines/>
      <w:spacing w:before="240" w:after="80"/>
      <w:outlineLvl w:val="4"/>
    </w:pPr>
    <w:rPr>
      <w:color w:val="666666"/>
    </w:rPr>
  </w:style>
  <w:style w:type="paragraph" w:customStyle="1" w:styleId="Titre6">
    <w:name w:val="Titre 6"/>
    <w:basedOn w:val="Normal"/>
    <w:next w:val="Normal"/>
    <w:pPr>
      <w:keepNext/>
      <w:keepLines/>
      <w:spacing w:before="240" w:after="80"/>
      <w:outlineLvl w:val="5"/>
    </w:pPr>
    <w:rPr>
      <w:i/>
      <w:color w:val="666666"/>
    </w:rPr>
  </w:style>
  <w:style w:type="character" w:customStyle="1" w:styleId="Policepardfaut">
    <w:name w:val="Police par défaut"/>
  </w:style>
  <w:style w:type="paragraph" w:customStyle="1" w:styleId="Titre">
    <w:name w:val="Titre"/>
    <w:basedOn w:val="Normal"/>
    <w:next w:val="Normal"/>
    <w:pPr>
      <w:keepNext/>
      <w:keepLines/>
      <w:spacing w:after="60"/>
    </w:pPr>
    <w:rPr>
      <w:sz w:val="52"/>
      <w:szCs w:val="52"/>
    </w:rPr>
  </w:style>
  <w:style w:type="paragraph" w:customStyle="1" w:styleId="Sous-titre">
    <w:name w:val="Sous-titre"/>
    <w:basedOn w:val="Normal"/>
    <w:next w:val="Normal"/>
    <w:pPr>
      <w:keepNext/>
      <w:keepLines/>
      <w:spacing w:after="320"/>
    </w:pPr>
    <w:rPr>
      <w:color w:val="666666"/>
      <w:sz w:val="30"/>
      <w:szCs w:val="30"/>
    </w:rPr>
  </w:style>
  <w:style w:type="character" w:customStyle="1" w:styleId="Marquedecommentaire">
    <w:name w:val="Marque de commentaire"/>
    <w:basedOn w:val="Policepardfaut"/>
    <w:rPr>
      <w:sz w:val="16"/>
      <w:szCs w:val="16"/>
    </w:rPr>
  </w:style>
  <w:style w:type="paragraph" w:customStyle="1" w:styleId="Commentaire">
    <w:name w:val="Commentaire"/>
    <w:basedOn w:val="Normal"/>
    <w:pPr>
      <w:spacing w:line="240" w:lineRule="auto"/>
    </w:pPr>
    <w:rPr>
      <w:sz w:val="20"/>
      <w:szCs w:val="20"/>
    </w:rPr>
  </w:style>
  <w:style w:type="character" w:customStyle="1" w:styleId="CommentaireCar">
    <w:name w:val="Commentaire Car"/>
    <w:basedOn w:val="Policepardfaut"/>
    <w:rPr>
      <w:sz w:val="20"/>
      <w:szCs w:val="20"/>
    </w:rPr>
  </w:style>
  <w:style w:type="paragraph" w:customStyle="1" w:styleId="Objetducommentaire">
    <w:name w:val="Objet du commentaire"/>
    <w:basedOn w:val="Commentaire"/>
    <w:next w:val="Commentaire"/>
    <w:rPr>
      <w:b/>
      <w:bCs/>
    </w:rPr>
  </w:style>
  <w:style w:type="character" w:customStyle="1" w:styleId="ObjetducommentaireCar">
    <w:name w:val="Objet du commentaire Car"/>
    <w:basedOn w:val="CommentaireCar"/>
    <w:rPr>
      <w:b/>
      <w:bCs/>
      <w:sz w:val="20"/>
      <w:szCs w:val="20"/>
    </w:rPr>
  </w:style>
  <w:style w:type="paragraph" w:customStyle="1" w:styleId="pf0">
    <w:name w:val="pf0"/>
    <w:basedOn w:val="Normal"/>
    <w:pPr>
      <w:spacing w:before="100" w:after="100" w:line="240" w:lineRule="auto"/>
    </w:pPr>
    <w:rPr>
      <w:rFonts w:ascii="Times New Roman" w:eastAsia="Times New Roman" w:hAnsi="Times New Roman" w:cs="Times New Roman"/>
      <w:sz w:val="24"/>
      <w:szCs w:val="24"/>
      <w:lang w:val="fr-FR"/>
    </w:rPr>
  </w:style>
  <w:style w:type="character" w:customStyle="1" w:styleId="cf01">
    <w:name w:val="cf01"/>
    <w:basedOn w:val="Policepardfaut"/>
    <w:rPr>
      <w:rFonts w:ascii="Segoe UI" w:hAnsi="Segoe UI" w:cs="Segoe UI"/>
      <w:sz w:val="18"/>
      <w:szCs w:val="18"/>
    </w:rPr>
  </w:style>
  <w:style w:type="paragraph" w:styleId="NormalWeb">
    <w:name w:val="Normal (Web)"/>
    <w:basedOn w:val="Normal"/>
    <w:pPr>
      <w:spacing w:before="100" w:after="100" w:line="240" w:lineRule="auto"/>
    </w:pPr>
    <w:rPr>
      <w:rFonts w:ascii="Times New Roman" w:eastAsia="Times New Roman" w:hAnsi="Times New Roman" w:cs="Times New Roman"/>
      <w:sz w:val="24"/>
      <w:szCs w:val="24"/>
      <w:lang w:val="fr-FR"/>
    </w:rPr>
  </w:style>
  <w:style w:type="paragraph" w:customStyle="1" w:styleId="Paragraphedeliste">
    <w:name w:val="Paragraphe de liste"/>
    <w:basedOn w:val="Normal"/>
    <w:pPr>
      <w:ind w:left="720"/>
    </w:pPr>
  </w:style>
  <w:style w:type="paragraph" w:styleId="Header">
    <w:name w:val="header"/>
    <w:basedOn w:val="Normal"/>
    <w:link w:val="HeaderChar"/>
    <w:uiPriority w:val="99"/>
    <w:unhideWhenUsed/>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has-sante.fr/upload/docs/application/pdf/2011-01/fiche_consensus_formalise.pdf" TargetMode="External"/><Relationship Id="rId13" Type="http://schemas.openxmlformats.org/officeDocument/2006/relationships/hyperlink" Target="https://www.20minutes.fr/justice/3005119-20210323-toulouse-accessibilite-tribunal-pointe-doigt-lors-proces-militants-situation-handicap" TargetMode="External"/><Relationship Id="rId18" Type="http://schemas.openxmlformats.org/officeDocument/2006/relationships/hyperlink" Target="https://www.pratiquesensante.org/2021-05-18-03/" TargetMode="External"/><Relationship Id="rId26" Type="http://schemas.openxmlformats.org/officeDocument/2006/relationships/customXml" Target="../customXml/item2.xml"/><Relationship Id="rId3" Type="http://schemas.openxmlformats.org/officeDocument/2006/relationships/settings" Target="settings.xml"/><Relationship Id="rId21" Type="http://schemas.openxmlformats.org/officeDocument/2006/relationships/hyperlink" Target="https://www.iledefrance.ars.sante.fr/creation-de-8-unites-specialisees-dans-laccueil-dadultes-avec-troubles-du-spectre-de-lautisme-en" TargetMode="External"/><Relationship Id="rId7" Type="http://schemas.openxmlformats.org/officeDocument/2006/relationships/image" Target="media/image1.png"/><Relationship Id="rId12" Type="http://schemas.openxmlformats.org/officeDocument/2006/relationships/hyperlink" Target="https://www.cairn.info/revue-francaise-de-science-politique-2020-6-page-747.htm" TargetMode="External"/><Relationship Id="rId17" Type="http://schemas.openxmlformats.org/officeDocument/2006/relationships/hyperlink" Target="https://handicap.gouv.fr/presse-actualites/nos-publications/communiques-de-presse/article/un-plan-de-transformation-des-esat-au-benefice-de-tous?fbclid=IwAR1G1GB4u-cBRWMLFml9C96K-zhR0AVevoI_ttEPFtV1f6j8acrsmC-VJgw" TargetMode="External"/><Relationship Id="rId25"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hyperlink" Target="https://cle-autistes.fr/mas-michel-chapuis-punitions-isolement/" TargetMode="External"/><Relationship Id="rId20" Type="http://schemas.openxmlformats.org/officeDocument/2006/relationships/hyperlink" Target="https://www.haute-vienne.fr/fileadmin/mediatheque/cd87/documents/nos_actions/personnes-handicap/politique-autonomie/programme-actions-prevention-perte-autonomie/Dossier_technique_habitat_inclusif.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nsultation.avocat.fr/blog/nathalie-preguimbeau/article-28012-majeurs-proteges-ce-que-change-la-loi-n-2019-222-du-23-mars-2019-de-programmation-et-de-reforme-pour-la-justice.htm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informations.handicap.fr/a-xavier-autiste-vacuum-challenge-poubelle-enferme-12978.php" TargetMode="External"/><Relationship Id="rId23" Type="http://schemas.openxmlformats.org/officeDocument/2006/relationships/fontTable" Target="fontTable.xml"/><Relationship Id="rId10" Type="http://schemas.openxmlformats.org/officeDocument/2006/relationships/hyperlink" Target="https://cle-autistes.fr/capacite-juridique-rapport-parlementaire/" TargetMode="External"/><Relationship Id="rId19" Type="http://schemas.openxmlformats.org/officeDocument/2006/relationships/hyperlink" Target="https://www.gouvernement.fr/sites/default/files/document/document/2021/07/dp_comite_interministeriel_du_handicap_05.07.2021.pdf" TargetMode="External"/><Relationship Id="rId4" Type="http://schemas.openxmlformats.org/officeDocument/2006/relationships/webSettings" Target="webSettings.xml"/><Relationship Id="rId9" Type="http://schemas.openxmlformats.org/officeDocument/2006/relationships/hyperlink" Target="https://www.has-sante.fr/upload/docs/application/pdf/2018-02/20180213_recommandations_vdef.pdf" TargetMode="External"/><Relationship Id="rId14" Type="http://schemas.openxmlformats.org/officeDocument/2006/relationships/hyperlink" Target="https://www.leprogres.fr/faits-divers-justice/2021/07/01/un-prevenu-sourd-et-muet-envoye-en-prison-malgre-l-absence-d-interprete" TargetMode="External"/><Relationship Id="rId22" Type="http://schemas.openxmlformats.org/officeDocument/2006/relationships/footer" Target="footer1.xml"/><Relationship Id="rId27"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68E6D2-32E3-427E-91C8-E2AACAB438C3}"/>
</file>

<file path=customXml/itemProps2.xml><?xml version="1.0" encoding="utf-8"?>
<ds:datastoreItem xmlns:ds="http://schemas.openxmlformats.org/officeDocument/2006/customXml" ds:itemID="{CFEDEC43-01C1-4A78-ACE6-3936FAF5510E}"/>
</file>

<file path=customXml/itemProps3.xml><?xml version="1.0" encoding="utf-8"?>
<ds:datastoreItem xmlns:ds="http://schemas.openxmlformats.org/officeDocument/2006/customXml" ds:itemID="{750B9743-DAC2-4E10-A946-F9D248EAF9FF}"/>
</file>

<file path=docProps/app.xml><?xml version="1.0" encoding="utf-8"?>
<Properties xmlns="http://schemas.openxmlformats.org/officeDocument/2006/extended-properties" xmlns:vt="http://schemas.openxmlformats.org/officeDocument/2006/docPropsVTypes">
  <Template>Normal.dotm</Template>
  <TotalTime>2</TotalTime>
  <Pages>41</Pages>
  <Words>6776</Words>
  <Characters>38625</Characters>
  <Application>Microsoft Office Word</Application>
  <DocSecurity>4</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45311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Thibault Corneloup</dc:creator>
  <cp:lastModifiedBy>OUKO Robert</cp:lastModifiedBy>
  <cp:revision>2</cp:revision>
  <dcterms:created xsi:type="dcterms:W3CDTF">2021-08-10T12:58:00Z</dcterms:created>
  <dcterms:modified xsi:type="dcterms:W3CDTF">2021-08-10T12:58:00Z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