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DF0EF" w14:textId="77777777" w:rsidR="00D869D4" w:rsidRDefault="00D869D4" w:rsidP="00D869D4">
      <w:pPr>
        <w:pStyle w:val="a"/>
        <w:wordWrap/>
        <w:spacing w:line="432" w:lineRule="auto"/>
        <w:jc w:val="right"/>
        <w:rPr>
          <w:rFonts w:ascii="Dotum" w:eastAsia="Dotum"/>
          <w:b/>
          <w:spacing w:val="-6"/>
          <w:w w:val="90"/>
          <w:sz w:val="26"/>
        </w:rPr>
      </w:pPr>
    </w:p>
    <w:p w14:paraId="67F0B50C" w14:textId="77777777" w:rsidR="00D869D4" w:rsidRDefault="00D869D4" w:rsidP="00D869D4">
      <w:pPr>
        <w:pStyle w:val="a"/>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wordWrap/>
        <w:snapToGrid w:val="0"/>
        <w:spacing w:line="360" w:lineRule="auto"/>
        <w:jc w:val="center"/>
      </w:pPr>
      <w:r>
        <w:rPr>
          <w:rFonts w:ascii="Times New Roman"/>
          <w:b/>
          <w:spacing w:val="-18"/>
          <w:sz w:val="32"/>
        </w:rPr>
        <w:t xml:space="preserve">Written Submission of the National Human Rights Commission of Korea </w:t>
      </w:r>
    </w:p>
    <w:p w14:paraId="185E89DB" w14:textId="77777777" w:rsidR="00D869D4" w:rsidRDefault="00D869D4" w:rsidP="00D869D4">
      <w:pPr>
        <w:pStyle w:val="a"/>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wordWrap/>
        <w:snapToGrid w:val="0"/>
        <w:spacing w:line="360" w:lineRule="auto"/>
        <w:jc w:val="center"/>
        <w:rPr>
          <w:rFonts w:ascii="Times New Roman" w:eastAsia="HYHeadLine-Medium"/>
          <w:b/>
          <w:spacing w:val="-26"/>
          <w:sz w:val="32"/>
        </w:rPr>
      </w:pPr>
    </w:p>
    <w:p w14:paraId="7DDB5558" w14:textId="77777777" w:rsidR="00D869D4" w:rsidRDefault="00D869D4" w:rsidP="00D869D4">
      <w:pPr>
        <w:pStyle w:val="a"/>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wordWrap/>
        <w:snapToGrid w:val="0"/>
        <w:spacing w:line="360" w:lineRule="auto"/>
        <w:jc w:val="center"/>
      </w:pPr>
      <w:r>
        <w:rPr>
          <w:rFonts w:ascii="Times New Roman"/>
          <w:b/>
          <w:spacing w:val="-8"/>
          <w:sz w:val="28"/>
        </w:rPr>
        <w:t xml:space="preserve">for the Adoption of the List of Issues </w:t>
      </w:r>
    </w:p>
    <w:p w14:paraId="62661969" w14:textId="77777777" w:rsidR="00D869D4" w:rsidRDefault="00D869D4" w:rsidP="00D869D4">
      <w:pPr>
        <w:pStyle w:val="a"/>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wordWrap/>
        <w:snapToGrid w:val="0"/>
        <w:spacing w:line="360" w:lineRule="auto"/>
        <w:jc w:val="center"/>
      </w:pPr>
      <w:r>
        <w:rPr>
          <w:rFonts w:ascii="Times New Roman"/>
          <w:b/>
          <w:spacing w:val="-8"/>
          <w:sz w:val="28"/>
        </w:rPr>
        <w:t>regarding the Initial Report of the Republic of Korea</w:t>
      </w:r>
    </w:p>
    <w:p w14:paraId="01E9C882" w14:textId="77777777" w:rsidR="00D869D4" w:rsidRDefault="00D869D4" w:rsidP="00D869D4">
      <w:pPr>
        <w:pStyle w:val="a"/>
        <w:wordWrap/>
        <w:spacing w:line="360" w:lineRule="auto"/>
        <w:jc w:val="center"/>
        <w:rPr>
          <w:rFonts w:ascii="Times New Roman" w:eastAsia="HYHeadLine-Medium"/>
          <w:b/>
          <w:sz w:val="28"/>
        </w:rPr>
      </w:pPr>
    </w:p>
    <w:p w14:paraId="00BDE445" w14:textId="77777777" w:rsidR="00D869D4" w:rsidRDefault="00D869D4" w:rsidP="00D869D4">
      <w:pPr>
        <w:pStyle w:val="a"/>
        <w:wordWrap/>
        <w:spacing w:line="360" w:lineRule="auto"/>
        <w:jc w:val="center"/>
        <w:rPr>
          <w:rFonts w:ascii="Times New Roman" w:eastAsia="HYHeadLine-Medium"/>
          <w:b/>
          <w:sz w:val="28"/>
        </w:rPr>
      </w:pPr>
    </w:p>
    <w:p w14:paraId="0FEAD1A9" w14:textId="77777777" w:rsidR="00D869D4" w:rsidRDefault="00D869D4" w:rsidP="00D869D4">
      <w:pPr>
        <w:pStyle w:val="a"/>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wordWrap/>
        <w:snapToGrid w:val="0"/>
        <w:spacing w:line="360" w:lineRule="auto"/>
        <w:jc w:val="center"/>
      </w:pPr>
      <w:r>
        <w:rPr>
          <w:rFonts w:ascii="Times New Roman"/>
          <w:b/>
          <w:spacing w:val="-8"/>
          <w:sz w:val="28"/>
        </w:rPr>
        <w:t>Thirtieth Session of the United Nations Committee on Enforced Disappearances</w:t>
      </w:r>
    </w:p>
    <w:p w14:paraId="3E79F969" w14:textId="77777777" w:rsidR="00D869D4" w:rsidRDefault="00D869D4" w:rsidP="00D869D4">
      <w:pPr>
        <w:pStyle w:val="a"/>
        <w:wordWrap/>
        <w:spacing w:line="360" w:lineRule="auto"/>
        <w:jc w:val="center"/>
        <w:rPr>
          <w:rFonts w:ascii="Times New Roman" w:eastAsia="HYHeadLine-Medium"/>
          <w:b/>
          <w:sz w:val="32"/>
        </w:rPr>
      </w:pPr>
    </w:p>
    <w:p w14:paraId="6862009F" w14:textId="77777777" w:rsidR="00D869D4" w:rsidRDefault="00D869D4" w:rsidP="00D869D4">
      <w:pPr>
        <w:pStyle w:val="a"/>
        <w:wordWrap/>
        <w:spacing w:line="360" w:lineRule="auto"/>
        <w:jc w:val="center"/>
        <w:rPr>
          <w:rFonts w:ascii="Times New Roman" w:eastAsia="HYHeadLine-Medium"/>
          <w:b/>
          <w:sz w:val="32"/>
        </w:rPr>
      </w:pPr>
    </w:p>
    <w:p w14:paraId="12BED11F" w14:textId="77777777" w:rsidR="00D869D4" w:rsidRDefault="00D869D4" w:rsidP="00D869D4">
      <w:pPr>
        <w:pStyle w:val="a"/>
        <w:wordWrap/>
        <w:spacing w:line="360" w:lineRule="auto"/>
        <w:jc w:val="center"/>
        <w:rPr>
          <w:rFonts w:ascii="Times New Roman" w:eastAsia="HYHeadLine-Medium"/>
          <w:b/>
          <w:sz w:val="32"/>
        </w:rPr>
      </w:pPr>
    </w:p>
    <w:p w14:paraId="3D694151" w14:textId="77777777" w:rsidR="00D869D4" w:rsidRDefault="00D869D4" w:rsidP="00D869D4">
      <w:pPr>
        <w:pStyle w:val="a"/>
        <w:wordWrap/>
        <w:spacing w:line="360" w:lineRule="auto"/>
        <w:jc w:val="center"/>
        <w:rPr>
          <w:rFonts w:ascii="Times New Roman" w:eastAsia="HYHeadLine-Medium"/>
          <w:b/>
          <w:sz w:val="32"/>
        </w:rPr>
      </w:pPr>
    </w:p>
    <w:p w14:paraId="09FB9CF7" w14:textId="77777777" w:rsidR="00D869D4" w:rsidRDefault="00D869D4" w:rsidP="00D869D4">
      <w:pPr>
        <w:pStyle w:val="a"/>
        <w:wordWrap/>
        <w:spacing w:line="360" w:lineRule="auto"/>
        <w:jc w:val="center"/>
        <w:rPr>
          <w:rFonts w:ascii="Times New Roman" w:eastAsia="HYHeadLine-Medium"/>
          <w:b/>
          <w:sz w:val="32"/>
        </w:rPr>
      </w:pPr>
    </w:p>
    <w:p w14:paraId="14C16FB9" w14:textId="77777777" w:rsidR="00D869D4" w:rsidRDefault="00D869D4" w:rsidP="00D869D4">
      <w:pPr>
        <w:pStyle w:val="a"/>
        <w:wordWrap/>
        <w:spacing w:line="360" w:lineRule="auto"/>
        <w:jc w:val="center"/>
      </w:pPr>
      <w:r>
        <w:rPr>
          <w:rFonts w:ascii="Times New Roman"/>
          <w:b/>
          <w:sz w:val="32"/>
        </w:rPr>
        <w:t>February 2026</w:t>
      </w:r>
    </w:p>
    <w:p w14:paraId="5BE7C454" w14:textId="77777777" w:rsidR="00D869D4" w:rsidRDefault="00D869D4" w:rsidP="00D869D4">
      <w:pPr>
        <w:pStyle w:val="a"/>
        <w:wordWrap/>
        <w:jc w:val="center"/>
        <w:rPr>
          <w:rFonts w:ascii="HYHeadLine-Medium" w:eastAsia="HYHeadLine-Medium"/>
          <w:sz w:val="50"/>
        </w:rPr>
      </w:pPr>
    </w:p>
    <w:p w14:paraId="6563A63A" w14:textId="77777777" w:rsidR="00D869D4" w:rsidRDefault="00D869D4" w:rsidP="00D869D4">
      <w:pPr>
        <w:pStyle w:val="a"/>
        <w:wordWrap/>
        <w:jc w:val="center"/>
      </w:pPr>
      <w:r>
        <w:rPr>
          <w:noProof/>
        </w:rPr>
        <w:drawing>
          <wp:anchor distT="0" distB="0" distL="0" distR="0" simplePos="0" relativeHeight="251659264" behindDoc="0" locked="0" layoutInCell="1" allowOverlap="1" wp14:anchorId="2D2D1E97" wp14:editId="36FB5E73">
            <wp:simplePos x="0" y="0"/>
            <wp:positionH relativeFrom="column">
              <wp:posOffset>2500630</wp:posOffset>
            </wp:positionH>
            <wp:positionV relativeFrom="paragraph">
              <wp:posOffset>74930</wp:posOffset>
            </wp:positionV>
            <wp:extent cx="1009650" cy="681990"/>
            <wp:effectExtent l="0" t="0" r="0" b="0"/>
            <wp:wrapSquare wrapText="bothSides"/>
            <wp:docPr id="1" name="그림 %d 1"/>
            <wp:cNvGraphicFramePr/>
            <a:graphic xmlns:a="http://schemas.openxmlformats.org/drawingml/2006/main">
              <a:graphicData uri="http://schemas.openxmlformats.org/drawingml/2006/picture">
                <pic:pic xmlns:pic="http://schemas.openxmlformats.org/drawingml/2006/picture">
                  <pic:nvPicPr>
                    <pic:cNvPr id="0" name="C:\Users\USER\AppData\Local\Temp\Hnc\BinData\EMB0001306450a1.JPEG"/>
                    <pic:cNvPicPr/>
                  </pic:nvPicPr>
                  <pic:blipFill>
                    <a:blip r:embed="rId8"/>
                    <a:stretch>
                      <a:fillRect/>
                    </a:stretch>
                  </pic:blipFill>
                  <pic:spPr>
                    <a:xfrm>
                      <a:off x="0" y="0"/>
                      <a:ext cx="1009650" cy="681990"/>
                    </a:xfrm>
                    <a:prstGeom prst="rect">
                      <a:avLst/>
                    </a:prstGeom>
                    <a:effectLst/>
                  </pic:spPr>
                </pic:pic>
              </a:graphicData>
            </a:graphic>
            <wp14:sizeRelH relativeFrom="margin">
              <wp14:pctWidth>0</wp14:pctWidth>
            </wp14:sizeRelH>
            <wp14:sizeRelV relativeFrom="margin">
              <wp14:pctHeight>0</wp14:pctHeight>
            </wp14:sizeRelV>
          </wp:anchor>
        </w:drawing>
      </w:r>
    </w:p>
    <w:p w14:paraId="3AECE57F" w14:textId="77777777" w:rsidR="00D869D4" w:rsidRDefault="00D869D4" w:rsidP="00D869D4">
      <w:pPr>
        <w:pStyle w:val="a"/>
        <w:wordWrap/>
        <w:jc w:val="center"/>
        <w:rPr>
          <w:rFonts w:ascii="HYHeadLine-Medium" w:eastAsia="HYHeadLine-Medium"/>
          <w:sz w:val="50"/>
        </w:rPr>
      </w:pPr>
    </w:p>
    <w:p w14:paraId="47178470" w14:textId="77777777" w:rsidR="00D869D4" w:rsidRDefault="00D869D4" w:rsidP="00D869D4">
      <w:pPr>
        <w:jc w:val="both"/>
        <w:rPr>
          <w:rFonts w:ascii="Times New Roman" w:hAnsi="Times New Roman" w:cs="Times New Roman"/>
          <w:sz w:val="24"/>
        </w:rPr>
      </w:pPr>
    </w:p>
    <w:p w14:paraId="7FDCA0F2" w14:textId="77777777" w:rsidR="00D869D4" w:rsidRDefault="00D869D4" w:rsidP="00D869D4">
      <w:pPr>
        <w:jc w:val="both"/>
        <w:rPr>
          <w:rFonts w:ascii="Times New Roman" w:hAnsi="Times New Roman" w:cs="Times New Roman"/>
          <w:sz w:val="24"/>
        </w:rPr>
      </w:pPr>
    </w:p>
    <w:p w14:paraId="70FE74F0" w14:textId="77777777" w:rsidR="00D869D4" w:rsidRDefault="00D869D4" w:rsidP="00D869D4">
      <w:pPr>
        <w:jc w:val="both"/>
        <w:rPr>
          <w:rFonts w:ascii="Times New Roman" w:hAnsi="Times New Roman" w:cs="Times New Roman"/>
          <w:sz w:val="24"/>
        </w:rPr>
      </w:pPr>
    </w:p>
    <w:p w14:paraId="5E4A9087" w14:textId="77777777" w:rsidR="00D869D4" w:rsidRDefault="00D869D4" w:rsidP="00D869D4">
      <w:pPr>
        <w:jc w:val="both"/>
        <w:rPr>
          <w:rFonts w:ascii="Times New Roman" w:hAnsi="Times New Roman" w:cs="Times New Roman"/>
          <w:sz w:val="24"/>
        </w:rPr>
      </w:pPr>
    </w:p>
    <w:p w14:paraId="653C75CE" w14:textId="77777777" w:rsidR="00D869D4" w:rsidRDefault="00D869D4" w:rsidP="00D869D4">
      <w:pPr>
        <w:jc w:val="both"/>
        <w:rPr>
          <w:rFonts w:ascii="Times New Roman" w:hAnsi="Times New Roman" w:cs="Times New Roman"/>
          <w:sz w:val="24"/>
        </w:rPr>
      </w:pPr>
    </w:p>
    <w:p w14:paraId="637059A7" w14:textId="77777777" w:rsidR="00D869D4" w:rsidRDefault="00D869D4" w:rsidP="00D869D4">
      <w:pPr>
        <w:jc w:val="both"/>
        <w:rPr>
          <w:rFonts w:ascii="Times New Roman" w:hAnsi="Times New Roman" w:cs="Times New Roman"/>
          <w:sz w:val="24"/>
        </w:rPr>
      </w:pPr>
    </w:p>
    <w:p w14:paraId="05F32C89" w14:textId="77777777" w:rsidR="00D869D4" w:rsidRDefault="00D869D4" w:rsidP="00D869D4">
      <w:pPr>
        <w:jc w:val="both"/>
        <w:rPr>
          <w:rFonts w:ascii="Times New Roman" w:hAnsi="Times New Roman" w:cs="Times New Roman"/>
          <w:sz w:val="24"/>
        </w:rPr>
      </w:pPr>
    </w:p>
    <w:p w14:paraId="68E452AF" w14:textId="77777777" w:rsidR="00556BF7" w:rsidRDefault="00556BF7" w:rsidP="00D869D4">
      <w:pPr>
        <w:jc w:val="both"/>
        <w:rPr>
          <w:rFonts w:ascii="Times New Roman" w:hAnsi="Times New Roman" w:cs="Times New Roman"/>
          <w:sz w:val="24"/>
        </w:rPr>
        <w:sectPr w:rsidR="00556BF7" w:rsidSect="00556BF7">
          <w:footerReference w:type="default" r:id="rId9"/>
          <w:pgSz w:w="11906" w:h="16838"/>
          <w:pgMar w:top="1701" w:right="1440" w:bottom="1440" w:left="1440" w:header="851" w:footer="992" w:gutter="0"/>
          <w:cols w:space="425"/>
          <w:titlePg/>
          <w:docGrid w:linePitch="360"/>
        </w:sectPr>
      </w:pPr>
    </w:p>
    <w:p w14:paraId="6DE6AB73" w14:textId="2EBD0CEF" w:rsidR="00D869D4" w:rsidRDefault="00556BF7" w:rsidP="00D869D4">
      <w:pPr>
        <w:jc w:val="both"/>
        <w:rPr>
          <w:rFonts w:ascii="Times New Roman" w:hAnsi="Times New Roman" w:cs="Times New Roman"/>
          <w:sz w:val="24"/>
        </w:rPr>
      </w:pPr>
      <w:r>
        <w:rPr>
          <w:noProof/>
        </w:rPr>
        <w:lastRenderedPageBreak/>
        <w:drawing>
          <wp:inline distT="0" distB="0" distL="0" distR="0" wp14:anchorId="25A60504" wp14:editId="0BFDA27D">
            <wp:extent cx="5731510" cy="8146797"/>
            <wp:effectExtent l="0" t="0" r="2540" b="698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8146797"/>
                    </a:xfrm>
                    <a:prstGeom prst="rect">
                      <a:avLst/>
                    </a:prstGeom>
                  </pic:spPr>
                </pic:pic>
              </a:graphicData>
            </a:graphic>
          </wp:inline>
        </w:drawing>
      </w:r>
    </w:p>
    <w:p w14:paraId="1D00644C" w14:textId="0855514B" w:rsidR="00D869D4" w:rsidRDefault="00D869D4" w:rsidP="00D869D4">
      <w:pPr>
        <w:jc w:val="center"/>
        <w:rPr>
          <w:rFonts w:ascii="Times New Roman" w:hAnsi="Times New Roman" w:cs="Times New Roman"/>
          <w:sz w:val="24"/>
        </w:rPr>
      </w:pPr>
    </w:p>
    <w:p w14:paraId="31265F1F" w14:textId="6ACFAFA0" w:rsidR="00D869D4" w:rsidRDefault="00D869D4" w:rsidP="00D869D4">
      <w:pPr>
        <w:jc w:val="both"/>
        <w:rPr>
          <w:rFonts w:ascii="Times New Roman" w:hAnsi="Times New Roman" w:cs="Times New Roman"/>
          <w:sz w:val="24"/>
        </w:rPr>
      </w:pPr>
      <w:r>
        <w:rPr>
          <w:noProof/>
        </w:rPr>
        <w:lastRenderedPageBreak/>
        <w:drawing>
          <wp:inline distT="0" distB="0" distL="0" distR="0" wp14:anchorId="3C917F9E" wp14:editId="44A5990F">
            <wp:extent cx="5828984" cy="2113807"/>
            <wp:effectExtent l="0" t="0" r="635" b="127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41358" cy="2118294"/>
                    </a:xfrm>
                    <a:prstGeom prst="rect">
                      <a:avLst/>
                    </a:prstGeom>
                  </pic:spPr>
                </pic:pic>
              </a:graphicData>
            </a:graphic>
          </wp:inline>
        </w:drawing>
      </w:r>
    </w:p>
    <w:p w14:paraId="55B48F2D" w14:textId="77777777" w:rsidR="00D869D4" w:rsidRPr="00D869D4" w:rsidRDefault="00D869D4" w:rsidP="00D869D4">
      <w:pPr>
        <w:jc w:val="both"/>
        <w:rPr>
          <w:rFonts w:ascii="Times New Roman" w:hAnsi="Times New Roman" w:cs="Times New Roman"/>
          <w:sz w:val="24"/>
        </w:rPr>
      </w:pPr>
    </w:p>
    <w:p w14:paraId="25444927" w14:textId="77777777" w:rsidR="00D869D4" w:rsidRDefault="00D869D4" w:rsidP="00D869D4">
      <w:pPr>
        <w:jc w:val="both"/>
        <w:rPr>
          <w:rFonts w:ascii="Times New Roman" w:hAnsi="Times New Roman" w:cs="Times New Roman"/>
          <w:sz w:val="24"/>
        </w:rPr>
      </w:pPr>
    </w:p>
    <w:p w14:paraId="567EEAAC" w14:textId="77777777" w:rsidR="00D869D4" w:rsidRDefault="00D869D4" w:rsidP="00D869D4">
      <w:pPr>
        <w:jc w:val="both"/>
        <w:rPr>
          <w:rFonts w:ascii="Times New Roman" w:hAnsi="Times New Roman" w:cs="Times New Roman"/>
          <w:sz w:val="24"/>
        </w:rPr>
      </w:pPr>
    </w:p>
    <w:p w14:paraId="65CD8162" w14:textId="77777777" w:rsidR="00D869D4" w:rsidRDefault="00D869D4" w:rsidP="00D869D4">
      <w:pPr>
        <w:jc w:val="both"/>
        <w:rPr>
          <w:rFonts w:ascii="Times New Roman" w:hAnsi="Times New Roman" w:cs="Times New Roman"/>
          <w:sz w:val="24"/>
        </w:rPr>
      </w:pPr>
    </w:p>
    <w:p w14:paraId="7389C680" w14:textId="77777777" w:rsidR="00D869D4" w:rsidRDefault="00D869D4" w:rsidP="00D869D4">
      <w:pPr>
        <w:jc w:val="both"/>
        <w:rPr>
          <w:rFonts w:ascii="Times New Roman" w:hAnsi="Times New Roman" w:cs="Times New Roman"/>
          <w:sz w:val="24"/>
        </w:rPr>
      </w:pPr>
    </w:p>
    <w:p w14:paraId="629CF2DE" w14:textId="77777777" w:rsidR="00D869D4" w:rsidRDefault="00D869D4" w:rsidP="00D869D4">
      <w:pPr>
        <w:jc w:val="both"/>
        <w:rPr>
          <w:rFonts w:ascii="Times New Roman" w:hAnsi="Times New Roman" w:cs="Times New Roman"/>
          <w:sz w:val="24"/>
        </w:rPr>
      </w:pPr>
    </w:p>
    <w:p w14:paraId="2DB40F86" w14:textId="77777777" w:rsidR="00D869D4" w:rsidRDefault="00D869D4" w:rsidP="00D869D4">
      <w:pPr>
        <w:jc w:val="both"/>
        <w:rPr>
          <w:rFonts w:ascii="Times New Roman" w:hAnsi="Times New Roman" w:cs="Times New Roman"/>
          <w:sz w:val="24"/>
        </w:rPr>
      </w:pPr>
    </w:p>
    <w:p w14:paraId="583D86C2" w14:textId="77777777" w:rsidR="00D869D4" w:rsidRDefault="00D869D4" w:rsidP="00D869D4">
      <w:pPr>
        <w:jc w:val="both"/>
        <w:rPr>
          <w:rFonts w:ascii="Times New Roman" w:hAnsi="Times New Roman" w:cs="Times New Roman"/>
          <w:sz w:val="24"/>
        </w:rPr>
      </w:pPr>
    </w:p>
    <w:p w14:paraId="648BB993" w14:textId="77777777" w:rsidR="00D869D4" w:rsidRDefault="00D869D4" w:rsidP="00D869D4">
      <w:pPr>
        <w:jc w:val="both"/>
        <w:rPr>
          <w:rFonts w:ascii="Times New Roman" w:hAnsi="Times New Roman" w:cs="Times New Roman"/>
          <w:sz w:val="24"/>
        </w:rPr>
      </w:pPr>
    </w:p>
    <w:p w14:paraId="4573CE8E" w14:textId="77777777" w:rsidR="00D869D4" w:rsidRDefault="00D869D4" w:rsidP="00D869D4">
      <w:pPr>
        <w:jc w:val="both"/>
        <w:rPr>
          <w:rFonts w:ascii="Times New Roman" w:hAnsi="Times New Roman" w:cs="Times New Roman"/>
          <w:sz w:val="24"/>
        </w:rPr>
      </w:pPr>
    </w:p>
    <w:p w14:paraId="42434D0F" w14:textId="77777777" w:rsidR="00D869D4" w:rsidRDefault="00D869D4" w:rsidP="00D869D4">
      <w:pPr>
        <w:jc w:val="both"/>
        <w:rPr>
          <w:rFonts w:ascii="Times New Roman" w:hAnsi="Times New Roman" w:cs="Times New Roman"/>
          <w:sz w:val="24"/>
        </w:rPr>
      </w:pPr>
    </w:p>
    <w:p w14:paraId="591C99FB" w14:textId="77777777" w:rsidR="00D869D4" w:rsidRDefault="00D869D4" w:rsidP="00D869D4">
      <w:pPr>
        <w:jc w:val="both"/>
        <w:rPr>
          <w:rFonts w:ascii="Times New Roman" w:hAnsi="Times New Roman" w:cs="Times New Roman"/>
          <w:sz w:val="24"/>
        </w:rPr>
      </w:pPr>
    </w:p>
    <w:p w14:paraId="38C8ED92" w14:textId="77777777" w:rsidR="00D869D4" w:rsidRDefault="00D869D4" w:rsidP="00D869D4">
      <w:pPr>
        <w:jc w:val="both"/>
        <w:rPr>
          <w:rFonts w:ascii="Times New Roman" w:hAnsi="Times New Roman" w:cs="Times New Roman"/>
          <w:sz w:val="24"/>
        </w:rPr>
      </w:pPr>
    </w:p>
    <w:p w14:paraId="5F3CE3BC" w14:textId="77777777" w:rsidR="00D869D4" w:rsidRDefault="00D869D4" w:rsidP="00D869D4">
      <w:pPr>
        <w:jc w:val="both"/>
        <w:rPr>
          <w:rFonts w:ascii="Times New Roman" w:hAnsi="Times New Roman" w:cs="Times New Roman"/>
          <w:sz w:val="24"/>
        </w:rPr>
      </w:pPr>
    </w:p>
    <w:p w14:paraId="7D78391D" w14:textId="77777777" w:rsidR="009E34FC" w:rsidRDefault="009E34FC" w:rsidP="00D869D4">
      <w:pPr>
        <w:jc w:val="both"/>
        <w:rPr>
          <w:rFonts w:ascii="Times New Roman" w:hAnsi="Times New Roman" w:cs="Times New Roman"/>
          <w:sz w:val="24"/>
        </w:rPr>
        <w:sectPr w:rsidR="009E34FC" w:rsidSect="00556BF7">
          <w:footerReference w:type="default" r:id="rId12"/>
          <w:pgSz w:w="11906" w:h="16838"/>
          <w:pgMar w:top="1701" w:right="1440" w:bottom="1440" w:left="1440" w:header="851" w:footer="992" w:gutter="0"/>
          <w:cols w:space="425"/>
          <w:titlePg/>
          <w:docGrid w:linePitch="360"/>
        </w:sectPr>
      </w:pPr>
    </w:p>
    <w:p w14:paraId="521B2F27" w14:textId="1529E925"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lastRenderedPageBreak/>
        <w:t>1. The National Human Rights Commission of Korea (NHRCK) submits its written contribution in order to provide information to assist the United Nations Committee on Enforced Disappearances (Committee) in the preparation of the List of Issues to be adopted prior to its consideration of the initial report of the Republic of Korea on the implementation of the International Convention for the Protection of All Persons from Enforced Disappearance (Convention or ICPPED). This report was prepared as of January 2026.</w:t>
      </w:r>
    </w:p>
    <w:p w14:paraId="77ECD82F" w14:textId="77777777" w:rsidR="00D869D4" w:rsidRPr="00D869D4" w:rsidRDefault="00D869D4" w:rsidP="00556BF7">
      <w:pPr>
        <w:wordWrap/>
        <w:spacing w:line="300" w:lineRule="auto"/>
        <w:jc w:val="both"/>
        <w:rPr>
          <w:rFonts w:ascii="Times New Roman" w:hAnsi="Times New Roman" w:cs="Times New Roman"/>
          <w:sz w:val="24"/>
        </w:rPr>
      </w:pPr>
    </w:p>
    <w:p w14:paraId="542E8E4A"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2 Definition of Enforced Disappearances&gt;</w:t>
      </w:r>
    </w:p>
    <w:p w14:paraId="1915999B"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 xml:space="preserve">Issue 1: Definition of Enforced Disappearance (State report, paras. 12–14) </w:t>
      </w:r>
    </w:p>
    <w:p w14:paraId="6CB29849"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 Paragraph 12 of the State report indicates that “the current </w:t>
      </w:r>
      <w:r w:rsidRPr="00D869D4">
        <w:rPr>
          <w:rFonts w:ascii="Times New Roman" w:hAnsi="Times New Roman" w:cs="Times New Roman"/>
          <w:i/>
          <w:iCs/>
          <w:sz w:val="24"/>
        </w:rPr>
        <w:t>Criminal Act</w:t>
      </w:r>
      <w:r w:rsidRPr="00D869D4">
        <w:rPr>
          <w:rFonts w:ascii="Times New Roman" w:hAnsi="Times New Roman" w:cs="Times New Roman"/>
          <w:sz w:val="24"/>
        </w:rPr>
        <w:t xml:space="preserve">, the </w:t>
      </w:r>
      <w:r w:rsidRPr="00D869D4">
        <w:rPr>
          <w:rFonts w:ascii="Times New Roman" w:hAnsi="Times New Roman" w:cs="Times New Roman"/>
          <w:i/>
          <w:iCs/>
          <w:sz w:val="24"/>
        </w:rPr>
        <w:t>Act on the Aggravated Punishment of Specific Crimes</w:t>
      </w:r>
      <w:r w:rsidRPr="00D869D4">
        <w:rPr>
          <w:rFonts w:ascii="Times New Roman" w:hAnsi="Times New Roman" w:cs="Times New Roman"/>
          <w:sz w:val="24"/>
        </w:rPr>
        <w:t xml:space="preserve">, and the </w:t>
      </w:r>
      <w:r w:rsidRPr="00D869D4">
        <w:rPr>
          <w:rFonts w:ascii="Times New Roman" w:hAnsi="Times New Roman" w:cs="Times New Roman"/>
          <w:i/>
          <w:iCs/>
          <w:sz w:val="24"/>
        </w:rPr>
        <w:t xml:space="preserve">Act on the Punishment of Crimes under Jurisdiction of the International Criminal Court </w:t>
      </w:r>
      <w:r w:rsidRPr="00D869D4">
        <w:rPr>
          <w:rFonts w:ascii="Times New Roman" w:hAnsi="Times New Roman" w:cs="Times New Roman"/>
          <w:sz w:val="24"/>
        </w:rPr>
        <w:t>(ICCA) are invoked as criminal laws in the handling of cases of enforced disappearance, and that the relevant penal provisions contained in each of these statutes criminalize conduct that is consistent with the definition of enforced disappearance under the Convention.”</w:t>
      </w:r>
    </w:p>
    <w:p w14:paraId="1A89259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 However, it is difficult to conclude that the existing legislation referred to above fully satisfies all three constituent elements of enforced disappearance. First, the offences provided for under the </w:t>
      </w:r>
      <w:r w:rsidRPr="00D869D4">
        <w:rPr>
          <w:rFonts w:ascii="Times New Roman" w:hAnsi="Times New Roman" w:cs="Times New Roman"/>
          <w:i/>
          <w:iCs/>
          <w:sz w:val="24"/>
        </w:rPr>
        <w:t xml:space="preserve">Criminal Act, </w:t>
      </w:r>
      <w:r w:rsidRPr="00D869D4">
        <w:rPr>
          <w:rFonts w:ascii="Times New Roman" w:hAnsi="Times New Roman" w:cs="Times New Roman"/>
          <w:sz w:val="24"/>
        </w:rPr>
        <w:t>including unlawful arrest or confinement (Article 124), arrest or confinement (Articles 276 and 280), and arrest or confinement resulting in injury (Article 281), do not sufficiently encompass either the denial of the deprivation of liberty or the concealment of the fate or whereabouts of the disappeared person, nor do they adequately capture conduct that, as a consequence, places the disappeared person outside the protection of the law. Although the ICCA stipulates crimes against humanity (Article 9) and refers to enforced disappearance in subparagraph 8 of paragraph 2, the Act, as expressly stated in paragraph 2, limits the treatment of enforced disappearance as a crime against humanity to situations in which such acts are committed as part of “making an extensive or systematic attack directed against any civilian population.” As a result, ordinary cases of enforced disappearance carried out in the absence of an “extensive or systematic attack” fall outside the scope of the Act.</w:t>
      </w:r>
    </w:p>
    <w:p w14:paraId="1A735863" w14:textId="77777777" w:rsid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 Furthermore, while paragraph 14 of the State report states that, where enforced disappearance is prosecuted as a criminal offence and the perpetrator is a member of the armed forces or another person falling within the scope of Article 2 of the </w:t>
      </w:r>
      <w:r w:rsidRPr="00D869D4">
        <w:rPr>
          <w:rFonts w:ascii="Times New Roman" w:hAnsi="Times New Roman" w:cs="Times New Roman"/>
          <w:i/>
          <w:iCs/>
          <w:sz w:val="24"/>
        </w:rPr>
        <w:t>Military Court Act</w:t>
      </w:r>
      <w:r w:rsidRPr="00D869D4">
        <w:rPr>
          <w:rFonts w:ascii="Times New Roman" w:hAnsi="Times New Roman" w:cs="Times New Roman"/>
          <w:sz w:val="24"/>
        </w:rPr>
        <w:t xml:space="preserve">, the </w:t>
      </w:r>
      <w:r w:rsidRPr="00D869D4">
        <w:rPr>
          <w:rFonts w:ascii="Times New Roman" w:hAnsi="Times New Roman" w:cs="Times New Roman"/>
          <w:i/>
          <w:iCs/>
          <w:sz w:val="24"/>
        </w:rPr>
        <w:t xml:space="preserve">Military Court Act </w:t>
      </w:r>
      <w:r w:rsidRPr="00D869D4">
        <w:rPr>
          <w:rFonts w:ascii="Times New Roman" w:hAnsi="Times New Roman" w:cs="Times New Roman"/>
          <w:sz w:val="24"/>
        </w:rPr>
        <w:t xml:space="preserve">applies, the report provides little elaboration on this point. In the absence of provisions in the </w:t>
      </w:r>
      <w:r w:rsidRPr="00D869D4">
        <w:rPr>
          <w:rFonts w:ascii="Times New Roman" w:hAnsi="Times New Roman" w:cs="Times New Roman"/>
          <w:i/>
          <w:iCs/>
          <w:sz w:val="24"/>
        </w:rPr>
        <w:t xml:space="preserve">Military Criminal Act </w:t>
      </w:r>
      <w:r w:rsidRPr="00D869D4">
        <w:rPr>
          <w:rFonts w:ascii="Times New Roman" w:hAnsi="Times New Roman" w:cs="Times New Roman"/>
          <w:sz w:val="24"/>
        </w:rPr>
        <w:t>that specifically criminalize enforced disappearance, it remains unclear how cases in which members of the armed forces commit acts amounting to enforced disappearance are to be addressed in practice. Accordingly, additional clarification is required.</w:t>
      </w:r>
    </w:p>
    <w:p w14:paraId="3239F770" w14:textId="25F72806"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lastRenderedPageBreak/>
        <w:t>&lt;Article 3 Enforced Disappearance by Non-State Actors or Groups;</w:t>
      </w:r>
      <w:r w:rsidR="00556BF7">
        <w:rPr>
          <w:rFonts w:ascii="Times New Roman" w:hAnsi="Times New Roman" w:cs="Times New Roman" w:hint="eastAsia"/>
          <w:b/>
          <w:bCs/>
          <w:sz w:val="24"/>
        </w:rPr>
        <w:t xml:space="preserve"> </w:t>
      </w:r>
      <w:r w:rsidRPr="00D869D4">
        <w:rPr>
          <w:rFonts w:ascii="Times New Roman" w:hAnsi="Times New Roman" w:cs="Times New Roman"/>
          <w:b/>
          <w:bCs/>
          <w:sz w:val="24"/>
        </w:rPr>
        <w:t>Article 4 Criminalization of Enforced Disappearance&gt;</w:t>
      </w:r>
    </w:p>
    <w:p w14:paraId="74D66192"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 Legislative Status Concerning the Implementation of the Obligation to Criminalize Enforced Disappearance under the Convention (State report, paras. 16–17)</w:t>
      </w:r>
    </w:p>
    <w:p w14:paraId="5F6A0EBB"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5. On 4 July 2024, National Assembly member Kim Gi-hyeon submitted, as the lead sponsor, the Bill on the Punishment of Enforced Disappearance Crimes, the Prevention of Enforced Disappearance, and the Remedy of Victims (Bill No. 1373). Thereafter, on 24 October 2024, National Assembly member Kim Young-bae submitted, as the lead sponsor, a bill bearing the same title (Bill No. 4872), which is currently pending before the 22</w:t>
      </w:r>
      <w:r w:rsidRPr="00D869D4">
        <w:rPr>
          <w:rFonts w:ascii="Times New Roman" w:hAnsi="Times New Roman" w:cs="Times New Roman"/>
          <w:sz w:val="24"/>
          <w:vertAlign w:val="superscript"/>
        </w:rPr>
        <w:t>nd</w:t>
      </w:r>
      <w:r w:rsidRPr="00D869D4">
        <w:rPr>
          <w:rFonts w:ascii="Times New Roman" w:hAnsi="Times New Roman" w:cs="Times New Roman"/>
          <w:sz w:val="24"/>
        </w:rPr>
        <w:t xml:space="preserve"> National Assembly. With respect to the “definition of enforced disappearance,” the two bills differ in their approaches. The bill sponsored by National Assembly member Kim Gi-hyeon defines enforced disappearance as an act carried out by agents of the State or with the authorization of the State as outlined in Article 2 of the Convention. It further includes a proviso that allows acts committed by North Korea, which is not recognized as a State under domestic law, to be addressed under domestic legislation, thereby encompassing enforced disappearance committed by groups as envisaged in Article 3 of the Convention. By contrast, the bill sponsored by National Assembly member Kim Young-bae merely stipulates that agents of the State include local governments and public institutions as defined under domestic law and does not otherwise provide for the inclusion of enforced disappearance committed by groups, thereby making it difficult to fulfill the purpose of the Convention. </w:t>
      </w:r>
    </w:p>
    <w:p w14:paraId="02C3FCF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 In this regard, the NHRCK decided, at its Plenary Committee meeting held on 9 June 2025, to issue an opinion on the Bills on the Punishment of Enforced Disappearance Crimes, the Prevention of Enforced Disappearance, and the Remedy of Victims. On 2 July of the same year, the NHRCK transmitted its written decision to the Speaker of the National Assembly. In its opinion, with regard to the definition of “enforced disappearance,” the NHRCK recommended that consideration be given to defining the perpetrators of enforced disappearance by using formulations such as “the State or a political organization,” as set out in Article 9, paragraph 2, subparagraph 8 of the ICCA, or by reference to the international treaty status of North Korea, by employing the formulation “all entities eligible to sign, ratify, or accede to this Convention pursuant to Article 38 of the Convention,” so as to ensure that North Korea may be included within the scope of “perpetrators of enforced disappearance, etc.” under the proposed legislation. </w:t>
      </w:r>
    </w:p>
    <w:p w14:paraId="33CC723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7. Furthermore, with respect to enforced disappearance by non-State individuals or groups, as indicated in paragraph 14 of the Guidelines on the Form and Content of Reports, Article 3 of the Convention calls upon States parties to take measures to investigate, adjudicate, and sanction acts amounting to enforced disappearance committed by individuals or groups acting independently of the State, with a view to punishing and preventing such crimes. However, </w:t>
      </w:r>
      <w:r w:rsidRPr="00D869D4">
        <w:rPr>
          <w:rFonts w:ascii="Times New Roman" w:hAnsi="Times New Roman" w:cs="Times New Roman"/>
          <w:sz w:val="24"/>
        </w:rPr>
        <w:lastRenderedPageBreak/>
        <w:t xml:space="preserve">neither of the two proposed bills includes provisions establishing criminal liability for acts amounting to enforced disappearance committed by non-State actors, and the bill sponsored by National Assembly member Kim Young-bae includes a provision allowing for the mitigation of punishment for non-State actors. </w:t>
      </w:r>
    </w:p>
    <w:p w14:paraId="454568D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8. According to the “Statement on non-State actors in the context of the International Convention for the Protection of All Persons from Enforced Disappearances” issued by the United Nations Committee on Enforced Disappearances, Article 3 of the Convention applies where acts defined in Article 2 of the Convention are committed by non-State actors in the following circumstances: (a) where such acts are carried out in the context of a non-international armed conflict; (b) where the non-State actor exercises effective control over a certain territory; or (c) where the non-State actor performs functions similar to those of a government. Other acts falling within the scope of Article 2 of the Convention that do not meet any of these three conditions are generally classified as “kidnapping” or “abduction,” or as other appropriate offences under the domestic law of the State concerned.</w:t>
      </w:r>
    </w:p>
    <w:p w14:paraId="12D3E2F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9. In this regard, an examination of cases involving enforced disappearance of Korean nationals by non-State actors indicates that, in July 2007, two Korean nationals who had visited Afghanistan were killed by the Taliban, which exercised </w:t>
      </w:r>
      <w:r w:rsidRPr="00D869D4">
        <w:rPr>
          <w:rFonts w:ascii="Times New Roman" w:hAnsi="Times New Roman" w:cs="Times New Roman"/>
          <w:i/>
          <w:iCs/>
          <w:sz w:val="24"/>
        </w:rPr>
        <w:t xml:space="preserve">de facto </w:t>
      </w:r>
      <w:r w:rsidRPr="00D869D4">
        <w:rPr>
          <w:rFonts w:ascii="Times New Roman" w:hAnsi="Times New Roman" w:cs="Times New Roman"/>
          <w:sz w:val="24"/>
        </w:rPr>
        <w:t>control over parts of the territory, while twenty-one other Korean nationals who had been taken hostage were released following negotiations between the Government of the Republic of Korea and the Taliban. Furthermore, at the international level, there exist entities whose statehood remains ambiguous, and which may be classified as non-State actors, including the Turkish Republic of Northern Cyprus, the Republic of Somaliland, and the Palestinian National Authority. Taking into comprehensive consideration the existence of relevant past cases, the presence within the international community of entities that may be classified as non-State actors, and the need to address legislative gaps in order to prevent and punish enforced disappearances committed by non-State actors, it appears that the necessity of establishing penal provisions in this regard is duly recognized.</w:t>
      </w:r>
    </w:p>
    <w:p w14:paraId="65B5DB1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10. Accordingly, it is necessary to supplement the proposed legislation to enable the punishment of enforced disappearances committed by non-State actors. In addition, in order not to place the responsibility of non-State actors on the same footing as that of State actors, while allowing room for partial mitigation of penalties, it is necessary to further specify mitigating circumstances by reference to those set forth in Article 7(2)(a) of the Convention, namely cases for persons who, having been implicated in the commission of an enforced disappearance, effectively contribute to bringing the disappeared person forward alive or make it possible to clarify cases of enforced disappearance or to identify the perpetrators of an enforced disappearance. However, given the nature of the Convention, which clearly affirms that primary responsibility for enforced disappearance rests with the State, due care must be taken to ensure that mitigating circumstances are not applied merely on the ground that a </w:t>
      </w:r>
      <w:r w:rsidRPr="00D869D4">
        <w:rPr>
          <w:rFonts w:ascii="Times New Roman" w:hAnsi="Times New Roman" w:cs="Times New Roman"/>
          <w:sz w:val="24"/>
        </w:rPr>
        <w:lastRenderedPageBreak/>
        <w:t>perpetrator of enforced disappearance possessing statehood under international law is classified as a non-State actor under domestic law.</w:t>
      </w:r>
    </w:p>
    <w:p w14:paraId="0CA1F8C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11. In this context, the NHRCK, in its opinion on the Bill on the Punishment of Enforced Disappearance Crimes, the Prevention of Enforced Disappearance, and the Remedy of Victims, conveyed to the Speaker of the National Assembly the view that “in order to ensure that enforced disappearances committed by individuals or groups without State involvement may also be punished, penal provisions criminalizing enforced disappearance by ‘non-State actors’ should be established, as provided for in Article 3 of the Convention; and where mitigating circumstances for ‘non-State actors’ are to be stipulated, they should be specifically prescribed in law by reference to Article 7(2)(a) of the Convention, such as in cases for persons who, having been implicated in the commission of an enforced disappearance, effectively contribute to bringing the disappeared person forward alive or make it possible to clarify cases of enforced disappearance or to identify the perpetrators of an enforced disappearance.” </w:t>
      </w:r>
    </w:p>
    <w:p w14:paraId="3CD125A9"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12. However, notwithstanding the NHRCK’s opinion, there has been no discernible progress in relevant legislative initiatives within the National Assembly. Accordingly, it remains necessary to seek clarification of the Government’s concrete plans and explanations regarding the implementation of the Convention’s core requirements, including the accurate definition of enforced disappearance, criminalization of enforced disappearance, and the establishment of measures to punish acts tantamount to enforced disappearance committed by non-State actors. </w:t>
      </w:r>
    </w:p>
    <w:p w14:paraId="3E9E8F8C" w14:textId="77777777" w:rsidR="00D869D4" w:rsidRPr="00D869D4" w:rsidRDefault="00D869D4" w:rsidP="00556BF7">
      <w:pPr>
        <w:wordWrap/>
        <w:spacing w:line="300" w:lineRule="auto"/>
        <w:jc w:val="both"/>
        <w:rPr>
          <w:rFonts w:ascii="Times New Roman" w:hAnsi="Times New Roman" w:cs="Times New Roman"/>
          <w:sz w:val="24"/>
        </w:rPr>
      </w:pPr>
    </w:p>
    <w:p w14:paraId="63F5CED1"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6 Criminal Liability&gt;</w:t>
      </w:r>
    </w:p>
    <w:p w14:paraId="680C0369" w14:textId="77777777" w:rsidR="00D869D4" w:rsidRPr="00D869D4" w:rsidRDefault="00D869D4" w:rsidP="00556BF7">
      <w:pPr>
        <w:wordWrap/>
        <w:spacing w:line="300" w:lineRule="auto"/>
        <w:jc w:val="both"/>
        <w:rPr>
          <w:rFonts w:ascii="Times New Roman" w:hAnsi="Times New Roman" w:cs="Times New Roman"/>
          <w:w w:val="95"/>
          <w:sz w:val="24"/>
        </w:rPr>
      </w:pPr>
      <w:r w:rsidRPr="00D869D4">
        <w:rPr>
          <w:rFonts w:ascii="Times New Roman" w:hAnsi="Times New Roman" w:cs="Times New Roman"/>
          <w:b/>
          <w:bCs/>
          <w:w w:val="95"/>
          <w:sz w:val="24"/>
        </w:rPr>
        <w:t>Issue 3: Criminal Liability Based on Forms of Involvement in a Crime (State report, para. 21)</w:t>
      </w:r>
    </w:p>
    <w:p w14:paraId="2FEBCB0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13. Paragraph 21 of the State report states that acts related to enforced disappearance may be punished by applying provisions of the </w:t>
      </w:r>
      <w:r w:rsidRPr="00D869D4">
        <w:rPr>
          <w:rFonts w:ascii="Times New Roman" w:hAnsi="Times New Roman" w:cs="Times New Roman"/>
          <w:i/>
          <w:iCs/>
          <w:sz w:val="24"/>
        </w:rPr>
        <w:t xml:space="preserve">Criminal Act </w:t>
      </w:r>
      <w:r w:rsidRPr="00D869D4">
        <w:rPr>
          <w:rFonts w:ascii="Times New Roman" w:hAnsi="Times New Roman" w:cs="Times New Roman"/>
          <w:sz w:val="24"/>
        </w:rPr>
        <w:t xml:space="preserve">concerning co-principals, instigators, accessories, and indirect perpetrators. However, as noted in the State report, this approach presupposes the punishment of a principal offender. In circumstances where enforced disappearance is not defined as an autonomous offence under domestic law, it is difficult to consider this framework to constitute a sufficient system of criminal responsibility for enforced disappearance. </w:t>
      </w:r>
    </w:p>
    <w:p w14:paraId="03D8BD5D" w14:textId="77777777" w:rsid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14. Accordingly, in the absence of enforced disappearance being established as an autonomous offence under the current legal framework, it is necessary to seek a detailed explanation of how the aforementioned provisions of the </w:t>
      </w:r>
      <w:r w:rsidRPr="00D869D4">
        <w:rPr>
          <w:rFonts w:ascii="Times New Roman" w:hAnsi="Times New Roman" w:cs="Times New Roman"/>
          <w:i/>
          <w:iCs/>
          <w:sz w:val="24"/>
        </w:rPr>
        <w:t xml:space="preserve">Criminal Act </w:t>
      </w:r>
      <w:r w:rsidRPr="00D869D4">
        <w:rPr>
          <w:rFonts w:ascii="Times New Roman" w:hAnsi="Times New Roman" w:cs="Times New Roman"/>
          <w:sz w:val="24"/>
        </w:rPr>
        <w:t xml:space="preserve">would be applied to punish the various forms of participation in conduct amounting to enforced disappearance, as well as to ascertain whether there are plans to supplement the existing legal framework in order to ensure the full and effective implementation of Article 6 of the Convention. </w:t>
      </w:r>
    </w:p>
    <w:p w14:paraId="2CE548E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lastRenderedPageBreak/>
        <w:t>Issue 4: Prohibition of Invoking Superior’s Orders (State report, para. 22)</w:t>
      </w:r>
    </w:p>
    <w:p w14:paraId="732A1DD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15. Paragraph 22 of the State report explains that there is a duty to obey a superior’s legitimate orders, and Article 44 of the </w:t>
      </w:r>
      <w:r w:rsidRPr="00D869D4">
        <w:rPr>
          <w:rFonts w:ascii="Times New Roman" w:hAnsi="Times New Roman" w:cs="Times New Roman"/>
          <w:i/>
          <w:iCs/>
          <w:sz w:val="24"/>
        </w:rPr>
        <w:t xml:space="preserve">Military Criminal Act </w:t>
      </w:r>
      <w:r w:rsidRPr="00D869D4">
        <w:rPr>
          <w:rFonts w:ascii="Times New Roman" w:hAnsi="Times New Roman" w:cs="Times New Roman"/>
          <w:sz w:val="24"/>
        </w:rPr>
        <w:t>stipulates punishment for a person who resists or disobeys a legitimate order of his or her superior. The State report further states that “there is no obligation to comply with an unlawful order from a superior.”</w:t>
      </w:r>
    </w:p>
    <w:p w14:paraId="31C7476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16. As the legal basis for prohibiting the invocation of superior’s orders as justification for unlawful conduct, the State report refers to Article 20 (Justifiable Acts) and Article 22 (Necessity), explaining that where an unlawful order of a superior is followed, it would be difficult for such conduct to be recognized as a ground excluding unlawfulness under these provisions, and that the individual would therefore be subject to punishment. However, these provisions are designed to exempt certain acts from criminal liability under specific circumstances and cannot be regarded as provisions that expressly prohibit exemption from liability for crimes such as enforced disappearance on the ground that the act was committed pursuant to an order of a superior, including a military superior. </w:t>
      </w:r>
    </w:p>
    <w:p w14:paraId="450AF7C9"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17. Likewise, Article 4 of the ICCA, cited as another example in the State report, is in the same context also difficult to regard as a provision that categorically prohibits exemption from liability for enforced disappearance on the basis that the act was carried out pursuant to a superior’s order. Moreover, under the Act, manifest illegality is explicitly recognized only with respect to crimes against humanity among enforced disappearance-related crimes. In the current situation where enforced disappearance is not defined as an autonomous offence under domestic law, it is therefore difficult to consider this provision as generally applicable to prohibiting the invocation of superior’s orders as justification for enforced disappearance.</w:t>
      </w:r>
    </w:p>
    <w:p w14:paraId="50D0AACB"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18. Accordingly, the Committee may wish to consider seeking further clarification as to whether domestic law sufficiently guarantees that the invocation of superior’s orders as a ground for exemption from liability is fully excluded with respect to enforced disappearance itself. In addition, the Committee may wish to consider requesting additional information on actual cases in which subordinates were held criminally responsible for complying with unlawful orders, cases in which such responsibility was not recognized, and the reasons underlying those determinations. </w:t>
      </w:r>
    </w:p>
    <w:p w14:paraId="7035003D" w14:textId="77777777" w:rsidR="00D869D4" w:rsidRPr="00D869D4" w:rsidRDefault="00D869D4" w:rsidP="00556BF7">
      <w:pPr>
        <w:wordWrap/>
        <w:spacing w:line="300" w:lineRule="auto"/>
        <w:jc w:val="both"/>
        <w:rPr>
          <w:rFonts w:ascii="Times New Roman" w:hAnsi="Times New Roman" w:cs="Times New Roman"/>
          <w:sz w:val="24"/>
        </w:rPr>
      </w:pPr>
    </w:p>
    <w:p w14:paraId="3C5723D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5: Punishment for a Superior’s Failure to Take Appropriate Action (State report, para. 23)</w:t>
      </w:r>
    </w:p>
    <w:p w14:paraId="7606B65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19. Paragraph 23 of the State report explains that a superior who fails to respond appropriately despite knowing of a subordinate’s enforced disappearances crime, whether by ignoring it or failing to take reasonable action, may be subject to punishment under the </w:t>
      </w:r>
      <w:r w:rsidRPr="00D869D4">
        <w:rPr>
          <w:rFonts w:ascii="Times New Roman" w:hAnsi="Times New Roman" w:cs="Times New Roman"/>
          <w:i/>
          <w:iCs/>
          <w:sz w:val="24"/>
        </w:rPr>
        <w:t xml:space="preserve">Criminal Act </w:t>
      </w:r>
      <w:r w:rsidRPr="00D869D4">
        <w:rPr>
          <w:rFonts w:ascii="Times New Roman" w:hAnsi="Times New Roman" w:cs="Times New Roman"/>
          <w:sz w:val="24"/>
        </w:rPr>
        <w:t xml:space="preserve">as a co-principal (Article 30), instigator (Article 31), accessory (Article 32), or principal through an </w:t>
      </w:r>
      <w:r w:rsidRPr="00D869D4">
        <w:rPr>
          <w:rFonts w:ascii="Times New Roman" w:hAnsi="Times New Roman" w:cs="Times New Roman"/>
          <w:sz w:val="24"/>
        </w:rPr>
        <w:lastRenderedPageBreak/>
        <w:t>innocent human agent (Article 34), as well as for crimes committed through omission (Article 18). The State report further states that in the case of failing to take all necessary and reasonable measures within his or her power to prevent or repress the commission of an enforced disappearance or to submit the matter to the competent authorities for investigation and prosecution, confinement or for neglect of duty (Article 122) may additionally apply. However, considering the constituent requirements for co-principal and neglect of duty, and given that enforced disappearance is not recognized as an autonomous offence under domestic law, it is questionable whether a superior’s failure to respond appropriately to enforced disappearance can, in practice, be punished under the provisions cited above.</w:t>
      </w:r>
    </w:p>
    <w:p w14:paraId="7A8EDDA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20. In addition, paragraph 24 of the State report refers to Article 24 (Neglect of Duty) of the </w:t>
      </w:r>
      <w:r w:rsidRPr="00D869D4">
        <w:rPr>
          <w:rFonts w:ascii="Times New Roman" w:hAnsi="Times New Roman" w:cs="Times New Roman"/>
          <w:i/>
          <w:iCs/>
          <w:sz w:val="24"/>
        </w:rPr>
        <w:t xml:space="preserve">Military Criminal Act </w:t>
      </w:r>
      <w:r w:rsidRPr="00D869D4">
        <w:rPr>
          <w:rFonts w:ascii="Times New Roman" w:hAnsi="Times New Roman" w:cs="Times New Roman"/>
          <w:sz w:val="24"/>
        </w:rPr>
        <w:t xml:space="preserve">as a provision under which superiors may be held responsible for a failure to take appropriate action in cases involving enforced disappearance within the military. However, as the </w:t>
      </w:r>
      <w:r w:rsidRPr="00D869D4">
        <w:rPr>
          <w:rFonts w:ascii="Times New Roman" w:hAnsi="Times New Roman" w:cs="Times New Roman"/>
          <w:i/>
          <w:iCs/>
          <w:sz w:val="24"/>
        </w:rPr>
        <w:t xml:space="preserve">Military Criminal Act </w:t>
      </w:r>
      <w:r w:rsidRPr="00D869D4">
        <w:rPr>
          <w:rFonts w:ascii="Times New Roman" w:hAnsi="Times New Roman" w:cs="Times New Roman"/>
          <w:sz w:val="24"/>
        </w:rPr>
        <w:t>does not define enforced disappearance as a criminal offence, and as the constituent elements of neglect of duty under that Act are narrowly circumscribed, it is questionable whether this provision can serve as an effective legal basis for the implementation of Article 6 of the Convention.</w:t>
      </w:r>
    </w:p>
    <w:p w14:paraId="55DA682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21. Furthermore, paragraph 24 of the State report cites Article 5 of the ICCA as another provision applicable within the military. However, this provision applies only in cases where enforced disappearance constitutes a crime against humanity and therefore cannot be regarded as generally applicable to enforced disappearance as such. Accordingly, the Committee may wish to request from the Government further explanation in respect of these points of concern, as well as to seek clarification regarding any plans to supplement the legal framework, where necessary, in order to ensure the implementation of the Convention. </w:t>
      </w:r>
    </w:p>
    <w:p w14:paraId="36DA45DC" w14:textId="77777777" w:rsidR="00D869D4" w:rsidRPr="00D869D4" w:rsidRDefault="00D869D4" w:rsidP="00556BF7">
      <w:pPr>
        <w:wordWrap/>
        <w:spacing w:line="300" w:lineRule="auto"/>
        <w:jc w:val="both"/>
        <w:rPr>
          <w:rFonts w:ascii="Times New Roman" w:hAnsi="Times New Roman" w:cs="Times New Roman"/>
          <w:sz w:val="24"/>
        </w:rPr>
      </w:pPr>
    </w:p>
    <w:p w14:paraId="6EB6CA6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6: Impact of the Concept of Due Obedience (State report, paras. 26–27)</w:t>
      </w:r>
    </w:p>
    <w:p w14:paraId="757FEE8A"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22. Paragraph 26 of the State report, citing Supreme Court jurisprudence, explains that within the military, there is no duty to comply with unlawful or illegal orders from a superior. Paragraph 27 further refers to Article 39 (Proposal of Opinions) of the </w:t>
      </w:r>
      <w:r w:rsidRPr="00D869D4">
        <w:rPr>
          <w:rFonts w:ascii="Times New Roman" w:hAnsi="Times New Roman" w:cs="Times New Roman"/>
          <w:i/>
          <w:iCs/>
          <w:sz w:val="24"/>
        </w:rPr>
        <w:t xml:space="preserve">Framework Act on Military Status and Service </w:t>
      </w:r>
      <w:r w:rsidRPr="00D869D4">
        <w:rPr>
          <w:rFonts w:ascii="Times New Roman" w:hAnsi="Times New Roman" w:cs="Times New Roman"/>
          <w:sz w:val="24"/>
        </w:rPr>
        <w:t xml:space="preserve">(Framework Act) as a legal basis for lawfully refusing to comply with orders to carry out enforced disappearance. However, as stated in Article 1 of that Act, its purpose is “to guarantee fundamental rights of soldiers and to prescribe basic matters regarding soldiers’ duties and their military life.” which is far from constituting a legal basis for the effective implementation of Article 6 of the Convention. Moreover, Article 25 (Duty to Obey Orders) of the same Act expressly provides that military personnel shall obey orders issued by a superior in the course of official duties. </w:t>
      </w:r>
    </w:p>
    <w:p w14:paraId="47EF209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23. In this regard, additional information should be provided as to whether there exist </w:t>
      </w:r>
      <w:r w:rsidRPr="00D869D4">
        <w:rPr>
          <w:rFonts w:ascii="Times New Roman" w:hAnsi="Times New Roman" w:cs="Times New Roman"/>
          <w:sz w:val="24"/>
        </w:rPr>
        <w:lastRenderedPageBreak/>
        <w:t xml:space="preserve">mechanisms within the military that effectively protect subordinates from disadvantages such as disciplinary action, reassignment, or other adverse measures following the refusal to obey unlawful orders, including procedures for appealing disciplinary measures, reporting mechanisms, or independent review bodies. In January 2026, a Public-Private-Military Joint Special Advisory Committee composed of external experts (launched in September 2025) recommended to the Minister of National Defense that the Framework Act explicitly stipulate the right to refuse unlawful orders from a superior and introduce immunity provisions to ensure that those who refuse unlawful orders are not punished for offences such as insubordination under the </w:t>
      </w:r>
      <w:r w:rsidRPr="00D869D4">
        <w:rPr>
          <w:rFonts w:ascii="Times New Roman" w:hAnsi="Times New Roman" w:cs="Times New Roman"/>
          <w:i/>
          <w:iCs/>
          <w:sz w:val="24"/>
        </w:rPr>
        <w:t>Military Criminal Act</w:t>
      </w:r>
      <w:r w:rsidRPr="00D869D4">
        <w:rPr>
          <w:rFonts w:ascii="Times New Roman" w:hAnsi="Times New Roman" w:cs="Times New Roman"/>
          <w:sz w:val="24"/>
        </w:rPr>
        <w:t>. Accordingly, it is necessary to review the implementation status of these recommendations. In this connection, several bills partially amending the Framework Act (Bill Nos. 10564, 12172, 14675, 14768, etc.), which explicitly provide the legal basis for the right to refuse unlawful orders, are currently pending before the National Assembly. Information on legislative developments is therefore required.</w:t>
      </w:r>
    </w:p>
    <w:p w14:paraId="3BC20F7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24. Furthermore, there is a lack of explanation regarding the scope of subordinates’ duty of obedience within the police, intelligence agencies, correctional facilities, and other administrative organizations outside the military, including whether regulations limit obedience to lawful orders only, and how such limitations affect the prevention of enforced disappearance. Additional clarification on this matter should therefore be requested. In this regard, government-led amendments to the State Public Officials Act and the Local Public Officials Act are currently being pursued. These amendments aim to delete provisions imposing a duty of obedience on public officials, to explicitly grant officials the authority to express objections or refuse compliance when they determine that a superior’s instruction is unlawful, and to prohibit personnel disadvantages on such grounds. Following the legislative notice by the competent ministry in November 2025, further information will be required during the subsequent legislative process.</w:t>
      </w:r>
    </w:p>
    <w:p w14:paraId="1ED7C3BD" w14:textId="77777777" w:rsidR="00D869D4" w:rsidRPr="00D869D4" w:rsidRDefault="00D869D4" w:rsidP="00556BF7">
      <w:pPr>
        <w:wordWrap/>
        <w:spacing w:line="300" w:lineRule="auto"/>
        <w:jc w:val="both"/>
        <w:rPr>
          <w:rFonts w:ascii="Times New Roman" w:hAnsi="Times New Roman" w:cs="Times New Roman"/>
          <w:sz w:val="24"/>
        </w:rPr>
      </w:pPr>
    </w:p>
    <w:p w14:paraId="567CE108"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7 Appropriate Penalties&gt;</w:t>
      </w:r>
    </w:p>
    <w:p w14:paraId="0FD1D2AA"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7: Appropriate Penalties Commensurate with the 'Extreme Seriousness' of Enforced Disappearance (State report, paras. 28–30)</w:t>
      </w:r>
    </w:p>
    <w:p w14:paraId="7F8B86AA"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25. Paragraph 28 of the State report states that acts of enforced disappearance may be adequately punished under existing provisions of the </w:t>
      </w:r>
      <w:r w:rsidRPr="00D869D4">
        <w:rPr>
          <w:rFonts w:ascii="Times New Roman" w:hAnsi="Times New Roman" w:cs="Times New Roman"/>
          <w:i/>
          <w:iCs/>
          <w:sz w:val="24"/>
        </w:rPr>
        <w:t>Criminal Act</w:t>
      </w:r>
      <w:r w:rsidRPr="00D869D4">
        <w:rPr>
          <w:rFonts w:ascii="Times New Roman" w:hAnsi="Times New Roman" w:cs="Times New Roman"/>
          <w:sz w:val="24"/>
        </w:rPr>
        <w:t xml:space="preserve">, including unlawful arrest and confinement by a public official (Article 124), false arrest and confinement (Articles 276 through 280), death or injury caused by arrest and confinement (Article 281) and receiving and harboring of a person kidnapped, induced, bought and sold, or transported (Article 292). However, acts of enforced disappearance may not necessarily fall within the scope of these offences, and even where they do, the penalties applicable differ depending on the provision invoked. Moreover, as noted in paragraph 33 of the State report, the statutes of limitation vary </w:t>
      </w:r>
      <w:r w:rsidRPr="00D869D4">
        <w:rPr>
          <w:rFonts w:ascii="Times New Roman" w:hAnsi="Times New Roman" w:cs="Times New Roman"/>
          <w:sz w:val="24"/>
        </w:rPr>
        <w:lastRenderedPageBreak/>
        <w:t xml:space="preserve">across these provisions. In this context, it remains unclear whether punishment under the existing provisions of the </w:t>
      </w:r>
      <w:r w:rsidRPr="00D869D4">
        <w:rPr>
          <w:rFonts w:ascii="Times New Roman" w:hAnsi="Times New Roman" w:cs="Times New Roman"/>
          <w:i/>
          <w:iCs/>
          <w:sz w:val="24"/>
        </w:rPr>
        <w:t xml:space="preserve">Criminal Act </w:t>
      </w:r>
      <w:r w:rsidRPr="00D869D4">
        <w:rPr>
          <w:rFonts w:ascii="Times New Roman" w:hAnsi="Times New Roman" w:cs="Times New Roman"/>
          <w:sz w:val="24"/>
        </w:rPr>
        <w:t xml:space="preserve">can be regarded as sufficient to reflect the “extreme gravity” of enforced disappearance. Accordingly, further explanation is required as to whether the current criminal law framework governing the punishment of enforced disappearance is consistent with international standards. </w:t>
      </w:r>
    </w:p>
    <w:p w14:paraId="26BA2FD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26. By way of comparison, following its review by the Committee at its 24th session in March 2023, Germany amended its Criminal Code to criminalize enforced disappearance as a criminal offence and to provide for penalties of imprisonment of one year or more. In the Republic of Korea, the two pending bills on the punishment of crimes of enforced disappearance referred to above set out grounds for the punishment of enforced disappearance. In this context, it is necessary to ascertain whether the Government has plans to supplement the existing legal framework with respect to the punishment of enforced disappearance. </w:t>
      </w:r>
    </w:p>
    <w:p w14:paraId="4FC9AC76" w14:textId="77777777" w:rsidR="00D869D4" w:rsidRPr="00D869D4" w:rsidRDefault="00D869D4" w:rsidP="00556BF7">
      <w:pPr>
        <w:wordWrap/>
        <w:spacing w:line="300" w:lineRule="auto"/>
        <w:jc w:val="both"/>
        <w:rPr>
          <w:rFonts w:ascii="Times New Roman" w:hAnsi="Times New Roman" w:cs="Times New Roman"/>
          <w:sz w:val="24"/>
        </w:rPr>
      </w:pPr>
    </w:p>
    <w:p w14:paraId="06E9F98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8: Maximum Sentences, Mitigation, and Aggravation under Criminal Law (State report, paras. 31–32)</w:t>
      </w:r>
    </w:p>
    <w:p w14:paraId="591718B2"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27. With regard to the maximum penalties provided for under domestic criminal law, as well as the application of mitigating circumstances (refer to Article 7(2)(a) of the Convention), or aggravating circumstances, including acts of a particularly cruel or discriminatory nature, the death of the disappeared person, and enforced disappearance involving pregnant women, minors, persons with disabilities, or other persons in vulnerable situations, paragraphs 31 and 32 of the State report merely describe the general provisions of the </w:t>
      </w:r>
      <w:r w:rsidRPr="00D869D4">
        <w:rPr>
          <w:rFonts w:ascii="Times New Roman" w:hAnsi="Times New Roman" w:cs="Times New Roman"/>
          <w:i/>
          <w:iCs/>
          <w:sz w:val="24"/>
        </w:rPr>
        <w:t xml:space="preserve">Criminal Act </w:t>
      </w:r>
      <w:r w:rsidRPr="00D869D4">
        <w:rPr>
          <w:rFonts w:ascii="Times New Roman" w:hAnsi="Times New Roman" w:cs="Times New Roman"/>
          <w:sz w:val="24"/>
        </w:rPr>
        <w:t xml:space="preserve">concerning the mitigation and aggravation of penalties. Such general provisions, however, are difficult to regard as corresponding to the specific mitigating and aggravating circumstances envisaged under Article 7(2) of the Convention. Accordingly, the Committee may wish to seek a more detailed explanation in this regard, along with information on any plans to supplement the existing legal framework. </w:t>
      </w:r>
    </w:p>
    <w:p w14:paraId="661B3E4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28. The two pending bills on the punishment of crimes of enforced disappearance currently before the National Assembly reflect Article 7(2) of the Convention. Both bills incorporate Article 7(2) of the Convention as grounds for mitigation of penalties, and the bill proposed by Assembly Member Kim Yeong-bae further limits such mitigating circumstances to enforced disappearance committed by non-State actors. However, neither of the two bills currently provides for aggravating circumstances. As a result, they do not provide enhanced protection for persons particularly vulnerable to enforced disappearance, including pregnant women, minors, and persons with disabilities. </w:t>
      </w:r>
    </w:p>
    <w:p w14:paraId="3E310CE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29. In this regard, the NHRCK expressed its opinion to the Speaker of the National Assembly that, in order to strengthen the protection of socially vulnerable groups such as pregnant women, </w:t>
      </w:r>
      <w:r w:rsidRPr="00D869D4">
        <w:rPr>
          <w:rFonts w:ascii="Times New Roman" w:hAnsi="Times New Roman" w:cs="Times New Roman"/>
          <w:sz w:val="24"/>
        </w:rPr>
        <w:lastRenderedPageBreak/>
        <w:t xml:space="preserve">minors, older persons, and persons with disabilities from enforced disappearance, legislative grounds for aggravated punishment for acts of enforced disappearance committed against such groups should be established, with reference to Article 7(2)(b) of the Convention. However, while any concrete follow-up measures by the National Assembly or the Government to date has not been taken, the Committee may wish to seek clarification from the Government regarding whether there are plans to supplement the relevant provisions and to establish a legal basis for aggravated punishment. </w:t>
      </w:r>
    </w:p>
    <w:p w14:paraId="7AC99F7C" w14:textId="77777777" w:rsidR="00D869D4" w:rsidRPr="00D869D4" w:rsidRDefault="00D869D4" w:rsidP="00556BF7">
      <w:pPr>
        <w:wordWrap/>
        <w:spacing w:line="300" w:lineRule="auto"/>
        <w:jc w:val="both"/>
        <w:rPr>
          <w:rFonts w:ascii="Times New Roman" w:hAnsi="Times New Roman" w:cs="Times New Roman"/>
          <w:sz w:val="24"/>
        </w:rPr>
      </w:pPr>
    </w:p>
    <w:p w14:paraId="23F84B83"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12: Investigation of Complaints and Accusations&gt;</w:t>
      </w:r>
    </w:p>
    <w:p w14:paraId="0775B6F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9: Procedures and Mechanisms Fact-Finding of Enforced Disappearances (State report, paras. 52–53)</w:t>
      </w:r>
    </w:p>
    <w:p w14:paraId="49F9A59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30. Paragraph 52 of the State report introduces the Truth and Reconciliation Commission (TRC) as an independent national body responsible for fact-finding. However, the TRC is a time-limited body established by law, with a fixed mandate (a three-year term, extendable by two years), and is authorized to investigate only specific categories of incidents that occurred during defined periods. It does not have the authority to receive complaints or to file accusations, and its investigations are initiated solely on the basis of applications submitted by victims. Moreover, as of January 2026, the TRC has completed its mandate and ceased activities. </w:t>
      </w:r>
    </w:p>
    <w:p w14:paraId="09521C46"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31. On January 29, 2026, the National Assembly passed an amendment to the </w:t>
      </w:r>
      <w:r w:rsidRPr="00D869D4">
        <w:rPr>
          <w:rFonts w:ascii="Times New Roman" w:hAnsi="Times New Roman" w:cs="Times New Roman"/>
          <w:i/>
          <w:iCs/>
          <w:sz w:val="24"/>
        </w:rPr>
        <w:t>Framework Act on Settling the Past for Truth and Reconciliation</w:t>
      </w:r>
      <w:r w:rsidRPr="00D869D4">
        <w:rPr>
          <w:rFonts w:ascii="Times New Roman" w:hAnsi="Times New Roman" w:cs="Times New Roman"/>
          <w:sz w:val="24"/>
        </w:rPr>
        <w:t xml:space="preserve">, and the third Truth and Reconciliation Commission is scheduled to launch on 26 February 2026. Under the amended Act, the TRC is authorized to investigate not only mass deaths and disappearances before and after the Korean War but also cases involving murder, torture, and detention. It may also investigate human rights violations occurring in private institutions—such as social welfare institutions, adoption agencies, and group residential facilities—managed or supervised by the State or local governments. The amendment further introduces provisions enabling the TRC to request prosecutors’ offices to seek search and seizure warrants when individuals or institutions refuse to submit necessary materials, and to file complaints or request investigations where criminal suspicion is recognized. However, structural limitations remain: the TRC’s initial term is three years, extendable by two years, making it a temporary body; and compensation standards are not prescribed by statute, as in the first and second TRCs, thereby requiring victims to initiate litigation against the State following a TRC’s decision. Past experience shows that even after TRC’s determinations, the State has repeatedly denied such findings during subsequent damages litigation. Accordingly, continuous criticism has been raised that procedural mechanisms should be improved to enable institutional reform and compensation within the TRC process itself. Therefore, the Committee may wish to inquire about the linkage and complementary relationship between the third TRC and existing criminal justice investigations, </w:t>
      </w:r>
      <w:r w:rsidRPr="00D869D4">
        <w:rPr>
          <w:rFonts w:ascii="Times New Roman" w:hAnsi="Times New Roman" w:cs="Times New Roman"/>
          <w:sz w:val="24"/>
        </w:rPr>
        <w:lastRenderedPageBreak/>
        <w:t>as well as the structural limitations of the TRC and their impact on fact-finding and confirmation of enforced disappearances, including any plans to address these shortcomings.</w:t>
      </w:r>
    </w:p>
    <w:p w14:paraId="2E13666C" w14:textId="77777777" w:rsidR="00D869D4" w:rsidRPr="00D869D4" w:rsidRDefault="00D869D4" w:rsidP="00556BF7">
      <w:pPr>
        <w:wordWrap/>
        <w:spacing w:line="300" w:lineRule="auto"/>
        <w:jc w:val="both"/>
        <w:rPr>
          <w:rFonts w:ascii="Times New Roman" w:hAnsi="Times New Roman" w:cs="Times New Roman"/>
          <w:b/>
          <w:bCs/>
          <w:sz w:val="24"/>
        </w:rPr>
      </w:pPr>
    </w:p>
    <w:p w14:paraId="394D118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10: Statistical Data on the Number of Complaints and Accusations of Enforced Disappearances and Results of the Investigations (State report, para. 62)</w:t>
      </w:r>
    </w:p>
    <w:p w14:paraId="5CA64F2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32. As the Truth and Reconciliation Commission, which was referred to as a mechanism for the establishment and determination of facts of enforced disappearance, primarily handled past incidents that may amount to enforced disappearance, including civilian massacres before and after the Korean War, the Samcheong Re-education Camp, protective custody (violations of the Social Protection Act), Emergency Measures cases, the Seosan Reclamation Project, and cases involving forced institutionalization facilities (e.g., Seoul Municipal Children’s Protection Center, Younghwasuk and Jaesaengwon rehabilitation facilities, Seongam Academy, Hyeongje Welfare Institution, etc.). Therefore, it is necessary to disaggregate and verify statistics from TRC cases by type, sex, age, and region.</w:t>
      </w:r>
    </w:p>
    <w:p w14:paraId="733715E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33. Furthermore, pursuant to Article 2 of the the </w:t>
      </w:r>
      <w:r w:rsidRPr="00D869D4">
        <w:rPr>
          <w:rFonts w:ascii="Times New Roman" w:hAnsi="Times New Roman" w:cs="Times New Roman"/>
          <w:i/>
          <w:iCs/>
          <w:sz w:val="24"/>
        </w:rPr>
        <w:t xml:space="preserve">Framework Act on Settling the Past for Truth and Reconciliation, </w:t>
      </w:r>
      <w:r w:rsidRPr="00D869D4">
        <w:rPr>
          <w:rFonts w:ascii="Times New Roman" w:hAnsi="Times New Roman" w:cs="Times New Roman"/>
          <w:sz w:val="24"/>
        </w:rPr>
        <w:t>the TRC has conducted truth-finding activities regarding anti-Japanese independence movements during the Japanese colonial period (August 29, 1910 – August 15, 1945) and overseas Korean history before and after that period. However, the issue of Japanese military “comfort women” was not included within its scope. However, on 5 December 2018, the Committee on Enforced Disappearances issued its concluding observations on Japan’s State report, reaffirming that victims have the right to justice, reparation, and truth regarding the circumstances of disappearance, investigation progress and results, and the fate of the disappeared, regardless of when the enforced disappearance occurred. The Committee expressed concern over the lack of statistical data on the number of “comfort women” who may have been victims of enforced disappearance, the absence of investigation, prosecution, and conviction of perpetrators, reports that children born to “comfort women” were separated and transferred, the State’s refusal to investigate, and allegations of concealment or non-disclosure of relevant facts and materials. It also expressed regret regarding Japan’s position that the matter had been “finally and irreversibly resolved,” and called upon Japan to take appropriate measures. Given that many victims were from Korea and related litigation has been conducted domestically, it is necessary to verify statistics on complaints, number of victims, and compensation outcomes.</w:t>
      </w:r>
    </w:p>
    <w:p w14:paraId="234F57F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34. Additionally, it is necessary to disaggregate and examine statistics concerning disappearances of children, refugees, and migrants who may be at risk of enforced disappearance. Moreover, in relation to the 2014 Sinan salt farm slavery case—although committed by private actors—there are indications of acquiescence by public officials; therefore, investigation results and statistical data should be requested.</w:t>
      </w:r>
    </w:p>
    <w:p w14:paraId="1B0CAE43"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lastRenderedPageBreak/>
        <w:t>&lt;Article 13 Extradition of Criminals&gt;</w:t>
      </w:r>
    </w:p>
    <w:p w14:paraId="5086017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11: Domestic Legislation Recognizing Enforced Disappearances as an Extraditable Offence (State report, para. 67)</w:t>
      </w:r>
    </w:p>
    <w:p w14:paraId="3FF2931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35. With regard to Article 13 of the Convention on extradition, paragraph 24 of the Guidelines on the Form and Content of Reports requests an explanation of national legislation which makes enforced disappearance an extraditable offence. In this respect, paragraph 67 of the State report refers to the statutory penalties provided under the ICCA, explaining that, “according to Article 6 of the </w:t>
      </w:r>
      <w:r w:rsidRPr="00D869D4">
        <w:rPr>
          <w:rFonts w:ascii="Times New Roman" w:hAnsi="Times New Roman" w:cs="Times New Roman"/>
          <w:i/>
          <w:iCs/>
          <w:sz w:val="24"/>
        </w:rPr>
        <w:t>Extradition Act</w:t>
      </w:r>
      <w:r w:rsidRPr="00D869D4">
        <w:rPr>
          <w:rFonts w:ascii="Times New Roman" w:hAnsi="Times New Roman" w:cs="Times New Roman"/>
          <w:sz w:val="24"/>
        </w:rPr>
        <w:t>, extradition is permitted if the offence is punishable by death, life imprisonment or imprisonment for a minimum term of one year, thus, enforced disappearance crimes qualify as extraditable offences.” However, as the ICCA applies only to enforced disappearance amounting to a crime against humanity, further clarification is required as to whether the same provisions apply to render ordinary acts of enforced disappearance extraditable offences.</w:t>
      </w:r>
    </w:p>
    <w:p w14:paraId="58009112" w14:textId="77777777" w:rsidR="00D869D4" w:rsidRPr="00D869D4" w:rsidRDefault="00D869D4" w:rsidP="00556BF7">
      <w:pPr>
        <w:wordWrap/>
        <w:spacing w:line="300" w:lineRule="auto"/>
        <w:jc w:val="both"/>
        <w:rPr>
          <w:rFonts w:ascii="Times New Roman" w:hAnsi="Times New Roman" w:cs="Times New Roman"/>
          <w:sz w:val="24"/>
        </w:rPr>
      </w:pPr>
    </w:p>
    <w:p w14:paraId="28CA4B96"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14 Mutual Legal Assistance&gt;</w:t>
      </w:r>
    </w:p>
    <w:p w14:paraId="73C2907B"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12: Mutual Legal Assistance (State report, paras. 72–73)</w:t>
      </w:r>
    </w:p>
    <w:p w14:paraId="0A2DBA7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36. Paragraphs 72 and 73 of the State report explain that, pursuant to the </w:t>
      </w:r>
      <w:r w:rsidRPr="00D869D4">
        <w:rPr>
          <w:rFonts w:ascii="Times New Roman" w:hAnsi="Times New Roman" w:cs="Times New Roman"/>
          <w:i/>
          <w:iCs/>
          <w:sz w:val="24"/>
        </w:rPr>
        <w:t>Act on International Judicial Mutual Assistance in Criminal Matters</w:t>
      </w:r>
      <w:r w:rsidRPr="00D869D4">
        <w:rPr>
          <w:rFonts w:ascii="Times New Roman" w:hAnsi="Times New Roman" w:cs="Times New Roman"/>
          <w:sz w:val="24"/>
        </w:rPr>
        <w:t xml:space="preserve">, mutual legal assistance may be provided in connection with investigations or trials of criminal cases relating to enforced disappearance. The State report further notes that, as of 10 December 2023, the Republic of Korea has concluded bilateral treaties on mutual legal assistance in criminal matters with 33 States, and that, at the multilateral level, it is a party to the European Convention on Mutual Assistance in Criminal Matters. However, although required by the Guidelines, no examples are provided of mutual legal assistance specifically relating to enforced disappearance. Accordingly, the Committee may wish to request additional information regarding cases in which the Republic of Korea has requested or received mutual legal assistance in connection with enforced disappearance, as well as the outcomes of such requests. In addition, it is necessary to ascertain whether any limitations or conditions under domestic law apply to requests for mutual legal assistance in this context. </w:t>
      </w:r>
    </w:p>
    <w:p w14:paraId="175743C5" w14:textId="77777777" w:rsidR="00D869D4" w:rsidRPr="00D869D4" w:rsidRDefault="00D869D4" w:rsidP="00556BF7">
      <w:pPr>
        <w:wordWrap/>
        <w:spacing w:line="300" w:lineRule="auto"/>
        <w:jc w:val="both"/>
        <w:rPr>
          <w:rFonts w:ascii="Times New Roman" w:hAnsi="Times New Roman" w:cs="Times New Roman"/>
          <w:sz w:val="24"/>
        </w:rPr>
      </w:pPr>
    </w:p>
    <w:p w14:paraId="09CF9C8F"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15 International Cooperation&gt;</w:t>
      </w:r>
    </w:p>
    <w:p w14:paraId="7CB5D21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13: International Cooperation (State report, para. 74)</w:t>
      </w:r>
    </w:p>
    <w:p w14:paraId="6648D84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37. Paragraph 74 of the State report states that, on the occasion of multilateral diplomatic engagements, including those within the United Nations Human Rights Council and the </w:t>
      </w:r>
      <w:r w:rsidRPr="00D869D4">
        <w:rPr>
          <w:rFonts w:ascii="Times New Roman" w:hAnsi="Times New Roman" w:cs="Times New Roman"/>
          <w:sz w:val="24"/>
        </w:rPr>
        <w:lastRenderedPageBreak/>
        <w:t>General Assembly, the Government has urged North Korea to assume responsibility for resolving cases of enforced disappearance involving North Korean authorities. It further explains that, “during various high-level diplomatic engagements, the ROK has called for international attention and cooperation for resolving issues related to South Korean abductees, detainees and prisoners of war held in North Korea by incorporating these into the Camp David Principles in August 2023 and the Korea-New Zealand Joint Statement in September 2024, both of which called for the immediate resolution of such cases.” However, as the outcomes of these diplomatic and policy-level efforts remain unclear, it is necessary to request a more detailed explanation as to what concrete contributions such international cooperation has made to the search for disappeared persons or to support for victims of enforced disappearance in North Korea.</w:t>
      </w:r>
    </w:p>
    <w:p w14:paraId="139CF5AE"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38. For reference, according to the Ministry of Unification, relevant statistics are as follows: </w:t>
      </w:r>
    </w:p>
    <w:p w14:paraId="0789D34E"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(a) Wartime abductees: estimated at approximately 100,000 persons; 4,777 persons officially recognized. </w:t>
      </w:r>
    </w:p>
    <w:p w14:paraId="4D7C0890"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“Wartime abductees” refers to nationals of the Republic of Korea (excluding military personnel) who were residing in South Korea and were forcibly abducted by North Korea against their will during the Korean War (defined as the period from 25 June 1950 until the Armistice Agreement on 27 July 1953) and detained or compelled to reside in North Korea. It is estimated that, during the Korean War, North Korea abducted a significant number of prominent individuals for political purposes and forcibly mobilized large numbers of persons for purposes of collaboration and to replenish the ranks of the People’s Army. From immediately after the outbreak of the war until 1963, the Government compiled lists of abductees on several occasions. According to these records, the number of wartime abductees is estimated to be approximately 100,000 persons.</w:t>
      </w:r>
    </w:p>
    <w:p w14:paraId="2A61631E"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The Committee on Finding the Truth of the Damage From North Korea’s Abduction During the Korean War and Restoring Honor of the Victims was launched on 13 December 2010 and, in accordance with the Act, collected and analyzed materials relating to wartime abductions and conducted fact-finding investigations. Based on abduction registers compiled at the government level between 1950 and 1963, the Committee estimated the number of wartime abductees to be approximately 100,000 persons. Of the 5,505 reports of abduction damage submitted for review, the Committee ultimately recognized 4,777 individuals as abductees. The Committee concluded its activities after publishing and distributing on 12 June 2017, its Report on the Investigation into Abductions during the Korean War. </w:t>
      </w:r>
    </w:p>
    <w:p w14:paraId="7524317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(b) Post-war abductees: estimated at 516 persons </w:t>
      </w:r>
    </w:p>
    <w:p w14:paraId="088A8B95"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“Post-war abductees” refers to nationals of the Republic of Korea who, after the conclusion of the Armistice Agreement on 27 July 1953, were taken against their will from the southern </w:t>
      </w:r>
      <w:r w:rsidRPr="00D869D4">
        <w:rPr>
          <w:rFonts w:ascii="Times New Roman" w:hAnsi="Times New Roman" w:cs="Times New Roman"/>
          <w:sz w:val="24"/>
        </w:rPr>
        <w:lastRenderedPageBreak/>
        <w:t xml:space="preserve">side of the Military Demarcation Line into the northern side and compelled to reside there against their will. Following the Armistice Agreement, a total of 3,835 persons were abducted, of whom 3,319 subsequently returned (3,310 were repatriated to the Republic of Korea and 9 defected from North Korea). Thus, the number of post-war abductees currently remaining in North Korea is estimated to stand at 516 persons. </w:t>
      </w:r>
    </w:p>
    <w:p w14:paraId="4619959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(c) Detainees: estimated at 7 persons </w:t>
      </w:r>
    </w:p>
    <w:p w14:paraId="5E8CA01D"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“Detainees” refers to nationals of the Republic of Korea who were abducted or arrested by the North Korean authorities in areas such as the North Korea–China border region and have since been detained after being sentenced to severe penalties, such as life imprisonment with compulsory labor, on charges such as illegal border crossing or espionage. At present, it is believed that North Korea is detaining a total of seven individuals, including missionaries Kim Jeong-uk, Kim Kuk-gi, and Choi Chun-gil, as well as four former North Korean defectors who have acquired nationality of the Republic of Korea. The North Korean authorities have characterized missionaries who had been assisting vulnerable persons in North Korea as serious criminals and have imposed heavy sentences, such as life imprisonment with compulsory labor, while continuing to detain them. Furthermore, by failing to provide even the most basic information, including confirmation of life or death, regarding nationals of the Republic of Korea detained in North Korea, the authorities have exacerbated the suffering of the families. </w:t>
      </w:r>
    </w:p>
    <w:p w14:paraId="53E765B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(d) Prisoners of war: an estimated 50,000–70,000 unrepatriated prisoners of war</w:t>
      </w:r>
    </w:p>
    <w:p w14:paraId="6F359D2E"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“Prisoners of war” refers to members of the armed forces of the Republic of Korea who, while participating in hostilities or performing official duties, were detained by an enemy State, armed groups, or insurgent forces, or who escaped from detention but have not returned to the Republic of Korea. This category primarily includes prisoners of war from the Korean War. At the time of the Armistice Agreement, approximately 82,000 members of the Republic of Korea Armed Forces were estimated to be missing, but only 8,343 prisoners of war were repatriated through prisoner exchanges. </w:t>
      </w:r>
    </w:p>
    <w:p w14:paraId="76DBD209" w14:textId="77777777" w:rsidR="00D869D4" w:rsidRPr="00D869D4" w:rsidRDefault="00D869D4" w:rsidP="00556BF7">
      <w:pPr>
        <w:wordWrap/>
        <w:spacing w:line="300" w:lineRule="auto"/>
        <w:jc w:val="both"/>
        <w:rPr>
          <w:rFonts w:ascii="Times New Roman" w:hAnsi="Times New Roman" w:cs="Times New Roman"/>
          <w:w w:val="90"/>
          <w:sz w:val="24"/>
        </w:rPr>
      </w:pPr>
      <w:r w:rsidRPr="00D869D4">
        <w:rPr>
          <w:rFonts w:ascii="Times New Roman" w:hAnsi="Times New Roman" w:cs="Times New Roman"/>
          <w:w w:val="90"/>
          <w:sz w:val="24"/>
        </w:rPr>
        <w:t xml:space="preserve">(e) Families of North Korean defectors forcibly repatriated from third countries: no available statistics </w:t>
      </w:r>
    </w:p>
    <w:p w14:paraId="6A15ABDD"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Following the closing ceremony of the Hangzhou Asian Games on 9 October 2023, media reports indicated that approximately 600 North Korean defectors had been forcibly repatriated from China to North Korea. Subsequently, the Ministry of Unification stated that “it appears to be true that a large number of North Korean residents were repatriated from the three northeastern provinces of China to North Korea, but it is not possible to ascertain precisely how many among them were defectors, patients, or criminal offenders.” The Ministry further emphasized that “the Government’s position is that, under no circumstances should North Korean defectors residing overseas be forcibly repatriated against their free </w:t>
      </w:r>
      <w:r w:rsidRPr="00D869D4">
        <w:rPr>
          <w:rFonts w:ascii="Times New Roman" w:hAnsi="Times New Roman" w:cs="Times New Roman"/>
          <w:sz w:val="24"/>
        </w:rPr>
        <w:lastRenderedPageBreak/>
        <w:t xml:space="preserve">will,” and conveyed its regret to the Government of China regarding the matter. </w:t>
      </w:r>
    </w:p>
    <w:p w14:paraId="5C6F1C38"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Kim Cheol-ok, a North Korean defector reportedly forcibly repatriated to Pyeongyang during this period, was recognized in November 2024 by the United Nations Working Group on Arbitrary Detention as a victim of arbitrary detention by North Korea, and an investigation remains ongoing. To date, however, no meaningful response has been received from the North Korean authorities. </w:t>
      </w:r>
    </w:p>
    <w:p w14:paraId="2D9A6F81" w14:textId="77777777" w:rsidR="00D869D4" w:rsidRPr="00D869D4" w:rsidRDefault="00D869D4" w:rsidP="00556BF7">
      <w:pPr>
        <w:wordWrap/>
        <w:spacing w:line="300" w:lineRule="auto"/>
        <w:ind w:leftChars="100" w:left="220"/>
        <w:jc w:val="both"/>
        <w:rPr>
          <w:rFonts w:ascii="Times New Roman" w:hAnsi="Times New Roman" w:cs="Times New Roman"/>
          <w:sz w:val="24"/>
        </w:rPr>
      </w:pPr>
      <w:r w:rsidRPr="00D869D4">
        <w:rPr>
          <w:rFonts w:ascii="Times New Roman" w:hAnsi="Times New Roman" w:cs="Times New Roman"/>
          <w:sz w:val="24"/>
        </w:rPr>
        <w:t xml:space="preserve">- Cases of North Korean defectors being forcibly repatriated from China and other third countries have occurred on a continuous basis over time, and it has been reported that a significant number of family members of North Korean defectors who are nationals of the Republic of Korea are included among those forcibly repatriated. However, there are currently no reliable statistics on the number of victims, as neither the Government, international organizations, nor the sending countries have compiled precise data. </w:t>
      </w:r>
    </w:p>
    <w:p w14:paraId="18B47591" w14:textId="77777777" w:rsidR="00D869D4" w:rsidRPr="00D869D4" w:rsidRDefault="00D869D4" w:rsidP="00556BF7">
      <w:pPr>
        <w:wordWrap/>
        <w:spacing w:line="300" w:lineRule="auto"/>
        <w:jc w:val="both"/>
        <w:rPr>
          <w:rFonts w:ascii="Times New Roman" w:hAnsi="Times New Roman" w:cs="Times New Roman"/>
          <w:sz w:val="24"/>
        </w:rPr>
      </w:pPr>
    </w:p>
    <w:p w14:paraId="5E0EFD03"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16 Non-refoulement&gt;</w:t>
      </w:r>
    </w:p>
    <w:p w14:paraId="000D44EB"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14: Legislation Including Enforced Disappearances as Grounds for Non-refoulement (State report, paras. 75–77)</w:t>
      </w:r>
    </w:p>
    <w:p w14:paraId="1819A34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39. According to paragraph 76 of the State report, the </w:t>
      </w:r>
      <w:r w:rsidRPr="00D869D4">
        <w:rPr>
          <w:rFonts w:ascii="Times New Roman" w:hAnsi="Times New Roman" w:cs="Times New Roman"/>
          <w:i/>
          <w:iCs/>
          <w:sz w:val="24"/>
        </w:rPr>
        <w:t xml:space="preserve">Refugee Act </w:t>
      </w:r>
      <w:r w:rsidRPr="00D869D4">
        <w:rPr>
          <w:rFonts w:ascii="Times New Roman" w:hAnsi="Times New Roman" w:cs="Times New Roman"/>
          <w:sz w:val="24"/>
        </w:rPr>
        <w:t xml:space="preserve">prohibits the forcible return of recognized refugees, humanitarian status holders and refugee applicants are not repatriated compulsorily to a country where they may face persecution. However, the report does not clearly explain whether this principle of Non-refoulement under the </w:t>
      </w:r>
      <w:r w:rsidRPr="00D869D4">
        <w:rPr>
          <w:rFonts w:ascii="Times New Roman" w:hAnsi="Times New Roman" w:cs="Times New Roman"/>
          <w:i/>
          <w:iCs/>
          <w:sz w:val="24"/>
        </w:rPr>
        <w:t xml:space="preserve">Refugee Act </w:t>
      </w:r>
      <w:r w:rsidRPr="00D869D4">
        <w:rPr>
          <w:rFonts w:ascii="Times New Roman" w:hAnsi="Times New Roman" w:cs="Times New Roman"/>
          <w:sz w:val="24"/>
        </w:rPr>
        <w:t>extends to persons who face a risk of enforced disappearance.</w:t>
      </w:r>
    </w:p>
    <w:p w14:paraId="2A9954E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40. Paragraph 77 of the State report further refers to the case of the forced repatriation of North Korean fishermen. This incident concerned two North Korean defectors who crossed the Northern Limit Line from North Korea and were apprehended by the Republic of Korea Navy on 2 November 2019. Despite having expressed their intention to defect, the two individuals were forcibly repatriated against their will through Panmunjom on 7 November 2019.</w:t>
      </w:r>
    </w:p>
    <w:p w14:paraId="5759EF7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41. Paragraph 77 of the State report explains that following this incident, the </w:t>
      </w:r>
      <w:r w:rsidRPr="00D869D4">
        <w:rPr>
          <w:rFonts w:ascii="Times New Roman" w:hAnsi="Times New Roman" w:cs="Times New Roman"/>
          <w:i/>
          <w:iCs/>
          <w:sz w:val="24"/>
        </w:rPr>
        <w:t xml:space="preserve">North Korean Defectors Protection and Settlement Support Act </w:t>
      </w:r>
      <w:r w:rsidRPr="00D869D4">
        <w:rPr>
          <w:rFonts w:ascii="Times New Roman" w:hAnsi="Times New Roman" w:cs="Times New Roman"/>
          <w:sz w:val="24"/>
        </w:rPr>
        <w:t xml:space="preserve">was amended to enable the Government in comparable situations to “enable the referral of the cases of serious non-political offenders to competent agencies for investigation or other necessary measures.” However, this amendment is intended to ensure that North Korean defectors suspected of having committed serious non-political crimes, such as murder, drug-related offences, aircraft hijacking, or terrorism, may be investigated by law-enforcement authorities within the Republic of Korea. It does not address, nor is it intended to regulate, the prohibition of forcible return against the will of the individual concerned. </w:t>
      </w:r>
    </w:p>
    <w:p w14:paraId="30443A3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lastRenderedPageBreak/>
        <w:t xml:space="preserve">42. The bills on the punishment of crimes of enforced disappearance referred to above contain provisions relating to Article 16 of the Convention stating that the State shall not expel, return, surrender or extradite a person to another State where there are substantial grounds for believing that he or she would be in danger of being subjected to enforced disappearance. However, under the current constitutional framework of the Republic of Korea, North Korea is not considered as “another State.” Consequently, the current wording of the draft legislations would not prohibit forcible return to North Korea. In this regard, the NHRCK has expressed its opinion to the Speaker of the National Assembly that, in order to ensure that North Korea is included within the scope of non-refoulement, revising the relevant provision should be considered so that the subject of the prohibition is framed not as a “State” but as a “State or political entity,” as reflected in Article 9(2)(8) of the ICCA or as “all entities eligible to sign, ratify, or accede to the ICPPED pursuant to Article 38 of the Convention,” thereby explicitly prohibiting enforced return to North Korea. However, no follow-up action has been taken so far. </w:t>
      </w:r>
    </w:p>
    <w:p w14:paraId="1B4D49DD" w14:textId="77777777" w:rsidR="00D869D4" w:rsidRPr="00D869D4" w:rsidRDefault="00D869D4" w:rsidP="00556BF7">
      <w:pPr>
        <w:wordWrap/>
        <w:spacing w:line="300" w:lineRule="auto"/>
        <w:jc w:val="both"/>
        <w:rPr>
          <w:rFonts w:ascii="Times New Roman" w:hAnsi="Times New Roman" w:cs="Times New Roman"/>
          <w:sz w:val="24"/>
        </w:rPr>
      </w:pPr>
    </w:p>
    <w:p w14:paraId="7F17637F"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15: Appeal and Reexamination Authorities, Procedures, and Effects of Extradition Decisions (State report paras. 82–84)</w:t>
      </w:r>
    </w:p>
    <w:p w14:paraId="3F50F28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43. Paragraph 82 of the State report explains, pursuant to Article 59 of the </w:t>
      </w:r>
      <w:r w:rsidRPr="00D869D4">
        <w:rPr>
          <w:rFonts w:ascii="Times New Roman" w:hAnsi="Times New Roman" w:cs="Times New Roman"/>
          <w:i/>
          <w:iCs/>
          <w:sz w:val="24"/>
        </w:rPr>
        <w:t>Immigration Act</w:t>
      </w:r>
      <w:r w:rsidRPr="00D869D4">
        <w:rPr>
          <w:rFonts w:ascii="Times New Roman" w:hAnsi="Times New Roman" w:cs="Times New Roman"/>
          <w:sz w:val="24"/>
        </w:rPr>
        <w:t xml:space="preserve">, the procedures for raising objections and the competent authorities for when a foreign national challenges a deportation order. In addition, paragraph 83 of the State report notes that, under Article 21(1) of the </w:t>
      </w:r>
      <w:r w:rsidRPr="00D869D4">
        <w:rPr>
          <w:rFonts w:ascii="Times New Roman" w:hAnsi="Times New Roman" w:cs="Times New Roman"/>
          <w:i/>
          <w:iCs/>
          <w:sz w:val="24"/>
        </w:rPr>
        <w:t>Refugee Act</w:t>
      </w:r>
      <w:r w:rsidRPr="00D869D4">
        <w:rPr>
          <w:rFonts w:ascii="Times New Roman" w:hAnsi="Times New Roman" w:cs="Times New Roman"/>
          <w:sz w:val="24"/>
        </w:rPr>
        <w:t xml:space="preserve">, a refugee applicant who wishes to appeal a decision of non-recognition of refugee status may file an objection. However, even if an objection may be filed in accordance with the procedures described in the State report, it remains unclear whether an objection may be raised against the relevant decision specifically on the ground that there are substantial grounds for believing that an enforced disappearance may occur. </w:t>
      </w:r>
    </w:p>
    <w:p w14:paraId="1F74F46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44. Furthermore, paragraph 84 of the State report states that, where a North Korean defector expresses their intention to be protected by the Republic of Korea, pursuant to the </w:t>
      </w:r>
      <w:r w:rsidRPr="00D869D4">
        <w:rPr>
          <w:rFonts w:ascii="Times New Roman" w:hAnsi="Times New Roman" w:cs="Times New Roman"/>
          <w:i/>
          <w:iCs/>
          <w:sz w:val="24"/>
        </w:rPr>
        <w:t xml:space="preserve">United Defense Act </w:t>
      </w:r>
      <w:r w:rsidRPr="00D869D4">
        <w:rPr>
          <w:rFonts w:ascii="Times New Roman" w:hAnsi="Times New Roman" w:cs="Times New Roman"/>
          <w:sz w:val="24"/>
        </w:rPr>
        <w:t xml:space="preserve">and </w:t>
      </w:r>
      <w:r w:rsidRPr="00D869D4">
        <w:rPr>
          <w:rFonts w:ascii="Times New Roman" w:hAnsi="Times New Roman" w:cs="Times New Roman"/>
          <w:i/>
          <w:iCs/>
          <w:sz w:val="24"/>
        </w:rPr>
        <w:t>North Korean Defectors Protection and Settlement Support Act</w:t>
      </w:r>
      <w:r w:rsidRPr="00D869D4">
        <w:rPr>
          <w:rFonts w:ascii="Times New Roman" w:hAnsi="Times New Roman" w:cs="Times New Roman"/>
          <w:sz w:val="24"/>
        </w:rPr>
        <w:t>, a human rights protection officer at the North Korean Defector Protection Center confirms their intention to be repatriated and whether there has been a human rights violation during investigation. When a North Korean defector expresses their intention to be repatriated, the Government cannot deport them against their will.</w:t>
      </w:r>
    </w:p>
    <w:p w14:paraId="64D087E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45. In relation to the November 2019 case involving the forcible repatriation of North Korean fishermen mentioned above, the NHRCK recommended: (a) to the Minister of Unification, that regulations concerning the status of North Korean defectors be clarified; that the forcible repatriation of North Korean residents who have expressed an intention to defect, including through applications for protection, be prohibited; and that relevant legislation be revised to </w:t>
      </w:r>
      <w:r w:rsidRPr="00D869D4">
        <w:rPr>
          <w:rFonts w:ascii="Times New Roman" w:hAnsi="Times New Roman" w:cs="Times New Roman"/>
          <w:sz w:val="24"/>
        </w:rPr>
        <w:lastRenderedPageBreak/>
        <w:t xml:space="preserve">include sanctions for violations of protection procedures for North Korean defectors, as well as procedures for the repatriation of North Korean residents who wish to be returned to North Korea; (b) to the Director of the National Intelligence Service, that procedures be established whereby the human rights protection officer of the National Intelligence Service conducts a final confirmation, for all persons subject to investigation who have crossed the border or the Northern Limit Line, of their intention to defect and of any human rights violations during the investigation, so as to prevent human rights violations such as repatriation without regard to the individual’s will; and (iii) to the Director of the National Security Office, that relevant manuals, including response manuals for North Korean vessels crossing the border and manuals for responding to North Korean defectors, be revised to prevent the occurrence of human rights violations such as forcible repatriation to North Korea against the individual’s will in the future. </w:t>
      </w:r>
    </w:p>
    <w:p w14:paraId="2EF99DA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46. Although relevant authorities expressed their will to accept NHRCK’s recommendations, because manuals related to joint intelligence investigations are classified, it is not possible to ascertain the specific legal provisions underpinning procedures such as the confirmation of an intention to defect. Moreover, although it has been stated that procedures have been established for human rights protection officers to verify an individual’s intention to defect and to determine whether any human rights violations occurred during investigations, these procedures likewise cannot be verified by external bodies. As a result, notwithstanding the tragic fact that, in the November 2019 case involving the forcible repatriation of North Korean fishermen, the individuals concerned remained unaware of their impending forcible repatriation until the final moment and were unable to even lodge an objection, it cannot be said that institutionally meaningful remedial measures have been implemented since that time. Subsequently, in July 2025, six North Korean fishermen reportedly requested voluntary return, and the Government repatriated them to Pyeongyang via the East Sea. However, even in that instance, apart from the Government’s public statements, no objective procedures or materials existed by which to verify that the individuals concerned had requested return of their own free will, making it impossible to ascertain the authenticity of their intentions. Accordingly, there is a need to establish clear procedures and legal bases to verify the voluntary will of North Korean defectors to return upon their entry into the territory of the Republic of Korea. Furthermore, although an obligation of protection automatically arises with respect to such individuals upon their entry into the territory of the Republic of Korea, procedures and legal grounds must likewise be strengthened to address problems that arise when such protection is not effectively afforded. </w:t>
      </w:r>
    </w:p>
    <w:p w14:paraId="3920E9A1" w14:textId="77777777" w:rsidR="00D869D4" w:rsidRPr="00D869D4" w:rsidRDefault="00D869D4" w:rsidP="00556BF7">
      <w:pPr>
        <w:wordWrap/>
        <w:spacing w:line="300" w:lineRule="auto"/>
        <w:jc w:val="both"/>
        <w:rPr>
          <w:rFonts w:ascii="Times New Roman" w:hAnsi="Times New Roman" w:cs="Times New Roman"/>
          <w:sz w:val="24"/>
        </w:rPr>
      </w:pPr>
    </w:p>
    <w:p w14:paraId="3EAF8B8C" w14:textId="77777777" w:rsidR="00D869D4" w:rsidRDefault="00D869D4" w:rsidP="00556BF7">
      <w:pPr>
        <w:wordWrap/>
        <w:spacing w:line="300" w:lineRule="auto"/>
        <w:jc w:val="center"/>
        <w:rPr>
          <w:rFonts w:ascii="Times New Roman" w:hAnsi="Times New Roman" w:cs="Times New Roman"/>
          <w:b/>
          <w:bCs/>
          <w:sz w:val="24"/>
        </w:rPr>
      </w:pPr>
      <w:r w:rsidRPr="00D869D4">
        <w:rPr>
          <w:rFonts w:ascii="Times New Roman" w:hAnsi="Times New Roman" w:cs="Times New Roman"/>
          <w:b/>
          <w:bCs/>
          <w:sz w:val="24"/>
        </w:rPr>
        <w:t>&lt;Article 18 Access to Information&gt;</w:t>
      </w:r>
    </w:p>
    <w:p w14:paraId="16C4E928" w14:textId="77777777" w:rsidR="00CD1C55" w:rsidRPr="00D869D4" w:rsidRDefault="00CD1C55" w:rsidP="00556BF7">
      <w:pPr>
        <w:wordWrap/>
        <w:spacing w:line="300" w:lineRule="auto"/>
        <w:jc w:val="center"/>
        <w:rPr>
          <w:rFonts w:ascii="Times New Roman" w:hAnsi="Times New Roman" w:cs="Times New Roman"/>
          <w:sz w:val="24"/>
        </w:rPr>
      </w:pPr>
    </w:p>
    <w:p w14:paraId="6F894D5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lastRenderedPageBreak/>
        <w:t>Issue 16: Existing Legislation on Ensuring Access to Information for Individuals with Legitimate Interests (State report, paras. 108–110)</w:t>
      </w:r>
    </w:p>
    <w:p w14:paraId="016876B2" w14:textId="77777777" w:rsid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47. Paragraphs 108 to 110 of the State report explain that, pursuant to the </w:t>
      </w:r>
      <w:r w:rsidRPr="00D869D4">
        <w:rPr>
          <w:rFonts w:ascii="Times New Roman" w:hAnsi="Times New Roman" w:cs="Times New Roman"/>
          <w:i/>
          <w:iCs/>
          <w:sz w:val="24"/>
        </w:rPr>
        <w:t xml:space="preserve">Criminal Procedure Act </w:t>
      </w:r>
      <w:r w:rsidRPr="00D869D4">
        <w:rPr>
          <w:rFonts w:ascii="Times New Roman" w:hAnsi="Times New Roman" w:cs="Times New Roman"/>
          <w:sz w:val="24"/>
        </w:rPr>
        <w:t xml:space="preserve">and the </w:t>
      </w:r>
      <w:r w:rsidRPr="00D869D4">
        <w:rPr>
          <w:rFonts w:ascii="Times New Roman" w:hAnsi="Times New Roman" w:cs="Times New Roman"/>
          <w:i/>
          <w:iCs/>
          <w:sz w:val="24"/>
        </w:rPr>
        <w:t>Official Information Disclosure Act</w:t>
      </w:r>
      <w:r w:rsidRPr="00D869D4">
        <w:rPr>
          <w:rFonts w:ascii="Times New Roman" w:hAnsi="Times New Roman" w:cs="Times New Roman"/>
          <w:sz w:val="24"/>
        </w:rPr>
        <w:t xml:space="preserve">, defense counsel, persons designated by a suspect, defendants, and legal representatives may access relevant information. However, it is unclear whether these categories fully encompass “any person with a legitimate interest in this information, such as relatives of the person deprived of liberty, their representatives or their counsel,” as referred to in Article 18 of the Convention. In particular, further clarification is required as the State report does not clarify whether third parties who are neither relatives nor representatives may be entitled to request access. If relatives are recognized as holding such a right, additional information is needed as to the scope of relatives covered under domestic law. </w:t>
      </w:r>
    </w:p>
    <w:p w14:paraId="3C9CA1A8" w14:textId="77777777" w:rsidR="00D869D4" w:rsidRPr="00D869D4" w:rsidRDefault="00D869D4" w:rsidP="00556BF7">
      <w:pPr>
        <w:wordWrap/>
        <w:spacing w:line="300" w:lineRule="auto"/>
        <w:jc w:val="both"/>
        <w:rPr>
          <w:rFonts w:ascii="Times New Roman" w:hAnsi="Times New Roman" w:cs="Times New Roman"/>
          <w:sz w:val="24"/>
        </w:rPr>
      </w:pPr>
    </w:p>
    <w:p w14:paraId="1F9E42CA"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23 Education and Training&gt;</w:t>
      </w:r>
    </w:p>
    <w:p w14:paraId="1574F4B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17: Training Programs and Measures to Prevent Law Enforcement Officials from Being Involved in Enforced Disappearances (State report, paras. 137-139)</w:t>
      </w:r>
    </w:p>
    <w:p w14:paraId="42DD9BDD"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48. While paragraphs 137 to 139 of the State report describe in detail human rights education and training provided to law enforcement officials and military personnel engaged in human rights-related duties, they indicate that no specific training modules are currently in place addressing either the obligation to report to superiors or enforced disappearance. However, the central purpose of Article 23 of the Convention is to prevent civilian or military law enforcement personnel, medical personnel, public officials, and other persons who may be involved in the detention or treatment of persons deprived of liberty from participating in acts of enforced disappearance. Accordingly, training specifically dedicated to enforced disappearance is necessary to ensure that relevant personnel fully understand the gravity of the crime, the urgency of its resolution, and their duty to report any such acts. The Committee may therefore wish to request clarification as to whether the Government intends to introduce specialized training programmes on enforced disappearance that reflect the principles and provisions of the Convention, and, if so, to provide details regarding their scope, target groups, and the competent authorities. </w:t>
      </w:r>
    </w:p>
    <w:p w14:paraId="4AB13B06" w14:textId="77777777" w:rsidR="00D869D4" w:rsidRPr="00D869D4" w:rsidRDefault="00D869D4" w:rsidP="00556BF7">
      <w:pPr>
        <w:wordWrap/>
        <w:spacing w:line="300" w:lineRule="auto"/>
        <w:jc w:val="both"/>
        <w:rPr>
          <w:rFonts w:ascii="Times New Roman" w:hAnsi="Times New Roman" w:cs="Times New Roman"/>
          <w:sz w:val="24"/>
        </w:rPr>
      </w:pPr>
    </w:p>
    <w:p w14:paraId="0C322D26"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18: Measures to Ensure Awareness of the Duty to Report Acts of Enforced Disappearance to Superiors/Legislation Prohibiting Orders Related to Enforced Disappearances and Guaranteeing Non-Punishment for Refusal to Follow Such Orders (State report 140)</w:t>
      </w:r>
    </w:p>
    <w:p w14:paraId="7BFAC7B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49. Paragraph 140 of the State report refers to Article 56 (Duty of Fidelity) and Article 57 (Duty </w:t>
      </w:r>
      <w:r w:rsidRPr="00D869D4">
        <w:rPr>
          <w:rFonts w:ascii="Times New Roman" w:hAnsi="Times New Roman" w:cs="Times New Roman"/>
          <w:sz w:val="24"/>
        </w:rPr>
        <w:lastRenderedPageBreak/>
        <w:t xml:space="preserve">of Obedience) of the </w:t>
      </w:r>
      <w:r w:rsidRPr="00D869D4">
        <w:rPr>
          <w:rFonts w:ascii="Times New Roman" w:hAnsi="Times New Roman" w:cs="Times New Roman"/>
          <w:i/>
          <w:iCs/>
          <w:sz w:val="24"/>
        </w:rPr>
        <w:t>State Public Officials Act</w:t>
      </w:r>
      <w:r w:rsidRPr="00D869D4">
        <w:rPr>
          <w:rFonts w:ascii="Times New Roman" w:hAnsi="Times New Roman" w:cs="Times New Roman"/>
          <w:sz w:val="24"/>
        </w:rPr>
        <w:t xml:space="preserve">, and explains that, according to relevant Supreme Court jurisprudence, a superior has no authority to order a subordinate to commit an unlawful act, including criminal behavior, and that if a superior’s order is clearly unlawful or illegal, it cannot be regarded as a legitimate instruction and thus the subordinate has no obligation to comply to such orders from the superiors. However, as this constitutes a summary of precedence rather than an explicit statutory provision, it does not clearly establish, as envisaged in paragraph 34 of the Guidelines, a legal prohibition of orders relating specifically to enforced disappearance or a guarantee of non-punishment for those who refuse to carry out such orders. It is therefore necessary to ascertain whether the Government intends to adopt or amend legislation to provide an explicit legal basis in this regard. </w:t>
      </w:r>
    </w:p>
    <w:p w14:paraId="5ECCD188"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50. Moreover, the State report does not address measures to ensure that persons involved in the custody or treatment of persons deprived of liberty are made aware of their obligation to report acts of enforced disappearance to their superiors or to competent authorities capable of providing remedies. Clarification is therefore required as to whether such measures are in place. </w:t>
      </w:r>
    </w:p>
    <w:p w14:paraId="728F39A0" w14:textId="77777777" w:rsidR="00D869D4" w:rsidRPr="00D869D4" w:rsidRDefault="00D869D4" w:rsidP="00556BF7">
      <w:pPr>
        <w:wordWrap/>
        <w:spacing w:line="300" w:lineRule="auto"/>
        <w:jc w:val="both"/>
        <w:rPr>
          <w:rFonts w:ascii="Times New Roman" w:hAnsi="Times New Roman" w:cs="Times New Roman"/>
          <w:sz w:val="24"/>
        </w:rPr>
      </w:pPr>
    </w:p>
    <w:p w14:paraId="7BA2AC8D"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24 Victim Remedies&gt;</w:t>
      </w:r>
    </w:p>
    <w:p w14:paraId="2AC2A02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19: How the Broad Definition of Victim is Reflected in Domestic Law (State report, para. 141)</w:t>
      </w:r>
    </w:p>
    <w:p w14:paraId="0785ABB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51. Article 24(1) of the Convention defines a victim of enforced disappearance as “the disappeared person and any individual who has suffered harm as the direct result of an enforced disappearance.” Paragraph 141 of the State report refers to the </w:t>
      </w:r>
      <w:r w:rsidRPr="00D869D4">
        <w:rPr>
          <w:rFonts w:ascii="Times New Roman" w:hAnsi="Times New Roman" w:cs="Times New Roman"/>
          <w:i/>
          <w:iCs/>
          <w:sz w:val="24"/>
        </w:rPr>
        <w:t>Crime Victim Protection Act</w:t>
      </w:r>
      <w:r w:rsidRPr="00D869D4">
        <w:rPr>
          <w:rFonts w:ascii="Times New Roman" w:hAnsi="Times New Roman" w:cs="Times New Roman"/>
          <w:sz w:val="24"/>
        </w:rPr>
        <w:t xml:space="preserve">, indicating that it provides a broad and inclusive definition of victims. However, given that enforced disappearance has not yet been expressly codified as a criminal offence under the </w:t>
      </w:r>
      <w:r w:rsidRPr="00D869D4">
        <w:rPr>
          <w:rFonts w:ascii="Times New Roman" w:hAnsi="Times New Roman" w:cs="Times New Roman"/>
          <w:i/>
          <w:iCs/>
          <w:sz w:val="24"/>
        </w:rPr>
        <w:t>Criminal Act</w:t>
      </w:r>
      <w:r w:rsidRPr="00D869D4">
        <w:rPr>
          <w:rFonts w:ascii="Times New Roman" w:hAnsi="Times New Roman" w:cs="Times New Roman"/>
          <w:sz w:val="24"/>
        </w:rPr>
        <w:t xml:space="preserve">, it remains unclear whether victims of enforced disappearance are, in practice, able to obtain adequate protection and reparation under the </w:t>
      </w:r>
      <w:r w:rsidRPr="00D869D4">
        <w:rPr>
          <w:rFonts w:ascii="Times New Roman" w:hAnsi="Times New Roman" w:cs="Times New Roman"/>
          <w:i/>
          <w:iCs/>
          <w:sz w:val="24"/>
        </w:rPr>
        <w:t>Crime Victim Protection Act</w:t>
      </w:r>
      <w:r w:rsidRPr="00D869D4">
        <w:rPr>
          <w:rFonts w:ascii="Times New Roman" w:hAnsi="Times New Roman" w:cs="Times New Roman"/>
          <w:sz w:val="24"/>
        </w:rPr>
        <w:t xml:space="preserve">. It is therefore necessary to ascertain whether there have been instances in which victims of enforced disappearance have received remedies pursuant to that Act. </w:t>
      </w:r>
    </w:p>
    <w:p w14:paraId="2E186464"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52. As previously noted, two pending bills on the punishment of crimes of enforced disappearance define victims as set out in the table below. Both bills are grounded in existing domestic legislative frameworks. In particular, the bill proposed by National Assembly member Kim Young-bae expands the conventional scope of victims by explicitly including “any individual who has suffered harm as the direct result of an enforced disappearance,” with reference to Article 24 of the Convention. In this regard, the NHRCK expressed its opinion to the Speaker of the National Assembly that, in order to strengthen remedies for victims of enforced disappearance, the scope of victims should be expanded in light of Article 24(1) of the Convention. However, as no follow-up measures have been undertaken by the National </w:t>
      </w:r>
      <w:r w:rsidRPr="00D869D4">
        <w:rPr>
          <w:rFonts w:ascii="Times New Roman" w:hAnsi="Times New Roman" w:cs="Times New Roman"/>
          <w:sz w:val="24"/>
        </w:rPr>
        <w:lastRenderedPageBreak/>
        <w:t xml:space="preserve">Assembly or the Government to date, it is necessary to ascertain whether there are any plans to implement these recommendations. </w:t>
      </w:r>
    </w:p>
    <w:p w14:paraId="78D027EB" w14:textId="77777777" w:rsidR="00D869D4" w:rsidRPr="00D869D4" w:rsidRDefault="00D869D4" w:rsidP="00556BF7">
      <w:pPr>
        <w:wordWrap/>
        <w:spacing w:line="300" w:lineRule="auto"/>
        <w:jc w:val="both"/>
        <w:rPr>
          <w:rFonts w:ascii="Times New Roman" w:hAnsi="Times New Roman" w:cs="Times New Roman"/>
          <w:sz w:val="24"/>
        </w:rPr>
      </w:pPr>
    </w:p>
    <w:p w14:paraId="6498492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20: Mechanism to Guarantee the Right to Know the Truth Regarding Enforced Disappearances (State report, paras. 142-144)</w:t>
      </w:r>
    </w:p>
    <w:p w14:paraId="413BFEEA"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53. In response, paragraphs 142 and 143 of the State report refer to the </w:t>
      </w:r>
      <w:r w:rsidRPr="00D869D4">
        <w:rPr>
          <w:rFonts w:ascii="Times New Roman" w:hAnsi="Times New Roman" w:cs="Times New Roman"/>
          <w:i/>
          <w:iCs/>
          <w:sz w:val="24"/>
        </w:rPr>
        <w:t xml:space="preserve">Crime Victim Protection Act </w:t>
      </w:r>
      <w:r w:rsidRPr="00D869D4">
        <w:rPr>
          <w:rFonts w:ascii="Times New Roman" w:hAnsi="Times New Roman" w:cs="Times New Roman"/>
          <w:sz w:val="24"/>
        </w:rPr>
        <w:t xml:space="preserve">and the </w:t>
      </w:r>
      <w:r w:rsidRPr="00D869D4">
        <w:rPr>
          <w:rFonts w:ascii="Times New Roman" w:hAnsi="Times New Roman" w:cs="Times New Roman"/>
          <w:i/>
          <w:iCs/>
          <w:sz w:val="24"/>
        </w:rPr>
        <w:t>Criminal Procedure Act</w:t>
      </w:r>
      <w:r w:rsidRPr="00D869D4">
        <w:rPr>
          <w:rFonts w:ascii="Times New Roman" w:hAnsi="Times New Roman" w:cs="Times New Roman"/>
          <w:sz w:val="24"/>
        </w:rPr>
        <w:t xml:space="preserve">, noting that victims may request information on investigation results, trial outcomes, execution of sentences and enforcement of probation related to criminal procedures. Paragraph 144 further outlines the notification and objection procedures relating to decisions of the TRC under the </w:t>
      </w:r>
      <w:r w:rsidRPr="00D869D4">
        <w:rPr>
          <w:rFonts w:ascii="Times New Roman" w:hAnsi="Times New Roman" w:cs="Times New Roman"/>
          <w:i/>
          <w:iCs/>
          <w:sz w:val="24"/>
        </w:rPr>
        <w:t>Framework Act on Settling the Past for Truth and Reconciliation</w:t>
      </w:r>
      <w:r w:rsidRPr="00D869D4">
        <w:rPr>
          <w:rFonts w:ascii="Times New Roman" w:hAnsi="Times New Roman" w:cs="Times New Roman"/>
          <w:sz w:val="24"/>
        </w:rPr>
        <w:t>. As such, the State report addresses the “right to know the truth” primarily through procedural rights, rather than mechanisms aimed at ensuring access to substantive truth regarding the events. Accordingly, they do not appear to constitute an adequate explanation of the procedures that guarantee the “right to know the truth” of victims of enforced disappearance, as protected under Article 24 of the Convention.</w:t>
      </w:r>
    </w:p>
    <w:p w14:paraId="35AF405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54. The two pending bills on the punishment of crimes of enforced disappearance contain only a declaratory provision regarding victim remedies, stating that “the State shall take appropriate measures to ensure effective remedies for victims of enforced disappearance, such as rehabilitation, restoration of reputation, and social reintegration.” While Article 24 of the Convention sets out victims’ rights and forms of reparation in considerable detail, and the Guidelines further elaborate specific implementation measures, the pending bills fail to substantively reflect these requirements in any way. In this regard, the NHRCK expressed its opinion to the Speaker of the National Assembly that, in order to strengthen remedies for victims of enforced disappearance, legislation should: expand the definition of victim in light of Article 24(1) of the Convention; and, with reference to Article 24(2) to (7), expressly incorporate into law guarantees of the victim’s right to know the truth, efforts to search for and locate the disappeared person and secure release, measures to locate, treat with dignity, and return remains in the event of death, provisions for reparation and compensation, restoration of rights and social reintegration, and the restoration of dignity and reputation. As no substantive legislative deliberations have followed the Commission’s recommendation, it is necessary to ascertain what concrete measures or legislative plans the Government has formulated to ensure the full and effective implementation of Article 24 of the Convention. </w:t>
      </w:r>
    </w:p>
    <w:p w14:paraId="2D48BB9F" w14:textId="77777777" w:rsidR="00D869D4" w:rsidRPr="00D869D4" w:rsidRDefault="00D869D4" w:rsidP="00556BF7">
      <w:pPr>
        <w:wordWrap/>
        <w:spacing w:line="300" w:lineRule="auto"/>
        <w:jc w:val="both"/>
        <w:rPr>
          <w:rFonts w:ascii="Times New Roman" w:hAnsi="Times New Roman" w:cs="Times New Roman"/>
          <w:sz w:val="24"/>
        </w:rPr>
      </w:pPr>
    </w:p>
    <w:p w14:paraId="5A5291CF"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21: Mechanisms for Investigations and Determining the Whereabouts of Victims or Their Remains/Rituals and Related Measures to Handle the Remains of the Missing Persons to their Families (State report, paras. 149-151)</w:t>
      </w:r>
    </w:p>
    <w:p w14:paraId="2CB0A43E"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lastRenderedPageBreak/>
        <w:t xml:space="preserve">55. Paragraphs 149 to 151 of the State report refer to the </w:t>
      </w:r>
      <w:r w:rsidRPr="00D869D4">
        <w:rPr>
          <w:rFonts w:ascii="Times New Roman" w:hAnsi="Times New Roman" w:cs="Times New Roman"/>
          <w:i/>
          <w:iCs/>
          <w:sz w:val="24"/>
        </w:rPr>
        <w:t xml:space="preserve">Criminal Procedure Act </w:t>
      </w:r>
      <w:r w:rsidRPr="00D869D4">
        <w:rPr>
          <w:rFonts w:ascii="Times New Roman" w:hAnsi="Times New Roman" w:cs="Times New Roman"/>
          <w:sz w:val="24"/>
        </w:rPr>
        <w:t xml:space="preserve">and the </w:t>
      </w:r>
      <w:r w:rsidRPr="00D869D4">
        <w:rPr>
          <w:rFonts w:ascii="Times New Roman" w:hAnsi="Times New Roman" w:cs="Times New Roman"/>
          <w:i/>
          <w:iCs/>
          <w:sz w:val="24"/>
        </w:rPr>
        <w:t xml:space="preserve">Military Court Act </w:t>
      </w:r>
      <w:r w:rsidRPr="00D869D4">
        <w:rPr>
          <w:rFonts w:ascii="Times New Roman" w:hAnsi="Times New Roman" w:cs="Times New Roman"/>
          <w:sz w:val="24"/>
        </w:rPr>
        <w:t xml:space="preserve">in describing mechanisms for locating the remains of victims of enforced disappearance. However, these statutes primarily regulate the recovery and transfer of remains in ordinary criminal proceedings involving missing persons and do not clearly indicate whether they apply to exhumation, repatriation, or return of remains to families in cases of long-past enforced disappearances involving direct or indirect State involvement. By contrast, statutes not expressly referenced in the State report, such as the </w:t>
      </w:r>
      <w:r w:rsidRPr="00D869D4">
        <w:rPr>
          <w:rFonts w:ascii="Times New Roman" w:hAnsi="Times New Roman" w:cs="Times New Roman"/>
          <w:i/>
          <w:iCs/>
          <w:sz w:val="24"/>
        </w:rPr>
        <w:t>Act on Finding the Truth of the Damage From North Korea’s Abduction During the Korean War and Restoring Honor of the Victim</w:t>
      </w:r>
      <w:r w:rsidRPr="00D869D4">
        <w:rPr>
          <w:rFonts w:ascii="Times New Roman" w:hAnsi="Times New Roman" w:cs="Times New Roman"/>
          <w:sz w:val="24"/>
        </w:rPr>
        <w:t xml:space="preserve">, the </w:t>
      </w:r>
      <w:r w:rsidRPr="00D869D4">
        <w:rPr>
          <w:rFonts w:ascii="Times New Roman" w:hAnsi="Times New Roman" w:cs="Times New Roman"/>
          <w:i/>
          <w:iCs/>
          <w:sz w:val="24"/>
        </w:rPr>
        <w:t>Act on Compensation and Assistance to Victims of Abduction by North Korea After Conclusion of the Military Armistice Agreement</w:t>
      </w:r>
      <w:r w:rsidRPr="00D869D4">
        <w:rPr>
          <w:rFonts w:ascii="Times New Roman" w:hAnsi="Times New Roman" w:cs="Times New Roman"/>
          <w:sz w:val="24"/>
        </w:rPr>
        <w:t xml:space="preserve">, and the </w:t>
      </w:r>
      <w:r w:rsidRPr="00D869D4">
        <w:rPr>
          <w:rFonts w:ascii="Times New Roman" w:hAnsi="Times New Roman" w:cs="Times New Roman"/>
          <w:i/>
          <w:iCs/>
          <w:sz w:val="24"/>
        </w:rPr>
        <w:t>Act on the Repatriation, Treatment of the Republic of Korea Armed Forces Prisoners of War</w:t>
      </w:r>
      <w:r w:rsidRPr="00D869D4">
        <w:rPr>
          <w:rFonts w:ascii="Times New Roman" w:hAnsi="Times New Roman" w:cs="Times New Roman"/>
          <w:sz w:val="24"/>
        </w:rPr>
        <w:t xml:space="preserve">, and the amended the </w:t>
      </w:r>
      <w:r w:rsidRPr="00D869D4">
        <w:rPr>
          <w:rFonts w:ascii="Times New Roman" w:hAnsi="Times New Roman" w:cs="Times New Roman"/>
          <w:i/>
          <w:iCs/>
          <w:sz w:val="24"/>
        </w:rPr>
        <w:t>Framework Act on Settling the Past for Truth and Reconciliation</w:t>
      </w:r>
      <w:r w:rsidRPr="00D869D4">
        <w:rPr>
          <w:rFonts w:ascii="Times New Roman" w:hAnsi="Times New Roman" w:cs="Times New Roman"/>
          <w:sz w:val="24"/>
        </w:rPr>
        <w:t xml:space="preserve"> passed on January 29, contain provisions relating to the return of remains in circumstances that may fall within the scope of enforced disappearance. It is therefore necessary to ascertain whether there have been cases of excavation and return of remains pursuant to these statutes, the procedures followed in such cases, and any plans for future action in this regard. </w:t>
      </w:r>
    </w:p>
    <w:p w14:paraId="0F99A389" w14:textId="77777777" w:rsidR="00D869D4" w:rsidRPr="00D869D4" w:rsidRDefault="00D869D4" w:rsidP="00556BF7">
      <w:pPr>
        <w:wordWrap/>
        <w:spacing w:line="300" w:lineRule="auto"/>
        <w:jc w:val="both"/>
        <w:rPr>
          <w:rFonts w:ascii="Times New Roman" w:hAnsi="Times New Roman" w:cs="Times New Roman"/>
          <w:sz w:val="24"/>
        </w:rPr>
      </w:pPr>
    </w:p>
    <w:p w14:paraId="14237D6A"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22: Collection of Genetic Information and Establishment of a Database for Disappeared Persons and their Relatives (State report, para. 152)</w:t>
      </w:r>
    </w:p>
    <w:p w14:paraId="308EF94A" w14:textId="15C72ACD"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56. Paragraph 152 of the State report states that “Under the </w:t>
      </w:r>
      <w:r w:rsidRPr="00D869D4">
        <w:rPr>
          <w:rFonts w:ascii="Times New Roman" w:hAnsi="Times New Roman" w:cs="Times New Roman"/>
          <w:i/>
          <w:iCs/>
          <w:sz w:val="24"/>
        </w:rPr>
        <w:t>DNA Act</w:t>
      </w:r>
      <w:r w:rsidRPr="00D869D4">
        <w:rPr>
          <w:rFonts w:ascii="Times New Roman" w:hAnsi="Times New Roman" w:cs="Times New Roman"/>
          <w:sz w:val="24"/>
        </w:rPr>
        <w:t xml:space="preserve">, DNA identification information of missing persons and their families or relatives is not collected.” However, the </w:t>
      </w:r>
      <w:r w:rsidRPr="00D869D4">
        <w:rPr>
          <w:rFonts w:ascii="Times New Roman" w:hAnsi="Times New Roman" w:cs="Times New Roman"/>
          <w:i/>
          <w:iCs/>
          <w:sz w:val="24"/>
        </w:rPr>
        <w:t>DNA Act</w:t>
      </w:r>
      <w:r w:rsidR="00556BF7">
        <w:rPr>
          <w:rFonts w:ascii="Times New Roman" w:hAnsi="Times New Roman" w:cs="Times New Roman" w:hint="eastAsia"/>
          <w:i/>
          <w:iCs/>
          <w:sz w:val="24"/>
        </w:rPr>
        <w:t xml:space="preserve"> </w:t>
      </w:r>
      <w:r w:rsidRPr="00D869D4">
        <w:rPr>
          <w:rFonts w:ascii="Times New Roman" w:hAnsi="Times New Roman" w:cs="Times New Roman"/>
          <w:sz w:val="24"/>
        </w:rPr>
        <w:t xml:space="preserve">is primarily designed for the purposes of criminal investigation and crime prevention, and is generally used to obtain and analyze biological information of suspects or offenders in order to solve crimes. Although, as noted in the State report, the Act may also provide a legal basis for obtaining biological information to identify deceased persons in cases of unnatural death, this framework does not appear to constitute a systematic mechanism for the collection of ante-mortem data relating to disappeared persons and their relatives, nor does it establish a dedicated national DNA database specifically aimed at identifying victims of enforced disappearance, as envisaged in paragraph 35 of the Guidelines. </w:t>
      </w:r>
    </w:p>
    <w:p w14:paraId="77FE650B"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57. Instead, Article 8-2 (DNA Testing) of the </w:t>
      </w:r>
      <w:r w:rsidRPr="00D869D4">
        <w:rPr>
          <w:rFonts w:ascii="Times New Roman" w:hAnsi="Times New Roman" w:cs="Times New Roman"/>
          <w:i/>
          <w:iCs/>
          <w:sz w:val="24"/>
        </w:rPr>
        <w:t>Act on the Confirmation of Life or Death of Inter-Korean Separated Families and Promotion of Exchange</w:t>
      </w:r>
      <w:r w:rsidRPr="00D869D4">
        <w:rPr>
          <w:rFonts w:ascii="Times New Roman" w:hAnsi="Times New Roman" w:cs="Times New Roman"/>
          <w:sz w:val="24"/>
        </w:rPr>
        <w:t xml:space="preserve">, which is not referenced in the State report, provides a basis for the Ministry of Unification, through the Korean Red Cross, to collect genetic information on a voluntary basis from individuals registered as separated family members and to manage such information in a genetic database. According to the Ministry of Unification, 30,887 individuals participated between 2014 and 2025, and a budget of KRW 610 million has been allocated for 2026. The programme is expected to expand its scope to include not only elderly separated family members, but also second- and third-generation separated </w:t>
      </w:r>
      <w:r w:rsidRPr="00D869D4">
        <w:rPr>
          <w:rFonts w:ascii="Times New Roman" w:hAnsi="Times New Roman" w:cs="Times New Roman"/>
          <w:sz w:val="24"/>
        </w:rPr>
        <w:lastRenderedPageBreak/>
        <w:t xml:space="preserve">families, overseas separated families, and North Korean defectors. While families of persons abducted during the Korean War, post-war abductees, prisoners of war, and detainees may be eligible to request genetic testing and storage under this framework, it cannot be assumed that all such categories are covered. Moreover, given that the primary purpose of this provision is not the acquisition and management of genetic information for victims of enforced disappearance, it may not be sufficient as a comprehensive mechanism for establishing a DNA database relating to victims of enforced disappearance attributable to North Korea. In addition, Article 11 (Genetic Testing) of the </w:t>
      </w:r>
      <w:r w:rsidRPr="00D869D4">
        <w:rPr>
          <w:rFonts w:ascii="Times New Roman" w:hAnsi="Times New Roman" w:cs="Times New Roman"/>
          <w:i/>
          <w:iCs/>
          <w:sz w:val="24"/>
        </w:rPr>
        <w:t xml:space="preserve">Act on the Excavation of the Remains of Soldiers Killed in the Korean War </w:t>
      </w:r>
      <w:r w:rsidRPr="00D869D4">
        <w:rPr>
          <w:rFonts w:ascii="Times New Roman" w:hAnsi="Times New Roman" w:cs="Times New Roman"/>
          <w:sz w:val="24"/>
        </w:rPr>
        <w:t xml:space="preserve">authorizes DNA testing and the preservation and management of related data for the identification of remains and confirmation of family members. Article 6-3 (Genetic Testing) of the </w:t>
      </w:r>
      <w:r w:rsidRPr="00D869D4">
        <w:rPr>
          <w:rFonts w:ascii="Times New Roman" w:hAnsi="Times New Roman" w:cs="Times New Roman"/>
          <w:i/>
          <w:iCs/>
          <w:sz w:val="24"/>
        </w:rPr>
        <w:t xml:space="preserve">Act on the Repatriation, Treatment of the Republic of Korea Armed Forces Prisoners of War </w:t>
      </w:r>
      <w:r w:rsidRPr="00D869D4">
        <w:rPr>
          <w:rFonts w:ascii="Times New Roman" w:hAnsi="Times New Roman" w:cs="Times New Roman"/>
          <w:sz w:val="24"/>
        </w:rPr>
        <w:t xml:space="preserve">provides for DNA testing, and the establishment and operation of a database for the identification of repatriated prisoners of war and family members of detainees. Article 27-3 (Genetic Testing) of the </w:t>
      </w:r>
      <w:r w:rsidRPr="00D869D4">
        <w:rPr>
          <w:rFonts w:ascii="Times New Roman" w:hAnsi="Times New Roman" w:cs="Times New Roman"/>
          <w:i/>
          <w:iCs/>
          <w:sz w:val="24"/>
        </w:rPr>
        <w:t xml:space="preserve">Special Act on the Investigating the Truth of the May 18 Democratization Movement </w:t>
      </w:r>
      <w:r w:rsidRPr="00D869D4">
        <w:rPr>
          <w:rFonts w:ascii="Times New Roman" w:hAnsi="Times New Roman" w:cs="Times New Roman"/>
          <w:sz w:val="24"/>
        </w:rPr>
        <w:t xml:space="preserve">authorizes DNA testing of remains from clandestine burial sites and of family members of persons missing in connection with the movement. Article 11 (Conduct of Genetic Testing) of the </w:t>
      </w:r>
      <w:r w:rsidRPr="00D869D4">
        <w:rPr>
          <w:rFonts w:ascii="Times New Roman" w:hAnsi="Times New Roman" w:cs="Times New Roman"/>
          <w:i/>
          <w:iCs/>
          <w:sz w:val="24"/>
        </w:rPr>
        <w:t xml:space="preserve">Act on the Protection and Support of Missing Children </w:t>
      </w:r>
      <w:r w:rsidRPr="00D869D4">
        <w:rPr>
          <w:rFonts w:ascii="Times New Roman" w:hAnsi="Times New Roman" w:cs="Times New Roman"/>
          <w:sz w:val="24"/>
        </w:rPr>
        <w:t xml:space="preserve">provides for DNA testing of unaccompanied children in protection facilities or psychiatric institutions and of families seeking missing children, as well as for the establishment and operation of a DNA database. However, as the competent authorities under each of these statutes differ and DNA data appear to be managed separately across multiple institutions, it is difficult to ascertain the overall national framework for the collection, storage, and integration of genetic data relating to disappeared persons and their relatives. It is therefore necessary to obtain comprehensive information in this regard. </w:t>
      </w:r>
    </w:p>
    <w:p w14:paraId="75775D0A" w14:textId="77777777" w:rsidR="00D869D4" w:rsidRPr="00D869D4" w:rsidRDefault="00D869D4" w:rsidP="00556BF7">
      <w:pPr>
        <w:wordWrap/>
        <w:spacing w:line="300" w:lineRule="auto"/>
        <w:jc w:val="both"/>
        <w:rPr>
          <w:rFonts w:ascii="Times New Roman" w:hAnsi="Times New Roman" w:cs="Times New Roman"/>
          <w:sz w:val="24"/>
        </w:rPr>
      </w:pPr>
    </w:p>
    <w:p w14:paraId="7F39472F"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23: Procedures for Compensation and Reparation for Victims, Their Codification and Formalization/Types of Reparation for Victims and Their Correspondence to the Forms Recognized under the Convention (State report, paras. 153–155)</w:t>
      </w:r>
    </w:p>
    <w:p w14:paraId="536CCE55"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58. The compensation mechanisms provided under the </w:t>
      </w:r>
      <w:r w:rsidRPr="00D869D4">
        <w:rPr>
          <w:rFonts w:ascii="Times New Roman" w:hAnsi="Times New Roman" w:cs="Times New Roman"/>
          <w:i/>
          <w:iCs/>
          <w:sz w:val="24"/>
        </w:rPr>
        <w:t xml:space="preserve">State Compensation Act </w:t>
      </w:r>
      <w:r w:rsidRPr="00D869D4">
        <w:rPr>
          <w:rFonts w:ascii="Times New Roman" w:hAnsi="Times New Roman" w:cs="Times New Roman"/>
          <w:sz w:val="24"/>
        </w:rPr>
        <w:t xml:space="preserve">and the </w:t>
      </w:r>
      <w:r w:rsidRPr="00D869D4">
        <w:rPr>
          <w:rFonts w:ascii="Times New Roman" w:hAnsi="Times New Roman" w:cs="Times New Roman"/>
          <w:i/>
          <w:iCs/>
          <w:sz w:val="24"/>
        </w:rPr>
        <w:t>Civil Act</w:t>
      </w:r>
      <w:r w:rsidRPr="00D869D4">
        <w:rPr>
          <w:rFonts w:ascii="Times New Roman" w:hAnsi="Times New Roman" w:cs="Times New Roman"/>
          <w:sz w:val="24"/>
        </w:rPr>
        <w:t xml:space="preserve">, as referenced in paragraphs 153–154 of the State report, are primarily limited to monetary compensation and damages. Although the </w:t>
      </w:r>
      <w:r w:rsidRPr="00D869D4">
        <w:rPr>
          <w:rFonts w:ascii="Times New Roman" w:hAnsi="Times New Roman" w:cs="Times New Roman"/>
          <w:i/>
          <w:iCs/>
          <w:sz w:val="24"/>
        </w:rPr>
        <w:t>Crime Victim Protection Act</w:t>
      </w:r>
      <w:r w:rsidRPr="00D869D4">
        <w:rPr>
          <w:rFonts w:ascii="Times New Roman" w:hAnsi="Times New Roman" w:cs="Times New Roman"/>
          <w:sz w:val="24"/>
        </w:rPr>
        <w:t xml:space="preserve">, referred to in paragraph 155, extends to counseling, medical assistance, and legal aid, it does not fully encompass the range of measures contemplated under the Convention. In particular, it does not provide for: (a) restitution to the pre-violation status, including the return of a person disappeared as a result of enforced disappearance; (b) measures aimed at the social reintegration of victims of enforced disappearance; (c) non-material and symbolic measures such as acknowledgment of the facts, official apologies, publication of judgments, and restoration of dignity and reputation; or (d) guarantees of non-repetition, including institutional reform, legislative amendment, and </w:t>
      </w:r>
      <w:r w:rsidRPr="00D869D4">
        <w:rPr>
          <w:rFonts w:ascii="Times New Roman" w:hAnsi="Times New Roman" w:cs="Times New Roman"/>
          <w:sz w:val="24"/>
        </w:rPr>
        <w:lastRenderedPageBreak/>
        <w:t xml:space="preserve">education and training designed to prevent the recurrence of similar violations. </w:t>
      </w:r>
    </w:p>
    <w:p w14:paraId="10348140" w14:textId="77777777" w:rsid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59. By contrast, certain relevant provisions are contained in legislation that are not referenced in the State report, including the </w:t>
      </w:r>
      <w:r w:rsidRPr="00D869D4">
        <w:rPr>
          <w:rFonts w:ascii="Times New Roman" w:hAnsi="Times New Roman" w:cs="Times New Roman"/>
          <w:i/>
          <w:iCs/>
          <w:sz w:val="24"/>
        </w:rPr>
        <w:t>Special Act on Discovering the Truth on the Jeju April 3 Incident and the Restoration of Honor of Victims</w:t>
      </w:r>
      <w:r w:rsidRPr="00D869D4">
        <w:rPr>
          <w:rFonts w:ascii="Times New Roman" w:hAnsi="Times New Roman" w:cs="Times New Roman"/>
          <w:sz w:val="24"/>
        </w:rPr>
        <w:t xml:space="preserve">, the </w:t>
      </w:r>
      <w:r w:rsidRPr="00D869D4">
        <w:rPr>
          <w:rFonts w:ascii="Times New Roman" w:hAnsi="Times New Roman" w:cs="Times New Roman"/>
          <w:i/>
          <w:iCs/>
          <w:sz w:val="24"/>
        </w:rPr>
        <w:t>Act on Finding the Truth of the Damage From North Korea’s Abduction During the Korean War and Restoring Honor of the Victims</w:t>
      </w:r>
      <w:r w:rsidRPr="00D869D4">
        <w:rPr>
          <w:rFonts w:ascii="Times New Roman" w:hAnsi="Times New Roman" w:cs="Times New Roman"/>
          <w:sz w:val="24"/>
        </w:rPr>
        <w:t xml:space="preserve">, and the </w:t>
      </w:r>
      <w:r w:rsidRPr="00D869D4">
        <w:rPr>
          <w:rFonts w:ascii="Times New Roman" w:hAnsi="Times New Roman" w:cs="Times New Roman"/>
          <w:i/>
          <w:iCs/>
          <w:sz w:val="24"/>
        </w:rPr>
        <w:t>Act On the Honor Restoration of and Compensation to Persons Related to Democratization Movements</w:t>
      </w:r>
      <w:r w:rsidRPr="00D869D4">
        <w:rPr>
          <w:rFonts w:ascii="Times New Roman" w:hAnsi="Times New Roman" w:cs="Times New Roman"/>
          <w:sz w:val="24"/>
        </w:rPr>
        <w:t xml:space="preserve">. It is therefore necessary to examine the status of implementation of these Acts, to identify concrete examples of broader reparation measures undertaken pursuant thereto, and to assess whether any shortcomings remain. If deficiencies are identified, clarification on future supplementary plans is required. </w:t>
      </w:r>
    </w:p>
    <w:p w14:paraId="72643F48" w14:textId="77777777" w:rsidR="00CD1C55" w:rsidRPr="00D869D4" w:rsidRDefault="00CD1C55" w:rsidP="00556BF7">
      <w:pPr>
        <w:wordWrap/>
        <w:spacing w:line="300" w:lineRule="auto"/>
        <w:jc w:val="both"/>
        <w:rPr>
          <w:rFonts w:ascii="Times New Roman" w:hAnsi="Times New Roman" w:cs="Times New Roman"/>
          <w:sz w:val="24"/>
        </w:rPr>
      </w:pPr>
    </w:p>
    <w:p w14:paraId="7FE71761"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24: Procedure for Issuance of Documents Regarding the Declaration of Absence of a Missing Persons (State report, paras. 158-159)</w:t>
      </w:r>
    </w:p>
    <w:p w14:paraId="5F78F2C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60. Paragraph 158 of the State report explains the procedures for declaring disappearance under the </w:t>
      </w:r>
      <w:r w:rsidRPr="00D869D4">
        <w:rPr>
          <w:rFonts w:ascii="Times New Roman" w:hAnsi="Times New Roman" w:cs="Times New Roman"/>
          <w:i/>
          <w:iCs/>
          <w:sz w:val="24"/>
        </w:rPr>
        <w:t>Civil Act</w:t>
      </w:r>
      <w:r w:rsidRPr="00D869D4">
        <w:rPr>
          <w:rFonts w:ascii="Times New Roman" w:hAnsi="Times New Roman" w:cs="Times New Roman"/>
          <w:sz w:val="24"/>
        </w:rPr>
        <w:t xml:space="preserve">, noting in particular that when the life or death of an absentee has not been confirmed for five years, or for one year in special circumstances, the court may issue a declaration of disappearance, after which the person is deemed to have died. However, the report does not clearly indicate whether there are distinct administrative or judicial procedures in place to ensure that relatives of a disappeared person are not effectively compelled to rely on a declaration of disappearance premised on death in order to exercise their rights, including those relating to social welfare, financial matters, family law, and property rights. As such, more specific information on this issue is required. </w:t>
      </w:r>
    </w:p>
    <w:p w14:paraId="3E059C2C" w14:textId="77777777" w:rsidR="00D869D4" w:rsidRPr="00D869D4" w:rsidRDefault="00D869D4" w:rsidP="00556BF7">
      <w:pPr>
        <w:wordWrap/>
        <w:spacing w:line="300" w:lineRule="auto"/>
        <w:jc w:val="both"/>
        <w:rPr>
          <w:rFonts w:ascii="Times New Roman" w:hAnsi="Times New Roman" w:cs="Times New Roman"/>
          <w:sz w:val="18"/>
          <w:szCs w:val="18"/>
        </w:rPr>
      </w:pPr>
    </w:p>
    <w:p w14:paraId="78451774" w14:textId="77777777" w:rsidR="00D869D4" w:rsidRPr="00D869D4" w:rsidRDefault="00D869D4" w:rsidP="00556BF7">
      <w:pPr>
        <w:wordWrap/>
        <w:spacing w:line="300" w:lineRule="auto"/>
        <w:jc w:val="center"/>
        <w:rPr>
          <w:rFonts w:ascii="Times New Roman" w:hAnsi="Times New Roman" w:cs="Times New Roman"/>
          <w:sz w:val="24"/>
        </w:rPr>
      </w:pPr>
      <w:r w:rsidRPr="00D869D4">
        <w:rPr>
          <w:rFonts w:ascii="Times New Roman" w:hAnsi="Times New Roman" w:cs="Times New Roman"/>
          <w:b/>
          <w:bCs/>
          <w:sz w:val="24"/>
        </w:rPr>
        <w:t>&lt;Article 25 Child Protection&gt;</w:t>
      </w:r>
    </w:p>
    <w:p w14:paraId="0DA1A452"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25: Legislation Applicable to the Separation of Children Submitted to Enforced Disappearances and Tampering with Identity Records (State report, paras. 161)</w:t>
      </w:r>
    </w:p>
    <w:p w14:paraId="0D2995EA"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61. Paragraph 161 of the State report indicates that the illegal separation of a child in the context of enforced disappearances, as well as falsifying, concealing or destroying documents that prove a child’s true identity may be punished under the </w:t>
      </w:r>
      <w:r w:rsidRPr="00D869D4">
        <w:rPr>
          <w:rFonts w:ascii="Times New Roman" w:hAnsi="Times New Roman" w:cs="Times New Roman"/>
          <w:i/>
          <w:iCs/>
          <w:sz w:val="24"/>
        </w:rPr>
        <w:t>Criminal Act</w:t>
      </w:r>
      <w:r w:rsidRPr="00D869D4">
        <w:rPr>
          <w:rFonts w:ascii="Times New Roman" w:hAnsi="Times New Roman" w:cs="Times New Roman"/>
          <w:sz w:val="24"/>
        </w:rPr>
        <w:t xml:space="preserve">. However, it remains unclear whether acts involving the unlawful removal of children in the context of enforced disappearance are recognized and treated as distinct from general offences under the </w:t>
      </w:r>
      <w:r w:rsidRPr="00D869D4">
        <w:rPr>
          <w:rFonts w:ascii="Times New Roman" w:hAnsi="Times New Roman" w:cs="Times New Roman"/>
          <w:i/>
          <w:iCs/>
          <w:sz w:val="24"/>
        </w:rPr>
        <w:t>Criminal Act</w:t>
      </w:r>
      <w:r w:rsidRPr="00D869D4">
        <w:rPr>
          <w:rFonts w:ascii="Times New Roman" w:hAnsi="Times New Roman" w:cs="Times New Roman"/>
          <w:sz w:val="24"/>
        </w:rPr>
        <w:t xml:space="preserve">, such as the kidnapping or inducement of minors (Article 287) or trading in persons (Article 289). Further clarification is required as to how the relevance to enforced disappearance is identified and incorporated at the stages of investigation and prosecution. </w:t>
      </w:r>
    </w:p>
    <w:p w14:paraId="0F68E75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62. With respect to cases concerning the enforced disappearance of children, the TRC </w:t>
      </w:r>
      <w:r w:rsidRPr="00D869D4">
        <w:rPr>
          <w:rFonts w:ascii="Times New Roman" w:hAnsi="Times New Roman" w:cs="Times New Roman"/>
          <w:sz w:val="24"/>
        </w:rPr>
        <w:lastRenderedPageBreak/>
        <w:t xml:space="preserve">conducted an investigation into illegal overseas adoptions and, on 26 March 2025, rendered truth-finding decisions. Of 367 applicants, 98 cases were deliberated, and 56 individuals were recognized through truth-finding determinations. In light of these findings, it is necessary to ascertain whether acts such as the fabrication of records, including false reports of abandoned children, and intentional substitution of identities were prosecuted under the </w:t>
      </w:r>
      <w:r w:rsidRPr="00D869D4">
        <w:rPr>
          <w:rFonts w:ascii="Times New Roman" w:hAnsi="Times New Roman" w:cs="Times New Roman"/>
          <w:i/>
          <w:iCs/>
          <w:sz w:val="24"/>
        </w:rPr>
        <w:t>Criminal Act</w:t>
      </w:r>
      <w:r w:rsidRPr="00D869D4">
        <w:rPr>
          <w:rFonts w:ascii="Times New Roman" w:hAnsi="Times New Roman" w:cs="Times New Roman"/>
          <w:sz w:val="24"/>
        </w:rPr>
        <w:t xml:space="preserve">, and whether such measures resulted in meaningful restoration of the rights of the victims. </w:t>
      </w:r>
    </w:p>
    <w:p w14:paraId="4680747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63. The two bills currently pending before the National Assembly do not contain provisions establishing criminal liability for persons who have committed acts amounting to enforced disappearance of children, including the illegal separation of children from their guardians, nor do they provide for the punishment of institutions or related actors who have falsified or concealed adoption-related documents. In addition to the absence of explicit criminalization of enforced disappearance of children, the bills do not establish procedures to provide effective remedies for affected children, such as procedures for returning unlawfully adopted children to their biological families or for invalidating illegal adoptions or placements. </w:t>
      </w:r>
    </w:p>
    <w:p w14:paraId="49019E80"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64. In this regard, the NHRCK has formally expressed its opinion to the Speaker of the National Assembly, recommending that, in order to protect children from enforced disappearance, legislation should: “with reference to Article 25 of the Convention, establish penal provisions for persons who commit acts amounting to enforced disappearance of children, including the unlawful separation of children from their guardians, as well as for those who falsify or conceal documents relating to adopted children; and expressly incorporate into law procedures for returning unlawfully adopted children to their families of origin and for annulling illegal adoptions or placements, including foster care.” However, no substantive review of the relevant bills has subsequently taken place in the National Assembly. </w:t>
      </w:r>
    </w:p>
    <w:p w14:paraId="5E2A6C17" w14:textId="77777777" w:rsidR="00D869D4" w:rsidRPr="00D869D4" w:rsidRDefault="00D869D4" w:rsidP="00556BF7">
      <w:pPr>
        <w:wordWrap/>
        <w:spacing w:line="300" w:lineRule="auto"/>
        <w:jc w:val="both"/>
        <w:rPr>
          <w:rFonts w:ascii="Times New Roman" w:hAnsi="Times New Roman" w:cs="Times New Roman"/>
          <w:sz w:val="16"/>
          <w:szCs w:val="16"/>
        </w:rPr>
      </w:pPr>
    </w:p>
    <w:p w14:paraId="1C819529"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t>Issue 26: Procedures for the Search and Identification of Disappeared Children and the Restoration to Their Original Status (State report, para. 162)</w:t>
      </w:r>
    </w:p>
    <w:p w14:paraId="32440177"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65. Paragraph 162 of the State report notes that the Act on the Implementation of the Hague Child Abduction Convention has been enacted and is in force However, as it remains unclear whether this Act serves as a basis for the search, identification, and restoration of children who are victims of enforced disappearance, including in cases such as illegal overseas adoption, it is necessary to confirm the details of relevant cases. </w:t>
      </w:r>
    </w:p>
    <w:p w14:paraId="75F8F537" w14:textId="02DD04B8"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66. In addition, while the State report does not address the existence of a genetic database for the purpose of returning children disappeared as a result of enforced disappearance to their families of origin, Article 11 (Conduct of Genetic Testing)</w:t>
      </w:r>
      <w:r>
        <w:rPr>
          <w:rFonts w:ascii="Times New Roman" w:hAnsi="Times New Roman" w:cs="Times New Roman" w:hint="eastAsia"/>
          <w:sz w:val="24"/>
        </w:rPr>
        <w:t xml:space="preserve"> </w:t>
      </w:r>
      <w:r w:rsidRPr="00D869D4">
        <w:rPr>
          <w:rFonts w:ascii="Times New Roman" w:hAnsi="Times New Roman" w:cs="Times New Roman"/>
          <w:sz w:val="24"/>
        </w:rPr>
        <w:t xml:space="preserve">of the </w:t>
      </w:r>
      <w:r w:rsidRPr="00D869D4">
        <w:rPr>
          <w:rFonts w:ascii="Times New Roman" w:hAnsi="Times New Roman" w:cs="Times New Roman"/>
          <w:i/>
          <w:iCs/>
          <w:sz w:val="24"/>
        </w:rPr>
        <w:t>Act on the Protection and Support of Missing Children</w:t>
      </w:r>
      <w:r>
        <w:rPr>
          <w:rFonts w:ascii="Times New Roman" w:hAnsi="Times New Roman" w:cs="Times New Roman" w:hint="eastAsia"/>
          <w:i/>
          <w:iCs/>
          <w:sz w:val="24"/>
        </w:rPr>
        <w:t xml:space="preserve"> </w:t>
      </w:r>
      <w:r w:rsidRPr="00D869D4">
        <w:rPr>
          <w:rFonts w:ascii="Times New Roman" w:hAnsi="Times New Roman" w:cs="Times New Roman"/>
          <w:sz w:val="24"/>
        </w:rPr>
        <w:t xml:space="preserve">contains provisions relating to genetic testing. It is therefore necessary to ascertain whether, on the basis of this provision, there have been cases in which the rights of children affected by illegal overseas adoption have been effectively remedied. </w:t>
      </w:r>
    </w:p>
    <w:p w14:paraId="4DD2286E"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b/>
          <w:bCs/>
          <w:sz w:val="24"/>
        </w:rPr>
        <w:lastRenderedPageBreak/>
        <w:t>Issue 27: Rights of Family to Search for Children Subject to Enforced Disappearances and Procedures to Review and Annul Adoptions (State report, paras. 163-164)</w:t>
      </w:r>
    </w:p>
    <w:p w14:paraId="1265DA0F" w14:textId="09A5E4F6"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67. Paragraph 163 of the State report explains that, under the </w:t>
      </w:r>
      <w:r w:rsidRPr="00D869D4">
        <w:rPr>
          <w:rFonts w:ascii="Times New Roman" w:hAnsi="Times New Roman" w:cs="Times New Roman"/>
          <w:i/>
          <w:iCs/>
          <w:sz w:val="24"/>
        </w:rPr>
        <w:t>Civil Act</w:t>
      </w:r>
      <w:r w:rsidRPr="00D869D4">
        <w:rPr>
          <w:rFonts w:ascii="Times New Roman" w:hAnsi="Times New Roman" w:cs="Times New Roman"/>
          <w:sz w:val="24"/>
        </w:rPr>
        <w:t xml:space="preserve">, adoption may be declared null and void or revoked. However, it remains unclear whether children affected by illegal overseas adoption are, in practice, able to obtain effective remedies under the </w:t>
      </w:r>
      <w:r w:rsidRPr="00D869D4">
        <w:rPr>
          <w:rFonts w:ascii="Times New Roman" w:hAnsi="Times New Roman" w:cs="Times New Roman"/>
          <w:i/>
          <w:iCs/>
          <w:sz w:val="24"/>
        </w:rPr>
        <w:t>Civil Act</w:t>
      </w:r>
      <w:r w:rsidRPr="00D869D4">
        <w:rPr>
          <w:rFonts w:ascii="Times New Roman" w:hAnsi="Times New Roman" w:cs="Times New Roman"/>
          <w:sz w:val="24"/>
        </w:rPr>
        <w:t>. Moreover, the State report does not provide information on: (a) programmes designed to assist adults who suspect that they may be children of disappeared parents in confirming their true identity; or (b) procedures that ensure the right of families to search for children who are victims of enforced disappearance. Therefore,</w:t>
      </w:r>
      <w:r>
        <w:rPr>
          <w:rFonts w:ascii="Times New Roman" w:hAnsi="Times New Roman" w:cs="Times New Roman" w:hint="eastAsia"/>
          <w:sz w:val="24"/>
        </w:rPr>
        <w:t xml:space="preserve"> </w:t>
      </w:r>
      <w:r w:rsidRPr="00D869D4">
        <w:rPr>
          <w:rFonts w:ascii="Times New Roman" w:hAnsi="Times New Roman" w:cs="Times New Roman"/>
          <w:sz w:val="24"/>
        </w:rPr>
        <w:t xml:space="preserve">it is necessary to seek clarification on these matters. </w:t>
      </w:r>
    </w:p>
    <w:p w14:paraId="686B199C" w14:textId="77777777" w:rsidR="00D869D4" w:rsidRPr="00D869D4" w:rsidRDefault="00D869D4" w:rsidP="00556BF7">
      <w:pPr>
        <w:wordWrap/>
        <w:spacing w:line="300" w:lineRule="auto"/>
        <w:jc w:val="both"/>
        <w:rPr>
          <w:rFonts w:ascii="Times New Roman" w:hAnsi="Times New Roman" w:cs="Times New Roman"/>
          <w:sz w:val="24"/>
        </w:rPr>
      </w:pPr>
      <w:r w:rsidRPr="00D869D4">
        <w:rPr>
          <w:rFonts w:ascii="Times New Roman" w:hAnsi="Times New Roman" w:cs="Times New Roman"/>
          <w:sz w:val="24"/>
        </w:rPr>
        <w:t xml:space="preserve">68. Paragraph 164 of the State report further states that necessary measures will be taken in light of the findings of the TRC referenced in paragraph 124 above. However, although the TRC’s investigation results were publicly announced in March 2025 prior to the submission of the State report in May 2025, the report does not set out any information regarding follow-up measures. It is therefore necessary to ascertain how, in respect of victims who received truth-finding determinations, issues such as the preservation or restoration of identity, access to records, and the review or annulment of adoption have been addressed. </w:t>
      </w:r>
    </w:p>
    <w:p w14:paraId="6FC25D4C" w14:textId="77777777" w:rsidR="00D869D4" w:rsidRPr="00D869D4" w:rsidRDefault="00D869D4" w:rsidP="00D869D4">
      <w:pPr>
        <w:spacing w:line="360" w:lineRule="auto"/>
      </w:pPr>
    </w:p>
    <w:sectPr w:rsidR="00D869D4" w:rsidRPr="00D869D4" w:rsidSect="00556BF7">
      <w:footerReference w:type="default" r:id="rId13"/>
      <w:pgSz w:w="11906" w:h="16838"/>
      <w:pgMar w:top="1701"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ED586" w14:textId="77777777" w:rsidR="00DE77F5" w:rsidRDefault="00DE77F5" w:rsidP="00D869D4">
      <w:pPr>
        <w:spacing w:after="0"/>
      </w:pPr>
      <w:r>
        <w:separator/>
      </w:r>
    </w:p>
  </w:endnote>
  <w:endnote w:type="continuationSeparator" w:id="0">
    <w:p w14:paraId="26FA956E" w14:textId="77777777" w:rsidR="00DE77F5" w:rsidRDefault="00DE77F5" w:rsidP="00D869D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HYHeadLine-Medium">
    <w:altName w:val="Batang"/>
    <w:charset w:val="81"/>
    <w:family w:val="roman"/>
    <w:pitch w:val="variable"/>
    <w:sig w:usb0="900002A7" w:usb1="09D77CF9"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30F93" w14:textId="08A961BE" w:rsidR="00D869D4" w:rsidRDefault="009E34FC" w:rsidP="00556BF7">
    <w:pPr>
      <w:pStyle w:val="Footer"/>
      <w:tabs>
        <w:tab w:val="left" w:pos="5629"/>
      </w:tabs>
    </w:pPr>
    <w:r>
      <w:tab/>
    </w:r>
    <w:sdt>
      <w:sdtPr>
        <w:id w:val="1402021598"/>
        <w:docPartObj>
          <w:docPartGallery w:val="Page Numbers (Bottom of Page)"/>
          <w:docPartUnique/>
        </w:docPartObj>
      </w:sdtPr>
      <w:sdtEndPr/>
      <w:sdtContent>
        <w:r>
          <w:fldChar w:fldCharType="begin"/>
        </w:r>
        <w:r>
          <w:instrText>PAGE   \* MERGEFORMAT</w:instrText>
        </w:r>
        <w:r>
          <w:fldChar w:fldCharType="separate"/>
        </w:r>
        <w:r>
          <w:rPr>
            <w:lang w:val="ko-KR"/>
          </w:rPr>
          <w:t>2</w:t>
        </w:r>
        <w: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761E2" w14:textId="51052E31" w:rsidR="00556BF7" w:rsidRDefault="00556BF7" w:rsidP="00556BF7">
    <w:pPr>
      <w:pStyle w:val="Footer"/>
      <w:tabs>
        <w:tab w:val="left" w:pos="5629"/>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D79F2" w14:textId="77777777" w:rsidR="00556BF7" w:rsidRDefault="00556BF7" w:rsidP="00556BF7">
    <w:pPr>
      <w:pStyle w:val="Footer"/>
      <w:tabs>
        <w:tab w:val="left" w:pos="5629"/>
      </w:tabs>
    </w:pPr>
    <w:r>
      <w:tab/>
    </w:r>
    <w:sdt>
      <w:sdtPr>
        <w:id w:val="-589157558"/>
        <w:docPartObj>
          <w:docPartGallery w:val="Page Numbers (Bottom of Page)"/>
          <w:docPartUnique/>
        </w:docPartObj>
      </w:sdtPr>
      <w:sdtEndPr/>
      <w:sdtContent>
        <w:r>
          <w:fldChar w:fldCharType="begin"/>
        </w:r>
        <w:r>
          <w:instrText>PAGE   \* MERGEFORMAT</w:instrText>
        </w:r>
        <w:r>
          <w:fldChar w:fldCharType="separate"/>
        </w:r>
        <w:r>
          <w:rPr>
            <w:lang w:val="ko-KR"/>
          </w:rPr>
          <w:t>2</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5AB0D" w14:textId="77777777" w:rsidR="00DE77F5" w:rsidRDefault="00DE77F5" w:rsidP="00D869D4">
      <w:pPr>
        <w:spacing w:after="0"/>
      </w:pPr>
      <w:r>
        <w:separator/>
      </w:r>
    </w:p>
  </w:footnote>
  <w:footnote w:type="continuationSeparator" w:id="0">
    <w:p w14:paraId="7E32F08C" w14:textId="77777777" w:rsidR="00DE77F5" w:rsidRDefault="00DE77F5" w:rsidP="00D869D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0681"/>
    <w:multiLevelType w:val="hybridMultilevel"/>
    <w:tmpl w:val="55A6259C"/>
    <w:lvl w:ilvl="0" w:tplc="2472A82C">
      <w:start w:val="1"/>
      <w:numFmt w:val="bullet"/>
      <w:suff w:val="space"/>
      <w:lvlText w:val=""/>
      <w:lvlJc w:val="left"/>
      <w:pPr>
        <w:ind w:left="0" w:firstLine="0"/>
      </w:pPr>
      <w:rPr>
        <w:rFonts w:ascii="Wingdings" w:hAnsi="Wingdings" w:hint="default"/>
      </w:rPr>
    </w:lvl>
    <w:lvl w:ilvl="1" w:tplc="4A2867C8">
      <w:start w:val="1"/>
      <w:numFmt w:val="decimal"/>
      <w:lvlText w:val="%2."/>
      <w:lvlJc w:val="left"/>
      <w:pPr>
        <w:tabs>
          <w:tab w:val="num" w:pos="1440"/>
        </w:tabs>
        <w:ind w:left="1440" w:hanging="360"/>
      </w:pPr>
    </w:lvl>
    <w:lvl w:ilvl="2" w:tplc="DBE6C98C">
      <w:start w:val="1"/>
      <w:numFmt w:val="decimal"/>
      <w:lvlText w:val="%3."/>
      <w:lvlJc w:val="left"/>
      <w:pPr>
        <w:tabs>
          <w:tab w:val="num" w:pos="2160"/>
        </w:tabs>
        <w:ind w:left="2160" w:hanging="360"/>
      </w:pPr>
    </w:lvl>
    <w:lvl w:ilvl="3" w:tplc="7C507CF8">
      <w:start w:val="1"/>
      <w:numFmt w:val="decimal"/>
      <w:lvlText w:val="%4."/>
      <w:lvlJc w:val="left"/>
      <w:pPr>
        <w:tabs>
          <w:tab w:val="num" w:pos="2880"/>
        </w:tabs>
        <w:ind w:left="2880" w:hanging="360"/>
      </w:pPr>
    </w:lvl>
    <w:lvl w:ilvl="4" w:tplc="C33C78AA">
      <w:start w:val="1"/>
      <w:numFmt w:val="decimal"/>
      <w:lvlText w:val="%5."/>
      <w:lvlJc w:val="left"/>
      <w:pPr>
        <w:tabs>
          <w:tab w:val="num" w:pos="3600"/>
        </w:tabs>
        <w:ind w:left="3600" w:hanging="360"/>
      </w:pPr>
    </w:lvl>
    <w:lvl w:ilvl="5" w:tplc="9AB0F2B2">
      <w:start w:val="1"/>
      <w:numFmt w:val="decimal"/>
      <w:lvlText w:val="%6."/>
      <w:lvlJc w:val="left"/>
      <w:pPr>
        <w:tabs>
          <w:tab w:val="num" w:pos="4320"/>
        </w:tabs>
        <w:ind w:left="4320" w:hanging="360"/>
      </w:pPr>
    </w:lvl>
    <w:lvl w:ilvl="6" w:tplc="29AE7042">
      <w:start w:val="1"/>
      <w:numFmt w:val="decimal"/>
      <w:lvlText w:val="%7."/>
      <w:lvlJc w:val="left"/>
      <w:pPr>
        <w:tabs>
          <w:tab w:val="num" w:pos="5040"/>
        </w:tabs>
        <w:ind w:left="5040" w:hanging="360"/>
      </w:pPr>
    </w:lvl>
    <w:lvl w:ilvl="7" w:tplc="F96EA742">
      <w:start w:val="1"/>
      <w:numFmt w:val="decimal"/>
      <w:lvlText w:val="%8."/>
      <w:lvlJc w:val="left"/>
      <w:pPr>
        <w:tabs>
          <w:tab w:val="num" w:pos="5760"/>
        </w:tabs>
        <w:ind w:left="5760" w:hanging="360"/>
      </w:pPr>
    </w:lvl>
    <w:lvl w:ilvl="8" w:tplc="2C5E696C">
      <w:start w:val="1"/>
      <w:numFmt w:val="decimal"/>
      <w:lvlText w:val="%9."/>
      <w:lvlJc w:val="left"/>
      <w:pPr>
        <w:tabs>
          <w:tab w:val="num" w:pos="6480"/>
        </w:tabs>
        <w:ind w:left="6480" w:hanging="360"/>
      </w:pPr>
    </w:lvl>
  </w:abstractNum>
  <w:abstractNum w:abstractNumId="1" w15:restartNumberingAfterBreak="0">
    <w:nsid w:val="1D56279E"/>
    <w:multiLevelType w:val="multilevel"/>
    <w:tmpl w:val="1DBAE33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4A30EFB"/>
    <w:multiLevelType w:val="hybridMultilevel"/>
    <w:tmpl w:val="EE4C942A"/>
    <w:lvl w:ilvl="0" w:tplc="BCE64844">
      <w:start w:val="1"/>
      <w:numFmt w:val="bullet"/>
      <w:suff w:val="space"/>
      <w:lvlText w:val=""/>
      <w:lvlJc w:val="left"/>
      <w:pPr>
        <w:ind w:left="0" w:firstLine="0"/>
      </w:pPr>
      <w:rPr>
        <w:rFonts w:ascii="Wingdings" w:hAnsi="Wingdings" w:hint="default"/>
      </w:rPr>
    </w:lvl>
    <w:lvl w:ilvl="1" w:tplc="D31687FA">
      <w:start w:val="1"/>
      <w:numFmt w:val="decimal"/>
      <w:lvlText w:val="%2."/>
      <w:lvlJc w:val="left"/>
      <w:pPr>
        <w:tabs>
          <w:tab w:val="num" w:pos="1440"/>
        </w:tabs>
        <w:ind w:left="1440" w:hanging="360"/>
      </w:pPr>
    </w:lvl>
    <w:lvl w:ilvl="2" w:tplc="2D3E0A62">
      <w:start w:val="1"/>
      <w:numFmt w:val="decimal"/>
      <w:lvlText w:val="%3."/>
      <w:lvlJc w:val="left"/>
      <w:pPr>
        <w:tabs>
          <w:tab w:val="num" w:pos="2160"/>
        </w:tabs>
        <w:ind w:left="2160" w:hanging="360"/>
      </w:pPr>
    </w:lvl>
    <w:lvl w:ilvl="3" w:tplc="9A7280FA">
      <w:start w:val="1"/>
      <w:numFmt w:val="decimal"/>
      <w:lvlText w:val="%4."/>
      <w:lvlJc w:val="left"/>
      <w:pPr>
        <w:tabs>
          <w:tab w:val="num" w:pos="2880"/>
        </w:tabs>
        <w:ind w:left="2880" w:hanging="360"/>
      </w:pPr>
    </w:lvl>
    <w:lvl w:ilvl="4" w:tplc="87A2D2F4">
      <w:start w:val="1"/>
      <w:numFmt w:val="decimal"/>
      <w:lvlText w:val="%5."/>
      <w:lvlJc w:val="left"/>
      <w:pPr>
        <w:tabs>
          <w:tab w:val="num" w:pos="3600"/>
        </w:tabs>
        <w:ind w:left="3600" w:hanging="360"/>
      </w:pPr>
    </w:lvl>
    <w:lvl w:ilvl="5" w:tplc="5554DEB4">
      <w:start w:val="1"/>
      <w:numFmt w:val="decimal"/>
      <w:lvlText w:val="%6."/>
      <w:lvlJc w:val="left"/>
      <w:pPr>
        <w:tabs>
          <w:tab w:val="num" w:pos="4320"/>
        </w:tabs>
        <w:ind w:left="4320" w:hanging="360"/>
      </w:pPr>
    </w:lvl>
    <w:lvl w:ilvl="6" w:tplc="350ED5F4">
      <w:start w:val="1"/>
      <w:numFmt w:val="decimal"/>
      <w:lvlText w:val="%7."/>
      <w:lvlJc w:val="left"/>
      <w:pPr>
        <w:tabs>
          <w:tab w:val="num" w:pos="5040"/>
        </w:tabs>
        <w:ind w:left="5040" w:hanging="360"/>
      </w:pPr>
    </w:lvl>
    <w:lvl w:ilvl="7" w:tplc="A7C6E0FE">
      <w:start w:val="1"/>
      <w:numFmt w:val="decimal"/>
      <w:lvlText w:val="%8."/>
      <w:lvlJc w:val="left"/>
      <w:pPr>
        <w:tabs>
          <w:tab w:val="num" w:pos="5760"/>
        </w:tabs>
        <w:ind w:left="5760" w:hanging="360"/>
      </w:pPr>
    </w:lvl>
    <w:lvl w:ilvl="8" w:tplc="0562C658">
      <w:start w:val="1"/>
      <w:numFmt w:val="decimal"/>
      <w:lvlText w:val="%9."/>
      <w:lvlJc w:val="left"/>
      <w:pPr>
        <w:tabs>
          <w:tab w:val="num" w:pos="6480"/>
        </w:tabs>
        <w:ind w:left="6480" w:hanging="360"/>
      </w:pPr>
    </w:lvl>
  </w:abstractNum>
  <w:abstractNum w:abstractNumId="3" w15:restartNumberingAfterBreak="0">
    <w:nsid w:val="4C12081F"/>
    <w:multiLevelType w:val="hybridMultilevel"/>
    <w:tmpl w:val="659A3578"/>
    <w:lvl w:ilvl="0" w:tplc="A2BA5296">
      <w:start w:val="1"/>
      <w:numFmt w:val="bullet"/>
      <w:suff w:val="space"/>
      <w:lvlText w:val=""/>
      <w:lvlJc w:val="left"/>
      <w:pPr>
        <w:ind w:left="0" w:firstLine="0"/>
      </w:pPr>
      <w:rPr>
        <w:rFonts w:ascii="Wingdings" w:hAnsi="Wingdings" w:hint="default"/>
      </w:rPr>
    </w:lvl>
    <w:lvl w:ilvl="1" w:tplc="94F27334">
      <w:start w:val="1"/>
      <w:numFmt w:val="decimal"/>
      <w:lvlText w:val="%2."/>
      <w:lvlJc w:val="left"/>
      <w:pPr>
        <w:tabs>
          <w:tab w:val="num" w:pos="1440"/>
        </w:tabs>
        <w:ind w:left="1440" w:hanging="360"/>
      </w:pPr>
    </w:lvl>
    <w:lvl w:ilvl="2" w:tplc="023AEC18">
      <w:start w:val="1"/>
      <w:numFmt w:val="decimal"/>
      <w:lvlText w:val="%3."/>
      <w:lvlJc w:val="left"/>
      <w:pPr>
        <w:tabs>
          <w:tab w:val="num" w:pos="2160"/>
        </w:tabs>
        <w:ind w:left="2160" w:hanging="360"/>
      </w:pPr>
    </w:lvl>
    <w:lvl w:ilvl="3" w:tplc="E96EB24E">
      <w:start w:val="1"/>
      <w:numFmt w:val="decimal"/>
      <w:lvlText w:val="%4."/>
      <w:lvlJc w:val="left"/>
      <w:pPr>
        <w:tabs>
          <w:tab w:val="num" w:pos="2880"/>
        </w:tabs>
        <w:ind w:left="2880" w:hanging="360"/>
      </w:pPr>
    </w:lvl>
    <w:lvl w:ilvl="4" w:tplc="FDE869BA">
      <w:start w:val="1"/>
      <w:numFmt w:val="decimal"/>
      <w:lvlText w:val="%5."/>
      <w:lvlJc w:val="left"/>
      <w:pPr>
        <w:tabs>
          <w:tab w:val="num" w:pos="3600"/>
        </w:tabs>
        <w:ind w:left="3600" w:hanging="360"/>
      </w:pPr>
    </w:lvl>
    <w:lvl w:ilvl="5" w:tplc="831C6A2A">
      <w:start w:val="1"/>
      <w:numFmt w:val="decimal"/>
      <w:lvlText w:val="%6."/>
      <w:lvlJc w:val="left"/>
      <w:pPr>
        <w:tabs>
          <w:tab w:val="num" w:pos="4320"/>
        </w:tabs>
        <w:ind w:left="4320" w:hanging="360"/>
      </w:pPr>
    </w:lvl>
    <w:lvl w:ilvl="6" w:tplc="65886BE8">
      <w:start w:val="1"/>
      <w:numFmt w:val="decimal"/>
      <w:lvlText w:val="%7."/>
      <w:lvlJc w:val="left"/>
      <w:pPr>
        <w:tabs>
          <w:tab w:val="num" w:pos="5040"/>
        </w:tabs>
        <w:ind w:left="5040" w:hanging="360"/>
      </w:pPr>
    </w:lvl>
    <w:lvl w:ilvl="7" w:tplc="362818E8">
      <w:start w:val="1"/>
      <w:numFmt w:val="decimal"/>
      <w:lvlText w:val="%8."/>
      <w:lvlJc w:val="left"/>
      <w:pPr>
        <w:tabs>
          <w:tab w:val="num" w:pos="5760"/>
        </w:tabs>
        <w:ind w:left="5760" w:hanging="360"/>
      </w:pPr>
    </w:lvl>
    <w:lvl w:ilvl="8" w:tplc="F2A2D74E">
      <w:start w:val="1"/>
      <w:numFmt w:val="decimal"/>
      <w:lvlText w:val="%9."/>
      <w:lvlJc w:val="left"/>
      <w:pPr>
        <w:tabs>
          <w:tab w:val="num" w:pos="6480"/>
        </w:tabs>
        <w:ind w:left="6480" w:hanging="360"/>
      </w:pPr>
    </w:lvl>
  </w:abstractNum>
  <w:abstractNum w:abstractNumId="4" w15:restartNumberingAfterBreak="0">
    <w:nsid w:val="543666E4"/>
    <w:multiLevelType w:val="hybridMultilevel"/>
    <w:tmpl w:val="0D5015AE"/>
    <w:lvl w:ilvl="0" w:tplc="FADC80A2">
      <w:start w:val="1"/>
      <w:numFmt w:val="bullet"/>
      <w:suff w:val="space"/>
      <w:lvlText w:val=""/>
      <w:lvlJc w:val="left"/>
      <w:pPr>
        <w:ind w:left="0" w:firstLine="0"/>
      </w:pPr>
      <w:rPr>
        <w:rFonts w:ascii="Wingdings" w:hAnsi="Wingdings" w:hint="default"/>
      </w:rPr>
    </w:lvl>
    <w:lvl w:ilvl="1" w:tplc="280A5F0C">
      <w:start w:val="1"/>
      <w:numFmt w:val="decimal"/>
      <w:lvlText w:val="%2."/>
      <w:lvlJc w:val="left"/>
      <w:pPr>
        <w:tabs>
          <w:tab w:val="num" w:pos="1440"/>
        </w:tabs>
        <w:ind w:left="1440" w:hanging="360"/>
      </w:pPr>
    </w:lvl>
    <w:lvl w:ilvl="2" w:tplc="D21E41B2">
      <w:start w:val="1"/>
      <w:numFmt w:val="decimal"/>
      <w:lvlText w:val="%3."/>
      <w:lvlJc w:val="left"/>
      <w:pPr>
        <w:tabs>
          <w:tab w:val="num" w:pos="2160"/>
        </w:tabs>
        <w:ind w:left="2160" w:hanging="360"/>
      </w:pPr>
    </w:lvl>
    <w:lvl w:ilvl="3" w:tplc="9E2CA5C2">
      <w:start w:val="1"/>
      <w:numFmt w:val="decimal"/>
      <w:lvlText w:val="%4."/>
      <w:lvlJc w:val="left"/>
      <w:pPr>
        <w:tabs>
          <w:tab w:val="num" w:pos="2880"/>
        </w:tabs>
        <w:ind w:left="2880" w:hanging="360"/>
      </w:pPr>
    </w:lvl>
    <w:lvl w:ilvl="4" w:tplc="84E82CA2">
      <w:start w:val="1"/>
      <w:numFmt w:val="decimal"/>
      <w:lvlText w:val="%5."/>
      <w:lvlJc w:val="left"/>
      <w:pPr>
        <w:tabs>
          <w:tab w:val="num" w:pos="3600"/>
        </w:tabs>
        <w:ind w:left="3600" w:hanging="360"/>
      </w:pPr>
    </w:lvl>
    <w:lvl w:ilvl="5" w:tplc="98D6CF9E">
      <w:start w:val="1"/>
      <w:numFmt w:val="decimal"/>
      <w:lvlText w:val="%6."/>
      <w:lvlJc w:val="left"/>
      <w:pPr>
        <w:tabs>
          <w:tab w:val="num" w:pos="4320"/>
        </w:tabs>
        <w:ind w:left="4320" w:hanging="360"/>
      </w:pPr>
    </w:lvl>
    <w:lvl w:ilvl="6" w:tplc="659EF9BE">
      <w:start w:val="1"/>
      <w:numFmt w:val="decimal"/>
      <w:lvlText w:val="%7."/>
      <w:lvlJc w:val="left"/>
      <w:pPr>
        <w:tabs>
          <w:tab w:val="num" w:pos="5040"/>
        </w:tabs>
        <w:ind w:left="5040" w:hanging="360"/>
      </w:pPr>
    </w:lvl>
    <w:lvl w:ilvl="7" w:tplc="B83C7DA4">
      <w:start w:val="1"/>
      <w:numFmt w:val="decimal"/>
      <w:lvlText w:val="%8."/>
      <w:lvlJc w:val="left"/>
      <w:pPr>
        <w:tabs>
          <w:tab w:val="num" w:pos="5760"/>
        </w:tabs>
        <w:ind w:left="5760" w:hanging="360"/>
      </w:pPr>
    </w:lvl>
    <w:lvl w:ilvl="8" w:tplc="89C49E6C">
      <w:start w:val="1"/>
      <w:numFmt w:val="decimal"/>
      <w:lvlText w:val="%9."/>
      <w:lvlJc w:val="left"/>
      <w:pPr>
        <w:tabs>
          <w:tab w:val="num" w:pos="6480"/>
        </w:tabs>
        <w:ind w:left="6480" w:hanging="360"/>
      </w:pPr>
    </w:lvl>
  </w:abstractNum>
  <w:abstractNum w:abstractNumId="5" w15:restartNumberingAfterBreak="0">
    <w:nsid w:val="6A1738C7"/>
    <w:multiLevelType w:val="hybridMultilevel"/>
    <w:tmpl w:val="F0266988"/>
    <w:lvl w:ilvl="0" w:tplc="EE667E9A">
      <w:start w:val="1"/>
      <w:numFmt w:val="bullet"/>
      <w:suff w:val="space"/>
      <w:lvlText w:val=""/>
      <w:lvlJc w:val="left"/>
      <w:pPr>
        <w:ind w:left="0" w:firstLine="0"/>
      </w:pPr>
      <w:rPr>
        <w:rFonts w:ascii="Wingdings" w:hAnsi="Wingdings" w:hint="default"/>
      </w:rPr>
    </w:lvl>
    <w:lvl w:ilvl="1" w:tplc="74EA940E">
      <w:start w:val="1"/>
      <w:numFmt w:val="decimal"/>
      <w:lvlText w:val="%2."/>
      <w:lvlJc w:val="left"/>
      <w:pPr>
        <w:tabs>
          <w:tab w:val="num" w:pos="1440"/>
        </w:tabs>
        <w:ind w:left="1440" w:hanging="360"/>
      </w:pPr>
    </w:lvl>
    <w:lvl w:ilvl="2" w:tplc="55A2C1CE">
      <w:start w:val="1"/>
      <w:numFmt w:val="decimal"/>
      <w:lvlText w:val="%3."/>
      <w:lvlJc w:val="left"/>
      <w:pPr>
        <w:tabs>
          <w:tab w:val="num" w:pos="2160"/>
        </w:tabs>
        <w:ind w:left="2160" w:hanging="360"/>
      </w:pPr>
    </w:lvl>
    <w:lvl w:ilvl="3" w:tplc="80AE0468">
      <w:start w:val="1"/>
      <w:numFmt w:val="decimal"/>
      <w:lvlText w:val="%4."/>
      <w:lvlJc w:val="left"/>
      <w:pPr>
        <w:tabs>
          <w:tab w:val="num" w:pos="2880"/>
        </w:tabs>
        <w:ind w:left="2880" w:hanging="360"/>
      </w:pPr>
    </w:lvl>
    <w:lvl w:ilvl="4" w:tplc="8ACE8D26">
      <w:start w:val="1"/>
      <w:numFmt w:val="decimal"/>
      <w:lvlText w:val="%5."/>
      <w:lvlJc w:val="left"/>
      <w:pPr>
        <w:tabs>
          <w:tab w:val="num" w:pos="3600"/>
        </w:tabs>
        <w:ind w:left="3600" w:hanging="360"/>
      </w:pPr>
    </w:lvl>
    <w:lvl w:ilvl="5" w:tplc="7778A7EC">
      <w:start w:val="1"/>
      <w:numFmt w:val="decimal"/>
      <w:lvlText w:val="%6."/>
      <w:lvlJc w:val="left"/>
      <w:pPr>
        <w:tabs>
          <w:tab w:val="num" w:pos="4320"/>
        </w:tabs>
        <w:ind w:left="4320" w:hanging="360"/>
      </w:pPr>
    </w:lvl>
    <w:lvl w:ilvl="6" w:tplc="A880A37A">
      <w:start w:val="1"/>
      <w:numFmt w:val="decimal"/>
      <w:lvlText w:val="%7."/>
      <w:lvlJc w:val="left"/>
      <w:pPr>
        <w:tabs>
          <w:tab w:val="num" w:pos="5040"/>
        </w:tabs>
        <w:ind w:left="5040" w:hanging="360"/>
      </w:pPr>
    </w:lvl>
    <w:lvl w:ilvl="7" w:tplc="0EEE068A">
      <w:start w:val="1"/>
      <w:numFmt w:val="decimal"/>
      <w:lvlText w:val="%8."/>
      <w:lvlJc w:val="left"/>
      <w:pPr>
        <w:tabs>
          <w:tab w:val="num" w:pos="5760"/>
        </w:tabs>
        <w:ind w:left="5760" w:hanging="360"/>
      </w:pPr>
    </w:lvl>
    <w:lvl w:ilvl="8" w:tplc="1DC0A6DC">
      <w:start w:val="1"/>
      <w:numFmt w:val="decimal"/>
      <w:lvlText w:val="%9."/>
      <w:lvlJc w:val="left"/>
      <w:pPr>
        <w:tabs>
          <w:tab w:val="num" w:pos="6480"/>
        </w:tabs>
        <w:ind w:left="6480" w:hanging="360"/>
      </w:pPr>
    </w:lvl>
  </w:abstractNum>
  <w:abstractNum w:abstractNumId="6" w15:restartNumberingAfterBreak="0">
    <w:nsid w:val="6ADB1D81"/>
    <w:multiLevelType w:val="hybridMultilevel"/>
    <w:tmpl w:val="4566AF8E"/>
    <w:lvl w:ilvl="0" w:tplc="91EA5844">
      <w:start w:val="1"/>
      <w:numFmt w:val="bullet"/>
      <w:suff w:val="space"/>
      <w:lvlText w:val=""/>
      <w:lvlJc w:val="left"/>
      <w:pPr>
        <w:ind w:left="0" w:firstLine="0"/>
      </w:pPr>
      <w:rPr>
        <w:rFonts w:ascii="Wingdings" w:hAnsi="Wingdings" w:hint="default"/>
      </w:rPr>
    </w:lvl>
    <w:lvl w:ilvl="1" w:tplc="B8A65E2A">
      <w:start w:val="1"/>
      <w:numFmt w:val="decimal"/>
      <w:lvlText w:val="%2."/>
      <w:lvlJc w:val="left"/>
      <w:pPr>
        <w:tabs>
          <w:tab w:val="num" w:pos="1440"/>
        </w:tabs>
        <w:ind w:left="1440" w:hanging="360"/>
      </w:pPr>
    </w:lvl>
    <w:lvl w:ilvl="2" w:tplc="C63EDC54">
      <w:start w:val="1"/>
      <w:numFmt w:val="decimal"/>
      <w:lvlText w:val="%3."/>
      <w:lvlJc w:val="left"/>
      <w:pPr>
        <w:tabs>
          <w:tab w:val="num" w:pos="2160"/>
        </w:tabs>
        <w:ind w:left="2160" w:hanging="360"/>
      </w:pPr>
    </w:lvl>
    <w:lvl w:ilvl="3" w:tplc="1B3C3066">
      <w:start w:val="1"/>
      <w:numFmt w:val="decimal"/>
      <w:lvlText w:val="%4."/>
      <w:lvlJc w:val="left"/>
      <w:pPr>
        <w:tabs>
          <w:tab w:val="num" w:pos="2880"/>
        </w:tabs>
        <w:ind w:left="2880" w:hanging="360"/>
      </w:pPr>
    </w:lvl>
    <w:lvl w:ilvl="4" w:tplc="43988F22">
      <w:start w:val="1"/>
      <w:numFmt w:val="decimal"/>
      <w:lvlText w:val="%5."/>
      <w:lvlJc w:val="left"/>
      <w:pPr>
        <w:tabs>
          <w:tab w:val="num" w:pos="3600"/>
        </w:tabs>
        <w:ind w:left="3600" w:hanging="360"/>
      </w:pPr>
    </w:lvl>
    <w:lvl w:ilvl="5" w:tplc="700C140A">
      <w:start w:val="1"/>
      <w:numFmt w:val="decimal"/>
      <w:lvlText w:val="%6."/>
      <w:lvlJc w:val="left"/>
      <w:pPr>
        <w:tabs>
          <w:tab w:val="num" w:pos="4320"/>
        </w:tabs>
        <w:ind w:left="4320" w:hanging="360"/>
      </w:pPr>
    </w:lvl>
    <w:lvl w:ilvl="6" w:tplc="09985B38">
      <w:start w:val="1"/>
      <w:numFmt w:val="decimal"/>
      <w:lvlText w:val="%7."/>
      <w:lvlJc w:val="left"/>
      <w:pPr>
        <w:tabs>
          <w:tab w:val="num" w:pos="5040"/>
        </w:tabs>
        <w:ind w:left="5040" w:hanging="360"/>
      </w:pPr>
    </w:lvl>
    <w:lvl w:ilvl="7" w:tplc="DBDC1B82">
      <w:start w:val="1"/>
      <w:numFmt w:val="decimal"/>
      <w:lvlText w:val="%8."/>
      <w:lvlJc w:val="left"/>
      <w:pPr>
        <w:tabs>
          <w:tab w:val="num" w:pos="5760"/>
        </w:tabs>
        <w:ind w:left="5760" w:hanging="360"/>
      </w:pPr>
    </w:lvl>
    <w:lvl w:ilvl="8" w:tplc="BAFAA6FA">
      <w:start w:val="1"/>
      <w:numFmt w:val="decimal"/>
      <w:lvlText w:val="%9."/>
      <w:lvlJc w:val="left"/>
      <w:pPr>
        <w:tabs>
          <w:tab w:val="num" w:pos="6480"/>
        </w:tabs>
        <w:ind w:left="6480" w:hanging="360"/>
      </w:pPr>
    </w:lvl>
  </w:abstractNum>
  <w:abstractNum w:abstractNumId="7" w15:restartNumberingAfterBreak="0">
    <w:nsid w:val="6B3F0BAB"/>
    <w:multiLevelType w:val="hybridMultilevel"/>
    <w:tmpl w:val="C20AB606"/>
    <w:lvl w:ilvl="0" w:tplc="8C40E3AE">
      <w:start w:val="1"/>
      <w:numFmt w:val="bullet"/>
      <w:suff w:val="space"/>
      <w:lvlText w:val=""/>
      <w:lvlJc w:val="left"/>
      <w:pPr>
        <w:ind w:left="0" w:firstLine="0"/>
      </w:pPr>
      <w:rPr>
        <w:rFonts w:ascii="Wingdings" w:hAnsi="Wingdings" w:hint="default"/>
      </w:rPr>
    </w:lvl>
    <w:lvl w:ilvl="1" w:tplc="2C506ACA">
      <w:start w:val="1"/>
      <w:numFmt w:val="decimal"/>
      <w:lvlText w:val="%2."/>
      <w:lvlJc w:val="left"/>
      <w:pPr>
        <w:tabs>
          <w:tab w:val="num" w:pos="1440"/>
        </w:tabs>
        <w:ind w:left="1440" w:hanging="360"/>
      </w:pPr>
    </w:lvl>
    <w:lvl w:ilvl="2" w:tplc="52D63044">
      <w:start w:val="1"/>
      <w:numFmt w:val="decimal"/>
      <w:lvlText w:val="%3."/>
      <w:lvlJc w:val="left"/>
      <w:pPr>
        <w:tabs>
          <w:tab w:val="num" w:pos="2160"/>
        </w:tabs>
        <w:ind w:left="2160" w:hanging="360"/>
      </w:pPr>
    </w:lvl>
    <w:lvl w:ilvl="3" w:tplc="015A534C">
      <w:start w:val="1"/>
      <w:numFmt w:val="decimal"/>
      <w:lvlText w:val="%4."/>
      <w:lvlJc w:val="left"/>
      <w:pPr>
        <w:tabs>
          <w:tab w:val="num" w:pos="2880"/>
        </w:tabs>
        <w:ind w:left="2880" w:hanging="360"/>
      </w:pPr>
    </w:lvl>
    <w:lvl w:ilvl="4" w:tplc="1CAEBDC2">
      <w:start w:val="1"/>
      <w:numFmt w:val="decimal"/>
      <w:lvlText w:val="%5."/>
      <w:lvlJc w:val="left"/>
      <w:pPr>
        <w:tabs>
          <w:tab w:val="num" w:pos="3600"/>
        </w:tabs>
        <w:ind w:left="3600" w:hanging="360"/>
      </w:pPr>
    </w:lvl>
    <w:lvl w:ilvl="5" w:tplc="506A4654">
      <w:start w:val="1"/>
      <w:numFmt w:val="decimal"/>
      <w:lvlText w:val="%6."/>
      <w:lvlJc w:val="left"/>
      <w:pPr>
        <w:tabs>
          <w:tab w:val="num" w:pos="4320"/>
        </w:tabs>
        <w:ind w:left="4320" w:hanging="360"/>
      </w:pPr>
    </w:lvl>
    <w:lvl w:ilvl="6" w:tplc="62DAC012">
      <w:start w:val="1"/>
      <w:numFmt w:val="decimal"/>
      <w:lvlText w:val="%7."/>
      <w:lvlJc w:val="left"/>
      <w:pPr>
        <w:tabs>
          <w:tab w:val="num" w:pos="5040"/>
        </w:tabs>
        <w:ind w:left="5040" w:hanging="360"/>
      </w:pPr>
    </w:lvl>
    <w:lvl w:ilvl="7" w:tplc="03ECBDD4">
      <w:start w:val="1"/>
      <w:numFmt w:val="decimal"/>
      <w:lvlText w:val="%8."/>
      <w:lvlJc w:val="left"/>
      <w:pPr>
        <w:tabs>
          <w:tab w:val="num" w:pos="5760"/>
        </w:tabs>
        <w:ind w:left="5760" w:hanging="360"/>
      </w:pPr>
    </w:lvl>
    <w:lvl w:ilvl="8" w:tplc="10003938">
      <w:start w:val="1"/>
      <w:numFmt w:val="decimal"/>
      <w:lvlText w:val="%9."/>
      <w:lvlJc w:val="left"/>
      <w:pPr>
        <w:tabs>
          <w:tab w:val="num" w:pos="6480"/>
        </w:tabs>
        <w:ind w:left="6480" w:hanging="360"/>
      </w:pPr>
    </w:lvl>
  </w:abstractNum>
  <w:abstractNum w:abstractNumId="8" w15:restartNumberingAfterBreak="0">
    <w:nsid w:val="6B573DE1"/>
    <w:multiLevelType w:val="hybridMultilevel"/>
    <w:tmpl w:val="428095A4"/>
    <w:lvl w:ilvl="0" w:tplc="50AE83FC">
      <w:start w:val="1"/>
      <w:numFmt w:val="bullet"/>
      <w:suff w:val="space"/>
      <w:lvlText w:val=""/>
      <w:lvlJc w:val="left"/>
      <w:pPr>
        <w:ind w:left="0" w:firstLine="0"/>
      </w:pPr>
      <w:rPr>
        <w:rFonts w:ascii="Wingdings" w:hAnsi="Wingdings" w:hint="default"/>
      </w:rPr>
    </w:lvl>
    <w:lvl w:ilvl="1" w:tplc="E1D06D56">
      <w:start w:val="1"/>
      <w:numFmt w:val="decimal"/>
      <w:lvlText w:val="%2."/>
      <w:lvlJc w:val="left"/>
      <w:pPr>
        <w:tabs>
          <w:tab w:val="num" w:pos="1440"/>
        </w:tabs>
        <w:ind w:left="1440" w:hanging="360"/>
      </w:pPr>
    </w:lvl>
    <w:lvl w:ilvl="2" w:tplc="10886EE2">
      <w:start w:val="1"/>
      <w:numFmt w:val="decimal"/>
      <w:lvlText w:val="%3."/>
      <w:lvlJc w:val="left"/>
      <w:pPr>
        <w:tabs>
          <w:tab w:val="num" w:pos="2160"/>
        </w:tabs>
        <w:ind w:left="2160" w:hanging="360"/>
      </w:pPr>
    </w:lvl>
    <w:lvl w:ilvl="3" w:tplc="719029BC">
      <w:start w:val="1"/>
      <w:numFmt w:val="decimal"/>
      <w:lvlText w:val="%4."/>
      <w:lvlJc w:val="left"/>
      <w:pPr>
        <w:tabs>
          <w:tab w:val="num" w:pos="2880"/>
        </w:tabs>
        <w:ind w:left="2880" w:hanging="360"/>
      </w:pPr>
    </w:lvl>
    <w:lvl w:ilvl="4" w:tplc="9B3E0C28">
      <w:start w:val="1"/>
      <w:numFmt w:val="decimal"/>
      <w:lvlText w:val="%5."/>
      <w:lvlJc w:val="left"/>
      <w:pPr>
        <w:tabs>
          <w:tab w:val="num" w:pos="3600"/>
        </w:tabs>
        <w:ind w:left="3600" w:hanging="360"/>
      </w:pPr>
    </w:lvl>
    <w:lvl w:ilvl="5" w:tplc="D352AB4A">
      <w:start w:val="1"/>
      <w:numFmt w:val="decimal"/>
      <w:lvlText w:val="%6."/>
      <w:lvlJc w:val="left"/>
      <w:pPr>
        <w:tabs>
          <w:tab w:val="num" w:pos="4320"/>
        </w:tabs>
        <w:ind w:left="4320" w:hanging="360"/>
      </w:pPr>
    </w:lvl>
    <w:lvl w:ilvl="6" w:tplc="CED2E9CA">
      <w:start w:val="1"/>
      <w:numFmt w:val="decimal"/>
      <w:lvlText w:val="%7."/>
      <w:lvlJc w:val="left"/>
      <w:pPr>
        <w:tabs>
          <w:tab w:val="num" w:pos="5040"/>
        </w:tabs>
        <w:ind w:left="5040" w:hanging="360"/>
      </w:pPr>
    </w:lvl>
    <w:lvl w:ilvl="7" w:tplc="8188B698">
      <w:start w:val="1"/>
      <w:numFmt w:val="decimal"/>
      <w:lvlText w:val="%8."/>
      <w:lvlJc w:val="left"/>
      <w:pPr>
        <w:tabs>
          <w:tab w:val="num" w:pos="5760"/>
        </w:tabs>
        <w:ind w:left="5760" w:hanging="360"/>
      </w:pPr>
    </w:lvl>
    <w:lvl w:ilvl="8" w:tplc="6CD6EA3A">
      <w:start w:val="1"/>
      <w:numFmt w:val="decimal"/>
      <w:lvlText w:val="%9."/>
      <w:lvlJc w:val="left"/>
      <w:pPr>
        <w:tabs>
          <w:tab w:val="num" w:pos="6480"/>
        </w:tabs>
        <w:ind w:left="6480" w:hanging="360"/>
      </w:pPr>
    </w:lvl>
  </w:abstractNum>
  <w:abstractNum w:abstractNumId="9" w15:restartNumberingAfterBreak="0">
    <w:nsid w:val="6B7E01F1"/>
    <w:multiLevelType w:val="hybridMultilevel"/>
    <w:tmpl w:val="73F2816E"/>
    <w:lvl w:ilvl="0" w:tplc="FC1AF796">
      <w:start w:val="1"/>
      <w:numFmt w:val="bullet"/>
      <w:suff w:val="space"/>
      <w:lvlText w:val=""/>
      <w:lvlJc w:val="left"/>
      <w:pPr>
        <w:ind w:left="0" w:firstLine="0"/>
      </w:pPr>
      <w:rPr>
        <w:rFonts w:ascii="Wingdings" w:hAnsi="Wingdings" w:hint="default"/>
      </w:rPr>
    </w:lvl>
    <w:lvl w:ilvl="1" w:tplc="DC683E62">
      <w:start w:val="1"/>
      <w:numFmt w:val="decimal"/>
      <w:lvlText w:val="%2."/>
      <w:lvlJc w:val="left"/>
      <w:pPr>
        <w:tabs>
          <w:tab w:val="num" w:pos="1440"/>
        </w:tabs>
        <w:ind w:left="1440" w:hanging="360"/>
      </w:pPr>
    </w:lvl>
    <w:lvl w:ilvl="2" w:tplc="C8EA5160">
      <w:start w:val="1"/>
      <w:numFmt w:val="decimal"/>
      <w:lvlText w:val="%3."/>
      <w:lvlJc w:val="left"/>
      <w:pPr>
        <w:tabs>
          <w:tab w:val="num" w:pos="2160"/>
        </w:tabs>
        <w:ind w:left="2160" w:hanging="360"/>
      </w:pPr>
    </w:lvl>
    <w:lvl w:ilvl="3" w:tplc="3056C042">
      <w:start w:val="1"/>
      <w:numFmt w:val="decimal"/>
      <w:lvlText w:val="%4."/>
      <w:lvlJc w:val="left"/>
      <w:pPr>
        <w:tabs>
          <w:tab w:val="num" w:pos="2880"/>
        </w:tabs>
        <w:ind w:left="2880" w:hanging="360"/>
      </w:pPr>
    </w:lvl>
    <w:lvl w:ilvl="4" w:tplc="15FCCA24">
      <w:start w:val="1"/>
      <w:numFmt w:val="decimal"/>
      <w:lvlText w:val="%5."/>
      <w:lvlJc w:val="left"/>
      <w:pPr>
        <w:tabs>
          <w:tab w:val="num" w:pos="3600"/>
        </w:tabs>
        <w:ind w:left="3600" w:hanging="360"/>
      </w:pPr>
    </w:lvl>
    <w:lvl w:ilvl="5" w:tplc="5284EDD8">
      <w:start w:val="1"/>
      <w:numFmt w:val="decimal"/>
      <w:lvlText w:val="%6."/>
      <w:lvlJc w:val="left"/>
      <w:pPr>
        <w:tabs>
          <w:tab w:val="num" w:pos="4320"/>
        </w:tabs>
        <w:ind w:left="4320" w:hanging="360"/>
      </w:pPr>
    </w:lvl>
    <w:lvl w:ilvl="6" w:tplc="F7AAC582">
      <w:start w:val="1"/>
      <w:numFmt w:val="decimal"/>
      <w:lvlText w:val="%7."/>
      <w:lvlJc w:val="left"/>
      <w:pPr>
        <w:tabs>
          <w:tab w:val="num" w:pos="5040"/>
        </w:tabs>
        <w:ind w:left="5040" w:hanging="360"/>
      </w:pPr>
    </w:lvl>
    <w:lvl w:ilvl="7" w:tplc="A104AD2A">
      <w:start w:val="1"/>
      <w:numFmt w:val="decimal"/>
      <w:lvlText w:val="%8."/>
      <w:lvlJc w:val="left"/>
      <w:pPr>
        <w:tabs>
          <w:tab w:val="num" w:pos="5760"/>
        </w:tabs>
        <w:ind w:left="5760" w:hanging="360"/>
      </w:pPr>
    </w:lvl>
    <w:lvl w:ilvl="8" w:tplc="C3F060B4">
      <w:start w:val="1"/>
      <w:numFmt w:val="decimal"/>
      <w:lvlText w:val="%9."/>
      <w:lvlJc w:val="left"/>
      <w:pPr>
        <w:tabs>
          <w:tab w:val="num" w:pos="6480"/>
        </w:tabs>
        <w:ind w:left="6480" w:hanging="360"/>
      </w:pPr>
    </w:lvl>
  </w:abstractNum>
  <w:abstractNum w:abstractNumId="10" w15:restartNumberingAfterBreak="0">
    <w:nsid w:val="79836BE7"/>
    <w:multiLevelType w:val="hybridMultilevel"/>
    <w:tmpl w:val="BCAED6AE"/>
    <w:lvl w:ilvl="0" w:tplc="943C47AC">
      <w:start w:val="1"/>
      <w:numFmt w:val="bullet"/>
      <w:suff w:val="space"/>
      <w:lvlText w:val=""/>
      <w:lvlJc w:val="left"/>
      <w:pPr>
        <w:ind w:left="0" w:firstLine="0"/>
      </w:pPr>
      <w:rPr>
        <w:rFonts w:ascii="Wingdings" w:hAnsi="Wingdings" w:hint="default"/>
      </w:rPr>
    </w:lvl>
    <w:lvl w:ilvl="1" w:tplc="0FBAA3A8">
      <w:start w:val="1"/>
      <w:numFmt w:val="decimal"/>
      <w:lvlText w:val="%2."/>
      <w:lvlJc w:val="left"/>
      <w:pPr>
        <w:tabs>
          <w:tab w:val="num" w:pos="1440"/>
        </w:tabs>
        <w:ind w:left="1440" w:hanging="360"/>
      </w:pPr>
    </w:lvl>
    <w:lvl w:ilvl="2" w:tplc="FD180848">
      <w:start w:val="1"/>
      <w:numFmt w:val="decimal"/>
      <w:lvlText w:val="%3."/>
      <w:lvlJc w:val="left"/>
      <w:pPr>
        <w:tabs>
          <w:tab w:val="num" w:pos="2160"/>
        </w:tabs>
        <w:ind w:left="2160" w:hanging="360"/>
      </w:pPr>
    </w:lvl>
    <w:lvl w:ilvl="3" w:tplc="0E3ECED8">
      <w:start w:val="1"/>
      <w:numFmt w:val="decimal"/>
      <w:lvlText w:val="%4."/>
      <w:lvlJc w:val="left"/>
      <w:pPr>
        <w:tabs>
          <w:tab w:val="num" w:pos="2880"/>
        </w:tabs>
        <w:ind w:left="2880" w:hanging="360"/>
      </w:pPr>
    </w:lvl>
    <w:lvl w:ilvl="4" w:tplc="BBCC35A8">
      <w:start w:val="1"/>
      <w:numFmt w:val="decimal"/>
      <w:lvlText w:val="%5."/>
      <w:lvlJc w:val="left"/>
      <w:pPr>
        <w:tabs>
          <w:tab w:val="num" w:pos="3600"/>
        </w:tabs>
        <w:ind w:left="3600" w:hanging="360"/>
      </w:pPr>
    </w:lvl>
    <w:lvl w:ilvl="5" w:tplc="E4F4247A">
      <w:start w:val="1"/>
      <w:numFmt w:val="decimal"/>
      <w:lvlText w:val="%6."/>
      <w:lvlJc w:val="left"/>
      <w:pPr>
        <w:tabs>
          <w:tab w:val="num" w:pos="4320"/>
        </w:tabs>
        <w:ind w:left="4320" w:hanging="360"/>
      </w:pPr>
    </w:lvl>
    <w:lvl w:ilvl="6" w:tplc="D9DC695A">
      <w:start w:val="1"/>
      <w:numFmt w:val="decimal"/>
      <w:lvlText w:val="%7."/>
      <w:lvlJc w:val="left"/>
      <w:pPr>
        <w:tabs>
          <w:tab w:val="num" w:pos="5040"/>
        </w:tabs>
        <w:ind w:left="5040" w:hanging="360"/>
      </w:pPr>
    </w:lvl>
    <w:lvl w:ilvl="7" w:tplc="3C469D90">
      <w:start w:val="1"/>
      <w:numFmt w:val="decimal"/>
      <w:lvlText w:val="%8."/>
      <w:lvlJc w:val="left"/>
      <w:pPr>
        <w:tabs>
          <w:tab w:val="num" w:pos="5760"/>
        </w:tabs>
        <w:ind w:left="5760" w:hanging="360"/>
      </w:pPr>
    </w:lvl>
    <w:lvl w:ilvl="8" w:tplc="1956765E">
      <w:start w:val="1"/>
      <w:numFmt w:val="decimal"/>
      <w:lvlText w:val="%9."/>
      <w:lvlJc w:val="left"/>
      <w:pPr>
        <w:tabs>
          <w:tab w:val="num" w:pos="6480"/>
        </w:tabs>
        <w:ind w:left="6480" w:hanging="360"/>
      </w:pPr>
    </w:lvl>
  </w:abstractNum>
  <w:abstractNum w:abstractNumId="11" w15:restartNumberingAfterBreak="0">
    <w:nsid w:val="7E7D4557"/>
    <w:multiLevelType w:val="hybridMultilevel"/>
    <w:tmpl w:val="B95EBFDE"/>
    <w:lvl w:ilvl="0" w:tplc="19F8C442">
      <w:start w:val="1"/>
      <w:numFmt w:val="bullet"/>
      <w:suff w:val="space"/>
      <w:lvlText w:val=""/>
      <w:lvlJc w:val="left"/>
      <w:pPr>
        <w:ind w:left="0" w:firstLine="0"/>
      </w:pPr>
      <w:rPr>
        <w:rFonts w:ascii="Wingdings" w:hAnsi="Wingdings" w:hint="default"/>
      </w:rPr>
    </w:lvl>
    <w:lvl w:ilvl="1" w:tplc="C9C4F134">
      <w:start w:val="1"/>
      <w:numFmt w:val="decimal"/>
      <w:lvlText w:val="%2."/>
      <w:lvlJc w:val="left"/>
      <w:pPr>
        <w:tabs>
          <w:tab w:val="num" w:pos="1440"/>
        </w:tabs>
        <w:ind w:left="1440" w:hanging="360"/>
      </w:pPr>
    </w:lvl>
    <w:lvl w:ilvl="2" w:tplc="EA0EBE30">
      <w:start w:val="1"/>
      <w:numFmt w:val="decimal"/>
      <w:lvlText w:val="%3."/>
      <w:lvlJc w:val="left"/>
      <w:pPr>
        <w:tabs>
          <w:tab w:val="num" w:pos="2160"/>
        </w:tabs>
        <w:ind w:left="2160" w:hanging="360"/>
      </w:pPr>
    </w:lvl>
    <w:lvl w:ilvl="3" w:tplc="CFE87EFA">
      <w:start w:val="1"/>
      <w:numFmt w:val="decimal"/>
      <w:lvlText w:val="%4."/>
      <w:lvlJc w:val="left"/>
      <w:pPr>
        <w:tabs>
          <w:tab w:val="num" w:pos="2880"/>
        </w:tabs>
        <w:ind w:left="2880" w:hanging="360"/>
      </w:pPr>
    </w:lvl>
    <w:lvl w:ilvl="4" w:tplc="C130F266">
      <w:start w:val="1"/>
      <w:numFmt w:val="decimal"/>
      <w:lvlText w:val="%5."/>
      <w:lvlJc w:val="left"/>
      <w:pPr>
        <w:tabs>
          <w:tab w:val="num" w:pos="3600"/>
        </w:tabs>
        <w:ind w:left="3600" w:hanging="360"/>
      </w:pPr>
    </w:lvl>
    <w:lvl w:ilvl="5" w:tplc="BF1AE6BE">
      <w:start w:val="1"/>
      <w:numFmt w:val="decimal"/>
      <w:lvlText w:val="%6."/>
      <w:lvlJc w:val="left"/>
      <w:pPr>
        <w:tabs>
          <w:tab w:val="num" w:pos="4320"/>
        </w:tabs>
        <w:ind w:left="4320" w:hanging="360"/>
      </w:pPr>
    </w:lvl>
    <w:lvl w:ilvl="6" w:tplc="A448DC92">
      <w:start w:val="1"/>
      <w:numFmt w:val="decimal"/>
      <w:lvlText w:val="%7."/>
      <w:lvlJc w:val="left"/>
      <w:pPr>
        <w:tabs>
          <w:tab w:val="num" w:pos="5040"/>
        </w:tabs>
        <w:ind w:left="5040" w:hanging="360"/>
      </w:pPr>
    </w:lvl>
    <w:lvl w:ilvl="7" w:tplc="8EAE120A">
      <w:start w:val="1"/>
      <w:numFmt w:val="decimal"/>
      <w:lvlText w:val="%8."/>
      <w:lvlJc w:val="left"/>
      <w:pPr>
        <w:tabs>
          <w:tab w:val="num" w:pos="5760"/>
        </w:tabs>
        <w:ind w:left="5760" w:hanging="360"/>
      </w:pPr>
    </w:lvl>
    <w:lvl w:ilvl="8" w:tplc="4704EBFA">
      <w:start w:val="1"/>
      <w:numFmt w:val="decimal"/>
      <w:lvlText w:val="%9."/>
      <w:lvlJc w:val="left"/>
      <w:pPr>
        <w:tabs>
          <w:tab w:val="num" w:pos="6480"/>
        </w:tabs>
        <w:ind w:left="6480" w:hanging="360"/>
      </w:pPr>
    </w:lvl>
  </w:abstractNum>
  <w:num w:numId="1" w16cid:durableId="3150379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259226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6934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36629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245388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086605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617507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765909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358614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942910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72687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098822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9D4"/>
    <w:rsid w:val="000123B0"/>
    <w:rsid w:val="003B1FC6"/>
    <w:rsid w:val="00556BF7"/>
    <w:rsid w:val="0070566E"/>
    <w:rsid w:val="007D0409"/>
    <w:rsid w:val="007F0DB5"/>
    <w:rsid w:val="009B37BA"/>
    <w:rsid w:val="009E34FC"/>
    <w:rsid w:val="00BD155B"/>
    <w:rsid w:val="00CD04FA"/>
    <w:rsid w:val="00CD1C55"/>
    <w:rsid w:val="00D869D4"/>
    <w:rsid w:val="00DE77F5"/>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1C1F8"/>
  <w15:chartTrackingRefBased/>
  <w15:docId w15:val="{3A21666F-6A0D-4504-A660-A8FDB39F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D869D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D869D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D869D4"/>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D869D4"/>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D869D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D869D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D869D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D869D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D869D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9D4"/>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D869D4"/>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D869D4"/>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D869D4"/>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D869D4"/>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D869D4"/>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D869D4"/>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D869D4"/>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D869D4"/>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D869D4"/>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9D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9D4"/>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D869D4"/>
    <w:pPr>
      <w:spacing w:before="160"/>
      <w:jc w:val="center"/>
    </w:pPr>
    <w:rPr>
      <w:i/>
      <w:iCs/>
      <w:color w:val="404040" w:themeColor="text1" w:themeTint="BF"/>
    </w:rPr>
  </w:style>
  <w:style w:type="character" w:customStyle="1" w:styleId="QuoteChar">
    <w:name w:val="Quote Char"/>
    <w:basedOn w:val="DefaultParagraphFont"/>
    <w:link w:val="Quote"/>
    <w:uiPriority w:val="29"/>
    <w:rsid w:val="00D869D4"/>
    <w:rPr>
      <w:i/>
      <w:iCs/>
      <w:color w:val="404040" w:themeColor="text1" w:themeTint="BF"/>
    </w:rPr>
  </w:style>
  <w:style w:type="paragraph" w:styleId="ListParagraph">
    <w:name w:val="List Paragraph"/>
    <w:basedOn w:val="Normal"/>
    <w:uiPriority w:val="34"/>
    <w:qFormat/>
    <w:rsid w:val="00D869D4"/>
    <w:pPr>
      <w:ind w:left="720"/>
      <w:contextualSpacing/>
    </w:pPr>
  </w:style>
  <w:style w:type="character" w:styleId="IntenseEmphasis">
    <w:name w:val="Intense Emphasis"/>
    <w:basedOn w:val="DefaultParagraphFont"/>
    <w:uiPriority w:val="21"/>
    <w:qFormat/>
    <w:rsid w:val="00D869D4"/>
    <w:rPr>
      <w:i/>
      <w:iCs/>
      <w:color w:val="0F4761" w:themeColor="accent1" w:themeShade="BF"/>
    </w:rPr>
  </w:style>
  <w:style w:type="paragraph" w:styleId="IntenseQuote">
    <w:name w:val="Intense Quote"/>
    <w:basedOn w:val="Normal"/>
    <w:next w:val="Normal"/>
    <w:link w:val="IntenseQuoteChar"/>
    <w:uiPriority w:val="30"/>
    <w:qFormat/>
    <w:rsid w:val="00D86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9D4"/>
    <w:rPr>
      <w:i/>
      <w:iCs/>
      <w:color w:val="0F4761" w:themeColor="accent1" w:themeShade="BF"/>
    </w:rPr>
  </w:style>
  <w:style w:type="character" w:styleId="IntenseReference">
    <w:name w:val="Intense Reference"/>
    <w:basedOn w:val="DefaultParagraphFont"/>
    <w:uiPriority w:val="32"/>
    <w:qFormat/>
    <w:rsid w:val="00D869D4"/>
    <w:rPr>
      <w:b/>
      <w:bCs/>
      <w:smallCaps/>
      <w:color w:val="0F4761" w:themeColor="accent1" w:themeShade="BF"/>
      <w:spacing w:val="5"/>
    </w:rPr>
  </w:style>
  <w:style w:type="paragraph" w:customStyle="1" w:styleId="a">
    <w:name w:val="바탕글"/>
    <w:rsid w:val="00D869D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Batang" w:eastAsia="Batang"/>
      <w:color w:val="000000"/>
      <w:sz w:val="20"/>
    </w:rPr>
  </w:style>
  <w:style w:type="paragraph" w:styleId="Header">
    <w:name w:val="header"/>
    <w:basedOn w:val="Normal"/>
    <w:link w:val="HeaderChar"/>
    <w:uiPriority w:val="99"/>
    <w:unhideWhenUsed/>
    <w:rsid w:val="00D869D4"/>
    <w:pPr>
      <w:tabs>
        <w:tab w:val="center" w:pos="4513"/>
        <w:tab w:val="right" w:pos="9026"/>
      </w:tabs>
      <w:snapToGrid w:val="0"/>
    </w:pPr>
  </w:style>
  <w:style w:type="character" w:customStyle="1" w:styleId="HeaderChar">
    <w:name w:val="Header Char"/>
    <w:basedOn w:val="DefaultParagraphFont"/>
    <w:link w:val="Header"/>
    <w:uiPriority w:val="99"/>
    <w:rsid w:val="00D869D4"/>
  </w:style>
  <w:style w:type="paragraph" w:styleId="Footer">
    <w:name w:val="footer"/>
    <w:basedOn w:val="Normal"/>
    <w:link w:val="FooterChar"/>
    <w:uiPriority w:val="99"/>
    <w:unhideWhenUsed/>
    <w:rsid w:val="00D869D4"/>
    <w:pPr>
      <w:tabs>
        <w:tab w:val="center" w:pos="4513"/>
        <w:tab w:val="right" w:pos="9026"/>
      </w:tabs>
      <w:snapToGrid w:val="0"/>
    </w:pPr>
  </w:style>
  <w:style w:type="character" w:customStyle="1" w:styleId="FooterChar">
    <w:name w:val="Footer Char"/>
    <w:basedOn w:val="DefaultParagraphFont"/>
    <w:link w:val="Footer"/>
    <w:uiPriority w:val="99"/>
    <w:rsid w:val="00D86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73746">
      <w:bodyDiv w:val="1"/>
      <w:marLeft w:val="0"/>
      <w:marRight w:val="0"/>
      <w:marTop w:val="0"/>
      <w:marBottom w:val="0"/>
      <w:divBdr>
        <w:top w:val="none" w:sz="0" w:space="0" w:color="auto"/>
        <w:left w:val="none" w:sz="0" w:space="0" w:color="auto"/>
        <w:bottom w:val="none" w:sz="0" w:space="0" w:color="auto"/>
        <w:right w:val="none" w:sz="0" w:space="0" w:color="auto"/>
      </w:divBdr>
    </w:div>
    <w:div w:id="712509086">
      <w:bodyDiv w:val="1"/>
      <w:marLeft w:val="0"/>
      <w:marRight w:val="0"/>
      <w:marTop w:val="0"/>
      <w:marBottom w:val="0"/>
      <w:divBdr>
        <w:top w:val="none" w:sz="0" w:space="0" w:color="auto"/>
        <w:left w:val="none" w:sz="0" w:space="0" w:color="auto"/>
        <w:bottom w:val="none" w:sz="0" w:space="0" w:color="auto"/>
        <w:right w:val="none" w:sz="0" w:space="0" w:color="auto"/>
      </w:divBdr>
    </w:div>
    <w:div w:id="943610369">
      <w:bodyDiv w:val="1"/>
      <w:marLeft w:val="0"/>
      <w:marRight w:val="0"/>
      <w:marTop w:val="0"/>
      <w:marBottom w:val="0"/>
      <w:divBdr>
        <w:top w:val="none" w:sz="0" w:space="0" w:color="auto"/>
        <w:left w:val="none" w:sz="0" w:space="0" w:color="auto"/>
        <w:bottom w:val="none" w:sz="0" w:space="0" w:color="auto"/>
        <w:right w:val="none" w:sz="0" w:space="0" w:color="auto"/>
      </w:divBdr>
    </w:div>
    <w:div w:id="194642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2026-02-27T16:07:55+00:00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5056AF7-4F55-4C6F-9275-8A0E0A5C4CF4}">
  <ds:schemaRefs>
    <ds:schemaRef ds:uri="http://schemas.openxmlformats.org/officeDocument/2006/bibliography"/>
  </ds:schemaRefs>
</ds:datastoreItem>
</file>

<file path=customXml/itemProps2.xml><?xml version="1.0" encoding="utf-8"?>
<ds:datastoreItem xmlns:ds="http://schemas.openxmlformats.org/officeDocument/2006/customXml" ds:itemID="{D2CDC44A-A499-4070-9707-76553D0001DD}"/>
</file>

<file path=customXml/itemProps3.xml><?xml version="1.0" encoding="utf-8"?>
<ds:datastoreItem xmlns:ds="http://schemas.openxmlformats.org/officeDocument/2006/customXml" ds:itemID="{4AE11099-00EF-4BE3-9E57-56BF645985C9}"/>
</file>

<file path=customXml/itemProps4.xml><?xml version="1.0" encoding="utf-8"?>
<ds:datastoreItem xmlns:ds="http://schemas.openxmlformats.org/officeDocument/2006/customXml" ds:itemID="{CF0632D7-9960-4127-A19B-651032093D86}"/>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10696</Words>
  <Characters>60972</Characters>
  <Application>Microsoft Office Word</Application>
  <DocSecurity>0</DocSecurity>
  <Lines>508</Lines>
  <Paragraphs>143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Perrine Deja</cp:lastModifiedBy>
  <cp:revision>2</cp:revision>
  <dcterms:created xsi:type="dcterms:W3CDTF">2026-02-27T16:07:00Z</dcterms:created>
  <dcterms:modified xsi:type="dcterms:W3CDTF">2026-02-27T16:07:00Z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