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95702" w14:textId="77777777" w:rsidR="00634891" w:rsidRDefault="008606E7">
      <w:pPr>
        <w:jc w:val="right"/>
        <w:rPr>
          <w:b/>
          <w:sz w:val="40"/>
          <w:szCs w:val="40"/>
        </w:rPr>
      </w:pPr>
      <w:bookmarkStart w:id="0" w:name="_GoBack"/>
      <w:bookmarkEnd w:id="0"/>
      <w:r>
        <w:rPr>
          <w:b/>
          <w:noProof/>
          <w:sz w:val="40"/>
          <w:szCs w:val="40"/>
          <w:lang w:eastAsia="ko-KR"/>
        </w:rPr>
        <w:drawing>
          <wp:inline distT="0" distB="0" distL="0" distR="0" wp14:anchorId="50169E51" wp14:editId="0EC45A47">
            <wp:extent cx="2867025" cy="100965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867025" cy="1009650"/>
                    </a:xfrm>
                    <a:prstGeom prst="rect">
                      <a:avLst/>
                    </a:prstGeom>
                    <a:ln/>
                  </pic:spPr>
                </pic:pic>
              </a:graphicData>
            </a:graphic>
          </wp:inline>
        </w:drawing>
      </w:r>
    </w:p>
    <w:p w14:paraId="1D2BB607" w14:textId="77777777" w:rsidR="00634891" w:rsidRDefault="00634891">
      <w:pPr>
        <w:rPr>
          <w:b/>
          <w:sz w:val="40"/>
          <w:szCs w:val="40"/>
        </w:rPr>
      </w:pPr>
    </w:p>
    <w:p w14:paraId="30F2FD44" w14:textId="77777777" w:rsidR="00634891" w:rsidRDefault="00634891">
      <w:pPr>
        <w:jc w:val="center"/>
        <w:rPr>
          <w:b/>
          <w:sz w:val="40"/>
          <w:szCs w:val="40"/>
        </w:rPr>
      </w:pPr>
    </w:p>
    <w:p w14:paraId="74EAE18E" w14:textId="77777777" w:rsidR="00634891" w:rsidRDefault="00634891">
      <w:pPr>
        <w:jc w:val="center"/>
        <w:rPr>
          <w:b/>
          <w:sz w:val="44"/>
          <w:szCs w:val="44"/>
        </w:rPr>
      </w:pPr>
    </w:p>
    <w:p w14:paraId="71DC0C34" w14:textId="77777777" w:rsidR="00634891" w:rsidRDefault="00634891">
      <w:pPr>
        <w:jc w:val="center"/>
        <w:rPr>
          <w:b/>
          <w:sz w:val="44"/>
          <w:szCs w:val="44"/>
        </w:rPr>
      </w:pPr>
    </w:p>
    <w:p w14:paraId="21CD1E67" w14:textId="77777777" w:rsidR="00634891" w:rsidRDefault="00634891">
      <w:pPr>
        <w:jc w:val="center"/>
        <w:rPr>
          <w:b/>
          <w:sz w:val="44"/>
          <w:szCs w:val="44"/>
        </w:rPr>
      </w:pPr>
    </w:p>
    <w:p w14:paraId="55142477" w14:textId="77777777" w:rsidR="00634891" w:rsidRDefault="008606E7">
      <w:pPr>
        <w:jc w:val="center"/>
        <w:rPr>
          <w:b/>
          <w:sz w:val="44"/>
          <w:szCs w:val="44"/>
        </w:rPr>
      </w:pPr>
      <w:r>
        <w:rPr>
          <w:b/>
          <w:sz w:val="44"/>
          <w:szCs w:val="44"/>
        </w:rPr>
        <w:t>The Netherlands Institute for Human Rights</w:t>
      </w:r>
    </w:p>
    <w:p w14:paraId="00C7DB47" w14:textId="77777777" w:rsidR="00634891" w:rsidRDefault="008606E7">
      <w:pPr>
        <w:jc w:val="center"/>
        <w:rPr>
          <w:b/>
          <w:sz w:val="44"/>
          <w:szCs w:val="44"/>
        </w:rPr>
      </w:pPr>
      <w:r>
        <w:rPr>
          <w:b/>
          <w:sz w:val="44"/>
          <w:szCs w:val="44"/>
        </w:rPr>
        <w:t>Submission</w:t>
      </w:r>
    </w:p>
    <w:p w14:paraId="0E33D171" w14:textId="77777777" w:rsidR="00634891" w:rsidRDefault="00634891">
      <w:pPr>
        <w:jc w:val="center"/>
        <w:rPr>
          <w:b/>
          <w:sz w:val="36"/>
          <w:szCs w:val="36"/>
        </w:rPr>
      </w:pPr>
    </w:p>
    <w:p w14:paraId="74F69AB0" w14:textId="77777777" w:rsidR="00634891" w:rsidRDefault="008606E7">
      <w:pPr>
        <w:jc w:val="center"/>
        <w:rPr>
          <w:sz w:val="40"/>
          <w:szCs w:val="40"/>
        </w:rPr>
      </w:pPr>
      <w:r>
        <w:rPr>
          <w:sz w:val="40"/>
          <w:szCs w:val="40"/>
        </w:rPr>
        <w:t xml:space="preserve">to the UN Committee against Torture </w:t>
      </w:r>
    </w:p>
    <w:p w14:paraId="339957F3" w14:textId="77777777" w:rsidR="00634891" w:rsidRDefault="008606E7">
      <w:pPr>
        <w:jc w:val="center"/>
        <w:rPr>
          <w:sz w:val="40"/>
          <w:szCs w:val="40"/>
        </w:rPr>
      </w:pPr>
      <w:r>
        <w:rPr>
          <w:sz w:val="40"/>
          <w:szCs w:val="40"/>
        </w:rPr>
        <w:t>on the Examination of the 7</w:t>
      </w:r>
      <w:r>
        <w:rPr>
          <w:sz w:val="40"/>
          <w:szCs w:val="40"/>
          <w:vertAlign w:val="superscript"/>
        </w:rPr>
        <w:t>th</w:t>
      </w:r>
      <w:r>
        <w:rPr>
          <w:sz w:val="40"/>
          <w:szCs w:val="40"/>
        </w:rPr>
        <w:t xml:space="preserve"> Periodic Report of the Netherlands</w:t>
      </w:r>
    </w:p>
    <w:p w14:paraId="1CCFC6D8" w14:textId="77777777" w:rsidR="00634891" w:rsidRDefault="00634891"/>
    <w:p w14:paraId="6A0BFD78" w14:textId="77777777" w:rsidR="00634891" w:rsidRDefault="00634891"/>
    <w:p w14:paraId="6907DCDA" w14:textId="77777777" w:rsidR="00634891" w:rsidRDefault="00634891"/>
    <w:p w14:paraId="6DB0857D" w14:textId="77777777" w:rsidR="00634891" w:rsidRDefault="00634891"/>
    <w:p w14:paraId="27FDF4A3" w14:textId="77777777" w:rsidR="00634891" w:rsidRDefault="00634891"/>
    <w:p w14:paraId="549EDE2A" w14:textId="77777777" w:rsidR="00634891" w:rsidRDefault="00634891"/>
    <w:p w14:paraId="6DBDE000" w14:textId="77777777" w:rsidR="00634891" w:rsidRDefault="00634891"/>
    <w:p w14:paraId="28474BAC" w14:textId="77777777" w:rsidR="00634891" w:rsidRDefault="00634891"/>
    <w:p w14:paraId="522EE012" w14:textId="77777777" w:rsidR="00634891" w:rsidRDefault="00634891"/>
    <w:p w14:paraId="6B570387" w14:textId="77777777" w:rsidR="00634891" w:rsidRDefault="00634891"/>
    <w:p w14:paraId="042F4EF4" w14:textId="77777777" w:rsidR="00634891" w:rsidRDefault="00634891"/>
    <w:p w14:paraId="25F49253" w14:textId="77777777" w:rsidR="00634891" w:rsidRDefault="00634891"/>
    <w:p w14:paraId="329E5005" w14:textId="77777777" w:rsidR="00634891" w:rsidRDefault="00634891"/>
    <w:p w14:paraId="7E70AFCC" w14:textId="77777777" w:rsidR="00634891" w:rsidRDefault="00634891"/>
    <w:p w14:paraId="44151919" w14:textId="77777777" w:rsidR="00634891" w:rsidRDefault="00634891"/>
    <w:p w14:paraId="7870B4D0" w14:textId="77777777" w:rsidR="00634891" w:rsidRDefault="008606E7">
      <w:pPr>
        <w:rPr>
          <w:b/>
          <w:sz w:val="24"/>
          <w:szCs w:val="24"/>
        </w:rPr>
      </w:pPr>
      <w:r>
        <w:t>October 2018</w:t>
      </w:r>
    </w:p>
    <w:p w14:paraId="16D57C83" w14:textId="77777777" w:rsidR="00634891" w:rsidRDefault="00634891"/>
    <w:p w14:paraId="17166544" w14:textId="77777777" w:rsidR="00634891" w:rsidRDefault="008606E7">
      <w:pPr>
        <w:spacing w:after="200"/>
      </w:pPr>
      <w:r>
        <w:br w:type="page"/>
      </w:r>
    </w:p>
    <w:p w14:paraId="5137939B" w14:textId="77777777" w:rsidR="00634891" w:rsidRDefault="008606E7">
      <w:bookmarkStart w:id="1" w:name="_gjdgxs" w:colFirst="0" w:colLast="0"/>
      <w:bookmarkEnd w:id="1"/>
      <w:r>
        <w:rPr>
          <w:b/>
          <w:color w:val="E63F18"/>
          <w:sz w:val="28"/>
          <w:szCs w:val="28"/>
        </w:rPr>
        <w:lastRenderedPageBreak/>
        <w:t>TABLE OF CONTENTS</w:t>
      </w:r>
    </w:p>
    <w:p w14:paraId="5C267A19" w14:textId="77777777" w:rsidR="00634891" w:rsidRDefault="00634891">
      <w:pPr>
        <w:spacing w:after="200"/>
        <w:rPr>
          <w:b/>
          <w:color w:val="FF0000"/>
          <w:sz w:val="28"/>
          <w:szCs w:val="28"/>
        </w:rPr>
      </w:pPr>
    </w:p>
    <w:sdt>
      <w:sdtPr>
        <w:id w:val="-739242196"/>
        <w:docPartObj>
          <w:docPartGallery w:val="Table of Contents"/>
          <w:docPartUnique/>
        </w:docPartObj>
      </w:sdtPr>
      <w:sdtEndPr/>
      <w:sdtContent>
        <w:p w14:paraId="66561D0D" w14:textId="77777777" w:rsidR="00192BA2" w:rsidRDefault="008606E7">
          <w:pPr>
            <w:pStyle w:val="TOC1"/>
            <w:tabs>
              <w:tab w:val="right" w:pos="9062"/>
            </w:tabs>
            <w:rPr>
              <w:rFonts w:asciiTheme="minorHAnsi" w:eastAsiaTheme="minorEastAsia" w:hAnsiTheme="minorHAnsi" w:cstheme="minorBidi"/>
              <w:noProof/>
              <w:lang w:val="nl-NL"/>
            </w:rPr>
          </w:pPr>
          <w:r>
            <w:fldChar w:fldCharType="begin"/>
          </w:r>
          <w:r>
            <w:instrText xml:space="preserve"> TOC \h \u \z </w:instrText>
          </w:r>
          <w:r>
            <w:fldChar w:fldCharType="separate"/>
          </w:r>
          <w:hyperlink w:anchor="_Toc527121541" w:history="1">
            <w:r w:rsidR="00192BA2" w:rsidRPr="00CE1563">
              <w:rPr>
                <w:rStyle w:val="Hyperlink"/>
                <w:noProof/>
              </w:rPr>
              <w:t>I. Introduction</w:t>
            </w:r>
            <w:r w:rsidR="00192BA2">
              <w:rPr>
                <w:noProof/>
                <w:webHidden/>
              </w:rPr>
              <w:tab/>
            </w:r>
            <w:r w:rsidR="00192BA2">
              <w:rPr>
                <w:noProof/>
                <w:webHidden/>
              </w:rPr>
              <w:fldChar w:fldCharType="begin"/>
            </w:r>
            <w:r w:rsidR="00192BA2">
              <w:rPr>
                <w:noProof/>
                <w:webHidden/>
              </w:rPr>
              <w:instrText xml:space="preserve"> PAGEREF _Toc527121541 \h </w:instrText>
            </w:r>
            <w:r w:rsidR="00192BA2">
              <w:rPr>
                <w:noProof/>
                <w:webHidden/>
              </w:rPr>
            </w:r>
            <w:r w:rsidR="00192BA2">
              <w:rPr>
                <w:noProof/>
                <w:webHidden/>
              </w:rPr>
              <w:fldChar w:fldCharType="separate"/>
            </w:r>
            <w:r w:rsidR="00192BA2">
              <w:rPr>
                <w:noProof/>
                <w:webHidden/>
              </w:rPr>
              <w:t>3</w:t>
            </w:r>
            <w:r w:rsidR="00192BA2">
              <w:rPr>
                <w:noProof/>
                <w:webHidden/>
              </w:rPr>
              <w:fldChar w:fldCharType="end"/>
            </w:r>
          </w:hyperlink>
        </w:p>
        <w:p w14:paraId="10A57256" w14:textId="77777777" w:rsidR="00192BA2" w:rsidRDefault="004233D9">
          <w:pPr>
            <w:pStyle w:val="TOC1"/>
            <w:tabs>
              <w:tab w:val="right" w:pos="9062"/>
            </w:tabs>
            <w:rPr>
              <w:rFonts w:asciiTheme="minorHAnsi" w:eastAsiaTheme="minorEastAsia" w:hAnsiTheme="minorHAnsi" w:cstheme="minorBidi"/>
              <w:noProof/>
              <w:lang w:val="nl-NL"/>
            </w:rPr>
          </w:pPr>
          <w:hyperlink w:anchor="_Toc527121542" w:history="1">
            <w:r w:rsidR="00192BA2" w:rsidRPr="00CE1563">
              <w:rPr>
                <w:rStyle w:val="Hyperlink"/>
                <w:noProof/>
              </w:rPr>
              <w:t>II. Comments of the Institute</w:t>
            </w:r>
            <w:r w:rsidR="00192BA2">
              <w:rPr>
                <w:noProof/>
                <w:webHidden/>
              </w:rPr>
              <w:tab/>
            </w:r>
            <w:r w:rsidR="00192BA2">
              <w:rPr>
                <w:noProof/>
                <w:webHidden/>
              </w:rPr>
              <w:fldChar w:fldCharType="begin"/>
            </w:r>
            <w:r w:rsidR="00192BA2">
              <w:rPr>
                <w:noProof/>
                <w:webHidden/>
              </w:rPr>
              <w:instrText xml:space="preserve"> PAGEREF _Toc527121542 \h </w:instrText>
            </w:r>
            <w:r w:rsidR="00192BA2">
              <w:rPr>
                <w:noProof/>
                <w:webHidden/>
              </w:rPr>
            </w:r>
            <w:r w:rsidR="00192BA2">
              <w:rPr>
                <w:noProof/>
                <w:webHidden/>
              </w:rPr>
              <w:fldChar w:fldCharType="separate"/>
            </w:r>
            <w:r w:rsidR="00192BA2">
              <w:rPr>
                <w:noProof/>
                <w:webHidden/>
              </w:rPr>
              <w:t>4</w:t>
            </w:r>
            <w:r w:rsidR="00192BA2">
              <w:rPr>
                <w:noProof/>
                <w:webHidden/>
              </w:rPr>
              <w:fldChar w:fldCharType="end"/>
            </w:r>
          </w:hyperlink>
        </w:p>
        <w:p w14:paraId="36201553" w14:textId="77777777" w:rsidR="00192BA2" w:rsidRDefault="004233D9">
          <w:pPr>
            <w:pStyle w:val="TOC2"/>
            <w:tabs>
              <w:tab w:val="right" w:pos="9062"/>
            </w:tabs>
            <w:rPr>
              <w:rFonts w:asciiTheme="minorHAnsi" w:eastAsiaTheme="minorEastAsia" w:hAnsiTheme="minorHAnsi" w:cstheme="minorBidi"/>
              <w:noProof/>
              <w:lang w:val="nl-NL"/>
            </w:rPr>
          </w:pPr>
          <w:hyperlink w:anchor="_Toc527121543" w:history="1">
            <w:r w:rsidR="00192BA2" w:rsidRPr="00CE1563">
              <w:rPr>
                <w:rStyle w:val="Hyperlink"/>
                <w:noProof/>
              </w:rPr>
              <w:t>Article 2</w:t>
            </w:r>
            <w:r w:rsidR="00192BA2">
              <w:rPr>
                <w:noProof/>
                <w:webHidden/>
              </w:rPr>
              <w:tab/>
            </w:r>
            <w:r w:rsidR="00192BA2">
              <w:rPr>
                <w:noProof/>
                <w:webHidden/>
              </w:rPr>
              <w:fldChar w:fldCharType="begin"/>
            </w:r>
            <w:r w:rsidR="00192BA2">
              <w:rPr>
                <w:noProof/>
                <w:webHidden/>
              </w:rPr>
              <w:instrText xml:space="preserve"> PAGEREF _Toc527121543 \h </w:instrText>
            </w:r>
            <w:r w:rsidR="00192BA2">
              <w:rPr>
                <w:noProof/>
                <w:webHidden/>
              </w:rPr>
            </w:r>
            <w:r w:rsidR="00192BA2">
              <w:rPr>
                <w:noProof/>
                <w:webHidden/>
              </w:rPr>
              <w:fldChar w:fldCharType="separate"/>
            </w:r>
            <w:r w:rsidR="00192BA2">
              <w:rPr>
                <w:noProof/>
                <w:webHidden/>
              </w:rPr>
              <w:t>4</w:t>
            </w:r>
            <w:r w:rsidR="00192BA2">
              <w:rPr>
                <w:noProof/>
                <w:webHidden/>
              </w:rPr>
              <w:fldChar w:fldCharType="end"/>
            </w:r>
          </w:hyperlink>
        </w:p>
        <w:p w14:paraId="07DEE0F4"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44" w:history="1">
            <w:r w:rsidR="00192BA2" w:rsidRPr="00CE1563">
              <w:rPr>
                <w:rStyle w:val="Hyperlink"/>
                <w:noProof/>
              </w:rPr>
              <w:t>Domestic and gender-based violence</w:t>
            </w:r>
            <w:r w:rsidR="00192BA2">
              <w:rPr>
                <w:noProof/>
                <w:webHidden/>
              </w:rPr>
              <w:tab/>
            </w:r>
            <w:r w:rsidR="00192BA2">
              <w:rPr>
                <w:noProof/>
                <w:webHidden/>
              </w:rPr>
              <w:fldChar w:fldCharType="begin"/>
            </w:r>
            <w:r w:rsidR="00192BA2">
              <w:rPr>
                <w:noProof/>
                <w:webHidden/>
              </w:rPr>
              <w:instrText xml:space="preserve"> PAGEREF _Toc527121544 \h </w:instrText>
            </w:r>
            <w:r w:rsidR="00192BA2">
              <w:rPr>
                <w:noProof/>
                <w:webHidden/>
              </w:rPr>
            </w:r>
            <w:r w:rsidR="00192BA2">
              <w:rPr>
                <w:noProof/>
                <w:webHidden/>
              </w:rPr>
              <w:fldChar w:fldCharType="separate"/>
            </w:r>
            <w:r w:rsidR="00192BA2">
              <w:rPr>
                <w:noProof/>
                <w:webHidden/>
              </w:rPr>
              <w:t>4</w:t>
            </w:r>
            <w:r w:rsidR="00192BA2">
              <w:rPr>
                <w:noProof/>
                <w:webHidden/>
              </w:rPr>
              <w:fldChar w:fldCharType="end"/>
            </w:r>
          </w:hyperlink>
        </w:p>
        <w:p w14:paraId="0C68B547"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45" w:history="1">
            <w:r w:rsidR="00192BA2" w:rsidRPr="00CE1563">
              <w:rPr>
                <w:rStyle w:val="Hyperlink"/>
                <w:noProof/>
              </w:rPr>
              <w:t>Trafficking in human beings</w:t>
            </w:r>
            <w:r w:rsidR="00192BA2">
              <w:rPr>
                <w:noProof/>
                <w:webHidden/>
              </w:rPr>
              <w:tab/>
            </w:r>
            <w:r w:rsidR="00192BA2">
              <w:rPr>
                <w:noProof/>
                <w:webHidden/>
              </w:rPr>
              <w:fldChar w:fldCharType="begin"/>
            </w:r>
            <w:r w:rsidR="00192BA2">
              <w:rPr>
                <w:noProof/>
                <w:webHidden/>
              </w:rPr>
              <w:instrText xml:space="preserve"> PAGEREF _Toc527121545 \h </w:instrText>
            </w:r>
            <w:r w:rsidR="00192BA2">
              <w:rPr>
                <w:noProof/>
                <w:webHidden/>
              </w:rPr>
            </w:r>
            <w:r w:rsidR="00192BA2">
              <w:rPr>
                <w:noProof/>
                <w:webHidden/>
              </w:rPr>
              <w:fldChar w:fldCharType="separate"/>
            </w:r>
            <w:r w:rsidR="00192BA2">
              <w:rPr>
                <w:noProof/>
                <w:webHidden/>
              </w:rPr>
              <w:t>5</w:t>
            </w:r>
            <w:r w:rsidR="00192BA2">
              <w:rPr>
                <w:noProof/>
                <w:webHidden/>
              </w:rPr>
              <w:fldChar w:fldCharType="end"/>
            </w:r>
          </w:hyperlink>
        </w:p>
        <w:p w14:paraId="27FF26F5"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46" w:history="1">
            <w:r w:rsidR="00192BA2" w:rsidRPr="00CE1563">
              <w:rPr>
                <w:rStyle w:val="Hyperlink"/>
                <w:noProof/>
              </w:rPr>
              <w:t>National Preventive Mechanism</w:t>
            </w:r>
            <w:r w:rsidR="00192BA2">
              <w:rPr>
                <w:noProof/>
                <w:webHidden/>
              </w:rPr>
              <w:tab/>
            </w:r>
            <w:r w:rsidR="00192BA2">
              <w:rPr>
                <w:noProof/>
                <w:webHidden/>
              </w:rPr>
              <w:fldChar w:fldCharType="begin"/>
            </w:r>
            <w:r w:rsidR="00192BA2">
              <w:rPr>
                <w:noProof/>
                <w:webHidden/>
              </w:rPr>
              <w:instrText xml:space="preserve"> PAGEREF _Toc527121546 \h </w:instrText>
            </w:r>
            <w:r w:rsidR="00192BA2">
              <w:rPr>
                <w:noProof/>
                <w:webHidden/>
              </w:rPr>
            </w:r>
            <w:r w:rsidR="00192BA2">
              <w:rPr>
                <w:noProof/>
                <w:webHidden/>
              </w:rPr>
              <w:fldChar w:fldCharType="separate"/>
            </w:r>
            <w:r w:rsidR="00192BA2">
              <w:rPr>
                <w:noProof/>
                <w:webHidden/>
              </w:rPr>
              <w:t>7</w:t>
            </w:r>
            <w:r w:rsidR="00192BA2">
              <w:rPr>
                <w:noProof/>
                <w:webHidden/>
              </w:rPr>
              <w:fldChar w:fldCharType="end"/>
            </w:r>
          </w:hyperlink>
        </w:p>
        <w:p w14:paraId="02864765" w14:textId="77777777" w:rsidR="00192BA2" w:rsidRDefault="004233D9">
          <w:pPr>
            <w:pStyle w:val="TOC2"/>
            <w:tabs>
              <w:tab w:val="right" w:pos="9062"/>
            </w:tabs>
            <w:rPr>
              <w:rFonts w:asciiTheme="minorHAnsi" w:eastAsiaTheme="minorEastAsia" w:hAnsiTheme="minorHAnsi" w:cstheme="minorBidi"/>
              <w:noProof/>
              <w:lang w:val="nl-NL"/>
            </w:rPr>
          </w:pPr>
          <w:hyperlink w:anchor="_Toc527121547" w:history="1">
            <w:r w:rsidR="00192BA2" w:rsidRPr="00CE1563">
              <w:rPr>
                <w:rStyle w:val="Hyperlink"/>
                <w:noProof/>
              </w:rPr>
              <w:t>Article 11</w:t>
            </w:r>
            <w:r w:rsidR="00192BA2">
              <w:rPr>
                <w:noProof/>
                <w:webHidden/>
              </w:rPr>
              <w:tab/>
            </w:r>
            <w:r w:rsidR="00192BA2">
              <w:rPr>
                <w:noProof/>
                <w:webHidden/>
              </w:rPr>
              <w:fldChar w:fldCharType="begin"/>
            </w:r>
            <w:r w:rsidR="00192BA2">
              <w:rPr>
                <w:noProof/>
                <w:webHidden/>
              </w:rPr>
              <w:instrText xml:space="preserve"> PAGEREF _Toc527121547 \h </w:instrText>
            </w:r>
            <w:r w:rsidR="00192BA2">
              <w:rPr>
                <w:noProof/>
                <w:webHidden/>
              </w:rPr>
            </w:r>
            <w:r w:rsidR="00192BA2">
              <w:rPr>
                <w:noProof/>
                <w:webHidden/>
              </w:rPr>
              <w:fldChar w:fldCharType="separate"/>
            </w:r>
            <w:r w:rsidR="00192BA2">
              <w:rPr>
                <w:noProof/>
                <w:webHidden/>
              </w:rPr>
              <w:t>8</w:t>
            </w:r>
            <w:r w:rsidR="00192BA2">
              <w:rPr>
                <w:noProof/>
                <w:webHidden/>
              </w:rPr>
              <w:fldChar w:fldCharType="end"/>
            </w:r>
          </w:hyperlink>
        </w:p>
        <w:p w14:paraId="746D9E9E"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48" w:history="1">
            <w:r w:rsidR="00192BA2" w:rsidRPr="00CE1563">
              <w:rPr>
                <w:rStyle w:val="Hyperlink"/>
                <w:noProof/>
              </w:rPr>
              <w:t>Mental health care</w:t>
            </w:r>
            <w:r w:rsidR="00192BA2">
              <w:rPr>
                <w:noProof/>
                <w:webHidden/>
              </w:rPr>
              <w:tab/>
            </w:r>
            <w:r w:rsidR="00192BA2">
              <w:rPr>
                <w:noProof/>
                <w:webHidden/>
              </w:rPr>
              <w:fldChar w:fldCharType="begin"/>
            </w:r>
            <w:r w:rsidR="00192BA2">
              <w:rPr>
                <w:noProof/>
                <w:webHidden/>
              </w:rPr>
              <w:instrText xml:space="preserve"> PAGEREF _Toc527121548 \h </w:instrText>
            </w:r>
            <w:r w:rsidR="00192BA2">
              <w:rPr>
                <w:noProof/>
                <w:webHidden/>
              </w:rPr>
            </w:r>
            <w:r w:rsidR="00192BA2">
              <w:rPr>
                <w:noProof/>
                <w:webHidden/>
              </w:rPr>
              <w:fldChar w:fldCharType="separate"/>
            </w:r>
            <w:r w:rsidR="00192BA2">
              <w:rPr>
                <w:noProof/>
                <w:webHidden/>
              </w:rPr>
              <w:t>8</w:t>
            </w:r>
            <w:r w:rsidR="00192BA2">
              <w:rPr>
                <w:noProof/>
                <w:webHidden/>
              </w:rPr>
              <w:fldChar w:fldCharType="end"/>
            </w:r>
          </w:hyperlink>
        </w:p>
        <w:p w14:paraId="2C6B04B2"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49" w:history="1">
            <w:r w:rsidR="00192BA2" w:rsidRPr="00CE1563">
              <w:rPr>
                <w:rStyle w:val="Hyperlink"/>
                <w:noProof/>
              </w:rPr>
              <w:t>Border detention of migrants</w:t>
            </w:r>
            <w:r w:rsidR="00192BA2">
              <w:rPr>
                <w:noProof/>
                <w:webHidden/>
              </w:rPr>
              <w:tab/>
            </w:r>
            <w:r w:rsidR="00192BA2">
              <w:rPr>
                <w:noProof/>
                <w:webHidden/>
              </w:rPr>
              <w:fldChar w:fldCharType="begin"/>
            </w:r>
            <w:r w:rsidR="00192BA2">
              <w:rPr>
                <w:noProof/>
                <w:webHidden/>
              </w:rPr>
              <w:instrText xml:space="preserve"> PAGEREF _Toc527121549 \h </w:instrText>
            </w:r>
            <w:r w:rsidR="00192BA2">
              <w:rPr>
                <w:noProof/>
                <w:webHidden/>
              </w:rPr>
            </w:r>
            <w:r w:rsidR="00192BA2">
              <w:rPr>
                <w:noProof/>
                <w:webHidden/>
              </w:rPr>
              <w:fldChar w:fldCharType="separate"/>
            </w:r>
            <w:r w:rsidR="00192BA2">
              <w:rPr>
                <w:noProof/>
                <w:webHidden/>
              </w:rPr>
              <w:t>10</w:t>
            </w:r>
            <w:r w:rsidR="00192BA2">
              <w:rPr>
                <w:noProof/>
                <w:webHidden/>
              </w:rPr>
              <w:fldChar w:fldCharType="end"/>
            </w:r>
          </w:hyperlink>
        </w:p>
        <w:p w14:paraId="209FDD6F"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50" w:history="1">
            <w:r w:rsidR="00192BA2" w:rsidRPr="00CE1563">
              <w:rPr>
                <w:rStyle w:val="Hyperlink"/>
                <w:noProof/>
              </w:rPr>
              <w:t>Repatriation and Detention of Aliens Act</w:t>
            </w:r>
            <w:r w:rsidR="00192BA2">
              <w:rPr>
                <w:noProof/>
                <w:webHidden/>
              </w:rPr>
              <w:tab/>
            </w:r>
            <w:r w:rsidR="00192BA2">
              <w:rPr>
                <w:noProof/>
                <w:webHidden/>
              </w:rPr>
              <w:fldChar w:fldCharType="begin"/>
            </w:r>
            <w:r w:rsidR="00192BA2">
              <w:rPr>
                <w:noProof/>
                <w:webHidden/>
              </w:rPr>
              <w:instrText xml:space="preserve"> PAGEREF _Toc527121550 \h </w:instrText>
            </w:r>
            <w:r w:rsidR="00192BA2">
              <w:rPr>
                <w:noProof/>
                <w:webHidden/>
              </w:rPr>
            </w:r>
            <w:r w:rsidR="00192BA2">
              <w:rPr>
                <w:noProof/>
                <w:webHidden/>
              </w:rPr>
              <w:fldChar w:fldCharType="separate"/>
            </w:r>
            <w:r w:rsidR="00192BA2">
              <w:rPr>
                <w:noProof/>
                <w:webHidden/>
              </w:rPr>
              <w:t>11</w:t>
            </w:r>
            <w:r w:rsidR="00192BA2">
              <w:rPr>
                <w:noProof/>
                <w:webHidden/>
              </w:rPr>
              <w:fldChar w:fldCharType="end"/>
            </w:r>
          </w:hyperlink>
        </w:p>
        <w:p w14:paraId="2FFEAAB7"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51" w:history="1">
            <w:r w:rsidR="00192BA2" w:rsidRPr="00CE1563">
              <w:rPr>
                <w:rStyle w:val="Hyperlink"/>
                <w:noProof/>
              </w:rPr>
              <w:t>Solitary confinement of migrants</w:t>
            </w:r>
            <w:r w:rsidR="00192BA2">
              <w:rPr>
                <w:noProof/>
                <w:webHidden/>
              </w:rPr>
              <w:tab/>
            </w:r>
            <w:r w:rsidR="00192BA2">
              <w:rPr>
                <w:noProof/>
                <w:webHidden/>
              </w:rPr>
              <w:fldChar w:fldCharType="begin"/>
            </w:r>
            <w:r w:rsidR="00192BA2">
              <w:rPr>
                <w:noProof/>
                <w:webHidden/>
              </w:rPr>
              <w:instrText xml:space="preserve"> PAGEREF _Toc527121551 \h </w:instrText>
            </w:r>
            <w:r w:rsidR="00192BA2">
              <w:rPr>
                <w:noProof/>
                <w:webHidden/>
              </w:rPr>
            </w:r>
            <w:r w:rsidR="00192BA2">
              <w:rPr>
                <w:noProof/>
                <w:webHidden/>
              </w:rPr>
              <w:fldChar w:fldCharType="separate"/>
            </w:r>
            <w:r w:rsidR="00192BA2">
              <w:rPr>
                <w:noProof/>
                <w:webHidden/>
              </w:rPr>
              <w:t>11</w:t>
            </w:r>
            <w:r w:rsidR="00192BA2">
              <w:rPr>
                <w:noProof/>
                <w:webHidden/>
              </w:rPr>
              <w:fldChar w:fldCharType="end"/>
            </w:r>
          </w:hyperlink>
        </w:p>
        <w:p w14:paraId="57E7FB95" w14:textId="77777777" w:rsidR="00192BA2" w:rsidRDefault="004233D9">
          <w:pPr>
            <w:pStyle w:val="TOC2"/>
            <w:tabs>
              <w:tab w:val="right" w:pos="9062"/>
            </w:tabs>
            <w:rPr>
              <w:rFonts w:asciiTheme="minorHAnsi" w:eastAsiaTheme="minorEastAsia" w:hAnsiTheme="minorHAnsi" w:cstheme="minorBidi"/>
              <w:noProof/>
              <w:lang w:val="nl-NL"/>
            </w:rPr>
          </w:pPr>
          <w:hyperlink w:anchor="_Toc527121552" w:history="1">
            <w:r w:rsidR="00192BA2" w:rsidRPr="00CE1563">
              <w:rPr>
                <w:rStyle w:val="Hyperlink"/>
                <w:noProof/>
              </w:rPr>
              <w:t>Article 16</w:t>
            </w:r>
            <w:r w:rsidR="00192BA2">
              <w:rPr>
                <w:noProof/>
                <w:webHidden/>
              </w:rPr>
              <w:tab/>
            </w:r>
            <w:r w:rsidR="00192BA2">
              <w:rPr>
                <w:noProof/>
                <w:webHidden/>
              </w:rPr>
              <w:fldChar w:fldCharType="begin"/>
            </w:r>
            <w:r w:rsidR="00192BA2">
              <w:rPr>
                <w:noProof/>
                <w:webHidden/>
              </w:rPr>
              <w:instrText xml:space="preserve"> PAGEREF _Toc527121552 \h </w:instrText>
            </w:r>
            <w:r w:rsidR="00192BA2">
              <w:rPr>
                <w:noProof/>
                <w:webHidden/>
              </w:rPr>
            </w:r>
            <w:r w:rsidR="00192BA2">
              <w:rPr>
                <w:noProof/>
                <w:webHidden/>
              </w:rPr>
              <w:fldChar w:fldCharType="separate"/>
            </w:r>
            <w:r w:rsidR="00192BA2">
              <w:rPr>
                <w:noProof/>
                <w:webHidden/>
              </w:rPr>
              <w:t>12</w:t>
            </w:r>
            <w:r w:rsidR="00192BA2">
              <w:rPr>
                <w:noProof/>
                <w:webHidden/>
              </w:rPr>
              <w:fldChar w:fldCharType="end"/>
            </w:r>
          </w:hyperlink>
        </w:p>
        <w:p w14:paraId="79AB5971"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53" w:history="1">
            <w:r w:rsidR="00192BA2" w:rsidRPr="00CE1563">
              <w:rPr>
                <w:rStyle w:val="Hyperlink"/>
                <w:noProof/>
              </w:rPr>
              <w:t>Electric Discharge Weapons (Tasers)</w:t>
            </w:r>
            <w:r w:rsidR="00192BA2">
              <w:rPr>
                <w:noProof/>
                <w:webHidden/>
              </w:rPr>
              <w:tab/>
            </w:r>
            <w:r w:rsidR="00192BA2">
              <w:rPr>
                <w:noProof/>
                <w:webHidden/>
              </w:rPr>
              <w:fldChar w:fldCharType="begin"/>
            </w:r>
            <w:r w:rsidR="00192BA2">
              <w:rPr>
                <w:noProof/>
                <w:webHidden/>
              </w:rPr>
              <w:instrText xml:space="preserve"> PAGEREF _Toc527121553 \h </w:instrText>
            </w:r>
            <w:r w:rsidR="00192BA2">
              <w:rPr>
                <w:noProof/>
                <w:webHidden/>
              </w:rPr>
            </w:r>
            <w:r w:rsidR="00192BA2">
              <w:rPr>
                <w:noProof/>
                <w:webHidden/>
              </w:rPr>
              <w:fldChar w:fldCharType="separate"/>
            </w:r>
            <w:r w:rsidR="00192BA2">
              <w:rPr>
                <w:noProof/>
                <w:webHidden/>
              </w:rPr>
              <w:t>12</w:t>
            </w:r>
            <w:r w:rsidR="00192BA2">
              <w:rPr>
                <w:noProof/>
                <w:webHidden/>
              </w:rPr>
              <w:fldChar w:fldCharType="end"/>
            </w:r>
          </w:hyperlink>
        </w:p>
        <w:p w14:paraId="3D934DD8"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54" w:history="1">
            <w:r w:rsidR="00192BA2" w:rsidRPr="00CE1563">
              <w:rPr>
                <w:rStyle w:val="Hyperlink"/>
                <w:noProof/>
              </w:rPr>
              <w:t>Statelessness</w:t>
            </w:r>
            <w:r w:rsidR="00192BA2">
              <w:rPr>
                <w:noProof/>
                <w:webHidden/>
              </w:rPr>
              <w:tab/>
            </w:r>
            <w:r w:rsidR="00192BA2">
              <w:rPr>
                <w:noProof/>
                <w:webHidden/>
              </w:rPr>
              <w:fldChar w:fldCharType="begin"/>
            </w:r>
            <w:r w:rsidR="00192BA2">
              <w:rPr>
                <w:noProof/>
                <w:webHidden/>
              </w:rPr>
              <w:instrText xml:space="preserve"> PAGEREF _Toc527121554 \h </w:instrText>
            </w:r>
            <w:r w:rsidR="00192BA2">
              <w:rPr>
                <w:noProof/>
                <w:webHidden/>
              </w:rPr>
            </w:r>
            <w:r w:rsidR="00192BA2">
              <w:rPr>
                <w:noProof/>
                <w:webHidden/>
              </w:rPr>
              <w:fldChar w:fldCharType="separate"/>
            </w:r>
            <w:r w:rsidR="00192BA2">
              <w:rPr>
                <w:noProof/>
                <w:webHidden/>
              </w:rPr>
              <w:t>13</w:t>
            </w:r>
            <w:r w:rsidR="00192BA2">
              <w:rPr>
                <w:noProof/>
                <w:webHidden/>
              </w:rPr>
              <w:fldChar w:fldCharType="end"/>
            </w:r>
          </w:hyperlink>
        </w:p>
        <w:p w14:paraId="571E32CE" w14:textId="77777777" w:rsidR="00192BA2" w:rsidRDefault="004233D9">
          <w:pPr>
            <w:pStyle w:val="TOC2"/>
            <w:tabs>
              <w:tab w:val="right" w:pos="9062"/>
            </w:tabs>
            <w:rPr>
              <w:rFonts w:asciiTheme="minorHAnsi" w:eastAsiaTheme="minorEastAsia" w:hAnsiTheme="minorHAnsi" w:cstheme="minorBidi"/>
              <w:noProof/>
              <w:lang w:val="nl-NL"/>
            </w:rPr>
          </w:pPr>
          <w:hyperlink w:anchor="_Toc527121555" w:history="1">
            <w:r w:rsidR="00192BA2" w:rsidRPr="00CE1563">
              <w:rPr>
                <w:rStyle w:val="Hyperlink"/>
                <w:noProof/>
              </w:rPr>
              <w:t>Other issues</w:t>
            </w:r>
            <w:r w:rsidR="00192BA2">
              <w:rPr>
                <w:noProof/>
                <w:webHidden/>
              </w:rPr>
              <w:tab/>
            </w:r>
            <w:r w:rsidR="00192BA2">
              <w:rPr>
                <w:noProof/>
                <w:webHidden/>
              </w:rPr>
              <w:fldChar w:fldCharType="begin"/>
            </w:r>
            <w:r w:rsidR="00192BA2">
              <w:rPr>
                <w:noProof/>
                <w:webHidden/>
              </w:rPr>
              <w:instrText xml:space="preserve"> PAGEREF _Toc527121555 \h </w:instrText>
            </w:r>
            <w:r w:rsidR="00192BA2">
              <w:rPr>
                <w:noProof/>
                <w:webHidden/>
              </w:rPr>
            </w:r>
            <w:r w:rsidR="00192BA2">
              <w:rPr>
                <w:noProof/>
                <w:webHidden/>
              </w:rPr>
              <w:fldChar w:fldCharType="separate"/>
            </w:r>
            <w:r w:rsidR="00192BA2">
              <w:rPr>
                <w:noProof/>
                <w:webHidden/>
              </w:rPr>
              <w:t>14</w:t>
            </w:r>
            <w:r w:rsidR="00192BA2">
              <w:rPr>
                <w:noProof/>
                <w:webHidden/>
              </w:rPr>
              <w:fldChar w:fldCharType="end"/>
            </w:r>
          </w:hyperlink>
        </w:p>
        <w:p w14:paraId="3C8FF2C9"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56" w:history="1">
            <w:r w:rsidR="00192BA2" w:rsidRPr="00CE1563">
              <w:rPr>
                <w:rStyle w:val="Hyperlink"/>
                <w:noProof/>
              </w:rPr>
              <w:t>Counterterrorism measures</w:t>
            </w:r>
            <w:r w:rsidR="00192BA2">
              <w:rPr>
                <w:noProof/>
                <w:webHidden/>
              </w:rPr>
              <w:tab/>
            </w:r>
            <w:r w:rsidR="00192BA2">
              <w:rPr>
                <w:noProof/>
                <w:webHidden/>
              </w:rPr>
              <w:fldChar w:fldCharType="begin"/>
            </w:r>
            <w:r w:rsidR="00192BA2">
              <w:rPr>
                <w:noProof/>
                <w:webHidden/>
              </w:rPr>
              <w:instrText xml:space="preserve"> PAGEREF _Toc527121556 \h </w:instrText>
            </w:r>
            <w:r w:rsidR="00192BA2">
              <w:rPr>
                <w:noProof/>
                <w:webHidden/>
              </w:rPr>
            </w:r>
            <w:r w:rsidR="00192BA2">
              <w:rPr>
                <w:noProof/>
                <w:webHidden/>
              </w:rPr>
              <w:fldChar w:fldCharType="separate"/>
            </w:r>
            <w:r w:rsidR="00192BA2">
              <w:rPr>
                <w:noProof/>
                <w:webHidden/>
              </w:rPr>
              <w:t>14</w:t>
            </w:r>
            <w:r w:rsidR="00192BA2">
              <w:rPr>
                <w:noProof/>
                <w:webHidden/>
              </w:rPr>
              <w:fldChar w:fldCharType="end"/>
            </w:r>
          </w:hyperlink>
        </w:p>
        <w:p w14:paraId="7961DCB6" w14:textId="77777777" w:rsidR="00192BA2" w:rsidRDefault="004233D9">
          <w:pPr>
            <w:pStyle w:val="TOC3"/>
            <w:tabs>
              <w:tab w:val="right" w:pos="9062"/>
            </w:tabs>
            <w:rPr>
              <w:rFonts w:asciiTheme="minorHAnsi" w:eastAsiaTheme="minorEastAsia" w:hAnsiTheme="minorHAnsi" w:cstheme="minorBidi"/>
              <w:noProof/>
              <w:lang w:val="nl-NL"/>
            </w:rPr>
          </w:pPr>
          <w:hyperlink w:anchor="_Toc527121557" w:history="1">
            <w:r w:rsidR="00192BA2" w:rsidRPr="00CE1563">
              <w:rPr>
                <w:rStyle w:val="Hyperlink"/>
                <w:noProof/>
              </w:rPr>
              <w:t>Life sentences</w:t>
            </w:r>
            <w:r w:rsidR="00192BA2">
              <w:rPr>
                <w:noProof/>
                <w:webHidden/>
              </w:rPr>
              <w:tab/>
            </w:r>
            <w:r w:rsidR="00192BA2">
              <w:rPr>
                <w:noProof/>
                <w:webHidden/>
              </w:rPr>
              <w:fldChar w:fldCharType="begin"/>
            </w:r>
            <w:r w:rsidR="00192BA2">
              <w:rPr>
                <w:noProof/>
                <w:webHidden/>
              </w:rPr>
              <w:instrText xml:space="preserve"> PAGEREF _Toc527121557 \h </w:instrText>
            </w:r>
            <w:r w:rsidR="00192BA2">
              <w:rPr>
                <w:noProof/>
                <w:webHidden/>
              </w:rPr>
            </w:r>
            <w:r w:rsidR="00192BA2">
              <w:rPr>
                <w:noProof/>
                <w:webHidden/>
              </w:rPr>
              <w:fldChar w:fldCharType="separate"/>
            </w:r>
            <w:r w:rsidR="00192BA2">
              <w:rPr>
                <w:noProof/>
                <w:webHidden/>
              </w:rPr>
              <w:t>16</w:t>
            </w:r>
            <w:r w:rsidR="00192BA2">
              <w:rPr>
                <w:noProof/>
                <w:webHidden/>
              </w:rPr>
              <w:fldChar w:fldCharType="end"/>
            </w:r>
          </w:hyperlink>
        </w:p>
        <w:p w14:paraId="66A35FD0" w14:textId="77777777" w:rsidR="00634891" w:rsidRDefault="008606E7">
          <w:pPr>
            <w:pBdr>
              <w:top w:val="nil"/>
              <w:left w:val="nil"/>
              <w:bottom w:val="nil"/>
              <w:right w:val="nil"/>
              <w:between w:val="nil"/>
            </w:pBdr>
            <w:tabs>
              <w:tab w:val="right" w:pos="9062"/>
            </w:tabs>
            <w:spacing w:after="100"/>
            <w:ind w:left="440" w:hanging="440"/>
            <w:rPr>
              <w:color w:val="000000"/>
            </w:rPr>
          </w:pPr>
          <w:r>
            <w:fldChar w:fldCharType="end"/>
          </w:r>
        </w:p>
      </w:sdtContent>
    </w:sdt>
    <w:p w14:paraId="249F8E66" w14:textId="77777777" w:rsidR="00634891" w:rsidRDefault="008606E7">
      <w:pPr>
        <w:spacing w:after="200"/>
        <w:rPr>
          <w:b/>
          <w:color w:val="FF0000"/>
          <w:sz w:val="28"/>
          <w:szCs w:val="28"/>
        </w:rPr>
      </w:pPr>
      <w:r>
        <w:br w:type="page"/>
      </w:r>
    </w:p>
    <w:p w14:paraId="18269EBF" w14:textId="77777777" w:rsidR="00634891" w:rsidRDefault="008606E7">
      <w:pPr>
        <w:pStyle w:val="Heading1"/>
      </w:pPr>
      <w:bookmarkStart w:id="2" w:name="_Toc527121541"/>
      <w:r>
        <w:lastRenderedPageBreak/>
        <w:t>I. Introduction</w:t>
      </w:r>
      <w:bookmarkEnd w:id="2"/>
    </w:p>
    <w:p w14:paraId="1CA4C800" w14:textId="77777777" w:rsidR="00634891" w:rsidRDefault="00634891">
      <w:pPr>
        <w:jc w:val="both"/>
      </w:pPr>
    </w:p>
    <w:p w14:paraId="78996DD4" w14:textId="37BE442C" w:rsidR="00634891" w:rsidRDefault="008606E7" w:rsidP="003E3A38">
      <w:pPr>
        <w:jc w:val="both"/>
      </w:pPr>
      <w:r>
        <w:t>The Netherlands Institute for Human Rights (hereinafter: the Institute) is the A-status accredited national human rights institut</w:t>
      </w:r>
      <w:r w:rsidR="00B429EB">
        <w:t>e</w:t>
      </w:r>
      <w:r>
        <w:t xml:space="preserve"> of the Netherlands. The Institute monitors and protects human rights, promotes respect for human rights (including equal treatment) in practic</w:t>
      </w:r>
      <w:r w:rsidR="003E3A38">
        <w:t>e, policy and legislation, and raises</w:t>
      </w:r>
      <w:r>
        <w:t xml:space="preserve"> awareness of</w:t>
      </w:r>
      <w:r w:rsidR="00B429EB">
        <w:t xml:space="preserve"> the importance of</w:t>
      </w:r>
      <w:r>
        <w:t xml:space="preserve"> human rights in the Netherlands. The </w:t>
      </w:r>
      <w:r w:rsidR="003E3A38">
        <w:t xml:space="preserve">Institute’s </w:t>
      </w:r>
      <w:r>
        <w:t>mandate of the Institute also extends to</w:t>
      </w:r>
      <w:r w:rsidR="00744767">
        <w:t xml:space="preserve"> the terri</w:t>
      </w:r>
      <w:r w:rsidR="00112DC4">
        <w:t>tory of</w:t>
      </w:r>
      <w:r>
        <w:t xml:space="preserve"> the Caribbean Netherlands: the islands Bonaire, Sint Eustatius and Saba. This applies to all tasks of the Institute,</w:t>
      </w:r>
      <w:r w:rsidR="006B79C4">
        <w:t xml:space="preserve"> with the exception of its task</w:t>
      </w:r>
      <w:r>
        <w:t xml:space="preserve"> to give opinions in individual cases relating to equal treatment.</w:t>
      </w:r>
    </w:p>
    <w:p w14:paraId="3117694F" w14:textId="77777777" w:rsidR="00634891" w:rsidRDefault="00634891" w:rsidP="003E3A38">
      <w:pPr>
        <w:jc w:val="both"/>
      </w:pPr>
    </w:p>
    <w:p w14:paraId="6A2FC8F3" w14:textId="277457DD" w:rsidR="00634891" w:rsidRDefault="003E3A38" w:rsidP="003E3A38">
      <w:pPr>
        <w:jc w:val="both"/>
      </w:pPr>
      <w:r>
        <w:t>Based on</w:t>
      </w:r>
      <w:r w:rsidR="008606E7">
        <w:t xml:space="preserve"> its mandate, expertise, and activities, the Institute wishes to raise a number of issues in </w:t>
      </w:r>
      <w:r w:rsidR="00112DC4">
        <w:t>its</w:t>
      </w:r>
      <w:r w:rsidR="008606E7">
        <w:t xml:space="preserve"> submission. This submission aims to inform the Committee against Torture about domestic issues that may be relevant for the constructive dialogue with the Dutch government and subsequent </w:t>
      </w:r>
      <w:r w:rsidR="000F65E8">
        <w:t>formulation</w:t>
      </w:r>
      <w:r w:rsidR="008606E7">
        <w:t xml:space="preserve"> of its concluding observations. The Institute appreciates the Committee’s consideration of these issues when examining the 7</w:t>
      </w:r>
      <w:r w:rsidR="008606E7">
        <w:rPr>
          <w:vertAlign w:val="superscript"/>
        </w:rPr>
        <w:t>th</w:t>
      </w:r>
      <w:r w:rsidR="008606E7">
        <w:t xml:space="preserve"> periodic report of the Netherlands.</w:t>
      </w:r>
    </w:p>
    <w:p w14:paraId="463CF688" w14:textId="77777777" w:rsidR="00634891" w:rsidRDefault="00634891" w:rsidP="003E3A38">
      <w:pPr>
        <w:jc w:val="both"/>
      </w:pPr>
    </w:p>
    <w:p w14:paraId="2BCA9A98" w14:textId="194A29DF" w:rsidR="00634891" w:rsidRDefault="008606E7" w:rsidP="003E3A38">
      <w:pPr>
        <w:jc w:val="both"/>
      </w:pPr>
      <w:r>
        <w:t xml:space="preserve">The submission does not provide information on </w:t>
      </w:r>
      <w:r>
        <w:rPr>
          <w:i/>
        </w:rPr>
        <w:t>all</w:t>
      </w:r>
      <w:r>
        <w:t xml:space="preserve"> the issues raised in the List of Issues Prior to Reporting.</w:t>
      </w:r>
      <w:r>
        <w:rPr>
          <w:vertAlign w:val="superscript"/>
        </w:rPr>
        <w:footnoteReference w:id="1"/>
      </w:r>
      <w:r>
        <w:t xml:space="preserve"> </w:t>
      </w:r>
      <w:r w:rsidR="00B429EB">
        <w:t>The Institutes provides information on the most pressing concerns that came to its attention, while acknowledging that there may be other issues of concern to the Committee which other organisation</w:t>
      </w:r>
      <w:r w:rsidR="006B79C4">
        <w:t>s</w:t>
      </w:r>
      <w:r w:rsidR="00B429EB">
        <w:t xml:space="preserve"> may raise.  </w:t>
      </w:r>
    </w:p>
    <w:p w14:paraId="1699953C" w14:textId="77777777" w:rsidR="00634891" w:rsidRDefault="008606E7" w:rsidP="003E3A38">
      <w:r>
        <w:br w:type="page"/>
      </w:r>
    </w:p>
    <w:p w14:paraId="1CFED460" w14:textId="77777777" w:rsidR="00634891" w:rsidRDefault="008606E7">
      <w:pPr>
        <w:pStyle w:val="Heading1"/>
      </w:pPr>
      <w:bookmarkStart w:id="3" w:name="_Toc527121542"/>
      <w:r>
        <w:t>II. Comments of the Institute</w:t>
      </w:r>
      <w:bookmarkEnd w:id="3"/>
    </w:p>
    <w:p w14:paraId="7726157A" w14:textId="77777777" w:rsidR="00634891" w:rsidRDefault="00634891">
      <w:pPr>
        <w:rPr>
          <w:b/>
          <w:sz w:val="24"/>
          <w:szCs w:val="24"/>
        </w:rPr>
      </w:pPr>
    </w:p>
    <w:p w14:paraId="0B12E8C7" w14:textId="77777777" w:rsidR="00634891" w:rsidRDefault="008606E7">
      <w:pPr>
        <w:pStyle w:val="Heading2"/>
      </w:pPr>
      <w:bookmarkStart w:id="4" w:name="_Toc527121543"/>
      <w:r>
        <w:t>Article 2</w:t>
      </w:r>
      <w:bookmarkEnd w:id="4"/>
    </w:p>
    <w:p w14:paraId="0852920D" w14:textId="77777777" w:rsidR="00634891" w:rsidRDefault="008606E7">
      <w:pPr>
        <w:pStyle w:val="Heading3"/>
      </w:pPr>
      <w:bookmarkStart w:id="5" w:name="_Toc527121544"/>
      <w:r>
        <w:t>Domestic and gender-based violence</w:t>
      </w:r>
      <w:bookmarkEnd w:id="5"/>
    </w:p>
    <w:p w14:paraId="62B9C314" w14:textId="77777777" w:rsidR="00634891" w:rsidRDefault="00634891"/>
    <w:p w14:paraId="763B57C6" w14:textId="77777777" w:rsidR="00B429EB" w:rsidRDefault="00B429EB" w:rsidP="00B429EB">
      <w:pPr>
        <w:rPr>
          <w:i/>
        </w:rPr>
      </w:pPr>
      <w:r>
        <w:rPr>
          <w:i/>
        </w:rPr>
        <w:t>Women’s shelters</w:t>
      </w:r>
    </w:p>
    <w:p w14:paraId="5DA330F4" w14:textId="77777777" w:rsidR="00B429EB" w:rsidRDefault="00B429EB" w:rsidP="00B429EB"/>
    <w:p w14:paraId="5899DB61" w14:textId="5C664BBE" w:rsidR="00B429EB" w:rsidRDefault="00B429EB" w:rsidP="00B429EB">
      <w:r>
        <w:t xml:space="preserve">Domestic violence and violence against women continue to be </w:t>
      </w:r>
      <w:r w:rsidR="003E3A38">
        <w:t>major</w:t>
      </w:r>
      <w:r>
        <w:t xml:space="preserve"> problems in the Netherlands.</w:t>
      </w:r>
      <w:r>
        <w:rPr>
          <w:rStyle w:val="FootnoteReference"/>
        </w:rPr>
        <w:footnoteReference w:id="2"/>
      </w:r>
      <w:r w:rsidR="002D1369">
        <w:t xml:space="preserve"> Municipal authorities</w:t>
      </w:r>
      <w:r>
        <w:t xml:space="preserve"> are responsible for providing women’s shelters in situation where women need to flee </w:t>
      </w:r>
      <w:r w:rsidR="0069053D">
        <w:t>from</w:t>
      </w:r>
      <w:r>
        <w:t xml:space="preserve"> violence. These women find themselves in a very vulnerable situation</w:t>
      </w:r>
      <w:r w:rsidR="00C876F4">
        <w:t xml:space="preserve">, often bring children and sometimes have psychiatric problems as well. </w:t>
      </w:r>
      <w:r>
        <w:t xml:space="preserve">Several municipalities </w:t>
      </w:r>
      <w:r w:rsidR="0069053D">
        <w:t>have reduced</w:t>
      </w:r>
      <w:r>
        <w:t xml:space="preserve"> capacity at women’s shelters for financial reasons. It is policy to provide women ambulatory support whenever possible rather than admitting them to a shelter and provide treatment there. According to </w:t>
      </w:r>
      <w:r>
        <w:rPr>
          <w:i/>
        </w:rPr>
        <w:t>Federatie Opvang</w:t>
      </w:r>
      <w:r>
        <w:t xml:space="preserve"> (sector organisation for emergency accommodation, sheltered accommodation and women’s shelters) crisis relief cannot provide assistance to all women who need shelter.</w:t>
      </w:r>
      <w:r>
        <w:rPr>
          <w:vertAlign w:val="superscript"/>
        </w:rPr>
        <w:footnoteReference w:id="3"/>
      </w:r>
    </w:p>
    <w:p w14:paraId="2181F0CE" w14:textId="77777777" w:rsidR="00B429EB" w:rsidRDefault="00B429EB" w:rsidP="00B429EB"/>
    <w:p w14:paraId="10FFDD24" w14:textId="6C87877E" w:rsidR="00B429EB" w:rsidRDefault="00FD36A3" w:rsidP="00B429EB">
      <w:r>
        <w:t xml:space="preserve">One of the main concerns is that there is not sufficient availability for women trying to flee from a situation of violence since many women already living in these shelters are not able to find independent housing. </w:t>
      </w:r>
      <w:r w:rsidR="00B429EB">
        <w:t xml:space="preserve">Women often have to wait for new housing for a long time. Housing associations and municipalities point </w:t>
      </w:r>
      <w:r w:rsidR="002D1369">
        <w:t xml:space="preserve">the </w:t>
      </w:r>
      <w:r w:rsidR="00B429EB">
        <w:t xml:space="preserve">finger at each other. There is a social housing shortage and there are long housing waiting lists in the bigger cities. </w:t>
      </w:r>
      <w:r w:rsidR="00A3753C">
        <w:t>A significant number of these</w:t>
      </w:r>
      <w:r w:rsidR="00B429EB">
        <w:t xml:space="preserve"> wom</w:t>
      </w:r>
      <w:r w:rsidR="00A3753C">
        <w:t>e</w:t>
      </w:r>
      <w:r w:rsidR="00B429EB">
        <w:t xml:space="preserve">n </w:t>
      </w:r>
      <w:r w:rsidR="00A3753C">
        <w:t>have</w:t>
      </w:r>
      <w:r w:rsidR="00B429EB">
        <w:t xml:space="preserve"> financial debts, </w:t>
      </w:r>
      <w:r w:rsidR="00A3753C">
        <w:t>which makes it</w:t>
      </w:r>
      <w:r w:rsidR="00B429EB">
        <w:t xml:space="preserve"> impossible to obtain social housing.</w:t>
      </w:r>
      <w:r w:rsidR="00B429EB">
        <w:rPr>
          <w:vertAlign w:val="superscript"/>
        </w:rPr>
        <w:footnoteReference w:id="4"/>
      </w:r>
      <w:r w:rsidR="00B429EB">
        <w:t xml:space="preserve"> A working group has been established to find solutions for these problems.</w:t>
      </w:r>
      <w:r w:rsidR="00B429EB">
        <w:rPr>
          <w:vertAlign w:val="superscript"/>
        </w:rPr>
        <w:footnoteReference w:id="5"/>
      </w:r>
      <w:r w:rsidR="00B429EB">
        <w:t xml:space="preserve"> </w:t>
      </w:r>
    </w:p>
    <w:p w14:paraId="42D35A70" w14:textId="77777777" w:rsidR="00B429EB" w:rsidRDefault="00B429EB" w:rsidP="00B429EB"/>
    <w:p w14:paraId="169B05BC" w14:textId="2B6473B6" w:rsidR="002E6CE1" w:rsidRDefault="002E6CE1" w:rsidP="002E6CE1">
      <w:pPr>
        <w:pBdr>
          <w:top w:val="single" w:sz="4" w:space="1" w:color="000000"/>
          <w:left w:val="single" w:sz="4" w:space="4" w:color="000000"/>
          <w:bottom w:val="single" w:sz="4" w:space="1" w:color="000000"/>
          <w:right w:val="single" w:sz="4" w:space="4" w:color="000000"/>
        </w:pBdr>
        <w:rPr>
          <w:u w:val="single"/>
        </w:rPr>
      </w:pPr>
      <w:r>
        <w:rPr>
          <w:u w:val="single"/>
        </w:rPr>
        <w:t>Suggested question:</w:t>
      </w:r>
    </w:p>
    <w:p w14:paraId="5437B292" w14:textId="507038E4" w:rsidR="002E6CE1" w:rsidRDefault="002E6CE1" w:rsidP="002E6CE1">
      <w:pPr>
        <w:pBdr>
          <w:top w:val="single" w:sz="4" w:space="1" w:color="000000"/>
          <w:left w:val="single" w:sz="4" w:space="4" w:color="000000"/>
          <w:bottom w:val="single" w:sz="4" w:space="1" w:color="000000"/>
          <w:right w:val="single" w:sz="4" w:space="4" w:color="000000"/>
        </w:pBdr>
      </w:pPr>
      <w:r>
        <w:t>What measures do central and local government take to guarantee that all those who are in need of protection have immediate access to and can be accommodated in a shelter and have access to all necessary support services?</w:t>
      </w:r>
    </w:p>
    <w:p w14:paraId="2612ED30" w14:textId="77777777" w:rsidR="002E6CE1" w:rsidRDefault="002E6CE1" w:rsidP="00B429EB"/>
    <w:p w14:paraId="4141428B" w14:textId="77777777" w:rsidR="00B429EB" w:rsidRDefault="00B429EB" w:rsidP="00B429EB">
      <w:pPr>
        <w:rPr>
          <w:i/>
        </w:rPr>
      </w:pPr>
      <w:r>
        <w:rPr>
          <w:i/>
        </w:rPr>
        <w:t>Safe at Home</w:t>
      </w:r>
    </w:p>
    <w:p w14:paraId="7FA2AFC0" w14:textId="77777777" w:rsidR="00B429EB" w:rsidRDefault="00B429EB" w:rsidP="00B429EB"/>
    <w:p w14:paraId="1F3D501D" w14:textId="7CB2A1D6" w:rsidR="00B429EB" w:rsidRDefault="00B429EB" w:rsidP="00B429EB">
      <w:r>
        <w:t>Safe at Home (</w:t>
      </w:r>
      <w:r>
        <w:rPr>
          <w:i/>
        </w:rPr>
        <w:t>Veilig Thuis</w:t>
      </w:r>
      <w:r>
        <w:t xml:space="preserve">) is the advice and contact point on domestic violence and violence against children. It is composed of regional organisations where victims, perpetrators and third parties (including professionals) can seek expert advice and assistance. The Inspectorate for Youth Care and the Inspectorate for Health Care </w:t>
      </w:r>
      <w:r w:rsidR="002D1369">
        <w:t>noted</w:t>
      </w:r>
      <w:r>
        <w:t xml:space="preserve"> that Safe at Home organisa</w:t>
      </w:r>
      <w:r w:rsidR="00744767">
        <w:t>tions are ‘sufficiently to well-</w:t>
      </w:r>
      <w:r>
        <w:t xml:space="preserve">equipped to assess reports of domestic violence and violence against children, to investigate these reports carefully and if needed </w:t>
      </w:r>
      <w:r w:rsidR="002D1369">
        <w:t xml:space="preserve">on a </w:t>
      </w:r>
      <w:r>
        <w:t>multidisciplinary</w:t>
      </w:r>
      <w:r w:rsidR="002D1369">
        <w:t xml:space="preserve"> basis</w:t>
      </w:r>
      <w:r>
        <w:t xml:space="preserve">, and to initiate subsequent course of action, </w:t>
      </w:r>
      <w:r w:rsidR="002D1369">
        <w:t>as required</w:t>
      </w:r>
      <w:r>
        <w:t xml:space="preserve">.’ However, </w:t>
      </w:r>
      <w:r w:rsidR="002D1369">
        <w:t xml:space="preserve">according to the Inspectorates, </w:t>
      </w:r>
      <w:r>
        <w:t xml:space="preserve">the ability of Safe at Home organisations to handle all reports within the statutory periods </w:t>
      </w:r>
      <w:r w:rsidR="00375C68">
        <w:t xml:space="preserve">of ten weeks after triage, </w:t>
      </w:r>
      <w:r>
        <w:t>remains under pressure.</w:t>
      </w:r>
      <w:r>
        <w:rPr>
          <w:vertAlign w:val="superscript"/>
        </w:rPr>
        <w:t xml:space="preserve"> </w:t>
      </w:r>
      <w:r>
        <w:rPr>
          <w:vertAlign w:val="superscript"/>
        </w:rPr>
        <w:footnoteReference w:id="6"/>
      </w:r>
      <w:r>
        <w:rPr>
          <w:vertAlign w:val="superscript"/>
        </w:rPr>
        <w:t xml:space="preserve"> </w:t>
      </w:r>
      <w:r>
        <w:t xml:space="preserve">This is partly due to the fluctuation </w:t>
      </w:r>
      <w:r w:rsidR="002D1369">
        <w:t>in the</w:t>
      </w:r>
      <w:r>
        <w:t xml:space="preserve"> influx, which can result in waiting lists. Five out of 26 ‘Safe at Home’ support services have a waiting list.</w:t>
      </w:r>
      <w:r>
        <w:rPr>
          <w:vertAlign w:val="superscript"/>
        </w:rPr>
        <w:t xml:space="preserve"> </w:t>
      </w:r>
      <w:r>
        <w:rPr>
          <w:vertAlign w:val="superscript"/>
        </w:rPr>
        <w:footnoteReference w:id="7"/>
      </w:r>
      <w:r>
        <w:t xml:space="preserve"> Those waiting lists are considered a safety concern, according to the Inspectorates.</w:t>
      </w:r>
      <w:r>
        <w:rPr>
          <w:vertAlign w:val="superscript"/>
        </w:rPr>
        <w:footnoteReference w:id="8"/>
      </w:r>
      <w:r>
        <w:t xml:space="preserve"> </w:t>
      </w:r>
    </w:p>
    <w:p w14:paraId="0E3729A7" w14:textId="77777777" w:rsidR="00B429EB" w:rsidRDefault="00B429EB" w:rsidP="00B429EB"/>
    <w:p w14:paraId="0A140A55" w14:textId="7B166AFA" w:rsidR="00B429EB" w:rsidRDefault="00B429EB" w:rsidP="002E6CE1">
      <w:pPr>
        <w:pBdr>
          <w:top w:val="single" w:sz="4" w:space="1" w:color="000000"/>
          <w:left w:val="single" w:sz="4" w:space="4" w:color="000000"/>
          <w:bottom w:val="single" w:sz="4" w:space="1" w:color="000000"/>
          <w:right w:val="single" w:sz="4" w:space="4" w:color="000000"/>
        </w:pBdr>
      </w:pPr>
      <w:r>
        <w:rPr>
          <w:u w:val="single"/>
        </w:rPr>
        <w:t>Suggest</w:t>
      </w:r>
      <w:r w:rsidR="002D1369">
        <w:rPr>
          <w:u w:val="single"/>
        </w:rPr>
        <w:t xml:space="preserve">ed </w:t>
      </w:r>
      <w:r w:rsidR="002E6CE1">
        <w:rPr>
          <w:u w:val="single"/>
        </w:rPr>
        <w:t>question</w:t>
      </w:r>
      <w:r>
        <w:rPr>
          <w:u w:val="single"/>
        </w:rPr>
        <w:t>:</w:t>
      </w:r>
    </w:p>
    <w:p w14:paraId="67D35F2C" w14:textId="77777777" w:rsidR="00B429EB" w:rsidRDefault="00B429EB" w:rsidP="00B429EB">
      <w:pPr>
        <w:pBdr>
          <w:top w:val="single" w:sz="4" w:space="1" w:color="000000"/>
          <w:left w:val="single" w:sz="4" w:space="4" w:color="000000"/>
          <w:bottom w:val="single" w:sz="4" w:space="1" w:color="000000"/>
          <w:right w:val="single" w:sz="4" w:space="4" w:color="000000"/>
        </w:pBdr>
      </w:pPr>
      <w:r>
        <w:t xml:space="preserve">What measures does the government take to guarantee that Safe at Home organisations have the necessary capacity and expertise to deal with all reports of domestic violence and violence against children in a timely manner? </w:t>
      </w:r>
    </w:p>
    <w:p w14:paraId="303C0AE5" w14:textId="77777777" w:rsidR="00634891" w:rsidRDefault="00634891"/>
    <w:p w14:paraId="0A7ACC6F" w14:textId="77777777" w:rsidR="00634891" w:rsidRDefault="008606E7">
      <w:pPr>
        <w:pStyle w:val="Heading3"/>
      </w:pPr>
      <w:bookmarkStart w:id="6" w:name="_Toc527121545"/>
      <w:r>
        <w:t>Trafficking in human beings</w:t>
      </w:r>
      <w:bookmarkEnd w:id="6"/>
    </w:p>
    <w:p w14:paraId="24017E9D" w14:textId="77777777" w:rsidR="00634891" w:rsidRDefault="00634891"/>
    <w:p w14:paraId="68632107" w14:textId="77777777" w:rsidR="00634891" w:rsidRDefault="008606E7">
      <w:pPr>
        <w:rPr>
          <w:i/>
        </w:rPr>
      </w:pPr>
      <w:r>
        <w:rPr>
          <w:i/>
        </w:rPr>
        <w:t>Victim registration and exchange of information</w:t>
      </w:r>
    </w:p>
    <w:p w14:paraId="3DF6FB22" w14:textId="77777777" w:rsidR="00634891" w:rsidRDefault="00634891"/>
    <w:p w14:paraId="470D2F47" w14:textId="7B6BDB93" w:rsidR="00634891" w:rsidRDefault="008606E7">
      <w:r>
        <w:t>Over the last few years, there has been a decline in the number of registered victims of trafficking in human beings. There is a general consensus that this does not reflect an actual decline in number of victims,</w:t>
      </w:r>
      <w:r>
        <w:rPr>
          <w:vertAlign w:val="superscript"/>
        </w:rPr>
        <w:footnoteReference w:id="9"/>
      </w:r>
      <w:r>
        <w:t xml:space="preserve"> bu</w:t>
      </w:r>
      <w:r w:rsidR="00A7538A">
        <w:t xml:space="preserve">t is rather a consequence of – </w:t>
      </w:r>
      <w:r>
        <w:t>inter alia – reorganisations and shift in focus towards other issues</w:t>
      </w:r>
      <w:r w:rsidR="00B429EB">
        <w:t xml:space="preserve"> by the police</w:t>
      </w:r>
      <w:r>
        <w:t>.</w:t>
      </w:r>
      <w:r>
        <w:rPr>
          <w:vertAlign w:val="superscript"/>
        </w:rPr>
        <w:footnoteReference w:id="10"/>
      </w:r>
      <w:r>
        <w:t xml:space="preserve"> The </w:t>
      </w:r>
      <w:r w:rsidR="00C44C24">
        <w:t xml:space="preserve">former </w:t>
      </w:r>
      <w:r>
        <w:t>Minister of Security and Justice has underlined that renewed investment is needed to combat trafficking in human beings.</w:t>
      </w:r>
      <w:r>
        <w:rPr>
          <w:vertAlign w:val="superscript"/>
        </w:rPr>
        <w:footnoteReference w:id="11"/>
      </w:r>
      <w:r>
        <w:t xml:space="preserve"> </w:t>
      </w:r>
      <w:r w:rsidR="00B429EB">
        <w:t>The Institute underlines the importance of</w:t>
      </w:r>
      <w:r>
        <w:t xml:space="preserve"> </w:t>
      </w:r>
      <w:r w:rsidR="00B429EB">
        <w:t>reprioritisation of</w:t>
      </w:r>
      <w:r w:rsidR="00C44C24">
        <w:t xml:space="preserve"> this issue,</w:t>
      </w:r>
      <w:r>
        <w:t xml:space="preserve"> in order to reach more realistic numbers of victim registration.</w:t>
      </w:r>
      <w:r w:rsidR="00B429EB">
        <w:t xml:space="preserve"> Furthermore, thresholds for victims to report trafficking to the police should be removed.</w:t>
      </w:r>
    </w:p>
    <w:p w14:paraId="5FDB8E28" w14:textId="77777777" w:rsidR="00634891" w:rsidRDefault="00634891"/>
    <w:p w14:paraId="04E98CCC" w14:textId="77777777" w:rsidR="00634891" w:rsidRDefault="008606E7">
      <w:r>
        <w:t>An obstacle to effective combating of trafficking is the (lack of) sharing of information between organisations and sectors. Different (types of) organisations may be involved, such as organisations in the care sector, monitoring bodies, investigatory authorities and municipalities. For privacy reasons, the possibilities to share information on victims are very restricted. Recently, two district courts ruled that the current legal basis is insufficient for such sharing of information.</w:t>
      </w:r>
      <w:r>
        <w:rPr>
          <w:vertAlign w:val="superscript"/>
        </w:rPr>
        <w:footnoteReference w:id="12"/>
      </w:r>
      <w:r>
        <w:t xml:space="preserve"> This implies that a new legal basis is required, with sufficient safeguards to protect the privacy of the victims involved </w:t>
      </w:r>
      <w:r w:rsidR="00A7538A">
        <w:t>and</w:t>
      </w:r>
      <w:r>
        <w:t xml:space="preserve"> at the same time allowing for more effective measures against trafficking in human beings through exchange of information. The National Rapporteur on Trafficking in Human Beings and Sexual Violence against Children repeatedly recommended the government to create such a legal basis.</w:t>
      </w:r>
      <w:r>
        <w:rPr>
          <w:vertAlign w:val="superscript"/>
        </w:rPr>
        <w:footnoteReference w:id="13"/>
      </w:r>
      <w:r>
        <w:t xml:space="preserve"> A recent draft framework Bill on the exchange of information lacks fundamental safeguards</w:t>
      </w:r>
      <w:r w:rsidR="00C44C24">
        <w:t xml:space="preserve"> to protect the privacy of those involved</w:t>
      </w:r>
      <w:r>
        <w:t xml:space="preserve"> and </w:t>
      </w:r>
      <w:r w:rsidR="00C44C24">
        <w:t>is</w:t>
      </w:r>
      <w:r>
        <w:t xml:space="preserve"> therefore </w:t>
      </w:r>
      <w:r w:rsidR="00C44C24">
        <w:t xml:space="preserve">not </w:t>
      </w:r>
      <w:r>
        <w:t>a proper legal basis for such information exchange.</w:t>
      </w:r>
      <w:r>
        <w:rPr>
          <w:vertAlign w:val="superscript"/>
        </w:rPr>
        <w:footnoteReference w:id="14"/>
      </w:r>
    </w:p>
    <w:p w14:paraId="0ECB0FAE" w14:textId="77777777" w:rsidR="00634891" w:rsidRDefault="00634891"/>
    <w:p w14:paraId="1F254813" w14:textId="74CBB117"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2D1369">
        <w:rPr>
          <w:u w:val="single"/>
        </w:rPr>
        <w:t xml:space="preserve">ed </w:t>
      </w:r>
      <w:r>
        <w:rPr>
          <w:u w:val="single"/>
        </w:rPr>
        <w:t>question</w:t>
      </w:r>
      <w:r w:rsidR="002D1369">
        <w:rPr>
          <w:u w:val="single"/>
        </w:rPr>
        <w:t>s</w:t>
      </w:r>
      <w:r>
        <w:rPr>
          <w:u w:val="single"/>
        </w:rPr>
        <w:t>:</w:t>
      </w:r>
    </w:p>
    <w:p w14:paraId="486F47B5" w14:textId="77777777" w:rsidR="00B429EB" w:rsidRDefault="00B429EB" w:rsidP="00B429EB">
      <w:pPr>
        <w:pBdr>
          <w:top w:val="single" w:sz="4" w:space="1" w:color="000000"/>
          <w:left w:val="single" w:sz="4" w:space="4" w:color="000000"/>
          <w:bottom w:val="single" w:sz="4" w:space="1" w:color="000000"/>
          <w:right w:val="single" w:sz="4" w:space="4" w:color="000000"/>
        </w:pBdr>
      </w:pPr>
      <w:r>
        <w:t>How will the government remove thresholds for victims to report trafficking to the police?</w:t>
      </w:r>
    </w:p>
    <w:p w14:paraId="701ED380" w14:textId="77777777" w:rsidR="00B429EB" w:rsidRDefault="00B429EB">
      <w:pPr>
        <w:pBdr>
          <w:top w:val="single" w:sz="4" w:space="1" w:color="000000"/>
          <w:left w:val="single" w:sz="4" w:space="4" w:color="000000"/>
          <w:bottom w:val="single" w:sz="4" w:space="1" w:color="000000"/>
          <w:right w:val="single" w:sz="4" w:space="4" w:color="000000"/>
        </w:pBdr>
      </w:pPr>
    </w:p>
    <w:p w14:paraId="04510506" w14:textId="69A4D327" w:rsidR="00B429EB" w:rsidRDefault="008606E7">
      <w:pPr>
        <w:pBdr>
          <w:top w:val="single" w:sz="4" w:space="1" w:color="000000"/>
          <w:left w:val="single" w:sz="4" w:space="4" w:color="000000"/>
          <w:bottom w:val="single" w:sz="4" w:space="1" w:color="000000"/>
          <w:right w:val="single" w:sz="4" w:space="4" w:color="000000"/>
        </w:pBdr>
      </w:pPr>
      <w:r>
        <w:t xml:space="preserve">How will the government </w:t>
      </w:r>
      <w:r w:rsidR="00A7538A">
        <w:t>facilitate</w:t>
      </w:r>
      <w:r>
        <w:t xml:space="preserve"> different organisations and sectors to exchange relevant information regarding (victims of) trafficking in the future, while respecting the right to privacy of victims of trafficking in law and practice?</w:t>
      </w:r>
    </w:p>
    <w:p w14:paraId="74C53311" w14:textId="77777777" w:rsidR="00634891" w:rsidRDefault="00634891"/>
    <w:p w14:paraId="4C45030B" w14:textId="77777777" w:rsidR="00634891" w:rsidRDefault="008606E7">
      <w:pPr>
        <w:rPr>
          <w:i/>
        </w:rPr>
      </w:pPr>
      <w:r>
        <w:rPr>
          <w:i/>
        </w:rPr>
        <w:t>Role of municipalities</w:t>
      </w:r>
    </w:p>
    <w:p w14:paraId="0E929E2E" w14:textId="77777777" w:rsidR="00634891" w:rsidRDefault="00634891"/>
    <w:p w14:paraId="29CB14BE" w14:textId="01654B34" w:rsidR="00634891" w:rsidRDefault="008606E7">
      <w:r>
        <w:t xml:space="preserve">Municipalities play an important role in </w:t>
      </w:r>
      <w:r w:rsidR="00A7538A">
        <w:t>combatting</w:t>
      </w:r>
      <w:r>
        <w:t xml:space="preserve"> trafficking in human beings, as the central government decentralized core tasks to municipalities. Nearly 400 municipalities in the Netherlands may decide for themselves how they shape policy against trafficking and how they provide support for victims. Research by the National Rapporteur shows that over a third of the participating municipalities </w:t>
      </w:r>
      <w:r w:rsidR="00D94451">
        <w:t>did not know</w:t>
      </w:r>
      <w:r>
        <w:t xml:space="preserve"> </w:t>
      </w:r>
      <w:r w:rsidR="00D94451">
        <w:t>if</w:t>
      </w:r>
      <w:r>
        <w:t xml:space="preserve"> trafficking </w:t>
      </w:r>
      <w:r w:rsidR="00D94451">
        <w:t xml:space="preserve">occurred </w:t>
      </w:r>
      <w:r>
        <w:t>in their municipality.</w:t>
      </w:r>
      <w:r>
        <w:rPr>
          <w:vertAlign w:val="superscript"/>
        </w:rPr>
        <w:footnoteReference w:id="15"/>
      </w:r>
      <w:r>
        <w:t xml:space="preserve"> The level of awareness of the issue seems to influence whether or not a municipality has a policy on human trafficking. In only 4.5% of the municipalities a specific policy on trafficking in human beings was formulated.</w:t>
      </w:r>
    </w:p>
    <w:p w14:paraId="6EE7822E" w14:textId="77777777" w:rsidR="00634891" w:rsidRDefault="00634891"/>
    <w:p w14:paraId="427A11A7" w14:textId="4D4A73BC" w:rsidR="00634891" w:rsidRDefault="008606E7">
      <w:r>
        <w:t>A positive development is the attention for human trafficking in the 2018 Intergovernmental Programme [</w:t>
      </w:r>
      <w:r>
        <w:rPr>
          <w:i/>
        </w:rPr>
        <w:t>Interbestuurlijk programma</w:t>
      </w:r>
      <w:r>
        <w:t>] of the central government, provinces, municipalities and water authorities.</w:t>
      </w:r>
      <w:r>
        <w:rPr>
          <w:vertAlign w:val="superscript"/>
        </w:rPr>
        <w:footnoteReference w:id="16"/>
      </w:r>
      <w:r>
        <w:t xml:space="preserve"> This programme explicitly mentions that all municipalities should have a policy on trafficking in four years.</w:t>
      </w:r>
      <w:r>
        <w:rPr>
          <w:vertAlign w:val="superscript"/>
        </w:rPr>
        <w:footnoteReference w:id="17"/>
      </w:r>
      <w:r>
        <w:t xml:space="preserve"> </w:t>
      </w:r>
      <w:r w:rsidR="00D94451">
        <w:t xml:space="preserve">Such a policy can address issues such as shelter, support and care for victims of trafficking in human beings. </w:t>
      </w:r>
      <w:r>
        <w:t xml:space="preserve">It will be important for these policies to not only exist on paper, but be effectively </w:t>
      </w:r>
      <w:r w:rsidR="002D1369">
        <w:t>put into</w:t>
      </w:r>
      <w:r>
        <w:t xml:space="preserve"> practice. While municipalities should ensure this, the obligation for effective implementation of EU directive 2011/36/EU remains the central government’s responsibility.</w:t>
      </w:r>
    </w:p>
    <w:p w14:paraId="6003FFB8" w14:textId="77777777" w:rsidR="00634891" w:rsidRDefault="00634891"/>
    <w:p w14:paraId="14761DB3" w14:textId="069F8234"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2D1369">
        <w:rPr>
          <w:u w:val="single"/>
        </w:rPr>
        <w:t xml:space="preserve">ed </w:t>
      </w:r>
      <w:r>
        <w:rPr>
          <w:u w:val="single"/>
        </w:rPr>
        <w:t>questions:</w:t>
      </w:r>
    </w:p>
    <w:p w14:paraId="125E0611" w14:textId="72FE82B8" w:rsidR="00634891" w:rsidRDefault="008606E7">
      <w:pPr>
        <w:pBdr>
          <w:top w:val="single" w:sz="4" w:space="1" w:color="000000"/>
          <w:left w:val="single" w:sz="4" w:space="4" w:color="000000"/>
          <w:bottom w:val="single" w:sz="4" w:space="1" w:color="000000"/>
          <w:right w:val="single" w:sz="4" w:space="4" w:color="000000"/>
        </w:pBdr>
      </w:pPr>
      <w:r>
        <w:t xml:space="preserve">How will the government – both local and central – ensure that anti-trafficking policies of municipalities are created and effectively </w:t>
      </w:r>
      <w:r w:rsidR="002D1369">
        <w:t>put into</w:t>
      </w:r>
      <w:r>
        <w:t xml:space="preserve"> practice? What role does the central government see for itself?</w:t>
      </w:r>
    </w:p>
    <w:p w14:paraId="3C1B69D5" w14:textId="77777777" w:rsidR="00634891" w:rsidRDefault="00634891"/>
    <w:p w14:paraId="02B7D7F1" w14:textId="77777777" w:rsidR="00634891" w:rsidRDefault="008606E7">
      <w:pPr>
        <w:rPr>
          <w:i/>
        </w:rPr>
      </w:pPr>
      <w:r>
        <w:rPr>
          <w:i/>
        </w:rPr>
        <w:t>Future challenges</w:t>
      </w:r>
    </w:p>
    <w:p w14:paraId="61E3D792" w14:textId="77777777" w:rsidR="00634891" w:rsidRDefault="00634891"/>
    <w:p w14:paraId="7CD1DD85" w14:textId="3C01BDB5" w:rsidR="00634891" w:rsidRDefault="000C2FA4">
      <w:r>
        <w:t>T</w:t>
      </w:r>
      <w:r w:rsidR="008606E7">
        <w:t xml:space="preserve">he Institute would like to draw attention to a number of challenges for the future. Firstly, it will become increasingly important to establish cooperation with organisations that do not have a particular mandate on combating trafficking, such as schools and the care sector. </w:t>
      </w:r>
      <w:r w:rsidR="00375C68">
        <w:t xml:space="preserve">Those organisations are often in a position to either identify or assist victims of trafficking, but do not have a particular mandate to do so. </w:t>
      </w:r>
      <w:r w:rsidR="008606E7">
        <w:t xml:space="preserve">To ensure effective measures against trafficking, it </w:t>
      </w:r>
      <w:r w:rsidR="00A7538A">
        <w:t xml:space="preserve">is </w:t>
      </w:r>
      <w:r w:rsidR="008606E7">
        <w:t xml:space="preserve">necessary to include these different organisations to </w:t>
      </w:r>
      <w:r w:rsidR="002D1369">
        <w:t>achieve</w:t>
      </w:r>
      <w:r w:rsidR="008606E7">
        <w:t xml:space="preserve"> an integral approach.</w:t>
      </w:r>
    </w:p>
    <w:p w14:paraId="1A2C3439" w14:textId="77777777" w:rsidR="00634891" w:rsidRDefault="00634891"/>
    <w:p w14:paraId="2CDC40C1" w14:textId="6A64D7AA" w:rsidR="00634891" w:rsidRDefault="008606E7">
      <w:r>
        <w:t xml:space="preserve">Secondly, </w:t>
      </w:r>
      <w:r w:rsidR="002D1369">
        <w:t>it</w:t>
      </w:r>
      <w:r>
        <w:t xml:space="preserve"> seems </w:t>
      </w:r>
      <w:r w:rsidR="002D1369">
        <w:t xml:space="preserve">that </w:t>
      </w:r>
      <w:r>
        <w:t xml:space="preserve">less attention </w:t>
      </w:r>
      <w:r w:rsidR="002D1369">
        <w:t>is being paid to the</w:t>
      </w:r>
      <w:r>
        <w:t xml:space="preserve"> prevention of labour exploitation and criminal exploitation than sexual exploitation. </w:t>
      </w:r>
      <w:r w:rsidR="00A7538A">
        <w:t>With</w:t>
      </w:r>
      <w:r>
        <w:t xml:space="preserve"> labour and criminal exploitation</w:t>
      </w:r>
      <w:r w:rsidR="00A7538A">
        <w:t>, the focus</w:t>
      </w:r>
      <w:r>
        <w:t xml:space="preserve"> lies mostly on (criminal) investigation. Yet</w:t>
      </w:r>
      <w:r w:rsidR="007A73C1">
        <w:t>,</w:t>
      </w:r>
      <w:r>
        <w:t xml:space="preserve"> these forms of exploitation also require preventive measures and their victims need assistance, protection and support.</w:t>
      </w:r>
      <w:r w:rsidR="00C44C24">
        <w:t xml:space="preserve"> Preventi</w:t>
      </w:r>
      <w:r w:rsidR="002D1369">
        <w:t xml:space="preserve">ng </w:t>
      </w:r>
      <w:r w:rsidR="00C44C24">
        <w:t>labour exploitation and criminal exploitation</w:t>
      </w:r>
      <w:r>
        <w:t xml:space="preserve"> should </w:t>
      </w:r>
      <w:r w:rsidR="002D1369">
        <w:t>be given more political</w:t>
      </w:r>
      <w:r>
        <w:t xml:space="preserve"> attention in the future.</w:t>
      </w:r>
    </w:p>
    <w:p w14:paraId="0FB47863" w14:textId="77777777" w:rsidR="00176E5F" w:rsidRDefault="00176E5F"/>
    <w:p w14:paraId="197B1FA5" w14:textId="10E74E39" w:rsidR="00176E5F" w:rsidRPr="003E3A38" w:rsidRDefault="00176E5F" w:rsidP="00176E5F">
      <w:pPr>
        <w:pBdr>
          <w:top w:val="single" w:sz="4" w:space="1" w:color="auto"/>
          <w:left w:val="single" w:sz="4" w:space="4" w:color="auto"/>
          <w:bottom w:val="single" w:sz="4" w:space="1" w:color="auto"/>
          <w:right w:val="single" w:sz="4" w:space="4" w:color="auto"/>
        </w:pBdr>
        <w:rPr>
          <w:u w:val="single"/>
        </w:rPr>
      </w:pPr>
      <w:r w:rsidRPr="003E3A38">
        <w:rPr>
          <w:u w:val="single"/>
        </w:rPr>
        <w:t>Suggestion for a question:</w:t>
      </w:r>
    </w:p>
    <w:p w14:paraId="2379C0D4" w14:textId="60424DEA" w:rsidR="00176E5F" w:rsidRDefault="00176E5F" w:rsidP="00176E5F">
      <w:pPr>
        <w:pBdr>
          <w:top w:val="single" w:sz="4" w:space="1" w:color="auto"/>
          <w:left w:val="single" w:sz="4" w:space="4" w:color="auto"/>
          <w:bottom w:val="single" w:sz="4" w:space="1" w:color="auto"/>
          <w:right w:val="single" w:sz="4" w:space="4" w:color="auto"/>
        </w:pBdr>
      </w:pPr>
      <w:r>
        <w:t>How will the government ensure more attention for preventi</w:t>
      </w:r>
      <w:r w:rsidR="002D1369">
        <w:t xml:space="preserve">on of </w:t>
      </w:r>
      <w:r>
        <w:t>labour exploitation and criminal exploitation?</w:t>
      </w:r>
    </w:p>
    <w:p w14:paraId="18AD01FC" w14:textId="77777777" w:rsidR="00634891" w:rsidRDefault="00634891"/>
    <w:p w14:paraId="4031DA2B" w14:textId="77777777" w:rsidR="00634891" w:rsidRDefault="008606E7">
      <w:pPr>
        <w:pStyle w:val="Heading3"/>
      </w:pPr>
      <w:bookmarkStart w:id="7" w:name="_Toc527121546"/>
      <w:r>
        <w:t>National Preventive Mechanism</w:t>
      </w:r>
      <w:bookmarkEnd w:id="7"/>
    </w:p>
    <w:p w14:paraId="538B713F" w14:textId="77777777" w:rsidR="00634891" w:rsidRDefault="00634891"/>
    <w:p w14:paraId="27845E9F" w14:textId="77777777" w:rsidR="00634891" w:rsidRDefault="008606E7">
      <w:r>
        <w:t>The Dutch National Preventive Mechanism (NPM), designated after ratification of the Optional Protocol to the Convention against Torture and other forms of cruel, inhuman or degrading treatment or punishment (OPCAT), currently consists of the following organisations:</w:t>
      </w:r>
    </w:p>
    <w:p w14:paraId="1C2EC059" w14:textId="77777777" w:rsidR="00634891" w:rsidRDefault="008606E7">
      <w:pPr>
        <w:numPr>
          <w:ilvl w:val="0"/>
          <w:numId w:val="1"/>
        </w:numPr>
        <w:pBdr>
          <w:top w:val="nil"/>
          <w:left w:val="nil"/>
          <w:bottom w:val="nil"/>
          <w:right w:val="nil"/>
          <w:between w:val="nil"/>
        </w:pBdr>
        <w:contextualSpacing/>
        <w:rPr>
          <w:color w:val="000000"/>
        </w:rPr>
      </w:pPr>
      <w:r>
        <w:rPr>
          <w:color w:val="000000"/>
        </w:rPr>
        <w:t>The Inspectorate for Justice and Security (coordinator);</w:t>
      </w:r>
    </w:p>
    <w:p w14:paraId="4895CDDB" w14:textId="77777777" w:rsidR="00634891" w:rsidRDefault="008606E7">
      <w:pPr>
        <w:numPr>
          <w:ilvl w:val="0"/>
          <w:numId w:val="1"/>
        </w:numPr>
        <w:pBdr>
          <w:top w:val="nil"/>
          <w:left w:val="nil"/>
          <w:bottom w:val="nil"/>
          <w:right w:val="nil"/>
          <w:between w:val="nil"/>
        </w:pBdr>
        <w:contextualSpacing/>
        <w:rPr>
          <w:color w:val="000000"/>
        </w:rPr>
      </w:pPr>
      <w:r>
        <w:rPr>
          <w:color w:val="000000"/>
        </w:rPr>
        <w:t>The Inspectorate for Health Care and Youth (a merger between the Inspectorate for Health Care and the Inspectorate for Youth Care);</w:t>
      </w:r>
    </w:p>
    <w:p w14:paraId="360714E3" w14:textId="77777777" w:rsidR="00634891" w:rsidRDefault="008606E7">
      <w:pPr>
        <w:numPr>
          <w:ilvl w:val="0"/>
          <w:numId w:val="1"/>
        </w:numPr>
        <w:pBdr>
          <w:top w:val="nil"/>
          <w:left w:val="nil"/>
          <w:bottom w:val="nil"/>
          <w:right w:val="nil"/>
          <w:between w:val="nil"/>
        </w:pBdr>
        <w:contextualSpacing/>
        <w:rPr>
          <w:color w:val="000000"/>
        </w:rPr>
      </w:pPr>
      <w:r>
        <w:rPr>
          <w:color w:val="000000"/>
        </w:rPr>
        <w:t>The Council for the Administration of Criminal Justice and Protection of Juveniles (hereafter: RSJ).</w:t>
      </w:r>
    </w:p>
    <w:p w14:paraId="48B9297F" w14:textId="77777777" w:rsidR="00634891" w:rsidRDefault="008606E7">
      <w:r>
        <w:t>The additional associates that attend th</w:t>
      </w:r>
      <w:r w:rsidR="00F21F07">
        <w:t>e meetings of the NPM (meetings</w:t>
      </w:r>
      <w:r>
        <w:t xml:space="preserve"> are held four times a year), are:</w:t>
      </w:r>
    </w:p>
    <w:p w14:paraId="0279CF99" w14:textId="77777777" w:rsidR="00634891" w:rsidRDefault="008606E7">
      <w:pPr>
        <w:numPr>
          <w:ilvl w:val="0"/>
          <w:numId w:val="1"/>
        </w:numPr>
        <w:pBdr>
          <w:top w:val="nil"/>
          <w:left w:val="nil"/>
          <w:bottom w:val="nil"/>
          <w:right w:val="nil"/>
          <w:between w:val="nil"/>
        </w:pBdr>
        <w:contextualSpacing/>
        <w:rPr>
          <w:color w:val="000000"/>
        </w:rPr>
      </w:pPr>
      <w:r>
        <w:rPr>
          <w:color w:val="000000"/>
        </w:rPr>
        <w:t xml:space="preserve">Commissions of oversight for penitentiary institutions </w:t>
      </w:r>
    </w:p>
    <w:p w14:paraId="161DC79F" w14:textId="77777777" w:rsidR="00634891" w:rsidRDefault="008606E7">
      <w:pPr>
        <w:numPr>
          <w:ilvl w:val="0"/>
          <w:numId w:val="1"/>
        </w:numPr>
        <w:pBdr>
          <w:top w:val="nil"/>
          <w:left w:val="nil"/>
          <w:bottom w:val="nil"/>
          <w:right w:val="nil"/>
          <w:between w:val="nil"/>
        </w:pBdr>
        <w:contextualSpacing/>
        <w:rPr>
          <w:color w:val="000000"/>
        </w:rPr>
      </w:pPr>
      <w:r>
        <w:rPr>
          <w:color w:val="000000"/>
        </w:rPr>
        <w:t xml:space="preserve">Commissions of oversight for police custody </w:t>
      </w:r>
    </w:p>
    <w:p w14:paraId="0F7FEA98" w14:textId="77777777" w:rsidR="00634891" w:rsidRDefault="008606E7">
      <w:pPr>
        <w:numPr>
          <w:ilvl w:val="0"/>
          <w:numId w:val="1"/>
        </w:numPr>
        <w:pBdr>
          <w:top w:val="nil"/>
          <w:left w:val="nil"/>
          <w:bottom w:val="nil"/>
          <w:right w:val="nil"/>
          <w:between w:val="nil"/>
        </w:pBdr>
        <w:contextualSpacing/>
        <w:rPr>
          <w:color w:val="000000"/>
        </w:rPr>
      </w:pPr>
      <w:r>
        <w:rPr>
          <w:color w:val="000000"/>
        </w:rPr>
        <w:t xml:space="preserve">Detention Areas Supervisory Commission of the Royal Netherlands Marechaussee </w:t>
      </w:r>
    </w:p>
    <w:p w14:paraId="39578CCE" w14:textId="77777777" w:rsidR="00634891" w:rsidRDefault="00634891"/>
    <w:p w14:paraId="6EC18E87" w14:textId="158027BE" w:rsidR="00634891" w:rsidRDefault="008606E7">
      <w:r>
        <w:t xml:space="preserve">In practice, RSJ no longer attends NPM meetings since they sent a letter to the Minister and the NPM, expressing their disapproval of the latter’s </w:t>
      </w:r>
      <w:r w:rsidR="002D1369">
        <w:t>performance</w:t>
      </w:r>
      <w:r>
        <w:t>.</w:t>
      </w:r>
    </w:p>
    <w:p w14:paraId="1285CD21" w14:textId="77777777" w:rsidR="00634891" w:rsidRDefault="00634891"/>
    <w:p w14:paraId="321B16AC" w14:textId="77777777" w:rsidR="00634891" w:rsidRDefault="008606E7">
      <w:r>
        <w:rPr>
          <w:i/>
        </w:rPr>
        <w:t>Caribbean Netherlands</w:t>
      </w:r>
    </w:p>
    <w:p w14:paraId="54419A5A" w14:textId="77777777" w:rsidR="00634891" w:rsidRDefault="00634891"/>
    <w:p w14:paraId="73CB4EAD" w14:textId="3DF62A94" w:rsidR="00634891" w:rsidRDefault="008606E7">
      <w:pPr>
        <w:pBdr>
          <w:top w:val="nil"/>
          <w:left w:val="nil"/>
          <w:bottom w:val="nil"/>
          <w:right w:val="nil"/>
          <w:between w:val="nil"/>
        </w:pBdr>
        <w:rPr>
          <w:color w:val="000000"/>
        </w:rPr>
      </w:pPr>
      <w:r>
        <w:rPr>
          <w:color w:val="000000"/>
        </w:rPr>
        <w:t xml:space="preserve">The Dutch government has indicated that it ratified the OPCAT for the European part of the Kingdom. This </w:t>
      </w:r>
      <w:r w:rsidR="002A0407">
        <w:rPr>
          <w:color w:val="000000"/>
        </w:rPr>
        <w:t>means</w:t>
      </w:r>
      <w:r>
        <w:rPr>
          <w:color w:val="000000"/>
        </w:rPr>
        <w:t xml:space="preserve"> that Bonaire, Sint</w:t>
      </w:r>
      <w:r w:rsidR="002A0407">
        <w:rPr>
          <w:color w:val="000000"/>
        </w:rPr>
        <w:t xml:space="preserve"> Eustatius and Saba do </w:t>
      </w:r>
      <w:r>
        <w:rPr>
          <w:color w:val="000000"/>
        </w:rPr>
        <w:t>not fall within the mandate of the National Preventive Mechanism. Yet</w:t>
      </w:r>
      <w:r w:rsidR="00B2486C">
        <w:rPr>
          <w:color w:val="000000"/>
        </w:rPr>
        <w:t>,</w:t>
      </w:r>
      <w:r>
        <w:rPr>
          <w:color w:val="000000"/>
        </w:rPr>
        <w:t xml:space="preserve"> no clear </w:t>
      </w:r>
      <w:r w:rsidR="00176E5F">
        <w:rPr>
          <w:color w:val="000000"/>
        </w:rPr>
        <w:t>objective reasons have</w:t>
      </w:r>
      <w:r w:rsidR="002A0407">
        <w:rPr>
          <w:color w:val="000000"/>
        </w:rPr>
        <w:t xml:space="preserve"> been </w:t>
      </w:r>
      <w:r>
        <w:rPr>
          <w:color w:val="000000"/>
        </w:rPr>
        <w:t xml:space="preserve">provided </w:t>
      </w:r>
      <w:r w:rsidR="002A0407">
        <w:rPr>
          <w:color w:val="000000"/>
        </w:rPr>
        <w:t xml:space="preserve">by the government </w:t>
      </w:r>
      <w:r>
        <w:rPr>
          <w:color w:val="000000"/>
        </w:rPr>
        <w:t xml:space="preserve">for this difference between the Caribbean Netherlands and the European part of the Netherlands. Such </w:t>
      </w:r>
      <w:r w:rsidR="00176E5F">
        <w:rPr>
          <w:color w:val="000000"/>
        </w:rPr>
        <w:t>objective reasons are</w:t>
      </w:r>
      <w:r>
        <w:rPr>
          <w:color w:val="000000"/>
        </w:rPr>
        <w:t xml:space="preserve"> needed to allow for a fundamental difference in treatment between the rights of people living on the islands and those living in Europe.</w:t>
      </w:r>
      <w:r>
        <w:rPr>
          <w:color w:val="000000"/>
          <w:vertAlign w:val="superscript"/>
        </w:rPr>
        <w:footnoteReference w:id="18"/>
      </w:r>
    </w:p>
    <w:p w14:paraId="599636D6" w14:textId="77777777" w:rsidR="00634891" w:rsidRDefault="00634891">
      <w:pPr>
        <w:pBdr>
          <w:top w:val="nil"/>
          <w:left w:val="nil"/>
          <w:bottom w:val="nil"/>
          <w:right w:val="nil"/>
          <w:between w:val="nil"/>
        </w:pBdr>
        <w:rPr>
          <w:color w:val="000000"/>
        </w:rPr>
      </w:pPr>
    </w:p>
    <w:p w14:paraId="72C29079" w14:textId="3A4AC67B" w:rsidR="00634891" w:rsidRDefault="008606E7">
      <w:pPr>
        <w:pBdr>
          <w:top w:val="nil"/>
          <w:left w:val="nil"/>
          <w:bottom w:val="nil"/>
          <w:right w:val="nil"/>
          <w:between w:val="nil"/>
        </w:pBdr>
        <w:rPr>
          <w:color w:val="000000"/>
        </w:rPr>
      </w:pPr>
      <w:r>
        <w:rPr>
          <w:color w:val="000000"/>
        </w:rPr>
        <w:t>In 2016 the CPT visited the Netherlands and encouraged the authorities to include the Caribbean part of the Netherlands in the NPM mandate. In its response, the government stated</w:t>
      </w:r>
      <w:r w:rsidR="002D1369">
        <w:rPr>
          <w:color w:val="000000"/>
        </w:rPr>
        <w:t xml:space="preserve"> that</w:t>
      </w:r>
      <w:r>
        <w:rPr>
          <w:color w:val="000000"/>
        </w:rPr>
        <w:t xml:space="preserve"> talks are ongoing between the NPM and the Law Enforcement Council – which is</w:t>
      </w:r>
      <w:r w:rsidR="002D1369">
        <w:t xml:space="preserve"> </w:t>
      </w:r>
      <w:r>
        <w:rPr>
          <w:color w:val="000000"/>
        </w:rPr>
        <w:t xml:space="preserve">responsible </w:t>
      </w:r>
      <w:r w:rsidR="002D1369">
        <w:rPr>
          <w:color w:val="000000"/>
        </w:rPr>
        <w:t>(among other things) for the</w:t>
      </w:r>
      <w:r>
        <w:rPr>
          <w:color w:val="000000"/>
        </w:rPr>
        <w:t xml:space="preserve"> general inspection of th</w:t>
      </w:r>
      <w:r w:rsidR="00800DB4">
        <w:rPr>
          <w:color w:val="000000"/>
        </w:rPr>
        <w:t>e justice system on Bonaire, Sint Eustatius</w:t>
      </w:r>
      <w:r>
        <w:rPr>
          <w:color w:val="000000"/>
        </w:rPr>
        <w:t xml:space="preserve"> and Saba - to explore the potential for a cooperation framework. </w:t>
      </w:r>
      <w:r w:rsidRPr="00E3330D">
        <w:t>Thus far</w:t>
      </w:r>
      <w:r>
        <w:rPr>
          <w:color w:val="000000"/>
        </w:rPr>
        <w:t xml:space="preserve">, this has not led to </w:t>
      </w:r>
      <w:r w:rsidR="00800DB4">
        <w:rPr>
          <w:color w:val="000000"/>
        </w:rPr>
        <w:t xml:space="preserve">the </w:t>
      </w:r>
      <w:r>
        <w:rPr>
          <w:color w:val="000000"/>
        </w:rPr>
        <w:t>ratification of OPCAT for this part of the Netherlands, th</w:t>
      </w:r>
      <w:r w:rsidRPr="00E3330D">
        <w:t>erefore</w:t>
      </w:r>
      <w:r>
        <w:rPr>
          <w:color w:val="000000"/>
        </w:rPr>
        <w:t xml:space="preserve"> still creating a fundamental difference in treatment between people living </w:t>
      </w:r>
      <w:r w:rsidRPr="00E3330D">
        <w:t>in the Caribbean</w:t>
      </w:r>
      <w:r>
        <w:rPr>
          <w:color w:val="000000"/>
        </w:rPr>
        <w:t xml:space="preserve"> and those living in Europe</w:t>
      </w:r>
      <w:r w:rsidR="00B2486C">
        <w:rPr>
          <w:color w:val="000000"/>
        </w:rPr>
        <w:t xml:space="preserve"> without objective reasons</w:t>
      </w:r>
      <w:r>
        <w:rPr>
          <w:color w:val="000000"/>
        </w:rPr>
        <w:t>.</w:t>
      </w:r>
    </w:p>
    <w:p w14:paraId="2D2D5EE7" w14:textId="77777777" w:rsidR="00634891" w:rsidRDefault="00634891">
      <w:pPr>
        <w:pBdr>
          <w:top w:val="nil"/>
          <w:left w:val="nil"/>
          <w:bottom w:val="nil"/>
          <w:right w:val="nil"/>
          <w:between w:val="nil"/>
        </w:pBdr>
        <w:rPr>
          <w:color w:val="000000"/>
        </w:rPr>
      </w:pPr>
    </w:p>
    <w:p w14:paraId="409EA1F4" w14:textId="27331CF1" w:rsidR="00634891" w:rsidRDefault="008606E7">
      <w:pPr>
        <w:pBdr>
          <w:top w:val="single" w:sz="4" w:space="1" w:color="000000"/>
          <w:left w:val="single" w:sz="4" w:space="4" w:color="000000"/>
          <w:bottom w:val="single" w:sz="4" w:space="1" w:color="000000"/>
          <w:right w:val="single" w:sz="4" w:space="4" w:color="000000"/>
          <w:between w:val="nil"/>
        </w:pBdr>
        <w:rPr>
          <w:color w:val="000000"/>
          <w:u w:val="single"/>
        </w:rPr>
      </w:pPr>
      <w:r>
        <w:rPr>
          <w:color w:val="000000"/>
          <w:u w:val="single"/>
        </w:rPr>
        <w:t>Suggest</w:t>
      </w:r>
      <w:r w:rsidR="00800DB4">
        <w:rPr>
          <w:color w:val="000000"/>
          <w:u w:val="single"/>
        </w:rPr>
        <w:t xml:space="preserve">ed </w:t>
      </w:r>
      <w:r>
        <w:rPr>
          <w:color w:val="000000"/>
          <w:u w:val="single"/>
        </w:rPr>
        <w:t>question:</w:t>
      </w:r>
    </w:p>
    <w:p w14:paraId="20B7E5E9" w14:textId="6D6F1510" w:rsidR="00634891" w:rsidRDefault="008606E7">
      <w:pPr>
        <w:pBdr>
          <w:top w:val="single" w:sz="4" w:space="1" w:color="000000"/>
          <w:left w:val="single" w:sz="4" w:space="4" w:color="000000"/>
          <w:bottom w:val="single" w:sz="4" w:space="1" w:color="000000"/>
          <w:right w:val="single" w:sz="4" w:space="4" w:color="000000"/>
          <w:between w:val="nil"/>
        </w:pBdr>
        <w:rPr>
          <w:color w:val="000000"/>
        </w:rPr>
      </w:pPr>
      <w:r>
        <w:rPr>
          <w:color w:val="000000"/>
        </w:rPr>
        <w:t xml:space="preserve">How will the government </w:t>
      </w:r>
      <w:r w:rsidR="00800DB4">
        <w:rPr>
          <w:color w:val="000000"/>
        </w:rPr>
        <w:t>ensure that</w:t>
      </w:r>
      <w:r>
        <w:rPr>
          <w:color w:val="000000"/>
        </w:rPr>
        <w:t xml:space="preserve"> OPCAT applies to Bonaire, </w:t>
      </w:r>
      <w:r w:rsidR="00800DB4">
        <w:rPr>
          <w:color w:val="000000"/>
        </w:rPr>
        <w:t>Sint Eustatius</w:t>
      </w:r>
      <w:r>
        <w:rPr>
          <w:color w:val="000000"/>
        </w:rPr>
        <w:t xml:space="preserve"> and Saba in the near future?</w:t>
      </w:r>
    </w:p>
    <w:p w14:paraId="49FBCE12" w14:textId="77777777" w:rsidR="00634891" w:rsidRDefault="00634891"/>
    <w:p w14:paraId="5C1D6BBE" w14:textId="77777777" w:rsidR="00634891" w:rsidRDefault="00634891"/>
    <w:p w14:paraId="6FBB44BE" w14:textId="77777777" w:rsidR="00634891" w:rsidRDefault="008606E7" w:rsidP="00432C58">
      <w:pPr>
        <w:pStyle w:val="Heading2"/>
      </w:pPr>
      <w:bookmarkStart w:id="8" w:name="_Toc527121547"/>
      <w:r>
        <w:t>Article 11</w:t>
      </w:r>
      <w:bookmarkEnd w:id="8"/>
    </w:p>
    <w:p w14:paraId="7E491C5D" w14:textId="70512644" w:rsidR="00634891" w:rsidRDefault="008606E7">
      <w:pPr>
        <w:pStyle w:val="Heading3"/>
      </w:pPr>
      <w:bookmarkStart w:id="9" w:name="_Toc527121548"/>
      <w:r>
        <w:t>Mental health care</w:t>
      </w:r>
      <w:bookmarkEnd w:id="9"/>
    </w:p>
    <w:p w14:paraId="55D218FD" w14:textId="77777777" w:rsidR="00634891" w:rsidRDefault="00634891"/>
    <w:p w14:paraId="78158FD4" w14:textId="77777777" w:rsidR="00634891" w:rsidRDefault="008606E7">
      <w:pPr>
        <w:rPr>
          <w:i/>
        </w:rPr>
      </w:pPr>
      <w:r>
        <w:rPr>
          <w:i/>
        </w:rPr>
        <w:t>Increase in number of involuntary placements</w:t>
      </w:r>
    </w:p>
    <w:p w14:paraId="6E3BA3C3" w14:textId="718615F2" w:rsidR="00634891" w:rsidRDefault="008606E7">
      <w:r>
        <w:t>Data of the Council for the Judiciary show</w:t>
      </w:r>
      <w:r w:rsidR="003D282E">
        <w:t>s</w:t>
      </w:r>
      <w:r>
        <w:t xml:space="preserve"> a significant increase in the number of involuntary placements in psychiatric institutions over the last decade.</w:t>
      </w:r>
      <w:r>
        <w:rPr>
          <w:vertAlign w:val="superscript"/>
        </w:rPr>
        <w:footnoteReference w:id="19"/>
      </w:r>
      <w:r>
        <w:t xml:space="preserve"> The introduction of community treatment orders (CTO) in 2004 made it possible to avert admission while conforming to ambulatory treatment conditions. If those conditions are not met, a patient can be admitted against </w:t>
      </w:r>
      <w:r w:rsidR="00E3330D">
        <w:t xml:space="preserve">their </w:t>
      </w:r>
      <w:r>
        <w:t>will in a designated mental hospital. It was expected tha</w:t>
      </w:r>
      <w:r w:rsidR="003D282E">
        <w:t xml:space="preserve">t CTOs would lead to fewer </w:t>
      </w:r>
      <w:r>
        <w:t>admissions</w:t>
      </w:r>
      <w:r w:rsidR="003D282E">
        <w:t xml:space="preserve"> and readmissions</w:t>
      </w:r>
      <w:r>
        <w:t xml:space="preserve">, but this is not reflected </w:t>
      </w:r>
      <w:r w:rsidR="00E3330D">
        <w:t xml:space="preserve">in the </w:t>
      </w:r>
      <w:r>
        <w:t xml:space="preserve">data. A </w:t>
      </w:r>
      <w:r w:rsidR="003D282E">
        <w:t xml:space="preserve">systematic </w:t>
      </w:r>
      <w:r>
        <w:t xml:space="preserve">international review showed no clear difference in service use, social </w:t>
      </w:r>
      <w:r w:rsidR="003D282E">
        <w:t>performance</w:t>
      </w:r>
      <w:r>
        <w:t xml:space="preserve"> or quality of life compared with voluntary care or brief supervised discharge.</w:t>
      </w:r>
      <w:r>
        <w:rPr>
          <w:vertAlign w:val="superscript"/>
        </w:rPr>
        <w:footnoteReference w:id="20"/>
      </w:r>
      <w:r>
        <w:t xml:space="preserve"> Research in the Netherlands shows that the rate of compulsory emergency admissions </w:t>
      </w:r>
      <w:r w:rsidR="00176E5F">
        <w:t>(</w:t>
      </w:r>
      <w:r w:rsidR="00176E5F" w:rsidRPr="00176E5F">
        <w:rPr>
          <w:i/>
        </w:rPr>
        <w:t>inbewaringstelling</w:t>
      </w:r>
      <w:r w:rsidR="00176E5F">
        <w:t xml:space="preserve">) </w:t>
      </w:r>
      <w:r w:rsidRPr="00176E5F">
        <w:t>increased</w:t>
      </w:r>
      <w:r>
        <w:t xml:space="preserve"> from 43 in 2003 to 52 per 100,000 persons in </w:t>
      </w:r>
      <w:r w:rsidR="00F21F07">
        <w:t xml:space="preserve">2017 (+21%). The rate of court </w:t>
      </w:r>
      <w:r>
        <w:t xml:space="preserve">orders </w:t>
      </w:r>
      <w:r w:rsidR="00176E5F">
        <w:t>(</w:t>
      </w:r>
      <w:r w:rsidR="00176E5F">
        <w:rPr>
          <w:i/>
        </w:rPr>
        <w:t>rechterlijke machtiging</w:t>
      </w:r>
      <w:r w:rsidR="00176E5F" w:rsidRPr="00176E5F">
        <w:t>)</w:t>
      </w:r>
      <w:r w:rsidR="00176E5F">
        <w:t xml:space="preserve"> </w:t>
      </w:r>
      <w:r>
        <w:t>increased from 44 per 100,000 in 2003 to 104 per 100,000 in 2017 (+138%). The rate of court ordered involuntary admissions increased from 44 in 2003 to 64 per 100,000 in 2017 (+42%). The rate of community treatment orders increased from zero in 2003 to 39 per 100,000 in 2017 (+2.8% each year).</w:t>
      </w:r>
      <w:r>
        <w:rPr>
          <w:vertAlign w:val="superscript"/>
        </w:rPr>
        <w:footnoteReference w:id="21"/>
      </w:r>
      <w:r>
        <w:t xml:space="preserve"> </w:t>
      </w:r>
    </w:p>
    <w:p w14:paraId="0106517A" w14:textId="77777777" w:rsidR="00634891" w:rsidRDefault="00634891"/>
    <w:p w14:paraId="6A705C81" w14:textId="0FFB8771" w:rsidR="00634891" w:rsidRDefault="008606E7">
      <w:r>
        <w:t xml:space="preserve">The underlying cause </w:t>
      </w:r>
      <w:r w:rsidR="003D282E">
        <w:t>of</w:t>
      </w:r>
      <w:r>
        <w:t xml:space="preserve"> this trend is not clear-cut, but a number of factors </w:t>
      </w:r>
      <w:r w:rsidR="000C2FA4">
        <w:t>may</w:t>
      </w:r>
      <w:r>
        <w:t xml:space="preserve"> play a role, according to psychiatrists and researchers specialized in involuntar</w:t>
      </w:r>
      <w:r w:rsidR="003D282E">
        <w:t>y care. The length of committal</w:t>
      </w:r>
      <w:r>
        <w:t xml:space="preserve"> has decreased, leading to some patients being sent ho</w:t>
      </w:r>
      <w:r w:rsidR="00C44C24">
        <w:t>me too soon</w:t>
      </w:r>
      <w:r w:rsidR="000C2FA4">
        <w:t xml:space="preserve">, </w:t>
      </w:r>
      <w:r w:rsidR="00C44C24">
        <w:t>increasing the</w:t>
      </w:r>
      <w:r>
        <w:t xml:space="preserve"> </w:t>
      </w:r>
      <w:r w:rsidR="00C44C24">
        <w:t>risk</w:t>
      </w:r>
      <w:r>
        <w:t xml:space="preserve"> of re</w:t>
      </w:r>
      <w:r w:rsidR="00C44C24">
        <w:t xml:space="preserve">lapse. In addition, there </w:t>
      </w:r>
      <w:r w:rsidR="003D282E">
        <w:t>are</w:t>
      </w:r>
      <w:r w:rsidR="00C44C24">
        <w:t xml:space="preserve"> a growing </w:t>
      </w:r>
      <w:r w:rsidR="003D282E">
        <w:t>number</w:t>
      </w:r>
      <w:r>
        <w:t xml:space="preserve"> of chronic mental patients that are in outpatient care with insufficient professional support, rather than being treated in an institution, making it more difficult to monitor their treatment. Societal factors also play a role: decreasing tolerance in society for people who show nonstandard or troubling behavio</w:t>
      </w:r>
      <w:r w:rsidR="00F21F07">
        <w:t>u</w:t>
      </w:r>
      <w:r>
        <w:t xml:space="preserve">r, urbanization, social isolation, and </w:t>
      </w:r>
      <w:r w:rsidR="003D282E">
        <w:t xml:space="preserve">the </w:t>
      </w:r>
      <w:r>
        <w:t>marginalization of vulnerable groups with less interpersonal contact as a result.</w:t>
      </w:r>
    </w:p>
    <w:p w14:paraId="7399C0FD" w14:textId="77777777" w:rsidR="00634891" w:rsidRDefault="00634891"/>
    <w:p w14:paraId="6C8DA670" w14:textId="51B475C0"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3D282E">
        <w:rPr>
          <w:u w:val="single"/>
        </w:rPr>
        <w:t xml:space="preserve">ed </w:t>
      </w:r>
      <w:r>
        <w:rPr>
          <w:u w:val="single"/>
        </w:rPr>
        <w:t>questions:</w:t>
      </w:r>
    </w:p>
    <w:p w14:paraId="113712B2" w14:textId="7B61F927" w:rsidR="00634891" w:rsidRDefault="008606E7">
      <w:pPr>
        <w:pBdr>
          <w:top w:val="single" w:sz="4" w:space="1" w:color="000000"/>
          <w:left w:val="single" w:sz="4" w:space="4" w:color="000000"/>
          <w:bottom w:val="single" w:sz="4" w:space="1" w:color="000000"/>
          <w:right w:val="single" w:sz="4" w:space="4" w:color="000000"/>
        </w:pBdr>
      </w:pPr>
      <w:r>
        <w:t xml:space="preserve">What </w:t>
      </w:r>
      <w:r w:rsidR="003D282E">
        <w:t>is</w:t>
      </w:r>
      <w:r>
        <w:t xml:space="preserve"> the government do</w:t>
      </w:r>
      <w:r w:rsidR="003D282E">
        <w:t>ing or planning to do in order</w:t>
      </w:r>
      <w:r>
        <w:t xml:space="preserve"> to reduce the number of involuntary placemen</w:t>
      </w:r>
      <w:r w:rsidR="00F21F07">
        <w:t xml:space="preserve">ts in psychiatric institutions </w:t>
      </w:r>
      <w:r>
        <w:t xml:space="preserve">and improve the quality of ambulatory (involuntary) mental health care? </w:t>
      </w:r>
    </w:p>
    <w:p w14:paraId="08D501D2" w14:textId="77777777" w:rsidR="00634891" w:rsidRDefault="00634891">
      <w:pPr>
        <w:pBdr>
          <w:top w:val="single" w:sz="4" w:space="1" w:color="000000"/>
          <w:left w:val="single" w:sz="4" w:space="4" w:color="000000"/>
          <w:bottom w:val="single" w:sz="4" w:space="1" w:color="000000"/>
          <w:right w:val="single" w:sz="4" w:space="4" w:color="000000"/>
        </w:pBdr>
      </w:pPr>
    </w:p>
    <w:p w14:paraId="6EB38FE1" w14:textId="51DD3E21" w:rsidR="00634891" w:rsidRDefault="008606E7">
      <w:pPr>
        <w:pBdr>
          <w:top w:val="single" w:sz="4" w:space="1" w:color="000000"/>
          <w:left w:val="single" w:sz="4" w:space="4" w:color="000000"/>
          <w:bottom w:val="single" w:sz="4" w:space="1" w:color="000000"/>
          <w:right w:val="single" w:sz="4" w:space="4" w:color="000000"/>
        </w:pBdr>
      </w:pPr>
      <w:r>
        <w:t>Will the government initiate more research and reliable monitoring of coercive mental health care to identify the cause</w:t>
      </w:r>
      <w:r w:rsidR="003D282E">
        <w:t xml:space="preserve"> or causes of the</w:t>
      </w:r>
      <w:r w:rsidR="003C7249">
        <w:t xml:space="preserve"> </w:t>
      </w:r>
      <w:r>
        <w:t>increase in the number of involuntary placements, and ensure the implementation of effective policies to address this trend?</w:t>
      </w:r>
    </w:p>
    <w:p w14:paraId="79A3AC96" w14:textId="77777777" w:rsidR="00634891" w:rsidRDefault="00634891"/>
    <w:p w14:paraId="1720EE75" w14:textId="77777777" w:rsidR="00634891" w:rsidRDefault="008606E7">
      <w:r>
        <w:rPr>
          <w:i/>
        </w:rPr>
        <w:t xml:space="preserve">Compulsory Mental Health Care </w:t>
      </w:r>
    </w:p>
    <w:p w14:paraId="6568AAA2" w14:textId="78A0FA02" w:rsidR="00634891" w:rsidRDefault="008606E7">
      <w:r>
        <w:t xml:space="preserve">In January 2018 Parliament </w:t>
      </w:r>
      <w:r w:rsidR="003D282E">
        <w:t>passed t</w:t>
      </w:r>
      <w:r>
        <w:t>he Compulsory Mental Health Care Bill and Care and Compulsion Bill.</w:t>
      </w:r>
      <w:r>
        <w:rPr>
          <w:vertAlign w:val="superscript"/>
        </w:rPr>
        <w:footnoteReference w:id="22"/>
      </w:r>
      <w:r>
        <w:t xml:space="preserve"> It has not entered into force yet. More concrete measures will be implemented by Decrees. </w:t>
      </w:r>
      <w:r w:rsidR="003D282E">
        <w:t>These</w:t>
      </w:r>
      <w:r>
        <w:t xml:space="preserve"> Decrees have</w:t>
      </w:r>
      <w:r w:rsidR="003D282E">
        <w:t xml:space="preserve"> yet to be</w:t>
      </w:r>
      <w:r>
        <w:t xml:space="preserve"> adopted. The Institute has given legislative advice on both the Bill and the Decrees.</w:t>
      </w:r>
      <w:r>
        <w:rPr>
          <w:vertAlign w:val="superscript"/>
        </w:rPr>
        <w:footnoteReference w:id="23"/>
      </w:r>
      <w:r>
        <w:t xml:space="preserve"> In its advice, the Institute </w:t>
      </w:r>
      <w:r w:rsidR="003D282E">
        <w:t>emphasised</w:t>
      </w:r>
      <w:r>
        <w:t xml:space="preserve"> that the use of restraint and home detention should not be allowed in outpatient care. As inexpert use of restraints in institutions has led to deaths in the past, it is not inconceivable that the use of restraint at home could </w:t>
      </w:r>
      <w:r w:rsidR="003D282E">
        <w:t>worsen</w:t>
      </w:r>
      <w:r>
        <w:t xml:space="preserve"> the situation of the patient concerned and escalate into situations of inhuman or degrading treatment. Unfortunately, the Institute’s advice did not lead to amendment of the draft Decree.</w:t>
      </w:r>
    </w:p>
    <w:p w14:paraId="7B670887" w14:textId="77777777" w:rsidR="00634891" w:rsidRDefault="00634891"/>
    <w:p w14:paraId="3ABF10AA" w14:textId="3212AAFE" w:rsidR="00634891" w:rsidRDefault="008606E7">
      <w:r>
        <w:t xml:space="preserve">Furthermore, the Institute </w:t>
      </w:r>
      <w:r w:rsidR="003C7249">
        <w:t>has raised</w:t>
      </w:r>
      <w:r>
        <w:t xml:space="preserve"> the issue of oversight in outpatient care. The </w:t>
      </w:r>
      <w:r w:rsidR="003D282E">
        <w:t>standards</w:t>
      </w:r>
      <w:r>
        <w:t xml:space="preserve"> to ensure quality supervision are</w:t>
      </w:r>
      <w:r w:rsidR="003D282E" w:rsidRPr="003D282E">
        <w:t xml:space="preserve"> </w:t>
      </w:r>
      <w:r w:rsidR="003D282E">
        <w:t>unclear</w:t>
      </w:r>
      <w:r>
        <w:t xml:space="preserve"> in t</w:t>
      </w:r>
      <w:r w:rsidR="003D282E">
        <w:t>he draft version of the Decrees</w:t>
      </w:r>
      <w:r>
        <w:t xml:space="preserve">. Such </w:t>
      </w:r>
      <w:r w:rsidR="003D282E">
        <w:t>standards</w:t>
      </w:r>
      <w:r>
        <w:t xml:space="preserve"> include inspectorates or other supervisors taking human rights – including the right not to be treated i</w:t>
      </w:r>
      <w:r w:rsidR="003C7249">
        <w:t>nhuman</w:t>
      </w:r>
      <w:r w:rsidR="003D282E">
        <w:t>e</w:t>
      </w:r>
      <w:r w:rsidR="003C7249">
        <w:t>ly – into account</w:t>
      </w:r>
      <w:r>
        <w:t xml:space="preserve"> when </w:t>
      </w:r>
      <w:r w:rsidR="003C7249">
        <w:t>performing</w:t>
      </w:r>
      <w:r>
        <w:t xml:space="preserve"> their tasks. It is</w:t>
      </w:r>
      <w:r w:rsidR="003D282E">
        <w:t xml:space="preserve"> also</w:t>
      </w:r>
      <w:r>
        <w:t xml:space="preserve"> difficult to monitor situations </w:t>
      </w:r>
      <w:r w:rsidR="003C7249">
        <w:t>in</w:t>
      </w:r>
      <w:r>
        <w:t xml:space="preserve"> a private home. The right to privacy </w:t>
      </w:r>
      <w:r w:rsidR="007A73C1">
        <w:t xml:space="preserve">and respect for private life </w:t>
      </w:r>
      <w:r>
        <w:t>brings a certain reluctance to monitor these private situations. Yet to ensure proper care with minim</w:t>
      </w:r>
      <w:r w:rsidR="003C7249">
        <w:t xml:space="preserve">al </w:t>
      </w:r>
      <w:r>
        <w:t xml:space="preserve">use of compulsion, supervision is needed. This supervision should include having </w:t>
      </w:r>
      <w:r w:rsidR="003D282E">
        <w:t xml:space="preserve">an </w:t>
      </w:r>
      <w:r>
        <w:t>insight into the actual situation. A balance needs to be struck to ensure both privacy and good care for the patient involved.</w:t>
      </w:r>
    </w:p>
    <w:p w14:paraId="4EEF19B5" w14:textId="77777777" w:rsidR="00634891" w:rsidRDefault="00634891"/>
    <w:p w14:paraId="45BA0753" w14:textId="77310054"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3D282E">
        <w:rPr>
          <w:u w:val="single"/>
        </w:rPr>
        <w:t xml:space="preserve">ed </w:t>
      </w:r>
      <w:r>
        <w:rPr>
          <w:u w:val="single"/>
        </w:rPr>
        <w:t>questions:</w:t>
      </w:r>
    </w:p>
    <w:p w14:paraId="0CB7DB70" w14:textId="77777777" w:rsidR="00634891" w:rsidRDefault="008606E7">
      <w:pPr>
        <w:pBdr>
          <w:top w:val="single" w:sz="4" w:space="1" w:color="000000"/>
          <w:left w:val="single" w:sz="4" w:space="4" w:color="000000"/>
          <w:bottom w:val="single" w:sz="4" w:space="1" w:color="000000"/>
          <w:right w:val="single" w:sz="4" w:space="4" w:color="000000"/>
        </w:pBdr>
      </w:pPr>
      <w:r>
        <w:t xml:space="preserve">How will the government make sure that the use of restraints or home </w:t>
      </w:r>
      <w:r w:rsidR="00C44C24">
        <w:t>confinement</w:t>
      </w:r>
      <w:r>
        <w:t xml:space="preserve"> will not be allowed in outpatient care?</w:t>
      </w:r>
    </w:p>
    <w:p w14:paraId="046A1AD4" w14:textId="77777777" w:rsidR="00634891" w:rsidRDefault="00634891">
      <w:pPr>
        <w:pBdr>
          <w:top w:val="single" w:sz="4" w:space="1" w:color="000000"/>
          <w:left w:val="single" w:sz="4" w:space="4" w:color="000000"/>
          <w:bottom w:val="single" w:sz="4" w:space="1" w:color="000000"/>
          <w:right w:val="single" w:sz="4" w:space="4" w:color="000000"/>
        </w:pBdr>
      </w:pPr>
    </w:p>
    <w:p w14:paraId="7593E0E6" w14:textId="2DE68ABB" w:rsidR="00634891" w:rsidRDefault="008606E7">
      <w:pPr>
        <w:pBdr>
          <w:top w:val="single" w:sz="4" w:space="1" w:color="000000"/>
          <w:left w:val="single" w:sz="4" w:space="4" w:color="000000"/>
          <w:bottom w:val="single" w:sz="4" w:space="1" w:color="000000"/>
          <w:right w:val="single" w:sz="4" w:space="4" w:color="000000"/>
        </w:pBdr>
      </w:pPr>
      <w:r>
        <w:t xml:space="preserve">How will the government strike </w:t>
      </w:r>
      <w:r w:rsidR="005D7744">
        <w:t>a</w:t>
      </w:r>
      <w:r>
        <w:t xml:space="preserve"> balance between </w:t>
      </w:r>
      <w:r w:rsidR="005D7744">
        <w:t>leaving</w:t>
      </w:r>
      <w:r>
        <w:t xml:space="preserve"> patients and their housemates enough privacy while still ensuring the monitoring of the quality of outpatient care? </w:t>
      </w:r>
    </w:p>
    <w:p w14:paraId="4527C600" w14:textId="77777777" w:rsidR="00634891" w:rsidRDefault="00634891">
      <w:pPr>
        <w:pBdr>
          <w:top w:val="single" w:sz="4" w:space="1" w:color="000000"/>
          <w:left w:val="single" w:sz="4" w:space="4" w:color="000000"/>
          <w:bottom w:val="single" w:sz="4" w:space="1" w:color="000000"/>
          <w:right w:val="single" w:sz="4" w:space="4" w:color="000000"/>
        </w:pBdr>
      </w:pPr>
    </w:p>
    <w:p w14:paraId="21E3BDF3" w14:textId="77777777" w:rsidR="00634891" w:rsidRDefault="008606E7">
      <w:pPr>
        <w:pBdr>
          <w:top w:val="single" w:sz="4" w:space="1" w:color="000000"/>
          <w:left w:val="single" w:sz="4" w:space="4" w:color="000000"/>
          <w:bottom w:val="single" w:sz="4" w:space="1" w:color="000000"/>
          <w:right w:val="single" w:sz="4" w:space="4" w:color="000000"/>
        </w:pBdr>
      </w:pPr>
      <w:r>
        <w:t xml:space="preserve">How can the government guarantee proper oversight while compulsory health care is applied in outpatient care? </w:t>
      </w:r>
      <w:r w:rsidR="005D7744">
        <w:t>Similarly,</w:t>
      </w:r>
      <w:r>
        <w:t xml:space="preserve"> how will the government make sure that caregivers will not be unduly involved in this oversight?</w:t>
      </w:r>
    </w:p>
    <w:p w14:paraId="38FAE5D9" w14:textId="77777777" w:rsidR="00634891" w:rsidRDefault="00634891"/>
    <w:p w14:paraId="0C50961E" w14:textId="77777777" w:rsidR="00634891" w:rsidRDefault="008606E7">
      <w:pPr>
        <w:pStyle w:val="Heading3"/>
      </w:pPr>
      <w:bookmarkStart w:id="10" w:name="_Toc527121549"/>
      <w:r>
        <w:t>Border detention of migrants</w:t>
      </w:r>
      <w:bookmarkEnd w:id="10"/>
    </w:p>
    <w:p w14:paraId="0A9BC00A" w14:textId="77777777" w:rsidR="00634891" w:rsidRDefault="00634891"/>
    <w:p w14:paraId="1422E985" w14:textId="0E8A4E32" w:rsidR="00634891" w:rsidRDefault="008606E7">
      <w:r>
        <w:t xml:space="preserve">Foreign nationals who enter the Netherlands through an airport or seaport </w:t>
      </w:r>
      <w:r w:rsidR="00800DB4">
        <w:t>without</w:t>
      </w:r>
      <w:r>
        <w:t xml:space="preserve"> correct travel documents or sufficient means of support are not granted access to the Netherlands. Some of these </w:t>
      </w:r>
      <w:r w:rsidR="005D7744">
        <w:t>rejected</w:t>
      </w:r>
      <w:r>
        <w:t xml:space="preserve"> foreign nationals are asylum seekers who ask for protection in the Netherlands. In order to</w:t>
      </w:r>
      <w:r w:rsidR="005D7744">
        <w:t xml:space="preserve"> prevent </w:t>
      </w:r>
      <w:r>
        <w:t>them from entering</w:t>
      </w:r>
      <w:r w:rsidR="005D7744">
        <w:t xml:space="preserve"> </w:t>
      </w:r>
      <w:r>
        <w:t xml:space="preserve">the Netherlands, asylum seekers are detained in the Schiphol Criminal Justice Complex, </w:t>
      </w:r>
      <w:r w:rsidR="00800DB4">
        <w:t>known as</w:t>
      </w:r>
      <w:r>
        <w:t xml:space="preserve"> border detention. </w:t>
      </w:r>
    </w:p>
    <w:p w14:paraId="1A655B66" w14:textId="77777777" w:rsidR="00634891" w:rsidRDefault="00634891"/>
    <w:p w14:paraId="3D7027DB" w14:textId="1DF5A75C" w:rsidR="00634891" w:rsidRDefault="008606E7">
      <w:r>
        <w:t xml:space="preserve">The Netherlands Institute for Human Rights has investigated how the detention of these asylum seekers </w:t>
      </w:r>
      <w:r w:rsidR="00C44C24">
        <w:t>complies with</w:t>
      </w:r>
      <w:r>
        <w:t xml:space="preserve"> human rights standards.</w:t>
      </w:r>
      <w:r>
        <w:rPr>
          <w:vertAlign w:val="superscript"/>
        </w:rPr>
        <w:footnoteReference w:id="24"/>
      </w:r>
      <w:r>
        <w:t xml:space="preserve"> According to these standards a country may only detain asylum seekers if no other, less drastic means are available and detention is absolutely necessary. In practice</w:t>
      </w:r>
      <w:r w:rsidR="00903E3C">
        <w:t>,</w:t>
      </w:r>
      <w:r>
        <w:t xml:space="preserve"> all asylum seekers who ask for protection at the border are as a rule detained by the Netherlands and there is no balancing of interests prior to imposition of the detention measure. As a consequence the human rights of these asylum seekers, such as the right of freedom and the right of protection, are at stake.</w:t>
      </w:r>
    </w:p>
    <w:p w14:paraId="12B5C132" w14:textId="77777777" w:rsidR="00634891" w:rsidRDefault="00634891"/>
    <w:p w14:paraId="61C15D53" w14:textId="3E6340DF" w:rsidR="00634891" w:rsidRDefault="008606E7">
      <w:r>
        <w:t xml:space="preserve">Unfortunately, detention at the border as a matter of standard practice has not been changed. Nor is </w:t>
      </w:r>
      <w:r w:rsidR="00800DB4">
        <w:t>any change in the near</w:t>
      </w:r>
      <w:r>
        <w:t xml:space="preserve"> future</w:t>
      </w:r>
      <w:r w:rsidR="00C44C24">
        <w:t xml:space="preserve"> currently foreseen</w:t>
      </w:r>
      <w:r>
        <w:t>.</w:t>
      </w:r>
    </w:p>
    <w:p w14:paraId="522621E7" w14:textId="77777777" w:rsidR="00634891" w:rsidRDefault="00634891"/>
    <w:p w14:paraId="1BEF7236" w14:textId="5989A4A7"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800DB4">
        <w:rPr>
          <w:u w:val="single"/>
        </w:rPr>
        <w:t xml:space="preserve">ed </w:t>
      </w:r>
      <w:r>
        <w:rPr>
          <w:u w:val="single"/>
        </w:rPr>
        <w:t>question:</w:t>
      </w:r>
    </w:p>
    <w:p w14:paraId="4BFD4C8C" w14:textId="77777777" w:rsidR="00634891" w:rsidRDefault="008606E7">
      <w:pPr>
        <w:pBdr>
          <w:top w:val="single" w:sz="4" w:space="1" w:color="000000"/>
          <w:left w:val="single" w:sz="4" w:space="4" w:color="000000"/>
          <w:bottom w:val="single" w:sz="4" w:space="1" w:color="000000"/>
          <w:right w:val="single" w:sz="4" w:space="4" w:color="000000"/>
        </w:pBdr>
      </w:pPr>
      <w:r>
        <w:t xml:space="preserve">How will the government ensure a </w:t>
      </w:r>
      <w:r w:rsidR="00C44C24">
        <w:t>balancing</w:t>
      </w:r>
      <w:r>
        <w:t xml:space="preserve"> of interests in each individual case before imposing detention on asylum seekers arriving at Schiphol?</w:t>
      </w:r>
    </w:p>
    <w:p w14:paraId="4F6E62E9" w14:textId="77777777" w:rsidR="00634891" w:rsidRDefault="00634891"/>
    <w:p w14:paraId="331452CD" w14:textId="77777777" w:rsidR="00432C58" w:rsidRDefault="00432C58">
      <w:pPr>
        <w:rPr>
          <w:b/>
        </w:rPr>
      </w:pPr>
      <w:r>
        <w:br w:type="page"/>
      </w:r>
    </w:p>
    <w:p w14:paraId="58D56C7E" w14:textId="687D8997" w:rsidR="00634891" w:rsidRDefault="009336D7">
      <w:pPr>
        <w:pStyle w:val="Heading3"/>
      </w:pPr>
      <w:bookmarkStart w:id="11" w:name="_Toc527121550"/>
      <w:r>
        <w:t>Repatriation and Detention of Aliens Act</w:t>
      </w:r>
      <w:bookmarkEnd w:id="11"/>
    </w:p>
    <w:p w14:paraId="0EB0148A" w14:textId="77777777" w:rsidR="00634891" w:rsidRDefault="00634891"/>
    <w:p w14:paraId="1410A1CA" w14:textId="5B0E35BA" w:rsidR="00634891" w:rsidRDefault="008606E7">
      <w:r>
        <w:t xml:space="preserve">In June 2018 the House of Representatives accepted </w:t>
      </w:r>
      <w:r w:rsidR="00800DB4">
        <w:t>the Repatriation and Detention of Aliens Act</w:t>
      </w:r>
      <w:r>
        <w:t xml:space="preserve"> (</w:t>
      </w:r>
      <w:r>
        <w:rPr>
          <w:i/>
        </w:rPr>
        <w:t>Wet terugkeer en vreemdelingenbewaring</w:t>
      </w:r>
      <w:r>
        <w:t xml:space="preserve">). </w:t>
      </w:r>
      <w:r w:rsidR="00477F58">
        <w:t>Currently,</w:t>
      </w:r>
      <w:r>
        <w:t xml:space="preserve"> the Senate</w:t>
      </w:r>
      <w:r w:rsidR="00477F58">
        <w:t xml:space="preserve"> is discussing the Bill, before</w:t>
      </w:r>
      <w:r>
        <w:t xml:space="preserve"> </w:t>
      </w:r>
      <w:r w:rsidR="00477F58">
        <w:t>the</w:t>
      </w:r>
      <w:r>
        <w:t xml:space="preserve"> </w:t>
      </w:r>
      <w:r w:rsidR="00800DB4">
        <w:t>final</w:t>
      </w:r>
      <w:r>
        <w:t xml:space="preserve"> vote.</w:t>
      </w:r>
    </w:p>
    <w:p w14:paraId="5D1B89F0" w14:textId="77777777" w:rsidR="00634891" w:rsidRDefault="00634891"/>
    <w:p w14:paraId="0487A7F0" w14:textId="10A438EE" w:rsidR="00634891" w:rsidRDefault="008606E7">
      <w:r>
        <w:t xml:space="preserve">The Institute is positive about the government’s decision to create a regime for alien detention </w:t>
      </w:r>
      <w:r w:rsidR="00800DB4">
        <w:t xml:space="preserve">that is </w:t>
      </w:r>
      <w:r>
        <w:t>separate from the criminal regime it is currently part of. However, the Institute still has a number of concerns with regard to the government’s Bill, in particular with respect to the detention regimes.</w:t>
      </w:r>
    </w:p>
    <w:p w14:paraId="63425D4E" w14:textId="77777777" w:rsidR="00634891" w:rsidRDefault="00634891"/>
    <w:p w14:paraId="04025F3E" w14:textId="7CF44603" w:rsidR="00634891" w:rsidRDefault="008606E7" w:rsidP="003E3A38">
      <w:pPr>
        <w:pBdr>
          <w:top w:val="nil"/>
          <w:left w:val="nil"/>
          <w:bottom w:val="nil"/>
          <w:right w:val="nil"/>
          <w:between w:val="nil"/>
        </w:pBdr>
        <w:rPr>
          <w:color w:val="000000"/>
        </w:rPr>
      </w:pPr>
      <w:r>
        <w:rPr>
          <w:color w:val="000000"/>
        </w:rPr>
        <w:t xml:space="preserve">The Bill creates two regimes for detention. Both regimes </w:t>
      </w:r>
      <w:r w:rsidRPr="00C44C24">
        <w:t xml:space="preserve">have different </w:t>
      </w:r>
      <w:r>
        <w:rPr>
          <w:color w:val="000000"/>
        </w:rPr>
        <w:t xml:space="preserve">degrees of restrictions </w:t>
      </w:r>
      <w:r w:rsidR="00800DB4">
        <w:rPr>
          <w:color w:val="000000"/>
        </w:rPr>
        <w:t xml:space="preserve">to which </w:t>
      </w:r>
      <w:r>
        <w:rPr>
          <w:color w:val="000000"/>
        </w:rPr>
        <w:t xml:space="preserve">aliens and asylum seekers are </w:t>
      </w:r>
      <w:r w:rsidR="00800DB4">
        <w:rPr>
          <w:color w:val="000000"/>
        </w:rPr>
        <w:t>subjected</w:t>
      </w:r>
      <w:r>
        <w:rPr>
          <w:color w:val="000000"/>
        </w:rPr>
        <w:t>. The less restrictive regime (</w:t>
      </w:r>
      <w:r>
        <w:rPr>
          <w:i/>
          <w:color w:val="000000"/>
        </w:rPr>
        <w:t>verblijfsregime</w:t>
      </w:r>
      <w:r>
        <w:rPr>
          <w:color w:val="000000"/>
        </w:rPr>
        <w:t>) should be the standard. The more restrictive regime (</w:t>
      </w:r>
      <w:r>
        <w:rPr>
          <w:i/>
          <w:color w:val="000000"/>
        </w:rPr>
        <w:t>beheersregime</w:t>
      </w:r>
      <w:r>
        <w:rPr>
          <w:color w:val="000000"/>
        </w:rPr>
        <w:t xml:space="preserve">) can be used </w:t>
      </w:r>
      <w:r w:rsidRPr="00C44C24">
        <w:t xml:space="preserve">when </w:t>
      </w:r>
      <w:r>
        <w:rPr>
          <w:color w:val="000000"/>
        </w:rPr>
        <w:t>the migrant</w:t>
      </w:r>
      <w:r w:rsidR="00F21F07">
        <w:t>’s</w:t>
      </w:r>
      <w:r>
        <w:rPr>
          <w:color w:val="000000"/>
        </w:rPr>
        <w:t xml:space="preserve"> behaviour </w:t>
      </w:r>
      <w:r w:rsidRPr="00C44C24">
        <w:t>poses</w:t>
      </w:r>
      <w:r>
        <w:rPr>
          <w:color w:val="000000"/>
        </w:rPr>
        <w:t xml:space="preserve"> a risk for</w:t>
      </w:r>
      <w:r w:rsidRPr="00C44C24">
        <w:t xml:space="preserve"> an</w:t>
      </w:r>
      <w:r>
        <w:rPr>
          <w:color w:val="000000"/>
        </w:rPr>
        <w:t xml:space="preserve"> institution</w:t>
      </w:r>
      <w:r w:rsidRPr="00C44C24">
        <w:t xml:space="preserve">’s </w:t>
      </w:r>
      <w:r>
        <w:rPr>
          <w:color w:val="000000"/>
        </w:rPr>
        <w:t>order and security</w:t>
      </w:r>
      <w:r w:rsidR="00C44C24">
        <w:rPr>
          <w:color w:val="000000"/>
        </w:rPr>
        <w:t xml:space="preserve"> situation</w:t>
      </w:r>
      <w:r>
        <w:rPr>
          <w:color w:val="000000"/>
        </w:rPr>
        <w:t xml:space="preserve">. </w:t>
      </w:r>
    </w:p>
    <w:p w14:paraId="6A0C8232" w14:textId="77777777" w:rsidR="00634891" w:rsidRDefault="00634891">
      <w:pPr>
        <w:pBdr>
          <w:top w:val="nil"/>
          <w:left w:val="nil"/>
          <w:bottom w:val="nil"/>
          <w:right w:val="nil"/>
          <w:between w:val="nil"/>
        </w:pBdr>
        <w:spacing w:line="240" w:lineRule="auto"/>
        <w:rPr>
          <w:color w:val="000000"/>
        </w:rPr>
      </w:pPr>
    </w:p>
    <w:p w14:paraId="7CEBAC99" w14:textId="1401A9C2" w:rsidR="00634891" w:rsidRDefault="008606E7">
      <w:r>
        <w:t>However, the Bill also notes that all migra</w:t>
      </w:r>
      <w:r w:rsidR="00800DB4">
        <w:t>nts who are placed in detention</w:t>
      </w:r>
      <w:r>
        <w:t xml:space="preserve"> will be placed in the more restrictive regime upon arrival for a maximum period of two weeks. During this time, the decision will be made </w:t>
      </w:r>
      <w:r w:rsidR="00800DB4">
        <w:t xml:space="preserve">on </w:t>
      </w:r>
      <w:r>
        <w:t xml:space="preserve">which regime the migrant should be </w:t>
      </w:r>
      <w:r w:rsidR="00C44C24">
        <w:t xml:space="preserve">placed in </w:t>
      </w:r>
      <w:r>
        <w:t>for the longer term. This is contrary to the notion that alien detention should be without excessive restrictions, as your Committee recommended in its last concluding observations.</w:t>
      </w:r>
      <w:r>
        <w:rPr>
          <w:vertAlign w:val="superscript"/>
        </w:rPr>
        <w:footnoteReference w:id="25"/>
      </w:r>
      <w:r>
        <w:t xml:space="preserve"> This is an unnecessary measure that severely restricts the freedom of newly arriving migrants. This is especially true for migrants detained in border detention, as their stay in detention will mostly not exceed two weeks. As a consequence, they run the risk </w:t>
      </w:r>
      <w:r w:rsidR="00800DB4">
        <w:t xml:space="preserve">of not being </w:t>
      </w:r>
      <w:r>
        <w:t>placed in the less restrictive regime at all.</w:t>
      </w:r>
    </w:p>
    <w:p w14:paraId="7849741F" w14:textId="77777777" w:rsidR="00634891" w:rsidRDefault="00634891"/>
    <w:p w14:paraId="34F8C3EC" w14:textId="360A1DA5" w:rsidR="00634891" w:rsidRDefault="008606E7">
      <w:pPr>
        <w:pBdr>
          <w:top w:val="single" w:sz="4" w:space="1" w:color="000000"/>
          <w:left w:val="single" w:sz="4" w:space="4" w:color="000000"/>
          <w:bottom w:val="single" w:sz="4" w:space="1" w:color="000000"/>
          <w:right w:val="single" w:sz="4" w:space="4" w:color="000000"/>
        </w:pBdr>
      </w:pPr>
      <w:r>
        <w:rPr>
          <w:u w:val="single"/>
        </w:rPr>
        <w:t>Suggest</w:t>
      </w:r>
      <w:r w:rsidR="00800DB4">
        <w:rPr>
          <w:u w:val="single"/>
        </w:rPr>
        <w:t xml:space="preserve">ed </w:t>
      </w:r>
      <w:r>
        <w:rPr>
          <w:u w:val="single"/>
        </w:rPr>
        <w:t>question:</w:t>
      </w:r>
    </w:p>
    <w:p w14:paraId="4680F58C" w14:textId="133C5EFF" w:rsidR="00634891" w:rsidRDefault="008606E7">
      <w:pPr>
        <w:pBdr>
          <w:top w:val="single" w:sz="4" w:space="1" w:color="000000"/>
          <w:left w:val="single" w:sz="4" w:space="4" w:color="000000"/>
          <w:bottom w:val="single" w:sz="4" w:space="1" w:color="000000"/>
          <w:right w:val="single" w:sz="4" w:space="4" w:color="000000"/>
        </w:pBdr>
      </w:pPr>
      <w:r>
        <w:t xml:space="preserve">Will the government </w:t>
      </w:r>
      <w:r w:rsidR="00C44C24">
        <w:t>adjust</w:t>
      </w:r>
      <w:r>
        <w:t xml:space="preserve"> its plans to place all new arrivals in the more restrictive detention regime </w:t>
      </w:r>
      <w:r w:rsidR="00C44C24">
        <w:t xml:space="preserve">to </w:t>
      </w:r>
      <w:r>
        <w:t xml:space="preserve">guarantee that alien detention </w:t>
      </w:r>
      <w:r w:rsidR="00800DB4">
        <w:t>is free of</w:t>
      </w:r>
      <w:r>
        <w:t xml:space="preserve"> excessive restrictions?</w:t>
      </w:r>
    </w:p>
    <w:p w14:paraId="5C58DA45" w14:textId="77777777" w:rsidR="00634891" w:rsidRDefault="00634891"/>
    <w:p w14:paraId="57BA5DCF" w14:textId="2222661C" w:rsidR="00634891" w:rsidRDefault="00D74430">
      <w:pPr>
        <w:pStyle w:val="Heading3"/>
      </w:pPr>
      <w:bookmarkStart w:id="12" w:name="_Toc527121551"/>
      <w:r>
        <w:t>Solitary confinement</w:t>
      </w:r>
      <w:r w:rsidR="008606E7">
        <w:t xml:space="preserve"> of migrants</w:t>
      </w:r>
      <w:bookmarkEnd w:id="12"/>
    </w:p>
    <w:p w14:paraId="23ADB8C0" w14:textId="77777777" w:rsidR="00634891" w:rsidRDefault="00634891"/>
    <w:p w14:paraId="5A955C77" w14:textId="405DCD07" w:rsidR="00634891" w:rsidRDefault="008606E7">
      <w:r>
        <w:t xml:space="preserve">As the report from the government shows, </w:t>
      </w:r>
      <w:r w:rsidR="00800DB4">
        <w:t xml:space="preserve">the </w:t>
      </w:r>
      <w:r>
        <w:t>isolation of undocumented migrants may be used as a disciplinary measure</w:t>
      </w:r>
      <w:r w:rsidR="00624F53">
        <w:t xml:space="preserve"> in alien detention</w:t>
      </w:r>
      <w:r>
        <w:t xml:space="preserve">. This continues to be the case in the future: the abovementioned </w:t>
      </w:r>
      <w:r w:rsidR="00800DB4">
        <w:t>Repatriation and Detention of Aliens Act</w:t>
      </w:r>
      <w:r>
        <w:t xml:space="preserve"> will allow for such isolation for a maximum duration of two weeks, with the possibility of </w:t>
      </w:r>
      <w:r w:rsidR="00C44C24">
        <w:t>extension</w:t>
      </w:r>
      <w:r>
        <w:t xml:space="preserve"> of one week at the time. Suggested amendments to only allow isolation for reasons of maintaining public order and security – and not as a disciplinary measure - an</w:t>
      </w:r>
      <w:r w:rsidR="00800DB4">
        <w:t>d excluding</w:t>
      </w:r>
      <w:r>
        <w:t xml:space="preserve"> the possibility to place minors in isolation were not accepted by the House of Representatives.</w:t>
      </w:r>
      <w:r>
        <w:rPr>
          <w:vertAlign w:val="superscript"/>
        </w:rPr>
        <w:footnoteReference w:id="26"/>
      </w:r>
    </w:p>
    <w:p w14:paraId="2F091C58" w14:textId="77777777" w:rsidR="00634891" w:rsidRDefault="00634891"/>
    <w:p w14:paraId="0B913104" w14:textId="77777777" w:rsidR="00634891" w:rsidRDefault="008606E7">
      <w:pPr>
        <w:pStyle w:val="Heading2"/>
      </w:pPr>
      <w:bookmarkStart w:id="13" w:name="_Toc527121552"/>
      <w:r>
        <w:t>Article 16</w:t>
      </w:r>
      <w:bookmarkEnd w:id="13"/>
    </w:p>
    <w:p w14:paraId="3E682666" w14:textId="77777777" w:rsidR="00634891" w:rsidRDefault="008606E7">
      <w:pPr>
        <w:pStyle w:val="Heading3"/>
      </w:pPr>
      <w:bookmarkStart w:id="14" w:name="_Toc527121553"/>
      <w:r>
        <w:t>Electric Discharge Weapons (Tasers)</w:t>
      </w:r>
      <w:bookmarkEnd w:id="14"/>
    </w:p>
    <w:p w14:paraId="3C95F3AB" w14:textId="77777777" w:rsidR="00634891" w:rsidRDefault="00634891"/>
    <w:p w14:paraId="5FB1AE14" w14:textId="4D0D485C" w:rsidR="00634891" w:rsidRDefault="008606E7">
      <w:bookmarkStart w:id="15" w:name="_35nkun2" w:colFirst="0" w:colLast="0"/>
      <w:bookmarkEnd w:id="15"/>
      <w:r>
        <w:t xml:space="preserve">The use of electric discharge weapons as standard police equipment </w:t>
      </w:r>
      <w:r w:rsidR="00C44C24">
        <w:t>was</w:t>
      </w:r>
      <w:r>
        <w:t xml:space="preserve"> </w:t>
      </w:r>
      <w:r w:rsidR="00F55B88">
        <w:t>tested</w:t>
      </w:r>
      <w:r>
        <w:t xml:space="preserve"> from 1 February 2017 to 1 February 2018 in a </w:t>
      </w:r>
      <w:r w:rsidR="00F55B88">
        <w:t>pilot</w:t>
      </w:r>
      <w:r>
        <w:t xml:space="preserve"> involving police officers in three districts. The final evaluation was published in May 2018.</w:t>
      </w:r>
      <w:r>
        <w:rPr>
          <w:vertAlign w:val="superscript"/>
        </w:rPr>
        <w:footnoteReference w:id="27"/>
      </w:r>
      <w:r>
        <w:t xml:space="preserve"> Several points of concern have been raised in this evaluation report, including the use of the ‘stun mode’, which was relatively often used and in some cases for long</w:t>
      </w:r>
      <w:r w:rsidR="00C44C24">
        <w:t>er</w:t>
      </w:r>
      <w:r>
        <w:t xml:space="preserve"> periods of time.</w:t>
      </w:r>
      <w:r>
        <w:rPr>
          <w:vertAlign w:val="superscript"/>
        </w:rPr>
        <w:footnoteReference w:id="28"/>
      </w:r>
      <w:r>
        <w:t xml:space="preserve"> </w:t>
      </w:r>
    </w:p>
    <w:p w14:paraId="3E700FA1" w14:textId="77777777" w:rsidR="00634891" w:rsidRDefault="00634891"/>
    <w:p w14:paraId="6C146F93" w14:textId="05480135" w:rsidR="00634891" w:rsidRDefault="008606E7">
      <w:r>
        <w:t xml:space="preserve">A </w:t>
      </w:r>
      <w:r w:rsidRPr="00C44C24">
        <w:t>draft instruction for the use of violence was published for public consul</w:t>
      </w:r>
      <w:r>
        <w:t>tation shortly after publication of the evaluation report.</w:t>
      </w:r>
      <w:r>
        <w:rPr>
          <w:vertAlign w:val="superscript"/>
        </w:rPr>
        <w:t xml:space="preserve"> </w:t>
      </w:r>
      <w:r>
        <w:rPr>
          <w:vertAlign w:val="superscript"/>
        </w:rPr>
        <w:footnoteReference w:id="29"/>
      </w:r>
      <w:r>
        <w:t xml:space="preserve"> The instruction sets out the conditions for the use of different weapons, including the Taser. The Institute advised the government to further restrict the use of the Taser than currently </w:t>
      </w:r>
      <w:r w:rsidR="00800DB4">
        <w:t>provided for</w:t>
      </w:r>
      <w:r>
        <w:t xml:space="preserve"> in the instruction. The Institute</w:t>
      </w:r>
      <w:r w:rsidR="00800DB4">
        <w:t xml:space="preserve"> shares your Committee’s</w:t>
      </w:r>
      <w:r>
        <w:t xml:space="preserve"> opinion that because the Taser can cause serious </w:t>
      </w:r>
      <w:r w:rsidR="00D74430">
        <w:t>physical</w:t>
      </w:r>
      <w:r>
        <w:t xml:space="preserve"> harm, its use should be limited to extreme situations in which there is a real and immediate threat to life or risk of serious injury. At the moment, the draft text proposes similar conditions for the Taser’s use as the pepper spray. Yet, </w:t>
      </w:r>
      <w:r w:rsidR="00C44C24">
        <w:t>t</w:t>
      </w:r>
      <w:r>
        <w:t>he Institute</w:t>
      </w:r>
      <w:r w:rsidR="00C44C24">
        <w:t xml:space="preserve"> </w:t>
      </w:r>
      <w:r>
        <w:t>considers conditions similar to</w:t>
      </w:r>
      <w:r w:rsidR="00F21F07">
        <w:t xml:space="preserve"> </w:t>
      </w:r>
      <w:r w:rsidR="00800DB4">
        <w:t xml:space="preserve">those for the use of firearms </w:t>
      </w:r>
      <w:r>
        <w:t xml:space="preserve">more appropriate. This would </w:t>
      </w:r>
      <w:r w:rsidR="00800DB4">
        <w:t>better</w:t>
      </w:r>
      <w:r>
        <w:t xml:space="preserve"> reflect the principle of proportionality given the potential risks of the use of </w:t>
      </w:r>
      <w:r w:rsidR="00C44C24">
        <w:t xml:space="preserve">this </w:t>
      </w:r>
      <w:r>
        <w:t>weapon. Furthermore, additional training is required for the use of the Taser. This training should prominently include techniques for de-escalation of a conflict.</w:t>
      </w:r>
    </w:p>
    <w:p w14:paraId="67093D4E" w14:textId="77777777" w:rsidR="00634891" w:rsidRDefault="00634891"/>
    <w:p w14:paraId="6881D08B" w14:textId="34E93FDB" w:rsidR="00634891" w:rsidRDefault="008606E7">
      <w:r>
        <w:t>The Institute also underlines the need for additional restraint when using the ‘stun mode’. The effect of this mode differs from the ‘fire mode’</w:t>
      </w:r>
      <w:r w:rsidR="00C44C24">
        <w:t>. The</w:t>
      </w:r>
      <w:r>
        <w:t xml:space="preserve"> latter results in involuntary contraction of the muscles, incapacitating the target, whereas the stun mode merely causes pain. The Institute notes the risk of disproportional use of the stun mode. It is easier to use the stun mode multiple times than the fire mode</w:t>
      </w:r>
      <w:r w:rsidR="00800DB4">
        <w:t xml:space="preserve">, especially </w:t>
      </w:r>
      <w:r>
        <w:t>when the target does not respond directly to pain stimuli. The evaluation shows that the stun mode is used in two situations: (1)</w:t>
      </w:r>
      <w:r w:rsidR="00800DB4">
        <w:t xml:space="preserve"> </w:t>
      </w:r>
      <w:r>
        <w:t>when the target is already under control and the police officer can make physical contact, or (2) when the police officer responds to physical contact initiated by the target. In the first situation, the Institute agrees with the CPT that other weapons or techniques can be used instead of the stun mode.</w:t>
      </w:r>
      <w:r>
        <w:rPr>
          <w:vertAlign w:val="superscript"/>
        </w:rPr>
        <w:footnoteReference w:id="30"/>
      </w:r>
      <w:r>
        <w:t xml:space="preserve"> Therefore, the Institute advises to restrict use of the stun mode to situations of self-defence.</w:t>
      </w:r>
    </w:p>
    <w:p w14:paraId="572A6453" w14:textId="77777777" w:rsidR="00634891" w:rsidRDefault="00634891"/>
    <w:p w14:paraId="10579959" w14:textId="36F4E9CC" w:rsidR="00634891" w:rsidRDefault="008606E7">
      <w:r>
        <w:t>Finally, the Institute underlines that the Taser should not be used in health care institutions or in situations where people with psychiatric problems are already in police custody. Several incidents during and after the pilot period showed that the Taser was also used by police officers in health care settings,</w:t>
      </w:r>
      <w:r>
        <w:rPr>
          <w:vertAlign w:val="superscript"/>
        </w:rPr>
        <w:footnoteReference w:id="31"/>
      </w:r>
      <w:r>
        <w:t xml:space="preserve"> even after Parliament adopted a resolution specifically prohibiting this.</w:t>
      </w:r>
      <w:r>
        <w:rPr>
          <w:vertAlign w:val="superscript"/>
        </w:rPr>
        <w:footnoteReference w:id="32"/>
      </w:r>
      <w:r>
        <w:t xml:space="preserve"> The Institute is concerned about these incidents and calls upon the government to take preventive measures to ensure that Tasers will not be used when people are already under physical control.</w:t>
      </w:r>
    </w:p>
    <w:p w14:paraId="0BA2B2F8" w14:textId="77777777" w:rsidR="00634891" w:rsidRDefault="00634891"/>
    <w:p w14:paraId="7BB87A14" w14:textId="7DDAFD57"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800DB4">
        <w:rPr>
          <w:u w:val="single"/>
        </w:rPr>
        <w:t xml:space="preserve">ed </w:t>
      </w:r>
      <w:r>
        <w:rPr>
          <w:u w:val="single"/>
        </w:rPr>
        <w:t>questions:</w:t>
      </w:r>
    </w:p>
    <w:p w14:paraId="6F3054FD" w14:textId="11FB7D96" w:rsidR="00634891" w:rsidRDefault="008606E7">
      <w:pPr>
        <w:pBdr>
          <w:top w:val="single" w:sz="4" w:space="1" w:color="000000"/>
          <w:left w:val="single" w:sz="4" w:space="4" w:color="000000"/>
          <w:bottom w:val="single" w:sz="4" w:space="1" w:color="000000"/>
          <w:right w:val="single" w:sz="4" w:space="4" w:color="000000"/>
        </w:pBdr>
      </w:pPr>
      <w:r>
        <w:t xml:space="preserve">Will the government ensure that the conditions for the use of Tasers are similar to the use of fire arm conditions, to ensure that </w:t>
      </w:r>
      <w:r w:rsidR="00800DB4">
        <w:t>they</w:t>
      </w:r>
      <w:r>
        <w:t xml:space="preserve"> will only be used in situations of last resort?</w:t>
      </w:r>
    </w:p>
    <w:p w14:paraId="2C395457" w14:textId="77777777" w:rsidR="00634891" w:rsidRDefault="00634891">
      <w:pPr>
        <w:pBdr>
          <w:top w:val="single" w:sz="4" w:space="1" w:color="000000"/>
          <w:left w:val="single" w:sz="4" w:space="4" w:color="000000"/>
          <w:bottom w:val="single" w:sz="4" w:space="1" w:color="000000"/>
          <w:right w:val="single" w:sz="4" w:space="4" w:color="000000"/>
        </w:pBdr>
      </w:pPr>
    </w:p>
    <w:p w14:paraId="2E654CC5" w14:textId="780DA56D" w:rsidR="00634891" w:rsidRDefault="008606E7">
      <w:pPr>
        <w:pBdr>
          <w:top w:val="single" w:sz="4" w:space="1" w:color="000000"/>
          <w:left w:val="single" w:sz="4" w:space="4" w:color="000000"/>
          <w:bottom w:val="single" w:sz="4" w:space="1" w:color="000000"/>
          <w:right w:val="single" w:sz="4" w:space="4" w:color="000000"/>
        </w:pBdr>
      </w:pPr>
      <w:r>
        <w:t>How will the government ensure that the use of Tasers in stun mode is limited to situations of real and immediate threat to life or risk of serious injury?</w:t>
      </w:r>
    </w:p>
    <w:p w14:paraId="7F3F001F" w14:textId="77777777" w:rsidR="00634891" w:rsidRDefault="00634891">
      <w:pPr>
        <w:pBdr>
          <w:top w:val="single" w:sz="4" w:space="1" w:color="000000"/>
          <w:left w:val="single" w:sz="4" w:space="4" w:color="000000"/>
          <w:bottom w:val="single" w:sz="4" w:space="1" w:color="000000"/>
          <w:right w:val="single" w:sz="4" w:space="4" w:color="000000"/>
        </w:pBdr>
      </w:pPr>
    </w:p>
    <w:p w14:paraId="2EF4AE4F" w14:textId="77777777" w:rsidR="00634891" w:rsidRDefault="008606E7">
      <w:pPr>
        <w:pBdr>
          <w:top w:val="single" w:sz="4" w:space="1" w:color="000000"/>
          <w:left w:val="single" w:sz="4" w:space="4" w:color="000000"/>
          <w:bottom w:val="single" w:sz="4" w:space="1" w:color="000000"/>
          <w:right w:val="single" w:sz="4" w:space="4" w:color="000000"/>
        </w:pBdr>
      </w:pPr>
      <w:r>
        <w:t>How will the government ensure that the Taser is not used in (mental) health care institutions and other situations in which the person involved is already under physical control?</w:t>
      </w:r>
    </w:p>
    <w:p w14:paraId="7BCFC8B7" w14:textId="77777777" w:rsidR="00634891" w:rsidRDefault="00634891"/>
    <w:p w14:paraId="6D540146" w14:textId="77777777" w:rsidR="00634891" w:rsidRDefault="008606E7">
      <w:pPr>
        <w:pStyle w:val="Heading3"/>
      </w:pPr>
      <w:bookmarkStart w:id="16" w:name="_Toc527121554"/>
      <w:r>
        <w:t>Statelessness</w:t>
      </w:r>
      <w:bookmarkEnd w:id="16"/>
    </w:p>
    <w:p w14:paraId="4AC1D0BE" w14:textId="77777777" w:rsidR="00634891" w:rsidRDefault="00634891"/>
    <w:p w14:paraId="0871DBAC" w14:textId="555E6376" w:rsidR="00634891" w:rsidRDefault="008606E7">
      <w:r>
        <w:t xml:space="preserve">A new </w:t>
      </w:r>
      <w:r w:rsidR="00C44C24">
        <w:t>B</w:t>
      </w:r>
      <w:r>
        <w:t>ill to establish a procedure for determining statelessness has been announced by the government.</w:t>
      </w:r>
      <w:r>
        <w:rPr>
          <w:vertAlign w:val="superscript"/>
        </w:rPr>
        <w:footnoteReference w:id="33"/>
      </w:r>
      <w:r>
        <w:t xml:space="preserve"> It has not been presented to parliament yet. While the Institute</w:t>
      </w:r>
      <w:r w:rsidR="001A7818">
        <w:t xml:space="preserve"> appreciates</w:t>
      </w:r>
      <w:r>
        <w:t xml:space="preserve"> </w:t>
      </w:r>
      <w:r w:rsidR="00800DB4">
        <w:t xml:space="preserve">the fact </w:t>
      </w:r>
      <w:r>
        <w:t>that the government will establish such a procedure, draft versions of the Bill still show a number of shortcomings.</w:t>
      </w:r>
    </w:p>
    <w:p w14:paraId="13051660" w14:textId="77777777" w:rsidR="00634891" w:rsidRDefault="00634891"/>
    <w:p w14:paraId="45381FE4" w14:textId="7208C5A8" w:rsidR="00634891" w:rsidRDefault="008606E7">
      <w:r>
        <w:t xml:space="preserve">Firstly, the determination procedure does not provide for a residence status when a person is </w:t>
      </w:r>
      <w:r w:rsidR="00800DB4">
        <w:t>found to be stateless. It follows f</w:t>
      </w:r>
      <w:r>
        <w:t>rom the spirit of the 1954 Convention relating to the Status of Stateless Persons that a stateless person should obtain a residence status, as they cannot return to another country. It stands to reason that someone who is declared stateless, would therefore obtain a permit through the no-fault procedure (</w:t>
      </w:r>
      <w:r>
        <w:rPr>
          <w:i/>
        </w:rPr>
        <w:t>buitenschuldprocedure</w:t>
      </w:r>
      <w:r>
        <w:t>), a procedure which was originally designed with stateless persons in mind.</w:t>
      </w:r>
    </w:p>
    <w:p w14:paraId="152C3E74" w14:textId="77777777" w:rsidR="00634891" w:rsidRDefault="00634891"/>
    <w:p w14:paraId="5D64ACB3" w14:textId="437A6A75" w:rsidR="00634891" w:rsidRDefault="008606E7">
      <w:r>
        <w:t>Secondly, the draft bill creates the possibility for stateless minors to obtain Dutch nationality through the ‘option procedure’. This is a positive development. However, the Institute regrets that the government</w:t>
      </w:r>
      <w:r w:rsidR="00800DB4">
        <w:t xml:space="preserve"> has</w:t>
      </w:r>
      <w:r>
        <w:t xml:space="preserve"> decided to set different standa</w:t>
      </w:r>
      <w:r w:rsidR="006232A2">
        <w:t>rds for stateless minors with</w:t>
      </w:r>
      <w:r>
        <w:t xml:space="preserve"> and minors with</w:t>
      </w:r>
      <w:r w:rsidR="006232A2">
        <w:t>out</w:t>
      </w:r>
      <w:r>
        <w:t xml:space="preserve"> legal residence</w:t>
      </w:r>
      <w:r w:rsidR="00800DB4">
        <w:t>, especially</w:t>
      </w:r>
      <w:r>
        <w:t xml:space="preserve"> when it comes to the period of residence in the Netherlands. </w:t>
      </w:r>
      <w:r w:rsidR="00D3434E">
        <w:t>T</w:t>
      </w:r>
      <w:r>
        <w:t>he newly created procedure sets a</w:t>
      </w:r>
      <w:r w:rsidR="00D3434E">
        <w:t xml:space="preserve"> </w:t>
      </w:r>
      <w:r w:rsidR="00800DB4">
        <w:t>three year</w:t>
      </w:r>
      <w:r>
        <w:t xml:space="preserve"> period for minors with legal residence, and five years for minors without legal residence. The government explains this difference in treatment by refusing to reward illegal residence, as parents would use their children’s status to be admitted to the Netherlands. According to the Institute, this purpose is illegitimate, as Article 2</w:t>
      </w:r>
      <w:r w:rsidR="00700A69">
        <w:t>(2)</w:t>
      </w:r>
      <w:r>
        <w:t xml:space="preserve"> of the Convention on the Rights of the Child explicitly forbids the punishment of children for their parents’ actions. Furthermore, the 1961 Convention on the Reduction of Statelessness aims to protect individuals, </w:t>
      </w:r>
      <w:r w:rsidR="00F21F07">
        <w:t>irrespective</w:t>
      </w:r>
      <w:r>
        <w:t xml:space="preserve"> of their residence status, due to their statelessness and thus vulnerable position. This is particularly true for minors. The Institute therefore considers the abovementioned difference between minors with and without legal residence as unjustified and discriminatory.</w:t>
      </w:r>
    </w:p>
    <w:p w14:paraId="7A423095" w14:textId="77777777" w:rsidR="00634891" w:rsidRDefault="00634891"/>
    <w:p w14:paraId="584EB100" w14:textId="4A515168" w:rsidR="00634891" w:rsidRDefault="008606E7">
      <w:pPr>
        <w:pBdr>
          <w:top w:val="single" w:sz="4" w:space="1" w:color="000000"/>
          <w:left w:val="single" w:sz="4" w:space="4" w:color="000000"/>
          <w:bottom w:val="single" w:sz="4" w:space="1" w:color="000000"/>
          <w:right w:val="single" w:sz="4" w:space="4" w:color="000000"/>
        </w:pBdr>
      </w:pPr>
      <w:r>
        <w:rPr>
          <w:u w:val="single"/>
        </w:rPr>
        <w:t>Suggest</w:t>
      </w:r>
      <w:r w:rsidR="00800DB4">
        <w:rPr>
          <w:u w:val="single"/>
        </w:rPr>
        <w:t xml:space="preserve">ed </w:t>
      </w:r>
      <w:r>
        <w:rPr>
          <w:u w:val="single"/>
        </w:rPr>
        <w:t>questions:</w:t>
      </w:r>
    </w:p>
    <w:p w14:paraId="5DE923FE" w14:textId="45A101B4" w:rsidR="00634891" w:rsidRDefault="008606E7">
      <w:pPr>
        <w:pBdr>
          <w:top w:val="single" w:sz="4" w:space="1" w:color="000000"/>
          <w:left w:val="single" w:sz="4" w:space="4" w:color="000000"/>
          <w:bottom w:val="single" w:sz="4" w:space="1" w:color="000000"/>
          <w:right w:val="single" w:sz="4" w:space="4" w:color="000000"/>
        </w:pBdr>
      </w:pPr>
      <w:r>
        <w:t>Will the government consider</w:t>
      </w:r>
      <w:r w:rsidR="00005525">
        <w:t xml:space="preserve"> </w:t>
      </w:r>
      <w:r w:rsidR="00D74430">
        <w:t>granting a residence permit to those who are</w:t>
      </w:r>
      <w:r>
        <w:t xml:space="preserve"> determined to be stateless ?</w:t>
      </w:r>
    </w:p>
    <w:p w14:paraId="54169CB1" w14:textId="77777777" w:rsidR="00634891" w:rsidRDefault="00634891">
      <w:pPr>
        <w:pBdr>
          <w:top w:val="single" w:sz="4" w:space="1" w:color="000000"/>
          <w:left w:val="single" w:sz="4" w:space="4" w:color="000000"/>
          <w:bottom w:val="single" w:sz="4" w:space="1" w:color="000000"/>
          <w:right w:val="single" w:sz="4" w:space="4" w:color="000000"/>
        </w:pBdr>
      </w:pPr>
    </w:p>
    <w:p w14:paraId="02860ED7" w14:textId="77777777" w:rsidR="00634891" w:rsidRDefault="008606E7">
      <w:pPr>
        <w:pBdr>
          <w:top w:val="single" w:sz="4" w:space="1" w:color="000000"/>
          <w:left w:val="single" w:sz="4" w:space="4" w:color="000000"/>
          <w:bottom w:val="single" w:sz="4" w:space="1" w:color="000000"/>
          <w:right w:val="single" w:sz="4" w:space="4" w:color="000000"/>
        </w:pBdr>
      </w:pPr>
      <w:r>
        <w:t>How will the government ensure equal treatment of all stateless children when obtaining the Dutch nationality?</w:t>
      </w:r>
    </w:p>
    <w:p w14:paraId="6BF40E18" w14:textId="77777777" w:rsidR="00634891" w:rsidRDefault="00634891"/>
    <w:p w14:paraId="0CCD8D36" w14:textId="77777777" w:rsidR="00634891" w:rsidRDefault="00634891"/>
    <w:p w14:paraId="44AEF69B" w14:textId="77777777" w:rsidR="00634891" w:rsidRDefault="008606E7">
      <w:pPr>
        <w:pStyle w:val="Heading2"/>
      </w:pPr>
      <w:bookmarkStart w:id="17" w:name="_Toc527121555"/>
      <w:r>
        <w:t>Other issues</w:t>
      </w:r>
      <w:bookmarkEnd w:id="17"/>
    </w:p>
    <w:p w14:paraId="75AA0765" w14:textId="29DAFB0C" w:rsidR="00634891" w:rsidRDefault="00F55B88">
      <w:pPr>
        <w:pStyle w:val="Heading3"/>
      </w:pPr>
      <w:bookmarkStart w:id="18" w:name="_Toc527121556"/>
      <w:r>
        <w:t>Counter</w:t>
      </w:r>
      <w:r w:rsidR="008606E7">
        <w:t>terrorism measures</w:t>
      </w:r>
      <w:bookmarkEnd w:id="18"/>
    </w:p>
    <w:p w14:paraId="16EAAB93" w14:textId="77777777" w:rsidR="00634891" w:rsidRDefault="00634891"/>
    <w:p w14:paraId="43C4DFDF" w14:textId="7F0B8C42" w:rsidR="00634891" w:rsidRDefault="008606E7">
      <w:r>
        <w:t xml:space="preserve">The Dutch Government has announced and partly implemented a number of different (legislative) measures addressing terrorism, </w:t>
      </w:r>
      <w:r w:rsidR="00800DB4">
        <w:t>including</w:t>
      </w:r>
      <w:r>
        <w:t xml:space="preserve">: </w:t>
      </w:r>
    </w:p>
    <w:p w14:paraId="72CD5410" w14:textId="77777777" w:rsidR="00634891" w:rsidRDefault="008606E7">
      <w:pPr>
        <w:numPr>
          <w:ilvl w:val="0"/>
          <w:numId w:val="2"/>
        </w:numPr>
        <w:pBdr>
          <w:top w:val="nil"/>
          <w:left w:val="nil"/>
          <w:bottom w:val="nil"/>
          <w:right w:val="nil"/>
          <w:between w:val="nil"/>
        </w:pBdr>
        <w:spacing w:line="259" w:lineRule="auto"/>
        <w:contextualSpacing/>
        <w:rPr>
          <w:color w:val="000000"/>
        </w:rPr>
      </w:pPr>
      <w:r>
        <w:rPr>
          <w:color w:val="000000"/>
        </w:rPr>
        <w:t>Counterterrorism (Interim Administrative Measures) Act</w:t>
      </w:r>
    </w:p>
    <w:p w14:paraId="4A1ED2C9" w14:textId="77777777" w:rsidR="00634891" w:rsidRDefault="008606E7">
      <w:pPr>
        <w:numPr>
          <w:ilvl w:val="0"/>
          <w:numId w:val="2"/>
        </w:numPr>
        <w:pBdr>
          <w:top w:val="nil"/>
          <w:left w:val="nil"/>
          <w:bottom w:val="nil"/>
          <w:right w:val="nil"/>
          <w:between w:val="nil"/>
        </w:pBdr>
        <w:spacing w:line="259" w:lineRule="auto"/>
        <w:contextualSpacing/>
        <w:rPr>
          <w:color w:val="000000"/>
        </w:rPr>
      </w:pPr>
      <w:r>
        <w:rPr>
          <w:color w:val="000000"/>
        </w:rPr>
        <w:t>Amendment of the Passport Act in connection with the automatic cancellation of travel documents issued to persons on whom a travel ban has been imposed</w:t>
      </w:r>
    </w:p>
    <w:p w14:paraId="1B89554B" w14:textId="77777777" w:rsidR="00634891" w:rsidRDefault="008606E7">
      <w:pPr>
        <w:numPr>
          <w:ilvl w:val="0"/>
          <w:numId w:val="2"/>
        </w:numPr>
        <w:pBdr>
          <w:top w:val="nil"/>
          <w:left w:val="nil"/>
          <w:bottom w:val="nil"/>
          <w:right w:val="nil"/>
          <w:between w:val="nil"/>
        </w:pBdr>
        <w:spacing w:line="259" w:lineRule="auto"/>
        <w:contextualSpacing/>
        <w:rPr>
          <w:color w:val="000000"/>
        </w:rPr>
      </w:pPr>
      <w:r>
        <w:rPr>
          <w:color w:val="000000"/>
        </w:rPr>
        <w:t>Amendment of the Netherlands Nationality Act in connection with the revocation of Dutch nationality in the interests of national security</w:t>
      </w:r>
    </w:p>
    <w:p w14:paraId="7E99E3C7" w14:textId="77777777" w:rsidR="00634891" w:rsidRDefault="008606E7">
      <w:pPr>
        <w:numPr>
          <w:ilvl w:val="0"/>
          <w:numId w:val="2"/>
        </w:numPr>
        <w:pBdr>
          <w:top w:val="nil"/>
          <w:left w:val="nil"/>
          <w:bottom w:val="nil"/>
          <w:right w:val="nil"/>
          <w:between w:val="nil"/>
        </w:pBdr>
        <w:spacing w:line="259" w:lineRule="auto"/>
        <w:contextualSpacing/>
        <w:rPr>
          <w:color w:val="000000"/>
        </w:rPr>
      </w:pPr>
      <w:r>
        <w:rPr>
          <w:color w:val="000000"/>
        </w:rPr>
        <w:t>Intelligence and Security Services Act 2017</w:t>
      </w:r>
    </w:p>
    <w:p w14:paraId="70C438B5" w14:textId="7910B456" w:rsidR="00634891" w:rsidRDefault="008606E7">
      <w:pPr>
        <w:numPr>
          <w:ilvl w:val="0"/>
          <w:numId w:val="2"/>
        </w:numPr>
        <w:pBdr>
          <w:top w:val="nil"/>
          <w:left w:val="nil"/>
          <w:bottom w:val="nil"/>
          <w:right w:val="nil"/>
          <w:between w:val="nil"/>
        </w:pBdr>
        <w:spacing w:line="259" w:lineRule="auto"/>
        <w:contextualSpacing/>
        <w:rPr>
          <w:color w:val="000000"/>
        </w:rPr>
      </w:pPr>
      <w:r>
        <w:rPr>
          <w:color w:val="000000"/>
        </w:rPr>
        <w:t xml:space="preserve">Strengthening </w:t>
      </w:r>
      <w:r w:rsidR="00800DB4">
        <w:rPr>
          <w:color w:val="000000"/>
        </w:rPr>
        <w:t xml:space="preserve">the </w:t>
      </w:r>
      <w:r>
        <w:rPr>
          <w:color w:val="000000"/>
        </w:rPr>
        <w:t>Criminal-Law Approach to Countering Terrorism Bill</w:t>
      </w:r>
    </w:p>
    <w:p w14:paraId="32C07BDB" w14:textId="77777777" w:rsidR="00634891" w:rsidRDefault="00634891"/>
    <w:p w14:paraId="1D5C3D07" w14:textId="58722C21" w:rsidR="00634891" w:rsidRDefault="008606E7">
      <w:r>
        <w:t xml:space="preserve">The Institute identifies two trends when it comes to </w:t>
      </w:r>
      <w:r w:rsidR="00F55B88">
        <w:t>counter</w:t>
      </w:r>
      <w:r>
        <w:t xml:space="preserve">terrorism measures: earlier intervention and expansion of </w:t>
      </w:r>
      <w:r w:rsidR="00800DB4">
        <w:t xml:space="preserve">the </w:t>
      </w:r>
      <w:r>
        <w:t xml:space="preserve">powers of government </w:t>
      </w:r>
      <w:r w:rsidR="00F55B88">
        <w:t>agencies</w:t>
      </w:r>
      <w:r>
        <w:t>.</w:t>
      </w:r>
      <w:r>
        <w:rPr>
          <w:vertAlign w:val="superscript"/>
        </w:rPr>
        <w:footnoteReference w:id="34"/>
      </w:r>
      <w:r>
        <w:t xml:space="preserve"> The first trend, earlier intervention, puts the presumption of innocence at risk, as interventions may be increasingly based upon (statistical) predictions rather than concrete actions or behaviour. This puts minority groups at particular risk of discrimination.</w:t>
      </w:r>
      <w:r w:rsidR="000F65E8">
        <w:rPr>
          <w:rStyle w:val="FootnoteReference"/>
        </w:rPr>
        <w:footnoteReference w:id="35"/>
      </w:r>
      <w:r>
        <w:t xml:space="preserve"> The second trend, expansion of </w:t>
      </w:r>
      <w:r w:rsidR="00800DB4">
        <w:t xml:space="preserve">the </w:t>
      </w:r>
      <w:r>
        <w:t xml:space="preserve">powers of government </w:t>
      </w:r>
      <w:r w:rsidR="00F55B88">
        <w:t>agencies</w:t>
      </w:r>
      <w:r>
        <w:t>, appears to be the result of a reflex to regulate all potential risks</w:t>
      </w:r>
      <w:r w:rsidR="00D3434E">
        <w:t xml:space="preserve"> by expanding the powers of government </w:t>
      </w:r>
      <w:r w:rsidR="00F55B88">
        <w:t>agencies</w:t>
      </w:r>
      <w:r>
        <w:t>.</w:t>
      </w:r>
      <w:r w:rsidR="00D3434E">
        <w:rPr>
          <w:rStyle w:val="FootnoteReference"/>
        </w:rPr>
        <w:footnoteReference w:id="36"/>
      </w:r>
      <w:r>
        <w:t xml:space="preserve"> The questions </w:t>
      </w:r>
      <w:r w:rsidR="00800DB4">
        <w:t xml:space="preserve">of </w:t>
      </w:r>
      <w:r w:rsidR="00F55B88">
        <w:t>whether</w:t>
      </w:r>
      <w:r>
        <w:t xml:space="preserve"> such powers are proportional and effective are rarely addressed or </w:t>
      </w:r>
      <w:r w:rsidR="00800DB4">
        <w:t xml:space="preserve">are </w:t>
      </w:r>
      <w:r>
        <w:t xml:space="preserve">automatically answered </w:t>
      </w:r>
      <w:r w:rsidR="00800DB4">
        <w:t>in the affirmative</w:t>
      </w:r>
      <w:r>
        <w:t>.</w:t>
      </w:r>
    </w:p>
    <w:p w14:paraId="769DFF6B" w14:textId="77777777" w:rsidR="00634891" w:rsidRDefault="00634891"/>
    <w:p w14:paraId="265CAFD2" w14:textId="7B12DEAE" w:rsidR="00634891" w:rsidRDefault="008606E7">
      <w:r>
        <w:rPr>
          <w:i/>
        </w:rPr>
        <w:t>Extension of pre-trial detention without serious indications of guilt</w:t>
      </w:r>
      <w:r w:rsidR="00D74430">
        <w:rPr>
          <w:i/>
        </w:rPr>
        <w:t xml:space="preserve"> that a person committed a crime</w:t>
      </w:r>
    </w:p>
    <w:p w14:paraId="4CD1E02F" w14:textId="77777777" w:rsidR="00634891" w:rsidRDefault="00634891"/>
    <w:p w14:paraId="2A923D32" w14:textId="775A0C33" w:rsidR="00634891" w:rsidRDefault="008606E7">
      <w:r>
        <w:t>Pre-trial detention may be ordered for certain crimes, as long as there are serious indications (</w:t>
      </w:r>
      <w:r>
        <w:rPr>
          <w:i/>
        </w:rPr>
        <w:t>ernstige bezwaren</w:t>
      </w:r>
      <w:r>
        <w:t>) and grounds for such detention. For terrorist crimes, detention on remand can be ordered without such serious indications. That means that in such cases, reasonable suspicion suffices for detention on remand of 14 days.</w:t>
      </w:r>
      <w:r w:rsidR="009336D7">
        <w:t xml:space="preserve"> The idea behind this</w:t>
      </w:r>
      <w:r w:rsidR="002451BA">
        <w:t xml:space="preserve"> was that these 14 days would give the police and judicial authorities extra time to investigate the case without the risk of collusion by the defendant. In addition, a potentially dangerous person could be locked up for 14 days without the high threshold of serious indications. In practice, however, the extra time for investigation did not lead to the establishment of serious indications, so the defendants were all released after their time in detention on remand.</w:t>
      </w:r>
      <w:r w:rsidR="002451BA">
        <w:rPr>
          <w:rStyle w:val="FootnoteReference"/>
        </w:rPr>
        <w:footnoteReference w:id="37"/>
      </w:r>
    </w:p>
    <w:p w14:paraId="47428400" w14:textId="77777777" w:rsidR="00634891" w:rsidRDefault="00634891"/>
    <w:p w14:paraId="5DCECFDC" w14:textId="6BB79877" w:rsidR="00634891" w:rsidRDefault="008606E7">
      <w:r>
        <w:t xml:space="preserve">A new Bill on Strengthening </w:t>
      </w:r>
      <w:r w:rsidR="009336D7">
        <w:t xml:space="preserve">the </w:t>
      </w:r>
      <w:r>
        <w:t>Criminal-Law Approach to Countering Terrorism enables judges to extend pre-trial detention by another 30 days without se</w:t>
      </w:r>
      <w:r w:rsidR="009336D7">
        <w:t>rious indications for a select</w:t>
      </w:r>
      <w:r>
        <w:t xml:space="preserve"> number of terrorist offences. This means detention for up to 44 days in total, without serious indications that the suspect committed the crime in question. </w:t>
      </w:r>
      <w:r w:rsidR="006B692D">
        <w:t>This Bill was introduced after a political debate on suspected Foreign Terrorist Fighters. In practice, all persons who have been in foreign territory</w:t>
      </w:r>
      <w:r w:rsidR="00C637BF">
        <w:t xml:space="preserve"> controlled by terrorist groups</w:t>
      </w:r>
      <w:r w:rsidR="006B692D">
        <w:t xml:space="preserve"> </w:t>
      </w:r>
      <w:r w:rsidR="00FF070B">
        <w:t>conflict zones</w:t>
      </w:r>
      <w:r w:rsidR="00C637BF">
        <w:t xml:space="preserve"> </w:t>
      </w:r>
      <w:r w:rsidR="006B692D">
        <w:t xml:space="preserve">are more or less automatically </w:t>
      </w:r>
      <w:r w:rsidR="00C637BF">
        <w:t xml:space="preserve">considered </w:t>
      </w:r>
      <w:r w:rsidR="006B692D">
        <w:t>suspect</w:t>
      </w:r>
      <w:r w:rsidR="00C637BF">
        <w:t>s</w:t>
      </w:r>
      <w:r w:rsidR="00560406">
        <w:t xml:space="preserve"> of terrorist offences</w:t>
      </w:r>
      <w:r w:rsidR="006B692D">
        <w:t>.</w:t>
      </w:r>
    </w:p>
    <w:p w14:paraId="62091F49" w14:textId="77777777" w:rsidR="00634891" w:rsidRDefault="00634891"/>
    <w:p w14:paraId="130210BC" w14:textId="2B92CFBC" w:rsidR="00634891" w:rsidRDefault="008606E7">
      <w:r>
        <w:t>The Council for the Judiciary, in its legislative advice on the Bill, pointed out the risk that detention on remand and subsequent extension of pre-trial detention may be ordered</w:t>
      </w:r>
      <w:r w:rsidR="009336D7">
        <w:t xml:space="preserve"> on the basis of</w:t>
      </w:r>
      <w:r>
        <w:t xml:space="preserve"> information that a judge cannot substantially verify because of state secrets.</w:t>
      </w:r>
      <w:r>
        <w:rPr>
          <w:vertAlign w:val="superscript"/>
        </w:rPr>
        <w:footnoteReference w:id="38"/>
      </w:r>
      <w:r>
        <w:t xml:space="preserve"> This dilemma will make it very difficult for a judge to make a decision with such serious consequences, like detention. </w:t>
      </w:r>
    </w:p>
    <w:p w14:paraId="5148AE46" w14:textId="77777777" w:rsidR="00634891" w:rsidRDefault="00634891"/>
    <w:p w14:paraId="6C529330" w14:textId="77777777" w:rsidR="00634891" w:rsidRDefault="008606E7">
      <w:pPr>
        <w:rPr>
          <w:i/>
        </w:rPr>
      </w:pPr>
      <w:r>
        <w:rPr>
          <w:i/>
        </w:rPr>
        <w:t>Revocation of Dutch nationality in the interests of national security</w:t>
      </w:r>
    </w:p>
    <w:p w14:paraId="36E57786" w14:textId="77777777" w:rsidR="00634891" w:rsidRDefault="00634891"/>
    <w:p w14:paraId="1C27167D" w14:textId="02C97F23" w:rsidR="00634891" w:rsidRDefault="008606E7">
      <w:r>
        <w:t xml:space="preserve">The Netherlands Nationality Act has been amended, allowing for </w:t>
      </w:r>
      <w:r w:rsidR="009336D7">
        <w:t xml:space="preserve">the </w:t>
      </w:r>
      <w:r>
        <w:t>revocation of Dutch nationality by the Minister in the interests of national security, without a criminal conviction for a terrorist crime.</w:t>
      </w:r>
      <w:r>
        <w:rPr>
          <w:vertAlign w:val="superscript"/>
        </w:rPr>
        <w:footnoteReference w:id="39"/>
      </w:r>
      <w:r>
        <w:t xml:space="preserve"> </w:t>
      </w:r>
      <w:r w:rsidR="006B692D">
        <w:t>Dutch nationality may only be revoked when the person involved has another nationality, to avoid statelessness. If Dutch nationality is revoked in the interests of national security, the person involved is automatically registered as an undesirable national foreigner. This means that they can no longer remain in or re-enter the Netherlands.</w:t>
      </w:r>
    </w:p>
    <w:p w14:paraId="229685D7" w14:textId="77777777" w:rsidR="00634891" w:rsidRDefault="00634891"/>
    <w:p w14:paraId="03994713" w14:textId="642B2477" w:rsidR="00634891" w:rsidRDefault="009336D7">
      <w:r>
        <w:t>Individual circumstances should play a role w</w:t>
      </w:r>
      <w:r w:rsidR="008606E7">
        <w:t xml:space="preserve">hen the assessment is made </w:t>
      </w:r>
      <w:r>
        <w:t>on revoking someone’s nationality</w:t>
      </w:r>
      <w:r w:rsidR="008606E7">
        <w:t xml:space="preserve">. One circumstance that should be taken into account, is the risk of torture, or inhuman or degrading treatment in the country of </w:t>
      </w:r>
      <w:r>
        <w:t>their</w:t>
      </w:r>
      <w:r w:rsidR="008606E7">
        <w:t xml:space="preserve"> second nationality if Dutch nationality is revoked. If the person in question only has second nationality of an unsafe country to which he can return, it may not be reasonable to revoke the</w:t>
      </w:r>
      <w:r>
        <w:t>ir</w:t>
      </w:r>
      <w:r w:rsidR="008606E7">
        <w:t xml:space="preserve"> Dutch nationality.</w:t>
      </w:r>
    </w:p>
    <w:p w14:paraId="2A485FB2" w14:textId="77777777" w:rsidR="00634891" w:rsidRDefault="00634891"/>
    <w:p w14:paraId="358C078E" w14:textId="62B2EC65"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9336D7">
        <w:rPr>
          <w:u w:val="single"/>
        </w:rPr>
        <w:t xml:space="preserve">ed </w:t>
      </w:r>
      <w:r>
        <w:rPr>
          <w:u w:val="single"/>
        </w:rPr>
        <w:t>question:</w:t>
      </w:r>
    </w:p>
    <w:p w14:paraId="580AAEE5" w14:textId="4700845A" w:rsidR="00634891" w:rsidRDefault="008606E7">
      <w:pPr>
        <w:pBdr>
          <w:top w:val="single" w:sz="4" w:space="1" w:color="000000"/>
          <w:left w:val="single" w:sz="4" w:space="4" w:color="000000"/>
          <w:bottom w:val="single" w:sz="4" w:space="1" w:color="000000"/>
          <w:right w:val="single" w:sz="4" w:space="4" w:color="000000"/>
        </w:pBdr>
      </w:pPr>
      <w:r>
        <w:t>To what extent does the Dutch minister ascertain whether the person involved runs the risk of being</w:t>
      </w:r>
      <w:r w:rsidR="009336D7">
        <w:t xml:space="preserve"> tortured or treated inhumanely</w:t>
      </w:r>
      <w:r>
        <w:t xml:space="preserve"> before revocation of their Dutch nationality?</w:t>
      </w:r>
    </w:p>
    <w:p w14:paraId="2CE47F01" w14:textId="77777777" w:rsidR="00634891" w:rsidRDefault="00634891"/>
    <w:p w14:paraId="54E90DD9" w14:textId="77777777" w:rsidR="00634891" w:rsidRDefault="008606E7">
      <w:pPr>
        <w:pStyle w:val="Heading3"/>
      </w:pPr>
      <w:bookmarkStart w:id="19" w:name="_Toc527121557"/>
      <w:r>
        <w:t>Life sentences</w:t>
      </w:r>
      <w:bookmarkEnd w:id="19"/>
    </w:p>
    <w:p w14:paraId="0BC5186D" w14:textId="77777777" w:rsidR="00634891" w:rsidRDefault="00634891"/>
    <w:p w14:paraId="2346B1DD" w14:textId="2EC3DB68" w:rsidR="00634891" w:rsidRDefault="008606E7">
      <w:r>
        <w:t xml:space="preserve">In the Netherlands, it is possible to receive a life sentence </w:t>
      </w:r>
      <w:r w:rsidR="009336D7">
        <w:t>if</w:t>
      </w:r>
      <w:r>
        <w:t xml:space="preserve"> a person is convicted of murder. The only way th</w:t>
      </w:r>
      <w:r w:rsidR="009336D7">
        <w:t>is life sentence may be reduced</w:t>
      </w:r>
      <w:r>
        <w:t xml:space="preserve"> is when the minister of Justice and Security grants </w:t>
      </w:r>
      <w:r w:rsidR="009336D7">
        <w:t xml:space="preserve">a </w:t>
      </w:r>
      <w:r>
        <w:t>pardon to the person convicted. As in practice such a pardon is never granted, despite several requests for a pardon, the Supreme Court ruled in 2016 that the current system appears to be a violation of the prohibition of ill-treatment.</w:t>
      </w:r>
      <w:r>
        <w:rPr>
          <w:vertAlign w:val="superscript"/>
        </w:rPr>
        <w:footnoteReference w:id="40"/>
      </w:r>
      <w:r>
        <w:t xml:space="preserve"> The Minister proposed a new pardoning system, introducing an advisory committee that automatically reviews the situation of life sentenced prisoners after 25 years of detention.</w:t>
      </w:r>
      <w:r>
        <w:rPr>
          <w:vertAlign w:val="superscript"/>
        </w:rPr>
        <w:footnoteReference w:id="41"/>
      </w:r>
      <w:r>
        <w:t xml:space="preserve"> After the review </w:t>
      </w:r>
      <w:r w:rsidR="002451BA">
        <w:t>t</w:t>
      </w:r>
      <w:r>
        <w:t>he advisory committee advises the minister if the detainee should be allowed to start reintegration activities.</w:t>
      </w:r>
      <w:r>
        <w:rPr>
          <w:vertAlign w:val="superscript"/>
        </w:rPr>
        <w:footnoteReference w:id="42"/>
      </w:r>
      <w:r>
        <w:t xml:space="preserve"> It is then up to the minister to decide</w:t>
      </w:r>
      <w:r w:rsidR="009336D7">
        <w:t xml:space="preserve"> on whether</w:t>
      </w:r>
      <w:r>
        <w:t xml:space="preserve"> to grant the detainee </w:t>
      </w:r>
      <w:r w:rsidR="009336D7">
        <w:t>a pardon</w:t>
      </w:r>
      <w:r>
        <w:t>.</w:t>
      </w:r>
    </w:p>
    <w:p w14:paraId="6A2241D3" w14:textId="77777777" w:rsidR="00634891" w:rsidRDefault="00634891"/>
    <w:p w14:paraId="3F4433FD" w14:textId="19385674" w:rsidR="00634891" w:rsidRDefault="008606E7">
      <w:r>
        <w:t xml:space="preserve">The Institute is critical of the new system. Although the introduction of </w:t>
      </w:r>
      <w:r w:rsidR="009336D7">
        <w:t xml:space="preserve">an </w:t>
      </w:r>
      <w:r>
        <w:t xml:space="preserve">automatic review of </w:t>
      </w:r>
      <w:r w:rsidR="009336D7">
        <w:t>continuation of the life sentence is positive</w:t>
      </w:r>
      <w:r>
        <w:t>, the Institute believes it to be a</w:t>
      </w:r>
      <w:r w:rsidR="00653306">
        <w:t xml:space="preserve"> </w:t>
      </w:r>
      <w:r>
        <w:t>missed opportunity for</w:t>
      </w:r>
      <w:r w:rsidR="00653306">
        <w:t xml:space="preserve"> </w:t>
      </w:r>
      <w:r>
        <w:t>the decision to remain political. In essence, the current system does not differ from the former</w:t>
      </w:r>
      <w:r w:rsidR="009336D7">
        <w:t xml:space="preserve"> one</w:t>
      </w:r>
      <w:r>
        <w:t>, with the excep</w:t>
      </w:r>
      <w:r w:rsidR="009336D7">
        <w:t>tion that now both the minister</w:t>
      </w:r>
      <w:r>
        <w:t xml:space="preserve"> and the advisory committee need to be convinced. The minister may ignore the committee’s advice and </w:t>
      </w:r>
      <w:r w:rsidR="009336D7">
        <w:t>decide against</w:t>
      </w:r>
      <w:r>
        <w:t xml:space="preserve"> granting a pardon.</w:t>
      </w:r>
      <w:r>
        <w:rPr>
          <w:vertAlign w:val="superscript"/>
        </w:rPr>
        <w:footnoteReference w:id="43"/>
      </w:r>
      <w:r>
        <w:t xml:space="preserve"> In addition, the new system does not set a deadline fo</w:t>
      </w:r>
      <w:r w:rsidR="009336D7">
        <w:t>r decisions;</w:t>
      </w:r>
      <w:r>
        <w:t xml:space="preserve"> nor does it provide a timeframe for </w:t>
      </w:r>
      <w:r w:rsidR="009336D7">
        <w:t>subsequent</w:t>
      </w:r>
      <w:r>
        <w:t xml:space="preserve"> reviews </w:t>
      </w:r>
      <w:r w:rsidR="009336D7">
        <w:t>if</w:t>
      </w:r>
      <w:r w:rsidR="00653306">
        <w:t xml:space="preserve"> </w:t>
      </w:r>
      <w:r>
        <w:t>a pardon is not granted.</w:t>
      </w:r>
      <w:r w:rsidR="007C444A">
        <w:t xml:space="preserve"> </w:t>
      </w:r>
    </w:p>
    <w:p w14:paraId="368B3FD0" w14:textId="77777777" w:rsidR="00634891" w:rsidRDefault="00634891"/>
    <w:p w14:paraId="171BCC4E" w14:textId="1D69F16C" w:rsidR="00634891" w:rsidRDefault="008606E7">
      <w:r>
        <w:t xml:space="preserve">The Institute strongly believes </w:t>
      </w:r>
      <w:r w:rsidR="009336D7">
        <w:t xml:space="preserve">that </w:t>
      </w:r>
      <w:r>
        <w:t xml:space="preserve">this decision should be </w:t>
      </w:r>
      <w:r w:rsidR="009336D7">
        <w:t>made</w:t>
      </w:r>
      <w:r>
        <w:t xml:space="preserve"> by an independent judge. </w:t>
      </w:r>
      <w:r w:rsidR="009336D7">
        <w:t>That way, a person’s</w:t>
      </w:r>
      <w:r>
        <w:t xml:space="preserve"> freedom and right to hope do not depend on political circumstances at a particular time.</w:t>
      </w:r>
    </w:p>
    <w:p w14:paraId="20799997" w14:textId="77777777" w:rsidR="00634891" w:rsidRDefault="00634891"/>
    <w:p w14:paraId="7405F3BE" w14:textId="60BFB793" w:rsidR="00634891" w:rsidRDefault="008606E7">
      <w:pPr>
        <w:pBdr>
          <w:top w:val="single" w:sz="4" w:space="1" w:color="000000"/>
          <w:left w:val="single" w:sz="4" w:space="4" w:color="000000"/>
          <w:bottom w:val="single" w:sz="4" w:space="1" w:color="000000"/>
          <w:right w:val="single" w:sz="4" w:space="4" w:color="000000"/>
        </w:pBdr>
        <w:rPr>
          <w:u w:val="single"/>
        </w:rPr>
      </w:pPr>
      <w:r>
        <w:rPr>
          <w:u w:val="single"/>
        </w:rPr>
        <w:t>Suggest</w:t>
      </w:r>
      <w:r w:rsidR="009336D7">
        <w:rPr>
          <w:u w:val="single"/>
        </w:rPr>
        <w:t xml:space="preserve">ed </w:t>
      </w:r>
      <w:r>
        <w:rPr>
          <w:u w:val="single"/>
        </w:rPr>
        <w:t>questions:</w:t>
      </w:r>
    </w:p>
    <w:p w14:paraId="236DD9FC" w14:textId="77777777" w:rsidR="0074789C" w:rsidRDefault="008606E7">
      <w:pPr>
        <w:pBdr>
          <w:top w:val="single" w:sz="4" w:space="1" w:color="000000"/>
          <w:left w:val="single" w:sz="4" w:space="4" w:color="000000"/>
          <w:bottom w:val="single" w:sz="4" w:space="1" w:color="000000"/>
          <w:right w:val="single" w:sz="4" w:space="4" w:color="000000"/>
        </w:pBdr>
      </w:pPr>
      <w:r>
        <w:t xml:space="preserve">Will the government </w:t>
      </w:r>
      <w:r w:rsidR="00653306">
        <w:t xml:space="preserve">introduce the possibility </w:t>
      </w:r>
      <w:r>
        <w:t xml:space="preserve">to </w:t>
      </w:r>
      <w:r w:rsidR="009336D7">
        <w:t>allow</w:t>
      </w:r>
      <w:r>
        <w:t xml:space="preserve"> an independent judge </w:t>
      </w:r>
      <w:r w:rsidR="009336D7">
        <w:t xml:space="preserve">to </w:t>
      </w:r>
      <w:r>
        <w:t>decide about the continuation of the execution of a life sentence after a set period of time, and during regular intervals after the first review?</w:t>
      </w:r>
      <w:r w:rsidR="0074789C">
        <w:t xml:space="preserve"> </w:t>
      </w:r>
    </w:p>
    <w:p w14:paraId="48FBB516" w14:textId="485065F3" w:rsidR="0074789C" w:rsidRDefault="0074789C">
      <w:pPr>
        <w:pBdr>
          <w:top w:val="single" w:sz="4" w:space="1" w:color="000000"/>
          <w:left w:val="single" w:sz="4" w:space="4" w:color="000000"/>
          <w:bottom w:val="single" w:sz="4" w:space="1" w:color="000000"/>
          <w:right w:val="single" w:sz="4" w:space="4" w:color="000000"/>
        </w:pBdr>
      </w:pPr>
      <w:r>
        <w:t>If not, will the government enable the judiciary to assess the ministerial decision and to apply the criteria from jurisprudence of the European Court of Human Rights?</w:t>
      </w:r>
    </w:p>
    <w:p w14:paraId="6B63007D" w14:textId="77777777" w:rsidR="00634891" w:rsidRDefault="00634891"/>
    <w:sectPr w:rsidR="00634891">
      <w:footerReference w:type="default" r:id="rId9"/>
      <w:pgSz w:w="11906" w:h="16838"/>
      <w:pgMar w:top="1417" w:right="1417" w:bottom="1417" w:left="1417" w:header="708" w:footer="708" w:gutter="0"/>
      <w:pgNumType w:start="1"/>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20A0DE" w16cid:durableId="1F685CDA"/>
  <w16cid:commentId w16cid:paraId="5A413F8C" w16cid:durableId="1F685CDB"/>
  <w16cid:commentId w16cid:paraId="570C807D" w16cid:durableId="1F685CD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D6549" w14:textId="77777777" w:rsidR="005A4E5D" w:rsidRDefault="005A4E5D">
      <w:pPr>
        <w:spacing w:line="240" w:lineRule="auto"/>
      </w:pPr>
      <w:r>
        <w:separator/>
      </w:r>
    </w:p>
  </w:endnote>
  <w:endnote w:type="continuationSeparator" w:id="0">
    <w:p w14:paraId="2CDF5BBD" w14:textId="77777777" w:rsidR="005A4E5D" w:rsidRDefault="005A4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A9907" w14:textId="77777777" w:rsidR="005D60C0" w:rsidRDefault="005D60C0">
    <w:pPr>
      <w:pBdr>
        <w:top w:val="nil"/>
        <w:left w:val="nil"/>
        <w:bottom w:val="nil"/>
        <w:right w:val="nil"/>
        <w:between w:val="nil"/>
      </w:pBdr>
      <w:tabs>
        <w:tab w:val="center" w:pos="4536"/>
        <w:tab w:val="right" w:pos="9072"/>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4233D9">
      <w:rPr>
        <w:noProof/>
        <w:color w:val="000000"/>
      </w:rPr>
      <w:t>2</w:t>
    </w:r>
    <w:r>
      <w:rPr>
        <w:color w:val="000000"/>
      </w:rPr>
      <w:fldChar w:fldCharType="end"/>
    </w:r>
  </w:p>
  <w:p w14:paraId="2D2D5804" w14:textId="77777777" w:rsidR="005D60C0" w:rsidRDefault="005D60C0">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AB3A7" w14:textId="77777777" w:rsidR="005A4E5D" w:rsidRDefault="005A4E5D">
      <w:pPr>
        <w:spacing w:line="240" w:lineRule="auto"/>
      </w:pPr>
      <w:r>
        <w:separator/>
      </w:r>
    </w:p>
  </w:footnote>
  <w:footnote w:type="continuationSeparator" w:id="0">
    <w:p w14:paraId="7C4A127B" w14:textId="77777777" w:rsidR="005A4E5D" w:rsidRDefault="005A4E5D">
      <w:pPr>
        <w:spacing w:line="240" w:lineRule="auto"/>
      </w:pPr>
      <w:r>
        <w:continuationSeparator/>
      </w:r>
    </w:p>
  </w:footnote>
  <w:footnote w:id="1">
    <w:p w14:paraId="758754CE" w14:textId="77777777" w:rsidR="005D60C0" w:rsidRPr="00B429EB" w:rsidRDefault="005D60C0">
      <w:pPr>
        <w:pBdr>
          <w:top w:val="nil"/>
          <w:left w:val="nil"/>
          <w:bottom w:val="nil"/>
          <w:right w:val="nil"/>
          <w:between w:val="nil"/>
        </w:pBdr>
        <w:spacing w:line="240" w:lineRule="auto"/>
        <w:rPr>
          <w:color w:val="000000"/>
          <w:sz w:val="20"/>
          <w:szCs w:val="20"/>
          <w:lang w:val="nl-NL"/>
        </w:rPr>
      </w:pPr>
      <w:r>
        <w:rPr>
          <w:vertAlign w:val="superscript"/>
        </w:rPr>
        <w:footnoteRef/>
      </w:r>
      <w:r w:rsidRPr="00B429EB">
        <w:rPr>
          <w:color w:val="000000"/>
          <w:sz w:val="20"/>
          <w:szCs w:val="20"/>
          <w:lang w:val="nl-NL"/>
        </w:rPr>
        <w:t xml:space="preserve"> CAT/C/NLD/QPR/7.</w:t>
      </w:r>
    </w:p>
  </w:footnote>
  <w:footnote w:id="2">
    <w:p w14:paraId="53D9F433" w14:textId="54CF7B36" w:rsidR="005D60C0" w:rsidRPr="0011529A" w:rsidRDefault="005D60C0" w:rsidP="006128EA">
      <w:pPr>
        <w:spacing w:line="240" w:lineRule="auto"/>
        <w:rPr>
          <w:sz w:val="20"/>
          <w:szCs w:val="20"/>
          <w:lang w:val="en-US"/>
        </w:rPr>
      </w:pPr>
      <w:r>
        <w:rPr>
          <w:rStyle w:val="FootnoteReference"/>
        </w:rPr>
        <w:footnoteRef/>
      </w:r>
      <w:r>
        <w:t xml:space="preserve"> </w:t>
      </w:r>
      <w:r w:rsidRPr="0011529A">
        <w:rPr>
          <w:sz w:val="20"/>
          <w:szCs w:val="20"/>
          <w:lang w:val="en-US"/>
        </w:rPr>
        <w:t xml:space="preserve">See also </w:t>
      </w:r>
      <w:r w:rsidR="006128EA" w:rsidRPr="0011529A">
        <w:rPr>
          <w:sz w:val="20"/>
          <w:szCs w:val="20"/>
        </w:rPr>
        <w:t xml:space="preserve">CEDAW 10 November 2016, CEDAW/C/NLD/CO/6, </w:t>
      </w:r>
      <w:r w:rsidR="006128EA" w:rsidRPr="0011529A">
        <w:rPr>
          <w:i/>
          <w:sz w:val="20"/>
          <w:szCs w:val="20"/>
        </w:rPr>
        <w:t xml:space="preserve">Concluding observations on the sixth periodic report of the Netherlands, </w:t>
      </w:r>
      <w:r w:rsidR="00C20867" w:rsidRPr="0011529A">
        <w:rPr>
          <w:sz w:val="20"/>
          <w:szCs w:val="20"/>
          <w:lang w:val="en-US"/>
        </w:rPr>
        <w:t>par</w:t>
      </w:r>
      <w:r w:rsidRPr="0011529A">
        <w:rPr>
          <w:sz w:val="20"/>
          <w:szCs w:val="20"/>
          <w:lang w:val="en-US"/>
        </w:rPr>
        <w:t>. 23-26.</w:t>
      </w:r>
    </w:p>
  </w:footnote>
  <w:footnote w:id="3">
    <w:p w14:paraId="6B7A29DB" w14:textId="77777777" w:rsidR="005D60C0" w:rsidRPr="0011529A" w:rsidRDefault="005D60C0" w:rsidP="006128EA">
      <w:pPr>
        <w:pBdr>
          <w:top w:val="nil"/>
          <w:left w:val="nil"/>
          <w:bottom w:val="nil"/>
          <w:right w:val="nil"/>
          <w:between w:val="nil"/>
        </w:pBdr>
        <w:spacing w:line="240" w:lineRule="auto"/>
        <w:rPr>
          <w:color w:val="000000"/>
          <w:sz w:val="20"/>
          <w:szCs w:val="20"/>
        </w:rPr>
      </w:pPr>
      <w:r w:rsidRPr="0011529A">
        <w:rPr>
          <w:sz w:val="20"/>
          <w:szCs w:val="20"/>
          <w:vertAlign w:val="superscript"/>
        </w:rPr>
        <w:footnoteRef/>
      </w:r>
      <w:r w:rsidRPr="0011529A">
        <w:rPr>
          <w:color w:val="000000"/>
          <w:sz w:val="20"/>
          <w:szCs w:val="20"/>
        </w:rPr>
        <w:t xml:space="preserve"> Federatie Opvang, “Vrouwenopvang zit overvol” [Women’s shelter is overcrowded], December 2017. </w:t>
      </w:r>
      <w:hyperlink r:id="rId1">
        <w:r w:rsidRPr="0011529A">
          <w:rPr>
            <w:color w:val="0000FF"/>
            <w:sz w:val="20"/>
            <w:szCs w:val="20"/>
            <w:u w:val="single"/>
          </w:rPr>
          <w:t>http://www.opvang.nl/site/item/vrouwenopvang-overvol</w:t>
        </w:r>
      </w:hyperlink>
      <w:r w:rsidRPr="0011529A">
        <w:rPr>
          <w:color w:val="000000"/>
          <w:sz w:val="20"/>
          <w:szCs w:val="20"/>
        </w:rPr>
        <w:t xml:space="preserve"> </w:t>
      </w:r>
    </w:p>
  </w:footnote>
  <w:footnote w:id="4">
    <w:p w14:paraId="48A4B4E3" w14:textId="77777777" w:rsidR="005D60C0" w:rsidRPr="0011529A" w:rsidRDefault="005D60C0" w:rsidP="00B429EB">
      <w:pPr>
        <w:pBdr>
          <w:top w:val="nil"/>
          <w:left w:val="nil"/>
          <w:bottom w:val="nil"/>
          <w:right w:val="nil"/>
          <w:between w:val="nil"/>
        </w:pBdr>
        <w:spacing w:line="240" w:lineRule="auto"/>
        <w:rPr>
          <w:color w:val="000000"/>
          <w:sz w:val="20"/>
          <w:szCs w:val="20"/>
        </w:rPr>
      </w:pPr>
      <w:r w:rsidRPr="0011529A">
        <w:rPr>
          <w:sz w:val="20"/>
          <w:szCs w:val="20"/>
          <w:vertAlign w:val="superscript"/>
        </w:rPr>
        <w:footnoteRef/>
      </w:r>
      <w:r w:rsidRPr="0011529A">
        <w:rPr>
          <w:color w:val="000000"/>
          <w:sz w:val="20"/>
          <w:szCs w:val="20"/>
        </w:rPr>
        <w:t xml:space="preserve"> National ombudsman, </w:t>
      </w:r>
      <w:r w:rsidRPr="0011529A">
        <w:rPr>
          <w:i/>
          <w:color w:val="000000"/>
          <w:sz w:val="20"/>
          <w:szCs w:val="20"/>
        </w:rPr>
        <w:t>Vrouwen in de knel? Een onderzoek naar knelpunten in de vrouwenopvang</w:t>
      </w:r>
      <w:r w:rsidRPr="0011529A">
        <w:rPr>
          <w:color w:val="000000"/>
          <w:sz w:val="20"/>
          <w:szCs w:val="20"/>
        </w:rPr>
        <w:t xml:space="preserve"> [Women in a fix? Research into problem areas for women’s shelters], 6 July 2017</w:t>
      </w:r>
    </w:p>
  </w:footnote>
  <w:footnote w:id="5">
    <w:p w14:paraId="71BC4BE4" w14:textId="77777777" w:rsidR="005D60C0" w:rsidRPr="0011529A" w:rsidRDefault="005D60C0" w:rsidP="00B429EB">
      <w:pPr>
        <w:pBdr>
          <w:top w:val="nil"/>
          <w:left w:val="nil"/>
          <w:bottom w:val="nil"/>
          <w:right w:val="nil"/>
          <w:between w:val="nil"/>
        </w:pBdr>
        <w:spacing w:line="240" w:lineRule="auto"/>
        <w:rPr>
          <w:color w:val="000000"/>
          <w:sz w:val="20"/>
          <w:szCs w:val="20"/>
        </w:rPr>
      </w:pPr>
      <w:r w:rsidRPr="0011529A">
        <w:rPr>
          <w:sz w:val="20"/>
          <w:szCs w:val="20"/>
          <w:vertAlign w:val="superscript"/>
        </w:rPr>
        <w:footnoteRef/>
      </w:r>
      <w:r w:rsidRPr="0011529A">
        <w:rPr>
          <w:color w:val="000000"/>
          <w:sz w:val="20"/>
          <w:szCs w:val="20"/>
        </w:rPr>
        <w:t xml:space="preserve"> Letter of the Minister of Health, Welfare and Sport, </w:t>
      </w:r>
      <w:r w:rsidRPr="0011529A">
        <w:rPr>
          <w:i/>
          <w:color w:val="000000"/>
          <w:sz w:val="20"/>
          <w:szCs w:val="20"/>
        </w:rPr>
        <w:t>Kamerstukken II</w:t>
      </w:r>
      <w:r w:rsidRPr="0011529A">
        <w:rPr>
          <w:color w:val="000000"/>
          <w:sz w:val="20"/>
          <w:szCs w:val="20"/>
        </w:rPr>
        <w:t xml:space="preserve"> 2017/18, 29 325, 91, 14 December 2017. </w:t>
      </w:r>
    </w:p>
  </w:footnote>
  <w:footnote w:id="6">
    <w:p w14:paraId="5FB86B74" w14:textId="77777777" w:rsidR="005D60C0" w:rsidRDefault="005D60C0" w:rsidP="00B429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Inspectorate for Youth Care and Inspectorate for Health Care, </w:t>
      </w:r>
      <w:r>
        <w:rPr>
          <w:i/>
          <w:color w:val="000000"/>
          <w:sz w:val="20"/>
          <w:szCs w:val="20"/>
        </w:rPr>
        <w:t>De kwaliteit van Veilig Thuis, stap 2, landelijk beeld</w:t>
      </w:r>
      <w:r>
        <w:rPr>
          <w:color w:val="000000"/>
          <w:sz w:val="20"/>
          <w:szCs w:val="20"/>
        </w:rPr>
        <w:t xml:space="preserve"> [Quality of Safe at Home, step 2, national picture], April 2017.</w:t>
      </w:r>
    </w:p>
  </w:footnote>
  <w:footnote w:id="7">
    <w:p w14:paraId="40FF2445" w14:textId="77777777" w:rsidR="005D60C0" w:rsidRDefault="005D60C0" w:rsidP="00B429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Health and Youth Care Inspectorate, </w:t>
      </w:r>
      <w:r>
        <w:rPr>
          <w:i/>
          <w:color w:val="000000"/>
          <w:sz w:val="20"/>
          <w:szCs w:val="20"/>
        </w:rPr>
        <w:t>Herbeoordeling twaalf Veilig Thuis organisaties</w:t>
      </w:r>
      <w:r>
        <w:rPr>
          <w:color w:val="000000"/>
          <w:sz w:val="20"/>
          <w:szCs w:val="20"/>
        </w:rPr>
        <w:t>, [Re-evaluation twelve Safe at Home organisations], 17 November 2017.</w:t>
      </w:r>
    </w:p>
  </w:footnote>
  <w:footnote w:id="8">
    <w:p w14:paraId="171F50D2" w14:textId="77777777" w:rsidR="005D60C0" w:rsidRDefault="005D60C0" w:rsidP="00B429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Ibid., page 19.</w:t>
      </w:r>
    </w:p>
  </w:footnote>
  <w:footnote w:id="9">
    <w:p w14:paraId="6253140A"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An estimation research by the National Rapporteur on Trafficking in Human Beings and Sexual Violence against Children in 2017 concludes that on average, approximately 6,250 people are victims of human trafficking per year. See: National Rapporteur on Trafficking in Human Beings and Sexual Violence against Children (2017), </w:t>
      </w:r>
      <w:r>
        <w:rPr>
          <w:i/>
          <w:color w:val="000000"/>
          <w:sz w:val="20"/>
          <w:szCs w:val="20"/>
        </w:rPr>
        <w:t>Slachtoffermonitor mensenhandel 2012-2016</w:t>
      </w:r>
      <w:r>
        <w:rPr>
          <w:color w:val="000000"/>
          <w:sz w:val="20"/>
          <w:szCs w:val="20"/>
        </w:rPr>
        <w:t xml:space="preserve"> [Victim monitor trafficking in human beings 2012-2016], The Hague: National Rapporteur.</w:t>
      </w:r>
    </w:p>
  </w:footnote>
  <w:footnote w:id="10">
    <w:p w14:paraId="2834A0EC" w14:textId="53FF4D9B"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See letter to parliament by the Minister of Security and Justice on Investment in combating trafficking in human beings of 29 November 2016.</w:t>
      </w:r>
    </w:p>
  </w:footnote>
  <w:footnote w:id="11">
    <w:p w14:paraId="060E36AF"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Ibid.</w:t>
      </w:r>
    </w:p>
  </w:footnote>
  <w:footnote w:id="12">
    <w:p w14:paraId="6A548CD9"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District court of Amsterdam, 1 August 2017, ECLI:NL:RBAMS:2017:5516 and district court of The Hague, 8 March 2018, ECLI:NL:RBDHA:2018:2682.</w:t>
      </w:r>
    </w:p>
  </w:footnote>
  <w:footnote w:id="13">
    <w:p w14:paraId="48AC404A"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National Rapporteur on Trafficking in Human Beings and Sexual Violence against Children in 2017 concludes that on average, approximately 6,250 people are victims of human trafficking per year. See: National Rapporteur on Trafficking in Human Beings and Sexual Violence against Children (2017), </w:t>
      </w:r>
      <w:r>
        <w:rPr>
          <w:i/>
          <w:color w:val="000000"/>
          <w:sz w:val="20"/>
          <w:szCs w:val="20"/>
        </w:rPr>
        <w:t>Slachtoffermonitor mensenhandel 2012-2016</w:t>
      </w:r>
      <w:r>
        <w:rPr>
          <w:color w:val="000000"/>
          <w:sz w:val="20"/>
          <w:szCs w:val="20"/>
        </w:rPr>
        <w:t xml:space="preserve"> [Victim monitor trafficking in human beings 2012-2016], The Hague: National Rapporteur, page 101.</w:t>
      </w:r>
    </w:p>
  </w:footnote>
  <w:footnote w:id="14">
    <w:p w14:paraId="132B4076" w14:textId="21A12A06"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See also our legislative advice: Netherlands Institute for Human Rights, Advies conceptwetsvoorstel gegevensverwerking door samenwerkingsverbanden [</w:t>
      </w:r>
      <w:r>
        <w:rPr>
          <w:i/>
          <w:color w:val="000000"/>
          <w:sz w:val="20"/>
          <w:szCs w:val="20"/>
        </w:rPr>
        <w:t xml:space="preserve">Advise on the draft Bill concerning data processing </w:t>
      </w:r>
      <w:r w:rsidRPr="009336D7">
        <w:rPr>
          <w:i/>
          <w:color w:val="000000"/>
          <w:sz w:val="20"/>
          <w:szCs w:val="20"/>
        </w:rPr>
        <w:t xml:space="preserve">by collaborating </w:t>
      </w:r>
      <w:r>
        <w:rPr>
          <w:i/>
          <w:color w:val="000000"/>
          <w:sz w:val="20"/>
          <w:szCs w:val="20"/>
        </w:rPr>
        <w:t>entities</w:t>
      </w:r>
      <w:r>
        <w:rPr>
          <w:color w:val="000000"/>
          <w:sz w:val="20"/>
          <w:szCs w:val="20"/>
        </w:rPr>
        <w:t>], September 2018.</w:t>
      </w:r>
    </w:p>
  </w:footnote>
  <w:footnote w:id="15">
    <w:p w14:paraId="7D549FB8"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National rapporteur on Trafficking in Human Beings and Sexual Violence against Children (2017), </w:t>
      </w:r>
      <w:r>
        <w:rPr>
          <w:i/>
          <w:color w:val="000000"/>
          <w:sz w:val="20"/>
          <w:szCs w:val="20"/>
        </w:rPr>
        <w:t xml:space="preserve">Mensenhandel. </w:t>
      </w:r>
      <w:r w:rsidRPr="00D94451">
        <w:rPr>
          <w:i/>
          <w:color w:val="000000"/>
          <w:sz w:val="20"/>
          <w:szCs w:val="20"/>
          <w:lang w:val="nl-NL"/>
        </w:rPr>
        <w:t>Tiende rapportage van de Nationaal Rapporteur</w:t>
      </w:r>
      <w:r w:rsidRPr="00D94451">
        <w:rPr>
          <w:color w:val="000000"/>
          <w:sz w:val="20"/>
          <w:szCs w:val="20"/>
          <w:lang w:val="nl-NL"/>
        </w:rPr>
        <w:t xml:space="preserve"> [Trafficking in human beings. </w:t>
      </w:r>
      <w:r>
        <w:rPr>
          <w:color w:val="000000"/>
          <w:sz w:val="20"/>
          <w:szCs w:val="20"/>
        </w:rPr>
        <w:t>Tenth report of the National Rapporteur], The Hague: National Rapporteur.</w:t>
      </w:r>
    </w:p>
  </w:footnote>
  <w:footnote w:id="16">
    <w:p w14:paraId="3280402B"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hyperlink r:id="rId2">
        <w:r>
          <w:rPr>
            <w:color w:val="0000FF"/>
            <w:sz w:val="20"/>
            <w:szCs w:val="20"/>
            <w:u w:val="single"/>
          </w:rPr>
          <w:t>https://kennisopenbaarbestuur.nl/media/255304/programmastart-interbestuurlijk-programma-ibp.pdf</w:t>
        </w:r>
      </w:hyperlink>
      <w:r>
        <w:rPr>
          <w:color w:val="000000"/>
          <w:sz w:val="20"/>
          <w:szCs w:val="20"/>
        </w:rPr>
        <w:t>.</w:t>
      </w:r>
    </w:p>
  </w:footnote>
  <w:footnote w:id="17">
    <w:p w14:paraId="7D2A81DE"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Ibid., page 22, nr. 11</w:t>
      </w:r>
    </w:p>
  </w:footnote>
  <w:footnote w:id="18">
    <w:p w14:paraId="62C51017"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Article 132a(4) of the Dutch Constitution. </w:t>
      </w:r>
    </w:p>
  </w:footnote>
  <w:footnote w:id="19">
    <w:p w14:paraId="3D0738AB" w14:textId="7C5362EA"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J. Broer, C.F. Mooi, J. Quak, C.L. Mulder, </w:t>
      </w:r>
      <w:r>
        <w:rPr>
          <w:i/>
          <w:color w:val="000000"/>
          <w:sz w:val="20"/>
          <w:szCs w:val="20"/>
        </w:rPr>
        <w:t>Continuous increase in community treatment orders and compulsory admissions in the Netherlands 2003-2017</w:t>
      </w:r>
      <w:r>
        <w:rPr>
          <w:color w:val="000000"/>
          <w:sz w:val="20"/>
          <w:szCs w:val="20"/>
        </w:rPr>
        <w:t>, Ned. Tijdschr. Geneeskd. 2018 (in press).</w:t>
      </w:r>
    </w:p>
  </w:footnote>
  <w:footnote w:id="20">
    <w:p w14:paraId="5915CAB1"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R.K. Kisely, L.A. Campbell, R. O’Reilly, </w:t>
      </w:r>
      <w:r>
        <w:rPr>
          <w:i/>
          <w:color w:val="000000"/>
          <w:sz w:val="20"/>
          <w:szCs w:val="20"/>
        </w:rPr>
        <w:t>Compulsory community and involuntary outpatient treatment for people with severe mental disorders</w:t>
      </w:r>
      <w:r>
        <w:rPr>
          <w:color w:val="000000"/>
          <w:sz w:val="20"/>
          <w:szCs w:val="20"/>
        </w:rPr>
        <w:t>, Cochrane Collaboration John Wiley &amp; Sons, 2017.</w:t>
      </w:r>
    </w:p>
  </w:footnote>
  <w:footnote w:id="21">
    <w:p w14:paraId="340DC896"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J. Broer, C.F. Mooi, J. Quak, C.L. Mulder, </w:t>
      </w:r>
      <w:r>
        <w:rPr>
          <w:i/>
          <w:color w:val="000000"/>
          <w:sz w:val="20"/>
          <w:szCs w:val="20"/>
        </w:rPr>
        <w:t>Continuous increase in community treatment orders and compulsory admissions in the Netherlands 2003-2017</w:t>
      </w:r>
      <w:r>
        <w:rPr>
          <w:color w:val="000000"/>
          <w:sz w:val="20"/>
          <w:szCs w:val="20"/>
        </w:rPr>
        <w:t>, Ned Tijdschr Geneeskd 2018 (in press).</w:t>
      </w:r>
    </w:p>
  </w:footnote>
  <w:footnote w:id="22">
    <w:p w14:paraId="0FD4E5A2"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They will enter into force on 1 January 2021.</w:t>
      </w:r>
    </w:p>
  </w:footnote>
  <w:footnote w:id="23">
    <w:p w14:paraId="757A21BC"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Netherlands Institute for Human Rights, </w:t>
      </w:r>
      <w:r>
        <w:rPr>
          <w:i/>
          <w:color w:val="000000"/>
          <w:sz w:val="20"/>
          <w:szCs w:val="20"/>
        </w:rPr>
        <w:t xml:space="preserve">Advies over observatiemaatregel zoals voorgesteld in de tweede nota van wijziging voorstel Wet verplichte ggz </w:t>
      </w:r>
      <w:r>
        <w:rPr>
          <w:color w:val="000000"/>
          <w:sz w:val="20"/>
          <w:szCs w:val="20"/>
        </w:rPr>
        <w:t xml:space="preserve">[Advice concerning the observation measure as suggested in the second memorandum of amendment of the Compulsory Mental Health Care Bill], 20 January 2017 and </w:t>
      </w:r>
      <w:r>
        <w:rPr>
          <w:i/>
          <w:color w:val="000000"/>
          <w:sz w:val="20"/>
          <w:szCs w:val="20"/>
        </w:rPr>
        <w:t xml:space="preserve">Reactie van College internetconsultatie Besluit zorg en dwang, verplichte ggz en forensische zorg </w:t>
      </w:r>
      <w:r>
        <w:rPr>
          <w:color w:val="000000"/>
          <w:sz w:val="20"/>
          <w:szCs w:val="20"/>
        </w:rPr>
        <w:t>[Response of the Institute in the internet consultation of the Decree care and compulsion, compulsory mental health care and forensic care], 14 February 2018.</w:t>
      </w:r>
    </w:p>
  </w:footnote>
  <w:footnote w:id="24">
    <w:p w14:paraId="696D17BD"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Netherlands Institute for Human Rights, </w:t>
      </w:r>
      <w:r>
        <w:rPr>
          <w:i/>
          <w:color w:val="000000"/>
          <w:sz w:val="20"/>
          <w:szCs w:val="20"/>
        </w:rPr>
        <w:t>Advice: Crossing the border. Border detention of asylum seekers in the light of human rights standards</w:t>
      </w:r>
      <w:r>
        <w:rPr>
          <w:color w:val="000000"/>
          <w:sz w:val="20"/>
          <w:szCs w:val="20"/>
        </w:rPr>
        <w:t>, May 2014.</w:t>
      </w:r>
    </w:p>
  </w:footnote>
  <w:footnote w:id="25">
    <w:p w14:paraId="1934A3FA" w14:textId="727184DD"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Concluding observations of the Committee against Tortur</w:t>
      </w:r>
      <w:r w:rsidR="00C20867">
        <w:rPr>
          <w:color w:val="000000"/>
          <w:sz w:val="20"/>
          <w:szCs w:val="20"/>
        </w:rPr>
        <w:t>e (2013), CAT/C/NLD/CO/5-6, par</w:t>
      </w:r>
      <w:r>
        <w:rPr>
          <w:color w:val="000000"/>
          <w:sz w:val="20"/>
          <w:szCs w:val="20"/>
        </w:rPr>
        <w:t>. 14.</w:t>
      </w:r>
    </w:p>
  </w:footnote>
  <w:footnote w:id="26">
    <w:p w14:paraId="13835A08"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hyperlink r:id="rId3">
        <w:r>
          <w:rPr>
            <w:color w:val="0000FF"/>
            <w:sz w:val="20"/>
            <w:szCs w:val="20"/>
            <w:u w:val="single"/>
          </w:rPr>
          <w:t>https://www.tweedekamer.nl/kamerstukken/detail?id=2018Z10985&amp;did=2018D33196</w:t>
        </w:r>
      </w:hyperlink>
      <w:r>
        <w:rPr>
          <w:color w:val="000000"/>
          <w:sz w:val="20"/>
          <w:szCs w:val="20"/>
        </w:rPr>
        <w:t xml:space="preserve"> and </w:t>
      </w:r>
      <w:hyperlink r:id="rId4">
        <w:r>
          <w:rPr>
            <w:color w:val="0000FF"/>
            <w:sz w:val="20"/>
            <w:szCs w:val="20"/>
            <w:u w:val="single"/>
          </w:rPr>
          <w:t>https://www.tweedekamer.nl/kamerstukken/detail?id=2018Z10987&amp;did=2018D33199</w:t>
        </w:r>
      </w:hyperlink>
      <w:r>
        <w:rPr>
          <w:color w:val="000000"/>
          <w:sz w:val="20"/>
          <w:szCs w:val="20"/>
        </w:rPr>
        <w:t xml:space="preserve">. </w:t>
      </w:r>
    </w:p>
  </w:footnote>
  <w:footnote w:id="27">
    <w:p w14:paraId="31219ED4"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sidRPr="00D74430">
        <w:rPr>
          <w:color w:val="000000"/>
          <w:sz w:val="20"/>
          <w:szCs w:val="20"/>
          <w:lang w:val="nl-NL"/>
        </w:rPr>
        <w:t xml:space="preserve"> O. Adang, B. Mali, K. Vermeulen, </w:t>
      </w:r>
      <w:r w:rsidRPr="00D74430">
        <w:rPr>
          <w:i/>
          <w:color w:val="000000"/>
          <w:sz w:val="20"/>
          <w:szCs w:val="20"/>
          <w:lang w:val="nl-NL"/>
        </w:rPr>
        <w:t xml:space="preserve">Het stroomstootwapen in de basispolitiezorg? </w:t>
      </w:r>
      <w:r>
        <w:rPr>
          <w:i/>
          <w:color w:val="000000"/>
          <w:sz w:val="20"/>
          <w:szCs w:val="20"/>
        </w:rPr>
        <w:t xml:space="preserve">Evaluatie van de pilot </w:t>
      </w:r>
      <w:r>
        <w:rPr>
          <w:color w:val="000000"/>
          <w:sz w:val="20"/>
          <w:szCs w:val="20"/>
        </w:rPr>
        <w:t xml:space="preserve">[The electric discharge weapon in basic police work? Evaluation of the pilot], Politieacademie, May 2018. </w:t>
      </w:r>
      <w:hyperlink r:id="rId5">
        <w:r>
          <w:rPr>
            <w:color w:val="0000FF"/>
            <w:sz w:val="20"/>
            <w:szCs w:val="20"/>
            <w:u w:val="single"/>
          </w:rPr>
          <w:t>https://www.rijksoverheid.nl/binaries/rijksoverheid/documenten/rapporten/2018/06/01/tk-eindrapport-stroomstootwapen/tk-eindrapport-stroomstootwapen.pdf</w:t>
        </w:r>
      </w:hyperlink>
      <w:r>
        <w:rPr>
          <w:color w:val="000000"/>
          <w:sz w:val="20"/>
          <w:szCs w:val="20"/>
        </w:rPr>
        <w:t xml:space="preserve"> </w:t>
      </w:r>
    </w:p>
  </w:footnote>
  <w:footnote w:id="28">
    <w:p w14:paraId="71D6EE26"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From the evaluation report: “The Dutch use of the stun mode is extremely high when compared internationally, even for the first pilot year: while in other countries 1-4% of all uses are in stun mode (and 7-28% of power consumption[…]), this is 22% of all uses in the Netherlands and 53% of power consumption.” (page 52). In eleven situations the Taser was used for more than 15 seconds (the maximum duration for safe use). In one of those situations, the stun mode was used in addition to fire mode. In another situation, the stun mode was used exclusively for more than 15 seconds. (page 36-37).</w:t>
      </w:r>
    </w:p>
  </w:footnote>
  <w:footnote w:id="29">
    <w:p w14:paraId="5D7B1E6A"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hyperlink r:id="rId6">
        <w:r>
          <w:rPr>
            <w:color w:val="0000FF"/>
            <w:sz w:val="20"/>
            <w:szCs w:val="20"/>
            <w:u w:val="single"/>
          </w:rPr>
          <w:t>https://www.internetconsultatie.nl/ambtsinstructie</w:t>
        </w:r>
      </w:hyperlink>
      <w:r>
        <w:rPr>
          <w:color w:val="000000"/>
          <w:sz w:val="20"/>
          <w:szCs w:val="20"/>
        </w:rPr>
        <w:t xml:space="preserve">. </w:t>
      </w:r>
    </w:p>
  </w:footnote>
  <w:footnote w:id="30">
    <w:p w14:paraId="574AB707" w14:textId="11B4DF2B"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CPT, Standards concerning Electrical Discharge Wea</w:t>
      </w:r>
      <w:r w:rsidR="00C20867">
        <w:rPr>
          <w:color w:val="000000"/>
          <w:sz w:val="20"/>
          <w:szCs w:val="20"/>
        </w:rPr>
        <w:t>pons, CPT/Inf(2010)28-part, par.</w:t>
      </w:r>
      <w:r>
        <w:rPr>
          <w:color w:val="000000"/>
          <w:sz w:val="20"/>
          <w:szCs w:val="20"/>
        </w:rPr>
        <w:t xml:space="preserve"> 78. </w:t>
      </w:r>
      <w:hyperlink r:id="rId7">
        <w:r>
          <w:rPr>
            <w:color w:val="0000FF"/>
            <w:sz w:val="20"/>
            <w:szCs w:val="20"/>
            <w:u w:val="single"/>
          </w:rPr>
          <w:t>https://rm.coe.int/16806cce1c</w:t>
        </w:r>
      </w:hyperlink>
      <w:r>
        <w:rPr>
          <w:color w:val="000000"/>
          <w:sz w:val="20"/>
          <w:szCs w:val="20"/>
        </w:rPr>
        <w:t xml:space="preserve"> </w:t>
      </w:r>
    </w:p>
  </w:footnote>
  <w:footnote w:id="31">
    <w:p w14:paraId="685C5E4F"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See, for example, </w:t>
      </w:r>
      <w:hyperlink r:id="rId8">
        <w:r>
          <w:rPr>
            <w:color w:val="0000FF"/>
            <w:sz w:val="20"/>
            <w:szCs w:val="20"/>
            <w:u w:val="single"/>
          </w:rPr>
          <w:t>https://www.trouw.nl/samenleving/woede-over-taseren-patient-in-isoleercel~a420b81a/</w:t>
        </w:r>
      </w:hyperlink>
      <w:r>
        <w:rPr>
          <w:color w:val="000000"/>
          <w:sz w:val="20"/>
          <w:szCs w:val="20"/>
        </w:rPr>
        <w:t xml:space="preserve"> and </w:t>
      </w:r>
      <w:hyperlink r:id="rId9">
        <w:r>
          <w:rPr>
            <w:color w:val="0000FF"/>
            <w:sz w:val="20"/>
            <w:szCs w:val="20"/>
            <w:u w:val="single"/>
          </w:rPr>
          <w:t>https://nieuws.nl/algemeen/20180713/zorginstelling-onderzoekt-incident-met-taser/</w:t>
        </w:r>
      </w:hyperlink>
      <w:r>
        <w:rPr>
          <w:color w:val="000000"/>
          <w:sz w:val="20"/>
          <w:szCs w:val="20"/>
        </w:rPr>
        <w:t xml:space="preserve"> </w:t>
      </w:r>
    </w:p>
  </w:footnote>
  <w:footnote w:id="32">
    <w:p w14:paraId="3A9AE394" w14:textId="4D995F94"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sidR="0011529A" w:rsidRPr="0011529A">
        <w:rPr>
          <w:i/>
          <w:sz w:val="20"/>
          <w:szCs w:val="20"/>
        </w:rPr>
        <w:t xml:space="preserve">Kamerstukken </w:t>
      </w:r>
      <w:r w:rsidR="0011529A" w:rsidRPr="0011529A">
        <w:rPr>
          <w:sz w:val="20"/>
          <w:szCs w:val="20"/>
        </w:rPr>
        <w:t xml:space="preserve">II </w:t>
      </w:r>
      <w:r w:rsidR="0011529A">
        <w:rPr>
          <w:sz w:val="20"/>
          <w:szCs w:val="20"/>
        </w:rPr>
        <w:t>2017/</w:t>
      </w:r>
      <w:r w:rsidR="0011529A" w:rsidRPr="0011529A">
        <w:rPr>
          <w:sz w:val="20"/>
          <w:szCs w:val="20"/>
        </w:rPr>
        <w:t xml:space="preserve">18, </w:t>
      </w:r>
      <w:r w:rsidR="0011529A">
        <w:rPr>
          <w:color w:val="000000"/>
          <w:sz w:val="20"/>
          <w:szCs w:val="20"/>
        </w:rPr>
        <w:t xml:space="preserve">29628, 753. </w:t>
      </w:r>
      <w:r w:rsidRPr="0011529A">
        <w:rPr>
          <w:color w:val="000000"/>
          <w:sz w:val="20"/>
          <w:szCs w:val="20"/>
        </w:rPr>
        <w:t>The</w:t>
      </w:r>
      <w:r>
        <w:rPr>
          <w:color w:val="000000"/>
          <w:sz w:val="20"/>
          <w:szCs w:val="20"/>
        </w:rPr>
        <w:t xml:space="preserve"> Minister asked the police chief to instruct his police force no longer to use the Taser in mental health care settings. Unfortunately, at least one incident in a health care setting took place after this instruction was given. </w:t>
      </w:r>
    </w:p>
  </w:footnote>
  <w:footnote w:id="33">
    <w:p w14:paraId="6319674D"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Letter of the State Secretary of Security and Justice of 10 September 2014.</w:t>
      </w:r>
    </w:p>
  </w:footnote>
  <w:footnote w:id="34">
    <w:p w14:paraId="609CDA33" w14:textId="77777777" w:rsidR="005D60C0" w:rsidRPr="00D3434E" w:rsidRDefault="005D60C0">
      <w:pPr>
        <w:pBdr>
          <w:top w:val="nil"/>
          <w:left w:val="nil"/>
          <w:bottom w:val="nil"/>
          <w:right w:val="nil"/>
          <w:between w:val="nil"/>
        </w:pBdr>
        <w:spacing w:line="240" w:lineRule="auto"/>
        <w:rPr>
          <w:b/>
          <w:color w:val="000000"/>
          <w:sz w:val="20"/>
          <w:szCs w:val="20"/>
        </w:rPr>
      </w:pPr>
      <w:r>
        <w:rPr>
          <w:vertAlign w:val="superscript"/>
        </w:rPr>
        <w:footnoteRef/>
      </w:r>
      <w:r>
        <w:rPr>
          <w:color w:val="000000"/>
          <w:sz w:val="20"/>
          <w:szCs w:val="20"/>
        </w:rPr>
        <w:t xml:space="preserve"> These two trends are further explained in the Institute’s Annual Status Report 2017, </w:t>
      </w:r>
      <w:hyperlink r:id="rId10">
        <w:r w:rsidRPr="00D3434E">
          <w:rPr>
            <w:color w:val="0000FF"/>
            <w:sz w:val="20"/>
            <w:szCs w:val="20"/>
            <w:u w:val="single"/>
          </w:rPr>
          <w:t>https://www.mensenrechten.nl/nl/publicatie/38613</w:t>
        </w:r>
      </w:hyperlink>
      <w:r w:rsidRPr="00D3434E">
        <w:rPr>
          <w:color w:val="000000"/>
          <w:sz w:val="20"/>
          <w:szCs w:val="20"/>
        </w:rPr>
        <w:t xml:space="preserve"> (in Dutch).</w:t>
      </w:r>
    </w:p>
  </w:footnote>
  <w:footnote w:id="35">
    <w:p w14:paraId="7C6BBF93" w14:textId="77777777" w:rsidR="005D60C0" w:rsidRPr="000F65E8" w:rsidRDefault="005D60C0">
      <w:pPr>
        <w:pStyle w:val="FootnoteText"/>
        <w:rPr>
          <w:lang w:val="en-US"/>
        </w:rPr>
      </w:pPr>
      <w:r w:rsidRPr="00D3434E">
        <w:rPr>
          <w:rStyle w:val="FootnoteReference"/>
        </w:rPr>
        <w:footnoteRef/>
      </w:r>
      <w:r w:rsidRPr="00D3434E">
        <w:t xml:space="preserve"> </w:t>
      </w:r>
      <w:r w:rsidRPr="00D3434E">
        <w:rPr>
          <w:lang w:val="en-US"/>
        </w:rPr>
        <w:t>Netherlands Institute for Human Rights, Annual Status Report 2017, June 2018, p. 127.</w:t>
      </w:r>
    </w:p>
  </w:footnote>
  <w:footnote w:id="36">
    <w:p w14:paraId="4CA15D91" w14:textId="77777777" w:rsidR="005D60C0" w:rsidRPr="00D3434E" w:rsidRDefault="005D60C0">
      <w:pPr>
        <w:pStyle w:val="FootnoteText"/>
        <w:rPr>
          <w:lang w:val="en-US"/>
        </w:rPr>
      </w:pPr>
      <w:r>
        <w:rPr>
          <w:rStyle w:val="FootnoteReference"/>
        </w:rPr>
        <w:footnoteRef/>
      </w:r>
      <w:r>
        <w:t xml:space="preserve"> </w:t>
      </w:r>
      <w:r>
        <w:rPr>
          <w:lang w:val="en-US"/>
        </w:rPr>
        <w:t xml:space="preserve">Ibid., p. 130. </w:t>
      </w:r>
    </w:p>
  </w:footnote>
  <w:footnote w:id="37">
    <w:p w14:paraId="658F648E" w14:textId="77777777" w:rsidR="005D60C0" w:rsidRPr="002451BA" w:rsidRDefault="005D60C0">
      <w:pPr>
        <w:pStyle w:val="FootnoteText"/>
        <w:rPr>
          <w:lang w:val="en-US"/>
        </w:rPr>
      </w:pPr>
      <w:r>
        <w:rPr>
          <w:rStyle w:val="FootnoteReference"/>
        </w:rPr>
        <w:footnoteRef/>
      </w:r>
      <w:r>
        <w:t xml:space="preserve"> </w:t>
      </w:r>
      <w:r>
        <w:rPr>
          <w:lang w:val="en-US"/>
        </w:rPr>
        <w:t xml:space="preserve">B. van Gestel and C.J. de Poot, </w:t>
      </w:r>
      <w:r>
        <w:rPr>
          <w:i/>
          <w:lang w:val="en-US"/>
        </w:rPr>
        <w:t xml:space="preserve">Evaluation of the Criminal Investigation of Terrorist Crimes </w:t>
      </w:r>
      <w:r w:rsidRPr="002451BA">
        <w:rPr>
          <w:i/>
          <w:lang w:val="en-US"/>
        </w:rPr>
        <w:t>Act</w:t>
      </w:r>
      <w:r>
        <w:rPr>
          <w:lang w:val="en-US"/>
        </w:rPr>
        <w:t xml:space="preserve">, WODC, 2014, </w:t>
      </w:r>
      <w:r w:rsidRPr="002451BA">
        <w:rPr>
          <w:lang w:val="en-US"/>
        </w:rPr>
        <w:t>p</w:t>
      </w:r>
      <w:r>
        <w:rPr>
          <w:lang w:val="en-US"/>
        </w:rPr>
        <w:t>. 48-49.</w:t>
      </w:r>
    </w:p>
  </w:footnote>
  <w:footnote w:id="38">
    <w:p w14:paraId="49119678" w14:textId="40ADEFDA"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Council for the Judiciary, </w:t>
      </w:r>
      <w:r>
        <w:rPr>
          <w:i/>
          <w:color w:val="000000"/>
          <w:sz w:val="20"/>
          <w:szCs w:val="20"/>
        </w:rPr>
        <w:t xml:space="preserve">Advice on Strengthening </w:t>
      </w:r>
      <w:r w:rsidR="00830A6F">
        <w:rPr>
          <w:i/>
          <w:color w:val="000000"/>
          <w:sz w:val="20"/>
          <w:szCs w:val="20"/>
        </w:rPr>
        <w:t xml:space="preserve">the </w:t>
      </w:r>
      <w:r>
        <w:rPr>
          <w:i/>
          <w:color w:val="000000"/>
          <w:sz w:val="20"/>
          <w:szCs w:val="20"/>
        </w:rPr>
        <w:t>Criminal-Law Approach to Countering Terrorism Bill</w:t>
      </w:r>
      <w:r>
        <w:rPr>
          <w:color w:val="000000"/>
          <w:sz w:val="20"/>
          <w:szCs w:val="20"/>
        </w:rPr>
        <w:t xml:space="preserve">, 23 January 2017, 2017/2, </w:t>
      </w:r>
      <w:hyperlink r:id="rId11">
        <w:r>
          <w:rPr>
            <w:color w:val="0000FF"/>
            <w:sz w:val="20"/>
            <w:szCs w:val="20"/>
            <w:u w:val="single"/>
          </w:rPr>
          <w:t>https://www.rechtspraak.nl/SiteCollectionDocuments/2017-02-concept-wetsvoorstel-versterking-strafrechtelijke-aanpak-terrorisme-23-01-2017.pdf</w:t>
        </w:r>
      </w:hyperlink>
      <w:r>
        <w:rPr>
          <w:color w:val="000000"/>
          <w:sz w:val="20"/>
          <w:szCs w:val="20"/>
        </w:rPr>
        <w:t xml:space="preserve"> (in Dutch).</w:t>
      </w:r>
    </w:p>
  </w:footnote>
  <w:footnote w:id="39">
    <w:p w14:paraId="42C64F3D"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Article 14(4) Netherlands Nationality Act.</w:t>
      </w:r>
    </w:p>
  </w:footnote>
  <w:footnote w:id="40">
    <w:p w14:paraId="4CDAA23D"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Supreme Court, 5 July 2017, ECLI:HR:2016:1325.</w:t>
      </w:r>
    </w:p>
  </w:footnote>
  <w:footnote w:id="41">
    <w:p w14:paraId="7A8ED825" w14:textId="5D671AA3"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Decree Advisory Committee Life Sentences (</w:t>
      </w:r>
      <w:r>
        <w:rPr>
          <w:i/>
          <w:color w:val="000000"/>
          <w:sz w:val="20"/>
          <w:szCs w:val="20"/>
        </w:rPr>
        <w:t>Besluit Adviescollege levenslanggestraften</w:t>
      </w:r>
      <w:r>
        <w:rPr>
          <w:color w:val="000000"/>
          <w:sz w:val="20"/>
          <w:szCs w:val="20"/>
        </w:rPr>
        <w:t>)</w:t>
      </w:r>
      <w:r w:rsidR="005F39F5">
        <w:rPr>
          <w:color w:val="000000"/>
          <w:sz w:val="20"/>
          <w:szCs w:val="20"/>
        </w:rPr>
        <w:t xml:space="preserve">, </w:t>
      </w:r>
      <w:r w:rsidR="005F39F5">
        <w:rPr>
          <w:i/>
          <w:color w:val="000000"/>
          <w:sz w:val="20"/>
          <w:szCs w:val="20"/>
        </w:rPr>
        <w:t>Stcrt.</w:t>
      </w:r>
      <w:r w:rsidR="005F39F5">
        <w:rPr>
          <w:color w:val="000000"/>
          <w:sz w:val="20"/>
          <w:szCs w:val="20"/>
        </w:rPr>
        <w:t xml:space="preserve"> 2017, 32577</w:t>
      </w:r>
      <w:r>
        <w:rPr>
          <w:color w:val="000000"/>
          <w:sz w:val="20"/>
          <w:szCs w:val="20"/>
        </w:rPr>
        <w:t>.</w:t>
      </w:r>
    </w:p>
  </w:footnote>
  <w:footnote w:id="42">
    <w:p w14:paraId="5507096A"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Article 4(1) of the Decree.</w:t>
      </w:r>
    </w:p>
  </w:footnote>
  <w:footnote w:id="43">
    <w:p w14:paraId="0A00F8A9" w14:textId="77777777" w:rsidR="005D60C0" w:rsidRDefault="005D60C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Article 7(2) of the Decree.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B286E"/>
    <w:multiLevelType w:val="multilevel"/>
    <w:tmpl w:val="98A8EAD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5283870"/>
    <w:multiLevelType w:val="multilevel"/>
    <w:tmpl w:val="C65689FC"/>
    <w:lvl w:ilvl="0">
      <w:start w:val="1"/>
      <w:numFmt w:val="bullet"/>
      <w:lvlText w:val="-"/>
      <w:lvlJc w:val="left"/>
      <w:pPr>
        <w:ind w:left="720" w:hanging="360"/>
      </w:pPr>
      <w:rPr>
        <w:rFonts w:ascii="Trebuchet MS" w:eastAsia="Trebuchet MS" w:hAnsi="Trebuchet MS" w:cs="Trebuchet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891"/>
    <w:rsid w:val="00005525"/>
    <w:rsid w:val="00025838"/>
    <w:rsid w:val="00091CB8"/>
    <w:rsid w:val="000C2FA4"/>
    <w:rsid w:val="000C695F"/>
    <w:rsid w:val="000E12F3"/>
    <w:rsid w:val="000F65E8"/>
    <w:rsid w:val="00112DC4"/>
    <w:rsid w:val="0011529A"/>
    <w:rsid w:val="00142022"/>
    <w:rsid w:val="00174B27"/>
    <w:rsid w:val="00176E5F"/>
    <w:rsid w:val="00192BA2"/>
    <w:rsid w:val="001A7818"/>
    <w:rsid w:val="001D5CE9"/>
    <w:rsid w:val="002451BA"/>
    <w:rsid w:val="00245807"/>
    <w:rsid w:val="002907A8"/>
    <w:rsid w:val="002A0407"/>
    <w:rsid w:val="002D1369"/>
    <w:rsid w:val="002E6CE1"/>
    <w:rsid w:val="003530CF"/>
    <w:rsid w:val="00375C68"/>
    <w:rsid w:val="0039019B"/>
    <w:rsid w:val="00394DAA"/>
    <w:rsid w:val="003C7249"/>
    <w:rsid w:val="003D282E"/>
    <w:rsid w:val="003E3A38"/>
    <w:rsid w:val="004233D9"/>
    <w:rsid w:val="00432C58"/>
    <w:rsid w:val="004725F6"/>
    <w:rsid w:val="00477F58"/>
    <w:rsid w:val="00520E1C"/>
    <w:rsid w:val="00541A3D"/>
    <w:rsid w:val="00560406"/>
    <w:rsid w:val="005A4E5D"/>
    <w:rsid w:val="005B2C20"/>
    <w:rsid w:val="005D60C0"/>
    <w:rsid w:val="005D7744"/>
    <w:rsid w:val="005F39F5"/>
    <w:rsid w:val="006128EA"/>
    <w:rsid w:val="006232A2"/>
    <w:rsid w:val="00624F53"/>
    <w:rsid w:val="00634891"/>
    <w:rsid w:val="00653306"/>
    <w:rsid w:val="00654997"/>
    <w:rsid w:val="0069053D"/>
    <w:rsid w:val="006B692D"/>
    <w:rsid w:val="006B79C4"/>
    <w:rsid w:val="00700A69"/>
    <w:rsid w:val="00744767"/>
    <w:rsid w:val="0074789C"/>
    <w:rsid w:val="00774A3F"/>
    <w:rsid w:val="0078634D"/>
    <w:rsid w:val="007A73C1"/>
    <w:rsid w:val="007C444A"/>
    <w:rsid w:val="00800DB4"/>
    <w:rsid w:val="00830A6F"/>
    <w:rsid w:val="008606E7"/>
    <w:rsid w:val="008C3D65"/>
    <w:rsid w:val="009036AA"/>
    <w:rsid w:val="00903E3C"/>
    <w:rsid w:val="009176C6"/>
    <w:rsid w:val="009336D7"/>
    <w:rsid w:val="009A0E17"/>
    <w:rsid w:val="009C54E3"/>
    <w:rsid w:val="009E5C41"/>
    <w:rsid w:val="00A3753C"/>
    <w:rsid w:val="00A7538A"/>
    <w:rsid w:val="00A82A9B"/>
    <w:rsid w:val="00AD44D7"/>
    <w:rsid w:val="00AE013B"/>
    <w:rsid w:val="00B2486C"/>
    <w:rsid w:val="00B429EB"/>
    <w:rsid w:val="00BB3885"/>
    <w:rsid w:val="00BD7446"/>
    <w:rsid w:val="00C20867"/>
    <w:rsid w:val="00C329C1"/>
    <w:rsid w:val="00C44C24"/>
    <w:rsid w:val="00C6214D"/>
    <w:rsid w:val="00C637BF"/>
    <w:rsid w:val="00C876F4"/>
    <w:rsid w:val="00C974A1"/>
    <w:rsid w:val="00CA0749"/>
    <w:rsid w:val="00CA11E4"/>
    <w:rsid w:val="00CE4D38"/>
    <w:rsid w:val="00D25CE3"/>
    <w:rsid w:val="00D30412"/>
    <w:rsid w:val="00D3434E"/>
    <w:rsid w:val="00D74430"/>
    <w:rsid w:val="00D94451"/>
    <w:rsid w:val="00DE7A32"/>
    <w:rsid w:val="00DF1B8A"/>
    <w:rsid w:val="00E3330D"/>
    <w:rsid w:val="00E515E1"/>
    <w:rsid w:val="00E73FCA"/>
    <w:rsid w:val="00E81D32"/>
    <w:rsid w:val="00EB6C55"/>
    <w:rsid w:val="00ED1CA7"/>
    <w:rsid w:val="00ED5550"/>
    <w:rsid w:val="00EE0A51"/>
    <w:rsid w:val="00F21F07"/>
    <w:rsid w:val="00F55B88"/>
    <w:rsid w:val="00F62812"/>
    <w:rsid w:val="00F700AB"/>
    <w:rsid w:val="00F87F9A"/>
    <w:rsid w:val="00FC2E5C"/>
    <w:rsid w:val="00FD36A3"/>
    <w:rsid w:val="00FE24E1"/>
    <w:rsid w:val="00FF070B"/>
  </w:rsids>
  <m:mathPr>
    <m:mathFont m:val="Cambria Math"/>
    <m:brkBin m:val="before"/>
    <m:brkBinSub m:val="--"/>
    <m:smallFrac m:val="0"/>
    <m:dispDef/>
    <m:lMargin m:val="0"/>
    <m:rMargin m:val="0"/>
    <m:defJc m:val="centerGroup"/>
    <m:wrapIndent m:val="1440"/>
    <m:intLim m:val="subSup"/>
    <m:naryLim m:val="undOvr"/>
  </m:mathPr>
  <w:themeFontLang w:val="nl-NL"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418E7"/>
  <w15:docId w15:val="{00BD074E-FB09-4926-87F4-4FBE7D43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ebuchet MS" w:eastAsia="Trebuchet MS" w:hAnsi="Trebuchet MS" w:cs="Trebuchet MS"/>
        <w:sz w:val="22"/>
        <w:szCs w:val="22"/>
        <w:lang w:val="en-GB" w:eastAsia="nl-N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200"/>
      <w:outlineLvl w:val="0"/>
    </w:pPr>
    <w:rPr>
      <w:b/>
      <w:color w:val="FF0000"/>
      <w:sz w:val="28"/>
      <w:szCs w:val="28"/>
    </w:rPr>
  </w:style>
  <w:style w:type="paragraph" w:styleId="Heading2">
    <w:name w:val="heading 2"/>
    <w:basedOn w:val="Normal"/>
    <w:next w:val="Normal"/>
    <w:pPr>
      <w:keepNext/>
      <w:keepLines/>
      <w:spacing w:before="200"/>
      <w:outlineLvl w:val="1"/>
    </w:pPr>
    <w:rPr>
      <w:b/>
      <w:color w:val="000000"/>
      <w:sz w:val="26"/>
      <w:szCs w:val="26"/>
    </w:rPr>
  </w:style>
  <w:style w:type="paragraph" w:styleId="Heading3">
    <w:name w:val="heading 3"/>
    <w:basedOn w:val="Normal"/>
    <w:next w:val="Normal"/>
    <w:pPr>
      <w:keepNext/>
      <w:keepLines/>
      <w:spacing w:before="20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54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4E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F65E8"/>
    <w:rPr>
      <w:b/>
      <w:bCs/>
    </w:rPr>
  </w:style>
  <w:style w:type="character" w:customStyle="1" w:styleId="CommentSubjectChar">
    <w:name w:val="Comment Subject Char"/>
    <w:basedOn w:val="CommentTextChar"/>
    <w:link w:val="CommentSubject"/>
    <w:uiPriority w:val="99"/>
    <w:semiHidden/>
    <w:rsid w:val="000F65E8"/>
    <w:rPr>
      <w:b/>
      <w:bCs/>
      <w:sz w:val="20"/>
      <w:szCs w:val="20"/>
    </w:rPr>
  </w:style>
  <w:style w:type="paragraph" w:styleId="FootnoteText">
    <w:name w:val="footnote text"/>
    <w:basedOn w:val="Normal"/>
    <w:link w:val="FootnoteTextChar"/>
    <w:uiPriority w:val="99"/>
    <w:semiHidden/>
    <w:unhideWhenUsed/>
    <w:rsid w:val="000F65E8"/>
    <w:pPr>
      <w:spacing w:line="240" w:lineRule="auto"/>
    </w:pPr>
    <w:rPr>
      <w:sz w:val="20"/>
      <w:szCs w:val="20"/>
    </w:rPr>
  </w:style>
  <w:style w:type="character" w:customStyle="1" w:styleId="FootnoteTextChar">
    <w:name w:val="Footnote Text Char"/>
    <w:basedOn w:val="DefaultParagraphFont"/>
    <w:link w:val="FootnoteText"/>
    <w:uiPriority w:val="99"/>
    <w:semiHidden/>
    <w:rsid w:val="000F65E8"/>
    <w:rPr>
      <w:sz w:val="20"/>
      <w:szCs w:val="20"/>
    </w:rPr>
  </w:style>
  <w:style w:type="character" w:styleId="FootnoteReference">
    <w:name w:val="footnote reference"/>
    <w:basedOn w:val="DefaultParagraphFont"/>
    <w:uiPriority w:val="99"/>
    <w:semiHidden/>
    <w:unhideWhenUsed/>
    <w:rsid w:val="000F65E8"/>
    <w:rPr>
      <w:vertAlign w:val="superscript"/>
    </w:rPr>
  </w:style>
  <w:style w:type="paragraph" w:styleId="Revision">
    <w:name w:val="Revision"/>
    <w:hidden/>
    <w:uiPriority w:val="99"/>
    <w:semiHidden/>
    <w:rsid w:val="00654997"/>
    <w:pPr>
      <w:spacing w:line="240" w:lineRule="auto"/>
    </w:pPr>
  </w:style>
  <w:style w:type="paragraph" w:styleId="TOC1">
    <w:name w:val="toc 1"/>
    <w:basedOn w:val="Normal"/>
    <w:next w:val="Normal"/>
    <w:autoRedefine/>
    <w:uiPriority w:val="39"/>
    <w:unhideWhenUsed/>
    <w:rsid w:val="006B79C4"/>
    <w:pPr>
      <w:spacing w:after="100"/>
    </w:pPr>
  </w:style>
  <w:style w:type="paragraph" w:styleId="TOC2">
    <w:name w:val="toc 2"/>
    <w:basedOn w:val="Normal"/>
    <w:next w:val="Normal"/>
    <w:autoRedefine/>
    <w:uiPriority w:val="39"/>
    <w:unhideWhenUsed/>
    <w:rsid w:val="006B79C4"/>
    <w:pPr>
      <w:spacing w:after="100"/>
      <w:ind w:left="220"/>
    </w:pPr>
  </w:style>
  <w:style w:type="paragraph" w:styleId="TOC3">
    <w:name w:val="toc 3"/>
    <w:basedOn w:val="Normal"/>
    <w:next w:val="Normal"/>
    <w:autoRedefine/>
    <w:uiPriority w:val="39"/>
    <w:unhideWhenUsed/>
    <w:rsid w:val="006B79C4"/>
    <w:pPr>
      <w:spacing w:after="100"/>
      <w:ind w:left="440"/>
    </w:pPr>
  </w:style>
  <w:style w:type="character" w:styleId="Hyperlink">
    <w:name w:val="Hyperlink"/>
    <w:basedOn w:val="DefaultParagraphFont"/>
    <w:uiPriority w:val="99"/>
    <w:unhideWhenUsed/>
    <w:rsid w:val="006B79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trouw.nl/samenleving/woede-over-taseren-patient-in-isoleercel~a420b81a/" TargetMode="External"/><Relationship Id="rId3" Type="http://schemas.openxmlformats.org/officeDocument/2006/relationships/hyperlink" Target="https://www.tweedekamer.nl/kamerstukken/detail?id=2018Z10985&amp;did=2018D33196" TargetMode="External"/><Relationship Id="rId7" Type="http://schemas.openxmlformats.org/officeDocument/2006/relationships/hyperlink" Target="https://rm.coe.int/16806cce1c" TargetMode="External"/><Relationship Id="rId2" Type="http://schemas.openxmlformats.org/officeDocument/2006/relationships/hyperlink" Target="https://kennisopenbaarbestuur.nl/media/255304/programmastart-interbestuurlijk-programma-ibp.pdf" TargetMode="External"/><Relationship Id="rId1" Type="http://schemas.openxmlformats.org/officeDocument/2006/relationships/hyperlink" Target="http://www.opvang.nl/site/item/vrouwenopvang-overvol" TargetMode="External"/><Relationship Id="rId6" Type="http://schemas.openxmlformats.org/officeDocument/2006/relationships/hyperlink" Target="https://www.internetconsultatie.nl/ambtsinstructie" TargetMode="External"/><Relationship Id="rId11" Type="http://schemas.openxmlformats.org/officeDocument/2006/relationships/hyperlink" Target="https://www.rechtspraak.nl/SiteCollectionDocuments/2017-02-concept-wetsvoorstel-versterking-strafrechtelijke-aanpak-terrorisme-23-01-2017.pdf" TargetMode="External"/><Relationship Id="rId5" Type="http://schemas.openxmlformats.org/officeDocument/2006/relationships/hyperlink" Target="https://www.rijksoverheid.nl/binaries/rijksoverheid/documenten/rapporten/2018/06/01/tk-eindrapport-stroomstootwapen/tk-eindrapport-stroomstootwapen.pdf" TargetMode="External"/><Relationship Id="rId10" Type="http://schemas.openxmlformats.org/officeDocument/2006/relationships/hyperlink" Target="https://www.mensenrechten.nl/nl/publicatie/38613" TargetMode="External"/><Relationship Id="rId4" Type="http://schemas.openxmlformats.org/officeDocument/2006/relationships/hyperlink" Target="https://www.tweedekamer.nl/kamerstukken/detail?id=2018Z10987&amp;did=2018D33199" TargetMode="External"/><Relationship Id="rId9" Type="http://schemas.openxmlformats.org/officeDocument/2006/relationships/hyperlink" Target="https://nieuws.nl/algemeen/20180713/zorginstelling-onderzoekt-incident-met-ta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20CCC4-7C96-4512-9DEA-016EF01EAB5C}"/>
</file>

<file path=customXml/itemProps2.xml><?xml version="1.0" encoding="utf-8"?>
<ds:datastoreItem xmlns:ds="http://schemas.openxmlformats.org/officeDocument/2006/customXml" ds:itemID="{94392135-92B3-482F-9DD1-28D0950E09CD}"/>
</file>

<file path=customXml/itemProps3.xml><?xml version="1.0" encoding="utf-8"?>
<ds:datastoreItem xmlns:ds="http://schemas.openxmlformats.org/officeDocument/2006/customXml" ds:itemID="{D1F52810-88D6-4407-B306-11FA69FC4BF2}"/>
</file>

<file path=customXml/itemProps4.xml><?xml version="1.0" encoding="utf-8"?>
<ds:datastoreItem xmlns:ds="http://schemas.openxmlformats.org/officeDocument/2006/customXml" ds:itemID="{8753359D-A3F7-4693-BC49-BAE89B876B95}"/>
</file>

<file path=docProps/app.xml><?xml version="1.0" encoding="utf-8"?>
<Properties xmlns="http://schemas.openxmlformats.org/officeDocument/2006/extended-properties" xmlns:vt="http://schemas.openxmlformats.org/officeDocument/2006/docPropsVTypes">
  <Template>Normal.dotm</Template>
  <TotalTime>0</TotalTime>
  <Pages>16</Pages>
  <Words>5232</Words>
  <Characters>29824</Characters>
  <Application>Microsoft Office Word</Application>
  <DocSecurity>4</DocSecurity>
  <Lines>248</Lines>
  <Paragraphs>69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College voor de Rechten van de Mens</Company>
  <LinksUpToDate>false</LinksUpToDate>
  <CharactersWithSpaces>34987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Eijndhoven, van, A (Mensenrechten)</dc:creator>
  <cp:lastModifiedBy>Minjae Lee</cp:lastModifiedBy>
  <cp:revision>2</cp:revision>
  <cp:lastPrinted>2018-10-12T13:17:00Z</cp:lastPrinted>
  <dcterms:created xsi:type="dcterms:W3CDTF">2018-10-12T13:40:00Z</dcterms:created>
  <dcterms:modified xsi:type="dcterms:W3CDTF">2018-10-12T13:40:00Z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