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127E3" w:rsidRDefault="00A127E3">
      <w:pPr>
        <w:pStyle w:val="2"/>
        <w:ind w:right="-285"/>
        <w:jc w:val="center"/>
      </w:pPr>
      <w:bookmarkStart w:id="0" w:name="_heading=h.ty77sgrn38p3" w:colFirst="0" w:colLast="0"/>
      <w:bookmarkEnd w:id="0"/>
    </w:p>
    <w:p w:rsidR="00A127E3" w:rsidRDefault="00A127E3">
      <w:pPr>
        <w:pStyle w:val="2"/>
        <w:ind w:right="-285"/>
        <w:jc w:val="center"/>
      </w:pPr>
    </w:p>
    <w:p w:rsidR="00A127E3" w:rsidRPr="00051C31" w:rsidRDefault="00A127E3">
      <w:pPr>
        <w:pStyle w:val="2"/>
        <w:ind w:right="-285"/>
        <w:jc w:val="center"/>
        <w:rPr>
          <w:lang w:val="kk-KZ"/>
        </w:rPr>
      </w:pPr>
    </w:p>
    <w:p w:rsidR="00A127E3" w:rsidRDefault="00A127E3">
      <w:pPr>
        <w:pStyle w:val="2"/>
        <w:ind w:right="-285"/>
        <w:jc w:val="center"/>
      </w:pPr>
    </w:p>
    <w:p w:rsidR="00A127E3" w:rsidRDefault="00A127E3">
      <w:pPr>
        <w:pStyle w:val="2"/>
        <w:ind w:right="-285"/>
        <w:jc w:val="center"/>
      </w:pPr>
    </w:p>
    <w:p w:rsidR="00A127E3" w:rsidRPr="00A127E3" w:rsidRDefault="00A127E3" w:rsidP="00A127E3"/>
    <w:p w:rsidR="00A84CEE" w:rsidRDefault="00000000">
      <w:pPr>
        <w:pStyle w:val="2"/>
        <w:ind w:right="-285"/>
        <w:jc w:val="center"/>
      </w:pPr>
      <w:r>
        <w:t>Альтернативный доклад о выполнении Республикой Казахстан Конвенции о правах инвалидов</w:t>
      </w:r>
    </w:p>
    <w:p w:rsidR="00A84CEE" w:rsidRDefault="00000000">
      <w:pPr>
        <w:pStyle w:val="3"/>
        <w:jc w:val="center"/>
      </w:pPr>
      <w:r>
        <w:t xml:space="preserve">подготовлен Айгуль </w:t>
      </w:r>
      <w:proofErr w:type="spellStart"/>
      <w:r>
        <w:t>Шакибаевой</w:t>
      </w:r>
      <w:proofErr w:type="spellEnd"/>
      <w:r>
        <w:rPr>
          <w:vertAlign w:val="superscript"/>
        </w:rPr>
        <w:footnoteReference w:id="1"/>
      </w:r>
      <w:r>
        <w:t xml:space="preserve">, юристом, правозащитником, руководителем инициативы «Права особенного ребенка», </w:t>
      </w:r>
    </w:p>
    <w:p w:rsidR="00A127E3" w:rsidRDefault="00A127E3">
      <w:pPr>
        <w:pStyle w:val="3"/>
        <w:jc w:val="center"/>
        <w:rPr>
          <w:lang w:val="kk-KZ"/>
        </w:rPr>
      </w:pPr>
    </w:p>
    <w:p w:rsidR="00A127E3" w:rsidRDefault="00A127E3">
      <w:pPr>
        <w:pStyle w:val="3"/>
        <w:jc w:val="center"/>
        <w:rPr>
          <w:lang w:val="kk-KZ"/>
        </w:rPr>
      </w:pPr>
    </w:p>
    <w:p w:rsidR="00A127E3" w:rsidRDefault="00A127E3">
      <w:pPr>
        <w:pStyle w:val="3"/>
        <w:jc w:val="center"/>
        <w:rPr>
          <w:lang w:val="kk-KZ"/>
        </w:rPr>
      </w:pPr>
    </w:p>
    <w:p w:rsidR="00A127E3" w:rsidRDefault="00A127E3">
      <w:pPr>
        <w:pStyle w:val="3"/>
        <w:jc w:val="center"/>
        <w:rPr>
          <w:lang w:val="kk-KZ"/>
        </w:rPr>
      </w:pPr>
    </w:p>
    <w:p w:rsidR="00A127E3" w:rsidRDefault="00A127E3">
      <w:pPr>
        <w:pStyle w:val="3"/>
        <w:jc w:val="center"/>
        <w:rPr>
          <w:lang w:val="kk-KZ"/>
        </w:rPr>
      </w:pPr>
    </w:p>
    <w:p w:rsidR="00A127E3" w:rsidRDefault="00A127E3">
      <w:pPr>
        <w:pStyle w:val="3"/>
        <w:jc w:val="center"/>
        <w:rPr>
          <w:lang w:val="kk-KZ"/>
        </w:rPr>
      </w:pPr>
    </w:p>
    <w:p w:rsidR="00A127E3" w:rsidRDefault="00A127E3">
      <w:pPr>
        <w:pStyle w:val="3"/>
        <w:jc w:val="center"/>
        <w:rPr>
          <w:lang w:val="kk-KZ"/>
        </w:rPr>
      </w:pPr>
    </w:p>
    <w:p w:rsidR="00A127E3" w:rsidRPr="00A127E3" w:rsidRDefault="00A127E3">
      <w:pPr>
        <w:pStyle w:val="3"/>
        <w:jc w:val="center"/>
        <w:rPr>
          <w:b w:val="0"/>
          <w:bCs/>
          <w:lang w:val="en-GB"/>
        </w:rPr>
      </w:pPr>
      <w:proofErr w:type="spellStart"/>
      <w:r>
        <w:rPr>
          <w:b w:val="0"/>
          <w:bCs/>
          <w:lang w:val="kk-KZ"/>
        </w:rPr>
        <w:t>Напр</w:t>
      </w:r>
      <w:r w:rsidRPr="00A127E3">
        <w:rPr>
          <w:b w:val="0"/>
          <w:bCs/>
          <w:lang w:val="kk-KZ"/>
        </w:rPr>
        <w:t>авлено</w:t>
      </w:r>
      <w:proofErr w:type="spellEnd"/>
      <w:r w:rsidRPr="00A127E3">
        <w:rPr>
          <w:b w:val="0"/>
          <w:bCs/>
          <w:lang w:val="kk-KZ"/>
        </w:rPr>
        <w:t xml:space="preserve"> </w:t>
      </w:r>
      <w:r w:rsidRPr="00A127E3">
        <w:rPr>
          <w:b w:val="0"/>
          <w:bCs/>
          <w:lang w:val="en-GB"/>
        </w:rPr>
        <w:t xml:space="preserve">5 </w:t>
      </w:r>
      <w:proofErr w:type="spellStart"/>
      <w:r w:rsidRPr="00A127E3">
        <w:rPr>
          <w:b w:val="0"/>
          <w:bCs/>
          <w:lang w:val="kk-KZ"/>
        </w:rPr>
        <w:t>февраля</w:t>
      </w:r>
      <w:proofErr w:type="spellEnd"/>
      <w:r w:rsidRPr="00A127E3">
        <w:rPr>
          <w:b w:val="0"/>
          <w:bCs/>
          <w:lang w:val="kk-KZ"/>
        </w:rPr>
        <w:t xml:space="preserve"> </w:t>
      </w:r>
      <w:r w:rsidRPr="00A127E3">
        <w:rPr>
          <w:b w:val="0"/>
          <w:bCs/>
          <w:lang w:val="en-GB"/>
        </w:rPr>
        <w:t xml:space="preserve">2024 </w:t>
      </w:r>
    </w:p>
    <w:p w:rsidR="00A84CEE" w:rsidRDefault="00A127E3">
      <w:pPr>
        <w:pStyle w:val="3"/>
        <w:jc w:val="center"/>
      </w:pPr>
      <w:r w:rsidRPr="00A127E3">
        <w:rPr>
          <w:b w:val="0"/>
          <w:bCs/>
          <w:lang w:val="kk-KZ"/>
        </w:rPr>
        <w:t xml:space="preserve">Республика </w:t>
      </w:r>
      <w:r w:rsidR="00000000" w:rsidRPr="00A127E3">
        <w:rPr>
          <w:b w:val="0"/>
          <w:bCs/>
        </w:rPr>
        <w:t>Казахстан</w:t>
      </w:r>
    </w:p>
    <w:p w:rsidR="00A84CEE" w:rsidRDefault="00A84CEE">
      <w:pPr>
        <w:ind w:right="-285"/>
        <w:jc w:val="both"/>
        <w:rPr>
          <w:rFonts w:ascii="Times New Roman" w:eastAsia="Times New Roman" w:hAnsi="Times New Roman" w:cs="Times New Roman"/>
        </w:rPr>
      </w:pPr>
    </w:p>
    <w:p w:rsidR="00051C31" w:rsidRDefault="00051C31">
      <w:pPr>
        <w:ind w:right="-285"/>
        <w:jc w:val="both"/>
        <w:rPr>
          <w:rFonts w:ascii="Times New Roman" w:eastAsia="Times New Roman" w:hAnsi="Times New Roman" w:cs="Times New Roman"/>
        </w:rPr>
      </w:pPr>
    </w:p>
    <w:p w:rsidR="00051C31" w:rsidRPr="00051C31" w:rsidRDefault="00051C31" w:rsidP="00051C31">
      <w:pPr>
        <w:pBdr>
          <w:bottom w:val="single" w:sz="4" w:space="1" w:color="000000"/>
        </w:pBdr>
        <w:ind w:right="-285"/>
        <w:jc w:val="both"/>
        <w:rPr>
          <w:rFonts w:ascii="Times New Roman" w:eastAsia="Times New Roman" w:hAnsi="Times New Roman" w:cs="Times New Roman"/>
          <w:color w:val="000000"/>
          <w:lang w:val="ru-KZ"/>
        </w:rPr>
      </w:pPr>
      <w:r w:rsidRPr="00051C31">
        <w:rPr>
          <w:rFonts w:ascii="Times New Roman" w:eastAsia="Times New Roman" w:hAnsi="Times New Roman" w:cs="Times New Roman"/>
          <w:b/>
          <w:bCs/>
          <w:color w:val="000000"/>
          <w:lang w:val="ru-KZ"/>
        </w:rPr>
        <w:lastRenderedPageBreak/>
        <w:t>Айгуль Шакибаева</w:t>
      </w:r>
      <w:r w:rsidRPr="00051C31">
        <w:rPr>
          <w:rFonts w:ascii="Times New Roman" w:eastAsia="Times New Roman" w:hAnsi="Times New Roman" w:cs="Times New Roman"/>
          <w:color w:val="000000"/>
          <w:lang w:val="ru-KZ"/>
        </w:rPr>
        <w:t xml:space="preserve"> - правозащитник, судебный юрист ОО “Психоаналитической ассоциации” по восстановлению дееспособности 4 лицам с психосоциальной инвалидностью. Эксперт по Центральной Азии Флагманской программы охраны психического здоровья, Европейское Региональное бюро ВОЗ.</w:t>
      </w:r>
    </w:p>
    <w:p w:rsidR="00051C31" w:rsidRDefault="00051C31">
      <w:pPr>
        <w:ind w:right="-285"/>
        <w:jc w:val="both"/>
        <w:rPr>
          <w:rFonts w:ascii="Times New Roman" w:eastAsia="Times New Roman" w:hAnsi="Times New Roman" w:cs="Times New Roman"/>
          <w:lang w:val="ru-KZ"/>
        </w:rPr>
      </w:pPr>
    </w:p>
    <w:p w:rsidR="00051C31" w:rsidRPr="00051C31" w:rsidRDefault="00051C31">
      <w:pPr>
        <w:ind w:right="-285"/>
        <w:jc w:val="both"/>
        <w:rPr>
          <w:rFonts w:ascii="Times New Roman" w:eastAsia="Times New Roman" w:hAnsi="Times New Roman" w:cs="Times New Roman"/>
          <w:lang w:val="ru-KZ"/>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Настоящий доклад представлен в виде Ответов на вопрос 11 Комитета в Перечне вопросов КПИ к РК в связи с первоначальным докладом и касается </w:t>
      </w:r>
      <w:r>
        <w:rPr>
          <w:rFonts w:ascii="Times New Roman" w:eastAsia="Times New Roman" w:hAnsi="Times New Roman" w:cs="Times New Roman"/>
          <w:u w:val="single"/>
        </w:rPr>
        <w:t>права на свободу и личную неприкосновенность</w:t>
      </w:r>
      <w:r>
        <w:rPr>
          <w:rFonts w:ascii="Times New Roman" w:eastAsia="Times New Roman" w:hAnsi="Times New Roman" w:cs="Times New Roman"/>
        </w:rPr>
        <w:t xml:space="preserve"> в условиях закрытых учреждений. </w:t>
      </w:r>
    </w:p>
    <w:p w:rsidR="00A84CEE" w:rsidRDefault="00A84CEE">
      <w:pPr>
        <w:ind w:right="-285"/>
        <w:jc w:val="both"/>
        <w:rPr>
          <w:rFonts w:ascii="Times New Roman" w:eastAsia="Times New Roman" w:hAnsi="Times New Roman" w:cs="Times New Roman"/>
          <w:b/>
        </w:rPr>
      </w:pPr>
    </w:p>
    <w:p w:rsidR="00A84CEE" w:rsidRDefault="00000000">
      <w:pPr>
        <w:ind w:right="-285"/>
        <w:jc w:val="both"/>
        <w:rPr>
          <w:rFonts w:ascii="Times New Roman" w:eastAsia="Times New Roman" w:hAnsi="Times New Roman" w:cs="Times New Roman"/>
          <w:b/>
        </w:rPr>
      </w:pPr>
      <w:r>
        <w:rPr>
          <w:rFonts w:ascii="Times New Roman" w:eastAsia="Times New Roman" w:hAnsi="Times New Roman" w:cs="Times New Roman"/>
          <w:b/>
        </w:rPr>
        <w:t>Вопрос 11 из Перечня вопросов КПИ к РК в связи с первоначальным докладом</w:t>
      </w:r>
    </w:p>
    <w:p w:rsidR="00A84CEE" w:rsidRDefault="00A84CEE">
      <w:pPr>
        <w:ind w:right="-285"/>
        <w:jc w:val="both"/>
        <w:rPr>
          <w:rFonts w:ascii="Times New Roman" w:eastAsia="Times New Roman" w:hAnsi="Times New Roman" w:cs="Times New Roman"/>
          <w:b/>
        </w:rPr>
      </w:pPr>
    </w:p>
    <w:p w:rsidR="00A84CEE" w:rsidRDefault="00000000">
      <w:pPr>
        <w:ind w:right="-285"/>
        <w:jc w:val="both"/>
        <w:rPr>
          <w:rFonts w:ascii="Times New Roman" w:eastAsia="Times New Roman" w:hAnsi="Times New Roman" w:cs="Times New Roman"/>
          <w:b/>
        </w:rPr>
      </w:pPr>
      <w:r>
        <w:rPr>
          <w:rFonts w:ascii="Times New Roman" w:eastAsia="Times New Roman" w:hAnsi="Times New Roman" w:cs="Times New Roman"/>
          <w:b/>
        </w:rPr>
        <w:t>Просьба представить информацию относительно:</w:t>
      </w:r>
    </w:p>
    <w:p w:rsidR="00A84CEE" w:rsidRDefault="00A84CEE">
      <w:pPr>
        <w:ind w:right="-285"/>
        <w:jc w:val="both"/>
        <w:rPr>
          <w:rFonts w:ascii="Times New Roman" w:eastAsia="Times New Roman" w:hAnsi="Times New Roman" w:cs="Times New Roman"/>
          <w:b/>
        </w:rPr>
      </w:pPr>
    </w:p>
    <w:p w:rsidR="00A84CEE" w:rsidRDefault="00000000">
      <w:pPr>
        <w:numPr>
          <w:ilvl w:val="0"/>
          <w:numId w:val="3"/>
        </w:numPr>
        <w:pBdr>
          <w:top w:val="nil"/>
          <w:left w:val="nil"/>
          <w:bottom w:val="nil"/>
          <w:right w:val="nil"/>
          <w:between w:val="nil"/>
        </w:pBdr>
        <w:ind w:left="0" w:right="-285"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мер, принимаемых для обеспечения того, чтобы никто не лишался свободы исключительно по причине физической, интеллектуальной или психосоциальной инвалидности (см. CCPR/C/127/D/2920/2016, пункты 7.13 и 7.14), включая предполагаемую инвалидность;</w:t>
      </w:r>
    </w:p>
    <w:p w:rsidR="00A84CEE" w:rsidRDefault="00A84CEE">
      <w:pPr>
        <w:ind w:right="-285"/>
        <w:jc w:val="both"/>
        <w:rPr>
          <w:rFonts w:ascii="Times New Roman" w:eastAsia="Times New Roman" w:hAnsi="Times New Roman" w:cs="Times New Roman"/>
          <w:b/>
        </w:rPr>
      </w:pPr>
    </w:p>
    <w:p w:rsidR="00A84CEE" w:rsidRDefault="00000000">
      <w:pPr>
        <w:numPr>
          <w:ilvl w:val="0"/>
          <w:numId w:val="3"/>
        </w:numPr>
        <w:pBdr>
          <w:top w:val="nil"/>
          <w:left w:val="nil"/>
          <w:bottom w:val="nil"/>
          <w:right w:val="nil"/>
          <w:between w:val="nil"/>
        </w:pBdr>
        <w:ind w:left="0" w:right="-285"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количества лиц с инвалидностью, в частности детей, содержащихся в учреждениях закрытого типа, средней продолжительности их пребывания в таких учреждениях и программ поддержки, направленных на перевод детей-инвалидов из закрытых учреждений в семейные; </w:t>
      </w:r>
    </w:p>
    <w:p w:rsidR="00A84CEE" w:rsidRDefault="00A84CEE">
      <w:pPr>
        <w:ind w:right="-285"/>
        <w:jc w:val="both"/>
        <w:rPr>
          <w:rFonts w:ascii="Times New Roman" w:eastAsia="Times New Roman" w:hAnsi="Times New Roman" w:cs="Times New Roman"/>
          <w:b/>
        </w:rPr>
      </w:pPr>
    </w:p>
    <w:p w:rsidR="00A84CEE" w:rsidRDefault="00000000">
      <w:pPr>
        <w:numPr>
          <w:ilvl w:val="0"/>
          <w:numId w:val="3"/>
        </w:numPr>
        <w:pBdr>
          <w:top w:val="nil"/>
          <w:left w:val="nil"/>
          <w:right w:val="nil"/>
          <w:between w:val="nil"/>
        </w:pBdr>
        <w:ind w:left="0" w:right="-285"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механизмов, доступных лицам с инвалидностью, в том числе находящимся под опекой или содержащимся в закрытых учреждениях, для осуществления их прав, защиты их от злоупотреблений и принудительного лечения, а также для содействия их выписке из специализированного учреждения.</w:t>
      </w:r>
    </w:p>
    <w:p w:rsidR="00A84CEE" w:rsidRDefault="00A84CEE">
      <w:pPr>
        <w:pBdr>
          <w:bottom w:val="single" w:sz="4" w:space="1" w:color="000000"/>
        </w:pBdr>
        <w:ind w:right="-285"/>
        <w:jc w:val="both"/>
        <w:rPr>
          <w:rFonts w:ascii="Times New Roman" w:eastAsia="Times New Roman" w:hAnsi="Times New Roman" w:cs="Times New Roman"/>
          <w:b/>
        </w:rPr>
      </w:pPr>
    </w:p>
    <w:p w:rsidR="00A84CEE" w:rsidRDefault="00A84CEE">
      <w:pPr>
        <w:ind w:right="-285"/>
        <w:jc w:val="both"/>
        <w:rPr>
          <w:rFonts w:ascii="Times New Roman" w:eastAsia="Times New Roman" w:hAnsi="Times New Roman" w:cs="Times New Roman"/>
          <w:b/>
        </w:rPr>
      </w:pPr>
    </w:p>
    <w:p w:rsidR="00A84CEE" w:rsidRDefault="00000000">
      <w:pPr>
        <w:ind w:right="-285"/>
        <w:jc w:val="both"/>
        <w:rPr>
          <w:rFonts w:ascii="Times New Roman" w:eastAsia="Times New Roman" w:hAnsi="Times New Roman" w:cs="Times New Roman"/>
          <w:b/>
        </w:rPr>
      </w:pPr>
      <w:r>
        <w:rPr>
          <w:rFonts w:ascii="Times New Roman" w:eastAsia="Times New Roman" w:hAnsi="Times New Roman" w:cs="Times New Roman"/>
          <w:b/>
        </w:rPr>
        <w:t>Ответы на вопросы 11.a и 11.b</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В настоящее время</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в Казахстане приблизительно 680 тысяч 25 человек с инвалидностью. Из них 123 тысячи 223 человека или 18% с психосоциальной инвалидностью. Инвалидностью в Казахстане считается ограничение «одной из категорий жизнедеятельности»</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вызванное стойким расстройством функций организма. Степень инвалидности (группа) устанавливается в результате государственной медико-социальной экспертизы.</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Число постоянно </w:t>
      </w:r>
      <w:proofErr w:type="spellStart"/>
      <w:r>
        <w:rPr>
          <w:rFonts w:ascii="Times New Roman" w:eastAsia="Times New Roman" w:hAnsi="Times New Roman" w:cs="Times New Roman"/>
        </w:rPr>
        <w:t>институционализированных</w:t>
      </w:r>
      <w:proofErr w:type="spellEnd"/>
      <w:r>
        <w:rPr>
          <w:rFonts w:ascii="Times New Roman" w:eastAsia="Times New Roman" w:hAnsi="Times New Roman" w:cs="Times New Roman"/>
        </w:rPr>
        <w:t xml:space="preserve"> людей с психосоциальной инвалидностью в Казахстане составляет</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12.5% от общего числа казахстанцев с психосоциальной инвалидностью или 11 тысяч 878 взрослых и 1 тысяча 275 детей. Содержатся они в государственных и частных учреждениях стационарного типа, из которых подавляющее большинство – государственные: 47 для взрослых и 16 – для несовершеннолетних. Медико-социальные учреждения, в прошлом психоневрологические дома-интернаты, а сейчас Центры оказания специальных социальных услуг (далее – ЦОССУ), находятся в ведении </w:t>
      </w:r>
      <w:r>
        <w:rPr>
          <w:rFonts w:ascii="Times New Roman" w:eastAsia="Times New Roman" w:hAnsi="Times New Roman" w:cs="Times New Roman"/>
        </w:rPr>
        <w:lastRenderedPageBreak/>
        <w:t>Министерства труда и социальной защиты населения. Периодически люди с психосоциальной инвалидностью помещаются относительно кратковременно также в больничные стационары – Центры психического здоровья (до 2004 года психиатрические диспансеры или больницы), подведомственные Министерству здравоохранения.</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В отсутствие все еще в стране достаточной социальной инфраструктуры для интеграции людей с психосоциальной инвалидностью, включая выпускников детских ЦОССУ, в общество, единственным выходом для многих из них, остается либо продолжить жить в институциях, либо быть помещенными туда для пожизненного проживания, тем более, что, согласно национальному законодательству, лица с некоторыми психиатрическими расстройствами имеют противопоказания к социальной помощи на дому. В этой связи, не удивительно, что, по состоянию на 2019 год, в стране имелась очередь на поступление в институции. В зависимости от региона цифра ожидающих варьировались от 50 до 150 человек. Престарелые люди, в случае ухудшения психического здоровья переводятся из домов инвалидов в ЦОССУ.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Предполагается, что вне институций казахстанцы с психосоциальной инвалидностью могут самостоятельно проживать в «домах малой вместимости» (от 10 до 50 человек). В 2019 году был утвержден Национальный план по обеспечению прав и улучшению качества жизни лиц с инвалидностью в Республике Казахстан до 2025 года. На сегодня в пилотном режиме создаются дома малой вместимости, но лишь для детей, в различных регионах страны для оказания специальных социальных услуг. Министерством труда и социальной защиты населения все полномочия в этой сфере были переданы региональным властям, «однако многие регионы страны зависят от дотаций и не имеют права и/или возможности выделять дополнительные средства на социальную защиту»</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В 2017 году алматинское общественное объединение «Психоаналитическая ассоциация, после двух лет работы проекта по сопровождаемому трудоустройству в «</w:t>
      </w:r>
      <w:proofErr w:type="spellStart"/>
      <w:r>
        <w:rPr>
          <w:rFonts w:ascii="Times New Roman" w:eastAsia="Times New Roman" w:hAnsi="Times New Roman" w:cs="Times New Roman"/>
        </w:rPr>
        <w:t>Training</w:t>
      </w:r>
      <w:proofErr w:type="spellEnd"/>
      <w:r>
        <w:rPr>
          <w:rFonts w:ascii="Times New Roman" w:eastAsia="Times New Roman" w:hAnsi="Times New Roman" w:cs="Times New Roman"/>
        </w:rPr>
        <w:t xml:space="preserve"> Кафе» 20 подопечных ЦОССУ № 1 г. Алматы запустило проект по их самостоятельному проживанию в Центре самостоятельного проживания «</w:t>
      </w:r>
      <w:proofErr w:type="spellStart"/>
      <w:r>
        <w:rPr>
          <w:rFonts w:ascii="Times New Roman" w:eastAsia="Times New Roman" w:hAnsi="Times New Roman" w:cs="Times New Roman"/>
        </w:rPr>
        <w:t>Камкор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Отау</w:t>
      </w:r>
      <w:proofErr w:type="spellEnd"/>
      <w:r>
        <w:rPr>
          <w:rFonts w:ascii="Times New Roman" w:eastAsia="Times New Roman" w:hAnsi="Times New Roman" w:cs="Times New Roman"/>
        </w:rPr>
        <w:t xml:space="preserve">». Этот проект был поддержан Управлением благосостояния г. Алматы и получил финансирование на 3 года. «Проект самостоятельного проживания представляет собой возможность жить в арендованной квартире четырем-пяти молодым людям. Участники проекта самостоятельно готовят себе еду, убирают дом, стирают вещи, добираются до места работы без сопровождения. Проектом предусмотрено наблюдение и консультация участников специалистами: психологом, социальным работником, медицинской сестрой. Специалисты обучают ребят планированию расходов денежных средств (заработной платы, стипендий, пособий по инвалидности). В 2019 году количество людей, работающих в </w:t>
      </w:r>
      <w:proofErr w:type="gramStart"/>
      <w:r>
        <w:rPr>
          <w:rFonts w:ascii="Times New Roman" w:eastAsia="Times New Roman" w:hAnsi="Times New Roman" w:cs="Times New Roman"/>
        </w:rPr>
        <w:t>«</w:t>
      </w:r>
      <w:proofErr w:type="spellStart"/>
      <w:r>
        <w:rPr>
          <w:rFonts w:ascii="Times New Roman" w:eastAsia="Times New Roman" w:hAnsi="Times New Roman" w:cs="Times New Roman"/>
        </w:rPr>
        <w:t>Training</w:t>
      </w:r>
      <w:proofErr w:type="spellEnd"/>
      <w:r>
        <w:rPr>
          <w:rFonts w:ascii="Times New Roman" w:eastAsia="Times New Roman" w:hAnsi="Times New Roman" w:cs="Times New Roman"/>
        </w:rPr>
        <w:t xml:space="preserve"> Кафе»</w:t>
      </w:r>
      <w:proofErr w:type="gramEnd"/>
      <w:r>
        <w:rPr>
          <w:rFonts w:ascii="Times New Roman" w:eastAsia="Times New Roman" w:hAnsi="Times New Roman" w:cs="Times New Roman"/>
        </w:rPr>
        <w:t xml:space="preserve"> выросло от 20 до 27, а самостоятельно проживающих от 20 до 22 человек. Следуя данному примеру в 2019 году в г. Астана при поддержке Программы развития ООН в Казахстане местная неправительственная организация открывала Центр самостоятельного проживания», который по окончании проекта закрылся.</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По состоянию на 2019 г. в крупнейшем в стране городе Алматы еще 20 проживающих до этого в ЦОССУ человек выведены в отдельный дом самостоятельного проживания при центре ЦОССУ № 1 г. Алматы. При этом, «со слов директора центра ЦОССУ № 1 г. Алматы </w:t>
      </w:r>
      <w:proofErr w:type="spellStart"/>
      <w:r>
        <w:rPr>
          <w:rFonts w:ascii="Times New Roman" w:eastAsia="Times New Roman" w:hAnsi="Times New Roman" w:cs="Times New Roman"/>
        </w:rPr>
        <w:t>Данипы</w:t>
      </w:r>
      <w:proofErr w:type="spellEnd"/>
      <w:r>
        <w:rPr>
          <w:rFonts w:ascii="Times New Roman" w:eastAsia="Times New Roman" w:hAnsi="Times New Roman" w:cs="Times New Roman"/>
        </w:rPr>
        <w:t xml:space="preserve"> Искаковой: «Порядка 30% получателей услуг в медико-социальных учреждениях </w:t>
      </w:r>
      <w:r>
        <w:rPr>
          <w:rFonts w:ascii="Times New Roman" w:eastAsia="Times New Roman" w:hAnsi="Times New Roman" w:cs="Times New Roman"/>
        </w:rPr>
        <w:lastRenderedPageBreak/>
        <w:t>для людей с психоневрологическими нарушениями могут быть социализированы»</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однако, в силу указанных причин, продолжают оставаться в институциях.</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Правовой статус недееспособности принуждает лица с инвалидностью I и II группы жить в закрытом специальном социальном учреждении против его воли, поскольку письменное заявление на поступление в учреждение подает законный представитель - один из родителей, опекун, представляющий интересы, а не сам человек. Позже опекун передает свои законные полномочия директору и происходит смена опекунства. Покинуть учреждение возможно только в случае восстановления дееспособности или смерти лица с инвалидностью.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По данным исследования «Правовое положение граждан с ментальными нарушениями здоровья в государственных медицинских и социальных учреждениях»</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действительно, «все получатели услуг [проживающие в ЦОССУ взрослые с психосоциальной инвалидностью] лишены дееспособности и преимущественно имеют II группу инвалидности»</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И хотя четкого законодательного требования о лишении дееспособности для помещения в ЦОССУ нет, «все дети, достигшие 18 лет в учреждении [институции], лишаются дееспособности, как необходимое [на практике] условие перевода во взрослые учреждения»</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В том же исследовании такая практика объясняется тем, что, считается, что «при сохранении дееспособности, человек не сможет быть зачислен во взрослый психоневрологический интернат, а брать опеку над ним, других [желающих] не находится»</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Так как в Казахстане в среднем 20% проживающих в ЦОССУ взрослых с психосоциальной инвалидностью – выпускники аналогичных детских учреждений, а согласно кодексу «О браке (супружестве) и семье», «опекунами лиц, нуждающихся в опеке и находящихся в соответствующих организациях образования, медицинских организациях, организациях социальной защиты населения, является администрация этих организаций»</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то при помещении во взрослые учреждения выпускники детских ЦОССУ, практически автоматически передаются под опеку администрациям взрослых ЦОССУ, лишаясь предварительно дееспособности. Точно также под опеку администрации ЦОССУ переходят и все остальные, лишаясь дееспособности при помещении туда на проживание. При этом в Казахстане все еще широко распространено мнение, что лишение дееспособности есть «некий социальный статус, который нужен человеку беспомощному, как формальная помощь и даже забота»</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Однако, лишаясь дееспособности, человек утрачивает все свои гражданские права. «Правовой статус недееспособности лишает человека полноправного участия в </w:t>
      </w:r>
      <w:r>
        <w:rPr>
          <w:rFonts w:ascii="Times New Roman" w:eastAsia="Times New Roman" w:hAnsi="Times New Roman" w:cs="Times New Roman"/>
        </w:rPr>
        <w:lastRenderedPageBreak/>
        <w:t>гражданско-правовых сделках, трудоустройстве, в брачно-семейных отношениях; права отказа и обжалования решений по экстренной/плановой госпитализации, принудительного лечения в психиатрических учреждениях»</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Более того, лишенный дееспособности человек не может самостоятельно ни выбрать, ни сменить опекуна, в случае неудовлетворительного выполнения тем своих обязанностей, ни инициировать заявление в суд о возвращении себе дееспособности.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Подбор опекунов осуществляется местными органами, осуществляющими функции по опеке или попечительству, по месту жительства нуждающегося в опеке лица в течение двадцати рабочих дней после получения решения суда о признании человека недееспособным. При этом, если при вынесении судом решения о признании человека недееспособным, суд обязан заслушать </w:t>
      </w:r>
      <w:proofErr w:type="spellStart"/>
      <w:r>
        <w:rPr>
          <w:rFonts w:ascii="Times New Roman" w:eastAsia="Times New Roman" w:hAnsi="Times New Roman" w:cs="Times New Roman"/>
        </w:rPr>
        <w:t>его_ее</w:t>
      </w:r>
      <w:proofErr w:type="spellEnd"/>
      <w:r>
        <w:rPr>
          <w:rFonts w:ascii="Times New Roman" w:eastAsia="Times New Roman" w:hAnsi="Times New Roman" w:cs="Times New Roman"/>
        </w:rPr>
        <w:t xml:space="preserve"> мнение, то при следующим за этим подборе опекуна согласия теперь уже недееспособного лица не требуется. При </w:t>
      </w:r>
      <w:proofErr w:type="spellStart"/>
      <w:r>
        <w:rPr>
          <w:rFonts w:ascii="Times New Roman" w:eastAsia="Times New Roman" w:hAnsi="Times New Roman" w:cs="Times New Roman"/>
        </w:rPr>
        <w:t>институциализации</w:t>
      </w:r>
      <w:proofErr w:type="spellEnd"/>
      <w:r>
        <w:rPr>
          <w:rFonts w:ascii="Times New Roman" w:eastAsia="Times New Roman" w:hAnsi="Times New Roman" w:cs="Times New Roman"/>
        </w:rPr>
        <w:t xml:space="preserve"> человека </w:t>
      </w:r>
      <w:proofErr w:type="spellStart"/>
      <w:r>
        <w:rPr>
          <w:rFonts w:ascii="Times New Roman" w:eastAsia="Times New Roman" w:hAnsi="Times New Roman" w:cs="Times New Roman"/>
        </w:rPr>
        <w:t>его_ее</w:t>
      </w:r>
      <w:proofErr w:type="spellEnd"/>
      <w:r>
        <w:rPr>
          <w:rFonts w:ascii="Times New Roman" w:eastAsia="Times New Roman" w:hAnsi="Times New Roman" w:cs="Times New Roman"/>
        </w:rPr>
        <w:t xml:space="preserve"> опекуном становится администратор ЦОССУ. Лишенные дееспособности «получатели услуг» добровольно покинуть учреждение не могут: требуется разрешение директора учреждения и органов опеки. «Зачастую люди остаются там на всю жизнь»</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Примечательно, </w:t>
      </w:r>
      <w:proofErr w:type="gramStart"/>
      <w:r>
        <w:rPr>
          <w:rFonts w:ascii="Times New Roman" w:eastAsia="Times New Roman" w:hAnsi="Times New Roman" w:cs="Times New Roman"/>
        </w:rPr>
        <w:t>что</w:t>
      </w:r>
      <w:proofErr w:type="gramEnd"/>
      <w:r>
        <w:rPr>
          <w:rFonts w:ascii="Times New Roman" w:eastAsia="Times New Roman" w:hAnsi="Times New Roman" w:cs="Times New Roman"/>
        </w:rPr>
        <w:t xml:space="preserve"> являясь опекуном, администрация ЦОССУ одновременно и оказывает услуги и следит за их соответствием интересам подопечных, что представляет собой безусловный конфликт интересов.</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К автору доклада в ноябре 2023г. обратилась Н., волонтер медико-социального учреждения пансионат “</w:t>
      </w:r>
      <w:proofErr w:type="spellStart"/>
      <w:r>
        <w:rPr>
          <w:rFonts w:ascii="Times New Roman" w:eastAsia="Times New Roman" w:hAnsi="Times New Roman" w:cs="Times New Roman"/>
        </w:rPr>
        <w:t>Самал</w:t>
      </w:r>
      <w:proofErr w:type="spellEnd"/>
      <w:r>
        <w:rPr>
          <w:rFonts w:ascii="Times New Roman" w:eastAsia="Times New Roman" w:hAnsi="Times New Roman" w:cs="Times New Roman"/>
        </w:rPr>
        <w:t>” г. Алматы в интересах женщины М., получателя услуг. Опекаемая является недееспособной и неоднократно обращается к своему опекуну, директору учреждения с просьбой направить ее на повторное судебно-психиатрическое освидетельствование по вопросу восстановления дееспособности. Но опекун отказывает ей в личном приеме, самостоятельно покинуть учреждения она не может, ее интересы представляет опекун.</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Анализ мониторинга данных учреждений показывает, что лица, содержащиеся в детских и взрослых закрытых социальных учреждениях не всегда имеют возможность написать жалобу, изложить проблему при личной встрече с директором. Как правило, встречи с администрацией проходят во время проведения обхода.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Данные учреждения подлежат мониторингу </w:t>
      </w:r>
      <w:proofErr w:type="gramStart"/>
      <w:r>
        <w:rPr>
          <w:rFonts w:ascii="Times New Roman" w:eastAsia="Times New Roman" w:hAnsi="Times New Roman" w:cs="Times New Roman"/>
        </w:rPr>
        <w:t>Национального  превентивного</w:t>
      </w:r>
      <w:proofErr w:type="gramEnd"/>
      <w:r>
        <w:rPr>
          <w:rFonts w:ascii="Times New Roman" w:eastAsia="Times New Roman" w:hAnsi="Times New Roman" w:cs="Times New Roman"/>
        </w:rPr>
        <w:t xml:space="preserve"> механизма по предупреждению пыток и других жестоких, бесчеловечных, унизительных обращений при Уполномоченном по правам человека. Иных видов общественного контроля нет.</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Анализ мониторинга данных учреждений показывает, что лица, содержащиеся в детских и взрослых закрытых социальных учреждениях не всегда имеют возможность написать жалобу, изложить проблему при личной встрече с директором. Как правило, встречи с администрацией проходят во время проведения обхода. Для лиц с отсутствием речи, нарушением мышления не предусмотрены альтернативные возможности передачи информации (язык жестов, письмо, рисунки и другие приемы). Также не имеется реестра телефонных звонков. Процесс подачи и рассмотрения обращений (жалоб) пациентов происходит через родственников либо через сотрудников учреждения устно. Тем не менее, </w:t>
      </w:r>
      <w:r>
        <w:rPr>
          <w:rFonts w:ascii="Times New Roman" w:eastAsia="Times New Roman" w:hAnsi="Times New Roman" w:cs="Times New Roman"/>
        </w:rPr>
        <w:lastRenderedPageBreak/>
        <w:t>по 12 учреждениям участники Национального превентивного механизма рекомендовали</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разместить в доступных и видных местах ящик для жалоб и предложений, по 5 учреждениям - доработать механизм подачи жалоб и предложений (завести журнал для подачи жалоб, корректно его вести, завести бланки обращений).</w:t>
      </w: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Ответ на вопрос 11.c</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Связь с внешним миром</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По данным упомянутого выше исследования, 70% </w:t>
      </w:r>
      <w:proofErr w:type="spellStart"/>
      <w:r>
        <w:rPr>
          <w:rFonts w:ascii="Times New Roman" w:eastAsia="Times New Roman" w:hAnsi="Times New Roman" w:cs="Times New Roman"/>
        </w:rPr>
        <w:t>институционализированных</w:t>
      </w:r>
      <w:proofErr w:type="spellEnd"/>
      <w:r>
        <w:rPr>
          <w:rFonts w:ascii="Times New Roman" w:eastAsia="Times New Roman" w:hAnsi="Times New Roman" w:cs="Times New Roman"/>
        </w:rPr>
        <w:t xml:space="preserve"> казахстанцев с психосоциальной инвалидностью утрачивают связи с родственниками</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«Очень часто родственники, взрослые дети получателей услуг просят не беспокоить их и не интересуются жизнью близкого человека»</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«У самих получателей услуг нет свободного доступа к телефону, компьютеру, социальным сетям, бумаге, ручке, возможности отправки писем. Так, при посещении [самого крупного в стране] ЦОССУ в г. </w:t>
      </w:r>
      <w:proofErr w:type="spellStart"/>
      <w:r>
        <w:rPr>
          <w:rFonts w:ascii="Times New Roman" w:eastAsia="Times New Roman" w:hAnsi="Times New Roman" w:cs="Times New Roman"/>
        </w:rPr>
        <w:t>Риддер</w:t>
      </w:r>
      <w:proofErr w:type="spellEnd"/>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выяснилось, что за 2019 год получателями услуг было отправлено 11 писем, поступило 7 писем, получено 11 посылок. Как правило, письма пишутся подопечными под диктовку или за них письма пишет библиотекарь. […] Директор ЦОССУ № 4 Туркестанской области пояснила, что многим не положено поддерживать связь с родными, так как они общественно опасные»</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«Подобная практика отказа в возможности покинуть учреждение на непродолжительное время характерна для всех взрослых центров ЦОССУ и распространяется на более 70% получателей услуг. Заключения об ограничении выезда лиц […] выносятся врачом-психиатром и утверждаются директором ЦОССУ. Официальные критерии оценки состояния опекаемых не разработаны ответственным ведомством»</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Одним из объяснений разрыва семейных связей является удаленное расположение ЦОССУ. Так, ЦОССУ № 4 Туркестанской области, единственное крупное в области, обслуживающее также районы области, расположено за 300 км от самого дальнего населенного пункта. «Родственники, приехавшие из дальних районов, имеют возможность переночевать в комнате для свиданий. Однако такая практика не распространена повсеместно, крупные учреждения в других регионах страны, в основном оборудованы комнатами для коротких свиданий с родственниками»</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Право на частную жизнь</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«У всех получателей услуг [посещенных] детских и взрослых ЦОССУ отсутствуют личные вещи, прикроватные тумбочки, возможность обустроить внутренний интерьер комнат, повесить картины. Директор ЦОССУ № 1 г. Актау убеждена, что получателям услуг тумбочки не нужны. В данном учреждении все получатели услуг коротко подстрижены под ноль, за исключением лиц, проживающих в отделении самостоятельного обслуживания </w:t>
      </w:r>
      <w:r>
        <w:rPr>
          <w:rFonts w:ascii="Times New Roman" w:eastAsia="Times New Roman" w:hAnsi="Times New Roman" w:cs="Times New Roman"/>
        </w:rPr>
        <w:lastRenderedPageBreak/>
        <w:t>(10% от общего числа). Лицам, содержащимся в отделении самостоятельного обслуживания, разрешается иметь прически (женщины), наносить макияж, выбирать одежду для повседневности, посещать кружки, участвовать в культурной самодеятельности. В комнатах отделений самообслуживания имеются шкафы для одежды, часы, картины, личные вещи и другое. В одном из учреждений обнаружена практика маркировки нижнего белья и одежды получателей услуг»</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«Во всех учреждениях утвержден официальный запрет на интимные отношения между мужчинами и женщинами. Отсутствуют комнаты для уединения, не имеется возможности свободно передвигаться, свободно получать информацию. В общественных местах установлено видеонаблюдение. Внутренними правилами строго соблюдается порядок раздельного проживания. Директор </w:t>
      </w:r>
      <w:proofErr w:type="spellStart"/>
      <w:r>
        <w:rPr>
          <w:rFonts w:ascii="Times New Roman" w:eastAsia="Times New Roman" w:hAnsi="Times New Roman" w:cs="Times New Roman"/>
        </w:rPr>
        <w:t>риддерского</w:t>
      </w:r>
      <w:proofErr w:type="spellEnd"/>
      <w:r>
        <w:rPr>
          <w:rFonts w:ascii="Times New Roman" w:eastAsia="Times New Roman" w:hAnsi="Times New Roman" w:cs="Times New Roman"/>
        </w:rPr>
        <w:t xml:space="preserve"> ЦОССУ ВКО указывал: «Запрет на сексуальную жизнь исходит от Управления занятости и социальных программ ВКО. Подобные дела родственники решают во время лечебных отпусков». Например, в ЦОССУ № 1 г. Актау помимо раздельного проживания, имеется раздельный вход в столовую, выход на прогулки для мужчин и женщин раздельный. Администрация признает нарушение </w:t>
      </w:r>
      <w:proofErr w:type="gramStart"/>
      <w:r>
        <w:rPr>
          <w:rFonts w:ascii="Times New Roman" w:eastAsia="Times New Roman" w:hAnsi="Times New Roman" w:cs="Times New Roman"/>
        </w:rPr>
        <w:t>прав</w:t>
      </w:r>
      <w:proofErr w:type="gramEnd"/>
      <w:r>
        <w:rPr>
          <w:rFonts w:ascii="Times New Roman" w:eastAsia="Times New Roman" w:hAnsi="Times New Roman" w:cs="Times New Roman"/>
        </w:rPr>
        <w:t xml:space="preserve"> опекаемых на сексуальную жизнь, но в то же время поясняет, что для этого не созданы условия. Вызывают опасения риски нежелательных беременностей. В ЦОССУ с. </w:t>
      </w:r>
      <w:proofErr w:type="spellStart"/>
      <w:r>
        <w:rPr>
          <w:rFonts w:ascii="Times New Roman" w:eastAsia="Times New Roman" w:hAnsi="Times New Roman" w:cs="Times New Roman"/>
        </w:rPr>
        <w:t>Купчановка</w:t>
      </w:r>
      <w:proofErr w:type="spellEnd"/>
      <w:r>
        <w:rPr>
          <w:rFonts w:ascii="Times New Roman" w:eastAsia="Times New Roman" w:hAnsi="Times New Roman" w:cs="Times New Roman"/>
        </w:rPr>
        <w:t xml:space="preserve"> Акмолинской области всем женщинам установлены внутриматочные спирали, сексуальные отношения имеют место быть в данном учреждении. В остальных учреждениях контрацептивами обеспечивают женщин родственники. Специалисты отмечают, что об этом в стандарте ЦОССУ ничего не указано. В Туркестанском ЦОССУ специалисты отмечали, что женщины помогают убирать друг другу внутриматочные спирали кустарным способом с целью наступления</w:t>
      </w: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беременности. Беременность для женщин в центрах ЦОССУ расценивается, как возможность покинуть закрытое учреждение. В ходе бесед с получателями услуг большинство выражали желание вернуться домой услуг, большинство выражали желание вернуться домой»</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Право на образование</w:t>
      </w:r>
    </w:p>
    <w:p w:rsidR="00A84CEE" w:rsidRDefault="00A84CEE">
      <w:pPr>
        <w:ind w:right="-285"/>
        <w:jc w:val="both"/>
        <w:rPr>
          <w:rFonts w:ascii="Times New Roman" w:eastAsia="Times New Roman" w:hAnsi="Times New Roman" w:cs="Times New Roman"/>
          <w:u w:val="single"/>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Дети, находящиеся в ЦОССУ, не охвачены дошкольным и школьным образованием. «Специалисты подчеркивают, что Министерством просвещения (ранее Министерство образования и науки) для детей, имеющих тяжелую, глубокую умственную отсталость, не разработаны рабочие учебные программы»</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При этом в детских ЦОССУ находятся не только дети с глубокой умственной отсталостью, а также дети «с умственной отсталостью всех степеней, в том числе при наличии грубых нарушений двигательных функций, затрудняющих обучение в специальных (вспомогательных) классах специальных коррекционных организаций образования (не передвигающиеся без посторонней помощи, не обслуживающие себя в силу тяжести двигательных нарушений, требующие индивидуального ухода); слепоты (слабовидения) или глухоты (</w:t>
      </w:r>
      <w:proofErr w:type="spellStart"/>
      <w:r>
        <w:rPr>
          <w:rFonts w:ascii="Times New Roman" w:eastAsia="Times New Roman" w:hAnsi="Times New Roman" w:cs="Times New Roman"/>
        </w:rPr>
        <w:t>слабослышания</w:t>
      </w:r>
      <w:proofErr w:type="spellEnd"/>
      <w:r>
        <w:rPr>
          <w:rFonts w:ascii="Times New Roman" w:eastAsia="Times New Roman" w:hAnsi="Times New Roman" w:cs="Times New Roman"/>
        </w:rPr>
        <w:t xml:space="preserve">) с умственной отсталостью всех степеней, в том числе при наличии грубых нарушений двигательных функций, затрудняющих обучение в специализированных школах-интернатах; эпилепсии (в том числе симптоматической) с припадками не чаще четырех раз в месяц при наличии слабоумия; шизофрении с выраженным дефектом без продуктивной </w:t>
      </w:r>
      <w:r>
        <w:rPr>
          <w:rFonts w:ascii="Times New Roman" w:eastAsia="Times New Roman" w:hAnsi="Times New Roman" w:cs="Times New Roman"/>
        </w:rPr>
        <w:lastRenderedPageBreak/>
        <w:t>симптоматики; слабоумия после перенесенных органических поражений головного мозга»</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В общеобразовательные школы проживающие в ЦОССУ дети также не ходят. Если это и случается, то лишь в единичных случаях по инициативе администрации отдельных ЦОССУ. То же и с обучением в коррекционных школах или классах общеобразовательных школ – если это происходит, то далеко не повсеместно.</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Дети из ЦОССУ также не охвачены коррекционно-развивающими и социальными программами, что «специалисты объясняют </w:t>
      </w:r>
      <w:proofErr w:type="spellStart"/>
      <w:r>
        <w:rPr>
          <w:rFonts w:ascii="Times New Roman" w:eastAsia="Times New Roman" w:hAnsi="Times New Roman" w:cs="Times New Roman"/>
        </w:rPr>
        <w:t>необучаемостью</w:t>
      </w:r>
      <w:proofErr w:type="spellEnd"/>
      <w:r>
        <w:rPr>
          <w:rFonts w:ascii="Times New Roman" w:eastAsia="Times New Roman" w:hAnsi="Times New Roman" w:cs="Times New Roman"/>
        </w:rPr>
        <w:t xml:space="preserve"> подопечных. В то время как в законах Республики Казахстан исключено понятие «необучаемые дети»</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Таким образом, проживающие в ЦОССУ дети с психосоциальной инвалидностью не просто не получают образование, но и лишены возможности формирования навыков социально-бытовой ориентации, трудовых навыков, самостоятельности в труде, интереса к трудовой деятельности.</w:t>
      </w:r>
    </w:p>
    <w:p w:rsidR="00A84CEE" w:rsidRDefault="00A84CEE">
      <w:pPr>
        <w:ind w:right="-285"/>
        <w:jc w:val="both"/>
        <w:rPr>
          <w:rFonts w:ascii="Times New Roman" w:eastAsia="Times New Roman" w:hAnsi="Times New Roman" w:cs="Times New Roman"/>
          <w:u w:val="single"/>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Право на подачу жалоб</w:t>
      </w:r>
    </w:p>
    <w:p w:rsidR="00A84CEE" w:rsidRDefault="00A84CEE">
      <w:pPr>
        <w:ind w:right="-285"/>
        <w:jc w:val="both"/>
        <w:rPr>
          <w:rFonts w:ascii="Times New Roman" w:eastAsia="Times New Roman" w:hAnsi="Times New Roman" w:cs="Times New Roman"/>
          <w:u w:val="single"/>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Лица, содержащиеся в детских и взрослых ЦОССУ, не всегда имеют возможность написать жалобу, изложить проблему при личной встрече с директором. Как правило, встречи с администрацией проходят во время проведения обхода. Для лиц с отсутствием речи, нарушением мышления не предусмотрены альтернативные возможности передачи информации (язык жестов, письмо, рисунки и другие приемы).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В исследовании</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о доступе к юридической помощи проживающих в ЦОССУ взрослых с психосоциальной инвалидностью говорится, что «проживая в домах-интернатах закрытого типа и не имея официально дееспособности, люди с психосоциальной и интеллектуальной инвалидностью лишаются права на доступ к юридической помощи и не могут [на практике] получить даже простую юридическую консультацию, [а] без опекуна […], любой документ, подписанный ими, не будет иметь юридической силы»</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«Анализируя национальное законодательство, можно говорить о том, что хотя доступ к юридической помощи прописан в законах, но в отношении людей с недееспособностью их интересы никто, кроме опекунов, не может представлять в судах, у нотариусов либо в других органах, требующих «правовой подписи». Следует понимать, что люди с недееспособностью могут получить только консультацию, но не более. К сожалению, нет конкретных определений по недееспособным людям, проживающим в закрытых учреждениях интернатного типа. Нет понимания того, какие гражданско-правовые отношения сохраняются, если человек утратил дееспособность и к тому же проживает в закрытом учреждении интернатного типа. Ни в одном документе не прописаны конкретные </w:t>
      </w:r>
      <w:r>
        <w:rPr>
          <w:rFonts w:ascii="Times New Roman" w:eastAsia="Times New Roman" w:hAnsi="Times New Roman" w:cs="Times New Roman"/>
        </w:rPr>
        <w:lastRenderedPageBreak/>
        <w:t>механизмы обращения за юридической помощью: как это можно осуществлять, в случае если человек проживает в интернатах (эти заведения называются Центры оказания специальных социальных услуг). Ведь законодательные документы, направленные на создание доступа к качественной юридической помощи на всех уровнях, обязаны учитывать тех, кто был лишен дееспособности и проживает в закрытых учреждениях интернатного типа. Получается, что определенные люди выпадают из поля зрения, и их права не прописываются в законодательных актах»</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w:t>
      </w:r>
    </w:p>
    <w:p w:rsidR="00A84CEE" w:rsidRDefault="00A84CEE">
      <w:pPr>
        <w:ind w:right="-285"/>
        <w:jc w:val="both"/>
        <w:rPr>
          <w:rFonts w:ascii="Times New Roman" w:eastAsia="Times New Roman" w:hAnsi="Times New Roman" w:cs="Times New Roman"/>
          <w:u w:val="single"/>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Право на здоровье</w:t>
      </w:r>
    </w:p>
    <w:p w:rsidR="00A84CEE" w:rsidRDefault="00A84CEE">
      <w:pPr>
        <w:ind w:right="-285"/>
        <w:jc w:val="both"/>
        <w:rPr>
          <w:rFonts w:ascii="Times New Roman" w:eastAsia="Times New Roman" w:hAnsi="Times New Roman" w:cs="Times New Roman"/>
          <w:highlight w:val="yellow"/>
          <w:u w:val="single"/>
        </w:rPr>
      </w:pPr>
    </w:p>
    <w:p w:rsidR="00A84CEE" w:rsidRDefault="00000000">
      <w:pPr>
        <w:spacing w:line="276" w:lineRule="auto"/>
        <w:ind w:right="-285"/>
        <w:jc w:val="both"/>
        <w:rPr>
          <w:rFonts w:ascii="Times New Roman" w:eastAsia="Times New Roman" w:hAnsi="Times New Roman" w:cs="Times New Roman"/>
        </w:rPr>
      </w:pPr>
      <w:r>
        <w:rPr>
          <w:rFonts w:ascii="Times New Roman" w:eastAsia="Times New Roman" w:hAnsi="Times New Roman" w:cs="Times New Roman"/>
        </w:rPr>
        <w:t>Во всех взрослых ЦОССУ имеются так называемые кризисные комнаты. Официально утвержденных правил помещения, длительности содержания в кризисной комнате не имеется. «Все по показаниям врача-психиатра» – это наиболее частая фраза, озвучиваемая администрациями ЦОССУ, как основание помещения человека в закрытую комнату</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w:t>
      </w:r>
    </w:p>
    <w:p w:rsidR="00A84CEE" w:rsidRDefault="00A84CEE">
      <w:pPr>
        <w:spacing w:line="276" w:lineRule="auto"/>
        <w:ind w:right="-285"/>
        <w:jc w:val="both"/>
        <w:rPr>
          <w:rFonts w:ascii="Times New Roman" w:eastAsia="Times New Roman" w:hAnsi="Times New Roman" w:cs="Times New Roman"/>
        </w:rPr>
      </w:pPr>
    </w:p>
    <w:p w:rsidR="00A84CEE" w:rsidRDefault="00000000">
      <w:pPr>
        <w:spacing w:line="276" w:lineRule="auto"/>
        <w:ind w:right="-285"/>
        <w:jc w:val="both"/>
        <w:rPr>
          <w:rFonts w:ascii="Times New Roman" w:eastAsia="Times New Roman" w:hAnsi="Times New Roman" w:cs="Times New Roman"/>
        </w:rPr>
      </w:pPr>
      <w:r>
        <w:rPr>
          <w:rFonts w:ascii="Times New Roman" w:eastAsia="Times New Roman" w:hAnsi="Times New Roman" w:cs="Times New Roman"/>
        </w:rPr>
        <w:t>Кризисные комнаты представляют собой камеры, схожие с камерами следственных изоляторов: закрываются на замок, вместо двери решетка. В одной комнате без права выхода могут находиться от одного до четырех человек. В нескольких учреждениях автор наблюдал в углу кризисной комнаты ведро для отправления естественных потребностей. Содержание в кризисных комнатах людей относится к унизительному и жесткому обращению.</w:t>
      </w:r>
    </w:p>
    <w:p w:rsidR="00A84CEE" w:rsidRDefault="00A84CEE">
      <w:pPr>
        <w:spacing w:line="276" w:lineRule="auto"/>
        <w:ind w:right="-285"/>
        <w:jc w:val="both"/>
        <w:rPr>
          <w:rFonts w:ascii="Times New Roman" w:eastAsia="Times New Roman" w:hAnsi="Times New Roman" w:cs="Times New Roman"/>
        </w:rPr>
      </w:pPr>
    </w:p>
    <w:p w:rsidR="00A84CEE" w:rsidRDefault="00000000">
      <w:pPr>
        <w:spacing w:line="276" w:lineRule="auto"/>
        <w:ind w:right="-285"/>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2928938" cy="299785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928938" cy="2997854"/>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extent cx="2624138" cy="277707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624138" cy="2777078"/>
                    </a:xfrm>
                    <a:prstGeom prst="rect">
                      <a:avLst/>
                    </a:prstGeom>
                    <a:ln/>
                  </pic:spPr>
                </pic:pic>
              </a:graphicData>
            </a:graphic>
          </wp:inline>
        </w:drawing>
      </w:r>
    </w:p>
    <w:p w:rsidR="00A84CEE" w:rsidRDefault="00000000">
      <w:pPr>
        <w:spacing w:line="276" w:lineRule="auto"/>
        <w:ind w:right="-285"/>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На фото слева получатель услуг в кризисной комнате </w:t>
      </w:r>
      <w:proofErr w:type="spellStart"/>
      <w:r>
        <w:rPr>
          <w:rFonts w:ascii="Times New Roman" w:eastAsia="Times New Roman" w:hAnsi="Times New Roman" w:cs="Times New Roman"/>
          <w:i/>
          <w:sz w:val="20"/>
          <w:szCs w:val="20"/>
        </w:rPr>
        <w:t>Есикского</w:t>
      </w:r>
      <w:proofErr w:type="spellEnd"/>
      <w:r>
        <w:rPr>
          <w:rFonts w:ascii="Times New Roman" w:eastAsia="Times New Roman" w:hAnsi="Times New Roman" w:cs="Times New Roman"/>
          <w:i/>
          <w:sz w:val="20"/>
          <w:szCs w:val="20"/>
        </w:rPr>
        <w:t xml:space="preserve"> центра по оказанию специальных социальных услуг Алматинской области; справа - в кризисной комнате </w:t>
      </w:r>
      <w:proofErr w:type="spellStart"/>
      <w:r>
        <w:rPr>
          <w:rFonts w:ascii="Times New Roman" w:eastAsia="Times New Roman" w:hAnsi="Times New Roman" w:cs="Times New Roman"/>
          <w:i/>
          <w:sz w:val="20"/>
          <w:szCs w:val="20"/>
        </w:rPr>
        <w:t>Риддерского</w:t>
      </w:r>
      <w:proofErr w:type="spellEnd"/>
      <w:r>
        <w:rPr>
          <w:rFonts w:ascii="Times New Roman" w:eastAsia="Times New Roman" w:hAnsi="Times New Roman" w:cs="Times New Roman"/>
          <w:i/>
          <w:sz w:val="20"/>
          <w:szCs w:val="20"/>
        </w:rPr>
        <w:t xml:space="preserve"> центра по оказанию специальных социальных услуг Восточно-Казахстанской области</w:t>
      </w:r>
    </w:p>
    <w:p w:rsidR="00A84CEE" w:rsidRDefault="00A84CEE">
      <w:pPr>
        <w:spacing w:line="276" w:lineRule="auto"/>
        <w:ind w:right="-285"/>
        <w:rPr>
          <w:rFonts w:ascii="Times New Roman" w:eastAsia="Times New Roman" w:hAnsi="Times New Roman" w:cs="Times New Roman"/>
        </w:rPr>
      </w:pPr>
    </w:p>
    <w:p w:rsidR="00A84CEE" w:rsidRDefault="00000000">
      <w:pPr>
        <w:spacing w:line="276" w:lineRule="auto"/>
        <w:ind w:right="-285"/>
        <w:rPr>
          <w:rFonts w:ascii="Times New Roman" w:eastAsia="Times New Roman" w:hAnsi="Times New Roman" w:cs="Times New Roman"/>
          <w:u w:val="single"/>
        </w:rPr>
      </w:pPr>
      <w:r>
        <w:rPr>
          <w:rFonts w:ascii="Times New Roman" w:eastAsia="Times New Roman" w:hAnsi="Times New Roman" w:cs="Times New Roman"/>
          <w:u w:val="single"/>
        </w:rPr>
        <w:t>Право на получение информации о состоянии своего здоровья</w:t>
      </w:r>
    </w:p>
    <w:p w:rsidR="00A84CEE" w:rsidRDefault="00A84CEE">
      <w:pPr>
        <w:spacing w:line="276" w:lineRule="auto"/>
        <w:ind w:right="-285"/>
        <w:rPr>
          <w:rFonts w:ascii="Times New Roman" w:eastAsia="Times New Roman" w:hAnsi="Times New Roman" w:cs="Times New Roman"/>
          <w:u w:val="single"/>
        </w:rPr>
      </w:pPr>
    </w:p>
    <w:p w:rsidR="00A84CEE" w:rsidRDefault="00000000">
      <w:pPr>
        <w:spacing w:line="276" w:lineRule="auto"/>
        <w:ind w:right="-285"/>
        <w:jc w:val="both"/>
        <w:rPr>
          <w:rFonts w:ascii="Times New Roman" w:eastAsia="Times New Roman" w:hAnsi="Times New Roman" w:cs="Times New Roman"/>
        </w:rPr>
      </w:pPr>
      <w:r>
        <w:rPr>
          <w:rFonts w:ascii="Times New Roman" w:eastAsia="Times New Roman" w:hAnsi="Times New Roman" w:cs="Times New Roman"/>
        </w:rPr>
        <w:lastRenderedPageBreak/>
        <w:t>В ЦОССУ и ЦПЗ пациенты лишены возможности получения информации о состоянии своего здоровья в доступной форме</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У них также не имеется возможности ознакомиться с медицинской документацией (историей болезни</w:t>
      </w:r>
      <w:proofErr w:type="gramStart"/>
      <w:r>
        <w:rPr>
          <w:rFonts w:ascii="Times New Roman" w:eastAsia="Times New Roman" w:hAnsi="Times New Roman" w:cs="Times New Roman"/>
        </w:rPr>
        <w:t>),возможности</w:t>
      </w:r>
      <w:proofErr w:type="gramEnd"/>
      <w:r>
        <w:rPr>
          <w:rFonts w:ascii="Times New Roman" w:eastAsia="Times New Roman" w:hAnsi="Times New Roman" w:cs="Times New Roman"/>
        </w:rPr>
        <w:t xml:space="preserve"> получить копии медицинских документов или выписки из них. </w:t>
      </w:r>
    </w:p>
    <w:p w:rsidR="00A84CEE" w:rsidRDefault="00A84CEE">
      <w:pPr>
        <w:spacing w:line="276" w:lineRule="auto"/>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Принудительное помещение в ЦПЗ</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В Казахстане действует норма</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которая позволяет производить недобровольные помещения и принудительное лечение лиц с инвалидностью в психиатрические учреждения. </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Недееспособные инвалиды помещаются в учреждения с согласия опекуна и без учета воли и желания самого лица.</w:t>
      </w:r>
    </w:p>
    <w:p w:rsidR="00A84CEE" w:rsidRDefault="00A84CEE">
      <w:pPr>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rPr>
      </w:pPr>
      <w:r>
        <w:rPr>
          <w:rFonts w:ascii="Times New Roman" w:eastAsia="Times New Roman" w:hAnsi="Times New Roman" w:cs="Times New Roman"/>
        </w:rPr>
        <w:t xml:space="preserve">Отсутствие свободного и информированного согласия пациента приводит к тому, что медицинский персонал не считает нужным проводить надлежащие консультации напрямую с человеком с инвалидностью. </w:t>
      </w:r>
    </w:p>
    <w:p w:rsidR="00A84CEE" w:rsidRDefault="00A84CEE">
      <w:pPr>
        <w:ind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 xml:space="preserve">В случаях применения принудительного помещения в закрытое медицинское учреждение и принудительного лечения медицинскими препаратами по решению суда, вследствие признания лица невменяемым, лицо признается недееспособным, и, соответственно, не имеет возможности самостоятельно обжаловать в суд решение о своей госпитализации в психиатрическое учреждение. </w:t>
      </w:r>
    </w:p>
    <w:p w:rsidR="00A84CEE" w:rsidRDefault="00A84CEE">
      <w:pPr>
        <w:tabs>
          <w:tab w:val="left" w:pos="851"/>
        </w:tabs>
        <w:ind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В учреждении Центра психического здоровья г. Нур-Султан имеется журнал регистрации недобровольных госпитализаций</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Всего с начала 2019 года было госпитализировано в недобровольном порядке 75 пациентов. Журнал недобровольной госпитализации является</w:t>
      </w: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внутренним документом больницы, и имеющиеся в журнале данные не включаются в официальную статистическую отчетность</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При изучении данного журнала стало известно, что только 10 из 75 пациентов получили санкцию суда на принудительную госпитализацию. 25 пациентов подписали лист добровольного согласия на второй, третий день после недобровольной госпитализации. Остальные 40 фамилий пациентов были без</w:t>
      </w: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подписей и отметок.</w:t>
      </w:r>
    </w:p>
    <w:p w:rsidR="00A84CEE" w:rsidRDefault="00A84CEE">
      <w:pPr>
        <w:tabs>
          <w:tab w:val="left" w:pos="851"/>
        </w:tabs>
        <w:ind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Существующая судебная практика не в полной мере руководствуется принципами прав человека на равенство в правах и защиту в суде. В ходе мониторинга при изучении личных дел пациентов установлено:</w:t>
      </w:r>
    </w:p>
    <w:p w:rsidR="00A84CEE" w:rsidRDefault="00A84CEE">
      <w:pPr>
        <w:tabs>
          <w:tab w:val="left" w:pos="851"/>
        </w:tabs>
        <w:ind w:right="-285"/>
        <w:jc w:val="both"/>
        <w:rPr>
          <w:rFonts w:ascii="Times New Roman" w:eastAsia="Times New Roman" w:hAnsi="Times New Roman" w:cs="Times New Roman"/>
        </w:rPr>
      </w:pPr>
    </w:p>
    <w:p w:rsidR="00A84CEE" w:rsidRDefault="00000000">
      <w:pPr>
        <w:numPr>
          <w:ilvl w:val="0"/>
          <w:numId w:val="2"/>
        </w:num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пациенты не присутствовали на заседании судов по рассмотрению вопроса об их принудительном лечении, а также о продлении их принудительного лечения;</w:t>
      </w:r>
    </w:p>
    <w:p w:rsidR="00A84CEE" w:rsidRDefault="00000000">
      <w:pPr>
        <w:numPr>
          <w:ilvl w:val="0"/>
          <w:numId w:val="2"/>
        </w:num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в решениях судов не указываются сроки лечения, либо указывается формулировка «до полного выздоровления», «по заключению врача», не расписаны правила выписки;</w:t>
      </w:r>
    </w:p>
    <w:p w:rsidR="00A84CEE" w:rsidRDefault="00000000">
      <w:pPr>
        <w:numPr>
          <w:ilvl w:val="0"/>
          <w:numId w:val="2"/>
        </w:num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lastRenderedPageBreak/>
        <w:t>отсутствует механизм обжалований постановлений судов о помещении на/ продлении принудительного лечения. Не имеется практики обжалования решений судов;</w:t>
      </w:r>
    </w:p>
    <w:p w:rsidR="00A84CEE" w:rsidRDefault="00000000">
      <w:pPr>
        <w:numPr>
          <w:ilvl w:val="0"/>
          <w:numId w:val="2"/>
        </w:num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не разработан механизм по обжалованию постановлений судов о помещении лиц на принудительное лечение / продление принудительного лечения, в особенности для лиц, лишенных дееспособности;</w:t>
      </w:r>
    </w:p>
    <w:p w:rsidR="00A84CEE" w:rsidRDefault="00000000">
      <w:pPr>
        <w:numPr>
          <w:ilvl w:val="0"/>
          <w:numId w:val="2"/>
        </w:num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формальное участие адвокатов в рамках бесплатной государственной гарантированной юридической помощи. Адвокаты в основном видят своих подзащитных только на судебном заседании. Такое положение дел приводит к необъективному рассмотрению дел и не позволяет пациентам полноценно реализовать свое право на защиту. Пациенты не информированы о своих правах подачи жалоб и апелляций, а также возможности получения юридической помощи при составлении жалоб, заявлений;</w:t>
      </w:r>
    </w:p>
    <w:p w:rsidR="00A84CEE" w:rsidRDefault="00000000">
      <w:pPr>
        <w:numPr>
          <w:ilvl w:val="0"/>
          <w:numId w:val="2"/>
        </w:num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суды отказывают в переводе на амбулаторное лечение лиц, ранее находившихся на принудительном лечении в психиатрическом стационаре специализированного типа с интенсивным наблюдением</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w:t>
      </w:r>
    </w:p>
    <w:p w:rsidR="00A84CEE" w:rsidRDefault="00A84CEE">
      <w:pPr>
        <w:tabs>
          <w:tab w:val="left" w:pos="851"/>
        </w:tabs>
        <w:ind w:left="720"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Мнение врача об отсутствии социальной опасности со стороны пациента после прохождения лечения и возможности получать дальнейшую помощь в амбулаторном порядке не принимается во внимание судьями. Как правило, судьи обращают внимание на «неотбытый по приговору срок наказания».</w:t>
      </w:r>
    </w:p>
    <w:p w:rsidR="00A84CEE" w:rsidRDefault="00A84CEE">
      <w:pPr>
        <w:tabs>
          <w:tab w:val="left" w:pos="851"/>
        </w:tabs>
        <w:ind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Так при изучении личных дел</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количество решений о продлении принудительного лечения достигало 6-8 единиц. Это означает, что срок принудительного лечения растягивался на 2-3 года. </w:t>
      </w:r>
    </w:p>
    <w:p w:rsidR="00A84CEE" w:rsidRDefault="00A84CEE">
      <w:pPr>
        <w:tabs>
          <w:tab w:val="left" w:pos="851"/>
        </w:tabs>
        <w:ind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Медико-социальные учреждения для лиц с инвалидностью часто отказывают в предоставлении специальных социальных услуг лицам, прошедшим принудительное лечение в стационарах интенсивного наблюдения, совершившим общественно опасные</w:t>
      </w: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 xml:space="preserve">деяния, в частности из психиатрической больницы с. </w:t>
      </w:r>
      <w:proofErr w:type="spellStart"/>
      <w:r>
        <w:rPr>
          <w:rFonts w:ascii="Times New Roman" w:eastAsia="Times New Roman" w:hAnsi="Times New Roman" w:cs="Times New Roman"/>
        </w:rPr>
        <w:t>Актас</w:t>
      </w:r>
      <w:proofErr w:type="spellEnd"/>
      <w:r>
        <w:rPr>
          <w:rFonts w:ascii="Times New Roman" w:eastAsia="Times New Roman" w:hAnsi="Times New Roman" w:cs="Times New Roman"/>
        </w:rPr>
        <w:t xml:space="preserve"> Талгарского района Алматинской области. На практике, данная категория лиц застревает в психиатрических больницах более 5-10 лет.</w:t>
      </w:r>
    </w:p>
    <w:p w:rsidR="00A84CEE" w:rsidRDefault="00A84CEE">
      <w:pPr>
        <w:tabs>
          <w:tab w:val="left" w:pos="851"/>
        </w:tabs>
        <w:ind w:right="-285"/>
        <w:jc w:val="both"/>
        <w:rPr>
          <w:rFonts w:ascii="Times New Roman" w:eastAsia="Times New Roman" w:hAnsi="Times New Roman" w:cs="Times New Roman"/>
        </w:rPr>
      </w:pPr>
    </w:p>
    <w:p w:rsidR="00A84CEE" w:rsidRDefault="00000000">
      <w:pPr>
        <w:ind w:right="-285"/>
        <w:jc w:val="both"/>
        <w:rPr>
          <w:rFonts w:ascii="Times New Roman" w:eastAsia="Times New Roman" w:hAnsi="Times New Roman" w:cs="Times New Roman"/>
          <w:u w:val="single"/>
        </w:rPr>
      </w:pPr>
      <w:r>
        <w:rPr>
          <w:rFonts w:ascii="Times New Roman" w:eastAsia="Times New Roman" w:hAnsi="Times New Roman" w:cs="Times New Roman"/>
          <w:u w:val="single"/>
        </w:rPr>
        <w:t>Право на жизнь</w:t>
      </w:r>
    </w:p>
    <w:p w:rsidR="00A84CEE" w:rsidRDefault="00A84CEE">
      <w:pPr>
        <w:ind w:right="-285"/>
        <w:jc w:val="both"/>
        <w:rPr>
          <w:rFonts w:ascii="Times New Roman" w:eastAsia="Times New Roman" w:hAnsi="Times New Roman" w:cs="Times New Roman"/>
          <w:highlight w:val="yellow"/>
          <w:u w:val="single"/>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Нет данных о смертности детей с инвалидностью по стране в целом, и, например, в закрытых учреждениях. Информация не собирается и не анализируется в масштабах страны.</w:t>
      </w:r>
    </w:p>
    <w:p w:rsidR="00A84CEE" w:rsidRDefault="00A84CEE">
      <w:pPr>
        <w:tabs>
          <w:tab w:val="left" w:pos="851"/>
        </w:tabs>
        <w:ind w:right="-285"/>
        <w:jc w:val="both"/>
        <w:rPr>
          <w:rFonts w:ascii="Times New Roman" w:eastAsia="Times New Roman" w:hAnsi="Times New Roman" w:cs="Times New Roman"/>
        </w:rPr>
      </w:pPr>
    </w:p>
    <w:p w:rsidR="00A84CEE" w:rsidRDefault="00000000">
      <w:pPr>
        <w:tabs>
          <w:tab w:val="left" w:pos="851"/>
        </w:tabs>
        <w:ind w:right="-285"/>
        <w:jc w:val="both"/>
        <w:rPr>
          <w:rFonts w:ascii="Times New Roman" w:eastAsia="Times New Roman" w:hAnsi="Times New Roman" w:cs="Times New Roman"/>
        </w:rPr>
      </w:pPr>
      <w:r>
        <w:rPr>
          <w:rFonts w:ascii="Times New Roman" w:eastAsia="Times New Roman" w:hAnsi="Times New Roman" w:cs="Times New Roman"/>
        </w:rPr>
        <w:t xml:space="preserve">За 2018 год самая высокая смертность наблюдается в Восточно-Казахстанской области – 17 случаев, тогда как в </w:t>
      </w:r>
      <w:proofErr w:type="spellStart"/>
      <w:r>
        <w:rPr>
          <w:rFonts w:ascii="Times New Roman" w:eastAsia="Times New Roman" w:hAnsi="Times New Roman" w:cs="Times New Roman"/>
        </w:rPr>
        <w:t>Мангыстауской</w:t>
      </w:r>
      <w:proofErr w:type="spellEnd"/>
      <w:r>
        <w:rPr>
          <w:rFonts w:ascii="Times New Roman" w:eastAsia="Times New Roman" w:hAnsi="Times New Roman" w:cs="Times New Roman"/>
        </w:rPr>
        <w:t xml:space="preserve"> области ни одного случая за 3 года в период с 2016 по 2018 гг.</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w:t>
      </w:r>
    </w:p>
    <w:p w:rsidR="00A84CEE" w:rsidRDefault="00A84CEE">
      <w:pPr>
        <w:tabs>
          <w:tab w:val="left" w:pos="851"/>
        </w:tabs>
        <w:ind w:right="-285"/>
        <w:jc w:val="both"/>
        <w:rPr>
          <w:rFonts w:ascii="Times New Roman" w:eastAsia="Times New Roman" w:hAnsi="Times New Roman" w:cs="Times New Roman"/>
          <w:i/>
        </w:rPr>
      </w:pPr>
    </w:p>
    <w:p w:rsidR="00A84CEE" w:rsidRDefault="00000000">
      <w:pPr>
        <w:shd w:val="clear" w:color="auto" w:fill="FFFFFF"/>
        <w:spacing w:after="160"/>
        <w:ind w:right="-285"/>
        <w:jc w:val="both"/>
        <w:rPr>
          <w:rFonts w:ascii="Times New Roman" w:eastAsia="Times New Roman" w:hAnsi="Times New Roman" w:cs="Times New Roman"/>
          <w:highlight w:val="yellow"/>
        </w:rPr>
      </w:pPr>
      <w:r>
        <w:rPr>
          <w:rFonts w:ascii="Times New Roman" w:eastAsia="Times New Roman" w:hAnsi="Times New Roman" w:cs="Times New Roman"/>
        </w:rPr>
        <w:t xml:space="preserve">18 мая 2020 г десять воспитанников Аягозского ЦОССУ для детей с психоневрологическими патологиями попали в инфекционную больницу с диагнозом "корь". У нескольких выявили еще и кишечную инфекцию. Четверо детей скончались. Как </w:t>
      </w:r>
      <w:r>
        <w:rPr>
          <w:rFonts w:ascii="Times New Roman" w:eastAsia="Times New Roman" w:hAnsi="Times New Roman" w:cs="Times New Roman"/>
        </w:rPr>
        <w:lastRenderedPageBreak/>
        <w:t>стало известно по итогам судебно</w:t>
      </w:r>
      <w:r>
        <w:rPr>
          <w:rFonts w:ascii="Times New Roman" w:eastAsia="Times New Roman" w:hAnsi="Times New Roman" w:cs="Times New Roman"/>
          <w:highlight w:val="white"/>
        </w:rPr>
        <w:t xml:space="preserve">-медицинской экспертизы с эксгумацией тел, дети скончались от телесных повреждений и </w:t>
      </w:r>
      <w:r>
        <w:rPr>
          <w:rFonts w:ascii="Times New Roman" w:eastAsia="Times New Roman" w:hAnsi="Times New Roman" w:cs="Times New Roman"/>
        </w:rPr>
        <w:t>ушибов головного мозга и переломов черепа</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Интернат после трагедии был комплексно проверен комиссиями и </w:t>
      </w:r>
      <w:r>
        <w:rPr>
          <w:rFonts w:ascii="Times New Roman" w:eastAsia="Times New Roman" w:hAnsi="Times New Roman" w:cs="Times New Roman"/>
          <w:shd w:val="clear" w:color="auto" w:fill="F9F9F9"/>
        </w:rPr>
        <w:t>выявлены огромные нарушения в функционировании данного интерната по всему спектру деятельности и оказания услуг, что влияло на многочисленные системные нарушения прав детей-инвалидов.</w:t>
      </w:r>
    </w:p>
    <w:p w:rsidR="00A84CEE" w:rsidRDefault="00000000">
      <w:pPr>
        <w:tabs>
          <w:tab w:val="left" w:pos="851"/>
        </w:tabs>
        <w:ind w:right="-285"/>
        <w:jc w:val="both"/>
        <w:rPr>
          <w:rFonts w:ascii="Times New Roman" w:eastAsia="Times New Roman" w:hAnsi="Times New Roman" w:cs="Times New Roman"/>
          <w:color w:val="444746"/>
        </w:rPr>
      </w:pPr>
      <w:r>
        <w:rPr>
          <w:rFonts w:ascii="Times New Roman" w:eastAsia="Times New Roman" w:hAnsi="Times New Roman" w:cs="Times New Roman"/>
        </w:rPr>
        <w:t>В Казахстане законодательно разрешено искусственное прерывание беременности при наличии медицинских показаний независимо от срока беременности и сформировавшейся жизнеспособности плода.</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Организации инвалидов и группы родителей детей с инвалидностью отмечают, что в стране сохраняется практика, когда медицинские работники предлагают родителям прервать беременность на ранних сроках при наличии патологии плода. При этом, при принятии решения родителю (родителям) не предусмотрено оказание помощи психолога и получение альтернативного мнения врача. </w:t>
      </w:r>
      <w:r>
        <w:rPr>
          <w:rFonts w:ascii="Times New Roman" w:eastAsia="Times New Roman" w:hAnsi="Times New Roman" w:cs="Times New Roman"/>
          <w:color w:val="444746"/>
        </w:rPr>
        <w:t>Результаты исследования</w:t>
      </w:r>
      <w:r>
        <w:rPr>
          <w:rFonts w:ascii="Times New Roman" w:eastAsia="Times New Roman" w:hAnsi="Times New Roman" w:cs="Times New Roman"/>
          <w:color w:val="444746"/>
          <w:vertAlign w:val="superscript"/>
        </w:rPr>
        <w:footnoteReference w:id="40"/>
      </w:r>
      <w:r>
        <w:rPr>
          <w:rFonts w:ascii="Times New Roman" w:eastAsia="Times New Roman" w:hAnsi="Times New Roman" w:cs="Times New Roman"/>
          <w:color w:val="444746"/>
        </w:rPr>
        <w:t xml:space="preserve"> семей, где родились дети с синдромом </w:t>
      </w:r>
      <w:proofErr w:type="gramStart"/>
      <w:r>
        <w:rPr>
          <w:rFonts w:ascii="Times New Roman" w:eastAsia="Times New Roman" w:hAnsi="Times New Roman" w:cs="Times New Roman"/>
          <w:color w:val="444746"/>
        </w:rPr>
        <w:t>Дауна</w:t>
      </w:r>
      <w:proofErr w:type="gramEnd"/>
      <w:r>
        <w:rPr>
          <w:rFonts w:ascii="Times New Roman" w:eastAsia="Times New Roman" w:hAnsi="Times New Roman" w:cs="Times New Roman"/>
          <w:color w:val="444746"/>
        </w:rPr>
        <w:t xml:space="preserve"> показал, что в тех случаях, когда беременная женщина, проживающая в сельской местности или в малом городе, при выявлении хромосомной патологии на первом этапе беременности направляется в областной центр для проведения второго этапа инвазивной пренатальной диагностики за свой личный счет. Данный вид диагностики имеет высокие риски самопроизвольного прерывания беременности (выкидыши), в крайних случаях смертность женщины. По причине нежелания портить статистику областные больницы стараются направить женщину провести обследование высокого риска в республиканские города. </w:t>
      </w:r>
      <w:proofErr w:type="gramStart"/>
      <w:r>
        <w:rPr>
          <w:rFonts w:ascii="Times New Roman" w:eastAsia="Times New Roman" w:hAnsi="Times New Roman" w:cs="Times New Roman"/>
          <w:color w:val="444746"/>
        </w:rPr>
        <w:t>Кроме того</w:t>
      </w:r>
      <w:proofErr w:type="gramEnd"/>
      <w:r>
        <w:rPr>
          <w:rFonts w:ascii="Times New Roman" w:eastAsia="Times New Roman" w:hAnsi="Times New Roman" w:cs="Times New Roman"/>
          <w:color w:val="444746"/>
        </w:rPr>
        <w:t xml:space="preserve"> опрос родителей новорожденных детей с синдромом Дауна свидетельствует, что пренатальный скрининг не выявил хромосомную патологию во время беременности.</w:t>
      </w:r>
    </w:p>
    <w:p w:rsidR="00A84CEE" w:rsidRDefault="00A84CEE">
      <w:pPr>
        <w:tabs>
          <w:tab w:val="left" w:pos="851"/>
        </w:tabs>
        <w:ind w:right="-285"/>
        <w:jc w:val="both"/>
        <w:rPr>
          <w:rFonts w:ascii="Times New Roman" w:eastAsia="Times New Roman" w:hAnsi="Times New Roman" w:cs="Times New Roman"/>
        </w:rPr>
      </w:pPr>
    </w:p>
    <w:p w:rsidR="00A84CEE" w:rsidRDefault="00000000">
      <w:pPr>
        <w:pBdr>
          <w:bottom w:val="single" w:sz="4" w:space="1" w:color="000000"/>
        </w:pBdr>
        <w:shd w:val="clear" w:color="auto" w:fill="FFFFFF"/>
        <w:spacing w:after="160"/>
        <w:ind w:right="-285"/>
        <w:jc w:val="both"/>
        <w:rPr>
          <w:rFonts w:ascii="Times New Roman" w:eastAsia="Times New Roman" w:hAnsi="Times New Roman" w:cs="Times New Roman"/>
          <w:b/>
        </w:rPr>
      </w:pPr>
      <w:r>
        <w:rPr>
          <w:rFonts w:ascii="Times New Roman" w:eastAsia="Times New Roman" w:hAnsi="Times New Roman" w:cs="Times New Roman"/>
          <w:b/>
        </w:rPr>
        <w:t>РЕКОМЕНДАЦИИ:</w:t>
      </w:r>
    </w:p>
    <w:p w:rsidR="00A84CEE" w:rsidRDefault="00000000">
      <w:pPr>
        <w:numPr>
          <w:ilvl w:val="0"/>
          <w:numId w:val="1"/>
        </w:numPr>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Отменить положения, которые позволяют производить недобровольное помещение людей с инвалидностью в психиатрические заведения на основании реального или воспринимаемого расстройства. Оказание медицинской помощи на основании свободного и информированного согласия пациента.</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Разработать механизм обжалования постановлений суда о помещении лиц на принудительное лечение/продление принудительного лечения.</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Принять закон о психиатрической помощи, регулирующий вопросы принудительной госпитализации недееспособных лиц, процедуры оспаривания в судебном порядке законность их госпитализации.</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Разработать правила помещения лиц в кризисные комнаты во взрослых Центрах оказания специальных социальных услуг. Рассмотреть возможность полной ликвидации подобных закрытых комнат длительной изоляции.</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Принимать эффективные меры по снижению количества госпитализаций получателей услуг в медицинские психиатрические учреждения.</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 xml:space="preserve">Разработать официальную стратегию </w:t>
      </w:r>
      <w:proofErr w:type="spellStart"/>
      <w:r>
        <w:rPr>
          <w:rFonts w:ascii="Times New Roman" w:eastAsia="Times New Roman" w:hAnsi="Times New Roman" w:cs="Times New Roman"/>
        </w:rPr>
        <w:t>деинституализации</w:t>
      </w:r>
      <w:proofErr w:type="spellEnd"/>
      <w:r>
        <w:rPr>
          <w:rFonts w:ascii="Times New Roman" w:eastAsia="Times New Roman" w:hAnsi="Times New Roman" w:cs="Times New Roman"/>
        </w:rPr>
        <w:t xml:space="preserve">. Утвердить дорожную карту по внедрению в Казахстане </w:t>
      </w:r>
      <w:proofErr w:type="spellStart"/>
      <w:r>
        <w:rPr>
          <w:rFonts w:ascii="Times New Roman" w:eastAsia="Times New Roman" w:hAnsi="Times New Roman" w:cs="Times New Roman"/>
        </w:rPr>
        <w:t>стационарозамещающих</w:t>
      </w:r>
      <w:proofErr w:type="spellEnd"/>
      <w:r>
        <w:rPr>
          <w:rFonts w:ascii="Times New Roman" w:eastAsia="Times New Roman" w:hAnsi="Times New Roman" w:cs="Times New Roman"/>
        </w:rPr>
        <w:t xml:space="preserve"> технологий для граждан с </w:t>
      </w:r>
      <w:r>
        <w:rPr>
          <w:rFonts w:ascii="Times New Roman" w:eastAsia="Times New Roman" w:hAnsi="Times New Roman" w:cs="Times New Roman"/>
        </w:rPr>
        <w:lastRenderedPageBreak/>
        <w:t>психическими расстройствами, которая будет направлена на развитие института приемных семей, получение образования и трудоустройства данной категории граждан.</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Ввести мораторий на помещение новых пациентов в специализированные учреждения и перераспределить имеющиеся ресурсы, выделенные учреждениям интернатного типа, направив их на предоставление услуг по оказанию помощи на уровне местного сообщества.</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Содействовать проработке мер социальной и финансовой поддержки с целью стимулирования родственного ухода за гражданами, страдающими психическими расстройствами.</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Инициировать мультидисциплинарную проверку детских и взрослых Центров оказания специальных социальных услуг на предмет предупреждения жестокого обращения, оказания качественной медицинской помощи получателям услуг.</w:t>
      </w:r>
    </w:p>
    <w:p w:rsidR="00A84CEE" w:rsidRDefault="00000000">
      <w:pPr>
        <w:numPr>
          <w:ilvl w:val="0"/>
          <w:numId w:val="1"/>
        </w:numPr>
        <w:tabs>
          <w:tab w:val="left" w:pos="851"/>
        </w:tabs>
        <w:spacing w:before="120" w:after="120"/>
        <w:ind w:left="426" w:right="-284" w:hanging="426"/>
        <w:jc w:val="both"/>
        <w:rPr>
          <w:rFonts w:ascii="Times New Roman" w:eastAsia="Times New Roman" w:hAnsi="Times New Roman" w:cs="Times New Roman"/>
        </w:rPr>
      </w:pPr>
      <w:r>
        <w:rPr>
          <w:rFonts w:ascii="Times New Roman" w:eastAsia="Times New Roman" w:hAnsi="Times New Roman" w:cs="Times New Roman"/>
        </w:rPr>
        <w:t>Проводить работу с многопрофильными медицинскими и социальными учреждениями по снижению стигмы и дискриминации в отношении лиц с психическими заболеваниями.</w:t>
      </w:r>
    </w:p>
    <w:p w:rsidR="00A84CEE" w:rsidRDefault="00A84CEE">
      <w:pPr>
        <w:ind w:right="-285"/>
        <w:jc w:val="both"/>
        <w:rPr>
          <w:rFonts w:ascii="Times New Roman" w:eastAsia="Times New Roman" w:hAnsi="Times New Roman" w:cs="Times New Roman"/>
        </w:rPr>
      </w:pPr>
    </w:p>
    <w:p w:rsidR="00A84CEE" w:rsidRDefault="00A84CEE">
      <w:pPr>
        <w:ind w:right="-285"/>
        <w:jc w:val="both"/>
        <w:rPr>
          <w:rFonts w:ascii="Times New Roman" w:eastAsia="Times New Roman" w:hAnsi="Times New Roman" w:cs="Times New Roman"/>
        </w:rPr>
      </w:pPr>
    </w:p>
    <w:p w:rsidR="00A84CEE" w:rsidRDefault="00A84CEE">
      <w:pPr>
        <w:ind w:right="-285"/>
        <w:jc w:val="both"/>
        <w:rPr>
          <w:rFonts w:ascii="Times New Roman" w:eastAsia="Times New Roman" w:hAnsi="Times New Roman" w:cs="Times New Roman"/>
        </w:rPr>
      </w:pPr>
    </w:p>
    <w:p w:rsidR="00A84CEE" w:rsidRDefault="00A84CEE">
      <w:pPr>
        <w:ind w:right="-285"/>
        <w:jc w:val="both"/>
        <w:rPr>
          <w:rFonts w:ascii="Times New Roman" w:eastAsia="Times New Roman" w:hAnsi="Times New Roman" w:cs="Times New Roman"/>
          <w:highlight w:val="yellow"/>
          <w:u w:val="single"/>
        </w:rPr>
      </w:pPr>
    </w:p>
    <w:sectPr w:rsidR="00A84CEE" w:rsidSect="00A127E3">
      <w:footerReference w:type="even" r:id="rId10"/>
      <w:footerReference w:type="default" r:id="rId11"/>
      <w:headerReference w:type="first" r:id="rId12"/>
      <w:pgSz w:w="11906" w:h="16838"/>
      <w:pgMar w:top="1440" w:right="1399"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149E" w:rsidRDefault="00D2149E">
      <w:r>
        <w:separator/>
      </w:r>
    </w:p>
  </w:endnote>
  <w:endnote w:type="continuationSeparator" w:id="0">
    <w:p w:rsidR="00D2149E" w:rsidRDefault="00D21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4CEE"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rsidR="00A84CEE" w:rsidRDefault="00A84CEE">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4CEE"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A127E3">
      <w:rPr>
        <w:noProof/>
        <w:color w:val="000000"/>
      </w:rPr>
      <w:t>1</w:t>
    </w:r>
    <w:r>
      <w:rPr>
        <w:color w:val="000000"/>
      </w:rPr>
      <w:fldChar w:fldCharType="end"/>
    </w:r>
  </w:p>
  <w:p w:rsidR="00A84CEE" w:rsidRDefault="00A84CEE">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149E" w:rsidRDefault="00D2149E">
      <w:r>
        <w:separator/>
      </w:r>
    </w:p>
  </w:footnote>
  <w:footnote w:type="continuationSeparator" w:id="0">
    <w:p w:rsidR="00D2149E" w:rsidRDefault="00D2149E">
      <w:r>
        <w:continuationSeparator/>
      </w:r>
    </w:p>
  </w:footnote>
  <w:footnote w:id="1">
    <w:p w:rsidR="00A84CEE" w:rsidRDefault="00000000">
      <w:pPr>
        <w:pBdr>
          <w:top w:val="nil"/>
          <w:left w:val="nil"/>
          <w:bottom w:val="nil"/>
          <w:right w:val="nil"/>
          <w:between w:val="nil"/>
        </w:pBdr>
        <w:rPr>
          <w:b/>
          <w:color w:val="000000"/>
          <w:sz w:val="20"/>
          <w:szCs w:val="20"/>
        </w:rPr>
      </w:pPr>
      <w:r>
        <w:rPr>
          <w:rStyle w:val="a6"/>
        </w:rPr>
        <w:footnoteRef/>
      </w:r>
      <w:r>
        <w:rPr>
          <w:color w:val="000000"/>
          <w:sz w:val="20"/>
          <w:szCs w:val="20"/>
        </w:rPr>
        <w:t xml:space="preserve"> </w:t>
      </w:r>
      <w:r>
        <w:rPr>
          <w:b/>
          <w:color w:val="000000"/>
          <w:sz w:val="20"/>
          <w:szCs w:val="20"/>
        </w:rPr>
        <w:t xml:space="preserve">Айгуль </w:t>
      </w:r>
      <w:proofErr w:type="spellStart"/>
      <w:r>
        <w:rPr>
          <w:b/>
          <w:color w:val="000000"/>
          <w:sz w:val="20"/>
          <w:szCs w:val="20"/>
        </w:rPr>
        <w:t>Шакибаева</w:t>
      </w:r>
      <w:proofErr w:type="spellEnd"/>
      <w:r>
        <w:rPr>
          <w:b/>
          <w:color w:val="000000"/>
          <w:sz w:val="20"/>
          <w:szCs w:val="20"/>
        </w:rPr>
        <w:t xml:space="preserve"> </w:t>
      </w:r>
      <w:hyperlink r:id="rId1">
        <w:r>
          <w:rPr>
            <w:b/>
            <w:color w:val="0000FF"/>
            <w:sz w:val="20"/>
            <w:szCs w:val="20"/>
            <w:u w:val="single"/>
          </w:rPr>
          <w:t>shakibaevaaigul83@gmail.com</w:t>
        </w:r>
      </w:hyperlink>
      <w:r>
        <w:rPr>
          <w:b/>
          <w:color w:val="000000"/>
          <w:sz w:val="20"/>
          <w:szCs w:val="20"/>
        </w:rPr>
        <w:t>, +7 747 432 6270 (GMT+6)</w:t>
      </w:r>
    </w:p>
  </w:footnote>
  <w:footnote w:id="2">
    <w:p w:rsidR="00A84CEE" w:rsidRDefault="00000000">
      <w:pPr>
        <w:rPr>
          <w:sz w:val="20"/>
          <w:szCs w:val="20"/>
        </w:rPr>
      </w:pPr>
      <w:r>
        <w:rPr>
          <w:rStyle w:val="a6"/>
        </w:rPr>
        <w:footnoteRef/>
      </w:r>
      <w:r>
        <w:t xml:space="preserve"> </w:t>
      </w:r>
      <w:r>
        <w:rPr>
          <w:sz w:val="20"/>
          <w:szCs w:val="20"/>
        </w:rPr>
        <w:t>По данным на 2023 год</w:t>
      </w:r>
    </w:p>
  </w:footnote>
  <w:footnote w:id="3">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Пункт 5, Статья 155 Социальный кодекс Республики Казахстан (2023) </w:t>
      </w:r>
    </w:p>
  </w:footnote>
  <w:footnote w:id="4">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По данным на 2022 год</w:t>
      </w:r>
    </w:p>
  </w:footnote>
  <w:footnote w:id="5">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 ниже</w:t>
      </w:r>
      <w:r>
        <w:rPr>
          <w:color w:val="000000"/>
          <w:sz w:val="20"/>
          <w:szCs w:val="20"/>
        </w:rPr>
        <w:t>, стр. 21</w:t>
      </w:r>
    </w:p>
  </w:footnote>
  <w:footnote w:id="6">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 ниже</w:t>
      </w:r>
      <w:r>
        <w:rPr>
          <w:color w:val="000000"/>
          <w:sz w:val="20"/>
          <w:szCs w:val="20"/>
        </w:rPr>
        <w:t>, стр. 19</w:t>
      </w:r>
    </w:p>
  </w:footnote>
  <w:footnote w:id="7">
    <w:p w:rsidR="00A84CEE" w:rsidRDefault="00000000">
      <w:pPr>
        <w:pBdr>
          <w:top w:val="nil"/>
          <w:left w:val="nil"/>
          <w:bottom w:val="nil"/>
          <w:right w:val="nil"/>
          <w:between w:val="nil"/>
        </w:pBdr>
        <w:jc w:val="both"/>
        <w:rPr>
          <w:color w:val="000000"/>
          <w:sz w:val="20"/>
          <w:szCs w:val="20"/>
        </w:rPr>
      </w:pPr>
      <w:r>
        <w:rPr>
          <w:rStyle w:val="a6"/>
        </w:rPr>
        <w:footnoteRef/>
      </w:r>
      <w:r>
        <w:rPr>
          <w:color w:val="000000"/>
          <w:sz w:val="20"/>
          <w:szCs w:val="20"/>
        </w:rPr>
        <w:t xml:space="preserve"> Исследование проводилось в 2019-2020 гг. автором настоящего доклада, независимым экспертом Айгуль </w:t>
      </w:r>
      <w:proofErr w:type="spellStart"/>
      <w:r>
        <w:rPr>
          <w:color w:val="000000"/>
          <w:sz w:val="20"/>
          <w:szCs w:val="20"/>
        </w:rPr>
        <w:t>Шакибаевой</w:t>
      </w:r>
      <w:proofErr w:type="spellEnd"/>
      <w:r>
        <w:rPr>
          <w:color w:val="000000"/>
          <w:sz w:val="20"/>
          <w:szCs w:val="20"/>
        </w:rPr>
        <w:t xml:space="preserve"> в рамках проекта «Мониторинг законодательства и существующей правоприменительной практики в отношении прав лиц с психическими расстройствами» при содействии аппарата Уполномоченного по правам человека в Республике Казахстан (Национального центра по правам человека) и финансовой поддержке офиса программ ОБСЕ в Астане.</w:t>
      </w:r>
    </w:p>
  </w:footnote>
  <w:footnote w:id="8">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 стр. 9</w:t>
      </w:r>
    </w:p>
  </w:footnote>
  <w:footnote w:id="9">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 стр. 13</w:t>
      </w:r>
    </w:p>
  </w:footnote>
  <w:footnote w:id="10">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 стр. 14</w:t>
      </w:r>
    </w:p>
  </w:footnote>
  <w:footnote w:id="11">
    <w:p w:rsidR="00A84CEE" w:rsidRDefault="00000000">
      <w:pPr>
        <w:pBdr>
          <w:top w:val="nil"/>
          <w:left w:val="nil"/>
          <w:bottom w:val="nil"/>
          <w:right w:val="nil"/>
          <w:between w:val="nil"/>
        </w:pBdr>
        <w:jc w:val="both"/>
        <w:rPr>
          <w:color w:val="000000"/>
          <w:sz w:val="20"/>
          <w:szCs w:val="20"/>
        </w:rPr>
      </w:pPr>
      <w:r>
        <w:rPr>
          <w:rStyle w:val="a6"/>
        </w:rPr>
        <w:footnoteRef/>
      </w:r>
      <w:r>
        <w:rPr>
          <w:color w:val="000000"/>
          <w:sz w:val="20"/>
          <w:szCs w:val="20"/>
        </w:rPr>
        <w:t xml:space="preserve"> Пункт 4, Статья 122 Кодекса Республики Казахстан о браке (супружестве) и семье (2011) </w:t>
      </w:r>
    </w:p>
  </w:footnote>
  <w:footnote w:id="12">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13</w:t>
      </w:r>
    </w:p>
  </w:footnote>
  <w:footnote w:id="13">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14</w:t>
      </w:r>
    </w:p>
  </w:footnote>
  <w:footnote w:id="14">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15</w:t>
      </w:r>
    </w:p>
  </w:footnote>
  <w:footnote w:id="15">
    <w:p w:rsidR="00A84CEE" w:rsidRDefault="00000000">
      <w:pPr>
        <w:jc w:val="both"/>
        <w:rPr>
          <w:rFonts w:ascii="Times New Roman" w:eastAsia="Times New Roman" w:hAnsi="Times New Roman" w:cs="Times New Roman"/>
          <w:sz w:val="20"/>
          <w:szCs w:val="20"/>
        </w:rPr>
      </w:pPr>
      <w:r>
        <w:rPr>
          <w:rStyle w:val="a6"/>
        </w:rPr>
        <w:footnoteRef/>
      </w:r>
      <w:r>
        <w:rPr>
          <w:rFonts w:ascii="Times New Roman" w:eastAsia="Times New Roman" w:hAnsi="Times New Roman" w:cs="Times New Roman"/>
          <w:sz w:val="20"/>
          <w:szCs w:val="20"/>
        </w:rPr>
        <w:t xml:space="preserve"> См. Консолидированный доклад участников Национального превентивного механизма по итогам посещений, выполненных в 2019-2020 гг.</w:t>
      </w:r>
    </w:p>
  </w:footnote>
  <w:footnote w:id="16">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32</w:t>
      </w:r>
    </w:p>
  </w:footnote>
  <w:footnote w:id="17">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w:t>
      </w:r>
    </w:p>
  </w:footnote>
  <w:footnote w:id="18">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Восточный Казахстан</w:t>
      </w:r>
    </w:p>
  </w:footnote>
  <w:footnote w:id="19">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33</w:t>
      </w:r>
    </w:p>
  </w:footnote>
  <w:footnote w:id="20">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w:t>
      </w:r>
    </w:p>
  </w:footnote>
  <w:footnote w:id="21">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w:t>
      </w:r>
    </w:p>
  </w:footnote>
  <w:footnote w:id="22">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37</w:t>
      </w:r>
    </w:p>
  </w:footnote>
  <w:footnote w:id="23">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39-40</w:t>
      </w:r>
    </w:p>
  </w:footnote>
  <w:footnote w:id="24">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38</w:t>
      </w:r>
    </w:p>
  </w:footnote>
  <w:footnote w:id="25">
    <w:p w:rsidR="00A84CEE" w:rsidRDefault="00000000">
      <w:pPr>
        <w:rPr>
          <w:sz w:val="20"/>
          <w:szCs w:val="20"/>
        </w:rPr>
      </w:pPr>
      <w:r>
        <w:rPr>
          <w:rStyle w:val="a6"/>
        </w:rPr>
        <w:footnoteRef/>
      </w:r>
      <w:r>
        <w:rPr>
          <w:sz w:val="20"/>
          <w:szCs w:val="20"/>
        </w:rPr>
        <w:t xml:space="preserve"> Согласно пункту 6 Приказа Заместителя Премьер-Министра - Министра труда и социальной защиты населения Республики Казахстан от 22 июня 2023 года № 230 “Об утверждении Правил деятельности организаций, оказывающих специальные социальные услуги”.</w:t>
      </w:r>
    </w:p>
  </w:footnote>
  <w:footnote w:id="26">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См. </w:t>
      </w:r>
      <w:r>
        <w:rPr>
          <w:sz w:val="20"/>
          <w:szCs w:val="20"/>
        </w:rPr>
        <w:t>7</w:t>
      </w:r>
      <w:r>
        <w:rPr>
          <w:color w:val="000000"/>
          <w:sz w:val="20"/>
          <w:szCs w:val="20"/>
        </w:rPr>
        <w:t>, стр. 39</w:t>
      </w:r>
    </w:p>
  </w:footnote>
  <w:footnote w:id="27">
    <w:p w:rsidR="00A84CEE" w:rsidRDefault="00000000">
      <w:pPr>
        <w:jc w:val="both"/>
        <w:rPr>
          <w:sz w:val="20"/>
          <w:szCs w:val="20"/>
        </w:rPr>
      </w:pPr>
      <w:r>
        <w:rPr>
          <w:rStyle w:val="a6"/>
        </w:rPr>
        <w:footnoteRef/>
      </w:r>
      <w:r>
        <w:t xml:space="preserve"> </w:t>
      </w:r>
      <w:r>
        <w:rPr>
          <w:sz w:val="20"/>
          <w:szCs w:val="20"/>
        </w:rPr>
        <w:t xml:space="preserve">Гульжан </w:t>
      </w:r>
      <w:proofErr w:type="spellStart"/>
      <w:r>
        <w:rPr>
          <w:sz w:val="20"/>
          <w:szCs w:val="20"/>
        </w:rPr>
        <w:t>Амангельдинова</w:t>
      </w:r>
      <w:proofErr w:type="spellEnd"/>
      <w:r>
        <w:rPr>
          <w:sz w:val="20"/>
          <w:szCs w:val="20"/>
        </w:rPr>
        <w:t>, исследование «Реализация права на юридическую помощь недееспособными лицами с психическими заболеваниями», в рамках Стипендиального проекта Фонда Сорос-Казахстан «Новое поколение правозащитников», 2018, г. Алматы, Казахстан</w:t>
      </w:r>
    </w:p>
  </w:footnote>
  <w:footnote w:id="28">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 стр. 14</w:t>
      </w:r>
    </w:p>
  </w:footnote>
  <w:footnote w:id="29">
    <w:p w:rsidR="00A84CEE" w:rsidRDefault="00000000">
      <w:pPr>
        <w:pBdr>
          <w:top w:val="nil"/>
          <w:left w:val="nil"/>
          <w:bottom w:val="nil"/>
          <w:right w:val="nil"/>
          <w:between w:val="nil"/>
        </w:pBdr>
        <w:rPr>
          <w:color w:val="000000"/>
          <w:sz w:val="20"/>
          <w:szCs w:val="20"/>
        </w:rPr>
      </w:pPr>
      <w:r>
        <w:rPr>
          <w:rStyle w:val="a6"/>
        </w:rPr>
        <w:footnoteRef/>
      </w:r>
      <w:r>
        <w:rPr>
          <w:color w:val="000000"/>
          <w:sz w:val="20"/>
          <w:szCs w:val="20"/>
        </w:rPr>
        <w:t xml:space="preserve"> Там же, стр. 16-17</w:t>
      </w:r>
    </w:p>
  </w:footnote>
  <w:footnote w:id="30">
    <w:p w:rsidR="00A84CEE" w:rsidRDefault="00000000">
      <w:pPr>
        <w:rPr>
          <w:sz w:val="20"/>
          <w:szCs w:val="20"/>
        </w:rPr>
      </w:pPr>
      <w:r>
        <w:rPr>
          <w:rStyle w:val="a6"/>
        </w:rPr>
        <w:footnoteRef/>
      </w:r>
      <w:r>
        <w:rPr>
          <w:sz w:val="20"/>
          <w:szCs w:val="20"/>
        </w:rPr>
        <w:t xml:space="preserve"> Там же, стр.48</w:t>
      </w:r>
    </w:p>
  </w:footnote>
  <w:footnote w:id="31">
    <w:p w:rsidR="00A84CEE" w:rsidRDefault="00000000">
      <w:pPr>
        <w:rPr>
          <w:sz w:val="20"/>
          <w:szCs w:val="20"/>
        </w:rPr>
      </w:pPr>
      <w:r>
        <w:rPr>
          <w:rStyle w:val="a6"/>
        </w:rPr>
        <w:footnoteRef/>
      </w:r>
      <w:r>
        <w:rPr>
          <w:sz w:val="20"/>
          <w:szCs w:val="20"/>
        </w:rPr>
        <w:t xml:space="preserve"> Там же, стр.49</w:t>
      </w:r>
    </w:p>
  </w:footnote>
  <w:footnote w:id="32">
    <w:p w:rsidR="00A84CEE" w:rsidRDefault="00000000">
      <w:pPr>
        <w:rPr>
          <w:rFonts w:ascii="Times New Roman" w:eastAsia="Times New Roman" w:hAnsi="Times New Roman" w:cs="Times New Roman"/>
          <w:sz w:val="20"/>
          <w:szCs w:val="20"/>
        </w:rPr>
      </w:pPr>
      <w:r>
        <w:rPr>
          <w:rStyle w:val="a6"/>
        </w:rPr>
        <w:footnoteRef/>
      </w:r>
      <w:r>
        <w:rPr>
          <w:rFonts w:ascii="Times New Roman" w:eastAsia="Times New Roman" w:hAnsi="Times New Roman" w:cs="Times New Roman"/>
          <w:sz w:val="20"/>
          <w:szCs w:val="20"/>
        </w:rPr>
        <w:t xml:space="preserve"> Ст.169, 170 Кодекса РК “О здоровье народа и системе здравоохранения”.</w:t>
      </w:r>
    </w:p>
  </w:footnote>
  <w:footnote w:id="33">
    <w:p w:rsidR="00A84CEE" w:rsidRDefault="00000000">
      <w:pPr>
        <w:rPr>
          <w:sz w:val="20"/>
          <w:szCs w:val="20"/>
        </w:rPr>
      </w:pPr>
      <w:r>
        <w:rPr>
          <w:rStyle w:val="a6"/>
        </w:rPr>
        <w:footnoteRef/>
      </w:r>
      <w:r>
        <w:rPr>
          <w:rFonts w:ascii="Times New Roman" w:eastAsia="Times New Roman" w:hAnsi="Times New Roman" w:cs="Times New Roman"/>
          <w:sz w:val="20"/>
          <w:szCs w:val="20"/>
        </w:rPr>
        <w:t xml:space="preserve"> См., стр. 51</w:t>
      </w:r>
      <w:r>
        <w:rPr>
          <w:sz w:val="20"/>
          <w:szCs w:val="20"/>
        </w:rPr>
        <w:t>.</w:t>
      </w:r>
    </w:p>
  </w:footnote>
  <w:footnote w:id="34">
    <w:p w:rsidR="00A84CEE" w:rsidRDefault="00000000">
      <w:pPr>
        <w:rPr>
          <w:rFonts w:ascii="Times New Roman" w:eastAsia="Times New Roman" w:hAnsi="Times New Roman" w:cs="Times New Roman"/>
          <w:sz w:val="20"/>
          <w:szCs w:val="20"/>
        </w:rPr>
      </w:pPr>
      <w:r>
        <w:rPr>
          <w:rStyle w:val="a6"/>
        </w:rPr>
        <w:footnoteRef/>
      </w:r>
      <w:r>
        <w:rPr>
          <w:sz w:val="20"/>
          <w:szCs w:val="20"/>
        </w:rPr>
        <w:t xml:space="preserve"> </w:t>
      </w:r>
      <w:r>
        <w:rPr>
          <w:rFonts w:ascii="Times New Roman" w:eastAsia="Times New Roman" w:hAnsi="Times New Roman" w:cs="Times New Roman"/>
          <w:sz w:val="20"/>
          <w:szCs w:val="20"/>
        </w:rPr>
        <w:t>Согласно ответу Министерства здравоохранения РК и Республиканского научно-практического</w:t>
      </w:r>
    </w:p>
    <w:p w:rsidR="00A84CEE" w:rsidRDefault="00000000">
      <w:pPr>
        <w:tabs>
          <w:tab w:val="left" w:pos="851"/>
        </w:tabs>
        <w:ind w:right="-28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центра психического здоровья за исх. No 05-5-5/2609 от 28.02.2019</w:t>
      </w:r>
    </w:p>
  </w:footnote>
  <w:footnote w:id="35">
    <w:p w:rsidR="00A84CEE" w:rsidRDefault="00000000">
      <w:pPr>
        <w:rPr>
          <w:sz w:val="20"/>
          <w:szCs w:val="20"/>
        </w:rPr>
      </w:pPr>
      <w:r>
        <w:rPr>
          <w:rStyle w:val="a6"/>
        </w:rPr>
        <w:footnoteRef/>
      </w:r>
      <w:r>
        <w:rPr>
          <w:sz w:val="20"/>
          <w:szCs w:val="20"/>
        </w:rPr>
        <w:t xml:space="preserve"> См. 7, стр.52.</w:t>
      </w:r>
    </w:p>
  </w:footnote>
  <w:footnote w:id="36">
    <w:p w:rsidR="00A84CEE" w:rsidRDefault="00000000">
      <w:pPr>
        <w:rPr>
          <w:sz w:val="20"/>
          <w:szCs w:val="20"/>
        </w:rPr>
      </w:pPr>
      <w:r>
        <w:rPr>
          <w:rStyle w:val="a6"/>
        </w:rPr>
        <w:footnoteRef/>
      </w:r>
      <w:r>
        <w:rPr>
          <w:sz w:val="20"/>
          <w:szCs w:val="20"/>
        </w:rPr>
        <w:t xml:space="preserve"> Там же </w:t>
      </w:r>
    </w:p>
  </w:footnote>
  <w:footnote w:id="37">
    <w:p w:rsidR="00A84CEE" w:rsidRDefault="00000000">
      <w:pPr>
        <w:rPr>
          <w:sz w:val="20"/>
          <w:szCs w:val="20"/>
        </w:rPr>
      </w:pPr>
      <w:r>
        <w:rPr>
          <w:rStyle w:val="a6"/>
        </w:rPr>
        <w:footnoteRef/>
      </w:r>
      <w:r>
        <w:rPr>
          <w:sz w:val="20"/>
          <w:szCs w:val="20"/>
        </w:rPr>
        <w:t xml:space="preserve"> Там же, стр. 49 </w:t>
      </w:r>
    </w:p>
  </w:footnote>
  <w:footnote w:id="38">
    <w:p w:rsidR="00A84CEE" w:rsidRDefault="00000000">
      <w:pPr>
        <w:rPr>
          <w:sz w:val="20"/>
          <w:szCs w:val="20"/>
        </w:rPr>
      </w:pPr>
      <w:r>
        <w:rPr>
          <w:rStyle w:val="a6"/>
        </w:rPr>
        <w:footnoteRef/>
      </w:r>
      <w:r>
        <w:rPr>
          <w:sz w:val="20"/>
          <w:szCs w:val="20"/>
        </w:rPr>
        <w:t xml:space="preserve"> </w:t>
      </w:r>
      <w:hyperlink r:id="rId2">
        <w:r>
          <w:rPr>
            <w:color w:val="1155CC"/>
            <w:sz w:val="20"/>
            <w:szCs w:val="20"/>
            <w:u w:val="single"/>
          </w:rPr>
          <w:t>https://ru.sputnik.kz/20201124/smert-deti-internat-ayagoz-15561977.html</w:t>
        </w:r>
      </w:hyperlink>
    </w:p>
    <w:p w:rsidR="00A84CEE" w:rsidRDefault="00A84CEE">
      <w:pPr>
        <w:rPr>
          <w:sz w:val="20"/>
          <w:szCs w:val="20"/>
        </w:rPr>
      </w:pPr>
    </w:p>
  </w:footnote>
  <w:footnote w:id="39">
    <w:p w:rsidR="00A84CEE" w:rsidRDefault="00000000">
      <w:pPr>
        <w:rPr>
          <w:sz w:val="20"/>
          <w:szCs w:val="20"/>
        </w:rPr>
      </w:pPr>
      <w:r>
        <w:rPr>
          <w:rStyle w:val="a6"/>
        </w:rPr>
        <w:footnoteRef/>
      </w:r>
      <w:r>
        <w:rPr>
          <w:sz w:val="20"/>
          <w:szCs w:val="20"/>
        </w:rPr>
        <w:t xml:space="preserve"> Ст.104 Кодекса РК "О здоровье народа и системе здравоохранения"</w:t>
      </w:r>
    </w:p>
  </w:footnote>
  <w:footnote w:id="40">
    <w:p w:rsidR="00A84CEE" w:rsidRDefault="00000000">
      <w:pPr>
        <w:rPr>
          <w:sz w:val="20"/>
          <w:szCs w:val="20"/>
        </w:rPr>
      </w:pPr>
      <w:r>
        <w:rPr>
          <w:rStyle w:val="a6"/>
        </w:rPr>
        <w:footnoteRef/>
      </w:r>
      <w:r>
        <w:rPr>
          <w:sz w:val="20"/>
          <w:szCs w:val="20"/>
        </w:rPr>
        <w:t xml:space="preserve"> </w:t>
      </w:r>
      <w:hyperlink r:id="rId3">
        <w:r>
          <w:rPr>
            <w:color w:val="1155CC"/>
            <w:sz w:val="20"/>
            <w:szCs w:val="20"/>
            <w:u w:val="single"/>
          </w:rPr>
          <w:t xml:space="preserve">Врачебная этика как фактор </w:t>
        </w:r>
        <w:proofErr w:type="spellStart"/>
        <w:r>
          <w:rPr>
            <w:color w:val="1155CC"/>
            <w:sz w:val="20"/>
            <w:szCs w:val="20"/>
            <w:u w:val="single"/>
          </w:rPr>
          <w:t>институализации</w:t>
        </w:r>
        <w:proofErr w:type="spellEnd"/>
        <w:r>
          <w:rPr>
            <w:color w:val="1155CC"/>
            <w:sz w:val="20"/>
            <w:szCs w:val="20"/>
            <w:u w:val="single"/>
          </w:rPr>
          <w:t xml:space="preserve"> детей с особыми нуждами. </w:t>
        </w:r>
        <w:proofErr w:type="spellStart"/>
        <w:r>
          <w:rPr>
            <w:color w:val="1155CC"/>
            <w:sz w:val="20"/>
            <w:szCs w:val="20"/>
            <w:u w:val="single"/>
          </w:rPr>
          <w:t>Джаксылыков</w:t>
        </w:r>
        <w:proofErr w:type="spellEnd"/>
        <w:r>
          <w:rPr>
            <w:color w:val="1155CC"/>
            <w:sz w:val="20"/>
            <w:szCs w:val="20"/>
            <w:u w:val="single"/>
          </w:rPr>
          <w:t xml:space="preserve"> С, </w:t>
        </w:r>
        <w:proofErr w:type="spellStart"/>
        <w:r>
          <w:rPr>
            <w:color w:val="1155CC"/>
            <w:sz w:val="20"/>
            <w:szCs w:val="20"/>
            <w:u w:val="single"/>
          </w:rPr>
          <w:t>Шакибаева</w:t>
        </w:r>
        <w:proofErr w:type="spellEnd"/>
        <w:r>
          <w:rPr>
            <w:color w:val="1155CC"/>
            <w:sz w:val="20"/>
            <w:szCs w:val="20"/>
            <w:u w:val="single"/>
          </w:rPr>
          <w:t xml:space="preserve"> А., 2019г.</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127E3" w:rsidRPr="00A127E3" w:rsidRDefault="00A127E3" w:rsidP="00A127E3">
    <w:pPr>
      <w:jc w:val="both"/>
      <w:rPr>
        <w:rFonts w:ascii="Times New Roman" w:hAnsi="Times New Roman"/>
        <w:b/>
        <w:lang w:val="kk-KZ"/>
      </w:rPr>
    </w:pPr>
    <w:r w:rsidRPr="00C73878">
      <w:rPr>
        <w:rFonts w:ascii="Times New Roman" w:hAnsi="Times New Roman"/>
        <w:b/>
        <w:lang w:val="kk-KZ"/>
      </w:rPr>
      <w:t xml:space="preserve">В </w:t>
    </w:r>
    <w:proofErr w:type="spellStart"/>
    <w:r w:rsidRPr="00C73878">
      <w:rPr>
        <w:rFonts w:ascii="Times New Roman" w:hAnsi="Times New Roman"/>
        <w:b/>
        <w:lang w:val="kk-KZ"/>
      </w:rPr>
      <w:t>процессе</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подготовки</w:t>
    </w:r>
    <w:proofErr w:type="spellEnd"/>
    <w:r w:rsidRPr="00C73878">
      <w:rPr>
        <w:rFonts w:ascii="Times New Roman" w:hAnsi="Times New Roman"/>
        <w:b/>
        <w:lang w:val="kk-KZ"/>
      </w:rPr>
      <w:t xml:space="preserve"> и </w:t>
    </w:r>
    <w:proofErr w:type="spellStart"/>
    <w:r w:rsidRPr="00C73878">
      <w:rPr>
        <w:rFonts w:ascii="Times New Roman" w:hAnsi="Times New Roman"/>
        <w:b/>
        <w:lang w:val="kk-KZ"/>
      </w:rPr>
      <w:t>продвижению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данного</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доклада</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выража</w:t>
    </w:r>
    <w:r>
      <w:rPr>
        <w:rFonts w:ascii="Times New Roman" w:hAnsi="Times New Roman"/>
        <w:b/>
        <w:lang w:val="kk-KZ"/>
      </w:rPr>
      <w:t>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огромную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благодарность</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за</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важную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материально-техническую и финансовую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поддержку</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предоставленную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Международным</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альянсом</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по</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вопросам</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инвалидности</w:t>
    </w:r>
    <w:proofErr w:type="spellEnd"/>
    <w:r w:rsidRPr="00C73878">
      <w:rPr>
        <w:rFonts w:ascii="Times New Roman" w:hAnsi="Times New Roman"/>
        <w:b/>
        <w:lang w:val="kk-KZ"/>
      </w:rPr>
      <w:t xml:space="preserve">. </w:t>
    </w:r>
    <w:proofErr w:type="spellStart"/>
    <w:r>
      <w:rPr>
        <w:rFonts w:ascii="Times New Roman" w:hAnsi="Times New Roman"/>
        <w:b/>
        <w:lang w:val="kk-KZ"/>
      </w:rPr>
      <w:t>О</w:t>
    </w:r>
    <w:r w:rsidRPr="00C73878">
      <w:rPr>
        <w:rFonts w:ascii="Times New Roman" w:hAnsi="Times New Roman"/>
        <w:b/>
        <w:lang w:val="kk-KZ"/>
      </w:rPr>
      <w:t>чень</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цен</w:t>
    </w:r>
    <w:r>
      <w:rPr>
        <w:rFonts w:ascii="Times New Roman" w:hAnsi="Times New Roman"/>
        <w:b/>
        <w:lang w:val="kk-KZ"/>
      </w:rPr>
      <w:t>ю</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наше</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плодотворное</w:t>
    </w:r>
    <w:proofErr w:type="spellEnd"/>
    <w:r w:rsidRPr="00C73878">
      <w:rPr>
        <w:rFonts w:ascii="Times New Roman" w:hAnsi="Times New Roman"/>
        <w:b/>
        <w:lang w:val="kk-KZ"/>
      </w:rPr>
      <w:t xml:space="preserve"> </w:t>
    </w:r>
    <w:proofErr w:type="spellStart"/>
    <w:r w:rsidRPr="00C73878">
      <w:rPr>
        <w:rFonts w:ascii="Times New Roman" w:hAnsi="Times New Roman"/>
        <w:b/>
        <w:lang w:val="kk-KZ"/>
      </w:rPr>
      <w:t>сотрудничество</w:t>
    </w:r>
    <w:proofErr w:type="spellEnd"/>
    <w:r w:rsidRPr="00C73878">
      <w:rPr>
        <w:rFonts w:ascii="Times New Roman" w:hAnsi="Times New Roman"/>
        <w:b/>
        <w:lang w:val="kk-KZ"/>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3740D"/>
    <w:multiLevelType w:val="multilevel"/>
    <w:tmpl w:val="E102C956"/>
    <w:lvl w:ilvl="0">
      <w:start w:val="1"/>
      <w:numFmt w:val="decimal"/>
      <w:lvlText w:val="%1."/>
      <w:lvlJc w:val="left"/>
      <w:pPr>
        <w:ind w:left="6" w:hanging="360"/>
      </w:pPr>
      <w:rPr>
        <w:u w:val="none"/>
      </w:rPr>
    </w:lvl>
    <w:lvl w:ilvl="1">
      <w:start w:val="1"/>
      <w:numFmt w:val="lowerLetter"/>
      <w:lvlText w:val="%2."/>
      <w:lvlJc w:val="left"/>
      <w:pPr>
        <w:ind w:left="726" w:hanging="360"/>
      </w:pPr>
      <w:rPr>
        <w:u w:val="none"/>
      </w:rPr>
    </w:lvl>
    <w:lvl w:ilvl="2">
      <w:start w:val="1"/>
      <w:numFmt w:val="lowerRoman"/>
      <w:lvlText w:val="%3."/>
      <w:lvlJc w:val="right"/>
      <w:pPr>
        <w:ind w:left="1446" w:hanging="360"/>
      </w:pPr>
      <w:rPr>
        <w:u w:val="none"/>
      </w:rPr>
    </w:lvl>
    <w:lvl w:ilvl="3">
      <w:start w:val="1"/>
      <w:numFmt w:val="decimal"/>
      <w:lvlText w:val="%4."/>
      <w:lvlJc w:val="left"/>
      <w:pPr>
        <w:ind w:left="2166" w:hanging="360"/>
      </w:pPr>
      <w:rPr>
        <w:u w:val="none"/>
      </w:rPr>
    </w:lvl>
    <w:lvl w:ilvl="4">
      <w:start w:val="1"/>
      <w:numFmt w:val="lowerLetter"/>
      <w:lvlText w:val="%5."/>
      <w:lvlJc w:val="left"/>
      <w:pPr>
        <w:ind w:left="2886" w:hanging="360"/>
      </w:pPr>
      <w:rPr>
        <w:u w:val="none"/>
      </w:rPr>
    </w:lvl>
    <w:lvl w:ilvl="5">
      <w:start w:val="1"/>
      <w:numFmt w:val="lowerRoman"/>
      <w:lvlText w:val="%6."/>
      <w:lvlJc w:val="right"/>
      <w:pPr>
        <w:ind w:left="3606" w:hanging="360"/>
      </w:pPr>
      <w:rPr>
        <w:u w:val="none"/>
      </w:rPr>
    </w:lvl>
    <w:lvl w:ilvl="6">
      <w:start w:val="1"/>
      <w:numFmt w:val="decimal"/>
      <w:lvlText w:val="%7."/>
      <w:lvlJc w:val="left"/>
      <w:pPr>
        <w:ind w:left="4326" w:hanging="360"/>
      </w:pPr>
      <w:rPr>
        <w:u w:val="none"/>
      </w:rPr>
    </w:lvl>
    <w:lvl w:ilvl="7">
      <w:start w:val="1"/>
      <w:numFmt w:val="lowerLetter"/>
      <w:lvlText w:val="%8."/>
      <w:lvlJc w:val="left"/>
      <w:pPr>
        <w:ind w:left="5046" w:hanging="360"/>
      </w:pPr>
      <w:rPr>
        <w:u w:val="none"/>
      </w:rPr>
    </w:lvl>
    <w:lvl w:ilvl="8">
      <w:start w:val="1"/>
      <w:numFmt w:val="lowerRoman"/>
      <w:lvlText w:val="%9."/>
      <w:lvlJc w:val="right"/>
      <w:pPr>
        <w:ind w:left="5766" w:hanging="360"/>
      </w:pPr>
      <w:rPr>
        <w:u w:val="none"/>
      </w:rPr>
    </w:lvl>
  </w:abstractNum>
  <w:abstractNum w:abstractNumId="1" w15:restartNumberingAfterBreak="0">
    <w:nsid w:val="61413F6F"/>
    <w:multiLevelType w:val="multilevel"/>
    <w:tmpl w:val="70B2B6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E27EB7"/>
    <w:multiLevelType w:val="multilevel"/>
    <w:tmpl w:val="F8B85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5626574">
    <w:abstractNumId w:val="0"/>
  </w:num>
  <w:num w:numId="2" w16cid:durableId="2120563987">
    <w:abstractNumId w:val="2"/>
  </w:num>
  <w:num w:numId="3" w16cid:durableId="334113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CEE"/>
    <w:rsid w:val="00051C31"/>
    <w:rsid w:val="00A127E3"/>
    <w:rsid w:val="00A84CEE"/>
    <w:rsid w:val="00D2149E"/>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decimalSymbol w:val=","/>
  <w:listSeparator w:val=";"/>
  <w14:docId w14:val="02AF8F99"/>
  <w15:docId w15:val="{7E164E59-755D-0342-9BB0-606F386B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s0">
    <w:name w:val="s0"/>
    <w:basedOn w:val="a0"/>
    <w:rsid w:val="000B73C3"/>
  </w:style>
  <w:style w:type="paragraph" w:styleId="a4">
    <w:name w:val="footnote text"/>
    <w:basedOn w:val="a"/>
    <w:link w:val="a5"/>
    <w:uiPriority w:val="99"/>
    <w:semiHidden/>
    <w:unhideWhenUsed/>
    <w:rsid w:val="00570A36"/>
    <w:rPr>
      <w:sz w:val="20"/>
      <w:szCs w:val="20"/>
    </w:rPr>
  </w:style>
  <w:style w:type="character" w:customStyle="1" w:styleId="a5">
    <w:name w:val="Текст сноски Знак"/>
    <w:basedOn w:val="a0"/>
    <w:link w:val="a4"/>
    <w:uiPriority w:val="99"/>
    <w:semiHidden/>
    <w:rsid w:val="00570A36"/>
    <w:rPr>
      <w:sz w:val="20"/>
      <w:szCs w:val="20"/>
    </w:rPr>
  </w:style>
  <w:style w:type="character" w:styleId="a6">
    <w:name w:val="footnote reference"/>
    <w:basedOn w:val="a0"/>
    <w:uiPriority w:val="99"/>
    <w:semiHidden/>
    <w:unhideWhenUsed/>
    <w:rsid w:val="00570A36"/>
    <w:rPr>
      <w:vertAlign w:val="superscript"/>
    </w:rPr>
  </w:style>
  <w:style w:type="character" w:styleId="a7">
    <w:name w:val="annotation reference"/>
    <w:basedOn w:val="a0"/>
    <w:uiPriority w:val="99"/>
    <w:semiHidden/>
    <w:unhideWhenUsed/>
    <w:rsid w:val="00F878A8"/>
    <w:rPr>
      <w:sz w:val="16"/>
      <w:szCs w:val="16"/>
    </w:rPr>
  </w:style>
  <w:style w:type="paragraph" w:styleId="a8">
    <w:name w:val="annotation text"/>
    <w:basedOn w:val="a"/>
    <w:link w:val="a9"/>
    <w:uiPriority w:val="99"/>
    <w:semiHidden/>
    <w:unhideWhenUsed/>
    <w:rsid w:val="00F878A8"/>
    <w:rPr>
      <w:sz w:val="20"/>
      <w:szCs w:val="20"/>
    </w:rPr>
  </w:style>
  <w:style w:type="character" w:customStyle="1" w:styleId="a9">
    <w:name w:val="Текст примечания Знак"/>
    <w:basedOn w:val="a0"/>
    <w:link w:val="a8"/>
    <w:uiPriority w:val="99"/>
    <w:semiHidden/>
    <w:rsid w:val="00F878A8"/>
    <w:rPr>
      <w:sz w:val="20"/>
      <w:szCs w:val="20"/>
    </w:rPr>
  </w:style>
  <w:style w:type="paragraph" w:styleId="aa">
    <w:name w:val="annotation subject"/>
    <w:basedOn w:val="a8"/>
    <w:next w:val="a8"/>
    <w:link w:val="ab"/>
    <w:uiPriority w:val="99"/>
    <w:semiHidden/>
    <w:unhideWhenUsed/>
    <w:rsid w:val="00F878A8"/>
    <w:rPr>
      <w:b/>
      <w:bCs/>
    </w:rPr>
  </w:style>
  <w:style w:type="character" w:customStyle="1" w:styleId="ab">
    <w:name w:val="Тема примечания Знак"/>
    <w:basedOn w:val="a9"/>
    <w:link w:val="aa"/>
    <w:uiPriority w:val="99"/>
    <w:semiHidden/>
    <w:rsid w:val="00F878A8"/>
    <w:rPr>
      <w:b/>
      <w:bCs/>
      <w:sz w:val="20"/>
      <w:szCs w:val="20"/>
    </w:rPr>
  </w:style>
  <w:style w:type="paragraph" w:styleId="ac">
    <w:name w:val="List Paragraph"/>
    <w:basedOn w:val="a"/>
    <w:uiPriority w:val="34"/>
    <w:qFormat/>
    <w:rsid w:val="004201AA"/>
    <w:pPr>
      <w:ind w:left="720"/>
      <w:contextualSpacing/>
    </w:pPr>
  </w:style>
  <w:style w:type="character" w:styleId="ad">
    <w:name w:val="Hyperlink"/>
    <w:basedOn w:val="a0"/>
    <w:uiPriority w:val="99"/>
    <w:unhideWhenUsed/>
    <w:rsid w:val="00C82709"/>
    <w:rPr>
      <w:color w:val="0000FF"/>
      <w:u w:val="single"/>
    </w:rPr>
  </w:style>
  <w:style w:type="paragraph" w:styleId="ae">
    <w:name w:val="header"/>
    <w:basedOn w:val="a"/>
    <w:link w:val="af"/>
    <w:uiPriority w:val="99"/>
    <w:unhideWhenUsed/>
    <w:rsid w:val="00CD3442"/>
    <w:pPr>
      <w:tabs>
        <w:tab w:val="center" w:pos="4513"/>
        <w:tab w:val="right" w:pos="9026"/>
      </w:tabs>
    </w:pPr>
  </w:style>
  <w:style w:type="character" w:customStyle="1" w:styleId="af">
    <w:name w:val="Верхний колонтитул Знак"/>
    <w:basedOn w:val="a0"/>
    <w:link w:val="ae"/>
    <w:uiPriority w:val="99"/>
    <w:rsid w:val="00CD3442"/>
  </w:style>
  <w:style w:type="paragraph" w:styleId="af0">
    <w:name w:val="footer"/>
    <w:basedOn w:val="a"/>
    <w:link w:val="af1"/>
    <w:uiPriority w:val="99"/>
    <w:unhideWhenUsed/>
    <w:rsid w:val="00CD3442"/>
    <w:pPr>
      <w:tabs>
        <w:tab w:val="center" w:pos="4513"/>
        <w:tab w:val="right" w:pos="9026"/>
      </w:tabs>
    </w:pPr>
  </w:style>
  <w:style w:type="character" w:customStyle="1" w:styleId="af1">
    <w:name w:val="Нижний колонтитул Знак"/>
    <w:basedOn w:val="a0"/>
    <w:link w:val="af0"/>
    <w:uiPriority w:val="99"/>
    <w:rsid w:val="00CD3442"/>
  </w:style>
  <w:style w:type="character" w:styleId="af2">
    <w:name w:val="page number"/>
    <w:basedOn w:val="a0"/>
    <w:uiPriority w:val="99"/>
    <w:semiHidden/>
    <w:unhideWhenUsed/>
    <w:rsid w:val="00320303"/>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f4">
    <w:name w:val="endnote text"/>
    <w:basedOn w:val="a"/>
    <w:link w:val="af5"/>
    <w:uiPriority w:val="99"/>
    <w:semiHidden/>
    <w:unhideWhenUsed/>
    <w:rsid w:val="003B4D67"/>
    <w:rPr>
      <w:sz w:val="20"/>
      <w:szCs w:val="20"/>
    </w:rPr>
  </w:style>
  <w:style w:type="character" w:customStyle="1" w:styleId="af5">
    <w:name w:val="Текст концевой сноски Знак"/>
    <w:basedOn w:val="a0"/>
    <w:link w:val="af4"/>
    <w:uiPriority w:val="99"/>
    <w:semiHidden/>
    <w:rsid w:val="003B4D67"/>
    <w:rPr>
      <w:sz w:val="20"/>
      <w:szCs w:val="20"/>
    </w:rPr>
  </w:style>
  <w:style w:type="character" w:styleId="af6">
    <w:name w:val="endnote reference"/>
    <w:basedOn w:val="a0"/>
    <w:uiPriority w:val="99"/>
    <w:semiHidden/>
    <w:unhideWhenUsed/>
    <w:rsid w:val="003B4D67"/>
    <w:rPr>
      <w:vertAlign w:val="superscript"/>
    </w:rPr>
  </w:style>
  <w:style w:type="character" w:styleId="af7">
    <w:name w:val="Unresolved Mention"/>
    <w:basedOn w:val="a0"/>
    <w:uiPriority w:val="99"/>
    <w:semiHidden/>
    <w:unhideWhenUsed/>
    <w:rsid w:val="003B4D67"/>
    <w:rPr>
      <w:color w:val="605E5C"/>
      <w:shd w:val="clear" w:color="auto" w:fill="E1DFDD"/>
    </w:rPr>
  </w:style>
  <w:style w:type="paragraph" w:styleId="af8">
    <w:name w:val="Normal (Web)"/>
    <w:basedOn w:val="a"/>
    <w:uiPriority w:val="99"/>
    <w:semiHidden/>
    <w:unhideWhenUsed/>
    <w:rsid w:val="00051C31"/>
    <w:pPr>
      <w:spacing w:before="100" w:beforeAutospacing="1" w:after="100" w:afterAutospacing="1"/>
    </w:pPr>
    <w:rPr>
      <w:rFonts w:ascii="Times New Roman" w:eastAsia="Times New Roman" w:hAnsi="Times New Roman" w:cs="Times New Roman"/>
      <w:lang w:val="ru-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242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oros.kz/ru/medical-ethics-as-a-factor-in-the-institutionalization-of-children-with-special-needs/" TargetMode="External"/><Relationship Id="rId2" Type="http://schemas.openxmlformats.org/officeDocument/2006/relationships/hyperlink" Target="https://ru.sputnik.kz/20201124/smert-deti-internat-ayagoz-15561977.html" TargetMode="External"/><Relationship Id="rId1" Type="http://schemas.openxmlformats.org/officeDocument/2006/relationships/hyperlink" Target="mailto:shakibaevaaigul8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JSUeYrrK0Gxxlt6TN5AGMlG8lg==">CgMxLjAyDmgudHk3N3Nncm4zOHAzOAByITE3UUZPak1fN3FWTHpWVFR2dDUtYURTRmw4T2VJNjI5WA==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4441</Words>
  <Characters>25315</Characters>
  <Application>Microsoft Office Word</Application>
  <DocSecurity>0</DocSecurity>
  <Lines>210</Lines>
  <Paragraphs>59</Paragraphs>
  <ScaleCrop>false</ScaleCrop>
  <Company/>
  <LinksUpToDate>false</LinksUpToDate>
  <CharactersWithSpaces>29697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 Chernobil</dc:creator>
  <cp:lastModifiedBy>Microsoft Office User</cp:lastModifiedBy>
  <cp:revision>4</cp:revision>
  <dcterms:created xsi:type="dcterms:W3CDTF">2024-02-04T09:25:00Z</dcterms:created>
  <dcterms:modified xsi:type="dcterms:W3CDTF">2024-02-05T17:57:00Z</dcterms:modified>
</cp:coreProperties>
</file>