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29708" w14:textId="77777777" w:rsidR="00755B8E" w:rsidRDefault="00755B8E" w:rsidP="00736E86">
      <w:pPr>
        <w:spacing w:line="360" w:lineRule="auto"/>
      </w:pPr>
      <w:r>
        <w:rPr>
          <w:rFonts w:cstheme="minorHAnsi"/>
          <w:noProof/>
          <w:sz w:val="24"/>
          <w:szCs w:val="24"/>
          <w:lang w:val="en-US"/>
        </w:rPr>
        <w:drawing>
          <wp:anchor distT="0" distB="0" distL="114300" distR="114300" simplePos="0" relativeHeight="251661312" behindDoc="1" locked="0" layoutInCell="1" allowOverlap="1" wp14:anchorId="0FE64E50" wp14:editId="0E038DD2">
            <wp:simplePos x="0" y="0"/>
            <wp:positionH relativeFrom="column">
              <wp:posOffset>1975485</wp:posOffset>
            </wp:positionH>
            <wp:positionV relativeFrom="paragraph">
              <wp:posOffset>22860</wp:posOffset>
            </wp:positionV>
            <wp:extent cx="1593850" cy="1314370"/>
            <wp:effectExtent l="0" t="0" r="6350" b="635"/>
            <wp:wrapTight wrapText="bothSides">
              <wp:wrapPolygon edited="0">
                <wp:start x="9294" y="0"/>
                <wp:lineTo x="4389" y="1253"/>
                <wp:lineTo x="1807" y="2819"/>
                <wp:lineTo x="1549" y="14720"/>
                <wp:lineTo x="0" y="15347"/>
                <wp:lineTo x="0" y="21297"/>
                <wp:lineTo x="21428" y="21297"/>
                <wp:lineTo x="21428" y="15347"/>
                <wp:lineTo x="18330" y="15033"/>
                <wp:lineTo x="20912" y="13467"/>
                <wp:lineTo x="20912" y="3445"/>
                <wp:lineTo x="17814" y="1879"/>
                <wp:lineTo x="11359" y="0"/>
                <wp:lineTo x="9294" y="0"/>
              </wp:wrapPolygon>
            </wp:wrapTight>
            <wp:docPr id="2" name="Imagen 2" descr="logo-lacorri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lacorrien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3850" cy="1314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68CB6C" w14:textId="77777777" w:rsidR="00755B8E" w:rsidRDefault="00755B8E" w:rsidP="00736E86">
      <w:pPr>
        <w:spacing w:line="360" w:lineRule="auto"/>
      </w:pPr>
    </w:p>
    <w:p w14:paraId="2750CCF3" w14:textId="77777777" w:rsidR="00755B8E" w:rsidRDefault="00755B8E" w:rsidP="00736E86">
      <w:pPr>
        <w:spacing w:after="0" w:line="360" w:lineRule="auto"/>
        <w:jc w:val="center"/>
        <w:rPr>
          <w:rFonts w:cstheme="minorHAnsi"/>
          <w:sz w:val="24"/>
          <w:szCs w:val="24"/>
          <w:lang w:val="es-AR"/>
        </w:rPr>
      </w:pPr>
      <w:r w:rsidRPr="003113F6">
        <w:rPr>
          <w:noProof/>
        </w:rPr>
        <w:t xml:space="preserve">   </w:t>
      </w:r>
    </w:p>
    <w:p w14:paraId="61D3412B" w14:textId="77777777" w:rsidR="00755B8E" w:rsidRDefault="00755B8E" w:rsidP="00736E86">
      <w:pPr>
        <w:spacing w:after="0" w:line="360" w:lineRule="auto"/>
        <w:jc w:val="center"/>
        <w:rPr>
          <w:rFonts w:cstheme="minorHAnsi"/>
          <w:b/>
          <w:sz w:val="24"/>
          <w:szCs w:val="24"/>
          <w:lang w:val="es-EC"/>
        </w:rPr>
      </w:pPr>
    </w:p>
    <w:p w14:paraId="007805FC" w14:textId="129E5BFE" w:rsidR="00755B8E" w:rsidRDefault="00755B8E" w:rsidP="00736E86">
      <w:pPr>
        <w:spacing w:after="0" w:line="360" w:lineRule="auto"/>
        <w:jc w:val="center"/>
        <w:rPr>
          <w:rFonts w:cstheme="minorHAnsi"/>
          <w:b/>
          <w:sz w:val="24"/>
          <w:szCs w:val="24"/>
        </w:rPr>
      </w:pPr>
    </w:p>
    <w:p w14:paraId="178A5596" w14:textId="5B00ADB2" w:rsidR="00755B8E" w:rsidRDefault="003343D0" w:rsidP="00736E86">
      <w:pPr>
        <w:spacing w:after="0" w:line="360" w:lineRule="auto"/>
        <w:jc w:val="center"/>
        <w:rPr>
          <w:rFonts w:cstheme="minorHAnsi"/>
          <w:b/>
          <w:sz w:val="24"/>
          <w:szCs w:val="24"/>
        </w:rPr>
      </w:pPr>
      <w:r>
        <w:rPr>
          <w:noProof/>
          <w:lang w:val="en-US"/>
        </w:rPr>
        <w:drawing>
          <wp:anchor distT="0" distB="0" distL="114300" distR="114300" simplePos="0" relativeHeight="251659264" behindDoc="1" locked="0" layoutInCell="1" allowOverlap="1" wp14:anchorId="5A0EA916" wp14:editId="78A1CAFE">
            <wp:simplePos x="0" y="0"/>
            <wp:positionH relativeFrom="column">
              <wp:posOffset>3910965</wp:posOffset>
            </wp:positionH>
            <wp:positionV relativeFrom="paragraph">
              <wp:posOffset>148590</wp:posOffset>
            </wp:positionV>
            <wp:extent cx="1536700" cy="810895"/>
            <wp:effectExtent l="0" t="0" r="6350" b="8255"/>
            <wp:wrapTight wrapText="bothSides">
              <wp:wrapPolygon edited="0">
                <wp:start x="0" y="0"/>
                <wp:lineTo x="0" y="21312"/>
                <wp:lineTo x="21421" y="21312"/>
                <wp:lineTo x="21421" y="0"/>
                <wp:lineTo x="0" y="0"/>
              </wp:wrapPolygon>
            </wp:wrapTight>
            <wp:docPr id="4" name="Imagen 4"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4" name="Imagen 4" descr="F:\Marcelo y la Aerolinea\Synergia Logo II (2).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6700" cy="810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022872" w14:textId="78656C37" w:rsidR="00755B8E" w:rsidRDefault="003343D0" w:rsidP="00736E86">
      <w:pPr>
        <w:spacing w:after="0" w:line="360" w:lineRule="auto"/>
        <w:jc w:val="center"/>
        <w:rPr>
          <w:rFonts w:cstheme="minorHAnsi"/>
          <w:b/>
          <w:sz w:val="24"/>
          <w:szCs w:val="24"/>
        </w:rPr>
      </w:pPr>
      <w:r>
        <w:rPr>
          <w:noProof/>
          <w:lang w:val="en-US"/>
        </w:rPr>
        <w:drawing>
          <wp:anchor distT="0" distB="0" distL="114300" distR="114300" simplePos="0" relativeHeight="251660288" behindDoc="1" locked="0" layoutInCell="1" allowOverlap="1" wp14:anchorId="543ADB71" wp14:editId="5658B2EE">
            <wp:simplePos x="0" y="0"/>
            <wp:positionH relativeFrom="column">
              <wp:posOffset>227965</wp:posOffset>
            </wp:positionH>
            <wp:positionV relativeFrom="paragraph">
              <wp:posOffset>32385</wp:posOffset>
            </wp:positionV>
            <wp:extent cx="1155700" cy="758825"/>
            <wp:effectExtent l="0" t="0" r="6350" b="3175"/>
            <wp:wrapTight wrapText="bothSides">
              <wp:wrapPolygon edited="0">
                <wp:start x="0" y="0"/>
                <wp:lineTo x="0" y="21148"/>
                <wp:lineTo x="21363" y="21148"/>
                <wp:lineTo x="21363" y="0"/>
                <wp:lineTo x="0" y="0"/>
              </wp:wrapPolygon>
            </wp:wrapTight>
            <wp:docPr id="5" name="Imagen 5" descr="C:\Users\user\Pictures\SRI LOGO (2).png"/>
            <wp:cNvGraphicFramePr/>
            <a:graphic xmlns:a="http://schemas.openxmlformats.org/drawingml/2006/main">
              <a:graphicData uri="http://schemas.openxmlformats.org/drawingml/2006/picture">
                <pic:pic xmlns:pic="http://schemas.openxmlformats.org/drawingml/2006/picture">
                  <pic:nvPicPr>
                    <pic:cNvPr id="5" name="Imagen 5" descr="C:\Users\user\Pictures\SRI LOGO (2).pn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570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D6714C" w14:textId="18E038E0" w:rsidR="00755B8E" w:rsidRDefault="003343D0" w:rsidP="00736E86">
      <w:pPr>
        <w:spacing w:after="0" w:line="360" w:lineRule="auto"/>
        <w:jc w:val="center"/>
        <w:rPr>
          <w:rFonts w:cstheme="minorHAnsi"/>
          <w:b/>
          <w:sz w:val="40"/>
          <w:szCs w:val="40"/>
        </w:rPr>
      </w:pPr>
      <w:r>
        <w:rPr>
          <w:noProof/>
          <w:lang w:val="en-US"/>
        </w:rPr>
        <w:drawing>
          <wp:anchor distT="0" distB="0" distL="114300" distR="114300" simplePos="0" relativeHeight="251662336" behindDoc="1" locked="0" layoutInCell="1" allowOverlap="1" wp14:anchorId="78453737" wp14:editId="5F68E936">
            <wp:simplePos x="0" y="0"/>
            <wp:positionH relativeFrom="column">
              <wp:posOffset>1853565</wp:posOffset>
            </wp:positionH>
            <wp:positionV relativeFrom="paragraph">
              <wp:posOffset>5715</wp:posOffset>
            </wp:positionV>
            <wp:extent cx="1530350" cy="543560"/>
            <wp:effectExtent l="0" t="0" r="0" b="8890"/>
            <wp:wrapTight wrapText="bothSides">
              <wp:wrapPolygon edited="0">
                <wp:start x="0" y="0"/>
                <wp:lineTo x="0" y="21196"/>
                <wp:lineTo x="21241" y="21196"/>
                <wp:lineTo x="21241" y="0"/>
                <wp:lineTo x="0" y="0"/>
              </wp:wrapPolygon>
            </wp:wrapTight>
            <wp:docPr id="6" name="0 Imagen"/>
            <wp:cNvGraphicFramePr/>
            <a:graphic xmlns:a="http://schemas.openxmlformats.org/drawingml/2006/main">
              <a:graphicData uri="http://schemas.openxmlformats.org/drawingml/2006/picture">
                <pic:pic xmlns:pic="http://schemas.openxmlformats.org/drawingml/2006/picture">
                  <pic:nvPicPr>
                    <pic:cNvPr id="6" name="0 Image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0350" cy="543560"/>
                    </a:xfrm>
                    <a:prstGeom prst="rect">
                      <a:avLst/>
                    </a:prstGeom>
                  </pic:spPr>
                </pic:pic>
              </a:graphicData>
            </a:graphic>
            <wp14:sizeRelH relativeFrom="margin">
              <wp14:pctWidth>0</wp14:pctWidth>
            </wp14:sizeRelH>
            <wp14:sizeRelV relativeFrom="margin">
              <wp14:pctHeight>0</wp14:pctHeight>
            </wp14:sizeRelV>
          </wp:anchor>
        </w:drawing>
      </w:r>
      <w:r w:rsidR="00755B8E">
        <w:rPr>
          <w:rFonts w:cstheme="minorHAnsi"/>
          <w:b/>
          <w:sz w:val="40"/>
          <w:szCs w:val="40"/>
        </w:rPr>
        <w:t xml:space="preserve"> </w:t>
      </w:r>
    </w:p>
    <w:p w14:paraId="3FA4EA90" w14:textId="77777777" w:rsidR="00755B8E" w:rsidRDefault="00755B8E" w:rsidP="00736E86">
      <w:pPr>
        <w:spacing w:after="0" w:line="360" w:lineRule="auto"/>
        <w:rPr>
          <w:rFonts w:cstheme="minorHAnsi"/>
          <w:b/>
          <w:sz w:val="40"/>
          <w:szCs w:val="40"/>
        </w:rPr>
      </w:pPr>
    </w:p>
    <w:p w14:paraId="64D49F73" w14:textId="378E95A3" w:rsidR="00755B8E" w:rsidRDefault="00AE0376" w:rsidP="00736E86">
      <w:pPr>
        <w:spacing w:after="0" w:line="360" w:lineRule="auto"/>
        <w:jc w:val="center"/>
        <w:rPr>
          <w:rFonts w:cstheme="minorHAnsi"/>
          <w:b/>
          <w:sz w:val="40"/>
          <w:szCs w:val="40"/>
        </w:rPr>
      </w:pPr>
      <w:r>
        <w:rPr>
          <w:rFonts w:cstheme="minorHAnsi"/>
          <w:b/>
          <w:sz w:val="40"/>
          <w:szCs w:val="40"/>
        </w:rPr>
        <w:t xml:space="preserve">Situación </w:t>
      </w:r>
      <w:r w:rsidR="00755B8E">
        <w:rPr>
          <w:rFonts w:cstheme="minorHAnsi"/>
          <w:b/>
          <w:sz w:val="40"/>
          <w:szCs w:val="40"/>
        </w:rPr>
        <w:t xml:space="preserve">de los </w:t>
      </w:r>
      <w:r>
        <w:rPr>
          <w:rFonts w:cstheme="minorHAnsi"/>
          <w:b/>
          <w:sz w:val="40"/>
          <w:szCs w:val="40"/>
        </w:rPr>
        <w:t>D</w:t>
      </w:r>
      <w:r w:rsidR="00755B8E">
        <w:rPr>
          <w:rFonts w:cstheme="minorHAnsi"/>
          <w:b/>
          <w:sz w:val="40"/>
          <w:szCs w:val="40"/>
        </w:rPr>
        <w:t xml:space="preserve">erechos </w:t>
      </w:r>
      <w:r w:rsidR="00665463">
        <w:rPr>
          <w:rFonts w:cstheme="minorHAnsi"/>
          <w:b/>
          <w:sz w:val="40"/>
          <w:szCs w:val="40"/>
        </w:rPr>
        <w:t>Económicos, Sociales y Culturales</w:t>
      </w:r>
      <w:r>
        <w:rPr>
          <w:rFonts w:cstheme="minorHAnsi"/>
          <w:b/>
          <w:sz w:val="40"/>
          <w:szCs w:val="40"/>
        </w:rPr>
        <w:t xml:space="preserve"> </w:t>
      </w:r>
      <w:r w:rsidR="00755B8E">
        <w:rPr>
          <w:rFonts w:cstheme="minorHAnsi"/>
          <w:b/>
          <w:sz w:val="40"/>
          <w:szCs w:val="40"/>
        </w:rPr>
        <w:t>de las personas LGBTI en Nicaragua</w:t>
      </w:r>
    </w:p>
    <w:p w14:paraId="4BF5FE15" w14:textId="77777777" w:rsidR="00755B8E" w:rsidRDefault="00755B8E" w:rsidP="00736E86">
      <w:pPr>
        <w:spacing w:after="0" w:line="360" w:lineRule="auto"/>
        <w:jc w:val="center"/>
        <w:rPr>
          <w:rFonts w:cstheme="minorHAnsi"/>
          <w:b/>
          <w:sz w:val="40"/>
          <w:szCs w:val="40"/>
        </w:rPr>
      </w:pPr>
    </w:p>
    <w:p w14:paraId="37213669" w14:textId="77777777" w:rsidR="00755B8E" w:rsidRDefault="00755B8E" w:rsidP="00736E86">
      <w:pPr>
        <w:autoSpaceDE w:val="0"/>
        <w:autoSpaceDN w:val="0"/>
        <w:adjustRightInd w:val="0"/>
        <w:spacing w:after="0" w:line="360" w:lineRule="auto"/>
        <w:jc w:val="center"/>
        <w:rPr>
          <w:rFonts w:eastAsia="Times New Roman" w:cstheme="minorHAnsi"/>
          <w:b/>
          <w:bCs/>
          <w:sz w:val="36"/>
          <w:szCs w:val="36"/>
          <w:lang w:val="es-ES" w:eastAsia="es-ES"/>
        </w:rPr>
      </w:pPr>
      <w:r>
        <w:rPr>
          <w:rFonts w:eastAsia="Times New Roman" w:cstheme="minorHAnsi"/>
          <w:b/>
          <w:bCs/>
          <w:sz w:val="36"/>
          <w:szCs w:val="36"/>
          <w:lang w:val="es-ES" w:eastAsia="es-ES"/>
        </w:rPr>
        <w:t xml:space="preserve">Informe alternativo presentado al </w:t>
      </w:r>
    </w:p>
    <w:p w14:paraId="10311843" w14:textId="77777777" w:rsidR="00755B8E" w:rsidRDefault="00755B8E" w:rsidP="00736E86">
      <w:pPr>
        <w:autoSpaceDE w:val="0"/>
        <w:autoSpaceDN w:val="0"/>
        <w:adjustRightInd w:val="0"/>
        <w:spacing w:after="0" w:line="360" w:lineRule="auto"/>
        <w:jc w:val="center"/>
        <w:rPr>
          <w:rFonts w:eastAsia="Times New Roman" w:cstheme="minorHAnsi"/>
          <w:b/>
          <w:bCs/>
          <w:sz w:val="36"/>
          <w:szCs w:val="36"/>
          <w:lang w:val="es-ES" w:eastAsia="es-ES"/>
        </w:rPr>
      </w:pPr>
      <w:r>
        <w:rPr>
          <w:rFonts w:eastAsia="Times New Roman" w:cstheme="minorHAnsi"/>
          <w:b/>
          <w:bCs/>
          <w:sz w:val="36"/>
          <w:szCs w:val="36"/>
          <w:lang w:val="es-ES" w:eastAsia="es-ES"/>
        </w:rPr>
        <w:t xml:space="preserve">Comité de Derechos Económicos, Sociales y Culturales </w:t>
      </w:r>
    </w:p>
    <w:p w14:paraId="467C8C12" w14:textId="04A9E196" w:rsidR="00755B8E" w:rsidRDefault="00755B8E" w:rsidP="00736E86">
      <w:pPr>
        <w:autoSpaceDE w:val="0"/>
        <w:autoSpaceDN w:val="0"/>
        <w:adjustRightInd w:val="0"/>
        <w:spacing w:after="0" w:line="360" w:lineRule="auto"/>
        <w:jc w:val="center"/>
        <w:rPr>
          <w:rFonts w:eastAsia="Times New Roman" w:cstheme="minorHAnsi"/>
          <w:b/>
          <w:bCs/>
          <w:sz w:val="36"/>
          <w:szCs w:val="36"/>
          <w:lang w:val="es-ES" w:eastAsia="es-ES"/>
        </w:rPr>
      </w:pPr>
      <w:r>
        <w:rPr>
          <w:rFonts w:eastAsia="Times New Roman" w:cstheme="minorHAnsi"/>
          <w:b/>
          <w:bCs/>
          <w:sz w:val="36"/>
          <w:szCs w:val="36"/>
          <w:lang w:val="es-ES" w:eastAsia="es-ES"/>
        </w:rPr>
        <w:t>68º Sesión</w:t>
      </w:r>
    </w:p>
    <w:p w14:paraId="2D76DC7E" w14:textId="2A4FDFEB" w:rsidR="00755B8E" w:rsidRDefault="00755B8E" w:rsidP="00736E86">
      <w:pPr>
        <w:spacing w:after="0" w:line="360" w:lineRule="auto"/>
        <w:rPr>
          <w:rFonts w:eastAsia="Times New Roman" w:cstheme="minorHAnsi"/>
          <w:b/>
          <w:sz w:val="28"/>
          <w:szCs w:val="28"/>
          <w:lang w:val="es-AR" w:eastAsia="es-ES_tradnl"/>
        </w:rPr>
      </w:pPr>
    </w:p>
    <w:p w14:paraId="2A9171FF" w14:textId="77777777" w:rsidR="00755B8E" w:rsidRDefault="00755B8E" w:rsidP="00736E86">
      <w:pPr>
        <w:spacing w:after="0" w:line="360" w:lineRule="auto"/>
        <w:rPr>
          <w:rFonts w:eastAsia="Times New Roman" w:cstheme="minorHAnsi"/>
          <w:b/>
          <w:sz w:val="28"/>
          <w:szCs w:val="28"/>
          <w:lang w:val="es-AR" w:eastAsia="es-ES_tradnl"/>
        </w:rPr>
      </w:pPr>
    </w:p>
    <w:p w14:paraId="28CF0294" w14:textId="6BEDDA41" w:rsidR="00755B8E" w:rsidRDefault="00755B8E" w:rsidP="00736E86">
      <w:pPr>
        <w:spacing w:after="0" w:line="360" w:lineRule="auto"/>
        <w:rPr>
          <w:rFonts w:cstheme="minorHAnsi"/>
          <w:b/>
          <w:sz w:val="32"/>
          <w:szCs w:val="32"/>
          <w:lang w:val="es-AR"/>
        </w:rPr>
      </w:pPr>
      <w:r>
        <w:rPr>
          <w:rFonts w:eastAsia="Times New Roman" w:cstheme="minorHAnsi"/>
          <w:b/>
          <w:sz w:val="32"/>
          <w:szCs w:val="32"/>
          <w:lang w:val="es-AR" w:eastAsia="es-ES_tradnl"/>
        </w:rPr>
        <w:t xml:space="preserve">Presentado por: </w:t>
      </w:r>
      <w:r>
        <w:rPr>
          <w:rFonts w:cstheme="minorHAnsi"/>
          <w:b/>
          <w:sz w:val="32"/>
          <w:szCs w:val="32"/>
          <w:lang w:val="es-AR"/>
        </w:rPr>
        <w:t>Programa Feminista La Corriente</w:t>
      </w:r>
    </w:p>
    <w:p w14:paraId="4756474F" w14:textId="77777777" w:rsidR="00755B8E" w:rsidRDefault="00755B8E" w:rsidP="00736E86">
      <w:pPr>
        <w:pStyle w:val="Prrafodelista"/>
        <w:numPr>
          <w:ilvl w:val="0"/>
          <w:numId w:val="6"/>
        </w:numPr>
        <w:spacing w:after="0" w:line="360" w:lineRule="auto"/>
        <w:jc w:val="both"/>
        <w:rPr>
          <w:rFonts w:cstheme="minorHAnsi"/>
          <w:b/>
          <w:color w:val="000000" w:themeColor="text1"/>
          <w:sz w:val="32"/>
          <w:szCs w:val="32"/>
          <w:lang w:val="es-AR"/>
        </w:rPr>
      </w:pPr>
      <w:r>
        <w:rPr>
          <w:rFonts w:cstheme="minorHAnsi"/>
          <w:b/>
          <w:color w:val="000000" w:themeColor="text1"/>
          <w:sz w:val="32"/>
          <w:szCs w:val="32"/>
          <w:lang w:val="es-AR"/>
        </w:rPr>
        <w:t>Akahatá – Equipo de trabajo en sexualidades y géneros</w:t>
      </w:r>
    </w:p>
    <w:p w14:paraId="53FA6A3B" w14:textId="77777777" w:rsidR="00755B8E" w:rsidRDefault="00755B8E" w:rsidP="00736E86">
      <w:pPr>
        <w:pStyle w:val="Prrafodelista"/>
        <w:numPr>
          <w:ilvl w:val="0"/>
          <w:numId w:val="6"/>
        </w:numPr>
        <w:spacing w:after="0" w:line="360" w:lineRule="auto"/>
        <w:jc w:val="both"/>
        <w:rPr>
          <w:rFonts w:cstheme="minorHAnsi"/>
          <w:b/>
          <w:color w:val="000000" w:themeColor="text1"/>
          <w:sz w:val="32"/>
          <w:szCs w:val="32"/>
          <w:lang w:val="es-EC"/>
        </w:rPr>
      </w:pPr>
      <w:r>
        <w:rPr>
          <w:rFonts w:cstheme="minorHAnsi"/>
          <w:b/>
          <w:color w:val="000000" w:themeColor="text1"/>
          <w:sz w:val="32"/>
          <w:szCs w:val="32"/>
        </w:rPr>
        <w:t xml:space="preserve">Synergia - </w:t>
      </w:r>
      <w:r>
        <w:rPr>
          <w:rFonts w:eastAsia="Times New Roman" w:cstheme="minorHAnsi"/>
          <w:b/>
          <w:color w:val="000000" w:themeColor="text1"/>
          <w:sz w:val="32"/>
          <w:szCs w:val="32"/>
        </w:rPr>
        <w:t xml:space="preserve">Initiatives for Human Rigths  </w:t>
      </w:r>
    </w:p>
    <w:p w14:paraId="48CA2CAE" w14:textId="77777777" w:rsidR="00755B8E" w:rsidRDefault="00755B8E" w:rsidP="00736E86">
      <w:pPr>
        <w:pStyle w:val="Prrafodelista"/>
        <w:numPr>
          <w:ilvl w:val="0"/>
          <w:numId w:val="6"/>
        </w:numPr>
        <w:spacing w:after="0" w:line="360" w:lineRule="auto"/>
        <w:jc w:val="both"/>
        <w:rPr>
          <w:rFonts w:cstheme="minorHAnsi"/>
          <w:b/>
          <w:color w:val="000000" w:themeColor="text1"/>
          <w:sz w:val="32"/>
          <w:szCs w:val="32"/>
        </w:rPr>
      </w:pPr>
      <w:r>
        <w:rPr>
          <w:rFonts w:cstheme="minorHAnsi"/>
          <w:b/>
          <w:color w:val="000000" w:themeColor="text1"/>
          <w:sz w:val="32"/>
          <w:szCs w:val="32"/>
        </w:rPr>
        <w:t>SRI – Sexual Rights Initiative</w:t>
      </w:r>
      <w:bookmarkStart w:id="0" w:name="_70u3e3nv8ioq"/>
      <w:bookmarkStart w:id="1" w:name="_qonqtw9pe3te"/>
      <w:bookmarkStart w:id="2" w:name="_n6d8vkw5i4b"/>
      <w:bookmarkStart w:id="3" w:name="_30j0zll"/>
      <w:bookmarkEnd w:id="0"/>
      <w:bookmarkEnd w:id="1"/>
      <w:bookmarkEnd w:id="2"/>
      <w:bookmarkEnd w:id="3"/>
    </w:p>
    <w:p w14:paraId="3C7F4C60" w14:textId="77777777" w:rsidR="00755B8E" w:rsidRDefault="00755B8E" w:rsidP="00736E86">
      <w:pPr>
        <w:spacing w:after="0" w:line="360" w:lineRule="auto"/>
        <w:jc w:val="both"/>
        <w:rPr>
          <w:rFonts w:cstheme="minorHAnsi"/>
          <w:lang w:val="es-AR"/>
        </w:rPr>
      </w:pPr>
    </w:p>
    <w:p w14:paraId="5E4891B5" w14:textId="1D7BA76F" w:rsidR="00755B8E" w:rsidRDefault="00755B8E" w:rsidP="00736E86">
      <w:pPr>
        <w:spacing w:after="0" w:line="360" w:lineRule="auto"/>
        <w:jc w:val="both"/>
        <w:rPr>
          <w:rFonts w:cstheme="minorHAnsi"/>
          <w:sz w:val="24"/>
          <w:szCs w:val="24"/>
          <w:lang w:val="es-AR"/>
        </w:rPr>
      </w:pPr>
      <w:r>
        <w:rPr>
          <w:rFonts w:cstheme="minorHAnsi"/>
          <w:lang w:val="es-AR"/>
        </w:rPr>
        <w:lastRenderedPageBreak/>
        <w:t xml:space="preserve"> </w:t>
      </w:r>
      <w:r w:rsidRPr="00755B8E">
        <w:rPr>
          <w:rFonts w:cstheme="minorHAnsi"/>
          <w:sz w:val="24"/>
          <w:szCs w:val="24"/>
          <w:lang w:val="es-AR"/>
        </w:rPr>
        <w:t xml:space="preserve">El Programa Feminista La Corriente, </w:t>
      </w:r>
      <w:r w:rsidRPr="00755B8E">
        <w:rPr>
          <w:rFonts w:cstheme="minorHAnsi"/>
          <w:color w:val="000000" w:themeColor="text1"/>
          <w:sz w:val="24"/>
          <w:szCs w:val="24"/>
          <w:lang w:val="es-AR"/>
        </w:rPr>
        <w:t>Akahatá - equipo de trabajo en sexualidades y géneros; Synergia - Initiatives for Human Rigths; y la SRI – Sexual Rights Initiative</w:t>
      </w:r>
      <w:r>
        <w:rPr>
          <w:rFonts w:cstheme="minorHAnsi"/>
          <w:color w:val="000000" w:themeColor="text1"/>
          <w:sz w:val="24"/>
          <w:szCs w:val="24"/>
          <w:lang w:val="es-AR"/>
        </w:rPr>
        <w:t xml:space="preserve"> presenta el siguiente informe </w:t>
      </w:r>
      <w:r>
        <w:rPr>
          <w:rFonts w:cstheme="minorHAnsi"/>
          <w:sz w:val="24"/>
          <w:szCs w:val="24"/>
          <w:lang w:val="es-AR"/>
        </w:rPr>
        <w:t xml:space="preserve">ante el Comité de Derechos Económicos, Sociales y Culturales, con el objetivo de </w:t>
      </w:r>
      <w:r w:rsidR="00AE0376" w:rsidRPr="00AE0376">
        <w:rPr>
          <w:rFonts w:cstheme="minorHAnsi"/>
          <w:sz w:val="24"/>
          <w:szCs w:val="24"/>
          <w:lang w:val="es-AR"/>
        </w:rPr>
        <w:t>asistirlo en la revisión de la implementación del Pacto Internacional de Derechos Económicos, Sociales y Culturales por parte del Estado de Nicaragua, en relación a las personas LGBTI.</w:t>
      </w:r>
    </w:p>
    <w:p w14:paraId="210ABF06" w14:textId="77777777" w:rsidR="00755B8E" w:rsidRDefault="00755B8E" w:rsidP="00736E86">
      <w:pPr>
        <w:spacing w:after="0" w:line="360" w:lineRule="auto"/>
        <w:jc w:val="both"/>
        <w:rPr>
          <w:rFonts w:eastAsia="Times New Roman" w:cstheme="minorHAnsi"/>
          <w:sz w:val="24"/>
          <w:szCs w:val="24"/>
          <w:lang w:val="es-AR" w:eastAsia="es-ES_tradnl"/>
        </w:rPr>
      </w:pPr>
    </w:p>
    <w:p w14:paraId="55426A93" w14:textId="164FD198" w:rsidR="00755B8E" w:rsidRDefault="00755B8E" w:rsidP="00736E86">
      <w:pPr>
        <w:spacing w:after="0" w:line="360" w:lineRule="auto"/>
        <w:rPr>
          <w:rFonts w:cstheme="minorHAnsi"/>
          <w:b/>
          <w:sz w:val="24"/>
          <w:szCs w:val="24"/>
          <w:lang w:val="es-AR"/>
        </w:rPr>
      </w:pPr>
      <w:r>
        <w:rPr>
          <w:rFonts w:cstheme="minorHAnsi"/>
          <w:b/>
          <w:sz w:val="24"/>
          <w:szCs w:val="24"/>
          <w:lang w:val="es-AR"/>
        </w:rPr>
        <w:t xml:space="preserve">Temas Analizados: </w:t>
      </w:r>
    </w:p>
    <w:p w14:paraId="0F28697F" w14:textId="77777777" w:rsidR="002A3F98" w:rsidRDefault="002A3F98" w:rsidP="00736E86">
      <w:pPr>
        <w:spacing w:after="0" w:line="360" w:lineRule="auto"/>
        <w:rPr>
          <w:rFonts w:cstheme="minorHAnsi"/>
          <w:b/>
          <w:sz w:val="24"/>
          <w:szCs w:val="24"/>
          <w:lang w:val="es-AR"/>
        </w:rPr>
      </w:pPr>
    </w:p>
    <w:p w14:paraId="6FFF5EAB" w14:textId="2DFB828E" w:rsidR="00755B8E" w:rsidRDefault="00AE0376" w:rsidP="00736E86">
      <w:pPr>
        <w:pStyle w:val="Prrafodelista"/>
        <w:widowControl w:val="0"/>
        <w:numPr>
          <w:ilvl w:val="0"/>
          <w:numId w:val="1"/>
        </w:numPr>
        <w:autoSpaceDE w:val="0"/>
        <w:autoSpaceDN w:val="0"/>
        <w:adjustRightInd w:val="0"/>
        <w:spacing w:after="0" w:line="360" w:lineRule="auto"/>
        <w:jc w:val="both"/>
        <w:rPr>
          <w:rFonts w:cstheme="minorHAnsi"/>
          <w:b/>
          <w:sz w:val="24"/>
          <w:szCs w:val="24"/>
          <w:lang w:val="es-EC"/>
        </w:rPr>
      </w:pPr>
      <w:r>
        <w:rPr>
          <w:rFonts w:cstheme="minorHAnsi"/>
          <w:b/>
          <w:sz w:val="24"/>
          <w:szCs w:val="24"/>
          <w:lang w:val="es-AR"/>
        </w:rPr>
        <w:t xml:space="preserve">Artículo 2.2. </w:t>
      </w:r>
      <w:r w:rsidR="00755B8E">
        <w:rPr>
          <w:rFonts w:cstheme="minorHAnsi"/>
          <w:b/>
          <w:sz w:val="24"/>
          <w:szCs w:val="24"/>
          <w:lang w:val="es-AR"/>
        </w:rPr>
        <w:t>Derecho</w:t>
      </w:r>
      <w:r w:rsidR="00755B8E">
        <w:rPr>
          <w:rFonts w:cstheme="minorHAnsi"/>
          <w:b/>
          <w:sz w:val="24"/>
          <w:szCs w:val="24"/>
        </w:rPr>
        <w:t xml:space="preserve"> a vivir sin violencia</w:t>
      </w:r>
    </w:p>
    <w:p w14:paraId="32DFBB16" w14:textId="13238B0B" w:rsidR="00755B8E" w:rsidRDefault="00AE0376" w:rsidP="00736E86">
      <w:pPr>
        <w:pStyle w:val="Prrafodelista"/>
        <w:widowControl w:val="0"/>
        <w:numPr>
          <w:ilvl w:val="0"/>
          <w:numId w:val="1"/>
        </w:numPr>
        <w:autoSpaceDE w:val="0"/>
        <w:autoSpaceDN w:val="0"/>
        <w:adjustRightInd w:val="0"/>
        <w:spacing w:after="0" w:line="360" w:lineRule="auto"/>
        <w:jc w:val="both"/>
        <w:rPr>
          <w:rFonts w:cstheme="minorHAnsi"/>
          <w:b/>
          <w:sz w:val="24"/>
          <w:szCs w:val="24"/>
        </w:rPr>
      </w:pPr>
      <w:r>
        <w:rPr>
          <w:rFonts w:cstheme="minorHAnsi"/>
          <w:b/>
          <w:sz w:val="24"/>
          <w:szCs w:val="24"/>
          <w:lang w:val="es-EC"/>
        </w:rPr>
        <w:t xml:space="preserve">Artículo 13. </w:t>
      </w:r>
      <w:r w:rsidR="00755B8E">
        <w:rPr>
          <w:rFonts w:cstheme="minorHAnsi"/>
          <w:b/>
          <w:sz w:val="24"/>
          <w:szCs w:val="24"/>
        </w:rPr>
        <w:t xml:space="preserve">Derecho a una educación de calidad </w:t>
      </w:r>
    </w:p>
    <w:p w14:paraId="4C19034C" w14:textId="6389D7DC" w:rsidR="00755B8E" w:rsidRDefault="00AE0376" w:rsidP="00736E86">
      <w:pPr>
        <w:pStyle w:val="Prrafodelista"/>
        <w:widowControl w:val="0"/>
        <w:numPr>
          <w:ilvl w:val="0"/>
          <w:numId w:val="1"/>
        </w:numPr>
        <w:autoSpaceDE w:val="0"/>
        <w:autoSpaceDN w:val="0"/>
        <w:adjustRightInd w:val="0"/>
        <w:spacing w:after="0" w:line="360" w:lineRule="auto"/>
        <w:jc w:val="both"/>
        <w:rPr>
          <w:rFonts w:cstheme="minorHAnsi"/>
          <w:b/>
          <w:sz w:val="24"/>
          <w:szCs w:val="24"/>
        </w:rPr>
      </w:pPr>
      <w:r>
        <w:rPr>
          <w:rFonts w:cstheme="minorHAnsi"/>
          <w:b/>
          <w:sz w:val="24"/>
          <w:szCs w:val="24"/>
        </w:rPr>
        <w:t xml:space="preserve">Artículo 12. </w:t>
      </w:r>
      <w:r w:rsidR="00755B8E">
        <w:rPr>
          <w:rFonts w:cstheme="minorHAnsi"/>
          <w:b/>
          <w:sz w:val="24"/>
          <w:szCs w:val="24"/>
        </w:rPr>
        <w:t xml:space="preserve">Derecho a servicios públicos de salud integral </w:t>
      </w:r>
    </w:p>
    <w:p w14:paraId="76A05F4F" w14:textId="012FA5B8" w:rsidR="00755B8E" w:rsidRDefault="00AE0376" w:rsidP="00736E86">
      <w:pPr>
        <w:pStyle w:val="Prrafodelista"/>
        <w:widowControl w:val="0"/>
        <w:numPr>
          <w:ilvl w:val="0"/>
          <w:numId w:val="1"/>
        </w:numPr>
        <w:autoSpaceDE w:val="0"/>
        <w:autoSpaceDN w:val="0"/>
        <w:adjustRightInd w:val="0"/>
        <w:spacing w:after="0" w:line="360" w:lineRule="auto"/>
        <w:jc w:val="both"/>
        <w:rPr>
          <w:rFonts w:cstheme="minorHAnsi"/>
          <w:b/>
          <w:sz w:val="24"/>
          <w:szCs w:val="24"/>
          <w:lang w:val="es-MX"/>
        </w:rPr>
      </w:pPr>
      <w:r>
        <w:rPr>
          <w:rFonts w:cstheme="minorHAnsi"/>
          <w:b/>
          <w:sz w:val="24"/>
          <w:szCs w:val="24"/>
        </w:rPr>
        <w:t xml:space="preserve">Artículo 8. </w:t>
      </w:r>
      <w:r w:rsidR="00755B8E">
        <w:rPr>
          <w:rFonts w:cstheme="minorHAnsi"/>
          <w:b/>
          <w:sz w:val="24"/>
          <w:szCs w:val="24"/>
        </w:rPr>
        <w:t>Derecho a un empleo digno</w:t>
      </w:r>
    </w:p>
    <w:p w14:paraId="01755EB3" w14:textId="5AA54896" w:rsidR="00755B8E" w:rsidRPr="00305005" w:rsidRDefault="00AE0376" w:rsidP="00736E86">
      <w:pPr>
        <w:pStyle w:val="Prrafodelista"/>
        <w:widowControl w:val="0"/>
        <w:numPr>
          <w:ilvl w:val="0"/>
          <w:numId w:val="1"/>
        </w:numPr>
        <w:autoSpaceDE w:val="0"/>
        <w:autoSpaceDN w:val="0"/>
        <w:adjustRightInd w:val="0"/>
        <w:spacing w:after="0" w:line="360" w:lineRule="auto"/>
        <w:jc w:val="both"/>
        <w:rPr>
          <w:rFonts w:cstheme="minorHAnsi"/>
          <w:b/>
          <w:sz w:val="24"/>
          <w:szCs w:val="24"/>
          <w:lang w:val="es-MX"/>
        </w:rPr>
      </w:pPr>
      <w:r>
        <w:rPr>
          <w:rFonts w:cstheme="minorHAnsi"/>
          <w:b/>
          <w:sz w:val="24"/>
          <w:szCs w:val="24"/>
          <w:lang w:val="es-AR"/>
        </w:rPr>
        <w:t xml:space="preserve">Artículo 2.2. </w:t>
      </w:r>
      <w:r w:rsidR="00755B8E">
        <w:rPr>
          <w:rFonts w:cstheme="minorHAnsi"/>
          <w:b/>
          <w:sz w:val="24"/>
          <w:szCs w:val="24"/>
        </w:rPr>
        <w:t>Derecho a la libertad de organización/participación ciudadana.</w:t>
      </w:r>
    </w:p>
    <w:p w14:paraId="0EBEBC64" w14:textId="77777777" w:rsidR="00755B8E" w:rsidRDefault="00755B8E" w:rsidP="00736E86">
      <w:pPr>
        <w:spacing w:line="360" w:lineRule="auto"/>
        <w:rPr>
          <w:rFonts w:cstheme="minorHAnsi"/>
          <w:sz w:val="24"/>
          <w:szCs w:val="24"/>
        </w:rPr>
      </w:pPr>
    </w:p>
    <w:p w14:paraId="464E071F" w14:textId="2602F41C" w:rsidR="00755B8E" w:rsidRDefault="00AE0376" w:rsidP="00736E86">
      <w:pPr>
        <w:spacing w:line="360" w:lineRule="auto"/>
        <w:rPr>
          <w:rFonts w:cstheme="minorHAnsi"/>
          <w:b/>
          <w:sz w:val="24"/>
          <w:szCs w:val="24"/>
          <w:lang w:val="es-NI"/>
        </w:rPr>
      </w:pPr>
      <w:r>
        <w:rPr>
          <w:rFonts w:cstheme="minorHAnsi"/>
          <w:b/>
          <w:sz w:val="24"/>
          <w:szCs w:val="24"/>
          <w:lang w:val="es-NI"/>
        </w:rPr>
        <w:t xml:space="preserve">Artículo 2.2 </w:t>
      </w:r>
      <w:r w:rsidR="00755B8E">
        <w:rPr>
          <w:rFonts w:cstheme="minorHAnsi"/>
          <w:b/>
          <w:sz w:val="24"/>
          <w:szCs w:val="24"/>
          <w:lang w:val="es-NI"/>
        </w:rPr>
        <w:t>Derecho a vivir sin violencia:</w:t>
      </w:r>
    </w:p>
    <w:p w14:paraId="3A73F77B" w14:textId="755BE47F" w:rsidR="00755B8E" w:rsidRDefault="00755B8E" w:rsidP="00736E86">
      <w:pPr>
        <w:pStyle w:val="Prrafodelista"/>
        <w:numPr>
          <w:ilvl w:val="0"/>
          <w:numId w:val="2"/>
        </w:numPr>
        <w:spacing w:before="240" w:line="360" w:lineRule="auto"/>
        <w:jc w:val="both"/>
        <w:rPr>
          <w:rFonts w:cstheme="minorHAnsi"/>
          <w:b/>
          <w:sz w:val="24"/>
          <w:szCs w:val="24"/>
          <w:lang w:val="es-NI"/>
        </w:rPr>
      </w:pPr>
      <w:r>
        <w:rPr>
          <w:rFonts w:cstheme="minorHAnsi"/>
          <w:sz w:val="24"/>
          <w:szCs w:val="24"/>
          <w:lang w:val="es-NI"/>
        </w:rPr>
        <w:t>La normalización y justificación de la violencia que se ejerce en contra de lesbianas, homosexuales y personas trans está ampliamente extendida en la sociedad nicaragüense. Ocurre tanto es los espacios privados, como en los públicos. La violencia que sufren las personas LGTB</w:t>
      </w:r>
      <w:r w:rsidR="002A007D">
        <w:rPr>
          <w:rFonts w:cstheme="minorHAnsi"/>
          <w:sz w:val="24"/>
          <w:szCs w:val="24"/>
          <w:lang w:val="es-NI"/>
        </w:rPr>
        <w:t>I</w:t>
      </w:r>
      <w:r>
        <w:rPr>
          <w:rFonts w:cstheme="minorHAnsi"/>
          <w:sz w:val="24"/>
          <w:szCs w:val="24"/>
          <w:lang w:val="es-NI"/>
        </w:rPr>
        <w:t xml:space="preserve"> incrementa su vulnerabilidad en todos los ámbitos de la vida.  </w:t>
      </w:r>
    </w:p>
    <w:p w14:paraId="0DEA094C" w14:textId="77777777" w:rsidR="00755B8E" w:rsidRDefault="00755B8E" w:rsidP="00736E86">
      <w:pPr>
        <w:pStyle w:val="Prrafodelista"/>
        <w:numPr>
          <w:ilvl w:val="0"/>
          <w:numId w:val="2"/>
        </w:numPr>
        <w:spacing w:before="240" w:line="360" w:lineRule="auto"/>
        <w:jc w:val="both"/>
        <w:rPr>
          <w:rFonts w:cstheme="minorHAnsi"/>
          <w:b/>
          <w:sz w:val="24"/>
          <w:szCs w:val="24"/>
          <w:lang w:val="es-NI"/>
        </w:rPr>
      </w:pPr>
      <w:r>
        <w:rPr>
          <w:rFonts w:cstheme="minorHAnsi"/>
          <w:sz w:val="24"/>
          <w:szCs w:val="24"/>
          <w:lang w:val="es-NI"/>
        </w:rPr>
        <w:t xml:space="preserve">Las leyes vigentes no tipifican la violencia en contra de personas LGTBI lo que constituye un obstáculo para la interposición de denuncias y el castigo a los perpetradores.  </w:t>
      </w:r>
    </w:p>
    <w:p w14:paraId="66735364" w14:textId="0321B3E5" w:rsidR="00755B8E" w:rsidRDefault="00755B8E" w:rsidP="00736E86">
      <w:pPr>
        <w:pStyle w:val="Prrafodelista"/>
        <w:numPr>
          <w:ilvl w:val="0"/>
          <w:numId w:val="2"/>
        </w:numPr>
        <w:spacing w:before="240" w:line="360" w:lineRule="auto"/>
        <w:jc w:val="both"/>
        <w:rPr>
          <w:rFonts w:cstheme="minorHAnsi"/>
          <w:b/>
          <w:sz w:val="24"/>
          <w:szCs w:val="24"/>
          <w:lang w:val="es-NI"/>
        </w:rPr>
      </w:pPr>
      <w:r>
        <w:rPr>
          <w:rFonts w:cstheme="minorHAnsi"/>
          <w:sz w:val="24"/>
          <w:szCs w:val="24"/>
          <w:lang w:val="es-NI"/>
        </w:rPr>
        <w:t>La Policía Nacional es una de las instituciones que con mayor frecuencia viola los derechos de la población LGTB.  Durante la última década diversos colectivos han documentado casos de maltrato y revictimización a personas de la comunidad LGBT</w:t>
      </w:r>
      <w:r w:rsidR="00E4621B">
        <w:rPr>
          <w:rFonts w:cstheme="minorHAnsi"/>
          <w:sz w:val="24"/>
          <w:szCs w:val="24"/>
          <w:lang w:val="es-NI"/>
        </w:rPr>
        <w:t>I</w:t>
      </w:r>
      <w:r>
        <w:rPr>
          <w:rFonts w:cstheme="minorHAnsi"/>
          <w:sz w:val="24"/>
          <w:szCs w:val="24"/>
          <w:lang w:val="es-NI"/>
        </w:rPr>
        <w:t xml:space="preserve"> que interponen denuncias por agresiones o delitos cometidos por terceros. Se conocen de casos que las </w:t>
      </w:r>
      <w:r w:rsidR="009628B0">
        <w:rPr>
          <w:rFonts w:cstheme="minorHAnsi"/>
          <w:sz w:val="24"/>
          <w:szCs w:val="24"/>
          <w:lang w:val="es-NI"/>
        </w:rPr>
        <w:t>víctimas</w:t>
      </w:r>
      <w:r>
        <w:rPr>
          <w:rFonts w:cstheme="minorHAnsi"/>
          <w:sz w:val="24"/>
          <w:szCs w:val="24"/>
          <w:lang w:val="es-NI"/>
        </w:rPr>
        <w:t xml:space="preserve"> han sido encarceladas de manera injustificada. En </w:t>
      </w:r>
      <w:r>
        <w:rPr>
          <w:rFonts w:cstheme="minorHAnsi"/>
          <w:sz w:val="24"/>
          <w:szCs w:val="24"/>
          <w:lang w:val="es-NI"/>
        </w:rPr>
        <w:lastRenderedPageBreak/>
        <w:t>otros casos, las delegaciones policiales no documentan la denuncia o no tipifican la causa del delito, por lo que no se cuenta con estadísticas que permitan documentar la gravedad del problema</w:t>
      </w:r>
      <w:r w:rsidR="00833CB8">
        <w:rPr>
          <w:rStyle w:val="Refdenotaalpie"/>
          <w:rFonts w:cstheme="minorHAnsi"/>
          <w:sz w:val="24"/>
          <w:szCs w:val="24"/>
          <w:lang w:val="es-NI"/>
        </w:rPr>
        <w:footnoteReference w:id="1"/>
      </w:r>
      <w:r>
        <w:rPr>
          <w:rFonts w:cstheme="minorHAnsi"/>
          <w:sz w:val="24"/>
          <w:szCs w:val="24"/>
          <w:lang w:val="es-NI"/>
        </w:rPr>
        <w:t xml:space="preserve">.  </w:t>
      </w:r>
    </w:p>
    <w:p w14:paraId="715318AA" w14:textId="71DA12AE" w:rsidR="00755B8E" w:rsidRDefault="00755B8E" w:rsidP="00736E86">
      <w:pPr>
        <w:pStyle w:val="Prrafodelista"/>
        <w:numPr>
          <w:ilvl w:val="0"/>
          <w:numId w:val="2"/>
        </w:numPr>
        <w:spacing w:before="240" w:line="360" w:lineRule="auto"/>
        <w:jc w:val="both"/>
        <w:rPr>
          <w:rFonts w:cstheme="minorHAnsi"/>
          <w:bCs/>
          <w:sz w:val="24"/>
          <w:szCs w:val="24"/>
          <w:lang w:val="es-NI"/>
        </w:rPr>
      </w:pPr>
      <w:r>
        <w:rPr>
          <w:rFonts w:cstheme="minorHAnsi"/>
          <w:bCs/>
          <w:sz w:val="24"/>
          <w:szCs w:val="24"/>
          <w:lang w:val="es-NI"/>
        </w:rPr>
        <w:t xml:space="preserve">A pesar de existir una subprocuraduría para la diversidad sexual, esta no ha desarrollado ninguna acción para dar seguimiento a la </w:t>
      </w:r>
      <w:r w:rsidR="004D593B">
        <w:rPr>
          <w:rFonts w:cstheme="minorHAnsi"/>
          <w:bCs/>
          <w:sz w:val="24"/>
          <w:szCs w:val="24"/>
          <w:lang w:val="es-NI"/>
        </w:rPr>
        <w:t xml:space="preserve">violación de derechos </w:t>
      </w:r>
      <w:r>
        <w:rPr>
          <w:rFonts w:cstheme="minorHAnsi"/>
          <w:bCs/>
          <w:sz w:val="24"/>
          <w:szCs w:val="24"/>
          <w:lang w:val="es-NI"/>
        </w:rPr>
        <w:t xml:space="preserve">hacia las personas LGTBI, y monitorear la respuesta de las instituciones </w:t>
      </w:r>
      <w:r w:rsidR="009628B0">
        <w:rPr>
          <w:rFonts w:cstheme="minorHAnsi"/>
          <w:bCs/>
          <w:sz w:val="24"/>
          <w:szCs w:val="24"/>
          <w:lang w:val="es-NI"/>
        </w:rPr>
        <w:t>públicas</w:t>
      </w:r>
      <w:r>
        <w:rPr>
          <w:rFonts w:cstheme="minorHAnsi"/>
          <w:bCs/>
          <w:sz w:val="24"/>
          <w:szCs w:val="24"/>
          <w:lang w:val="es-NI"/>
        </w:rPr>
        <w:t xml:space="preserve"> competentes. </w:t>
      </w:r>
    </w:p>
    <w:p w14:paraId="1BE61CD5" w14:textId="560B84C3" w:rsidR="00755B8E" w:rsidRDefault="00755B8E" w:rsidP="00736E86">
      <w:pPr>
        <w:pStyle w:val="Prrafodelista"/>
        <w:numPr>
          <w:ilvl w:val="0"/>
          <w:numId w:val="2"/>
        </w:numPr>
        <w:spacing w:before="240" w:line="360" w:lineRule="auto"/>
        <w:jc w:val="both"/>
        <w:rPr>
          <w:rFonts w:cstheme="minorHAnsi"/>
          <w:bCs/>
          <w:sz w:val="24"/>
          <w:szCs w:val="24"/>
          <w:lang w:val="es-NI"/>
        </w:rPr>
      </w:pPr>
      <w:r>
        <w:rPr>
          <w:rFonts w:cstheme="minorHAnsi"/>
          <w:bCs/>
          <w:sz w:val="24"/>
          <w:szCs w:val="24"/>
          <w:lang w:val="es-NI"/>
        </w:rPr>
        <w:t>Las mujeres trans que han sido encarceladas por diversas razones, son ubicadas en las cárceles para hombres, siendo expuestas a toda clase de agresiones tanto por parte de los carceleros, como de la población carcelaria masculina. Esta violación de derechos ha quedado particularmente expuesta a partir de la crisis sociopolítica que vive el país desde abril del 2018</w:t>
      </w:r>
      <w:r w:rsidR="00833CB8">
        <w:rPr>
          <w:rStyle w:val="Refdenotaalpie"/>
          <w:rFonts w:cstheme="minorHAnsi"/>
          <w:bCs/>
          <w:sz w:val="24"/>
          <w:szCs w:val="24"/>
          <w:lang w:val="es-NI"/>
        </w:rPr>
        <w:footnoteReference w:id="2"/>
      </w:r>
      <w:r>
        <w:rPr>
          <w:rFonts w:cstheme="minorHAnsi"/>
          <w:bCs/>
          <w:sz w:val="24"/>
          <w:szCs w:val="24"/>
          <w:lang w:val="es-NI"/>
        </w:rPr>
        <w:t xml:space="preserve">. Al menos 5 mujeres trans han sido encarceladas por participar en acciones de protesta cívica en contra del régimen de Daniel Ortega, una de las cuales </w:t>
      </w:r>
      <w:r w:rsidR="009628B0">
        <w:rPr>
          <w:rFonts w:cstheme="minorHAnsi"/>
          <w:bCs/>
          <w:sz w:val="24"/>
          <w:szCs w:val="24"/>
          <w:lang w:val="es-NI"/>
        </w:rPr>
        <w:t>aún</w:t>
      </w:r>
      <w:r>
        <w:rPr>
          <w:rFonts w:cstheme="minorHAnsi"/>
          <w:bCs/>
          <w:sz w:val="24"/>
          <w:szCs w:val="24"/>
          <w:lang w:val="es-NI"/>
        </w:rPr>
        <w:t xml:space="preserve"> se mantiene en una cárcel para hombres</w:t>
      </w:r>
      <w:r w:rsidR="004D593B">
        <w:rPr>
          <w:rFonts w:cstheme="minorHAnsi"/>
          <w:bCs/>
          <w:sz w:val="24"/>
          <w:szCs w:val="24"/>
          <w:lang w:val="es-NI"/>
        </w:rPr>
        <w:t>, en donde ha sufrido toda clase de maltrato y amenazas</w:t>
      </w:r>
      <w:r w:rsidR="007D5EE0">
        <w:rPr>
          <w:rStyle w:val="Refdenotaalpie"/>
          <w:rFonts w:cstheme="minorHAnsi"/>
          <w:bCs/>
          <w:sz w:val="24"/>
          <w:szCs w:val="24"/>
          <w:lang w:val="es-NI"/>
        </w:rPr>
        <w:footnoteReference w:id="3"/>
      </w:r>
      <w:r>
        <w:rPr>
          <w:rFonts w:cstheme="minorHAnsi"/>
          <w:bCs/>
          <w:sz w:val="24"/>
          <w:szCs w:val="24"/>
          <w:lang w:val="es-NI"/>
        </w:rPr>
        <w:t xml:space="preserve">.  </w:t>
      </w:r>
    </w:p>
    <w:p w14:paraId="65ECE095" w14:textId="77777777" w:rsidR="00755B8E" w:rsidRPr="00FE35C5" w:rsidRDefault="00755B8E" w:rsidP="00736E86">
      <w:pPr>
        <w:widowControl w:val="0"/>
        <w:autoSpaceDE w:val="0"/>
        <w:autoSpaceDN w:val="0"/>
        <w:adjustRightInd w:val="0"/>
        <w:spacing w:after="0" w:line="360" w:lineRule="auto"/>
        <w:jc w:val="both"/>
        <w:rPr>
          <w:rFonts w:cstheme="minorHAnsi"/>
          <w:b/>
          <w:sz w:val="24"/>
          <w:szCs w:val="24"/>
          <w:lang w:val="es-NI"/>
        </w:rPr>
      </w:pPr>
    </w:p>
    <w:p w14:paraId="4B709FBA" w14:textId="77777777" w:rsidR="00755B8E" w:rsidRDefault="00755B8E" w:rsidP="00736E86">
      <w:pPr>
        <w:widowControl w:val="0"/>
        <w:autoSpaceDE w:val="0"/>
        <w:autoSpaceDN w:val="0"/>
        <w:adjustRightInd w:val="0"/>
        <w:spacing w:after="0" w:line="360" w:lineRule="auto"/>
        <w:jc w:val="both"/>
        <w:rPr>
          <w:rFonts w:cstheme="minorHAnsi"/>
          <w:b/>
          <w:sz w:val="24"/>
          <w:szCs w:val="24"/>
          <w:lang w:val="es-MX"/>
        </w:rPr>
      </w:pPr>
      <w:r>
        <w:rPr>
          <w:rFonts w:cstheme="minorHAnsi"/>
          <w:b/>
          <w:sz w:val="24"/>
          <w:szCs w:val="24"/>
          <w:lang w:val="es-MX"/>
        </w:rPr>
        <w:t xml:space="preserve">Recomendaciones </w:t>
      </w:r>
    </w:p>
    <w:p w14:paraId="3AAC761E" w14:textId="77777777" w:rsidR="00755B8E" w:rsidRDefault="00755B8E" w:rsidP="00736E86">
      <w:pPr>
        <w:widowControl w:val="0"/>
        <w:autoSpaceDE w:val="0"/>
        <w:autoSpaceDN w:val="0"/>
        <w:adjustRightInd w:val="0"/>
        <w:spacing w:after="0" w:line="360" w:lineRule="auto"/>
        <w:jc w:val="both"/>
        <w:rPr>
          <w:rFonts w:cstheme="minorHAnsi"/>
          <w:b/>
          <w:sz w:val="24"/>
          <w:szCs w:val="24"/>
          <w:lang w:val="es-MX"/>
        </w:rPr>
      </w:pPr>
      <w:r>
        <w:rPr>
          <w:rFonts w:cstheme="minorHAnsi"/>
          <w:b/>
          <w:sz w:val="24"/>
          <w:szCs w:val="24"/>
          <w:lang w:val="es-MX"/>
        </w:rPr>
        <w:t>El Estado de Nicaragua debería:</w:t>
      </w:r>
    </w:p>
    <w:p w14:paraId="053C24AF" w14:textId="77777777" w:rsidR="00755B8E" w:rsidRDefault="00755B8E" w:rsidP="00736E86">
      <w:pPr>
        <w:pStyle w:val="Prrafodelista"/>
        <w:spacing w:after="0" w:line="360" w:lineRule="auto"/>
        <w:rPr>
          <w:rFonts w:cstheme="minorHAnsi"/>
          <w:sz w:val="24"/>
          <w:szCs w:val="24"/>
          <w:lang w:val="es-MX"/>
        </w:rPr>
      </w:pPr>
    </w:p>
    <w:p w14:paraId="6F58017F"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MX"/>
        </w:rPr>
        <w:t xml:space="preserve">Desarrollar </w:t>
      </w:r>
      <w:r>
        <w:rPr>
          <w:rFonts w:cstheme="minorHAnsi"/>
          <w:sz w:val="24"/>
          <w:szCs w:val="24"/>
          <w:lang w:val="es-NI"/>
        </w:rPr>
        <w:t xml:space="preserve">campañas permanentes de sensibilización para la erradicación de la violencia, incluyendo la que se ejerce en contra de cuerpos disidentes. </w:t>
      </w:r>
    </w:p>
    <w:p w14:paraId="1E3E609F"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Promover en el currículo educativo, la prevención de todas las formas de violencia, incluyendo la que se ejerce en contra de los cuerpos disidentes. </w:t>
      </w:r>
    </w:p>
    <w:p w14:paraId="5A0D746C"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lastRenderedPageBreak/>
        <w:t xml:space="preserve">Incluir en el código penal, la tipificación de los delitos de odio en contra de la población LGTBI, incluyendo discursos de odio difundidos de forma directa o virtual. </w:t>
      </w:r>
    </w:p>
    <w:p w14:paraId="51384A12"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Crear una fiscalía especializada para atender denuncias por actos de violencia y discriminación en contra de la población LGTBI.</w:t>
      </w:r>
    </w:p>
    <w:p w14:paraId="777E7186" w14:textId="2E7072F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Garantizar el funcionamiento de la subprocuraduría especial para la diversidad sexual</w:t>
      </w:r>
      <w:r w:rsidR="004D593B">
        <w:rPr>
          <w:rFonts w:cstheme="minorHAnsi"/>
          <w:sz w:val="24"/>
          <w:szCs w:val="24"/>
          <w:lang w:val="es-NI"/>
        </w:rPr>
        <w:t>, de tal manera que este en condiciones de velar</w:t>
      </w:r>
      <w:r>
        <w:rPr>
          <w:rFonts w:cstheme="minorHAnsi"/>
          <w:sz w:val="24"/>
          <w:szCs w:val="24"/>
          <w:lang w:val="es-NI"/>
        </w:rPr>
        <w:t xml:space="preserve"> por los derechos humanos de la población LGTBI, incluyendo el derecho a vivir libres de violencia. </w:t>
      </w:r>
    </w:p>
    <w:p w14:paraId="48D60B7A" w14:textId="2AF7465F"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Desarrollar programas específicos de atención a la población LGTBI </w:t>
      </w:r>
      <w:r w:rsidR="00007A13">
        <w:rPr>
          <w:rFonts w:cstheme="minorHAnsi"/>
          <w:sz w:val="24"/>
          <w:szCs w:val="24"/>
          <w:lang w:val="es-NI"/>
        </w:rPr>
        <w:t>víctima</w:t>
      </w:r>
      <w:r>
        <w:rPr>
          <w:rFonts w:cstheme="minorHAnsi"/>
          <w:sz w:val="24"/>
          <w:szCs w:val="24"/>
          <w:lang w:val="es-NI"/>
        </w:rPr>
        <w:t xml:space="preserve"> de violencia, incluyendo atención psicosocial y centros de acogida. </w:t>
      </w:r>
    </w:p>
    <w:p w14:paraId="6DD9BE1B" w14:textId="77777777" w:rsidR="004D593B"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Definir protocolos de protección especial a personas LGTB que son encarceladas por la comisión de delitos, a fin de evitar agresiones por parte de carceleros y el resto de la población carcelaria. Evitar la reclusión de mujeres trans en cárceles destinadas para los hombres.</w:t>
      </w:r>
    </w:p>
    <w:p w14:paraId="4F4B3EDA" w14:textId="04AF36FF" w:rsidR="00AD2F8F" w:rsidRDefault="004D593B"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Liberación inmediata de la</w:t>
      </w:r>
      <w:r w:rsidR="002A007D">
        <w:rPr>
          <w:rFonts w:cstheme="minorHAnsi"/>
          <w:sz w:val="24"/>
          <w:szCs w:val="24"/>
          <w:lang w:val="es-NI"/>
        </w:rPr>
        <w:t>s</w:t>
      </w:r>
      <w:r>
        <w:rPr>
          <w:rFonts w:cstheme="minorHAnsi"/>
          <w:sz w:val="24"/>
          <w:szCs w:val="24"/>
          <w:lang w:val="es-NI"/>
        </w:rPr>
        <w:t xml:space="preserve"> activista</w:t>
      </w:r>
      <w:r w:rsidR="002A007D">
        <w:rPr>
          <w:rFonts w:cstheme="minorHAnsi"/>
          <w:sz w:val="24"/>
          <w:szCs w:val="24"/>
          <w:lang w:val="es-NI"/>
        </w:rPr>
        <w:t>s</w:t>
      </w:r>
      <w:r>
        <w:rPr>
          <w:rFonts w:cstheme="minorHAnsi"/>
          <w:sz w:val="24"/>
          <w:szCs w:val="24"/>
          <w:lang w:val="es-NI"/>
        </w:rPr>
        <w:t xml:space="preserve"> trans injustamente encarcelada</w:t>
      </w:r>
      <w:r w:rsidR="00687E89">
        <w:rPr>
          <w:rFonts w:cstheme="minorHAnsi"/>
          <w:sz w:val="24"/>
          <w:szCs w:val="24"/>
          <w:lang w:val="es-NI"/>
        </w:rPr>
        <w:t>s</w:t>
      </w:r>
      <w:r>
        <w:rPr>
          <w:rFonts w:cstheme="minorHAnsi"/>
          <w:sz w:val="24"/>
          <w:szCs w:val="24"/>
          <w:lang w:val="es-NI"/>
        </w:rPr>
        <w:t xml:space="preserve">. </w:t>
      </w:r>
      <w:r w:rsidR="00755B8E">
        <w:rPr>
          <w:rFonts w:cstheme="minorHAnsi"/>
          <w:sz w:val="24"/>
          <w:szCs w:val="24"/>
          <w:lang w:val="es-NI"/>
        </w:rPr>
        <w:t xml:space="preserve">  </w:t>
      </w:r>
    </w:p>
    <w:p w14:paraId="50DD8ABC" w14:textId="77777777" w:rsidR="002A007D" w:rsidRPr="002A007D" w:rsidRDefault="002A007D" w:rsidP="002A007D">
      <w:pPr>
        <w:pStyle w:val="Prrafodelista"/>
        <w:spacing w:line="360" w:lineRule="auto"/>
        <w:jc w:val="both"/>
        <w:rPr>
          <w:rFonts w:cstheme="minorHAnsi"/>
          <w:sz w:val="24"/>
          <w:szCs w:val="24"/>
          <w:lang w:val="es-NI"/>
        </w:rPr>
      </w:pPr>
    </w:p>
    <w:p w14:paraId="02595404" w14:textId="03E04F34" w:rsidR="00755B8E" w:rsidRDefault="007D5EE0" w:rsidP="00736E86">
      <w:pPr>
        <w:spacing w:line="360" w:lineRule="auto"/>
        <w:jc w:val="both"/>
        <w:rPr>
          <w:rFonts w:cstheme="minorHAnsi"/>
          <w:sz w:val="24"/>
          <w:szCs w:val="24"/>
          <w:lang w:val="es-NI"/>
        </w:rPr>
      </w:pPr>
      <w:r>
        <w:rPr>
          <w:rFonts w:cstheme="minorHAnsi"/>
          <w:b/>
          <w:sz w:val="24"/>
          <w:szCs w:val="24"/>
          <w:lang w:val="es-NI"/>
        </w:rPr>
        <w:t xml:space="preserve">Artículo 13. </w:t>
      </w:r>
      <w:r w:rsidR="00755B8E">
        <w:rPr>
          <w:rFonts w:cstheme="minorHAnsi"/>
          <w:b/>
          <w:sz w:val="24"/>
          <w:szCs w:val="24"/>
          <w:lang w:val="es-NI"/>
        </w:rPr>
        <w:t>Derecho a una educación de calidad</w:t>
      </w:r>
    </w:p>
    <w:p w14:paraId="5E2C5AE0" w14:textId="4A9E3BBF" w:rsidR="00755B8E" w:rsidRPr="00252C37"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Homosexuales, lesbianas, bisexuales y personas trans sufren toda clase de agresiones y actos discriminatorios en los centros educativos públicos y privados</w:t>
      </w:r>
      <w:r w:rsidR="007D5EE0">
        <w:rPr>
          <w:rStyle w:val="Refdenotaalpie"/>
          <w:rFonts w:cstheme="minorHAnsi"/>
          <w:sz w:val="24"/>
          <w:szCs w:val="24"/>
          <w:lang w:val="es-NI"/>
        </w:rPr>
        <w:footnoteReference w:id="4"/>
      </w:r>
      <w:r>
        <w:rPr>
          <w:rFonts w:cstheme="minorHAnsi"/>
          <w:sz w:val="24"/>
          <w:szCs w:val="24"/>
          <w:lang w:val="es-NI"/>
        </w:rPr>
        <w:t>. No se cuenta con protocolos que prohíban y sancionen actos de discriminación cometidos por docentes, personal administrativo y estudiantes.</w:t>
      </w:r>
      <w:r w:rsidR="007D5EE0">
        <w:rPr>
          <w:rFonts w:cstheme="minorHAnsi"/>
          <w:sz w:val="24"/>
          <w:szCs w:val="24"/>
          <w:lang w:val="es-NI"/>
        </w:rPr>
        <w:t xml:space="preserve"> </w:t>
      </w:r>
      <w:r w:rsidRPr="00252C37">
        <w:rPr>
          <w:rFonts w:cstheme="minorHAnsi"/>
          <w:sz w:val="24"/>
          <w:szCs w:val="24"/>
          <w:lang w:val="es-NI"/>
        </w:rPr>
        <w:t>Las agresiones que incluyen burlas, ofensas y amenazas hacia lesbianas, homosexuales y trans, hacen que muchas de ellas abandonen sus estudios o adopten medidas de aislamiento, autocensura y encubrimiento de su identidad.</w:t>
      </w:r>
      <w:r w:rsidR="007D5EE0">
        <w:rPr>
          <w:rFonts w:cstheme="minorHAnsi"/>
          <w:sz w:val="24"/>
          <w:szCs w:val="24"/>
          <w:lang w:val="es-NI"/>
        </w:rPr>
        <w:t xml:space="preserve"> Esta </w:t>
      </w:r>
      <w:r w:rsidR="007D5EE0" w:rsidRPr="007D5EE0">
        <w:rPr>
          <w:rFonts w:cstheme="minorHAnsi"/>
          <w:sz w:val="24"/>
          <w:szCs w:val="24"/>
          <w:lang w:val="es-NI"/>
        </w:rPr>
        <w:t xml:space="preserve">vulneración del derecho a la educación limita el pleno desarrollo de la personalidad humana y del sentido de </w:t>
      </w:r>
      <w:r w:rsidR="00A4004C">
        <w:rPr>
          <w:rFonts w:cstheme="minorHAnsi"/>
          <w:sz w:val="24"/>
          <w:szCs w:val="24"/>
          <w:lang w:val="es-NI"/>
        </w:rPr>
        <w:t>la</w:t>
      </w:r>
      <w:r w:rsidR="007D5EE0" w:rsidRPr="007D5EE0">
        <w:rPr>
          <w:rFonts w:cstheme="minorHAnsi"/>
          <w:sz w:val="24"/>
          <w:szCs w:val="24"/>
          <w:lang w:val="es-NI"/>
        </w:rPr>
        <w:t xml:space="preserve"> dignidad</w:t>
      </w:r>
      <w:r w:rsidR="00A4004C">
        <w:rPr>
          <w:rFonts w:cstheme="minorHAnsi"/>
          <w:sz w:val="24"/>
          <w:szCs w:val="24"/>
          <w:lang w:val="es-NI"/>
        </w:rPr>
        <w:t xml:space="preserve"> para las personas LGBT</w:t>
      </w:r>
      <w:r w:rsidR="00E4621B">
        <w:rPr>
          <w:rFonts w:cstheme="minorHAnsi"/>
          <w:sz w:val="24"/>
          <w:szCs w:val="24"/>
          <w:lang w:val="es-NI"/>
        </w:rPr>
        <w:t>I</w:t>
      </w:r>
      <w:r w:rsidR="00A4004C">
        <w:rPr>
          <w:rFonts w:cstheme="minorHAnsi"/>
          <w:sz w:val="24"/>
          <w:szCs w:val="24"/>
          <w:lang w:val="es-NI"/>
        </w:rPr>
        <w:t xml:space="preserve">. </w:t>
      </w:r>
    </w:p>
    <w:p w14:paraId="66A73D35" w14:textId="67D689D3"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lastRenderedPageBreak/>
        <w:t>La violación sistemática del carácter laico de la educación, se expresa en</w:t>
      </w:r>
      <w:r w:rsidR="00AD2F8F">
        <w:rPr>
          <w:rFonts w:cstheme="minorHAnsi"/>
          <w:sz w:val="24"/>
          <w:szCs w:val="24"/>
          <w:lang w:val="es-NI"/>
        </w:rPr>
        <w:t>tre otros aspectos, en</w:t>
      </w:r>
      <w:r>
        <w:rPr>
          <w:rFonts w:cstheme="minorHAnsi"/>
          <w:sz w:val="24"/>
          <w:szCs w:val="24"/>
          <w:lang w:val="es-NI"/>
        </w:rPr>
        <w:t xml:space="preserve"> el uso de creencias religiosas para la diseminación de toda clase de prejuicios hacia la población LGTB</w:t>
      </w:r>
      <w:r w:rsidR="00A4004C">
        <w:rPr>
          <w:rFonts w:cstheme="minorHAnsi"/>
          <w:sz w:val="24"/>
          <w:szCs w:val="24"/>
          <w:lang w:val="es-NI"/>
        </w:rPr>
        <w:t>I</w:t>
      </w:r>
      <w:r>
        <w:rPr>
          <w:rFonts w:cstheme="minorHAnsi"/>
          <w:sz w:val="24"/>
          <w:szCs w:val="24"/>
          <w:lang w:val="es-NI"/>
        </w:rPr>
        <w:t xml:space="preserve">.   </w:t>
      </w:r>
    </w:p>
    <w:p w14:paraId="38E4016E" w14:textId="2187DD14"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ES"/>
        </w:rPr>
        <w:t xml:space="preserve">No existen políticas de inclusión para la población LGBTI, </w:t>
      </w:r>
      <w:r w:rsidR="00AD2F8F">
        <w:rPr>
          <w:rFonts w:cstheme="minorHAnsi"/>
          <w:sz w:val="24"/>
          <w:szCs w:val="24"/>
          <w:lang w:val="es-ES"/>
        </w:rPr>
        <w:t xml:space="preserve">quienes ante la falta de recursos económicos en muchos casos optan por abandonar las escuelas incluso antes de completar los 6 años de educación primaria. </w:t>
      </w:r>
      <w:r>
        <w:rPr>
          <w:rFonts w:cstheme="minorHAnsi"/>
          <w:sz w:val="24"/>
          <w:szCs w:val="24"/>
          <w:lang w:val="es-ES"/>
        </w:rPr>
        <w:t xml:space="preserve">La </w:t>
      </w:r>
      <w:r w:rsidR="00AD2F8F">
        <w:rPr>
          <w:rFonts w:cstheme="minorHAnsi"/>
          <w:sz w:val="24"/>
          <w:szCs w:val="24"/>
          <w:lang w:val="es-ES"/>
        </w:rPr>
        <w:t xml:space="preserve">violencia y la </w:t>
      </w:r>
      <w:r>
        <w:rPr>
          <w:rFonts w:cstheme="minorHAnsi"/>
          <w:sz w:val="24"/>
          <w:szCs w:val="24"/>
          <w:lang w:val="es-ES"/>
        </w:rPr>
        <w:t xml:space="preserve">pobreza </w:t>
      </w:r>
      <w:r w:rsidR="00AD2F8F">
        <w:rPr>
          <w:rFonts w:cstheme="minorHAnsi"/>
          <w:sz w:val="24"/>
          <w:szCs w:val="24"/>
          <w:lang w:val="es-ES"/>
        </w:rPr>
        <w:t xml:space="preserve">están entre las principales </w:t>
      </w:r>
      <w:r>
        <w:rPr>
          <w:rFonts w:cstheme="minorHAnsi"/>
          <w:sz w:val="24"/>
          <w:szCs w:val="24"/>
          <w:lang w:val="es-ES"/>
        </w:rPr>
        <w:t>causas que obligan a la población LGTBI a abandonar la escuela</w:t>
      </w:r>
      <w:r w:rsidR="00AD2F8F">
        <w:rPr>
          <w:rFonts w:cstheme="minorHAnsi"/>
          <w:sz w:val="24"/>
          <w:szCs w:val="24"/>
          <w:lang w:val="es-ES"/>
        </w:rPr>
        <w:t>, lo que a su vez repercute en las posibilidades de encontrar un empleo, convirtiéndose así, en un círculo vicioso</w:t>
      </w:r>
      <w:r w:rsidR="00A4004C">
        <w:rPr>
          <w:rStyle w:val="Refdenotaalpie"/>
          <w:rFonts w:cstheme="minorHAnsi"/>
          <w:sz w:val="24"/>
          <w:szCs w:val="24"/>
          <w:lang w:val="es-ES"/>
        </w:rPr>
        <w:footnoteReference w:id="5"/>
      </w:r>
      <w:r>
        <w:rPr>
          <w:rFonts w:cstheme="minorHAnsi"/>
          <w:sz w:val="24"/>
          <w:szCs w:val="24"/>
          <w:lang w:val="es-ES"/>
        </w:rPr>
        <w:t xml:space="preserve">. </w:t>
      </w:r>
    </w:p>
    <w:p w14:paraId="0EE28C42" w14:textId="2D3D282B" w:rsidR="00755B8E" w:rsidRPr="00AD2F8F" w:rsidRDefault="00755B8E" w:rsidP="00736E86">
      <w:pPr>
        <w:pStyle w:val="Prrafodelista"/>
        <w:widowControl w:val="0"/>
        <w:numPr>
          <w:ilvl w:val="0"/>
          <w:numId w:val="2"/>
        </w:numPr>
        <w:autoSpaceDE w:val="0"/>
        <w:autoSpaceDN w:val="0"/>
        <w:adjustRightInd w:val="0"/>
        <w:spacing w:after="0" w:line="360" w:lineRule="auto"/>
        <w:jc w:val="both"/>
        <w:rPr>
          <w:rFonts w:cstheme="minorHAnsi"/>
          <w:b/>
          <w:sz w:val="24"/>
          <w:szCs w:val="24"/>
          <w:lang w:val="es-MX"/>
        </w:rPr>
      </w:pPr>
      <w:r w:rsidRPr="00AD2F8F">
        <w:rPr>
          <w:rFonts w:cstheme="minorHAnsi"/>
          <w:sz w:val="24"/>
          <w:szCs w:val="24"/>
          <w:lang w:val="es-ES"/>
        </w:rPr>
        <w:t xml:space="preserve">La </w:t>
      </w:r>
      <w:r w:rsidRPr="00371B0D">
        <w:rPr>
          <w:rFonts w:cstheme="minorHAnsi"/>
          <w:sz w:val="24"/>
          <w:szCs w:val="24"/>
          <w:lang w:val="es-ES"/>
        </w:rPr>
        <w:t>ausencia de un programa de educación integral en la sexualidad</w:t>
      </w:r>
      <w:r w:rsidR="00AD2F8F" w:rsidRPr="00371B0D">
        <w:rPr>
          <w:rFonts w:cstheme="minorHAnsi"/>
          <w:sz w:val="24"/>
          <w:szCs w:val="24"/>
          <w:lang w:val="es-ES"/>
        </w:rPr>
        <w:t xml:space="preserve"> en la </w:t>
      </w:r>
      <w:r w:rsidR="00AD2F8F" w:rsidRPr="007277DC">
        <w:rPr>
          <w:rFonts w:cstheme="minorHAnsi"/>
          <w:sz w:val="24"/>
          <w:szCs w:val="24"/>
          <w:lang w:val="es-ES"/>
        </w:rPr>
        <w:t xml:space="preserve">enseñanza </w:t>
      </w:r>
      <w:r w:rsidR="00AD2F8F" w:rsidRPr="00AD2F8F">
        <w:rPr>
          <w:rFonts w:cstheme="minorHAnsi"/>
          <w:sz w:val="24"/>
          <w:szCs w:val="24"/>
          <w:lang w:val="es-ES"/>
        </w:rPr>
        <w:t xml:space="preserve">pública, </w:t>
      </w:r>
      <w:r w:rsidRPr="00AD2F8F">
        <w:rPr>
          <w:rFonts w:cstheme="minorHAnsi"/>
          <w:sz w:val="24"/>
          <w:szCs w:val="24"/>
          <w:lang w:val="es-ES"/>
        </w:rPr>
        <w:t xml:space="preserve">impide una adecuada formación </w:t>
      </w:r>
      <w:r w:rsidR="00AD2F8F" w:rsidRPr="00AD2F8F">
        <w:rPr>
          <w:rFonts w:cstheme="minorHAnsi"/>
          <w:sz w:val="24"/>
          <w:szCs w:val="24"/>
          <w:lang w:val="es-ES"/>
        </w:rPr>
        <w:t xml:space="preserve">a </w:t>
      </w:r>
      <w:r w:rsidRPr="00AD2F8F">
        <w:rPr>
          <w:rFonts w:cstheme="minorHAnsi"/>
          <w:sz w:val="24"/>
          <w:szCs w:val="24"/>
          <w:lang w:val="es-ES"/>
        </w:rPr>
        <w:t>docentes</w:t>
      </w:r>
      <w:r w:rsidR="00AD2F8F" w:rsidRPr="00AD2F8F">
        <w:rPr>
          <w:rFonts w:cstheme="minorHAnsi"/>
          <w:sz w:val="24"/>
          <w:szCs w:val="24"/>
          <w:lang w:val="es-ES"/>
        </w:rPr>
        <w:t>, de tal manera que logren una adecuada comprensión de la sexualidad incluyendo aspectos relativos a la orientación sexual y la identidad de género</w:t>
      </w:r>
      <w:r w:rsidR="00AD2F8F">
        <w:rPr>
          <w:rFonts w:cstheme="minorHAnsi"/>
          <w:sz w:val="24"/>
          <w:szCs w:val="24"/>
          <w:lang w:val="es-ES"/>
        </w:rPr>
        <w:t xml:space="preserve">, desde una perspectiva científica y de derechos humanos. </w:t>
      </w:r>
      <w:r w:rsidR="00AD2F8F" w:rsidRPr="00AD2F8F">
        <w:rPr>
          <w:rFonts w:cstheme="minorHAnsi"/>
          <w:sz w:val="24"/>
          <w:szCs w:val="24"/>
          <w:lang w:val="es-ES"/>
        </w:rPr>
        <w:t xml:space="preserve"> </w:t>
      </w:r>
    </w:p>
    <w:p w14:paraId="572EA483" w14:textId="77777777" w:rsidR="00AD2F8F" w:rsidRDefault="00AD2F8F" w:rsidP="00736E86">
      <w:pPr>
        <w:widowControl w:val="0"/>
        <w:autoSpaceDE w:val="0"/>
        <w:autoSpaceDN w:val="0"/>
        <w:adjustRightInd w:val="0"/>
        <w:spacing w:after="0" w:line="360" w:lineRule="auto"/>
        <w:jc w:val="both"/>
        <w:rPr>
          <w:rFonts w:cstheme="minorHAnsi"/>
          <w:b/>
          <w:sz w:val="24"/>
          <w:szCs w:val="24"/>
          <w:lang w:val="es-MX"/>
        </w:rPr>
      </w:pPr>
    </w:p>
    <w:p w14:paraId="242B842A" w14:textId="3ED39CAE" w:rsidR="00755B8E" w:rsidRDefault="00755B8E" w:rsidP="00736E86">
      <w:pPr>
        <w:widowControl w:val="0"/>
        <w:autoSpaceDE w:val="0"/>
        <w:autoSpaceDN w:val="0"/>
        <w:adjustRightInd w:val="0"/>
        <w:spacing w:after="0" w:line="360" w:lineRule="auto"/>
        <w:jc w:val="both"/>
        <w:rPr>
          <w:rFonts w:cstheme="minorHAnsi"/>
          <w:b/>
          <w:sz w:val="24"/>
          <w:szCs w:val="24"/>
          <w:lang w:val="es-MX"/>
        </w:rPr>
      </w:pPr>
      <w:r>
        <w:rPr>
          <w:rFonts w:cstheme="minorHAnsi"/>
          <w:b/>
          <w:sz w:val="24"/>
          <w:szCs w:val="24"/>
          <w:lang w:val="es-MX"/>
        </w:rPr>
        <w:t>Recomendaciones</w:t>
      </w:r>
    </w:p>
    <w:p w14:paraId="3479FDF9" w14:textId="77777777" w:rsidR="00755B8E" w:rsidRDefault="00755B8E" w:rsidP="00736E86">
      <w:pPr>
        <w:widowControl w:val="0"/>
        <w:autoSpaceDE w:val="0"/>
        <w:autoSpaceDN w:val="0"/>
        <w:adjustRightInd w:val="0"/>
        <w:spacing w:after="0" w:line="360" w:lineRule="auto"/>
        <w:jc w:val="both"/>
        <w:rPr>
          <w:rFonts w:cstheme="minorHAnsi"/>
          <w:b/>
          <w:sz w:val="24"/>
          <w:szCs w:val="24"/>
          <w:lang w:val="es-MX"/>
        </w:rPr>
      </w:pPr>
      <w:r>
        <w:rPr>
          <w:rFonts w:cstheme="minorHAnsi"/>
          <w:b/>
          <w:sz w:val="24"/>
          <w:szCs w:val="24"/>
          <w:lang w:val="es-MX"/>
        </w:rPr>
        <w:t>El Estado de Nicaragua debería:</w:t>
      </w:r>
    </w:p>
    <w:p w14:paraId="47111492" w14:textId="77777777" w:rsidR="00755B8E" w:rsidRDefault="00755B8E" w:rsidP="00736E86">
      <w:pPr>
        <w:widowControl w:val="0"/>
        <w:autoSpaceDE w:val="0"/>
        <w:autoSpaceDN w:val="0"/>
        <w:adjustRightInd w:val="0"/>
        <w:spacing w:after="0" w:line="360" w:lineRule="auto"/>
        <w:jc w:val="both"/>
        <w:rPr>
          <w:rFonts w:cstheme="minorHAnsi"/>
          <w:b/>
          <w:sz w:val="24"/>
          <w:szCs w:val="24"/>
          <w:lang w:val="es-MX"/>
        </w:rPr>
      </w:pPr>
    </w:p>
    <w:p w14:paraId="754EFA14"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MX"/>
        </w:rPr>
        <w:t xml:space="preserve"> </w:t>
      </w:r>
      <w:r>
        <w:rPr>
          <w:rFonts w:cstheme="minorHAnsi"/>
          <w:sz w:val="24"/>
          <w:szCs w:val="24"/>
          <w:lang w:val="es-NI"/>
        </w:rPr>
        <w:t xml:space="preserve">Elaborar una política integral de educación con un enfoque laico en correspondencia con lo establecido en la Constitución política, que permita la comprensión y celebración de la diversidad sexual y de género.  </w:t>
      </w:r>
    </w:p>
    <w:p w14:paraId="71DCD7AF"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Incluir en los programas educativos a todos los niveles, la educación integral en la sexualidad, lo que permitiría entre otros aspectos, analizar las categorías sexo y género desde una perspectiva científica, así como la prevención de la violencia. </w:t>
      </w:r>
    </w:p>
    <w:p w14:paraId="404B4FAF" w14:textId="35F7AE55"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Desarrollar una política afirmativa que favorezca la incorporación y permanencia de personas LGTB</w:t>
      </w:r>
      <w:r w:rsidR="000D6E5A">
        <w:rPr>
          <w:rFonts w:cstheme="minorHAnsi"/>
          <w:sz w:val="24"/>
          <w:szCs w:val="24"/>
          <w:lang w:val="es-NI"/>
        </w:rPr>
        <w:t>I</w:t>
      </w:r>
      <w:r>
        <w:rPr>
          <w:rFonts w:cstheme="minorHAnsi"/>
          <w:sz w:val="24"/>
          <w:szCs w:val="24"/>
          <w:lang w:val="es-NI"/>
        </w:rPr>
        <w:t xml:space="preserve"> a todos los niveles.</w:t>
      </w:r>
    </w:p>
    <w:p w14:paraId="243CB0D6"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lastRenderedPageBreak/>
        <w:t xml:space="preserve">Establecer protocolos que establezcan la responsabilidad de autoridades educativas y docentes en la prevención de la violencia y actos discriminatorios hacia personas LGTB. </w:t>
      </w:r>
    </w:p>
    <w:p w14:paraId="4758C76D" w14:textId="77777777" w:rsidR="00755B8E" w:rsidRDefault="00755B8E" w:rsidP="00736E86">
      <w:pPr>
        <w:pStyle w:val="Prrafodelista"/>
        <w:numPr>
          <w:ilvl w:val="0"/>
          <w:numId w:val="2"/>
        </w:numPr>
        <w:spacing w:line="360" w:lineRule="auto"/>
        <w:jc w:val="both"/>
        <w:rPr>
          <w:rFonts w:cstheme="minorHAnsi"/>
          <w:b/>
          <w:sz w:val="24"/>
          <w:szCs w:val="24"/>
          <w:lang w:val="es-NI"/>
        </w:rPr>
      </w:pPr>
      <w:r>
        <w:rPr>
          <w:rFonts w:cstheme="minorHAnsi"/>
          <w:sz w:val="24"/>
          <w:szCs w:val="24"/>
          <w:lang w:val="es-NI"/>
        </w:rPr>
        <w:t>Promover el trabajo conjunto entre las escuelas y los colectivos LGTB para promover los derechos humanos y el respeto a la diversidad sexual y de género.</w:t>
      </w:r>
    </w:p>
    <w:p w14:paraId="33E77797" w14:textId="6D928BED" w:rsidR="00755B8E" w:rsidRDefault="00755B8E" w:rsidP="00736E86">
      <w:pPr>
        <w:pStyle w:val="Prrafodelista"/>
        <w:spacing w:line="360" w:lineRule="auto"/>
        <w:jc w:val="both"/>
        <w:rPr>
          <w:rFonts w:cstheme="minorHAnsi"/>
          <w:b/>
          <w:sz w:val="24"/>
          <w:szCs w:val="24"/>
          <w:lang w:val="es-NI"/>
        </w:rPr>
      </w:pPr>
    </w:p>
    <w:p w14:paraId="2714A6F8" w14:textId="7700D23B" w:rsidR="00755B8E" w:rsidRDefault="00252C37" w:rsidP="00336314">
      <w:pPr>
        <w:spacing w:line="360" w:lineRule="auto"/>
        <w:jc w:val="both"/>
        <w:rPr>
          <w:rFonts w:cstheme="minorHAnsi"/>
          <w:b/>
          <w:sz w:val="24"/>
          <w:szCs w:val="24"/>
          <w:lang w:val="es-NI"/>
        </w:rPr>
      </w:pPr>
      <w:r>
        <w:rPr>
          <w:rFonts w:cstheme="minorHAnsi"/>
          <w:b/>
          <w:sz w:val="24"/>
          <w:szCs w:val="24"/>
        </w:rPr>
        <w:t xml:space="preserve">Artículo 12. </w:t>
      </w:r>
      <w:r w:rsidR="00755B8E">
        <w:rPr>
          <w:rFonts w:cstheme="minorHAnsi"/>
          <w:b/>
          <w:sz w:val="24"/>
          <w:szCs w:val="24"/>
        </w:rPr>
        <w:t>Derecho a servicios públicos de salud integral</w:t>
      </w:r>
    </w:p>
    <w:p w14:paraId="5E563815" w14:textId="77777777" w:rsidR="00755B8E" w:rsidRDefault="00755B8E" w:rsidP="00736E86">
      <w:pPr>
        <w:pStyle w:val="Prrafodelista"/>
        <w:numPr>
          <w:ilvl w:val="0"/>
          <w:numId w:val="2"/>
        </w:numPr>
        <w:spacing w:after="200" w:line="360" w:lineRule="auto"/>
        <w:jc w:val="both"/>
        <w:rPr>
          <w:rFonts w:cstheme="minorHAnsi"/>
          <w:sz w:val="24"/>
          <w:szCs w:val="24"/>
          <w:lang w:val="es-ES"/>
        </w:rPr>
      </w:pPr>
      <w:r>
        <w:rPr>
          <w:rFonts w:cstheme="minorHAnsi"/>
          <w:sz w:val="24"/>
          <w:szCs w:val="24"/>
          <w:lang w:val="es-ES"/>
        </w:rPr>
        <w:t>El Ministerio de Salud no cuenta con estudios, ni estadísticas que permitan conocer a profundidad no solo la prevalencia de determinadas enfermedades, sino las necesidades de la población LGTBI desde una perspectiva integral.</w:t>
      </w:r>
    </w:p>
    <w:p w14:paraId="2CB25C1D"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Las personas LGTB que viven en condiciones de pobreza son altamente vulnerables a padecer enfermedades infectocontagiosas y crónicas. Otros problemas relacionados con las adicciones, no son incorporadas en los programas de atención. </w:t>
      </w:r>
    </w:p>
    <w:p w14:paraId="5184A03F" w14:textId="63E4BA52"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La ausencia de programas de prevención de infecciones de transmisión sexual (ITS) afecta de modo particular a personas jóvenes expuestas a prácticas de riesgo. En el caso de la población LGTBI, esta </w:t>
      </w:r>
      <w:r w:rsidR="00AD2F8F">
        <w:rPr>
          <w:rFonts w:cstheme="minorHAnsi"/>
          <w:sz w:val="24"/>
          <w:szCs w:val="24"/>
          <w:lang w:val="es-NI"/>
        </w:rPr>
        <w:t xml:space="preserve">deficiencia </w:t>
      </w:r>
      <w:r w:rsidR="00371B0D">
        <w:rPr>
          <w:rFonts w:cstheme="minorHAnsi"/>
          <w:sz w:val="24"/>
          <w:szCs w:val="24"/>
          <w:lang w:val="es-NI"/>
        </w:rPr>
        <w:t xml:space="preserve">es mayor ya que evitan asistir a centros de salud y hospital por temor al maltrato y la ridiculización de que son objeto. </w:t>
      </w:r>
      <w:r w:rsidR="00CF5746">
        <w:rPr>
          <w:rStyle w:val="Refdenotaalpie"/>
          <w:rFonts w:cstheme="minorHAnsi"/>
          <w:sz w:val="24"/>
          <w:szCs w:val="24"/>
          <w:lang w:val="es-NI"/>
        </w:rPr>
        <w:footnoteReference w:id="6"/>
      </w:r>
      <w:r>
        <w:rPr>
          <w:rFonts w:cstheme="minorHAnsi"/>
          <w:sz w:val="24"/>
          <w:szCs w:val="24"/>
          <w:lang w:val="es-NI"/>
        </w:rPr>
        <w:t xml:space="preserve"> </w:t>
      </w:r>
    </w:p>
    <w:p w14:paraId="68047750" w14:textId="691F7722" w:rsidR="00755B8E" w:rsidRDefault="00755B8E" w:rsidP="00736E86">
      <w:pPr>
        <w:pStyle w:val="Prrafodelista"/>
        <w:numPr>
          <w:ilvl w:val="0"/>
          <w:numId w:val="2"/>
        </w:numPr>
        <w:spacing w:after="200" w:line="360" w:lineRule="auto"/>
        <w:jc w:val="both"/>
        <w:rPr>
          <w:rFonts w:cstheme="minorHAnsi"/>
          <w:sz w:val="24"/>
          <w:szCs w:val="24"/>
          <w:lang w:val="es-ES"/>
        </w:rPr>
      </w:pPr>
      <w:r>
        <w:rPr>
          <w:rFonts w:cstheme="minorHAnsi"/>
          <w:sz w:val="24"/>
          <w:szCs w:val="24"/>
          <w:lang w:val="es-ES"/>
        </w:rPr>
        <w:t xml:space="preserve">Dentro del sistema público de salud prevalece el prejuicio que asocia los cuerpos de lesbianas, bisexuales, homosexuales, personas trans e </w:t>
      </w:r>
      <w:proofErr w:type="spellStart"/>
      <w:r>
        <w:rPr>
          <w:rFonts w:cstheme="minorHAnsi"/>
          <w:sz w:val="24"/>
          <w:szCs w:val="24"/>
          <w:lang w:val="es-ES"/>
        </w:rPr>
        <w:t>intersex</w:t>
      </w:r>
      <w:proofErr w:type="spellEnd"/>
      <w:r>
        <w:rPr>
          <w:rFonts w:cstheme="minorHAnsi"/>
          <w:sz w:val="24"/>
          <w:szCs w:val="24"/>
          <w:lang w:val="es-ES"/>
        </w:rPr>
        <w:t>, a las infecciones de transmisión sexual.</w:t>
      </w:r>
      <w:r w:rsidR="00371B0D">
        <w:rPr>
          <w:rFonts w:cstheme="minorHAnsi"/>
          <w:sz w:val="24"/>
          <w:szCs w:val="24"/>
          <w:lang w:val="es-ES"/>
        </w:rPr>
        <w:t xml:space="preserve"> La falta de una perspectiva integral de la salud de las personas LGTBI es un problema endémico.</w:t>
      </w:r>
    </w:p>
    <w:p w14:paraId="0E621D85" w14:textId="58CCBA59" w:rsidR="00755B8E" w:rsidRDefault="00755B8E" w:rsidP="00736E86">
      <w:pPr>
        <w:pStyle w:val="Prrafodelista"/>
        <w:numPr>
          <w:ilvl w:val="0"/>
          <w:numId w:val="2"/>
        </w:numPr>
        <w:spacing w:after="200" w:line="360" w:lineRule="auto"/>
        <w:jc w:val="both"/>
        <w:rPr>
          <w:rFonts w:cstheme="minorHAnsi"/>
          <w:sz w:val="24"/>
          <w:szCs w:val="24"/>
          <w:lang w:val="es-ES"/>
        </w:rPr>
      </w:pPr>
      <w:r>
        <w:rPr>
          <w:rFonts w:cstheme="minorHAnsi"/>
          <w:sz w:val="24"/>
          <w:szCs w:val="24"/>
          <w:lang w:val="es-ES"/>
        </w:rPr>
        <w:t xml:space="preserve">La ausencia de espacios adecuados y violación al derecho a la confidencialidad es una práctica frecuente en los centros de salud y hospitales, por lo que aquellas personas que mantienen en secreto su orientación sexual o identidad de género prefieren no </w:t>
      </w:r>
      <w:r w:rsidR="00371B0D">
        <w:rPr>
          <w:rFonts w:cstheme="minorHAnsi"/>
          <w:sz w:val="24"/>
          <w:szCs w:val="24"/>
          <w:lang w:val="es-ES"/>
        </w:rPr>
        <w:t xml:space="preserve">asistir a los establecimientos públicos de salud a fin de </w:t>
      </w:r>
      <w:r>
        <w:rPr>
          <w:rFonts w:cstheme="minorHAnsi"/>
          <w:sz w:val="24"/>
          <w:szCs w:val="24"/>
          <w:lang w:val="es-ES"/>
        </w:rPr>
        <w:t xml:space="preserve">no ser expuestas ante sus familias y comunidades.  </w:t>
      </w:r>
    </w:p>
    <w:p w14:paraId="4480E1B1" w14:textId="4115CB03" w:rsidR="00ED60BF" w:rsidRDefault="00ED60BF" w:rsidP="00736E86">
      <w:pPr>
        <w:pStyle w:val="Prrafodelista"/>
        <w:numPr>
          <w:ilvl w:val="0"/>
          <w:numId w:val="2"/>
        </w:numPr>
        <w:spacing w:after="200" w:line="360" w:lineRule="auto"/>
        <w:jc w:val="both"/>
        <w:rPr>
          <w:rFonts w:cstheme="minorHAnsi"/>
          <w:sz w:val="24"/>
          <w:szCs w:val="24"/>
          <w:lang w:val="es-ES"/>
        </w:rPr>
      </w:pPr>
      <w:r w:rsidRPr="00ED60BF">
        <w:rPr>
          <w:rFonts w:cstheme="minorHAnsi"/>
          <w:sz w:val="24"/>
          <w:szCs w:val="24"/>
          <w:lang w:val="es-ES"/>
        </w:rPr>
        <w:lastRenderedPageBreak/>
        <w:t>La resolución ministerial 671</w:t>
      </w:r>
      <w:r w:rsidR="00371B0D">
        <w:rPr>
          <w:rFonts w:cstheme="minorHAnsi"/>
          <w:sz w:val="24"/>
          <w:szCs w:val="24"/>
          <w:lang w:val="es-ES"/>
        </w:rPr>
        <w:t xml:space="preserve"> aprobada en el 2009,</w:t>
      </w:r>
      <w:r w:rsidRPr="00ED60BF">
        <w:rPr>
          <w:rFonts w:cstheme="minorHAnsi"/>
          <w:sz w:val="24"/>
          <w:szCs w:val="24"/>
          <w:lang w:val="es-ES"/>
        </w:rPr>
        <w:t xml:space="preserve"> establece la obligación que tienen los prestadores de servicios públicos de salud, de brindar un trato humanitario y respetuoso a personas conviviendo con VIH-Sida y trabajadoras sexuales. También establece la obligación de reconocer el nombre con el que se identifican las personas trans</w:t>
      </w:r>
      <w:r>
        <w:rPr>
          <w:rStyle w:val="Refdenotaalpie"/>
          <w:rFonts w:cstheme="minorHAnsi"/>
          <w:sz w:val="24"/>
          <w:szCs w:val="24"/>
          <w:lang w:val="es-ES"/>
        </w:rPr>
        <w:footnoteReference w:id="7"/>
      </w:r>
      <w:r w:rsidRPr="00ED60BF">
        <w:rPr>
          <w:rFonts w:cstheme="minorHAnsi"/>
          <w:sz w:val="24"/>
          <w:szCs w:val="24"/>
          <w:lang w:val="es-ES"/>
        </w:rPr>
        <w:t>.</w:t>
      </w:r>
      <w:r>
        <w:rPr>
          <w:rFonts w:cstheme="minorHAnsi"/>
          <w:sz w:val="24"/>
          <w:szCs w:val="24"/>
          <w:lang w:val="es-ES"/>
        </w:rPr>
        <w:t xml:space="preserve"> </w:t>
      </w:r>
    </w:p>
    <w:p w14:paraId="6513288B" w14:textId="1A53A19A"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El personal que labora en centros de salud y hospitales públicos no ha recibido la formación adecuada para atender las demandas de la población LGTBI. Existen muy pocos especialistas en ramas como la endocrinología.  </w:t>
      </w:r>
      <w:r w:rsidR="00D73353" w:rsidRPr="000B42F5">
        <w:rPr>
          <w:lang w:val="es-NI"/>
        </w:rPr>
        <w:t>Aunque desde 2016 el personal de salud cuenta con un Manual de atención específica a mujeres trans, elaborado por la Asociación Nicaragüense de Transgéneras (ANIT), la mayor parte de</w:t>
      </w:r>
      <w:r w:rsidR="00D73353">
        <w:rPr>
          <w:lang w:val="es-NI"/>
        </w:rPr>
        <w:t xml:space="preserve"> </w:t>
      </w:r>
      <w:r w:rsidR="00D73353" w:rsidRPr="000B42F5">
        <w:rPr>
          <w:lang w:val="es-NI"/>
        </w:rPr>
        <w:t>profesionales de la salud siguen pensando que la identidad trans es un trastorno psicológico</w:t>
      </w:r>
      <w:r w:rsidR="00D73353">
        <w:rPr>
          <w:rStyle w:val="Refdenotaalpie"/>
          <w:lang w:val="es-NI"/>
        </w:rPr>
        <w:footnoteReference w:id="8"/>
      </w:r>
      <w:r w:rsidR="00D73353">
        <w:rPr>
          <w:lang w:val="es-NI"/>
        </w:rPr>
        <w:t xml:space="preserve">. </w:t>
      </w:r>
    </w:p>
    <w:p w14:paraId="2B07434D"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A pesar de la aprobación de la Resolución Ministerial 671-2014, que establece el deber del personal sanitario de no discriminar por razones de género y orientación sexual, los colectivos LGTBI han documentado denuncias de trato discriminatorio en hospitales y centros de salud.  La resolución es desconocida por la mayoría del personal sanitario y no existen mecanismos para garantizar su efectivo cumplimiento.</w:t>
      </w:r>
    </w:p>
    <w:p w14:paraId="2F5B437C" w14:textId="411013EE" w:rsidR="00755B8E" w:rsidRPr="00336314" w:rsidRDefault="00755B8E" w:rsidP="00336314">
      <w:pPr>
        <w:pStyle w:val="Prrafodelista"/>
        <w:numPr>
          <w:ilvl w:val="0"/>
          <w:numId w:val="2"/>
        </w:numPr>
        <w:spacing w:line="360" w:lineRule="auto"/>
        <w:jc w:val="both"/>
        <w:rPr>
          <w:rFonts w:cstheme="minorHAnsi"/>
          <w:sz w:val="24"/>
          <w:szCs w:val="24"/>
          <w:lang w:val="es-NI"/>
        </w:rPr>
      </w:pPr>
      <w:r>
        <w:rPr>
          <w:rFonts w:cstheme="minorHAnsi"/>
          <w:sz w:val="24"/>
          <w:szCs w:val="24"/>
          <w:lang w:val="es-NI"/>
        </w:rPr>
        <w:t>Dadas las condiciones de pobreza</w:t>
      </w:r>
      <w:r w:rsidR="007277DC">
        <w:rPr>
          <w:rFonts w:cstheme="minorHAnsi"/>
          <w:sz w:val="24"/>
          <w:szCs w:val="24"/>
          <w:lang w:val="es-NI"/>
        </w:rPr>
        <w:t>, prevalencia de enfermedades crónicas</w:t>
      </w:r>
      <w:r>
        <w:rPr>
          <w:rFonts w:cstheme="minorHAnsi"/>
          <w:sz w:val="24"/>
          <w:szCs w:val="24"/>
          <w:lang w:val="es-NI"/>
        </w:rPr>
        <w:t xml:space="preserve"> y hacinamiento en que vive la mayoría de la población LGTB</w:t>
      </w:r>
      <w:r w:rsidR="00C9710B">
        <w:rPr>
          <w:rFonts w:cstheme="minorHAnsi"/>
          <w:sz w:val="24"/>
          <w:szCs w:val="24"/>
          <w:lang w:val="es-NI"/>
        </w:rPr>
        <w:t>I</w:t>
      </w:r>
      <w:r>
        <w:rPr>
          <w:rFonts w:cstheme="minorHAnsi"/>
          <w:sz w:val="24"/>
          <w:szCs w:val="24"/>
          <w:lang w:val="es-NI"/>
        </w:rPr>
        <w:t xml:space="preserve">, la pandemia del Covid19 ha tenido un severo impacto que no ha sido atendido por el ministerio de salud. </w:t>
      </w:r>
      <w:r w:rsidR="00D73353">
        <w:rPr>
          <w:rFonts w:cstheme="minorHAnsi"/>
          <w:sz w:val="24"/>
          <w:szCs w:val="24"/>
          <w:lang w:val="es-NI"/>
        </w:rPr>
        <w:t>En medio de la crisis sanitaria, personas LGBT</w:t>
      </w:r>
      <w:r w:rsidR="00C9710B">
        <w:rPr>
          <w:rFonts w:cstheme="minorHAnsi"/>
          <w:sz w:val="24"/>
          <w:szCs w:val="24"/>
          <w:lang w:val="es-NI"/>
        </w:rPr>
        <w:t>I</w:t>
      </w:r>
      <w:r w:rsidR="00D73353">
        <w:rPr>
          <w:rFonts w:cstheme="minorHAnsi"/>
          <w:sz w:val="24"/>
          <w:szCs w:val="24"/>
          <w:lang w:val="es-NI"/>
        </w:rPr>
        <w:t xml:space="preserve"> que viven en condiciones de extrema pobreza, han fallecido ante el completo abandono </w:t>
      </w:r>
      <w:r w:rsidR="007277DC">
        <w:rPr>
          <w:rFonts w:cstheme="minorHAnsi"/>
          <w:sz w:val="24"/>
          <w:szCs w:val="24"/>
          <w:lang w:val="es-NI"/>
        </w:rPr>
        <w:t>por parte del Estado</w:t>
      </w:r>
      <w:r w:rsidR="00C9710B">
        <w:rPr>
          <w:rStyle w:val="Refdenotaalpie"/>
          <w:rFonts w:cstheme="minorHAnsi"/>
          <w:sz w:val="24"/>
          <w:szCs w:val="24"/>
          <w:lang w:val="es-NI"/>
        </w:rPr>
        <w:footnoteReference w:id="9"/>
      </w:r>
      <w:r w:rsidR="00D73353">
        <w:rPr>
          <w:rFonts w:cstheme="minorHAnsi"/>
          <w:sz w:val="24"/>
          <w:szCs w:val="24"/>
          <w:lang w:val="es-NI"/>
        </w:rPr>
        <w:t xml:space="preserve">.  </w:t>
      </w:r>
    </w:p>
    <w:p w14:paraId="5B38AE5B" w14:textId="77777777" w:rsidR="00755B8E" w:rsidRDefault="00755B8E" w:rsidP="00736E86">
      <w:pPr>
        <w:spacing w:after="0" w:line="360" w:lineRule="auto"/>
        <w:jc w:val="both"/>
        <w:rPr>
          <w:rFonts w:cstheme="minorHAnsi"/>
          <w:b/>
          <w:sz w:val="24"/>
          <w:szCs w:val="24"/>
          <w:lang w:val="es-EC"/>
        </w:rPr>
      </w:pPr>
      <w:r>
        <w:rPr>
          <w:rFonts w:cstheme="minorHAnsi"/>
          <w:b/>
          <w:sz w:val="24"/>
          <w:szCs w:val="24"/>
        </w:rPr>
        <w:t>Recomendaciones</w:t>
      </w:r>
    </w:p>
    <w:p w14:paraId="2885CFBF" w14:textId="77777777" w:rsidR="00755B8E" w:rsidRDefault="00755B8E" w:rsidP="00736E86">
      <w:pPr>
        <w:spacing w:after="0" w:line="360" w:lineRule="auto"/>
        <w:jc w:val="both"/>
        <w:rPr>
          <w:rFonts w:cstheme="minorHAnsi"/>
          <w:b/>
          <w:sz w:val="24"/>
          <w:szCs w:val="24"/>
        </w:rPr>
      </w:pPr>
      <w:r>
        <w:rPr>
          <w:rFonts w:cstheme="minorHAnsi"/>
          <w:b/>
          <w:sz w:val="24"/>
          <w:szCs w:val="24"/>
        </w:rPr>
        <w:t>El Estado de Nicaragua debería:</w:t>
      </w:r>
    </w:p>
    <w:p w14:paraId="307FA170" w14:textId="77777777" w:rsidR="00755B8E" w:rsidRDefault="00755B8E" w:rsidP="00736E86">
      <w:pPr>
        <w:spacing w:after="0" w:line="360" w:lineRule="auto"/>
        <w:jc w:val="both"/>
        <w:rPr>
          <w:rFonts w:cstheme="minorHAnsi"/>
          <w:b/>
          <w:sz w:val="24"/>
          <w:szCs w:val="24"/>
        </w:rPr>
      </w:pPr>
    </w:p>
    <w:p w14:paraId="2B61115E"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lastRenderedPageBreak/>
        <w:t xml:space="preserve">Garantizar la investigación que permitan conocer los problemas de salud de la población LGTBI y sus necesidades específicas, como base para el desarrollo de programas de atención integral, incluyendo enfermedades crónicas, enfermedades psico-sociales, procesos de </w:t>
      </w:r>
      <w:proofErr w:type="spellStart"/>
      <w:r>
        <w:rPr>
          <w:rFonts w:cstheme="minorHAnsi"/>
          <w:sz w:val="24"/>
          <w:szCs w:val="24"/>
          <w:lang w:val="es-NI"/>
        </w:rPr>
        <w:t>hormonización</w:t>
      </w:r>
      <w:proofErr w:type="spellEnd"/>
      <w:r>
        <w:rPr>
          <w:rFonts w:cstheme="minorHAnsi"/>
          <w:sz w:val="24"/>
          <w:szCs w:val="24"/>
          <w:lang w:val="es-NI"/>
        </w:rPr>
        <w:t>, entre otros.</w:t>
      </w:r>
    </w:p>
    <w:p w14:paraId="45E40828"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Garantizar el efectivo cumplimiento de la resolución ministerial 671-2014 para hacer efectivo el principio de no discriminación. </w:t>
      </w:r>
    </w:p>
    <w:p w14:paraId="5819CB89"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Fomentar la formación a docentes de las facultades de medicina y personal que labora en hospitales y centros de salud, para la comprensión de la sexualidad y las identidades desde un enfoque científico y de derechos humanos, para asegurar una práctica médica libre de prejuicios.</w:t>
      </w:r>
    </w:p>
    <w:p w14:paraId="70A21AE9"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El Estado debe invertir más recursos para formar a profesionales de la salud en especialidades como la endocrinología y en el abastecimiento de medicamentos de buena calidad, incluyendo los anti-retrovirales para el tratamiento del VIH.</w:t>
      </w:r>
    </w:p>
    <w:p w14:paraId="1AAFE3D2" w14:textId="276A74AF" w:rsidR="00755B8E" w:rsidRPr="009D084A" w:rsidRDefault="00755B8E" w:rsidP="009D084A">
      <w:pPr>
        <w:pStyle w:val="Prrafodelista"/>
        <w:numPr>
          <w:ilvl w:val="0"/>
          <w:numId w:val="2"/>
        </w:numPr>
        <w:spacing w:line="360" w:lineRule="auto"/>
        <w:jc w:val="both"/>
        <w:rPr>
          <w:rFonts w:cstheme="minorHAnsi"/>
          <w:sz w:val="24"/>
          <w:szCs w:val="24"/>
          <w:lang w:val="es-NI"/>
        </w:rPr>
      </w:pPr>
      <w:r>
        <w:rPr>
          <w:rFonts w:cstheme="minorHAnsi"/>
          <w:sz w:val="24"/>
          <w:szCs w:val="24"/>
          <w:lang w:val="es-NI"/>
        </w:rPr>
        <w:t>El gobierno debe mejorar los sistemas de registro, atención y seguimiento a la población LGTBI conviviendo con V</w:t>
      </w:r>
      <w:r w:rsidR="005333DA">
        <w:rPr>
          <w:rFonts w:cstheme="minorHAnsi"/>
          <w:sz w:val="24"/>
          <w:szCs w:val="24"/>
          <w:lang w:val="es-NI"/>
        </w:rPr>
        <w:t>IH</w:t>
      </w:r>
      <w:r>
        <w:rPr>
          <w:rFonts w:cstheme="minorHAnsi"/>
          <w:sz w:val="24"/>
          <w:szCs w:val="24"/>
          <w:lang w:val="es-NI"/>
        </w:rPr>
        <w:t xml:space="preserve"> y </w:t>
      </w:r>
      <w:r w:rsidR="005333DA">
        <w:rPr>
          <w:rFonts w:cstheme="minorHAnsi"/>
          <w:sz w:val="24"/>
          <w:szCs w:val="24"/>
          <w:lang w:val="es-NI"/>
        </w:rPr>
        <w:t xml:space="preserve">VIH </w:t>
      </w:r>
      <w:r>
        <w:rPr>
          <w:rFonts w:cstheme="minorHAnsi"/>
          <w:sz w:val="24"/>
          <w:szCs w:val="24"/>
          <w:lang w:val="es-NI"/>
        </w:rPr>
        <w:t xml:space="preserve">agravado a fin de asegurar calidad de vida y reducir las tasas de mortalidad.  </w:t>
      </w:r>
    </w:p>
    <w:p w14:paraId="68C3AEFA" w14:textId="22BFACE3" w:rsidR="00755B8E" w:rsidRDefault="00C9710B" w:rsidP="00736E86">
      <w:pPr>
        <w:spacing w:after="0" w:line="360" w:lineRule="auto"/>
        <w:rPr>
          <w:rFonts w:cstheme="minorHAnsi"/>
          <w:sz w:val="24"/>
          <w:szCs w:val="24"/>
        </w:rPr>
      </w:pPr>
      <w:r>
        <w:rPr>
          <w:rFonts w:cstheme="minorHAnsi"/>
          <w:b/>
          <w:sz w:val="24"/>
          <w:szCs w:val="24"/>
        </w:rPr>
        <w:t xml:space="preserve">Artículo 7. </w:t>
      </w:r>
      <w:r w:rsidR="00755B8E">
        <w:rPr>
          <w:rFonts w:cstheme="minorHAnsi"/>
          <w:b/>
          <w:sz w:val="24"/>
          <w:szCs w:val="24"/>
        </w:rPr>
        <w:t xml:space="preserve">Derecho a un empleo digno. </w:t>
      </w:r>
      <w:r w:rsidR="00755B8E">
        <w:rPr>
          <w:rFonts w:cstheme="minorHAnsi"/>
          <w:b/>
          <w:sz w:val="24"/>
          <w:szCs w:val="24"/>
          <w:lang w:val="es-AR"/>
        </w:rPr>
        <w:t xml:space="preserve"> </w:t>
      </w:r>
    </w:p>
    <w:p w14:paraId="361C95CC" w14:textId="77777777" w:rsidR="00755B8E" w:rsidRDefault="00755B8E" w:rsidP="00736E86">
      <w:pPr>
        <w:spacing w:after="0" w:line="360" w:lineRule="auto"/>
        <w:jc w:val="both"/>
        <w:rPr>
          <w:rFonts w:cstheme="minorHAnsi"/>
          <w:sz w:val="24"/>
          <w:szCs w:val="24"/>
        </w:rPr>
      </w:pPr>
    </w:p>
    <w:p w14:paraId="01AB78F2"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Nicaragua es un país con altos índices de desempleo, auto empleo e informalidad. Esta situación se ha visto agravada a partir de la crisis sociopolítica del 2018 y la emergencia de la pandemia del Covid19. La población LGTBI que pertenece a los sectores más pobres de la población, se enfrentan a múltiples dificultades para encontrar empleos que les permitan satisfacer sus necesidades básicas. </w:t>
      </w:r>
    </w:p>
    <w:p w14:paraId="2A4B9A7B"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La falta de oportunidades para acceder a una educación de calidad, la carencia de recursos para emprender iniciativas de auto empleo y los prejuicios que prevalecen en las empresas privadas, configuran un escenario adverso para que las personas LGTBI puedan ejercer un tipo de trabajo que les permita satisfacer sus necesidades básicas de manera sostenida.</w:t>
      </w:r>
    </w:p>
    <w:p w14:paraId="04564537" w14:textId="41404EFB" w:rsidR="00755B8E" w:rsidRPr="009D084A" w:rsidRDefault="00755B8E" w:rsidP="009D084A">
      <w:pPr>
        <w:pStyle w:val="Prrafodelista"/>
        <w:numPr>
          <w:ilvl w:val="0"/>
          <w:numId w:val="2"/>
        </w:numPr>
        <w:spacing w:line="360" w:lineRule="auto"/>
        <w:jc w:val="both"/>
        <w:rPr>
          <w:rFonts w:cstheme="minorHAnsi"/>
          <w:sz w:val="24"/>
          <w:szCs w:val="24"/>
          <w:lang w:val="es-NI"/>
        </w:rPr>
      </w:pPr>
      <w:r>
        <w:rPr>
          <w:rFonts w:cstheme="minorHAnsi"/>
          <w:sz w:val="24"/>
          <w:szCs w:val="24"/>
          <w:lang w:val="es-NI"/>
        </w:rPr>
        <w:lastRenderedPageBreak/>
        <w:t>En el código laboral nicaragüense no se establecen prohibiciones explícitas a la discriminación por orientación sexual e identidad de género, lo que coloca a las personas LGBTI en una situación de indefensión.</w:t>
      </w:r>
    </w:p>
    <w:p w14:paraId="7CA9FEDB" w14:textId="77777777" w:rsidR="00755B8E" w:rsidRDefault="00755B8E" w:rsidP="00736E86">
      <w:pPr>
        <w:spacing w:after="0" w:line="360" w:lineRule="auto"/>
        <w:jc w:val="both"/>
        <w:rPr>
          <w:rFonts w:cstheme="minorHAnsi"/>
          <w:b/>
          <w:sz w:val="24"/>
          <w:szCs w:val="24"/>
          <w:lang w:val="es-EC"/>
        </w:rPr>
      </w:pPr>
      <w:r>
        <w:rPr>
          <w:rFonts w:cstheme="minorHAnsi"/>
          <w:b/>
          <w:sz w:val="24"/>
          <w:szCs w:val="24"/>
        </w:rPr>
        <w:t>Recomendaciones</w:t>
      </w:r>
    </w:p>
    <w:p w14:paraId="20A31A63" w14:textId="77777777" w:rsidR="00755B8E" w:rsidRDefault="00755B8E" w:rsidP="00736E86">
      <w:pPr>
        <w:spacing w:after="0" w:line="360" w:lineRule="auto"/>
        <w:jc w:val="both"/>
        <w:rPr>
          <w:rFonts w:cstheme="minorHAnsi"/>
          <w:b/>
          <w:sz w:val="24"/>
          <w:szCs w:val="24"/>
        </w:rPr>
      </w:pPr>
      <w:r>
        <w:rPr>
          <w:rFonts w:cstheme="minorHAnsi"/>
          <w:b/>
          <w:sz w:val="24"/>
          <w:szCs w:val="24"/>
        </w:rPr>
        <w:t>El Estado de Nicaragua debería:</w:t>
      </w:r>
    </w:p>
    <w:p w14:paraId="2C380123" w14:textId="77777777" w:rsidR="00755B8E" w:rsidRDefault="00755B8E" w:rsidP="00736E86">
      <w:pPr>
        <w:spacing w:after="0" w:line="360" w:lineRule="auto"/>
        <w:jc w:val="both"/>
        <w:rPr>
          <w:rFonts w:cstheme="minorHAnsi"/>
          <w:b/>
          <w:sz w:val="24"/>
          <w:szCs w:val="24"/>
        </w:rPr>
      </w:pPr>
    </w:p>
    <w:p w14:paraId="7B9065E4"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El Estado debe crear programas de empleo, autoempleo y fomento de la pequeña empresa, que den cabida a la población LGTBI, estableciendo procedimientos de acuerdo a sus necesidades. </w:t>
      </w:r>
    </w:p>
    <w:p w14:paraId="6DA1D549"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En el caso de la población LGTBI de las zonas rurales, el Estado debe integrarlas en los programas de asistencia técnica, créditos para la producción y acceso a la tierra. </w:t>
      </w:r>
    </w:p>
    <w:p w14:paraId="74803C4A" w14:textId="77777777" w:rsidR="00755B8E" w:rsidRDefault="00755B8E" w:rsidP="00736E86">
      <w:pPr>
        <w:pStyle w:val="Prrafodelista"/>
        <w:numPr>
          <w:ilvl w:val="0"/>
          <w:numId w:val="2"/>
        </w:numPr>
        <w:spacing w:after="200" w:line="360" w:lineRule="auto"/>
        <w:jc w:val="both"/>
        <w:rPr>
          <w:rFonts w:cstheme="minorHAnsi"/>
          <w:sz w:val="24"/>
          <w:szCs w:val="24"/>
          <w:lang w:val="es-ES"/>
        </w:rPr>
      </w:pPr>
      <w:r>
        <w:rPr>
          <w:rFonts w:cstheme="minorHAnsi"/>
          <w:sz w:val="24"/>
          <w:szCs w:val="24"/>
          <w:lang w:val="es-ES"/>
        </w:rPr>
        <w:t>El Estado tiene la responsabilidad de prevenir actos de discriminación a personas LGTBI tanto en las instituciones públicas como en las empresas privadas. Se propone la creación de protocolos de contratación respetuosos de la orientación sexual e identidad de género y la creación de una oficina especializada para tramitar denuncias.</w:t>
      </w:r>
    </w:p>
    <w:p w14:paraId="7695DCF0" w14:textId="1A89C4E0" w:rsidR="00755B8E" w:rsidRDefault="00C9710B" w:rsidP="00736E86">
      <w:pPr>
        <w:spacing w:line="360" w:lineRule="auto"/>
        <w:jc w:val="both"/>
        <w:rPr>
          <w:rFonts w:cstheme="minorHAnsi"/>
          <w:b/>
          <w:bCs/>
          <w:sz w:val="24"/>
          <w:szCs w:val="24"/>
          <w:lang w:val="es-NI"/>
        </w:rPr>
      </w:pPr>
      <w:r>
        <w:rPr>
          <w:rFonts w:cstheme="minorHAnsi"/>
          <w:b/>
          <w:bCs/>
          <w:sz w:val="24"/>
          <w:szCs w:val="24"/>
          <w:lang w:val="es-NI"/>
        </w:rPr>
        <w:t xml:space="preserve">Artículo 2.2. </w:t>
      </w:r>
      <w:r w:rsidR="00755B8E">
        <w:rPr>
          <w:rFonts w:cstheme="minorHAnsi"/>
          <w:b/>
          <w:bCs/>
          <w:sz w:val="24"/>
          <w:szCs w:val="24"/>
          <w:lang w:val="es-NI"/>
        </w:rPr>
        <w:t>Libertad de organización y participación ciudadana:</w:t>
      </w:r>
    </w:p>
    <w:p w14:paraId="6E49DF57" w14:textId="54C0C1F6" w:rsidR="00755B8E" w:rsidRDefault="00755B8E" w:rsidP="00736E86">
      <w:pPr>
        <w:pStyle w:val="Prrafodelista"/>
        <w:numPr>
          <w:ilvl w:val="0"/>
          <w:numId w:val="2"/>
        </w:numPr>
        <w:spacing w:before="240" w:line="360" w:lineRule="auto"/>
        <w:jc w:val="both"/>
        <w:rPr>
          <w:rFonts w:cstheme="minorHAnsi"/>
          <w:b/>
          <w:sz w:val="24"/>
          <w:szCs w:val="24"/>
          <w:lang w:val="es-NI"/>
        </w:rPr>
      </w:pPr>
      <w:r>
        <w:rPr>
          <w:rFonts w:cstheme="minorHAnsi"/>
          <w:sz w:val="24"/>
          <w:szCs w:val="24"/>
          <w:lang w:val="es-NI"/>
        </w:rPr>
        <w:t xml:space="preserve">La tendencia por parte del régimen de Daniel Ortega </w:t>
      </w:r>
      <w:r w:rsidR="007277DC">
        <w:rPr>
          <w:rFonts w:cstheme="minorHAnsi"/>
          <w:sz w:val="24"/>
          <w:szCs w:val="24"/>
          <w:lang w:val="es-NI"/>
        </w:rPr>
        <w:t xml:space="preserve">y Rosario Murillo </w:t>
      </w:r>
      <w:r>
        <w:rPr>
          <w:rFonts w:cstheme="minorHAnsi"/>
          <w:sz w:val="24"/>
          <w:szCs w:val="24"/>
          <w:lang w:val="es-NI"/>
        </w:rPr>
        <w:t>ha sido la de no favorecer un acercamiento genuino con aquellos colectivos LGTB</w:t>
      </w:r>
      <w:r w:rsidR="001A03C1">
        <w:rPr>
          <w:rFonts w:cstheme="minorHAnsi"/>
          <w:sz w:val="24"/>
          <w:szCs w:val="24"/>
          <w:lang w:val="es-NI"/>
        </w:rPr>
        <w:t>I</w:t>
      </w:r>
      <w:r>
        <w:rPr>
          <w:rFonts w:cstheme="minorHAnsi"/>
          <w:sz w:val="24"/>
          <w:szCs w:val="24"/>
          <w:lang w:val="es-NI"/>
        </w:rPr>
        <w:t xml:space="preserve"> que se organizan fuera de las estructuras del partido de gobierno, debilitando con ello la necesaria colaboración para avanzar en el efectivo cumplimiento de </w:t>
      </w:r>
      <w:r w:rsidR="007277DC">
        <w:rPr>
          <w:rFonts w:cstheme="minorHAnsi"/>
          <w:sz w:val="24"/>
          <w:szCs w:val="24"/>
          <w:lang w:val="es-NI"/>
        </w:rPr>
        <w:t xml:space="preserve">los derechos reconocidos en </w:t>
      </w:r>
      <w:r>
        <w:rPr>
          <w:rFonts w:cstheme="minorHAnsi"/>
          <w:sz w:val="24"/>
          <w:szCs w:val="24"/>
          <w:lang w:val="es-NI"/>
        </w:rPr>
        <w:t>las normas legales aprobadas</w:t>
      </w:r>
      <w:r w:rsidR="007277DC">
        <w:rPr>
          <w:rFonts w:cstheme="minorHAnsi"/>
          <w:sz w:val="24"/>
          <w:szCs w:val="24"/>
          <w:lang w:val="es-NI"/>
        </w:rPr>
        <w:t xml:space="preserve">, si bien, resultan a todas luces insuficientes. </w:t>
      </w:r>
      <w:r>
        <w:rPr>
          <w:rFonts w:cstheme="minorHAnsi"/>
          <w:sz w:val="24"/>
          <w:szCs w:val="24"/>
          <w:lang w:val="es-NI"/>
        </w:rPr>
        <w:t xml:space="preserve"> A partir de la crisis sociopolítica desatada en abril del 2018, </w:t>
      </w:r>
      <w:r w:rsidR="007277DC">
        <w:rPr>
          <w:rFonts w:cstheme="minorHAnsi"/>
          <w:sz w:val="24"/>
          <w:szCs w:val="24"/>
          <w:lang w:val="es-NI"/>
        </w:rPr>
        <w:t xml:space="preserve">las organizaciones de </w:t>
      </w:r>
      <w:r>
        <w:rPr>
          <w:rFonts w:cstheme="minorHAnsi"/>
          <w:sz w:val="24"/>
          <w:szCs w:val="24"/>
          <w:lang w:val="es-NI"/>
        </w:rPr>
        <w:t>la sociedad civil</w:t>
      </w:r>
      <w:r w:rsidR="007277DC">
        <w:rPr>
          <w:rFonts w:cstheme="minorHAnsi"/>
          <w:sz w:val="24"/>
          <w:szCs w:val="24"/>
          <w:lang w:val="es-NI"/>
        </w:rPr>
        <w:t>,</w:t>
      </w:r>
      <w:r>
        <w:rPr>
          <w:rFonts w:cstheme="minorHAnsi"/>
          <w:sz w:val="24"/>
          <w:szCs w:val="24"/>
          <w:lang w:val="es-NI"/>
        </w:rPr>
        <w:t xml:space="preserve"> incluyendo los colectivos LGTB</w:t>
      </w:r>
      <w:r w:rsidR="00C9710B">
        <w:rPr>
          <w:rFonts w:cstheme="minorHAnsi"/>
          <w:sz w:val="24"/>
          <w:szCs w:val="24"/>
          <w:lang w:val="es-NI"/>
        </w:rPr>
        <w:t>I</w:t>
      </w:r>
      <w:r w:rsidR="007277DC">
        <w:rPr>
          <w:rFonts w:cstheme="minorHAnsi"/>
          <w:sz w:val="24"/>
          <w:szCs w:val="24"/>
          <w:lang w:val="es-NI"/>
        </w:rPr>
        <w:t>,</w:t>
      </w:r>
      <w:r>
        <w:rPr>
          <w:rFonts w:cstheme="minorHAnsi"/>
          <w:sz w:val="24"/>
          <w:szCs w:val="24"/>
          <w:lang w:val="es-NI"/>
        </w:rPr>
        <w:t xml:space="preserve"> han sido impedidos de manifestarse públicamente. El asedio policial y las amenazas han afectado </w:t>
      </w:r>
      <w:r w:rsidR="007277DC">
        <w:rPr>
          <w:rFonts w:cstheme="minorHAnsi"/>
          <w:sz w:val="24"/>
          <w:szCs w:val="24"/>
          <w:lang w:val="es-NI"/>
        </w:rPr>
        <w:t xml:space="preserve">seriamente </w:t>
      </w:r>
      <w:r>
        <w:rPr>
          <w:rFonts w:cstheme="minorHAnsi"/>
          <w:sz w:val="24"/>
          <w:szCs w:val="24"/>
          <w:lang w:val="es-NI"/>
        </w:rPr>
        <w:t xml:space="preserve">la posibilidad de organizarse y formular demandas ciudadanas. </w:t>
      </w:r>
      <w:r w:rsidR="007277DC">
        <w:rPr>
          <w:rFonts w:cstheme="minorHAnsi"/>
          <w:sz w:val="24"/>
          <w:szCs w:val="24"/>
          <w:lang w:val="es-NI"/>
        </w:rPr>
        <w:t xml:space="preserve">De acuerdo con diversos colectivos, más de 80 </w:t>
      </w:r>
      <w:r>
        <w:rPr>
          <w:rFonts w:cstheme="minorHAnsi"/>
          <w:sz w:val="24"/>
          <w:szCs w:val="24"/>
          <w:lang w:val="es-NI"/>
        </w:rPr>
        <w:t xml:space="preserve">activistas </w:t>
      </w:r>
      <w:r w:rsidR="007277DC">
        <w:rPr>
          <w:rFonts w:cstheme="minorHAnsi"/>
          <w:sz w:val="24"/>
          <w:szCs w:val="24"/>
          <w:lang w:val="es-NI"/>
        </w:rPr>
        <w:t xml:space="preserve">LGTB </w:t>
      </w:r>
      <w:r>
        <w:rPr>
          <w:rFonts w:cstheme="minorHAnsi"/>
          <w:sz w:val="24"/>
          <w:szCs w:val="24"/>
          <w:lang w:val="es-NI"/>
        </w:rPr>
        <w:t>se han visto obligados al exilio</w:t>
      </w:r>
      <w:r w:rsidR="007277DC">
        <w:rPr>
          <w:rFonts w:cstheme="minorHAnsi"/>
          <w:sz w:val="24"/>
          <w:szCs w:val="24"/>
          <w:lang w:val="es-NI"/>
        </w:rPr>
        <w:t xml:space="preserve"> a consecuencia de la persecución y las amenazas. </w:t>
      </w:r>
      <w:r>
        <w:rPr>
          <w:rFonts w:cstheme="minorHAnsi"/>
          <w:sz w:val="24"/>
          <w:szCs w:val="24"/>
          <w:lang w:val="es-NI"/>
        </w:rPr>
        <w:t xml:space="preserve">Algunos activistas que </w:t>
      </w:r>
      <w:r>
        <w:rPr>
          <w:rFonts w:cstheme="minorHAnsi"/>
          <w:sz w:val="24"/>
          <w:szCs w:val="24"/>
          <w:lang w:val="es-NI"/>
        </w:rPr>
        <w:lastRenderedPageBreak/>
        <w:t>permanecen dentro del país, han recibido agresiones sin que las mismas hayan sido investigadas por la policía nacional. También se han incrementado las campañas de odio a través de las redes sociales</w:t>
      </w:r>
      <w:r w:rsidR="007277DC">
        <w:rPr>
          <w:rFonts w:cstheme="minorHAnsi"/>
          <w:sz w:val="24"/>
          <w:szCs w:val="24"/>
          <w:lang w:val="es-NI"/>
        </w:rPr>
        <w:t xml:space="preserve"> en contra de activistas LGTB</w:t>
      </w:r>
      <w:r>
        <w:rPr>
          <w:rFonts w:cstheme="minorHAnsi"/>
          <w:sz w:val="24"/>
          <w:szCs w:val="24"/>
          <w:lang w:val="es-NI"/>
        </w:rPr>
        <w:t xml:space="preserve">. </w:t>
      </w:r>
    </w:p>
    <w:p w14:paraId="230A0C10" w14:textId="77777777" w:rsidR="00755B8E" w:rsidRDefault="00755B8E" w:rsidP="00736E86">
      <w:pPr>
        <w:spacing w:after="0" w:line="360" w:lineRule="auto"/>
        <w:jc w:val="both"/>
        <w:rPr>
          <w:rFonts w:cstheme="minorHAnsi"/>
          <w:b/>
          <w:bCs/>
          <w:sz w:val="24"/>
          <w:szCs w:val="24"/>
          <w:lang w:val="es-NI"/>
        </w:rPr>
      </w:pPr>
      <w:r>
        <w:rPr>
          <w:rFonts w:cstheme="minorHAnsi"/>
          <w:b/>
          <w:bCs/>
          <w:sz w:val="24"/>
          <w:szCs w:val="24"/>
          <w:lang w:val="es-NI"/>
        </w:rPr>
        <w:t>Recomendaciones</w:t>
      </w:r>
    </w:p>
    <w:p w14:paraId="0EE12B5E" w14:textId="1A28FCE2" w:rsidR="00755B8E" w:rsidRPr="00FF22C6" w:rsidRDefault="00755B8E" w:rsidP="00FF22C6">
      <w:pPr>
        <w:spacing w:after="0" w:line="360" w:lineRule="auto"/>
        <w:jc w:val="both"/>
        <w:rPr>
          <w:rFonts w:cstheme="minorHAnsi"/>
          <w:b/>
          <w:bCs/>
          <w:sz w:val="24"/>
          <w:szCs w:val="24"/>
          <w:lang w:val="es-NI"/>
        </w:rPr>
      </w:pPr>
      <w:r>
        <w:rPr>
          <w:rFonts w:cstheme="minorHAnsi"/>
          <w:b/>
          <w:bCs/>
          <w:sz w:val="24"/>
          <w:szCs w:val="24"/>
          <w:lang w:val="es-NI"/>
        </w:rPr>
        <w:t xml:space="preserve">El Estado de Nicaragua debería: </w:t>
      </w:r>
    </w:p>
    <w:p w14:paraId="6F497B81" w14:textId="46D90F34"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Respetar el principio de igualdad ante la ley y no discriminación</w:t>
      </w:r>
      <w:r w:rsidR="007277DC">
        <w:rPr>
          <w:rFonts w:cstheme="minorHAnsi"/>
          <w:sz w:val="24"/>
          <w:szCs w:val="24"/>
          <w:lang w:val="es-NI"/>
        </w:rPr>
        <w:t>,</w:t>
      </w:r>
      <w:r>
        <w:rPr>
          <w:rFonts w:cstheme="minorHAnsi"/>
          <w:sz w:val="24"/>
          <w:szCs w:val="24"/>
          <w:lang w:val="es-NI"/>
        </w:rPr>
        <w:t xml:space="preserve"> establecido</w:t>
      </w:r>
      <w:r w:rsidR="007277DC">
        <w:rPr>
          <w:rFonts w:cstheme="minorHAnsi"/>
          <w:sz w:val="24"/>
          <w:szCs w:val="24"/>
          <w:lang w:val="es-NI"/>
        </w:rPr>
        <w:t>s</w:t>
      </w:r>
      <w:r>
        <w:rPr>
          <w:rFonts w:cstheme="minorHAnsi"/>
          <w:sz w:val="24"/>
          <w:szCs w:val="24"/>
          <w:lang w:val="es-NI"/>
        </w:rPr>
        <w:t xml:space="preserve"> en la Constitución política.</w:t>
      </w:r>
    </w:p>
    <w:p w14:paraId="7113F334" w14:textId="7777777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Acabar con todas las formas de represión y asedio en contra de activistas y defensores de derechos humanos, incluyendo a los colectivos LGTB. </w:t>
      </w:r>
    </w:p>
    <w:p w14:paraId="25660F19" w14:textId="3961818D"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Investigar los crímenes cometidos y </w:t>
      </w:r>
      <w:r w:rsidR="007277DC">
        <w:rPr>
          <w:rFonts w:cstheme="minorHAnsi"/>
          <w:sz w:val="24"/>
          <w:szCs w:val="24"/>
          <w:lang w:val="es-NI"/>
        </w:rPr>
        <w:t xml:space="preserve">garantizar </w:t>
      </w:r>
      <w:r>
        <w:rPr>
          <w:rFonts w:cstheme="minorHAnsi"/>
          <w:sz w:val="24"/>
          <w:szCs w:val="24"/>
          <w:lang w:val="es-NI"/>
        </w:rPr>
        <w:t xml:space="preserve">la justicia transicional para todas las víctimas </w:t>
      </w:r>
      <w:r w:rsidR="007277DC">
        <w:rPr>
          <w:rFonts w:cstheme="minorHAnsi"/>
          <w:sz w:val="24"/>
          <w:szCs w:val="24"/>
          <w:lang w:val="es-NI"/>
        </w:rPr>
        <w:t xml:space="preserve">de la represión, </w:t>
      </w:r>
      <w:r>
        <w:rPr>
          <w:rFonts w:cstheme="minorHAnsi"/>
          <w:sz w:val="24"/>
          <w:szCs w:val="24"/>
          <w:lang w:val="es-NI"/>
        </w:rPr>
        <w:t xml:space="preserve">de acuerdo </w:t>
      </w:r>
      <w:r w:rsidR="007277DC">
        <w:rPr>
          <w:rFonts w:cstheme="minorHAnsi"/>
          <w:sz w:val="24"/>
          <w:szCs w:val="24"/>
          <w:lang w:val="es-NI"/>
        </w:rPr>
        <w:t>a</w:t>
      </w:r>
      <w:r>
        <w:rPr>
          <w:rFonts w:cstheme="minorHAnsi"/>
          <w:sz w:val="24"/>
          <w:szCs w:val="24"/>
          <w:lang w:val="es-NI"/>
        </w:rPr>
        <w:t xml:space="preserve"> las recomendaciones hechas por la Oficina de la Alta Comisionada de Derechos Humanos y la Comisión Interamericana de Derechos Humanos.</w:t>
      </w:r>
    </w:p>
    <w:p w14:paraId="575DF9A3" w14:textId="4A216A3D"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Asegurar el retorno seguro de miles de </w:t>
      </w:r>
      <w:r w:rsidR="007277DC">
        <w:rPr>
          <w:rFonts w:cstheme="minorHAnsi"/>
          <w:sz w:val="24"/>
          <w:szCs w:val="24"/>
          <w:lang w:val="es-NI"/>
        </w:rPr>
        <w:t xml:space="preserve">personas </w:t>
      </w:r>
      <w:r>
        <w:rPr>
          <w:rFonts w:cstheme="minorHAnsi"/>
          <w:sz w:val="24"/>
          <w:szCs w:val="24"/>
          <w:lang w:val="es-NI"/>
        </w:rPr>
        <w:t>exiliad</w:t>
      </w:r>
      <w:r w:rsidR="007277DC">
        <w:rPr>
          <w:rFonts w:cstheme="minorHAnsi"/>
          <w:sz w:val="24"/>
          <w:szCs w:val="24"/>
          <w:lang w:val="es-NI"/>
        </w:rPr>
        <w:t>a</w:t>
      </w:r>
      <w:r>
        <w:rPr>
          <w:rFonts w:cstheme="minorHAnsi"/>
          <w:sz w:val="24"/>
          <w:szCs w:val="24"/>
          <w:lang w:val="es-NI"/>
        </w:rPr>
        <w:t xml:space="preserve">s, incluyendo </w:t>
      </w:r>
      <w:r w:rsidR="007277DC">
        <w:rPr>
          <w:rFonts w:cstheme="minorHAnsi"/>
          <w:sz w:val="24"/>
          <w:szCs w:val="24"/>
          <w:lang w:val="es-NI"/>
        </w:rPr>
        <w:t>la p</w:t>
      </w:r>
      <w:r>
        <w:rPr>
          <w:rFonts w:cstheme="minorHAnsi"/>
          <w:sz w:val="24"/>
          <w:szCs w:val="24"/>
          <w:lang w:val="es-NI"/>
        </w:rPr>
        <w:t>oblación LGTB.</w:t>
      </w:r>
    </w:p>
    <w:p w14:paraId="4B3ECDF6" w14:textId="7EF57AE7"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Respetar el derecho a la libertad de expresión y de organización de </w:t>
      </w:r>
      <w:r w:rsidR="007277DC">
        <w:rPr>
          <w:rFonts w:cstheme="minorHAnsi"/>
          <w:sz w:val="24"/>
          <w:szCs w:val="24"/>
          <w:lang w:val="es-NI"/>
        </w:rPr>
        <w:t xml:space="preserve">las y los nicaragüenses, tal y como </w:t>
      </w:r>
      <w:r w:rsidR="000C0764">
        <w:rPr>
          <w:rFonts w:cstheme="minorHAnsi"/>
          <w:sz w:val="24"/>
          <w:szCs w:val="24"/>
          <w:lang w:val="es-NI"/>
        </w:rPr>
        <w:t>está</w:t>
      </w:r>
      <w:r w:rsidR="007277DC">
        <w:rPr>
          <w:rFonts w:cstheme="minorHAnsi"/>
          <w:sz w:val="24"/>
          <w:szCs w:val="24"/>
          <w:lang w:val="es-NI"/>
        </w:rPr>
        <w:t xml:space="preserve"> establecido en la </w:t>
      </w:r>
      <w:r w:rsidR="000C0764">
        <w:rPr>
          <w:rFonts w:cstheme="minorHAnsi"/>
          <w:sz w:val="24"/>
          <w:szCs w:val="24"/>
          <w:lang w:val="es-NI"/>
        </w:rPr>
        <w:t>Constitución</w:t>
      </w:r>
      <w:r w:rsidR="007277DC">
        <w:rPr>
          <w:rFonts w:cstheme="minorHAnsi"/>
          <w:sz w:val="24"/>
          <w:szCs w:val="24"/>
          <w:lang w:val="es-NI"/>
        </w:rPr>
        <w:t xml:space="preserve"> </w:t>
      </w:r>
      <w:r w:rsidR="000C0764">
        <w:rPr>
          <w:rFonts w:cstheme="minorHAnsi"/>
          <w:sz w:val="24"/>
          <w:szCs w:val="24"/>
          <w:lang w:val="es-NI"/>
        </w:rPr>
        <w:t>política</w:t>
      </w:r>
      <w:r w:rsidR="007277DC">
        <w:rPr>
          <w:rFonts w:cstheme="minorHAnsi"/>
          <w:sz w:val="24"/>
          <w:szCs w:val="24"/>
          <w:lang w:val="es-NI"/>
        </w:rPr>
        <w:t xml:space="preserve"> y en la Ley de participación ciudadana. </w:t>
      </w:r>
    </w:p>
    <w:p w14:paraId="437037D9" w14:textId="2A78DA78" w:rsidR="00755B8E" w:rsidRDefault="00755B8E" w:rsidP="00736E8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Asegurar elecciones libres y transparentes tal y como ha demandado la Organización de Estado Americanos, para superar la crisis que afecta a toda la sociedad nicaragüense. </w:t>
      </w:r>
    </w:p>
    <w:p w14:paraId="551E8951" w14:textId="3902AC06" w:rsidR="00755B8E" w:rsidRPr="00FF22C6" w:rsidRDefault="00755B8E" w:rsidP="00FF22C6">
      <w:pPr>
        <w:pStyle w:val="Prrafodelista"/>
        <w:numPr>
          <w:ilvl w:val="0"/>
          <w:numId w:val="2"/>
        </w:numPr>
        <w:spacing w:line="360" w:lineRule="auto"/>
        <w:jc w:val="both"/>
        <w:rPr>
          <w:rFonts w:cstheme="minorHAnsi"/>
          <w:sz w:val="24"/>
          <w:szCs w:val="24"/>
          <w:lang w:val="es-NI"/>
        </w:rPr>
      </w:pPr>
      <w:r>
        <w:rPr>
          <w:rFonts w:cstheme="minorHAnsi"/>
          <w:sz w:val="24"/>
          <w:szCs w:val="24"/>
          <w:lang w:val="es-NI"/>
        </w:rPr>
        <w:t xml:space="preserve">Garantizar una efectiva participación de </w:t>
      </w:r>
      <w:r w:rsidR="000C0764">
        <w:rPr>
          <w:rFonts w:cstheme="minorHAnsi"/>
          <w:sz w:val="24"/>
          <w:szCs w:val="24"/>
          <w:lang w:val="es-NI"/>
        </w:rPr>
        <w:t xml:space="preserve">los </w:t>
      </w:r>
      <w:r>
        <w:rPr>
          <w:rFonts w:cstheme="minorHAnsi"/>
          <w:sz w:val="24"/>
          <w:szCs w:val="24"/>
          <w:lang w:val="es-NI"/>
        </w:rPr>
        <w:t>colectivos LGBTI en la toma de decisiones, como acto de justicia y una necesidad para transformar las lógicas excluyentes y discriminatorias.</w:t>
      </w:r>
    </w:p>
    <w:p w14:paraId="09AFBCD8" w14:textId="77777777" w:rsidR="00FF22C6" w:rsidRDefault="00FF22C6" w:rsidP="00736E86">
      <w:pPr>
        <w:autoSpaceDE w:val="0"/>
        <w:autoSpaceDN w:val="0"/>
        <w:adjustRightInd w:val="0"/>
        <w:spacing w:after="0" w:line="360" w:lineRule="auto"/>
        <w:jc w:val="center"/>
        <w:rPr>
          <w:rFonts w:cstheme="minorHAnsi"/>
          <w:b/>
          <w:bCs/>
          <w:sz w:val="24"/>
          <w:szCs w:val="24"/>
        </w:rPr>
      </w:pPr>
    </w:p>
    <w:p w14:paraId="4A74E0B6" w14:textId="77777777" w:rsidR="00FF22C6" w:rsidRDefault="00FF22C6" w:rsidP="00736E86">
      <w:pPr>
        <w:autoSpaceDE w:val="0"/>
        <w:autoSpaceDN w:val="0"/>
        <w:adjustRightInd w:val="0"/>
        <w:spacing w:after="0" w:line="360" w:lineRule="auto"/>
        <w:jc w:val="center"/>
        <w:rPr>
          <w:rFonts w:cstheme="minorHAnsi"/>
          <w:b/>
          <w:bCs/>
          <w:sz w:val="24"/>
          <w:szCs w:val="24"/>
        </w:rPr>
      </w:pPr>
    </w:p>
    <w:p w14:paraId="4D82802A" w14:textId="77777777" w:rsidR="00FF22C6" w:rsidRDefault="00FF22C6" w:rsidP="00736E86">
      <w:pPr>
        <w:autoSpaceDE w:val="0"/>
        <w:autoSpaceDN w:val="0"/>
        <w:adjustRightInd w:val="0"/>
        <w:spacing w:after="0" w:line="360" w:lineRule="auto"/>
        <w:jc w:val="center"/>
        <w:rPr>
          <w:rFonts w:cstheme="minorHAnsi"/>
          <w:b/>
          <w:bCs/>
          <w:sz w:val="24"/>
          <w:szCs w:val="24"/>
        </w:rPr>
      </w:pPr>
    </w:p>
    <w:p w14:paraId="7EEF10E4" w14:textId="77777777" w:rsidR="00FF22C6" w:rsidRDefault="00FF22C6" w:rsidP="00736E86">
      <w:pPr>
        <w:autoSpaceDE w:val="0"/>
        <w:autoSpaceDN w:val="0"/>
        <w:adjustRightInd w:val="0"/>
        <w:spacing w:after="0" w:line="360" w:lineRule="auto"/>
        <w:jc w:val="center"/>
        <w:rPr>
          <w:rFonts w:cstheme="minorHAnsi"/>
          <w:b/>
          <w:bCs/>
          <w:sz w:val="24"/>
          <w:szCs w:val="24"/>
        </w:rPr>
      </w:pPr>
    </w:p>
    <w:p w14:paraId="158BE2D8" w14:textId="77777777" w:rsidR="00FF22C6" w:rsidRDefault="00FF22C6" w:rsidP="00736E86">
      <w:pPr>
        <w:autoSpaceDE w:val="0"/>
        <w:autoSpaceDN w:val="0"/>
        <w:adjustRightInd w:val="0"/>
        <w:spacing w:after="0" w:line="360" w:lineRule="auto"/>
        <w:jc w:val="center"/>
        <w:rPr>
          <w:rFonts w:cstheme="minorHAnsi"/>
          <w:b/>
          <w:bCs/>
          <w:sz w:val="24"/>
          <w:szCs w:val="24"/>
        </w:rPr>
      </w:pPr>
    </w:p>
    <w:p w14:paraId="0F86CC9C" w14:textId="346804C6" w:rsidR="00755B8E" w:rsidRDefault="00755B8E" w:rsidP="00736E86">
      <w:pPr>
        <w:autoSpaceDE w:val="0"/>
        <w:autoSpaceDN w:val="0"/>
        <w:adjustRightInd w:val="0"/>
        <w:spacing w:after="0" w:line="360" w:lineRule="auto"/>
        <w:jc w:val="center"/>
        <w:rPr>
          <w:rFonts w:cstheme="minorHAnsi"/>
          <w:b/>
          <w:bCs/>
          <w:sz w:val="24"/>
          <w:szCs w:val="24"/>
          <w:lang w:val="es-EC"/>
        </w:rPr>
      </w:pPr>
      <w:r>
        <w:rPr>
          <w:rFonts w:cstheme="minorHAnsi"/>
          <w:b/>
          <w:bCs/>
          <w:sz w:val="24"/>
          <w:szCs w:val="24"/>
        </w:rPr>
        <w:lastRenderedPageBreak/>
        <w:t>Anexo</w:t>
      </w:r>
    </w:p>
    <w:p w14:paraId="62B65D22" w14:textId="0DDB6381" w:rsidR="00755B8E" w:rsidRDefault="00665463" w:rsidP="00FF22C6">
      <w:pPr>
        <w:spacing w:after="0" w:line="360" w:lineRule="auto"/>
        <w:jc w:val="center"/>
        <w:rPr>
          <w:rFonts w:eastAsia="Times New Roman" w:cstheme="minorHAnsi"/>
          <w:b/>
          <w:bCs/>
          <w:sz w:val="24"/>
          <w:szCs w:val="24"/>
          <w:lang w:val="es-ES" w:eastAsia="es-ES"/>
        </w:rPr>
      </w:pPr>
      <w:r>
        <w:rPr>
          <w:rFonts w:cstheme="minorHAnsi"/>
          <w:b/>
          <w:sz w:val="24"/>
          <w:szCs w:val="24"/>
        </w:rPr>
        <w:t xml:space="preserve">Situación </w:t>
      </w:r>
      <w:r w:rsidR="00755B8E">
        <w:rPr>
          <w:rFonts w:cstheme="minorHAnsi"/>
          <w:b/>
          <w:sz w:val="24"/>
          <w:szCs w:val="24"/>
        </w:rPr>
        <w:t xml:space="preserve">de los </w:t>
      </w:r>
      <w:r>
        <w:rPr>
          <w:rFonts w:cstheme="minorHAnsi"/>
          <w:b/>
          <w:sz w:val="24"/>
          <w:szCs w:val="24"/>
        </w:rPr>
        <w:t>D</w:t>
      </w:r>
      <w:r w:rsidR="00755B8E">
        <w:rPr>
          <w:rFonts w:cstheme="minorHAnsi"/>
          <w:b/>
          <w:sz w:val="24"/>
          <w:szCs w:val="24"/>
        </w:rPr>
        <w:t xml:space="preserve">erechos </w:t>
      </w:r>
      <w:r>
        <w:rPr>
          <w:rFonts w:cstheme="minorHAnsi"/>
          <w:b/>
          <w:sz w:val="24"/>
          <w:szCs w:val="24"/>
        </w:rPr>
        <w:t xml:space="preserve">Económicos, Sociales y Culturales </w:t>
      </w:r>
      <w:r w:rsidR="00755B8E">
        <w:rPr>
          <w:rFonts w:cstheme="minorHAnsi"/>
          <w:b/>
          <w:sz w:val="24"/>
          <w:szCs w:val="24"/>
        </w:rPr>
        <w:t>de las personas LGBTI en Nicaragua.</w:t>
      </w:r>
    </w:p>
    <w:p w14:paraId="091FCF0D" w14:textId="77777777" w:rsidR="00755B8E" w:rsidRDefault="00755B8E" w:rsidP="00736E86">
      <w:pPr>
        <w:autoSpaceDE w:val="0"/>
        <w:autoSpaceDN w:val="0"/>
        <w:adjustRightInd w:val="0"/>
        <w:spacing w:after="0" w:line="360" w:lineRule="auto"/>
        <w:jc w:val="center"/>
        <w:rPr>
          <w:rFonts w:eastAsia="Times New Roman" w:cstheme="minorHAnsi"/>
          <w:b/>
          <w:bCs/>
          <w:sz w:val="24"/>
          <w:szCs w:val="24"/>
          <w:lang w:val="es-ES" w:eastAsia="es-ES"/>
        </w:rPr>
      </w:pPr>
      <w:r>
        <w:rPr>
          <w:rFonts w:cstheme="minorHAnsi"/>
          <w:b/>
          <w:sz w:val="24"/>
          <w:szCs w:val="24"/>
          <w:lang w:val="es-ES"/>
        </w:rPr>
        <w:t xml:space="preserve"> </w:t>
      </w:r>
    </w:p>
    <w:p w14:paraId="2456E1AB" w14:textId="77777777" w:rsidR="00755B8E" w:rsidRDefault="00755B8E" w:rsidP="00736E86">
      <w:pPr>
        <w:spacing w:line="360" w:lineRule="auto"/>
        <w:rPr>
          <w:rFonts w:cstheme="minorHAnsi"/>
          <w:b/>
          <w:sz w:val="24"/>
          <w:szCs w:val="24"/>
          <w:lang w:val="es-MX"/>
        </w:rPr>
      </w:pPr>
      <w:r>
        <w:rPr>
          <w:rFonts w:cstheme="minorHAnsi"/>
          <w:b/>
          <w:sz w:val="24"/>
          <w:szCs w:val="24"/>
          <w:lang w:val="es-MX"/>
        </w:rPr>
        <w:t>Nota 1</w:t>
      </w:r>
    </w:p>
    <w:p w14:paraId="341C1C96" w14:textId="77777777" w:rsidR="00755B8E" w:rsidRDefault="00755B8E" w:rsidP="00736E86">
      <w:pPr>
        <w:spacing w:line="360" w:lineRule="auto"/>
        <w:contextualSpacing/>
        <w:jc w:val="both"/>
        <w:rPr>
          <w:rFonts w:cstheme="minorHAnsi"/>
          <w:sz w:val="24"/>
          <w:szCs w:val="24"/>
          <w:lang w:val="es-EC"/>
        </w:rPr>
      </w:pPr>
      <w:r>
        <w:rPr>
          <w:rFonts w:cstheme="minorHAnsi"/>
          <w:sz w:val="24"/>
          <w:szCs w:val="24"/>
        </w:rPr>
        <w:t>El Informe alternativo: Derechos humanos de mujeres y jóvenes en Nicaragua</w:t>
      </w:r>
      <w:r>
        <w:rPr>
          <w:rStyle w:val="Refdenotaalpie"/>
          <w:rFonts w:cstheme="minorHAnsi"/>
          <w:sz w:val="24"/>
          <w:szCs w:val="24"/>
        </w:rPr>
        <w:footnoteReference w:id="10"/>
      </w:r>
      <w:r>
        <w:rPr>
          <w:rFonts w:cstheme="minorHAnsi"/>
          <w:sz w:val="24"/>
          <w:szCs w:val="24"/>
        </w:rPr>
        <w:t>, elaborado por diversas organizaciones feministas en el marco de la Tercera Conferencia Regional de Población y Desarrollo de América Latina y El Caribe del año 2018, detalla que “en Nicaragua no existe una legislación particular que consigne los derechos de lesbianas, homosexuales, bisexuales y personas trans”.</w:t>
      </w:r>
    </w:p>
    <w:p w14:paraId="35817A90" w14:textId="77777777" w:rsidR="00755B8E" w:rsidRDefault="00755B8E" w:rsidP="00736E86">
      <w:pPr>
        <w:spacing w:line="360" w:lineRule="auto"/>
        <w:contextualSpacing/>
        <w:jc w:val="both"/>
        <w:rPr>
          <w:rFonts w:cstheme="minorHAnsi"/>
          <w:sz w:val="24"/>
          <w:szCs w:val="24"/>
        </w:rPr>
      </w:pPr>
    </w:p>
    <w:p w14:paraId="4347B882" w14:textId="77777777" w:rsidR="00755B8E" w:rsidRDefault="00755B8E" w:rsidP="00736E86">
      <w:pPr>
        <w:spacing w:line="360" w:lineRule="auto"/>
        <w:contextualSpacing/>
        <w:jc w:val="both"/>
        <w:rPr>
          <w:rFonts w:cstheme="minorHAnsi"/>
          <w:sz w:val="24"/>
          <w:szCs w:val="24"/>
        </w:rPr>
      </w:pPr>
      <w:r>
        <w:rPr>
          <w:rFonts w:cstheme="minorHAnsi"/>
          <w:sz w:val="24"/>
          <w:szCs w:val="24"/>
        </w:rPr>
        <w:t xml:space="preserve">Este informe expone que, aunque la Constitución Política de la República en el Titulo IV, Capítulo I, establece que “todas las personas son iguales ante la ley y tienen derecho a igual protección”, no existen medidas legales que prohíban y sancionen actos de violencia y discriminación cometidos por funcionarios públicos, empresarios, líderes religiosos, personas particulares e incluso familiares, en contra de lesbianas, bisexuales, homosexuales y personas transgéneras. </w:t>
      </w:r>
    </w:p>
    <w:p w14:paraId="317E3708" w14:textId="77777777" w:rsidR="00755B8E" w:rsidRDefault="00755B8E" w:rsidP="00736E86">
      <w:pPr>
        <w:spacing w:line="360" w:lineRule="auto"/>
        <w:rPr>
          <w:rFonts w:cstheme="minorHAnsi"/>
          <w:b/>
          <w:sz w:val="24"/>
          <w:szCs w:val="24"/>
          <w:lang w:val="es-MX"/>
        </w:rPr>
      </w:pPr>
    </w:p>
    <w:p w14:paraId="521205A6" w14:textId="77777777" w:rsidR="00755B8E" w:rsidRDefault="00755B8E" w:rsidP="00736E86">
      <w:pPr>
        <w:spacing w:line="360" w:lineRule="auto"/>
        <w:rPr>
          <w:rFonts w:cstheme="minorHAnsi"/>
          <w:b/>
          <w:sz w:val="24"/>
          <w:szCs w:val="24"/>
          <w:lang w:val="es-MX"/>
        </w:rPr>
      </w:pPr>
      <w:r>
        <w:rPr>
          <w:rFonts w:cstheme="minorHAnsi"/>
          <w:b/>
          <w:sz w:val="24"/>
          <w:szCs w:val="24"/>
          <w:lang w:val="es-MX"/>
        </w:rPr>
        <w:t>Nota 2</w:t>
      </w:r>
    </w:p>
    <w:p w14:paraId="00A8D4A8" w14:textId="42180043" w:rsidR="00755B8E" w:rsidRDefault="00755B8E" w:rsidP="00736E86">
      <w:pPr>
        <w:spacing w:line="360" w:lineRule="auto"/>
        <w:contextualSpacing/>
        <w:jc w:val="both"/>
        <w:rPr>
          <w:rFonts w:cstheme="minorHAnsi"/>
          <w:sz w:val="24"/>
          <w:szCs w:val="24"/>
          <w:lang w:val="es-ES"/>
        </w:rPr>
      </w:pPr>
      <w:r>
        <w:rPr>
          <w:rFonts w:cstheme="minorHAnsi"/>
          <w:sz w:val="24"/>
          <w:szCs w:val="24"/>
        </w:rPr>
        <w:t>En Nicaragua se derogó el artículo 204 que tipificaba la homosexualidad como delito de “sodomía” (2008) y también se incorporó en el nuevo Código Penal la figura que prohíbe la discriminación por razones de género y orientación sexual</w:t>
      </w:r>
      <w:r>
        <w:rPr>
          <w:rStyle w:val="Refdenotaalpie"/>
          <w:rFonts w:cstheme="minorHAnsi"/>
          <w:sz w:val="24"/>
          <w:szCs w:val="24"/>
        </w:rPr>
        <w:footnoteReference w:id="11"/>
      </w:r>
      <w:r>
        <w:rPr>
          <w:rFonts w:cstheme="minorHAnsi"/>
          <w:sz w:val="24"/>
          <w:szCs w:val="24"/>
        </w:rPr>
        <w:t xml:space="preserve">.Aunque no se </w:t>
      </w:r>
      <w:r>
        <w:rPr>
          <w:rFonts w:cstheme="minorHAnsi"/>
          <w:sz w:val="24"/>
          <w:szCs w:val="24"/>
          <w:lang w:val="es-ES"/>
        </w:rPr>
        <w:t xml:space="preserve">conocen datos fidedignos que permitan confirmar el nivel de rigurosidad en la aplicación de esta norma </w:t>
      </w:r>
      <w:r>
        <w:rPr>
          <w:rFonts w:cstheme="minorHAnsi"/>
          <w:sz w:val="24"/>
          <w:szCs w:val="24"/>
          <w:lang w:val="es-ES"/>
        </w:rPr>
        <w:lastRenderedPageBreak/>
        <w:t>legal</w:t>
      </w:r>
      <w:r>
        <w:rPr>
          <w:rStyle w:val="Refdenotaalpie"/>
          <w:rFonts w:cstheme="minorHAnsi"/>
          <w:sz w:val="24"/>
          <w:szCs w:val="24"/>
          <w:lang w:val="es-ES"/>
        </w:rPr>
        <w:footnoteReference w:id="12"/>
      </w:r>
      <w:r>
        <w:rPr>
          <w:rFonts w:cstheme="minorHAnsi"/>
          <w:sz w:val="24"/>
          <w:szCs w:val="24"/>
          <w:lang w:val="es-ES"/>
        </w:rPr>
        <w:t xml:space="preserve"> que penaliza las relaciones sexuales entre personas del mismo sexo, la tipificación como delito sirvió para justificar la violencia y discriminación de la que han sido víctimas homosexuales, lesbianas, travestis y personas trans de los sectores más pobres de la población. </w:t>
      </w:r>
    </w:p>
    <w:p w14:paraId="67F2EC4C" w14:textId="77777777" w:rsidR="00755B8E" w:rsidRDefault="00755B8E" w:rsidP="00736E86">
      <w:pPr>
        <w:spacing w:line="360" w:lineRule="auto"/>
        <w:contextualSpacing/>
        <w:jc w:val="both"/>
        <w:rPr>
          <w:rFonts w:cstheme="minorHAnsi"/>
          <w:sz w:val="24"/>
          <w:szCs w:val="24"/>
          <w:lang w:val="es-ES"/>
        </w:rPr>
      </w:pPr>
    </w:p>
    <w:p w14:paraId="19D7010A" w14:textId="5E43110C" w:rsidR="00755B8E" w:rsidRPr="009929ED" w:rsidRDefault="00755B8E" w:rsidP="00736E86">
      <w:pPr>
        <w:spacing w:line="360" w:lineRule="auto"/>
        <w:contextualSpacing/>
        <w:jc w:val="both"/>
        <w:rPr>
          <w:rFonts w:cstheme="minorHAnsi"/>
          <w:b/>
          <w:sz w:val="24"/>
          <w:szCs w:val="24"/>
          <w:lang w:val="es-EC"/>
        </w:rPr>
      </w:pPr>
      <w:r>
        <w:rPr>
          <w:rFonts w:cstheme="minorHAnsi"/>
          <w:b/>
          <w:sz w:val="24"/>
          <w:szCs w:val="24"/>
        </w:rPr>
        <w:t>Nota 3</w:t>
      </w:r>
    </w:p>
    <w:p w14:paraId="684FA396" w14:textId="2DCEE4EE" w:rsidR="00755B8E" w:rsidRDefault="00755B8E" w:rsidP="00736E86">
      <w:pPr>
        <w:spacing w:line="360" w:lineRule="auto"/>
        <w:contextualSpacing/>
        <w:jc w:val="both"/>
        <w:rPr>
          <w:rFonts w:cstheme="minorHAnsi"/>
          <w:sz w:val="24"/>
          <w:szCs w:val="24"/>
        </w:rPr>
      </w:pPr>
      <w:r>
        <w:rPr>
          <w:rFonts w:cstheme="minorHAnsi"/>
          <w:sz w:val="24"/>
          <w:szCs w:val="24"/>
        </w:rPr>
        <w:t xml:space="preserve">En el 2014 </w:t>
      </w:r>
      <w:r w:rsidR="00C9710B">
        <w:rPr>
          <w:rFonts w:cstheme="minorHAnsi"/>
          <w:sz w:val="24"/>
          <w:szCs w:val="24"/>
        </w:rPr>
        <w:t xml:space="preserve">se aprobó </w:t>
      </w:r>
      <w:r>
        <w:rPr>
          <w:rFonts w:cstheme="minorHAnsi"/>
          <w:sz w:val="24"/>
          <w:szCs w:val="24"/>
        </w:rPr>
        <w:t>la resolución ministerial 671</w:t>
      </w:r>
      <w:r>
        <w:rPr>
          <w:rStyle w:val="Refdenotaalpie"/>
          <w:rFonts w:cstheme="minorHAnsi"/>
          <w:sz w:val="24"/>
          <w:szCs w:val="24"/>
        </w:rPr>
        <w:footnoteReference w:id="13"/>
      </w:r>
      <w:r>
        <w:rPr>
          <w:rFonts w:cstheme="minorHAnsi"/>
          <w:sz w:val="24"/>
          <w:szCs w:val="24"/>
        </w:rPr>
        <w:t>, la cual establece la obligación que tienen los prestadores de servicios públicos de salud, de brindar un trato humanitario y respetuoso a personas conviviendo con V</w:t>
      </w:r>
      <w:r w:rsidR="005333DA">
        <w:rPr>
          <w:rFonts w:cstheme="minorHAnsi"/>
          <w:sz w:val="24"/>
          <w:szCs w:val="24"/>
        </w:rPr>
        <w:t>IH</w:t>
      </w:r>
      <w:r>
        <w:rPr>
          <w:rFonts w:cstheme="minorHAnsi"/>
          <w:sz w:val="24"/>
          <w:szCs w:val="24"/>
        </w:rPr>
        <w:t>-Sida y trabajadoras sexuales. También establece la obligación de reconocer el nombre con el que se identifican las personas trans, sin embargo, estas continúan siendo llamadas por el nombre que aparece en la cédula.</w:t>
      </w:r>
    </w:p>
    <w:p w14:paraId="5243B238" w14:textId="77777777" w:rsidR="00755B8E" w:rsidRDefault="00755B8E" w:rsidP="00736E86">
      <w:pPr>
        <w:spacing w:line="360" w:lineRule="auto"/>
        <w:contextualSpacing/>
        <w:jc w:val="both"/>
        <w:rPr>
          <w:rFonts w:cstheme="minorHAnsi"/>
          <w:sz w:val="24"/>
          <w:szCs w:val="24"/>
        </w:rPr>
      </w:pPr>
    </w:p>
    <w:p w14:paraId="78E660DD" w14:textId="64815BD7" w:rsidR="00755B8E" w:rsidRPr="009929ED" w:rsidRDefault="00755B8E" w:rsidP="00736E86">
      <w:pPr>
        <w:spacing w:line="360" w:lineRule="auto"/>
        <w:contextualSpacing/>
        <w:jc w:val="both"/>
        <w:rPr>
          <w:rFonts w:cstheme="minorHAnsi"/>
          <w:b/>
          <w:sz w:val="24"/>
          <w:szCs w:val="24"/>
        </w:rPr>
      </w:pPr>
      <w:r>
        <w:rPr>
          <w:rFonts w:cstheme="minorHAnsi"/>
          <w:b/>
          <w:sz w:val="24"/>
          <w:szCs w:val="24"/>
        </w:rPr>
        <w:t>Nota 4</w:t>
      </w:r>
    </w:p>
    <w:p w14:paraId="391EF57F" w14:textId="7ECDCDE5" w:rsidR="00755B8E" w:rsidRPr="00ED60BF" w:rsidRDefault="00755B8E" w:rsidP="00736E86">
      <w:pPr>
        <w:spacing w:line="360" w:lineRule="auto"/>
        <w:rPr>
          <w:lang w:val="es-NI"/>
        </w:rPr>
      </w:pPr>
      <w:r>
        <w:rPr>
          <w:rFonts w:cstheme="minorHAnsi"/>
          <w:sz w:val="24"/>
          <w:szCs w:val="24"/>
        </w:rPr>
        <w:t>La Ley 820</w:t>
      </w:r>
      <w:r w:rsidR="00ED60BF">
        <w:rPr>
          <w:rFonts w:cstheme="minorHAnsi"/>
          <w:sz w:val="24"/>
          <w:szCs w:val="24"/>
        </w:rPr>
        <w:t xml:space="preserve">, </w:t>
      </w:r>
      <w:r w:rsidR="00ED60BF">
        <w:rPr>
          <w:lang w:val="es-NI"/>
        </w:rPr>
        <w:t>Ley</w:t>
      </w:r>
      <w:r w:rsidR="00ED60BF" w:rsidRPr="0007318E">
        <w:rPr>
          <w:lang w:val="es-NI"/>
        </w:rPr>
        <w:t xml:space="preserve"> de promoción, protección y defensa de los derechos humanos ante el </w:t>
      </w:r>
      <w:r w:rsidR="00ED60BF">
        <w:rPr>
          <w:lang w:val="es-NI"/>
        </w:rPr>
        <w:t>VIH y S</w:t>
      </w:r>
      <w:r w:rsidR="00ED60BF" w:rsidRPr="0007318E">
        <w:rPr>
          <w:lang w:val="es-NI"/>
        </w:rPr>
        <w:t>ida, para su prevención y atención</w:t>
      </w:r>
      <w:r w:rsidR="00ED60BF">
        <w:rPr>
          <w:lang w:val="es-NI"/>
        </w:rPr>
        <w:t>,</w:t>
      </w:r>
      <w:r>
        <w:rPr>
          <w:rFonts w:cstheme="minorHAnsi"/>
          <w:sz w:val="24"/>
          <w:szCs w:val="24"/>
        </w:rPr>
        <w:t xml:space="preserve"> </w:t>
      </w:r>
      <w:r>
        <w:rPr>
          <w:rStyle w:val="Refdenotaalpie"/>
          <w:rFonts w:cstheme="minorHAnsi"/>
          <w:sz w:val="24"/>
          <w:szCs w:val="24"/>
        </w:rPr>
        <w:footnoteReference w:id="14"/>
      </w:r>
      <w:r>
        <w:rPr>
          <w:rFonts w:cstheme="minorHAnsi"/>
          <w:sz w:val="24"/>
          <w:szCs w:val="24"/>
        </w:rPr>
        <w:t xml:space="preserve"> </w:t>
      </w:r>
      <w:r w:rsidR="00ED60BF">
        <w:rPr>
          <w:rFonts w:cstheme="minorHAnsi"/>
          <w:sz w:val="24"/>
          <w:szCs w:val="24"/>
        </w:rPr>
        <w:t xml:space="preserve">, </w:t>
      </w:r>
      <w:r>
        <w:rPr>
          <w:rFonts w:cstheme="minorHAnsi"/>
          <w:sz w:val="24"/>
          <w:szCs w:val="24"/>
        </w:rPr>
        <w:t>orienta el deber de brindar una atención de calidad, no obstante, muchos funcionarios del sistema público de salud, irrespetan la integridad de las y los usuarios, anteponiendo prejuicios y creencias religiosas que los alimentan.</w:t>
      </w:r>
    </w:p>
    <w:p w14:paraId="73BCE2AC" w14:textId="77777777" w:rsidR="00755B8E" w:rsidRDefault="00755B8E" w:rsidP="00736E86">
      <w:pPr>
        <w:spacing w:line="360" w:lineRule="auto"/>
        <w:contextualSpacing/>
        <w:jc w:val="both"/>
        <w:rPr>
          <w:rFonts w:cstheme="minorHAnsi"/>
          <w:sz w:val="24"/>
          <w:szCs w:val="24"/>
        </w:rPr>
      </w:pPr>
    </w:p>
    <w:p w14:paraId="2A21ADC0" w14:textId="1627A075" w:rsidR="00755B8E" w:rsidRPr="009929ED" w:rsidRDefault="00755B8E" w:rsidP="00736E86">
      <w:pPr>
        <w:spacing w:line="360" w:lineRule="auto"/>
        <w:contextualSpacing/>
        <w:jc w:val="both"/>
        <w:rPr>
          <w:rFonts w:cstheme="minorHAnsi"/>
          <w:b/>
          <w:sz w:val="24"/>
          <w:szCs w:val="24"/>
        </w:rPr>
      </w:pPr>
      <w:r>
        <w:rPr>
          <w:rFonts w:cstheme="minorHAnsi"/>
          <w:b/>
          <w:sz w:val="24"/>
          <w:szCs w:val="24"/>
        </w:rPr>
        <w:t>Nota 5</w:t>
      </w:r>
    </w:p>
    <w:p w14:paraId="5ED5433A" w14:textId="350040D8" w:rsidR="00755B8E" w:rsidRDefault="00755B8E" w:rsidP="00736E86">
      <w:pPr>
        <w:spacing w:line="360" w:lineRule="auto"/>
        <w:contextualSpacing/>
        <w:jc w:val="both"/>
        <w:rPr>
          <w:rFonts w:cstheme="minorHAnsi"/>
          <w:sz w:val="24"/>
          <w:szCs w:val="24"/>
          <w:lang w:val="es-ES"/>
        </w:rPr>
      </w:pPr>
      <w:r>
        <w:rPr>
          <w:rFonts w:cstheme="minorHAnsi"/>
          <w:sz w:val="24"/>
          <w:szCs w:val="24"/>
        </w:rPr>
        <w:t>Por primera vez en la historia de nuestro país, en el año 2009 se creó la Procuraduría Especial de la Diversidad Sexual</w:t>
      </w:r>
      <w:r>
        <w:rPr>
          <w:rStyle w:val="Refdenotaalpie"/>
          <w:rFonts w:cstheme="minorHAnsi"/>
          <w:sz w:val="24"/>
          <w:szCs w:val="24"/>
        </w:rPr>
        <w:footnoteReference w:id="15"/>
      </w:r>
      <w:r>
        <w:rPr>
          <w:rFonts w:cstheme="minorHAnsi"/>
          <w:sz w:val="24"/>
          <w:szCs w:val="24"/>
        </w:rPr>
        <w:t xml:space="preserve"> y el nombramiento de una activista lesbiana como procuradora a propuesta de diversos colectivos LGTB, lo que sin duda generó toda clase de expectativas para la comunidad. A lo largo de la última década, activistas LGTB han denunciado de forma reiterada, la falta de funcionamiento de la procuraduría especial, la que no </w:t>
      </w:r>
      <w:r w:rsidR="002103FC">
        <w:rPr>
          <w:rFonts w:cstheme="minorHAnsi"/>
          <w:sz w:val="24"/>
          <w:szCs w:val="24"/>
        </w:rPr>
        <w:t>cuenta</w:t>
      </w:r>
      <w:r>
        <w:rPr>
          <w:rFonts w:cstheme="minorHAnsi"/>
          <w:sz w:val="24"/>
          <w:szCs w:val="24"/>
        </w:rPr>
        <w:t xml:space="preserve"> con un mandato claro, ni recursos para ejercer una efectiva labor de </w:t>
      </w:r>
      <w:r>
        <w:rPr>
          <w:rFonts w:cstheme="minorHAnsi"/>
          <w:sz w:val="24"/>
          <w:szCs w:val="24"/>
        </w:rPr>
        <w:lastRenderedPageBreak/>
        <w:t>fiscalización y defensa de derechos. Además, no existe ninguna relación de dialogo y colaboración con los colectivos LGTB</w:t>
      </w:r>
      <w:r w:rsidR="002103FC">
        <w:rPr>
          <w:rFonts w:cstheme="minorHAnsi"/>
          <w:sz w:val="24"/>
          <w:szCs w:val="24"/>
        </w:rPr>
        <w:t>I</w:t>
      </w:r>
      <w:r>
        <w:rPr>
          <w:rFonts w:cstheme="minorHAnsi"/>
          <w:sz w:val="24"/>
          <w:szCs w:val="24"/>
        </w:rPr>
        <w:t xml:space="preserve">. </w:t>
      </w:r>
    </w:p>
    <w:p w14:paraId="368100C8" w14:textId="77777777" w:rsidR="00755B8E" w:rsidRDefault="00755B8E" w:rsidP="00736E86">
      <w:pPr>
        <w:spacing w:line="360" w:lineRule="auto"/>
        <w:contextualSpacing/>
        <w:jc w:val="both"/>
        <w:rPr>
          <w:rFonts w:cstheme="minorHAnsi"/>
          <w:sz w:val="24"/>
          <w:szCs w:val="24"/>
          <w:lang w:val="es-ES"/>
        </w:rPr>
      </w:pPr>
    </w:p>
    <w:p w14:paraId="0E07C40A" w14:textId="77777777" w:rsidR="00755B8E" w:rsidRDefault="00755B8E" w:rsidP="00736E86">
      <w:pPr>
        <w:spacing w:line="360" w:lineRule="auto"/>
        <w:contextualSpacing/>
        <w:jc w:val="both"/>
        <w:rPr>
          <w:rFonts w:cstheme="minorHAnsi"/>
          <w:b/>
          <w:sz w:val="24"/>
          <w:szCs w:val="24"/>
          <w:lang w:val="es-EC"/>
        </w:rPr>
      </w:pPr>
      <w:r>
        <w:rPr>
          <w:rFonts w:cstheme="minorHAnsi"/>
          <w:b/>
          <w:sz w:val="24"/>
          <w:szCs w:val="24"/>
        </w:rPr>
        <w:t>Nota 6</w:t>
      </w:r>
    </w:p>
    <w:p w14:paraId="050BC0B2" w14:textId="77777777" w:rsidR="00755B8E" w:rsidRDefault="00755B8E" w:rsidP="00736E86">
      <w:pPr>
        <w:spacing w:line="360" w:lineRule="auto"/>
        <w:contextualSpacing/>
        <w:jc w:val="both"/>
        <w:rPr>
          <w:rFonts w:cstheme="minorHAnsi"/>
          <w:sz w:val="24"/>
          <w:szCs w:val="24"/>
        </w:rPr>
      </w:pPr>
      <w:r>
        <w:rPr>
          <w:rFonts w:cstheme="minorHAnsi"/>
          <w:sz w:val="24"/>
          <w:szCs w:val="24"/>
        </w:rPr>
        <w:t xml:space="preserve">La inacción del Estado por falta de voluntad política y el desconocimiento de derechos por parte de la población LGTB, desalientan cualquier esfuerzo de denuncia por la violación de tales derechos, que en la inmensa mayoría de los casos quedan en la impunidad. </w:t>
      </w:r>
    </w:p>
    <w:p w14:paraId="2EEC18F3" w14:textId="77777777" w:rsidR="00755B8E" w:rsidRDefault="00755B8E" w:rsidP="00736E86">
      <w:pPr>
        <w:spacing w:line="360" w:lineRule="auto"/>
        <w:contextualSpacing/>
        <w:jc w:val="both"/>
        <w:rPr>
          <w:rFonts w:cstheme="minorHAnsi"/>
          <w:sz w:val="24"/>
          <w:szCs w:val="24"/>
        </w:rPr>
      </w:pPr>
    </w:p>
    <w:p w14:paraId="5568A7A3" w14:textId="4CA168DE" w:rsidR="00755B8E" w:rsidRDefault="00755B8E" w:rsidP="00736E86">
      <w:pPr>
        <w:spacing w:line="360" w:lineRule="auto"/>
        <w:contextualSpacing/>
        <w:jc w:val="both"/>
        <w:rPr>
          <w:rFonts w:cstheme="minorHAnsi"/>
          <w:b/>
          <w:sz w:val="24"/>
          <w:szCs w:val="24"/>
        </w:rPr>
      </w:pPr>
      <w:r>
        <w:rPr>
          <w:rFonts w:cstheme="minorHAnsi"/>
          <w:b/>
          <w:sz w:val="24"/>
          <w:szCs w:val="24"/>
        </w:rPr>
        <w:t>Nota 7</w:t>
      </w:r>
    </w:p>
    <w:p w14:paraId="0BAF0F51" w14:textId="7C5EB3B2" w:rsidR="00755B8E" w:rsidRPr="009929ED" w:rsidRDefault="00755B8E" w:rsidP="00736E86">
      <w:pPr>
        <w:spacing w:line="360" w:lineRule="auto"/>
        <w:contextualSpacing/>
        <w:jc w:val="both"/>
        <w:rPr>
          <w:rFonts w:cstheme="minorHAnsi"/>
          <w:b/>
          <w:sz w:val="24"/>
          <w:szCs w:val="24"/>
        </w:rPr>
      </w:pPr>
      <w:r>
        <w:rPr>
          <w:rFonts w:eastAsia="Arial" w:cstheme="minorHAnsi"/>
          <w:color w:val="000000"/>
          <w:sz w:val="24"/>
          <w:szCs w:val="24"/>
          <w:lang w:val="es-AR" w:eastAsia="es-MX"/>
        </w:rPr>
        <w:t>El Código de familia aprobado en el 2013, deja sin protección a aquellas familias que no se corresponden con el modelo nuclear, de espaldas a la realidad que reconoce que solo 36% de las familias nicaragüenses son nucleares.</w:t>
      </w:r>
      <w:r w:rsidR="009929ED">
        <w:rPr>
          <w:rFonts w:cstheme="minorHAnsi"/>
          <w:b/>
          <w:sz w:val="24"/>
          <w:szCs w:val="24"/>
          <w:lang w:val="es-AR"/>
        </w:rPr>
        <w:t xml:space="preserve"> </w:t>
      </w:r>
      <w:r>
        <w:rPr>
          <w:rFonts w:eastAsia="Arial" w:cstheme="minorHAnsi"/>
          <w:color w:val="000000"/>
          <w:sz w:val="24"/>
          <w:szCs w:val="24"/>
          <w:lang w:val="es-AR" w:eastAsia="es-MX"/>
        </w:rPr>
        <w:t>La exclusión de las parejas no binarias del Código de familia (2013), constituye una grave violación de derechos civiles y tiene un severo impacto en la calidad de vida de lesbianas, homosexuales, personas trans; así como, de las personas bajo su cuidado. Aspectos como la seguridad social, acceso a créditos mancomunados, la tutela de hijos e hijas, adopción, pago de pensión alimenticia, entre otros, están reconocidos únicamente para parejas heterosexuales en abierta violación a la Constitución Política.</w:t>
      </w:r>
    </w:p>
    <w:p w14:paraId="55EB5CEF" w14:textId="77777777" w:rsidR="00755B8E" w:rsidRDefault="00755B8E" w:rsidP="00736E86">
      <w:pPr>
        <w:spacing w:line="360" w:lineRule="auto"/>
        <w:contextualSpacing/>
        <w:jc w:val="both"/>
        <w:rPr>
          <w:rFonts w:eastAsia="Arial" w:cstheme="minorHAnsi"/>
          <w:color w:val="000000"/>
          <w:sz w:val="24"/>
          <w:szCs w:val="24"/>
          <w:lang w:val="es-AR" w:eastAsia="es-MX"/>
        </w:rPr>
      </w:pPr>
    </w:p>
    <w:p w14:paraId="11572E7A" w14:textId="36D8701D" w:rsidR="00755B8E" w:rsidRPr="009929ED" w:rsidRDefault="00755B8E" w:rsidP="00736E86">
      <w:pPr>
        <w:spacing w:line="360" w:lineRule="auto"/>
        <w:contextualSpacing/>
        <w:jc w:val="both"/>
        <w:rPr>
          <w:rFonts w:cstheme="minorHAnsi"/>
          <w:b/>
          <w:sz w:val="24"/>
          <w:szCs w:val="24"/>
          <w:lang w:val="es-EC"/>
        </w:rPr>
      </w:pPr>
      <w:r>
        <w:rPr>
          <w:rFonts w:cstheme="minorHAnsi"/>
          <w:b/>
          <w:sz w:val="24"/>
          <w:szCs w:val="24"/>
        </w:rPr>
        <w:t>Nota 8</w:t>
      </w:r>
    </w:p>
    <w:p w14:paraId="589EB89D" w14:textId="3366DA11" w:rsidR="00755B8E" w:rsidRDefault="00755B8E" w:rsidP="00736E86">
      <w:pPr>
        <w:spacing w:line="360" w:lineRule="auto"/>
        <w:contextualSpacing/>
        <w:jc w:val="both"/>
        <w:rPr>
          <w:rFonts w:cstheme="minorHAnsi"/>
          <w:sz w:val="24"/>
          <w:szCs w:val="24"/>
        </w:rPr>
      </w:pPr>
      <w:r>
        <w:rPr>
          <w:rFonts w:cstheme="minorHAnsi"/>
          <w:sz w:val="24"/>
          <w:szCs w:val="24"/>
        </w:rPr>
        <w:t>La Oficina del Alto Comisionado de las Naciones Unidas para los Refugiados –ACNUR- (2020) dos años después del inicio de la crisis socio-política que persiste en Nicaragua hasta la fecha, confirma que más de 100,000 personas se han visto forzadas a buscar asilo a causa de la represión por el parte del régimen de Daniel Ortega. El vecino país de Costa Rica acoge a dos tercios del total de refugiados y solicitantes de asilo procedentes de Nicaragua, constituyendo un aproximado de 77.000 personas (ACNUR, 2020)</w:t>
      </w:r>
      <w:r>
        <w:rPr>
          <w:rStyle w:val="Refdenotaalpie"/>
          <w:rFonts w:cstheme="minorHAnsi"/>
          <w:sz w:val="24"/>
          <w:szCs w:val="24"/>
        </w:rPr>
        <w:footnoteReference w:id="16"/>
      </w:r>
      <w:r>
        <w:rPr>
          <w:rFonts w:cstheme="minorHAnsi"/>
          <w:sz w:val="24"/>
          <w:szCs w:val="24"/>
        </w:rPr>
        <w:t xml:space="preserve">. La situación de las </w:t>
      </w:r>
      <w:r>
        <w:rPr>
          <w:rFonts w:cstheme="minorHAnsi"/>
          <w:sz w:val="24"/>
          <w:szCs w:val="24"/>
        </w:rPr>
        <w:lastRenderedPageBreak/>
        <w:t>personas LGBT</w:t>
      </w:r>
      <w:r w:rsidR="00E4621B">
        <w:rPr>
          <w:rFonts w:cstheme="minorHAnsi"/>
          <w:sz w:val="24"/>
          <w:szCs w:val="24"/>
        </w:rPr>
        <w:t>I</w:t>
      </w:r>
      <w:r>
        <w:rPr>
          <w:rFonts w:cstheme="minorHAnsi"/>
          <w:sz w:val="24"/>
          <w:szCs w:val="24"/>
        </w:rPr>
        <w:t xml:space="preserve"> en el exilio es precaria no solo por las limitaciones compartidas por el conjunto de la población exilada, sino por la discriminación </w:t>
      </w:r>
    </w:p>
    <w:p w14:paraId="5C1D4503" w14:textId="77777777" w:rsidR="00755B8E" w:rsidRDefault="00755B8E" w:rsidP="00736E86">
      <w:pPr>
        <w:spacing w:line="360" w:lineRule="auto"/>
        <w:contextualSpacing/>
        <w:jc w:val="both"/>
        <w:rPr>
          <w:rFonts w:cstheme="minorHAnsi"/>
          <w:sz w:val="24"/>
          <w:szCs w:val="24"/>
        </w:rPr>
      </w:pPr>
    </w:p>
    <w:p w14:paraId="53729709" w14:textId="282C9550" w:rsidR="00755B8E" w:rsidRDefault="00755B8E" w:rsidP="00736E86">
      <w:pPr>
        <w:spacing w:after="0" w:line="360" w:lineRule="auto"/>
        <w:rPr>
          <w:rFonts w:cstheme="minorHAnsi"/>
          <w:b/>
          <w:sz w:val="24"/>
          <w:szCs w:val="24"/>
          <w:lang w:val="es-AR"/>
        </w:rPr>
      </w:pPr>
      <w:r>
        <w:rPr>
          <w:rFonts w:cstheme="minorHAnsi"/>
          <w:b/>
          <w:sz w:val="24"/>
          <w:szCs w:val="24"/>
          <w:lang w:val="es-AR"/>
        </w:rPr>
        <w:t xml:space="preserve">Nota 9 </w:t>
      </w:r>
    </w:p>
    <w:p w14:paraId="7324734C" w14:textId="5F7C880A" w:rsidR="00755B8E" w:rsidRDefault="00755B8E" w:rsidP="00736E86">
      <w:pPr>
        <w:spacing w:after="0" w:line="360" w:lineRule="auto"/>
        <w:jc w:val="both"/>
        <w:rPr>
          <w:rFonts w:cstheme="minorHAnsi"/>
          <w:sz w:val="24"/>
          <w:szCs w:val="24"/>
          <w:lang w:val="es-AR"/>
        </w:rPr>
      </w:pPr>
      <w:r>
        <w:rPr>
          <w:rFonts w:cstheme="minorHAnsi"/>
          <w:sz w:val="24"/>
          <w:szCs w:val="24"/>
          <w:lang w:val="es-AR"/>
        </w:rPr>
        <w:t>En Nicaragua, los sub registros que llevan las instituciones del Estado y la opacidad de la información sobre la pandemia de V</w:t>
      </w:r>
      <w:r w:rsidR="005333DA">
        <w:rPr>
          <w:rFonts w:cstheme="minorHAnsi"/>
          <w:sz w:val="24"/>
          <w:szCs w:val="24"/>
          <w:lang w:val="es-AR"/>
        </w:rPr>
        <w:t>IH</w:t>
      </w:r>
      <w:r>
        <w:rPr>
          <w:rFonts w:cstheme="minorHAnsi"/>
          <w:sz w:val="24"/>
          <w:szCs w:val="24"/>
          <w:lang w:val="es-AR"/>
        </w:rPr>
        <w:t>, no permiten tener información fidedigna sobre su comportamiento</w:t>
      </w:r>
      <w:r>
        <w:rPr>
          <w:rStyle w:val="Refdenotaalpie"/>
          <w:rFonts w:cstheme="minorHAnsi"/>
          <w:sz w:val="24"/>
          <w:szCs w:val="24"/>
          <w:lang w:val="es-AR"/>
        </w:rPr>
        <w:footnoteReference w:id="17"/>
      </w:r>
      <w:r>
        <w:rPr>
          <w:rFonts w:cstheme="minorHAnsi"/>
          <w:sz w:val="24"/>
          <w:szCs w:val="24"/>
          <w:lang w:val="es-AR"/>
        </w:rPr>
        <w:t xml:space="preserve">. El mayor problema con el que conviven las personas con </w:t>
      </w:r>
      <w:r w:rsidR="005333DA">
        <w:rPr>
          <w:rFonts w:cstheme="minorHAnsi"/>
          <w:sz w:val="24"/>
          <w:szCs w:val="24"/>
          <w:lang w:val="es-AR"/>
        </w:rPr>
        <w:t xml:space="preserve">VIH </w:t>
      </w:r>
      <w:r>
        <w:rPr>
          <w:rFonts w:cstheme="minorHAnsi"/>
          <w:sz w:val="24"/>
          <w:szCs w:val="24"/>
          <w:lang w:val="es-AR"/>
        </w:rPr>
        <w:t xml:space="preserve">y </w:t>
      </w:r>
      <w:r w:rsidR="005333DA">
        <w:rPr>
          <w:rFonts w:cstheme="minorHAnsi"/>
          <w:sz w:val="24"/>
          <w:szCs w:val="24"/>
          <w:lang w:val="es-AR"/>
        </w:rPr>
        <w:t xml:space="preserve">VIH </w:t>
      </w:r>
      <w:r>
        <w:rPr>
          <w:rFonts w:cstheme="minorHAnsi"/>
          <w:sz w:val="24"/>
          <w:szCs w:val="24"/>
          <w:lang w:val="es-AR"/>
        </w:rPr>
        <w:t xml:space="preserve">avanzado, es la discriminación, agravada por el peso del machismo y de la </w:t>
      </w:r>
      <w:proofErr w:type="spellStart"/>
      <w:r w:rsidRPr="00AC2575">
        <w:rPr>
          <w:rFonts w:cstheme="minorHAnsi"/>
          <w:i/>
          <w:iCs/>
          <w:sz w:val="24"/>
          <w:szCs w:val="24"/>
          <w:lang w:val="es-AR"/>
        </w:rPr>
        <w:t>homo</w:t>
      </w:r>
      <w:r w:rsidR="00ED60BF" w:rsidRPr="00AC2575">
        <w:rPr>
          <w:rFonts w:cstheme="minorHAnsi"/>
          <w:i/>
          <w:iCs/>
          <w:sz w:val="24"/>
          <w:szCs w:val="24"/>
          <w:lang w:val="es-AR"/>
        </w:rPr>
        <w:t>lesbo</w:t>
      </w:r>
      <w:r w:rsidRPr="00AC2575">
        <w:rPr>
          <w:rFonts w:cstheme="minorHAnsi"/>
          <w:i/>
          <w:iCs/>
          <w:sz w:val="24"/>
          <w:szCs w:val="24"/>
          <w:lang w:val="es-AR"/>
        </w:rPr>
        <w:t>transfobia</w:t>
      </w:r>
      <w:proofErr w:type="spellEnd"/>
      <w:r>
        <w:rPr>
          <w:rFonts w:cstheme="minorHAnsi"/>
          <w:sz w:val="24"/>
          <w:szCs w:val="24"/>
          <w:lang w:val="es-AR"/>
        </w:rPr>
        <w:t>. Todo ello contribuye al ocultamiento de la pandemia, ya que mucha gente no se hace la prueba por miedo a ser objeto de discriminación y violencia.</w:t>
      </w:r>
    </w:p>
    <w:p w14:paraId="58680F03" w14:textId="77777777" w:rsidR="00755B8E" w:rsidRDefault="00755B8E" w:rsidP="00736E86">
      <w:pPr>
        <w:spacing w:after="0" w:line="360" w:lineRule="auto"/>
        <w:jc w:val="both"/>
        <w:rPr>
          <w:rFonts w:cstheme="minorHAnsi"/>
          <w:sz w:val="24"/>
          <w:szCs w:val="24"/>
          <w:lang w:val="es-AR"/>
        </w:rPr>
      </w:pPr>
    </w:p>
    <w:p w14:paraId="33805670" w14:textId="3EE7779C" w:rsidR="00755B8E" w:rsidRDefault="00755B8E" w:rsidP="00736E86">
      <w:pPr>
        <w:spacing w:after="0" w:line="360" w:lineRule="auto"/>
        <w:jc w:val="both"/>
        <w:rPr>
          <w:rFonts w:cstheme="minorHAnsi"/>
          <w:sz w:val="24"/>
          <w:szCs w:val="24"/>
          <w:lang w:val="es-AR"/>
        </w:rPr>
      </w:pPr>
      <w:r>
        <w:rPr>
          <w:rFonts w:cstheme="minorHAnsi"/>
          <w:sz w:val="24"/>
          <w:szCs w:val="24"/>
          <w:lang w:val="es-AR"/>
        </w:rPr>
        <w:t>Uno de los mayores problemas en la respuesta institucional al V</w:t>
      </w:r>
      <w:r w:rsidR="003343D0">
        <w:rPr>
          <w:rFonts w:cstheme="minorHAnsi"/>
          <w:sz w:val="24"/>
          <w:szCs w:val="24"/>
          <w:lang w:val="es-AR"/>
        </w:rPr>
        <w:t>IH</w:t>
      </w:r>
      <w:r>
        <w:rPr>
          <w:rFonts w:cstheme="minorHAnsi"/>
          <w:sz w:val="24"/>
          <w:szCs w:val="24"/>
          <w:lang w:val="es-AR"/>
        </w:rPr>
        <w:t>, es la realización de diagnósticos tardíos en los hospitales públicos, lo que repercute en el incremento de las tasas de mortalidad por VIH avanzado.</w:t>
      </w:r>
      <w:r w:rsidR="009929ED">
        <w:rPr>
          <w:rFonts w:cstheme="minorHAnsi"/>
          <w:sz w:val="24"/>
          <w:szCs w:val="24"/>
          <w:lang w:val="es-AR"/>
        </w:rPr>
        <w:t xml:space="preserve"> </w:t>
      </w:r>
      <w:r>
        <w:rPr>
          <w:rFonts w:cstheme="minorHAnsi"/>
          <w:sz w:val="24"/>
          <w:szCs w:val="24"/>
          <w:lang w:val="es-AR"/>
        </w:rPr>
        <w:t>La desorganización del sistema de salud que se evidencia entre otros aspectos en la pérdida de resultados de pruebas; tardanza en la entrega de resultados; entrega de medicamentos inadecuados de acuerdo con la edad; o el uso de medicamentos vencidos, afecta la calidad de vida de las personas que conviven con el V</w:t>
      </w:r>
      <w:r w:rsidR="003343D0">
        <w:rPr>
          <w:rFonts w:cstheme="minorHAnsi"/>
          <w:sz w:val="24"/>
          <w:szCs w:val="24"/>
          <w:lang w:val="es-AR"/>
        </w:rPr>
        <w:t>IH</w:t>
      </w:r>
      <w:r>
        <w:rPr>
          <w:rFonts w:cstheme="minorHAnsi"/>
          <w:sz w:val="24"/>
          <w:szCs w:val="24"/>
          <w:lang w:val="es-AR"/>
        </w:rPr>
        <w:t xml:space="preserve"> y en muchos casos las lleva a abandonar el tratamiento.</w:t>
      </w:r>
    </w:p>
    <w:p w14:paraId="5D80D49D" w14:textId="77777777" w:rsidR="00755B8E" w:rsidRDefault="00755B8E" w:rsidP="00736E86">
      <w:pPr>
        <w:spacing w:after="0" w:line="360" w:lineRule="auto"/>
        <w:jc w:val="both"/>
        <w:rPr>
          <w:rFonts w:cstheme="minorHAnsi"/>
          <w:sz w:val="24"/>
          <w:szCs w:val="24"/>
          <w:lang w:val="es-AR"/>
        </w:rPr>
      </w:pPr>
    </w:p>
    <w:p w14:paraId="0E8FDADC" w14:textId="6CEF9092" w:rsidR="00755B8E" w:rsidRPr="00305005" w:rsidRDefault="00755B8E" w:rsidP="00DD2903">
      <w:pPr>
        <w:spacing w:after="0" w:line="360" w:lineRule="auto"/>
        <w:jc w:val="both"/>
        <w:rPr>
          <w:lang w:val="es-AR"/>
        </w:rPr>
      </w:pPr>
      <w:r>
        <w:rPr>
          <w:rFonts w:cstheme="minorHAnsi"/>
          <w:sz w:val="24"/>
          <w:szCs w:val="24"/>
          <w:lang w:val="es-AR"/>
        </w:rPr>
        <w:t>El Fondo Mundial ha anunciado una transición orientada a que los gobiernos asuman el 100% de responsabilidad en la atención del V</w:t>
      </w:r>
      <w:r w:rsidR="003343D0">
        <w:rPr>
          <w:rFonts w:cstheme="minorHAnsi"/>
          <w:sz w:val="24"/>
          <w:szCs w:val="24"/>
          <w:lang w:val="es-AR"/>
        </w:rPr>
        <w:t>IH</w:t>
      </w:r>
      <w:r>
        <w:rPr>
          <w:rFonts w:cstheme="minorHAnsi"/>
          <w:sz w:val="24"/>
          <w:szCs w:val="24"/>
          <w:lang w:val="es-AR"/>
        </w:rPr>
        <w:t xml:space="preserve"> al 2030 y alcanzar la meta de cero muertes por VIH avanzado, cero discriminaciones y cero nuevas </w:t>
      </w:r>
      <w:r w:rsidR="000C0764">
        <w:rPr>
          <w:rFonts w:cstheme="minorHAnsi"/>
          <w:sz w:val="24"/>
          <w:szCs w:val="24"/>
          <w:lang w:val="es-AR"/>
        </w:rPr>
        <w:t>infecciones. El</w:t>
      </w:r>
      <w:r>
        <w:rPr>
          <w:rFonts w:cstheme="minorHAnsi"/>
          <w:sz w:val="24"/>
          <w:szCs w:val="24"/>
          <w:lang w:val="es-AR"/>
        </w:rPr>
        <w:t xml:space="preserve"> estado nicaragüense tiene la obligación de reemplazar a la cooperación que se retiró en el 2010. ONU-SIDA ha decidido reducir progresivamente su apoyo a los países, bajo el supuesto que estos deberán asumir la totalidad de los costos para el manejo de la pandemia al 2030. En el caso de Nicaragua el retiro de donantes también se debe a una política muy hostil y la partidización de la cooperación. </w:t>
      </w:r>
    </w:p>
    <w:p w14:paraId="2160B385" w14:textId="77777777" w:rsidR="00682679" w:rsidRDefault="003277DF" w:rsidP="00736E86">
      <w:pPr>
        <w:spacing w:line="360" w:lineRule="auto"/>
      </w:pPr>
    </w:p>
    <w:sectPr w:rsidR="0068267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12FF23" w14:textId="77777777" w:rsidR="003277DF" w:rsidRDefault="003277DF" w:rsidP="00755B8E">
      <w:pPr>
        <w:spacing w:after="0" w:line="240" w:lineRule="auto"/>
      </w:pPr>
      <w:r>
        <w:separator/>
      </w:r>
    </w:p>
  </w:endnote>
  <w:endnote w:type="continuationSeparator" w:id="0">
    <w:p w14:paraId="49B5815E" w14:textId="77777777" w:rsidR="003277DF" w:rsidRDefault="003277DF" w:rsidP="00755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7A0094" w14:textId="77777777" w:rsidR="003277DF" w:rsidRDefault="003277DF" w:rsidP="00755B8E">
      <w:pPr>
        <w:spacing w:after="0" w:line="240" w:lineRule="auto"/>
      </w:pPr>
      <w:r>
        <w:separator/>
      </w:r>
    </w:p>
  </w:footnote>
  <w:footnote w:type="continuationSeparator" w:id="0">
    <w:p w14:paraId="43FEB109" w14:textId="77777777" w:rsidR="003277DF" w:rsidRDefault="003277DF" w:rsidP="00755B8E">
      <w:pPr>
        <w:spacing w:after="0" w:line="240" w:lineRule="auto"/>
      </w:pPr>
      <w:r>
        <w:continuationSeparator/>
      </w:r>
    </w:p>
  </w:footnote>
  <w:footnote w:id="1">
    <w:p w14:paraId="7A27C29C" w14:textId="77777777" w:rsidR="00833CB8" w:rsidRDefault="00833CB8" w:rsidP="00833CB8">
      <w:pPr>
        <w:pStyle w:val="Textonotapie"/>
        <w:jc w:val="both"/>
        <w:rPr>
          <w:rFonts w:cs="Arial"/>
          <w:lang w:val="es-ES"/>
        </w:rPr>
      </w:pPr>
      <w:r>
        <w:rPr>
          <w:rStyle w:val="Refdenotaalpie"/>
        </w:rPr>
        <w:footnoteRef/>
      </w:r>
      <w:r>
        <w:t xml:space="preserve"> VVAA. Informe alternativo: Derechos humanos de mujeres y jóvenes en Nicaragua. III Reunión de Población y Desarrollo en América Latina y El Caribe (2018). Nicaragua –Centroamérica.</w:t>
      </w:r>
    </w:p>
    <w:p w14:paraId="090758CE" w14:textId="19FC2BC4" w:rsidR="00833CB8" w:rsidRPr="00252C37" w:rsidRDefault="00833CB8">
      <w:pPr>
        <w:pStyle w:val="Textonotapie"/>
        <w:rPr>
          <w:lang w:val="es-NI"/>
        </w:rPr>
      </w:pPr>
    </w:p>
  </w:footnote>
  <w:footnote w:id="2">
    <w:p w14:paraId="5E27FFC8" w14:textId="5558D02E" w:rsidR="00833CB8" w:rsidRPr="00252C37" w:rsidRDefault="00833CB8" w:rsidP="00252C37">
      <w:pPr>
        <w:pStyle w:val="Textonotapie"/>
        <w:jc w:val="both"/>
        <w:rPr>
          <w:lang w:val="es-NI"/>
        </w:rPr>
      </w:pPr>
      <w:r>
        <w:rPr>
          <w:rStyle w:val="Refdenotaalpie"/>
        </w:rPr>
        <w:footnoteRef/>
      </w:r>
      <w:r>
        <w:t xml:space="preserve"> </w:t>
      </w:r>
      <w:r w:rsidRPr="00833CB8">
        <w:t>El infierno de las mujeres trans en prisión</w:t>
      </w:r>
      <w:r>
        <w:t xml:space="preserve">. Encontrado en </w:t>
      </w:r>
      <w:hyperlink r:id="rId1" w:history="1">
        <w:r>
          <w:rPr>
            <w:rStyle w:val="Hipervnculo"/>
          </w:rPr>
          <w:t>https://niu.com.ni/el-infierno-de-las-mujeres-trans-en-prision/</w:t>
        </w:r>
      </w:hyperlink>
      <w:r>
        <w:t xml:space="preserve"> el 21/08/2020 </w:t>
      </w:r>
    </w:p>
  </w:footnote>
  <w:footnote w:id="3">
    <w:p w14:paraId="7A0DD240" w14:textId="48057D47" w:rsidR="007D5EE0" w:rsidRPr="00252C37" w:rsidRDefault="007D5EE0" w:rsidP="00252C37">
      <w:pPr>
        <w:pStyle w:val="Textonotapie"/>
        <w:jc w:val="both"/>
        <w:rPr>
          <w:lang w:val="es-NI"/>
        </w:rPr>
      </w:pPr>
      <w:r>
        <w:rPr>
          <w:rStyle w:val="Refdenotaalpie"/>
        </w:rPr>
        <w:footnoteRef/>
      </w:r>
      <w:r>
        <w:t xml:space="preserve"> </w:t>
      </w:r>
      <w:r>
        <w:rPr>
          <w:lang w:val="es-NI"/>
        </w:rPr>
        <w:t xml:space="preserve">Celia Cruz, la mujer trans encarcelada por el régimen Ortega-Murillo. Publicado en </w:t>
      </w:r>
      <w:hyperlink r:id="rId2" w:history="1">
        <w:r>
          <w:rPr>
            <w:rStyle w:val="Hipervnculo"/>
          </w:rPr>
          <w:t>https://lalupa.press/2020/05/01/celia-cruz-la-mujer-trans-encarcelada-por-el-regimen-ortega-murillo/</w:t>
        </w:r>
      </w:hyperlink>
      <w:r>
        <w:t xml:space="preserve"> encontrado el 21/08/2020 </w:t>
      </w:r>
    </w:p>
  </w:footnote>
  <w:footnote w:id="4">
    <w:p w14:paraId="48B9C281" w14:textId="77777777" w:rsidR="007D5EE0" w:rsidRDefault="007D5EE0" w:rsidP="00A4004C">
      <w:pPr>
        <w:pStyle w:val="Textonotapie"/>
        <w:jc w:val="both"/>
        <w:rPr>
          <w:lang w:val="es-EC"/>
        </w:rPr>
      </w:pPr>
      <w:r>
        <w:rPr>
          <w:rStyle w:val="Refdenotaalpie"/>
        </w:rPr>
        <w:footnoteRef/>
      </w:r>
      <w:r>
        <w:t xml:space="preserve"> Murguialday, Clara. (2017). Diagnóstico de situación de la comunidad LGBTI en 4 países centroamericanos (El Salvador, Guatemala, Honduras y Nicaragua). Mugen </w:t>
      </w:r>
      <w:proofErr w:type="spellStart"/>
      <w:r>
        <w:t>Gainetik</w:t>
      </w:r>
      <w:proofErr w:type="spellEnd"/>
      <w:r>
        <w:t xml:space="preserve">. País Vasco. Encontrado en </w:t>
      </w:r>
      <w:hyperlink r:id="rId3" w:history="1">
        <w:r>
          <w:rPr>
            <w:rStyle w:val="Hipervnculo"/>
          </w:rPr>
          <w:t>https://www.ehu.eus/documents/1734204/9225412/Diagnostico-Situacion-colectivo-LGTBI.pdf/4ab8579a-b0e7-5a08-5819-0a7aa40e1129</w:t>
        </w:r>
      </w:hyperlink>
      <w:r>
        <w:t xml:space="preserve"> el 24/05/20. </w:t>
      </w:r>
    </w:p>
    <w:p w14:paraId="20548B10" w14:textId="32DC4E6F" w:rsidR="007D5EE0" w:rsidRPr="00252C37" w:rsidRDefault="007D5EE0" w:rsidP="00252C37">
      <w:pPr>
        <w:pStyle w:val="Textonotapie"/>
        <w:jc w:val="both"/>
        <w:rPr>
          <w:lang w:val="es-EC"/>
        </w:rPr>
      </w:pPr>
    </w:p>
  </w:footnote>
  <w:footnote w:id="5">
    <w:p w14:paraId="18C773A9" w14:textId="1BDD8F38" w:rsidR="00A4004C" w:rsidRPr="00252C37" w:rsidRDefault="00A4004C" w:rsidP="00252C37">
      <w:pPr>
        <w:pStyle w:val="Textonotapie"/>
        <w:jc w:val="both"/>
        <w:rPr>
          <w:lang w:val="es-NI"/>
        </w:rPr>
      </w:pPr>
      <w:r>
        <w:rPr>
          <w:rStyle w:val="Refdenotaalpie"/>
        </w:rPr>
        <w:footnoteRef/>
      </w:r>
      <w:r>
        <w:t xml:space="preserve"> </w:t>
      </w:r>
      <w:r w:rsidRPr="00A4004C">
        <w:t>Por una Nicaragua libre de violencia y discriminación. Aportes desde los cuerpos LGBTI 2020. Programa Feminista La Corriente. Nicaragua.</w:t>
      </w:r>
    </w:p>
  </w:footnote>
  <w:footnote w:id="6">
    <w:p w14:paraId="1B781578" w14:textId="144A5460" w:rsidR="00CF5746" w:rsidRPr="00ED60BF" w:rsidRDefault="00CF5746">
      <w:pPr>
        <w:pStyle w:val="Textonotapie"/>
        <w:rPr>
          <w:lang w:val="es-NI"/>
        </w:rPr>
      </w:pPr>
      <w:r>
        <w:rPr>
          <w:rStyle w:val="Refdenotaalpie"/>
        </w:rPr>
        <w:footnoteRef/>
      </w:r>
      <w:r>
        <w:t xml:space="preserve"> VVAA. Informe alternativo: Derechos humanos de mujeres y jóvenes en Nicaragua. III Reunión de Población y Desarrollo en América Latina y El Caribe (2018). Nicaragua –Centroamérica.</w:t>
      </w:r>
    </w:p>
  </w:footnote>
  <w:footnote w:id="7">
    <w:p w14:paraId="60ACAFBF" w14:textId="4C6761E5" w:rsidR="00ED60BF" w:rsidRPr="00ED60BF" w:rsidRDefault="00ED60BF">
      <w:pPr>
        <w:pStyle w:val="Textonotapie"/>
        <w:rPr>
          <w:lang w:val="es-NI"/>
        </w:rPr>
      </w:pPr>
      <w:r>
        <w:rPr>
          <w:rStyle w:val="Refdenotaalpie"/>
        </w:rPr>
        <w:footnoteRef/>
      </w:r>
      <w:r>
        <w:t xml:space="preserve"> </w:t>
      </w:r>
      <w:r>
        <w:rPr>
          <w:lang w:val="es-ES"/>
        </w:rPr>
        <w:t>Memorias disidentes. Cuerpos Sin-Vergüenzas (2020). Programa Feminista La Corriente. Nicaragua.</w:t>
      </w:r>
    </w:p>
  </w:footnote>
  <w:footnote w:id="8">
    <w:p w14:paraId="1A45E2C5" w14:textId="23187B5E" w:rsidR="00D73353" w:rsidRPr="00C9710B" w:rsidRDefault="00D73353" w:rsidP="00C9710B">
      <w:pPr>
        <w:pStyle w:val="Textonotapie"/>
        <w:jc w:val="both"/>
        <w:rPr>
          <w:lang w:val="es-NI"/>
        </w:rPr>
      </w:pPr>
      <w:r>
        <w:rPr>
          <w:rStyle w:val="Refdenotaalpie"/>
        </w:rPr>
        <w:footnoteRef/>
      </w:r>
      <w:r>
        <w:t xml:space="preserve"> VVAA. Informe alternativo: Derechos humanos de mujeres y jóvenes en Nicaragua. III Reunión de Población y Desarrollo en América Latina y El Caribe (2018). Nicaragua –Centroamérica.</w:t>
      </w:r>
    </w:p>
  </w:footnote>
  <w:footnote w:id="9">
    <w:p w14:paraId="1E5C3901" w14:textId="749A4AC2" w:rsidR="00C9710B" w:rsidRPr="00C9710B" w:rsidRDefault="00C9710B" w:rsidP="00C9710B">
      <w:pPr>
        <w:pStyle w:val="Textonotapie"/>
        <w:jc w:val="both"/>
        <w:rPr>
          <w:lang w:val="es-NI"/>
        </w:rPr>
      </w:pPr>
      <w:r>
        <w:rPr>
          <w:rStyle w:val="Refdenotaalpie"/>
        </w:rPr>
        <w:footnoteRef/>
      </w:r>
      <w:r>
        <w:t xml:space="preserve"> </w:t>
      </w:r>
      <w:r>
        <w:rPr>
          <w:lang w:val="es-NI"/>
        </w:rPr>
        <w:t xml:space="preserve">Ex rea política se rinde ante la muerte en Diriamba. Encontrado en </w:t>
      </w:r>
      <w:hyperlink r:id="rId4" w:history="1">
        <w:r w:rsidRPr="00C9710B">
          <w:rPr>
            <w:rStyle w:val="Hipervnculo"/>
          </w:rPr>
          <w:t>https://www.laprensa.com.ni/2020/04/23/nacionales/2666114-familiares-piden-ayuda-medica-para-exrea-politica-de-diriamba</w:t>
        </w:r>
        <w:r w:rsidRPr="003A50FE">
          <w:rPr>
            <w:rStyle w:val="Hipervnculo"/>
          </w:rPr>
          <w:t xml:space="preserve"> el 21/08/2020</w:t>
        </w:r>
      </w:hyperlink>
      <w:r>
        <w:t xml:space="preserve">. </w:t>
      </w:r>
    </w:p>
  </w:footnote>
  <w:footnote w:id="10">
    <w:p w14:paraId="248371AE" w14:textId="77777777" w:rsidR="00755B8E" w:rsidRDefault="00755B8E" w:rsidP="00755B8E">
      <w:pPr>
        <w:pStyle w:val="Textonotapie"/>
        <w:jc w:val="both"/>
        <w:rPr>
          <w:rFonts w:cs="Arial"/>
          <w:lang w:val="es-ES"/>
        </w:rPr>
      </w:pPr>
      <w:r>
        <w:rPr>
          <w:rStyle w:val="Refdenotaalpie"/>
        </w:rPr>
        <w:footnoteRef/>
      </w:r>
      <w:r>
        <w:t xml:space="preserve"> VVAA. Informe alternativo: Derechos humanos de mujeres y jóvenes en Nicaragua. III Reunión de Población y Desarrollo en América Latina y El Caribe (2018). Nicaragua –Centroamérica.</w:t>
      </w:r>
    </w:p>
  </w:footnote>
  <w:footnote w:id="11">
    <w:p w14:paraId="61ACD58F" w14:textId="77777777" w:rsidR="00755B8E" w:rsidRDefault="00755B8E" w:rsidP="00755B8E">
      <w:pPr>
        <w:pStyle w:val="Textonotapie"/>
        <w:jc w:val="both"/>
        <w:rPr>
          <w:lang w:val="es-EC"/>
        </w:rPr>
      </w:pPr>
      <w:r>
        <w:rPr>
          <w:rStyle w:val="Refdenotaalpie"/>
        </w:rPr>
        <w:footnoteRef/>
      </w:r>
      <w:r>
        <w:t xml:space="preserve"> Murguialday, Clara. (2017). Diagnóstico de situación de la comunidad LGBTI en 4 países centroamericanos (El Salvador, Guatemala, Honduras y Nicaragua). Mugen </w:t>
      </w:r>
      <w:proofErr w:type="spellStart"/>
      <w:r>
        <w:t>Gainetik</w:t>
      </w:r>
      <w:proofErr w:type="spellEnd"/>
      <w:r>
        <w:t xml:space="preserve">. País Vasco. Encontrado en </w:t>
      </w:r>
      <w:hyperlink r:id="rId5" w:history="1">
        <w:r>
          <w:rPr>
            <w:rStyle w:val="Hipervnculo"/>
          </w:rPr>
          <w:t>https://www.ehu.eus/documents/1734204/9225412/Diagnostico-Situacion-colectivo-LGTBI.pdf/4ab8579a-b0e7-5a08-5819-0a7aa40e1129</w:t>
        </w:r>
      </w:hyperlink>
      <w:r>
        <w:t xml:space="preserve"> el 24/05/20. </w:t>
      </w:r>
    </w:p>
  </w:footnote>
  <w:footnote w:id="12">
    <w:p w14:paraId="3E89B560" w14:textId="77777777" w:rsidR="00755B8E" w:rsidRDefault="00755B8E" w:rsidP="00755B8E">
      <w:pPr>
        <w:pStyle w:val="Textonotapie"/>
        <w:rPr>
          <w:lang w:val="es-ES"/>
        </w:rPr>
      </w:pPr>
      <w:r>
        <w:rPr>
          <w:rStyle w:val="Refdenotaalpie"/>
        </w:rPr>
        <w:footnoteRef/>
      </w:r>
      <w:r>
        <w:t xml:space="preserve"> Blandón, María Teresa; Arévalo, Cristina; </w:t>
      </w:r>
      <w:proofErr w:type="spellStart"/>
      <w:r>
        <w:t>Closa</w:t>
      </w:r>
      <w:proofErr w:type="spellEnd"/>
      <w:r>
        <w:t>, Helena. (2016). Del miedo y el silencio al reconocimiento. La Corriente: Managua.</w:t>
      </w:r>
    </w:p>
  </w:footnote>
  <w:footnote w:id="13">
    <w:p w14:paraId="44000954" w14:textId="77777777" w:rsidR="00755B8E" w:rsidRDefault="00755B8E" w:rsidP="00755B8E">
      <w:pPr>
        <w:pStyle w:val="Textonotapie"/>
        <w:rPr>
          <w:lang w:val="es-ES"/>
        </w:rPr>
      </w:pPr>
      <w:r>
        <w:rPr>
          <w:rStyle w:val="Refdenotaalpie"/>
        </w:rPr>
        <w:footnoteRef/>
      </w:r>
      <w:r>
        <w:t xml:space="preserve"> </w:t>
      </w:r>
      <w:r>
        <w:rPr>
          <w:lang w:val="es-ES"/>
        </w:rPr>
        <w:t xml:space="preserve">Memorias disidentes. Cuerpos Sin-Vergüenzas (2020). Programa Feminista La Corriente. Nicaragua.  </w:t>
      </w:r>
    </w:p>
  </w:footnote>
  <w:footnote w:id="14">
    <w:p w14:paraId="5072B31B" w14:textId="77777777" w:rsidR="00755B8E" w:rsidRDefault="00755B8E" w:rsidP="00755B8E">
      <w:pPr>
        <w:pStyle w:val="Textonotapie"/>
        <w:rPr>
          <w:lang w:val="es-ES"/>
        </w:rPr>
      </w:pPr>
      <w:r>
        <w:rPr>
          <w:rStyle w:val="Refdenotaalpie"/>
        </w:rPr>
        <w:footnoteRef/>
      </w:r>
      <w:r>
        <w:t xml:space="preserve"> </w:t>
      </w:r>
      <w:r>
        <w:rPr>
          <w:lang w:val="es-ES"/>
        </w:rPr>
        <w:t xml:space="preserve">Memorias disidentes. Cuerpos Sin-Vergüenzas (2020). Programa Feminista La Corriente. Nicaragua.  </w:t>
      </w:r>
    </w:p>
  </w:footnote>
  <w:footnote w:id="15">
    <w:p w14:paraId="5B4DF99C" w14:textId="77777777" w:rsidR="00755B8E" w:rsidRDefault="00755B8E" w:rsidP="00755B8E">
      <w:pPr>
        <w:pStyle w:val="Textonotapie"/>
        <w:rPr>
          <w:lang w:val="es-ES"/>
        </w:rPr>
      </w:pPr>
      <w:r>
        <w:rPr>
          <w:rStyle w:val="Refdenotaalpie"/>
        </w:rPr>
        <w:footnoteRef/>
      </w:r>
      <w:r>
        <w:t xml:space="preserve"> </w:t>
      </w:r>
      <w:r>
        <w:rPr>
          <w:lang w:val="es-ES"/>
        </w:rPr>
        <w:t xml:space="preserve">Memorias disidentes. Cuerpos Sin-Vergüenzas (2020). Programa Feminista La Corriente. Nicaragua.  </w:t>
      </w:r>
    </w:p>
  </w:footnote>
  <w:footnote w:id="16">
    <w:p w14:paraId="596DB79A" w14:textId="77777777" w:rsidR="00755B8E" w:rsidRDefault="00755B8E" w:rsidP="00755B8E">
      <w:pPr>
        <w:pStyle w:val="Textonotapie"/>
        <w:jc w:val="both"/>
        <w:rPr>
          <w:lang w:val="es-EC"/>
        </w:rPr>
      </w:pPr>
      <w:r>
        <w:rPr>
          <w:rStyle w:val="Refdenotaalpie"/>
        </w:rPr>
        <w:footnoteRef/>
      </w:r>
      <w:r>
        <w:t xml:space="preserve"> ACNUR (2020). Más de 100.000 personas forzadas a huir de Nicaragua tras dos años de crisis política y social. Encontrado en </w:t>
      </w:r>
      <w:hyperlink r:id="rId6" w:history="1">
        <w:r>
          <w:rPr>
            <w:rStyle w:val="Hipervnculo"/>
          </w:rPr>
          <w:t>https://www.acnur.org/noticias/briefing/2020/3/5e67b6564/mas-de-100000-personas-forzadas-a-huir-de-nicaragua-tras-dos-anos-de-crisis.html el 1/06/2020</w:t>
        </w:r>
      </w:hyperlink>
      <w:r>
        <w:t xml:space="preserve"> </w:t>
      </w:r>
    </w:p>
  </w:footnote>
  <w:footnote w:id="17">
    <w:p w14:paraId="6129784B" w14:textId="77777777" w:rsidR="00755B8E" w:rsidRDefault="00755B8E" w:rsidP="00755B8E">
      <w:pPr>
        <w:pStyle w:val="Textonotapie"/>
        <w:rPr>
          <w:lang w:val="es-ES"/>
        </w:rPr>
      </w:pPr>
      <w:r>
        <w:rPr>
          <w:rStyle w:val="Refdenotaalpie"/>
        </w:rPr>
        <w:footnoteRef/>
      </w:r>
      <w:r>
        <w:t xml:space="preserve"> </w:t>
      </w:r>
      <w:r>
        <w:rPr>
          <w:lang w:val="es-ES"/>
        </w:rPr>
        <w:t xml:space="preserve">Memorias disidentes. Cuerpos Sin-Vergüenzas (2020). Programa Feminista La Corriente. Nicaragua.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E454C8"/>
    <w:multiLevelType w:val="hybridMultilevel"/>
    <w:tmpl w:val="C0AE824A"/>
    <w:lvl w:ilvl="0" w:tplc="E27EBC9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0A22462"/>
    <w:multiLevelType w:val="hybridMultilevel"/>
    <w:tmpl w:val="DEFC2F10"/>
    <w:lvl w:ilvl="0" w:tplc="4C0A000F">
      <w:start w:val="1"/>
      <w:numFmt w:val="decimal"/>
      <w:lvlText w:val="%1."/>
      <w:lvlJc w:val="left"/>
      <w:pPr>
        <w:ind w:left="720" w:hanging="360"/>
      </w:pPr>
    </w:lvl>
    <w:lvl w:ilvl="1" w:tplc="4C0A0019">
      <w:start w:val="1"/>
      <w:numFmt w:val="lowerLetter"/>
      <w:lvlText w:val="%2."/>
      <w:lvlJc w:val="left"/>
      <w:pPr>
        <w:ind w:left="1440" w:hanging="360"/>
      </w:pPr>
    </w:lvl>
    <w:lvl w:ilvl="2" w:tplc="4C0A001B">
      <w:start w:val="1"/>
      <w:numFmt w:val="lowerRoman"/>
      <w:lvlText w:val="%3."/>
      <w:lvlJc w:val="right"/>
      <w:pPr>
        <w:ind w:left="2160" w:hanging="180"/>
      </w:pPr>
    </w:lvl>
    <w:lvl w:ilvl="3" w:tplc="4C0A000F">
      <w:start w:val="1"/>
      <w:numFmt w:val="decimal"/>
      <w:lvlText w:val="%4."/>
      <w:lvlJc w:val="left"/>
      <w:pPr>
        <w:ind w:left="2880" w:hanging="360"/>
      </w:pPr>
    </w:lvl>
    <w:lvl w:ilvl="4" w:tplc="4C0A0019">
      <w:start w:val="1"/>
      <w:numFmt w:val="lowerLetter"/>
      <w:lvlText w:val="%5."/>
      <w:lvlJc w:val="left"/>
      <w:pPr>
        <w:ind w:left="3600" w:hanging="360"/>
      </w:pPr>
    </w:lvl>
    <w:lvl w:ilvl="5" w:tplc="4C0A001B">
      <w:start w:val="1"/>
      <w:numFmt w:val="lowerRoman"/>
      <w:lvlText w:val="%6."/>
      <w:lvlJc w:val="right"/>
      <w:pPr>
        <w:ind w:left="4320" w:hanging="180"/>
      </w:pPr>
    </w:lvl>
    <w:lvl w:ilvl="6" w:tplc="4C0A000F">
      <w:start w:val="1"/>
      <w:numFmt w:val="decimal"/>
      <w:lvlText w:val="%7."/>
      <w:lvlJc w:val="left"/>
      <w:pPr>
        <w:ind w:left="5040" w:hanging="360"/>
      </w:pPr>
    </w:lvl>
    <w:lvl w:ilvl="7" w:tplc="4C0A0019">
      <w:start w:val="1"/>
      <w:numFmt w:val="lowerLetter"/>
      <w:lvlText w:val="%8."/>
      <w:lvlJc w:val="left"/>
      <w:pPr>
        <w:ind w:left="5760" w:hanging="360"/>
      </w:pPr>
    </w:lvl>
    <w:lvl w:ilvl="8" w:tplc="4C0A001B">
      <w:start w:val="1"/>
      <w:numFmt w:val="lowerRoman"/>
      <w:lvlText w:val="%9."/>
      <w:lvlJc w:val="right"/>
      <w:pPr>
        <w:ind w:left="6480" w:hanging="180"/>
      </w:pPr>
    </w:lvl>
  </w:abstractNum>
  <w:abstractNum w:abstractNumId="2" w15:restartNumberingAfterBreak="0">
    <w:nsid w:val="21EC0272"/>
    <w:multiLevelType w:val="hybridMultilevel"/>
    <w:tmpl w:val="2F4E4FA0"/>
    <w:lvl w:ilvl="0" w:tplc="E27EBC9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46F26890"/>
    <w:multiLevelType w:val="hybridMultilevel"/>
    <w:tmpl w:val="2F4E4FA0"/>
    <w:lvl w:ilvl="0" w:tplc="E27EBC9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618C0988"/>
    <w:multiLevelType w:val="hybridMultilevel"/>
    <w:tmpl w:val="D324B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6" w15:restartNumberingAfterBreak="0">
    <w:nsid w:val="7C1B63FD"/>
    <w:multiLevelType w:val="hybridMultilevel"/>
    <w:tmpl w:val="2F4E4FA0"/>
    <w:lvl w:ilvl="0" w:tplc="E27EBC9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B8E"/>
    <w:rsid w:val="00007A13"/>
    <w:rsid w:val="00063D8A"/>
    <w:rsid w:val="000750B8"/>
    <w:rsid w:val="000B4995"/>
    <w:rsid w:val="000C0764"/>
    <w:rsid w:val="000D6E5A"/>
    <w:rsid w:val="00121709"/>
    <w:rsid w:val="001A03C1"/>
    <w:rsid w:val="002103FC"/>
    <w:rsid w:val="0022794F"/>
    <w:rsid w:val="00252C37"/>
    <w:rsid w:val="002A007D"/>
    <w:rsid w:val="002A3F98"/>
    <w:rsid w:val="002B6FE9"/>
    <w:rsid w:val="003277DF"/>
    <w:rsid w:val="003343D0"/>
    <w:rsid w:val="00336314"/>
    <w:rsid w:val="00371B0D"/>
    <w:rsid w:val="004434E6"/>
    <w:rsid w:val="0044584F"/>
    <w:rsid w:val="004D593B"/>
    <w:rsid w:val="005333DA"/>
    <w:rsid w:val="00577631"/>
    <w:rsid w:val="006214CA"/>
    <w:rsid w:val="00665463"/>
    <w:rsid w:val="00687E89"/>
    <w:rsid w:val="006925B0"/>
    <w:rsid w:val="007277DC"/>
    <w:rsid w:val="00732944"/>
    <w:rsid w:val="00736E86"/>
    <w:rsid w:val="00755B8E"/>
    <w:rsid w:val="007D5EE0"/>
    <w:rsid w:val="00801A36"/>
    <w:rsid w:val="00833CB8"/>
    <w:rsid w:val="008B0995"/>
    <w:rsid w:val="009628B0"/>
    <w:rsid w:val="009929ED"/>
    <w:rsid w:val="009D084A"/>
    <w:rsid w:val="009E7BF3"/>
    <w:rsid w:val="00A4004C"/>
    <w:rsid w:val="00A84015"/>
    <w:rsid w:val="00AC2575"/>
    <w:rsid w:val="00AD2F8F"/>
    <w:rsid w:val="00AD3B1B"/>
    <w:rsid w:val="00AE0376"/>
    <w:rsid w:val="00C31D91"/>
    <w:rsid w:val="00C71995"/>
    <w:rsid w:val="00C76884"/>
    <w:rsid w:val="00C9710B"/>
    <w:rsid w:val="00CF5746"/>
    <w:rsid w:val="00D73353"/>
    <w:rsid w:val="00DD2903"/>
    <w:rsid w:val="00DF6F7F"/>
    <w:rsid w:val="00DF7F8C"/>
    <w:rsid w:val="00E4621B"/>
    <w:rsid w:val="00ED60BF"/>
    <w:rsid w:val="00F22110"/>
    <w:rsid w:val="00F246B6"/>
    <w:rsid w:val="00FE35C5"/>
    <w:rsid w:val="00FF22C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1773F"/>
  <w15:chartTrackingRefBased/>
  <w15:docId w15:val="{D0467F03-765A-400B-B01B-5AD3B9E3F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B8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55B8E"/>
    <w:rPr>
      <w:color w:val="0563C1" w:themeColor="hyperlink"/>
      <w:u w:val="single"/>
    </w:r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Char Char"/>
    <w:basedOn w:val="Normal"/>
    <w:link w:val="TextonotapieCar"/>
    <w:semiHidden/>
    <w:unhideWhenUsed/>
    <w:rsid w:val="00755B8E"/>
    <w:pPr>
      <w:spacing w:after="0" w:line="240" w:lineRule="auto"/>
    </w:pPr>
    <w:rPr>
      <w:sz w:val="20"/>
      <w:szCs w:val="20"/>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Char Char Car"/>
    <w:basedOn w:val="Fuentedeprrafopredeter"/>
    <w:link w:val="Textonotapie"/>
    <w:semiHidden/>
    <w:rsid w:val="00755B8E"/>
    <w:rPr>
      <w:sz w:val="20"/>
      <w:szCs w:val="20"/>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Footnote"/>
    <w:basedOn w:val="Fuentedeprrafopredeter"/>
    <w:semiHidden/>
    <w:unhideWhenUsed/>
    <w:qFormat/>
    <w:rsid w:val="00755B8E"/>
    <w:rPr>
      <w:vertAlign w:val="superscript"/>
    </w:rPr>
  </w:style>
  <w:style w:type="paragraph" w:styleId="Prrafodelista">
    <w:name w:val="List Paragraph"/>
    <w:aliases w:val="CIEP"/>
    <w:basedOn w:val="Normal"/>
    <w:uiPriority w:val="34"/>
    <w:qFormat/>
    <w:rsid w:val="00755B8E"/>
    <w:pPr>
      <w:spacing w:line="256" w:lineRule="auto"/>
      <w:ind w:left="720"/>
      <w:contextualSpacing/>
    </w:pPr>
  </w:style>
  <w:style w:type="character" w:styleId="Refdecomentario">
    <w:name w:val="annotation reference"/>
    <w:basedOn w:val="Fuentedeprrafopredeter"/>
    <w:uiPriority w:val="99"/>
    <w:semiHidden/>
    <w:unhideWhenUsed/>
    <w:rsid w:val="00755B8E"/>
    <w:rPr>
      <w:sz w:val="16"/>
      <w:szCs w:val="16"/>
    </w:rPr>
  </w:style>
  <w:style w:type="paragraph" w:styleId="Textocomentario">
    <w:name w:val="annotation text"/>
    <w:basedOn w:val="Normal"/>
    <w:link w:val="TextocomentarioCar"/>
    <w:uiPriority w:val="99"/>
    <w:semiHidden/>
    <w:unhideWhenUsed/>
    <w:rsid w:val="00755B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5B8E"/>
    <w:rPr>
      <w:sz w:val="20"/>
      <w:szCs w:val="20"/>
    </w:rPr>
  </w:style>
  <w:style w:type="paragraph" w:styleId="Textodeglobo">
    <w:name w:val="Balloon Text"/>
    <w:basedOn w:val="Normal"/>
    <w:link w:val="TextodegloboCar"/>
    <w:uiPriority w:val="99"/>
    <w:semiHidden/>
    <w:unhideWhenUsed/>
    <w:rsid w:val="00755B8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5B8E"/>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755B8E"/>
    <w:rPr>
      <w:b/>
      <w:bCs/>
    </w:rPr>
  </w:style>
  <w:style w:type="character" w:customStyle="1" w:styleId="AsuntodelcomentarioCar">
    <w:name w:val="Asunto del comentario Car"/>
    <w:basedOn w:val="TextocomentarioCar"/>
    <w:link w:val="Asuntodelcomentario"/>
    <w:uiPriority w:val="99"/>
    <w:semiHidden/>
    <w:rsid w:val="00755B8E"/>
    <w:rPr>
      <w:b/>
      <w:bCs/>
      <w:sz w:val="20"/>
      <w:szCs w:val="20"/>
    </w:rPr>
  </w:style>
  <w:style w:type="character" w:styleId="Textoennegrita">
    <w:name w:val="Strong"/>
    <w:basedOn w:val="Fuentedeprrafopredeter"/>
    <w:qFormat/>
    <w:rsid w:val="009628B0"/>
    <w:rPr>
      <w:b/>
      <w:bCs/>
    </w:rPr>
  </w:style>
  <w:style w:type="character" w:customStyle="1" w:styleId="Mencinsinresolver1">
    <w:name w:val="Mención sin resolver1"/>
    <w:basedOn w:val="Fuentedeprrafopredeter"/>
    <w:uiPriority w:val="99"/>
    <w:semiHidden/>
    <w:unhideWhenUsed/>
    <w:rsid w:val="00962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159710">
      <w:bodyDiv w:val="1"/>
      <w:marLeft w:val="0"/>
      <w:marRight w:val="0"/>
      <w:marTop w:val="0"/>
      <w:marBottom w:val="0"/>
      <w:divBdr>
        <w:top w:val="none" w:sz="0" w:space="0" w:color="auto"/>
        <w:left w:val="none" w:sz="0" w:space="0" w:color="auto"/>
        <w:bottom w:val="none" w:sz="0" w:space="0" w:color="auto"/>
        <w:right w:val="none" w:sz="0" w:space="0" w:color="auto"/>
      </w:divBdr>
    </w:div>
    <w:div w:id="159259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ehu.eus/documents/1734204/9225412/Diagnostico-Situacion-colectivo-LGTBI.pdf/4ab8579a-b0e7-5a08-5819-0a7aa40e1129" TargetMode="External"/><Relationship Id="rId2" Type="http://schemas.openxmlformats.org/officeDocument/2006/relationships/hyperlink" Target="https://lalupa.press/2020/05/01/celia-cruz-la-mujer-trans-encarcelada-por-el-regimen-ortega-murillo/" TargetMode="External"/><Relationship Id="rId1" Type="http://schemas.openxmlformats.org/officeDocument/2006/relationships/hyperlink" Target="https://niu.com.ni/el-infierno-de-las-mujeres-trans-en-prision/" TargetMode="External"/><Relationship Id="rId6" Type="http://schemas.openxmlformats.org/officeDocument/2006/relationships/hyperlink" Target="https://www.acnur.org/noticias/briefing/2020/3/5e67b6564/mas-de-100000-personas-forzadas-a-huir-de-nicaragua-tras-dos-anos-de-crisis.html%20el%201/06/2020" TargetMode="External"/><Relationship Id="rId5" Type="http://schemas.openxmlformats.org/officeDocument/2006/relationships/hyperlink" Target="https://www.ehu.eus/documents/1734204/9225412/Diagnostico-Situacion-colectivo-LGTBI.pdf/4ab8579a-b0e7-5a08-5819-0a7aa40e1129" TargetMode="External"/><Relationship Id="rId4" Type="http://schemas.openxmlformats.org/officeDocument/2006/relationships/hyperlink" Target="https://www.laprensa.com.ni/2020/04/23/nacionales/2666114-familiares-piden-ayuda-medica-para-exrea-politica-de-diriamba%20el%2021/08/20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00E39B-5298-4A97-8057-97529732EF2B}">
  <ds:schemaRefs>
    <ds:schemaRef ds:uri="http://schemas.openxmlformats.org/officeDocument/2006/bibliography"/>
  </ds:schemaRefs>
</ds:datastoreItem>
</file>

<file path=customXml/itemProps2.xml><?xml version="1.0" encoding="utf-8"?>
<ds:datastoreItem xmlns:ds="http://schemas.openxmlformats.org/officeDocument/2006/customXml" ds:itemID="{CB8DA15A-68A4-40F3-B6B4-77624DEA875D}"/>
</file>

<file path=customXml/itemProps3.xml><?xml version="1.0" encoding="utf-8"?>
<ds:datastoreItem xmlns:ds="http://schemas.openxmlformats.org/officeDocument/2006/customXml" ds:itemID="{4BD36EEB-803A-4E96-96BD-A9C56DE1E28C}"/>
</file>

<file path=customXml/itemProps4.xml><?xml version="1.0" encoding="utf-8"?>
<ds:datastoreItem xmlns:ds="http://schemas.openxmlformats.org/officeDocument/2006/customXml" ds:itemID="{B86C2C45-4A6C-4675-B76E-3FC1F0C67720}"/>
</file>

<file path=docProps/app.xml><?xml version="1.0" encoding="utf-8"?>
<Properties xmlns="http://schemas.openxmlformats.org/officeDocument/2006/extended-properties" xmlns:vt="http://schemas.openxmlformats.org/officeDocument/2006/docPropsVTypes">
  <Template>Normal</Template>
  <TotalTime>1</TotalTime>
  <Pages>14</Pages>
  <Words>3320</Words>
  <Characters>18928</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García Gross</dc:creator>
  <cp:keywords/>
  <dc:description/>
  <cp:lastModifiedBy>Fernando</cp:lastModifiedBy>
  <cp:revision>2</cp:revision>
  <dcterms:created xsi:type="dcterms:W3CDTF">2020-08-31T19:19:00Z</dcterms:created>
  <dcterms:modified xsi:type="dcterms:W3CDTF">2020-08-31T19:19:00Z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