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E0434" w14:textId="6B9BCE09" w:rsidR="009F5EEF" w:rsidRDefault="00995D18" w:rsidP="009F5EEF">
      <w:r w:rsidRPr="00995D18">
        <w:drawing>
          <wp:anchor distT="0" distB="0" distL="114300" distR="114300" simplePos="0" relativeHeight="251660288" behindDoc="0" locked="0" layoutInCell="1" allowOverlap="1" wp14:anchorId="28A2AE82" wp14:editId="36E4676E">
            <wp:simplePos x="0" y="0"/>
            <wp:positionH relativeFrom="column">
              <wp:posOffset>4091940</wp:posOffset>
            </wp:positionH>
            <wp:positionV relativeFrom="paragraph">
              <wp:posOffset>126020</wp:posOffset>
            </wp:positionV>
            <wp:extent cx="1968500" cy="431800"/>
            <wp:effectExtent l="0" t="0" r="0" b="0"/>
            <wp:wrapNone/>
            <wp:docPr id="20012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3608" name=""/>
                    <pic:cNvPicPr/>
                  </pic:nvPicPr>
                  <pic:blipFill>
                    <a:blip r:embed="rId8">
                      <a:extLst>
                        <a:ext uri="{28A0092B-C50C-407E-A947-70E740481C1C}">
                          <a14:useLocalDpi xmlns:a14="http://schemas.microsoft.com/office/drawing/2010/main" val="0"/>
                        </a:ext>
                      </a:extLst>
                    </a:blip>
                    <a:stretch>
                      <a:fillRect/>
                    </a:stretch>
                  </pic:blipFill>
                  <pic:spPr>
                    <a:xfrm>
                      <a:off x="0" y="0"/>
                      <a:ext cx="1968500" cy="431800"/>
                    </a:xfrm>
                    <a:prstGeom prst="rect">
                      <a:avLst/>
                    </a:prstGeom>
                  </pic:spPr>
                </pic:pic>
              </a:graphicData>
            </a:graphic>
            <wp14:sizeRelH relativeFrom="page">
              <wp14:pctWidth>0</wp14:pctWidth>
            </wp14:sizeRelH>
            <wp14:sizeRelV relativeFrom="page">
              <wp14:pctHeight>0</wp14:pctHeight>
            </wp14:sizeRelV>
          </wp:anchor>
        </w:drawing>
      </w:r>
      <w:r w:rsidR="00792403" w:rsidRPr="00C23BF7">
        <w:rPr>
          <w:noProof/>
        </w:rPr>
        <w:drawing>
          <wp:anchor distT="0" distB="0" distL="114300" distR="114300" simplePos="0" relativeHeight="251659264" behindDoc="0" locked="0" layoutInCell="1" allowOverlap="1" wp14:anchorId="2CABA178" wp14:editId="56833F9C">
            <wp:simplePos x="0" y="0"/>
            <wp:positionH relativeFrom="column">
              <wp:posOffset>2399169</wp:posOffset>
            </wp:positionH>
            <wp:positionV relativeFrom="paragraph">
              <wp:posOffset>-45266</wp:posOffset>
            </wp:positionV>
            <wp:extent cx="914400" cy="914400"/>
            <wp:effectExtent l="0" t="0" r="0" b="0"/>
            <wp:wrapNone/>
            <wp:docPr id="160670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70991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4771" cy="914771"/>
                    </a:xfrm>
                    <a:prstGeom prst="rect">
                      <a:avLst/>
                    </a:prstGeom>
                  </pic:spPr>
                </pic:pic>
              </a:graphicData>
            </a:graphic>
            <wp14:sizeRelH relativeFrom="page">
              <wp14:pctWidth>0</wp14:pctWidth>
            </wp14:sizeRelH>
            <wp14:sizeRelV relativeFrom="page">
              <wp14:pctHeight>0</wp14:pctHeight>
            </wp14:sizeRelV>
          </wp:anchor>
        </w:drawing>
      </w:r>
      <w:r w:rsidR="00792403" w:rsidRPr="00792403">
        <w:drawing>
          <wp:inline distT="0" distB="0" distL="0" distR="0" wp14:anchorId="3BCC3CD5" wp14:editId="4164FD00">
            <wp:extent cx="1050202" cy="729185"/>
            <wp:effectExtent l="0" t="0" r="4445" b="0"/>
            <wp:docPr id="172729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94894" name=""/>
                    <pic:cNvPicPr/>
                  </pic:nvPicPr>
                  <pic:blipFill>
                    <a:blip r:embed="rId10"/>
                    <a:stretch>
                      <a:fillRect/>
                    </a:stretch>
                  </pic:blipFill>
                  <pic:spPr>
                    <a:xfrm>
                      <a:off x="0" y="0"/>
                      <a:ext cx="1073556" cy="745400"/>
                    </a:xfrm>
                    <a:prstGeom prst="rect">
                      <a:avLst/>
                    </a:prstGeom>
                  </pic:spPr>
                </pic:pic>
              </a:graphicData>
            </a:graphic>
          </wp:inline>
        </w:drawing>
      </w:r>
      <w:r w:rsidRPr="00995D18">
        <w:rPr>
          <w:noProof/>
          <w14:ligatures w14:val="standardContextual"/>
        </w:rPr>
        <w:t xml:space="preserve"> </w:t>
      </w:r>
    </w:p>
    <w:p w14:paraId="3AD3F42A" w14:textId="39C2BE79" w:rsidR="009F5EEF" w:rsidRDefault="009F5EEF" w:rsidP="009F5EEF"/>
    <w:p w14:paraId="704ACEB7" w14:textId="70B12AC0" w:rsidR="009F5EEF" w:rsidRDefault="00995D18" w:rsidP="009F5EEF">
      <w:pPr>
        <w:rPr>
          <w:b/>
          <w:bCs/>
        </w:rPr>
      </w:pPr>
      <w:r w:rsidRPr="00995D18">
        <w:rPr>
          <w:b/>
          <w:bCs/>
        </w:rPr>
        <w:drawing>
          <wp:anchor distT="0" distB="0" distL="114300" distR="114300" simplePos="0" relativeHeight="251661312" behindDoc="0" locked="0" layoutInCell="1" allowOverlap="1" wp14:anchorId="74AFA0D4" wp14:editId="43B4AD96">
            <wp:simplePos x="0" y="0"/>
            <wp:positionH relativeFrom="column">
              <wp:posOffset>4092165</wp:posOffset>
            </wp:positionH>
            <wp:positionV relativeFrom="paragraph">
              <wp:posOffset>91641</wp:posOffset>
            </wp:positionV>
            <wp:extent cx="1747319" cy="1152807"/>
            <wp:effectExtent l="0" t="0" r="0" b="0"/>
            <wp:wrapNone/>
            <wp:docPr id="19268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647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3266" cy="1163328"/>
                    </a:xfrm>
                    <a:prstGeom prst="rect">
                      <a:avLst/>
                    </a:prstGeom>
                  </pic:spPr>
                </pic:pic>
              </a:graphicData>
            </a:graphic>
            <wp14:sizeRelH relativeFrom="page">
              <wp14:pctWidth>0</wp14:pctWidth>
            </wp14:sizeRelH>
            <wp14:sizeRelV relativeFrom="page">
              <wp14:pctHeight>0</wp14:pctHeight>
            </wp14:sizeRelV>
          </wp:anchor>
        </w:drawing>
      </w:r>
    </w:p>
    <w:p w14:paraId="00E92C0F" w14:textId="5FB4BF5C" w:rsidR="009F5EEF" w:rsidRDefault="009F5EEF" w:rsidP="009F5EEF">
      <w:pPr>
        <w:rPr>
          <w:b/>
          <w:bCs/>
        </w:rPr>
      </w:pPr>
    </w:p>
    <w:p w14:paraId="0C4BEC62" w14:textId="3199ABC7" w:rsidR="009F5EEF" w:rsidRDefault="00B57676" w:rsidP="009F5EEF">
      <w:pPr>
        <w:rPr>
          <w:b/>
          <w:bCs/>
        </w:rPr>
      </w:pPr>
      <w:r>
        <w:rPr>
          <w:rFonts w:ascii="Gilroy" w:hAnsi="Gilroy" w:cstheme="minorHAnsi"/>
          <w:b/>
          <w:bCs/>
          <w:noProof/>
          <w:sz w:val="22"/>
          <w:szCs w:val="22"/>
          <w14:ligatures w14:val="standardContextual"/>
        </w:rPr>
        <w:drawing>
          <wp:anchor distT="0" distB="0" distL="114300" distR="114300" simplePos="0" relativeHeight="251662336" behindDoc="0" locked="0" layoutInCell="1" allowOverlap="1" wp14:anchorId="13EBBCAB" wp14:editId="3F06B2B9">
            <wp:simplePos x="0" y="0"/>
            <wp:positionH relativeFrom="column">
              <wp:posOffset>2145671</wp:posOffset>
            </wp:positionH>
            <wp:positionV relativeFrom="paragraph">
              <wp:posOffset>12724</wp:posOffset>
            </wp:positionV>
            <wp:extent cx="1439501" cy="734425"/>
            <wp:effectExtent l="0" t="0" r="0" b="0"/>
            <wp:wrapNone/>
            <wp:docPr id="1810141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41047" name="Picture 1810141047"/>
                    <pic:cNvPicPr/>
                  </pic:nvPicPr>
                  <pic:blipFill>
                    <a:blip r:embed="rId12"/>
                    <a:stretch>
                      <a:fillRect/>
                    </a:stretch>
                  </pic:blipFill>
                  <pic:spPr>
                    <a:xfrm>
                      <a:off x="0" y="0"/>
                      <a:ext cx="1443370" cy="736399"/>
                    </a:xfrm>
                    <a:prstGeom prst="rect">
                      <a:avLst/>
                    </a:prstGeom>
                  </pic:spPr>
                </pic:pic>
              </a:graphicData>
            </a:graphic>
            <wp14:sizeRelH relativeFrom="page">
              <wp14:pctWidth>0</wp14:pctWidth>
            </wp14:sizeRelH>
            <wp14:sizeRelV relativeFrom="page">
              <wp14:pctHeight>0</wp14:pctHeight>
            </wp14:sizeRelV>
          </wp:anchor>
        </w:drawing>
      </w:r>
      <w:r w:rsidR="00792403" w:rsidRPr="00792403">
        <w:rPr>
          <w:b/>
          <w:bCs/>
        </w:rPr>
        <w:drawing>
          <wp:inline distT="0" distB="0" distL="0" distR="0" wp14:anchorId="39767959" wp14:editId="72D46899">
            <wp:extent cx="1464614" cy="660903"/>
            <wp:effectExtent l="0" t="0" r="0" b="0"/>
            <wp:docPr id="1842382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82941" name=""/>
                    <pic:cNvPicPr/>
                  </pic:nvPicPr>
                  <pic:blipFill>
                    <a:blip r:embed="rId13"/>
                    <a:stretch>
                      <a:fillRect/>
                    </a:stretch>
                  </pic:blipFill>
                  <pic:spPr>
                    <a:xfrm>
                      <a:off x="0" y="0"/>
                      <a:ext cx="1477854" cy="666878"/>
                    </a:xfrm>
                    <a:prstGeom prst="rect">
                      <a:avLst/>
                    </a:prstGeom>
                  </pic:spPr>
                </pic:pic>
              </a:graphicData>
            </a:graphic>
          </wp:inline>
        </w:drawing>
      </w:r>
    </w:p>
    <w:p w14:paraId="42CE53C1" w14:textId="77777777" w:rsidR="00B57676" w:rsidRDefault="00B57676" w:rsidP="009F5EEF">
      <w:pPr>
        <w:rPr>
          <w:b/>
          <w:bCs/>
        </w:rPr>
      </w:pPr>
    </w:p>
    <w:p w14:paraId="4B51192D" w14:textId="77777777" w:rsidR="009F5EEF" w:rsidRDefault="009F5EEF" w:rsidP="009F5EEF">
      <w:pPr>
        <w:rPr>
          <w:b/>
          <w:bCs/>
        </w:rPr>
      </w:pPr>
    </w:p>
    <w:p w14:paraId="013FA386" w14:textId="77777777" w:rsidR="009F5EEF" w:rsidRDefault="009F5EEF" w:rsidP="009F5EEF">
      <w:pPr>
        <w:rPr>
          <w:b/>
          <w:bCs/>
        </w:rPr>
      </w:pPr>
    </w:p>
    <w:p w14:paraId="01710CCC" w14:textId="39592EED" w:rsidR="009F5EEF" w:rsidRPr="007E21E0" w:rsidRDefault="00792403" w:rsidP="009F5EEF">
      <w:pPr>
        <w:rPr>
          <w:rFonts w:ascii="Gilroy" w:hAnsi="Gilroy"/>
          <w:b/>
          <w:bCs/>
          <w:sz w:val="22"/>
          <w:szCs w:val="22"/>
        </w:rPr>
      </w:pPr>
      <w:r>
        <w:rPr>
          <w:rFonts w:ascii="Gilroy" w:hAnsi="Gilroy"/>
          <w:b/>
          <w:bCs/>
          <w:sz w:val="22"/>
          <w:szCs w:val="22"/>
        </w:rPr>
        <w:t xml:space="preserve">Joint </w:t>
      </w:r>
      <w:r w:rsidR="004704CF">
        <w:rPr>
          <w:rFonts w:ascii="Gilroy" w:hAnsi="Gilroy"/>
          <w:b/>
          <w:bCs/>
          <w:sz w:val="22"/>
          <w:szCs w:val="22"/>
        </w:rPr>
        <w:t xml:space="preserve">submission </w:t>
      </w:r>
      <w:r w:rsidR="009F5EEF" w:rsidRPr="007E21E0">
        <w:rPr>
          <w:rFonts w:ascii="Gilroy" w:hAnsi="Gilroy"/>
          <w:b/>
          <w:bCs/>
          <w:sz w:val="22"/>
          <w:szCs w:val="22"/>
        </w:rPr>
        <w:t xml:space="preserve">in advance of the consideration of </w:t>
      </w:r>
      <w:r w:rsidR="009F5EEF">
        <w:rPr>
          <w:rFonts w:ascii="Gilroy" w:hAnsi="Gilroy"/>
          <w:b/>
          <w:bCs/>
          <w:sz w:val="22"/>
          <w:szCs w:val="22"/>
        </w:rPr>
        <w:t>Kenya</w:t>
      </w:r>
      <w:r w:rsidR="009F5EEF" w:rsidRPr="007E21E0">
        <w:rPr>
          <w:rFonts w:ascii="Gilroy" w:hAnsi="Gilroy"/>
          <w:b/>
          <w:bCs/>
          <w:sz w:val="22"/>
          <w:szCs w:val="22"/>
        </w:rPr>
        <w:t xml:space="preserve"> at the 77th session of </w:t>
      </w:r>
      <w:r w:rsidR="009F5EEF">
        <w:rPr>
          <w:rFonts w:ascii="Gilroy" w:hAnsi="Gilroy"/>
          <w:b/>
          <w:bCs/>
          <w:sz w:val="22"/>
          <w:szCs w:val="22"/>
        </w:rPr>
        <w:t xml:space="preserve">the </w:t>
      </w:r>
      <w:r w:rsidR="009F5EEF" w:rsidRPr="007E21E0">
        <w:rPr>
          <w:rFonts w:ascii="Gilroy" w:hAnsi="Gilroy"/>
          <w:b/>
          <w:bCs/>
          <w:sz w:val="22"/>
          <w:szCs w:val="22"/>
        </w:rPr>
        <w:t>Committee on Economic, Social and Cultural Rights</w:t>
      </w:r>
    </w:p>
    <w:p w14:paraId="69049BAA" w14:textId="77777777" w:rsidR="009F5EEF" w:rsidRPr="007E21E0" w:rsidRDefault="009F5EEF" w:rsidP="009F5EEF">
      <w:pPr>
        <w:rPr>
          <w:rFonts w:ascii="Gilroy" w:hAnsi="Gilroy"/>
          <w:sz w:val="22"/>
          <w:szCs w:val="22"/>
        </w:rPr>
      </w:pPr>
    </w:p>
    <w:p w14:paraId="7FBE97F2" w14:textId="3A3BE20C" w:rsidR="009F5EEF" w:rsidRPr="001622F8" w:rsidRDefault="009F5EEF" w:rsidP="001622F8">
      <w:pPr>
        <w:jc w:val="right"/>
        <w:rPr>
          <w:rFonts w:ascii="Gilroy" w:hAnsi="Gilroy"/>
          <w:sz w:val="22"/>
          <w:szCs w:val="22"/>
        </w:rPr>
      </w:pPr>
      <w:r w:rsidRPr="007E21E0">
        <w:rPr>
          <w:rFonts w:ascii="Gilroy" w:hAnsi="Gilroy"/>
          <w:sz w:val="22"/>
          <w:szCs w:val="22"/>
        </w:rPr>
        <w:t>January 2025</w:t>
      </w:r>
    </w:p>
    <w:p w14:paraId="3B6C5B14" w14:textId="77777777" w:rsidR="009F5EEF" w:rsidRDefault="009F5EEF" w:rsidP="00CD552B">
      <w:pPr>
        <w:jc w:val="both"/>
        <w:rPr>
          <w:rFonts w:ascii="Gilroy" w:hAnsi="Gilroy" w:cstheme="minorHAnsi"/>
          <w:b/>
          <w:bCs/>
          <w:sz w:val="22"/>
          <w:szCs w:val="22"/>
        </w:rPr>
      </w:pPr>
    </w:p>
    <w:p w14:paraId="028C4404" w14:textId="77777777" w:rsidR="006F716E" w:rsidRPr="007E21E0" w:rsidRDefault="006F716E" w:rsidP="006F716E">
      <w:pPr>
        <w:rPr>
          <w:rFonts w:ascii="Gilroy" w:hAnsi="Gilroy"/>
          <w:b/>
          <w:bCs/>
          <w:sz w:val="22"/>
          <w:szCs w:val="22"/>
        </w:rPr>
      </w:pPr>
      <w:r w:rsidRPr="007E21E0">
        <w:rPr>
          <w:rFonts w:ascii="Gilroy" w:hAnsi="Gilroy"/>
          <w:b/>
          <w:bCs/>
          <w:sz w:val="22"/>
          <w:szCs w:val="22"/>
        </w:rPr>
        <w:t>Introduction</w:t>
      </w:r>
    </w:p>
    <w:p w14:paraId="5A19F9CF" w14:textId="77777777" w:rsidR="006F716E" w:rsidRPr="007E21E0" w:rsidRDefault="006F716E" w:rsidP="006F716E">
      <w:pPr>
        <w:rPr>
          <w:rFonts w:ascii="Gilroy" w:hAnsi="Gilroy"/>
          <w:sz w:val="22"/>
          <w:szCs w:val="22"/>
        </w:rPr>
      </w:pPr>
    </w:p>
    <w:p w14:paraId="3191686C" w14:textId="31BB85B8" w:rsidR="006F716E" w:rsidRPr="007E21E0" w:rsidRDefault="006F716E" w:rsidP="006F716E">
      <w:pPr>
        <w:rPr>
          <w:rFonts w:ascii="Gilroy" w:hAnsi="Gilroy"/>
          <w:sz w:val="22"/>
          <w:szCs w:val="22"/>
        </w:rPr>
      </w:pPr>
      <w:r w:rsidRPr="007E21E0">
        <w:rPr>
          <w:rFonts w:ascii="Gilroy" w:hAnsi="Gilroy"/>
          <w:sz w:val="22"/>
          <w:szCs w:val="22"/>
        </w:rPr>
        <w:t xml:space="preserve">This </w:t>
      </w:r>
      <w:r w:rsidR="00792403">
        <w:rPr>
          <w:rFonts w:ascii="Gilroy" w:hAnsi="Gilroy"/>
          <w:sz w:val="22"/>
          <w:szCs w:val="22"/>
        </w:rPr>
        <w:t xml:space="preserve">joint </w:t>
      </w:r>
      <w:r w:rsidRPr="007E21E0">
        <w:rPr>
          <w:rFonts w:ascii="Gilroy" w:hAnsi="Gilroy"/>
          <w:sz w:val="22"/>
          <w:szCs w:val="22"/>
        </w:rPr>
        <w:t xml:space="preserve">submission is ahead of the 77th Session of the Committee on Economic Social and Cultural Rights that will take place between 10 </w:t>
      </w:r>
      <w:r w:rsidR="00D25DB2">
        <w:rPr>
          <w:rFonts w:ascii="Gilroy" w:hAnsi="Gilroy"/>
          <w:sz w:val="22"/>
          <w:szCs w:val="22"/>
        </w:rPr>
        <w:t xml:space="preserve">and </w:t>
      </w:r>
      <w:r w:rsidRPr="007E21E0">
        <w:rPr>
          <w:rFonts w:ascii="Gilroy" w:hAnsi="Gilroy"/>
          <w:sz w:val="22"/>
          <w:szCs w:val="22"/>
        </w:rPr>
        <w:t>28 Feb</w:t>
      </w:r>
      <w:r w:rsidR="00D25DB2">
        <w:rPr>
          <w:rFonts w:ascii="Gilroy" w:hAnsi="Gilroy"/>
          <w:sz w:val="22"/>
          <w:szCs w:val="22"/>
        </w:rPr>
        <w:t>ruary</w:t>
      </w:r>
      <w:r w:rsidRPr="007E21E0">
        <w:rPr>
          <w:rFonts w:ascii="Gilroy" w:hAnsi="Gilroy"/>
          <w:sz w:val="22"/>
          <w:szCs w:val="22"/>
        </w:rPr>
        <w:t xml:space="preserve"> 2025 in relation to </w:t>
      </w:r>
      <w:r w:rsidR="00D25DB2">
        <w:rPr>
          <w:rFonts w:ascii="Gilroy" w:hAnsi="Gilroy"/>
          <w:sz w:val="22"/>
          <w:szCs w:val="22"/>
        </w:rPr>
        <w:t xml:space="preserve">the consideration of </w:t>
      </w:r>
      <w:r>
        <w:rPr>
          <w:rFonts w:ascii="Gilroy" w:hAnsi="Gilroy"/>
          <w:sz w:val="22"/>
          <w:szCs w:val="22"/>
        </w:rPr>
        <w:t>Kenya’s</w:t>
      </w:r>
      <w:r w:rsidRPr="007E21E0">
        <w:rPr>
          <w:rFonts w:ascii="Gilroy" w:hAnsi="Gilroy"/>
          <w:sz w:val="22"/>
          <w:szCs w:val="22"/>
        </w:rPr>
        <w:t xml:space="preserve"> compliance with the International Covenant on Economic, Social and Cultural Rights</w:t>
      </w:r>
      <w:r w:rsidR="00060924">
        <w:rPr>
          <w:rFonts w:ascii="Gilroy" w:hAnsi="Gilroy"/>
          <w:sz w:val="22"/>
          <w:szCs w:val="22"/>
        </w:rPr>
        <w:t xml:space="preserve"> (ICESCR</w:t>
      </w:r>
      <w:r w:rsidRPr="007E21E0">
        <w:rPr>
          <w:rFonts w:ascii="Gilroy" w:hAnsi="Gilroy"/>
          <w:sz w:val="22"/>
          <w:szCs w:val="22"/>
        </w:rPr>
        <w:t>.</w:t>
      </w:r>
      <w:r w:rsidR="00060924">
        <w:rPr>
          <w:rFonts w:ascii="Gilroy" w:hAnsi="Gilroy"/>
          <w:sz w:val="22"/>
          <w:szCs w:val="22"/>
        </w:rPr>
        <w:t>)</w:t>
      </w:r>
    </w:p>
    <w:p w14:paraId="325FC922" w14:textId="77777777" w:rsidR="006F716E" w:rsidRPr="007E21E0" w:rsidRDefault="006F716E" w:rsidP="006F716E">
      <w:pPr>
        <w:rPr>
          <w:rFonts w:ascii="Gilroy" w:hAnsi="Gilroy"/>
          <w:sz w:val="22"/>
          <w:szCs w:val="22"/>
        </w:rPr>
      </w:pPr>
    </w:p>
    <w:p w14:paraId="1FB3E549" w14:textId="77777777" w:rsidR="006F716E" w:rsidRDefault="006F716E" w:rsidP="006F716E">
      <w:pPr>
        <w:rPr>
          <w:rFonts w:ascii="Gilroy" w:hAnsi="Gilroy"/>
          <w:sz w:val="22"/>
          <w:szCs w:val="22"/>
        </w:rPr>
      </w:pPr>
      <w:r w:rsidRPr="007E21E0">
        <w:rPr>
          <w:rFonts w:ascii="Gilroy" w:hAnsi="Gilroy"/>
          <w:sz w:val="22"/>
          <w:szCs w:val="22"/>
        </w:rPr>
        <w:t>Privacy International (PI) is a global advocacy and campaigning group that works at the intersection of technology and human rights. PI campaigns against companies and governments who exploit our data and technologies. We expose harm and abuses, mobilise allies globally, campaign with the public for solutions, and pressure companies and governments to change.</w:t>
      </w:r>
    </w:p>
    <w:p w14:paraId="26179B8C" w14:textId="77777777" w:rsidR="00792403" w:rsidRDefault="00792403" w:rsidP="006F716E">
      <w:pPr>
        <w:rPr>
          <w:rFonts w:ascii="Gilroy" w:hAnsi="Gilroy"/>
          <w:sz w:val="22"/>
          <w:szCs w:val="22"/>
        </w:rPr>
      </w:pPr>
    </w:p>
    <w:p w14:paraId="5A0C5112" w14:textId="58A89E55" w:rsidR="00792403" w:rsidRPr="00B57676" w:rsidRDefault="00B57676" w:rsidP="006F716E">
      <w:pPr>
        <w:rPr>
          <w:rFonts w:ascii="Gilroy" w:hAnsi="Gilroy"/>
          <w:sz w:val="22"/>
          <w:szCs w:val="22"/>
        </w:rPr>
      </w:pPr>
      <w:r w:rsidRPr="00B57676">
        <w:rPr>
          <w:rFonts w:ascii="Gilroy" w:hAnsi="Gilroy"/>
          <w:sz w:val="22"/>
          <w:szCs w:val="22"/>
        </w:rPr>
        <w:t xml:space="preserve">The Digital Health and Rights Project </w:t>
      </w:r>
      <w:r w:rsidRPr="00B57676">
        <w:rPr>
          <w:rFonts w:ascii="Gilroy" w:hAnsi="Gilroy"/>
          <w:sz w:val="22"/>
          <w:szCs w:val="22"/>
        </w:rPr>
        <w:t xml:space="preserve">(DHRP) </w:t>
      </w:r>
      <w:r w:rsidRPr="00B57676">
        <w:rPr>
          <w:rFonts w:ascii="Gilroy" w:hAnsi="Gilroy"/>
          <w:sz w:val="22"/>
          <w:szCs w:val="22"/>
        </w:rPr>
        <w:t>consortium brings together international social scientists, human rights lawyers, health advocates, and networks of people living with HIV, to conduct research and advocate for rights-based digital governance in Colombia, Ghana, Kenya, Vietnam, and globally. We use a transnational participatory action research approach, centring the voices and leadership of diverse young adults to define the future of human rights in the digital age.</w:t>
      </w:r>
    </w:p>
    <w:p w14:paraId="56C41785" w14:textId="77777777" w:rsidR="00792403" w:rsidRDefault="00792403" w:rsidP="006F716E">
      <w:pPr>
        <w:rPr>
          <w:rFonts w:ascii="Gilroy" w:hAnsi="Gilroy"/>
          <w:sz w:val="22"/>
          <w:szCs w:val="22"/>
        </w:rPr>
      </w:pPr>
    </w:p>
    <w:p w14:paraId="60D07062" w14:textId="2B2C2C34" w:rsidR="00792403" w:rsidRDefault="00100195" w:rsidP="006F716E">
      <w:pPr>
        <w:rPr>
          <w:rFonts w:ascii="Gilroy" w:hAnsi="Gilroy"/>
          <w:sz w:val="22"/>
          <w:szCs w:val="22"/>
        </w:rPr>
      </w:pPr>
      <w:r w:rsidRPr="00100195">
        <w:rPr>
          <w:rFonts w:ascii="Gilroy" w:hAnsi="Gilroy"/>
          <w:sz w:val="22"/>
          <w:szCs w:val="22"/>
        </w:rPr>
        <w:t xml:space="preserve">STOPAIDS is a UK-based membership network with a distinguished </w:t>
      </w:r>
      <w:proofErr w:type="gramStart"/>
      <w:r w:rsidRPr="00100195">
        <w:rPr>
          <w:rFonts w:ascii="Gilroy" w:hAnsi="Gilroy"/>
          <w:sz w:val="22"/>
          <w:szCs w:val="22"/>
        </w:rPr>
        <w:t>thirty-five year</w:t>
      </w:r>
      <w:proofErr w:type="gramEnd"/>
      <w:r w:rsidRPr="00100195">
        <w:rPr>
          <w:rFonts w:ascii="Gilroy" w:hAnsi="Gilroy"/>
          <w:sz w:val="22"/>
          <w:szCs w:val="22"/>
        </w:rPr>
        <w:t xml:space="preserve"> history of engagement on international development and HIV and AIDS. STOPAIDS convenes and unites UK civil society voices and positively shapes UK leadership in the global response to HIV and other health rights and equity issues, including as a member of the </w:t>
      </w:r>
      <w:r w:rsidR="005A3DDC">
        <w:rPr>
          <w:rFonts w:ascii="Gilroy" w:hAnsi="Gilroy"/>
          <w:sz w:val="22"/>
          <w:szCs w:val="22"/>
        </w:rPr>
        <w:t>‘</w:t>
      </w:r>
      <w:r w:rsidRPr="00100195">
        <w:rPr>
          <w:rFonts w:ascii="Gilroy" w:hAnsi="Gilroy"/>
          <w:sz w:val="22"/>
          <w:szCs w:val="22"/>
        </w:rPr>
        <w:t>Digital Health and Rights Project’.</w:t>
      </w:r>
    </w:p>
    <w:p w14:paraId="1312CBD8" w14:textId="77777777" w:rsidR="00792403" w:rsidRDefault="00792403" w:rsidP="006F716E">
      <w:pPr>
        <w:rPr>
          <w:rFonts w:ascii="Gilroy" w:hAnsi="Gilroy"/>
          <w:sz w:val="22"/>
          <w:szCs w:val="22"/>
        </w:rPr>
      </w:pPr>
    </w:p>
    <w:p w14:paraId="1941D4E8" w14:textId="63590340" w:rsidR="00792403" w:rsidRDefault="00995D18" w:rsidP="006F716E">
      <w:pPr>
        <w:rPr>
          <w:rFonts w:ascii="Gilroy" w:hAnsi="Gilroy"/>
          <w:sz w:val="22"/>
          <w:szCs w:val="22"/>
        </w:rPr>
      </w:pPr>
      <w:r w:rsidRPr="00995D18">
        <w:rPr>
          <w:rFonts w:ascii="Gilroy" w:hAnsi="Gilroy"/>
          <w:sz w:val="22"/>
          <w:szCs w:val="22"/>
        </w:rPr>
        <w:t>The Kenya Legal &amp; Ethical Issues Network on HIV and AIDS (KELIN) is a non-governmental organisation based in Kenya. Founded in 1994, KELIN advocates for a holistic and rights-based system of service delivery in health, and for the full enjoyment of the right to health by all, including vulnerable, marginalised, and excluded populations.</w:t>
      </w:r>
      <w:r w:rsidRPr="00995D18">
        <w:rPr>
          <w:rFonts w:ascii="Cambria" w:hAnsi="Cambria" w:cs="Cambria"/>
          <w:sz w:val="22"/>
          <w:szCs w:val="22"/>
        </w:rPr>
        <w:t> </w:t>
      </w:r>
    </w:p>
    <w:p w14:paraId="3FF1BCD5" w14:textId="77777777" w:rsidR="00792403" w:rsidRDefault="00792403" w:rsidP="006F716E">
      <w:pPr>
        <w:rPr>
          <w:rFonts w:ascii="Gilroy" w:hAnsi="Gilroy"/>
          <w:sz w:val="22"/>
          <w:szCs w:val="22"/>
        </w:rPr>
      </w:pPr>
    </w:p>
    <w:p w14:paraId="5C8A05C5" w14:textId="6005FE2F" w:rsidR="00792403" w:rsidRDefault="00444069" w:rsidP="006F716E">
      <w:pPr>
        <w:rPr>
          <w:rFonts w:ascii="Gilroy" w:hAnsi="Gilroy"/>
          <w:sz w:val="22"/>
          <w:szCs w:val="22"/>
        </w:rPr>
      </w:pPr>
      <w:r w:rsidRPr="00444069">
        <w:rPr>
          <w:rFonts w:ascii="Gilroy" w:hAnsi="Gilroy"/>
          <w:sz w:val="22"/>
          <w:szCs w:val="22"/>
        </w:rPr>
        <w:t xml:space="preserve">ICJ-Kenya (Kenyan Section of the International Commission of Jurists) is a non-governmental membership organization constituting a body of jurists drawn from members of the Bench and Bar in Kenya and the region. It is Africa's only autonomous </w:t>
      </w:r>
      <w:r w:rsidRPr="00444069">
        <w:rPr>
          <w:rFonts w:ascii="Gilroy" w:hAnsi="Gilroy"/>
          <w:sz w:val="22"/>
          <w:szCs w:val="22"/>
        </w:rPr>
        <w:lastRenderedPageBreak/>
        <w:t>national section of the International Commission of Jurists. ICJ Kenya has been working in Kenya and around Africa since 1959, and its mission is to promote human rights, democratic governance, justice, and the rule of law in Africa.</w:t>
      </w:r>
    </w:p>
    <w:p w14:paraId="787DBA2C" w14:textId="77777777" w:rsidR="00792403" w:rsidRDefault="00792403" w:rsidP="006F716E">
      <w:pPr>
        <w:rPr>
          <w:rFonts w:ascii="Gilroy" w:hAnsi="Gilroy"/>
          <w:sz w:val="22"/>
          <w:szCs w:val="22"/>
        </w:rPr>
      </w:pPr>
    </w:p>
    <w:p w14:paraId="25BBBBD0" w14:textId="62D4F090" w:rsidR="00792403" w:rsidRPr="007E21E0" w:rsidRDefault="00444069" w:rsidP="006F716E">
      <w:pPr>
        <w:rPr>
          <w:rFonts w:ascii="Gilroy" w:hAnsi="Gilroy"/>
          <w:sz w:val="22"/>
          <w:szCs w:val="22"/>
        </w:rPr>
      </w:pPr>
      <w:r w:rsidRPr="00444069">
        <w:rPr>
          <w:rFonts w:ascii="Gilroy" w:hAnsi="Gilroy"/>
          <w:sz w:val="22"/>
          <w:szCs w:val="22"/>
        </w:rPr>
        <w:t xml:space="preserve">Haki </w:t>
      </w:r>
      <w:proofErr w:type="spellStart"/>
      <w:r w:rsidRPr="00444069">
        <w:rPr>
          <w:rFonts w:ascii="Gilroy" w:hAnsi="Gilroy"/>
          <w:sz w:val="22"/>
          <w:szCs w:val="22"/>
        </w:rPr>
        <w:t>na</w:t>
      </w:r>
      <w:proofErr w:type="spellEnd"/>
      <w:r w:rsidRPr="00444069">
        <w:rPr>
          <w:rFonts w:ascii="Gilroy" w:hAnsi="Gilroy"/>
          <w:sz w:val="22"/>
          <w:szCs w:val="22"/>
        </w:rPr>
        <w:t xml:space="preserve"> Sheria Initiative (HSI) is a non-governmental organization based in Garissa, Kenya dedicated to ending the discrimination and promoting the rights of marginalized communities in Northern Kenya. Some of the leading programmes of HSI include the citizenship programme which advocates for equal access to ID for all; digital rights that promotes digital literacy and focuses on bridging the digital divide and access to justice which is key in enforcement of all other human rights through community engagement, capacity buildings &amp; trainings, research, advocacy, legal aid and public interest litigation.</w:t>
      </w:r>
    </w:p>
    <w:p w14:paraId="536FE361" w14:textId="77777777" w:rsidR="006F716E" w:rsidRPr="007E21E0" w:rsidRDefault="006F716E" w:rsidP="006F716E">
      <w:pPr>
        <w:rPr>
          <w:rFonts w:ascii="Gilroy" w:hAnsi="Gilroy"/>
          <w:sz w:val="22"/>
          <w:szCs w:val="22"/>
        </w:rPr>
      </w:pPr>
    </w:p>
    <w:p w14:paraId="0672F37B" w14:textId="7AAD173E" w:rsidR="006F716E" w:rsidRDefault="006F716E" w:rsidP="006F716E">
      <w:pPr>
        <w:rPr>
          <w:rFonts w:ascii="Gilroy" w:hAnsi="Gilroy"/>
          <w:sz w:val="22"/>
          <w:szCs w:val="22"/>
        </w:rPr>
      </w:pPr>
      <w:r w:rsidRPr="007E21E0">
        <w:rPr>
          <w:rFonts w:ascii="Gilroy" w:hAnsi="Gilroy"/>
          <w:sz w:val="22"/>
          <w:szCs w:val="22"/>
        </w:rPr>
        <w:t xml:space="preserve">Our submission will cover issues relating to Articles 2, 9, 11, </w:t>
      </w:r>
      <w:r>
        <w:rPr>
          <w:rFonts w:ascii="Gilroy" w:hAnsi="Gilroy"/>
          <w:sz w:val="22"/>
          <w:szCs w:val="22"/>
        </w:rPr>
        <w:t xml:space="preserve">and </w:t>
      </w:r>
      <w:r w:rsidRPr="007E21E0">
        <w:rPr>
          <w:rFonts w:ascii="Gilroy" w:hAnsi="Gilroy"/>
          <w:sz w:val="22"/>
          <w:szCs w:val="22"/>
        </w:rPr>
        <w:t>12 of ICESCR.</w:t>
      </w:r>
    </w:p>
    <w:p w14:paraId="5A569044" w14:textId="77777777" w:rsidR="001622F8" w:rsidRPr="001622F8" w:rsidRDefault="001622F8" w:rsidP="006F716E">
      <w:pPr>
        <w:rPr>
          <w:rFonts w:ascii="Gilroy" w:hAnsi="Gilroy"/>
          <w:b/>
          <w:bCs/>
          <w:sz w:val="22"/>
          <w:szCs w:val="22"/>
        </w:rPr>
      </w:pPr>
    </w:p>
    <w:p w14:paraId="5C3DE129" w14:textId="6FC817D6" w:rsidR="001622F8" w:rsidRPr="00444069" w:rsidRDefault="001622F8" w:rsidP="00444069">
      <w:pPr>
        <w:pStyle w:val="ListParagraph"/>
        <w:numPr>
          <w:ilvl w:val="0"/>
          <w:numId w:val="9"/>
        </w:numPr>
        <w:rPr>
          <w:rFonts w:ascii="Gilroy" w:hAnsi="Gilroy"/>
          <w:b/>
          <w:bCs/>
          <w:sz w:val="22"/>
          <w:szCs w:val="22"/>
        </w:rPr>
      </w:pPr>
      <w:r w:rsidRPr="00444069">
        <w:rPr>
          <w:rFonts w:ascii="Gilroy" w:hAnsi="Gilroy"/>
          <w:b/>
          <w:bCs/>
          <w:sz w:val="22"/>
          <w:szCs w:val="22"/>
        </w:rPr>
        <w:t>Digitalisation of essential services and social protection programmes</w:t>
      </w:r>
      <w:r w:rsidR="00BD0ADC" w:rsidRPr="00444069">
        <w:rPr>
          <w:rFonts w:ascii="Gilroy" w:hAnsi="Gilroy"/>
          <w:b/>
          <w:bCs/>
          <w:sz w:val="22"/>
          <w:szCs w:val="22"/>
        </w:rPr>
        <w:t xml:space="preserve"> (Articles 2, 9, 11)</w:t>
      </w:r>
      <w:r w:rsidRPr="00444069">
        <w:rPr>
          <w:rFonts w:ascii="Gilroy" w:hAnsi="Gilroy"/>
          <w:b/>
          <w:bCs/>
          <w:sz w:val="22"/>
          <w:szCs w:val="22"/>
        </w:rPr>
        <w:t xml:space="preserve"> </w:t>
      </w:r>
    </w:p>
    <w:p w14:paraId="4CF3CC4B" w14:textId="77777777" w:rsidR="001622F8" w:rsidRPr="001622F8" w:rsidRDefault="001622F8" w:rsidP="001622F8">
      <w:pPr>
        <w:rPr>
          <w:rFonts w:ascii="Gilroy" w:hAnsi="Gilroy"/>
          <w:sz w:val="22"/>
          <w:szCs w:val="22"/>
        </w:rPr>
      </w:pPr>
    </w:p>
    <w:p w14:paraId="3FF13063" w14:textId="17E97449" w:rsidR="001622F8" w:rsidRPr="001622F8" w:rsidRDefault="001622F8" w:rsidP="001622F8">
      <w:pPr>
        <w:rPr>
          <w:rFonts w:ascii="Gilroy" w:hAnsi="Gilroy"/>
          <w:sz w:val="22"/>
          <w:szCs w:val="22"/>
        </w:rPr>
      </w:pPr>
      <w:r w:rsidRPr="001622F8">
        <w:rPr>
          <w:rFonts w:ascii="Gilroy" w:hAnsi="Gilroy"/>
          <w:sz w:val="22"/>
          <w:szCs w:val="22"/>
        </w:rPr>
        <w:t xml:space="preserve">Over the years </w:t>
      </w:r>
      <w:r w:rsidR="00BD0ADC">
        <w:rPr>
          <w:rFonts w:ascii="Gilroy" w:hAnsi="Gilroy"/>
          <w:sz w:val="22"/>
          <w:szCs w:val="22"/>
        </w:rPr>
        <w:t xml:space="preserve">in Kenya, like </w:t>
      </w:r>
      <w:r w:rsidRPr="001622F8">
        <w:rPr>
          <w:rFonts w:ascii="Gilroy" w:hAnsi="Gilroy"/>
          <w:sz w:val="22"/>
          <w:szCs w:val="22"/>
        </w:rPr>
        <w:t xml:space="preserve">across many </w:t>
      </w:r>
      <w:r w:rsidR="00BD0ADC">
        <w:rPr>
          <w:rFonts w:ascii="Gilroy" w:hAnsi="Gilroy"/>
          <w:sz w:val="22"/>
          <w:szCs w:val="22"/>
        </w:rPr>
        <w:t xml:space="preserve">other </w:t>
      </w:r>
      <w:r w:rsidRPr="001622F8">
        <w:rPr>
          <w:rFonts w:ascii="Gilroy" w:hAnsi="Gilroy"/>
          <w:sz w:val="22"/>
          <w:szCs w:val="22"/>
        </w:rPr>
        <w:t>jurisdictions, there has been a growing reliance on digital technologies for accessing and delivering public services and social protection program</w:t>
      </w:r>
      <w:r w:rsidR="005A3DDC">
        <w:rPr>
          <w:rFonts w:ascii="Gilroy" w:hAnsi="Gilroy"/>
          <w:sz w:val="22"/>
          <w:szCs w:val="22"/>
        </w:rPr>
        <w:t>me</w:t>
      </w:r>
      <w:r w:rsidRPr="001622F8">
        <w:rPr>
          <w:rFonts w:ascii="Gilroy" w:hAnsi="Gilroy"/>
          <w:sz w:val="22"/>
          <w:szCs w:val="22"/>
        </w:rPr>
        <w:t>s</w:t>
      </w:r>
      <w:r w:rsidR="0024029E">
        <w:rPr>
          <w:rFonts w:ascii="Gilroy" w:hAnsi="Gilroy"/>
          <w:sz w:val="22"/>
          <w:szCs w:val="22"/>
        </w:rPr>
        <w:t>.</w:t>
      </w:r>
      <w:r>
        <w:rPr>
          <w:rStyle w:val="FootnoteReference"/>
          <w:rFonts w:ascii="Gilroy" w:hAnsi="Gilroy"/>
          <w:sz w:val="22"/>
          <w:szCs w:val="22"/>
        </w:rPr>
        <w:footnoteReference w:id="1"/>
      </w:r>
      <w:r w:rsidRPr="001622F8">
        <w:rPr>
          <w:rFonts w:ascii="Gilroy" w:hAnsi="Gilroy"/>
          <w:sz w:val="22"/>
          <w:szCs w:val="22"/>
        </w:rPr>
        <w:t xml:space="preserve"> These technologies are frequently used to identify beneficiaries, assess eligibility, distribute assistance, and purportedly combat fraud</w:t>
      </w:r>
      <w:r w:rsidR="0024029E">
        <w:rPr>
          <w:rFonts w:ascii="Gilroy" w:hAnsi="Gilroy"/>
          <w:sz w:val="22"/>
          <w:szCs w:val="22"/>
        </w:rPr>
        <w:t>.</w:t>
      </w:r>
      <w:r>
        <w:rPr>
          <w:rStyle w:val="FootnoteReference"/>
          <w:rFonts w:ascii="Gilroy" w:hAnsi="Gilroy"/>
          <w:sz w:val="22"/>
          <w:szCs w:val="22"/>
        </w:rPr>
        <w:footnoteReference w:id="2"/>
      </w:r>
      <w:r w:rsidRPr="001622F8">
        <w:rPr>
          <w:rFonts w:ascii="Gilroy" w:hAnsi="Gilroy"/>
          <w:sz w:val="22"/>
          <w:szCs w:val="22"/>
        </w:rPr>
        <w:t xml:space="preserve">  While we recognise that certain technologies may enhance access to public services and social protection, </w:t>
      </w:r>
      <w:r w:rsidR="005A3DDC">
        <w:rPr>
          <w:rFonts w:ascii="Gilroy" w:hAnsi="Gilroy"/>
          <w:sz w:val="22"/>
          <w:szCs w:val="22"/>
        </w:rPr>
        <w:t>we</w:t>
      </w:r>
      <w:r w:rsidR="00BD0ADC">
        <w:rPr>
          <w:rFonts w:ascii="Gilroy" w:hAnsi="Gilroy"/>
          <w:sz w:val="22"/>
          <w:szCs w:val="22"/>
        </w:rPr>
        <w:t xml:space="preserve"> remain concerned by the </w:t>
      </w:r>
      <w:r w:rsidRPr="001622F8">
        <w:rPr>
          <w:rFonts w:ascii="Gilroy" w:hAnsi="Gilroy"/>
          <w:sz w:val="22"/>
          <w:szCs w:val="22"/>
        </w:rPr>
        <w:t xml:space="preserve">associated </w:t>
      </w:r>
      <w:r w:rsidR="00BD0ADC">
        <w:rPr>
          <w:rFonts w:ascii="Gilroy" w:hAnsi="Gilroy"/>
          <w:sz w:val="22"/>
          <w:szCs w:val="22"/>
        </w:rPr>
        <w:t xml:space="preserve">human rights </w:t>
      </w:r>
      <w:r w:rsidRPr="001622F8">
        <w:rPr>
          <w:rFonts w:ascii="Gilroy" w:hAnsi="Gilroy"/>
          <w:sz w:val="22"/>
          <w:szCs w:val="22"/>
        </w:rPr>
        <w:t>risks</w:t>
      </w:r>
      <w:r w:rsidR="00BD0ADC">
        <w:rPr>
          <w:rFonts w:ascii="Gilroy" w:hAnsi="Gilroy"/>
          <w:sz w:val="22"/>
          <w:szCs w:val="22"/>
        </w:rPr>
        <w:t xml:space="preserve"> as detailed in the following sections</w:t>
      </w:r>
      <w:r w:rsidRPr="001622F8">
        <w:rPr>
          <w:rFonts w:ascii="Gilroy" w:hAnsi="Gilroy"/>
          <w:sz w:val="22"/>
          <w:szCs w:val="22"/>
        </w:rPr>
        <w:t xml:space="preserve">. </w:t>
      </w:r>
    </w:p>
    <w:p w14:paraId="22DA2952" w14:textId="77777777" w:rsidR="001622F8" w:rsidRPr="001622F8" w:rsidRDefault="001622F8" w:rsidP="001622F8">
      <w:pPr>
        <w:rPr>
          <w:rFonts w:ascii="Gilroy" w:hAnsi="Gilroy"/>
          <w:sz w:val="22"/>
          <w:szCs w:val="22"/>
        </w:rPr>
      </w:pPr>
    </w:p>
    <w:p w14:paraId="26700316" w14:textId="5291525F" w:rsidR="001622F8" w:rsidRPr="001622F8" w:rsidRDefault="001622F8" w:rsidP="001622F8">
      <w:pPr>
        <w:pStyle w:val="ListParagraph"/>
        <w:numPr>
          <w:ilvl w:val="0"/>
          <w:numId w:val="7"/>
        </w:numPr>
        <w:rPr>
          <w:rFonts w:ascii="Gilroy" w:hAnsi="Gilroy"/>
          <w:sz w:val="22"/>
          <w:szCs w:val="22"/>
        </w:rPr>
      </w:pPr>
      <w:r w:rsidRPr="001622F8">
        <w:rPr>
          <w:rFonts w:ascii="Gilroy" w:hAnsi="Gilroy"/>
          <w:sz w:val="22"/>
          <w:szCs w:val="22"/>
        </w:rPr>
        <w:t>National Digital Identity Systems and its impact on the right to social security and an adequate standard of living</w:t>
      </w:r>
    </w:p>
    <w:p w14:paraId="0A4E96B9" w14:textId="50EB61B1" w:rsidR="001622F8" w:rsidRPr="001622F8" w:rsidRDefault="001622F8" w:rsidP="001622F8">
      <w:pPr>
        <w:rPr>
          <w:rFonts w:ascii="Gilroy" w:hAnsi="Gilroy"/>
          <w:sz w:val="22"/>
          <w:szCs w:val="22"/>
        </w:rPr>
      </w:pPr>
    </w:p>
    <w:p w14:paraId="23284B61" w14:textId="3D123B3F" w:rsidR="001622F8" w:rsidRPr="001622F8" w:rsidRDefault="001622F8" w:rsidP="001622F8">
      <w:pPr>
        <w:rPr>
          <w:rFonts w:ascii="Gilroy" w:hAnsi="Gilroy"/>
          <w:sz w:val="22"/>
          <w:szCs w:val="22"/>
        </w:rPr>
      </w:pPr>
      <w:r w:rsidRPr="001622F8">
        <w:rPr>
          <w:rFonts w:ascii="Gilroy" w:hAnsi="Gilroy"/>
          <w:sz w:val="22"/>
          <w:szCs w:val="22"/>
        </w:rPr>
        <w:t>Kenya, like many countries, has been advancing its digital agenda by attempting to introduce a national</w:t>
      </w:r>
      <w:r>
        <w:rPr>
          <w:rFonts w:ascii="Gilroy" w:hAnsi="Gilroy"/>
          <w:sz w:val="22"/>
          <w:szCs w:val="22"/>
        </w:rPr>
        <w:t xml:space="preserve"> </w:t>
      </w:r>
      <w:r w:rsidRPr="001622F8">
        <w:rPr>
          <w:rFonts w:ascii="Gilroy" w:hAnsi="Gilroy"/>
          <w:sz w:val="22"/>
          <w:szCs w:val="22"/>
        </w:rPr>
        <w:t>digital ID</w:t>
      </w:r>
      <w:r>
        <w:rPr>
          <w:rFonts w:ascii="Gilroy" w:hAnsi="Gilroy"/>
          <w:sz w:val="22"/>
          <w:szCs w:val="22"/>
        </w:rPr>
        <w:t xml:space="preserve"> </w:t>
      </w:r>
      <w:r w:rsidRPr="001622F8">
        <w:rPr>
          <w:rFonts w:ascii="Gilroy" w:hAnsi="Gilroy"/>
          <w:sz w:val="22"/>
          <w:szCs w:val="22"/>
        </w:rPr>
        <w:t>system</w:t>
      </w:r>
      <w:r>
        <w:rPr>
          <w:rFonts w:ascii="Gilroy" w:hAnsi="Gilroy"/>
          <w:sz w:val="22"/>
          <w:szCs w:val="22"/>
        </w:rPr>
        <w:t>.</w:t>
      </w:r>
      <w:r>
        <w:rPr>
          <w:rStyle w:val="FootnoteReference"/>
          <w:rFonts w:ascii="Gilroy" w:hAnsi="Gilroy"/>
          <w:sz w:val="22"/>
          <w:szCs w:val="22"/>
        </w:rPr>
        <w:footnoteReference w:id="3"/>
      </w:r>
      <w:r w:rsidRPr="001622F8">
        <w:rPr>
          <w:rFonts w:ascii="Gilroy" w:hAnsi="Gilroy"/>
          <w:sz w:val="22"/>
          <w:szCs w:val="22"/>
        </w:rPr>
        <w:t xml:space="preserve">  In 2018, the Kenyan government tried to introduce the </w:t>
      </w:r>
      <w:proofErr w:type="spellStart"/>
      <w:r w:rsidRPr="001622F8">
        <w:rPr>
          <w:rFonts w:ascii="Gilroy" w:hAnsi="Gilroy"/>
          <w:sz w:val="22"/>
          <w:szCs w:val="22"/>
        </w:rPr>
        <w:t>Huduma</w:t>
      </w:r>
      <w:proofErr w:type="spellEnd"/>
      <w:r w:rsidRPr="001622F8">
        <w:rPr>
          <w:rFonts w:ascii="Gilroy" w:hAnsi="Gilroy"/>
          <w:sz w:val="22"/>
          <w:szCs w:val="22"/>
        </w:rPr>
        <w:t xml:space="preserve"> </w:t>
      </w:r>
      <w:proofErr w:type="spellStart"/>
      <w:r w:rsidRPr="001622F8">
        <w:rPr>
          <w:rFonts w:ascii="Gilroy" w:hAnsi="Gilroy"/>
          <w:sz w:val="22"/>
          <w:szCs w:val="22"/>
        </w:rPr>
        <w:t>Namba</w:t>
      </w:r>
      <w:proofErr w:type="spellEnd"/>
      <w:r w:rsidRPr="001622F8">
        <w:rPr>
          <w:rFonts w:ascii="Gilroy" w:hAnsi="Gilroy"/>
          <w:sz w:val="22"/>
          <w:szCs w:val="22"/>
        </w:rPr>
        <w:t xml:space="preserve"> project. The promulgation in January 2019 of the Statute Law (Miscellaneous Amendment) Act, 2018 (SLMAA) amended the Registration of Persons Act to enable the government to collect extensive personal data on Kenyans and registered foreigners in a national database including: land and house reference number, biometric data such as fingerprints, hand geometry, earlobe geometry, retina and iris patterns, voice waves and DNA in digital form. Amongst other initiatives, the </w:t>
      </w:r>
      <w:proofErr w:type="spellStart"/>
      <w:r w:rsidRPr="001622F8">
        <w:rPr>
          <w:rFonts w:ascii="Gilroy" w:hAnsi="Gilroy"/>
          <w:sz w:val="22"/>
          <w:szCs w:val="22"/>
        </w:rPr>
        <w:t>Huduma</w:t>
      </w:r>
      <w:proofErr w:type="spellEnd"/>
      <w:r w:rsidRPr="001622F8">
        <w:rPr>
          <w:rFonts w:ascii="Gilroy" w:hAnsi="Gilroy"/>
          <w:sz w:val="22"/>
          <w:szCs w:val="22"/>
        </w:rPr>
        <w:t xml:space="preserve"> </w:t>
      </w:r>
      <w:proofErr w:type="spellStart"/>
      <w:r w:rsidRPr="001622F8">
        <w:rPr>
          <w:rFonts w:ascii="Gilroy" w:hAnsi="Gilroy"/>
          <w:sz w:val="22"/>
          <w:szCs w:val="22"/>
        </w:rPr>
        <w:t>Numba</w:t>
      </w:r>
      <w:proofErr w:type="spellEnd"/>
      <w:r w:rsidRPr="001622F8">
        <w:rPr>
          <w:rFonts w:ascii="Gilroy" w:hAnsi="Gilroy"/>
          <w:sz w:val="22"/>
          <w:szCs w:val="22"/>
        </w:rPr>
        <w:t xml:space="preserve"> project established the National Identity Integrated Management System (NIIMS), a centralised database purposed to consolidate all government records about an individual into a single ID system.</w:t>
      </w:r>
      <w:r w:rsidR="0024029E">
        <w:rPr>
          <w:rStyle w:val="FootnoteReference"/>
          <w:rFonts w:ascii="Gilroy" w:hAnsi="Gilroy"/>
          <w:sz w:val="22"/>
          <w:szCs w:val="22"/>
        </w:rPr>
        <w:footnoteReference w:id="4"/>
      </w:r>
      <w:r w:rsidRPr="001622F8">
        <w:rPr>
          <w:rFonts w:ascii="Gilroy" w:hAnsi="Gilroy"/>
          <w:sz w:val="22"/>
          <w:szCs w:val="22"/>
        </w:rPr>
        <w:t xml:space="preserve">  This system was developed without public consultation or adequate safeguards, and there were also concerns that this system could lead to the exclusion of vulnerable communities, including the Kenyan Nubian and Somali communities</w:t>
      </w:r>
      <w:r>
        <w:rPr>
          <w:rFonts w:ascii="Gilroy" w:hAnsi="Gilroy"/>
          <w:sz w:val="22"/>
          <w:szCs w:val="22"/>
        </w:rPr>
        <w:t>.</w:t>
      </w:r>
      <w:r>
        <w:rPr>
          <w:rStyle w:val="FootnoteReference"/>
          <w:rFonts w:ascii="Gilroy" w:hAnsi="Gilroy"/>
          <w:sz w:val="22"/>
          <w:szCs w:val="22"/>
        </w:rPr>
        <w:footnoteReference w:id="5"/>
      </w:r>
      <w:r w:rsidRPr="001622F8">
        <w:rPr>
          <w:rFonts w:ascii="Gilroy" w:hAnsi="Gilroy"/>
          <w:sz w:val="22"/>
          <w:szCs w:val="22"/>
        </w:rPr>
        <w:t xml:space="preserve"> </w:t>
      </w:r>
    </w:p>
    <w:p w14:paraId="5BE08DEC" w14:textId="77777777" w:rsidR="001622F8" w:rsidRPr="001622F8" w:rsidRDefault="001622F8" w:rsidP="001622F8">
      <w:pPr>
        <w:rPr>
          <w:rFonts w:ascii="Gilroy" w:hAnsi="Gilroy"/>
          <w:sz w:val="22"/>
          <w:szCs w:val="22"/>
        </w:rPr>
      </w:pPr>
    </w:p>
    <w:p w14:paraId="50B1793A" w14:textId="2DDAF4BA" w:rsidR="001622F8" w:rsidRPr="001622F8" w:rsidRDefault="001622F8" w:rsidP="001622F8">
      <w:pPr>
        <w:rPr>
          <w:rFonts w:ascii="Gilroy" w:hAnsi="Gilroy"/>
          <w:sz w:val="22"/>
          <w:szCs w:val="22"/>
        </w:rPr>
      </w:pPr>
      <w:r w:rsidRPr="001622F8">
        <w:rPr>
          <w:rFonts w:ascii="Gilroy" w:hAnsi="Gilroy"/>
          <w:sz w:val="22"/>
          <w:szCs w:val="22"/>
        </w:rPr>
        <w:lastRenderedPageBreak/>
        <w:t>Towards the end of 2019, three petitions were filed at the Kenyan High Court challenging various aspects of the proposed</w:t>
      </w:r>
      <w:r>
        <w:rPr>
          <w:rFonts w:ascii="Gilroy" w:hAnsi="Gilroy"/>
          <w:sz w:val="22"/>
          <w:szCs w:val="22"/>
        </w:rPr>
        <w:t xml:space="preserve"> </w:t>
      </w:r>
      <w:r w:rsidRPr="001622F8">
        <w:rPr>
          <w:rFonts w:ascii="Gilroy" w:hAnsi="Gilroy"/>
          <w:sz w:val="22"/>
          <w:szCs w:val="22"/>
        </w:rPr>
        <w:t>NIIMS</w:t>
      </w:r>
      <w:r>
        <w:rPr>
          <w:rFonts w:ascii="Gilroy" w:hAnsi="Gilroy"/>
          <w:sz w:val="22"/>
          <w:szCs w:val="22"/>
        </w:rPr>
        <w:t>.</w:t>
      </w:r>
      <w:r>
        <w:rPr>
          <w:rStyle w:val="FootnoteReference"/>
          <w:rFonts w:ascii="Gilroy" w:hAnsi="Gilroy"/>
          <w:sz w:val="22"/>
          <w:szCs w:val="22"/>
        </w:rPr>
        <w:footnoteReference w:id="6"/>
      </w:r>
      <w:r w:rsidRPr="001622F8">
        <w:rPr>
          <w:rFonts w:ascii="Gilroy" w:hAnsi="Gilroy"/>
          <w:sz w:val="22"/>
          <w:szCs w:val="22"/>
        </w:rPr>
        <w:t xml:space="preserve">  The Kenyan High Court ruled that the system needed to be halted until there is "an appropriate and comprehensive regulatory framework on the implementation of NIIMS". It also found that the processing of GPS co-coordinates and DNA was intrusive and unnecessary for identification </w:t>
      </w:r>
      <w:proofErr w:type="gramStart"/>
      <w:r w:rsidRPr="001622F8">
        <w:rPr>
          <w:rFonts w:ascii="Gilroy" w:hAnsi="Gilroy"/>
          <w:sz w:val="22"/>
          <w:szCs w:val="22"/>
        </w:rPr>
        <w:t>purposes</w:t>
      </w:r>
      <w:r w:rsidR="005A3DDC">
        <w:rPr>
          <w:rFonts w:ascii="Gilroy" w:hAnsi="Gilroy"/>
          <w:sz w:val="22"/>
          <w:szCs w:val="22"/>
        </w:rPr>
        <w:t>,</w:t>
      </w:r>
      <w:r w:rsidRPr="001622F8">
        <w:rPr>
          <w:rFonts w:ascii="Gilroy" w:hAnsi="Gilroy"/>
          <w:sz w:val="22"/>
          <w:szCs w:val="22"/>
        </w:rPr>
        <w:t xml:space="preserve"> and</w:t>
      </w:r>
      <w:proofErr w:type="gramEnd"/>
      <w:r w:rsidRPr="001622F8">
        <w:rPr>
          <w:rFonts w:ascii="Gilroy" w:hAnsi="Gilroy"/>
          <w:sz w:val="22"/>
          <w:szCs w:val="22"/>
        </w:rPr>
        <w:t xml:space="preserve"> concluded that the sections in the Registration of Persons Act requiring such collection</w:t>
      </w:r>
      <w:r w:rsidR="005A3DDC">
        <w:rPr>
          <w:rFonts w:ascii="Gilroy" w:hAnsi="Gilroy"/>
          <w:sz w:val="22"/>
          <w:szCs w:val="22"/>
        </w:rPr>
        <w:t>,</w:t>
      </w:r>
      <w:r w:rsidRPr="001622F8">
        <w:rPr>
          <w:rFonts w:ascii="Gilroy" w:hAnsi="Gilroy"/>
          <w:sz w:val="22"/>
          <w:szCs w:val="22"/>
        </w:rPr>
        <w:t xml:space="preserve"> conflict with Article 31 of the Constitution and are unconstitutional, null and void. Unfortunately, the Court failed to address the issue of exclusion despite recognising the risks, and overall, the Court agreed that the processing of biometric data was necessary for the purpose of identification.</w:t>
      </w:r>
      <w:r>
        <w:rPr>
          <w:rStyle w:val="FootnoteReference"/>
          <w:rFonts w:ascii="Gilroy" w:hAnsi="Gilroy"/>
          <w:sz w:val="22"/>
          <w:szCs w:val="22"/>
        </w:rPr>
        <w:footnoteReference w:id="7"/>
      </w:r>
      <w:r w:rsidRPr="001622F8">
        <w:rPr>
          <w:rFonts w:ascii="Gilroy" w:hAnsi="Gilroy"/>
          <w:sz w:val="22"/>
          <w:szCs w:val="22"/>
        </w:rPr>
        <w:t xml:space="preserve"> Ultimately, the Court missed an opportunity to question the system's overall purpose and structure. Despite these shortcomings, the High Court’s judgement led to the </w:t>
      </w:r>
      <w:proofErr w:type="spellStart"/>
      <w:r w:rsidRPr="001622F8">
        <w:rPr>
          <w:rFonts w:ascii="Gilroy" w:hAnsi="Gilroy"/>
          <w:sz w:val="22"/>
          <w:szCs w:val="22"/>
        </w:rPr>
        <w:t>Huduma</w:t>
      </w:r>
      <w:proofErr w:type="spellEnd"/>
      <w:r w:rsidRPr="001622F8">
        <w:rPr>
          <w:rFonts w:ascii="Gilroy" w:hAnsi="Gilroy"/>
          <w:sz w:val="22"/>
          <w:szCs w:val="22"/>
        </w:rPr>
        <w:t xml:space="preserve"> </w:t>
      </w:r>
      <w:proofErr w:type="spellStart"/>
      <w:r w:rsidRPr="001622F8">
        <w:rPr>
          <w:rFonts w:ascii="Gilroy" w:hAnsi="Gilroy"/>
          <w:sz w:val="22"/>
          <w:szCs w:val="22"/>
        </w:rPr>
        <w:t>Numba</w:t>
      </w:r>
      <w:proofErr w:type="spellEnd"/>
      <w:r w:rsidRPr="001622F8">
        <w:rPr>
          <w:rFonts w:ascii="Gilroy" w:hAnsi="Gilroy"/>
          <w:sz w:val="22"/>
          <w:szCs w:val="22"/>
        </w:rPr>
        <w:t xml:space="preserve"> system being</w:t>
      </w:r>
      <w:r>
        <w:rPr>
          <w:rFonts w:ascii="Gilroy" w:hAnsi="Gilroy"/>
          <w:sz w:val="22"/>
          <w:szCs w:val="22"/>
        </w:rPr>
        <w:t xml:space="preserve"> </w:t>
      </w:r>
      <w:r w:rsidRPr="001622F8">
        <w:rPr>
          <w:rFonts w:ascii="Gilroy" w:hAnsi="Gilroy"/>
          <w:sz w:val="22"/>
          <w:szCs w:val="22"/>
        </w:rPr>
        <w:t>halted, and then ultimately dropped.</w:t>
      </w:r>
      <w:r>
        <w:rPr>
          <w:rStyle w:val="FootnoteReference"/>
          <w:rFonts w:ascii="Gilroy" w:hAnsi="Gilroy"/>
          <w:sz w:val="22"/>
          <w:szCs w:val="22"/>
        </w:rPr>
        <w:footnoteReference w:id="8"/>
      </w:r>
    </w:p>
    <w:p w14:paraId="43848A2D" w14:textId="77777777" w:rsidR="001622F8" w:rsidRPr="001622F8" w:rsidRDefault="001622F8" w:rsidP="001622F8">
      <w:pPr>
        <w:rPr>
          <w:rFonts w:ascii="Gilroy" w:hAnsi="Gilroy"/>
          <w:sz w:val="22"/>
          <w:szCs w:val="22"/>
        </w:rPr>
      </w:pPr>
    </w:p>
    <w:p w14:paraId="4EB5AD99" w14:textId="21FD07D1" w:rsidR="001622F8" w:rsidRPr="001622F8" w:rsidRDefault="001622F8" w:rsidP="001622F8">
      <w:pPr>
        <w:rPr>
          <w:rFonts w:ascii="Gilroy" w:hAnsi="Gilroy"/>
          <w:sz w:val="22"/>
          <w:szCs w:val="22"/>
        </w:rPr>
      </w:pPr>
      <w:r w:rsidRPr="001622F8">
        <w:rPr>
          <w:rFonts w:ascii="Gilroy" w:hAnsi="Gilroy"/>
          <w:sz w:val="22"/>
          <w:szCs w:val="22"/>
        </w:rPr>
        <w:t xml:space="preserve">However, in early 2023 the government announced the implementation of a new ID system, the Maisha </w:t>
      </w:r>
      <w:proofErr w:type="spellStart"/>
      <w:r w:rsidRPr="001622F8">
        <w:rPr>
          <w:rFonts w:ascii="Gilroy" w:hAnsi="Gilroy"/>
          <w:sz w:val="22"/>
          <w:szCs w:val="22"/>
        </w:rPr>
        <w:t>Namba</w:t>
      </w:r>
      <w:proofErr w:type="spellEnd"/>
      <w:r w:rsidRPr="001622F8">
        <w:rPr>
          <w:rFonts w:ascii="Gilroy" w:hAnsi="Gilroy"/>
          <w:sz w:val="22"/>
          <w:szCs w:val="22"/>
        </w:rPr>
        <w:t>, with a roll-out initially announced for October 2023.</w:t>
      </w:r>
      <w:r w:rsidR="0024029E">
        <w:rPr>
          <w:rStyle w:val="FootnoteReference"/>
          <w:rFonts w:ascii="Gilroy" w:hAnsi="Gilroy"/>
          <w:sz w:val="22"/>
          <w:szCs w:val="22"/>
        </w:rPr>
        <w:footnoteReference w:id="9"/>
      </w:r>
      <w:r w:rsidRPr="001622F8">
        <w:rPr>
          <w:rFonts w:ascii="Gilroy" w:hAnsi="Gilroy"/>
          <w:sz w:val="22"/>
          <w:szCs w:val="22"/>
        </w:rPr>
        <w:t xml:space="preserve">  The term "Maisha </w:t>
      </w:r>
      <w:proofErr w:type="spellStart"/>
      <w:r w:rsidRPr="001622F8">
        <w:rPr>
          <w:rFonts w:ascii="Gilroy" w:hAnsi="Gilroy"/>
          <w:sz w:val="22"/>
          <w:szCs w:val="22"/>
        </w:rPr>
        <w:t>Namba</w:t>
      </w:r>
      <w:proofErr w:type="spellEnd"/>
      <w:r w:rsidRPr="001622F8">
        <w:rPr>
          <w:rFonts w:ascii="Gilroy" w:hAnsi="Gilroy"/>
          <w:sz w:val="22"/>
          <w:szCs w:val="22"/>
        </w:rPr>
        <w:t xml:space="preserve">" refers to an identity ecosystem comprising four interrelated aspects: Maisha </w:t>
      </w:r>
      <w:proofErr w:type="spellStart"/>
      <w:r w:rsidRPr="001622F8">
        <w:rPr>
          <w:rFonts w:ascii="Gilroy" w:hAnsi="Gilroy"/>
          <w:sz w:val="22"/>
          <w:szCs w:val="22"/>
        </w:rPr>
        <w:t>Namba</w:t>
      </w:r>
      <w:proofErr w:type="spellEnd"/>
      <w:r w:rsidRPr="001622F8">
        <w:rPr>
          <w:rFonts w:ascii="Gilroy" w:hAnsi="Gilroy"/>
          <w:sz w:val="22"/>
          <w:szCs w:val="22"/>
        </w:rPr>
        <w:t xml:space="preserve">, Maisha Card, Digital ID, and the National Population Master Register. Maisha </w:t>
      </w:r>
      <w:proofErr w:type="spellStart"/>
      <w:r w:rsidRPr="001622F8">
        <w:rPr>
          <w:rFonts w:ascii="Gilroy" w:hAnsi="Gilroy"/>
          <w:sz w:val="22"/>
          <w:szCs w:val="22"/>
        </w:rPr>
        <w:t>Namba</w:t>
      </w:r>
      <w:proofErr w:type="spellEnd"/>
      <w:r w:rsidRPr="001622F8">
        <w:rPr>
          <w:rFonts w:ascii="Gilroy" w:hAnsi="Gilroy"/>
          <w:sz w:val="22"/>
          <w:szCs w:val="22"/>
        </w:rPr>
        <w:t xml:space="preserve"> specifically refers to the Unique Personal Identifier assigned at birth registration, which will remain in use until death registration</w:t>
      </w:r>
      <w:r>
        <w:rPr>
          <w:rFonts w:ascii="Gilroy" w:hAnsi="Gilroy"/>
          <w:sz w:val="22"/>
          <w:szCs w:val="22"/>
        </w:rPr>
        <w:t>.</w:t>
      </w:r>
      <w:r>
        <w:rPr>
          <w:rStyle w:val="FootnoteReference"/>
          <w:rFonts w:ascii="Gilroy" w:hAnsi="Gilroy"/>
          <w:sz w:val="22"/>
          <w:szCs w:val="22"/>
        </w:rPr>
        <w:footnoteReference w:id="10"/>
      </w:r>
      <w:r w:rsidRPr="001622F8">
        <w:rPr>
          <w:rFonts w:ascii="Gilroy" w:hAnsi="Gilroy"/>
          <w:sz w:val="22"/>
          <w:szCs w:val="22"/>
        </w:rPr>
        <w:t xml:space="preserve"> </w:t>
      </w:r>
    </w:p>
    <w:p w14:paraId="2AD1AAD6" w14:textId="77777777" w:rsidR="001622F8" w:rsidRPr="001622F8" w:rsidRDefault="001622F8" w:rsidP="001622F8">
      <w:pPr>
        <w:rPr>
          <w:rFonts w:ascii="Gilroy" w:hAnsi="Gilroy"/>
          <w:sz w:val="22"/>
          <w:szCs w:val="22"/>
        </w:rPr>
      </w:pPr>
    </w:p>
    <w:p w14:paraId="4893AEEE" w14:textId="23F6F39C" w:rsidR="001622F8" w:rsidRPr="001622F8" w:rsidRDefault="001622F8" w:rsidP="001622F8">
      <w:pPr>
        <w:rPr>
          <w:rFonts w:ascii="Gilroy" w:hAnsi="Gilroy"/>
          <w:sz w:val="22"/>
          <w:szCs w:val="22"/>
        </w:rPr>
      </w:pPr>
      <w:proofErr w:type="gramStart"/>
      <w:r w:rsidRPr="001622F8">
        <w:rPr>
          <w:rFonts w:ascii="Gilroy" w:hAnsi="Gilroy"/>
          <w:sz w:val="22"/>
          <w:szCs w:val="22"/>
        </w:rPr>
        <w:t>Similar to</w:t>
      </w:r>
      <w:proofErr w:type="gramEnd"/>
      <w:r w:rsidRPr="001622F8">
        <w:rPr>
          <w:rFonts w:ascii="Gilroy" w:hAnsi="Gilroy"/>
          <w:sz w:val="22"/>
          <w:szCs w:val="22"/>
        </w:rPr>
        <w:t xml:space="preserve"> its predecessor, the </w:t>
      </w:r>
      <w:proofErr w:type="spellStart"/>
      <w:r w:rsidRPr="001622F8">
        <w:rPr>
          <w:rFonts w:ascii="Gilroy" w:hAnsi="Gilroy"/>
          <w:sz w:val="22"/>
          <w:szCs w:val="22"/>
        </w:rPr>
        <w:t>Huduma</w:t>
      </w:r>
      <w:proofErr w:type="spellEnd"/>
      <w:r w:rsidRPr="001622F8">
        <w:rPr>
          <w:rFonts w:ascii="Gilroy" w:hAnsi="Gilroy"/>
          <w:sz w:val="22"/>
          <w:szCs w:val="22"/>
        </w:rPr>
        <w:t xml:space="preserve"> </w:t>
      </w:r>
      <w:proofErr w:type="spellStart"/>
      <w:r w:rsidRPr="001622F8">
        <w:rPr>
          <w:rFonts w:ascii="Gilroy" w:hAnsi="Gilroy"/>
          <w:sz w:val="22"/>
          <w:szCs w:val="22"/>
        </w:rPr>
        <w:t>Numba</w:t>
      </w:r>
      <w:proofErr w:type="spellEnd"/>
      <w:r w:rsidRPr="001622F8">
        <w:rPr>
          <w:rFonts w:ascii="Gilroy" w:hAnsi="Gilroy"/>
          <w:sz w:val="22"/>
          <w:szCs w:val="22"/>
        </w:rPr>
        <w:t xml:space="preserve">, the implementation of the Maisha </w:t>
      </w:r>
      <w:proofErr w:type="spellStart"/>
      <w:r w:rsidRPr="001622F8">
        <w:rPr>
          <w:rFonts w:ascii="Gilroy" w:hAnsi="Gilroy"/>
          <w:sz w:val="22"/>
          <w:szCs w:val="22"/>
        </w:rPr>
        <w:t>Numba</w:t>
      </w:r>
      <w:proofErr w:type="spellEnd"/>
      <w:r w:rsidRPr="001622F8">
        <w:rPr>
          <w:rFonts w:ascii="Gilroy" w:hAnsi="Gilroy"/>
          <w:sz w:val="22"/>
          <w:szCs w:val="22"/>
        </w:rPr>
        <w:t xml:space="preserve"> system was marred by significant flaws, including a lack of meaningful public participation and the recurrence of issues previously identified by the High Court in its judgmen</w:t>
      </w:r>
      <w:r w:rsidR="006E6CD3">
        <w:rPr>
          <w:rFonts w:ascii="Gilroy" w:hAnsi="Gilroy"/>
          <w:sz w:val="22"/>
          <w:szCs w:val="22"/>
        </w:rPr>
        <w:t>t</w:t>
      </w:r>
      <w:r w:rsidRPr="001622F8">
        <w:rPr>
          <w:rFonts w:ascii="Gilroy" w:hAnsi="Gilroy"/>
          <w:sz w:val="22"/>
          <w:szCs w:val="22"/>
        </w:rPr>
        <w:t>. Notably, the system lacks effective safeguards to prevent exclusion from social protection programmes (Article 9, ICESCR) and discrimination (Article 2, ICESCR). This is particularly concerning for individuals who face administrative and other systemic barriers that hinder their ability to register, further entrenching inequality and marginalisation. As a result, those excluded are denied access to resources necessary to ensure an adequate standard of living, violating their fundamental rights under Article 11 of the ICESCR.</w:t>
      </w:r>
    </w:p>
    <w:p w14:paraId="64AABC79" w14:textId="77777777" w:rsidR="001622F8" w:rsidRPr="001622F8" w:rsidRDefault="001622F8" w:rsidP="001622F8">
      <w:pPr>
        <w:rPr>
          <w:rFonts w:ascii="Gilroy" w:hAnsi="Gilroy"/>
          <w:sz w:val="22"/>
          <w:szCs w:val="22"/>
        </w:rPr>
      </w:pPr>
    </w:p>
    <w:p w14:paraId="050D49E6" w14:textId="009EADA6" w:rsidR="001622F8" w:rsidRPr="001622F8" w:rsidRDefault="001622F8" w:rsidP="001622F8">
      <w:pPr>
        <w:rPr>
          <w:rFonts w:ascii="Gilroy" w:hAnsi="Gilroy"/>
          <w:sz w:val="22"/>
          <w:szCs w:val="22"/>
        </w:rPr>
      </w:pPr>
      <w:r w:rsidRPr="001622F8">
        <w:rPr>
          <w:rFonts w:ascii="Gilroy" w:hAnsi="Gilroy"/>
          <w:sz w:val="22"/>
          <w:szCs w:val="22"/>
        </w:rPr>
        <w:t xml:space="preserve">Since the onset the Maisha </w:t>
      </w:r>
      <w:proofErr w:type="spellStart"/>
      <w:r w:rsidRPr="001622F8">
        <w:rPr>
          <w:rFonts w:ascii="Gilroy" w:hAnsi="Gilroy"/>
          <w:sz w:val="22"/>
          <w:szCs w:val="22"/>
        </w:rPr>
        <w:t>Numba</w:t>
      </w:r>
      <w:proofErr w:type="spellEnd"/>
      <w:r w:rsidRPr="001622F8">
        <w:rPr>
          <w:rFonts w:ascii="Gilroy" w:hAnsi="Gilroy"/>
          <w:sz w:val="22"/>
          <w:szCs w:val="22"/>
        </w:rPr>
        <w:t xml:space="preserve"> ecosystem has been repeatedly challenged in court by </w:t>
      </w:r>
      <w:r w:rsidR="00992C07">
        <w:rPr>
          <w:rFonts w:ascii="Gilroy" w:hAnsi="Gilroy"/>
          <w:sz w:val="22"/>
          <w:szCs w:val="22"/>
        </w:rPr>
        <w:t>civil society organisations (</w:t>
      </w:r>
      <w:r w:rsidRPr="001622F8">
        <w:rPr>
          <w:rFonts w:ascii="Gilroy" w:hAnsi="Gilroy"/>
          <w:sz w:val="22"/>
          <w:szCs w:val="22"/>
        </w:rPr>
        <w:t>CSOs</w:t>
      </w:r>
      <w:r w:rsidR="00992C07">
        <w:rPr>
          <w:rFonts w:ascii="Gilroy" w:hAnsi="Gilroy"/>
          <w:sz w:val="22"/>
          <w:szCs w:val="22"/>
        </w:rPr>
        <w:t>)</w:t>
      </w:r>
      <w:r w:rsidRPr="001622F8">
        <w:rPr>
          <w:rFonts w:ascii="Gilroy" w:hAnsi="Gilroy"/>
          <w:sz w:val="22"/>
          <w:szCs w:val="22"/>
        </w:rPr>
        <w:t xml:space="preserve"> which has led to the registration being halted on several occasions.</w:t>
      </w:r>
      <w:r>
        <w:rPr>
          <w:rStyle w:val="FootnoteReference"/>
          <w:rFonts w:ascii="Gilroy" w:hAnsi="Gilroy"/>
          <w:sz w:val="22"/>
          <w:szCs w:val="22"/>
        </w:rPr>
        <w:footnoteReference w:id="11"/>
      </w:r>
    </w:p>
    <w:p w14:paraId="69D8AB28" w14:textId="77777777" w:rsidR="001622F8" w:rsidRPr="001622F8" w:rsidRDefault="001622F8" w:rsidP="001622F8">
      <w:pPr>
        <w:rPr>
          <w:rFonts w:ascii="Gilroy" w:hAnsi="Gilroy"/>
          <w:sz w:val="22"/>
          <w:szCs w:val="22"/>
        </w:rPr>
      </w:pPr>
    </w:p>
    <w:p w14:paraId="382B1CFC" w14:textId="3911F5A7" w:rsidR="001622F8" w:rsidRPr="001622F8" w:rsidRDefault="001622F8" w:rsidP="001622F8">
      <w:pPr>
        <w:rPr>
          <w:rFonts w:ascii="Gilroy" w:hAnsi="Gilroy"/>
          <w:sz w:val="22"/>
          <w:szCs w:val="22"/>
        </w:rPr>
      </w:pPr>
      <w:r w:rsidRPr="001622F8">
        <w:rPr>
          <w:rFonts w:ascii="Gilroy" w:hAnsi="Gilroy"/>
          <w:sz w:val="22"/>
          <w:szCs w:val="22"/>
        </w:rPr>
        <w:t>ln December 2023, Haki Na Sheria Initiative fi</w:t>
      </w:r>
      <w:r w:rsidR="002D60FD">
        <w:rPr>
          <w:rFonts w:ascii="Gilroy" w:hAnsi="Gilroy"/>
          <w:sz w:val="22"/>
          <w:szCs w:val="22"/>
        </w:rPr>
        <w:t>le</w:t>
      </w:r>
      <w:r w:rsidRPr="001622F8">
        <w:rPr>
          <w:rFonts w:ascii="Gilroy" w:hAnsi="Gilroy"/>
          <w:sz w:val="22"/>
          <w:szCs w:val="22"/>
        </w:rPr>
        <w:t>d a petition against the Government</w:t>
      </w:r>
      <w:r w:rsidR="0024029E">
        <w:rPr>
          <w:rFonts w:ascii="Gilroy" w:hAnsi="Gilroy"/>
          <w:sz w:val="22"/>
          <w:szCs w:val="22"/>
        </w:rPr>
        <w:t xml:space="preserve"> </w:t>
      </w:r>
      <w:r w:rsidRPr="001622F8">
        <w:rPr>
          <w:rFonts w:ascii="Gilroy" w:hAnsi="Gilroy"/>
          <w:sz w:val="22"/>
          <w:szCs w:val="22"/>
        </w:rPr>
        <w:t>challenging the roll out of the Maisha Nama Digital Identity Ecosystem.</w:t>
      </w:r>
      <w:r w:rsidR="0024029E">
        <w:rPr>
          <w:rStyle w:val="FootnoteReference"/>
          <w:rFonts w:ascii="Gilroy" w:hAnsi="Gilroy"/>
          <w:sz w:val="22"/>
          <w:szCs w:val="22"/>
        </w:rPr>
        <w:footnoteReference w:id="12"/>
      </w:r>
      <w:r w:rsidRPr="001622F8">
        <w:rPr>
          <w:rFonts w:ascii="Gilroy" w:hAnsi="Gilroy"/>
          <w:sz w:val="22"/>
          <w:szCs w:val="22"/>
        </w:rPr>
        <w:t xml:space="preserve"> Haki Na Sheria </w:t>
      </w:r>
      <w:r w:rsidR="002D60FD">
        <w:rPr>
          <w:rFonts w:ascii="Gilroy" w:hAnsi="Gilroy"/>
          <w:sz w:val="22"/>
          <w:szCs w:val="22"/>
        </w:rPr>
        <w:t>I</w:t>
      </w:r>
      <w:r w:rsidRPr="001622F8">
        <w:rPr>
          <w:rFonts w:ascii="Gilroy" w:hAnsi="Gilroy"/>
          <w:sz w:val="22"/>
          <w:szCs w:val="22"/>
        </w:rPr>
        <w:t xml:space="preserve">nitiative flagged potential </w:t>
      </w:r>
      <w:r w:rsidR="00992C07">
        <w:rPr>
          <w:rFonts w:ascii="Gilroy" w:hAnsi="Gilroy"/>
          <w:sz w:val="22"/>
          <w:szCs w:val="22"/>
        </w:rPr>
        <w:t>violation of the Constitution</w:t>
      </w:r>
      <w:r w:rsidRPr="001622F8">
        <w:rPr>
          <w:rFonts w:ascii="Gilroy" w:hAnsi="Gilroy"/>
          <w:sz w:val="22"/>
          <w:szCs w:val="22"/>
        </w:rPr>
        <w:t>, including of (</w:t>
      </w:r>
      <w:proofErr w:type="spellStart"/>
      <w:r w:rsidRPr="001622F8">
        <w:rPr>
          <w:rFonts w:ascii="Gilroy" w:hAnsi="Gilroy"/>
          <w:sz w:val="22"/>
          <w:szCs w:val="22"/>
        </w:rPr>
        <w:t>i</w:t>
      </w:r>
      <w:proofErr w:type="spellEnd"/>
      <w:r w:rsidRPr="001622F8">
        <w:rPr>
          <w:rFonts w:ascii="Gilroy" w:hAnsi="Gilroy"/>
          <w:sz w:val="22"/>
          <w:szCs w:val="22"/>
        </w:rPr>
        <w:t>) the right to privacy given the vast processing</w:t>
      </w:r>
      <w:r w:rsidR="00992C07">
        <w:rPr>
          <w:rFonts w:ascii="Gilroy" w:hAnsi="Gilroy"/>
          <w:sz w:val="22"/>
          <w:szCs w:val="22"/>
        </w:rPr>
        <w:t xml:space="preserve"> of personal data</w:t>
      </w:r>
      <w:r w:rsidRPr="001622F8">
        <w:rPr>
          <w:rFonts w:ascii="Gilroy" w:hAnsi="Gilroy"/>
          <w:sz w:val="22"/>
          <w:szCs w:val="22"/>
        </w:rPr>
        <w:t xml:space="preserve"> the system would entail including extensive data sharing amongst government bodies and with the private sector, and (ii) </w:t>
      </w:r>
      <w:r w:rsidRPr="001622F8">
        <w:rPr>
          <w:rFonts w:ascii="Gilroy" w:hAnsi="Gilroy"/>
          <w:sz w:val="22"/>
          <w:szCs w:val="22"/>
        </w:rPr>
        <w:lastRenderedPageBreak/>
        <w:t>discrimination against marginalised communities who have faced challenges to access citizenship rights including marginalized and minority communities, particularly in Northern Kenya, Coastal Kenya, and other rural areas that face regulatory and administrative challenges in the acquisition of national IDs</w:t>
      </w:r>
      <w:r w:rsidR="005A3DDC">
        <w:rPr>
          <w:rFonts w:ascii="Gilroy" w:hAnsi="Gilroy"/>
          <w:sz w:val="22"/>
          <w:szCs w:val="22"/>
        </w:rPr>
        <w:t>,</w:t>
      </w:r>
      <w:r w:rsidRPr="001622F8">
        <w:rPr>
          <w:rFonts w:ascii="Gilroy" w:hAnsi="Gilroy"/>
          <w:sz w:val="22"/>
          <w:szCs w:val="22"/>
        </w:rPr>
        <w:t xml:space="preserve"> including secondary vetting and the inaccessibility of registration offices. Further</w:t>
      </w:r>
      <w:r w:rsidR="005A3DDC">
        <w:rPr>
          <w:rFonts w:ascii="Gilroy" w:hAnsi="Gilroy"/>
          <w:sz w:val="22"/>
          <w:szCs w:val="22"/>
        </w:rPr>
        <w:t>more,</w:t>
      </w:r>
      <w:r w:rsidR="00992C07">
        <w:rPr>
          <w:rFonts w:ascii="Gilroy" w:hAnsi="Gilroy"/>
          <w:sz w:val="22"/>
          <w:szCs w:val="22"/>
        </w:rPr>
        <w:t xml:space="preserve"> the claimant argues that the system discriminates against</w:t>
      </w:r>
      <w:r w:rsidRPr="001622F8">
        <w:rPr>
          <w:rFonts w:ascii="Gilroy" w:hAnsi="Gilroy"/>
          <w:sz w:val="22"/>
          <w:szCs w:val="22"/>
        </w:rPr>
        <w:t xml:space="preserve"> the children of people from these communities as well as around 40,000 double-registered individuals who were erroneously registered as refugees despite being Kenyans</w:t>
      </w:r>
      <w:r w:rsidR="005A3DDC">
        <w:rPr>
          <w:rFonts w:ascii="Gilroy" w:hAnsi="Gilroy"/>
          <w:sz w:val="22"/>
          <w:szCs w:val="22"/>
        </w:rPr>
        <w:t>,</w:t>
      </w:r>
      <w:r w:rsidRPr="001622F8">
        <w:rPr>
          <w:rFonts w:ascii="Gilroy" w:hAnsi="Gilroy"/>
          <w:sz w:val="22"/>
          <w:szCs w:val="22"/>
        </w:rPr>
        <w:t xml:space="preserve"> and who are now facing challenges to be able to be registered in the national</w:t>
      </w:r>
      <w:r w:rsidR="005A3DDC">
        <w:rPr>
          <w:rFonts w:ascii="Gilroy" w:hAnsi="Gilroy"/>
          <w:sz w:val="22"/>
          <w:szCs w:val="22"/>
        </w:rPr>
        <w:t xml:space="preserve"> </w:t>
      </w:r>
      <w:r w:rsidRPr="001622F8">
        <w:rPr>
          <w:rFonts w:ascii="Gilroy" w:hAnsi="Gilroy"/>
          <w:sz w:val="22"/>
          <w:szCs w:val="22"/>
        </w:rPr>
        <w:t>identity system.</w:t>
      </w:r>
      <w:r>
        <w:rPr>
          <w:rStyle w:val="FootnoteReference"/>
          <w:rFonts w:ascii="Gilroy" w:hAnsi="Gilroy"/>
          <w:sz w:val="22"/>
          <w:szCs w:val="22"/>
        </w:rPr>
        <w:footnoteReference w:id="13"/>
      </w:r>
      <w:r w:rsidRPr="001622F8">
        <w:rPr>
          <w:rFonts w:ascii="Gilroy" w:hAnsi="Gilroy"/>
          <w:sz w:val="22"/>
          <w:szCs w:val="22"/>
        </w:rPr>
        <w:t xml:space="preserve"> </w:t>
      </w:r>
    </w:p>
    <w:p w14:paraId="6903C843" w14:textId="77777777" w:rsidR="001622F8" w:rsidRPr="001622F8" w:rsidRDefault="001622F8" w:rsidP="001622F8">
      <w:pPr>
        <w:rPr>
          <w:rFonts w:ascii="Gilroy" w:hAnsi="Gilroy"/>
          <w:sz w:val="22"/>
          <w:szCs w:val="22"/>
        </w:rPr>
      </w:pPr>
    </w:p>
    <w:p w14:paraId="51268E93" w14:textId="0109EA47" w:rsidR="001622F8" w:rsidRPr="001622F8" w:rsidRDefault="001622F8" w:rsidP="001622F8">
      <w:pPr>
        <w:rPr>
          <w:rFonts w:ascii="Gilroy" w:hAnsi="Gilroy"/>
          <w:sz w:val="22"/>
          <w:szCs w:val="22"/>
        </w:rPr>
      </w:pPr>
      <w:r w:rsidRPr="001622F8">
        <w:rPr>
          <w:rFonts w:ascii="Gilroy" w:hAnsi="Gilroy"/>
          <w:sz w:val="22"/>
          <w:szCs w:val="22"/>
        </w:rPr>
        <w:t xml:space="preserve">These concerns raised by Haki Na Sheria Initiative and the other petitioners </w:t>
      </w:r>
      <w:r w:rsidR="00992C07">
        <w:rPr>
          <w:rFonts w:ascii="Gilroy" w:hAnsi="Gilroy"/>
          <w:sz w:val="22"/>
          <w:szCs w:val="22"/>
        </w:rPr>
        <w:t xml:space="preserve">are not new and </w:t>
      </w:r>
      <w:r w:rsidRPr="001622F8">
        <w:rPr>
          <w:rFonts w:ascii="Gilroy" w:hAnsi="Gilroy"/>
          <w:sz w:val="22"/>
          <w:szCs w:val="22"/>
        </w:rPr>
        <w:t>have been recognised by Courts around the world</w:t>
      </w:r>
      <w:r w:rsidR="005A3DDC">
        <w:rPr>
          <w:rFonts w:ascii="Gilroy" w:hAnsi="Gilroy"/>
          <w:sz w:val="22"/>
          <w:szCs w:val="22"/>
        </w:rPr>
        <w:t>,</w:t>
      </w:r>
      <w:r w:rsidRPr="001622F8">
        <w:rPr>
          <w:rFonts w:ascii="Gilroy" w:hAnsi="Gilroy"/>
          <w:sz w:val="22"/>
          <w:szCs w:val="22"/>
        </w:rPr>
        <w:t xml:space="preserve"> and also highlighted by the </w:t>
      </w:r>
      <w:r w:rsidR="00992C07">
        <w:rPr>
          <w:rFonts w:ascii="Gilroy" w:hAnsi="Gilroy"/>
          <w:sz w:val="22"/>
          <w:szCs w:val="22"/>
        </w:rPr>
        <w:t xml:space="preserve">UN </w:t>
      </w:r>
      <w:r w:rsidRPr="001622F8">
        <w:rPr>
          <w:rFonts w:ascii="Gilroy" w:hAnsi="Gilroy"/>
          <w:sz w:val="22"/>
          <w:szCs w:val="22"/>
        </w:rPr>
        <w:t>Secretary-General report on the role of new technologies in the realisation of economic, social, and cultural rights</w:t>
      </w:r>
      <w:r>
        <w:rPr>
          <w:rFonts w:ascii="Gilroy" w:hAnsi="Gilroy"/>
          <w:sz w:val="22"/>
          <w:szCs w:val="22"/>
        </w:rPr>
        <w:t>.</w:t>
      </w:r>
      <w:r>
        <w:rPr>
          <w:rStyle w:val="FootnoteReference"/>
          <w:rFonts w:ascii="Gilroy" w:hAnsi="Gilroy"/>
          <w:sz w:val="22"/>
          <w:szCs w:val="22"/>
        </w:rPr>
        <w:footnoteReference w:id="14"/>
      </w:r>
      <w:r>
        <w:rPr>
          <w:rFonts w:ascii="Gilroy" w:hAnsi="Gilroy"/>
          <w:sz w:val="22"/>
          <w:szCs w:val="22"/>
        </w:rPr>
        <w:t xml:space="preserve"> </w:t>
      </w:r>
      <w:r w:rsidRPr="001622F8">
        <w:rPr>
          <w:rFonts w:ascii="Gilroy" w:hAnsi="Gilroy"/>
          <w:sz w:val="22"/>
          <w:szCs w:val="22"/>
        </w:rPr>
        <w:t xml:space="preserve">The case is was due to be heard on 5th October 2024 but it was announced that the hearing has been adjourned until March 2025. </w:t>
      </w:r>
    </w:p>
    <w:p w14:paraId="6D8CD75F" w14:textId="77777777" w:rsidR="0029685E" w:rsidRDefault="0029685E" w:rsidP="0029685E">
      <w:pPr>
        <w:jc w:val="both"/>
        <w:rPr>
          <w:rFonts w:ascii="Gilroy" w:hAnsi="Gilroy" w:cstheme="minorHAnsi"/>
          <w:b/>
          <w:bCs/>
          <w:sz w:val="22"/>
          <w:szCs w:val="22"/>
        </w:rPr>
      </w:pPr>
    </w:p>
    <w:p w14:paraId="7996BA8E" w14:textId="12F6E17E" w:rsidR="00CD552B" w:rsidRPr="00444069" w:rsidRDefault="00354CA3" w:rsidP="00444069">
      <w:pPr>
        <w:pStyle w:val="ListParagraph"/>
        <w:numPr>
          <w:ilvl w:val="0"/>
          <w:numId w:val="7"/>
        </w:numPr>
        <w:jc w:val="both"/>
        <w:rPr>
          <w:rFonts w:ascii="Gilroy" w:hAnsi="Gilroy" w:cstheme="minorHAnsi"/>
          <w:b/>
          <w:bCs/>
          <w:sz w:val="22"/>
          <w:szCs w:val="22"/>
        </w:rPr>
      </w:pPr>
      <w:r w:rsidRPr="00444069">
        <w:rPr>
          <w:rFonts w:ascii="Gilroy" w:hAnsi="Gilroy" w:cstheme="minorHAnsi"/>
          <w:b/>
          <w:bCs/>
          <w:sz w:val="22"/>
          <w:szCs w:val="22"/>
        </w:rPr>
        <w:t xml:space="preserve">Upholding </w:t>
      </w:r>
      <w:r w:rsidR="00873294" w:rsidRPr="00444069">
        <w:rPr>
          <w:rFonts w:ascii="Gilroy" w:hAnsi="Gilroy" w:cstheme="minorHAnsi"/>
          <w:b/>
          <w:bCs/>
          <w:sz w:val="22"/>
          <w:szCs w:val="22"/>
        </w:rPr>
        <w:t xml:space="preserve">the right to health </w:t>
      </w:r>
      <w:r w:rsidR="007625D3" w:rsidRPr="00444069">
        <w:rPr>
          <w:rFonts w:ascii="Gilroy" w:hAnsi="Gilroy" w:cstheme="minorHAnsi"/>
          <w:b/>
          <w:bCs/>
          <w:sz w:val="22"/>
          <w:szCs w:val="22"/>
        </w:rPr>
        <w:t xml:space="preserve">in the context of </w:t>
      </w:r>
      <w:r w:rsidR="00873294" w:rsidRPr="00444069">
        <w:rPr>
          <w:rFonts w:ascii="Gilroy" w:hAnsi="Gilroy" w:cstheme="minorHAnsi"/>
          <w:b/>
          <w:bCs/>
          <w:sz w:val="22"/>
          <w:szCs w:val="22"/>
        </w:rPr>
        <w:t xml:space="preserve">the digital transformation </w:t>
      </w:r>
      <w:r w:rsidRPr="00444069">
        <w:rPr>
          <w:rFonts w:ascii="Gilroy" w:hAnsi="Gilroy" w:cstheme="minorHAnsi"/>
          <w:b/>
          <w:bCs/>
          <w:sz w:val="22"/>
          <w:szCs w:val="22"/>
        </w:rPr>
        <w:t>in</w:t>
      </w:r>
      <w:r w:rsidR="00873294" w:rsidRPr="00444069">
        <w:rPr>
          <w:rFonts w:ascii="Gilroy" w:hAnsi="Gilroy" w:cstheme="minorHAnsi"/>
          <w:b/>
          <w:bCs/>
          <w:sz w:val="22"/>
          <w:szCs w:val="22"/>
        </w:rPr>
        <w:t xml:space="preserve"> the health sector</w:t>
      </w:r>
      <w:r w:rsidR="009F5EEF" w:rsidRPr="00444069">
        <w:rPr>
          <w:rFonts w:ascii="Gilroy" w:hAnsi="Gilroy" w:cstheme="minorHAnsi"/>
          <w:b/>
          <w:bCs/>
          <w:sz w:val="22"/>
          <w:szCs w:val="22"/>
        </w:rPr>
        <w:t xml:space="preserve"> </w:t>
      </w:r>
      <w:r w:rsidR="007625D3" w:rsidRPr="00444069">
        <w:rPr>
          <w:rFonts w:ascii="Gilroy" w:hAnsi="Gilroy" w:cstheme="minorHAnsi"/>
          <w:b/>
          <w:bCs/>
          <w:sz w:val="22"/>
          <w:szCs w:val="22"/>
        </w:rPr>
        <w:t>(Articles 2 and 12)</w:t>
      </w:r>
    </w:p>
    <w:p w14:paraId="64BA04A9" w14:textId="77777777" w:rsidR="00873294" w:rsidRPr="009F5EEF" w:rsidRDefault="00873294" w:rsidP="00CD552B">
      <w:pPr>
        <w:jc w:val="both"/>
        <w:rPr>
          <w:rFonts w:ascii="Gilroy" w:hAnsi="Gilroy" w:cstheme="minorHAnsi"/>
          <w:sz w:val="22"/>
          <w:szCs w:val="22"/>
        </w:rPr>
      </w:pPr>
    </w:p>
    <w:p w14:paraId="54703045" w14:textId="4D37CCFD" w:rsidR="00873294" w:rsidRDefault="003D6054" w:rsidP="00CD552B">
      <w:pPr>
        <w:jc w:val="both"/>
        <w:rPr>
          <w:rFonts w:ascii="Gilroy" w:hAnsi="Gilroy" w:cstheme="minorHAnsi"/>
          <w:sz w:val="22"/>
          <w:szCs w:val="22"/>
        </w:rPr>
      </w:pPr>
      <w:r>
        <w:rPr>
          <w:rFonts w:ascii="Gilroy" w:hAnsi="Gilroy" w:cstheme="minorHAnsi"/>
          <w:sz w:val="22"/>
          <w:szCs w:val="22"/>
        </w:rPr>
        <w:t>PI has documented how some k</w:t>
      </w:r>
      <w:r w:rsidR="00873294" w:rsidRPr="009F5EEF">
        <w:rPr>
          <w:rFonts w:ascii="Gilroy" w:hAnsi="Gilroy" w:cstheme="minorHAnsi"/>
          <w:sz w:val="22"/>
          <w:szCs w:val="22"/>
        </w:rPr>
        <w:t xml:space="preserve">ey developments in </w:t>
      </w:r>
      <w:r w:rsidR="009F5EEF">
        <w:rPr>
          <w:rFonts w:ascii="Gilroy" w:hAnsi="Gilroy" w:cstheme="minorHAnsi"/>
          <w:sz w:val="22"/>
          <w:szCs w:val="22"/>
        </w:rPr>
        <w:t>Kenya’s</w:t>
      </w:r>
      <w:r w:rsidR="00873294" w:rsidRPr="009F5EEF">
        <w:rPr>
          <w:rFonts w:ascii="Gilroy" w:hAnsi="Gilroy" w:cstheme="minorHAnsi"/>
          <w:sz w:val="22"/>
          <w:szCs w:val="22"/>
        </w:rPr>
        <w:t xml:space="preserve"> health sector</w:t>
      </w:r>
      <w:r w:rsidR="00354CA3">
        <w:rPr>
          <w:rFonts w:ascii="Gilroy" w:hAnsi="Gilroy" w:cstheme="minorHAnsi"/>
          <w:sz w:val="22"/>
          <w:szCs w:val="22"/>
        </w:rPr>
        <w:t>,</w:t>
      </w:r>
      <w:r w:rsidR="00873294" w:rsidRPr="009F5EEF">
        <w:rPr>
          <w:rFonts w:ascii="Gilroy" w:hAnsi="Gilroy" w:cstheme="minorHAnsi"/>
          <w:sz w:val="22"/>
          <w:szCs w:val="22"/>
        </w:rPr>
        <w:t xml:space="preserve"> as a result of </w:t>
      </w:r>
      <w:r>
        <w:rPr>
          <w:rFonts w:ascii="Gilroy" w:hAnsi="Gilroy" w:cstheme="minorHAnsi"/>
          <w:sz w:val="22"/>
          <w:szCs w:val="22"/>
        </w:rPr>
        <w:t xml:space="preserve">the introduction of </w:t>
      </w:r>
      <w:r w:rsidR="009F5EEF">
        <w:rPr>
          <w:rFonts w:ascii="Gilroy" w:hAnsi="Gilroy" w:cstheme="minorHAnsi"/>
          <w:sz w:val="22"/>
          <w:szCs w:val="22"/>
        </w:rPr>
        <w:t>new</w:t>
      </w:r>
      <w:r w:rsidR="00873294" w:rsidRPr="009F5EEF">
        <w:rPr>
          <w:rFonts w:ascii="Gilroy" w:hAnsi="Gilroy" w:cstheme="minorHAnsi"/>
          <w:sz w:val="22"/>
          <w:szCs w:val="22"/>
        </w:rPr>
        <w:t xml:space="preserve"> technolog</w:t>
      </w:r>
      <w:r w:rsidR="009F5EEF">
        <w:rPr>
          <w:rFonts w:ascii="Gilroy" w:hAnsi="Gilroy" w:cstheme="minorHAnsi"/>
          <w:sz w:val="22"/>
          <w:szCs w:val="22"/>
        </w:rPr>
        <w:t>ies</w:t>
      </w:r>
      <w:r w:rsidR="00873294" w:rsidRPr="009F5EEF">
        <w:rPr>
          <w:rFonts w:ascii="Gilroy" w:hAnsi="Gilroy" w:cstheme="minorHAnsi"/>
          <w:sz w:val="22"/>
          <w:szCs w:val="22"/>
        </w:rPr>
        <w:t xml:space="preserve"> </w:t>
      </w:r>
      <w:r w:rsidR="00354CA3">
        <w:rPr>
          <w:rFonts w:ascii="Gilroy" w:hAnsi="Gilroy" w:cstheme="minorHAnsi"/>
          <w:sz w:val="22"/>
          <w:szCs w:val="22"/>
        </w:rPr>
        <w:t xml:space="preserve">and </w:t>
      </w:r>
      <w:r w:rsidR="00873294" w:rsidRPr="009F5EEF">
        <w:rPr>
          <w:rFonts w:ascii="Gilroy" w:hAnsi="Gilroy" w:cstheme="minorHAnsi"/>
          <w:sz w:val="22"/>
          <w:szCs w:val="22"/>
        </w:rPr>
        <w:t>wider implications associated with our increasingly digital societies</w:t>
      </w:r>
      <w:r w:rsidR="00354CA3">
        <w:rPr>
          <w:rFonts w:ascii="Gilroy" w:hAnsi="Gilroy" w:cstheme="minorHAnsi"/>
          <w:sz w:val="22"/>
          <w:szCs w:val="22"/>
        </w:rPr>
        <w:t>,</w:t>
      </w:r>
      <w:r w:rsidR="00873294" w:rsidRPr="009F5EEF">
        <w:rPr>
          <w:rFonts w:ascii="Gilroy" w:hAnsi="Gilroy" w:cstheme="minorHAnsi"/>
          <w:sz w:val="22"/>
          <w:szCs w:val="22"/>
        </w:rPr>
        <w:t xml:space="preserve"> </w:t>
      </w:r>
      <w:r>
        <w:rPr>
          <w:rFonts w:ascii="Gilroy" w:hAnsi="Gilroy" w:cstheme="minorHAnsi"/>
          <w:sz w:val="22"/>
          <w:szCs w:val="22"/>
        </w:rPr>
        <w:t xml:space="preserve">raise </w:t>
      </w:r>
      <w:r w:rsidR="00873294" w:rsidRPr="009F5EEF">
        <w:rPr>
          <w:rFonts w:ascii="Gilroy" w:hAnsi="Gilroy" w:cstheme="minorHAnsi"/>
          <w:sz w:val="22"/>
          <w:szCs w:val="22"/>
        </w:rPr>
        <w:t xml:space="preserve">concerns </w:t>
      </w:r>
      <w:r>
        <w:rPr>
          <w:rFonts w:ascii="Gilroy" w:hAnsi="Gilroy" w:cstheme="minorHAnsi"/>
          <w:sz w:val="22"/>
          <w:szCs w:val="22"/>
        </w:rPr>
        <w:t xml:space="preserve">in relation to the enjoyment of </w:t>
      </w:r>
      <w:r w:rsidR="00873294" w:rsidRPr="009F5EEF">
        <w:rPr>
          <w:rFonts w:ascii="Gilroy" w:hAnsi="Gilroy" w:cstheme="minorHAnsi"/>
          <w:sz w:val="22"/>
          <w:szCs w:val="22"/>
        </w:rPr>
        <w:t>the right to health</w:t>
      </w:r>
      <w:r w:rsidR="00690080">
        <w:rPr>
          <w:rFonts w:ascii="Gilroy" w:hAnsi="Gilroy" w:cstheme="minorHAnsi"/>
          <w:sz w:val="22"/>
          <w:szCs w:val="22"/>
        </w:rPr>
        <w:t>.</w:t>
      </w:r>
      <w:r w:rsidR="00690080">
        <w:rPr>
          <w:rStyle w:val="FootnoteReference"/>
          <w:rFonts w:ascii="Gilroy" w:hAnsi="Gilroy" w:cstheme="minorHAnsi"/>
          <w:sz w:val="22"/>
          <w:szCs w:val="22"/>
        </w:rPr>
        <w:footnoteReference w:id="15"/>
      </w:r>
      <w:r w:rsidR="00690080">
        <w:rPr>
          <w:rFonts w:ascii="Gilroy" w:hAnsi="Gilroy" w:cstheme="minorHAnsi"/>
          <w:sz w:val="22"/>
          <w:szCs w:val="22"/>
        </w:rPr>
        <w:t xml:space="preserve"> As well as</w:t>
      </w:r>
      <w:r>
        <w:rPr>
          <w:rFonts w:ascii="Gilroy" w:hAnsi="Gilroy" w:cstheme="minorHAnsi"/>
          <w:sz w:val="22"/>
          <w:szCs w:val="22"/>
        </w:rPr>
        <w:t xml:space="preserve"> other human rights, </w:t>
      </w:r>
      <w:r w:rsidR="00873294" w:rsidRPr="009F5EEF">
        <w:rPr>
          <w:rFonts w:ascii="Gilroy" w:hAnsi="Gilroy" w:cstheme="minorHAnsi"/>
          <w:sz w:val="22"/>
          <w:szCs w:val="22"/>
        </w:rPr>
        <w:t xml:space="preserve">including the right to privacy, dignity and autonomy, and the </w:t>
      </w:r>
      <w:r w:rsidR="008A7EA7">
        <w:rPr>
          <w:rFonts w:ascii="Gilroy" w:hAnsi="Gilroy" w:cstheme="minorHAnsi"/>
          <w:sz w:val="22"/>
          <w:szCs w:val="22"/>
        </w:rPr>
        <w:t xml:space="preserve">potential discriminatory impacts on </w:t>
      </w:r>
      <w:r w:rsidR="00873294" w:rsidRPr="009F5EEF">
        <w:rPr>
          <w:rFonts w:ascii="Gilroy" w:hAnsi="Gilroy" w:cstheme="minorHAnsi"/>
          <w:sz w:val="22"/>
          <w:szCs w:val="22"/>
        </w:rPr>
        <w:t>specific communities including women, young people, persons living with HIV as well as LGBTIQ+ persons.</w:t>
      </w:r>
      <w:r w:rsidR="003732CA" w:rsidRPr="009F5EEF">
        <w:rPr>
          <w:rStyle w:val="FootnoteReference"/>
          <w:rFonts w:ascii="Gilroy" w:hAnsi="Gilroy" w:cstheme="minorHAnsi"/>
          <w:sz w:val="22"/>
          <w:szCs w:val="22"/>
        </w:rPr>
        <w:footnoteReference w:id="16"/>
      </w:r>
    </w:p>
    <w:p w14:paraId="73467BFC" w14:textId="746D5AC4" w:rsidR="00CD552B" w:rsidRPr="005A3DDC" w:rsidRDefault="0024029E" w:rsidP="005A3DDC">
      <w:pPr>
        <w:pStyle w:val="FootnoteText"/>
        <w:rPr>
          <w:rFonts w:ascii="Gilroy" w:hAnsi="Gilroy" w:cs="Calibri"/>
          <w:color w:val="000000" w:themeColor="text1"/>
          <w:sz w:val="18"/>
          <w:szCs w:val="18"/>
        </w:rPr>
      </w:pPr>
      <w:r>
        <w:rPr>
          <w:rFonts w:ascii="Gilroy" w:hAnsi="Gilroy" w:cs="Calibri"/>
          <w:color w:val="000000" w:themeColor="text1"/>
          <w:sz w:val="18"/>
          <w:szCs w:val="18"/>
        </w:rPr>
        <w:t xml:space="preserve"> </w:t>
      </w:r>
    </w:p>
    <w:p w14:paraId="720F6316" w14:textId="08044D50" w:rsidR="00CD552B" w:rsidRPr="0029685E" w:rsidRDefault="00CD552B" w:rsidP="0029685E">
      <w:pPr>
        <w:pStyle w:val="ListParagraph"/>
        <w:numPr>
          <w:ilvl w:val="0"/>
          <w:numId w:val="8"/>
        </w:numPr>
        <w:jc w:val="both"/>
        <w:rPr>
          <w:rFonts w:ascii="Gilroy" w:hAnsi="Gilroy" w:cstheme="minorHAnsi"/>
          <w:sz w:val="22"/>
          <w:szCs w:val="22"/>
        </w:rPr>
      </w:pPr>
      <w:r w:rsidRPr="0029685E">
        <w:rPr>
          <w:rFonts w:ascii="Gilroy" w:hAnsi="Gilroy" w:cstheme="minorHAnsi"/>
          <w:sz w:val="22"/>
          <w:szCs w:val="22"/>
        </w:rPr>
        <w:t xml:space="preserve">The lack of effective regulation of health data and increasing innovation and technology in the health sector </w:t>
      </w:r>
    </w:p>
    <w:p w14:paraId="53593C73" w14:textId="77777777" w:rsidR="00CD552B" w:rsidRPr="009F5EEF" w:rsidRDefault="00CD552B" w:rsidP="00CD552B">
      <w:pPr>
        <w:ind w:left="720"/>
        <w:jc w:val="both"/>
        <w:rPr>
          <w:rFonts w:ascii="Gilroy" w:hAnsi="Gilroy" w:cstheme="minorHAnsi"/>
          <w:b/>
          <w:bCs/>
          <w:sz w:val="22"/>
          <w:szCs w:val="22"/>
        </w:rPr>
      </w:pPr>
    </w:p>
    <w:p w14:paraId="3ED5AE74" w14:textId="585F26D7" w:rsidR="001627A6" w:rsidRDefault="001627A6" w:rsidP="001627A6">
      <w:pPr>
        <w:jc w:val="both"/>
        <w:rPr>
          <w:rFonts w:ascii="Gilroy" w:hAnsi="Gilroy" w:cstheme="minorHAnsi"/>
          <w:sz w:val="22"/>
          <w:szCs w:val="22"/>
        </w:rPr>
      </w:pPr>
      <w:r w:rsidRPr="009F5EEF">
        <w:rPr>
          <w:rFonts w:ascii="Gilroy" w:hAnsi="Gilroy" w:cstheme="minorHAnsi"/>
          <w:sz w:val="22"/>
          <w:szCs w:val="22"/>
        </w:rPr>
        <w:t>Kenya, like many other countries, has seen an uptake in the use and implementation of digital health technologies from patient administration and hospital billing functions to management of clinical services to outpatients and wider electronic health (e-health) and mobile (m-health) initiatives</w:t>
      </w:r>
      <w:r w:rsidR="00690080">
        <w:rPr>
          <w:rFonts w:ascii="Gilroy" w:hAnsi="Gilroy" w:cstheme="minorHAnsi"/>
          <w:sz w:val="22"/>
          <w:szCs w:val="22"/>
        </w:rPr>
        <w:t xml:space="preserve"> </w:t>
      </w:r>
      <w:r w:rsidR="00CD552B" w:rsidRPr="009F5EEF">
        <w:rPr>
          <w:rFonts w:ascii="Gilroy" w:hAnsi="Gilroy" w:cstheme="minorHAnsi"/>
          <w:sz w:val="22"/>
          <w:szCs w:val="22"/>
        </w:rPr>
        <w:t>rolled out by the Kenyan government as well by other third parties, including the private sector.</w:t>
      </w:r>
      <w:r w:rsidR="00690080">
        <w:rPr>
          <w:rStyle w:val="FootnoteReference"/>
          <w:rFonts w:ascii="Gilroy" w:hAnsi="Gilroy" w:cstheme="minorHAnsi"/>
          <w:sz w:val="22"/>
          <w:szCs w:val="22"/>
        </w:rPr>
        <w:footnoteReference w:id="17"/>
      </w:r>
      <w:r w:rsidR="00CD552B" w:rsidRPr="009F5EEF">
        <w:rPr>
          <w:rFonts w:ascii="Gilroy" w:hAnsi="Gilroy" w:cstheme="minorHAnsi"/>
          <w:sz w:val="22"/>
          <w:szCs w:val="22"/>
        </w:rPr>
        <w:t xml:space="preserve"> </w:t>
      </w:r>
    </w:p>
    <w:p w14:paraId="5B67D923" w14:textId="77777777" w:rsidR="001627A6" w:rsidRPr="009F5EEF" w:rsidRDefault="001627A6" w:rsidP="001627A6">
      <w:pPr>
        <w:jc w:val="both"/>
        <w:rPr>
          <w:rFonts w:ascii="Gilroy" w:hAnsi="Gilroy" w:cstheme="minorHAnsi"/>
          <w:sz w:val="22"/>
          <w:szCs w:val="22"/>
        </w:rPr>
      </w:pPr>
    </w:p>
    <w:p w14:paraId="4689FA63" w14:textId="3B8A88CD" w:rsidR="00EF2B0C" w:rsidRPr="009F5EEF" w:rsidRDefault="00CD552B" w:rsidP="001627A6">
      <w:pPr>
        <w:jc w:val="both"/>
        <w:rPr>
          <w:rFonts w:ascii="Gilroy" w:hAnsi="Gilroy" w:cstheme="minorHAnsi"/>
          <w:sz w:val="22"/>
          <w:szCs w:val="22"/>
        </w:rPr>
      </w:pPr>
      <w:r w:rsidRPr="009F5EEF">
        <w:rPr>
          <w:rFonts w:ascii="Gilroy" w:hAnsi="Gilroy" w:cstheme="minorHAnsi"/>
          <w:sz w:val="22"/>
          <w:szCs w:val="22"/>
        </w:rPr>
        <w:t>These have been deployed in an ineffective</w:t>
      </w:r>
      <w:r w:rsidR="005A3DDC">
        <w:rPr>
          <w:rFonts w:ascii="Gilroy" w:hAnsi="Gilroy" w:cstheme="minorHAnsi"/>
          <w:sz w:val="22"/>
          <w:szCs w:val="22"/>
        </w:rPr>
        <w:t xml:space="preserve"> and </w:t>
      </w:r>
      <w:r w:rsidRPr="009F5EEF">
        <w:rPr>
          <w:rFonts w:ascii="Gilroy" w:hAnsi="Gilroy" w:cstheme="minorHAnsi"/>
          <w:sz w:val="22"/>
          <w:szCs w:val="22"/>
        </w:rPr>
        <w:t xml:space="preserve">fragmented regulatory and legislative </w:t>
      </w:r>
      <w:r w:rsidR="008C47B5">
        <w:rPr>
          <w:rFonts w:ascii="Gilroy" w:hAnsi="Gilroy" w:cstheme="minorHAnsi"/>
          <w:sz w:val="22"/>
          <w:szCs w:val="22"/>
        </w:rPr>
        <w:t>framework</w:t>
      </w:r>
      <w:r w:rsidR="008C47B5" w:rsidRPr="009F5EEF">
        <w:rPr>
          <w:rFonts w:ascii="Gilroy" w:hAnsi="Gilroy" w:cstheme="minorHAnsi"/>
          <w:sz w:val="22"/>
          <w:szCs w:val="22"/>
        </w:rPr>
        <w:t xml:space="preserve"> </w:t>
      </w:r>
      <w:r w:rsidRPr="009F5EEF">
        <w:rPr>
          <w:rFonts w:ascii="Gilroy" w:hAnsi="Gilroy" w:cstheme="minorHAnsi"/>
          <w:sz w:val="22"/>
          <w:szCs w:val="22"/>
        </w:rPr>
        <w:t>with no specific legislation on digital health</w:t>
      </w:r>
      <w:r w:rsidR="005A3DDC">
        <w:rPr>
          <w:rFonts w:ascii="Gilroy" w:hAnsi="Gilroy" w:cstheme="minorHAnsi"/>
          <w:sz w:val="22"/>
          <w:szCs w:val="22"/>
        </w:rPr>
        <w:t xml:space="preserve">. As well as </w:t>
      </w:r>
      <w:r w:rsidRPr="009F5EEF">
        <w:rPr>
          <w:rFonts w:ascii="Gilroy" w:hAnsi="Gilroy" w:cstheme="minorHAnsi"/>
          <w:sz w:val="22"/>
          <w:szCs w:val="22"/>
        </w:rPr>
        <w:t>reports of weak enforcement of the existing Data Protection Act, 2019, in relation to regulating the processing of personal data, including health data.</w:t>
      </w:r>
      <w:r w:rsidRPr="009F5EEF">
        <w:rPr>
          <w:rStyle w:val="FootnoteReference"/>
          <w:rFonts w:ascii="Gilroy" w:eastAsiaTheme="majorEastAsia" w:hAnsi="Gilroy" w:cstheme="minorHAnsi"/>
          <w:sz w:val="22"/>
          <w:szCs w:val="22"/>
        </w:rPr>
        <w:footnoteReference w:id="18"/>
      </w:r>
      <w:r w:rsidRPr="009F5EEF">
        <w:rPr>
          <w:rFonts w:ascii="Gilroy" w:hAnsi="Gilroy" w:cstheme="minorHAnsi"/>
          <w:sz w:val="22"/>
          <w:szCs w:val="22"/>
        </w:rPr>
        <w:t xml:space="preserve"> </w:t>
      </w:r>
    </w:p>
    <w:p w14:paraId="32173800" w14:textId="77777777" w:rsidR="00A55DDC" w:rsidRPr="009F5EEF" w:rsidRDefault="00A55DDC" w:rsidP="001627A6">
      <w:pPr>
        <w:jc w:val="both"/>
        <w:rPr>
          <w:rFonts w:ascii="Gilroy" w:hAnsi="Gilroy" w:cstheme="minorHAnsi"/>
          <w:sz w:val="22"/>
          <w:szCs w:val="22"/>
        </w:rPr>
      </w:pPr>
    </w:p>
    <w:p w14:paraId="5776D340" w14:textId="5561F9F2" w:rsidR="00EF2B0C" w:rsidRPr="00354CA3" w:rsidRDefault="00CD552B" w:rsidP="00A55DDC">
      <w:pPr>
        <w:jc w:val="both"/>
        <w:rPr>
          <w:rFonts w:ascii="Gilroy" w:hAnsi="Gilroy" w:cstheme="minorHAnsi"/>
          <w:b/>
          <w:bCs/>
          <w:sz w:val="22"/>
          <w:szCs w:val="22"/>
        </w:rPr>
      </w:pPr>
      <w:r w:rsidRPr="009F5EEF">
        <w:rPr>
          <w:rFonts w:ascii="Gilroy" w:hAnsi="Gilroy" w:cstheme="minorHAnsi"/>
          <w:sz w:val="22"/>
          <w:szCs w:val="22"/>
        </w:rPr>
        <w:t xml:space="preserve">As a result, </w:t>
      </w:r>
      <w:r w:rsidR="009F5EEF">
        <w:rPr>
          <w:rFonts w:ascii="Gilroy" w:hAnsi="Gilroy" w:cstheme="minorHAnsi"/>
          <w:sz w:val="22"/>
          <w:szCs w:val="22"/>
        </w:rPr>
        <w:t>civil society organisations</w:t>
      </w:r>
      <w:r w:rsidRPr="009F5EEF">
        <w:rPr>
          <w:rFonts w:ascii="Gilroy" w:hAnsi="Gilroy" w:cstheme="minorHAnsi"/>
          <w:sz w:val="22"/>
          <w:szCs w:val="22"/>
        </w:rPr>
        <w:t xml:space="preserve"> in Kenya have called for the urgent need to effectively regulate the digital health sector to ensure people and their data are protected</w:t>
      </w:r>
      <w:r w:rsidR="00690080">
        <w:rPr>
          <w:rFonts w:ascii="Gilroy" w:hAnsi="Gilroy" w:cstheme="minorHAnsi"/>
          <w:sz w:val="22"/>
          <w:szCs w:val="22"/>
        </w:rPr>
        <w:t>.</w:t>
      </w:r>
      <w:r w:rsidRPr="009F5EEF">
        <w:rPr>
          <w:rFonts w:ascii="Gilroy" w:hAnsi="Gilroy" w:cstheme="minorHAnsi"/>
          <w:sz w:val="22"/>
          <w:szCs w:val="22"/>
          <w:vertAlign w:val="superscript"/>
        </w:rPr>
        <w:footnoteReference w:id="19"/>
      </w:r>
      <w:r w:rsidR="009F5EEF">
        <w:rPr>
          <w:rFonts w:ascii="Gilroy" w:hAnsi="Gilroy" w:cstheme="minorHAnsi"/>
          <w:sz w:val="22"/>
          <w:szCs w:val="22"/>
        </w:rPr>
        <w:t xml:space="preserve"> T</w:t>
      </w:r>
      <w:r w:rsidR="00EF2B0C" w:rsidRPr="009F5EEF">
        <w:rPr>
          <w:rFonts w:ascii="Gilroy" w:hAnsi="Gilroy" w:cstheme="minorHAnsi"/>
          <w:sz w:val="22"/>
          <w:szCs w:val="22"/>
        </w:rPr>
        <w:t>he Digital Health Act (2023) was welcomed</w:t>
      </w:r>
      <w:r w:rsidR="009F5EEF">
        <w:rPr>
          <w:rFonts w:ascii="Gilroy" w:hAnsi="Gilroy" w:cstheme="minorHAnsi"/>
          <w:sz w:val="22"/>
          <w:szCs w:val="22"/>
        </w:rPr>
        <w:t xml:space="preserve"> </w:t>
      </w:r>
      <w:r w:rsidR="009F5EEF" w:rsidRPr="009F5EEF">
        <w:rPr>
          <w:rFonts w:ascii="Gilroy" w:hAnsi="Gilroy" w:cstheme="minorHAnsi"/>
          <w:sz w:val="22"/>
          <w:szCs w:val="22"/>
        </w:rPr>
        <w:t>given the urgency to address the fragmented policy landscape</w:t>
      </w:r>
      <w:r w:rsidR="00EF2B0C" w:rsidRPr="009F5EEF">
        <w:rPr>
          <w:rFonts w:ascii="Gilroy" w:hAnsi="Gilroy" w:cstheme="minorHAnsi"/>
          <w:sz w:val="22"/>
          <w:szCs w:val="22"/>
        </w:rPr>
        <w:t xml:space="preserve"> despite some remaining shortcomings in the text</w:t>
      </w:r>
      <w:r w:rsidR="009F5EEF">
        <w:rPr>
          <w:rFonts w:ascii="Gilroy" w:hAnsi="Gilroy" w:cstheme="minorHAnsi"/>
          <w:sz w:val="22"/>
          <w:szCs w:val="22"/>
        </w:rPr>
        <w:t>.</w:t>
      </w:r>
      <w:r w:rsidR="00EF2B0C" w:rsidRPr="009F5EEF">
        <w:rPr>
          <w:rFonts w:ascii="Gilroy" w:hAnsi="Gilroy" w:cstheme="minorHAnsi"/>
          <w:sz w:val="22"/>
          <w:szCs w:val="22"/>
          <w:vertAlign w:val="superscript"/>
        </w:rPr>
        <w:footnoteReference w:id="20"/>
      </w:r>
      <w:r w:rsidR="00EF2B0C" w:rsidRPr="009F5EEF">
        <w:rPr>
          <w:rFonts w:ascii="Gilroy" w:hAnsi="Gilroy" w:cstheme="minorHAnsi"/>
          <w:sz w:val="22"/>
          <w:szCs w:val="22"/>
        </w:rPr>
        <w:t xml:space="preserve"> </w:t>
      </w:r>
      <w:r w:rsidR="00354CA3">
        <w:rPr>
          <w:rFonts w:ascii="Gilroy" w:hAnsi="Gilroy" w:cstheme="minorHAnsi"/>
          <w:b/>
          <w:bCs/>
          <w:sz w:val="22"/>
          <w:szCs w:val="22"/>
        </w:rPr>
        <w:t xml:space="preserve"> </w:t>
      </w:r>
      <w:r w:rsidRPr="009F5EEF">
        <w:rPr>
          <w:rFonts w:ascii="Gilroy" w:hAnsi="Gilroy" w:cstheme="minorHAnsi"/>
          <w:sz w:val="22"/>
          <w:szCs w:val="22"/>
        </w:rPr>
        <w:t>However, in July 2024 the Act was deemed unconstitutional by the Kenyan High Court for lack of adequate public participation, and it ordered Parliament to undertake an adequate, reasonable, sufficient and inclusive public participation as well as undertake a wider sensitization on the law itself before enacting it.</w:t>
      </w:r>
      <w:r w:rsidRPr="009F5EEF">
        <w:rPr>
          <w:rFonts w:ascii="Gilroy" w:hAnsi="Gilroy" w:cstheme="minorHAnsi"/>
          <w:sz w:val="22"/>
          <w:szCs w:val="22"/>
          <w:vertAlign w:val="superscript"/>
        </w:rPr>
        <w:footnoteReference w:id="21"/>
      </w:r>
      <w:r w:rsidRPr="009F5EEF">
        <w:rPr>
          <w:rFonts w:ascii="Gilroy" w:hAnsi="Gilroy" w:cstheme="minorHAnsi"/>
          <w:sz w:val="22"/>
          <w:szCs w:val="22"/>
        </w:rPr>
        <w:t xml:space="preserve"> </w:t>
      </w:r>
      <w:r w:rsidR="008C47B5">
        <w:rPr>
          <w:rFonts w:ascii="Gilroy" w:hAnsi="Gilroy" w:cstheme="minorHAnsi"/>
          <w:sz w:val="22"/>
          <w:szCs w:val="22"/>
        </w:rPr>
        <w:t xml:space="preserve">As a result, Kenya’s legislative framework on digital health remains unsatisfactory, a concern compounded by the poor </w:t>
      </w:r>
      <w:r w:rsidRPr="009F5EEF">
        <w:rPr>
          <w:rFonts w:ascii="Gilroy" w:hAnsi="Gilroy" w:cstheme="minorHAnsi"/>
          <w:sz w:val="22"/>
          <w:szCs w:val="22"/>
        </w:rPr>
        <w:t>implementation of the Data Protection Act (2019) by actors deploying digital health initiatives, including the private sector.</w:t>
      </w:r>
      <w:r w:rsidRPr="009F5EEF">
        <w:rPr>
          <w:rFonts w:ascii="Gilroy" w:hAnsi="Gilroy" w:cstheme="minorHAnsi"/>
          <w:sz w:val="22"/>
          <w:szCs w:val="22"/>
          <w:vertAlign w:val="superscript"/>
        </w:rPr>
        <w:footnoteReference w:id="22"/>
      </w:r>
      <w:r w:rsidRPr="009F5EEF">
        <w:rPr>
          <w:rFonts w:ascii="Gilroy" w:hAnsi="Gilroy" w:cstheme="minorHAnsi"/>
          <w:sz w:val="22"/>
          <w:szCs w:val="22"/>
        </w:rPr>
        <w:t xml:space="preserve"> </w:t>
      </w:r>
    </w:p>
    <w:p w14:paraId="1AAC06C4" w14:textId="77777777" w:rsidR="00D10837" w:rsidRPr="00C602C6" w:rsidRDefault="00D10837" w:rsidP="00CD552B">
      <w:pPr>
        <w:jc w:val="both"/>
        <w:rPr>
          <w:rFonts w:ascii="Gilroy" w:hAnsi="Gilroy" w:cstheme="minorHAnsi"/>
          <w:i/>
          <w:iCs/>
          <w:sz w:val="22"/>
          <w:szCs w:val="22"/>
        </w:rPr>
      </w:pPr>
    </w:p>
    <w:p w14:paraId="7880BB7F" w14:textId="50089E20" w:rsidR="00D10837" w:rsidRPr="0029685E" w:rsidRDefault="00D10837" w:rsidP="0029685E">
      <w:pPr>
        <w:pStyle w:val="ListParagraph"/>
        <w:numPr>
          <w:ilvl w:val="0"/>
          <w:numId w:val="8"/>
        </w:numPr>
        <w:jc w:val="both"/>
        <w:rPr>
          <w:rFonts w:ascii="Gilroy" w:hAnsi="Gilroy" w:cstheme="minorHAnsi"/>
          <w:sz w:val="22"/>
          <w:szCs w:val="22"/>
        </w:rPr>
      </w:pPr>
      <w:r w:rsidRPr="0029685E">
        <w:rPr>
          <w:rFonts w:ascii="Gilroy" w:hAnsi="Gilroy" w:cstheme="minorHAnsi"/>
          <w:sz w:val="22"/>
          <w:szCs w:val="22"/>
        </w:rPr>
        <w:t>Ensuring availability, accessibility, acceptability and quality</w:t>
      </w:r>
      <w:r w:rsidR="00620794">
        <w:rPr>
          <w:rFonts w:ascii="Gilroy" w:hAnsi="Gilroy" w:cstheme="minorHAnsi"/>
          <w:sz w:val="22"/>
          <w:szCs w:val="22"/>
        </w:rPr>
        <w:t xml:space="preserve"> of health services mediated by digital technologies</w:t>
      </w:r>
    </w:p>
    <w:p w14:paraId="02082B93" w14:textId="77777777" w:rsidR="00D10837" w:rsidRPr="009F5EEF" w:rsidRDefault="00D10837" w:rsidP="00D10837">
      <w:pPr>
        <w:jc w:val="both"/>
        <w:rPr>
          <w:rFonts w:ascii="Gilroy" w:hAnsi="Gilroy" w:cstheme="minorHAnsi"/>
          <w:b/>
          <w:bCs/>
          <w:sz w:val="22"/>
          <w:szCs w:val="22"/>
        </w:rPr>
      </w:pPr>
    </w:p>
    <w:p w14:paraId="7D62DB1D" w14:textId="463E316B" w:rsidR="00026C91" w:rsidRPr="009F5EEF" w:rsidRDefault="00620794" w:rsidP="00D10837">
      <w:pPr>
        <w:jc w:val="both"/>
        <w:rPr>
          <w:rFonts w:ascii="Gilroy" w:hAnsi="Gilroy" w:cstheme="minorHAnsi"/>
          <w:sz w:val="22"/>
          <w:szCs w:val="22"/>
        </w:rPr>
      </w:pPr>
      <w:r>
        <w:rPr>
          <w:rFonts w:ascii="Gilroy" w:hAnsi="Gilroy" w:cstheme="minorHAnsi"/>
          <w:sz w:val="22"/>
          <w:szCs w:val="22"/>
        </w:rPr>
        <w:t>T</w:t>
      </w:r>
      <w:r w:rsidR="001627A6" w:rsidRPr="009F5EEF">
        <w:rPr>
          <w:rFonts w:ascii="Gilroy" w:hAnsi="Gilroy" w:cstheme="minorHAnsi"/>
          <w:sz w:val="22"/>
          <w:szCs w:val="22"/>
        </w:rPr>
        <w:t>he deployment of new technologies in the health sector</w:t>
      </w:r>
      <w:r>
        <w:rPr>
          <w:rFonts w:ascii="Gilroy" w:hAnsi="Gilroy" w:cstheme="minorHAnsi"/>
          <w:sz w:val="22"/>
          <w:szCs w:val="22"/>
        </w:rPr>
        <w:t xml:space="preserve"> in Kenya</w:t>
      </w:r>
      <w:r w:rsidR="001627A6" w:rsidRPr="009F5EEF">
        <w:rPr>
          <w:rFonts w:ascii="Gilroy" w:hAnsi="Gilroy" w:cstheme="minorHAnsi"/>
          <w:sz w:val="22"/>
          <w:szCs w:val="22"/>
        </w:rPr>
        <w:t xml:space="preserve"> </w:t>
      </w:r>
      <w:r>
        <w:rPr>
          <w:rFonts w:ascii="Gilroy" w:hAnsi="Gilroy" w:cstheme="minorHAnsi"/>
          <w:sz w:val="22"/>
          <w:szCs w:val="22"/>
        </w:rPr>
        <w:t>has raised some concerns relat</w:t>
      </w:r>
      <w:r w:rsidR="005A3DDC">
        <w:rPr>
          <w:rFonts w:ascii="Gilroy" w:hAnsi="Gilroy" w:cstheme="minorHAnsi"/>
          <w:sz w:val="22"/>
          <w:szCs w:val="22"/>
        </w:rPr>
        <w:t>ing</w:t>
      </w:r>
      <w:r>
        <w:rPr>
          <w:rFonts w:ascii="Gilroy" w:hAnsi="Gilroy" w:cstheme="minorHAnsi"/>
          <w:sz w:val="22"/>
          <w:szCs w:val="22"/>
        </w:rPr>
        <w:t xml:space="preserve"> to </w:t>
      </w:r>
      <w:r w:rsidR="001627A6" w:rsidRPr="009F5EEF">
        <w:rPr>
          <w:rFonts w:ascii="Gilroy" w:hAnsi="Gilroy" w:cstheme="minorHAnsi"/>
          <w:sz w:val="22"/>
          <w:szCs w:val="22"/>
        </w:rPr>
        <w:t xml:space="preserve">the availability, accessibility, and quality of </w:t>
      </w:r>
      <w:r>
        <w:rPr>
          <w:rFonts w:ascii="Gilroy" w:hAnsi="Gilroy" w:cstheme="minorHAnsi"/>
          <w:sz w:val="22"/>
          <w:szCs w:val="22"/>
        </w:rPr>
        <w:t xml:space="preserve">health </w:t>
      </w:r>
      <w:r w:rsidR="001627A6" w:rsidRPr="009F5EEF">
        <w:rPr>
          <w:rFonts w:ascii="Gilroy" w:hAnsi="Gilroy" w:cstheme="minorHAnsi"/>
          <w:sz w:val="22"/>
          <w:szCs w:val="22"/>
        </w:rPr>
        <w:t>care provided by States</w:t>
      </w:r>
      <w:r w:rsidR="00A55DDC" w:rsidRPr="009F5EEF">
        <w:rPr>
          <w:rFonts w:ascii="Gilroy" w:hAnsi="Gilroy" w:cstheme="minorHAnsi"/>
          <w:sz w:val="22"/>
          <w:szCs w:val="22"/>
        </w:rPr>
        <w:t xml:space="preserve"> as well as to ensuring that access is safe and secure and does not expose those seeking healthcare</w:t>
      </w:r>
      <w:r w:rsidR="005A3DDC">
        <w:rPr>
          <w:rFonts w:ascii="Gilroy" w:hAnsi="Gilroy" w:cstheme="minorHAnsi"/>
          <w:sz w:val="22"/>
          <w:szCs w:val="22"/>
        </w:rPr>
        <w:t xml:space="preserve"> to harm</w:t>
      </w:r>
      <w:r w:rsidR="00A55DDC" w:rsidRPr="009F5EEF">
        <w:rPr>
          <w:rFonts w:ascii="Gilroy" w:hAnsi="Gilroy" w:cstheme="minorHAnsi"/>
          <w:sz w:val="22"/>
          <w:szCs w:val="22"/>
        </w:rPr>
        <w:t xml:space="preserve">, </w:t>
      </w:r>
      <w:r w:rsidR="00C45675" w:rsidRPr="009F5EEF">
        <w:rPr>
          <w:rFonts w:ascii="Gilroy" w:hAnsi="Gilroy" w:cstheme="minorHAnsi"/>
          <w:sz w:val="22"/>
          <w:szCs w:val="22"/>
        </w:rPr>
        <w:t>particularly</w:t>
      </w:r>
      <w:r w:rsidR="00A55DDC" w:rsidRPr="009F5EEF">
        <w:rPr>
          <w:rFonts w:ascii="Gilroy" w:hAnsi="Gilroy" w:cstheme="minorHAnsi"/>
          <w:sz w:val="22"/>
          <w:szCs w:val="22"/>
        </w:rPr>
        <w:t xml:space="preserve"> those already marginalised, </w:t>
      </w:r>
      <w:proofErr w:type="spellStart"/>
      <w:r w:rsidR="00A55DDC" w:rsidRPr="009F5EEF">
        <w:rPr>
          <w:rFonts w:ascii="Gilroy" w:hAnsi="Gilroy" w:cstheme="minorHAnsi"/>
          <w:sz w:val="22"/>
          <w:szCs w:val="22"/>
        </w:rPr>
        <w:t>surveilled</w:t>
      </w:r>
      <w:proofErr w:type="spellEnd"/>
      <w:r w:rsidR="00A55DDC" w:rsidRPr="009F5EEF">
        <w:rPr>
          <w:rFonts w:ascii="Gilroy" w:hAnsi="Gilroy" w:cstheme="minorHAnsi"/>
          <w:sz w:val="22"/>
          <w:szCs w:val="22"/>
        </w:rPr>
        <w:t xml:space="preserve"> and criminalised.</w:t>
      </w:r>
      <w:r w:rsidR="00A55DDC" w:rsidRPr="009F5EEF">
        <w:rPr>
          <w:rStyle w:val="FootnoteReference"/>
          <w:rFonts w:ascii="Gilroy" w:hAnsi="Gilroy" w:cstheme="minorHAnsi"/>
          <w:sz w:val="22"/>
          <w:szCs w:val="22"/>
        </w:rPr>
        <w:t xml:space="preserve"> </w:t>
      </w:r>
      <w:r w:rsidR="00A55DDC" w:rsidRPr="009F5EEF">
        <w:rPr>
          <w:rStyle w:val="FootnoteReference"/>
          <w:rFonts w:ascii="Gilroy" w:hAnsi="Gilroy" w:cstheme="minorHAnsi"/>
          <w:sz w:val="22"/>
          <w:szCs w:val="22"/>
        </w:rPr>
        <w:footnoteReference w:id="23"/>
      </w:r>
      <w:r w:rsidR="00A55DDC" w:rsidRPr="009F5EEF">
        <w:rPr>
          <w:rFonts w:ascii="Gilroy" w:hAnsi="Gilroy" w:cstheme="minorHAnsi"/>
          <w:sz w:val="22"/>
          <w:szCs w:val="22"/>
        </w:rPr>
        <w:t xml:space="preserve"> </w:t>
      </w:r>
    </w:p>
    <w:p w14:paraId="5385F56E" w14:textId="77777777" w:rsidR="00026C91" w:rsidRPr="009F5EEF" w:rsidRDefault="00026C91" w:rsidP="00D10837">
      <w:pPr>
        <w:jc w:val="both"/>
        <w:rPr>
          <w:rFonts w:ascii="Gilroy" w:hAnsi="Gilroy" w:cstheme="minorHAnsi"/>
          <w:b/>
          <w:bCs/>
          <w:sz w:val="22"/>
          <w:szCs w:val="22"/>
        </w:rPr>
      </w:pPr>
    </w:p>
    <w:p w14:paraId="026CF6A1" w14:textId="6E31E5D8" w:rsidR="00B8212A" w:rsidRPr="009F5EEF" w:rsidRDefault="00B8212A" w:rsidP="00B8212A">
      <w:pPr>
        <w:jc w:val="both"/>
        <w:rPr>
          <w:rFonts w:ascii="Gilroy" w:hAnsi="Gilroy" w:cstheme="minorHAnsi"/>
          <w:b/>
          <w:bCs/>
          <w:sz w:val="22"/>
          <w:szCs w:val="22"/>
        </w:rPr>
      </w:pPr>
      <w:r w:rsidRPr="009F5EEF">
        <w:rPr>
          <w:rFonts w:ascii="Gilroy" w:hAnsi="Gilroy" w:cstheme="minorHAnsi"/>
          <w:b/>
          <w:bCs/>
          <w:i/>
          <w:iCs/>
          <w:sz w:val="22"/>
          <w:szCs w:val="22"/>
        </w:rPr>
        <w:t>Proliferation of private sector health apps</w:t>
      </w:r>
      <w:r w:rsidR="00620794">
        <w:rPr>
          <w:rFonts w:ascii="Gilroy" w:hAnsi="Gilroy" w:cstheme="minorHAnsi"/>
          <w:b/>
          <w:bCs/>
          <w:sz w:val="22"/>
          <w:szCs w:val="22"/>
        </w:rPr>
        <w:t xml:space="preserve"> -</w:t>
      </w:r>
      <w:r w:rsidRPr="009F5EEF">
        <w:rPr>
          <w:rFonts w:ascii="Gilroy" w:hAnsi="Gilroy" w:cstheme="minorHAnsi"/>
          <w:b/>
          <w:bCs/>
          <w:sz w:val="22"/>
          <w:szCs w:val="22"/>
        </w:rPr>
        <w:t xml:space="preserve"> </w:t>
      </w:r>
      <w:r w:rsidRPr="009F5EEF">
        <w:rPr>
          <w:rFonts w:ascii="Gilroy" w:hAnsi="Gilroy" w:cstheme="minorHAnsi"/>
          <w:sz w:val="22"/>
          <w:szCs w:val="22"/>
        </w:rPr>
        <w:t>Kenya has seen significant uptake and deployment of health apps. In 2023 it was reported that at least 180 health apps were operating in Kenya.</w:t>
      </w:r>
      <w:r w:rsidRPr="009F5EEF">
        <w:rPr>
          <w:rFonts w:ascii="Gilroy" w:hAnsi="Gilroy" w:cstheme="minorHAnsi"/>
          <w:sz w:val="22"/>
          <w:szCs w:val="22"/>
          <w:vertAlign w:val="superscript"/>
        </w:rPr>
        <w:footnoteReference w:id="24"/>
      </w:r>
      <w:r w:rsidRPr="009F5EEF">
        <w:rPr>
          <w:rFonts w:ascii="Gilroy" w:hAnsi="Gilroy" w:cstheme="minorHAnsi"/>
          <w:sz w:val="22"/>
          <w:szCs w:val="22"/>
        </w:rPr>
        <w:t xml:space="preserve">  However, concerns have been raised as to how these </w:t>
      </w:r>
      <w:r w:rsidR="002B1F91">
        <w:rPr>
          <w:rFonts w:ascii="Gilroy" w:hAnsi="Gilroy" w:cstheme="minorHAnsi"/>
          <w:sz w:val="22"/>
          <w:szCs w:val="22"/>
        </w:rPr>
        <w:t xml:space="preserve">apps </w:t>
      </w:r>
      <w:r w:rsidRPr="009F5EEF">
        <w:rPr>
          <w:rFonts w:ascii="Gilroy" w:hAnsi="Gilroy" w:cstheme="minorHAnsi"/>
          <w:sz w:val="22"/>
          <w:szCs w:val="22"/>
        </w:rPr>
        <w:t>are being deployed by startups and other private sector actors</w:t>
      </w:r>
      <w:r w:rsidR="0025168A">
        <w:rPr>
          <w:rFonts w:ascii="Gilroy" w:hAnsi="Gilroy" w:cstheme="minorHAnsi"/>
          <w:sz w:val="22"/>
          <w:szCs w:val="22"/>
        </w:rPr>
        <w:t>,</w:t>
      </w:r>
      <w:r w:rsidRPr="009F5EEF">
        <w:rPr>
          <w:rFonts w:ascii="Gilroy" w:hAnsi="Gilroy" w:cstheme="minorHAnsi"/>
          <w:sz w:val="22"/>
          <w:szCs w:val="22"/>
        </w:rPr>
        <w:t xml:space="preserve"> and the implications for users and their rights given the weak enforcement of the Data Protection Act, a</w:t>
      </w:r>
      <w:r w:rsidR="005A3DDC">
        <w:rPr>
          <w:rFonts w:ascii="Gilroy" w:hAnsi="Gilroy" w:cstheme="minorHAnsi"/>
          <w:sz w:val="22"/>
          <w:szCs w:val="22"/>
        </w:rPr>
        <w:t xml:space="preserve">longside </w:t>
      </w:r>
      <w:r w:rsidRPr="009F5EEF">
        <w:rPr>
          <w:rFonts w:ascii="Gilroy" w:hAnsi="Gilroy" w:cstheme="minorHAnsi"/>
          <w:sz w:val="22"/>
          <w:szCs w:val="22"/>
        </w:rPr>
        <w:t xml:space="preserve">the fragmented regulatory regime as highlighted above </w:t>
      </w:r>
      <w:r w:rsidR="0025168A">
        <w:rPr>
          <w:rFonts w:ascii="Gilroy" w:hAnsi="Gilroy" w:cstheme="minorHAnsi"/>
          <w:sz w:val="22"/>
          <w:szCs w:val="22"/>
        </w:rPr>
        <w:t>concerning</w:t>
      </w:r>
      <w:r w:rsidRPr="009F5EEF">
        <w:rPr>
          <w:rFonts w:ascii="Gilroy" w:hAnsi="Gilroy" w:cstheme="minorHAnsi"/>
          <w:sz w:val="22"/>
          <w:szCs w:val="22"/>
        </w:rPr>
        <w:t xml:space="preserve"> digital health.</w:t>
      </w:r>
      <w:r w:rsidRPr="009F5EEF">
        <w:rPr>
          <w:rFonts w:ascii="Gilroy" w:hAnsi="Gilroy" w:cstheme="minorHAnsi"/>
          <w:sz w:val="22"/>
          <w:szCs w:val="22"/>
          <w:vertAlign w:val="superscript"/>
        </w:rPr>
        <w:footnoteReference w:id="25"/>
      </w:r>
    </w:p>
    <w:p w14:paraId="22E581EA" w14:textId="77777777" w:rsidR="00B8212A" w:rsidRPr="009F5EEF" w:rsidRDefault="00B8212A" w:rsidP="00B8212A">
      <w:pPr>
        <w:jc w:val="both"/>
        <w:rPr>
          <w:rFonts w:ascii="Gilroy" w:hAnsi="Gilroy" w:cstheme="minorHAnsi"/>
          <w:sz w:val="22"/>
          <w:szCs w:val="22"/>
        </w:rPr>
      </w:pPr>
    </w:p>
    <w:p w14:paraId="59B5AAA0" w14:textId="279190D9" w:rsidR="00B8212A" w:rsidRPr="009F5EEF" w:rsidRDefault="00B8212A" w:rsidP="003919D7">
      <w:pPr>
        <w:jc w:val="both"/>
        <w:rPr>
          <w:rFonts w:ascii="Gilroy" w:hAnsi="Gilroy" w:cstheme="minorHAnsi"/>
          <w:sz w:val="22"/>
          <w:szCs w:val="22"/>
        </w:rPr>
      </w:pPr>
      <w:r w:rsidRPr="009F5EEF">
        <w:rPr>
          <w:rFonts w:ascii="Gilroy" w:hAnsi="Gilroy" w:cstheme="minorHAnsi"/>
          <w:sz w:val="22"/>
          <w:szCs w:val="22"/>
        </w:rPr>
        <w:t xml:space="preserve">Research by DHPR in Kenya has shown that young people </w:t>
      </w:r>
      <w:r w:rsidR="0025168A">
        <w:rPr>
          <w:rFonts w:ascii="Gilroy" w:hAnsi="Gilroy" w:cstheme="minorHAnsi"/>
          <w:sz w:val="22"/>
          <w:szCs w:val="22"/>
        </w:rPr>
        <w:t xml:space="preserve">raised concerns </w:t>
      </w:r>
      <w:r w:rsidRPr="009F5EEF">
        <w:rPr>
          <w:rFonts w:ascii="Gilroy" w:hAnsi="Gilroy" w:cstheme="minorHAnsi"/>
          <w:sz w:val="22"/>
          <w:szCs w:val="22"/>
        </w:rPr>
        <w:t xml:space="preserve">about </w:t>
      </w:r>
      <w:r w:rsidR="003919D7">
        <w:rPr>
          <w:rFonts w:ascii="Gilroy" w:hAnsi="Gilroy" w:cstheme="minorHAnsi"/>
          <w:sz w:val="22"/>
          <w:szCs w:val="22"/>
        </w:rPr>
        <w:t xml:space="preserve">private actors </w:t>
      </w:r>
      <w:r w:rsidRPr="009F5EEF">
        <w:rPr>
          <w:rFonts w:ascii="Gilroy" w:hAnsi="Gilroy" w:cstheme="minorHAnsi"/>
          <w:sz w:val="22"/>
          <w:szCs w:val="22"/>
        </w:rPr>
        <w:t>having access to information about them.</w:t>
      </w:r>
      <w:r w:rsidRPr="009F5EEF">
        <w:rPr>
          <w:rStyle w:val="FootnoteReference"/>
          <w:rFonts w:ascii="Gilroy" w:eastAsiaTheme="majorEastAsia" w:hAnsi="Gilroy" w:cstheme="minorHAnsi"/>
          <w:sz w:val="22"/>
          <w:szCs w:val="22"/>
        </w:rPr>
        <w:footnoteReference w:id="26"/>
      </w:r>
      <w:r w:rsidRPr="009F5EEF">
        <w:rPr>
          <w:rFonts w:ascii="Gilroy" w:hAnsi="Gilroy" w:cstheme="minorHAnsi"/>
          <w:sz w:val="22"/>
          <w:szCs w:val="22"/>
        </w:rPr>
        <w:t xml:space="preserve"> </w:t>
      </w:r>
      <w:r w:rsidR="003919D7" w:rsidRPr="003919D7">
        <w:rPr>
          <w:rFonts w:ascii="Gilroy" w:hAnsi="Gilroy" w:cstheme="minorHAnsi"/>
          <w:sz w:val="22"/>
          <w:szCs w:val="22"/>
        </w:rPr>
        <w:t>They</w:t>
      </w:r>
      <w:r w:rsidR="003919D7">
        <w:rPr>
          <w:rFonts w:ascii="Gilroy" w:hAnsi="Gilroy" w:cstheme="minorHAnsi"/>
          <w:sz w:val="22"/>
          <w:szCs w:val="22"/>
        </w:rPr>
        <w:t xml:space="preserve"> </w:t>
      </w:r>
      <w:r w:rsidR="003919D7" w:rsidRPr="003919D7">
        <w:rPr>
          <w:rFonts w:ascii="Gilroy" w:hAnsi="Gilroy" w:cstheme="minorHAnsi"/>
          <w:sz w:val="22"/>
          <w:szCs w:val="22"/>
        </w:rPr>
        <w:t>expressed a lack of clarity over how their data was processed and stored.</w:t>
      </w:r>
      <w:r w:rsidR="003919D7">
        <w:rPr>
          <w:rFonts w:ascii="Gilroy" w:hAnsi="Gilroy" w:cstheme="minorHAnsi"/>
          <w:sz w:val="22"/>
          <w:szCs w:val="22"/>
        </w:rPr>
        <w:t xml:space="preserve"> Furthermore, i</w:t>
      </w:r>
      <w:r w:rsidR="003919D7" w:rsidRPr="003919D7">
        <w:rPr>
          <w:rFonts w:ascii="Gilroy" w:hAnsi="Gilroy" w:cstheme="minorHAnsi"/>
          <w:sz w:val="22"/>
          <w:szCs w:val="22"/>
        </w:rPr>
        <w:t>n Kenya and Ghana, where abortion is restricted by law, young women asked focus group</w:t>
      </w:r>
      <w:r w:rsidR="003919D7">
        <w:rPr>
          <w:rFonts w:ascii="Gilroy" w:hAnsi="Gilroy" w:cstheme="minorHAnsi"/>
          <w:sz w:val="22"/>
          <w:szCs w:val="22"/>
        </w:rPr>
        <w:t xml:space="preserve"> </w:t>
      </w:r>
      <w:r w:rsidR="003919D7" w:rsidRPr="003919D7">
        <w:rPr>
          <w:rFonts w:ascii="Gilroy" w:hAnsi="Gilroy" w:cstheme="minorHAnsi"/>
          <w:sz w:val="22"/>
          <w:szCs w:val="22"/>
        </w:rPr>
        <w:t>facilitators whether their searches for information about abortion could lead to either menstrual</w:t>
      </w:r>
      <w:r w:rsidR="003919D7">
        <w:rPr>
          <w:rFonts w:ascii="Gilroy" w:hAnsi="Gilroy" w:cstheme="minorHAnsi"/>
          <w:sz w:val="22"/>
          <w:szCs w:val="22"/>
        </w:rPr>
        <w:t xml:space="preserve"> </w:t>
      </w:r>
      <w:r w:rsidR="003919D7" w:rsidRPr="003919D7">
        <w:rPr>
          <w:rFonts w:ascii="Gilroy" w:hAnsi="Gilroy" w:cstheme="minorHAnsi"/>
          <w:sz w:val="22"/>
          <w:szCs w:val="22"/>
        </w:rPr>
        <w:t>tracking apps or hostile organi</w:t>
      </w:r>
      <w:r w:rsidR="003919D7">
        <w:rPr>
          <w:rFonts w:ascii="Gilroy" w:hAnsi="Gilroy" w:cstheme="minorHAnsi"/>
          <w:sz w:val="22"/>
          <w:szCs w:val="22"/>
        </w:rPr>
        <w:t>s</w:t>
      </w:r>
      <w:r w:rsidR="003919D7" w:rsidRPr="003919D7">
        <w:rPr>
          <w:rFonts w:ascii="Gilroy" w:hAnsi="Gilroy" w:cstheme="minorHAnsi"/>
          <w:sz w:val="22"/>
          <w:szCs w:val="22"/>
        </w:rPr>
        <w:t>ations obtaining personal data and sharing it with the police.</w:t>
      </w:r>
      <w:r w:rsidR="003919D7">
        <w:rPr>
          <w:rStyle w:val="FootnoteReference"/>
          <w:rFonts w:ascii="Gilroy" w:hAnsi="Gilroy" w:cstheme="minorHAnsi"/>
          <w:sz w:val="22"/>
          <w:szCs w:val="22"/>
        </w:rPr>
        <w:footnoteReference w:id="27"/>
      </w:r>
    </w:p>
    <w:p w14:paraId="295F93F1" w14:textId="77777777" w:rsidR="00B8212A" w:rsidRPr="009F5EEF" w:rsidRDefault="00B8212A" w:rsidP="00B8212A">
      <w:pPr>
        <w:ind w:left="720"/>
        <w:jc w:val="both"/>
        <w:rPr>
          <w:rFonts w:ascii="Gilroy" w:hAnsi="Gilroy" w:cstheme="minorHAnsi"/>
          <w:sz w:val="22"/>
          <w:szCs w:val="22"/>
        </w:rPr>
      </w:pPr>
    </w:p>
    <w:p w14:paraId="27BCABF4" w14:textId="07A8DC6D" w:rsidR="00B8212A" w:rsidRDefault="00B8212A" w:rsidP="00B8212A">
      <w:pPr>
        <w:jc w:val="both"/>
        <w:rPr>
          <w:rFonts w:ascii="Gilroy" w:hAnsi="Gilroy" w:cstheme="minorHAnsi"/>
          <w:sz w:val="22"/>
          <w:szCs w:val="22"/>
          <w:vertAlign w:val="superscript"/>
        </w:rPr>
      </w:pPr>
      <w:r w:rsidRPr="009F5EEF">
        <w:rPr>
          <w:rFonts w:ascii="Gilroy" w:hAnsi="Gilroy" w:cstheme="minorHAnsi"/>
          <w:b/>
          <w:bCs/>
          <w:i/>
          <w:iCs/>
          <w:sz w:val="22"/>
          <w:szCs w:val="22"/>
        </w:rPr>
        <w:t>Use of social media to access and provide health information and services</w:t>
      </w:r>
      <w:r w:rsidR="00620794">
        <w:rPr>
          <w:rFonts w:ascii="Gilroy" w:hAnsi="Gilroy" w:cstheme="minorHAnsi"/>
          <w:b/>
          <w:bCs/>
          <w:sz w:val="22"/>
          <w:szCs w:val="22"/>
        </w:rPr>
        <w:t xml:space="preserve"> -</w:t>
      </w:r>
      <w:r w:rsidRPr="009F5EEF">
        <w:rPr>
          <w:rFonts w:ascii="Gilroy" w:hAnsi="Gilroy" w:cstheme="minorHAnsi"/>
          <w:b/>
          <w:bCs/>
          <w:sz w:val="22"/>
          <w:szCs w:val="22"/>
        </w:rPr>
        <w:t xml:space="preserve"> </w:t>
      </w:r>
      <w:r w:rsidRPr="009F5EEF">
        <w:rPr>
          <w:rFonts w:ascii="Gilroy" w:hAnsi="Gilroy" w:cstheme="minorHAnsi"/>
          <w:sz w:val="22"/>
          <w:szCs w:val="22"/>
        </w:rPr>
        <w:t>Social media is increasingly becoming a space for young people to seek and share information on health issues, in particular sexual and reproductive health and sexuality.</w:t>
      </w:r>
      <w:r w:rsidRPr="009F5EEF">
        <w:rPr>
          <w:rFonts w:ascii="Gilroy" w:hAnsi="Gilroy" w:cstheme="minorHAnsi"/>
          <w:sz w:val="22"/>
          <w:szCs w:val="22"/>
          <w:vertAlign w:val="superscript"/>
        </w:rPr>
        <w:footnoteReference w:id="28"/>
      </w:r>
      <w:r w:rsidRPr="009F5EEF">
        <w:rPr>
          <w:rFonts w:ascii="Gilroy" w:hAnsi="Gilroy" w:cstheme="minorHAnsi"/>
          <w:sz w:val="22"/>
          <w:szCs w:val="22"/>
        </w:rPr>
        <w:t xml:space="preserve"> Research undertaken by</w:t>
      </w:r>
      <w:r w:rsidR="0025168A">
        <w:rPr>
          <w:rFonts w:ascii="Gilroy" w:hAnsi="Gilroy" w:cstheme="minorHAnsi"/>
          <w:sz w:val="22"/>
          <w:szCs w:val="22"/>
        </w:rPr>
        <w:t xml:space="preserve"> DHRP</w:t>
      </w:r>
      <w:r w:rsidRPr="009F5EEF">
        <w:rPr>
          <w:rFonts w:ascii="Gilroy" w:hAnsi="Gilroy" w:cstheme="minorHAnsi"/>
          <w:sz w:val="22"/>
          <w:szCs w:val="22"/>
        </w:rPr>
        <w:t xml:space="preserve">, revealed that young adults in Kenya reported predominantly using Google, social media, and social chat groups for seeking health information including advice on sexuality and sexual and reproductive health, and to </w:t>
      </w:r>
      <w:r w:rsidR="006C6D78">
        <w:rPr>
          <w:rFonts w:ascii="Gilroy" w:hAnsi="Gilroy" w:cstheme="minorHAnsi"/>
          <w:sz w:val="22"/>
          <w:szCs w:val="22"/>
        </w:rPr>
        <w:t>access</w:t>
      </w:r>
      <w:r w:rsidR="006C6D78" w:rsidRPr="009F5EEF">
        <w:rPr>
          <w:rFonts w:ascii="Gilroy" w:hAnsi="Gilroy" w:cstheme="minorHAnsi"/>
          <w:sz w:val="22"/>
          <w:szCs w:val="22"/>
        </w:rPr>
        <w:t xml:space="preserve"> psychosocial</w:t>
      </w:r>
      <w:r w:rsidRPr="009F5EEF">
        <w:rPr>
          <w:rFonts w:ascii="Gilroy" w:hAnsi="Gilroy" w:cstheme="minorHAnsi"/>
          <w:sz w:val="22"/>
          <w:szCs w:val="22"/>
        </w:rPr>
        <w:t xml:space="preserve"> support, treatment adherence advice, and coordinate medical and financial aid during Covid-19 restrictions.</w:t>
      </w:r>
      <w:r w:rsidRPr="009F5EEF">
        <w:rPr>
          <w:rFonts w:ascii="Gilroy" w:hAnsi="Gilroy" w:cstheme="minorHAnsi"/>
          <w:sz w:val="22"/>
          <w:szCs w:val="22"/>
          <w:vertAlign w:val="superscript"/>
        </w:rPr>
        <w:t xml:space="preserve"> </w:t>
      </w:r>
      <w:r w:rsidRPr="009F5EEF">
        <w:rPr>
          <w:rFonts w:ascii="Gilroy" w:hAnsi="Gilroy" w:cstheme="minorHAnsi"/>
          <w:sz w:val="22"/>
          <w:szCs w:val="22"/>
          <w:vertAlign w:val="superscript"/>
        </w:rPr>
        <w:footnoteReference w:id="29"/>
      </w:r>
    </w:p>
    <w:p w14:paraId="0C1D6777" w14:textId="77777777" w:rsidR="00B8212A" w:rsidRPr="009F5EEF" w:rsidRDefault="00B8212A" w:rsidP="00B8212A">
      <w:pPr>
        <w:jc w:val="both"/>
        <w:rPr>
          <w:rFonts w:ascii="Gilroy" w:hAnsi="Gilroy" w:cstheme="minorHAnsi"/>
          <w:sz w:val="22"/>
          <w:szCs w:val="22"/>
        </w:rPr>
      </w:pPr>
    </w:p>
    <w:p w14:paraId="5F170011" w14:textId="4D89B25B" w:rsidR="00B8212A" w:rsidRPr="009F5EEF" w:rsidRDefault="00B8212A" w:rsidP="00B8212A">
      <w:pPr>
        <w:jc w:val="both"/>
        <w:rPr>
          <w:rFonts w:ascii="Gilroy" w:hAnsi="Gilroy" w:cstheme="minorHAnsi"/>
          <w:sz w:val="22"/>
          <w:szCs w:val="22"/>
        </w:rPr>
      </w:pPr>
      <w:r w:rsidRPr="009F5EEF">
        <w:rPr>
          <w:rFonts w:ascii="Gilroy" w:hAnsi="Gilroy" w:cstheme="minorHAnsi"/>
          <w:sz w:val="22"/>
          <w:szCs w:val="22"/>
        </w:rPr>
        <w:t>Therefore, social media has filled a gap for some groups who may otherwise lack access to vital health information, and has empowered other communities such as women and young people to self-manage their healthcare.</w:t>
      </w:r>
      <w:r w:rsidRPr="009F5EEF">
        <w:rPr>
          <w:rFonts w:ascii="Gilroy" w:hAnsi="Gilroy" w:cstheme="minorHAnsi"/>
          <w:sz w:val="22"/>
          <w:szCs w:val="22"/>
          <w:vertAlign w:val="superscript"/>
        </w:rPr>
        <w:footnoteReference w:id="30"/>
      </w:r>
      <w:r w:rsidRPr="009F5EEF">
        <w:rPr>
          <w:rFonts w:ascii="Gilroy" w:hAnsi="Gilroy" w:cstheme="minorHAnsi"/>
          <w:sz w:val="22"/>
          <w:szCs w:val="22"/>
        </w:rPr>
        <w:t xml:space="preserve"> They have reported that it gives them anonymous access to HIV, Covid-19 and sexual and reproductive health information they urgently need, which they feel unsafe seeking elsewhere, including public run health centres, for fear of stigma and violence. Persons living with HIV, young men and women also reported being subject to harassment by a health care professional, and therefore these tools are</w:t>
      </w:r>
      <w:r w:rsidR="00B84074">
        <w:rPr>
          <w:rFonts w:ascii="Gilroy" w:hAnsi="Gilroy" w:cstheme="minorHAnsi"/>
          <w:sz w:val="22"/>
          <w:szCs w:val="22"/>
        </w:rPr>
        <w:t xml:space="preserve"> considered</w:t>
      </w:r>
      <w:r w:rsidRPr="009F5EEF">
        <w:rPr>
          <w:rFonts w:ascii="Gilroy" w:hAnsi="Gilroy" w:cstheme="minorHAnsi"/>
          <w:sz w:val="22"/>
          <w:szCs w:val="22"/>
        </w:rPr>
        <w:t xml:space="preserve"> safer and more accessible compared to attending healthcare facilities.</w:t>
      </w:r>
      <w:r w:rsidRPr="009F5EEF">
        <w:rPr>
          <w:rFonts w:ascii="Gilroy" w:hAnsi="Gilroy" w:cstheme="minorHAnsi"/>
          <w:sz w:val="22"/>
          <w:szCs w:val="22"/>
          <w:vertAlign w:val="superscript"/>
        </w:rPr>
        <w:footnoteReference w:id="31"/>
      </w:r>
    </w:p>
    <w:p w14:paraId="106A8317" w14:textId="77777777" w:rsidR="00B8212A" w:rsidRPr="009F5EEF" w:rsidRDefault="00B8212A" w:rsidP="00B8212A">
      <w:pPr>
        <w:jc w:val="both"/>
        <w:rPr>
          <w:rFonts w:ascii="Gilroy" w:hAnsi="Gilroy" w:cstheme="minorHAnsi"/>
          <w:sz w:val="22"/>
          <w:szCs w:val="22"/>
        </w:rPr>
      </w:pPr>
    </w:p>
    <w:p w14:paraId="6133C6F2" w14:textId="21E421A9" w:rsidR="00B8212A" w:rsidRPr="009F5EEF" w:rsidRDefault="00B8212A" w:rsidP="00B8212A">
      <w:pPr>
        <w:jc w:val="both"/>
        <w:rPr>
          <w:rFonts w:ascii="Gilroy" w:hAnsi="Gilroy" w:cstheme="minorHAnsi"/>
          <w:sz w:val="22"/>
          <w:szCs w:val="22"/>
        </w:rPr>
      </w:pPr>
      <w:r w:rsidRPr="009F5EEF">
        <w:rPr>
          <w:rFonts w:ascii="Gilroy" w:hAnsi="Gilroy" w:cstheme="minorHAnsi"/>
          <w:sz w:val="22"/>
          <w:szCs w:val="22"/>
        </w:rPr>
        <w:t>However, there are concerns about the accuracy of information provided and safety when using social media and other</w:t>
      </w:r>
      <w:r w:rsidR="00B84074">
        <w:rPr>
          <w:rFonts w:ascii="Gilroy" w:hAnsi="Gilroy" w:cstheme="minorHAnsi"/>
          <w:sz w:val="22"/>
          <w:szCs w:val="22"/>
        </w:rPr>
        <w:t xml:space="preserve"> online</w:t>
      </w:r>
      <w:r w:rsidRPr="009F5EEF">
        <w:rPr>
          <w:rFonts w:ascii="Gilroy" w:hAnsi="Gilroy" w:cstheme="minorHAnsi"/>
          <w:sz w:val="22"/>
          <w:szCs w:val="22"/>
        </w:rPr>
        <w:t xml:space="preserve"> applications</w:t>
      </w:r>
      <w:r w:rsidR="00B84074">
        <w:rPr>
          <w:rFonts w:ascii="Gilroy" w:hAnsi="Gilroy" w:cstheme="minorHAnsi"/>
          <w:sz w:val="22"/>
          <w:szCs w:val="22"/>
        </w:rPr>
        <w:t xml:space="preserve"> to access health information</w:t>
      </w:r>
      <w:r w:rsidRPr="009F5EEF">
        <w:rPr>
          <w:rFonts w:ascii="Gilroy" w:hAnsi="Gilroy" w:cstheme="minorHAnsi"/>
          <w:sz w:val="22"/>
          <w:szCs w:val="22"/>
        </w:rPr>
        <w:t xml:space="preserve">. Participants in the research conducted by DHRP, also disclosed harms linked to seeking health information online including data mining, cyberbullying, and anxiety of surveillance, especially for young people living with HIV, key populations, and young women seeking information on </w:t>
      </w:r>
      <w:r w:rsidR="00B84074">
        <w:rPr>
          <w:rFonts w:ascii="Gilroy" w:hAnsi="Gilroy" w:cstheme="minorHAnsi"/>
          <w:sz w:val="22"/>
          <w:szCs w:val="22"/>
        </w:rPr>
        <w:t>sexual and reproductive health</w:t>
      </w:r>
      <w:r w:rsidRPr="009F5EEF">
        <w:rPr>
          <w:rFonts w:ascii="Gilroy" w:hAnsi="Gilroy" w:cstheme="minorHAnsi"/>
          <w:sz w:val="22"/>
          <w:szCs w:val="22"/>
        </w:rPr>
        <w:t xml:space="preserve"> or access to safe medical abortion.</w:t>
      </w:r>
      <w:r w:rsidRPr="009F5EEF">
        <w:rPr>
          <w:rFonts w:ascii="Gilroy" w:hAnsi="Gilroy" w:cstheme="minorHAnsi"/>
          <w:sz w:val="22"/>
          <w:szCs w:val="22"/>
          <w:vertAlign w:val="superscript"/>
        </w:rPr>
        <w:footnoteReference w:id="32"/>
      </w:r>
      <w:r w:rsidRPr="009F5EEF">
        <w:rPr>
          <w:rFonts w:ascii="Gilroy" w:hAnsi="Gilroy" w:cstheme="minorHAnsi"/>
          <w:sz w:val="22"/>
          <w:szCs w:val="22"/>
        </w:rPr>
        <w:t xml:space="preserve"> </w:t>
      </w:r>
    </w:p>
    <w:p w14:paraId="1A641798" w14:textId="77777777" w:rsidR="00B8212A" w:rsidRPr="009F5EEF" w:rsidRDefault="00B8212A" w:rsidP="00B8212A">
      <w:pPr>
        <w:ind w:left="720"/>
        <w:jc w:val="both"/>
        <w:rPr>
          <w:rFonts w:ascii="Gilroy" w:hAnsi="Gilroy" w:cstheme="minorHAnsi"/>
          <w:sz w:val="22"/>
          <w:szCs w:val="22"/>
        </w:rPr>
      </w:pPr>
    </w:p>
    <w:p w14:paraId="0D800F63" w14:textId="7E9F74FB" w:rsidR="00B8212A" w:rsidRPr="009F5EEF" w:rsidRDefault="00B8212A" w:rsidP="00026C91">
      <w:pPr>
        <w:jc w:val="both"/>
        <w:rPr>
          <w:rFonts w:ascii="Gilroy" w:hAnsi="Gilroy" w:cstheme="minorHAnsi"/>
          <w:sz w:val="22"/>
          <w:szCs w:val="22"/>
        </w:rPr>
      </w:pPr>
      <w:r w:rsidRPr="009F5EEF">
        <w:rPr>
          <w:rFonts w:ascii="Gilroy" w:hAnsi="Gilroy" w:cstheme="minorHAnsi"/>
          <w:sz w:val="22"/>
          <w:szCs w:val="22"/>
        </w:rPr>
        <w:t xml:space="preserve">Furthermore, they are concerns about accessibility and digital exclusion as not everyone owns a smartphone or device to access this information. Therefore, sharing devices within a family remains very common practice and decreases the privacy and autonomy of users. Furthermore, the ability to afford increasing costs of data effects accessibility as well as </w:t>
      </w:r>
      <w:r w:rsidRPr="009F5EEF">
        <w:rPr>
          <w:rFonts w:ascii="Gilroy" w:hAnsi="Gilroy" w:cstheme="minorHAnsi"/>
          <w:sz w:val="22"/>
          <w:szCs w:val="22"/>
        </w:rPr>
        <w:lastRenderedPageBreak/>
        <w:t>language barriers as most social media and online platforms provide services in English only.</w:t>
      </w:r>
      <w:r w:rsidRPr="009F5EEF">
        <w:rPr>
          <w:rFonts w:ascii="Gilroy" w:hAnsi="Gilroy" w:cstheme="minorHAnsi"/>
          <w:sz w:val="22"/>
          <w:szCs w:val="22"/>
          <w:vertAlign w:val="superscript"/>
        </w:rPr>
        <w:footnoteReference w:id="33"/>
      </w:r>
    </w:p>
    <w:p w14:paraId="6E1C394D" w14:textId="77777777" w:rsidR="001627A6" w:rsidRPr="009F5EEF" w:rsidRDefault="001627A6" w:rsidP="001627A6">
      <w:pPr>
        <w:jc w:val="both"/>
        <w:rPr>
          <w:rFonts w:ascii="Gilroy" w:hAnsi="Gilroy" w:cstheme="minorHAnsi"/>
          <w:sz w:val="22"/>
          <w:szCs w:val="22"/>
        </w:rPr>
      </w:pPr>
    </w:p>
    <w:p w14:paraId="7363E3F1" w14:textId="250A3420" w:rsidR="001627A6" w:rsidRPr="009F5EEF" w:rsidRDefault="001627A6" w:rsidP="001627A6">
      <w:pPr>
        <w:jc w:val="both"/>
        <w:rPr>
          <w:rFonts w:ascii="Gilroy" w:hAnsi="Gilroy" w:cstheme="minorHAnsi"/>
          <w:b/>
          <w:bCs/>
          <w:sz w:val="22"/>
          <w:szCs w:val="22"/>
        </w:rPr>
      </w:pPr>
      <w:r w:rsidRPr="009F5EEF">
        <w:rPr>
          <w:rFonts w:ascii="Gilroy" w:hAnsi="Gilroy" w:cstheme="minorHAnsi"/>
          <w:b/>
          <w:bCs/>
          <w:i/>
          <w:iCs/>
          <w:sz w:val="22"/>
          <w:szCs w:val="22"/>
        </w:rPr>
        <w:t>Surveillance of women and girls living with HIV</w:t>
      </w:r>
      <w:r w:rsidR="000034F4" w:rsidRPr="009F5EEF">
        <w:rPr>
          <w:rFonts w:ascii="Gilroy" w:hAnsi="Gilroy" w:cstheme="minorHAnsi"/>
          <w:b/>
          <w:bCs/>
          <w:sz w:val="22"/>
          <w:szCs w:val="22"/>
        </w:rPr>
        <w:t xml:space="preserve">:  </w:t>
      </w:r>
      <w:r w:rsidRPr="009F5EEF">
        <w:rPr>
          <w:rFonts w:ascii="Gilroy" w:hAnsi="Gilroy" w:cstheme="minorHAnsi"/>
          <w:sz w:val="22"/>
          <w:szCs w:val="22"/>
        </w:rPr>
        <w:t>In 2023, KELIN</w:t>
      </w:r>
      <w:r w:rsidR="0025168A">
        <w:rPr>
          <w:rFonts w:ascii="Gilroy" w:hAnsi="Gilroy" w:cstheme="minorHAnsi"/>
          <w:sz w:val="22"/>
          <w:szCs w:val="22"/>
        </w:rPr>
        <w:t xml:space="preserve"> </w:t>
      </w:r>
      <w:r w:rsidRPr="009F5EEF">
        <w:rPr>
          <w:rFonts w:ascii="Gilroy" w:hAnsi="Gilroy" w:cstheme="minorHAnsi"/>
          <w:sz w:val="22"/>
          <w:szCs w:val="22"/>
        </w:rPr>
        <w:t>carried out a study on the impact of HIV index testing on access to sexual and reproductive (S&amp;R) health services among young women and girls in four sub-counties in Kisumu County.</w:t>
      </w:r>
      <w:r w:rsidRPr="009F5EEF">
        <w:rPr>
          <w:rFonts w:ascii="Gilroy" w:hAnsi="Gilroy" w:cstheme="minorHAnsi"/>
          <w:sz w:val="22"/>
          <w:szCs w:val="22"/>
          <w:vertAlign w:val="superscript"/>
        </w:rPr>
        <w:footnoteReference w:id="34"/>
      </w:r>
      <w:r w:rsidRPr="009F5EEF">
        <w:rPr>
          <w:rFonts w:ascii="Gilroy" w:hAnsi="Gilroy" w:cstheme="minorHAnsi"/>
          <w:sz w:val="22"/>
          <w:szCs w:val="22"/>
        </w:rPr>
        <w:t xml:space="preserve"> Study participants indicated that health care providers lacked training in data privacy and data security issues, and a need for more robust privacy and confidentiality protections of services, for example through encryption.</w:t>
      </w:r>
      <w:r w:rsidRPr="009F5EEF">
        <w:rPr>
          <w:rFonts w:ascii="Gilroy" w:hAnsi="Gilroy" w:cstheme="minorHAnsi"/>
          <w:sz w:val="22"/>
          <w:szCs w:val="22"/>
          <w:vertAlign w:val="superscript"/>
        </w:rPr>
        <w:footnoteReference w:id="35"/>
      </w:r>
      <w:r w:rsidRPr="009F5EEF">
        <w:rPr>
          <w:rFonts w:ascii="Gilroy" w:hAnsi="Gilroy" w:cstheme="minorHAnsi"/>
          <w:sz w:val="22"/>
          <w:szCs w:val="22"/>
        </w:rPr>
        <w:t xml:space="preserve"> These comments followed instances where there had been involuntary disclosure of service users’ HIV status during partner notification processes, as well as incidences where healthcare workers had breached confidentiality either involuntarily or voluntarily.</w:t>
      </w:r>
      <w:r w:rsidRPr="009F5EEF">
        <w:rPr>
          <w:rFonts w:ascii="Gilroy" w:hAnsi="Gilroy" w:cstheme="minorHAnsi"/>
          <w:sz w:val="22"/>
          <w:szCs w:val="22"/>
          <w:vertAlign w:val="superscript"/>
        </w:rPr>
        <w:footnoteReference w:id="36"/>
      </w:r>
      <w:r w:rsidRPr="009F5EEF">
        <w:rPr>
          <w:rFonts w:ascii="Gilroy" w:hAnsi="Gilroy" w:cstheme="minorHAnsi"/>
          <w:sz w:val="22"/>
          <w:szCs w:val="22"/>
        </w:rPr>
        <w:t xml:space="preserve"> As well as general concerns regarding who had access to their electronic medical record systems (EMR)</w:t>
      </w:r>
      <w:r w:rsidR="00690080">
        <w:rPr>
          <w:rFonts w:ascii="Gilroy" w:hAnsi="Gilroy" w:cstheme="minorHAnsi"/>
          <w:sz w:val="22"/>
          <w:szCs w:val="22"/>
        </w:rPr>
        <w:t>.</w:t>
      </w:r>
      <w:r w:rsidRPr="009F5EEF">
        <w:rPr>
          <w:rFonts w:ascii="Gilroy" w:hAnsi="Gilroy" w:cstheme="minorHAnsi"/>
          <w:sz w:val="22"/>
          <w:szCs w:val="22"/>
          <w:vertAlign w:val="superscript"/>
        </w:rPr>
        <w:footnoteReference w:id="37"/>
      </w:r>
      <w:r w:rsidRPr="009F5EEF">
        <w:rPr>
          <w:rFonts w:ascii="Gilroy" w:hAnsi="Gilroy" w:cstheme="minorHAnsi"/>
          <w:sz w:val="22"/>
          <w:szCs w:val="22"/>
        </w:rPr>
        <w:t xml:space="preserve"> </w:t>
      </w:r>
    </w:p>
    <w:p w14:paraId="5A2C810C" w14:textId="77777777" w:rsidR="001627A6" w:rsidRPr="009F5EEF" w:rsidRDefault="001627A6" w:rsidP="001627A6">
      <w:pPr>
        <w:jc w:val="both"/>
        <w:rPr>
          <w:rFonts w:ascii="Gilroy" w:hAnsi="Gilroy" w:cstheme="minorHAnsi"/>
          <w:sz w:val="22"/>
          <w:szCs w:val="22"/>
        </w:rPr>
      </w:pPr>
    </w:p>
    <w:p w14:paraId="785F83CB" w14:textId="77777777" w:rsidR="001627A6" w:rsidRPr="009F5EEF" w:rsidRDefault="001627A6" w:rsidP="001627A6">
      <w:pPr>
        <w:jc w:val="both"/>
        <w:rPr>
          <w:rFonts w:ascii="Gilroy" w:hAnsi="Gilroy" w:cstheme="minorHAnsi"/>
          <w:sz w:val="22"/>
          <w:szCs w:val="22"/>
        </w:rPr>
      </w:pPr>
      <w:r w:rsidRPr="009F5EEF">
        <w:rPr>
          <w:rFonts w:ascii="Gilroy" w:hAnsi="Gilroy" w:cstheme="minorHAnsi"/>
          <w:sz w:val="22"/>
          <w:szCs w:val="22"/>
        </w:rPr>
        <w:t>The study highlighted concerns around HIV Index testing, including documented practices of disclosure infractions undermining efforts to ensure safe and secure access to S&amp;R health. A key recommendation of the study was to raise awareness about privacy and data protection responsibilities of healthcare providers, including their obligations under the Data Protection Act 2019 as well as the need to develop further regulation and guidance to protect people and their data in a healthcare context.</w:t>
      </w:r>
      <w:r w:rsidRPr="009F5EEF">
        <w:rPr>
          <w:rFonts w:ascii="Gilroy" w:hAnsi="Gilroy" w:cstheme="minorHAnsi"/>
          <w:sz w:val="22"/>
          <w:szCs w:val="22"/>
          <w:vertAlign w:val="superscript"/>
        </w:rPr>
        <w:footnoteReference w:id="38"/>
      </w:r>
    </w:p>
    <w:p w14:paraId="03500C2B" w14:textId="77777777" w:rsidR="001627A6" w:rsidRPr="009F5EEF" w:rsidRDefault="001627A6" w:rsidP="001627A6">
      <w:pPr>
        <w:jc w:val="both"/>
        <w:rPr>
          <w:rFonts w:ascii="Gilroy" w:hAnsi="Gilroy" w:cstheme="minorHAnsi"/>
          <w:sz w:val="22"/>
          <w:szCs w:val="22"/>
        </w:rPr>
      </w:pPr>
    </w:p>
    <w:p w14:paraId="64001CA3" w14:textId="7C77665D" w:rsidR="0080609D" w:rsidRPr="001622F8" w:rsidRDefault="001627A6" w:rsidP="0024029E">
      <w:pPr>
        <w:jc w:val="both"/>
        <w:rPr>
          <w:rFonts w:ascii="Gilroy" w:hAnsi="Gilroy" w:cstheme="minorHAnsi"/>
          <w:sz w:val="22"/>
          <w:szCs w:val="22"/>
        </w:rPr>
      </w:pPr>
      <w:r w:rsidRPr="00D00B06">
        <w:rPr>
          <w:rFonts w:ascii="Gilroy" w:hAnsi="Gilroy" w:cstheme="minorHAnsi"/>
          <w:b/>
          <w:bCs/>
          <w:i/>
          <w:iCs/>
          <w:sz w:val="22"/>
          <w:szCs w:val="22"/>
        </w:rPr>
        <w:t>Safe access to accurate sexual and reproductive health</w:t>
      </w:r>
      <w:r w:rsidR="00EF0D49">
        <w:rPr>
          <w:rFonts w:ascii="Gilroy" w:hAnsi="Gilroy" w:cstheme="minorHAnsi"/>
          <w:i/>
          <w:iCs/>
          <w:sz w:val="22"/>
          <w:szCs w:val="22"/>
        </w:rPr>
        <w:t xml:space="preserve"> -</w:t>
      </w:r>
      <w:r w:rsidR="000034F4" w:rsidRPr="009F5EEF">
        <w:rPr>
          <w:rFonts w:ascii="Gilroy" w:hAnsi="Gilroy" w:cstheme="minorHAnsi"/>
          <w:b/>
          <w:bCs/>
          <w:sz w:val="22"/>
          <w:szCs w:val="22"/>
        </w:rPr>
        <w:t xml:space="preserve"> </w:t>
      </w:r>
      <w:r w:rsidRPr="009F5EEF">
        <w:rPr>
          <w:rFonts w:ascii="Gilroy" w:hAnsi="Gilroy" w:cstheme="minorHAnsi"/>
          <w:sz w:val="22"/>
          <w:szCs w:val="22"/>
        </w:rPr>
        <w:t xml:space="preserve">Despite </w:t>
      </w:r>
      <w:r w:rsidR="000034F4" w:rsidRPr="009F5EEF">
        <w:rPr>
          <w:rFonts w:ascii="Gilroy" w:hAnsi="Gilroy" w:cstheme="minorHAnsi"/>
          <w:sz w:val="22"/>
          <w:szCs w:val="22"/>
        </w:rPr>
        <w:t>an increasing number of people</w:t>
      </w:r>
      <w:r w:rsidRPr="009F5EEF">
        <w:rPr>
          <w:rFonts w:ascii="Gilroy" w:hAnsi="Gilroy" w:cstheme="minorHAnsi"/>
          <w:sz w:val="22"/>
          <w:szCs w:val="22"/>
        </w:rPr>
        <w:t>, in particular young people, accessing sexual and reproductive (S&amp;R) health information and services online</w:t>
      </w:r>
      <w:r w:rsidR="000034F4" w:rsidRPr="009F5EEF">
        <w:rPr>
          <w:rFonts w:ascii="Gilroy" w:hAnsi="Gilroy" w:cstheme="minorHAnsi"/>
          <w:sz w:val="22"/>
          <w:szCs w:val="22"/>
        </w:rPr>
        <w:t>, r</w:t>
      </w:r>
      <w:r w:rsidRPr="009F5EEF">
        <w:rPr>
          <w:rFonts w:ascii="Gilroy" w:hAnsi="Gilroy" w:cstheme="minorHAnsi"/>
          <w:sz w:val="22"/>
          <w:szCs w:val="22"/>
        </w:rPr>
        <w:t xml:space="preserve">esearch by DHRP has reported instances where people seeking information on S&amp;R healthcare online in Kenya are </w:t>
      </w:r>
      <w:r w:rsidR="001013C3">
        <w:rPr>
          <w:rFonts w:ascii="Gilroy" w:hAnsi="Gilroy" w:cstheme="minorHAnsi"/>
          <w:sz w:val="22"/>
          <w:szCs w:val="22"/>
        </w:rPr>
        <w:t xml:space="preserve">concerned </w:t>
      </w:r>
      <w:r w:rsidRPr="009F5EEF">
        <w:rPr>
          <w:rFonts w:ascii="Gilroy" w:hAnsi="Gilroy" w:cstheme="minorHAnsi"/>
          <w:sz w:val="22"/>
          <w:szCs w:val="22"/>
        </w:rPr>
        <w:t>around accuracy of the information being shared as well as privacy and confidentiality</w:t>
      </w:r>
      <w:r w:rsidR="006C6D78">
        <w:rPr>
          <w:rFonts w:ascii="Gilroy" w:hAnsi="Gilroy" w:cstheme="minorHAnsi"/>
          <w:sz w:val="22"/>
          <w:szCs w:val="22"/>
        </w:rPr>
        <w:t>.</w:t>
      </w:r>
      <w:r w:rsidRPr="009F5EEF">
        <w:rPr>
          <w:rFonts w:ascii="Gilroy" w:hAnsi="Gilroy" w:cstheme="minorHAnsi"/>
          <w:sz w:val="22"/>
          <w:szCs w:val="22"/>
          <w:vertAlign w:val="superscript"/>
        </w:rPr>
        <w:footnoteReference w:id="39"/>
      </w:r>
      <w:r w:rsidR="0024029E">
        <w:rPr>
          <w:rFonts w:ascii="Gilroy" w:hAnsi="Gilroy" w:cstheme="minorHAnsi"/>
          <w:sz w:val="22"/>
          <w:szCs w:val="22"/>
        </w:rPr>
        <w:t xml:space="preserve"> </w:t>
      </w:r>
    </w:p>
    <w:p w14:paraId="2B0AC7AD" w14:textId="77777777" w:rsidR="001622F8" w:rsidRDefault="001622F8" w:rsidP="000034F4">
      <w:pPr>
        <w:jc w:val="both"/>
        <w:rPr>
          <w:rFonts w:ascii="Gilroy" w:hAnsi="Gilroy" w:cstheme="minorHAnsi"/>
          <w:sz w:val="22"/>
          <w:szCs w:val="22"/>
        </w:rPr>
      </w:pPr>
    </w:p>
    <w:p w14:paraId="4CE62F37" w14:textId="45B03897" w:rsidR="001622F8" w:rsidRPr="00444069" w:rsidRDefault="001622F8" w:rsidP="00444069">
      <w:pPr>
        <w:pStyle w:val="ListParagraph"/>
        <w:numPr>
          <w:ilvl w:val="0"/>
          <w:numId w:val="8"/>
        </w:numPr>
        <w:rPr>
          <w:rFonts w:ascii="Gilroy" w:hAnsi="Gilroy"/>
          <w:b/>
          <w:bCs/>
          <w:sz w:val="22"/>
          <w:szCs w:val="22"/>
        </w:rPr>
      </w:pPr>
      <w:r w:rsidRPr="00444069">
        <w:rPr>
          <w:rFonts w:ascii="Gilroy" w:hAnsi="Gilroy"/>
          <w:b/>
          <w:bCs/>
          <w:sz w:val="22"/>
          <w:szCs w:val="22"/>
        </w:rPr>
        <w:t>Recommendations</w:t>
      </w:r>
    </w:p>
    <w:p w14:paraId="31417A51" w14:textId="77777777" w:rsidR="001622F8" w:rsidRDefault="001622F8" w:rsidP="001622F8">
      <w:pPr>
        <w:rPr>
          <w:rFonts w:ascii="Gilroy" w:hAnsi="Gilroy"/>
          <w:b/>
          <w:bCs/>
          <w:sz w:val="22"/>
          <w:szCs w:val="22"/>
        </w:rPr>
      </w:pPr>
    </w:p>
    <w:p w14:paraId="7F89C57F" w14:textId="4D66F2BA" w:rsidR="001622F8" w:rsidRPr="009F5EEF" w:rsidRDefault="001622F8" w:rsidP="001622F8">
      <w:pPr>
        <w:jc w:val="both"/>
        <w:rPr>
          <w:rFonts w:ascii="Gilroy" w:hAnsi="Gilroy" w:cstheme="minorHAnsi"/>
          <w:sz w:val="22"/>
          <w:szCs w:val="22"/>
        </w:rPr>
      </w:pPr>
      <w:r w:rsidRPr="009F5EEF">
        <w:rPr>
          <w:rFonts w:ascii="Gilroy" w:hAnsi="Gilroy" w:cstheme="minorHAnsi"/>
          <w:sz w:val="22"/>
          <w:szCs w:val="22"/>
        </w:rPr>
        <w:t xml:space="preserve">Based on these observations, </w:t>
      </w:r>
      <w:r w:rsidR="0025168A">
        <w:rPr>
          <w:rFonts w:ascii="Gilroy" w:hAnsi="Gilroy" w:cstheme="minorHAnsi"/>
          <w:sz w:val="22"/>
          <w:szCs w:val="22"/>
        </w:rPr>
        <w:t xml:space="preserve">we </w:t>
      </w:r>
      <w:r w:rsidRPr="009F5EEF">
        <w:rPr>
          <w:rFonts w:ascii="Gilroy" w:hAnsi="Gilroy" w:cstheme="minorHAnsi"/>
          <w:sz w:val="22"/>
          <w:szCs w:val="22"/>
        </w:rPr>
        <w:t>suggest the Committee</w:t>
      </w:r>
      <w:r>
        <w:rPr>
          <w:rFonts w:ascii="Gilroy" w:hAnsi="Gilroy" w:cstheme="minorHAnsi"/>
          <w:sz w:val="22"/>
          <w:szCs w:val="22"/>
        </w:rPr>
        <w:t xml:space="preserve"> on Economic Social and Cultural Rights include the following recommendations to the Kenyan government within their concluding observations: </w:t>
      </w:r>
    </w:p>
    <w:p w14:paraId="2E11E4F8" w14:textId="77777777" w:rsidR="001622F8" w:rsidRPr="001622F8" w:rsidRDefault="001622F8" w:rsidP="001622F8">
      <w:pPr>
        <w:rPr>
          <w:rFonts w:ascii="Gilroy" w:hAnsi="Gilroy"/>
          <w:b/>
          <w:bCs/>
          <w:sz w:val="22"/>
          <w:szCs w:val="22"/>
        </w:rPr>
      </w:pPr>
    </w:p>
    <w:p w14:paraId="35AE1F6E" w14:textId="77777777" w:rsidR="001622F8" w:rsidRPr="001622F8" w:rsidRDefault="001622F8" w:rsidP="001622F8">
      <w:pPr>
        <w:rPr>
          <w:rFonts w:ascii="Gilroy" w:hAnsi="Gilroy"/>
          <w:sz w:val="22"/>
          <w:szCs w:val="22"/>
        </w:rPr>
      </w:pPr>
    </w:p>
    <w:p w14:paraId="7CF5A896" w14:textId="140B7BD9" w:rsidR="001622F8" w:rsidRPr="001622F8" w:rsidRDefault="001622F8" w:rsidP="001622F8">
      <w:pPr>
        <w:pStyle w:val="ListParagraph"/>
        <w:numPr>
          <w:ilvl w:val="0"/>
          <w:numId w:val="6"/>
        </w:numPr>
        <w:rPr>
          <w:rFonts w:ascii="Gilroy" w:hAnsi="Gilroy"/>
          <w:sz w:val="22"/>
          <w:szCs w:val="22"/>
        </w:rPr>
      </w:pPr>
      <w:r w:rsidRPr="001622F8">
        <w:rPr>
          <w:rFonts w:ascii="Gilroy" w:hAnsi="Gilroy"/>
          <w:sz w:val="22"/>
          <w:szCs w:val="22"/>
        </w:rPr>
        <w:t xml:space="preserve">Review and </w:t>
      </w:r>
      <w:r w:rsidR="00F867D0">
        <w:rPr>
          <w:rFonts w:ascii="Gilroy" w:hAnsi="Gilroy"/>
          <w:sz w:val="22"/>
          <w:szCs w:val="22"/>
        </w:rPr>
        <w:t>amend</w:t>
      </w:r>
      <w:r w:rsidR="00F867D0" w:rsidRPr="001622F8">
        <w:rPr>
          <w:rFonts w:ascii="Gilroy" w:hAnsi="Gilroy"/>
          <w:sz w:val="22"/>
          <w:szCs w:val="22"/>
        </w:rPr>
        <w:t xml:space="preserve"> </w:t>
      </w:r>
      <w:r w:rsidRPr="001622F8">
        <w:rPr>
          <w:rFonts w:ascii="Gilroy" w:hAnsi="Gilroy"/>
          <w:sz w:val="22"/>
          <w:szCs w:val="22"/>
        </w:rPr>
        <w:t xml:space="preserve">the proposed digital identity system, the Maisha </w:t>
      </w:r>
      <w:proofErr w:type="spellStart"/>
      <w:r w:rsidRPr="001622F8">
        <w:rPr>
          <w:rFonts w:ascii="Gilroy" w:hAnsi="Gilroy"/>
          <w:sz w:val="22"/>
          <w:szCs w:val="22"/>
        </w:rPr>
        <w:t>Numba</w:t>
      </w:r>
      <w:proofErr w:type="spellEnd"/>
      <w:r w:rsidRPr="001622F8">
        <w:rPr>
          <w:rFonts w:ascii="Gilroy" w:hAnsi="Gilroy"/>
          <w:sz w:val="22"/>
          <w:szCs w:val="22"/>
        </w:rPr>
        <w:t xml:space="preserve">, to ensure it aligns with Kenya’s national and international human rights </w:t>
      </w:r>
      <w:r w:rsidRPr="001622F8">
        <w:rPr>
          <w:rFonts w:ascii="Gilroy" w:hAnsi="Gilroy"/>
          <w:sz w:val="22"/>
          <w:szCs w:val="22"/>
        </w:rPr>
        <w:lastRenderedPageBreak/>
        <w:t xml:space="preserve">obligations in its design and implementation, and adopts legal, policy and technical safeguards to prevent exclusion and marginalisation. </w:t>
      </w:r>
    </w:p>
    <w:p w14:paraId="3AA7A5A8" w14:textId="179AE344" w:rsidR="001622F8" w:rsidRDefault="002D60FD" w:rsidP="001622F8">
      <w:pPr>
        <w:pStyle w:val="ListParagraph"/>
        <w:numPr>
          <w:ilvl w:val="0"/>
          <w:numId w:val="6"/>
        </w:numPr>
        <w:rPr>
          <w:rFonts w:ascii="Gilroy" w:hAnsi="Gilroy"/>
          <w:sz w:val="22"/>
          <w:szCs w:val="22"/>
        </w:rPr>
      </w:pPr>
      <w:r>
        <w:rPr>
          <w:rFonts w:ascii="Gilroy" w:hAnsi="Gilroy"/>
          <w:sz w:val="22"/>
          <w:szCs w:val="22"/>
        </w:rPr>
        <w:t xml:space="preserve">Ensure that </w:t>
      </w:r>
      <w:r w:rsidR="001622F8" w:rsidRPr="001622F8">
        <w:rPr>
          <w:rFonts w:ascii="Gilroy" w:hAnsi="Gilroy"/>
          <w:sz w:val="22"/>
          <w:szCs w:val="22"/>
        </w:rPr>
        <w:t>measure</w:t>
      </w:r>
      <w:r w:rsidR="00354CA3">
        <w:rPr>
          <w:rFonts w:ascii="Gilroy" w:hAnsi="Gilroy"/>
          <w:sz w:val="22"/>
          <w:szCs w:val="22"/>
        </w:rPr>
        <w:t>s</w:t>
      </w:r>
      <w:r w:rsidR="001622F8" w:rsidRPr="001622F8">
        <w:rPr>
          <w:rFonts w:ascii="Gilroy" w:hAnsi="Gilroy"/>
          <w:sz w:val="22"/>
          <w:szCs w:val="22"/>
        </w:rPr>
        <w:t xml:space="preserve"> </w:t>
      </w:r>
      <w:r>
        <w:rPr>
          <w:rFonts w:ascii="Gilroy" w:hAnsi="Gilroy"/>
          <w:sz w:val="22"/>
          <w:szCs w:val="22"/>
        </w:rPr>
        <w:t>taken to develop</w:t>
      </w:r>
      <w:r w:rsidR="00354CA3">
        <w:rPr>
          <w:rFonts w:ascii="Gilroy" w:hAnsi="Gilroy"/>
          <w:sz w:val="22"/>
          <w:szCs w:val="22"/>
        </w:rPr>
        <w:t xml:space="preserve"> </w:t>
      </w:r>
      <w:r w:rsidR="001622F8" w:rsidRPr="001622F8">
        <w:rPr>
          <w:rFonts w:ascii="Gilroy" w:hAnsi="Gilroy"/>
          <w:sz w:val="22"/>
          <w:szCs w:val="22"/>
        </w:rPr>
        <w:t>digital public infrastructures abide by Kenya’s national</w:t>
      </w:r>
      <w:r>
        <w:rPr>
          <w:rFonts w:ascii="Gilroy" w:hAnsi="Gilroy"/>
          <w:sz w:val="22"/>
          <w:szCs w:val="22"/>
        </w:rPr>
        <w:t xml:space="preserve"> and international</w:t>
      </w:r>
      <w:r w:rsidR="001622F8" w:rsidRPr="001622F8">
        <w:rPr>
          <w:rFonts w:ascii="Gilroy" w:hAnsi="Gilroy"/>
          <w:sz w:val="22"/>
          <w:szCs w:val="22"/>
        </w:rPr>
        <w:t xml:space="preserve"> human rights obligations including the right to social protection and the right to and adequate standard of living, and </w:t>
      </w:r>
      <w:r w:rsidRPr="001622F8">
        <w:rPr>
          <w:rFonts w:ascii="Gilroy" w:hAnsi="Gilroy"/>
          <w:sz w:val="22"/>
          <w:szCs w:val="22"/>
        </w:rPr>
        <w:t>effectively</w:t>
      </w:r>
      <w:r w:rsidR="001622F8" w:rsidRPr="001622F8">
        <w:rPr>
          <w:rFonts w:ascii="Gilroy" w:hAnsi="Gilroy"/>
          <w:sz w:val="22"/>
          <w:szCs w:val="22"/>
        </w:rPr>
        <w:t xml:space="preserve"> regulate the involvement of the private sector in such initiatives.</w:t>
      </w:r>
    </w:p>
    <w:p w14:paraId="7534ECE3" w14:textId="175026CF" w:rsidR="001622F8" w:rsidRPr="001622F8" w:rsidRDefault="00152566" w:rsidP="001622F8">
      <w:pPr>
        <w:pStyle w:val="ListParagraph"/>
        <w:numPr>
          <w:ilvl w:val="0"/>
          <w:numId w:val="6"/>
        </w:numPr>
        <w:rPr>
          <w:rFonts w:ascii="Gilroy" w:hAnsi="Gilroy"/>
          <w:sz w:val="22"/>
          <w:szCs w:val="22"/>
        </w:rPr>
      </w:pPr>
      <w:r w:rsidRPr="001622F8">
        <w:rPr>
          <w:rFonts w:ascii="Gilroy" w:hAnsi="Gilroy" w:cstheme="minorHAnsi"/>
          <w:sz w:val="22"/>
          <w:szCs w:val="22"/>
        </w:rPr>
        <w:t>Ensure that there is an effective legal and regulatory framework in place to guarantee a human rights-based approach in the design and deployment of digital health technologies by the government and non-state actors which provides for the meaningful participation of affected communities and protects people’s right</w:t>
      </w:r>
      <w:r w:rsidR="00F867D0">
        <w:rPr>
          <w:rFonts w:ascii="Gilroy" w:hAnsi="Gilroy" w:cstheme="minorHAnsi"/>
          <w:sz w:val="22"/>
          <w:szCs w:val="22"/>
        </w:rPr>
        <w:t>s</w:t>
      </w:r>
      <w:r w:rsidRPr="001622F8">
        <w:rPr>
          <w:rFonts w:ascii="Gilroy" w:hAnsi="Gilroy" w:cstheme="minorHAnsi"/>
          <w:sz w:val="22"/>
          <w:szCs w:val="22"/>
        </w:rPr>
        <w:t xml:space="preserve"> to health</w:t>
      </w:r>
      <w:r w:rsidR="00F867D0">
        <w:rPr>
          <w:rFonts w:ascii="Gilroy" w:hAnsi="Gilroy" w:cstheme="minorHAnsi"/>
          <w:sz w:val="22"/>
          <w:szCs w:val="22"/>
        </w:rPr>
        <w:t>,</w:t>
      </w:r>
      <w:r w:rsidRPr="001622F8">
        <w:rPr>
          <w:rFonts w:ascii="Gilroy" w:hAnsi="Gilroy" w:cstheme="minorHAnsi"/>
          <w:sz w:val="22"/>
          <w:szCs w:val="22"/>
        </w:rPr>
        <w:t xml:space="preserve"> </w:t>
      </w:r>
      <w:r w:rsidR="002D60FD">
        <w:rPr>
          <w:rFonts w:ascii="Gilroy" w:hAnsi="Gilroy" w:cstheme="minorHAnsi"/>
          <w:sz w:val="22"/>
          <w:szCs w:val="22"/>
        </w:rPr>
        <w:t xml:space="preserve">privacy, </w:t>
      </w:r>
      <w:r w:rsidRPr="001622F8">
        <w:rPr>
          <w:rFonts w:ascii="Gilroy" w:hAnsi="Gilroy" w:cstheme="minorHAnsi"/>
          <w:sz w:val="22"/>
          <w:szCs w:val="22"/>
        </w:rPr>
        <w:t xml:space="preserve">non-discrimination and equality </w:t>
      </w:r>
    </w:p>
    <w:p w14:paraId="62921C46" w14:textId="11ED4378" w:rsidR="008D6DD2" w:rsidRPr="00B57676" w:rsidRDefault="00152566" w:rsidP="00792403">
      <w:pPr>
        <w:pStyle w:val="ListParagraph"/>
        <w:numPr>
          <w:ilvl w:val="0"/>
          <w:numId w:val="6"/>
        </w:numPr>
        <w:rPr>
          <w:rFonts w:ascii="Gilroy" w:hAnsi="Gilroy" w:cstheme="minorHAnsi"/>
          <w:b/>
          <w:bCs/>
          <w:sz w:val="22"/>
          <w:szCs w:val="22"/>
        </w:rPr>
      </w:pPr>
      <w:r w:rsidRPr="001622F8">
        <w:rPr>
          <w:rFonts w:ascii="Gilroy" w:hAnsi="Gilroy" w:cstheme="minorHAnsi"/>
          <w:sz w:val="22"/>
          <w:szCs w:val="22"/>
        </w:rPr>
        <w:t>Take steps to ensure that the necessary protections are in place for all, but in particular women and girls, persons living with HIV, and young people, to access sexual and reproductive health information and services safely and securely, and adopt a strong regulatory framework to protect the confidentiality and privacy of their data and health status including through the effective implementation of the Data Protection Act, 2019</w:t>
      </w:r>
      <w:r w:rsidR="00792403">
        <w:rPr>
          <w:rFonts w:ascii="Gilroy" w:hAnsi="Gilroy" w:cstheme="minorHAnsi"/>
          <w:sz w:val="22"/>
          <w:szCs w:val="22"/>
        </w:rPr>
        <w:t xml:space="preserve">. </w:t>
      </w:r>
    </w:p>
    <w:p w14:paraId="53A4AAAA" w14:textId="77777777" w:rsidR="00B57676" w:rsidRDefault="00B57676" w:rsidP="00B57676">
      <w:pPr>
        <w:rPr>
          <w:rFonts w:ascii="Gilroy" w:hAnsi="Gilroy" w:cstheme="minorHAnsi"/>
          <w:b/>
          <w:bCs/>
          <w:sz w:val="22"/>
          <w:szCs w:val="22"/>
        </w:rPr>
      </w:pPr>
    </w:p>
    <w:p w14:paraId="75007813" w14:textId="77777777" w:rsidR="00B57676" w:rsidRDefault="00B57676" w:rsidP="00B57676">
      <w:pPr>
        <w:rPr>
          <w:rFonts w:ascii="Gilroy" w:hAnsi="Gilroy" w:cstheme="minorHAnsi"/>
          <w:b/>
          <w:bCs/>
          <w:sz w:val="22"/>
          <w:szCs w:val="22"/>
        </w:rPr>
      </w:pPr>
    </w:p>
    <w:p w14:paraId="04F10DBC" w14:textId="77777777" w:rsidR="00B57676" w:rsidRDefault="00B57676" w:rsidP="00B57676">
      <w:pPr>
        <w:rPr>
          <w:rFonts w:ascii="Gilroy" w:hAnsi="Gilroy" w:cstheme="minorHAnsi"/>
          <w:b/>
          <w:bCs/>
          <w:sz w:val="22"/>
          <w:szCs w:val="22"/>
        </w:rPr>
      </w:pPr>
    </w:p>
    <w:p w14:paraId="1735BBDE" w14:textId="77777777" w:rsidR="00B57676" w:rsidRDefault="00B57676" w:rsidP="00B57676">
      <w:pPr>
        <w:rPr>
          <w:rFonts w:ascii="Gilroy" w:hAnsi="Gilroy" w:cstheme="minorHAnsi"/>
          <w:b/>
          <w:bCs/>
          <w:sz w:val="22"/>
          <w:szCs w:val="22"/>
        </w:rPr>
      </w:pPr>
    </w:p>
    <w:p w14:paraId="3A573FD2" w14:textId="01CB208B" w:rsidR="00B57676" w:rsidRPr="00B57676" w:rsidRDefault="00B57676" w:rsidP="00B57676">
      <w:pPr>
        <w:rPr>
          <w:rFonts w:ascii="Gilroy" w:hAnsi="Gilroy" w:cstheme="minorHAnsi"/>
          <w:b/>
          <w:bCs/>
          <w:sz w:val="22"/>
          <w:szCs w:val="22"/>
        </w:rPr>
      </w:pPr>
    </w:p>
    <w:sectPr w:rsidR="00B57676" w:rsidRPr="00B57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43850" w14:textId="77777777" w:rsidR="00E20E21" w:rsidRDefault="00E20E21" w:rsidP="00CD552B">
      <w:r>
        <w:separator/>
      </w:r>
    </w:p>
  </w:endnote>
  <w:endnote w:type="continuationSeparator" w:id="0">
    <w:p w14:paraId="07E44BEE" w14:textId="77777777" w:rsidR="00E20E21" w:rsidRDefault="00E20E21" w:rsidP="00CD5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ilroy">
    <w:panose1 w:val="00000500000000000000"/>
    <w:charset w:val="4D"/>
    <w:family w:val="auto"/>
    <w:notTrueType/>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2459E" w14:textId="77777777" w:rsidR="00E20E21" w:rsidRDefault="00E20E21" w:rsidP="00CD552B">
      <w:r>
        <w:separator/>
      </w:r>
    </w:p>
  </w:footnote>
  <w:footnote w:type="continuationSeparator" w:id="0">
    <w:p w14:paraId="28FBDAE5" w14:textId="77777777" w:rsidR="00E20E21" w:rsidRDefault="00E20E21" w:rsidP="00CD552B">
      <w:r>
        <w:continuationSeparator/>
      </w:r>
    </w:p>
  </w:footnote>
  <w:footnote w:id="1">
    <w:p w14:paraId="63F0B6CE" w14:textId="3AF0F6AE" w:rsidR="001622F8" w:rsidRPr="001622F8" w:rsidRDefault="001622F8">
      <w:pPr>
        <w:pStyle w:val="FootnoteText"/>
        <w:rPr>
          <w:rFonts w:ascii="Gilroy" w:hAnsi="Gilroy"/>
          <w:sz w:val="18"/>
          <w:szCs w:val="18"/>
        </w:rPr>
      </w:pPr>
      <w:r w:rsidRPr="001622F8">
        <w:rPr>
          <w:rStyle w:val="FootnoteReference"/>
          <w:rFonts w:ascii="Gilroy" w:hAnsi="Gilroy"/>
          <w:sz w:val="18"/>
          <w:szCs w:val="18"/>
        </w:rPr>
        <w:footnoteRef/>
      </w:r>
      <w:r w:rsidR="00354CA3">
        <w:rPr>
          <w:rFonts w:ascii="Gilroy" w:hAnsi="Gilroy"/>
          <w:sz w:val="18"/>
          <w:szCs w:val="18"/>
        </w:rPr>
        <w:t xml:space="preserve"> Privacy International, ‘</w:t>
      </w:r>
      <w:r w:rsidR="00F00141" w:rsidRPr="00F00141">
        <w:rPr>
          <w:rFonts w:ascii="Gilroy" w:hAnsi="Gilroy"/>
          <w:sz w:val="18"/>
          <w:szCs w:val="18"/>
        </w:rPr>
        <w:t>Social protection programmes</w:t>
      </w:r>
      <w:r w:rsidR="00F00141">
        <w:rPr>
          <w:rFonts w:ascii="Gilroy" w:hAnsi="Gilroy"/>
          <w:sz w:val="18"/>
          <w:szCs w:val="18"/>
        </w:rPr>
        <w:t xml:space="preserve">’, </w:t>
      </w:r>
      <w:hyperlink r:id="rId1" w:history="1">
        <w:r w:rsidR="00F00141" w:rsidRPr="005D0BB2">
          <w:rPr>
            <w:rStyle w:val="Hyperlink"/>
            <w:rFonts w:ascii="Gilroy" w:hAnsi="Gilroy"/>
            <w:sz w:val="18"/>
            <w:szCs w:val="18"/>
          </w:rPr>
          <w:t>https://privacyinternational.org/learn/social-protection-programmes</w:t>
        </w:r>
      </w:hyperlink>
      <w:r w:rsidR="00F00141">
        <w:rPr>
          <w:rFonts w:ascii="Gilroy" w:hAnsi="Gilroy"/>
          <w:sz w:val="18"/>
          <w:szCs w:val="18"/>
        </w:rPr>
        <w:t>.</w:t>
      </w:r>
      <w:r w:rsidRPr="001622F8">
        <w:rPr>
          <w:rFonts w:ascii="Gilroy" w:hAnsi="Gilroy"/>
          <w:sz w:val="18"/>
          <w:szCs w:val="18"/>
        </w:rPr>
        <w:t xml:space="preserve"> </w:t>
      </w:r>
    </w:p>
  </w:footnote>
  <w:footnote w:id="2">
    <w:p w14:paraId="5A85ADFA" w14:textId="5251EAA5" w:rsidR="001622F8" w:rsidRPr="00792403" w:rsidRDefault="001622F8">
      <w:pPr>
        <w:pStyle w:val="FootnoteText"/>
        <w:rPr>
          <w:rFonts w:ascii="Gilroy" w:hAnsi="Gilroy"/>
          <w:sz w:val="18"/>
          <w:szCs w:val="18"/>
        </w:rPr>
      </w:pPr>
      <w:r w:rsidRPr="001622F8">
        <w:rPr>
          <w:rStyle w:val="FootnoteReference"/>
          <w:rFonts w:ascii="Gilroy" w:hAnsi="Gilroy"/>
          <w:sz w:val="18"/>
          <w:szCs w:val="18"/>
        </w:rPr>
        <w:footnoteRef/>
      </w:r>
      <w:r w:rsidR="00F00141">
        <w:rPr>
          <w:rFonts w:ascii="Gilroy" w:hAnsi="Gilroy"/>
          <w:sz w:val="18"/>
          <w:szCs w:val="18"/>
        </w:rPr>
        <w:t xml:space="preserve"> Privacy International, ‘</w:t>
      </w:r>
      <w:r w:rsidR="00F00141" w:rsidRPr="00F00141">
        <w:rPr>
          <w:rFonts w:ascii="Gilroy" w:hAnsi="Gilroy"/>
          <w:sz w:val="18"/>
          <w:szCs w:val="18"/>
        </w:rPr>
        <w:t>Stage 3 - The policing of social benefits: punishing poverty</w:t>
      </w:r>
      <w:r w:rsidR="00F00141">
        <w:rPr>
          <w:rFonts w:ascii="Gilroy" w:hAnsi="Gilroy"/>
          <w:sz w:val="18"/>
          <w:szCs w:val="18"/>
        </w:rPr>
        <w:t xml:space="preserve">’, </w:t>
      </w:r>
      <w:r w:rsidR="00F00141" w:rsidRPr="00F00141">
        <w:rPr>
          <w:rFonts w:ascii="Gilroy" w:hAnsi="Gilroy"/>
          <w:sz w:val="18"/>
          <w:szCs w:val="18"/>
        </w:rPr>
        <w:t>7</w:t>
      </w:r>
      <w:r w:rsidR="00F00141">
        <w:rPr>
          <w:rFonts w:ascii="Gilroy" w:hAnsi="Gilroy"/>
          <w:sz w:val="18"/>
          <w:szCs w:val="18"/>
        </w:rPr>
        <w:t xml:space="preserve"> </w:t>
      </w:r>
      <w:r w:rsidR="00F00141" w:rsidRPr="00F00141">
        <w:rPr>
          <w:rFonts w:ascii="Gilroy" w:hAnsi="Gilroy"/>
          <w:sz w:val="18"/>
          <w:szCs w:val="18"/>
        </w:rPr>
        <w:t>August 2019</w:t>
      </w:r>
      <w:r w:rsidR="00F00141">
        <w:rPr>
          <w:rFonts w:ascii="Gilroy" w:hAnsi="Gilroy"/>
          <w:sz w:val="18"/>
          <w:szCs w:val="18"/>
        </w:rPr>
        <w:t xml:space="preserve">, </w:t>
      </w:r>
      <w:r w:rsidRPr="00792403">
        <w:rPr>
          <w:rFonts w:ascii="Gilroy" w:hAnsi="Gilroy"/>
          <w:sz w:val="18"/>
          <w:szCs w:val="18"/>
        </w:rPr>
        <w:t xml:space="preserve"> </w:t>
      </w:r>
      <w:hyperlink r:id="rId2" w:history="1">
        <w:r w:rsidRPr="00792403">
          <w:rPr>
            <w:rStyle w:val="Hyperlink"/>
            <w:rFonts w:ascii="Gilroy" w:hAnsi="Gilroy"/>
            <w:sz w:val="18"/>
            <w:szCs w:val="18"/>
          </w:rPr>
          <w:t>https://privacyinternational.org/node/3114</w:t>
        </w:r>
      </w:hyperlink>
      <w:r w:rsidR="00F00141" w:rsidRPr="00792403">
        <w:rPr>
          <w:rFonts w:ascii="Gilroy" w:hAnsi="Gilroy"/>
          <w:sz w:val="18"/>
          <w:szCs w:val="18"/>
        </w:rPr>
        <w:t xml:space="preserve">. </w:t>
      </w:r>
      <w:r w:rsidRPr="00792403">
        <w:rPr>
          <w:rFonts w:ascii="Gilroy" w:hAnsi="Gilroy"/>
          <w:sz w:val="18"/>
          <w:szCs w:val="18"/>
        </w:rPr>
        <w:t xml:space="preserve"> </w:t>
      </w:r>
    </w:p>
  </w:footnote>
  <w:footnote w:id="3">
    <w:p w14:paraId="54547B2D" w14:textId="118707D4"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00F77848" w:rsidRPr="00792403">
        <w:rPr>
          <w:rFonts w:ascii="Gilroy" w:hAnsi="Gilroy"/>
          <w:sz w:val="18"/>
          <w:szCs w:val="18"/>
        </w:rPr>
        <w:t xml:space="preserve"> Privacy International, ‘The 'Identity Crisis' around the world’, 16 September 2023,</w:t>
      </w:r>
      <w:r w:rsidRPr="00792403">
        <w:rPr>
          <w:rFonts w:ascii="Gilroy" w:hAnsi="Gilroy"/>
          <w:sz w:val="18"/>
          <w:szCs w:val="18"/>
        </w:rPr>
        <w:t xml:space="preserve"> </w:t>
      </w:r>
      <w:hyperlink r:id="rId3" w:history="1">
        <w:r w:rsidRPr="00792403">
          <w:rPr>
            <w:rStyle w:val="Hyperlink"/>
            <w:rFonts w:ascii="Gilroy" w:hAnsi="Gilroy"/>
            <w:sz w:val="18"/>
            <w:szCs w:val="18"/>
          </w:rPr>
          <w:t>https://privacyinternational.org/explainer/5126/identity-crisis-around-world</w:t>
        </w:r>
      </w:hyperlink>
      <w:r w:rsidR="00F77848" w:rsidRPr="00792403">
        <w:rPr>
          <w:rFonts w:ascii="Gilroy" w:hAnsi="Gilroy"/>
          <w:sz w:val="18"/>
          <w:szCs w:val="18"/>
        </w:rPr>
        <w:t xml:space="preserve">. </w:t>
      </w:r>
      <w:r w:rsidRPr="00792403">
        <w:rPr>
          <w:rFonts w:ascii="Gilroy" w:hAnsi="Gilroy"/>
          <w:sz w:val="18"/>
          <w:szCs w:val="18"/>
        </w:rPr>
        <w:t xml:space="preserve"> </w:t>
      </w:r>
    </w:p>
  </w:footnote>
  <w:footnote w:id="4">
    <w:p w14:paraId="45174A8B" w14:textId="7813162B" w:rsidR="0024029E" w:rsidRPr="00792403" w:rsidRDefault="0024029E">
      <w:pPr>
        <w:pStyle w:val="FootnoteText"/>
        <w:rPr>
          <w:rFonts w:ascii="Gilroy" w:hAnsi="Gilroy"/>
          <w:sz w:val="18"/>
          <w:szCs w:val="18"/>
        </w:rPr>
      </w:pPr>
      <w:r w:rsidRPr="00792403">
        <w:rPr>
          <w:rStyle w:val="FootnoteReference"/>
          <w:rFonts w:ascii="Gilroy" w:hAnsi="Gilroy"/>
          <w:sz w:val="18"/>
          <w:szCs w:val="18"/>
        </w:rPr>
        <w:footnoteRef/>
      </w:r>
      <w:r w:rsidRPr="00792403">
        <w:rPr>
          <w:rFonts w:ascii="Gilroy" w:hAnsi="Gilroy"/>
          <w:sz w:val="18"/>
          <w:szCs w:val="18"/>
        </w:rPr>
        <w:t xml:space="preserve"> Privacy International, ‘Data Protection Impact Assessments and ID systems: the 2021 Kenyan ruling on </w:t>
      </w:r>
      <w:proofErr w:type="spellStart"/>
      <w:r w:rsidRPr="00792403">
        <w:rPr>
          <w:rFonts w:ascii="Gilroy" w:hAnsi="Gilroy"/>
          <w:sz w:val="18"/>
          <w:szCs w:val="18"/>
        </w:rPr>
        <w:t>Huduma</w:t>
      </w:r>
      <w:proofErr w:type="spellEnd"/>
      <w:r w:rsidRPr="00792403">
        <w:rPr>
          <w:rFonts w:ascii="Gilroy" w:hAnsi="Gilroy"/>
          <w:sz w:val="18"/>
          <w:szCs w:val="18"/>
        </w:rPr>
        <w:t xml:space="preserve"> </w:t>
      </w:r>
      <w:proofErr w:type="spellStart"/>
      <w:r w:rsidRPr="00792403">
        <w:rPr>
          <w:rFonts w:ascii="Gilroy" w:hAnsi="Gilroy"/>
          <w:sz w:val="18"/>
          <w:szCs w:val="18"/>
        </w:rPr>
        <w:t>Namba</w:t>
      </w:r>
      <w:proofErr w:type="spellEnd"/>
      <w:r w:rsidRPr="00792403">
        <w:rPr>
          <w:rFonts w:ascii="Gilroy" w:hAnsi="Gilroy"/>
          <w:sz w:val="18"/>
          <w:szCs w:val="18"/>
        </w:rPr>
        <w:t xml:space="preserve">’, 27 January 2022, </w:t>
      </w:r>
      <w:hyperlink r:id="rId4" w:history="1">
        <w:r w:rsidRPr="00792403">
          <w:rPr>
            <w:rStyle w:val="Hyperlink"/>
            <w:rFonts w:ascii="Gilroy" w:hAnsi="Gilroy"/>
            <w:sz w:val="18"/>
            <w:szCs w:val="18"/>
          </w:rPr>
          <w:t>https://privacyinternational.org/news-analysis/4778/data-protection-impact-assessments-and-id-systems-2021-kenyan-ruling-huduma</w:t>
        </w:r>
      </w:hyperlink>
      <w:r w:rsidRPr="00792403">
        <w:rPr>
          <w:rFonts w:ascii="Gilroy" w:hAnsi="Gilroy"/>
          <w:sz w:val="18"/>
          <w:szCs w:val="18"/>
        </w:rPr>
        <w:t xml:space="preserve">. </w:t>
      </w:r>
    </w:p>
  </w:footnote>
  <w:footnote w:id="5">
    <w:p w14:paraId="71C03F0D" w14:textId="522658E0" w:rsidR="001622F8" w:rsidRPr="00792403" w:rsidRDefault="001622F8">
      <w:pPr>
        <w:pStyle w:val="FootnoteText"/>
        <w:rPr>
          <w:rFonts w:ascii="Gilroy" w:hAnsi="Gilroy"/>
          <w:b/>
          <w:bCs/>
          <w:sz w:val="18"/>
          <w:szCs w:val="18"/>
        </w:rPr>
      </w:pPr>
      <w:r w:rsidRPr="00792403">
        <w:rPr>
          <w:rStyle w:val="FootnoteReference"/>
          <w:rFonts w:ascii="Gilroy" w:hAnsi="Gilroy"/>
          <w:sz w:val="18"/>
          <w:szCs w:val="18"/>
        </w:rPr>
        <w:footnoteRef/>
      </w:r>
      <w:r w:rsidR="00F77848" w:rsidRPr="00792403">
        <w:rPr>
          <w:rFonts w:ascii="Gilroy" w:hAnsi="Gilroy"/>
          <w:sz w:val="18"/>
          <w:szCs w:val="18"/>
        </w:rPr>
        <w:t xml:space="preserve"> Nation, ‘Nubian group opposes use of new ID system’, 28 June 2020. </w:t>
      </w:r>
      <w:hyperlink r:id="rId5" w:history="1">
        <w:r w:rsidR="00F77848" w:rsidRPr="00792403">
          <w:rPr>
            <w:rStyle w:val="Hyperlink"/>
            <w:rFonts w:ascii="Gilroy" w:hAnsi="Gilroy"/>
            <w:sz w:val="18"/>
            <w:szCs w:val="18"/>
          </w:rPr>
          <w:t>https://www.nation.co.ke/news/Group-opposes-use-of-new-ID-system/1056-4994288-pt4cru/index.html</w:t>
        </w:r>
      </w:hyperlink>
      <w:r w:rsidRPr="00792403">
        <w:rPr>
          <w:rFonts w:ascii="Gilroy" w:hAnsi="Gilroy"/>
          <w:sz w:val="18"/>
          <w:szCs w:val="18"/>
        </w:rPr>
        <w:t xml:space="preserve"> </w:t>
      </w:r>
    </w:p>
  </w:footnote>
  <w:footnote w:id="6">
    <w:p w14:paraId="24292A74" w14:textId="4FDE3450"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00F77848" w:rsidRPr="00792403">
        <w:rPr>
          <w:rFonts w:ascii="Gilroy" w:hAnsi="Gilroy"/>
          <w:sz w:val="18"/>
          <w:szCs w:val="18"/>
        </w:rPr>
        <w:t xml:space="preserve"> See:</w:t>
      </w:r>
      <w:r w:rsidRPr="00792403">
        <w:rPr>
          <w:rFonts w:ascii="Gilroy" w:hAnsi="Gilroy"/>
          <w:sz w:val="18"/>
          <w:szCs w:val="18"/>
        </w:rPr>
        <w:t xml:space="preserve"> </w:t>
      </w:r>
      <w:hyperlink r:id="rId6" w:history="1">
        <w:r w:rsidRPr="00792403">
          <w:rPr>
            <w:rStyle w:val="Hyperlink"/>
            <w:rFonts w:ascii="Gilroy" w:hAnsi="Gilroy"/>
            <w:sz w:val="18"/>
            <w:szCs w:val="18"/>
          </w:rPr>
          <w:t>http://kenyalaw.org/caselaw/cases/view/189189/</w:t>
        </w:r>
      </w:hyperlink>
      <w:r w:rsidRPr="00792403">
        <w:rPr>
          <w:rFonts w:ascii="Gilroy" w:hAnsi="Gilroy"/>
          <w:sz w:val="18"/>
          <w:szCs w:val="18"/>
        </w:rPr>
        <w:t xml:space="preserve"> </w:t>
      </w:r>
    </w:p>
  </w:footnote>
  <w:footnote w:id="7">
    <w:p w14:paraId="529D1D1C" w14:textId="581D9A15"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00F77848" w:rsidRPr="00792403">
        <w:rPr>
          <w:rFonts w:ascii="Gilroy" w:hAnsi="Gilroy"/>
          <w:sz w:val="18"/>
          <w:szCs w:val="18"/>
        </w:rPr>
        <w:t xml:space="preserve"> Privacy International, ‘Kenyan Court Ruling on </w:t>
      </w:r>
      <w:proofErr w:type="spellStart"/>
      <w:r w:rsidR="00F77848" w:rsidRPr="00792403">
        <w:rPr>
          <w:rFonts w:ascii="Gilroy" w:hAnsi="Gilroy"/>
          <w:sz w:val="18"/>
          <w:szCs w:val="18"/>
        </w:rPr>
        <w:t>Huduma</w:t>
      </w:r>
      <w:proofErr w:type="spellEnd"/>
      <w:r w:rsidR="00F77848" w:rsidRPr="00792403">
        <w:rPr>
          <w:rFonts w:ascii="Gilroy" w:hAnsi="Gilroy"/>
          <w:sz w:val="18"/>
          <w:szCs w:val="18"/>
        </w:rPr>
        <w:t xml:space="preserve"> </w:t>
      </w:r>
      <w:proofErr w:type="spellStart"/>
      <w:r w:rsidR="00F77848" w:rsidRPr="00792403">
        <w:rPr>
          <w:rFonts w:ascii="Gilroy" w:hAnsi="Gilroy"/>
          <w:sz w:val="18"/>
          <w:szCs w:val="18"/>
        </w:rPr>
        <w:t>Namba</w:t>
      </w:r>
      <w:proofErr w:type="spellEnd"/>
      <w:r w:rsidR="00F77848" w:rsidRPr="00792403">
        <w:rPr>
          <w:rFonts w:ascii="Gilroy" w:hAnsi="Gilroy"/>
          <w:sz w:val="18"/>
          <w:szCs w:val="18"/>
        </w:rPr>
        <w:t xml:space="preserve"> Identity System: the Good, the Bad and the Lessons’, 24 February 2020,</w:t>
      </w:r>
      <w:r w:rsidRPr="00792403">
        <w:rPr>
          <w:rFonts w:ascii="Gilroy" w:hAnsi="Gilroy"/>
          <w:sz w:val="18"/>
          <w:szCs w:val="18"/>
        </w:rPr>
        <w:t xml:space="preserve"> </w:t>
      </w:r>
      <w:hyperlink r:id="rId7" w:history="1">
        <w:r w:rsidRPr="00792403">
          <w:rPr>
            <w:rStyle w:val="Hyperlink"/>
            <w:rFonts w:ascii="Gilroy" w:hAnsi="Gilroy"/>
            <w:sz w:val="18"/>
            <w:szCs w:val="18"/>
          </w:rPr>
          <w:t>https://privacyinternational.org/long-read/3373/kenyan-court-ruling-huduma-namba-identity-system-good-bad-and-lessons</w:t>
        </w:r>
      </w:hyperlink>
      <w:r w:rsidR="00F77848" w:rsidRPr="00792403">
        <w:rPr>
          <w:rFonts w:ascii="Gilroy" w:hAnsi="Gilroy"/>
          <w:sz w:val="18"/>
          <w:szCs w:val="18"/>
        </w:rPr>
        <w:t>.</w:t>
      </w:r>
      <w:r w:rsidRPr="00792403">
        <w:rPr>
          <w:rFonts w:ascii="Gilroy" w:hAnsi="Gilroy"/>
          <w:sz w:val="18"/>
          <w:szCs w:val="18"/>
        </w:rPr>
        <w:t xml:space="preserve"> </w:t>
      </w:r>
    </w:p>
  </w:footnote>
  <w:footnote w:id="8">
    <w:p w14:paraId="0938ADB4" w14:textId="1634376F"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00F77848" w:rsidRPr="00792403">
        <w:rPr>
          <w:rFonts w:ascii="Gilroy" w:hAnsi="Gilroy"/>
          <w:sz w:val="18"/>
          <w:szCs w:val="18"/>
        </w:rPr>
        <w:t xml:space="preserve"> </w:t>
      </w:r>
      <w:proofErr w:type="spellStart"/>
      <w:r w:rsidR="00F77848" w:rsidRPr="00792403">
        <w:rPr>
          <w:rFonts w:ascii="Gilroy" w:hAnsi="Gilroy"/>
          <w:sz w:val="18"/>
          <w:szCs w:val="18"/>
        </w:rPr>
        <w:t>Namati</w:t>
      </w:r>
      <w:proofErr w:type="spellEnd"/>
      <w:r w:rsidR="00F77848" w:rsidRPr="00792403">
        <w:rPr>
          <w:rFonts w:ascii="Gilroy" w:hAnsi="Gilroy"/>
          <w:sz w:val="18"/>
          <w:szCs w:val="18"/>
        </w:rPr>
        <w:t xml:space="preserve">, ‘Press Release: </w:t>
      </w:r>
      <w:proofErr w:type="spellStart"/>
      <w:r w:rsidR="00F77848" w:rsidRPr="00792403">
        <w:rPr>
          <w:rFonts w:ascii="Gilroy" w:hAnsi="Gilroy"/>
          <w:sz w:val="18"/>
          <w:szCs w:val="18"/>
        </w:rPr>
        <w:t>Huduma</w:t>
      </w:r>
      <w:proofErr w:type="spellEnd"/>
      <w:r w:rsidR="00F77848" w:rsidRPr="00792403">
        <w:rPr>
          <w:rFonts w:ascii="Gilroy" w:hAnsi="Gilroy"/>
          <w:sz w:val="18"/>
          <w:szCs w:val="18"/>
        </w:rPr>
        <w:t xml:space="preserve"> </w:t>
      </w:r>
      <w:proofErr w:type="spellStart"/>
      <w:r w:rsidR="00F77848" w:rsidRPr="00792403">
        <w:rPr>
          <w:rFonts w:ascii="Gilroy" w:hAnsi="Gilroy"/>
          <w:sz w:val="18"/>
          <w:szCs w:val="18"/>
        </w:rPr>
        <w:t>Namba</w:t>
      </w:r>
      <w:proofErr w:type="spellEnd"/>
      <w:r w:rsidR="00F77848" w:rsidRPr="00792403">
        <w:rPr>
          <w:rFonts w:ascii="Gilroy" w:hAnsi="Gilroy"/>
          <w:sz w:val="18"/>
          <w:szCs w:val="18"/>
        </w:rPr>
        <w:t xml:space="preserve"> Stopped!’, 31 January 2020, </w:t>
      </w:r>
      <w:r w:rsidRPr="00792403">
        <w:rPr>
          <w:rFonts w:ascii="Gilroy" w:hAnsi="Gilroy"/>
          <w:sz w:val="18"/>
          <w:szCs w:val="18"/>
        </w:rPr>
        <w:t xml:space="preserve"> </w:t>
      </w:r>
      <w:hyperlink r:id="rId8" w:history="1">
        <w:r w:rsidRPr="00792403">
          <w:rPr>
            <w:rStyle w:val="Hyperlink"/>
            <w:rFonts w:ascii="Gilroy" w:hAnsi="Gilroy"/>
            <w:sz w:val="18"/>
            <w:szCs w:val="18"/>
          </w:rPr>
          <w:t>https://namati.org/news-stories/press-release-huduma-namba-stopped/</w:t>
        </w:r>
      </w:hyperlink>
      <w:r w:rsidR="00F77848" w:rsidRPr="00792403">
        <w:rPr>
          <w:rFonts w:ascii="Gilroy" w:hAnsi="Gilroy"/>
          <w:sz w:val="18"/>
          <w:szCs w:val="18"/>
        </w:rPr>
        <w:t>.</w:t>
      </w:r>
      <w:r w:rsidRPr="00792403">
        <w:rPr>
          <w:rFonts w:ascii="Gilroy" w:hAnsi="Gilroy"/>
          <w:sz w:val="18"/>
          <w:szCs w:val="18"/>
        </w:rPr>
        <w:t xml:space="preserve"> </w:t>
      </w:r>
    </w:p>
  </w:footnote>
  <w:footnote w:id="9">
    <w:p w14:paraId="02DF824A" w14:textId="0883BAF2" w:rsidR="0024029E" w:rsidRDefault="0024029E">
      <w:pPr>
        <w:pStyle w:val="FootnoteText"/>
      </w:pPr>
      <w:r w:rsidRPr="00792403">
        <w:rPr>
          <w:rStyle w:val="FootnoteReference"/>
          <w:rFonts w:ascii="Gilroy" w:hAnsi="Gilroy"/>
          <w:sz w:val="18"/>
          <w:szCs w:val="18"/>
        </w:rPr>
        <w:footnoteRef/>
      </w:r>
      <w:r w:rsidRPr="00792403">
        <w:rPr>
          <w:rFonts w:ascii="Gilroy" w:hAnsi="Gilroy"/>
          <w:sz w:val="18"/>
          <w:szCs w:val="18"/>
        </w:rPr>
        <w:t xml:space="preserve"> See: </w:t>
      </w:r>
      <w:hyperlink r:id="rId9" w:history="1">
        <w:r w:rsidRPr="00792403">
          <w:rPr>
            <w:rStyle w:val="Hyperlink"/>
            <w:rFonts w:ascii="Gilroy" w:hAnsi="Gilroy"/>
            <w:sz w:val="18"/>
            <w:szCs w:val="18"/>
          </w:rPr>
          <w:t>https://www.kenyans.co.ke/news/92093-maisha-namba-govt-unveils-new-name-digital-id-after-signing-deal-un</w:t>
        </w:r>
      </w:hyperlink>
      <w:r>
        <w:rPr>
          <w:rStyle w:val="Hyperlink"/>
          <w:rFonts w:ascii="Gilroy" w:hAnsi="Gilroy"/>
          <w:sz w:val="18"/>
          <w:szCs w:val="18"/>
        </w:rPr>
        <w:t xml:space="preserve"> </w:t>
      </w:r>
    </w:p>
  </w:footnote>
  <w:footnote w:id="10">
    <w:p w14:paraId="1A5C82B8" w14:textId="07CB40F7"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Pr="00792403">
        <w:rPr>
          <w:rFonts w:ascii="Gilroy" w:hAnsi="Gilroy"/>
          <w:sz w:val="18"/>
          <w:szCs w:val="18"/>
        </w:rPr>
        <w:t xml:space="preserve"> </w:t>
      </w:r>
      <w:r w:rsidR="00A9143D" w:rsidRPr="00792403">
        <w:rPr>
          <w:rFonts w:ascii="Gilroy" w:hAnsi="Gilroy"/>
          <w:sz w:val="18"/>
          <w:szCs w:val="18"/>
        </w:rPr>
        <w:t xml:space="preserve">See: </w:t>
      </w:r>
      <w:r w:rsidRPr="00792403">
        <w:rPr>
          <w:rFonts w:ascii="Gilroy" w:hAnsi="Gilroy"/>
          <w:sz w:val="18"/>
          <w:szCs w:val="18"/>
        </w:rPr>
        <w:t xml:space="preserve">https://www.kictanet.or.ke/understanding-maisha-namba-kenyas-new-digital-identity-system/).   </w:t>
      </w:r>
    </w:p>
  </w:footnote>
  <w:footnote w:id="11">
    <w:p w14:paraId="05DE32BC" w14:textId="18534380"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00A9143D" w:rsidRPr="00792403">
        <w:rPr>
          <w:rFonts w:ascii="Gilroy" w:hAnsi="Gilroy"/>
          <w:sz w:val="18"/>
          <w:szCs w:val="18"/>
        </w:rPr>
        <w:t xml:space="preserve"> See:</w:t>
      </w:r>
      <w:r w:rsidRPr="00792403">
        <w:rPr>
          <w:rFonts w:ascii="Gilroy" w:hAnsi="Gilroy"/>
          <w:sz w:val="18"/>
          <w:szCs w:val="18"/>
        </w:rPr>
        <w:t xml:space="preserve"> </w:t>
      </w:r>
      <w:hyperlink r:id="rId10" w:history="1">
        <w:r w:rsidRPr="00792403">
          <w:rPr>
            <w:rStyle w:val="Hyperlink"/>
            <w:rFonts w:ascii="Gilroy" w:hAnsi="Gilroy"/>
            <w:sz w:val="18"/>
            <w:szCs w:val="18"/>
          </w:rPr>
          <w:t>https://nation.africa/kenya/news/high-court-puts-the-brakes-on-kindiki-s-plan-to-introduce-maisha-namba-4454474,https://itweb.africa/content/raYAyqorp3pMJ38N,https://nation.africa/kenya/news/high-court-stops-implementation-of-maisha-card-4702756</w:t>
        </w:r>
      </w:hyperlink>
      <w:r w:rsidRPr="00792403">
        <w:rPr>
          <w:rFonts w:ascii="Gilroy" w:hAnsi="Gilroy"/>
          <w:sz w:val="18"/>
          <w:szCs w:val="18"/>
        </w:rPr>
        <w:t xml:space="preserve">; </w:t>
      </w:r>
      <w:hyperlink r:id="rId11" w:history="1">
        <w:r w:rsidRPr="00792403">
          <w:rPr>
            <w:rStyle w:val="Hyperlink"/>
            <w:rFonts w:ascii="Gilroy" w:hAnsi="Gilroy"/>
            <w:sz w:val="18"/>
            <w:szCs w:val="18"/>
          </w:rPr>
          <w:t>https://www.the-star.co.ke/news/2024-08-12-court-rescinds-earlier-orders-blocking-maisha-namba-rollout</w:t>
        </w:r>
      </w:hyperlink>
      <w:r w:rsidR="00A9143D" w:rsidRPr="00792403">
        <w:rPr>
          <w:rFonts w:ascii="Gilroy" w:hAnsi="Gilroy"/>
          <w:sz w:val="18"/>
          <w:szCs w:val="18"/>
        </w:rPr>
        <w:t xml:space="preserve">. </w:t>
      </w:r>
      <w:r w:rsidRPr="00792403">
        <w:rPr>
          <w:rFonts w:ascii="Gilroy" w:hAnsi="Gilroy"/>
          <w:sz w:val="18"/>
          <w:szCs w:val="18"/>
        </w:rPr>
        <w:t xml:space="preserve"> </w:t>
      </w:r>
    </w:p>
  </w:footnote>
  <w:footnote w:id="12">
    <w:p w14:paraId="1D2FB1F0" w14:textId="1C5E41BF" w:rsidR="0024029E" w:rsidRPr="00792403" w:rsidRDefault="0024029E">
      <w:pPr>
        <w:pStyle w:val="FootnoteText"/>
        <w:rPr>
          <w:rFonts w:ascii="Gilroy" w:hAnsi="Gilroy"/>
          <w:sz w:val="18"/>
          <w:szCs w:val="18"/>
        </w:rPr>
      </w:pPr>
      <w:r w:rsidRPr="00792403">
        <w:rPr>
          <w:rStyle w:val="FootnoteReference"/>
          <w:rFonts w:ascii="Gilroy" w:hAnsi="Gilroy"/>
          <w:sz w:val="18"/>
          <w:szCs w:val="18"/>
        </w:rPr>
        <w:footnoteRef/>
      </w:r>
      <w:r w:rsidRPr="00792403">
        <w:rPr>
          <w:rFonts w:ascii="Gilroy" w:hAnsi="Gilroy"/>
          <w:sz w:val="18"/>
          <w:szCs w:val="18"/>
        </w:rPr>
        <w:t xml:space="preserve"> See: </w:t>
      </w:r>
      <w:hyperlink r:id="rId12" w:history="1">
        <w:r w:rsidRPr="00792403">
          <w:rPr>
            <w:rStyle w:val="Hyperlink"/>
            <w:rFonts w:ascii="Gilroy" w:hAnsi="Gilroy"/>
            <w:sz w:val="18"/>
            <w:szCs w:val="18"/>
          </w:rPr>
          <w:t>https://drive.google.com/file/d/1gROLgdLyJJLifgtjM39MPMEPtyT27yTE/view</w:t>
        </w:r>
      </w:hyperlink>
      <w:r w:rsidRPr="00792403">
        <w:rPr>
          <w:rStyle w:val="Hyperlink"/>
          <w:rFonts w:ascii="Gilroy" w:hAnsi="Gilroy"/>
          <w:sz w:val="18"/>
          <w:szCs w:val="18"/>
        </w:rPr>
        <w:t xml:space="preserve"> </w:t>
      </w:r>
    </w:p>
  </w:footnote>
  <w:footnote w:id="13">
    <w:p w14:paraId="335A920E" w14:textId="34C49B1C" w:rsidR="001622F8" w:rsidRPr="00792403" w:rsidRDefault="001622F8">
      <w:pPr>
        <w:pStyle w:val="FootnoteText"/>
        <w:rPr>
          <w:rFonts w:ascii="Gilroy" w:hAnsi="Gilroy"/>
          <w:sz w:val="18"/>
          <w:szCs w:val="18"/>
        </w:rPr>
      </w:pPr>
      <w:r w:rsidRPr="00792403">
        <w:rPr>
          <w:rStyle w:val="FootnoteReference"/>
          <w:rFonts w:ascii="Gilroy" w:hAnsi="Gilroy"/>
          <w:sz w:val="18"/>
          <w:szCs w:val="18"/>
        </w:rPr>
        <w:footnoteRef/>
      </w:r>
      <w:r w:rsidR="00A9143D" w:rsidRPr="00792403">
        <w:rPr>
          <w:rFonts w:ascii="Gilroy" w:hAnsi="Gilroy"/>
          <w:sz w:val="18"/>
          <w:szCs w:val="18"/>
        </w:rPr>
        <w:t xml:space="preserve"> See:</w:t>
      </w:r>
      <w:r w:rsidRPr="00792403">
        <w:rPr>
          <w:rFonts w:ascii="Gilroy" w:hAnsi="Gilroy"/>
          <w:sz w:val="18"/>
          <w:szCs w:val="18"/>
        </w:rPr>
        <w:t xml:space="preserve"> </w:t>
      </w:r>
      <w:hyperlink r:id="rId13" w:history="1">
        <w:r w:rsidR="00A9143D" w:rsidRPr="00792403">
          <w:rPr>
            <w:rStyle w:val="Hyperlink"/>
            <w:rFonts w:ascii="Gilroy" w:hAnsi="Gilroy"/>
            <w:sz w:val="18"/>
            <w:szCs w:val="18"/>
          </w:rPr>
          <w:t>https://drive.google.com/file/d/1ziw6aEqHdAL5Ly7Ct51TA_CN-ZaX-XAp/view; https://privacyinternational.org/video/4412/when-id-leaves-you-without-identity-case-double-registration-kenya</w:t>
        </w:r>
      </w:hyperlink>
      <w:r w:rsidRPr="00792403">
        <w:rPr>
          <w:rFonts w:ascii="Gilroy" w:hAnsi="Gilroy"/>
          <w:sz w:val="18"/>
          <w:szCs w:val="18"/>
        </w:rPr>
        <w:t xml:space="preserve"> </w:t>
      </w:r>
    </w:p>
  </w:footnote>
  <w:footnote w:id="14">
    <w:p w14:paraId="5BD4471C" w14:textId="7A66204B" w:rsidR="001622F8" w:rsidRPr="001622F8" w:rsidRDefault="001622F8">
      <w:pPr>
        <w:pStyle w:val="FootnoteText"/>
        <w:rPr>
          <w:rFonts w:ascii="Gilroy" w:hAnsi="Gilroy"/>
          <w:sz w:val="18"/>
          <w:szCs w:val="18"/>
        </w:rPr>
      </w:pPr>
      <w:r w:rsidRPr="00792403">
        <w:rPr>
          <w:rStyle w:val="FootnoteReference"/>
          <w:rFonts w:ascii="Gilroy" w:hAnsi="Gilroy"/>
          <w:sz w:val="18"/>
          <w:szCs w:val="18"/>
        </w:rPr>
        <w:footnoteRef/>
      </w:r>
      <w:r w:rsidRPr="00792403">
        <w:rPr>
          <w:rFonts w:ascii="Gilroy" w:hAnsi="Gilroy"/>
          <w:sz w:val="18"/>
          <w:szCs w:val="18"/>
        </w:rPr>
        <w:t xml:space="preserve">  </w:t>
      </w:r>
      <w:r w:rsidR="0024029E" w:rsidRPr="00792403">
        <w:rPr>
          <w:rFonts w:ascii="Gilroy" w:hAnsi="Gilroy"/>
          <w:sz w:val="18"/>
          <w:szCs w:val="18"/>
        </w:rPr>
        <w:t xml:space="preserve">Privacy International, ‘A Guide to Litigating Identity Systems’, </w:t>
      </w:r>
      <w:hyperlink r:id="rId14" w:history="1">
        <w:r w:rsidR="0024029E" w:rsidRPr="00792403">
          <w:rPr>
            <w:rStyle w:val="Hyperlink"/>
            <w:rFonts w:ascii="Gilroy" w:hAnsi="Gilroy"/>
            <w:sz w:val="18"/>
            <w:szCs w:val="18"/>
          </w:rPr>
          <w:t>https://privacyinternational.org/learning-resources/guide-litigating-identity-systems</w:t>
        </w:r>
      </w:hyperlink>
      <w:r w:rsidR="0024029E" w:rsidRPr="00792403">
        <w:rPr>
          <w:rFonts w:ascii="Gilroy" w:hAnsi="Gilroy"/>
          <w:sz w:val="18"/>
          <w:szCs w:val="18"/>
        </w:rPr>
        <w:t xml:space="preserve">.; </w:t>
      </w:r>
      <w:r w:rsidR="00A9143D" w:rsidRPr="00792403">
        <w:rPr>
          <w:rFonts w:ascii="Gilroy" w:hAnsi="Gilroy"/>
          <w:sz w:val="18"/>
          <w:szCs w:val="18"/>
        </w:rPr>
        <w:t xml:space="preserve">A/HRC/43/29 Human Rights Council, Report on the role of new technologies for the realization of economic, social and cultural rights’, 5 March 2020, para 33, </w:t>
      </w:r>
      <w:hyperlink r:id="rId15" w:history="1">
        <w:r w:rsidR="00A9143D" w:rsidRPr="00792403">
          <w:rPr>
            <w:rStyle w:val="Hyperlink"/>
            <w:rFonts w:ascii="Gilroy" w:hAnsi="Gilroy"/>
            <w:sz w:val="18"/>
            <w:szCs w:val="18"/>
          </w:rPr>
          <w:t>https://www.ohchr.org/en/documents/reports/ahrc4329-report-role-new-technologies-realization-economic-social-and-cultural</w:t>
        </w:r>
      </w:hyperlink>
      <w:r w:rsidR="00A9143D" w:rsidRPr="00792403">
        <w:rPr>
          <w:rFonts w:ascii="Gilroy" w:hAnsi="Gilroy"/>
          <w:sz w:val="18"/>
          <w:szCs w:val="18"/>
        </w:rPr>
        <w:t>.</w:t>
      </w:r>
      <w:r w:rsidR="00A9143D">
        <w:rPr>
          <w:rFonts w:ascii="Gilroy" w:hAnsi="Gilroy"/>
          <w:sz w:val="18"/>
          <w:szCs w:val="18"/>
        </w:rPr>
        <w:t xml:space="preserve"> </w:t>
      </w:r>
      <w:r w:rsidRPr="001622F8">
        <w:rPr>
          <w:rFonts w:ascii="Gilroy" w:hAnsi="Gilroy"/>
          <w:sz w:val="18"/>
          <w:szCs w:val="18"/>
        </w:rPr>
        <w:t xml:space="preserve"> </w:t>
      </w:r>
    </w:p>
  </w:footnote>
  <w:footnote w:id="15">
    <w:p w14:paraId="127F5FA5" w14:textId="05980590" w:rsidR="00690080" w:rsidRPr="00792403" w:rsidRDefault="00690080">
      <w:pPr>
        <w:pStyle w:val="FootnoteText"/>
        <w:rPr>
          <w:rFonts w:ascii="Gilroy" w:hAnsi="Gilroy" w:cs="Calibri"/>
          <w:color w:val="000000" w:themeColor="text1"/>
          <w:sz w:val="18"/>
          <w:szCs w:val="18"/>
        </w:rPr>
      </w:pPr>
      <w:r w:rsidRPr="00792403">
        <w:rPr>
          <w:rStyle w:val="FootnoteReference"/>
          <w:rFonts w:ascii="Gilroy" w:hAnsi="Gilroy"/>
          <w:sz w:val="18"/>
          <w:szCs w:val="18"/>
        </w:rPr>
        <w:footnoteRef/>
      </w:r>
      <w:r w:rsidRPr="00792403">
        <w:rPr>
          <w:rFonts w:ascii="Gilroy" w:hAnsi="Gilroy"/>
          <w:sz w:val="18"/>
          <w:szCs w:val="18"/>
        </w:rPr>
        <w:t xml:space="preserve"> </w:t>
      </w:r>
      <w:r w:rsidRPr="00792403">
        <w:rPr>
          <w:rFonts w:ascii="Gilroy" w:hAnsi="Gilroy" w:cs="Calibri"/>
          <w:color w:val="000000" w:themeColor="text1"/>
          <w:sz w:val="18"/>
          <w:szCs w:val="18"/>
        </w:rPr>
        <w:t xml:space="preserve">A/HRC/53/65: Human Rights Council, ‘Digital innovation, technologies and the right to health’, 21 April 2023, </w:t>
      </w:r>
      <w:hyperlink r:id="rId16" w:history="1">
        <w:r w:rsidRPr="00792403">
          <w:rPr>
            <w:rStyle w:val="Hyperlink"/>
            <w:rFonts w:ascii="Gilroy" w:hAnsi="Gilroy" w:cs="Calibri"/>
            <w:sz w:val="18"/>
            <w:szCs w:val="18"/>
          </w:rPr>
          <w:t>https://www.ohchr.org/en/documents/thematic-reports/ahrc5365-digital-innovation-technologies-and-right-health</w:t>
        </w:r>
      </w:hyperlink>
      <w:r w:rsidRPr="00792403">
        <w:rPr>
          <w:rFonts w:ascii="Gilroy" w:hAnsi="Gilroy" w:cs="Calibri"/>
          <w:color w:val="000000" w:themeColor="text1"/>
          <w:sz w:val="18"/>
          <w:szCs w:val="18"/>
        </w:rPr>
        <w:t xml:space="preserve">. </w:t>
      </w:r>
    </w:p>
  </w:footnote>
  <w:footnote w:id="16">
    <w:p w14:paraId="26E7F25F" w14:textId="6C4A26B4" w:rsidR="003732CA" w:rsidRPr="00792403" w:rsidRDefault="003732CA">
      <w:pPr>
        <w:pStyle w:val="FootnoteText"/>
        <w:rPr>
          <w:rFonts w:ascii="Gilroy" w:hAnsi="Gilroy"/>
          <w:sz w:val="18"/>
          <w:szCs w:val="18"/>
        </w:rPr>
      </w:pPr>
      <w:r w:rsidRPr="00792403">
        <w:rPr>
          <w:rStyle w:val="FootnoteReference"/>
          <w:rFonts w:ascii="Gilroy" w:hAnsi="Gilroy"/>
          <w:sz w:val="18"/>
          <w:szCs w:val="18"/>
        </w:rPr>
        <w:footnoteRef/>
      </w:r>
      <w:r w:rsidR="001622F8" w:rsidRPr="00792403">
        <w:rPr>
          <w:rFonts w:ascii="Gilroy" w:hAnsi="Gilroy" w:cs="Calibri"/>
          <w:sz w:val="18"/>
          <w:szCs w:val="18"/>
          <w:lang w:val="en-US"/>
        </w:rPr>
        <w:t xml:space="preserve"> </w:t>
      </w:r>
      <w:r w:rsidR="00690080" w:rsidRPr="00792403">
        <w:rPr>
          <w:rFonts w:ascii="Gilroy" w:hAnsi="Gilroy" w:cs="Calibri"/>
          <w:sz w:val="18"/>
          <w:szCs w:val="18"/>
          <w:lang w:val="en-US"/>
        </w:rPr>
        <w:t xml:space="preserve">Privacy International, ‘Digital Health: what does it mean for your rights and freedoms’, July 2024, </w:t>
      </w:r>
      <w:hyperlink r:id="rId17" w:history="1">
        <w:r w:rsidR="00690080" w:rsidRPr="00792403">
          <w:rPr>
            <w:rStyle w:val="Hyperlink"/>
            <w:rFonts w:ascii="Gilroy" w:eastAsiaTheme="majorEastAsia" w:hAnsi="Gilroy" w:cs="Calibri"/>
            <w:sz w:val="18"/>
            <w:szCs w:val="18"/>
          </w:rPr>
          <w:t>https://privacyinternational.org/long-read/4671/digital-health-what-does-it-mean-your-rights-and-freedoms</w:t>
        </w:r>
      </w:hyperlink>
      <w:r w:rsidR="00690080" w:rsidRPr="00792403">
        <w:rPr>
          <w:rStyle w:val="Hyperlink"/>
          <w:rFonts w:ascii="Gilroy" w:eastAsiaTheme="majorEastAsia" w:hAnsi="Gilroy" w:cs="Calibri"/>
          <w:sz w:val="18"/>
          <w:szCs w:val="18"/>
        </w:rPr>
        <w:t xml:space="preserve">; </w:t>
      </w:r>
      <w:r w:rsidR="001622F8" w:rsidRPr="00792403">
        <w:rPr>
          <w:rFonts w:ascii="Gilroy" w:hAnsi="Gilroy" w:cs="Calibri"/>
          <w:sz w:val="18"/>
          <w:szCs w:val="18"/>
          <w:lang w:val="en-US"/>
        </w:rPr>
        <w:t>See</w:t>
      </w:r>
      <w:r w:rsidRPr="00792403">
        <w:rPr>
          <w:rFonts w:ascii="Gilroy" w:hAnsi="Gilroy" w:cs="Calibri"/>
          <w:sz w:val="18"/>
          <w:szCs w:val="18"/>
          <w:lang w:val="en-US"/>
        </w:rPr>
        <w:t xml:space="preserve">: </w:t>
      </w:r>
      <w:hyperlink r:id="rId18" w:history="1">
        <w:r w:rsidRPr="00792403">
          <w:rPr>
            <w:rStyle w:val="Hyperlink"/>
            <w:rFonts w:ascii="Gilroy" w:eastAsiaTheme="majorEastAsia" w:hAnsi="Gilroy" w:cs="Calibri"/>
            <w:sz w:val="18"/>
            <w:szCs w:val="18"/>
            <w:lang w:val="en-US"/>
          </w:rPr>
          <w:t>https://www.graduateinstitute.ch/DigitalHealth-Rights</w:t>
        </w:r>
      </w:hyperlink>
      <w:r w:rsidR="00A9143D" w:rsidRPr="00792403">
        <w:rPr>
          <w:rStyle w:val="Hyperlink"/>
          <w:rFonts w:ascii="Gilroy" w:eastAsiaTheme="majorEastAsia" w:hAnsi="Gilroy" w:cs="Calibri"/>
          <w:sz w:val="18"/>
          <w:szCs w:val="18"/>
          <w:lang w:val="en-US"/>
        </w:rPr>
        <w:t xml:space="preserve">. </w:t>
      </w:r>
      <w:r w:rsidRPr="00792403">
        <w:rPr>
          <w:rStyle w:val="Hyperlink"/>
          <w:rFonts w:ascii="Gilroy" w:eastAsiaTheme="majorEastAsia" w:hAnsi="Gilroy" w:cs="Calibri"/>
          <w:sz w:val="18"/>
          <w:szCs w:val="18"/>
          <w:lang w:val="en-US"/>
        </w:rPr>
        <w:t xml:space="preserve"> </w:t>
      </w:r>
    </w:p>
  </w:footnote>
  <w:footnote w:id="17">
    <w:p w14:paraId="0447E93D" w14:textId="76D0151D" w:rsidR="00690080" w:rsidRPr="00792403" w:rsidRDefault="00690080">
      <w:pPr>
        <w:pStyle w:val="FootnoteText"/>
        <w:rPr>
          <w:rFonts w:ascii="Gilroy" w:eastAsiaTheme="majorEastAsia" w:hAnsi="Gilroy" w:cs="Calibri"/>
          <w:color w:val="467886" w:themeColor="hyperlink"/>
          <w:sz w:val="18"/>
          <w:szCs w:val="18"/>
          <w:u w:val="single"/>
        </w:rPr>
      </w:pPr>
      <w:r w:rsidRPr="00792403">
        <w:rPr>
          <w:rStyle w:val="FootnoteReference"/>
          <w:rFonts w:ascii="Gilroy" w:hAnsi="Gilroy"/>
          <w:sz w:val="18"/>
          <w:szCs w:val="18"/>
        </w:rPr>
        <w:footnoteRef/>
      </w:r>
      <w:r w:rsidRPr="00792403">
        <w:rPr>
          <w:rFonts w:ascii="Gilroy" w:hAnsi="Gilroy"/>
          <w:sz w:val="18"/>
          <w:szCs w:val="18"/>
        </w:rPr>
        <w:t xml:space="preserve"> </w:t>
      </w:r>
      <w:r w:rsidRPr="00792403">
        <w:rPr>
          <w:rFonts w:ascii="Gilroy" w:hAnsi="Gilroy" w:cs="Calibri"/>
          <w:sz w:val="18"/>
          <w:szCs w:val="18"/>
        </w:rPr>
        <w:t xml:space="preserve">Government of Kenya, Third Medium Term Plan 2018 – 2022, </w:t>
      </w:r>
      <w:hyperlink r:id="rId19" w:history="1">
        <w:r w:rsidRPr="00792403">
          <w:rPr>
            <w:rStyle w:val="Hyperlink"/>
            <w:rFonts w:ascii="Gilroy" w:eastAsiaTheme="majorEastAsia" w:hAnsi="Gilroy" w:cs="Calibri"/>
            <w:sz w:val="18"/>
            <w:szCs w:val="18"/>
          </w:rPr>
          <w:t>https://vision2030.go.ke/publication/third-medium-term-plan-2018-2022/</w:t>
        </w:r>
      </w:hyperlink>
      <w:r w:rsidRPr="00792403">
        <w:rPr>
          <w:rFonts w:ascii="Gilroy" w:hAnsi="Gilroy" w:cs="Calibri"/>
          <w:sz w:val="18"/>
          <w:szCs w:val="18"/>
        </w:rPr>
        <w:t xml:space="preserve"> ; Transform Health Kenya, ‘Landscape Analysis of Digital Health &amp; Universal Health Coverage in Kenya’, April 2022, </w:t>
      </w:r>
      <w:hyperlink r:id="rId20" w:history="1">
        <w:r w:rsidRPr="00792403">
          <w:rPr>
            <w:rStyle w:val="Hyperlink"/>
            <w:rFonts w:ascii="Gilroy" w:eastAsiaTheme="majorEastAsia" w:hAnsi="Gilroy" w:cs="Calibri"/>
            <w:sz w:val="18"/>
            <w:szCs w:val="18"/>
          </w:rPr>
          <w:t>https://www.kelinkenya.org/wp-content/uploads/2023/01/Landscape-Analysis-of-Digital-Health-Universal-Health-Coverage-in-Kenya-00000003.pdf</w:t>
        </w:r>
      </w:hyperlink>
      <w:r w:rsidRPr="00792403">
        <w:rPr>
          <w:rFonts w:ascii="Gilroy" w:hAnsi="Gilroy" w:cs="Calibri"/>
          <w:sz w:val="18"/>
          <w:szCs w:val="18"/>
        </w:rPr>
        <w:t xml:space="preserve">; Some examples of initiatives which have been deployed include: </w:t>
      </w:r>
      <w:r w:rsidRPr="00792403">
        <w:rPr>
          <w:rFonts w:ascii="Gilroy" w:hAnsi="Gilroy" w:cstheme="minorHAnsi"/>
          <w:sz w:val="18"/>
          <w:szCs w:val="18"/>
        </w:rPr>
        <w:t xml:space="preserve">the District Health Information System (DHIS2), </w:t>
      </w:r>
      <w:hyperlink r:id="rId21" w:history="1">
        <w:r w:rsidRPr="00792403">
          <w:rPr>
            <w:rStyle w:val="Hyperlink"/>
            <w:rFonts w:ascii="Gilroy" w:eastAsiaTheme="majorEastAsia" w:hAnsi="Gilroy" w:cs="Calibri"/>
            <w:sz w:val="18"/>
            <w:szCs w:val="18"/>
          </w:rPr>
          <w:t>https://dhis2.org/</w:t>
        </w:r>
      </w:hyperlink>
      <w:r w:rsidRPr="00792403">
        <w:rPr>
          <w:rFonts w:ascii="Gilroy" w:hAnsi="Gilroy" w:cs="Calibri"/>
          <w:sz w:val="18"/>
          <w:szCs w:val="18"/>
        </w:rPr>
        <w:t xml:space="preserve"> ;</w:t>
      </w:r>
      <w:r w:rsidRPr="00792403">
        <w:rPr>
          <w:rFonts w:ascii="Gilroy" w:hAnsi="Gilroy"/>
          <w:sz w:val="18"/>
          <w:szCs w:val="18"/>
        </w:rPr>
        <w:t xml:space="preserve"> </w:t>
      </w:r>
      <w:r w:rsidRPr="00792403">
        <w:rPr>
          <w:rFonts w:ascii="Gilroy" w:hAnsi="Gilroy" w:cstheme="minorHAnsi"/>
          <w:sz w:val="18"/>
          <w:szCs w:val="18"/>
        </w:rPr>
        <w:t xml:space="preserve">the  </w:t>
      </w:r>
      <w:proofErr w:type="spellStart"/>
      <w:r w:rsidRPr="00792403">
        <w:rPr>
          <w:rFonts w:ascii="Gilroy" w:hAnsi="Gilroy" w:cstheme="minorHAnsi"/>
          <w:sz w:val="18"/>
          <w:szCs w:val="18"/>
        </w:rPr>
        <w:t>OpenMRS</w:t>
      </w:r>
      <w:proofErr w:type="spellEnd"/>
      <w:r w:rsidRPr="00792403">
        <w:rPr>
          <w:rFonts w:ascii="Gilroy" w:hAnsi="Gilroy" w:cstheme="minorHAnsi"/>
          <w:sz w:val="18"/>
          <w:szCs w:val="18"/>
        </w:rPr>
        <w:t xml:space="preserve"> for managing TB and HIV programmes in smaller clinics, and the Kenya Master Health Facility List (KMHFL</w:t>
      </w:r>
      <w:r w:rsidRPr="00792403">
        <w:rPr>
          <w:rFonts w:ascii="Gilroy" w:hAnsi="Gilroy"/>
          <w:sz w:val="18"/>
          <w:szCs w:val="18"/>
        </w:rPr>
        <w:t xml:space="preserve">, </w:t>
      </w:r>
      <w:hyperlink r:id="rId22" w:history="1">
        <w:r w:rsidRPr="00792403">
          <w:rPr>
            <w:rStyle w:val="Hyperlink"/>
            <w:rFonts w:ascii="Gilroy" w:eastAsiaTheme="majorEastAsia" w:hAnsi="Gilroy" w:cs="Calibri"/>
            <w:sz w:val="18"/>
            <w:szCs w:val="18"/>
          </w:rPr>
          <w:t>https://kmhfr.health.go.ke/</w:t>
        </w:r>
      </w:hyperlink>
      <w:r w:rsidRPr="00792403">
        <w:rPr>
          <w:rFonts w:ascii="Gilroy" w:hAnsi="Gilroy" w:cs="Calibri"/>
          <w:sz w:val="18"/>
          <w:szCs w:val="18"/>
        </w:rPr>
        <w:t>; More information</w:t>
      </w:r>
      <w:r w:rsidRPr="00792403">
        <w:rPr>
          <w:rFonts w:ascii="Gilroy" w:hAnsi="Gilroy"/>
          <w:sz w:val="18"/>
          <w:szCs w:val="18"/>
        </w:rPr>
        <w:t xml:space="preserve"> </w:t>
      </w:r>
      <w:hyperlink r:id="rId23" w:history="1">
        <w:r w:rsidRPr="00792403">
          <w:rPr>
            <w:rStyle w:val="Hyperlink"/>
            <w:rFonts w:ascii="Gilroy" w:eastAsiaTheme="majorEastAsia" w:hAnsi="Gilroy" w:cs="Calibri"/>
            <w:sz w:val="18"/>
            <w:szCs w:val="18"/>
          </w:rPr>
          <w:t>https://dhis2.org/</w:t>
        </w:r>
      </w:hyperlink>
      <w:r w:rsidRPr="00792403">
        <w:rPr>
          <w:rStyle w:val="Hyperlink"/>
          <w:rFonts w:ascii="Gilroy" w:eastAsiaTheme="majorEastAsia" w:hAnsi="Gilroy" w:cs="Calibri"/>
          <w:sz w:val="18"/>
          <w:szCs w:val="18"/>
        </w:rPr>
        <w:t xml:space="preserve">; </w:t>
      </w:r>
      <w:proofErr w:type="spellStart"/>
      <w:r w:rsidRPr="00792403">
        <w:rPr>
          <w:rFonts w:ascii="Gilroy" w:hAnsi="Gilroy" w:cstheme="minorHAnsi"/>
          <w:sz w:val="18"/>
          <w:szCs w:val="18"/>
        </w:rPr>
        <w:t>mTiba</w:t>
      </w:r>
      <w:proofErr w:type="spellEnd"/>
      <w:r w:rsidRPr="00792403">
        <w:rPr>
          <w:rFonts w:ascii="Gilroy" w:hAnsi="Gilroy" w:cstheme="minorHAnsi"/>
          <w:sz w:val="18"/>
          <w:szCs w:val="18"/>
        </w:rPr>
        <w:t xml:space="preserve">, a health wallet, </w:t>
      </w:r>
      <w:hyperlink r:id="rId24" w:history="1">
        <w:r w:rsidRPr="00792403">
          <w:rPr>
            <w:rStyle w:val="Hyperlink"/>
            <w:rFonts w:ascii="Gilroy" w:eastAsiaTheme="majorEastAsia" w:hAnsi="Gilroy" w:cs="Calibri"/>
            <w:sz w:val="18"/>
            <w:szCs w:val="18"/>
          </w:rPr>
          <w:t>https://www.vodafone.com/digital-society/safaricoms-m-tiba</w:t>
        </w:r>
      </w:hyperlink>
      <w:r w:rsidRPr="00792403">
        <w:rPr>
          <w:rStyle w:val="Hyperlink"/>
          <w:rFonts w:ascii="Gilroy" w:eastAsiaTheme="majorEastAsia" w:hAnsi="Gilroy" w:cs="Calibri"/>
          <w:sz w:val="18"/>
          <w:szCs w:val="18"/>
        </w:rPr>
        <w:t xml:space="preserve">; </w:t>
      </w:r>
      <w:r w:rsidRPr="00792403">
        <w:rPr>
          <w:rFonts w:ascii="Gilroy" w:hAnsi="Gilroy" w:cstheme="minorHAnsi"/>
          <w:sz w:val="18"/>
          <w:szCs w:val="18"/>
        </w:rPr>
        <w:t xml:space="preserve"> Maisha Meds, </w:t>
      </w:r>
      <w:hyperlink r:id="rId25" w:history="1">
        <w:r w:rsidRPr="00792403">
          <w:rPr>
            <w:rStyle w:val="Hyperlink"/>
            <w:rFonts w:ascii="Gilroy" w:eastAsiaTheme="majorEastAsia" w:hAnsi="Gilroy" w:cs="Calibri"/>
            <w:sz w:val="18"/>
            <w:szCs w:val="18"/>
          </w:rPr>
          <w:t>https://maishameds.org/</w:t>
        </w:r>
      </w:hyperlink>
      <w:r w:rsidRPr="00792403">
        <w:rPr>
          <w:rStyle w:val="Hyperlink"/>
          <w:rFonts w:ascii="Gilroy" w:eastAsiaTheme="majorEastAsia" w:hAnsi="Gilroy" w:cs="Calibri"/>
          <w:sz w:val="18"/>
          <w:szCs w:val="18"/>
        </w:rPr>
        <w:t xml:space="preserve">; </w:t>
      </w:r>
      <w:proofErr w:type="spellStart"/>
      <w:r w:rsidRPr="00792403">
        <w:rPr>
          <w:rFonts w:ascii="Gilroy" w:hAnsi="Gilroy" w:cs="Calibri"/>
          <w:sz w:val="18"/>
          <w:szCs w:val="18"/>
        </w:rPr>
        <w:t>TransformHealth</w:t>
      </w:r>
      <w:proofErr w:type="spellEnd"/>
      <w:r w:rsidRPr="00792403">
        <w:rPr>
          <w:rFonts w:ascii="Gilroy" w:hAnsi="Gilroy" w:cs="Calibri"/>
          <w:sz w:val="18"/>
          <w:szCs w:val="18"/>
        </w:rPr>
        <w:t xml:space="preserve"> Kenya, ‘Landscape Analysis of Digital Health &amp; Universal Health Coverage in Kenya’, April 2022, </w:t>
      </w:r>
      <w:hyperlink r:id="rId26" w:history="1">
        <w:r w:rsidRPr="00792403">
          <w:rPr>
            <w:rStyle w:val="Hyperlink"/>
            <w:rFonts w:ascii="Gilroy" w:eastAsiaTheme="majorEastAsia" w:hAnsi="Gilroy" w:cs="Calibri"/>
            <w:sz w:val="18"/>
            <w:szCs w:val="18"/>
          </w:rPr>
          <w:t>https://www.kelinkenya.org/wp-content/uploads/2023/01/Landscape-Analysis-of-Digital-Health-Universal-Health-Coverage-in-Kenya-00000003.pdf</w:t>
        </w:r>
      </w:hyperlink>
      <w:r w:rsidRPr="00792403">
        <w:rPr>
          <w:rStyle w:val="Hyperlink"/>
          <w:rFonts w:ascii="Gilroy" w:eastAsiaTheme="majorEastAsia" w:hAnsi="Gilroy" w:cs="Calibri"/>
          <w:sz w:val="18"/>
          <w:szCs w:val="18"/>
        </w:rPr>
        <w:t xml:space="preserve">. </w:t>
      </w:r>
    </w:p>
  </w:footnote>
  <w:footnote w:id="18">
    <w:p w14:paraId="01DB4B76" w14:textId="77777777" w:rsidR="00CD552B" w:rsidRPr="00792403" w:rsidRDefault="00CD552B" w:rsidP="00CD552B">
      <w:pPr>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Digital Health and Rights Project Consortium (2022) Digital health and rights of young adults in Ghana, Vietnam, Kenya: final project report, page 3 and 19, </w:t>
      </w:r>
      <w:hyperlink r:id="rId27" w:history="1">
        <w:r w:rsidRPr="00792403">
          <w:rPr>
            <w:rStyle w:val="Hyperlink"/>
            <w:rFonts w:ascii="Gilroy" w:eastAsiaTheme="majorEastAsia" w:hAnsi="Gilroy" w:cs="Calibri"/>
            <w:sz w:val="18"/>
            <w:szCs w:val="18"/>
          </w:rPr>
          <w:t>https://repository.graduateinstitute.ch/record/300591?_ga=2.99187678.1735834843.1682602161-345088509.1672743223&amp;v=pdf</w:t>
        </w:r>
      </w:hyperlink>
    </w:p>
  </w:footnote>
  <w:footnote w:id="19">
    <w:p w14:paraId="54EA9E7F" w14:textId="77777777" w:rsidR="00CD552B" w:rsidRPr="00792403" w:rsidRDefault="00CD552B" w:rsidP="00CD552B">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KELIN, ‘Harnessing the Power of Digital Health Technologies to Transform Healthcare Delivery in Kenya’, 9 August 2023, </w:t>
      </w:r>
      <w:hyperlink r:id="rId28" w:history="1">
        <w:r w:rsidRPr="00792403">
          <w:rPr>
            <w:rStyle w:val="Hyperlink"/>
            <w:rFonts w:ascii="Gilroy" w:eastAsiaTheme="majorEastAsia" w:hAnsi="Gilroy" w:cs="Calibri"/>
            <w:sz w:val="18"/>
            <w:szCs w:val="18"/>
          </w:rPr>
          <w:t>https://www.kelinkenya.org/harnessing-the-power-of-digital-health-technologies-to-transform-healthcare-delivery-in-kenya/</w:t>
        </w:r>
      </w:hyperlink>
      <w:r w:rsidRPr="00792403">
        <w:rPr>
          <w:rFonts w:ascii="Gilroy" w:hAnsi="Gilroy" w:cs="Calibri"/>
          <w:sz w:val="18"/>
          <w:szCs w:val="18"/>
        </w:rPr>
        <w:t xml:space="preserve"> </w:t>
      </w:r>
    </w:p>
  </w:footnote>
  <w:footnote w:id="20">
    <w:p w14:paraId="74C7C481" w14:textId="77777777" w:rsidR="00EF2B0C" w:rsidRPr="001622F8" w:rsidRDefault="00EF2B0C" w:rsidP="00EF2B0C">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See: CIPESA, ‘Does Kenya’s Digital Health Act Mark A New Era for Data Governance and Regulation?’, 3 May 2024, </w:t>
      </w:r>
      <w:hyperlink r:id="rId29" w:history="1">
        <w:r w:rsidRPr="00792403">
          <w:rPr>
            <w:rStyle w:val="Hyperlink"/>
            <w:rFonts w:ascii="Gilroy" w:eastAsiaTheme="majorEastAsia" w:hAnsi="Gilroy" w:cs="Calibri"/>
            <w:sz w:val="18"/>
            <w:szCs w:val="18"/>
          </w:rPr>
          <w:t>https://cipesa.org/2024/05/does-kenyas-digital-health-act-mark-a-new-era-for-data-governance-and-regulation/</w:t>
        </w:r>
      </w:hyperlink>
      <w:r w:rsidRPr="00792403">
        <w:rPr>
          <w:rFonts w:ascii="Gilroy" w:hAnsi="Gilroy" w:cs="Calibri"/>
          <w:sz w:val="18"/>
          <w:szCs w:val="18"/>
        </w:rPr>
        <w:t xml:space="preserve">; KICTANET, ‘Kenya’s Digital Health Act: A Leap Forward in Data Governance’, 24 October 2023, </w:t>
      </w:r>
      <w:hyperlink r:id="rId30" w:history="1">
        <w:r w:rsidRPr="00792403">
          <w:rPr>
            <w:rStyle w:val="Hyperlink"/>
            <w:rFonts w:ascii="Gilroy" w:eastAsiaTheme="majorEastAsia" w:hAnsi="Gilroy" w:cs="Calibri"/>
            <w:sz w:val="18"/>
            <w:szCs w:val="18"/>
          </w:rPr>
          <w:t>https://www.kictanet.or.ke/kenyas-digital-health-act-a-leap-forward-in-data-governance/</w:t>
        </w:r>
      </w:hyperlink>
    </w:p>
  </w:footnote>
  <w:footnote w:id="21">
    <w:p w14:paraId="755F921F" w14:textId="77777777" w:rsidR="00CD552B" w:rsidRPr="00792403" w:rsidRDefault="00CD552B" w:rsidP="00CD552B">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ICJ Kenya, ‘Case Summary – Unconstitutionality of Social Health Insurance Act, Primary Health Care Act, Digital Health Act’, 2024, </w:t>
      </w:r>
      <w:hyperlink r:id="rId31" w:history="1">
        <w:r w:rsidRPr="00792403">
          <w:rPr>
            <w:rStyle w:val="Hyperlink"/>
            <w:rFonts w:ascii="Gilroy" w:eastAsiaTheme="majorEastAsia" w:hAnsi="Gilroy" w:cs="Calibri"/>
            <w:sz w:val="18"/>
            <w:szCs w:val="18"/>
          </w:rPr>
          <w:t>https://icj-kenya.org/news/sdm_downloads/case-summary-unconstitutionality-of-social-health-insurance-act-primary-health-care-act-digital-health-act/</w:t>
        </w:r>
      </w:hyperlink>
      <w:r w:rsidRPr="00792403">
        <w:rPr>
          <w:rFonts w:ascii="Gilroy" w:hAnsi="Gilroy" w:cs="Calibri"/>
          <w:sz w:val="18"/>
          <w:szCs w:val="18"/>
        </w:rPr>
        <w:t xml:space="preserve"> </w:t>
      </w:r>
    </w:p>
  </w:footnote>
  <w:footnote w:id="22">
    <w:p w14:paraId="6E75B2E9" w14:textId="77777777" w:rsidR="00CD552B" w:rsidRPr="00792403" w:rsidRDefault="00CD552B" w:rsidP="00CD552B">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KELIN, ‘Harnessing the Power of Digital Health Technologies to Transform Healthcare Delivery in Kenya’, 9 August 2023, </w:t>
      </w:r>
      <w:hyperlink r:id="rId32" w:history="1">
        <w:r w:rsidRPr="00792403">
          <w:rPr>
            <w:rStyle w:val="Hyperlink"/>
            <w:rFonts w:ascii="Gilroy" w:eastAsiaTheme="majorEastAsia" w:hAnsi="Gilroy" w:cs="Calibri"/>
            <w:sz w:val="18"/>
            <w:szCs w:val="18"/>
          </w:rPr>
          <w:t>https://www.kelinkenya.org/harnessing-the-power-of-digital-health-technologies-to-transform-healthcare-delivery-in-kenya/</w:t>
        </w:r>
      </w:hyperlink>
      <w:r w:rsidRPr="00792403">
        <w:rPr>
          <w:rFonts w:ascii="Gilroy" w:hAnsi="Gilroy" w:cs="Calibri"/>
          <w:sz w:val="18"/>
          <w:szCs w:val="18"/>
        </w:rPr>
        <w:t xml:space="preserve"> </w:t>
      </w:r>
    </w:p>
  </w:footnote>
  <w:footnote w:id="23">
    <w:p w14:paraId="0CDBD44D" w14:textId="765F402B" w:rsidR="00A55DDC" w:rsidRPr="00792403" w:rsidRDefault="00A55DDC" w:rsidP="00A55DDC">
      <w:pPr>
        <w:pStyle w:val="FootnoteText"/>
        <w:rPr>
          <w:rFonts w:ascii="Gilroy" w:hAnsi="Gilroy"/>
          <w:sz w:val="18"/>
          <w:szCs w:val="18"/>
        </w:rPr>
      </w:pPr>
      <w:r w:rsidRPr="00792403">
        <w:rPr>
          <w:rStyle w:val="FootnoteReference"/>
          <w:rFonts w:ascii="Gilroy" w:hAnsi="Gilroy"/>
          <w:sz w:val="18"/>
          <w:szCs w:val="18"/>
        </w:rPr>
        <w:footnoteRef/>
      </w:r>
      <w:r w:rsidRPr="00792403">
        <w:rPr>
          <w:rFonts w:ascii="Gilroy" w:hAnsi="Gilroy"/>
          <w:sz w:val="18"/>
          <w:szCs w:val="18"/>
        </w:rPr>
        <w:t xml:space="preserve"> </w:t>
      </w:r>
      <w:r w:rsidR="00354CA3" w:rsidRPr="00792403">
        <w:rPr>
          <w:rFonts w:ascii="Gilroy" w:hAnsi="Gilroy" w:cs="Calibri"/>
          <w:sz w:val="18"/>
          <w:szCs w:val="18"/>
          <w:lang w:val="en-US"/>
        </w:rPr>
        <w:t>S</w:t>
      </w:r>
      <w:r w:rsidRPr="00792403">
        <w:rPr>
          <w:rFonts w:ascii="Gilroy" w:hAnsi="Gilroy" w:cs="Calibri"/>
          <w:sz w:val="18"/>
          <w:szCs w:val="18"/>
          <w:lang w:val="en-US"/>
        </w:rPr>
        <w:t xml:space="preserve">ee: </w:t>
      </w:r>
      <w:hyperlink r:id="rId33" w:history="1">
        <w:r w:rsidRPr="00792403">
          <w:rPr>
            <w:rStyle w:val="Hyperlink"/>
            <w:rFonts w:ascii="Gilroy" w:eastAsiaTheme="majorEastAsia" w:hAnsi="Gilroy" w:cs="Calibri"/>
            <w:sz w:val="18"/>
            <w:szCs w:val="18"/>
            <w:lang w:val="en-US"/>
          </w:rPr>
          <w:t>https://www.graduateinstitute.ch/DigitalHealth-Rights</w:t>
        </w:r>
      </w:hyperlink>
      <w:r w:rsidR="00A9143D" w:rsidRPr="00792403">
        <w:rPr>
          <w:rStyle w:val="Hyperlink"/>
          <w:rFonts w:ascii="Gilroy" w:eastAsiaTheme="majorEastAsia" w:hAnsi="Gilroy" w:cs="Calibri"/>
          <w:sz w:val="18"/>
          <w:szCs w:val="18"/>
          <w:lang w:val="en-US"/>
        </w:rPr>
        <w:t>.</w:t>
      </w:r>
      <w:r w:rsidRPr="00792403">
        <w:rPr>
          <w:rStyle w:val="Hyperlink"/>
          <w:rFonts w:ascii="Gilroy" w:eastAsiaTheme="majorEastAsia" w:hAnsi="Gilroy" w:cs="Calibri"/>
          <w:sz w:val="18"/>
          <w:szCs w:val="18"/>
          <w:lang w:val="en-US"/>
        </w:rPr>
        <w:t xml:space="preserve"> </w:t>
      </w:r>
    </w:p>
  </w:footnote>
  <w:footnote w:id="24">
    <w:p w14:paraId="04839F23" w14:textId="77777777" w:rsidR="00B8212A" w:rsidRPr="00792403" w:rsidRDefault="00B8212A" w:rsidP="00B8212A">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proofErr w:type="spellStart"/>
      <w:r w:rsidRPr="00792403">
        <w:rPr>
          <w:rFonts w:ascii="Gilroy" w:hAnsi="Gilroy" w:cs="Calibri"/>
          <w:sz w:val="18"/>
          <w:szCs w:val="18"/>
        </w:rPr>
        <w:t>Kabui</w:t>
      </w:r>
      <w:proofErr w:type="spellEnd"/>
      <w:r w:rsidRPr="00792403">
        <w:rPr>
          <w:rFonts w:ascii="Gilroy" w:hAnsi="Gilroy" w:cs="Calibri"/>
          <w:sz w:val="18"/>
          <w:szCs w:val="18"/>
        </w:rPr>
        <w:t xml:space="preserve"> Mwangi, Number of Kenyans seeking digital health treatment rises, study shows, 2 May 2024, </w:t>
      </w:r>
      <w:r w:rsidRPr="00792403">
        <w:rPr>
          <w:rFonts w:ascii="Gilroy" w:hAnsi="Gilroy" w:cs="Calibri"/>
          <w:i/>
          <w:iCs/>
          <w:sz w:val="18"/>
          <w:szCs w:val="18"/>
        </w:rPr>
        <w:t>Business Daily</w:t>
      </w:r>
      <w:r w:rsidRPr="00792403">
        <w:rPr>
          <w:rFonts w:ascii="Gilroy" w:hAnsi="Gilroy" w:cs="Calibri"/>
          <w:sz w:val="18"/>
          <w:szCs w:val="18"/>
        </w:rPr>
        <w:t xml:space="preserve">, </w:t>
      </w:r>
      <w:hyperlink r:id="rId34" w:history="1">
        <w:r w:rsidRPr="00792403">
          <w:rPr>
            <w:rStyle w:val="Hyperlink"/>
            <w:rFonts w:ascii="Gilroy" w:eastAsiaTheme="majorEastAsia" w:hAnsi="Gilroy" w:cs="Calibri"/>
            <w:sz w:val="18"/>
            <w:szCs w:val="18"/>
          </w:rPr>
          <w:t>https://www.businessdailyafrica.com/bd/corporate/health/number-of-kenyans-seeking-digital-health-treatment-rises--4611174</w:t>
        </w:r>
      </w:hyperlink>
      <w:r w:rsidRPr="00792403">
        <w:rPr>
          <w:rFonts w:ascii="Gilroy" w:hAnsi="Gilroy" w:cs="Calibri"/>
          <w:sz w:val="18"/>
          <w:szCs w:val="18"/>
        </w:rPr>
        <w:t xml:space="preserve"> </w:t>
      </w:r>
    </w:p>
  </w:footnote>
  <w:footnote w:id="25">
    <w:p w14:paraId="487CBE68" w14:textId="77777777" w:rsidR="00B8212A" w:rsidRPr="00792403" w:rsidRDefault="00B8212A" w:rsidP="00B8212A">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See: A/HRC/53/65, para 59.</w:t>
      </w:r>
    </w:p>
  </w:footnote>
  <w:footnote w:id="26">
    <w:p w14:paraId="4D699AA2" w14:textId="5546F0BB" w:rsidR="00B8212A" w:rsidRPr="00792403" w:rsidRDefault="00B8212A" w:rsidP="00B8212A">
      <w:pPr>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Digital Health and Rights Project Consortium</w:t>
      </w:r>
      <w:r w:rsidR="00354CA3" w:rsidRPr="00792403">
        <w:rPr>
          <w:rFonts w:ascii="Gilroy" w:hAnsi="Gilroy" w:cs="Calibri"/>
          <w:sz w:val="18"/>
          <w:szCs w:val="18"/>
        </w:rPr>
        <w:t>,</w:t>
      </w:r>
      <w:r w:rsidRPr="00792403">
        <w:rPr>
          <w:rFonts w:ascii="Gilroy" w:hAnsi="Gilroy" w:cs="Calibri"/>
          <w:sz w:val="18"/>
          <w:szCs w:val="18"/>
        </w:rPr>
        <w:t xml:space="preserve"> </w:t>
      </w:r>
      <w:r w:rsidR="00354CA3" w:rsidRPr="00792403">
        <w:rPr>
          <w:rFonts w:ascii="Gilroy" w:hAnsi="Gilroy" w:cs="Calibri"/>
          <w:sz w:val="18"/>
          <w:szCs w:val="18"/>
        </w:rPr>
        <w:t>‘</w:t>
      </w:r>
      <w:r w:rsidRPr="00792403">
        <w:rPr>
          <w:rFonts w:ascii="Gilroy" w:hAnsi="Gilroy" w:cs="Calibri"/>
          <w:sz w:val="18"/>
          <w:szCs w:val="18"/>
        </w:rPr>
        <w:t>Digital health and rights of young adults in Ghana, Vietnam, Kenya: final project report,</w:t>
      </w:r>
      <w:r w:rsidR="00A9143D" w:rsidRPr="00792403">
        <w:rPr>
          <w:rFonts w:ascii="Gilroy" w:hAnsi="Gilroy" w:cs="Calibri"/>
          <w:sz w:val="18"/>
          <w:szCs w:val="18"/>
        </w:rPr>
        <w:t xml:space="preserve"> </w:t>
      </w:r>
      <w:hyperlink r:id="rId35" w:history="1">
        <w:r w:rsidR="00A9143D" w:rsidRPr="00792403">
          <w:rPr>
            <w:rStyle w:val="Hyperlink"/>
            <w:rFonts w:ascii="Gilroy" w:eastAsiaTheme="majorEastAsia" w:hAnsi="Gilroy" w:cs="Calibri"/>
            <w:sz w:val="18"/>
            <w:szCs w:val="18"/>
          </w:rPr>
          <w:t>https://repository.graduateins</w:t>
        </w:r>
        <w:r w:rsidR="00A9143D" w:rsidRPr="00792403">
          <w:rPr>
            <w:rStyle w:val="Hyperlink"/>
            <w:rFonts w:ascii="Gilroy" w:eastAsiaTheme="majorEastAsia" w:hAnsi="Gilroy" w:cs="Calibri"/>
            <w:sz w:val="18"/>
            <w:szCs w:val="18"/>
          </w:rPr>
          <w:t>t</w:t>
        </w:r>
        <w:r w:rsidR="00A9143D" w:rsidRPr="00792403">
          <w:rPr>
            <w:rStyle w:val="Hyperlink"/>
            <w:rFonts w:ascii="Gilroy" w:eastAsiaTheme="majorEastAsia" w:hAnsi="Gilroy" w:cs="Calibri"/>
            <w:sz w:val="18"/>
            <w:szCs w:val="18"/>
          </w:rPr>
          <w:t>i</w:t>
        </w:r>
        <w:r w:rsidR="00A9143D" w:rsidRPr="00792403">
          <w:rPr>
            <w:rStyle w:val="Hyperlink"/>
            <w:rFonts w:ascii="Gilroy" w:eastAsiaTheme="majorEastAsia" w:hAnsi="Gilroy" w:cs="Calibri"/>
            <w:sz w:val="18"/>
            <w:szCs w:val="18"/>
          </w:rPr>
          <w:t>tute.ch/record/300591?_ga=2.99187678.1735834843.1682602161-345088509.1672743223&amp;v=pdf</w:t>
        </w:r>
      </w:hyperlink>
    </w:p>
  </w:footnote>
  <w:footnote w:id="27">
    <w:p w14:paraId="7DC79FE2" w14:textId="4B0A0914" w:rsidR="003919D7" w:rsidRPr="00792403" w:rsidRDefault="003919D7">
      <w:pPr>
        <w:pStyle w:val="FootnoteText"/>
        <w:rPr>
          <w:rFonts w:ascii="Gilroy" w:hAnsi="Gilroy"/>
          <w:sz w:val="18"/>
          <w:szCs w:val="18"/>
        </w:rPr>
      </w:pPr>
      <w:r w:rsidRPr="00792403">
        <w:rPr>
          <w:rStyle w:val="FootnoteReference"/>
          <w:rFonts w:ascii="Gilroy" w:hAnsi="Gilroy"/>
          <w:sz w:val="18"/>
          <w:szCs w:val="18"/>
        </w:rPr>
        <w:footnoteRef/>
      </w:r>
      <w:r w:rsidRPr="00792403">
        <w:rPr>
          <w:rFonts w:ascii="Gilroy" w:hAnsi="Gilroy"/>
          <w:sz w:val="18"/>
          <w:szCs w:val="18"/>
        </w:rPr>
        <w:t xml:space="preserve"> </w:t>
      </w:r>
      <w:r w:rsidR="0024029E" w:rsidRPr="00792403">
        <w:rPr>
          <w:rFonts w:ascii="Gilroy" w:hAnsi="Gilroy"/>
          <w:sz w:val="18"/>
          <w:szCs w:val="18"/>
        </w:rPr>
        <w:t xml:space="preserve">Ibid. </w:t>
      </w:r>
    </w:p>
  </w:footnote>
  <w:footnote w:id="28">
    <w:p w14:paraId="675E1CF4" w14:textId="20DDF7D1" w:rsidR="00B8212A" w:rsidRPr="001622F8" w:rsidRDefault="00B8212A" w:rsidP="00B8212A">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See: A/HRC/53/65, para 5 and 54</w:t>
      </w:r>
      <w:r w:rsidR="00792403" w:rsidRPr="00792403">
        <w:rPr>
          <w:rFonts w:ascii="Gilroy" w:hAnsi="Gilroy" w:cs="Calibri"/>
          <w:sz w:val="18"/>
          <w:szCs w:val="18"/>
        </w:rPr>
        <w:t xml:space="preserve">. </w:t>
      </w:r>
    </w:p>
  </w:footnote>
  <w:footnote w:id="29">
    <w:p w14:paraId="5157CCD6" w14:textId="3FE4F5B0" w:rsidR="00B8212A" w:rsidRPr="00792403" w:rsidRDefault="00B8212A" w:rsidP="00690080">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r w:rsidR="00792403">
        <w:rPr>
          <w:rFonts w:ascii="Gilroy" w:hAnsi="Gilroy" w:cs="Calibri"/>
          <w:sz w:val="18"/>
          <w:szCs w:val="18"/>
        </w:rPr>
        <w:t xml:space="preserve">See: </w:t>
      </w:r>
      <w:r w:rsidR="00690080" w:rsidRPr="00792403">
        <w:rPr>
          <w:rFonts w:ascii="Gilroy" w:hAnsi="Gilroy" w:cs="Calibri"/>
          <w:sz w:val="18"/>
          <w:szCs w:val="18"/>
        </w:rPr>
        <w:t>Digital Health and Rights Project</w:t>
      </w:r>
      <w:r w:rsidR="00792403">
        <w:rPr>
          <w:rFonts w:ascii="Gilroy" w:hAnsi="Gilroy" w:cs="Calibri"/>
          <w:sz w:val="18"/>
          <w:szCs w:val="18"/>
        </w:rPr>
        <w:t xml:space="preserve">, </w:t>
      </w:r>
      <w:hyperlink r:id="rId36" w:history="1">
        <w:r w:rsidR="00792403" w:rsidRPr="004B5AD6">
          <w:rPr>
            <w:rStyle w:val="Hyperlink"/>
            <w:rFonts w:ascii="Gilroy" w:eastAsiaTheme="majorEastAsia" w:hAnsi="Gilroy" w:cs="Calibri"/>
            <w:sz w:val="18"/>
            <w:szCs w:val="18"/>
          </w:rPr>
          <w:t>https://warwick.ac.uk/fac/cross_fac/cim/research/digital-health-rights/</w:t>
        </w:r>
      </w:hyperlink>
      <w:r w:rsidR="00690080" w:rsidRPr="00792403">
        <w:rPr>
          <w:rFonts w:ascii="Gilroy" w:hAnsi="Gilroy" w:cs="Calibri"/>
          <w:sz w:val="18"/>
          <w:szCs w:val="18"/>
        </w:rPr>
        <w:t>; Digital Health and Rights Project,</w:t>
      </w:r>
      <w:r w:rsidR="00792403">
        <w:rPr>
          <w:rFonts w:ascii="Gilroy" w:hAnsi="Gilroy" w:cs="Calibri"/>
          <w:sz w:val="18"/>
          <w:szCs w:val="18"/>
        </w:rPr>
        <w:t xml:space="preserve"> </w:t>
      </w:r>
      <w:r w:rsidR="00690080" w:rsidRPr="00792403">
        <w:rPr>
          <w:rFonts w:ascii="Gilroy" w:hAnsi="Gilroy" w:cs="Calibri"/>
          <w:sz w:val="18"/>
          <w:szCs w:val="18"/>
        </w:rPr>
        <w:t xml:space="preserve">‘Digitalisation, Health and Participation: a Brief on Kenya’, page 4, </w:t>
      </w:r>
      <w:hyperlink r:id="rId37" w:history="1">
        <w:r w:rsidR="00690080" w:rsidRPr="00792403">
          <w:rPr>
            <w:rStyle w:val="Hyperlink"/>
            <w:rFonts w:ascii="Gilroy" w:eastAsiaTheme="majorEastAsia" w:hAnsi="Gilroy" w:cs="Calibri"/>
            <w:sz w:val="18"/>
            <w:szCs w:val="18"/>
          </w:rPr>
          <w:t>https://warwick.ac.uk/fac/cross_fac/cim/research/digital-health-rights/publications/dhrp_-</w:t>
        </w:r>
        <w:r w:rsidR="00690080" w:rsidRPr="00792403">
          <w:rPr>
            <w:rStyle w:val="Hyperlink"/>
            <w:rFonts w:ascii="Gilroy" w:eastAsiaTheme="majorEastAsia" w:hAnsi="Gilroy" w:cs="Calibri"/>
            <w:sz w:val="18"/>
            <w:szCs w:val="18"/>
          </w:rPr>
          <w:t>_</w:t>
        </w:r>
        <w:r w:rsidR="00690080" w:rsidRPr="00792403">
          <w:rPr>
            <w:rStyle w:val="Hyperlink"/>
            <w:rFonts w:ascii="Gilroy" w:eastAsiaTheme="majorEastAsia" w:hAnsi="Gilroy" w:cs="Calibri"/>
            <w:sz w:val="18"/>
            <w:szCs w:val="18"/>
          </w:rPr>
          <w:t>kenya_final_version.pdf</w:t>
        </w:r>
      </w:hyperlink>
      <w:r w:rsidR="00690080" w:rsidRPr="00792403">
        <w:rPr>
          <w:rStyle w:val="Hyperlink"/>
          <w:rFonts w:ascii="Gilroy" w:eastAsiaTheme="majorEastAsia" w:hAnsi="Gilroy" w:cs="Calibri"/>
          <w:sz w:val="18"/>
          <w:szCs w:val="18"/>
        </w:rPr>
        <w:t xml:space="preserve">; </w:t>
      </w:r>
      <w:r w:rsidRPr="00792403">
        <w:rPr>
          <w:rFonts w:ascii="Gilroy" w:hAnsi="Gilroy" w:cs="Calibri"/>
          <w:sz w:val="18"/>
          <w:szCs w:val="18"/>
        </w:rPr>
        <w:t>Digital Health and Rights Project Consortium (2022) Digital health and rights of young adults in Ghana, Vietnam, Kenya: final project report, page 13 and 15,</w:t>
      </w:r>
      <w:r w:rsidR="00792403">
        <w:rPr>
          <w:rFonts w:ascii="Gilroy" w:hAnsi="Gilroy" w:cs="Calibri"/>
          <w:sz w:val="18"/>
          <w:szCs w:val="18"/>
        </w:rPr>
        <w:t xml:space="preserve"> </w:t>
      </w:r>
      <w:hyperlink r:id="rId38" w:history="1">
        <w:r w:rsidR="00792403" w:rsidRPr="004B5AD6">
          <w:rPr>
            <w:rStyle w:val="Hyperlink"/>
            <w:rFonts w:ascii="Gilroy" w:eastAsiaTheme="majorEastAsia" w:hAnsi="Gilroy" w:cs="Calibri"/>
            <w:sz w:val="18"/>
            <w:szCs w:val="18"/>
          </w:rPr>
          <w:t>https://repository.graduateinstitute.ch/record/300591?_ga=2.99187678.1735834843.1682602161-345088509.1672743223&amp;v=pdf</w:t>
        </w:r>
      </w:hyperlink>
      <w:r w:rsidR="00690080" w:rsidRPr="00792403">
        <w:rPr>
          <w:rStyle w:val="Hyperlink"/>
          <w:rFonts w:ascii="Gilroy" w:eastAsiaTheme="majorEastAsia" w:hAnsi="Gilroy" w:cs="Calibri"/>
          <w:sz w:val="18"/>
          <w:szCs w:val="18"/>
        </w:rPr>
        <w:t xml:space="preserve">. </w:t>
      </w:r>
    </w:p>
  </w:footnote>
  <w:footnote w:id="30">
    <w:p w14:paraId="305A09C1" w14:textId="30E34681" w:rsidR="00B8212A" w:rsidRPr="00792403" w:rsidRDefault="00B8212A" w:rsidP="00B8212A">
      <w:pPr>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r w:rsidR="00F77848" w:rsidRPr="00792403">
        <w:rPr>
          <w:rFonts w:ascii="Gilroy" w:hAnsi="Gilroy" w:cs="Calibri"/>
          <w:sz w:val="18"/>
          <w:szCs w:val="18"/>
        </w:rPr>
        <w:t>I</w:t>
      </w:r>
      <w:r w:rsidRPr="00792403">
        <w:rPr>
          <w:rFonts w:ascii="Gilroy" w:hAnsi="Gilroy" w:cs="Calibri"/>
          <w:sz w:val="18"/>
          <w:szCs w:val="18"/>
        </w:rPr>
        <w:t>bid, page 14</w:t>
      </w:r>
      <w:r w:rsidR="00F77848" w:rsidRPr="00792403">
        <w:rPr>
          <w:rFonts w:ascii="Gilroy" w:hAnsi="Gilroy" w:cs="Calibri"/>
          <w:sz w:val="18"/>
          <w:szCs w:val="18"/>
        </w:rPr>
        <w:t>.</w:t>
      </w:r>
      <w:r w:rsidRPr="00792403">
        <w:rPr>
          <w:rStyle w:val="Hyperlink"/>
          <w:rFonts w:ascii="Gilroy" w:eastAsiaTheme="majorEastAsia" w:hAnsi="Gilroy" w:cs="Calibri"/>
          <w:sz w:val="18"/>
          <w:szCs w:val="18"/>
        </w:rPr>
        <w:t xml:space="preserve"> </w:t>
      </w:r>
    </w:p>
  </w:footnote>
  <w:footnote w:id="31">
    <w:p w14:paraId="09350D0E" w14:textId="053A83E9" w:rsidR="00B8212A" w:rsidRPr="00792403" w:rsidRDefault="00B8212A" w:rsidP="00B8212A">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r w:rsidR="00F77848" w:rsidRPr="00792403">
        <w:rPr>
          <w:rFonts w:ascii="Gilroy" w:hAnsi="Gilroy" w:cs="Calibri"/>
          <w:sz w:val="18"/>
          <w:szCs w:val="18"/>
        </w:rPr>
        <w:t>I</w:t>
      </w:r>
      <w:r w:rsidRPr="00792403">
        <w:rPr>
          <w:rFonts w:ascii="Gilroy" w:hAnsi="Gilroy" w:cs="Calibri"/>
          <w:sz w:val="18"/>
          <w:szCs w:val="18"/>
        </w:rPr>
        <w:t>bid, page 13-14</w:t>
      </w:r>
      <w:r w:rsidR="00F77848" w:rsidRPr="00792403">
        <w:rPr>
          <w:rFonts w:ascii="Gilroy" w:hAnsi="Gilroy" w:cs="Calibri"/>
          <w:sz w:val="18"/>
          <w:szCs w:val="18"/>
        </w:rPr>
        <w:t>.</w:t>
      </w:r>
    </w:p>
  </w:footnote>
  <w:footnote w:id="32">
    <w:p w14:paraId="394FDF64" w14:textId="77777777" w:rsidR="00B8212A" w:rsidRPr="00792403" w:rsidRDefault="00B8212A" w:rsidP="00B8212A">
      <w:pPr>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Digital Health and Rights Project Consortium (2022) Digital health and rights of young adults in Ghana, Vietnam, Kenya: final project report, page 17, </w:t>
      </w:r>
      <w:hyperlink r:id="rId39" w:history="1">
        <w:r w:rsidRPr="00792403">
          <w:rPr>
            <w:rStyle w:val="Hyperlink"/>
            <w:rFonts w:ascii="Gilroy" w:eastAsiaTheme="majorEastAsia" w:hAnsi="Gilroy" w:cs="Calibri"/>
            <w:sz w:val="18"/>
            <w:szCs w:val="18"/>
          </w:rPr>
          <w:t>https://repository.graduateinstitute.ch/record/300591?_ga=2.99187678.1735834843.1682602161-345088509.1672743223&amp;v=pdf</w:t>
        </w:r>
      </w:hyperlink>
    </w:p>
  </w:footnote>
  <w:footnote w:id="33">
    <w:p w14:paraId="4839D80B" w14:textId="58425EC5" w:rsidR="00B8212A" w:rsidRPr="00792403" w:rsidRDefault="00B8212A" w:rsidP="00B8212A">
      <w:pPr>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Ibid, page 16</w:t>
      </w:r>
      <w:r w:rsidR="00F77848" w:rsidRPr="00792403">
        <w:rPr>
          <w:rFonts w:ascii="Gilroy" w:hAnsi="Gilroy" w:cs="Calibri"/>
          <w:sz w:val="18"/>
          <w:szCs w:val="18"/>
        </w:rPr>
        <w:t xml:space="preserve">. </w:t>
      </w:r>
    </w:p>
  </w:footnote>
  <w:footnote w:id="34">
    <w:p w14:paraId="0265251E" w14:textId="77777777" w:rsidR="001627A6" w:rsidRPr="00792403" w:rsidRDefault="001627A6" w:rsidP="001627A6">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Kisumu was selected because it is among the 4 counties with the highest HIV prevalence rates in the country and is regarded as one of the key counties in need of intensified focus to prevent new HIV infections.</w:t>
      </w:r>
    </w:p>
  </w:footnote>
  <w:footnote w:id="35">
    <w:p w14:paraId="7D4D9CDA" w14:textId="77777777" w:rsidR="001627A6" w:rsidRPr="001622F8" w:rsidRDefault="001627A6" w:rsidP="001627A6">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KELIN (2023) Impact of HIV index testing on access to sexual and reproductive health (SRH) services for young women and girls in Kenya: A participatory action research study, Research report, </w:t>
      </w:r>
      <w:hyperlink r:id="rId40" w:history="1">
        <w:r w:rsidRPr="00792403">
          <w:rPr>
            <w:rStyle w:val="Hyperlink"/>
            <w:rFonts w:ascii="Gilroy" w:eastAsiaTheme="majorEastAsia" w:hAnsi="Gilroy" w:cs="Calibri"/>
            <w:sz w:val="18"/>
            <w:szCs w:val="18"/>
          </w:rPr>
          <w:t>https://www.kelinkenya.org/wp-content/uploads/2023/04/HIV-Index-Testing-Research.pdf</w:t>
        </w:r>
      </w:hyperlink>
      <w:r w:rsidRPr="001622F8">
        <w:rPr>
          <w:rFonts w:ascii="Gilroy" w:hAnsi="Gilroy" w:cs="Calibri"/>
          <w:sz w:val="18"/>
          <w:szCs w:val="18"/>
        </w:rPr>
        <w:t xml:space="preserve"> </w:t>
      </w:r>
    </w:p>
  </w:footnote>
  <w:footnote w:id="36">
    <w:p w14:paraId="2587624D" w14:textId="7A5FFB1B" w:rsidR="001627A6" w:rsidRPr="00792403" w:rsidRDefault="001627A6" w:rsidP="001627A6">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r w:rsidR="00F77848" w:rsidRPr="00792403">
        <w:rPr>
          <w:rFonts w:ascii="Gilroy" w:hAnsi="Gilroy" w:cs="Calibri"/>
          <w:sz w:val="18"/>
          <w:szCs w:val="18"/>
        </w:rPr>
        <w:t>I</w:t>
      </w:r>
      <w:r w:rsidRPr="00792403">
        <w:rPr>
          <w:rFonts w:ascii="Gilroy" w:hAnsi="Gilroy" w:cs="Calibri"/>
          <w:sz w:val="18"/>
          <w:szCs w:val="18"/>
        </w:rPr>
        <w:t>bid, page 35-36</w:t>
      </w:r>
      <w:r w:rsidR="00F77848" w:rsidRPr="00792403">
        <w:rPr>
          <w:rFonts w:ascii="Gilroy" w:hAnsi="Gilroy" w:cs="Calibri"/>
          <w:sz w:val="18"/>
          <w:szCs w:val="18"/>
        </w:rPr>
        <w:t xml:space="preserve">. </w:t>
      </w:r>
    </w:p>
  </w:footnote>
  <w:footnote w:id="37">
    <w:p w14:paraId="55D2DBF1" w14:textId="06ACD01D" w:rsidR="001627A6" w:rsidRPr="00792403" w:rsidRDefault="001627A6" w:rsidP="001627A6">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r w:rsidR="00F77848" w:rsidRPr="00792403">
        <w:rPr>
          <w:rFonts w:ascii="Gilroy" w:hAnsi="Gilroy" w:cs="Calibri"/>
          <w:sz w:val="18"/>
          <w:szCs w:val="18"/>
        </w:rPr>
        <w:t>I</w:t>
      </w:r>
      <w:r w:rsidRPr="00792403">
        <w:rPr>
          <w:rFonts w:ascii="Gilroy" w:hAnsi="Gilroy" w:cs="Calibri"/>
          <w:sz w:val="18"/>
          <w:szCs w:val="18"/>
        </w:rPr>
        <w:t>bid, page 39</w:t>
      </w:r>
      <w:r w:rsidR="00F77848" w:rsidRPr="00792403">
        <w:rPr>
          <w:rFonts w:ascii="Gilroy" w:hAnsi="Gilroy" w:cs="Calibri"/>
          <w:sz w:val="18"/>
          <w:szCs w:val="18"/>
        </w:rPr>
        <w:t>.</w:t>
      </w:r>
    </w:p>
  </w:footnote>
  <w:footnote w:id="38">
    <w:p w14:paraId="154CA0B1" w14:textId="77777777" w:rsidR="001627A6" w:rsidRPr="00792403" w:rsidRDefault="001627A6" w:rsidP="001627A6">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KELIN (2023). Impact of HIV index testing on access to sexual and reproductive health (SRH) services for young women and girls in Kenya: A participatory action research study. Research report, page 47-48. </w:t>
      </w:r>
      <w:hyperlink r:id="rId41" w:history="1">
        <w:r w:rsidRPr="00792403">
          <w:rPr>
            <w:rStyle w:val="Hyperlink"/>
            <w:rFonts w:ascii="Gilroy" w:eastAsiaTheme="majorEastAsia" w:hAnsi="Gilroy" w:cs="Calibri"/>
            <w:sz w:val="18"/>
            <w:szCs w:val="18"/>
          </w:rPr>
          <w:t>https://www.kelinkenya.org/wp-content/uploads/2023/04/HIV-Index-Testing-Research.pdf</w:t>
        </w:r>
      </w:hyperlink>
    </w:p>
  </w:footnote>
  <w:footnote w:id="39">
    <w:p w14:paraId="03B7F2BA" w14:textId="2A809B5C" w:rsidR="001627A6" w:rsidRPr="00792403" w:rsidRDefault="001627A6" w:rsidP="00690080">
      <w:pPr>
        <w:pStyle w:val="FootnoteText"/>
        <w:rPr>
          <w:rFonts w:ascii="Gilroy" w:hAnsi="Gilroy" w:cs="Calibri"/>
          <w:sz w:val="18"/>
          <w:szCs w:val="18"/>
        </w:rPr>
      </w:pPr>
      <w:r w:rsidRPr="00792403">
        <w:rPr>
          <w:rStyle w:val="FootnoteReference"/>
          <w:rFonts w:ascii="Gilroy" w:eastAsiaTheme="majorEastAsia" w:hAnsi="Gilroy" w:cs="Calibri"/>
          <w:sz w:val="18"/>
          <w:szCs w:val="18"/>
        </w:rPr>
        <w:footnoteRef/>
      </w:r>
      <w:r w:rsidRPr="00792403">
        <w:rPr>
          <w:rFonts w:ascii="Gilroy" w:hAnsi="Gilroy" w:cs="Calibri"/>
          <w:sz w:val="18"/>
          <w:szCs w:val="18"/>
        </w:rPr>
        <w:t xml:space="preserve"> </w:t>
      </w:r>
      <w:r w:rsidR="00690080" w:rsidRPr="00792403">
        <w:rPr>
          <w:rFonts w:ascii="Gilroy" w:hAnsi="Gilroy" w:cs="Calibri"/>
          <w:sz w:val="18"/>
          <w:szCs w:val="18"/>
        </w:rPr>
        <w:t xml:space="preserve">Macharia P, Pérez-Navarro A, </w:t>
      </w:r>
      <w:proofErr w:type="spellStart"/>
      <w:r w:rsidR="00690080" w:rsidRPr="00792403">
        <w:rPr>
          <w:rFonts w:ascii="Gilroy" w:hAnsi="Gilroy" w:cs="Calibri"/>
          <w:sz w:val="18"/>
          <w:szCs w:val="18"/>
        </w:rPr>
        <w:t>Inwani</w:t>
      </w:r>
      <w:proofErr w:type="spellEnd"/>
      <w:r w:rsidR="00690080" w:rsidRPr="00792403">
        <w:rPr>
          <w:rFonts w:ascii="Gilroy" w:hAnsi="Gilroy" w:cs="Calibri"/>
          <w:sz w:val="18"/>
          <w:szCs w:val="18"/>
        </w:rPr>
        <w:t xml:space="preserve"> I, </w:t>
      </w:r>
      <w:proofErr w:type="spellStart"/>
      <w:r w:rsidR="00690080" w:rsidRPr="00792403">
        <w:rPr>
          <w:rFonts w:ascii="Gilroy" w:hAnsi="Gilroy" w:cs="Calibri"/>
          <w:sz w:val="18"/>
          <w:szCs w:val="18"/>
        </w:rPr>
        <w:t>Nduati</w:t>
      </w:r>
      <w:proofErr w:type="spellEnd"/>
      <w:r w:rsidR="00690080" w:rsidRPr="00792403">
        <w:rPr>
          <w:rFonts w:ascii="Gilroy" w:hAnsi="Gilroy" w:cs="Calibri"/>
          <w:sz w:val="18"/>
          <w:szCs w:val="18"/>
        </w:rPr>
        <w:t xml:space="preserve"> R, Carrion C. An Exploratory Study of Current Sources of Adolescent Sexual and Reproductive Health Information in Kenya and Their Limitations: Are Mobile Phone Technologies the Answer? International Journal of Sex Health, 16 May 2021, 33(3):357-370, </w:t>
      </w:r>
      <w:hyperlink r:id="rId42" w:history="1">
        <w:r w:rsidR="00690080" w:rsidRPr="00792403">
          <w:rPr>
            <w:rStyle w:val="Hyperlink"/>
            <w:rFonts w:ascii="Gilroy" w:eastAsiaTheme="majorEastAsia" w:hAnsi="Gilroy" w:cs="Calibri"/>
            <w:sz w:val="18"/>
            <w:szCs w:val="18"/>
          </w:rPr>
          <w:t>https://www.ncbi.nlm.nih.gov/pmc/articles/PMC10929578/</w:t>
        </w:r>
      </w:hyperlink>
      <w:r w:rsidR="00690080" w:rsidRPr="00792403">
        <w:rPr>
          <w:rFonts w:ascii="Gilroy" w:hAnsi="Gilroy" w:cs="Calibri"/>
          <w:sz w:val="18"/>
          <w:szCs w:val="18"/>
        </w:rPr>
        <w:t xml:space="preserve">; Privacy International, ‘Country case-study: sexual and reproductive rights in Kenya’, 4 June 2020, </w:t>
      </w:r>
      <w:hyperlink r:id="rId43" w:history="1">
        <w:r w:rsidR="00690080" w:rsidRPr="00792403">
          <w:rPr>
            <w:rStyle w:val="Hyperlink"/>
            <w:rFonts w:ascii="Gilroy" w:eastAsiaTheme="majorEastAsia" w:hAnsi="Gilroy" w:cs="Calibri"/>
            <w:sz w:val="18"/>
            <w:szCs w:val="18"/>
          </w:rPr>
          <w:t>https://privacyinternational.org/long-read/3859/country-case-study-sexual-and-reproductive-rights-kenya</w:t>
        </w:r>
      </w:hyperlink>
      <w:r w:rsidR="00690080" w:rsidRPr="00792403">
        <w:rPr>
          <w:rStyle w:val="Hyperlink"/>
          <w:rFonts w:ascii="Gilroy" w:eastAsiaTheme="majorEastAsia" w:hAnsi="Gilroy" w:cs="Calibri"/>
          <w:sz w:val="18"/>
          <w:szCs w:val="18"/>
        </w:rPr>
        <w:t xml:space="preserve">;  </w:t>
      </w:r>
      <w:r w:rsidRPr="00792403">
        <w:rPr>
          <w:rFonts w:ascii="Gilroy" w:hAnsi="Gilroy" w:cs="Calibri"/>
          <w:sz w:val="18"/>
          <w:szCs w:val="18"/>
        </w:rPr>
        <w:t xml:space="preserve">Digital Health and Rights Project Consortium (2022) Digital health and rights of young adults in Ghana, Vietnam, Kenya: final project report, </w:t>
      </w:r>
    </w:p>
    <w:p w14:paraId="42E78CEE" w14:textId="77777777" w:rsidR="001627A6" w:rsidRPr="001622F8" w:rsidRDefault="001627A6" w:rsidP="001627A6">
      <w:pPr>
        <w:rPr>
          <w:rFonts w:ascii="Gilroy" w:hAnsi="Gilroy" w:cs="Calibri"/>
          <w:sz w:val="18"/>
          <w:szCs w:val="18"/>
        </w:rPr>
      </w:pPr>
      <w:hyperlink r:id="rId44" w:history="1">
        <w:r w:rsidRPr="00792403">
          <w:rPr>
            <w:rStyle w:val="Hyperlink"/>
            <w:rFonts w:ascii="Gilroy" w:eastAsiaTheme="majorEastAsia" w:hAnsi="Gilroy" w:cs="Calibri"/>
            <w:sz w:val="18"/>
            <w:szCs w:val="18"/>
          </w:rPr>
          <w:t>https://repository.graduateinstitute.ch/record/300591?_ga=2.99187678.1735834843.1682602161-345088509.1672743223&amp;v=pdf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A97"/>
    <w:multiLevelType w:val="hybridMultilevel"/>
    <w:tmpl w:val="1ED05E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05CDB"/>
    <w:multiLevelType w:val="hybridMultilevel"/>
    <w:tmpl w:val="6AE69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A12EB1"/>
    <w:multiLevelType w:val="hybridMultilevel"/>
    <w:tmpl w:val="A0BE1A9A"/>
    <w:lvl w:ilvl="0" w:tplc="CB7CC780">
      <w:start w:val="1"/>
      <w:numFmt w:val="decimal"/>
      <w:lvlText w:val="%1."/>
      <w:lvlJc w:val="left"/>
      <w:pPr>
        <w:ind w:left="720" w:hanging="360"/>
      </w:pPr>
      <w:rPr>
        <w:rFonts w:asciiTheme="minorHAnsi" w:eastAsia="Times New Roman" w:hAnsiTheme="minorHAnsi" w:cstheme="minorHAns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407DA"/>
    <w:multiLevelType w:val="hybridMultilevel"/>
    <w:tmpl w:val="D6B8D38A"/>
    <w:lvl w:ilvl="0" w:tplc="B0AAE0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7A53B5"/>
    <w:multiLevelType w:val="hybridMultilevel"/>
    <w:tmpl w:val="5226D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D04644"/>
    <w:multiLevelType w:val="hybridMultilevel"/>
    <w:tmpl w:val="D6087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BF4D4B"/>
    <w:multiLevelType w:val="hybridMultilevel"/>
    <w:tmpl w:val="D7684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C7260B"/>
    <w:multiLevelType w:val="hybridMultilevel"/>
    <w:tmpl w:val="A37E964A"/>
    <w:lvl w:ilvl="0" w:tplc="09E262C4">
      <w:start w:val="1"/>
      <w:numFmt w:val="decimal"/>
      <w:lvlText w:val="%1."/>
      <w:lvlJc w:val="left"/>
      <w:pPr>
        <w:ind w:left="720" w:hanging="360"/>
      </w:pPr>
      <w:rPr>
        <w:rFonts w:ascii="Calibri" w:hAnsi="Calibri" w:cs="Calibri" w:hint="default"/>
        <w:b w:val="0"/>
        <w:bCs w:val="0"/>
        <w:i w:val="0"/>
        <w:iCs w:val="0"/>
      </w:rPr>
    </w:lvl>
    <w:lvl w:ilvl="1" w:tplc="08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8C010E"/>
    <w:multiLevelType w:val="hybridMultilevel"/>
    <w:tmpl w:val="BEF44182"/>
    <w:lvl w:ilvl="0" w:tplc="ACD62E28">
      <w:start w:val="1"/>
      <w:numFmt w:val="decimal"/>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9057948">
    <w:abstractNumId w:val="7"/>
  </w:num>
  <w:num w:numId="2" w16cid:durableId="1117020411">
    <w:abstractNumId w:val="3"/>
  </w:num>
  <w:num w:numId="3" w16cid:durableId="1459645159">
    <w:abstractNumId w:val="0"/>
  </w:num>
  <w:num w:numId="4" w16cid:durableId="980577958">
    <w:abstractNumId w:val="2"/>
  </w:num>
  <w:num w:numId="5" w16cid:durableId="1458530669">
    <w:abstractNumId w:val="1"/>
  </w:num>
  <w:num w:numId="6" w16cid:durableId="2081559406">
    <w:abstractNumId w:val="8"/>
  </w:num>
  <w:num w:numId="7" w16cid:durableId="147862381">
    <w:abstractNumId w:val="4"/>
  </w:num>
  <w:num w:numId="8" w16cid:durableId="513037566">
    <w:abstractNumId w:val="5"/>
  </w:num>
  <w:num w:numId="9" w16cid:durableId="14631149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2B"/>
    <w:rsid w:val="000034F4"/>
    <w:rsid w:val="00026C91"/>
    <w:rsid w:val="000314BA"/>
    <w:rsid w:val="000426A1"/>
    <w:rsid w:val="00060924"/>
    <w:rsid w:val="00100195"/>
    <w:rsid w:val="001013C3"/>
    <w:rsid w:val="00152566"/>
    <w:rsid w:val="001622F8"/>
    <w:rsid w:val="001627A6"/>
    <w:rsid w:val="001630A7"/>
    <w:rsid w:val="001C7713"/>
    <w:rsid w:val="001D3B28"/>
    <w:rsid w:val="001F4A86"/>
    <w:rsid w:val="0024029E"/>
    <w:rsid w:val="00241E37"/>
    <w:rsid w:val="0025168A"/>
    <w:rsid w:val="0029685E"/>
    <w:rsid w:val="00296D54"/>
    <w:rsid w:val="002A1D32"/>
    <w:rsid w:val="002B1F91"/>
    <w:rsid w:val="002C1F44"/>
    <w:rsid w:val="002D60FD"/>
    <w:rsid w:val="00354CA3"/>
    <w:rsid w:val="003732CA"/>
    <w:rsid w:val="003919D7"/>
    <w:rsid w:val="003D6054"/>
    <w:rsid w:val="00406E0B"/>
    <w:rsid w:val="00407111"/>
    <w:rsid w:val="00444069"/>
    <w:rsid w:val="004704CF"/>
    <w:rsid w:val="004D1C66"/>
    <w:rsid w:val="004E2ACE"/>
    <w:rsid w:val="00511406"/>
    <w:rsid w:val="0058385D"/>
    <w:rsid w:val="005A3DDC"/>
    <w:rsid w:val="005F0061"/>
    <w:rsid w:val="00620794"/>
    <w:rsid w:val="00690080"/>
    <w:rsid w:val="006C6D78"/>
    <w:rsid w:val="006E6CD3"/>
    <w:rsid w:val="006F716E"/>
    <w:rsid w:val="007625D3"/>
    <w:rsid w:val="00792403"/>
    <w:rsid w:val="0080609D"/>
    <w:rsid w:val="00812EDC"/>
    <w:rsid w:val="008214B7"/>
    <w:rsid w:val="00855BA6"/>
    <w:rsid w:val="00873294"/>
    <w:rsid w:val="008A2A06"/>
    <w:rsid w:val="008A7EA7"/>
    <w:rsid w:val="008C47B5"/>
    <w:rsid w:val="008D6DD2"/>
    <w:rsid w:val="008E4631"/>
    <w:rsid w:val="008F4C02"/>
    <w:rsid w:val="009607C6"/>
    <w:rsid w:val="00992C07"/>
    <w:rsid w:val="00995D18"/>
    <w:rsid w:val="009F5EEF"/>
    <w:rsid w:val="00A55DDC"/>
    <w:rsid w:val="00A9143D"/>
    <w:rsid w:val="00AF6C90"/>
    <w:rsid w:val="00B57676"/>
    <w:rsid w:val="00B8212A"/>
    <w:rsid w:val="00B84074"/>
    <w:rsid w:val="00BD0ADC"/>
    <w:rsid w:val="00C45675"/>
    <w:rsid w:val="00C602C6"/>
    <w:rsid w:val="00CA570F"/>
    <w:rsid w:val="00CD552B"/>
    <w:rsid w:val="00D00B06"/>
    <w:rsid w:val="00D10837"/>
    <w:rsid w:val="00D25DB2"/>
    <w:rsid w:val="00DD0BBC"/>
    <w:rsid w:val="00E20E21"/>
    <w:rsid w:val="00EF0D49"/>
    <w:rsid w:val="00EF2B0C"/>
    <w:rsid w:val="00F00141"/>
    <w:rsid w:val="00F77848"/>
    <w:rsid w:val="00F86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FB3B"/>
  <w15:chartTrackingRefBased/>
  <w15:docId w15:val="{A3873353-2258-6848-95D1-44497C9E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52B"/>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D5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5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5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5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5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52B"/>
    <w:rPr>
      <w:rFonts w:eastAsiaTheme="majorEastAsia" w:cstheme="majorBidi"/>
      <w:color w:val="272727" w:themeColor="text1" w:themeTint="D8"/>
    </w:rPr>
  </w:style>
  <w:style w:type="paragraph" w:styleId="Title">
    <w:name w:val="Title"/>
    <w:basedOn w:val="Normal"/>
    <w:next w:val="Normal"/>
    <w:link w:val="TitleChar"/>
    <w:uiPriority w:val="10"/>
    <w:qFormat/>
    <w:rsid w:val="00CD55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5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5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552B"/>
    <w:rPr>
      <w:i/>
      <w:iCs/>
      <w:color w:val="404040" w:themeColor="text1" w:themeTint="BF"/>
    </w:rPr>
  </w:style>
  <w:style w:type="paragraph" w:styleId="ListParagraph">
    <w:name w:val="List Paragraph"/>
    <w:basedOn w:val="Normal"/>
    <w:uiPriority w:val="34"/>
    <w:qFormat/>
    <w:rsid w:val="00CD552B"/>
    <w:pPr>
      <w:ind w:left="720"/>
      <w:contextualSpacing/>
    </w:pPr>
  </w:style>
  <w:style w:type="character" w:styleId="IntenseEmphasis">
    <w:name w:val="Intense Emphasis"/>
    <w:basedOn w:val="DefaultParagraphFont"/>
    <w:uiPriority w:val="21"/>
    <w:qFormat/>
    <w:rsid w:val="00CD552B"/>
    <w:rPr>
      <w:i/>
      <w:iCs/>
      <w:color w:val="0F4761" w:themeColor="accent1" w:themeShade="BF"/>
    </w:rPr>
  </w:style>
  <w:style w:type="paragraph" w:styleId="IntenseQuote">
    <w:name w:val="Intense Quote"/>
    <w:basedOn w:val="Normal"/>
    <w:next w:val="Normal"/>
    <w:link w:val="IntenseQuoteChar"/>
    <w:uiPriority w:val="30"/>
    <w:qFormat/>
    <w:rsid w:val="00CD5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52B"/>
    <w:rPr>
      <w:i/>
      <w:iCs/>
      <w:color w:val="0F4761" w:themeColor="accent1" w:themeShade="BF"/>
    </w:rPr>
  </w:style>
  <w:style w:type="character" w:styleId="IntenseReference">
    <w:name w:val="Intense Reference"/>
    <w:basedOn w:val="DefaultParagraphFont"/>
    <w:uiPriority w:val="32"/>
    <w:qFormat/>
    <w:rsid w:val="00CD552B"/>
    <w:rPr>
      <w:b/>
      <w:bCs/>
      <w:smallCaps/>
      <w:color w:val="0F4761" w:themeColor="accent1" w:themeShade="BF"/>
      <w:spacing w:val="5"/>
    </w:rPr>
  </w:style>
  <w:style w:type="paragraph" w:styleId="FootnoteText">
    <w:name w:val="footnote text"/>
    <w:basedOn w:val="Normal"/>
    <w:link w:val="FootnoteTextChar"/>
    <w:uiPriority w:val="99"/>
    <w:unhideWhenUsed/>
    <w:rsid w:val="00CD552B"/>
    <w:rPr>
      <w:sz w:val="20"/>
      <w:szCs w:val="20"/>
    </w:rPr>
  </w:style>
  <w:style w:type="character" w:customStyle="1" w:styleId="FootnoteTextChar">
    <w:name w:val="Footnote Text Char"/>
    <w:basedOn w:val="DefaultParagraphFont"/>
    <w:link w:val="FootnoteText"/>
    <w:uiPriority w:val="99"/>
    <w:rsid w:val="00CD552B"/>
    <w:rPr>
      <w:rFonts w:ascii="Times New Roman" w:eastAsia="Times New Roman" w:hAnsi="Times New Roman" w:cs="Times New Roman"/>
      <w:kern w:val="0"/>
      <w:sz w:val="20"/>
      <w:szCs w:val="20"/>
      <w14:ligatures w14:val="none"/>
    </w:rPr>
  </w:style>
  <w:style w:type="character" w:styleId="FootnoteReference">
    <w:name w:val="footnote reference"/>
    <w:aliases w:val="Footnotes refss,4_G,Footnote number"/>
    <w:basedOn w:val="DefaultParagraphFont"/>
    <w:uiPriority w:val="99"/>
    <w:unhideWhenUsed/>
    <w:rsid w:val="00CD552B"/>
    <w:rPr>
      <w:vertAlign w:val="superscript"/>
    </w:rPr>
  </w:style>
  <w:style w:type="character" w:styleId="Hyperlink">
    <w:name w:val="Hyperlink"/>
    <w:basedOn w:val="DefaultParagraphFont"/>
    <w:uiPriority w:val="99"/>
    <w:unhideWhenUsed/>
    <w:rsid w:val="00CD552B"/>
    <w:rPr>
      <w:color w:val="467886" w:themeColor="hyperlink"/>
      <w:u w:val="single"/>
    </w:rPr>
  </w:style>
  <w:style w:type="character" w:styleId="FollowedHyperlink">
    <w:name w:val="FollowedHyperlink"/>
    <w:basedOn w:val="DefaultParagraphFont"/>
    <w:uiPriority w:val="99"/>
    <w:semiHidden/>
    <w:unhideWhenUsed/>
    <w:rsid w:val="00EF2B0C"/>
    <w:rPr>
      <w:color w:val="96607D" w:themeColor="followedHyperlink"/>
      <w:u w:val="single"/>
    </w:rPr>
  </w:style>
  <w:style w:type="character" w:styleId="UnresolvedMention">
    <w:name w:val="Unresolved Mention"/>
    <w:basedOn w:val="DefaultParagraphFont"/>
    <w:uiPriority w:val="99"/>
    <w:semiHidden/>
    <w:unhideWhenUsed/>
    <w:rsid w:val="00EF2B0C"/>
    <w:rPr>
      <w:color w:val="605E5C"/>
      <w:shd w:val="clear" w:color="auto" w:fill="E1DFDD"/>
    </w:rPr>
  </w:style>
  <w:style w:type="character" w:styleId="CommentReference">
    <w:name w:val="annotation reference"/>
    <w:basedOn w:val="DefaultParagraphFont"/>
    <w:uiPriority w:val="99"/>
    <w:semiHidden/>
    <w:unhideWhenUsed/>
    <w:rsid w:val="0080609D"/>
    <w:rPr>
      <w:sz w:val="16"/>
      <w:szCs w:val="16"/>
    </w:rPr>
  </w:style>
  <w:style w:type="paragraph" w:styleId="CommentText">
    <w:name w:val="annotation text"/>
    <w:basedOn w:val="Normal"/>
    <w:link w:val="CommentTextChar"/>
    <w:uiPriority w:val="99"/>
    <w:semiHidden/>
    <w:unhideWhenUsed/>
    <w:rsid w:val="0080609D"/>
    <w:rPr>
      <w:sz w:val="20"/>
      <w:szCs w:val="20"/>
    </w:rPr>
  </w:style>
  <w:style w:type="character" w:customStyle="1" w:styleId="CommentTextChar">
    <w:name w:val="Comment Text Char"/>
    <w:basedOn w:val="DefaultParagraphFont"/>
    <w:link w:val="CommentText"/>
    <w:uiPriority w:val="99"/>
    <w:semiHidden/>
    <w:rsid w:val="0080609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609D"/>
    <w:rPr>
      <w:b/>
      <w:bCs/>
    </w:rPr>
  </w:style>
  <w:style w:type="character" w:customStyle="1" w:styleId="CommentSubjectChar">
    <w:name w:val="Comment Subject Char"/>
    <w:basedOn w:val="CommentTextChar"/>
    <w:link w:val="CommentSubject"/>
    <w:uiPriority w:val="99"/>
    <w:semiHidden/>
    <w:rsid w:val="0080609D"/>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AF6C90"/>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29355">
      <w:bodyDiv w:val="1"/>
      <w:marLeft w:val="0"/>
      <w:marRight w:val="0"/>
      <w:marTop w:val="0"/>
      <w:marBottom w:val="0"/>
      <w:divBdr>
        <w:top w:val="none" w:sz="0" w:space="0" w:color="auto"/>
        <w:left w:val="none" w:sz="0" w:space="0" w:color="auto"/>
        <w:bottom w:val="none" w:sz="0" w:space="0" w:color="auto"/>
        <w:right w:val="none" w:sz="0" w:space="0" w:color="auto"/>
      </w:divBdr>
    </w:div>
    <w:div w:id="39523977">
      <w:bodyDiv w:val="1"/>
      <w:marLeft w:val="0"/>
      <w:marRight w:val="0"/>
      <w:marTop w:val="0"/>
      <w:marBottom w:val="0"/>
      <w:divBdr>
        <w:top w:val="none" w:sz="0" w:space="0" w:color="auto"/>
        <w:left w:val="none" w:sz="0" w:space="0" w:color="auto"/>
        <w:bottom w:val="none" w:sz="0" w:space="0" w:color="auto"/>
        <w:right w:val="none" w:sz="0" w:space="0" w:color="auto"/>
      </w:divBdr>
    </w:div>
    <w:div w:id="53897232">
      <w:bodyDiv w:val="1"/>
      <w:marLeft w:val="0"/>
      <w:marRight w:val="0"/>
      <w:marTop w:val="0"/>
      <w:marBottom w:val="0"/>
      <w:divBdr>
        <w:top w:val="none" w:sz="0" w:space="0" w:color="auto"/>
        <w:left w:val="none" w:sz="0" w:space="0" w:color="auto"/>
        <w:bottom w:val="none" w:sz="0" w:space="0" w:color="auto"/>
        <w:right w:val="none" w:sz="0" w:space="0" w:color="auto"/>
      </w:divBdr>
      <w:divsChild>
        <w:div w:id="2086485080">
          <w:marLeft w:val="0"/>
          <w:marRight w:val="0"/>
          <w:marTop w:val="0"/>
          <w:marBottom w:val="0"/>
          <w:divBdr>
            <w:top w:val="none" w:sz="0" w:space="0" w:color="auto"/>
            <w:left w:val="none" w:sz="0" w:space="0" w:color="auto"/>
            <w:bottom w:val="none" w:sz="0" w:space="0" w:color="auto"/>
            <w:right w:val="none" w:sz="0" w:space="0" w:color="auto"/>
          </w:divBdr>
          <w:divsChild>
            <w:div w:id="251396506">
              <w:marLeft w:val="0"/>
              <w:marRight w:val="0"/>
              <w:marTop w:val="0"/>
              <w:marBottom w:val="0"/>
              <w:divBdr>
                <w:top w:val="none" w:sz="0" w:space="0" w:color="auto"/>
                <w:left w:val="none" w:sz="0" w:space="0" w:color="auto"/>
                <w:bottom w:val="none" w:sz="0" w:space="0" w:color="auto"/>
                <w:right w:val="none" w:sz="0" w:space="0" w:color="auto"/>
              </w:divBdr>
              <w:divsChild>
                <w:div w:id="2034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7693">
      <w:bodyDiv w:val="1"/>
      <w:marLeft w:val="0"/>
      <w:marRight w:val="0"/>
      <w:marTop w:val="0"/>
      <w:marBottom w:val="0"/>
      <w:divBdr>
        <w:top w:val="none" w:sz="0" w:space="0" w:color="auto"/>
        <w:left w:val="none" w:sz="0" w:space="0" w:color="auto"/>
        <w:bottom w:val="none" w:sz="0" w:space="0" w:color="auto"/>
        <w:right w:val="none" w:sz="0" w:space="0" w:color="auto"/>
      </w:divBdr>
      <w:divsChild>
        <w:div w:id="219488415">
          <w:marLeft w:val="0"/>
          <w:marRight w:val="0"/>
          <w:marTop w:val="0"/>
          <w:marBottom w:val="0"/>
          <w:divBdr>
            <w:top w:val="none" w:sz="0" w:space="0" w:color="auto"/>
            <w:left w:val="none" w:sz="0" w:space="0" w:color="auto"/>
            <w:bottom w:val="none" w:sz="0" w:space="0" w:color="auto"/>
            <w:right w:val="none" w:sz="0" w:space="0" w:color="auto"/>
          </w:divBdr>
          <w:divsChild>
            <w:div w:id="715004760">
              <w:marLeft w:val="0"/>
              <w:marRight w:val="0"/>
              <w:marTop w:val="0"/>
              <w:marBottom w:val="0"/>
              <w:divBdr>
                <w:top w:val="none" w:sz="0" w:space="0" w:color="auto"/>
                <w:left w:val="none" w:sz="0" w:space="0" w:color="auto"/>
                <w:bottom w:val="none" w:sz="0" w:space="0" w:color="auto"/>
                <w:right w:val="none" w:sz="0" w:space="0" w:color="auto"/>
              </w:divBdr>
              <w:divsChild>
                <w:div w:id="89184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1847">
      <w:bodyDiv w:val="1"/>
      <w:marLeft w:val="0"/>
      <w:marRight w:val="0"/>
      <w:marTop w:val="0"/>
      <w:marBottom w:val="0"/>
      <w:divBdr>
        <w:top w:val="none" w:sz="0" w:space="0" w:color="auto"/>
        <w:left w:val="none" w:sz="0" w:space="0" w:color="auto"/>
        <w:bottom w:val="none" w:sz="0" w:space="0" w:color="auto"/>
        <w:right w:val="none" w:sz="0" w:space="0" w:color="auto"/>
      </w:divBdr>
    </w:div>
    <w:div w:id="194585823">
      <w:bodyDiv w:val="1"/>
      <w:marLeft w:val="0"/>
      <w:marRight w:val="0"/>
      <w:marTop w:val="0"/>
      <w:marBottom w:val="0"/>
      <w:divBdr>
        <w:top w:val="none" w:sz="0" w:space="0" w:color="auto"/>
        <w:left w:val="none" w:sz="0" w:space="0" w:color="auto"/>
        <w:bottom w:val="none" w:sz="0" w:space="0" w:color="auto"/>
        <w:right w:val="none" w:sz="0" w:space="0" w:color="auto"/>
      </w:divBdr>
    </w:div>
    <w:div w:id="258102637">
      <w:bodyDiv w:val="1"/>
      <w:marLeft w:val="0"/>
      <w:marRight w:val="0"/>
      <w:marTop w:val="0"/>
      <w:marBottom w:val="0"/>
      <w:divBdr>
        <w:top w:val="none" w:sz="0" w:space="0" w:color="auto"/>
        <w:left w:val="none" w:sz="0" w:space="0" w:color="auto"/>
        <w:bottom w:val="none" w:sz="0" w:space="0" w:color="auto"/>
        <w:right w:val="none" w:sz="0" w:space="0" w:color="auto"/>
      </w:divBdr>
    </w:div>
    <w:div w:id="330186681">
      <w:bodyDiv w:val="1"/>
      <w:marLeft w:val="0"/>
      <w:marRight w:val="0"/>
      <w:marTop w:val="0"/>
      <w:marBottom w:val="0"/>
      <w:divBdr>
        <w:top w:val="none" w:sz="0" w:space="0" w:color="auto"/>
        <w:left w:val="none" w:sz="0" w:space="0" w:color="auto"/>
        <w:bottom w:val="none" w:sz="0" w:space="0" w:color="auto"/>
        <w:right w:val="none" w:sz="0" w:space="0" w:color="auto"/>
      </w:divBdr>
      <w:divsChild>
        <w:div w:id="261498079">
          <w:marLeft w:val="0"/>
          <w:marRight w:val="0"/>
          <w:marTop w:val="0"/>
          <w:marBottom w:val="0"/>
          <w:divBdr>
            <w:top w:val="none" w:sz="0" w:space="0" w:color="auto"/>
            <w:left w:val="none" w:sz="0" w:space="0" w:color="auto"/>
            <w:bottom w:val="none" w:sz="0" w:space="0" w:color="auto"/>
            <w:right w:val="none" w:sz="0" w:space="0" w:color="auto"/>
          </w:divBdr>
          <w:divsChild>
            <w:div w:id="1577203026">
              <w:marLeft w:val="0"/>
              <w:marRight w:val="0"/>
              <w:marTop w:val="0"/>
              <w:marBottom w:val="0"/>
              <w:divBdr>
                <w:top w:val="none" w:sz="0" w:space="0" w:color="auto"/>
                <w:left w:val="none" w:sz="0" w:space="0" w:color="auto"/>
                <w:bottom w:val="none" w:sz="0" w:space="0" w:color="auto"/>
                <w:right w:val="none" w:sz="0" w:space="0" w:color="auto"/>
              </w:divBdr>
              <w:divsChild>
                <w:div w:id="212495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729984">
      <w:bodyDiv w:val="1"/>
      <w:marLeft w:val="0"/>
      <w:marRight w:val="0"/>
      <w:marTop w:val="0"/>
      <w:marBottom w:val="0"/>
      <w:divBdr>
        <w:top w:val="none" w:sz="0" w:space="0" w:color="auto"/>
        <w:left w:val="none" w:sz="0" w:space="0" w:color="auto"/>
        <w:bottom w:val="none" w:sz="0" w:space="0" w:color="auto"/>
        <w:right w:val="none" w:sz="0" w:space="0" w:color="auto"/>
      </w:divBdr>
    </w:div>
    <w:div w:id="472411177">
      <w:bodyDiv w:val="1"/>
      <w:marLeft w:val="0"/>
      <w:marRight w:val="0"/>
      <w:marTop w:val="0"/>
      <w:marBottom w:val="0"/>
      <w:divBdr>
        <w:top w:val="none" w:sz="0" w:space="0" w:color="auto"/>
        <w:left w:val="none" w:sz="0" w:space="0" w:color="auto"/>
        <w:bottom w:val="none" w:sz="0" w:space="0" w:color="auto"/>
        <w:right w:val="none" w:sz="0" w:space="0" w:color="auto"/>
      </w:divBdr>
      <w:divsChild>
        <w:div w:id="1004431415">
          <w:marLeft w:val="0"/>
          <w:marRight w:val="0"/>
          <w:marTop w:val="0"/>
          <w:marBottom w:val="0"/>
          <w:divBdr>
            <w:top w:val="none" w:sz="0" w:space="0" w:color="auto"/>
            <w:left w:val="none" w:sz="0" w:space="0" w:color="auto"/>
            <w:bottom w:val="none" w:sz="0" w:space="0" w:color="auto"/>
            <w:right w:val="none" w:sz="0" w:space="0" w:color="auto"/>
          </w:divBdr>
          <w:divsChild>
            <w:div w:id="615598550">
              <w:marLeft w:val="0"/>
              <w:marRight w:val="0"/>
              <w:marTop w:val="0"/>
              <w:marBottom w:val="0"/>
              <w:divBdr>
                <w:top w:val="none" w:sz="0" w:space="0" w:color="auto"/>
                <w:left w:val="none" w:sz="0" w:space="0" w:color="auto"/>
                <w:bottom w:val="none" w:sz="0" w:space="0" w:color="auto"/>
                <w:right w:val="none" w:sz="0" w:space="0" w:color="auto"/>
              </w:divBdr>
              <w:divsChild>
                <w:div w:id="140957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807693">
      <w:bodyDiv w:val="1"/>
      <w:marLeft w:val="0"/>
      <w:marRight w:val="0"/>
      <w:marTop w:val="0"/>
      <w:marBottom w:val="0"/>
      <w:divBdr>
        <w:top w:val="none" w:sz="0" w:space="0" w:color="auto"/>
        <w:left w:val="none" w:sz="0" w:space="0" w:color="auto"/>
        <w:bottom w:val="none" w:sz="0" w:space="0" w:color="auto"/>
        <w:right w:val="none" w:sz="0" w:space="0" w:color="auto"/>
      </w:divBdr>
    </w:div>
    <w:div w:id="604654696">
      <w:bodyDiv w:val="1"/>
      <w:marLeft w:val="0"/>
      <w:marRight w:val="0"/>
      <w:marTop w:val="0"/>
      <w:marBottom w:val="0"/>
      <w:divBdr>
        <w:top w:val="none" w:sz="0" w:space="0" w:color="auto"/>
        <w:left w:val="none" w:sz="0" w:space="0" w:color="auto"/>
        <w:bottom w:val="none" w:sz="0" w:space="0" w:color="auto"/>
        <w:right w:val="none" w:sz="0" w:space="0" w:color="auto"/>
      </w:divBdr>
    </w:div>
    <w:div w:id="735978048">
      <w:bodyDiv w:val="1"/>
      <w:marLeft w:val="0"/>
      <w:marRight w:val="0"/>
      <w:marTop w:val="0"/>
      <w:marBottom w:val="0"/>
      <w:divBdr>
        <w:top w:val="none" w:sz="0" w:space="0" w:color="auto"/>
        <w:left w:val="none" w:sz="0" w:space="0" w:color="auto"/>
        <w:bottom w:val="none" w:sz="0" w:space="0" w:color="auto"/>
        <w:right w:val="none" w:sz="0" w:space="0" w:color="auto"/>
      </w:divBdr>
    </w:div>
    <w:div w:id="879631439">
      <w:bodyDiv w:val="1"/>
      <w:marLeft w:val="0"/>
      <w:marRight w:val="0"/>
      <w:marTop w:val="0"/>
      <w:marBottom w:val="0"/>
      <w:divBdr>
        <w:top w:val="none" w:sz="0" w:space="0" w:color="auto"/>
        <w:left w:val="none" w:sz="0" w:space="0" w:color="auto"/>
        <w:bottom w:val="none" w:sz="0" w:space="0" w:color="auto"/>
        <w:right w:val="none" w:sz="0" w:space="0" w:color="auto"/>
      </w:divBdr>
    </w:div>
    <w:div w:id="1046561072">
      <w:bodyDiv w:val="1"/>
      <w:marLeft w:val="0"/>
      <w:marRight w:val="0"/>
      <w:marTop w:val="0"/>
      <w:marBottom w:val="0"/>
      <w:divBdr>
        <w:top w:val="none" w:sz="0" w:space="0" w:color="auto"/>
        <w:left w:val="none" w:sz="0" w:space="0" w:color="auto"/>
        <w:bottom w:val="none" w:sz="0" w:space="0" w:color="auto"/>
        <w:right w:val="none" w:sz="0" w:space="0" w:color="auto"/>
      </w:divBdr>
    </w:div>
    <w:div w:id="1059206113">
      <w:bodyDiv w:val="1"/>
      <w:marLeft w:val="0"/>
      <w:marRight w:val="0"/>
      <w:marTop w:val="0"/>
      <w:marBottom w:val="0"/>
      <w:divBdr>
        <w:top w:val="none" w:sz="0" w:space="0" w:color="auto"/>
        <w:left w:val="none" w:sz="0" w:space="0" w:color="auto"/>
        <w:bottom w:val="none" w:sz="0" w:space="0" w:color="auto"/>
        <w:right w:val="none" w:sz="0" w:space="0" w:color="auto"/>
      </w:divBdr>
    </w:div>
    <w:div w:id="1097212595">
      <w:bodyDiv w:val="1"/>
      <w:marLeft w:val="0"/>
      <w:marRight w:val="0"/>
      <w:marTop w:val="0"/>
      <w:marBottom w:val="0"/>
      <w:divBdr>
        <w:top w:val="none" w:sz="0" w:space="0" w:color="auto"/>
        <w:left w:val="none" w:sz="0" w:space="0" w:color="auto"/>
        <w:bottom w:val="none" w:sz="0" w:space="0" w:color="auto"/>
        <w:right w:val="none" w:sz="0" w:space="0" w:color="auto"/>
      </w:divBdr>
    </w:div>
    <w:div w:id="1102145250">
      <w:bodyDiv w:val="1"/>
      <w:marLeft w:val="0"/>
      <w:marRight w:val="0"/>
      <w:marTop w:val="0"/>
      <w:marBottom w:val="0"/>
      <w:divBdr>
        <w:top w:val="none" w:sz="0" w:space="0" w:color="auto"/>
        <w:left w:val="none" w:sz="0" w:space="0" w:color="auto"/>
        <w:bottom w:val="none" w:sz="0" w:space="0" w:color="auto"/>
        <w:right w:val="none" w:sz="0" w:space="0" w:color="auto"/>
      </w:divBdr>
    </w:div>
    <w:div w:id="1147161519">
      <w:bodyDiv w:val="1"/>
      <w:marLeft w:val="0"/>
      <w:marRight w:val="0"/>
      <w:marTop w:val="0"/>
      <w:marBottom w:val="0"/>
      <w:divBdr>
        <w:top w:val="none" w:sz="0" w:space="0" w:color="auto"/>
        <w:left w:val="none" w:sz="0" w:space="0" w:color="auto"/>
        <w:bottom w:val="none" w:sz="0" w:space="0" w:color="auto"/>
        <w:right w:val="none" w:sz="0" w:space="0" w:color="auto"/>
      </w:divBdr>
      <w:divsChild>
        <w:div w:id="2045668785">
          <w:marLeft w:val="0"/>
          <w:marRight w:val="0"/>
          <w:marTop w:val="0"/>
          <w:marBottom w:val="0"/>
          <w:divBdr>
            <w:top w:val="none" w:sz="0" w:space="0" w:color="auto"/>
            <w:left w:val="none" w:sz="0" w:space="0" w:color="auto"/>
            <w:bottom w:val="none" w:sz="0" w:space="0" w:color="auto"/>
            <w:right w:val="none" w:sz="0" w:space="0" w:color="auto"/>
          </w:divBdr>
          <w:divsChild>
            <w:div w:id="665011838">
              <w:marLeft w:val="0"/>
              <w:marRight w:val="0"/>
              <w:marTop w:val="0"/>
              <w:marBottom w:val="0"/>
              <w:divBdr>
                <w:top w:val="none" w:sz="0" w:space="0" w:color="auto"/>
                <w:left w:val="none" w:sz="0" w:space="0" w:color="auto"/>
                <w:bottom w:val="none" w:sz="0" w:space="0" w:color="auto"/>
                <w:right w:val="none" w:sz="0" w:space="0" w:color="auto"/>
              </w:divBdr>
              <w:divsChild>
                <w:div w:id="95991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8773">
      <w:bodyDiv w:val="1"/>
      <w:marLeft w:val="0"/>
      <w:marRight w:val="0"/>
      <w:marTop w:val="0"/>
      <w:marBottom w:val="0"/>
      <w:divBdr>
        <w:top w:val="none" w:sz="0" w:space="0" w:color="auto"/>
        <w:left w:val="none" w:sz="0" w:space="0" w:color="auto"/>
        <w:bottom w:val="none" w:sz="0" w:space="0" w:color="auto"/>
        <w:right w:val="none" w:sz="0" w:space="0" w:color="auto"/>
      </w:divBdr>
    </w:div>
    <w:div w:id="1258371860">
      <w:bodyDiv w:val="1"/>
      <w:marLeft w:val="0"/>
      <w:marRight w:val="0"/>
      <w:marTop w:val="0"/>
      <w:marBottom w:val="0"/>
      <w:divBdr>
        <w:top w:val="none" w:sz="0" w:space="0" w:color="auto"/>
        <w:left w:val="none" w:sz="0" w:space="0" w:color="auto"/>
        <w:bottom w:val="none" w:sz="0" w:space="0" w:color="auto"/>
        <w:right w:val="none" w:sz="0" w:space="0" w:color="auto"/>
      </w:divBdr>
    </w:div>
    <w:div w:id="1410616612">
      <w:bodyDiv w:val="1"/>
      <w:marLeft w:val="0"/>
      <w:marRight w:val="0"/>
      <w:marTop w:val="0"/>
      <w:marBottom w:val="0"/>
      <w:divBdr>
        <w:top w:val="none" w:sz="0" w:space="0" w:color="auto"/>
        <w:left w:val="none" w:sz="0" w:space="0" w:color="auto"/>
        <w:bottom w:val="none" w:sz="0" w:space="0" w:color="auto"/>
        <w:right w:val="none" w:sz="0" w:space="0" w:color="auto"/>
      </w:divBdr>
    </w:div>
    <w:div w:id="1482774052">
      <w:bodyDiv w:val="1"/>
      <w:marLeft w:val="0"/>
      <w:marRight w:val="0"/>
      <w:marTop w:val="0"/>
      <w:marBottom w:val="0"/>
      <w:divBdr>
        <w:top w:val="none" w:sz="0" w:space="0" w:color="auto"/>
        <w:left w:val="none" w:sz="0" w:space="0" w:color="auto"/>
        <w:bottom w:val="none" w:sz="0" w:space="0" w:color="auto"/>
        <w:right w:val="none" w:sz="0" w:space="0" w:color="auto"/>
      </w:divBdr>
      <w:divsChild>
        <w:div w:id="68158967">
          <w:marLeft w:val="0"/>
          <w:marRight w:val="0"/>
          <w:marTop w:val="0"/>
          <w:marBottom w:val="0"/>
          <w:divBdr>
            <w:top w:val="none" w:sz="0" w:space="0" w:color="auto"/>
            <w:left w:val="none" w:sz="0" w:space="0" w:color="auto"/>
            <w:bottom w:val="none" w:sz="0" w:space="0" w:color="auto"/>
            <w:right w:val="none" w:sz="0" w:space="0" w:color="auto"/>
          </w:divBdr>
          <w:divsChild>
            <w:div w:id="870648256">
              <w:marLeft w:val="0"/>
              <w:marRight w:val="600"/>
              <w:marTop w:val="0"/>
              <w:marBottom w:val="300"/>
              <w:divBdr>
                <w:top w:val="none" w:sz="0" w:space="0" w:color="auto"/>
                <w:left w:val="none" w:sz="0" w:space="0" w:color="auto"/>
                <w:bottom w:val="none" w:sz="0" w:space="0" w:color="auto"/>
                <w:right w:val="none" w:sz="0" w:space="0" w:color="auto"/>
              </w:divBdr>
              <w:divsChild>
                <w:div w:id="40353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733009">
      <w:bodyDiv w:val="1"/>
      <w:marLeft w:val="0"/>
      <w:marRight w:val="0"/>
      <w:marTop w:val="0"/>
      <w:marBottom w:val="0"/>
      <w:divBdr>
        <w:top w:val="none" w:sz="0" w:space="0" w:color="auto"/>
        <w:left w:val="none" w:sz="0" w:space="0" w:color="auto"/>
        <w:bottom w:val="none" w:sz="0" w:space="0" w:color="auto"/>
        <w:right w:val="none" w:sz="0" w:space="0" w:color="auto"/>
      </w:divBdr>
      <w:divsChild>
        <w:div w:id="909078271">
          <w:marLeft w:val="0"/>
          <w:marRight w:val="0"/>
          <w:marTop w:val="0"/>
          <w:marBottom w:val="0"/>
          <w:divBdr>
            <w:top w:val="none" w:sz="0" w:space="0" w:color="auto"/>
            <w:left w:val="none" w:sz="0" w:space="0" w:color="auto"/>
            <w:bottom w:val="none" w:sz="0" w:space="0" w:color="auto"/>
            <w:right w:val="none" w:sz="0" w:space="0" w:color="auto"/>
          </w:divBdr>
          <w:divsChild>
            <w:div w:id="698118593">
              <w:marLeft w:val="0"/>
              <w:marRight w:val="0"/>
              <w:marTop w:val="0"/>
              <w:marBottom w:val="0"/>
              <w:divBdr>
                <w:top w:val="none" w:sz="0" w:space="0" w:color="auto"/>
                <w:left w:val="none" w:sz="0" w:space="0" w:color="auto"/>
                <w:bottom w:val="none" w:sz="0" w:space="0" w:color="auto"/>
                <w:right w:val="none" w:sz="0" w:space="0" w:color="auto"/>
              </w:divBdr>
              <w:divsChild>
                <w:div w:id="114762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133513">
      <w:bodyDiv w:val="1"/>
      <w:marLeft w:val="0"/>
      <w:marRight w:val="0"/>
      <w:marTop w:val="0"/>
      <w:marBottom w:val="0"/>
      <w:divBdr>
        <w:top w:val="none" w:sz="0" w:space="0" w:color="auto"/>
        <w:left w:val="none" w:sz="0" w:space="0" w:color="auto"/>
        <w:bottom w:val="none" w:sz="0" w:space="0" w:color="auto"/>
        <w:right w:val="none" w:sz="0" w:space="0" w:color="auto"/>
      </w:divBdr>
    </w:div>
    <w:div w:id="1546677653">
      <w:bodyDiv w:val="1"/>
      <w:marLeft w:val="0"/>
      <w:marRight w:val="0"/>
      <w:marTop w:val="0"/>
      <w:marBottom w:val="0"/>
      <w:divBdr>
        <w:top w:val="none" w:sz="0" w:space="0" w:color="auto"/>
        <w:left w:val="none" w:sz="0" w:space="0" w:color="auto"/>
        <w:bottom w:val="none" w:sz="0" w:space="0" w:color="auto"/>
        <w:right w:val="none" w:sz="0" w:space="0" w:color="auto"/>
      </w:divBdr>
    </w:div>
    <w:div w:id="1619144133">
      <w:bodyDiv w:val="1"/>
      <w:marLeft w:val="0"/>
      <w:marRight w:val="0"/>
      <w:marTop w:val="0"/>
      <w:marBottom w:val="0"/>
      <w:divBdr>
        <w:top w:val="none" w:sz="0" w:space="0" w:color="auto"/>
        <w:left w:val="none" w:sz="0" w:space="0" w:color="auto"/>
        <w:bottom w:val="none" w:sz="0" w:space="0" w:color="auto"/>
        <w:right w:val="none" w:sz="0" w:space="0" w:color="auto"/>
      </w:divBdr>
    </w:div>
    <w:div w:id="1838038235">
      <w:bodyDiv w:val="1"/>
      <w:marLeft w:val="0"/>
      <w:marRight w:val="0"/>
      <w:marTop w:val="0"/>
      <w:marBottom w:val="0"/>
      <w:divBdr>
        <w:top w:val="none" w:sz="0" w:space="0" w:color="auto"/>
        <w:left w:val="none" w:sz="0" w:space="0" w:color="auto"/>
        <w:bottom w:val="none" w:sz="0" w:space="0" w:color="auto"/>
        <w:right w:val="none" w:sz="0" w:space="0" w:color="auto"/>
      </w:divBdr>
    </w:div>
    <w:div w:id="1853839522">
      <w:bodyDiv w:val="1"/>
      <w:marLeft w:val="0"/>
      <w:marRight w:val="0"/>
      <w:marTop w:val="0"/>
      <w:marBottom w:val="0"/>
      <w:divBdr>
        <w:top w:val="none" w:sz="0" w:space="0" w:color="auto"/>
        <w:left w:val="none" w:sz="0" w:space="0" w:color="auto"/>
        <w:bottom w:val="none" w:sz="0" w:space="0" w:color="auto"/>
        <w:right w:val="none" w:sz="0" w:space="0" w:color="auto"/>
      </w:divBdr>
      <w:divsChild>
        <w:div w:id="1460029905">
          <w:marLeft w:val="0"/>
          <w:marRight w:val="0"/>
          <w:marTop w:val="0"/>
          <w:marBottom w:val="0"/>
          <w:divBdr>
            <w:top w:val="none" w:sz="0" w:space="0" w:color="auto"/>
            <w:left w:val="none" w:sz="0" w:space="0" w:color="auto"/>
            <w:bottom w:val="none" w:sz="0" w:space="0" w:color="auto"/>
            <w:right w:val="none" w:sz="0" w:space="0" w:color="auto"/>
          </w:divBdr>
          <w:divsChild>
            <w:div w:id="309136570">
              <w:marLeft w:val="0"/>
              <w:marRight w:val="600"/>
              <w:marTop w:val="0"/>
              <w:marBottom w:val="300"/>
              <w:divBdr>
                <w:top w:val="none" w:sz="0" w:space="0" w:color="auto"/>
                <w:left w:val="none" w:sz="0" w:space="0" w:color="auto"/>
                <w:bottom w:val="none" w:sz="0" w:space="0" w:color="auto"/>
                <w:right w:val="none" w:sz="0" w:space="0" w:color="auto"/>
              </w:divBdr>
              <w:divsChild>
                <w:div w:id="4063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422085">
      <w:bodyDiv w:val="1"/>
      <w:marLeft w:val="0"/>
      <w:marRight w:val="0"/>
      <w:marTop w:val="0"/>
      <w:marBottom w:val="0"/>
      <w:divBdr>
        <w:top w:val="none" w:sz="0" w:space="0" w:color="auto"/>
        <w:left w:val="none" w:sz="0" w:space="0" w:color="auto"/>
        <w:bottom w:val="none" w:sz="0" w:space="0" w:color="auto"/>
        <w:right w:val="none" w:sz="0" w:space="0" w:color="auto"/>
      </w:divBdr>
      <w:divsChild>
        <w:div w:id="2142376290">
          <w:marLeft w:val="0"/>
          <w:marRight w:val="0"/>
          <w:marTop w:val="0"/>
          <w:marBottom w:val="0"/>
          <w:divBdr>
            <w:top w:val="none" w:sz="0" w:space="0" w:color="auto"/>
            <w:left w:val="none" w:sz="0" w:space="0" w:color="auto"/>
            <w:bottom w:val="none" w:sz="0" w:space="0" w:color="auto"/>
            <w:right w:val="none" w:sz="0" w:space="0" w:color="auto"/>
          </w:divBdr>
          <w:divsChild>
            <w:div w:id="502085045">
              <w:marLeft w:val="0"/>
              <w:marRight w:val="600"/>
              <w:marTop w:val="0"/>
              <w:marBottom w:val="300"/>
              <w:divBdr>
                <w:top w:val="none" w:sz="0" w:space="0" w:color="auto"/>
                <w:left w:val="none" w:sz="0" w:space="0" w:color="auto"/>
                <w:bottom w:val="none" w:sz="0" w:space="0" w:color="auto"/>
                <w:right w:val="none" w:sz="0" w:space="0" w:color="auto"/>
              </w:divBdr>
              <w:divsChild>
                <w:div w:id="3961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8505">
      <w:bodyDiv w:val="1"/>
      <w:marLeft w:val="0"/>
      <w:marRight w:val="0"/>
      <w:marTop w:val="0"/>
      <w:marBottom w:val="0"/>
      <w:divBdr>
        <w:top w:val="none" w:sz="0" w:space="0" w:color="auto"/>
        <w:left w:val="none" w:sz="0" w:space="0" w:color="auto"/>
        <w:bottom w:val="none" w:sz="0" w:space="0" w:color="auto"/>
        <w:right w:val="none" w:sz="0" w:space="0" w:color="auto"/>
      </w:divBdr>
    </w:div>
    <w:div w:id="2017417671">
      <w:bodyDiv w:val="1"/>
      <w:marLeft w:val="0"/>
      <w:marRight w:val="0"/>
      <w:marTop w:val="0"/>
      <w:marBottom w:val="0"/>
      <w:divBdr>
        <w:top w:val="none" w:sz="0" w:space="0" w:color="auto"/>
        <w:left w:val="none" w:sz="0" w:space="0" w:color="auto"/>
        <w:bottom w:val="none" w:sz="0" w:space="0" w:color="auto"/>
        <w:right w:val="none" w:sz="0" w:space="0" w:color="auto"/>
      </w:divBdr>
      <w:divsChild>
        <w:div w:id="1586838432">
          <w:marLeft w:val="0"/>
          <w:marRight w:val="0"/>
          <w:marTop w:val="0"/>
          <w:marBottom w:val="0"/>
          <w:divBdr>
            <w:top w:val="none" w:sz="0" w:space="0" w:color="auto"/>
            <w:left w:val="none" w:sz="0" w:space="0" w:color="auto"/>
            <w:bottom w:val="none" w:sz="0" w:space="0" w:color="auto"/>
            <w:right w:val="none" w:sz="0" w:space="0" w:color="auto"/>
          </w:divBdr>
          <w:divsChild>
            <w:div w:id="1691448317">
              <w:marLeft w:val="0"/>
              <w:marRight w:val="600"/>
              <w:marTop w:val="0"/>
              <w:marBottom w:val="300"/>
              <w:divBdr>
                <w:top w:val="none" w:sz="0" w:space="0" w:color="auto"/>
                <w:left w:val="none" w:sz="0" w:space="0" w:color="auto"/>
                <w:bottom w:val="none" w:sz="0" w:space="0" w:color="auto"/>
                <w:right w:val="none" w:sz="0" w:space="0" w:color="auto"/>
              </w:divBdr>
              <w:divsChild>
                <w:div w:id="25659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65824">
      <w:bodyDiv w:val="1"/>
      <w:marLeft w:val="0"/>
      <w:marRight w:val="0"/>
      <w:marTop w:val="0"/>
      <w:marBottom w:val="0"/>
      <w:divBdr>
        <w:top w:val="none" w:sz="0" w:space="0" w:color="auto"/>
        <w:left w:val="none" w:sz="0" w:space="0" w:color="auto"/>
        <w:bottom w:val="none" w:sz="0" w:space="0" w:color="auto"/>
        <w:right w:val="none" w:sz="0" w:space="0" w:color="auto"/>
      </w:divBdr>
    </w:div>
    <w:div w:id="2067608950">
      <w:bodyDiv w:val="1"/>
      <w:marLeft w:val="0"/>
      <w:marRight w:val="0"/>
      <w:marTop w:val="0"/>
      <w:marBottom w:val="0"/>
      <w:divBdr>
        <w:top w:val="none" w:sz="0" w:space="0" w:color="auto"/>
        <w:left w:val="none" w:sz="0" w:space="0" w:color="auto"/>
        <w:bottom w:val="none" w:sz="0" w:space="0" w:color="auto"/>
        <w:right w:val="none" w:sz="0" w:space="0" w:color="auto"/>
      </w:divBdr>
    </w:div>
    <w:div w:id="2069064095">
      <w:bodyDiv w:val="1"/>
      <w:marLeft w:val="0"/>
      <w:marRight w:val="0"/>
      <w:marTop w:val="0"/>
      <w:marBottom w:val="0"/>
      <w:divBdr>
        <w:top w:val="none" w:sz="0" w:space="0" w:color="auto"/>
        <w:left w:val="none" w:sz="0" w:space="0" w:color="auto"/>
        <w:bottom w:val="none" w:sz="0" w:space="0" w:color="auto"/>
        <w:right w:val="none" w:sz="0" w:space="0" w:color="auto"/>
      </w:divBdr>
    </w:div>
    <w:div w:id="211982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drive.google.com/file/d/1ziw6aEqHdAL5Ly7Ct51TA_CN-ZaX-XAp/view;%20https://privacyinternational.org/video/4412/when-id-leaves-you-without-identity-case-double-registration-kenya" TargetMode="External"/><Relationship Id="rId18" Type="http://schemas.openxmlformats.org/officeDocument/2006/relationships/hyperlink" Target="https://www.graduateinstitute.ch/DigitalHealth-Rights" TargetMode="External"/><Relationship Id="rId26" Type="http://schemas.openxmlformats.org/officeDocument/2006/relationships/hyperlink" Target="https://www.kelinkenya.org/wp-content/uploads/2023/01/Landscape-Analysis-of-Digital-Health-Universal-Health-Coverage-in-Kenya-00000003.pdf" TargetMode="External"/><Relationship Id="rId39" Type="http://schemas.openxmlformats.org/officeDocument/2006/relationships/hyperlink" Target="https://repository.graduateinstitute.ch/record/300591?_ga=2.99187678.1735834843.1682602161-345088509.1672743223&amp;v=pdf" TargetMode="External"/><Relationship Id="rId21" Type="http://schemas.openxmlformats.org/officeDocument/2006/relationships/hyperlink" Target="https://dhis2.org/" TargetMode="External"/><Relationship Id="rId34" Type="http://schemas.openxmlformats.org/officeDocument/2006/relationships/hyperlink" Target="https://www.businessdailyafrica.com/bd/corporate/health/number-of-kenyans-seeking-digital-health-treatment-rises--4611174" TargetMode="External"/><Relationship Id="rId42" Type="http://schemas.openxmlformats.org/officeDocument/2006/relationships/hyperlink" Target="https://www.ncbi.nlm.nih.gov/pmc/articles/PMC10929578/" TargetMode="External"/><Relationship Id="rId7" Type="http://schemas.openxmlformats.org/officeDocument/2006/relationships/hyperlink" Target="https://privacyinternational.org/long-read/3373/kenyan-court-ruling-huduma-namba-identity-system-good-bad-and-lessons" TargetMode="External"/><Relationship Id="rId2" Type="http://schemas.openxmlformats.org/officeDocument/2006/relationships/hyperlink" Target="https://privacyinternational.org/node/3114" TargetMode="External"/><Relationship Id="rId16" Type="http://schemas.openxmlformats.org/officeDocument/2006/relationships/hyperlink" Target="https://www.ohchr.org/en/documents/thematic-reports/ahrc5365-digital-innovation-technologies-and-right-health" TargetMode="External"/><Relationship Id="rId20" Type="http://schemas.openxmlformats.org/officeDocument/2006/relationships/hyperlink" Target="https://www.kelinkenya.org/wp-content/uploads/2023/01/Landscape-Analysis-of-Digital-Health-Universal-Health-Coverage-in-Kenya-00000003.pdf" TargetMode="External"/><Relationship Id="rId29" Type="http://schemas.openxmlformats.org/officeDocument/2006/relationships/hyperlink" Target="https://cipesa.org/2024/05/does-kenyas-digital-health-act-mark-a-new-era-for-data-governance-and-regulation/" TargetMode="External"/><Relationship Id="rId41" Type="http://schemas.openxmlformats.org/officeDocument/2006/relationships/hyperlink" Target="https://www.kelinkenya.org/wp-content/uploads/2023/04/HIV-Index-Testing-Research.pdf" TargetMode="External"/><Relationship Id="rId1" Type="http://schemas.openxmlformats.org/officeDocument/2006/relationships/hyperlink" Target="https://privacyinternational.org/learn/social-protection-programmes" TargetMode="External"/><Relationship Id="rId6" Type="http://schemas.openxmlformats.org/officeDocument/2006/relationships/hyperlink" Target="http://kenyalaw.org/caselaw/cases/view/189189/" TargetMode="External"/><Relationship Id="rId11" Type="http://schemas.openxmlformats.org/officeDocument/2006/relationships/hyperlink" Target="https://www.the-star.co.ke/news/2024-08-12-court-rescinds-earlier-orders-blocking-maisha-namba-rollout" TargetMode="External"/><Relationship Id="rId24" Type="http://schemas.openxmlformats.org/officeDocument/2006/relationships/hyperlink" Target="https://www.vodafone.com/digital-society/safaricoms-m-tiba" TargetMode="External"/><Relationship Id="rId32" Type="http://schemas.openxmlformats.org/officeDocument/2006/relationships/hyperlink" Target="https://www.kelinkenya.org/harnessing-the-power-of-digital-health-technologies-to-transform-healthcare-delivery-in-kenya/" TargetMode="External"/><Relationship Id="rId37" Type="http://schemas.openxmlformats.org/officeDocument/2006/relationships/hyperlink" Target="https://warwick.ac.uk/fac/cross_fac/cim/research/digital-health-rights/publications/dhrp_-_kenya_final_version.pdf" TargetMode="External"/><Relationship Id="rId40" Type="http://schemas.openxmlformats.org/officeDocument/2006/relationships/hyperlink" Target="https://www.kelinkenya.org/wp-content/uploads/2023/04/HIV-Index-Testing-Research.pdf" TargetMode="External"/><Relationship Id="rId5" Type="http://schemas.openxmlformats.org/officeDocument/2006/relationships/hyperlink" Target="https://www.nation.co.ke/news/Group-opposes-use-of-new-ID-system/1056-4994288-pt4cru/index.html" TargetMode="External"/><Relationship Id="rId15" Type="http://schemas.openxmlformats.org/officeDocument/2006/relationships/hyperlink" Target="https://www.ohchr.org/en/documents/reports/ahrc4329-report-role-new-technologies-realization-economic-social-and-cultural" TargetMode="External"/><Relationship Id="rId23" Type="http://schemas.openxmlformats.org/officeDocument/2006/relationships/hyperlink" Target="https://dhis2.org/" TargetMode="External"/><Relationship Id="rId28" Type="http://schemas.openxmlformats.org/officeDocument/2006/relationships/hyperlink" Target="https://www.kelinkenya.org/harnessing-the-power-of-digital-health-technologies-to-transform-healthcare-delivery-in-kenya/" TargetMode="External"/><Relationship Id="rId36" Type="http://schemas.openxmlformats.org/officeDocument/2006/relationships/hyperlink" Target="https://warwick.ac.uk/fac/cross_fac/cim/research/digital-health-rights/" TargetMode="External"/><Relationship Id="rId10" Type="http://schemas.openxmlformats.org/officeDocument/2006/relationships/hyperlink" Target="https://nation.africa/kenya/news/high-court-puts-the-brakes-on-kindiki-s-plan-to-introduce-maisha-namba-4454474,https://itweb.africa/content/raYAyqorp3pMJ38N,https://nation.africa/kenya/news/high-court-stops-implementation-of-maisha-card-4702756" TargetMode="External"/><Relationship Id="rId19" Type="http://schemas.openxmlformats.org/officeDocument/2006/relationships/hyperlink" Target="https://vision2030.go.ke/publication/third-medium-term-plan-2018-2022/" TargetMode="External"/><Relationship Id="rId31" Type="http://schemas.openxmlformats.org/officeDocument/2006/relationships/hyperlink" Target="https://icj-kenya.org/news/sdm_downloads/case-summary-unconstitutionality-of-social-health-insurance-act-primary-health-care-act-digital-health-act/" TargetMode="External"/><Relationship Id="rId44" Type="http://schemas.openxmlformats.org/officeDocument/2006/relationships/hyperlink" Target="https://repository.graduateinstitute.ch/record/300591?_ga=2.99187678.1735834843.1682602161-345088509.1672743223&amp;v=pdf" TargetMode="External"/><Relationship Id="rId4" Type="http://schemas.openxmlformats.org/officeDocument/2006/relationships/hyperlink" Target="https://privacyinternational.org/news-analysis/4778/data-protection-impact-assessments-and-id-systems-2021-kenyan-ruling-huduma" TargetMode="External"/><Relationship Id="rId9" Type="http://schemas.openxmlformats.org/officeDocument/2006/relationships/hyperlink" Target="https://www.kenyans.co.ke/news/92093-maisha-namba-govt-unveils-new-name-digital-id-after-signing-deal-un" TargetMode="External"/><Relationship Id="rId14" Type="http://schemas.openxmlformats.org/officeDocument/2006/relationships/hyperlink" Target="https://privacyinternational.org/learning-resources/guide-litigating-identity-systems" TargetMode="External"/><Relationship Id="rId22" Type="http://schemas.openxmlformats.org/officeDocument/2006/relationships/hyperlink" Target="https://kmhfr.health.go.ke/" TargetMode="External"/><Relationship Id="rId27" Type="http://schemas.openxmlformats.org/officeDocument/2006/relationships/hyperlink" Target="https://repository.graduateinstitute.ch/record/300591?_ga=2.99187678.1735834843.1682602161-345088509.1672743223&amp;v=pdf" TargetMode="External"/><Relationship Id="rId30" Type="http://schemas.openxmlformats.org/officeDocument/2006/relationships/hyperlink" Target="https://www.kictanet.or.ke/kenyas-digital-health-act-a-leap-forward-in-data-governance/" TargetMode="External"/><Relationship Id="rId35" Type="http://schemas.openxmlformats.org/officeDocument/2006/relationships/hyperlink" Target="https://repository.graduateinstitute.ch/record/300591?_ga=2.99187678.1735834843.1682602161-345088509.1672743223&amp;v=pdf" TargetMode="External"/><Relationship Id="rId43" Type="http://schemas.openxmlformats.org/officeDocument/2006/relationships/hyperlink" Target="https://privacyinternational.org/long-read/3859/country-case-study-sexual-and-reproductive-rights-kenya" TargetMode="External"/><Relationship Id="rId8" Type="http://schemas.openxmlformats.org/officeDocument/2006/relationships/hyperlink" Target="https://namati.org/news-stories/press-release-huduma-namba-stopped/" TargetMode="External"/><Relationship Id="rId3" Type="http://schemas.openxmlformats.org/officeDocument/2006/relationships/hyperlink" Target="https://privacyinternational.org/explainer/5126/identity-crisis-around-world" TargetMode="External"/><Relationship Id="rId12" Type="http://schemas.openxmlformats.org/officeDocument/2006/relationships/hyperlink" Target="https://drive.google.com/file/d/1gROLgdLyJJLifgtjM39MPMEPtyT27yTE/view" TargetMode="External"/><Relationship Id="rId17" Type="http://schemas.openxmlformats.org/officeDocument/2006/relationships/hyperlink" Target="https://privacyinternational.org/long-read/4671/digital-health-what-does-it-mean-your-rights-and-freedoms" TargetMode="External"/><Relationship Id="rId25" Type="http://schemas.openxmlformats.org/officeDocument/2006/relationships/hyperlink" Target="https://maishameds.org/" TargetMode="External"/><Relationship Id="rId33" Type="http://schemas.openxmlformats.org/officeDocument/2006/relationships/hyperlink" Target="https://www.graduateinstitute.ch/DigitalHealth-Rights" TargetMode="External"/><Relationship Id="rId38" Type="http://schemas.openxmlformats.org/officeDocument/2006/relationships/hyperlink" Target="https://repository.graduateinstitute.ch/record/300591?_ga=2.99187678.1735834843.1682602161-345088509.1672743223&amp;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9258C-3570-984C-AF28-941755B05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Alexandrine Pirlot de Corbion</dc:creator>
  <cp:keywords/>
  <dc:description/>
  <cp:lastModifiedBy>Sarah Simms</cp:lastModifiedBy>
  <cp:revision>2</cp:revision>
  <dcterms:created xsi:type="dcterms:W3CDTF">2025-01-13T16:34:00Z</dcterms:created>
  <dcterms:modified xsi:type="dcterms:W3CDTF">2025-01-13T16:34:00Z</dcterms:modified>
</cp:coreProperties>
</file>