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F6D" w:rsidRPr="00817375" w:rsidRDefault="00CE7F6D" w:rsidP="00DF4671">
      <w:pPr>
        <w:jc w:val="center"/>
        <w:rPr>
          <w:rFonts w:ascii="Arial" w:hAnsi="Arial" w:cs="Arial"/>
          <w:b/>
          <w:sz w:val="28"/>
        </w:rPr>
      </w:pPr>
      <w:r w:rsidRPr="00817375">
        <w:rPr>
          <w:rFonts w:ascii="Arial" w:hAnsi="Arial" w:cs="Arial"/>
          <w:b/>
          <w:sz w:val="28"/>
        </w:rPr>
        <w:t xml:space="preserve">Submission from the Committee on the Administration of Justice (CAJ) to the United Nations </w:t>
      </w:r>
      <w:r w:rsidR="00B64345">
        <w:rPr>
          <w:rFonts w:ascii="Arial" w:hAnsi="Arial" w:cs="Arial"/>
          <w:b/>
          <w:sz w:val="28"/>
        </w:rPr>
        <w:t xml:space="preserve">Human Rights </w:t>
      </w:r>
      <w:r w:rsidRPr="00817375">
        <w:rPr>
          <w:rFonts w:ascii="Arial" w:hAnsi="Arial" w:cs="Arial"/>
          <w:b/>
          <w:sz w:val="28"/>
        </w:rPr>
        <w:t xml:space="preserve">Committee on </w:t>
      </w:r>
      <w:r w:rsidR="00B64345">
        <w:rPr>
          <w:rFonts w:ascii="Arial" w:hAnsi="Arial" w:cs="Arial"/>
          <w:b/>
          <w:sz w:val="28"/>
        </w:rPr>
        <w:t xml:space="preserve">List of Issues for the </w:t>
      </w:r>
      <w:r w:rsidRPr="00817375">
        <w:rPr>
          <w:rFonts w:ascii="Arial" w:hAnsi="Arial" w:cs="Arial"/>
          <w:b/>
          <w:sz w:val="28"/>
        </w:rPr>
        <w:t xml:space="preserve">UK’s </w:t>
      </w:r>
      <w:r w:rsidR="00B64345">
        <w:rPr>
          <w:rFonts w:ascii="Arial" w:hAnsi="Arial" w:cs="Arial"/>
          <w:b/>
          <w:sz w:val="28"/>
        </w:rPr>
        <w:t>7</w:t>
      </w:r>
      <w:r w:rsidRPr="00817375">
        <w:rPr>
          <w:rFonts w:ascii="Arial" w:hAnsi="Arial" w:cs="Arial"/>
          <w:b/>
          <w:sz w:val="28"/>
          <w:vertAlign w:val="superscript"/>
        </w:rPr>
        <w:t>th</w:t>
      </w:r>
      <w:r w:rsidRPr="00817375">
        <w:rPr>
          <w:rFonts w:ascii="Arial" w:hAnsi="Arial" w:cs="Arial"/>
          <w:b/>
          <w:sz w:val="28"/>
        </w:rPr>
        <w:t xml:space="preserve"> </w:t>
      </w:r>
      <w:r w:rsidR="00817375" w:rsidRPr="00817375">
        <w:rPr>
          <w:rFonts w:ascii="Arial" w:hAnsi="Arial" w:cs="Arial"/>
          <w:b/>
          <w:sz w:val="28"/>
        </w:rPr>
        <w:t>P</w:t>
      </w:r>
      <w:r w:rsidRPr="00817375">
        <w:rPr>
          <w:rFonts w:ascii="Arial" w:hAnsi="Arial" w:cs="Arial"/>
          <w:b/>
          <w:sz w:val="28"/>
        </w:rPr>
        <w:t xml:space="preserve">eriodic </w:t>
      </w:r>
      <w:r w:rsidR="00817375" w:rsidRPr="00817375">
        <w:rPr>
          <w:rFonts w:ascii="Arial" w:hAnsi="Arial" w:cs="Arial"/>
          <w:b/>
          <w:sz w:val="28"/>
        </w:rPr>
        <w:t>R</w:t>
      </w:r>
      <w:r w:rsidRPr="00817375">
        <w:rPr>
          <w:rFonts w:ascii="Arial" w:hAnsi="Arial" w:cs="Arial"/>
          <w:b/>
          <w:sz w:val="28"/>
        </w:rPr>
        <w:t xml:space="preserve">eport </w:t>
      </w:r>
    </w:p>
    <w:p w:rsidR="00CE7F6D" w:rsidRPr="00817375" w:rsidRDefault="00CE7F6D" w:rsidP="00DF4671">
      <w:pPr>
        <w:jc w:val="center"/>
        <w:rPr>
          <w:rFonts w:ascii="Arial" w:hAnsi="Arial" w:cs="Arial"/>
          <w:b/>
          <w:sz w:val="28"/>
        </w:rPr>
      </w:pPr>
      <w:r w:rsidRPr="00817375">
        <w:rPr>
          <w:rFonts w:ascii="Arial" w:hAnsi="Arial" w:cs="Arial"/>
          <w:b/>
          <w:sz w:val="28"/>
        </w:rPr>
        <w:t xml:space="preserve"> </w:t>
      </w:r>
    </w:p>
    <w:p w:rsidR="00CE7F6D" w:rsidRPr="00817375" w:rsidRDefault="00B64345" w:rsidP="00DF4671">
      <w:pPr>
        <w:jc w:val="center"/>
        <w:rPr>
          <w:rFonts w:ascii="Arial" w:hAnsi="Arial" w:cs="Arial"/>
          <w:b/>
          <w:sz w:val="28"/>
        </w:rPr>
      </w:pPr>
      <w:r>
        <w:rPr>
          <w:rFonts w:ascii="Arial" w:hAnsi="Arial" w:cs="Arial"/>
          <w:b/>
          <w:sz w:val="28"/>
        </w:rPr>
        <w:t>July 2014</w:t>
      </w:r>
    </w:p>
    <w:p w:rsidR="00AD09DB" w:rsidRDefault="00AD09DB" w:rsidP="00DF4671">
      <w:pPr>
        <w:rPr>
          <w:rFonts w:ascii="Arial" w:hAnsi="Arial" w:cs="Arial"/>
          <w:b/>
        </w:rPr>
      </w:pPr>
    </w:p>
    <w:p w:rsidR="00822DFD" w:rsidRPr="00822DFD" w:rsidRDefault="00CE7F6D" w:rsidP="00B64345">
      <w:pPr>
        <w:numPr>
          <w:ilvl w:val="0"/>
          <w:numId w:val="23"/>
        </w:numPr>
        <w:ind w:hanging="720"/>
        <w:rPr>
          <w:rFonts w:ascii="Arial" w:hAnsi="Arial" w:cs="Arial"/>
        </w:rPr>
      </w:pPr>
      <w:r w:rsidRPr="00822DFD">
        <w:rPr>
          <w:rFonts w:ascii="Arial" w:hAnsi="Arial" w:cs="Arial"/>
        </w:rPr>
        <w:t xml:space="preserve">The Committee on the Administration of Justice (CAJ) is </w:t>
      </w:r>
      <w:proofErr w:type="gramStart"/>
      <w:r w:rsidRPr="00822DFD">
        <w:rPr>
          <w:rFonts w:ascii="Arial" w:hAnsi="Arial" w:cs="Arial"/>
        </w:rPr>
        <w:t>an independent</w:t>
      </w:r>
      <w:proofErr w:type="gramEnd"/>
      <w:r w:rsidRPr="00822DFD">
        <w:rPr>
          <w:rFonts w:ascii="Arial" w:hAnsi="Arial" w:cs="Arial"/>
        </w:rPr>
        <w:t xml:space="preserve"> human rights NGO with cross community membership in Northern Ireland and beyond. It was established in 1981</w:t>
      </w:r>
      <w:r w:rsidR="00822DFD">
        <w:rPr>
          <w:rFonts w:ascii="Arial" w:hAnsi="Arial" w:cs="Arial"/>
        </w:rPr>
        <w:t>,</w:t>
      </w:r>
      <w:r w:rsidRPr="00822DFD">
        <w:rPr>
          <w:rFonts w:ascii="Arial" w:hAnsi="Arial" w:cs="Arial"/>
        </w:rPr>
        <w:t xml:space="preserve"> campaigns on a broad range of human rights issues</w:t>
      </w:r>
      <w:r w:rsidR="00822DFD" w:rsidRPr="00822DFD">
        <w:rPr>
          <w:rFonts w:ascii="Arial" w:hAnsi="Arial" w:cs="Arial"/>
        </w:rPr>
        <w:t xml:space="preserve"> and is affiliated to the International Federation of Human Rights (FIDH)</w:t>
      </w:r>
      <w:r w:rsidRPr="00822DFD">
        <w:rPr>
          <w:rFonts w:ascii="Arial" w:hAnsi="Arial" w:cs="Arial"/>
        </w:rPr>
        <w:t>.</w:t>
      </w:r>
      <w:r w:rsidR="00822DFD">
        <w:rPr>
          <w:rFonts w:ascii="Arial" w:hAnsi="Arial" w:cs="Arial"/>
        </w:rPr>
        <w:t xml:space="preserve"> </w:t>
      </w:r>
      <w:r w:rsidRPr="00822DFD">
        <w:rPr>
          <w:rFonts w:ascii="Arial" w:hAnsi="Arial" w:cs="Arial"/>
        </w:rPr>
        <w:t>CAJ seeks to secure the highest standards in the administration of justice in Northern Ireland by ensuring that the government complies with its international human rights obligations.</w:t>
      </w:r>
      <w:r w:rsidR="00822DFD">
        <w:rPr>
          <w:rFonts w:ascii="Arial" w:hAnsi="Arial" w:cs="Arial"/>
        </w:rPr>
        <w:t xml:space="preserve"> </w:t>
      </w:r>
      <w:r w:rsidR="00822DFD" w:rsidRPr="00822DFD">
        <w:rPr>
          <w:rFonts w:ascii="Arial" w:hAnsi="Arial" w:cs="Arial"/>
        </w:rPr>
        <w:t>CAJ has been awarded several international human rights prizes, including the Reebok Human Rights Award, and in 1998 was awarded the Council of Europe Human Rights Prize.</w:t>
      </w:r>
    </w:p>
    <w:p w:rsidR="00822DFD" w:rsidRDefault="00822DFD" w:rsidP="00B64345">
      <w:pPr>
        <w:rPr>
          <w:rFonts w:ascii="Arial" w:hAnsi="Arial" w:cs="Arial"/>
          <w:b/>
        </w:rPr>
      </w:pPr>
    </w:p>
    <w:p w:rsidR="00B64345" w:rsidRDefault="00B64345" w:rsidP="00B64345">
      <w:pPr>
        <w:rPr>
          <w:rFonts w:ascii="Arial" w:hAnsi="Arial" w:cs="Arial"/>
          <w:b/>
        </w:rPr>
      </w:pPr>
      <w:r w:rsidRPr="00B64345">
        <w:rPr>
          <w:rFonts w:ascii="Arial" w:hAnsi="Arial" w:cs="Arial"/>
          <w:b/>
        </w:rPr>
        <w:t xml:space="preserve">Dealing with the Legacy of the Conflict in Northern Ireland </w:t>
      </w:r>
    </w:p>
    <w:p w:rsidR="00B64345" w:rsidRPr="00B64345" w:rsidRDefault="00B64345" w:rsidP="00B64345">
      <w:pPr>
        <w:ind w:left="720"/>
        <w:rPr>
          <w:rFonts w:ascii="Arial" w:hAnsi="Arial" w:cs="Arial"/>
        </w:rPr>
      </w:pPr>
    </w:p>
    <w:p w:rsidR="006610C1" w:rsidRPr="006610C1" w:rsidRDefault="00B64345" w:rsidP="00822DFD">
      <w:pPr>
        <w:numPr>
          <w:ilvl w:val="0"/>
          <w:numId w:val="23"/>
        </w:numPr>
        <w:autoSpaceDE w:val="0"/>
        <w:autoSpaceDN w:val="0"/>
        <w:adjustRightInd w:val="0"/>
        <w:ind w:hanging="720"/>
        <w:rPr>
          <w:sz w:val="23"/>
          <w:szCs w:val="23"/>
          <w:lang w:val="en-GB"/>
        </w:rPr>
      </w:pPr>
      <w:r>
        <w:rPr>
          <w:rFonts w:ascii="Arial" w:hAnsi="Arial" w:cs="Arial"/>
        </w:rPr>
        <w:t>CAJ urges the Committee to include dealing with the legacy of the Northern Ireland conflict in the List of Issues for the UK</w:t>
      </w:r>
      <w:r w:rsidR="006610C1">
        <w:rPr>
          <w:rFonts w:ascii="Arial" w:hAnsi="Arial" w:cs="Arial"/>
        </w:rPr>
        <w:t>’s examination</w:t>
      </w:r>
      <w:r>
        <w:rPr>
          <w:rFonts w:ascii="Arial" w:hAnsi="Arial" w:cs="Arial"/>
        </w:rPr>
        <w:t xml:space="preserve">. The </w:t>
      </w:r>
      <w:r w:rsidR="006610C1">
        <w:rPr>
          <w:rFonts w:ascii="Arial" w:hAnsi="Arial" w:cs="Arial"/>
        </w:rPr>
        <w:t xml:space="preserve">Committee’s </w:t>
      </w:r>
      <w:r>
        <w:rPr>
          <w:rFonts w:ascii="Arial" w:hAnsi="Arial" w:cs="Arial"/>
        </w:rPr>
        <w:t xml:space="preserve">previous concluding observations </w:t>
      </w:r>
      <w:r w:rsidR="006610C1">
        <w:rPr>
          <w:rFonts w:ascii="Arial" w:hAnsi="Arial" w:cs="Arial"/>
        </w:rPr>
        <w:t xml:space="preserve">in 2008 expressed concern that: </w:t>
      </w:r>
    </w:p>
    <w:p w:rsidR="006610C1" w:rsidRPr="006610C1" w:rsidRDefault="006610C1" w:rsidP="006610C1">
      <w:pPr>
        <w:autoSpaceDE w:val="0"/>
        <w:autoSpaceDN w:val="0"/>
        <w:adjustRightInd w:val="0"/>
        <w:ind w:left="1440"/>
        <w:rPr>
          <w:rFonts w:ascii="Arial" w:hAnsi="Arial" w:cs="Arial"/>
        </w:rPr>
      </w:pPr>
      <w:r>
        <w:rPr>
          <w:rFonts w:ascii="Arial" w:hAnsi="Arial" w:cs="Arial"/>
        </w:rPr>
        <w:t>...</w:t>
      </w:r>
      <w:r w:rsidRPr="006610C1">
        <w:rPr>
          <w:rFonts w:ascii="Arial" w:hAnsi="Arial" w:cs="Arial"/>
        </w:rPr>
        <w:t>a considerable time after murders (including of human rights defenders) in Northern Ireland have occurred, several inquiries into these murders have still not been established or concluded, and that those responsible for these deaths have not yet been prosecuted. Even where inquiries have been established, the Committee is concerned that instead of being under the control of an independent judge, several of these inquiries are conducted under the Inquiries Act 2005 which allows the Government minister who is responsible for establishing an inquiry to control important aspects of that inquiry. (art.6)</w:t>
      </w:r>
    </w:p>
    <w:p w:rsidR="006610C1" w:rsidRPr="006610C1" w:rsidRDefault="006610C1" w:rsidP="006610C1">
      <w:pPr>
        <w:autoSpaceDE w:val="0"/>
        <w:autoSpaceDN w:val="0"/>
        <w:adjustRightInd w:val="0"/>
        <w:rPr>
          <w:rFonts w:ascii="Arial" w:hAnsi="Arial" w:cs="Arial"/>
          <w:lang w:val="en-GB"/>
        </w:rPr>
      </w:pPr>
    </w:p>
    <w:p w:rsidR="006610C1" w:rsidRPr="006610C1" w:rsidRDefault="006610C1" w:rsidP="006610C1">
      <w:pPr>
        <w:numPr>
          <w:ilvl w:val="0"/>
          <w:numId w:val="23"/>
        </w:numPr>
        <w:ind w:hanging="720"/>
        <w:rPr>
          <w:rFonts w:ascii="Arial" w:hAnsi="Arial" w:cs="Arial"/>
        </w:rPr>
      </w:pPr>
      <w:r w:rsidRPr="006610C1">
        <w:rPr>
          <w:rFonts w:ascii="Arial" w:hAnsi="Arial" w:cs="Arial"/>
        </w:rPr>
        <w:t>The Committee urged the UK to conduct “</w:t>
      </w:r>
      <w:r w:rsidRPr="00822DFD">
        <w:rPr>
          <w:rFonts w:ascii="Arial" w:hAnsi="Arial" w:cs="Arial"/>
          <w:bCs/>
          <w:i/>
          <w:lang w:val="en-GB"/>
        </w:rPr>
        <w:t>as a matter of particular urgency given the passage of time, independent and impartial inquiries in order to ensure a full, transparent and credible account of the circumstances surrounding violations of the right to life in Northern Ireland</w:t>
      </w:r>
      <w:r w:rsidRPr="00822DFD">
        <w:rPr>
          <w:rFonts w:ascii="Arial" w:hAnsi="Arial" w:cs="Arial"/>
          <w:i/>
          <w:lang w:val="en-GB"/>
        </w:rPr>
        <w:t>.”</w:t>
      </w:r>
      <w:r w:rsidRPr="00822DFD">
        <w:rPr>
          <w:rStyle w:val="FootnoteReference"/>
          <w:rFonts w:ascii="Arial" w:hAnsi="Arial" w:cs="Arial"/>
          <w:i/>
          <w:sz w:val="24"/>
          <w:lang w:val="en-GB"/>
        </w:rPr>
        <w:footnoteReference w:id="1"/>
      </w:r>
    </w:p>
    <w:p w:rsidR="006610C1" w:rsidRPr="006610C1" w:rsidRDefault="006610C1" w:rsidP="006610C1">
      <w:pPr>
        <w:ind w:left="720"/>
        <w:rPr>
          <w:rFonts w:ascii="Arial" w:hAnsi="Arial" w:cs="Arial"/>
        </w:rPr>
      </w:pPr>
    </w:p>
    <w:p w:rsidR="009E4A9C" w:rsidRPr="009E4A9C" w:rsidRDefault="006610C1" w:rsidP="006610C1">
      <w:pPr>
        <w:numPr>
          <w:ilvl w:val="0"/>
          <w:numId w:val="23"/>
        </w:numPr>
        <w:ind w:hanging="720"/>
        <w:rPr>
          <w:rFonts w:ascii="Arial" w:hAnsi="Arial" w:cs="Arial"/>
          <w:b/>
        </w:rPr>
      </w:pPr>
      <w:r w:rsidRPr="009E4A9C">
        <w:rPr>
          <w:rFonts w:ascii="Arial" w:hAnsi="Arial" w:cs="Arial"/>
        </w:rPr>
        <w:t>CAJ views accountability for human rights violations, including the right to life, as essential for ensuring non-recurrence</w:t>
      </w:r>
      <w:r w:rsidR="009E4A9C" w:rsidRPr="009E4A9C">
        <w:rPr>
          <w:rFonts w:ascii="Arial" w:hAnsi="Arial" w:cs="Arial"/>
        </w:rPr>
        <w:t xml:space="preserve"> of security force practices outside of the law during the conflict. Despite proposals produced on the back of multi-party talks in December 2013, chaired by former US diplomat Richard </w:t>
      </w:r>
      <w:proofErr w:type="spellStart"/>
      <w:r w:rsidR="009E4A9C" w:rsidRPr="009E4A9C">
        <w:rPr>
          <w:rFonts w:ascii="Arial" w:hAnsi="Arial" w:cs="Arial"/>
        </w:rPr>
        <w:t>Haass</w:t>
      </w:r>
      <w:proofErr w:type="spellEnd"/>
      <w:r w:rsidR="009E4A9C" w:rsidRPr="009E4A9C">
        <w:rPr>
          <w:rFonts w:ascii="Arial" w:hAnsi="Arial" w:cs="Arial"/>
        </w:rPr>
        <w:t xml:space="preserve">, which </w:t>
      </w:r>
      <w:r w:rsidR="00822DFD">
        <w:rPr>
          <w:rFonts w:ascii="Arial" w:hAnsi="Arial" w:cs="Arial"/>
        </w:rPr>
        <w:t xml:space="preserve">advocated </w:t>
      </w:r>
      <w:r w:rsidR="009E4A9C" w:rsidRPr="009E4A9C">
        <w:rPr>
          <w:rFonts w:ascii="Arial" w:hAnsi="Arial" w:cs="Arial"/>
        </w:rPr>
        <w:t>a sole overarching ‘Historical Investigations Unit’</w:t>
      </w:r>
      <w:r w:rsidR="00B527F3">
        <w:rPr>
          <w:rFonts w:ascii="Arial" w:hAnsi="Arial" w:cs="Arial"/>
        </w:rPr>
        <w:t>,</w:t>
      </w:r>
      <w:r w:rsidR="009E4A9C" w:rsidRPr="009E4A9C">
        <w:rPr>
          <w:rStyle w:val="FootnoteReference"/>
          <w:rFonts w:ascii="Arial" w:hAnsi="Arial" w:cs="Arial"/>
          <w:sz w:val="24"/>
        </w:rPr>
        <w:footnoteReference w:id="2"/>
      </w:r>
      <w:r w:rsidR="009E4A9C" w:rsidRPr="009E4A9C">
        <w:rPr>
          <w:rFonts w:ascii="Arial" w:hAnsi="Arial" w:cs="Arial"/>
        </w:rPr>
        <w:t xml:space="preserve"> the state party has yet to commit itself to legislating for any such independent mechanism. </w:t>
      </w:r>
    </w:p>
    <w:p w:rsidR="00EE3F89" w:rsidRPr="00EE3F89" w:rsidRDefault="009E4A9C" w:rsidP="00822DFD">
      <w:pPr>
        <w:numPr>
          <w:ilvl w:val="0"/>
          <w:numId w:val="23"/>
        </w:numPr>
        <w:spacing w:before="2" w:after="2"/>
        <w:ind w:hanging="720"/>
        <w:rPr>
          <w:rFonts w:ascii="Arial" w:hAnsi="Arial" w:cs="Arial"/>
          <w:iCs/>
        </w:rPr>
      </w:pPr>
      <w:r w:rsidRPr="00EE3F89">
        <w:rPr>
          <w:rFonts w:ascii="Arial" w:hAnsi="Arial" w:cs="Arial"/>
        </w:rPr>
        <w:t xml:space="preserve">Instead </w:t>
      </w:r>
      <w:r w:rsidR="00822DFD">
        <w:rPr>
          <w:rFonts w:ascii="Arial" w:hAnsi="Arial" w:cs="Arial"/>
        </w:rPr>
        <w:t xml:space="preserve">at present </w:t>
      </w:r>
      <w:r w:rsidRPr="00EE3F89">
        <w:rPr>
          <w:rFonts w:ascii="Arial" w:hAnsi="Arial" w:cs="Arial"/>
        </w:rPr>
        <w:t xml:space="preserve">there is a piecemeal approach involving a variety of mechanisms dealing with the legacy of the </w:t>
      </w:r>
      <w:proofErr w:type="gramStart"/>
      <w:r w:rsidRPr="00EE3F89">
        <w:rPr>
          <w:rFonts w:ascii="Arial" w:hAnsi="Arial" w:cs="Arial"/>
        </w:rPr>
        <w:t>conflict.</w:t>
      </w:r>
      <w:proofErr w:type="gramEnd"/>
      <w:r w:rsidRPr="00EE3F89">
        <w:rPr>
          <w:rFonts w:ascii="Arial" w:hAnsi="Arial" w:cs="Arial"/>
        </w:rPr>
        <w:t xml:space="preserve"> This itself only emerged largely as a result of the UK agreeing to a ‘package of measures’ on the back of a series of successful cases taken to the European Court of Human Rights </w:t>
      </w:r>
      <w:r w:rsidRPr="00EE3F89">
        <w:rPr>
          <w:rFonts w:ascii="Arial" w:hAnsi="Arial" w:cs="Arial"/>
          <w:iCs/>
        </w:rPr>
        <w:t xml:space="preserve">(known as the </w:t>
      </w:r>
      <w:r w:rsidRPr="00EE3F89">
        <w:rPr>
          <w:rFonts w:ascii="Arial" w:hAnsi="Arial" w:cs="Arial"/>
          <w:i/>
          <w:iCs/>
        </w:rPr>
        <w:t>McKerr</w:t>
      </w:r>
      <w:r w:rsidRPr="00EE3F89">
        <w:rPr>
          <w:rStyle w:val="FootnoteReference"/>
          <w:rFonts w:ascii="Arial" w:hAnsi="Arial" w:cs="Arial"/>
          <w:iCs/>
          <w:sz w:val="24"/>
        </w:rPr>
        <w:footnoteReference w:id="3"/>
      </w:r>
      <w:r w:rsidRPr="00EE3F89">
        <w:rPr>
          <w:rFonts w:ascii="Arial" w:hAnsi="Arial" w:cs="Arial"/>
          <w:iCs/>
        </w:rPr>
        <w:t xml:space="preserve"> group of cases or </w:t>
      </w:r>
      <w:r w:rsidRPr="00EE3F89">
        <w:rPr>
          <w:rFonts w:ascii="Arial" w:hAnsi="Arial" w:cs="Arial"/>
          <w:bCs/>
          <w:iCs/>
        </w:rPr>
        <w:t>Cases concerning the action of the security forces in Northern Ireland</w:t>
      </w:r>
      <w:r w:rsidRPr="00EE3F89">
        <w:rPr>
          <w:rFonts w:ascii="Arial" w:hAnsi="Arial" w:cs="Arial"/>
          <w:iCs/>
        </w:rPr>
        <w:t xml:space="preserve">). </w:t>
      </w:r>
      <w:r w:rsidRPr="00EE3F89">
        <w:rPr>
          <w:rFonts w:ascii="Arial" w:hAnsi="Arial" w:cs="Arial"/>
        </w:rPr>
        <w:t xml:space="preserve">CAJ acted for the applicants in a number of these cases which came before the court in 2001-2003.The Court found the UK to be in breach of its </w:t>
      </w:r>
      <w:r w:rsidRPr="00EE3F89">
        <w:rPr>
          <w:rFonts w:ascii="Arial" w:hAnsi="Arial" w:cs="Arial"/>
          <w:i/>
        </w:rPr>
        <w:t>procedural</w:t>
      </w:r>
      <w:r w:rsidRPr="00EE3F89">
        <w:rPr>
          <w:rFonts w:ascii="Arial" w:hAnsi="Arial" w:cs="Arial"/>
        </w:rPr>
        <w:t xml:space="preserve"> duties for effective and independent investigations under Article 2 (right to life) of the European Convention on Human Rights </w:t>
      </w:r>
      <w:r w:rsidR="00B527F3">
        <w:rPr>
          <w:rFonts w:ascii="Arial" w:hAnsi="Arial" w:cs="Arial"/>
        </w:rPr>
        <w:t>(ECHR)</w:t>
      </w:r>
      <w:r w:rsidRPr="00EE3F89">
        <w:rPr>
          <w:rFonts w:ascii="Arial" w:hAnsi="Arial" w:cs="Arial"/>
        </w:rPr>
        <w:t xml:space="preserve">. </w:t>
      </w:r>
      <w:r w:rsidR="00EE3F89" w:rsidRPr="00EE3F89">
        <w:rPr>
          <w:rFonts w:ascii="Arial" w:hAnsi="Arial" w:cs="Arial"/>
        </w:rPr>
        <w:t>The</w:t>
      </w:r>
      <w:r w:rsidRPr="00EE3F89">
        <w:rPr>
          <w:rFonts w:ascii="Arial" w:hAnsi="Arial" w:cs="Arial"/>
        </w:rPr>
        <w:t xml:space="preserve"> ‘package of measures’ was agreed which led to changes to inquests and prosecutorial procedures. The PSNI Historical Enquiries Team (HET) and the remit of the Police Ombudsman to investigate the past are also </w:t>
      </w:r>
      <w:r w:rsidR="00B527F3">
        <w:rPr>
          <w:rFonts w:ascii="Arial" w:hAnsi="Arial" w:cs="Arial"/>
        </w:rPr>
        <w:t xml:space="preserve">listed as </w:t>
      </w:r>
      <w:r w:rsidRPr="00EE3F89">
        <w:rPr>
          <w:rFonts w:ascii="Arial" w:hAnsi="Arial" w:cs="Arial"/>
        </w:rPr>
        <w:t xml:space="preserve">part of the package of measures. </w:t>
      </w:r>
      <w:r w:rsidR="00B527F3" w:rsidRPr="00EE3F89">
        <w:rPr>
          <w:rFonts w:ascii="Arial" w:hAnsi="Arial" w:cs="Arial"/>
        </w:rPr>
        <w:t xml:space="preserve">It is notable that over ten years on from these cases there are </w:t>
      </w:r>
      <w:r w:rsidR="00B527F3" w:rsidRPr="00EE3F89">
        <w:rPr>
          <w:rFonts w:ascii="Arial" w:hAnsi="Arial" w:cs="Arial"/>
          <w:iCs/>
        </w:rPr>
        <w:t>still significant delays, deficiencies and obstruction of the implementation of the judgments</w:t>
      </w:r>
    </w:p>
    <w:p w:rsidR="00EE3F89" w:rsidRPr="00EE3F89" w:rsidRDefault="00EE3F89" w:rsidP="00EE3F89">
      <w:pPr>
        <w:pStyle w:val="ListParagraph"/>
        <w:spacing w:before="2" w:after="2"/>
        <w:rPr>
          <w:rFonts w:ascii="Arial" w:hAnsi="Arial" w:cs="Arial"/>
          <w:sz w:val="24"/>
          <w:szCs w:val="24"/>
        </w:rPr>
      </w:pPr>
    </w:p>
    <w:p w:rsidR="009503D3" w:rsidRDefault="00822DFD" w:rsidP="00822DFD">
      <w:pPr>
        <w:numPr>
          <w:ilvl w:val="0"/>
          <w:numId w:val="23"/>
        </w:numPr>
        <w:spacing w:before="2" w:after="2"/>
        <w:ind w:hanging="720"/>
        <w:rPr>
          <w:rFonts w:ascii="Arial" w:hAnsi="Arial" w:cs="Arial"/>
          <w:iCs/>
        </w:rPr>
      </w:pPr>
      <w:r>
        <w:rPr>
          <w:rFonts w:ascii="Arial" w:hAnsi="Arial" w:cs="Arial"/>
          <w:iCs/>
        </w:rPr>
        <w:t>In general w</w:t>
      </w:r>
      <w:r w:rsidR="00EE3F89">
        <w:rPr>
          <w:rFonts w:ascii="Arial" w:hAnsi="Arial" w:cs="Arial"/>
          <w:iCs/>
        </w:rPr>
        <w:t xml:space="preserve">hilst some </w:t>
      </w:r>
      <w:proofErr w:type="gramStart"/>
      <w:r w:rsidR="00EE3F89">
        <w:rPr>
          <w:rFonts w:ascii="Arial" w:hAnsi="Arial" w:cs="Arial"/>
          <w:iCs/>
        </w:rPr>
        <w:t>victims</w:t>
      </w:r>
      <w:proofErr w:type="gramEnd"/>
      <w:r w:rsidR="00EE3F89">
        <w:rPr>
          <w:rFonts w:ascii="Arial" w:hAnsi="Arial" w:cs="Arial"/>
          <w:iCs/>
        </w:rPr>
        <w:t xml:space="preserve"> families have obtained a measure of resolution the “</w:t>
      </w:r>
      <w:r w:rsidR="00B527F3">
        <w:rPr>
          <w:rFonts w:ascii="Arial" w:hAnsi="Arial" w:cs="Arial"/>
          <w:iCs/>
        </w:rPr>
        <w:t>p</w:t>
      </w:r>
      <w:r w:rsidR="00EE3F89" w:rsidRPr="00EE3F89">
        <w:rPr>
          <w:rFonts w:ascii="Arial" w:hAnsi="Arial" w:cs="Arial"/>
          <w:iCs/>
        </w:rPr>
        <w:t xml:space="preserve">ackage of </w:t>
      </w:r>
      <w:r w:rsidR="00B527F3">
        <w:rPr>
          <w:rFonts w:ascii="Arial" w:hAnsi="Arial" w:cs="Arial"/>
          <w:iCs/>
        </w:rPr>
        <w:t>m</w:t>
      </w:r>
      <w:r w:rsidR="00EE3F89" w:rsidRPr="00EE3F89">
        <w:rPr>
          <w:rFonts w:ascii="Arial" w:hAnsi="Arial" w:cs="Arial"/>
          <w:iCs/>
        </w:rPr>
        <w:t>easures</w:t>
      </w:r>
      <w:r w:rsidR="00EE3F89">
        <w:rPr>
          <w:rFonts w:ascii="Arial" w:hAnsi="Arial" w:cs="Arial"/>
          <w:iCs/>
        </w:rPr>
        <w:t>”</w:t>
      </w:r>
      <w:r w:rsidR="00EE3F89" w:rsidRPr="00EE3F89">
        <w:rPr>
          <w:rFonts w:ascii="Arial" w:hAnsi="Arial" w:cs="Arial"/>
          <w:iCs/>
        </w:rPr>
        <w:t xml:space="preserve"> </w:t>
      </w:r>
      <w:r w:rsidR="00EE3F89">
        <w:rPr>
          <w:rFonts w:ascii="Arial" w:hAnsi="Arial" w:cs="Arial"/>
          <w:iCs/>
        </w:rPr>
        <w:t xml:space="preserve">has increasingly </w:t>
      </w:r>
      <w:r w:rsidR="00EE3F89" w:rsidRPr="00EE3F89">
        <w:rPr>
          <w:rFonts w:ascii="Arial" w:hAnsi="Arial" w:cs="Arial"/>
          <w:iCs/>
        </w:rPr>
        <w:t>unravell</w:t>
      </w:r>
      <w:r w:rsidR="00EE3F89">
        <w:rPr>
          <w:rFonts w:ascii="Arial" w:hAnsi="Arial" w:cs="Arial"/>
          <w:iCs/>
        </w:rPr>
        <w:t>ed in recent years</w:t>
      </w:r>
      <w:r>
        <w:rPr>
          <w:rFonts w:ascii="Arial" w:hAnsi="Arial" w:cs="Arial"/>
          <w:iCs/>
        </w:rPr>
        <w:t xml:space="preserve">. </w:t>
      </w:r>
      <w:r w:rsidR="00EE3F89">
        <w:rPr>
          <w:rFonts w:ascii="Arial" w:hAnsi="Arial" w:cs="Arial"/>
          <w:iCs/>
        </w:rPr>
        <w:t xml:space="preserve">CAJ and other human rights groups concerned </w:t>
      </w:r>
      <w:r w:rsidR="00D97CB6">
        <w:rPr>
          <w:rFonts w:ascii="Arial" w:hAnsi="Arial" w:cs="Arial"/>
          <w:iCs/>
        </w:rPr>
        <w:t xml:space="preserve">that </w:t>
      </w:r>
      <w:r w:rsidR="00EE3F89">
        <w:rPr>
          <w:rFonts w:ascii="Arial" w:hAnsi="Arial" w:cs="Arial"/>
          <w:iCs/>
        </w:rPr>
        <w:t xml:space="preserve">Northern Ireland is witnessing such a level of official obstruction of legacy investigations that a concerted effort to cover up human rights violations is taking place. </w:t>
      </w:r>
      <w:r w:rsidR="00060D9D">
        <w:rPr>
          <w:rFonts w:ascii="Arial" w:hAnsi="Arial" w:cs="Arial"/>
          <w:iCs/>
        </w:rPr>
        <w:t xml:space="preserve">Since the Committee’s last examination of the UK significant developments which have taken place include: </w:t>
      </w:r>
    </w:p>
    <w:p w:rsidR="00060D9D" w:rsidRPr="00060D9D" w:rsidRDefault="00060D9D" w:rsidP="00060D9D">
      <w:pPr>
        <w:pStyle w:val="ListParagraph"/>
        <w:spacing w:before="2" w:after="2"/>
        <w:rPr>
          <w:rFonts w:ascii="Arial" w:hAnsi="Arial" w:cs="Arial"/>
          <w:b/>
          <w:iCs/>
        </w:rPr>
      </w:pPr>
    </w:p>
    <w:p w:rsidR="00060D9D" w:rsidRDefault="00060D9D" w:rsidP="00060D9D">
      <w:pPr>
        <w:numPr>
          <w:ilvl w:val="0"/>
          <w:numId w:val="41"/>
        </w:numPr>
        <w:spacing w:before="2" w:after="2"/>
        <w:rPr>
          <w:rFonts w:ascii="Arial" w:hAnsi="Arial" w:cs="Arial"/>
          <w:iCs/>
        </w:rPr>
      </w:pPr>
      <w:r w:rsidRPr="00060D9D">
        <w:rPr>
          <w:rFonts w:ascii="Arial" w:hAnsi="Arial" w:cs="Arial"/>
          <w:b/>
          <w:iCs/>
        </w:rPr>
        <w:t>The UK reneging on its commitment to hold an independent public inquiry into the murder of human rights lawyer Pat Finucane</w:t>
      </w:r>
      <w:r w:rsidRPr="00060D9D">
        <w:rPr>
          <w:rFonts w:ascii="Arial" w:hAnsi="Arial" w:cs="Arial"/>
          <w:iCs/>
        </w:rPr>
        <w:t xml:space="preserve"> in 1989. This is despite the Committee’s concluding observations and </w:t>
      </w:r>
      <w:r w:rsidR="00822DFD">
        <w:rPr>
          <w:rFonts w:ascii="Arial" w:hAnsi="Arial" w:cs="Arial"/>
          <w:iCs/>
        </w:rPr>
        <w:t xml:space="preserve">the UK </w:t>
      </w:r>
      <w:r w:rsidRPr="00060D9D">
        <w:rPr>
          <w:rFonts w:ascii="Arial" w:hAnsi="Arial" w:cs="Arial"/>
          <w:iCs/>
        </w:rPr>
        <w:t>having committed to doing so in a (UK-Ireland) international agreement (Weston Park Agreement 2001). Instead the UK Prime Minister appointed a senior lawyer to conduct a more limited review of the papers.</w:t>
      </w:r>
      <w:r w:rsidR="00822DFD">
        <w:rPr>
          <w:rFonts w:ascii="Arial" w:hAnsi="Arial" w:cs="Arial"/>
          <w:iCs/>
        </w:rPr>
        <w:t xml:space="preserve"> </w:t>
      </w:r>
      <w:r w:rsidRPr="00060D9D">
        <w:rPr>
          <w:rFonts w:ascii="Arial" w:hAnsi="Arial" w:cs="Arial"/>
          <w:iCs/>
        </w:rPr>
        <w:t xml:space="preserve">The Inquiries Act 2005 has retained all its powers </w:t>
      </w:r>
      <w:r>
        <w:rPr>
          <w:rFonts w:ascii="Arial" w:hAnsi="Arial" w:cs="Arial"/>
          <w:iCs/>
        </w:rPr>
        <w:t xml:space="preserve">permitting </w:t>
      </w:r>
      <w:r w:rsidRPr="00060D9D">
        <w:rPr>
          <w:rFonts w:ascii="Arial" w:hAnsi="Arial" w:cs="Arial"/>
          <w:iCs/>
        </w:rPr>
        <w:t xml:space="preserve">ministerial </w:t>
      </w:r>
      <w:r>
        <w:rPr>
          <w:rFonts w:ascii="Arial" w:hAnsi="Arial" w:cs="Arial"/>
          <w:iCs/>
        </w:rPr>
        <w:t>interference despite the Committees concerns.</w:t>
      </w:r>
    </w:p>
    <w:p w:rsidR="00060D9D" w:rsidRDefault="00060D9D" w:rsidP="00060D9D">
      <w:pPr>
        <w:spacing w:before="2" w:after="2"/>
        <w:ind w:left="1440"/>
        <w:rPr>
          <w:rFonts w:ascii="Arial" w:hAnsi="Arial" w:cs="Arial"/>
          <w:iCs/>
        </w:rPr>
      </w:pPr>
    </w:p>
    <w:p w:rsidR="00060D9D" w:rsidRDefault="00060D9D" w:rsidP="00060D9D">
      <w:pPr>
        <w:numPr>
          <w:ilvl w:val="0"/>
          <w:numId w:val="41"/>
        </w:numPr>
        <w:spacing w:before="2" w:after="2"/>
        <w:rPr>
          <w:rFonts w:ascii="Arial" w:hAnsi="Arial" w:cs="Arial"/>
          <w:iCs/>
        </w:rPr>
      </w:pPr>
      <w:r w:rsidRPr="00923F14">
        <w:rPr>
          <w:rFonts w:ascii="Arial" w:hAnsi="Arial" w:cs="Arial"/>
          <w:b/>
          <w:iCs/>
        </w:rPr>
        <w:t xml:space="preserve">The </w:t>
      </w:r>
      <w:r w:rsidR="00923F14">
        <w:rPr>
          <w:rFonts w:ascii="Arial" w:hAnsi="Arial" w:cs="Arial"/>
          <w:b/>
          <w:iCs/>
        </w:rPr>
        <w:t xml:space="preserve">‘lowering of independence’ and </w:t>
      </w:r>
      <w:r w:rsidR="00923F14" w:rsidRPr="00923F14">
        <w:rPr>
          <w:rFonts w:ascii="Arial" w:hAnsi="Arial" w:cs="Arial"/>
          <w:b/>
          <w:iCs/>
        </w:rPr>
        <w:t xml:space="preserve">suspension of the </w:t>
      </w:r>
      <w:r w:rsidRPr="00923F14">
        <w:rPr>
          <w:rFonts w:ascii="Arial" w:hAnsi="Arial" w:cs="Arial"/>
          <w:b/>
          <w:iCs/>
        </w:rPr>
        <w:t xml:space="preserve">Police Ombudsman’s </w:t>
      </w:r>
      <w:r w:rsidR="00923F14" w:rsidRPr="00923F14">
        <w:rPr>
          <w:rFonts w:ascii="Arial" w:hAnsi="Arial" w:cs="Arial"/>
          <w:b/>
          <w:iCs/>
        </w:rPr>
        <w:t>Office role in dealing with conflict</w:t>
      </w:r>
      <w:r w:rsidR="00822DFD">
        <w:rPr>
          <w:rFonts w:ascii="Arial" w:hAnsi="Arial" w:cs="Arial"/>
          <w:b/>
          <w:iCs/>
        </w:rPr>
        <w:t>-</w:t>
      </w:r>
      <w:r w:rsidR="00923F14" w:rsidRPr="00923F14">
        <w:rPr>
          <w:rFonts w:ascii="Arial" w:hAnsi="Arial" w:cs="Arial"/>
          <w:b/>
          <w:iCs/>
        </w:rPr>
        <w:t>related cases</w:t>
      </w:r>
      <w:r w:rsidR="00923F14">
        <w:rPr>
          <w:rFonts w:ascii="Arial" w:hAnsi="Arial" w:cs="Arial"/>
          <w:iCs/>
        </w:rPr>
        <w:t>. The Police Ombudsman’s office is a powerful independent body with powers to investigate police involvement in human rights violations, including killings, during the conflict. However during the tenure of the second police ombudsman the office was undermined following police and political interference in its work. The resignation of the Chief Executive and critical reports</w:t>
      </w:r>
      <w:r w:rsidR="00822DFD">
        <w:rPr>
          <w:rFonts w:ascii="Arial" w:hAnsi="Arial" w:cs="Arial"/>
          <w:iCs/>
        </w:rPr>
        <w:t xml:space="preserve"> in 2011</w:t>
      </w:r>
      <w:r w:rsidR="00923F14">
        <w:rPr>
          <w:rFonts w:ascii="Arial" w:hAnsi="Arial" w:cs="Arial"/>
          <w:iCs/>
        </w:rPr>
        <w:t xml:space="preserve"> from CAJ and subsequently the official Criminal Justice Inspector, which among other matters found that investigation reports into conflict-related cases were altered or rewritten to exclude criticism of the police without explanation, </w:t>
      </w:r>
      <w:r w:rsidR="00822DFD">
        <w:rPr>
          <w:rFonts w:ascii="Arial" w:hAnsi="Arial" w:cs="Arial"/>
          <w:iCs/>
        </w:rPr>
        <w:t>were</w:t>
      </w:r>
      <w:r w:rsidR="00923F14">
        <w:rPr>
          <w:rFonts w:ascii="Arial" w:hAnsi="Arial" w:cs="Arial"/>
          <w:iCs/>
        </w:rPr>
        <w:t xml:space="preserve"> followed by the suspension of the historic caseload and the resignation of the Police Ombudsman. A </w:t>
      </w:r>
      <w:r w:rsidR="00923F14">
        <w:rPr>
          <w:rFonts w:ascii="Arial" w:hAnsi="Arial" w:cs="Arial"/>
          <w:iCs/>
        </w:rPr>
        <w:lastRenderedPageBreak/>
        <w:t>successor was appointed and a process of internal reform took place which has re</w:t>
      </w:r>
      <w:r w:rsidR="002C053E">
        <w:rPr>
          <w:rFonts w:ascii="Arial" w:hAnsi="Arial" w:cs="Arial"/>
          <w:iCs/>
        </w:rPr>
        <w:t>-e</w:t>
      </w:r>
      <w:r w:rsidR="00923F14">
        <w:rPr>
          <w:rFonts w:ascii="Arial" w:hAnsi="Arial" w:cs="Arial"/>
          <w:iCs/>
        </w:rPr>
        <w:t>stablished the credentials of the office and</w:t>
      </w:r>
      <w:r w:rsidR="002C053E">
        <w:rPr>
          <w:rFonts w:ascii="Arial" w:hAnsi="Arial" w:cs="Arial"/>
          <w:iCs/>
        </w:rPr>
        <w:t>, following a favourable report from the Criminal Justice Inspector, has been able to resume historic investigations.</w:t>
      </w:r>
      <w:r w:rsidR="00822DFD">
        <w:rPr>
          <w:rFonts w:ascii="Arial" w:hAnsi="Arial" w:cs="Arial"/>
          <w:iCs/>
        </w:rPr>
        <w:t xml:space="preserve"> </w:t>
      </w:r>
      <w:r w:rsidR="002C053E">
        <w:rPr>
          <w:rFonts w:ascii="Arial" w:hAnsi="Arial" w:cs="Arial"/>
          <w:iCs/>
        </w:rPr>
        <w:t xml:space="preserve">However, legislative amendments to address gaps in the Ombudsman’s powers have not been implemented. </w:t>
      </w:r>
      <w:r w:rsidR="00923F14">
        <w:rPr>
          <w:rFonts w:ascii="Arial" w:hAnsi="Arial" w:cs="Arial"/>
          <w:iCs/>
        </w:rPr>
        <w:t xml:space="preserve"> </w:t>
      </w:r>
    </w:p>
    <w:p w:rsidR="002C053E" w:rsidRDefault="002C053E" w:rsidP="002C053E">
      <w:pPr>
        <w:spacing w:before="2" w:after="2"/>
        <w:ind w:left="1440"/>
        <w:rPr>
          <w:rFonts w:ascii="Arial" w:hAnsi="Arial" w:cs="Arial"/>
          <w:iCs/>
        </w:rPr>
      </w:pPr>
    </w:p>
    <w:p w:rsidR="002C053E" w:rsidRPr="002C053E" w:rsidRDefault="002C053E" w:rsidP="00060D9D">
      <w:pPr>
        <w:numPr>
          <w:ilvl w:val="0"/>
          <w:numId w:val="41"/>
        </w:numPr>
        <w:spacing w:before="2" w:after="2"/>
        <w:rPr>
          <w:rFonts w:ascii="Arial" w:hAnsi="Arial" w:cs="Arial"/>
          <w:b/>
          <w:iCs/>
        </w:rPr>
      </w:pPr>
      <w:r w:rsidRPr="002C053E">
        <w:rPr>
          <w:rFonts w:ascii="Arial" w:hAnsi="Arial" w:cs="Arial"/>
          <w:b/>
          <w:iCs/>
        </w:rPr>
        <w:t xml:space="preserve">The suspension of the PSNI ‘Historical Enquiries Team’ (HET) following an official inspection finding that cases where agents of the state were involved in killings had been given such preferential treatment </w:t>
      </w:r>
      <w:r>
        <w:rPr>
          <w:rFonts w:ascii="Arial" w:hAnsi="Arial" w:cs="Arial"/>
          <w:b/>
          <w:iCs/>
        </w:rPr>
        <w:t xml:space="preserve">the HET had been operating unlawfully. </w:t>
      </w:r>
      <w:r>
        <w:rPr>
          <w:rFonts w:ascii="Arial" w:hAnsi="Arial" w:cs="Arial"/>
          <w:iCs/>
        </w:rPr>
        <w:t xml:space="preserve">The HET was established as a unit of the Police Service of Northern Ireland (PSNI) to review unresolved killings </w:t>
      </w:r>
      <w:r w:rsidR="00465EE6">
        <w:rPr>
          <w:rFonts w:ascii="Arial" w:hAnsi="Arial" w:cs="Arial"/>
          <w:iCs/>
        </w:rPr>
        <w:t xml:space="preserve">attributed to the conflict. With the exception of cases in which a police officer was directly responsible for a death this includes ‘state involvement cases’ involving the armed forces or agents and informants working for the police or security services. Critical academic reports and concerns from NGOs led to the Northern Ireland Policing Board calling in Her Majesty’s Inspector of Constabulary to conduct a review of the HET. This inspection </w:t>
      </w:r>
      <w:r w:rsidR="00236B99">
        <w:rPr>
          <w:rFonts w:ascii="Arial" w:hAnsi="Arial" w:cs="Arial"/>
          <w:iCs/>
        </w:rPr>
        <w:t xml:space="preserve">reported in July 2013 and </w:t>
      </w:r>
      <w:r w:rsidR="00465EE6">
        <w:rPr>
          <w:rFonts w:ascii="Arial" w:hAnsi="Arial" w:cs="Arial"/>
          <w:iCs/>
        </w:rPr>
        <w:t>found that the approach to state involvement cases had been incompatible with legal duties under the ECHR</w:t>
      </w:r>
      <w:r w:rsidR="00236B99">
        <w:rPr>
          <w:rFonts w:ascii="Arial" w:hAnsi="Arial" w:cs="Arial"/>
          <w:iCs/>
        </w:rPr>
        <w:t>. T</w:t>
      </w:r>
      <w:r w:rsidR="00465EE6">
        <w:rPr>
          <w:rFonts w:ascii="Arial" w:hAnsi="Arial" w:cs="Arial"/>
          <w:iCs/>
        </w:rPr>
        <w:t xml:space="preserve">he work of the HET </w:t>
      </w:r>
      <w:r w:rsidR="00236B99">
        <w:rPr>
          <w:rFonts w:ascii="Arial" w:hAnsi="Arial" w:cs="Arial"/>
          <w:iCs/>
        </w:rPr>
        <w:t xml:space="preserve">in issuing reports was subsequently, and remains, suspended. </w:t>
      </w:r>
    </w:p>
    <w:p w:rsidR="00060D9D" w:rsidRDefault="002C053E" w:rsidP="00465EE6">
      <w:pPr>
        <w:spacing w:before="2" w:after="2"/>
        <w:ind w:left="1440"/>
        <w:rPr>
          <w:rFonts w:ascii="Arial" w:hAnsi="Arial" w:cs="Arial"/>
          <w:iCs/>
        </w:rPr>
      </w:pPr>
      <w:r>
        <w:rPr>
          <w:rFonts w:ascii="Arial" w:hAnsi="Arial" w:cs="Arial"/>
          <w:iCs/>
        </w:rPr>
        <w:t xml:space="preserve"> </w:t>
      </w:r>
    </w:p>
    <w:p w:rsidR="00236B99" w:rsidRPr="00236B99" w:rsidRDefault="00465EE6" w:rsidP="00236B99">
      <w:pPr>
        <w:widowControl w:val="0"/>
        <w:numPr>
          <w:ilvl w:val="0"/>
          <w:numId w:val="41"/>
        </w:numPr>
        <w:autoSpaceDE w:val="0"/>
        <w:autoSpaceDN w:val="0"/>
        <w:adjustRightInd w:val="0"/>
        <w:spacing w:before="2" w:after="2"/>
        <w:rPr>
          <w:rFonts w:ascii="Arial" w:hAnsi="Arial" w:cs="Arial"/>
        </w:rPr>
      </w:pPr>
      <w:r w:rsidRPr="00236B99">
        <w:rPr>
          <w:rFonts w:ascii="Arial" w:hAnsi="Arial" w:cs="Arial"/>
          <w:b/>
          <w:iCs/>
        </w:rPr>
        <w:t xml:space="preserve">Protracted delays and limitations in the </w:t>
      </w:r>
      <w:r w:rsidR="00923F14" w:rsidRPr="00236B99">
        <w:rPr>
          <w:rFonts w:ascii="Arial" w:hAnsi="Arial" w:cs="Arial"/>
          <w:b/>
          <w:iCs/>
        </w:rPr>
        <w:t xml:space="preserve">Inquests </w:t>
      </w:r>
      <w:r w:rsidRPr="00236B99">
        <w:rPr>
          <w:rFonts w:ascii="Arial" w:hAnsi="Arial" w:cs="Arial"/>
          <w:b/>
          <w:iCs/>
        </w:rPr>
        <w:t xml:space="preserve">system in relation to conflict related killings. </w:t>
      </w:r>
      <w:r w:rsidR="00236B99" w:rsidRPr="00236B99">
        <w:rPr>
          <w:rFonts w:ascii="Arial" w:hAnsi="Arial" w:cs="Arial"/>
        </w:rPr>
        <w:t xml:space="preserve">CAJ has become increasingly concerned at the </w:t>
      </w:r>
      <w:r w:rsidR="00D97CB6">
        <w:rPr>
          <w:rFonts w:ascii="Arial" w:hAnsi="Arial" w:cs="Arial"/>
        </w:rPr>
        <w:t>ability</w:t>
      </w:r>
      <w:r w:rsidR="00236B99" w:rsidRPr="00236B99">
        <w:rPr>
          <w:rFonts w:ascii="Arial" w:hAnsi="Arial" w:cs="Arial"/>
        </w:rPr>
        <w:t xml:space="preserve"> of the inquest system, as it is functioning at present, to provide effective investigations into conflict related deaths </w:t>
      </w:r>
      <w:r w:rsidR="00D97CB6">
        <w:rPr>
          <w:rFonts w:ascii="Arial" w:hAnsi="Arial" w:cs="Arial"/>
        </w:rPr>
        <w:t xml:space="preserve">in </w:t>
      </w:r>
      <w:r w:rsidR="00236B99" w:rsidRPr="00236B99">
        <w:rPr>
          <w:rFonts w:ascii="Arial" w:hAnsi="Arial" w:cs="Arial"/>
        </w:rPr>
        <w:t xml:space="preserve">compliance with the Covenant. There </w:t>
      </w:r>
      <w:r w:rsidR="00B527F3">
        <w:rPr>
          <w:rFonts w:ascii="Arial" w:hAnsi="Arial" w:cs="Arial"/>
        </w:rPr>
        <w:t xml:space="preserve">are </w:t>
      </w:r>
      <w:r w:rsidR="00236B99" w:rsidRPr="00236B99">
        <w:rPr>
          <w:rFonts w:ascii="Arial" w:hAnsi="Arial" w:cs="Arial"/>
        </w:rPr>
        <w:t xml:space="preserve">currently </w:t>
      </w:r>
      <w:r w:rsidR="00B527F3">
        <w:rPr>
          <w:rFonts w:ascii="Arial" w:hAnsi="Arial" w:cs="Arial"/>
        </w:rPr>
        <w:t xml:space="preserve">dozens </w:t>
      </w:r>
      <w:r w:rsidR="00236B99" w:rsidRPr="00236B99">
        <w:rPr>
          <w:rFonts w:ascii="Arial" w:hAnsi="Arial" w:cs="Arial"/>
        </w:rPr>
        <w:t xml:space="preserve">of inquests which have been opened but not completed, primarily due to delays in the state disclosing </w:t>
      </w:r>
      <w:proofErr w:type="spellStart"/>
      <w:r w:rsidR="00236B99" w:rsidRPr="00236B99">
        <w:rPr>
          <w:rFonts w:ascii="Arial" w:hAnsi="Arial" w:cs="Arial"/>
        </w:rPr>
        <w:t>information.There</w:t>
      </w:r>
      <w:proofErr w:type="spellEnd"/>
      <w:r w:rsidR="00236B99" w:rsidRPr="00236B99">
        <w:rPr>
          <w:rFonts w:ascii="Arial" w:hAnsi="Arial" w:cs="Arial"/>
        </w:rPr>
        <w:t xml:space="preserve"> have been both recent domestic and </w:t>
      </w:r>
      <w:r w:rsidR="00822DFD">
        <w:rPr>
          <w:rFonts w:ascii="Arial" w:hAnsi="Arial" w:cs="Arial"/>
        </w:rPr>
        <w:t xml:space="preserve">European Court of Human Rights </w:t>
      </w:r>
      <w:r w:rsidR="007C1843">
        <w:rPr>
          <w:rFonts w:ascii="Arial" w:hAnsi="Arial" w:cs="Arial"/>
        </w:rPr>
        <w:t>(</w:t>
      </w:r>
      <w:proofErr w:type="spellStart"/>
      <w:r w:rsidR="007C1843">
        <w:rPr>
          <w:rFonts w:ascii="Arial" w:hAnsi="Arial" w:cs="Arial"/>
        </w:rPr>
        <w:t>ECtHR</w:t>
      </w:r>
      <w:proofErr w:type="spellEnd"/>
      <w:r w:rsidR="007C1843">
        <w:rPr>
          <w:rFonts w:ascii="Arial" w:hAnsi="Arial" w:cs="Arial"/>
        </w:rPr>
        <w:t xml:space="preserve">) </w:t>
      </w:r>
      <w:r w:rsidR="00822DFD">
        <w:rPr>
          <w:rFonts w:ascii="Arial" w:hAnsi="Arial" w:cs="Arial"/>
        </w:rPr>
        <w:t>d</w:t>
      </w:r>
      <w:r w:rsidR="00236B99" w:rsidRPr="00236B99">
        <w:rPr>
          <w:rFonts w:ascii="Arial" w:hAnsi="Arial" w:cs="Arial"/>
        </w:rPr>
        <w:t>ecisions (</w:t>
      </w:r>
      <w:r w:rsidR="00822DFD">
        <w:rPr>
          <w:rFonts w:ascii="Arial" w:hAnsi="Arial" w:cs="Arial"/>
        </w:rPr>
        <w:t xml:space="preserve">see </w:t>
      </w:r>
      <w:r w:rsidR="00236B99" w:rsidRPr="00822DFD">
        <w:rPr>
          <w:rFonts w:ascii="Arial" w:hAnsi="Arial" w:cs="Arial"/>
          <w:i/>
        </w:rPr>
        <w:t xml:space="preserve">McCaughey &amp; </w:t>
      </w:r>
      <w:proofErr w:type="spellStart"/>
      <w:r w:rsidR="00236B99" w:rsidRPr="00822DFD">
        <w:rPr>
          <w:rFonts w:ascii="Arial" w:hAnsi="Arial" w:cs="Arial"/>
          <w:i/>
        </w:rPr>
        <w:t>Otrs</w:t>
      </w:r>
      <w:proofErr w:type="spellEnd"/>
      <w:r w:rsidR="00236B99" w:rsidRPr="00822DFD">
        <w:rPr>
          <w:rFonts w:ascii="Arial" w:hAnsi="Arial" w:cs="Arial"/>
          <w:i/>
        </w:rPr>
        <w:t xml:space="preserve"> v UK, and Hemsworth v UK</w:t>
      </w:r>
      <w:r w:rsidR="00236B99" w:rsidRPr="00236B99">
        <w:rPr>
          <w:rFonts w:ascii="Arial" w:hAnsi="Arial" w:cs="Arial"/>
        </w:rPr>
        <w:t xml:space="preserve">) which have found the UK to be in breach of its human rights obligations in relation to legacy inquests. </w:t>
      </w:r>
    </w:p>
    <w:p w:rsidR="00465EE6" w:rsidRPr="00465EE6" w:rsidRDefault="00465EE6" w:rsidP="00236B99">
      <w:pPr>
        <w:spacing w:before="2" w:after="2"/>
        <w:ind w:left="1440"/>
        <w:rPr>
          <w:rFonts w:ascii="Arial" w:hAnsi="Arial" w:cs="Arial"/>
          <w:b/>
          <w:iCs/>
        </w:rPr>
      </w:pPr>
    </w:p>
    <w:p w:rsidR="00A32CCA" w:rsidRDefault="00465EE6" w:rsidP="00465EE6">
      <w:pPr>
        <w:numPr>
          <w:ilvl w:val="0"/>
          <w:numId w:val="41"/>
        </w:numPr>
        <w:spacing w:before="2" w:after="2"/>
        <w:rPr>
          <w:rFonts w:ascii="Arial" w:hAnsi="Arial" w:cs="Arial"/>
          <w:iCs/>
        </w:rPr>
      </w:pPr>
      <w:r w:rsidRPr="00465EE6">
        <w:rPr>
          <w:rFonts w:ascii="Arial" w:hAnsi="Arial" w:cs="Arial"/>
          <w:b/>
          <w:iCs/>
        </w:rPr>
        <w:t xml:space="preserve">The growth of </w:t>
      </w:r>
      <w:r w:rsidR="00923F14" w:rsidRPr="00465EE6">
        <w:rPr>
          <w:rFonts w:ascii="Arial" w:hAnsi="Arial" w:cs="Arial"/>
          <w:b/>
          <w:iCs/>
        </w:rPr>
        <w:t xml:space="preserve">National Security doctrine </w:t>
      </w:r>
      <w:r w:rsidR="00236B99">
        <w:rPr>
          <w:rFonts w:ascii="Arial" w:hAnsi="Arial" w:cs="Arial"/>
          <w:b/>
          <w:iCs/>
        </w:rPr>
        <w:t xml:space="preserve">and secret courts. </w:t>
      </w:r>
      <w:r w:rsidR="00236B99" w:rsidRPr="00236B99">
        <w:rPr>
          <w:rFonts w:ascii="Arial" w:hAnsi="Arial" w:cs="Arial"/>
          <w:iCs/>
        </w:rPr>
        <w:t xml:space="preserve">The UK has extended </w:t>
      </w:r>
      <w:r w:rsidR="00236B99">
        <w:rPr>
          <w:rFonts w:ascii="Arial" w:hAnsi="Arial" w:cs="Arial"/>
          <w:iCs/>
        </w:rPr>
        <w:t xml:space="preserve">‘national security’ exemptions </w:t>
      </w:r>
      <w:r w:rsidR="00A32CCA">
        <w:rPr>
          <w:rFonts w:ascii="Arial" w:hAnsi="Arial" w:cs="Arial"/>
          <w:iCs/>
        </w:rPr>
        <w:t>to a range of accountability bodies with a role in Northern Ireland and has used the doctrine to restrict disclosure of official records. One official policy document has sought to designate the whole of ‘the past’ in Northern Ireland as a national security matter with the effect of preventing access to documents. In addition the UK has also extended the potential for ‘Closed Material Procedures’ to all civil proceedings, meaning cases involving ‘national security’ information can now be held in secret</w:t>
      </w:r>
      <w:r w:rsidR="00822DFD">
        <w:rPr>
          <w:rFonts w:ascii="Arial" w:hAnsi="Arial" w:cs="Arial"/>
          <w:iCs/>
        </w:rPr>
        <w:t>. T</w:t>
      </w:r>
      <w:r w:rsidR="00A32CCA">
        <w:rPr>
          <w:rFonts w:ascii="Arial" w:hAnsi="Arial" w:cs="Arial"/>
          <w:iCs/>
        </w:rPr>
        <w:t>his includes cases whereby agents of the state may have been involved in human rights violations. This has already impacted on conflict related cases whereby victims</w:t>
      </w:r>
      <w:r w:rsidR="00D97CB6">
        <w:rPr>
          <w:rFonts w:ascii="Arial" w:hAnsi="Arial" w:cs="Arial"/>
          <w:iCs/>
        </w:rPr>
        <w:t>’</w:t>
      </w:r>
      <w:r w:rsidR="00A32CCA">
        <w:rPr>
          <w:rFonts w:ascii="Arial" w:hAnsi="Arial" w:cs="Arial"/>
          <w:iCs/>
        </w:rPr>
        <w:t xml:space="preserve"> relatives have taken civil claims against the state.  </w:t>
      </w:r>
    </w:p>
    <w:p w:rsidR="009E4A9C" w:rsidRPr="00EE3F89" w:rsidRDefault="009503D3" w:rsidP="00822DFD">
      <w:pPr>
        <w:numPr>
          <w:ilvl w:val="0"/>
          <w:numId w:val="23"/>
        </w:numPr>
        <w:spacing w:before="2" w:after="2"/>
        <w:ind w:hanging="720"/>
        <w:rPr>
          <w:rFonts w:ascii="Arial" w:hAnsi="Arial" w:cs="Arial"/>
          <w:iCs/>
        </w:rPr>
      </w:pPr>
      <w:r>
        <w:rPr>
          <w:rFonts w:ascii="Arial" w:hAnsi="Arial" w:cs="Arial"/>
          <w:iCs/>
        </w:rPr>
        <w:t>A number of t</w:t>
      </w:r>
      <w:r w:rsidR="00EE3F89">
        <w:rPr>
          <w:rFonts w:ascii="Arial" w:hAnsi="Arial" w:cs="Arial"/>
          <w:iCs/>
        </w:rPr>
        <w:t>he</w:t>
      </w:r>
      <w:r>
        <w:rPr>
          <w:rFonts w:ascii="Arial" w:hAnsi="Arial" w:cs="Arial"/>
          <w:iCs/>
        </w:rPr>
        <w:t xml:space="preserve"> above</w:t>
      </w:r>
      <w:r w:rsidR="00EE3F89">
        <w:rPr>
          <w:rFonts w:ascii="Arial" w:hAnsi="Arial" w:cs="Arial"/>
          <w:iCs/>
        </w:rPr>
        <w:t xml:space="preserve"> concerns have also been articulated within the Council of Europe human rights system and other UN Treaty Bodies</w:t>
      </w:r>
      <w:r w:rsidR="00822DFD">
        <w:rPr>
          <w:rFonts w:ascii="Arial" w:hAnsi="Arial" w:cs="Arial"/>
          <w:iCs/>
        </w:rPr>
        <w:t>. The following extracts provide examples:</w:t>
      </w:r>
      <w:r w:rsidR="00EE3F89">
        <w:rPr>
          <w:rFonts w:ascii="Arial" w:hAnsi="Arial" w:cs="Arial"/>
          <w:iCs/>
        </w:rPr>
        <w:t xml:space="preserve">  </w:t>
      </w:r>
    </w:p>
    <w:p w:rsidR="006610C1" w:rsidRDefault="006610C1" w:rsidP="006610C1">
      <w:pPr>
        <w:ind w:left="720"/>
        <w:rPr>
          <w:rFonts w:ascii="Arial" w:hAnsi="Arial" w:cs="Arial"/>
        </w:rPr>
      </w:pPr>
    </w:p>
    <w:p w:rsidR="009E4A9C" w:rsidRPr="007C1843" w:rsidRDefault="009E4A9C" w:rsidP="007C1843">
      <w:pPr>
        <w:pStyle w:val="SingleTxtG"/>
        <w:ind w:left="720" w:right="521"/>
        <w:jc w:val="left"/>
        <w:rPr>
          <w:rFonts w:ascii="Arial" w:hAnsi="Arial" w:cs="Arial"/>
          <w:i/>
          <w:sz w:val="22"/>
          <w:szCs w:val="22"/>
          <w:highlight w:val="yellow"/>
        </w:rPr>
      </w:pPr>
      <w:r w:rsidRPr="007C1843">
        <w:rPr>
          <w:rFonts w:ascii="Arial" w:hAnsi="Arial" w:cs="Arial"/>
          <w:sz w:val="22"/>
          <w:szCs w:val="22"/>
        </w:rPr>
        <w:t xml:space="preserve">The absence of any plausible explanation for the failure to collect key evidence at the time when this was possible, and for attempts to even obstruct this process, should be treated with particular vigilance. In fact the period of demonstrated, if not deliberate, systematic refusals and failures to undertake timely and adequate investigation and to take all necessary steps to investigate arguable allegations under </w:t>
      </w:r>
      <w:r w:rsidR="007C1843" w:rsidRPr="007C1843">
        <w:rPr>
          <w:rFonts w:ascii="Arial" w:hAnsi="Arial" w:cs="Arial"/>
          <w:sz w:val="22"/>
          <w:szCs w:val="22"/>
        </w:rPr>
        <w:t xml:space="preserve">[ECHR] </w:t>
      </w:r>
      <w:r w:rsidRPr="007C1843">
        <w:rPr>
          <w:rFonts w:ascii="Arial" w:hAnsi="Arial" w:cs="Arial"/>
          <w:sz w:val="22"/>
          <w:szCs w:val="22"/>
        </w:rPr>
        <w:t xml:space="preserve">Articles 2 and 3 seem as a matter of principle to make it possible for at least some agents of the State to benefit from virtual impunity as a result of the passage of time. </w:t>
      </w:r>
      <w:r w:rsidR="00EE3F89" w:rsidRPr="007C1843">
        <w:rPr>
          <w:rFonts w:ascii="Arial" w:hAnsi="Arial" w:cs="Arial"/>
          <w:sz w:val="22"/>
          <w:szCs w:val="22"/>
        </w:rPr>
        <w:t>(</w:t>
      </w:r>
      <w:proofErr w:type="spellStart"/>
      <w:r w:rsidR="007C1843" w:rsidRPr="007C1843">
        <w:rPr>
          <w:rFonts w:ascii="Arial" w:hAnsi="Arial" w:cs="Arial"/>
          <w:sz w:val="22"/>
          <w:szCs w:val="22"/>
        </w:rPr>
        <w:t>ECtHR</w:t>
      </w:r>
      <w:proofErr w:type="spellEnd"/>
      <w:r w:rsidRPr="007C1843">
        <w:rPr>
          <w:rFonts w:ascii="Arial" w:hAnsi="Arial" w:cs="Arial"/>
          <w:sz w:val="22"/>
          <w:szCs w:val="22"/>
        </w:rPr>
        <w:t>, Concurring Opinion of Judge Kalaydjieva</w:t>
      </w:r>
      <w:r w:rsidR="00EE3F89" w:rsidRPr="007C1843">
        <w:rPr>
          <w:rStyle w:val="FootnoteReference"/>
          <w:rFonts w:ascii="Arial" w:hAnsi="Arial" w:cs="Arial"/>
          <w:sz w:val="22"/>
          <w:szCs w:val="22"/>
        </w:rPr>
        <w:footnoteReference w:id="4"/>
      </w:r>
      <w:r w:rsidR="00EE3F89" w:rsidRPr="007C1843">
        <w:rPr>
          <w:rFonts w:ascii="Arial" w:hAnsi="Arial" w:cs="Arial"/>
          <w:sz w:val="22"/>
          <w:szCs w:val="22"/>
          <w:lang w:val="en-GB"/>
        </w:rPr>
        <w:t>)</w:t>
      </w:r>
      <w:r w:rsidRPr="007C1843">
        <w:rPr>
          <w:rFonts w:ascii="Arial" w:hAnsi="Arial" w:cs="Arial"/>
          <w:sz w:val="22"/>
          <w:szCs w:val="22"/>
        </w:rPr>
        <w:t xml:space="preserve"> </w:t>
      </w:r>
    </w:p>
    <w:p w:rsidR="009E4A9C" w:rsidRPr="007C1843" w:rsidRDefault="009E4A9C" w:rsidP="007C1843">
      <w:pPr>
        <w:pStyle w:val="SingleTxtG"/>
        <w:ind w:left="720" w:right="521"/>
        <w:jc w:val="left"/>
        <w:rPr>
          <w:rFonts w:ascii="Arial" w:eastAsia="Calibri" w:hAnsi="Arial" w:cs="Arial"/>
          <w:sz w:val="22"/>
          <w:szCs w:val="22"/>
          <w:lang w:val="en-GB"/>
        </w:rPr>
      </w:pPr>
      <w:r w:rsidRPr="007C1843">
        <w:rPr>
          <w:rFonts w:ascii="Arial" w:eastAsia="Calibri" w:hAnsi="Arial" w:cs="Arial"/>
          <w:sz w:val="22"/>
          <w:szCs w:val="22"/>
          <w:lang w:eastAsia="en-GB"/>
        </w:rPr>
        <w:t xml:space="preserve">The </w:t>
      </w:r>
      <w:r w:rsidRPr="007C1843">
        <w:rPr>
          <w:rFonts w:ascii="Arial" w:eastAsia="Calibri" w:hAnsi="Arial" w:cs="Arial"/>
          <w:sz w:val="22"/>
          <w:szCs w:val="22"/>
          <w:lang w:val="en-GB" w:eastAsia="en-GB"/>
        </w:rPr>
        <w:t xml:space="preserve">[UN] </w:t>
      </w:r>
      <w:r w:rsidRPr="007C1843">
        <w:rPr>
          <w:rFonts w:ascii="Arial" w:eastAsia="Calibri" w:hAnsi="Arial" w:cs="Arial"/>
          <w:sz w:val="22"/>
          <w:szCs w:val="22"/>
          <w:lang w:eastAsia="en-GB"/>
        </w:rPr>
        <w:t>Committee</w:t>
      </w:r>
      <w:r w:rsidRPr="007C1843">
        <w:rPr>
          <w:rFonts w:ascii="Arial" w:eastAsia="Calibri" w:hAnsi="Arial" w:cs="Arial"/>
          <w:sz w:val="22"/>
          <w:szCs w:val="22"/>
          <w:lang w:val="en-GB" w:eastAsia="en-GB"/>
        </w:rPr>
        <w:t xml:space="preserve"> [Against Torture]</w:t>
      </w:r>
      <w:r w:rsidRPr="007C1843">
        <w:rPr>
          <w:rFonts w:ascii="Arial" w:eastAsia="Calibri" w:hAnsi="Arial" w:cs="Arial"/>
          <w:sz w:val="22"/>
          <w:szCs w:val="22"/>
          <w:lang w:eastAsia="en-GB"/>
        </w:rPr>
        <w:t>...notes however, reports of apparent inconsistencies in the investigation processes where military officials are involved, which delayed or suspended investigations, thus curtailing the ability of competent bodies to provide prompt and impartial investigations of human rights violations and to conduct a thorough examination of the systemic nature or patterns of the violations and abuses that occurred in order to secure accountability and provide effective remedy. In addition, the Committee is concerned about the State party’s decision not to hold a public inquiry into the death of Patrick Finucane.</w:t>
      </w:r>
      <w:r w:rsidR="00EE3F89" w:rsidRPr="007C1843">
        <w:rPr>
          <w:rFonts w:ascii="Arial" w:eastAsia="Calibri" w:hAnsi="Arial" w:cs="Arial"/>
          <w:sz w:val="22"/>
          <w:szCs w:val="22"/>
          <w:lang w:val="en-GB" w:eastAsia="en-GB"/>
        </w:rPr>
        <w:t xml:space="preserve"> (</w:t>
      </w:r>
      <w:r w:rsidRPr="007C1843">
        <w:rPr>
          <w:rFonts w:ascii="Arial" w:eastAsia="Calibri" w:hAnsi="Arial" w:cs="Arial"/>
          <w:sz w:val="22"/>
          <w:szCs w:val="22"/>
        </w:rPr>
        <w:t xml:space="preserve">Committee </w:t>
      </w:r>
      <w:proofErr w:type="gramStart"/>
      <w:r w:rsidRPr="007C1843">
        <w:rPr>
          <w:rFonts w:ascii="Arial" w:eastAsia="Calibri" w:hAnsi="Arial" w:cs="Arial"/>
          <w:sz w:val="22"/>
          <w:szCs w:val="22"/>
        </w:rPr>
        <w:t>Against</w:t>
      </w:r>
      <w:proofErr w:type="gramEnd"/>
      <w:r w:rsidRPr="007C1843">
        <w:rPr>
          <w:rFonts w:ascii="Arial" w:eastAsia="Calibri" w:hAnsi="Arial" w:cs="Arial"/>
          <w:sz w:val="22"/>
          <w:szCs w:val="22"/>
        </w:rPr>
        <w:t xml:space="preserve"> Torture, Concluding Observations on UK, May 2013</w:t>
      </w:r>
      <w:r w:rsidR="00EE3F89" w:rsidRPr="007C1843">
        <w:rPr>
          <w:rFonts w:ascii="Arial" w:eastAsia="Calibri" w:hAnsi="Arial" w:cs="Arial"/>
          <w:sz w:val="22"/>
          <w:szCs w:val="22"/>
          <w:lang w:val="en-GB"/>
        </w:rPr>
        <w:t>)</w:t>
      </w:r>
    </w:p>
    <w:p w:rsidR="006610C1" w:rsidRDefault="006610C1" w:rsidP="006610C1">
      <w:pPr>
        <w:ind w:left="720"/>
        <w:rPr>
          <w:rFonts w:ascii="Arial" w:hAnsi="Arial" w:cs="Arial"/>
        </w:rPr>
      </w:pPr>
    </w:p>
    <w:p w:rsidR="009E4A9C" w:rsidRPr="00060D9D" w:rsidRDefault="00EE3F89" w:rsidP="009E4A9C">
      <w:pPr>
        <w:numPr>
          <w:ilvl w:val="0"/>
          <w:numId w:val="23"/>
        </w:numPr>
        <w:ind w:hanging="720"/>
        <w:rPr>
          <w:rFonts w:ascii="Arial" w:hAnsi="Arial" w:cs="Arial"/>
        </w:rPr>
      </w:pPr>
      <w:r w:rsidRPr="00060D9D">
        <w:rPr>
          <w:rFonts w:ascii="Arial" w:hAnsi="Arial" w:cs="Arial"/>
        </w:rPr>
        <w:t xml:space="preserve">In June 2014 the Committee of Ministers of the </w:t>
      </w:r>
      <w:r w:rsidR="009503D3" w:rsidRPr="00060D9D">
        <w:rPr>
          <w:rFonts w:ascii="Arial" w:hAnsi="Arial" w:cs="Arial"/>
        </w:rPr>
        <w:t xml:space="preserve">Council of Europe which oversees the implementation of </w:t>
      </w:r>
      <w:proofErr w:type="spellStart"/>
      <w:r w:rsidR="007C1843">
        <w:rPr>
          <w:rFonts w:ascii="Arial" w:hAnsi="Arial" w:cs="Arial"/>
        </w:rPr>
        <w:t>ECtHR</w:t>
      </w:r>
      <w:proofErr w:type="spellEnd"/>
      <w:r w:rsidR="007C1843">
        <w:rPr>
          <w:rFonts w:ascii="Arial" w:hAnsi="Arial" w:cs="Arial"/>
        </w:rPr>
        <w:t xml:space="preserve"> </w:t>
      </w:r>
      <w:r w:rsidR="009503D3" w:rsidRPr="00060D9D">
        <w:rPr>
          <w:rFonts w:ascii="Arial" w:hAnsi="Arial" w:cs="Arial"/>
        </w:rPr>
        <w:t>judgements issued a decision in relation to th</w:t>
      </w:r>
      <w:r w:rsidR="00B527F3">
        <w:rPr>
          <w:rFonts w:ascii="Arial" w:hAnsi="Arial" w:cs="Arial"/>
        </w:rPr>
        <w:t>e above</w:t>
      </w:r>
      <w:r w:rsidR="009503D3" w:rsidRPr="00060D9D">
        <w:rPr>
          <w:rFonts w:ascii="Arial" w:hAnsi="Arial" w:cs="Arial"/>
        </w:rPr>
        <w:t xml:space="preserve"> group of cases</w:t>
      </w:r>
      <w:r w:rsidR="007C1843">
        <w:rPr>
          <w:rFonts w:ascii="Arial" w:hAnsi="Arial" w:cs="Arial"/>
        </w:rPr>
        <w:t>, which, among other matters:</w:t>
      </w:r>
    </w:p>
    <w:p w:rsidR="009E4A9C" w:rsidRPr="00060D9D" w:rsidRDefault="009E4A9C" w:rsidP="007C1843">
      <w:pPr>
        <w:spacing w:before="100" w:beforeAutospacing="1" w:after="100" w:afterAutospacing="1"/>
        <w:ind w:left="720"/>
        <w:rPr>
          <w:rFonts w:ascii="Arial" w:hAnsi="Arial" w:cs="Arial"/>
          <w:sz w:val="22"/>
          <w:szCs w:val="22"/>
        </w:rPr>
      </w:pPr>
      <w:r w:rsidRPr="00060D9D">
        <w:rPr>
          <w:rFonts w:ascii="Arial" w:hAnsi="Arial" w:cs="Arial"/>
          <w:sz w:val="22"/>
          <w:szCs w:val="22"/>
        </w:rPr>
        <w:t xml:space="preserve">“welcomed in particular the proposal to create a single, investigative mechanism (the </w:t>
      </w:r>
      <w:r w:rsidRPr="00060D9D">
        <w:rPr>
          <w:rStyle w:val="Strong"/>
          <w:rFonts w:ascii="Arial" w:hAnsi="Arial" w:cs="Arial"/>
          <w:sz w:val="22"/>
          <w:szCs w:val="22"/>
        </w:rPr>
        <w:t>Historical Investigations Unit</w:t>
      </w:r>
      <w:r w:rsidRPr="00060D9D">
        <w:rPr>
          <w:rFonts w:ascii="Arial" w:hAnsi="Arial" w:cs="Arial"/>
          <w:sz w:val="22"/>
          <w:szCs w:val="22"/>
        </w:rPr>
        <w:t xml:space="preserve">)” [in the </w:t>
      </w:r>
      <w:r w:rsidRPr="00060D9D">
        <w:rPr>
          <w:rStyle w:val="Strong"/>
          <w:rFonts w:ascii="Arial" w:hAnsi="Arial" w:cs="Arial"/>
          <w:sz w:val="22"/>
          <w:szCs w:val="22"/>
        </w:rPr>
        <w:t>Haass</w:t>
      </w:r>
      <w:r w:rsidRPr="00060D9D">
        <w:rPr>
          <w:rFonts w:ascii="Arial" w:hAnsi="Arial" w:cs="Arial"/>
          <w:sz w:val="22"/>
          <w:szCs w:val="22"/>
        </w:rPr>
        <w:t xml:space="preserve"> Proposed Agreement] </w:t>
      </w:r>
      <w:r w:rsidR="007C1843">
        <w:rPr>
          <w:rFonts w:ascii="Arial" w:hAnsi="Arial" w:cs="Arial"/>
          <w:sz w:val="22"/>
          <w:szCs w:val="22"/>
        </w:rPr>
        <w:t>...</w:t>
      </w:r>
      <w:r w:rsidRPr="00060D9D">
        <w:rPr>
          <w:rFonts w:ascii="Arial" w:hAnsi="Arial" w:cs="Arial"/>
          <w:sz w:val="22"/>
          <w:szCs w:val="22"/>
        </w:rPr>
        <w:t xml:space="preserve">considered that the establishment of such a body would be a significant development with potential to bring meaningful and positive change to the investigation of legacy cases”; and </w:t>
      </w:r>
      <w:r w:rsidRPr="00060D9D">
        <w:rPr>
          <w:rStyle w:val="Strong"/>
          <w:rFonts w:ascii="Arial" w:hAnsi="Arial" w:cs="Arial"/>
          <w:sz w:val="22"/>
          <w:szCs w:val="22"/>
        </w:rPr>
        <w:t>strongly encouraged the authorities to use all necessary means to pursue it</w:t>
      </w:r>
      <w:r w:rsidRPr="00060D9D">
        <w:rPr>
          <w:rFonts w:ascii="Arial" w:hAnsi="Arial" w:cs="Arial"/>
          <w:sz w:val="22"/>
          <w:szCs w:val="22"/>
        </w:rPr>
        <w:t>;</w:t>
      </w:r>
      <w:r w:rsidR="007C1843">
        <w:rPr>
          <w:rFonts w:ascii="Arial" w:hAnsi="Arial" w:cs="Arial"/>
          <w:sz w:val="22"/>
          <w:szCs w:val="22"/>
        </w:rPr>
        <w:t>...</w:t>
      </w:r>
      <w:r w:rsidRPr="00060D9D">
        <w:rPr>
          <w:rFonts w:ascii="Arial" w:hAnsi="Arial" w:cs="Arial"/>
          <w:sz w:val="22"/>
          <w:szCs w:val="22"/>
        </w:rPr>
        <w:t xml:space="preserve">“underlined...the importance of the independent </w:t>
      </w:r>
      <w:r w:rsidRPr="00060D9D">
        <w:rPr>
          <w:rStyle w:val="Strong"/>
          <w:rFonts w:ascii="Arial" w:hAnsi="Arial" w:cs="Arial"/>
          <w:sz w:val="22"/>
          <w:szCs w:val="22"/>
        </w:rPr>
        <w:t>domestic review and reform of the Police Ombudsman</w:t>
      </w:r>
      <w:r w:rsidRPr="00060D9D">
        <w:rPr>
          <w:rFonts w:ascii="Arial" w:hAnsi="Arial" w:cs="Arial"/>
          <w:sz w:val="22"/>
          <w:szCs w:val="22"/>
        </w:rPr>
        <w:t>”</w:t>
      </w:r>
      <w:r w:rsidRPr="00060D9D">
        <w:rPr>
          <w:rStyle w:val="Strong"/>
          <w:rFonts w:ascii="Arial" w:hAnsi="Arial" w:cs="Arial"/>
          <w:sz w:val="22"/>
          <w:szCs w:val="22"/>
        </w:rPr>
        <w:t xml:space="preserve"> and urged this was completed to ensure investigations are as effective as possible</w:t>
      </w:r>
      <w:r w:rsidR="007C1843">
        <w:rPr>
          <w:rStyle w:val="Strong"/>
          <w:rFonts w:ascii="Arial" w:hAnsi="Arial" w:cs="Arial"/>
          <w:sz w:val="22"/>
          <w:szCs w:val="22"/>
        </w:rPr>
        <w:t>..</w:t>
      </w:r>
      <w:r w:rsidRPr="00060D9D">
        <w:rPr>
          <w:rStyle w:val="Strong"/>
          <w:rFonts w:ascii="Arial" w:hAnsi="Arial" w:cs="Arial"/>
          <w:sz w:val="22"/>
          <w:szCs w:val="22"/>
        </w:rPr>
        <w:t>.</w:t>
      </w:r>
      <w:r w:rsidRPr="00060D9D">
        <w:rPr>
          <w:rFonts w:ascii="Arial" w:hAnsi="Arial" w:cs="Arial"/>
          <w:sz w:val="22"/>
          <w:szCs w:val="22"/>
        </w:rPr>
        <w:t xml:space="preserve">“considered that </w:t>
      </w:r>
      <w:r w:rsidRPr="00060D9D">
        <w:rPr>
          <w:rStyle w:val="Strong"/>
          <w:rFonts w:ascii="Arial" w:hAnsi="Arial" w:cs="Arial"/>
          <w:sz w:val="22"/>
          <w:szCs w:val="22"/>
        </w:rPr>
        <w:t>further measures may be needed to address the causes of the excessive delay in inquest proceedings”</w:t>
      </w:r>
      <w:r w:rsidR="00060D9D" w:rsidRPr="00060D9D">
        <w:rPr>
          <w:rStyle w:val="FootnoteReference"/>
          <w:rFonts w:ascii="Arial" w:hAnsi="Arial" w:cs="Arial"/>
          <w:b/>
          <w:bCs/>
          <w:sz w:val="22"/>
          <w:szCs w:val="22"/>
        </w:rPr>
        <w:footnoteReference w:id="5"/>
      </w:r>
    </w:p>
    <w:p w:rsidR="00060D9D" w:rsidRDefault="00060D9D" w:rsidP="00060D9D">
      <w:pPr>
        <w:pStyle w:val="NormalWeb"/>
        <w:spacing w:before="0" w:beforeAutospacing="0" w:after="0" w:afterAutospacing="0"/>
        <w:rPr>
          <w:rFonts w:ascii="Arial" w:hAnsi="Arial" w:cs="Arial"/>
          <w:sz w:val="20"/>
          <w:szCs w:val="20"/>
        </w:rPr>
      </w:pPr>
    </w:p>
    <w:p w:rsidR="00923F14" w:rsidRPr="00236B99" w:rsidRDefault="00236B99" w:rsidP="00236B99">
      <w:pPr>
        <w:pStyle w:val="ListParagraph"/>
        <w:spacing w:beforeLines="0" w:afterLines="0"/>
        <w:rPr>
          <w:rFonts w:ascii="Arial" w:hAnsi="Arial" w:cs="Arial"/>
          <w:b/>
          <w:sz w:val="28"/>
        </w:rPr>
      </w:pPr>
      <w:r w:rsidRPr="00236B99">
        <w:rPr>
          <w:rFonts w:ascii="Arial" w:hAnsi="Arial" w:cs="Arial"/>
          <w:b/>
          <w:sz w:val="24"/>
        </w:rPr>
        <w:t>CAJ would urge the Committee to include dealing with the include the legacy of the Northern Ireland conflict in its list of issues for the UK</w:t>
      </w:r>
      <w:r>
        <w:rPr>
          <w:rFonts w:ascii="Arial" w:hAnsi="Arial" w:cs="Arial"/>
          <w:b/>
          <w:sz w:val="24"/>
        </w:rPr>
        <w:t xml:space="preserve">, and in particular ask which steps it will take to ensure its duties under Article 6 of the Covenant are met. </w:t>
      </w:r>
      <w:r w:rsidRPr="00236B99">
        <w:rPr>
          <w:rFonts w:ascii="Arial" w:hAnsi="Arial" w:cs="Arial"/>
          <w:b/>
          <w:sz w:val="24"/>
        </w:rPr>
        <w:t xml:space="preserve"> </w:t>
      </w:r>
    </w:p>
    <w:p w:rsidR="00A770CA" w:rsidRPr="00DF4671" w:rsidRDefault="00A770CA" w:rsidP="00DF4671">
      <w:pPr>
        <w:pStyle w:val="SingleTxtG"/>
        <w:spacing w:after="0" w:line="240" w:lineRule="auto"/>
        <w:ind w:left="0" w:right="0"/>
        <w:jc w:val="left"/>
        <w:rPr>
          <w:rFonts w:ascii="Arial" w:hAnsi="Arial" w:cs="Arial"/>
          <w:sz w:val="24"/>
          <w:szCs w:val="24"/>
        </w:rPr>
      </w:pPr>
    </w:p>
    <w:p w:rsidR="00A770CA" w:rsidRPr="00DF4671" w:rsidRDefault="00923F14" w:rsidP="008D39B3">
      <w:pPr>
        <w:pStyle w:val="SingleTxtG"/>
        <w:spacing w:after="0" w:line="240" w:lineRule="auto"/>
        <w:ind w:left="0" w:right="0"/>
        <w:jc w:val="right"/>
        <w:rPr>
          <w:rFonts w:ascii="Arial" w:hAnsi="Arial" w:cs="Arial"/>
        </w:rPr>
      </w:pPr>
      <w:r>
        <w:rPr>
          <w:rFonts w:ascii="Arial" w:hAnsi="Arial" w:cs="Arial"/>
          <w:b/>
          <w:sz w:val="24"/>
          <w:szCs w:val="24"/>
        </w:rPr>
        <w:t xml:space="preserve">July </w:t>
      </w:r>
      <w:r w:rsidR="008D39B3">
        <w:rPr>
          <w:rFonts w:ascii="Arial" w:hAnsi="Arial" w:cs="Arial"/>
          <w:b/>
          <w:sz w:val="24"/>
          <w:szCs w:val="24"/>
        </w:rPr>
        <w:t>201</w:t>
      </w:r>
      <w:r>
        <w:rPr>
          <w:rFonts w:ascii="Arial" w:hAnsi="Arial" w:cs="Arial"/>
          <w:b/>
          <w:sz w:val="24"/>
          <w:szCs w:val="24"/>
        </w:rPr>
        <w:t>4</w:t>
      </w:r>
    </w:p>
    <w:sectPr w:rsidR="00A770CA" w:rsidRPr="00DF4671" w:rsidSect="00A770CA">
      <w:footerReference w:type="even" r:id="rId8"/>
      <w:footerReference w:type="default" r:id="rId9"/>
      <w:pgSz w:w="11906" w:h="16838"/>
      <w:pgMar w:top="1440" w:right="1416"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DFD" w:rsidRDefault="00822DFD" w:rsidP="00A770CA">
      <w:r>
        <w:separator/>
      </w:r>
    </w:p>
  </w:endnote>
  <w:endnote w:type="continuationSeparator" w:id="0">
    <w:p w:rsidR="00822DFD" w:rsidRDefault="00822DFD" w:rsidP="00A770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DFD" w:rsidRDefault="00822DFD" w:rsidP="00A770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2DFD" w:rsidRDefault="00822DFD" w:rsidP="00A770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DFD" w:rsidRDefault="00822DFD" w:rsidP="00A770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27F3">
      <w:rPr>
        <w:rStyle w:val="PageNumber"/>
        <w:noProof/>
      </w:rPr>
      <w:t>4</w:t>
    </w:r>
    <w:r>
      <w:rPr>
        <w:rStyle w:val="PageNumber"/>
      </w:rPr>
      <w:fldChar w:fldCharType="end"/>
    </w:r>
  </w:p>
  <w:p w:rsidR="00822DFD" w:rsidRDefault="00822DFD" w:rsidP="00A770C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DFD" w:rsidRDefault="00822DFD" w:rsidP="00A770CA">
      <w:r>
        <w:separator/>
      </w:r>
    </w:p>
  </w:footnote>
  <w:footnote w:type="continuationSeparator" w:id="0">
    <w:p w:rsidR="00822DFD" w:rsidRDefault="00822DFD" w:rsidP="00A770CA">
      <w:r>
        <w:continuationSeparator/>
      </w:r>
    </w:p>
  </w:footnote>
  <w:footnote w:id="1">
    <w:p w:rsidR="00822DFD" w:rsidRPr="00A32CCA" w:rsidRDefault="00822DFD" w:rsidP="006610C1">
      <w:pPr>
        <w:autoSpaceDE w:val="0"/>
        <w:autoSpaceDN w:val="0"/>
        <w:adjustRightInd w:val="0"/>
        <w:rPr>
          <w:rFonts w:ascii="Arial" w:hAnsi="Arial" w:cs="Arial"/>
          <w:sz w:val="20"/>
          <w:szCs w:val="20"/>
          <w:lang w:val="en-GB"/>
        </w:rPr>
      </w:pPr>
      <w:r w:rsidRPr="00A32CCA">
        <w:rPr>
          <w:rStyle w:val="FootnoteReference"/>
          <w:rFonts w:ascii="Arial" w:hAnsi="Arial" w:cs="Arial"/>
          <w:sz w:val="20"/>
          <w:szCs w:val="20"/>
        </w:rPr>
        <w:footnoteRef/>
      </w:r>
      <w:r w:rsidRPr="00A32CCA">
        <w:rPr>
          <w:rFonts w:ascii="Arial" w:hAnsi="Arial" w:cs="Arial"/>
          <w:sz w:val="20"/>
          <w:szCs w:val="20"/>
        </w:rPr>
        <w:t xml:space="preserve"> </w:t>
      </w:r>
      <w:r w:rsidRPr="00A32CCA">
        <w:rPr>
          <w:rFonts w:ascii="Arial" w:hAnsi="Arial" w:cs="Arial"/>
          <w:sz w:val="20"/>
          <w:szCs w:val="20"/>
          <w:lang w:val="en-GB"/>
        </w:rPr>
        <w:t xml:space="preserve">CCPR/C/GBR/CO/6, 30 July 2008, paragraph 9. </w:t>
      </w:r>
    </w:p>
  </w:footnote>
  <w:footnote w:id="2">
    <w:p w:rsidR="00822DFD" w:rsidRPr="00A32CCA" w:rsidRDefault="00822DFD" w:rsidP="009E4A9C">
      <w:pPr>
        <w:pStyle w:val="FootnoteText"/>
        <w:tabs>
          <w:tab w:val="clear" w:pos="1021"/>
          <w:tab w:val="right" w:pos="142"/>
        </w:tabs>
        <w:ind w:left="142" w:hanging="142"/>
        <w:rPr>
          <w:rFonts w:ascii="Arial" w:hAnsi="Arial" w:cs="Arial"/>
          <w:sz w:val="20"/>
          <w:lang w:val="en-GB"/>
        </w:rPr>
      </w:pPr>
      <w:r w:rsidRPr="00A32CCA">
        <w:rPr>
          <w:rStyle w:val="FootnoteReference"/>
          <w:rFonts w:ascii="Arial" w:hAnsi="Arial" w:cs="Arial"/>
          <w:sz w:val="20"/>
        </w:rPr>
        <w:footnoteRef/>
      </w:r>
      <w:r w:rsidRPr="00A32CCA">
        <w:rPr>
          <w:rFonts w:ascii="Arial" w:hAnsi="Arial" w:cs="Arial"/>
          <w:sz w:val="20"/>
        </w:rPr>
        <w:t xml:space="preserve"> </w:t>
      </w:r>
      <w:hyperlink r:id="rId1" w:history="1">
        <w:r w:rsidRPr="00A32CCA">
          <w:rPr>
            <w:rStyle w:val="Hyperlink"/>
            <w:rFonts w:ascii="Arial" w:hAnsi="Arial" w:cs="Arial"/>
            <w:bCs/>
            <w:sz w:val="20"/>
          </w:rPr>
          <w:t xml:space="preserve">Proposed Agreement 31 December 2013 An Agreement among the Parties of the Northern Ireland </w:t>
        </w:r>
        <w:r w:rsidRPr="00A32CCA">
          <w:rPr>
            <w:rStyle w:val="Hyperlink"/>
            <w:rFonts w:ascii="Arial" w:hAnsi="Arial" w:cs="Arial"/>
            <w:bCs/>
            <w:sz w:val="20"/>
            <w:lang w:val="en-GB"/>
          </w:rPr>
          <w:t>E</w:t>
        </w:r>
        <w:r w:rsidRPr="00A32CCA">
          <w:rPr>
            <w:rStyle w:val="Hyperlink"/>
            <w:rFonts w:ascii="Arial" w:hAnsi="Arial" w:cs="Arial"/>
            <w:bCs/>
            <w:sz w:val="20"/>
          </w:rPr>
          <w:t>xecutive on Parades, Select Commemorations, and Related Protests; Flags And Emblems; and Contending With The Past.</w:t>
        </w:r>
      </w:hyperlink>
      <w:r w:rsidRPr="00A32CCA">
        <w:rPr>
          <w:rFonts w:ascii="Arial" w:hAnsi="Arial" w:cs="Arial"/>
          <w:bCs/>
          <w:sz w:val="20"/>
        </w:rPr>
        <w:t xml:space="preserve"> Published by the Office of the First and deputy First Minister.</w:t>
      </w:r>
    </w:p>
  </w:footnote>
  <w:footnote w:id="3">
    <w:p w:rsidR="00822DFD" w:rsidRPr="00A32CCA" w:rsidRDefault="00822DFD" w:rsidP="009E4A9C">
      <w:pPr>
        <w:pStyle w:val="FootnoteText"/>
        <w:rPr>
          <w:rFonts w:ascii="Arial" w:hAnsi="Arial" w:cs="Arial"/>
          <w:sz w:val="20"/>
        </w:rPr>
      </w:pPr>
      <w:r w:rsidRPr="00A32CCA">
        <w:rPr>
          <w:rStyle w:val="FootnoteReference"/>
          <w:rFonts w:ascii="Arial" w:hAnsi="Arial" w:cs="Arial"/>
          <w:sz w:val="20"/>
        </w:rPr>
        <w:footnoteRef/>
      </w:r>
      <w:r w:rsidRPr="00A32CCA">
        <w:rPr>
          <w:rFonts w:ascii="Arial" w:hAnsi="Arial" w:cs="Arial"/>
          <w:sz w:val="20"/>
        </w:rPr>
        <w:t xml:space="preserve"> </w:t>
      </w:r>
      <w:r w:rsidRPr="00A32CCA">
        <w:rPr>
          <w:rFonts w:ascii="Arial" w:hAnsi="Arial" w:cs="Arial"/>
          <w:bCs/>
          <w:i/>
          <w:iCs/>
          <w:sz w:val="20"/>
        </w:rPr>
        <w:t>McKerr v the United Kingdom</w:t>
      </w:r>
      <w:r w:rsidRPr="00A32CCA">
        <w:rPr>
          <w:rFonts w:ascii="Arial" w:hAnsi="Arial" w:cs="Arial"/>
          <w:bCs/>
          <w:iCs/>
          <w:sz w:val="20"/>
        </w:rPr>
        <w:t>, judgment of 4 May 2001, final on 4 August 2001.</w:t>
      </w:r>
    </w:p>
  </w:footnote>
  <w:footnote w:id="4">
    <w:p w:rsidR="00822DFD" w:rsidRPr="00A32CCA" w:rsidRDefault="00822DFD" w:rsidP="00A32CCA">
      <w:pPr>
        <w:pStyle w:val="FootnoteText"/>
        <w:tabs>
          <w:tab w:val="clear" w:pos="1021"/>
          <w:tab w:val="right" w:pos="0"/>
        </w:tabs>
        <w:ind w:left="0" w:firstLine="0"/>
        <w:rPr>
          <w:rFonts w:ascii="Arial" w:hAnsi="Arial" w:cs="Arial"/>
          <w:sz w:val="20"/>
          <w:lang w:val="en-GB"/>
        </w:rPr>
      </w:pPr>
      <w:r w:rsidRPr="00A32CCA">
        <w:rPr>
          <w:rStyle w:val="FootnoteReference"/>
          <w:rFonts w:ascii="Arial" w:hAnsi="Arial" w:cs="Arial"/>
          <w:sz w:val="20"/>
        </w:rPr>
        <w:footnoteRef/>
      </w:r>
      <w:r w:rsidRPr="00A32CCA">
        <w:rPr>
          <w:rFonts w:ascii="Arial" w:hAnsi="Arial" w:cs="Arial"/>
          <w:sz w:val="20"/>
        </w:rPr>
        <w:t xml:space="preserve"> in </w:t>
      </w:r>
      <w:r w:rsidRPr="00A32CCA">
        <w:rPr>
          <w:rFonts w:ascii="Arial" w:hAnsi="Arial" w:cs="Arial"/>
          <w:i/>
          <w:sz w:val="20"/>
        </w:rPr>
        <w:t>McCaughey &amp; Others v the UK</w:t>
      </w:r>
      <w:r w:rsidRPr="00A32CCA">
        <w:rPr>
          <w:rFonts w:ascii="Arial" w:hAnsi="Arial" w:cs="Arial"/>
          <w:sz w:val="20"/>
        </w:rPr>
        <w:t xml:space="preserve"> and </w:t>
      </w:r>
      <w:r w:rsidRPr="00A32CCA">
        <w:rPr>
          <w:rFonts w:ascii="Arial" w:hAnsi="Arial" w:cs="Arial"/>
          <w:i/>
          <w:sz w:val="20"/>
        </w:rPr>
        <w:t xml:space="preserve">Hemsworth v the UK, 16 July </w:t>
      </w:r>
      <w:r>
        <w:rPr>
          <w:rFonts w:ascii="Arial" w:hAnsi="Arial" w:cs="Arial"/>
          <w:i/>
          <w:sz w:val="20"/>
        </w:rPr>
        <w:t xml:space="preserve">2013 </w:t>
      </w:r>
    </w:p>
  </w:footnote>
  <w:footnote w:id="5">
    <w:p w:rsidR="00822DFD" w:rsidRPr="00A32CCA" w:rsidRDefault="00822DFD" w:rsidP="00060D9D">
      <w:pPr>
        <w:pStyle w:val="NormalWeb"/>
        <w:spacing w:before="0" w:beforeAutospacing="0" w:after="0" w:afterAutospacing="0"/>
        <w:rPr>
          <w:rFonts w:ascii="Arial" w:hAnsi="Arial" w:cs="Arial"/>
          <w:sz w:val="20"/>
          <w:szCs w:val="20"/>
        </w:rPr>
      </w:pPr>
      <w:r w:rsidRPr="00A32CCA">
        <w:rPr>
          <w:rStyle w:val="FootnoteReference"/>
          <w:rFonts w:ascii="Arial" w:hAnsi="Arial" w:cs="Arial"/>
          <w:sz w:val="20"/>
          <w:szCs w:val="20"/>
        </w:rPr>
        <w:footnoteRef/>
      </w:r>
      <w:r w:rsidRPr="00A32CCA">
        <w:rPr>
          <w:rFonts w:ascii="Arial" w:hAnsi="Arial" w:cs="Arial"/>
          <w:sz w:val="20"/>
          <w:szCs w:val="20"/>
        </w:rPr>
        <w:t xml:space="preserve"> </w:t>
      </w:r>
      <w:hyperlink r:id="rId2" w:history="1">
        <w:r w:rsidRPr="00A32CCA">
          <w:rPr>
            <w:rStyle w:val="Hyperlink"/>
            <w:rFonts w:ascii="Arial" w:hAnsi="Arial" w:cs="Arial"/>
            <w:sz w:val="20"/>
            <w:szCs w:val="20"/>
          </w:rPr>
          <w:t>1201DH meeting of the Ministers' Deputies / 03 June 2014 cases no 25</w:t>
        </w:r>
      </w:hyperlink>
    </w:p>
    <w:p w:rsidR="00822DFD" w:rsidRPr="00A32CCA" w:rsidRDefault="00822DFD">
      <w:pPr>
        <w:pStyle w:val="FootnoteText"/>
        <w:rPr>
          <w:rFonts w:ascii="Arial" w:hAnsi="Arial" w:cs="Arial"/>
          <w:sz w:val="20"/>
          <w:lang w:val="en-GB"/>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C0AA4"/>
    <w:multiLevelType w:val="multilevel"/>
    <w:tmpl w:val="A8901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D03255"/>
    <w:multiLevelType w:val="hybridMultilevel"/>
    <w:tmpl w:val="4CA27B8A"/>
    <w:lvl w:ilvl="0" w:tplc="08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8679CB"/>
    <w:multiLevelType w:val="hybridMultilevel"/>
    <w:tmpl w:val="61D6E0EC"/>
    <w:lvl w:ilvl="0" w:tplc="E80E19DE">
      <w:start w:val="1"/>
      <w:numFmt w:val="decimal"/>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11115A81"/>
    <w:multiLevelType w:val="hybridMultilevel"/>
    <w:tmpl w:val="EED2A242"/>
    <w:lvl w:ilvl="0" w:tplc="70A6208C">
      <w:start w:val="1"/>
      <w:numFmt w:val="decimal"/>
      <w:lvlText w:val="%1."/>
      <w:lvlJc w:val="left"/>
      <w:pPr>
        <w:ind w:left="720" w:hanging="360"/>
      </w:pPr>
      <w:rPr>
        <w:rFonts w:ascii="Arial" w:hAnsi="Arial" w:cs="Arial" w:hint="default"/>
        <w:b w:val="0"/>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3EA3788"/>
    <w:multiLevelType w:val="hybridMultilevel"/>
    <w:tmpl w:val="3A041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911B0A"/>
    <w:multiLevelType w:val="hybridMultilevel"/>
    <w:tmpl w:val="28A00272"/>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Arial"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Arial"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Arial" w:hint="default"/>
      </w:rPr>
    </w:lvl>
    <w:lvl w:ilvl="8" w:tplc="08090005" w:tentative="1">
      <w:start w:val="1"/>
      <w:numFmt w:val="bullet"/>
      <w:lvlText w:val=""/>
      <w:lvlJc w:val="left"/>
      <w:pPr>
        <w:ind w:left="8280" w:hanging="360"/>
      </w:pPr>
      <w:rPr>
        <w:rFonts w:ascii="Wingdings" w:hAnsi="Wingdings" w:hint="default"/>
      </w:rPr>
    </w:lvl>
  </w:abstractNum>
  <w:abstractNum w:abstractNumId="6">
    <w:nsid w:val="183272D5"/>
    <w:multiLevelType w:val="hybridMultilevel"/>
    <w:tmpl w:val="599C0712"/>
    <w:lvl w:ilvl="0" w:tplc="E80E19DE">
      <w:start w:val="1"/>
      <w:numFmt w:val="decimal"/>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A962575"/>
    <w:multiLevelType w:val="hybridMultilevel"/>
    <w:tmpl w:val="38FEB29E"/>
    <w:lvl w:ilvl="0" w:tplc="0394A94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C9490C"/>
    <w:multiLevelType w:val="hybridMultilevel"/>
    <w:tmpl w:val="3A10CA12"/>
    <w:lvl w:ilvl="0" w:tplc="0394A9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E3811E8"/>
    <w:multiLevelType w:val="multilevel"/>
    <w:tmpl w:val="2546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057C68"/>
    <w:multiLevelType w:val="hybridMultilevel"/>
    <w:tmpl w:val="09F8CDF6"/>
    <w:lvl w:ilvl="0" w:tplc="E80E19D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C6F6708"/>
    <w:multiLevelType w:val="hybridMultilevel"/>
    <w:tmpl w:val="F36E6D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31AB3553"/>
    <w:multiLevelType w:val="hybridMultilevel"/>
    <w:tmpl w:val="BCDA7B04"/>
    <w:lvl w:ilvl="0" w:tplc="E80E19D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2EE1FA2"/>
    <w:multiLevelType w:val="hybridMultilevel"/>
    <w:tmpl w:val="9B741668"/>
    <w:lvl w:ilvl="0" w:tplc="0394A9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5529C7"/>
    <w:multiLevelType w:val="hybridMultilevel"/>
    <w:tmpl w:val="DC3804B4"/>
    <w:lvl w:ilvl="0" w:tplc="0394A9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175EE7"/>
    <w:multiLevelType w:val="hybridMultilevel"/>
    <w:tmpl w:val="0ECAAE2C"/>
    <w:lvl w:ilvl="0" w:tplc="F028D8DC">
      <w:start w:val="9"/>
      <w:numFmt w:val="decimal"/>
      <w:lvlText w:val="%1."/>
      <w:lvlJc w:val="left"/>
      <w:pPr>
        <w:ind w:left="1080" w:hanging="360"/>
      </w:pPr>
      <w:rPr>
        <w:rFonts w:ascii="Arial" w:hAnsi="Arial" w:cs="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9FB0284"/>
    <w:multiLevelType w:val="hybridMultilevel"/>
    <w:tmpl w:val="5E4AC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A563903"/>
    <w:multiLevelType w:val="hybridMultilevel"/>
    <w:tmpl w:val="BE4026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B4F73FB"/>
    <w:multiLevelType w:val="hybridMultilevel"/>
    <w:tmpl w:val="812AA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BD04F7D"/>
    <w:multiLevelType w:val="hybridMultilevel"/>
    <w:tmpl w:val="F3C68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44A0AA8"/>
    <w:multiLevelType w:val="hybridMultilevel"/>
    <w:tmpl w:val="E69C83F8"/>
    <w:lvl w:ilvl="0" w:tplc="0394A9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A25918"/>
    <w:multiLevelType w:val="hybridMultilevel"/>
    <w:tmpl w:val="4BDE05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0B455B2"/>
    <w:multiLevelType w:val="hybridMultilevel"/>
    <w:tmpl w:val="F342C240"/>
    <w:lvl w:ilvl="0" w:tplc="0394A9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503DB9"/>
    <w:multiLevelType w:val="hybridMultilevel"/>
    <w:tmpl w:val="C172B4D6"/>
    <w:lvl w:ilvl="0" w:tplc="F05444B2">
      <w:start w:val="7"/>
      <w:numFmt w:val="bullet"/>
      <w:lvlText w:val="-"/>
      <w:lvlJc w:val="left"/>
      <w:pPr>
        <w:ind w:left="780" w:hanging="420"/>
      </w:pPr>
      <w:rPr>
        <w:rFonts w:ascii="Calibri" w:eastAsia="Cambria"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9F06A3"/>
    <w:multiLevelType w:val="hybridMultilevel"/>
    <w:tmpl w:val="B896DA50"/>
    <w:lvl w:ilvl="0" w:tplc="E80E19D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1E44D60"/>
    <w:multiLevelType w:val="hybridMultilevel"/>
    <w:tmpl w:val="79D44DC6"/>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5553126C"/>
    <w:multiLevelType w:val="hybridMultilevel"/>
    <w:tmpl w:val="ED9C3002"/>
    <w:lvl w:ilvl="0" w:tplc="E80E19D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64E3643"/>
    <w:multiLevelType w:val="hybridMultilevel"/>
    <w:tmpl w:val="B330D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nsid w:val="56955D18"/>
    <w:multiLevelType w:val="hybridMultilevel"/>
    <w:tmpl w:val="74DCAAA2"/>
    <w:lvl w:ilvl="0" w:tplc="0394A9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010ABE"/>
    <w:multiLevelType w:val="hybridMultilevel"/>
    <w:tmpl w:val="B868E37E"/>
    <w:lvl w:ilvl="0" w:tplc="E80E19DE">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48455F"/>
    <w:multiLevelType w:val="hybridMultilevel"/>
    <w:tmpl w:val="10D2A392"/>
    <w:lvl w:ilvl="0" w:tplc="0394A948">
      <w:start w:val="1"/>
      <w:numFmt w:val="bullet"/>
      <w:lvlText w:val=""/>
      <w:lvlJc w:val="left"/>
      <w:pPr>
        <w:ind w:left="4470" w:hanging="360"/>
      </w:pPr>
      <w:rPr>
        <w:rFonts w:ascii="Symbol" w:hAnsi="Symbol" w:hint="default"/>
      </w:rPr>
    </w:lvl>
    <w:lvl w:ilvl="1" w:tplc="04090003" w:tentative="1">
      <w:start w:val="1"/>
      <w:numFmt w:val="bullet"/>
      <w:lvlText w:val="o"/>
      <w:lvlJc w:val="left"/>
      <w:pPr>
        <w:ind w:left="5190" w:hanging="360"/>
      </w:pPr>
      <w:rPr>
        <w:rFonts w:ascii="Courier New" w:hAnsi="Courier New" w:hint="default"/>
      </w:rPr>
    </w:lvl>
    <w:lvl w:ilvl="2" w:tplc="04090005" w:tentative="1">
      <w:start w:val="1"/>
      <w:numFmt w:val="bullet"/>
      <w:lvlText w:val=""/>
      <w:lvlJc w:val="left"/>
      <w:pPr>
        <w:ind w:left="5910" w:hanging="360"/>
      </w:pPr>
      <w:rPr>
        <w:rFonts w:ascii="Wingdings" w:hAnsi="Wingdings" w:hint="default"/>
      </w:rPr>
    </w:lvl>
    <w:lvl w:ilvl="3" w:tplc="04090001" w:tentative="1">
      <w:start w:val="1"/>
      <w:numFmt w:val="bullet"/>
      <w:lvlText w:val=""/>
      <w:lvlJc w:val="left"/>
      <w:pPr>
        <w:ind w:left="6630" w:hanging="360"/>
      </w:pPr>
      <w:rPr>
        <w:rFonts w:ascii="Symbol" w:hAnsi="Symbol" w:hint="default"/>
      </w:rPr>
    </w:lvl>
    <w:lvl w:ilvl="4" w:tplc="04090003" w:tentative="1">
      <w:start w:val="1"/>
      <w:numFmt w:val="bullet"/>
      <w:lvlText w:val="o"/>
      <w:lvlJc w:val="left"/>
      <w:pPr>
        <w:ind w:left="7350" w:hanging="360"/>
      </w:pPr>
      <w:rPr>
        <w:rFonts w:ascii="Courier New" w:hAnsi="Courier New" w:hint="default"/>
      </w:rPr>
    </w:lvl>
    <w:lvl w:ilvl="5" w:tplc="04090005" w:tentative="1">
      <w:start w:val="1"/>
      <w:numFmt w:val="bullet"/>
      <w:lvlText w:val=""/>
      <w:lvlJc w:val="left"/>
      <w:pPr>
        <w:ind w:left="8070" w:hanging="360"/>
      </w:pPr>
      <w:rPr>
        <w:rFonts w:ascii="Wingdings" w:hAnsi="Wingdings" w:hint="default"/>
      </w:rPr>
    </w:lvl>
    <w:lvl w:ilvl="6" w:tplc="04090001" w:tentative="1">
      <w:start w:val="1"/>
      <w:numFmt w:val="bullet"/>
      <w:lvlText w:val=""/>
      <w:lvlJc w:val="left"/>
      <w:pPr>
        <w:ind w:left="8790" w:hanging="360"/>
      </w:pPr>
      <w:rPr>
        <w:rFonts w:ascii="Symbol" w:hAnsi="Symbol" w:hint="default"/>
      </w:rPr>
    </w:lvl>
    <w:lvl w:ilvl="7" w:tplc="04090003" w:tentative="1">
      <w:start w:val="1"/>
      <w:numFmt w:val="bullet"/>
      <w:lvlText w:val="o"/>
      <w:lvlJc w:val="left"/>
      <w:pPr>
        <w:ind w:left="9510" w:hanging="360"/>
      </w:pPr>
      <w:rPr>
        <w:rFonts w:ascii="Courier New" w:hAnsi="Courier New" w:hint="default"/>
      </w:rPr>
    </w:lvl>
    <w:lvl w:ilvl="8" w:tplc="04090005" w:tentative="1">
      <w:start w:val="1"/>
      <w:numFmt w:val="bullet"/>
      <w:lvlText w:val=""/>
      <w:lvlJc w:val="left"/>
      <w:pPr>
        <w:ind w:left="10230" w:hanging="360"/>
      </w:pPr>
      <w:rPr>
        <w:rFonts w:ascii="Wingdings" w:hAnsi="Wingdings" w:hint="default"/>
      </w:rPr>
    </w:lvl>
  </w:abstractNum>
  <w:abstractNum w:abstractNumId="31">
    <w:nsid w:val="5FC12C81"/>
    <w:multiLevelType w:val="hybridMultilevel"/>
    <w:tmpl w:val="F4505D32"/>
    <w:lvl w:ilvl="0" w:tplc="E80E19D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51F2757"/>
    <w:multiLevelType w:val="hybridMultilevel"/>
    <w:tmpl w:val="CAA01098"/>
    <w:lvl w:ilvl="0" w:tplc="E80E19D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9041586"/>
    <w:multiLevelType w:val="hybridMultilevel"/>
    <w:tmpl w:val="F85EC35A"/>
    <w:lvl w:ilvl="0" w:tplc="E80E19D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0E55F28"/>
    <w:multiLevelType w:val="hybridMultilevel"/>
    <w:tmpl w:val="978417AA"/>
    <w:lvl w:ilvl="0" w:tplc="E80E19D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1162F4D"/>
    <w:multiLevelType w:val="hybridMultilevel"/>
    <w:tmpl w:val="BF4C5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29473FC"/>
    <w:multiLevelType w:val="hybridMultilevel"/>
    <w:tmpl w:val="6C709060"/>
    <w:lvl w:ilvl="0" w:tplc="B322A842">
      <w:numFmt w:val="bullet"/>
      <w:lvlText w:val="-"/>
      <w:lvlJc w:val="left"/>
      <w:pPr>
        <w:ind w:left="720" w:hanging="360"/>
      </w:pPr>
      <w:rPr>
        <w:rFonts w:ascii="Calibri" w:eastAsia="Calibri" w:hAnsi="Calibri"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7">
    <w:nsid w:val="79836183"/>
    <w:multiLevelType w:val="hybridMultilevel"/>
    <w:tmpl w:val="5582EECE"/>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C907195"/>
    <w:multiLevelType w:val="hybridMultilevel"/>
    <w:tmpl w:val="3A041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ED21C12"/>
    <w:multiLevelType w:val="hybridMultilevel"/>
    <w:tmpl w:val="4AC244A4"/>
    <w:lvl w:ilvl="0" w:tplc="0394A9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8"/>
  </w:num>
  <w:num w:numId="4">
    <w:abstractNumId w:val="20"/>
  </w:num>
  <w:num w:numId="5">
    <w:abstractNumId w:val="25"/>
  </w:num>
  <w:num w:numId="6">
    <w:abstractNumId w:val="8"/>
  </w:num>
  <w:num w:numId="7">
    <w:abstractNumId w:val="30"/>
  </w:num>
  <w:num w:numId="8">
    <w:abstractNumId w:val="23"/>
  </w:num>
  <w:num w:numId="9">
    <w:abstractNumId w:val="27"/>
  </w:num>
  <w:num w:numId="10">
    <w:abstractNumId w:val="17"/>
  </w:num>
  <w:num w:numId="11">
    <w:abstractNumId w:val="1"/>
  </w:num>
  <w:num w:numId="12">
    <w:abstractNumId w:val="37"/>
  </w:num>
  <w:num w:numId="1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35"/>
  </w:num>
  <w:num w:numId="16">
    <w:abstractNumId w:val="5"/>
  </w:num>
  <w:num w:numId="17">
    <w:abstractNumId w:val="15"/>
  </w:num>
  <w:num w:numId="18">
    <w:abstractNumId w:val="13"/>
  </w:num>
  <w:num w:numId="19">
    <w:abstractNumId w:val="39"/>
  </w:num>
  <w:num w:numId="20">
    <w:abstractNumId w:val="28"/>
  </w:num>
  <w:num w:numId="21">
    <w:abstractNumId w:val="22"/>
  </w:num>
  <w:num w:numId="22">
    <w:abstractNumId w:val="14"/>
  </w:num>
  <w:num w:numId="23">
    <w:abstractNumId w:val="3"/>
  </w:num>
  <w:num w:numId="24">
    <w:abstractNumId w:val="21"/>
  </w:num>
  <w:num w:numId="25">
    <w:abstractNumId w:val="18"/>
  </w:num>
  <w:num w:numId="26">
    <w:abstractNumId w:val="10"/>
  </w:num>
  <w:num w:numId="27">
    <w:abstractNumId w:val="34"/>
  </w:num>
  <w:num w:numId="28">
    <w:abstractNumId w:val="31"/>
  </w:num>
  <w:num w:numId="29">
    <w:abstractNumId w:val="16"/>
  </w:num>
  <w:num w:numId="30">
    <w:abstractNumId w:val="32"/>
  </w:num>
  <w:num w:numId="31">
    <w:abstractNumId w:val="6"/>
  </w:num>
  <w:num w:numId="32">
    <w:abstractNumId w:val="33"/>
  </w:num>
  <w:num w:numId="33">
    <w:abstractNumId w:val="2"/>
  </w:num>
  <w:num w:numId="34">
    <w:abstractNumId w:val="26"/>
  </w:num>
  <w:num w:numId="35">
    <w:abstractNumId w:val="12"/>
  </w:num>
  <w:num w:numId="36">
    <w:abstractNumId w:val="24"/>
  </w:num>
  <w:num w:numId="37">
    <w:abstractNumId w:val="29"/>
  </w:num>
  <w:num w:numId="38">
    <w:abstractNumId w:val="19"/>
  </w:num>
  <w:num w:numId="39">
    <w:abstractNumId w:val="0"/>
  </w:num>
  <w:num w:numId="40">
    <w:abstractNumId w:val="9"/>
  </w:num>
  <w:num w:numId="4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stylePaneFormatFilter w:val="3F01"/>
  <w:defaultTabStop w:val="720"/>
  <w:characterSpacingControl w:val="doNotCompress"/>
  <w:footnotePr>
    <w:footnote w:id="-1"/>
    <w:footnote w:id="0"/>
  </w:footnotePr>
  <w:endnotePr>
    <w:endnote w:id="-1"/>
    <w:endnote w:id="0"/>
  </w:endnotePr>
  <w:compat/>
  <w:rsids>
    <w:rsidRoot w:val="00B85388"/>
    <w:rsid w:val="00000F42"/>
    <w:rsid w:val="00034B41"/>
    <w:rsid w:val="00060D9D"/>
    <w:rsid w:val="00093231"/>
    <w:rsid w:val="000B51D3"/>
    <w:rsid w:val="00173434"/>
    <w:rsid w:val="001D455D"/>
    <w:rsid w:val="001D4595"/>
    <w:rsid w:val="00236B99"/>
    <w:rsid w:val="002C053E"/>
    <w:rsid w:val="002C4D26"/>
    <w:rsid w:val="00334846"/>
    <w:rsid w:val="003360D1"/>
    <w:rsid w:val="00376017"/>
    <w:rsid w:val="0039016A"/>
    <w:rsid w:val="00394C28"/>
    <w:rsid w:val="003A4B53"/>
    <w:rsid w:val="003C7948"/>
    <w:rsid w:val="003E2DE3"/>
    <w:rsid w:val="004011E2"/>
    <w:rsid w:val="00465EE6"/>
    <w:rsid w:val="0047627A"/>
    <w:rsid w:val="0049750F"/>
    <w:rsid w:val="004F5E7B"/>
    <w:rsid w:val="00512056"/>
    <w:rsid w:val="00515607"/>
    <w:rsid w:val="005D64D2"/>
    <w:rsid w:val="00622DC1"/>
    <w:rsid w:val="00642029"/>
    <w:rsid w:val="006610C1"/>
    <w:rsid w:val="006810A5"/>
    <w:rsid w:val="0069417C"/>
    <w:rsid w:val="006D1FCA"/>
    <w:rsid w:val="006E4B31"/>
    <w:rsid w:val="007A1B53"/>
    <w:rsid w:val="007C1843"/>
    <w:rsid w:val="00817375"/>
    <w:rsid w:val="00822DFD"/>
    <w:rsid w:val="008443BC"/>
    <w:rsid w:val="0087486E"/>
    <w:rsid w:val="0087710C"/>
    <w:rsid w:val="00894F47"/>
    <w:rsid w:val="008D39B3"/>
    <w:rsid w:val="00923F14"/>
    <w:rsid w:val="009503D3"/>
    <w:rsid w:val="00977892"/>
    <w:rsid w:val="009B0443"/>
    <w:rsid w:val="009E4A9C"/>
    <w:rsid w:val="00A32CCA"/>
    <w:rsid w:val="00A369A1"/>
    <w:rsid w:val="00A41F05"/>
    <w:rsid w:val="00A770CA"/>
    <w:rsid w:val="00A84AC6"/>
    <w:rsid w:val="00AD09DB"/>
    <w:rsid w:val="00AF0370"/>
    <w:rsid w:val="00B40D7B"/>
    <w:rsid w:val="00B527F3"/>
    <w:rsid w:val="00B64345"/>
    <w:rsid w:val="00B85388"/>
    <w:rsid w:val="00BF5293"/>
    <w:rsid w:val="00C244F1"/>
    <w:rsid w:val="00C80F2B"/>
    <w:rsid w:val="00CE0912"/>
    <w:rsid w:val="00CE7F6D"/>
    <w:rsid w:val="00CF0A4B"/>
    <w:rsid w:val="00D924E1"/>
    <w:rsid w:val="00D93009"/>
    <w:rsid w:val="00D96A73"/>
    <w:rsid w:val="00D97CB6"/>
    <w:rsid w:val="00DC5DBA"/>
    <w:rsid w:val="00DF4671"/>
    <w:rsid w:val="00E4070A"/>
    <w:rsid w:val="00E4605B"/>
    <w:rsid w:val="00EE3F89"/>
    <w:rsid w:val="00F3263C"/>
    <w:rsid w:val="00F9293B"/>
    <w:rsid w:val="00FB06CB"/>
    <w:rsid w:val="00FB7D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0370"/>
    <w:rPr>
      <w:sz w:val="24"/>
      <w:szCs w:val="24"/>
      <w:lang w:val="en-IE"/>
    </w:rPr>
  </w:style>
  <w:style w:type="paragraph" w:styleId="Heading1">
    <w:name w:val="heading 1"/>
    <w:basedOn w:val="Normal"/>
    <w:link w:val="Heading1Char"/>
    <w:uiPriority w:val="9"/>
    <w:qFormat/>
    <w:rsid w:val="009E4A9C"/>
    <w:pPr>
      <w:spacing w:before="100" w:beforeAutospacing="1" w:after="100" w:afterAutospacing="1"/>
      <w:outlineLvl w:val="0"/>
    </w:pPr>
    <w:rPr>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DA1F05"/>
    <w:pPr>
      <w:suppressAutoHyphens/>
      <w:spacing w:after="120" w:line="240" w:lineRule="atLeast"/>
      <w:ind w:left="1134" w:right="1134"/>
      <w:jc w:val="both"/>
    </w:pPr>
    <w:rPr>
      <w:sz w:val="20"/>
      <w:szCs w:val="20"/>
      <w:lang w:eastAsia="en-US"/>
    </w:rPr>
  </w:style>
  <w:style w:type="paragraph" w:customStyle="1" w:styleId="HChG">
    <w:name w:val="_ H _Ch_G"/>
    <w:basedOn w:val="Normal"/>
    <w:next w:val="Normal"/>
    <w:rsid w:val="00DA1F05"/>
    <w:pPr>
      <w:keepNext/>
      <w:keepLines/>
      <w:tabs>
        <w:tab w:val="right" w:pos="851"/>
      </w:tabs>
      <w:suppressAutoHyphens/>
      <w:spacing w:before="360" w:after="240" w:line="300" w:lineRule="exact"/>
      <w:ind w:left="1134" w:right="1134" w:hanging="1134"/>
    </w:pPr>
    <w:rPr>
      <w:b/>
      <w:sz w:val="28"/>
      <w:szCs w:val="20"/>
      <w:lang w:val="en-GB" w:eastAsia="en-US"/>
    </w:rPr>
  </w:style>
  <w:style w:type="character" w:styleId="Hyperlink">
    <w:name w:val="Hyperlink"/>
    <w:uiPriority w:val="99"/>
    <w:rsid w:val="00DA1F05"/>
    <w:rPr>
      <w:color w:val="auto"/>
      <w:u w:val="none"/>
    </w:rPr>
  </w:style>
  <w:style w:type="paragraph" w:styleId="FootnoteText">
    <w:name w:val="footnote text"/>
    <w:aliases w:val="5_G, Char,Char,FA Fu,Thesis Footnote Text,Footnote Text Char Char,Footnote Text Char1 Char Char,Footnote Text Char Char Char Char,Footnote Text Char Char1,Footnote Text Char Char1 Char Char"/>
    <w:basedOn w:val="Normal"/>
    <w:link w:val="FootnoteTextChar1"/>
    <w:rsid w:val="00DA1F05"/>
    <w:pPr>
      <w:tabs>
        <w:tab w:val="right" w:pos="1021"/>
      </w:tabs>
      <w:suppressAutoHyphens/>
      <w:spacing w:line="220" w:lineRule="exact"/>
      <w:ind w:left="1134" w:right="1134" w:hanging="1134"/>
    </w:pPr>
    <w:rPr>
      <w:sz w:val="18"/>
      <w:szCs w:val="20"/>
      <w:lang w:eastAsia="en-US"/>
    </w:rPr>
  </w:style>
  <w:style w:type="character" w:customStyle="1" w:styleId="FootnoteTextChar">
    <w:name w:val="Footnote Text Char"/>
    <w:aliases w:val=" Char Char,Char Char,5_G Char2,FA Fu Char,Thesis Footnote Text Char,Footnote Text Char Char Char,Footnote Text Char1 Char Char Char,Footnote Text Char Char Char Char Char,Footnote Text Char Char1 Char"/>
    <w:basedOn w:val="DefaultParagraphFont"/>
    <w:link w:val="FootnoteText"/>
    <w:rsid w:val="00DA1F05"/>
    <w:rPr>
      <w:lang w:val="en-IE"/>
    </w:rPr>
  </w:style>
  <w:style w:type="character" w:styleId="FootnoteReference">
    <w:name w:val="footnote reference"/>
    <w:aliases w:val="4_G,Footnotes refss"/>
    <w:rsid w:val="00DA1F05"/>
    <w:rPr>
      <w:rFonts w:ascii="Times New Roman" w:hAnsi="Times New Roman"/>
      <w:sz w:val="18"/>
      <w:vertAlign w:val="superscript"/>
    </w:rPr>
  </w:style>
  <w:style w:type="paragraph" w:customStyle="1" w:styleId="H1G">
    <w:name w:val="_ H_1_G"/>
    <w:basedOn w:val="Normal"/>
    <w:next w:val="Normal"/>
    <w:rsid w:val="00DA1F05"/>
    <w:pPr>
      <w:keepNext/>
      <w:keepLines/>
      <w:tabs>
        <w:tab w:val="right" w:pos="851"/>
      </w:tabs>
      <w:suppressAutoHyphens/>
      <w:spacing w:before="360" w:after="240" w:line="270" w:lineRule="exact"/>
      <w:ind w:left="1134" w:right="1134" w:hanging="1134"/>
    </w:pPr>
    <w:rPr>
      <w:b/>
      <w:szCs w:val="20"/>
      <w:lang w:val="en-GB" w:eastAsia="en-US"/>
    </w:rPr>
  </w:style>
  <w:style w:type="paragraph" w:customStyle="1" w:styleId="H23G">
    <w:name w:val="_ H_2/3_G"/>
    <w:basedOn w:val="Normal"/>
    <w:next w:val="Normal"/>
    <w:link w:val="H23GChar"/>
    <w:rsid w:val="00DA1F05"/>
    <w:pPr>
      <w:keepNext/>
      <w:keepLines/>
      <w:tabs>
        <w:tab w:val="right" w:pos="851"/>
      </w:tabs>
      <w:suppressAutoHyphens/>
      <w:spacing w:before="240" w:after="120" w:line="240" w:lineRule="exact"/>
      <w:ind w:left="1134" w:right="1134" w:hanging="1134"/>
    </w:pPr>
    <w:rPr>
      <w:b/>
      <w:sz w:val="20"/>
      <w:szCs w:val="20"/>
    </w:rPr>
  </w:style>
  <w:style w:type="character" w:customStyle="1" w:styleId="SingleTxtGChar">
    <w:name w:val="_ Single Txt_G Char"/>
    <w:link w:val="SingleTxtG"/>
    <w:rsid w:val="00DA1F05"/>
    <w:rPr>
      <w:lang w:eastAsia="en-US"/>
    </w:rPr>
  </w:style>
  <w:style w:type="character" w:customStyle="1" w:styleId="FootnoteTextChar1">
    <w:name w:val="Footnote Text Char1"/>
    <w:aliases w:val="5_G Char, Char Char1,Char Char1,FA Fu Char1,Thesis Footnote Text Char1,Footnote Text Char Char Char1,Footnote Text Char1 Char Char Char1,Footnote Text Char Char Char Char Char1,Footnote Text Char Char1 Char1"/>
    <w:link w:val="FootnoteText"/>
    <w:locked/>
    <w:rsid w:val="00DA1F05"/>
    <w:rPr>
      <w:sz w:val="18"/>
      <w:lang w:eastAsia="en-US"/>
    </w:rPr>
  </w:style>
  <w:style w:type="paragraph" w:customStyle="1" w:styleId="ColorfulList-Accent11">
    <w:name w:val="Colorful List - Accent 11"/>
    <w:basedOn w:val="Normal"/>
    <w:uiPriority w:val="34"/>
    <w:qFormat/>
    <w:rsid w:val="00E764E0"/>
    <w:pPr>
      <w:ind w:left="720"/>
      <w:contextualSpacing/>
    </w:pPr>
    <w:rPr>
      <w:rFonts w:ascii="Cambria" w:eastAsia="Cambria" w:hAnsi="Cambria"/>
      <w:lang w:val="en-GB" w:eastAsia="en-US"/>
    </w:rPr>
  </w:style>
  <w:style w:type="paragraph" w:styleId="BodyText3">
    <w:name w:val="Body Text 3"/>
    <w:basedOn w:val="Normal"/>
    <w:link w:val="BodyText3Char"/>
    <w:rsid w:val="0006686A"/>
    <w:pPr>
      <w:jc w:val="both"/>
    </w:pPr>
    <w:rPr>
      <w:szCs w:val="20"/>
      <w:lang w:val="en-GB" w:eastAsia="en-US"/>
    </w:rPr>
  </w:style>
  <w:style w:type="character" w:customStyle="1" w:styleId="BodyText3Char">
    <w:name w:val="Body Text 3 Char"/>
    <w:basedOn w:val="DefaultParagraphFont"/>
    <w:link w:val="BodyText3"/>
    <w:rsid w:val="0006686A"/>
    <w:rPr>
      <w:sz w:val="24"/>
    </w:rPr>
  </w:style>
  <w:style w:type="character" w:styleId="CommentReference">
    <w:name w:val="annotation reference"/>
    <w:basedOn w:val="DefaultParagraphFont"/>
    <w:rsid w:val="00A56077"/>
    <w:rPr>
      <w:sz w:val="16"/>
      <w:szCs w:val="16"/>
    </w:rPr>
  </w:style>
  <w:style w:type="paragraph" w:styleId="CommentText">
    <w:name w:val="annotation text"/>
    <w:basedOn w:val="Normal"/>
    <w:link w:val="CommentTextChar"/>
    <w:rsid w:val="00A56077"/>
    <w:rPr>
      <w:sz w:val="20"/>
      <w:szCs w:val="20"/>
    </w:rPr>
  </w:style>
  <w:style w:type="character" w:customStyle="1" w:styleId="CommentTextChar">
    <w:name w:val="Comment Text Char"/>
    <w:basedOn w:val="DefaultParagraphFont"/>
    <w:link w:val="CommentText"/>
    <w:rsid w:val="00A56077"/>
    <w:rPr>
      <w:lang w:val="en-IE"/>
    </w:rPr>
  </w:style>
  <w:style w:type="paragraph" w:styleId="CommentSubject">
    <w:name w:val="annotation subject"/>
    <w:basedOn w:val="CommentText"/>
    <w:next w:val="CommentText"/>
    <w:link w:val="CommentSubjectChar"/>
    <w:rsid w:val="00A56077"/>
    <w:rPr>
      <w:b/>
      <w:bCs/>
    </w:rPr>
  </w:style>
  <w:style w:type="character" w:customStyle="1" w:styleId="CommentSubjectChar">
    <w:name w:val="Comment Subject Char"/>
    <w:basedOn w:val="CommentTextChar"/>
    <w:link w:val="CommentSubject"/>
    <w:rsid w:val="00A56077"/>
    <w:rPr>
      <w:b/>
      <w:bCs/>
    </w:rPr>
  </w:style>
  <w:style w:type="paragraph" w:styleId="BalloonText">
    <w:name w:val="Balloon Text"/>
    <w:basedOn w:val="Normal"/>
    <w:link w:val="BalloonTextChar"/>
    <w:uiPriority w:val="99"/>
    <w:rsid w:val="00A56077"/>
    <w:rPr>
      <w:rFonts w:ascii="Tahoma" w:hAnsi="Tahoma" w:cs="Tahoma"/>
      <w:sz w:val="16"/>
      <w:szCs w:val="16"/>
    </w:rPr>
  </w:style>
  <w:style w:type="character" w:customStyle="1" w:styleId="BalloonTextChar">
    <w:name w:val="Balloon Text Char"/>
    <w:basedOn w:val="DefaultParagraphFont"/>
    <w:link w:val="BalloonText"/>
    <w:uiPriority w:val="99"/>
    <w:rsid w:val="00A56077"/>
    <w:rPr>
      <w:rFonts w:ascii="Tahoma" w:hAnsi="Tahoma" w:cs="Tahoma"/>
      <w:sz w:val="16"/>
      <w:szCs w:val="16"/>
      <w:lang w:val="en-IE"/>
    </w:rPr>
  </w:style>
  <w:style w:type="character" w:customStyle="1" w:styleId="sb8d990e2">
    <w:name w:val="sb8d990e2"/>
    <w:basedOn w:val="DefaultParagraphFont"/>
    <w:rsid w:val="00823963"/>
  </w:style>
  <w:style w:type="paragraph" w:styleId="ListParagraph">
    <w:name w:val="List Paragraph"/>
    <w:basedOn w:val="Normal"/>
    <w:uiPriority w:val="34"/>
    <w:qFormat/>
    <w:rsid w:val="00EE70AB"/>
    <w:pPr>
      <w:spacing w:beforeLines="1" w:afterLines="1"/>
    </w:pPr>
    <w:rPr>
      <w:rFonts w:ascii="Times" w:eastAsia="Cambria" w:hAnsi="Times"/>
      <w:sz w:val="20"/>
      <w:szCs w:val="20"/>
      <w:lang w:val="en-GB" w:eastAsia="en-US"/>
    </w:rPr>
  </w:style>
  <w:style w:type="character" w:customStyle="1" w:styleId="H23GChar">
    <w:name w:val="_ H_2/3_G Char"/>
    <w:link w:val="H23G"/>
    <w:rsid w:val="000C36A2"/>
    <w:rPr>
      <w:b/>
    </w:rPr>
  </w:style>
  <w:style w:type="paragraph" w:styleId="NormalWeb">
    <w:name w:val="Normal (Web)"/>
    <w:basedOn w:val="Normal"/>
    <w:uiPriority w:val="99"/>
    <w:unhideWhenUsed/>
    <w:rsid w:val="00281B5B"/>
    <w:pPr>
      <w:spacing w:before="100" w:beforeAutospacing="1" w:after="100" w:afterAutospacing="1"/>
    </w:pPr>
    <w:rPr>
      <w:lang w:val="en-GB"/>
    </w:rPr>
  </w:style>
  <w:style w:type="character" w:styleId="Strong">
    <w:name w:val="Strong"/>
    <w:basedOn w:val="DefaultParagraphFont"/>
    <w:uiPriority w:val="22"/>
    <w:qFormat/>
    <w:rsid w:val="00281B5B"/>
    <w:rPr>
      <w:b/>
      <w:bCs/>
    </w:rPr>
  </w:style>
  <w:style w:type="character" w:styleId="FollowedHyperlink">
    <w:name w:val="FollowedHyperlink"/>
    <w:basedOn w:val="DefaultParagraphFont"/>
    <w:rsid w:val="008B03BB"/>
    <w:rPr>
      <w:color w:val="800080"/>
      <w:u w:val="single"/>
    </w:rPr>
  </w:style>
  <w:style w:type="paragraph" w:styleId="Footer">
    <w:name w:val="footer"/>
    <w:basedOn w:val="Normal"/>
    <w:link w:val="FooterChar"/>
    <w:rsid w:val="000264F9"/>
    <w:pPr>
      <w:tabs>
        <w:tab w:val="center" w:pos="4320"/>
        <w:tab w:val="right" w:pos="8640"/>
      </w:tabs>
    </w:pPr>
  </w:style>
  <w:style w:type="character" w:customStyle="1" w:styleId="FooterChar">
    <w:name w:val="Footer Char"/>
    <w:basedOn w:val="DefaultParagraphFont"/>
    <w:link w:val="Footer"/>
    <w:rsid w:val="000264F9"/>
    <w:rPr>
      <w:sz w:val="24"/>
      <w:szCs w:val="24"/>
      <w:lang w:val="en-IE" w:eastAsia="en-GB"/>
    </w:rPr>
  </w:style>
  <w:style w:type="character" w:styleId="PageNumber">
    <w:name w:val="page number"/>
    <w:basedOn w:val="DefaultParagraphFont"/>
    <w:rsid w:val="000264F9"/>
  </w:style>
  <w:style w:type="paragraph" w:customStyle="1" w:styleId="singletxtg0">
    <w:name w:val="singletxtg"/>
    <w:basedOn w:val="Normal"/>
    <w:rsid w:val="000B51D3"/>
    <w:pPr>
      <w:spacing w:before="100" w:beforeAutospacing="1" w:after="100" w:afterAutospacing="1"/>
    </w:pPr>
    <w:rPr>
      <w:rFonts w:eastAsia="Calibri"/>
      <w:color w:val="000000"/>
      <w:lang w:val="en-GB"/>
    </w:rPr>
  </w:style>
  <w:style w:type="paragraph" w:customStyle="1" w:styleId="Standard">
    <w:name w:val="Standard"/>
    <w:rsid w:val="00000F42"/>
    <w:pPr>
      <w:suppressAutoHyphens/>
      <w:autoSpaceDN w:val="0"/>
      <w:spacing w:after="200" w:line="276" w:lineRule="auto"/>
      <w:textAlignment w:val="baseline"/>
    </w:pPr>
    <w:rPr>
      <w:rFonts w:ascii="Arial" w:hAnsi="Arial" w:cs="Arial"/>
      <w:color w:val="000000"/>
      <w:kern w:val="3"/>
      <w:sz w:val="24"/>
      <w:szCs w:val="24"/>
      <w:lang w:val="en-US" w:eastAsia="en-US"/>
    </w:rPr>
  </w:style>
  <w:style w:type="paragraph" w:customStyle="1" w:styleId="Default">
    <w:name w:val="Default"/>
    <w:rsid w:val="00D924E1"/>
    <w:pPr>
      <w:autoSpaceDE w:val="0"/>
      <w:autoSpaceDN w:val="0"/>
      <w:adjustRightInd w:val="0"/>
    </w:pPr>
    <w:rPr>
      <w:rFonts w:ascii="Cambria" w:hAnsi="Cambria" w:cs="Cambria"/>
      <w:color w:val="000000"/>
      <w:sz w:val="24"/>
      <w:szCs w:val="24"/>
    </w:rPr>
  </w:style>
  <w:style w:type="paragraph" w:styleId="EndnoteText">
    <w:name w:val="endnote text"/>
    <w:basedOn w:val="Normal"/>
    <w:link w:val="EndnoteTextChar"/>
    <w:uiPriority w:val="99"/>
    <w:unhideWhenUsed/>
    <w:rsid w:val="00D924E1"/>
    <w:rPr>
      <w:rFonts w:ascii="Calibri" w:eastAsia="Calibri" w:hAnsi="Calibri"/>
      <w:sz w:val="20"/>
      <w:szCs w:val="20"/>
      <w:lang w:val="en-GB" w:eastAsia="en-US"/>
    </w:rPr>
  </w:style>
  <w:style w:type="character" w:customStyle="1" w:styleId="EndnoteTextChar">
    <w:name w:val="Endnote Text Char"/>
    <w:basedOn w:val="DefaultParagraphFont"/>
    <w:link w:val="EndnoteText"/>
    <w:uiPriority w:val="99"/>
    <w:rsid w:val="00D924E1"/>
    <w:rPr>
      <w:rFonts w:ascii="Calibri" w:eastAsia="Calibri" w:hAnsi="Calibri" w:cs="Times New Roman"/>
      <w:lang w:eastAsia="en-US"/>
    </w:rPr>
  </w:style>
  <w:style w:type="character" w:styleId="EndnoteReference">
    <w:name w:val="endnote reference"/>
    <w:basedOn w:val="DefaultParagraphFont"/>
    <w:uiPriority w:val="99"/>
    <w:unhideWhenUsed/>
    <w:rsid w:val="00D924E1"/>
    <w:rPr>
      <w:vertAlign w:val="superscript"/>
    </w:rPr>
  </w:style>
  <w:style w:type="character" w:customStyle="1" w:styleId="Heading1Char">
    <w:name w:val="Heading 1 Char"/>
    <w:basedOn w:val="DefaultParagraphFont"/>
    <w:link w:val="Heading1"/>
    <w:uiPriority w:val="9"/>
    <w:rsid w:val="009E4A9C"/>
    <w:rPr>
      <w:b/>
      <w:bCs/>
      <w:kern w:val="36"/>
      <w:sz w:val="48"/>
      <w:szCs w:val="48"/>
    </w:rPr>
  </w:style>
  <w:style w:type="paragraph" w:customStyle="1" w:styleId="date">
    <w:name w:val="date"/>
    <w:basedOn w:val="Normal"/>
    <w:rsid w:val="009E4A9C"/>
    <w:pPr>
      <w:spacing w:before="100" w:beforeAutospacing="1" w:after="100" w:afterAutospacing="1"/>
    </w:pPr>
    <w:rPr>
      <w:lang w:val="en-GB"/>
    </w:rPr>
  </w:style>
  <w:style w:type="character" w:styleId="Emphasis">
    <w:name w:val="Emphasis"/>
    <w:basedOn w:val="DefaultParagraphFont"/>
    <w:uiPriority w:val="20"/>
    <w:qFormat/>
    <w:rsid w:val="009E4A9C"/>
    <w:rPr>
      <w:i/>
      <w:iCs/>
    </w:rPr>
  </w:style>
</w:styles>
</file>

<file path=word/webSettings.xml><?xml version="1.0" encoding="utf-8"?>
<w:webSettings xmlns:r="http://schemas.openxmlformats.org/officeDocument/2006/relationships" xmlns:w="http://schemas.openxmlformats.org/wordprocessingml/2006/main">
  <w:divs>
    <w:div w:id="1511793197">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0">
          <w:marLeft w:val="0"/>
          <w:marRight w:val="0"/>
          <w:marTop w:val="0"/>
          <w:marBottom w:val="0"/>
          <w:divBdr>
            <w:top w:val="none" w:sz="0" w:space="0" w:color="auto"/>
            <w:left w:val="none" w:sz="0" w:space="0" w:color="auto"/>
            <w:bottom w:val="none" w:sz="0" w:space="0" w:color="auto"/>
            <w:right w:val="none" w:sz="0" w:space="0" w:color="auto"/>
          </w:divBdr>
          <w:divsChild>
            <w:div w:id="1227491534">
              <w:marLeft w:val="0"/>
              <w:marRight w:val="0"/>
              <w:marTop w:val="0"/>
              <w:marBottom w:val="0"/>
              <w:divBdr>
                <w:top w:val="none" w:sz="0" w:space="0" w:color="auto"/>
                <w:left w:val="none" w:sz="0" w:space="0" w:color="auto"/>
                <w:bottom w:val="none" w:sz="0" w:space="0" w:color="auto"/>
                <w:right w:val="none" w:sz="0" w:space="0" w:color="auto"/>
              </w:divBdr>
              <w:divsChild>
                <w:div w:id="996305747">
                  <w:marLeft w:val="0"/>
                  <w:marRight w:val="0"/>
                  <w:marTop w:val="0"/>
                  <w:marBottom w:val="0"/>
                  <w:divBdr>
                    <w:top w:val="none" w:sz="0" w:space="0" w:color="auto"/>
                    <w:left w:val="none" w:sz="0" w:space="0" w:color="auto"/>
                    <w:bottom w:val="none" w:sz="0" w:space="0" w:color="auto"/>
                    <w:right w:val="none" w:sz="0" w:space="0" w:color="auto"/>
                  </w:divBdr>
                  <w:divsChild>
                    <w:div w:id="9053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wcd.coe.int/ViewDoc.jsp?Ref=CM/Del/OJ/DH(2014)1201/25&amp;Language=lanEnglish&amp;Ver=original&amp;Site=&amp;BackColorInternet=B9BDEE&amp;BackColorIntranet=FFCD4F&amp;BackColorLogged=FFC679" TargetMode="External"/><Relationship Id="rId1" Type="http://schemas.openxmlformats.org/officeDocument/2006/relationships/hyperlink" Target="http://www.northernireland.gov.uk/haa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5A8A4F-2E7C-4C18-914D-415568AF0E32}"/>
</file>

<file path=customXml/itemProps2.xml><?xml version="1.0" encoding="utf-8"?>
<ds:datastoreItem xmlns:ds="http://schemas.openxmlformats.org/officeDocument/2006/customXml" ds:itemID="{C556725F-B622-432C-A8CF-4A0889E2E8C8}"/>
</file>

<file path=customXml/itemProps3.xml><?xml version="1.0" encoding="utf-8"?>
<ds:datastoreItem xmlns:ds="http://schemas.openxmlformats.org/officeDocument/2006/customXml" ds:itemID="{F198E25B-0915-420E-8A31-90127007F8AD}"/>
</file>

<file path=customXml/itemProps4.xml><?xml version="1.0" encoding="utf-8"?>
<ds:datastoreItem xmlns:ds="http://schemas.openxmlformats.org/officeDocument/2006/customXml" ds:itemID="{928D6044-1F88-41D5-B062-A42AC7921F15}"/>
</file>

<file path=docProps/app.xml><?xml version="1.0" encoding="utf-8"?>
<Properties xmlns="http://schemas.openxmlformats.org/officeDocument/2006/extended-properties" xmlns:vt="http://schemas.openxmlformats.org/officeDocument/2006/docPropsVTypes">
  <Template>Normal</Template>
  <TotalTime>13</TotalTime>
  <Pages>4</Pages>
  <Words>1729</Words>
  <Characters>9380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Submission from the Committee on the Administration of Justice (CAJ) to the</vt:lpstr>
    </vt:vector>
  </TitlesOfParts>
  <Company>Microsoft</Company>
  <LinksUpToDate>false</LinksUpToDate>
  <CharactersWithSpaces>11087</CharactersWithSpaces>
  <SharedDoc>false</SharedDoc>
  <HLinks>
    <vt:vector size="12" baseType="variant">
      <vt:variant>
        <vt:i4>196677</vt:i4>
      </vt:variant>
      <vt:variant>
        <vt:i4>3</vt:i4>
      </vt:variant>
      <vt:variant>
        <vt:i4>0</vt:i4>
      </vt:variant>
      <vt:variant>
        <vt:i4>5</vt:i4>
      </vt:variant>
      <vt:variant>
        <vt:lpwstr>https://wcd.coe.int/ViewDoc.jsp?Ref=CM/Del/OJ/DH(2014)1201/25&amp;Language=lanEnglish&amp;Ver=original&amp;Site=&amp;BackColorInternet=B9BDEE&amp;BackColorIntranet=FFCD4F&amp;BackColorLogged=FFC679</vt:lpwstr>
      </vt:variant>
      <vt:variant>
        <vt:lpwstr/>
      </vt:variant>
      <vt:variant>
        <vt:i4>3604542</vt:i4>
      </vt:variant>
      <vt:variant>
        <vt:i4>0</vt:i4>
      </vt:variant>
      <vt:variant>
        <vt:i4>0</vt:i4>
      </vt:variant>
      <vt:variant>
        <vt:i4>5</vt:i4>
      </vt:variant>
      <vt:variant>
        <vt:lpwstr>http://www.northernireland.gov.uk/haass.pdf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from the Committee on the Administration of Justice (CAJ) to the</dc:title>
  <dc:creator>Jacqueline Monaghan</dc:creator>
  <cp:lastModifiedBy>daniel.holder</cp:lastModifiedBy>
  <cp:revision>3</cp:revision>
  <cp:lastPrinted>2014-07-25T13:37:00Z</cp:lastPrinted>
  <dcterms:created xsi:type="dcterms:W3CDTF">2014-07-25T13:49:00Z</dcterms:created>
  <dcterms:modified xsi:type="dcterms:W3CDTF">2014-07-25T13:55:00Z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