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C46910">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9"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960E47">
        <w:rPr>
          <w:b/>
          <w:sz w:val="28"/>
          <w:szCs w:val="28"/>
          <w:u w:val="single"/>
        </w:rPr>
        <w:t>BOSNIA AND HERZEGOVINA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C46910"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5C3BC9" w:rsidRDefault="008F10FD" w:rsidP="008F10FD">
                  <w:pPr>
                    <w:spacing w:after="120"/>
                    <w:rPr>
                      <w:b/>
                      <w:sz w:val="28"/>
                      <w:szCs w:val="28"/>
                    </w:rPr>
                  </w:pPr>
                  <w:r w:rsidRPr="005C3BC9">
                    <w:rPr>
                      <w:b/>
                      <w:sz w:val="28"/>
                      <w:szCs w:val="28"/>
                    </w:rPr>
                    <w:t xml:space="preserve">This briefing describes the legality of corporal punishment of children in </w:t>
                  </w:r>
                  <w:r w:rsidR="00960E47" w:rsidRPr="005C3BC9">
                    <w:rPr>
                      <w:b/>
                      <w:sz w:val="28"/>
                      <w:szCs w:val="28"/>
                    </w:rPr>
                    <w:t>Bosnia and Herzegovina</w:t>
                  </w:r>
                  <w:r w:rsidRPr="005C3BC9">
                    <w:rPr>
                      <w:b/>
                      <w:sz w:val="28"/>
                      <w:szCs w:val="28"/>
                    </w:rPr>
                    <w:t xml:space="preserve">. In light of the obligation under international human rights law to prohibit all corporal punishment of children, the recommendations of the UN Secretary-General’s Study on Violence against Children, </w:t>
                  </w:r>
                  <w:r w:rsidR="00D6103F" w:rsidRPr="005C3BC9">
                    <w:rPr>
                      <w:b/>
                      <w:sz w:val="28"/>
                      <w:szCs w:val="28"/>
                    </w:rPr>
                    <w:t xml:space="preserve">and </w:t>
                  </w:r>
                  <w:r w:rsidRPr="005C3BC9">
                    <w:rPr>
                      <w:b/>
                      <w:sz w:val="28"/>
                      <w:szCs w:val="28"/>
                    </w:rPr>
                    <w:t xml:space="preserve">the recommendations </w:t>
                  </w:r>
                  <w:r w:rsidR="00DD0BFF" w:rsidRPr="005C3BC9">
                    <w:rPr>
                      <w:b/>
                      <w:sz w:val="28"/>
                      <w:szCs w:val="28"/>
                    </w:rPr>
                    <w:t xml:space="preserve">made by </w:t>
                  </w:r>
                  <w:r w:rsidR="001B2EF0" w:rsidRPr="005C3BC9">
                    <w:rPr>
                      <w:b/>
                      <w:sz w:val="28"/>
                      <w:szCs w:val="28"/>
                    </w:rPr>
                    <w:t xml:space="preserve">the </w:t>
                  </w:r>
                  <w:r w:rsidR="00D6103F" w:rsidRPr="005C3BC9">
                    <w:rPr>
                      <w:b/>
                      <w:sz w:val="28"/>
                      <w:szCs w:val="28"/>
                    </w:rPr>
                    <w:t>treaty bodies</w:t>
                  </w:r>
                  <w:r w:rsidRPr="005C3BC9">
                    <w:rPr>
                      <w:b/>
                      <w:sz w:val="28"/>
                      <w:szCs w:val="28"/>
                    </w:rPr>
                    <w:t>, we hope the Committee on Economic, Social and Cultural Rights will:</w:t>
                  </w:r>
                </w:p>
                <w:p w:rsidR="008F10FD" w:rsidRPr="005C3BC9" w:rsidRDefault="008F10FD" w:rsidP="008F10FD">
                  <w:pPr>
                    <w:numPr>
                      <w:ilvl w:val="0"/>
                      <w:numId w:val="33"/>
                    </w:numPr>
                    <w:spacing w:after="120"/>
                    <w:ind w:left="714" w:hanging="357"/>
                    <w:rPr>
                      <w:b/>
                      <w:sz w:val="28"/>
                      <w:szCs w:val="28"/>
                    </w:rPr>
                  </w:pPr>
                  <w:r w:rsidRPr="005C3BC9">
                    <w:rPr>
                      <w:b/>
                      <w:sz w:val="28"/>
                      <w:szCs w:val="28"/>
                    </w:rPr>
                    <w:t xml:space="preserve">include the issue of corporal punishment of children in its List of Issues for </w:t>
                  </w:r>
                  <w:r w:rsidR="00960E47" w:rsidRPr="005C3BC9">
                    <w:rPr>
                      <w:b/>
                      <w:sz w:val="28"/>
                      <w:szCs w:val="28"/>
                    </w:rPr>
                    <w:t>Bosnia and Herzegovina</w:t>
                  </w:r>
                  <w:r w:rsidRPr="005C3BC9">
                    <w:rPr>
                      <w:b/>
                      <w:sz w:val="28"/>
                      <w:szCs w:val="28"/>
                    </w:rPr>
                    <w:t>, in particular asking what measures have been taken to</w:t>
                  </w:r>
                  <w:r w:rsidR="00120C8B" w:rsidRPr="005C3BC9">
                    <w:rPr>
                      <w:b/>
                      <w:sz w:val="28"/>
                      <w:szCs w:val="28"/>
                    </w:rPr>
                    <w:t xml:space="preserve">wards enacting explicit prohibition of corporal punishment in the home and all care settings in the District of </w:t>
                  </w:r>
                  <w:proofErr w:type="spellStart"/>
                  <w:r w:rsidR="00120C8B" w:rsidRPr="005C3BC9">
                    <w:rPr>
                      <w:b/>
                      <w:sz w:val="28"/>
                      <w:szCs w:val="28"/>
                    </w:rPr>
                    <w:t>Brcko</w:t>
                  </w:r>
                  <w:proofErr w:type="spellEnd"/>
                  <w:r w:rsidR="00120C8B" w:rsidRPr="005C3BC9">
                    <w:rPr>
                      <w:b/>
                      <w:sz w:val="28"/>
                      <w:szCs w:val="28"/>
                    </w:rPr>
                    <w:t xml:space="preserve"> and the Federation of Bosnia and Herzegovina</w:t>
                  </w:r>
                  <w:r w:rsidRPr="005C3BC9">
                    <w:rPr>
                      <w:b/>
                      <w:sz w:val="28"/>
                      <w:szCs w:val="28"/>
                    </w:rPr>
                    <w:t>, and</w:t>
                  </w:r>
                </w:p>
                <w:p w:rsidR="008F10FD" w:rsidRPr="005C3BC9" w:rsidRDefault="008F10FD" w:rsidP="008F10FD">
                  <w:pPr>
                    <w:numPr>
                      <w:ilvl w:val="0"/>
                      <w:numId w:val="33"/>
                    </w:numPr>
                    <w:spacing w:after="120"/>
                    <w:ind w:left="714" w:hanging="357"/>
                    <w:rPr>
                      <w:b/>
                      <w:sz w:val="28"/>
                      <w:szCs w:val="28"/>
                    </w:rPr>
                  </w:pPr>
                  <w:r w:rsidRPr="005C3BC9">
                    <w:rPr>
                      <w:b/>
                      <w:sz w:val="28"/>
                      <w:szCs w:val="28"/>
                    </w:rPr>
                    <w:t xml:space="preserve">in the concluding observations on the </w:t>
                  </w:r>
                  <w:r w:rsidR="0077295F" w:rsidRPr="005C3BC9">
                    <w:rPr>
                      <w:b/>
                      <w:sz w:val="28"/>
                      <w:szCs w:val="28"/>
                    </w:rPr>
                    <w:t>second-</w:t>
                  </w:r>
                  <w:r w:rsidR="00D6103F" w:rsidRPr="005C3BC9">
                    <w:rPr>
                      <w:b/>
                      <w:sz w:val="28"/>
                      <w:szCs w:val="28"/>
                    </w:rPr>
                    <w:t>fourth</w:t>
                  </w:r>
                  <w:r w:rsidR="001B2EF0" w:rsidRPr="005C3BC9">
                    <w:rPr>
                      <w:b/>
                      <w:sz w:val="28"/>
                      <w:szCs w:val="28"/>
                    </w:rPr>
                    <w:t xml:space="preserve"> </w:t>
                  </w:r>
                  <w:r w:rsidRPr="005C3BC9">
                    <w:rPr>
                      <w:b/>
                      <w:sz w:val="28"/>
                      <w:szCs w:val="28"/>
                    </w:rPr>
                    <w:t xml:space="preserve">state party report, </w:t>
                  </w:r>
                  <w:r w:rsidR="00120C8B" w:rsidRPr="005C3BC9">
                    <w:rPr>
                      <w:b/>
                      <w:sz w:val="28"/>
                      <w:szCs w:val="28"/>
                    </w:rPr>
                    <w:t xml:space="preserve">welcome the prohibition of corporal punishment in the home in the Republic of Srpska and recommend to Bosnia and Herzegovina </w:t>
                  </w:r>
                  <w:r w:rsidRPr="005C3BC9">
                    <w:rPr>
                      <w:b/>
                      <w:sz w:val="28"/>
                      <w:szCs w:val="28"/>
                    </w:rPr>
                    <w:t xml:space="preserve">that legislation is enacted and enforced which explicitly prohibits </w:t>
                  </w:r>
                  <w:r w:rsidR="00472D18" w:rsidRPr="005C3BC9">
                    <w:rPr>
                      <w:b/>
                      <w:sz w:val="28"/>
                      <w:szCs w:val="28"/>
                    </w:rPr>
                    <w:t xml:space="preserve">all </w:t>
                  </w:r>
                  <w:r w:rsidRPr="005C3BC9">
                    <w:rPr>
                      <w:b/>
                      <w:sz w:val="28"/>
                      <w:szCs w:val="28"/>
                    </w:rPr>
                    <w:t>corporal punishment</w:t>
                  </w:r>
                  <w:r w:rsidR="00472D18" w:rsidRPr="005C3BC9">
                    <w:rPr>
                      <w:b/>
                      <w:sz w:val="28"/>
                      <w:szCs w:val="28"/>
                    </w:rPr>
                    <w:t xml:space="preserve"> </w:t>
                  </w:r>
                  <w:r w:rsidRPr="005C3BC9">
                    <w:rPr>
                      <w:b/>
                      <w:sz w:val="28"/>
                      <w:szCs w:val="28"/>
                    </w:rPr>
                    <w:t xml:space="preserve">in </w:t>
                  </w:r>
                  <w:r w:rsidR="00472D18" w:rsidRPr="005C3BC9">
                    <w:rPr>
                      <w:b/>
                      <w:sz w:val="28"/>
                      <w:szCs w:val="28"/>
                    </w:rPr>
                    <w:t>the home</w:t>
                  </w:r>
                  <w:r w:rsidR="00574390" w:rsidRPr="005C3BC9">
                    <w:rPr>
                      <w:b/>
                      <w:sz w:val="28"/>
                      <w:szCs w:val="28"/>
                    </w:rPr>
                    <w:t xml:space="preserve"> </w:t>
                  </w:r>
                  <w:r w:rsidR="004A2121" w:rsidRPr="005C3BC9">
                    <w:rPr>
                      <w:b/>
                      <w:sz w:val="28"/>
                      <w:szCs w:val="28"/>
                    </w:rPr>
                    <w:t xml:space="preserve">and </w:t>
                  </w:r>
                  <w:r w:rsidR="002F1D61" w:rsidRPr="005C3BC9">
                    <w:rPr>
                      <w:b/>
                      <w:sz w:val="28"/>
                      <w:szCs w:val="28"/>
                    </w:rPr>
                    <w:t xml:space="preserve">all </w:t>
                  </w:r>
                  <w:r w:rsidR="004A2121" w:rsidRPr="005C3BC9">
                    <w:rPr>
                      <w:b/>
                      <w:sz w:val="28"/>
                      <w:szCs w:val="28"/>
                    </w:rPr>
                    <w:t xml:space="preserve">care settings in the District of </w:t>
                  </w:r>
                  <w:proofErr w:type="spellStart"/>
                  <w:r w:rsidR="004A2121" w:rsidRPr="005C3BC9">
                    <w:rPr>
                      <w:b/>
                      <w:sz w:val="28"/>
                      <w:szCs w:val="28"/>
                    </w:rPr>
                    <w:t>Brcko</w:t>
                  </w:r>
                  <w:proofErr w:type="spellEnd"/>
                  <w:r w:rsidR="004A2121" w:rsidRPr="005C3BC9">
                    <w:rPr>
                      <w:b/>
                      <w:sz w:val="28"/>
                      <w:szCs w:val="28"/>
                    </w:rPr>
                    <w:t xml:space="preserve"> and the Federation of Bosnia and Herzegovina </w:t>
                  </w:r>
                  <w:r w:rsidRPr="005C3BC9">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FF67EA" w:rsidRPr="00E96205" w:rsidRDefault="00FF67EA" w:rsidP="00E96205">
      <w:pPr>
        <w:spacing w:after="120"/>
        <w:ind w:left="482" w:hanging="482"/>
        <w:rPr>
          <w:b/>
          <w:sz w:val="26"/>
          <w:szCs w:val="26"/>
        </w:rPr>
      </w:pPr>
    </w:p>
    <w:p w:rsidR="008467B3" w:rsidRPr="002F1D61" w:rsidRDefault="008C188E" w:rsidP="002F1D61">
      <w:pPr>
        <w:spacing w:after="120"/>
        <w:ind w:left="482" w:hanging="482"/>
        <w:rPr>
          <w:b/>
          <w:sz w:val="28"/>
          <w:szCs w:val="28"/>
        </w:rPr>
      </w:pPr>
      <w:r w:rsidRPr="002F1D61">
        <w:rPr>
          <w:b/>
          <w:sz w:val="28"/>
          <w:szCs w:val="28"/>
        </w:rPr>
        <w:lastRenderedPageBreak/>
        <w:t xml:space="preserve">1 </w:t>
      </w:r>
      <w:r w:rsidR="00960E47" w:rsidRPr="002F1D61">
        <w:rPr>
          <w:b/>
          <w:sz w:val="28"/>
          <w:szCs w:val="28"/>
        </w:rPr>
        <w:t>Bosnia and Herzegovina</w:t>
      </w:r>
      <w:r w:rsidR="00C6632E" w:rsidRPr="002F1D61">
        <w:rPr>
          <w:b/>
          <w:sz w:val="28"/>
          <w:szCs w:val="28"/>
        </w:rPr>
        <w:t>’</w:t>
      </w:r>
      <w:r w:rsidR="00D6103F" w:rsidRPr="002F1D61">
        <w:rPr>
          <w:b/>
          <w:sz w:val="28"/>
          <w:szCs w:val="28"/>
        </w:rPr>
        <w:t>s</w:t>
      </w:r>
      <w:r w:rsidR="008467B3" w:rsidRPr="002F1D61">
        <w:rPr>
          <w:b/>
          <w:sz w:val="28"/>
          <w:szCs w:val="28"/>
        </w:rPr>
        <w:t xml:space="preserve"> report to the Committee on Economic, Social and Cultural Rights</w:t>
      </w:r>
      <w:r w:rsidR="004A2121" w:rsidRPr="002F1D61">
        <w:rPr>
          <w:b/>
          <w:sz w:val="28"/>
          <w:szCs w:val="28"/>
        </w:rPr>
        <w:t xml:space="preserve"> and prohibition of corporal punishment</w:t>
      </w:r>
    </w:p>
    <w:p w:rsidR="00492BE1" w:rsidRPr="002F1D61" w:rsidRDefault="008C188E" w:rsidP="002F1D61">
      <w:pPr>
        <w:pStyle w:val="Header"/>
        <w:spacing w:after="120"/>
        <w:ind w:left="482" w:hanging="482"/>
        <w:rPr>
          <w:sz w:val="26"/>
          <w:szCs w:val="26"/>
        </w:rPr>
      </w:pPr>
      <w:r w:rsidRPr="002F1D61">
        <w:rPr>
          <w:sz w:val="26"/>
          <w:szCs w:val="26"/>
        </w:rPr>
        <w:t xml:space="preserve">1.1 </w:t>
      </w:r>
      <w:r w:rsidR="008467B3" w:rsidRPr="002F1D61">
        <w:rPr>
          <w:sz w:val="26"/>
          <w:szCs w:val="26"/>
        </w:rPr>
        <w:t>The</w:t>
      </w:r>
      <w:r w:rsidR="00ED1459" w:rsidRPr="002F1D61">
        <w:rPr>
          <w:sz w:val="26"/>
          <w:szCs w:val="26"/>
        </w:rPr>
        <w:t xml:space="preserve"> </w:t>
      </w:r>
      <w:r w:rsidR="0077295F" w:rsidRPr="002F1D61">
        <w:rPr>
          <w:sz w:val="26"/>
          <w:szCs w:val="26"/>
        </w:rPr>
        <w:t xml:space="preserve">second </w:t>
      </w:r>
      <w:r w:rsidR="008467B3" w:rsidRPr="002F1D61">
        <w:rPr>
          <w:sz w:val="26"/>
          <w:szCs w:val="26"/>
        </w:rPr>
        <w:t>state party report to the Committee on Economic, Social and Cultural Rights</w:t>
      </w:r>
      <w:r w:rsidR="00483F29" w:rsidRPr="002F1D61">
        <w:rPr>
          <w:sz w:val="26"/>
          <w:szCs w:val="26"/>
        </w:rPr>
        <w:t xml:space="preserve"> </w:t>
      </w:r>
      <w:r w:rsidR="00492BE1" w:rsidRPr="002F1D61">
        <w:rPr>
          <w:sz w:val="26"/>
          <w:szCs w:val="26"/>
        </w:rPr>
        <w:t xml:space="preserve">provides extensive information </w:t>
      </w:r>
      <w:r w:rsidR="002F1D61">
        <w:rPr>
          <w:sz w:val="26"/>
          <w:szCs w:val="26"/>
        </w:rPr>
        <w:t xml:space="preserve">on </w:t>
      </w:r>
      <w:r w:rsidR="00492BE1" w:rsidRPr="002F1D61">
        <w:rPr>
          <w:sz w:val="26"/>
          <w:szCs w:val="26"/>
        </w:rPr>
        <w:t>legal and other measures aimed at addressing the problem of domestic violence, including child victims of domestic violence.</w:t>
      </w:r>
      <w:r w:rsidR="00492BE1" w:rsidRPr="002F1D61">
        <w:rPr>
          <w:rStyle w:val="FootnoteReference"/>
          <w:sz w:val="26"/>
          <w:szCs w:val="26"/>
        </w:rPr>
        <w:footnoteReference w:id="1"/>
      </w:r>
      <w:r w:rsidR="00492BE1" w:rsidRPr="002F1D61">
        <w:rPr>
          <w:sz w:val="26"/>
          <w:szCs w:val="26"/>
        </w:rPr>
        <w:t xml:space="preserve"> It makes no specific reference to violence inflicted on children by parents in the guise of “discipline”, i.e. corporal punishment.</w:t>
      </w:r>
    </w:p>
    <w:p w:rsidR="004A2121" w:rsidRPr="002F1D61" w:rsidRDefault="004A2121" w:rsidP="002F1D61">
      <w:pPr>
        <w:pStyle w:val="Header"/>
        <w:spacing w:after="120"/>
        <w:ind w:left="482" w:hanging="482"/>
        <w:rPr>
          <w:sz w:val="26"/>
          <w:szCs w:val="26"/>
        </w:rPr>
      </w:pPr>
      <w:r w:rsidRPr="002F1D61">
        <w:rPr>
          <w:sz w:val="26"/>
          <w:szCs w:val="26"/>
        </w:rPr>
        <w:t xml:space="preserve">1.2 </w:t>
      </w:r>
      <w:r w:rsidR="002F1D61">
        <w:rPr>
          <w:sz w:val="26"/>
          <w:szCs w:val="26"/>
        </w:rPr>
        <w:t>I</w:t>
      </w:r>
      <w:r w:rsidR="00492BE1" w:rsidRPr="002F1D61">
        <w:rPr>
          <w:sz w:val="26"/>
          <w:szCs w:val="26"/>
        </w:rPr>
        <w:t>n other contexts, the Government has asserted that corporal punishment is prohibited throughout the state under the various family and domestic violence laws.</w:t>
      </w:r>
      <w:r w:rsidR="00492BE1" w:rsidRPr="002F1D61">
        <w:rPr>
          <w:rStyle w:val="FootnoteReference"/>
          <w:sz w:val="26"/>
          <w:szCs w:val="26"/>
        </w:rPr>
        <w:footnoteReference w:id="2"/>
      </w:r>
      <w:r w:rsidRPr="002F1D61">
        <w:rPr>
          <w:sz w:val="26"/>
          <w:szCs w:val="26"/>
        </w:rPr>
        <w:t xml:space="preserve"> Elsewhere the Government </w:t>
      </w:r>
      <w:r w:rsidRPr="002F1D61">
        <w:rPr>
          <w:rFonts w:eastAsia="Calibri"/>
          <w:sz w:val="26"/>
          <w:szCs w:val="26"/>
          <w:lang w:eastAsia="en-GB"/>
        </w:rPr>
        <w:t xml:space="preserve">has acknowledged that further reform is required </w:t>
      </w:r>
      <w:r w:rsidRPr="002F1D61">
        <w:rPr>
          <w:sz w:val="26"/>
          <w:szCs w:val="26"/>
        </w:rPr>
        <w:t>in order to explicitly prohibit corporal punishment</w:t>
      </w:r>
      <w:r w:rsidR="002F1D61">
        <w:rPr>
          <w:sz w:val="26"/>
          <w:szCs w:val="26"/>
        </w:rPr>
        <w:t>.</w:t>
      </w:r>
      <w:r w:rsidRPr="002F1D61">
        <w:rPr>
          <w:rStyle w:val="FootnoteReference"/>
          <w:sz w:val="26"/>
          <w:szCs w:val="26"/>
        </w:rPr>
        <w:footnoteReference w:id="3"/>
      </w:r>
      <w:r w:rsidRPr="002F1D61">
        <w:rPr>
          <w:sz w:val="26"/>
          <w:szCs w:val="26"/>
        </w:rPr>
        <w:t xml:space="preserve"> </w:t>
      </w:r>
      <w:r w:rsidR="005C3BC9">
        <w:rPr>
          <w:sz w:val="26"/>
          <w:szCs w:val="26"/>
        </w:rPr>
        <w:t>I</w:t>
      </w:r>
      <w:r w:rsidRPr="002F1D61">
        <w:rPr>
          <w:sz w:val="26"/>
          <w:szCs w:val="26"/>
        </w:rPr>
        <w:t>n July 2012, the Government informed the Committee on the Rights of the Child that a Working Group had been established to draft a Law on Social Protection and a Law on the Protection of Families with Children which will prohibit corporal punishment.</w:t>
      </w:r>
      <w:r w:rsidRPr="002F1D61">
        <w:rPr>
          <w:rStyle w:val="FootnoteReference"/>
          <w:sz w:val="26"/>
          <w:szCs w:val="26"/>
        </w:rPr>
        <w:footnoteReference w:id="4"/>
      </w:r>
    </w:p>
    <w:p w:rsidR="00492BE1" w:rsidRPr="002F1D61" w:rsidRDefault="004A2121" w:rsidP="002F1D61">
      <w:pPr>
        <w:pStyle w:val="Header"/>
        <w:spacing w:after="120"/>
        <w:ind w:left="482" w:hanging="482"/>
        <w:rPr>
          <w:sz w:val="26"/>
          <w:szCs w:val="26"/>
        </w:rPr>
      </w:pPr>
      <w:r w:rsidRPr="002F1D61">
        <w:rPr>
          <w:sz w:val="26"/>
          <w:szCs w:val="26"/>
        </w:rPr>
        <w:t xml:space="preserve">1.3 </w:t>
      </w:r>
      <w:r w:rsidR="002F1D61">
        <w:rPr>
          <w:sz w:val="26"/>
          <w:szCs w:val="26"/>
        </w:rPr>
        <w:t>Research by the Global Initiative</w:t>
      </w:r>
      <w:r w:rsidRPr="002F1D61">
        <w:rPr>
          <w:sz w:val="26"/>
          <w:szCs w:val="26"/>
        </w:rPr>
        <w:t xml:space="preserve">, including examination of the legal texts, has found that law reform is not yet complete in respect of prohibiting corporal punishment. Only in the Republic of Srpska is corporal punishment explicitly prohibited in the home: further reform is necessary to achieve prohibition in the Federation of Bosnia and Herzegovina and the District of </w:t>
      </w:r>
      <w:proofErr w:type="spellStart"/>
      <w:r w:rsidRPr="002F1D61">
        <w:rPr>
          <w:sz w:val="26"/>
          <w:szCs w:val="26"/>
        </w:rPr>
        <w:t>Brcko</w:t>
      </w:r>
      <w:proofErr w:type="spellEnd"/>
      <w:r w:rsidRPr="002F1D61">
        <w:rPr>
          <w:sz w:val="26"/>
          <w:szCs w:val="26"/>
        </w:rPr>
        <w:t>.</w:t>
      </w:r>
    </w:p>
    <w:p w:rsidR="008467B3" w:rsidRPr="002F1D61" w:rsidRDefault="008467B3" w:rsidP="002F1D61">
      <w:pPr>
        <w:pStyle w:val="Header"/>
        <w:spacing w:after="120"/>
        <w:ind w:left="482" w:hanging="482"/>
        <w:rPr>
          <w:sz w:val="26"/>
          <w:szCs w:val="26"/>
        </w:rPr>
      </w:pPr>
    </w:p>
    <w:p w:rsidR="008467B3" w:rsidRPr="002F1D61" w:rsidRDefault="008C188E" w:rsidP="002F1D61">
      <w:pPr>
        <w:spacing w:after="120"/>
        <w:ind w:left="482" w:hanging="482"/>
        <w:rPr>
          <w:sz w:val="28"/>
          <w:szCs w:val="28"/>
        </w:rPr>
      </w:pPr>
      <w:r w:rsidRPr="002F1D61">
        <w:rPr>
          <w:b/>
          <w:sz w:val="28"/>
          <w:szCs w:val="28"/>
        </w:rPr>
        <w:t xml:space="preserve">2 </w:t>
      </w:r>
      <w:r w:rsidR="00483F29" w:rsidRPr="002F1D61">
        <w:rPr>
          <w:b/>
          <w:sz w:val="28"/>
          <w:szCs w:val="28"/>
        </w:rPr>
        <w:t xml:space="preserve">The legality </w:t>
      </w:r>
      <w:r w:rsidR="0041585F" w:rsidRPr="002F1D61">
        <w:rPr>
          <w:b/>
          <w:sz w:val="28"/>
          <w:szCs w:val="28"/>
        </w:rPr>
        <w:t xml:space="preserve">and practice </w:t>
      </w:r>
      <w:r w:rsidR="00483F29" w:rsidRPr="002F1D61">
        <w:rPr>
          <w:b/>
          <w:sz w:val="28"/>
          <w:szCs w:val="28"/>
        </w:rPr>
        <w:t>of c</w:t>
      </w:r>
      <w:r w:rsidR="008467B3" w:rsidRPr="002F1D61">
        <w:rPr>
          <w:b/>
          <w:sz w:val="28"/>
          <w:szCs w:val="28"/>
        </w:rPr>
        <w:t xml:space="preserve">orporal punishment of children in </w:t>
      </w:r>
      <w:r w:rsidR="004A2121" w:rsidRPr="002F1D61">
        <w:rPr>
          <w:b/>
          <w:sz w:val="28"/>
          <w:szCs w:val="28"/>
        </w:rPr>
        <w:t>Bosnia and Herzegovina</w:t>
      </w:r>
    </w:p>
    <w:p w:rsidR="003F0720" w:rsidRPr="002F1D61" w:rsidRDefault="001B2EF0" w:rsidP="002F1D6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2F1D61">
        <w:rPr>
          <w:sz w:val="26"/>
          <w:szCs w:val="26"/>
        </w:rPr>
        <w:t>2</w:t>
      </w:r>
      <w:r w:rsidR="003F0720" w:rsidRPr="002F1D61">
        <w:rPr>
          <w:sz w:val="26"/>
          <w:szCs w:val="26"/>
        </w:rPr>
        <w:t xml:space="preserve">.1 </w:t>
      </w:r>
      <w:r w:rsidR="00327E38">
        <w:rPr>
          <w:i/>
          <w:sz w:val="26"/>
          <w:szCs w:val="26"/>
        </w:rPr>
        <w:t xml:space="preserve">Summary: </w:t>
      </w:r>
      <w:bookmarkStart w:id="2" w:name="_GoBack"/>
      <w:bookmarkEnd w:id="2"/>
      <w:r w:rsidR="002D2B17" w:rsidRPr="002F1D61">
        <w:rPr>
          <w:sz w:val="26"/>
          <w:szCs w:val="26"/>
        </w:rPr>
        <w:t xml:space="preserve">In </w:t>
      </w:r>
      <w:r w:rsidR="00120C8B" w:rsidRPr="002F1D61">
        <w:rPr>
          <w:sz w:val="26"/>
          <w:szCs w:val="26"/>
        </w:rPr>
        <w:t>Bosnia and Herzegovina</w:t>
      </w:r>
      <w:r w:rsidR="002D2B17" w:rsidRPr="002F1D61">
        <w:rPr>
          <w:sz w:val="26"/>
          <w:szCs w:val="26"/>
        </w:rPr>
        <w:t xml:space="preserve">, corporal punishment of children is unlawful </w:t>
      </w:r>
      <w:r w:rsidR="00120C8B" w:rsidRPr="002F1D61">
        <w:rPr>
          <w:sz w:val="26"/>
          <w:szCs w:val="26"/>
        </w:rPr>
        <w:t xml:space="preserve">in schools and the penal system throughout the state; it is prohibited in the home and care settings in the Republic of Srpska, but is not fully prohibited in the home and all forms of care in the Federation of Bosnia and Herzegovina and the District of </w:t>
      </w:r>
      <w:proofErr w:type="spellStart"/>
      <w:r w:rsidR="00120C8B" w:rsidRPr="002F1D61">
        <w:rPr>
          <w:sz w:val="26"/>
          <w:szCs w:val="26"/>
        </w:rPr>
        <w:t>Brcko</w:t>
      </w:r>
      <w:proofErr w:type="spellEnd"/>
      <w:r w:rsidR="00120C8B" w:rsidRPr="002F1D61">
        <w:rPr>
          <w:sz w:val="26"/>
          <w:szCs w:val="26"/>
        </w:rPr>
        <w:t>.</w:t>
      </w:r>
    </w:p>
    <w:p w:rsidR="004A2121" w:rsidRPr="002F1D61" w:rsidRDefault="001B2EF0" w:rsidP="002F1D6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F1D61">
        <w:rPr>
          <w:sz w:val="26"/>
          <w:szCs w:val="26"/>
        </w:rPr>
        <w:t>2</w:t>
      </w:r>
      <w:r w:rsidR="003F0720" w:rsidRPr="002F1D61">
        <w:rPr>
          <w:sz w:val="26"/>
          <w:szCs w:val="26"/>
        </w:rPr>
        <w:t xml:space="preserve">.2 </w:t>
      </w:r>
      <w:r w:rsidR="003F0720" w:rsidRPr="002F1D61">
        <w:rPr>
          <w:i/>
          <w:sz w:val="26"/>
          <w:szCs w:val="26"/>
        </w:rPr>
        <w:t>Home (</w:t>
      </w:r>
      <w:r w:rsidR="003F0720" w:rsidRPr="002F1D61">
        <w:rPr>
          <w:i/>
          <w:sz w:val="26"/>
          <w:szCs w:val="26"/>
          <w:u w:val="single"/>
        </w:rPr>
        <w:t>lawful</w:t>
      </w:r>
      <w:r w:rsidR="003F0720" w:rsidRPr="002F1D61">
        <w:rPr>
          <w:i/>
          <w:sz w:val="26"/>
          <w:szCs w:val="26"/>
        </w:rPr>
        <w:t xml:space="preserve">): </w:t>
      </w:r>
      <w:bookmarkStart w:id="3" w:name="OLE_LINK1"/>
      <w:bookmarkStart w:id="4" w:name="OLE_LINK2"/>
      <w:r w:rsidR="004A2121" w:rsidRPr="002F1D61">
        <w:rPr>
          <w:sz w:val="26"/>
          <w:szCs w:val="26"/>
        </w:rPr>
        <w:t>In the Republic of Srpska, corporal punishment in the home is explicitly prohibited in article 97(1) of the RS Family Law 2008: “Parents and other family members shall not subject a child to degrading treatments, mental and physical punishment nor abuse….”</w:t>
      </w:r>
    </w:p>
    <w:p w:rsidR="004A2121" w:rsidRPr="002F1D61" w:rsidRDefault="004A2121" w:rsidP="002F1D6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F1D61">
        <w:rPr>
          <w:sz w:val="26"/>
          <w:szCs w:val="26"/>
        </w:rPr>
        <w:t xml:space="preserve">2.3 In the District of </w:t>
      </w:r>
      <w:proofErr w:type="spellStart"/>
      <w:r w:rsidRPr="002F1D61">
        <w:rPr>
          <w:sz w:val="26"/>
          <w:szCs w:val="26"/>
        </w:rPr>
        <w:t>Brcko</w:t>
      </w:r>
      <w:proofErr w:type="spellEnd"/>
      <w:r w:rsidRPr="002F1D61">
        <w:rPr>
          <w:sz w:val="26"/>
          <w:szCs w:val="26"/>
        </w:rPr>
        <w:t>, the Family Law 2007  states that the child “has the right to protection against all forms of violence, abuse, maltreatment and neglect” (article 110), that parental rights “shall be exercised in the best interest of the child” (article 112), and that parents have a duty to protect the child from violence and to “control the child’s behaviour acting in accordance with its age and degree of maturity” (article 117), but it does not explicitly prohibit corporal punishment. Article 3 prohibits violence between spouses or family members, referring to the definition of domestic violence in the Criminal Code. The Criminal Code of BD 2004 provision against domestic violence punishes “a person who endangers tranquillity, physical or mental health of a member of his family by applying violence, impudent or remorseless behaviour” (article 218) but it does not explicitly prohibit corporal punishment.</w:t>
      </w:r>
    </w:p>
    <w:p w:rsidR="004A2121" w:rsidRPr="002F1D61" w:rsidRDefault="002F1D61" w:rsidP="002F1D6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lastRenderedPageBreak/>
        <w:t xml:space="preserve">2.4 </w:t>
      </w:r>
      <w:r w:rsidR="004A2121" w:rsidRPr="002F1D61">
        <w:rPr>
          <w:sz w:val="26"/>
          <w:szCs w:val="26"/>
        </w:rPr>
        <w:t>In the Federation of Bosnia and Herzegovina, the Family Law 2005 states that the child “has the right to protection from all forms of violence, maltreatment, abuse and neglect” (article 127), that parental rights “are realised to the best interest of the child” (article 129) and that parents are obliged to protect the child from violence and “to control his or her behaviour in accordance with the age and maturity of the child” (article 134), but it does not explicitly prohibit corporal punishment. Article 4 prohibits violent behaviour by a spouse and any other family member, referring to article 4 of the Law on Gender Equality in Bosnia and Herzegovina. This article in the Law on Gender Equality (2003) defines gender-based violence as “any act that causes physical, mental, sexual or economic harm or suffering, as well as threats of such acts that seriously impede a person’s ability to enjoy his or her rights and freedoms on the grounds of the equal treatment of the sexes in public and private life, including trafficking in human beings for the purposes of forced labour, and constraints on or the arbitrary deprivation of freedom”: it does not prohibit corporal punishment of children.</w:t>
      </w:r>
    </w:p>
    <w:p w:rsidR="00120C8B" w:rsidRPr="002F1D61" w:rsidRDefault="002F1D61" w:rsidP="002F1D61">
      <w:pPr>
        <w:spacing w:after="120"/>
        <w:ind w:left="482" w:hanging="482"/>
        <w:rPr>
          <w:sz w:val="26"/>
          <w:szCs w:val="26"/>
        </w:rPr>
      </w:pPr>
      <w:r>
        <w:rPr>
          <w:sz w:val="26"/>
          <w:szCs w:val="26"/>
        </w:rPr>
        <w:t xml:space="preserve">2.5 </w:t>
      </w:r>
      <w:r w:rsidR="00120C8B" w:rsidRPr="002F1D61">
        <w:rPr>
          <w:sz w:val="26"/>
          <w:szCs w:val="26"/>
        </w:rPr>
        <w:t xml:space="preserve">UNICEF’s </w:t>
      </w:r>
      <w:r>
        <w:rPr>
          <w:sz w:val="26"/>
          <w:szCs w:val="26"/>
        </w:rPr>
        <w:t xml:space="preserve">major </w:t>
      </w:r>
      <w:r w:rsidR="00120C8B" w:rsidRPr="002F1D61">
        <w:rPr>
          <w:sz w:val="26"/>
          <w:szCs w:val="26"/>
        </w:rPr>
        <w:t xml:space="preserve">2010 analysis </w:t>
      </w:r>
      <w:r>
        <w:rPr>
          <w:sz w:val="26"/>
          <w:szCs w:val="26"/>
        </w:rPr>
        <w:t xml:space="preserve">of data on family discipline </w:t>
      </w:r>
      <w:r w:rsidR="00120C8B" w:rsidRPr="002F1D61">
        <w:rPr>
          <w:sz w:val="26"/>
          <w:szCs w:val="26"/>
        </w:rPr>
        <w:t>found that 38% of 2-14 year olds in Bosnia and Herzegovina experienced violent “discipline” (physical punishment and/or psychological aggression) in 2005-2006; 3% experienced severe physical punishment (being hit or slapped on the face, head or ears or being hit over and over with an implement).</w:t>
      </w:r>
      <w:r w:rsidR="00120C8B" w:rsidRPr="002F1D61">
        <w:rPr>
          <w:rStyle w:val="FootnoteReference"/>
          <w:sz w:val="26"/>
          <w:szCs w:val="26"/>
        </w:rPr>
        <w:footnoteReference w:id="5"/>
      </w:r>
    </w:p>
    <w:bookmarkEnd w:id="3"/>
    <w:bookmarkEnd w:id="4"/>
    <w:p w:rsidR="004A2121" w:rsidRPr="002F1D61" w:rsidRDefault="001B2EF0" w:rsidP="002F1D61">
      <w:pPr>
        <w:spacing w:after="120"/>
        <w:ind w:left="482" w:hanging="482"/>
        <w:rPr>
          <w:sz w:val="26"/>
          <w:szCs w:val="26"/>
        </w:rPr>
      </w:pPr>
      <w:r w:rsidRPr="002F1D61">
        <w:rPr>
          <w:sz w:val="26"/>
          <w:szCs w:val="26"/>
        </w:rPr>
        <w:t>2.</w:t>
      </w:r>
      <w:r w:rsidR="002F1D61">
        <w:rPr>
          <w:sz w:val="26"/>
          <w:szCs w:val="26"/>
        </w:rPr>
        <w:t>6</w:t>
      </w:r>
      <w:r w:rsidR="003F0720" w:rsidRPr="002F1D61">
        <w:rPr>
          <w:sz w:val="26"/>
          <w:szCs w:val="26"/>
        </w:rPr>
        <w:t xml:space="preserve"> </w:t>
      </w:r>
      <w:r w:rsidR="003F0720" w:rsidRPr="002F1D61">
        <w:rPr>
          <w:i/>
          <w:sz w:val="26"/>
          <w:szCs w:val="26"/>
        </w:rPr>
        <w:t>Schools (</w:t>
      </w:r>
      <w:r w:rsidR="004A2121" w:rsidRPr="002F1D61">
        <w:rPr>
          <w:i/>
          <w:sz w:val="26"/>
          <w:szCs w:val="26"/>
          <w:u w:val="single"/>
        </w:rPr>
        <w:t>un</w:t>
      </w:r>
      <w:r w:rsidR="002D2B17" w:rsidRPr="002F1D61">
        <w:rPr>
          <w:i/>
          <w:sz w:val="26"/>
          <w:szCs w:val="26"/>
          <w:u w:val="single"/>
        </w:rPr>
        <w:t>lawful</w:t>
      </w:r>
      <w:r w:rsidR="003F0720" w:rsidRPr="002F1D61">
        <w:rPr>
          <w:i/>
          <w:sz w:val="26"/>
          <w:szCs w:val="26"/>
        </w:rPr>
        <w:t>):</w:t>
      </w:r>
      <w:r w:rsidR="0041585F" w:rsidRPr="002F1D61">
        <w:rPr>
          <w:i/>
          <w:sz w:val="26"/>
          <w:szCs w:val="26"/>
        </w:rPr>
        <w:t xml:space="preserve"> </w:t>
      </w:r>
      <w:r w:rsidR="004A2121" w:rsidRPr="002F1D61">
        <w:rPr>
          <w:sz w:val="26"/>
          <w:szCs w:val="26"/>
        </w:rPr>
        <w:t>The Framework Law on Primary and Secondary Education 2003 confirms children’s right to “proper care for the benefit of their physical and mental health and safety, at schools and at all places where they are educated” (article 5) and prohibits “any form of intimidation, abuse, physical punishment, insult, humiliation or degradation or harm to health” (article 34).</w:t>
      </w:r>
    </w:p>
    <w:p w:rsidR="0025469F" w:rsidRPr="002F1D61" w:rsidRDefault="001B2EF0" w:rsidP="002F1D61">
      <w:pPr>
        <w:spacing w:after="120"/>
        <w:ind w:left="482" w:hanging="482"/>
        <w:rPr>
          <w:sz w:val="26"/>
          <w:szCs w:val="26"/>
        </w:rPr>
      </w:pPr>
      <w:r w:rsidRPr="002F1D61">
        <w:rPr>
          <w:sz w:val="26"/>
          <w:szCs w:val="26"/>
        </w:rPr>
        <w:t>2.</w:t>
      </w:r>
      <w:r w:rsidR="002F1D61">
        <w:rPr>
          <w:sz w:val="26"/>
          <w:szCs w:val="26"/>
        </w:rPr>
        <w:t>7</w:t>
      </w:r>
      <w:r w:rsidR="003F0720" w:rsidRPr="002F1D61">
        <w:rPr>
          <w:sz w:val="26"/>
          <w:szCs w:val="26"/>
        </w:rPr>
        <w:t xml:space="preserve"> </w:t>
      </w:r>
      <w:r w:rsidR="003F0720" w:rsidRPr="002F1D61">
        <w:rPr>
          <w:i/>
          <w:sz w:val="26"/>
          <w:szCs w:val="26"/>
        </w:rPr>
        <w:t>Penal system – sentence (</w:t>
      </w:r>
      <w:r w:rsidR="003F0720" w:rsidRPr="002F1D61">
        <w:rPr>
          <w:i/>
          <w:sz w:val="26"/>
          <w:szCs w:val="26"/>
          <w:u w:val="single"/>
        </w:rPr>
        <w:t>unlawful</w:t>
      </w:r>
      <w:r w:rsidR="003F0720" w:rsidRPr="002F1D61">
        <w:rPr>
          <w:i/>
          <w:sz w:val="26"/>
          <w:szCs w:val="26"/>
        </w:rPr>
        <w:t xml:space="preserve">): </w:t>
      </w:r>
      <w:r w:rsidR="004A2121" w:rsidRPr="002F1D61">
        <w:rPr>
          <w:sz w:val="26"/>
          <w:szCs w:val="26"/>
        </w:rPr>
        <w:t>There is no provision for judicial corporal punishment in criminal law.</w:t>
      </w:r>
    </w:p>
    <w:p w:rsidR="004A2121" w:rsidRPr="002F1D61" w:rsidRDefault="001B2EF0" w:rsidP="002F1D61">
      <w:pPr>
        <w:spacing w:after="120"/>
        <w:ind w:left="482" w:hanging="482"/>
        <w:rPr>
          <w:sz w:val="26"/>
          <w:szCs w:val="26"/>
        </w:rPr>
      </w:pPr>
      <w:r w:rsidRPr="002F1D61">
        <w:rPr>
          <w:sz w:val="26"/>
          <w:szCs w:val="26"/>
        </w:rPr>
        <w:t>2.</w:t>
      </w:r>
      <w:r w:rsidR="002F1D61">
        <w:rPr>
          <w:sz w:val="26"/>
          <w:szCs w:val="26"/>
        </w:rPr>
        <w:t>8</w:t>
      </w:r>
      <w:r w:rsidR="003F0720" w:rsidRPr="002F1D61">
        <w:rPr>
          <w:sz w:val="26"/>
          <w:szCs w:val="26"/>
        </w:rPr>
        <w:t xml:space="preserve"> </w:t>
      </w:r>
      <w:r w:rsidR="003F0720" w:rsidRPr="002F1D61">
        <w:rPr>
          <w:i/>
          <w:sz w:val="26"/>
          <w:szCs w:val="26"/>
        </w:rPr>
        <w:t>Penal system – disciplinary measure in penal institutions (</w:t>
      </w:r>
      <w:r w:rsidR="00FF67EA" w:rsidRPr="002F1D61">
        <w:rPr>
          <w:i/>
          <w:sz w:val="26"/>
          <w:szCs w:val="26"/>
          <w:u w:val="single"/>
        </w:rPr>
        <w:t>unlawful</w:t>
      </w:r>
      <w:r w:rsidR="003F0720" w:rsidRPr="002F1D61">
        <w:rPr>
          <w:i/>
          <w:sz w:val="26"/>
          <w:szCs w:val="26"/>
        </w:rPr>
        <w:t xml:space="preserve">): </w:t>
      </w:r>
      <w:r w:rsidR="004A2121" w:rsidRPr="002F1D61">
        <w:rPr>
          <w:sz w:val="26"/>
          <w:szCs w:val="26"/>
        </w:rPr>
        <w:t>The Law on the Execution of Criminal Sanctions, Detention and Other Measures 2005 states that coercive measures may be used only to prevent escape, physical attacks on others, self-injury or damage to property (article 31). It prohibits inhuman or degrading treatment or punishment (article 45), states that physical restraint should not be used as a punishment (article 67), and does not include corporal punishment in the list of permitted disciplinary sanctions (article 90).</w:t>
      </w:r>
    </w:p>
    <w:p w:rsidR="004A2121" w:rsidRPr="002F1D61" w:rsidRDefault="001B2EF0" w:rsidP="002F1D61">
      <w:pPr>
        <w:spacing w:after="120"/>
        <w:ind w:left="482" w:hanging="482"/>
        <w:rPr>
          <w:sz w:val="26"/>
          <w:szCs w:val="26"/>
        </w:rPr>
      </w:pPr>
      <w:r w:rsidRPr="002F1D61">
        <w:rPr>
          <w:sz w:val="26"/>
          <w:szCs w:val="26"/>
        </w:rPr>
        <w:t>2.</w:t>
      </w:r>
      <w:r w:rsidR="002F1D61">
        <w:rPr>
          <w:sz w:val="26"/>
          <w:szCs w:val="26"/>
        </w:rPr>
        <w:t>9</w:t>
      </w:r>
      <w:r w:rsidR="003F0720" w:rsidRPr="002F1D61">
        <w:rPr>
          <w:sz w:val="26"/>
          <w:szCs w:val="26"/>
        </w:rPr>
        <w:t xml:space="preserve"> </w:t>
      </w:r>
      <w:r w:rsidR="003F0720" w:rsidRPr="002F1D61">
        <w:rPr>
          <w:i/>
          <w:sz w:val="26"/>
          <w:szCs w:val="26"/>
        </w:rPr>
        <w:t>Alternative care settings (</w:t>
      </w:r>
      <w:r w:rsidR="00E96205" w:rsidRPr="002F1D61">
        <w:rPr>
          <w:i/>
          <w:sz w:val="26"/>
          <w:szCs w:val="26"/>
          <w:u w:val="single"/>
        </w:rPr>
        <w:t>lawful</w:t>
      </w:r>
      <w:r w:rsidR="003F0720" w:rsidRPr="002F1D61">
        <w:rPr>
          <w:i/>
          <w:sz w:val="26"/>
          <w:szCs w:val="26"/>
        </w:rPr>
        <w:t xml:space="preserve">): </w:t>
      </w:r>
      <w:r w:rsidR="004A2121" w:rsidRPr="002F1D61">
        <w:rPr>
          <w:sz w:val="26"/>
          <w:szCs w:val="26"/>
        </w:rPr>
        <w:t xml:space="preserve">The prohibition of corporal punishment in the home in the Republic of Srpska also applies in alternative care settings, but corporal punishment in care settings in the Federation of Bosnia and Herzegovina and the District of </w:t>
      </w:r>
      <w:proofErr w:type="spellStart"/>
      <w:r w:rsidR="004A2121" w:rsidRPr="002F1D61">
        <w:rPr>
          <w:sz w:val="26"/>
          <w:szCs w:val="26"/>
        </w:rPr>
        <w:t>Brcko</w:t>
      </w:r>
      <w:proofErr w:type="spellEnd"/>
      <w:r w:rsidR="004A2121" w:rsidRPr="002F1D61">
        <w:rPr>
          <w:sz w:val="26"/>
          <w:szCs w:val="26"/>
        </w:rPr>
        <w:t xml:space="preserve"> is not explicitly prohibited. Preschool provision is governed by the Framework Law on Preschool Upbringing and Education 2007 which states the primacy of the child’s right to “upbringing and education and proper care for the benefit of their physical and mental health and safety” (article 7) but does not prohibit corporal punishment.</w:t>
      </w:r>
    </w:p>
    <w:p w:rsidR="00892F1D" w:rsidRPr="002F1D61" w:rsidRDefault="00892F1D" w:rsidP="002F1D61">
      <w:pPr>
        <w:spacing w:after="120"/>
        <w:ind w:left="482" w:hanging="482"/>
        <w:rPr>
          <w:b/>
          <w:sz w:val="26"/>
          <w:szCs w:val="26"/>
          <w:u w:val="single"/>
        </w:rPr>
      </w:pPr>
    </w:p>
    <w:bookmarkEnd w:id="0"/>
    <w:bookmarkEnd w:id="1"/>
    <w:p w:rsidR="005C3BC9" w:rsidRDefault="005C3BC9" w:rsidP="002F1D61">
      <w:pPr>
        <w:spacing w:after="120"/>
        <w:ind w:left="482" w:hanging="482"/>
        <w:rPr>
          <w:b/>
          <w:sz w:val="28"/>
          <w:szCs w:val="28"/>
        </w:rPr>
      </w:pPr>
    </w:p>
    <w:p w:rsidR="005C3BC9" w:rsidRDefault="005C3BC9" w:rsidP="002F1D61">
      <w:pPr>
        <w:spacing w:after="120"/>
        <w:ind w:left="482" w:hanging="482"/>
        <w:rPr>
          <w:b/>
          <w:sz w:val="28"/>
          <w:szCs w:val="28"/>
        </w:rPr>
      </w:pPr>
    </w:p>
    <w:p w:rsidR="00837361" w:rsidRPr="002F1D61" w:rsidRDefault="008C188E" w:rsidP="002F1D61">
      <w:pPr>
        <w:spacing w:after="120"/>
        <w:ind w:left="482" w:hanging="482"/>
        <w:rPr>
          <w:b/>
          <w:sz w:val="28"/>
          <w:szCs w:val="28"/>
        </w:rPr>
      </w:pPr>
      <w:r w:rsidRPr="002F1D61">
        <w:rPr>
          <w:b/>
          <w:sz w:val="28"/>
          <w:szCs w:val="28"/>
        </w:rPr>
        <w:lastRenderedPageBreak/>
        <w:t xml:space="preserve">3 </w:t>
      </w:r>
      <w:r w:rsidR="00837361" w:rsidRPr="002F1D61">
        <w:rPr>
          <w:b/>
          <w:sz w:val="28"/>
          <w:szCs w:val="28"/>
        </w:rPr>
        <w:t>Recommendations by human rights treaty bodies</w:t>
      </w:r>
    </w:p>
    <w:p w:rsidR="00DD0BFF" w:rsidRPr="002F1D61" w:rsidRDefault="00C6563C" w:rsidP="002F1D61">
      <w:pPr>
        <w:spacing w:after="120"/>
        <w:ind w:left="482" w:hanging="482"/>
        <w:rPr>
          <w:sz w:val="26"/>
          <w:szCs w:val="26"/>
        </w:rPr>
      </w:pPr>
      <w:bookmarkStart w:id="5" w:name="OLE_LINK16"/>
      <w:bookmarkStart w:id="6" w:name="OLE_LINK17"/>
      <w:r w:rsidRPr="002F1D61">
        <w:rPr>
          <w:sz w:val="26"/>
          <w:szCs w:val="26"/>
        </w:rPr>
        <w:t xml:space="preserve">3.1 </w:t>
      </w:r>
      <w:r w:rsidR="00E96205" w:rsidRPr="002F1D61">
        <w:rPr>
          <w:i/>
          <w:sz w:val="26"/>
          <w:szCs w:val="26"/>
        </w:rPr>
        <w:t>CRC:</w:t>
      </w:r>
      <w:r w:rsidR="00E96205" w:rsidRPr="002F1D61">
        <w:rPr>
          <w:sz w:val="26"/>
          <w:szCs w:val="26"/>
        </w:rPr>
        <w:t xml:space="preserve"> </w:t>
      </w:r>
      <w:r w:rsidR="00120C8B" w:rsidRPr="002F1D61">
        <w:rPr>
          <w:sz w:val="26"/>
          <w:szCs w:val="26"/>
        </w:rPr>
        <w:t>The Committee on the Rights of the Child has twice expressed concern at corporal punishment of children in Bosnia and Herzegovina and recommended its prohibition in the home and other settings – in its concluding observations on the initial report in 2005</w:t>
      </w:r>
      <w:r w:rsidR="00120C8B" w:rsidRPr="002F1D61">
        <w:rPr>
          <w:rStyle w:val="FootnoteReference"/>
          <w:sz w:val="26"/>
          <w:szCs w:val="26"/>
        </w:rPr>
        <w:footnoteReference w:id="6"/>
      </w:r>
      <w:r w:rsidR="00120C8B" w:rsidRPr="002F1D61">
        <w:rPr>
          <w:sz w:val="26"/>
          <w:szCs w:val="26"/>
        </w:rPr>
        <w:t xml:space="preserve"> and on the second-fourth report in 2012.</w:t>
      </w:r>
      <w:r w:rsidR="00120C8B" w:rsidRPr="002F1D61">
        <w:rPr>
          <w:rStyle w:val="FootnoteReference"/>
          <w:sz w:val="26"/>
          <w:szCs w:val="26"/>
        </w:rPr>
        <w:footnoteReference w:id="7"/>
      </w:r>
    </w:p>
    <w:p w:rsidR="00120C8B" w:rsidRPr="002F1D61" w:rsidRDefault="005C3BC9" w:rsidP="002F1D61">
      <w:pPr>
        <w:spacing w:after="120"/>
        <w:ind w:left="482" w:hanging="482"/>
        <w:rPr>
          <w:sz w:val="26"/>
          <w:szCs w:val="26"/>
        </w:rPr>
      </w:pPr>
      <w:r>
        <w:rPr>
          <w:sz w:val="26"/>
          <w:szCs w:val="26"/>
        </w:rPr>
        <w:t xml:space="preserve">3.2 </w:t>
      </w:r>
      <w:r w:rsidR="00120C8B" w:rsidRPr="002F1D61">
        <w:rPr>
          <w:i/>
          <w:sz w:val="26"/>
          <w:szCs w:val="26"/>
        </w:rPr>
        <w:t>ECSR:</w:t>
      </w:r>
      <w:r w:rsidR="00120C8B" w:rsidRPr="002F1D61">
        <w:rPr>
          <w:sz w:val="26"/>
          <w:szCs w:val="26"/>
        </w:rPr>
        <w:t xml:space="preserve"> In 2012, the European Committee of Social Rights concluded that the situation in Bosnia and Herzegovina is not in conformity with article 17 of the European Social Charter because corporal punishment is not prohibited in the home and other settings.</w:t>
      </w:r>
      <w:r w:rsidR="00120C8B" w:rsidRPr="002F1D61">
        <w:rPr>
          <w:rStyle w:val="FootnoteReference"/>
          <w:sz w:val="26"/>
          <w:szCs w:val="26"/>
        </w:rPr>
        <w:footnoteReference w:id="8"/>
      </w:r>
    </w:p>
    <w:p w:rsidR="00C6563C" w:rsidRPr="002F1D61" w:rsidRDefault="00C6563C" w:rsidP="002F1D61">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C46910"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5"/>
      <w:bookmarkEnd w:id="6"/>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910" w:rsidRDefault="00C46910">
      <w:r>
        <w:separator/>
      </w:r>
    </w:p>
  </w:endnote>
  <w:endnote w:type="continuationSeparator" w:id="0">
    <w:p w:rsidR="00C46910" w:rsidRDefault="00C46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910" w:rsidRDefault="00C46910">
      <w:r>
        <w:separator/>
      </w:r>
    </w:p>
  </w:footnote>
  <w:footnote w:type="continuationSeparator" w:id="0">
    <w:p w:rsidR="00C46910" w:rsidRDefault="00C46910">
      <w:r>
        <w:continuationSeparator/>
      </w:r>
    </w:p>
  </w:footnote>
  <w:footnote w:id="1">
    <w:p w:rsidR="00492BE1" w:rsidRPr="005C3BC9" w:rsidRDefault="00492BE1" w:rsidP="00492BE1">
      <w:pPr>
        <w:rPr>
          <w:sz w:val="20"/>
          <w:szCs w:val="20"/>
        </w:rPr>
      </w:pPr>
      <w:r w:rsidRPr="005C3BC9">
        <w:rPr>
          <w:rStyle w:val="FootnoteReference"/>
          <w:sz w:val="20"/>
          <w:szCs w:val="20"/>
        </w:rPr>
        <w:footnoteRef/>
      </w:r>
      <w:r w:rsidRPr="005C3BC9">
        <w:rPr>
          <w:sz w:val="20"/>
          <w:szCs w:val="20"/>
        </w:rPr>
        <w:t xml:space="preserve"> 2 November 2012, E/C.12/BIH/2, Second state party report, paras. 102-138</w:t>
      </w:r>
    </w:p>
  </w:footnote>
  <w:footnote w:id="2">
    <w:p w:rsidR="00492BE1" w:rsidRPr="005C3BC9" w:rsidRDefault="00492BE1">
      <w:pPr>
        <w:pStyle w:val="FootnoteText"/>
        <w:rPr>
          <w:lang w:val="en-GB"/>
        </w:rPr>
      </w:pPr>
      <w:r w:rsidRPr="005C3BC9">
        <w:rPr>
          <w:rStyle w:val="FootnoteReference"/>
        </w:rPr>
        <w:footnoteRef/>
      </w:r>
      <w:r w:rsidRPr="005C3BC9">
        <w:rPr>
          <w:lang w:val="en-GB"/>
        </w:rPr>
        <w:t xml:space="preserve"> 13 September 2012 CCPR/C/BIH/Q/2/Add.1, Written replies to the Human Rights Committee, para. 288; 17 December 2010, </w:t>
      </w:r>
      <w:r w:rsidRPr="005C3BC9">
        <w:rPr>
          <w:rFonts w:eastAsia="Calibri"/>
          <w:lang w:val="en-GB" w:eastAsia="en-GB"/>
        </w:rPr>
        <w:t>RAP/</w:t>
      </w:r>
      <w:proofErr w:type="spellStart"/>
      <w:r w:rsidRPr="005C3BC9">
        <w:rPr>
          <w:rFonts w:eastAsia="Calibri"/>
          <w:lang w:val="en-GB" w:eastAsia="en-GB"/>
        </w:rPr>
        <w:t>RCha</w:t>
      </w:r>
      <w:proofErr w:type="spellEnd"/>
      <w:r w:rsidRPr="005C3BC9">
        <w:rPr>
          <w:rFonts w:eastAsia="Calibri"/>
          <w:lang w:val="en-GB" w:eastAsia="en-GB"/>
        </w:rPr>
        <w:t>/</w:t>
      </w:r>
      <w:proofErr w:type="spellStart"/>
      <w:r w:rsidRPr="005C3BC9">
        <w:rPr>
          <w:rFonts w:eastAsia="Calibri"/>
          <w:lang w:val="en-GB" w:eastAsia="en-GB"/>
        </w:rPr>
        <w:t>BiH</w:t>
      </w:r>
      <w:proofErr w:type="spellEnd"/>
      <w:r w:rsidRPr="005C3BC9">
        <w:rPr>
          <w:rFonts w:eastAsia="Calibri"/>
          <w:lang w:val="en-GB" w:eastAsia="en-GB"/>
        </w:rPr>
        <w:t>/I(2010), National report to the European Committee of Social Rights, pp. 83ff</w:t>
      </w:r>
    </w:p>
  </w:footnote>
  <w:footnote w:id="3">
    <w:p w:rsidR="004A2121" w:rsidRPr="005C3BC9" w:rsidRDefault="004A2121">
      <w:pPr>
        <w:pStyle w:val="FootnoteText"/>
        <w:rPr>
          <w:lang w:val="en-GB"/>
        </w:rPr>
      </w:pPr>
      <w:r w:rsidRPr="005C3BC9">
        <w:rPr>
          <w:rStyle w:val="FootnoteReference"/>
        </w:rPr>
        <w:footnoteRef/>
      </w:r>
      <w:r w:rsidRPr="005C3BC9">
        <w:rPr>
          <w:lang w:val="en-GB"/>
        </w:rPr>
        <w:t xml:space="preserve"> 14 June 2011, CRC/C/BIH/2-4, Second-fourth periodic report, para. 133</w:t>
      </w:r>
    </w:p>
  </w:footnote>
  <w:footnote w:id="4">
    <w:p w:rsidR="004A2121" w:rsidRPr="005C3BC9" w:rsidRDefault="004A2121">
      <w:pPr>
        <w:pStyle w:val="FootnoteText"/>
        <w:rPr>
          <w:lang w:val="en-GB"/>
        </w:rPr>
      </w:pPr>
      <w:r w:rsidRPr="005C3BC9">
        <w:rPr>
          <w:rStyle w:val="FootnoteReference"/>
        </w:rPr>
        <w:footnoteRef/>
      </w:r>
      <w:r w:rsidRPr="005C3BC9">
        <w:rPr>
          <w:lang w:val="en-GB"/>
        </w:rPr>
        <w:t xml:space="preserve"> 13 July 2012, CRC/C/BIH/Q/2-4/Add.1, Written replies to the Committee on the Rights of the Child, para. 66</w:t>
      </w:r>
    </w:p>
  </w:footnote>
  <w:footnote w:id="5">
    <w:p w:rsidR="00120C8B" w:rsidRPr="005C3BC9" w:rsidRDefault="00120C8B">
      <w:pPr>
        <w:pStyle w:val="FootnoteText"/>
        <w:rPr>
          <w:lang w:val="en-GB"/>
        </w:rPr>
      </w:pPr>
      <w:r w:rsidRPr="005C3BC9">
        <w:rPr>
          <w:rStyle w:val="FootnoteReference"/>
        </w:rPr>
        <w:footnoteRef/>
      </w:r>
      <w:r w:rsidRPr="005C3BC9">
        <w:rPr>
          <w:lang w:val="en-GB"/>
        </w:rPr>
        <w:t xml:space="preserve"> UNICEF (2010), </w:t>
      </w:r>
      <w:r w:rsidRPr="005C3BC9">
        <w:rPr>
          <w:i/>
          <w:lang w:val="en-GB"/>
        </w:rPr>
        <w:t>Child Disciplinary Practices at Home: Evidence from a Range of Low- and Middle-Income Countries</w:t>
      </w:r>
      <w:r w:rsidRPr="005C3BC9">
        <w:rPr>
          <w:lang w:val="en-GB"/>
        </w:rPr>
        <w:t>, NY: UNICEF</w:t>
      </w:r>
    </w:p>
  </w:footnote>
  <w:footnote w:id="6">
    <w:p w:rsidR="00120C8B" w:rsidRPr="005C3BC9" w:rsidRDefault="00120C8B">
      <w:pPr>
        <w:pStyle w:val="FootnoteText"/>
        <w:rPr>
          <w:lang w:val="en-GB"/>
        </w:rPr>
      </w:pPr>
      <w:r w:rsidRPr="005C3BC9">
        <w:rPr>
          <w:rStyle w:val="FootnoteReference"/>
        </w:rPr>
        <w:footnoteRef/>
      </w:r>
      <w:r w:rsidRPr="005C3BC9">
        <w:rPr>
          <w:lang w:val="en-GB"/>
        </w:rPr>
        <w:t xml:space="preserve"> 29 November 2012, CRC/C/BIH/CO/2-4, Concluding observations on second-fourth report, paras. 39 and 40</w:t>
      </w:r>
    </w:p>
  </w:footnote>
  <w:footnote w:id="7">
    <w:p w:rsidR="00120C8B" w:rsidRPr="005C3BC9" w:rsidRDefault="00120C8B">
      <w:pPr>
        <w:pStyle w:val="FootnoteText"/>
        <w:rPr>
          <w:lang w:val="en-GB"/>
        </w:rPr>
      </w:pPr>
      <w:r w:rsidRPr="005C3BC9">
        <w:rPr>
          <w:rStyle w:val="FootnoteReference"/>
        </w:rPr>
        <w:footnoteRef/>
      </w:r>
      <w:r w:rsidRPr="005C3BC9">
        <w:rPr>
          <w:lang w:val="en-GB"/>
        </w:rPr>
        <w:t xml:space="preserve"> 21 September 2005, CRC/C/15/Add.259, Concluding observations on initial report, paras. 42 and 43</w:t>
      </w:r>
    </w:p>
  </w:footnote>
  <w:footnote w:id="8">
    <w:p w:rsidR="00120C8B" w:rsidRPr="005C3BC9" w:rsidRDefault="00120C8B">
      <w:pPr>
        <w:pStyle w:val="FootnoteText"/>
        <w:rPr>
          <w:lang w:val="en-GB"/>
        </w:rPr>
      </w:pPr>
      <w:r w:rsidRPr="005C3BC9">
        <w:rPr>
          <w:rStyle w:val="FootnoteReference"/>
        </w:rPr>
        <w:footnoteRef/>
      </w:r>
      <w:r w:rsidRPr="005C3BC9">
        <w:rPr>
          <w:lang w:val="en-GB"/>
        </w:rPr>
        <w:t xml:space="preserve"> </w:t>
      </w:r>
      <w:proofErr w:type="spellStart"/>
      <w:r w:rsidRPr="005C3BC9">
        <w:t>January</w:t>
      </w:r>
      <w:proofErr w:type="spellEnd"/>
      <w:r w:rsidRPr="005C3BC9">
        <w:t xml:space="preserve"> 2012, Conclusion 2011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96A42E3"/>
    <w:multiLevelType w:val="hybridMultilevel"/>
    <w:tmpl w:val="FDC80899"/>
    <w:lvl w:ilvl="0" w:tplc="FFFFFFFF">
      <w:start w:val="1"/>
      <w:numFmt w:val="decimal"/>
      <w:suff w:val="nothing"/>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8"/>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30"/>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 w:numId="37">
    <w:abstractNumId w:val="2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B2E34"/>
    <w:rsid w:val="000C718C"/>
    <w:rsid w:val="000E31E3"/>
    <w:rsid w:val="0010682F"/>
    <w:rsid w:val="00107CF6"/>
    <w:rsid w:val="00117F0F"/>
    <w:rsid w:val="00120C8B"/>
    <w:rsid w:val="00145B7A"/>
    <w:rsid w:val="001A7CC5"/>
    <w:rsid w:val="001B0E10"/>
    <w:rsid w:val="001B2EF0"/>
    <w:rsid w:val="001D3BCB"/>
    <w:rsid w:val="002049D3"/>
    <w:rsid w:val="002153F5"/>
    <w:rsid w:val="00241FF5"/>
    <w:rsid w:val="0025469F"/>
    <w:rsid w:val="00265C98"/>
    <w:rsid w:val="002826D8"/>
    <w:rsid w:val="00293A27"/>
    <w:rsid w:val="00294720"/>
    <w:rsid w:val="002A3C6B"/>
    <w:rsid w:val="002C6060"/>
    <w:rsid w:val="002C63DF"/>
    <w:rsid w:val="002D2B17"/>
    <w:rsid w:val="002E6075"/>
    <w:rsid w:val="002F0254"/>
    <w:rsid w:val="002F13CD"/>
    <w:rsid w:val="002F1D61"/>
    <w:rsid w:val="002F4423"/>
    <w:rsid w:val="00305613"/>
    <w:rsid w:val="00310B2B"/>
    <w:rsid w:val="00327E38"/>
    <w:rsid w:val="00356038"/>
    <w:rsid w:val="003637F7"/>
    <w:rsid w:val="00364B41"/>
    <w:rsid w:val="00381083"/>
    <w:rsid w:val="003B5172"/>
    <w:rsid w:val="003D059E"/>
    <w:rsid w:val="003E0AA1"/>
    <w:rsid w:val="003F0720"/>
    <w:rsid w:val="003F671F"/>
    <w:rsid w:val="0041585F"/>
    <w:rsid w:val="00416FDE"/>
    <w:rsid w:val="004213CD"/>
    <w:rsid w:val="004522A4"/>
    <w:rsid w:val="00452997"/>
    <w:rsid w:val="00463053"/>
    <w:rsid w:val="00464016"/>
    <w:rsid w:val="004640D9"/>
    <w:rsid w:val="00472D18"/>
    <w:rsid w:val="00483F29"/>
    <w:rsid w:val="00492BE1"/>
    <w:rsid w:val="004932F0"/>
    <w:rsid w:val="0049523D"/>
    <w:rsid w:val="00495D13"/>
    <w:rsid w:val="004A1623"/>
    <w:rsid w:val="004A2121"/>
    <w:rsid w:val="004B57EB"/>
    <w:rsid w:val="005055FC"/>
    <w:rsid w:val="00514287"/>
    <w:rsid w:val="005243C9"/>
    <w:rsid w:val="0053166A"/>
    <w:rsid w:val="00574390"/>
    <w:rsid w:val="0058326F"/>
    <w:rsid w:val="0058404E"/>
    <w:rsid w:val="005A3D86"/>
    <w:rsid w:val="005B2103"/>
    <w:rsid w:val="005C3BC9"/>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7295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5CF3"/>
    <w:rsid w:val="00955D6C"/>
    <w:rsid w:val="00960E47"/>
    <w:rsid w:val="00964D9F"/>
    <w:rsid w:val="00965F4E"/>
    <w:rsid w:val="00975951"/>
    <w:rsid w:val="00983D94"/>
    <w:rsid w:val="009909E6"/>
    <w:rsid w:val="00997763"/>
    <w:rsid w:val="009A26BC"/>
    <w:rsid w:val="009A4DF8"/>
    <w:rsid w:val="009A527C"/>
    <w:rsid w:val="009D1921"/>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C4562"/>
    <w:rsid w:val="00BE5640"/>
    <w:rsid w:val="00C1753A"/>
    <w:rsid w:val="00C40886"/>
    <w:rsid w:val="00C46910"/>
    <w:rsid w:val="00C6563C"/>
    <w:rsid w:val="00C6632E"/>
    <w:rsid w:val="00C930FA"/>
    <w:rsid w:val="00C95DFD"/>
    <w:rsid w:val="00C978D4"/>
    <w:rsid w:val="00CE7732"/>
    <w:rsid w:val="00D14015"/>
    <w:rsid w:val="00D6051B"/>
    <w:rsid w:val="00D6103F"/>
    <w:rsid w:val="00D7696F"/>
    <w:rsid w:val="00D76C4E"/>
    <w:rsid w:val="00DA7807"/>
    <w:rsid w:val="00DD0BFF"/>
    <w:rsid w:val="00DD447D"/>
    <w:rsid w:val="00DE60A9"/>
    <w:rsid w:val="00DF1FC6"/>
    <w:rsid w:val="00DF7945"/>
    <w:rsid w:val="00E015BF"/>
    <w:rsid w:val="00E1152D"/>
    <w:rsid w:val="00E12D78"/>
    <w:rsid w:val="00E177B9"/>
    <w:rsid w:val="00E30F52"/>
    <w:rsid w:val="00E4286C"/>
    <w:rsid w:val="00E631C5"/>
    <w:rsid w:val="00E64C33"/>
    <w:rsid w:val="00E82DAD"/>
    <w:rsid w:val="00E90091"/>
    <w:rsid w:val="00E96205"/>
    <w:rsid w:val="00EB5617"/>
    <w:rsid w:val="00EC6CBB"/>
    <w:rsid w:val="00ED1459"/>
    <w:rsid w:val="00ED7D40"/>
    <w:rsid w:val="00EF11F9"/>
    <w:rsid w:val="00EF3961"/>
    <w:rsid w:val="00EF4A2B"/>
    <w:rsid w:val="00F01E45"/>
    <w:rsid w:val="00F02A92"/>
    <w:rsid w:val="00F052B2"/>
    <w:rsid w:val="00F2218E"/>
    <w:rsid w:val="00F62612"/>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1">
    <w:name w:val="long_text1"/>
    <w:rsid w:val="002D2B1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986981218">
      <w:bodyDiv w:val="1"/>
      <w:marLeft w:val="0"/>
      <w:marRight w:val="0"/>
      <w:marTop w:val="0"/>
      <w:marBottom w:val="0"/>
      <w:divBdr>
        <w:top w:val="none" w:sz="0" w:space="0" w:color="auto"/>
        <w:left w:val="none" w:sz="0" w:space="0" w:color="auto"/>
        <w:bottom w:val="none" w:sz="0" w:space="0" w:color="auto"/>
        <w:right w:val="none" w:sz="0" w:space="0" w:color="auto"/>
      </w:divBdr>
      <w:divsChild>
        <w:div w:id="1380125164">
          <w:marLeft w:val="0"/>
          <w:marRight w:val="0"/>
          <w:marTop w:val="0"/>
          <w:marBottom w:val="0"/>
          <w:divBdr>
            <w:top w:val="none" w:sz="0" w:space="0" w:color="auto"/>
            <w:left w:val="none" w:sz="0" w:space="0" w:color="auto"/>
            <w:bottom w:val="none" w:sz="0" w:space="0" w:color="auto"/>
            <w:right w:val="none" w:sz="0" w:space="0" w:color="auto"/>
          </w:divBdr>
        </w:div>
      </w:divsChild>
    </w:div>
    <w:div w:id="1046610146">
      <w:bodyDiv w:val="1"/>
      <w:marLeft w:val="0"/>
      <w:marRight w:val="0"/>
      <w:marTop w:val="0"/>
      <w:marBottom w:val="0"/>
      <w:divBdr>
        <w:top w:val="none" w:sz="0" w:space="0" w:color="auto"/>
        <w:left w:val="none" w:sz="0" w:space="0" w:color="auto"/>
        <w:bottom w:val="none" w:sz="0" w:space="0" w:color="auto"/>
        <w:right w:val="none" w:sz="0" w:space="0" w:color="auto"/>
      </w:divBdr>
      <w:divsChild>
        <w:div w:id="972440529">
          <w:marLeft w:val="0"/>
          <w:marRight w:val="0"/>
          <w:marTop w:val="0"/>
          <w:marBottom w:val="0"/>
          <w:divBdr>
            <w:top w:val="none" w:sz="0" w:space="0" w:color="auto"/>
            <w:left w:val="none" w:sz="0" w:space="0" w:color="auto"/>
            <w:bottom w:val="none" w:sz="0" w:space="0" w:color="auto"/>
            <w:right w:val="none" w:sz="0" w:space="0" w:color="auto"/>
          </w:divBdr>
        </w:div>
      </w:divsChild>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 w:id="1569340991">
      <w:bodyDiv w:val="1"/>
      <w:marLeft w:val="0"/>
      <w:marRight w:val="0"/>
      <w:marTop w:val="0"/>
      <w:marBottom w:val="0"/>
      <w:divBdr>
        <w:top w:val="none" w:sz="0" w:space="0" w:color="auto"/>
        <w:left w:val="none" w:sz="0" w:space="0" w:color="auto"/>
        <w:bottom w:val="none" w:sz="0" w:space="0" w:color="auto"/>
        <w:right w:val="none" w:sz="0" w:space="0" w:color="auto"/>
      </w:divBdr>
      <w:divsChild>
        <w:div w:id="1134524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0886D-0C6E-4FEE-A606-443FB0872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7467</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5</cp:revision>
  <cp:lastPrinted>2008-04-11T08:34:00Z</cp:lastPrinted>
  <dcterms:created xsi:type="dcterms:W3CDTF">2013-03-27T12:04:00Z</dcterms:created>
  <dcterms:modified xsi:type="dcterms:W3CDTF">2013-03-27T13:23:00Z</dcterms:modified>
</cp:coreProperties>
</file>