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2F4AE" w14:textId="34ACF878" w:rsidR="00F73E0B" w:rsidRDefault="00F73E0B"/>
    <w:p w14:paraId="025C2AF1" w14:textId="77777777" w:rsidR="00873699" w:rsidRDefault="00873699"/>
    <w:p w14:paraId="6AC4D049" w14:textId="1B775F4E" w:rsidR="00F73E0B" w:rsidRDefault="00F73E0B"/>
    <w:p w14:paraId="4D9004A2" w14:textId="290E97C4" w:rsidR="00F73E0B" w:rsidRDefault="00F73E0B"/>
    <w:p w14:paraId="2FE0F6AC" w14:textId="6463EE5D" w:rsidR="00F73E0B" w:rsidRDefault="00F73E0B"/>
    <w:p w14:paraId="68BC435E" w14:textId="19716855" w:rsidR="00F73E0B" w:rsidRDefault="00F73E0B"/>
    <w:p w14:paraId="2EBC5009" w14:textId="77777777" w:rsidR="00F73E0B" w:rsidRDefault="00F73E0B"/>
    <w:sdt>
      <w:sdtPr>
        <w:id w:val="-1606483254"/>
        <w:docPartObj>
          <w:docPartGallery w:val="Cover Pages"/>
          <w:docPartUnique/>
        </w:docPartObj>
      </w:sdtPr>
      <w:sdtEndPr>
        <w:rPr>
          <w:b/>
          <w:sz w:val="44"/>
          <w:szCs w:val="28"/>
          <w:lang w:val="en-US"/>
        </w:rPr>
      </w:sdtEndPr>
      <w:sdtContent>
        <w:p w14:paraId="5E4B1848" w14:textId="62E2AA17" w:rsidR="00F73E0B" w:rsidRDefault="00F73E0B" w:rsidP="00F73E0B">
          <w:pPr>
            <w:jc w:val="center"/>
            <w:rPr>
              <w:rFonts w:cs="Arial"/>
              <w:b/>
              <w:sz w:val="48"/>
              <w:szCs w:val="48"/>
              <w:lang w:val="en-US"/>
            </w:rPr>
          </w:pPr>
          <w:r w:rsidRPr="001028E4">
            <w:rPr>
              <w:rFonts w:cs="Arial"/>
              <w:b/>
              <w:sz w:val="48"/>
              <w:szCs w:val="48"/>
              <w:lang w:val="en-US"/>
            </w:rPr>
            <w:t>Canadian Human Rights Commission</w:t>
          </w:r>
        </w:p>
        <w:p w14:paraId="01EF62D1" w14:textId="77777777" w:rsidR="00F73E0B" w:rsidRPr="001028E4" w:rsidRDefault="00F73E0B" w:rsidP="00F73E0B">
          <w:pPr>
            <w:jc w:val="center"/>
            <w:rPr>
              <w:rFonts w:cs="Arial"/>
              <w:b/>
              <w:sz w:val="48"/>
              <w:szCs w:val="48"/>
              <w:lang w:val="en-US"/>
            </w:rPr>
          </w:pPr>
        </w:p>
        <w:p w14:paraId="57AEAB8A" w14:textId="514531ED" w:rsidR="00F73E0B" w:rsidRPr="001D28D2" w:rsidRDefault="00F73E0B" w:rsidP="00F73E0B">
          <w:pPr>
            <w:jc w:val="center"/>
            <w:rPr>
              <w:rFonts w:cs="Arial"/>
              <w:b/>
              <w:sz w:val="40"/>
              <w:szCs w:val="40"/>
              <w:lang w:val="en-US"/>
            </w:rPr>
          </w:pPr>
          <w:r>
            <w:rPr>
              <w:rFonts w:cs="Arial"/>
              <w:b/>
              <w:sz w:val="40"/>
              <w:szCs w:val="40"/>
              <w:lang w:val="en-US"/>
            </w:rPr>
            <w:t xml:space="preserve">Submission to the </w:t>
          </w:r>
          <w:r w:rsidR="00880208">
            <w:rPr>
              <w:rFonts w:cs="Arial"/>
              <w:b/>
              <w:sz w:val="40"/>
              <w:szCs w:val="40"/>
              <w:lang w:val="en-US"/>
            </w:rPr>
            <w:t xml:space="preserve">Committee on the Elimination of Discrimination </w:t>
          </w:r>
          <w:r w:rsidR="00DE6AAB">
            <w:rPr>
              <w:rFonts w:cs="Arial"/>
              <w:b/>
              <w:sz w:val="40"/>
              <w:szCs w:val="40"/>
              <w:lang w:val="en-US"/>
            </w:rPr>
            <w:t>a</w:t>
          </w:r>
          <w:r w:rsidR="00880208">
            <w:rPr>
              <w:rFonts w:cs="Arial"/>
              <w:b/>
              <w:sz w:val="40"/>
              <w:szCs w:val="40"/>
              <w:lang w:val="en-US"/>
            </w:rPr>
            <w:t xml:space="preserve">gainst Women </w:t>
          </w:r>
          <w:proofErr w:type="gramStart"/>
          <w:r>
            <w:rPr>
              <w:rFonts w:cs="Arial"/>
              <w:b/>
              <w:sz w:val="40"/>
              <w:szCs w:val="40"/>
              <w:lang w:val="en-US"/>
            </w:rPr>
            <w:t xml:space="preserve">on the occasion </w:t>
          </w:r>
          <w:r w:rsidR="00880208">
            <w:rPr>
              <w:rFonts w:cs="Arial"/>
              <w:b/>
              <w:sz w:val="40"/>
              <w:szCs w:val="40"/>
              <w:lang w:val="en-US"/>
            </w:rPr>
            <w:t>of</w:t>
          </w:r>
          <w:proofErr w:type="gramEnd"/>
          <w:r w:rsidR="00880208">
            <w:rPr>
              <w:rFonts w:cs="Arial"/>
              <w:b/>
              <w:sz w:val="40"/>
              <w:szCs w:val="40"/>
              <w:lang w:val="en-US"/>
            </w:rPr>
            <w:t xml:space="preserve"> Canada’s 10</w:t>
          </w:r>
          <w:r w:rsidR="00880208" w:rsidRPr="00880208">
            <w:rPr>
              <w:rFonts w:cs="Arial"/>
              <w:b/>
              <w:sz w:val="40"/>
              <w:szCs w:val="40"/>
              <w:vertAlign w:val="superscript"/>
              <w:lang w:val="en-US"/>
            </w:rPr>
            <w:t>th</w:t>
          </w:r>
          <w:r w:rsidR="00880208">
            <w:rPr>
              <w:rFonts w:cs="Arial"/>
              <w:b/>
              <w:sz w:val="40"/>
              <w:szCs w:val="40"/>
              <w:lang w:val="en-US"/>
            </w:rPr>
            <w:t xml:space="preserve"> Periodic Review</w:t>
          </w:r>
          <w:r>
            <w:rPr>
              <w:rFonts w:cs="Arial"/>
              <w:b/>
              <w:sz w:val="40"/>
              <w:szCs w:val="40"/>
              <w:lang w:val="en-US"/>
            </w:rPr>
            <w:t xml:space="preserve"> </w:t>
          </w:r>
        </w:p>
        <w:p w14:paraId="2DD2798D" w14:textId="77777777" w:rsidR="00F73E0B" w:rsidRDefault="00F73E0B">
          <w:pPr>
            <w:rPr>
              <w:b/>
              <w:sz w:val="44"/>
              <w:szCs w:val="28"/>
              <w:lang w:val="en-US"/>
            </w:rPr>
          </w:pPr>
        </w:p>
        <w:p w14:paraId="250055D7" w14:textId="71D75873" w:rsidR="00F73E0B" w:rsidRDefault="00F73E0B">
          <w:pPr>
            <w:rPr>
              <w:b/>
              <w:sz w:val="44"/>
              <w:szCs w:val="28"/>
              <w:lang w:val="en-US"/>
            </w:rPr>
          </w:pPr>
        </w:p>
        <w:p w14:paraId="6D693600" w14:textId="78499283" w:rsidR="00F73E0B" w:rsidRDefault="00F73E0B">
          <w:pPr>
            <w:rPr>
              <w:b/>
              <w:sz w:val="44"/>
              <w:szCs w:val="28"/>
              <w:lang w:val="en-US"/>
            </w:rPr>
          </w:pPr>
        </w:p>
        <w:p w14:paraId="398696D0" w14:textId="77777777" w:rsidR="00F73E0B" w:rsidRDefault="00F73E0B">
          <w:pPr>
            <w:rPr>
              <w:b/>
              <w:sz w:val="44"/>
              <w:szCs w:val="28"/>
              <w:lang w:val="en-US"/>
            </w:rPr>
          </w:pPr>
        </w:p>
        <w:p w14:paraId="18E9EFA6" w14:textId="3C4C0EA5" w:rsidR="00F73E0B" w:rsidRPr="001028E4" w:rsidRDefault="00880208" w:rsidP="00F73E0B">
          <w:pPr>
            <w:rPr>
              <w:rFonts w:cs="Arial"/>
              <w:b/>
              <w:sz w:val="32"/>
              <w:lang w:val="en-US"/>
            </w:rPr>
          </w:pPr>
          <w:r>
            <w:rPr>
              <w:rFonts w:cs="Arial"/>
              <w:b/>
              <w:sz w:val="32"/>
              <w:lang w:val="en-US"/>
            </w:rPr>
            <w:t>September 2024</w:t>
          </w:r>
        </w:p>
        <w:p w14:paraId="5475B65A" w14:textId="7E8DE7BE" w:rsidR="003C5EE1" w:rsidRDefault="003C5EE1">
          <w:pPr>
            <w:rPr>
              <w:b/>
              <w:sz w:val="44"/>
              <w:szCs w:val="28"/>
              <w:lang w:val="en-US"/>
            </w:rPr>
          </w:pPr>
          <w:r>
            <w:rPr>
              <w:b/>
              <w:sz w:val="44"/>
              <w:szCs w:val="28"/>
              <w:lang w:val="en-US"/>
            </w:rPr>
            <w:br w:type="page"/>
          </w:r>
        </w:p>
      </w:sdtContent>
    </w:sdt>
    <w:p w14:paraId="4141B72D" w14:textId="77777777" w:rsidR="008F2070" w:rsidRPr="001D349F" w:rsidRDefault="008F2070" w:rsidP="006222D2">
      <w:pPr>
        <w:pStyle w:val="Heading1"/>
      </w:pPr>
      <w:bookmarkStart w:id="0" w:name="_Toc160006416"/>
      <w:bookmarkStart w:id="1" w:name="_Toc174373007"/>
      <w:r w:rsidRPr="001D349F">
        <w:lastRenderedPageBreak/>
        <w:t>THE CANADIAN HUMAN RIGHTS COMMISSION</w:t>
      </w:r>
      <w:bookmarkEnd w:id="0"/>
      <w:bookmarkEnd w:id="1"/>
    </w:p>
    <w:p w14:paraId="3EF69322" w14:textId="77777777" w:rsidR="008F2070" w:rsidRDefault="008F2070" w:rsidP="001D28D2">
      <w:pPr>
        <w:spacing w:line="240" w:lineRule="auto"/>
        <w:contextualSpacing/>
        <w:rPr>
          <w:rFonts w:cs="Arial"/>
          <w:szCs w:val="24"/>
        </w:rPr>
      </w:pPr>
    </w:p>
    <w:p w14:paraId="5FC3B4D3" w14:textId="28E05962" w:rsidR="001D28D2" w:rsidRPr="008F2070" w:rsidRDefault="001D28D2" w:rsidP="001D28D2">
      <w:pPr>
        <w:spacing w:line="240" w:lineRule="auto"/>
        <w:contextualSpacing/>
        <w:rPr>
          <w:rFonts w:cs="Arial"/>
          <w:szCs w:val="24"/>
        </w:rPr>
      </w:pPr>
      <w:r w:rsidRPr="008F2070">
        <w:rPr>
          <w:rFonts w:cs="Arial"/>
          <w:szCs w:val="24"/>
        </w:rPr>
        <w:t>The Canadian Human Rights Commission (CHRC) is Canada’s national human rights institution. It has been accredited “A-status” by the Global Alliance of National Human Rights Institutions, first in 1999 and again in 2006, 2011</w:t>
      </w:r>
      <w:r w:rsidR="00880208" w:rsidRPr="008F2070">
        <w:rPr>
          <w:rFonts w:cs="Arial"/>
          <w:szCs w:val="24"/>
        </w:rPr>
        <w:t xml:space="preserve">, </w:t>
      </w:r>
      <w:r w:rsidRPr="008F2070">
        <w:rPr>
          <w:rFonts w:cs="Arial"/>
          <w:szCs w:val="24"/>
        </w:rPr>
        <w:t>2016</w:t>
      </w:r>
      <w:r w:rsidR="00880208" w:rsidRPr="008F2070">
        <w:rPr>
          <w:rFonts w:cs="Arial"/>
          <w:szCs w:val="24"/>
        </w:rPr>
        <w:t xml:space="preserve"> and 2023</w:t>
      </w:r>
      <w:r w:rsidRPr="008F2070">
        <w:rPr>
          <w:rFonts w:cs="Arial"/>
          <w:szCs w:val="24"/>
        </w:rPr>
        <w:t>.</w:t>
      </w:r>
      <w:r w:rsidR="00A91263">
        <w:rPr>
          <w:rFonts w:cs="Arial"/>
          <w:szCs w:val="24"/>
        </w:rPr>
        <w:t xml:space="preserve"> </w:t>
      </w:r>
    </w:p>
    <w:p w14:paraId="71FCFB5C" w14:textId="77777777" w:rsidR="001D28D2" w:rsidRPr="008F2070" w:rsidRDefault="001D28D2" w:rsidP="001D28D2">
      <w:pPr>
        <w:spacing w:line="240" w:lineRule="auto"/>
        <w:contextualSpacing/>
        <w:rPr>
          <w:rFonts w:cs="Arial"/>
          <w:szCs w:val="24"/>
        </w:rPr>
      </w:pPr>
    </w:p>
    <w:p w14:paraId="1143EA2B" w14:textId="4B01C1E9" w:rsidR="001D28D2" w:rsidRPr="008F2070" w:rsidRDefault="001D28D2" w:rsidP="001D28D2">
      <w:pPr>
        <w:spacing w:line="240" w:lineRule="auto"/>
        <w:contextualSpacing/>
        <w:rPr>
          <w:rFonts w:cs="Arial"/>
          <w:szCs w:val="24"/>
        </w:rPr>
      </w:pPr>
      <w:r w:rsidRPr="008F2070">
        <w:rPr>
          <w:rFonts w:cs="Arial"/>
          <w:szCs w:val="24"/>
        </w:rPr>
        <w:t>The CHRC was established by Parliament through the Canadian Human Rights Act (CHRA) in 1977.</w:t>
      </w:r>
      <w:r w:rsidRPr="008F2070">
        <w:rPr>
          <w:rStyle w:val="FootnoteReference"/>
          <w:rFonts w:cs="Arial"/>
          <w:szCs w:val="24"/>
        </w:rPr>
        <w:footnoteReference w:id="1"/>
      </w:r>
      <w:r w:rsidRPr="008F2070">
        <w:rPr>
          <w:rFonts w:cs="Arial"/>
          <w:szCs w:val="24"/>
        </w:rPr>
        <w:t xml:space="preserve"> It has a broad mandate to promote and protect human rights. </w:t>
      </w:r>
    </w:p>
    <w:p w14:paraId="757B1CE7" w14:textId="77777777" w:rsidR="001D28D2" w:rsidRPr="008F2070" w:rsidRDefault="001D28D2" w:rsidP="001D28D2">
      <w:pPr>
        <w:spacing w:line="240" w:lineRule="auto"/>
        <w:contextualSpacing/>
        <w:rPr>
          <w:rFonts w:cs="Arial"/>
          <w:szCs w:val="24"/>
        </w:rPr>
      </w:pPr>
    </w:p>
    <w:p w14:paraId="01293586" w14:textId="385693E0" w:rsidR="001D76AA" w:rsidRDefault="001D28D2" w:rsidP="001D28D2">
      <w:pPr>
        <w:spacing w:after="0" w:line="240" w:lineRule="auto"/>
        <w:contextualSpacing/>
        <w:rPr>
          <w:rFonts w:cs="Arial"/>
          <w:szCs w:val="24"/>
        </w:rPr>
      </w:pPr>
      <w:r w:rsidRPr="008F2070">
        <w:rPr>
          <w:rFonts w:cs="Arial"/>
          <w:szCs w:val="24"/>
        </w:rPr>
        <w:t>The CHRC’s efforts to promote and protect human rights include screening and, where possible, mediating discrimination complaints, representing the public interest in the litigation of co</w:t>
      </w:r>
      <w:r w:rsidR="0068072B" w:rsidRPr="008F2070">
        <w:rPr>
          <w:rFonts w:cs="Arial"/>
          <w:szCs w:val="24"/>
        </w:rPr>
        <w:t xml:space="preserve">mplaints, developing policy, </w:t>
      </w:r>
      <w:r w:rsidRPr="008F2070">
        <w:rPr>
          <w:rFonts w:cs="Arial"/>
          <w:szCs w:val="24"/>
        </w:rPr>
        <w:t>conducting research in consultation with rights holders and stakeholders, issuing public statements,</w:t>
      </w:r>
      <w:r w:rsidR="0068072B" w:rsidRPr="008F2070">
        <w:rPr>
          <w:rFonts w:cs="Arial"/>
          <w:szCs w:val="24"/>
        </w:rPr>
        <w:t xml:space="preserve"> </w:t>
      </w:r>
      <w:r w:rsidRPr="008F2070">
        <w:rPr>
          <w:rFonts w:cs="Arial"/>
          <w:szCs w:val="24"/>
        </w:rPr>
        <w:t>tabling special reports in Parliament</w:t>
      </w:r>
      <w:r w:rsidR="0068072B" w:rsidRPr="008F2070">
        <w:rPr>
          <w:rFonts w:cs="Arial"/>
          <w:szCs w:val="24"/>
        </w:rPr>
        <w:t>, and monitoring Canada’s implementation of its international human rights obligations</w:t>
      </w:r>
      <w:r w:rsidRPr="008F2070">
        <w:rPr>
          <w:rFonts w:cs="Arial"/>
          <w:szCs w:val="24"/>
        </w:rPr>
        <w:t xml:space="preserve">. </w:t>
      </w:r>
      <w:r w:rsidR="0068072B" w:rsidRPr="008F2070">
        <w:rPr>
          <w:rFonts w:cs="Arial"/>
          <w:szCs w:val="24"/>
        </w:rPr>
        <w:t xml:space="preserve">The CHRC has additional responsibilities under the Employment Equity Act, the Accessible Canada Act, the Pay Equity Act, and the National Housing Strategy Act. </w:t>
      </w:r>
    </w:p>
    <w:p w14:paraId="2A5A2B9F" w14:textId="64FBD8E7" w:rsidR="001D28D2" w:rsidRDefault="00880208" w:rsidP="00396D1B">
      <w:pPr>
        <w:spacing w:line="240" w:lineRule="auto"/>
      </w:pPr>
      <w:r>
        <w:t xml:space="preserve"> </w:t>
      </w:r>
      <w:r w:rsidR="001D28D2">
        <w:t xml:space="preserve"> </w:t>
      </w:r>
    </w:p>
    <w:p w14:paraId="7EF51E56" w14:textId="75C77DED" w:rsidR="00A85C41" w:rsidRDefault="00A85C41" w:rsidP="00A85C41">
      <w:pPr>
        <w:pStyle w:val="Heading1"/>
      </w:pPr>
      <w:bookmarkStart w:id="2" w:name="_Toc174373008"/>
      <w:r>
        <w:t>INTERSECTIONAL, INCLUSIVE FEMINISM</w:t>
      </w:r>
      <w:bookmarkEnd w:id="2"/>
    </w:p>
    <w:p w14:paraId="1C99C626" w14:textId="69D901E3" w:rsidR="00A85C41" w:rsidRPr="00A278AB" w:rsidRDefault="00A85C41" w:rsidP="00A85C41">
      <w:pPr>
        <w:spacing w:line="240" w:lineRule="auto"/>
      </w:pPr>
      <w:r w:rsidRPr="00A278AB">
        <w:t>The CHRC aims to be inclusive and intersectional in its discussion of issues impacting women</w:t>
      </w:r>
      <w:r w:rsidRPr="00A278AB">
        <w:rPr>
          <w:rStyle w:val="FootnoteReference"/>
        </w:rPr>
        <w:footnoteReference w:id="2"/>
      </w:r>
      <w:r w:rsidRPr="00A278AB">
        <w:t xml:space="preserve"> and other people facing </w:t>
      </w:r>
      <w:r w:rsidR="00E63ACF">
        <w:t>gender- and sex-based discrimination</w:t>
      </w:r>
      <w:r w:rsidRPr="00A278AB">
        <w:t xml:space="preserve">. </w:t>
      </w:r>
      <w:r w:rsidR="00E63ACF">
        <w:t>T</w:t>
      </w:r>
      <w:r w:rsidRPr="00A278AB">
        <w:t>he CHRC is concerned about the appropriation of the language of feminism and human rights in anti-trans activities and agendas. Feminism must recognize the complex and intersecting ways in which 2SLGBTQQIA+ people</w:t>
      </w:r>
      <w:r w:rsidRPr="00A278AB">
        <w:rPr>
          <w:vertAlign w:val="superscript"/>
        </w:rPr>
        <w:footnoteReference w:id="3"/>
      </w:r>
      <w:r w:rsidRPr="00A278AB">
        <w:t xml:space="preserve"> are marginalized based on their diverse gender identities, gender expressions and sex characteristics. The CHRC supports trans-inclusive feminism and efforts to ensure diverse voices and experiences are reflected in feminist research and agendas.</w:t>
      </w:r>
      <w:r w:rsidRPr="00A278AB">
        <w:rPr>
          <w:vertAlign w:val="superscript"/>
        </w:rPr>
        <w:footnoteReference w:id="4"/>
      </w:r>
    </w:p>
    <w:p w14:paraId="525371DA" w14:textId="1B819105" w:rsidR="00A85C41" w:rsidRDefault="00A85C41" w:rsidP="00967448">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iCs/>
          <w:szCs w:val="24"/>
        </w:rPr>
      </w:pPr>
      <w:r w:rsidRPr="00A278AB">
        <w:rPr>
          <w:rFonts w:cs="Arial"/>
          <w:b/>
          <w:bCs/>
          <w:szCs w:val="24"/>
        </w:rPr>
        <w:lastRenderedPageBreak/>
        <w:t xml:space="preserve">Recommendation </w:t>
      </w:r>
      <w:r w:rsidR="00CB7542">
        <w:rPr>
          <w:rFonts w:cs="Arial"/>
          <w:b/>
          <w:bCs/>
          <w:szCs w:val="24"/>
        </w:rPr>
        <w:t>#</w:t>
      </w:r>
      <w:r w:rsidRPr="00A278AB">
        <w:rPr>
          <w:rFonts w:cs="Arial"/>
          <w:b/>
          <w:bCs/>
          <w:szCs w:val="24"/>
        </w:rPr>
        <w:t>1:</w:t>
      </w:r>
      <w:r w:rsidRPr="00A278AB">
        <w:rPr>
          <w:rFonts w:cs="Arial"/>
          <w:szCs w:val="24"/>
        </w:rPr>
        <w:t xml:space="preserve"> That Canada ensure</w:t>
      </w:r>
      <w:r w:rsidR="008D6942">
        <w:rPr>
          <w:rFonts w:cs="Arial"/>
          <w:szCs w:val="24"/>
        </w:rPr>
        <w:t>s</w:t>
      </w:r>
      <w:r w:rsidRPr="00A278AB">
        <w:rPr>
          <w:rFonts w:cs="Arial"/>
          <w:szCs w:val="24"/>
        </w:rPr>
        <w:t xml:space="preserve"> that strategies intended to advance the rights of women recognize intersectionality and include trans women, non-binary and gender diverse populations.</w:t>
      </w:r>
    </w:p>
    <w:p w14:paraId="13601D34" w14:textId="752609C5" w:rsidR="00033CE3" w:rsidRDefault="00880208" w:rsidP="008F2070">
      <w:pPr>
        <w:pStyle w:val="Heading1"/>
      </w:pPr>
      <w:bookmarkStart w:id="3" w:name="_Toc174373009"/>
      <w:r>
        <w:t xml:space="preserve">HOUSING </w:t>
      </w:r>
      <w:bookmarkEnd w:id="3"/>
    </w:p>
    <w:p w14:paraId="3E5CF59F" w14:textId="758468B6" w:rsidR="009B30DF" w:rsidRPr="00C25033" w:rsidRDefault="000A13A2" w:rsidP="00C25033">
      <w:pPr>
        <w:pStyle w:val="NormalWeb"/>
        <w:spacing w:after="0"/>
        <w:rPr>
          <w:rFonts w:ascii="Arial" w:hAnsi="Arial" w:cs="Arial"/>
          <w:lang w:val="en"/>
        </w:rPr>
      </w:pPr>
      <w:r w:rsidRPr="00B458E0">
        <w:rPr>
          <w:rFonts w:ascii="Arial" w:hAnsi="Arial" w:cs="Arial"/>
          <w:lang w:val="en"/>
        </w:rPr>
        <w:t>The 2019 National Housing Strategy Act</w:t>
      </w:r>
      <w:r>
        <w:rPr>
          <w:rStyle w:val="FootnoteReference"/>
          <w:rFonts w:ascii="Arial" w:hAnsi="Arial" w:cs="Arial"/>
          <w:lang w:val="en"/>
        </w:rPr>
        <w:footnoteReference w:id="5"/>
      </w:r>
      <w:r w:rsidRPr="00B458E0">
        <w:rPr>
          <w:rFonts w:ascii="Arial" w:hAnsi="Arial" w:cs="Arial"/>
          <w:lang w:val="en"/>
        </w:rPr>
        <w:t xml:space="preserve"> enshrined the human right to adequate housing</w:t>
      </w:r>
      <w:r>
        <w:rPr>
          <w:rFonts w:ascii="Arial" w:hAnsi="Arial" w:cs="Arial"/>
          <w:lang w:val="en"/>
        </w:rPr>
        <w:t xml:space="preserve"> in domestic law</w:t>
      </w:r>
      <w:r w:rsidRPr="00B458E0">
        <w:rPr>
          <w:rFonts w:ascii="Arial" w:hAnsi="Arial" w:cs="Arial"/>
          <w:lang w:val="en"/>
        </w:rPr>
        <w:t xml:space="preserve"> and established the Federal Housing Advocate.</w:t>
      </w:r>
      <w:r w:rsidRPr="00B458E0">
        <w:rPr>
          <w:rStyle w:val="FootnoteReference"/>
          <w:rFonts w:ascii="Arial" w:hAnsi="Arial" w:cs="Arial"/>
          <w:lang w:val="en"/>
        </w:rPr>
        <w:footnoteReference w:id="6"/>
      </w:r>
      <w:r w:rsidRPr="00B458E0">
        <w:rPr>
          <w:rFonts w:ascii="Arial" w:hAnsi="Arial" w:cs="Arial"/>
          <w:lang w:val="en"/>
        </w:rPr>
        <w:t xml:space="preserve"> As mandated by the Act, </w:t>
      </w:r>
      <w:r>
        <w:rPr>
          <w:rFonts w:ascii="Arial" w:hAnsi="Arial" w:cs="Arial"/>
          <w:lang w:val="en"/>
        </w:rPr>
        <w:t>Canada’s</w:t>
      </w:r>
      <w:r w:rsidRPr="00B458E0">
        <w:rPr>
          <w:rFonts w:ascii="Arial" w:hAnsi="Arial" w:cs="Arial"/>
          <w:lang w:val="en"/>
        </w:rPr>
        <w:t xml:space="preserve"> National Housing Strategy</w:t>
      </w:r>
      <w:r>
        <w:rPr>
          <w:rFonts w:ascii="Arial" w:hAnsi="Arial" w:cs="Arial"/>
          <w:lang w:val="en"/>
        </w:rPr>
        <w:t xml:space="preserve"> (NHS)</w:t>
      </w:r>
      <w:r w:rsidRPr="00B458E0">
        <w:rPr>
          <w:rStyle w:val="FootnoteReference"/>
          <w:rFonts w:ascii="Arial" w:hAnsi="Arial" w:cs="Arial"/>
          <w:lang w:val="en"/>
        </w:rPr>
        <w:footnoteReference w:id="7"/>
      </w:r>
      <w:r w:rsidRPr="00B458E0">
        <w:rPr>
          <w:rFonts w:ascii="Arial" w:hAnsi="Arial" w:cs="Arial"/>
          <w:lang w:val="en"/>
        </w:rPr>
        <w:t xml:space="preserve"> must improve </w:t>
      </w:r>
      <w:r>
        <w:rPr>
          <w:rFonts w:ascii="Arial" w:hAnsi="Arial" w:cs="Arial"/>
          <w:lang w:val="en"/>
        </w:rPr>
        <w:t>housing</w:t>
      </w:r>
      <w:r w:rsidRPr="00B458E0">
        <w:rPr>
          <w:rFonts w:ascii="Arial" w:hAnsi="Arial" w:cs="Arial"/>
          <w:lang w:val="en"/>
        </w:rPr>
        <w:t xml:space="preserve"> outcomes </w:t>
      </w:r>
      <w:r w:rsidR="00513691">
        <w:rPr>
          <w:rFonts w:ascii="Arial" w:hAnsi="Arial" w:cs="Arial"/>
          <w:lang w:val="en"/>
        </w:rPr>
        <w:t>for</w:t>
      </w:r>
      <w:r w:rsidRPr="00B458E0">
        <w:rPr>
          <w:rFonts w:ascii="Arial" w:hAnsi="Arial" w:cs="Arial"/>
          <w:lang w:val="en"/>
        </w:rPr>
        <w:t xml:space="preserve"> disadvantaged groups</w:t>
      </w:r>
      <w:r w:rsidRPr="00B458E0">
        <w:rPr>
          <w:rStyle w:val="FootnoteReference"/>
          <w:rFonts w:ascii="Arial" w:hAnsi="Arial" w:cs="Arial"/>
          <w:lang w:val="en"/>
        </w:rPr>
        <w:footnoteReference w:id="8"/>
      </w:r>
      <w:r w:rsidRPr="00B458E0">
        <w:rPr>
          <w:rFonts w:ascii="Arial" w:hAnsi="Arial" w:cs="Arial"/>
          <w:lang w:val="en"/>
        </w:rPr>
        <w:t xml:space="preserve"> </w:t>
      </w:r>
      <w:r>
        <w:rPr>
          <w:rFonts w:ascii="Arial" w:hAnsi="Arial" w:cs="Arial"/>
          <w:lang w:val="en"/>
        </w:rPr>
        <w:t xml:space="preserve">and people </w:t>
      </w:r>
      <w:r w:rsidRPr="00B458E0">
        <w:rPr>
          <w:rFonts w:ascii="Arial" w:hAnsi="Arial" w:cs="Arial"/>
          <w:lang w:val="en"/>
        </w:rPr>
        <w:t xml:space="preserve">experiencing homelessness and inadequate housing. </w:t>
      </w:r>
      <w:r>
        <w:rPr>
          <w:rFonts w:ascii="Arial" w:hAnsi="Arial" w:cs="Arial"/>
        </w:rPr>
        <w:t>The NHS aims to dedicate 25% of funding toward meeting the housing needs of women and their children</w:t>
      </w:r>
      <w:r w:rsidRPr="00B458E0">
        <w:rPr>
          <w:rFonts w:ascii="Arial" w:hAnsi="Arial" w:cs="Arial"/>
        </w:rPr>
        <w:t xml:space="preserve">. </w:t>
      </w:r>
      <w:bookmarkStart w:id="4" w:name="_Toc174371106"/>
      <w:bookmarkStart w:id="5" w:name="_Toc174373010"/>
      <w:bookmarkStart w:id="6" w:name="_Toc174371108"/>
      <w:bookmarkStart w:id="7" w:name="_Toc174373012"/>
      <w:bookmarkEnd w:id="4"/>
      <w:bookmarkEnd w:id="5"/>
      <w:bookmarkEnd w:id="6"/>
      <w:bookmarkEnd w:id="7"/>
    </w:p>
    <w:p w14:paraId="2F1ECD7C" w14:textId="4F7CD460" w:rsidR="000A13A2" w:rsidRPr="000A13A2" w:rsidRDefault="000A13A2" w:rsidP="00C429D1">
      <w:pPr>
        <w:pStyle w:val="Heading2"/>
      </w:pPr>
      <w:bookmarkStart w:id="8" w:name="_Toc174373013"/>
      <w:r w:rsidRPr="00C429D1">
        <w:t>Systemic</w:t>
      </w:r>
      <w:r w:rsidRPr="000A13A2">
        <w:t xml:space="preserve"> housing issues</w:t>
      </w:r>
      <w:bookmarkEnd w:id="8"/>
    </w:p>
    <w:p w14:paraId="19FC6873" w14:textId="77777777" w:rsidR="00C25033" w:rsidRDefault="000A13A2" w:rsidP="000A13A2">
      <w:pPr>
        <w:pStyle w:val="NormalWeb"/>
        <w:spacing w:after="0"/>
        <w:rPr>
          <w:rFonts w:ascii="Arial" w:hAnsi="Arial" w:cs="Arial"/>
          <w:lang w:val="en"/>
        </w:rPr>
      </w:pPr>
      <w:r>
        <w:rPr>
          <w:rFonts w:ascii="Arial" w:hAnsi="Arial" w:cs="Arial"/>
          <w:lang w:val="en"/>
        </w:rPr>
        <w:t>Despite Canada’s human rights commitments,</w:t>
      </w:r>
      <w:r w:rsidRPr="00B458E0">
        <w:rPr>
          <w:rFonts w:ascii="Arial" w:hAnsi="Arial" w:cs="Arial"/>
          <w:lang w:val="en"/>
        </w:rPr>
        <w:t xml:space="preserve"> women, Two-Spirit, trans, and gender diverse people</w:t>
      </w:r>
      <w:r w:rsidR="00187223">
        <w:rPr>
          <w:rFonts w:ascii="Arial" w:hAnsi="Arial" w:cs="Arial"/>
          <w:lang w:val="en"/>
        </w:rPr>
        <w:t xml:space="preserve"> </w:t>
      </w:r>
      <w:r>
        <w:rPr>
          <w:rFonts w:ascii="Arial" w:hAnsi="Arial" w:cs="Arial"/>
          <w:lang w:val="en"/>
        </w:rPr>
        <w:t>continue to</w:t>
      </w:r>
      <w:r w:rsidRPr="00B458E0">
        <w:rPr>
          <w:rFonts w:ascii="Arial" w:hAnsi="Arial" w:cs="Arial"/>
          <w:lang w:val="en"/>
        </w:rPr>
        <w:t xml:space="preserve"> face disproportionate violations of their right to housing.</w:t>
      </w:r>
    </w:p>
    <w:p w14:paraId="4E47EEB7" w14:textId="0EE2484D" w:rsidR="000A13A2" w:rsidRPr="00B458E0" w:rsidRDefault="000A13A2" w:rsidP="000A13A2">
      <w:pPr>
        <w:pStyle w:val="NormalWeb"/>
        <w:spacing w:after="0"/>
        <w:rPr>
          <w:rFonts w:ascii="Arial" w:hAnsi="Arial" w:cs="Arial"/>
          <w:lang w:val="en"/>
        </w:rPr>
      </w:pPr>
      <w:r w:rsidRPr="00B458E0">
        <w:rPr>
          <w:rFonts w:ascii="Arial" w:hAnsi="Arial" w:cs="Arial"/>
          <w:lang w:val="en"/>
        </w:rPr>
        <w:lastRenderedPageBreak/>
        <w:t>Women and gender diverse people in Canada are more likely to be in unaffordable housing</w:t>
      </w:r>
      <w:r w:rsidRPr="00B458E0">
        <w:rPr>
          <w:rStyle w:val="FootnoteReference"/>
          <w:rFonts w:ascii="Arial" w:hAnsi="Arial" w:cs="Arial"/>
          <w:lang w:val="en"/>
        </w:rPr>
        <w:footnoteReference w:id="9"/>
      </w:r>
      <w:r w:rsidRPr="00B458E0">
        <w:rPr>
          <w:rFonts w:ascii="Arial" w:hAnsi="Arial" w:cs="Arial"/>
          <w:lang w:val="en"/>
        </w:rPr>
        <w:t xml:space="preserve"> and core housing need</w:t>
      </w:r>
      <w:r>
        <w:rPr>
          <w:rFonts w:ascii="Arial" w:hAnsi="Arial" w:cs="Arial"/>
          <w:lang w:val="en"/>
        </w:rPr>
        <w:t>,</w:t>
      </w:r>
      <w:r w:rsidRPr="00B458E0">
        <w:rPr>
          <w:rStyle w:val="FootnoteReference"/>
          <w:rFonts w:ascii="Arial" w:hAnsi="Arial" w:cs="Arial"/>
          <w:lang w:val="en"/>
        </w:rPr>
        <w:footnoteReference w:id="10"/>
      </w:r>
      <w:r w:rsidRPr="00B458E0">
        <w:rPr>
          <w:rFonts w:ascii="Arial" w:hAnsi="Arial" w:cs="Arial"/>
          <w:lang w:val="en"/>
        </w:rPr>
        <w:t xml:space="preserve"> </w:t>
      </w:r>
      <w:r>
        <w:rPr>
          <w:rFonts w:ascii="Arial" w:hAnsi="Arial" w:cs="Arial"/>
          <w:lang w:val="en"/>
        </w:rPr>
        <w:t xml:space="preserve">and </w:t>
      </w:r>
      <w:r w:rsidR="00513691">
        <w:rPr>
          <w:rFonts w:ascii="Arial" w:hAnsi="Arial" w:cs="Arial"/>
          <w:lang w:val="en"/>
        </w:rPr>
        <w:t xml:space="preserve">to </w:t>
      </w:r>
      <w:r w:rsidRPr="00B458E0">
        <w:rPr>
          <w:rFonts w:ascii="Arial" w:hAnsi="Arial" w:cs="Arial"/>
          <w:lang w:val="en"/>
        </w:rPr>
        <w:t>face discrimination</w:t>
      </w:r>
      <w:r w:rsidRPr="00B458E0">
        <w:rPr>
          <w:rStyle w:val="FootnoteReference"/>
          <w:rFonts w:ascii="Arial" w:hAnsi="Arial" w:cs="Arial"/>
          <w:lang w:val="en"/>
        </w:rPr>
        <w:footnoteReference w:id="11"/>
      </w:r>
      <w:r w:rsidRPr="00B458E0">
        <w:rPr>
          <w:rFonts w:ascii="Arial" w:hAnsi="Arial" w:cs="Arial"/>
          <w:lang w:val="en"/>
        </w:rPr>
        <w:t xml:space="preserve"> in the housing market. </w:t>
      </w:r>
    </w:p>
    <w:p w14:paraId="389DC696" w14:textId="3ED5D1B2" w:rsidR="000A13A2" w:rsidRPr="00B458E0" w:rsidRDefault="000A13A2" w:rsidP="000A13A2">
      <w:pPr>
        <w:pStyle w:val="NormalWeb"/>
        <w:spacing w:after="0"/>
        <w:rPr>
          <w:rFonts w:ascii="Arial" w:hAnsi="Arial" w:cs="Arial"/>
          <w:lang w:val="en"/>
        </w:rPr>
      </w:pPr>
      <w:r w:rsidRPr="00B458E0">
        <w:rPr>
          <w:rFonts w:ascii="Arial" w:hAnsi="Arial" w:cs="Arial"/>
        </w:rPr>
        <w:t>Financialization worsens the affordability, security of tenure, and conditions of rental housing for women, and is associated with higher rates of morbidity and mortality in long-term care.</w:t>
      </w:r>
      <w:r w:rsidRPr="00B458E0">
        <w:rPr>
          <w:rStyle w:val="FootnoteReference"/>
          <w:rFonts w:ascii="Arial" w:hAnsi="Arial" w:cs="Arial"/>
          <w:lang w:val="en"/>
        </w:rPr>
        <w:footnoteReference w:id="12"/>
      </w:r>
    </w:p>
    <w:p w14:paraId="17D835BF" w14:textId="09454364" w:rsidR="000A13A2" w:rsidRPr="00B458E0" w:rsidRDefault="000A13A2" w:rsidP="000A13A2">
      <w:pPr>
        <w:pStyle w:val="NormalWeb"/>
        <w:spacing w:after="0"/>
        <w:rPr>
          <w:rFonts w:ascii="Arial" w:hAnsi="Arial" w:cs="Arial"/>
        </w:rPr>
      </w:pPr>
      <w:r w:rsidRPr="00B458E0">
        <w:rPr>
          <w:rFonts w:ascii="Arial" w:hAnsi="Arial" w:cs="Arial"/>
        </w:rPr>
        <w:t>The combined impacts of poverty and gender-based violence result in homelessness for women and their families.</w:t>
      </w:r>
      <w:r w:rsidRPr="00B458E0">
        <w:rPr>
          <w:rStyle w:val="FootnoteReference"/>
          <w:rFonts w:ascii="Arial" w:hAnsi="Arial" w:cs="Arial"/>
        </w:rPr>
        <w:footnoteReference w:id="13"/>
      </w:r>
      <w:r w:rsidRPr="00B458E0">
        <w:rPr>
          <w:rFonts w:ascii="Arial" w:hAnsi="Arial" w:cs="Arial"/>
        </w:rPr>
        <w:t xml:space="preserve"> </w:t>
      </w:r>
      <w:r w:rsidR="00187223" w:rsidRPr="005B5E56">
        <w:rPr>
          <w:rFonts w:ascii="Arial" w:hAnsi="Arial" w:cs="Arial"/>
        </w:rPr>
        <w:t>Women often experience “hidden homelessness” not captured in municipal homeless counts, such as staying temporarily with friends, or in abusive situations</w:t>
      </w:r>
      <w:r>
        <w:rPr>
          <w:rFonts w:ascii="Arial" w:hAnsi="Arial" w:cs="Arial"/>
        </w:rPr>
        <w:t>.</w:t>
      </w:r>
      <w:r w:rsidR="000B12A0">
        <w:rPr>
          <w:rStyle w:val="FootnoteReference"/>
          <w:rFonts w:ascii="Arial" w:hAnsi="Arial" w:cs="Arial"/>
        </w:rPr>
        <w:footnoteReference w:id="14"/>
      </w:r>
      <w:r w:rsidRPr="00B458E0">
        <w:rPr>
          <w:rFonts w:ascii="Arial" w:hAnsi="Arial" w:cs="Arial"/>
        </w:rPr>
        <w:t xml:space="preserve">  </w:t>
      </w:r>
    </w:p>
    <w:p w14:paraId="5C929E47" w14:textId="1EDB86AF" w:rsidR="000A13A2" w:rsidRDefault="000A13A2" w:rsidP="000A13A2">
      <w:pPr>
        <w:spacing w:line="240" w:lineRule="auto"/>
      </w:pPr>
      <w:r>
        <w:t>Underinvestment in gender-specific shelters leaves women and gender-diverse people without safe options.</w:t>
      </w:r>
      <w:r>
        <w:rPr>
          <w:rStyle w:val="FootnoteReference"/>
        </w:rPr>
        <w:footnoteReference w:id="15"/>
      </w:r>
      <w:r>
        <w:t xml:space="preserve"> The</w:t>
      </w:r>
      <w:r w:rsidRPr="004B6FE9">
        <w:t xml:space="preserve"> </w:t>
      </w:r>
      <w:r>
        <w:t xml:space="preserve">Advocate’s </w:t>
      </w:r>
      <w:r w:rsidRPr="004B6FE9">
        <w:t>review</w:t>
      </w:r>
      <w:r>
        <w:t xml:space="preserve"> of homeless encampments </w:t>
      </w:r>
      <w:r w:rsidR="00513691">
        <w:t>demonstrated</w:t>
      </w:r>
      <w:r w:rsidRPr="004B6FE9">
        <w:t xml:space="preserve"> </w:t>
      </w:r>
      <w:r w:rsidRPr="004B6FE9">
        <w:lastRenderedPageBreak/>
        <w:t xml:space="preserve">that </w:t>
      </w:r>
      <w:r>
        <w:t>women may</w:t>
      </w:r>
      <w:r w:rsidRPr="004B6FE9">
        <w:t xml:space="preserve"> reside in encampments because there </w:t>
      </w:r>
      <w:proofErr w:type="gramStart"/>
      <w:r w:rsidRPr="004B6FE9">
        <w:t>are</w:t>
      </w:r>
      <w:proofErr w:type="gramEnd"/>
      <w:r w:rsidRPr="004B6FE9">
        <w:t xml:space="preserve"> no gender-specific shelters in their community.</w:t>
      </w:r>
      <w:r>
        <w:rPr>
          <w:rStyle w:val="FootnoteReference"/>
        </w:rPr>
        <w:footnoteReference w:id="16"/>
      </w:r>
      <w:r w:rsidRPr="004B6FE9">
        <w:t xml:space="preserve"> Many have experienced harassment or violence in co-ed shelters</w:t>
      </w:r>
      <w:r>
        <w:t xml:space="preserve">, especially </w:t>
      </w:r>
      <w:r w:rsidRPr="004B6FE9">
        <w:t>trans women.</w:t>
      </w:r>
      <w:r>
        <w:rPr>
          <w:rStyle w:val="FootnoteReference"/>
        </w:rPr>
        <w:footnoteReference w:id="17"/>
      </w:r>
    </w:p>
    <w:p w14:paraId="7FCEE4FA" w14:textId="77777777" w:rsidR="000A13A2" w:rsidRDefault="000A13A2" w:rsidP="000A13A2">
      <w:pPr>
        <w:spacing w:line="240" w:lineRule="auto"/>
      </w:pPr>
      <w:r>
        <w:t>Research demonstrates that the NHS is failing to fulfill the Act’s requirements to reduce inadequate housing and homelessness for women and disadvantaged groups.</w:t>
      </w:r>
      <w:r>
        <w:rPr>
          <w:rStyle w:val="FootnoteReference"/>
        </w:rPr>
        <w:footnoteReference w:id="18"/>
      </w:r>
      <w:r>
        <w:t xml:space="preserve">   </w:t>
      </w:r>
    </w:p>
    <w:p w14:paraId="3F334D32" w14:textId="29F6BE0C" w:rsidR="000A13A2" w:rsidRPr="000A13A2" w:rsidRDefault="000A13A2" w:rsidP="00C429D1">
      <w:pPr>
        <w:pStyle w:val="Heading2"/>
      </w:pPr>
      <w:bookmarkStart w:id="10" w:name="_Toc174373014"/>
      <w:r w:rsidRPr="000A13A2">
        <w:t>Disadvantaged groups</w:t>
      </w:r>
      <w:bookmarkEnd w:id="10"/>
      <w:r w:rsidRPr="000A13A2">
        <w:t xml:space="preserve"> </w:t>
      </w:r>
    </w:p>
    <w:p w14:paraId="2E25531A" w14:textId="7F5F93E6" w:rsidR="000A13A2" w:rsidRDefault="000A13A2" w:rsidP="000A13A2">
      <w:pPr>
        <w:spacing w:line="240" w:lineRule="auto"/>
      </w:pPr>
      <w:r w:rsidRPr="00B458E0">
        <w:rPr>
          <w:rFonts w:cs="Arial"/>
          <w:lang w:val="en"/>
        </w:rPr>
        <w:t>Women who are Indigenous</w:t>
      </w:r>
      <w:r w:rsidR="00C74419">
        <w:rPr>
          <w:rStyle w:val="FootnoteReference"/>
          <w:rFonts w:cs="Arial"/>
          <w:lang w:val="en"/>
        </w:rPr>
        <w:footnoteReference w:id="19"/>
      </w:r>
      <w:r>
        <w:rPr>
          <w:rFonts w:cs="Arial"/>
          <w:lang w:val="en"/>
        </w:rPr>
        <w:t xml:space="preserve"> and members of disadvantaged groups</w:t>
      </w:r>
      <w:r w:rsidRPr="00B458E0">
        <w:rPr>
          <w:rFonts w:cs="Arial"/>
          <w:lang w:val="en"/>
        </w:rPr>
        <w:t xml:space="preserve"> experience disproportionate rates of inadequate housing.</w:t>
      </w:r>
      <w:r w:rsidRPr="00B458E0">
        <w:rPr>
          <w:rStyle w:val="FootnoteReference"/>
          <w:rFonts w:cs="Arial"/>
          <w:lang w:val="en"/>
        </w:rPr>
        <w:footnoteReference w:id="20"/>
      </w:r>
      <w:r>
        <w:rPr>
          <w:rFonts w:cs="Arial"/>
          <w:lang w:val="en"/>
        </w:rPr>
        <w:t xml:space="preserve"> </w:t>
      </w:r>
      <w:r w:rsidRPr="006A3322">
        <w:t>Indigenous women are vastly over-represented in homelessness</w:t>
      </w:r>
      <w:r>
        <w:t xml:space="preserve"> and inadequate housing</w:t>
      </w:r>
      <w:r w:rsidRPr="006A3322">
        <w:t>.</w:t>
      </w:r>
      <w:r>
        <w:rPr>
          <w:rStyle w:val="FootnoteReference"/>
        </w:rPr>
        <w:footnoteReference w:id="21"/>
      </w:r>
      <w:r>
        <w:t xml:space="preserve"> </w:t>
      </w:r>
    </w:p>
    <w:p w14:paraId="68F1E169" w14:textId="77777777" w:rsidR="000A13A2" w:rsidRPr="004A414A" w:rsidRDefault="000A13A2" w:rsidP="000A13A2">
      <w:pPr>
        <w:spacing w:line="240" w:lineRule="auto"/>
        <w:rPr>
          <w:lang w:val="en-US"/>
        </w:rPr>
      </w:pPr>
      <w:r>
        <w:t>T</w:t>
      </w:r>
      <w:r w:rsidRPr="00C15A2E">
        <w:t>rans people are over-represented in almost all aspects of poverty, housing insecurity, and homelessness.</w:t>
      </w:r>
      <w:r>
        <w:rPr>
          <w:rStyle w:val="FootnoteReference"/>
        </w:rPr>
        <w:footnoteReference w:id="22"/>
      </w:r>
      <w:r>
        <w:t xml:space="preserve"> M</w:t>
      </w:r>
      <w:r w:rsidRPr="008420CA">
        <w:t>any gender-diverse persons have experienced significant violence and trauma before, during, and after experiences of housing precarity or homelessness.</w:t>
      </w:r>
      <w:r>
        <w:rPr>
          <w:rStyle w:val="FootnoteReference"/>
        </w:rPr>
        <w:footnoteReference w:id="23"/>
      </w:r>
    </w:p>
    <w:p w14:paraId="2261789A" w14:textId="77777777" w:rsidR="000A13A2" w:rsidRDefault="000A13A2" w:rsidP="000A13A2">
      <w:pPr>
        <w:spacing w:line="240" w:lineRule="auto"/>
      </w:pPr>
      <w:r>
        <w:lastRenderedPageBreak/>
        <w:t xml:space="preserve">Women with disabilities face barriers </w:t>
      </w:r>
      <w:r w:rsidRPr="00674DC7">
        <w:t xml:space="preserve">in every area of </w:t>
      </w:r>
      <w:r>
        <w:t>housing, including higher rates of unaffordable housing, core housing need, and homelessness.</w:t>
      </w:r>
      <w:r>
        <w:rPr>
          <w:rStyle w:val="FootnoteReference"/>
        </w:rPr>
        <w:footnoteReference w:id="24"/>
      </w:r>
    </w:p>
    <w:p w14:paraId="105C5E4D" w14:textId="77777777" w:rsidR="000A13A2" w:rsidRDefault="000A13A2" w:rsidP="000A13A2">
      <w:pPr>
        <w:spacing w:line="240" w:lineRule="auto"/>
      </w:pPr>
      <w:r>
        <w:t>In Fall 2024, a Review Panel will hold a hearing into the failure to prevent and eliminate homelessness among women and gender-diverse people, especially those who are Indigenous.</w:t>
      </w:r>
      <w:r>
        <w:rPr>
          <w:rStyle w:val="FootnoteReference"/>
        </w:rPr>
        <w:footnoteReference w:id="25"/>
      </w:r>
    </w:p>
    <w:p w14:paraId="429A65D9" w14:textId="0C4C38D8" w:rsidR="000A13A2" w:rsidRPr="00482F30" w:rsidRDefault="000A13A2" w:rsidP="0007305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bookmarkStart w:id="11" w:name="_Hlk172886864"/>
      <w:r w:rsidRPr="00D04CCC">
        <w:rPr>
          <w:b/>
          <w:bCs/>
        </w:rPr>
        <w:t>Recommendation #</w:t>
      </w:r>
      <w:r w:rsidR="00CB7542" w:rsidRPr="00D04CCC">
        <w:rPr>
          <w:b/>
          <w:bCs/>
        </w:rPr>
        <w:t>2</w:t>
      </w:r>
      <w:r w:rsidRPr="00D04CCC">
        <w:rPr>
          <w:b/>
          <w:bCs/>
        </w:rPr>
        <w:t>:</w:t>
      </w:r>
      <w:r w:rsidRPr="00D04CCC">
        <w:t xml:space="preserve"> That Canada take</w:t>
      </w:r>
      <w:r w:rsidR="008D6942">
        <w:t>s</w:t>
      </w:r>
      <w:r w:rsidRPr="00D04CCC">
        <w:t xml:space="preserve"> urgent action to improve women’s housing outcomes, meaningfully engage in the upcoming Review Panel on women’s </w:t>
      </w:r>
      <w:proofErr w:type="gramStart"/>
      <w:r w:rsidRPr="00D04CCC">
        <w:t>homelessness, and</w:t>
      </w:r>
      <w:proofErr w:type="gramEnd"/>
      <w:r w:rsidRPr="00D04CCC">
        <w:t xml:space="preserve"> dedicate resources to fully implement its recommendations.</w:t>
      </w:r>
      <w:r w:rsidRPr="00D04CCC" w:rsidDel="002C1C5F">
        <w:rPr>
          <w:rStyle w:val="FootnoteReference"/>
        </w:rPr>
        <w:t xml:space="preserve"> </w:t>
      </w:r>
    </w:p>
    <w:p w14:paraId="5B7DF0C0" w14:textId="06E01C3E" w:rsidR="00BF5B83" w:rsidRDefault="000A13A2" w:rsidP="0007305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Pr>
          <w:b/>
          <w:bCs/>
        </w:rPr>
        <w:t>Recommendation #</w:t>
      </w:r>
      <w:r w:rsidR="00CB7542">
        <w:rPr>
          <w:b/>
          <w:bCs/>
        </w:rPr>
        <w:t>3</w:t>
      </w:r>
      <w:r>
        <w:rPr>
          <w:b/>
          <w:bCs/>
        </w:rPr>
        <w:t xml:space="preserve">: </w:t>
      </w:r>
      <w:r>
        <w:t>That Canada include</w:t>
      </w:r>
      <w:r w:rsidR="008D6942">
        <w:t>s</w:t>
      </w:r>
      <w:r>
        <w:t xml:space="preserve"> intersectional gender</w:t>
      </w:r>
      <w:r w:rsidRPr="00482F30">
        <w:t xml:space="preserve"> targets </w:t>
      </w:r>
      <w:r>
        <w:t>in all housing</w:t>
      </w:r>
      <w:r w:rsidRPr="00482F30">
        <w:t xml:space="preserve"> plans and strategies</w:t>
      </w:r>
      <w:r>
        <w:t>, and ensure programs are designed to meet those targets.</w:t>
      </w:r>
      <w:r w:rsidDel="002C1C5F">
        <w:rPr>
          <w:rStyle w:val="FootnoteReference"/>
        </w:rPr>
        <w:t xml:space="preserve"> </w:t>
      </w:r>
      <w:bookmarkEnd w:id="11"/>
    </w:p>
    <w:p w14:paraId="3A861064" w14:textId="77777777" w:rsidR="000A13A2" w:rsidRPr="00880208" w:rsidRDefault="000A13A2" w:rsidP="000A13A2">
      <w:pPr>
        <w:spacing w:after="0" w:line="240" w:lineRule="auto"/>
      </w:pPr>
    </w:p>
    <w:p w14:paraId="68FC4285" w14:textId="165C966D" w:rsidR="00DE6AAB" w:rsidRDefault="00880208" w:rsidP="008F2070">
      <w:pPr>
        <w:pStyle w:val="Heading1"/>
      </w:pPr>
      <w:bookmarkStart w:id="12" w:name="_Toc174373015"/>
      <w:r>
        <w:t>PAY EQUITY</w:t>
      </w:r>
      <w:bookmarkEnd w:id="12"/>
    </w:p>
    <w:p w14:paraId="242E6738" w14:textId="7113CEDA" w:rsidR="00110240" w:rsidRDefault="00110240" w:rsidP="00110240">
      <w:pPr>
        <w:spacing w:before="240" w:line="240" w:lineRule="auto"/>
        <w:rPr>
          <w:rFonts w:cs="Arial"/>
          <w:szCs w:val="24"/>
          <w:lang w:val="en-US"/>
        </w:rPr>
      </w:pPr>
      <w:r>
        <w:rPr>
          <w:rFonts w:cs="Arial"/>
          <w:szCs w:val="24"/>
          <w:lang w:val="en-US"/>
        </w:rPr>
        <w:t xml:space="preserve">In 2023, the average hourly gender wage ratio between women and men in Canada employed in both full and part-time work was 0.87. </w:t>
      </w:r>
      <w:r w:rsidR="00791E6B">
        <w:rPr>
          <w:rFonts w:cs="Arial"/>
          <w:szCs w:val="24"/>
          <w:lang w:val="en-US"/>
        </w:rPr>
        <w:t>This means that on average, for every $1.00 a man earned, a woman earned 87 cents.</w:t>
      </w:r>
      <w:r>
        <w:rPr>
          <w:rStyle w:val="FootnoteReference"/>
          <w:rFonts w:cs="Arial"/>
          <w:szCs w:val="24"/>
          <w:lang w:val="en-US"/>
        </w:rPr>
        <w:footnoteReference w:id="26"/>
      </w:r>
      <w:r>
        <w:rPr>
          <w:rFonts w:cs="Arial"/>
          <w:szCs w:val="24"/>
          <w:lang w:val="en-US"/>
        </w:rPr>
        <w:t xml:space="preserve"> </w:t>
      </w:r>
    </w:p>
    <w:p w14:paraId="233A9E78" w14:textId="77777777" w:rsidR="00110240" w:rsidRDefault="00110240" w:rsidP="00110240">
      <w:pPr>
        <w:spacing w:before="240" w:line="240" w:lineRule="auto"/>
        <w:rPr>
          <w:rFonts w:cs="Arial"/>
          <w:szCs w:val="24"/>
          <w:lang w:val="en-US"/>
        </w:rPr>
      </w:pPr>
      <w:r w:rsidRPr="00C66531">
        <w:rPr>
          <w:rFonts w:cs="Arial"/>
          <w:szCs w:val="24"/>
          <w:lang w:val="en-US"/>
        </w:rPr>
        <w:lastRenderedPageBreak/>
        <w:t>The gender pay gap is even more pronounced for Indigenous and other racialized women in Canada,</w:t>
      </w:r>
      <w:r>
        <w:rPr>
          <w:rStyle w:val="FootnoteReference"/>
          <w:rFonts w:cs="Arial"/>
          <w:szCs w:val="24"/>
          <w:lang w:val="en-US"/>
        </w:rPr>
        <w:footnoteReference w:id="27"/>
      </w:r>
      <w:r w:rsidRPr="00C66531">
        <w:rPr>
          <w:rFonts w:cs="Arial"/>
          <w:szCs w:val="24"/>
          <w:lang w:val="en-US"/>
        </w:rPr>
        <w:t xml:space="preserve"> for women with disabilities</w:t>
      </w:r>
      <w:r w:rsidRPr="00C66531">
        <w:rPr>
          <w:rFonts w:cs="Arial"/>
          <w:szCs w:val="24"/>
          <w:vertAlign w:val="superscript"/>
          <w:lang w:val="en-US"/>
        </w:rPr>
        <w:footnoteReference w:id="28"/>
      </w:r>
      <w:r>
        <w:rPr>
          <w:rFonts w:cs="Arial"/>
          <w:szCs w:val="24"/>
          <w:lang w:val="en-US"/>
        </w:rPr>
        <w:t xml:space="preserve"> and individuals who identify as trans,</w:t>
      </w:r>
      <w:r>
        <w:rPr>
          <w:rStyle w:val="FootnoteReference"/>
          <w:rFonts w:cs="Arial"/>
          <w:szCs w:val="24"/>
          <w:lang w:val="en-US"/>
        </w:rPr>
        <w:footnoteReference w:id="29"/>
      </w:r>
      <w:r>
        <w:rPr>
          <w:rFonts w:cs="Arial"/>
          <w:szCs w:val="24"/>
          <w:lang w:val="en-US"/>
        </w:rPr>
        <w:t xml:space="preserve"> and has been exacerbated due to the COVID-19</w:t>
      </w:r>
      <w:r>
        <w:rPr>
          <w:rStyle w:val="FootnoteReference"/>
          <w:rFonts w:cs="Arial"/>
          <w:szCs w:val="24"/>
          <w:lang w:val="en-US"/>
        </w:rPr>
        <w:footnoteReference w:id="30"/>
      </w:r>
      <w:r>
        <w:rPr>
          <w:rFonts w:cs="Arial"/>
          <w:szCs w:val="24"/>
          <w:lang w:val="en-US"/>
        </w:rPr>
        <w:t xml:space="preserve"> crisis. </w:t>
      </w:r>
    </w:p>
    <w:p w14:paraId="1ADE343E" w14:textId="77777777" w:rsidR="00110240" w:rsidRPr="00CF4ECE" w:rsidRDefault="00110240" w:rsidP="00110240">
      <w:pPr>
        <w:spacing w:before="240" w:line="240" w:lineRule="auto"/>
        <w:rPr>
          <w:rFonts w:cs="Arial"/>
          <w:szCs w:val="24"/>
        </w:rPr>
      </w:pPr>
      <w:r w:rsidRPr="008B412F">
        <w:rPr>
          <w:rFonts w:cs="Arial"/>
          <w:szCs w:val="24"/>
          <w:lang w:val="en-US"/>
        </w:rPr>
        <w:t xml:space="preserve">On August 31, 2021, the </w:t>
      </w:r>
      <w:r w:rsidRPr="00513691">
        <w:rPr>
          <w:rFonts w:cs="Arial"/>
          <w:iCs/>
          <w:szCs w:val="24"/>
          <w:lang w:val="en-US"/>
        </w:rPr>
        <w:t>Pay Equity Act</w:t>
      </w:r>
      <w:r w:rsidRPr="008B412F">
        <w:rPr>
          <w:rFonts w:cs="Arial"/>
          <w:i/>
          <w:szCs w:val="24"/>
          <w:lang w:val="en-US"/>
        </w:rPr>
        <w:t xml:space="preserve"> </w:t>
      </w:r>
      <w:r w:rsidRPr="008B412F">
        <w:rPr>
          <w:rFonts w:cs="Arial"/>
          <w:szCs w:val="24"/>
          <w:lang w:val="en-US"/>
        </w:rPr>
        <w:t>(PEA) came into force</w:t>
      </w:r>
      <w:r>
        <w:rPr>
          <w:rFonts w:cs="Arial"/>
          <w:szCs w:val="24"/>
          <w:lang w:val="en-US"/>
        </w:rPr>
        <w:t>. T</w:t>
      </w:r>
      <w:r w:rsidRPr="008B412F">
        <w:rPr>
          <w:rFonts w:cs="Arial"/>
          <w:szCs w:val="24"/>
          <w:lang w:val="en-US"/>
        </w:rPr>
        <w:t xml:space="preserve">he PEA is proactive and requires </w:t>
      </w:r>
      <w:proofErr w:type="gramStart"/>
      <w:r w:rsidRPr="008B412F">
        <w:rPr>
          <w:rFonts w:cs="Arial"/>
          <w:szCs w:val="24"/>
          <w:lang w:val="en-US"/>
        </w:rPr>
        <w:t>federally-regulated</w:t>
      </w:r>
      <w:proofErr w:type="gramEnd"/>
      <w:r w:rsidRPr="008B412F">
        <w:rPr>
          <w:rFonts w:cs="Arial"/>
          <w:szCs w:val="24"/>
          <w:lang w:val="en-US"/>
        </w:rPr>
        <w:t xml:space="preserve"> employers with an average of 10 or more employees to conduct a structured pay equity analysis to ensure equal pay for work of equal value. </w:t>
      </w:r>
      <w:r w:rsidRPr="008B412F">
        <w:rPr>
          <w:rFonts w:cs="Arial"/>
          <w:szCs w:val="24"/>
        </w:rPr>
        <w:t xml:space="preserve">As it now exists, the analysis accounts for a comparison of job classes that are identified as either male or female predominant. </w:t>
      </w:r>
      <w:r>
        <w:rPr>
          <w:rFonts w:cs="Arial"/>
          <w:szCs w:val="24"/>
        </w:rPr>
        <w:t>This approach is not wholly inclusive of non-binary people and fails to adequately capture their experiences.</w:t>
      </w:r>
    </w:p>
    <w:p w14:paraId="5986EF69" w14:textId="77777777" w:rsidR="00110240" w:rsidRDefault="00110240" w:rsidP="00110240">
      <w:pPr>
        <w:spacing w:before="240" w:line="240" w:lineRule="auto"/>
        <w:rPr>
          <w:rFonts w:cs="Arial"/>
          <w:szCs w:val="24"/>
          <w:lang w:val="en-US"/>
        </w:rPr>
      </w:pPr>
      <w:r>
        <w:rPr>
          <w:rFonts w:cs="Arial"/>
          <w:szCs w:val="24"/>
          <w:lang w:val="en-US"/>
        </w:rPr>
        <w:t xml:space="preserve">While Canada has made significant efforts in collecting data concerning the gender wage gap, the current approach is not able to: </w:t>
      </w:r>
    </w:p>
    <w:p w14:paraId="289B7486" w14:textId="77777777" w:rsidR="00110240" w:rsidRDefault="00110240" w:rsidP="00110240">
      <w:pPr>
        <w:pStyle w:val="ListParagraph"/>
        <w:numPr>
          <w:ilvl w:val="0"/>
          <w:numId w:val="40"/>
        </w:numPr>
        <w:spacing w:before="240" w:line="240" w:lineRule="auto"/>
        <w:rPr>
          <w:rFonts w:cs="Arial"/>
          <w:szCs w:val="24"/>
          <w:lang w:val="en-US"/>
        </w:rPr>
      </w:pPr>
      <w:proofErr w:type="gramStart"/>
      <w:r>
        <w:rPr>
          <w:rFonts w:cs="Arial"/>
          <w:szCs w:val="24"/>
          <w:lang w:val="en-US"/>
        </w:rPr>
        <w:t>Take into account</w:t>
      </w:r>
      <w:proofErr w:type="gramEnd"/>
      <w:r>
        <w:rPr>
          <w:rFonts w:cs="Arial"/>
          <w:szCs w:val="24"/>
          <w:lang w:val="en-US"/>
        </w:rPr>
        <w:t xml:space="preserve"> differences that are due to the varying application of policies and legislation</w:t>
      </w:r>
      <w:r>
        <w:rPr>
          <w:rStyle w:val="FootnoteReference"/>
          <w:rFonts w:cs="Arial"/>
          <w:szCs w:val="24"/>
          <w:lang w:val="en-US"/>
        </w:rPr>
        <w:footnoteReference w:id="31"/>
      </w:r>
      <w:r>
        <w:rPr>
          <w:rFonts w:cs="Arial"/>
          <w:szCs w:val="24"/>
          <w:lang w:val="en-US"/>
        </w:rPr>
        <w:t xml:space="preserve">, resulting in statistics that do not reveal federal, provincial or territorial distinctions. For example, in some instances, there are variances due to the application of pay equity to only the public sector. </w:t>
      </w:r>
    </w:p>
    <w:p w14:paraId="6ED2094D" w14:textId="77777777" w:rsidR="00110240" w:rsidRDefault="00110240" w:rsidP="00110240">
      <w:pPr>
        <w:pStyle w:val="ListParagraph"/>
        <w:numPr>
          <w:ilvl w:val="0"/>
          <w:numId w:val="40"/>
        </w:numPr>
        <w:spacing w:before="240" w:line="240" w:lineRule="auto"/>
        <w:rPr>
          <w:rFonts w:cs="Arial"/>
          <w:szCs w:val="24"/>
          <w:lang w:val="en-US"/>
        </w:rPr>
      </w:pPr>
      <w:r>
        <w:rPr>
          <w:rFonts w:cs="Arial"/>
          <w:szCs w:val="24"/>
          <w:lang w:val="en-US"/>
        </w:rPr>
        <w:t>Provide insights into the root causes</w:t>
      </w:r>
      <w:r>
        <w:rPr>
          <w:rStyle w:val="FootnoteReference"/>
          <w:rFonts w:cs="Arial"/>
          <w:szCs w:val="24"/>
          <w:lang w:val="en-US"/>
        </w:rPr>
        <w:footnoteReference w:id="32"/>
      </w:r>
      <w:r>
        <w:rPr>
          <w:rFonts w:cs="Arial"/>
          <w:szCs w:val="24"/>
          <w:lang w:val="en-US"/>
        </w:rPr>
        <w:t xml:space="preserve"> and intersectional complexities of the gender wage gap experienced by diverse groups of people. </w:t>
      </w:r>
    </w:p>
    <w:p w14:paraId="0ABBB9E6" w14:textId="66CABC64" w:rsidR="00110240" w:rsidRDefault="00110240" w:rsidP="00110240">
      <w:pPr>
        <w:pStyle w:val="ListParagraph"/>
        <w:numPr>
          <w:ilvl w:val="0"/>
          <w:numId w:val="40"/>
        </w:numPr>
        <w:spacing w:before="240" w:line="240" w:lineRule="auto"/>
        <w:rPr>
          <w:rFonts w:cs="Arial"/>
          <w:szCs w:val="24"/>
          <w:lang w:val="en-US"/>
        </w:rPr>
      </w:pPr>
      <w:r>
        <w:rPr>
          <w:rFonts w:cs="Arial"/>
          <w:szCs w:val="24"/>
          <w:lang w:val="en-US"/>
        </w:rPr>
        <w:lastRenderedPageBreak/>
        <w:t>Conduct a pay equity analysis that enables a comparison of job classes that are identified beyond the binary of male or female.</w:t>
      </w:r>
    </w:p>
    <w:p w14:paraId="5ED767D2" w14:textId="3782F414" w:rsidR="00110240" w:rsidRPr="009B1B05" w:rsidRDefault="00110240" w:rsidP="009F1C24">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b/>
          <w:bCs/>
          <w:szCs w:val="24"/>
        </w:rPr>
      </w:pPr>
      <w:r w:rsidRPr="009B1B05">
        <w:rPr>
          <w:rFonts w:cs="Arial"/>
          <w:b/>
          <w:bCs/>
          <w:szCs w:val="24"/>
        </w:rPr>
        <w:t>Recommendation</w:t>
      </w:r>
      <w:r w:rsidR="00D62276">
        <w:rPr>
          <w:rFonts w:cs="Arial"/>
          <w:b/>
          <w:bCs/>
          <w:szCs w:val="24"/>
        </w:rPr>
        <w:t xml:space="preserve"> </w:t>
      </w:r>
      <w:r w:rsidR="00CB7542">
        <w:rPr>
          <w:rFonts w:cs="Arial"/>
          <w:b/>
          <w:bCs/>
          <w:szCs w:val="24"/>
        </w:rPr>
        <w:t>#4</w:t>
      </w:r>
      <w:r w:rsidRPr="009B1B05">
        <w:rPr>
          <w:rFonts w:cs="Arial"/>
          <w:b/>
          <w:bCs/>
          <w:szCs w:val="24"/>
        </w:rPr>
        <w:t xml:space="preserve">: </w:t>
      </w:r>
      <w:r w:rsidRPr="009B1B05">
        <w:rPr>
          <w:rFonts w:cs="Arial"/>
          <w:szCs w:val="24"/>
        </w:rPr>
        <w:t>That Canada continue</w:t>
      </w:r>
      <w:r w:rsidR="008D6942">
        <w:rPr>
          <w:rFonts w:cs="Arial"/>
          <w:szCs w:val="24"/>
        </w:rPr>
        <w:t>s</w:t>
      </w:r>
      <w:r w:rsidRPr="009B1B05">
        <w:rPr>
          <w:rFonts w:cs="Arial"/>
          <w:szCs w:val="24"/>
        </w:rPr>
        <w:t xml:space="preserve"> its work with Statistics Canada, academia and the social sector</w:t>
      </w:r>
      <w:r>
        <w:rPr>
          <w:rFonts w:cs="Arial"/>
          <w:szCs w:val="24"/>
        </w:rPr>
        <w:t xml:space="preserve"> in advancing research </w:t>
      </w:r>
      <w:r w:rsidR="00420E4A">
        <w:rPr>
          <w:rFonts w:cs="Arial"/>
          <w:szCs w:val="24"/>
        </w:rPr>
        <w:t>to develop</w:t>
      </w:r>
      <w:r>
        <w:rPr>
          <w:rFonts w:cs="Arial"/>
          <w:szCs w:val="24"/>
        </w:rPr>
        <w:t xml:space="preserve"> pay equity analys</w:t>
      </w:r>
      <w:r w:rsidR="00513691">
        <w:rPr>
          <w:rFonts w:cs="Arial"/>
          <w:szCs w:val="24"/>
        </w:rPr>
        <w:t>i</w:t>
      </w:r>
      <w:r>
        <w:rPr>
          <w:rFonts w:cs="Arial"/>
          <w:szCs w:val="24"/>
        </w:rPr>
        <w:t>s</w:t>
      </w:r>
      <w:r w:rsidR="00420E4A">
        <w:rPr>
          <w:rFonts w:cs="Arial"/>
          <w:szCs w:val="24"/>
        </w:rPr>
        <w:t xml:space="preserve"> </w:t>
      </w:r>
      <w:r w:rsidRPr="00EE43F8">
        <w:rPr>
          <w:rFonts w:cs="Arial"/>
          <w:szCs w:val="24"/>
        </w:rPr>
        <w:t>that is inclusive of individuals who identify as non-binary</w:t>
      </w:r>
      <w:r w:rsidR="00513691">
        <w:rPr>
          <w:rFonts w:cs="Arial"/>
          <w:szCs w:val="24"/>
        </w:rPr>
        <w:t>,</w:t>
      </w:r>
      <w:r>
        <w:rPr>
          <w:rFonts w:cs="Arial"/>
          <w:szCs w:val="24"/>
        </w:rPr>
        <w:t xml:space="preserve"> and </w:t>
      </w:r>
      <w:r w:rsidR="00420E4A">
        <w:rPr>
          <w:rFonts w:cs="Arial"/>
          <w:szCs w:val="24"/>
        </w:rPr>
        <w:t>to improve</w:t>
      </w:r>
      <w:r w:rsidR="00420E4A" w:rsidRPr="009B1B05">
        <w:rPr>
          <w:rFonts w:cs="Arial"/>
          <w:szCs w:val="24"/>
        </w:rPr>
        <w:t xml:space="preserve"> </w:t>
      </w:r>
      <w:r w:rsidRPr="009B1B05">
        <w:rPr>
          <w:rFonts w:cs="Arial"/>
          <w:szCs w:val="24"/>
        </w:rPr>
        <w:t xml:space="preserve">national data </w:t>
      </w:r>
      <w:r w:rsidR="00420E4A">
        <w:rPr>
          <w:rFonts w:cs="Arial"/>
          <w:szCs w:val="24"/>
        </w:rPr>
        <w:t xml:space="preserve">collection </w:t>
      </w:r>
      <w:r w:rsidRPr="009B1B05">
        <w:rPr>
          <w:rFonts w:cs="Arial"/>
          <w:szCs w:val="24"/>
        </w:rPr>
        <w:t xml:space="preserve">on the gender wage gap to permit the analysis of the differences between federally, provincially and territorially regulated workplaces. </w:t>
      </w:r>
    </w:p>
    <w:p w14:paraId="08B6D722" w14:textId="13EB9EE5" w:rsidR="00110240" w:rsidRPr="009B1B05" w:rsidRDefault="00110240" w:rsidP="009F1C24">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2E6AAB">
        <w:rPr>
          <w:rFonts w:cs="Arial"/>
          <w:b/>
          <w:bCs/>
          <w:szCs w:val="24"/>
        </w:rPr>
        <w:t>Recommendation</w:t>
      </w:r>
      <w:r w:rsidR="00D62276">
        <w:rPr>
          <w:rFonts w:cs="Arial"/>
          <w:b/>
          <w:bCs/>
          <w:szCs w:val="24"/>
        </w:rPr>
        <w:t xml:space="preserve"> </w:t>
      </w:r>
      <w:r w:rsidR="00CB7542">
        <w:rPr>
          <w:rFonts w:cs="Arial"/>
          <w:b/>
          <w:bCs/>
          <w:szCs w:val="24"/>
        </w:rPr>
        <w:t>#5</w:t>
      </w:r>
      <w:r w:rsidRPr="002E6AAB">
        <w:rPr>
          <w:rFonts w:cs="Arial"/>
          <w:b/>
          <w:bCs/>
          <w:szCs w:val="24"/>
        </w:rPr>
        <w:t>:</w:t>
      </w:r>
      <w:r w:rsidRPr="009B1B05">
        <w:rPr>
          <w:rFonts w:cs="Arial"/>
          <w:b/>
          <w:bCs/>
          <w:szCs w:val="24"/>
        </w:rPr>
        <w:t xml:space="preserve"> </w:t>
      </w:r>
      <w:r w:rsidRPr="009B1B05">
        <w:rPr>
          <w:rFonts w:cs="Arial"/>
          <w:szCs w:val="24"/>
        </w:rPr>
        <w:t>That Canada continue</w:t>
      </w:r>
      <w:r w:rsidR="008D6942">
        <w:rPr>
          <w:rFonts w:cs="Arial"/>
          <w:szCs w:val="24"/>
        </w:rPr>
        <w:t>s</w:t>
      </w:r>
      <w:r w:rsidRPr="009B1B05">
        <w:rPr>
          <w:rFonts w:cs="Arial"/>
          <w:szCs w:val="24"/>
        </w:rPr>
        <w:t xml:space="preserve"> to take an intersectional approach to address the root causes and negative impacts of the gender wage gap.</w:t>
      </w:r>
    </w:p>
    <w:p w14:paraId="6967DFC8" w14:textId="57CB466C" w:rsidR="00110240" w:rsidRDefault="00110240" w:rsidP="00D277C1">
      <w:pPr>
        <w:spacing w:before="240" w:line="240" w:lineRule="auto"/>
        <w:rPr>
          <w:rFonts w:cs="Arial"/>
          <w:iCs/>
          <w:szCs w:val="24"/>
          <w:lang w:val="en-US"/>
        </w:rPr>
      </w:pPr>
      <w:r w:rsidRPr="00843E4E">
        <w:rPr>
          <w:rFonts w:cs="Arial"/>
          <w:szCs w:val="24"/>
          <w:lang w:val="en-US"/>
        </w:rPr>
        <w:t>Although the right to equal compensation for men and women has been protected in law under the CHRA</w:t>
      </w:r>
      <w:r w:rsidRPr="00843E4E">
        <w:rPr>
          <w:rFonts w:cs="Arial"/>
          <w:i/>
          <w:szCs w:val="24"/>
          <w:lang w:val="en-US"/>
        </w:rPr>
        <w:t xml:space="preserve"> </w:t>
      </w:r>
      <w:r w:rsidRPr="00843E4E">
        <w:rPr>
          <w:rFonts w:cs="Arial"/>
          <w:szCs w:val="24"/>
          <w:lang w:val="en-US"/>
        </w:rPr>
        <w:t>since 1977</w:t>
      </w:r>
      <w:r w:rsidRPr="00843E4E">
        <w:rPr>
          <w:rFonts w:cs="Arial"/>
          <w:i/>
          <w:szCs w:val="24"/>
          <w:lang w:val="en-US"/>
        </w:rPr>
        <w:t>,</w:t>
      </w:r>
      <w:r>
        <w:rPr>
          <w:rFonts w:cs="Arial"/>
          <w:i/>
          <w:szCs w:val="24"/>
          <w:lang w:val="en-US"/>
        </w:rPr>
        <w:t xml:space="preserve"> </w:t>
      </w:r>
      <w:r>
        <w:rPr>
          <w:rFonts w:cs="Arial"/>
          <w:iCs/>
          <w:szCs w:val="24"/>
          <w:lang w:val="en-US"/>
        </w:rPr>
        <w:t>the PEA does not apply to territorial governments</w:t>
      </w:r>
      <w:r w:rsidR="00195889">
        <w:rPr>
          <w:rStyle w:val="FootnoteReference"/>
          <w:rFonts w:cs="Arial"/>
          <w:iCs/>
          <w:szCs w:val="24"/>
          <w:lang w:val="en-US"/>
        </w:rPr>
        <w:footnoteReference w:id="33"/>
      </w:r>
      <w:r>
        <w:rPr>
          <w:rFonts w:cs="Arial"/>
          <w:iCs/>
          <w:szCs w:val="24"/>
          <w:lang w:val="en-US"/>
        </w:rPr>
        <w:t xml:space="preserve"> or </w:t>
      </w:r>
      <w:r w:rsidR="00BE1E82">
        <w:rPr>
          <w:rFonts w:cs="Arial"/>
          <w:iCs/>
          <w:szCs w:val="24"/>
          <w:lang w:val="en-US"/>
        </w:rPr>
        <w:t xml:space="preserve">to </w:t>
      </w:r>
      <w:r>
        <w:rPr>
          <w:rFonts w:cs="Arial"/>
          <w:iCs/>
          <w:szCs w:val="24"/>
          <w:lang w:val="en-US"/>
        </w:rPr>
        <w:t xml:space="preserve">Indigenous governing bodies. </w:t>
      </w:r>
    </w:p>
    <w:p w14:paraId="5100F0D8" w14:textId="19D82B46" w:rsidR="00110240" w:rsidRPr="001166B8" w:rsidRDefault="00110240" w:rsidP="009F1C24">
      <w:pPr>
        <w:pBdr>
          <w:top w:val="single" w:sz="12" w:space="1" w:color="auto"/>
          <w:left w:val="single" w:sz="12" w:space="4" w:color="auto"/>
          <w:bottom w:val="single" w:sz="12" w:space="1" w:color="auto"/>
          <w:right w:val="single" w:sz="12" w:space="4" w:color="auto"/>
        </w:pBdr>
        <w:shd w:val="clear" w:color="auto" w:fill="DEEAF6" w:themeFill="accent1" w:themeFillTint="33"/>
        <w:spacing w:before="240" w:line="240" w:lineRule="auto"/>
        <w:rPr>
          <w:rFonts w:cs="Arial"/>
          <w:iCs/>
          <w:szCs w:val="24"/>
          <w:lang w:val="en-US"/>
        </w:rPr>
      </w:pPr>
      <w:r>
        <w:rPr>
          <w:rFonts w:cs="Arial"/>
          <w:b/>
          <w:bCs/>
          <w:iCs/>
          <w:szCs w:val="24"/>
          <w:lang w:val="en-US"/>
        </w:rPr>
        <w:t>Recommendation</w:t>
      </w:r>
      <w:r w:rsidR="00D62276">
        <w:rPr>
          <w:rFonts w:cs="Arial"/>
          <w:b/>
          <w:bCs/>
          <w:iCs/>
          <w:szCs w:val="24"/>
          <w:lang w:val="en-US"/>
        </w:rPr>
        <w:t xml:space="preserve"> </w:t>
      </w:r>
      <w:r w:rsidR="00CB7542">
        <w:rPr>
          <w:rFonts w:cs="Arial"/>
          <w:b/>
          <w:bCs/>
          <w:iCs/>
          <w:szCs w:val="24"/>
          <w:lang w:val="en-US"/>
        </w:rPr>
        <w:t>#6</w:t>
      </w:r>
      <w:r>
        <w:rPr>
          <w:rFonts w:cs="Arial"/>
          <w:b/>
          <w:bCs/>
          <w:iCs/>
          <w:szCs w:val="24"/>
          <w:lang w:val="en-US"/>
        </w:rPr>
        <w:t xml:space="preserve">: </w:t>
      </w:r>
      <w:r>
        <w:rPr>
          <w:rFonts w:cs="Arial"/>
          <w:iCs/>
          <w:szCs w:val="24"/>
          <w:lang w:val="en-US"/>
        </w:rPr>
        <w:t xml:space="preserve">That Canada </w:t>
      </w:r>
      <w:r w:rsidR="0077322E">
        <w:rPr>
          <w:rFonts w:cs="Arial"/>
          <w:iCs/>
          <w:szCs w:val="24"/>
          <w:lang w:val="en-US"/>
        </w:rPr>
        <w:t>take</w:t>
      </w:r>
      <w:r w:rsidR="008D6942">
        <w:rPr>
          <w:rFonts w:cs="Arial"/>
          <w:iCs/>
          <w:szCs w:val="24"/>
          <w:lang w:val="en-US"/>
        </w:rPr>
        <w:t>s</w:t>
      </w:r>
      <w:r w:rsidR="0077322E">
        <w:rPr>
          <w:rFonts w:cs="Arial"/>
          <w:iCs/>
          <w:szCs w:val="24"/>
          <w:lang w:val="en-US"/>
        </w:rPr>
        <w:t xml:space="preserve"> steps to ensure that the PEA applies in all jurisdictions</w:t>
      </w:r>
      <w:r w:rsidR="00265A48">
        <w:rPr>
          <w:rFonts w:cs="Arial"/>
          <w:iCs/>
          <w:szCs w:val="24"/>
          <w:lang w:val="en-US"/>
        </w:rPr>
        <w:t>,</w:t>
      </w:r>
      <w:r w:rsidR="0077322E">
        <w:rPr>
          <w:rFonts w:cs="Arial"/>
          <w:iCs/>
          <w:szCs w:val="24"/>
          <w:lang w:val="en-US"/>
        </w:rPr>
        <w:t xml:space="preserve"> and that it </w:t>
      </w:r>
      <w:r>
        <w:rPr>
          <w:rFonts w:cs="Arial"/>
          <w:iCs/>
          <w:szCs w:val="24"/>
          <w:lang w:val="en-US"/>
        </w:rPr>
        <w:t>continue</w:t>
      </w:r>
      <w:r w:rsidR="00933CA9">
        <w:rPr>
          <w:rFonts w:cs="Arial"/>
          <w:iCs/>
          <w:szCs w:val="24"/>
          <w:lang w:val="en-US"/>
        </w:rPr>
        <w:t>s</w:t>
      </w:r>
      <w:r>
        <w:rPr>
          <w:rFonts w:cs="Arial"/>
          <w:iCs/>
          <w:szCs w:val="24"/>
          <w:lang w:val="en-US"/>
        </w:rPr>
        <w:t xml:space="preserve"> </w:t>
      </w:r>
      <w:r w:rsidR="006D2C9F" w:rsidRPr="006D2C9F">
        <w:rPr>
          <w:rFonts w:cs="Arial"/>
          <w:iCs/>
          <w:szCs w:val="24"/>
          <w:lang w:val="en-US"/>
        </w:rPr>
        <w:t xml:space="preserve">to </w:t>
      </w:r>
      <w:r w:rsidR="002071BD">
        <w:rPr>
          <w:rFonts w:cs="Arial"/>
          <w:iCs/>
          <w:szCs w:val="24"/>
          <w:lang w:val="en-US"/>
        </w:rPr>
        <w:t xml:space="preserve">advance efforts to </w:t>
      </w:r>
      <w:r w:rsidR="006D2C9F" w:rsidRPr="006D2C9F">
        <w:rPr>
          <w:rFonts w:cs="Arial"/>
          <w:iCs/>
          <w:szCs w:val="24"/>
          <w:lang w:val="en-US"/>
        </w:rPr>
        <w:t xml:space="preserve">engage Indigenous partners and rights holders on whether adaptations to the pay equity framework could make its application feasible for </w:t>
      </w:r>
      <w:r w:rsidRPr="0092625C">
        <w:rPr>
          <w:rFonts w:cs="Arial"/>
          <w:iCs/>
          <w:szCs w:val="24"/>
          <w:lang w:val="en-US"/>
        </w:rPr>
        <w:t>Indigenous governing bodies that are employers.</w:t>
      </w:r>
      <w:r w:rsidRPr="0092625C">
        <w:rPr>
          <w:rFonts w:cs="Arial"/>
          <w:b/>
          <w:bCs/>
          <w:iCs/>
          <w:szCs w:val="24"/>
          <w:lang w:val="en-US"/>
        </w:rPr>
        <w:t xml:space="preserve">  </w:t>
      </w:r>
    </w:p>
    <w:p w14:paraId="3FAE308D" w14:textId="46F56780" w:rsidR="00880208" w:rsidRDefault="00880208" w:rsidP="008F2070">
      <w:pPr>
        <w:pStyle w:val="Heading1"/>
      </w:pPr>
      <w:bookmarkStart w:id="13" w:name="_Toc174373016"/>
      <w:r>
        <w:t>SEXUAL HARASSMENT AND VIOLENCE</w:t>
      </w:r>
      <w:bookmarkEnd w:id="13"/>
      <w:r>
        <w:t xml:space="preserve"> </w:t>
      </w:r>
    </w:p>
    <w:p w14:paraId="656ACD34" w14:textId="210937DA" w:rsidR="00C14C7A" w:rsidRDefault="006B0814" w:rsidP="00C14C7A">
      <w:pPr>
        <w:spacing w:before="240" w:line="240" w:lineRule="auto"/>
        <w:rPr>
          <w:rFonts w:cs="Arial"/>
          <w:szCs w:val="24"/>
          <w:lang w:val="en-US"/>
        </w:rPr>
      </w:pPr>
      <w:r w:rsidRPr="00262BB7">
        <w:rPr>
          <w:rFonts w:cs="Arial"/>
          <w:szCs w:val="24"/>
          <w:lang w:val="en-US"/>
        </w:rPr>
        <w:t>Gender-based violence</w:t>
      </w:r>
      <w:r w:rsidR="00E35448">
        <w:rPr>
          <w:rFonts w:cs="Arial"/>
          <w:szCs w:val="24"/>
          <w:lang w:val="en-US"/>
        </w:rPr>
        <w:t>, including</w:t>
      </w:r>
      <w:r w:rsidR="0078764E">
        <w:rPr>
          <w:rFonts w:cs="Arial"/>
          <w:szCs w:val="24"/>
          <w:lang w:val="en-US"/>
        </w:rPr>
        <w:t xml:space="preserve"> </w:t>
      </w:r>
      <w:r w:rsidR="00E35448">
        <w:rPr>
          <w:rFonts w:cs="Arial"/>
          <w:szCs w:val="24"/>
          <w:lang w:val="en-US"/>
        </w:rPr>
        <w:t>sexual harassment, sexual violence, and intimate partner violence,</w:t>
      </w:r>
      <w:r w:rsidR="00E35448">
        <w:rPr>
          <w:rStyle w:val="FootnoteReference"/>
          <w:rFonts w:cs="Arial"/>
          <w:szCs w:val="24"/>
          <w:lang w:val="en-US"/>
        </w:rPr>
        <w:footnoteReference w:id="34"/>
      </w:r>
      <w:r w:rsidR="00123ACC">
        <w:rPr>
          <w:rFonts w:cs="Arial"/>
          <w:szCs w:val="24"/>
          <w:lang w:val="en-US"/>
        </w:rPr>
        <w:t xml:space="preserve"> is</w:t>
      </w:r>
      <w:r w:rsidRPr="00262BB7">
        <w:rPr>
          <w:rFonts w:cs="Arial"/>
          <w:szCs w:val="24"/>
          <w:lang w:val="en-US"/>
        </w:rPr>
        <w:t xml:space="preserve"> largely underreported in Canada. </w:t>
      </w:r>
      <w:r w:rsidR="00D43F64" w:rsidRPr="00932393">
        <w:rPr>
          <w:rFonts w:cs="Arial"/>
          <w:szCs w:val="24"/>
          <w:lang w:val="en-US"/>
        </w:rPr>
        <w:t xml:space="preserve">In 2023, the number of complaints accepted by the </w:t>
      </w:r>
      <w:r w:rsidR="0078764E">
        <w:rPr>
          <w:rFonts w:cs="Arial"/>
          <w:szCs w:val="24"/>
          <w:lang w:val="en-US"/>
        </w:rPr>
        <w:t>C</w:t>
      </w:r>
      <w:r w:rsidR="00D43F64" w:rsidRPr="00932393">
        <w:rPr>
          <w:rFonts w:cs="Arial"/>
          <w:szCs w:val="24"/>
          <w:lang w:val="en-US"/>
        </w:rPr>
        <w:t>HRC citing sex represented 19% of all complaints accepted</w:t>
      </w:r>
      <w:r w:rsidR="00265A48">
        <w:rPr>
          <w:rFonts w:cs="Arial"/>
          <w:szCs w:val="24"/>
          <w:lang w:val="en-US"/>
        </w:rPr>
        <w:t xml:space="preserve"> and </w:t>
      </w:r>
      <w:r w:rsidR="00D43F64" w:rsidRPr="00932393">
        <w:rPr>
          <w:rFonts w:cs="Arial"/>
          <w:szCs w:val="24"/>
          <w:lang w:val="en-US"/>
        </w:rPr>
        <w:t xml:space="preserve">45% of </w:t>
      </w:r>
      <w:r w:rsidR="00D43F64">
        <w:rPr>
          <w:rFonts w:cs="Arial"/>
          <w:szCs w:val="24"/>
          <w:lang w:val="en-US"/>
        </w:rPr>
        <w:t>these</w:t>
      </w:r>
      <w:r w:rsidR="00D43F64" w:rsidRPr="00932393">
        <w:rPr>
          <w:rFonts w:cs="Arial"/>
          <w:szCs w:val="24"/>
          <w:lang w:val="en-US"/>
        </w:rPr>
        <w:t xml:space="preserve"> </w:t>
      </w:r>
      <w:r w:rsidR="00D43F64">
        <w:rPr>
          <w:rFonts w:cs="Arial"/>
          <w:szCs w:val="24"/>
          <w:lang w:val="en-US"/>
        </w:rPr>
        <w:t xml:space="preserve">complaints </w:t>
      </w:r>
      <w:r w:rsidR="00D43F64" w:rsidRPr="00932393">
        <w:rPr>
          <w:rFonts w:cs="Arial"/>
          <w:szCs w:val="24"/>
          <w:lang w:val="en-US"/>
        </w:rPr>
        <w:t xml:space="preserve">alleged harassment. </w:t>
      </w:r>
      <w:r w:rsidRPr="00262BB7">
        <w:rPr>
          <w:rFonts w:cs="Arial"/>
          <w:szCs w:val="24"/>
          <w:lang w:val="en-US"/>
        </w:rPr>
        <w:t>Women with disabilities, Indigenous women, single women, unemployed</w:t>
      </w:r>
      <w:r>
        <w:rPr>
          <w:rFonts w:cs="Arial"/>
          <w:szCs w:val="24"/>
          <w:lang w:val="en-US"/>
        </w:rPr>
        <w:t xml:space="preserve"> women,</w:t>
      </w:r>
      <w:r w:rsidRPr="00262BB7">
        <w:rPr>
          <w:rFonts w:cs="Arial"/>
          <w:szCs w:val="24"/>
          <w:lang w:val="en-US"/>
        </w:rPr>
        <w:t xml:space="preserve"> women with low</w:t>
      </w:r>
      <w:r w:rsidR="00123ACC">
        <w:rPr>
          <w:rFonts w:cs="Arial"/>
          <w:szCs w:val="24"/>
          <w:lang w:val="en-US"/>
        </w:rPr>
        <w:t xml:space="preserve"> </w:t>
      </w:r>
      <w:r w:rsidRPr="00262BB7">
        <w:rPr>
          <w:rFonts w:cs="Arial"/>
          <w:szCs w:val="24"/>
          <w:lang w:val="en-US"/>
        </w:rPr>
        <w:t>incomes, and younger women are the groups most likely to experience sexual harassment and assault.</w:t>
      </w:r>
      <w:r w:rsidRPr="00262BB7">
        <w:rPr>
          <w:rStyle w:val="FootnoteReference"/>
          <w:rFonts w:cs="Arial"/>
          <w:szCs w:val="24"/>
          <w:lang w:val="en-US"/>
        </w:rPr>
        <w:footnoteReference w:id="35"/>
      </w:r>
      <w:r w:rsidRPr="00262BB7">
        <w:rPr>
          <w:rFonts w:cs="Arial"/>
          <w:szCs w:val="24"/>
          <w:lang w:val="en-US"/>
        </w:rPr>
        <w:t xml:space="preserve"> </w:t>
      </w:r>
      <w:r w:rsidR="00026FC2">
        <w:rPr>
          <w:rFonts w:cs="Arial"/>
          <w:szCs w:val="24"/>
          <w:lang w:val="en-US"/>
        </w:rPr>
        <w:t>Black women and girls often experience adultification</w:t>
      </w:r>
      <w:r w:rsidR="00026FC2">
        <w:rPr>
          <w:rStyle w:val="FootnoteReference"/>
          <w:rFonts w:cs="Arial"/>
          <w:szCs w:val="24"/>
          <w:lang w:val="en-US"/>
        </w:rPr>
        <w:footnoteReference w:id="36"/>
      </w:r>
      <w:r w:rsidR="00026FC2">
        <w:rPr>
          <w:rFonts w:cs="Arial"/>
          <w:szCs w:val="24"/>
          <w:lang w:val="en-US"/>
        </w:rPr>
        <w:t xml:space="preserve"> and </w:t>
      </w:r>
      <w:proofErr w:type="spellStart"/>
      <w:r w:rsidR="00026FC2">
        <w:rPr>
          <w:rFonts w:cs="Arial"/>
          <w:szCs w:val="24"/>
          <w:lang w:val="en-US"/>
        </w:rPr>
        <w:lastRenderedPageBreak/>
        <w:t>hypersexualization</w:t>
      </w:r>
      <w:proofErr w:type="spellEnd"/>
      <w:r w:rsidR="00026FC2">
        <w:rPr>
          <w:rFonts w:cs="Arial"/>
          <w:szCs w:val="24"/>
          <w:lang w:val="en-US"/>
        </w:rPr>
        <w:t>,</w:t>
      </w:r>
      <w:r w:rsidR="00A2203A">
        <w:rPr>
          <w:rStyle w:val="FootnoteReference"/>
          <w:rFonts w:cs="Arial"/>
          <w:szCs w:val="24"/>
          <w:lang w:val="en-US"/>
        </w:rPr>
        <w:footnoteReference w:id="37"/>
      </w:r>
      <w:r w:rsidR="00026FC2">
        <w:rPr>
          <w:rFonts w:cs="Arial"/>
          <w:szCs w:val="24"/>
          <w:lang w:val="en-US"/>
        </w:rPr>
        <w:t xml:space="preserve"> contributing to exploitation and violence. </w:t>
      </w:r>
      <w:r w:rsidR="00BE1E82">
        <w:rPr>
          <w:rFonts w:cs="Arial"/>
          <w:szCs w:val="24"/>
          <w:lang w:val="en-US"/>
        </w:rPr>
        <w:t>In 2020, w</w:t>
      </w:r>
      <w:r w:rsidR="00D25528" w:rsidRPr="00D25528">
        <w:rPr>
          <w:rFonts w:cs="Arial"/>
          <w:szCs w:val="24"/>
          <w:lang w:val="en-US"/>
        </w:rPr>
        <w:t>ithin the workplace, 25% of women employees reported being personally targeted with sexual</w:t>
      </w:r>
      <w:r w:rsidR="00456742">
        <w:rPr>
          <w:rFonts w:cs="Arial"/>
          <w:szCs w:val="24"/>
          <w:lang w:val="en-US"/>
        </w:rPr>
        <w:t xml:space="preserve"> </w:t>
      </w:r>
      <w:proofErr w:type="spellStart"/>
      <w:r w:rsidR="00D25528" w:rsidRPr="00D25528">
        <w:rPr>
          <w:rFonts w:cs="Arial"/>
          <w:szCs w:val="24"/>
          <w:lang w:val="en-US"/>
        </w:rPr>
        <w:t>behaviours</w:t>
      </w:r>
      <w:proofErr w:type="spellEnd"/>
      <w:r w:rsidR="00D25528" w:rsidRPr="00D25528">
        <w:rPr>
          <w:rFonts w:cs="Arial"/>
          <w:szCs w:val="24"/>
          <w:lang w:val="en-US"/>
        </w:rPr>
        <w:t>.</w:t>
      </w:r>
      <w:r w:rsidR="00D25528" w:rsidRPr="00D25528">
        <w:rPr>
          <w:rFonts w:cs="Arial"/>
          <w:szCs w:val="24"/>
          <w:vertAlign w:val="superscript"/>
          <w:lang w:val="en-US"/>
        </w:rPr>
        <w:footnoteReference w:id="38"/>
      </w:r>
    </w:p>
    <w:p w14:paraId="4430C2FC" w14:textId="7A3AEA22" w:rsidR="009E127A" w:rsidRDefault="009E127A" w:rsidP="00C14C7A">
      <w:pPr>
        <w:spacing w:before="240" w:line="240" w:lineRule="auto"/>
        <w:rPr>
          <w:rFonts w:cs="Arial"/>
          <w:szCs w:val="24"/>
          <w:lang w:val="en-US"/>
        </w:rPr>
      </w:pPr>
      <w:r>
        <w:rPr>
          <w:rFonts w:cs="Arial"/>
          <w:szCs w:val="24"/>
          <w:lang w:val="en-US"/>
        </w:rPr>
        <w:t xml:space="preserve">The CHRC is concerned about growing backlash against women’s rights and the rise of </w:t>
      </w:r>
      <w:r w:rsidR="00AC5D29">
        <w:rPr>
          <w:rFonts w:cs="Arial"/>
          <w:szCs w:val="24"/>
          <w:lang w:val="en-US"/>
        </w:rPr>
        <w:t>online</w:t>
      </w:r>
      <w:r w:rsidR="00B51ACA">
        <w:rPr>
          <w:rFonts w:cs="Arial"/>
          <w:szCs w:val="24"/>
          <w:lang w:val="en-US"/>
        </w:rPr>
        <w:t xml:space="preserve"> </w:t>
      </w:r>
      <w:r w:rsidR="00AD2187">
        <w:rPr>
          <w:rFonts w:cs="Arial"/>
          <w:szCs w:val="24"/>
          <w:lang w:val="en-US"/>
        </w:rPr>
        <w:t>misogyny</w:t>
      </w:r>
      <w:r>
        <w:rPr>
          <w:rFonts w:cs="Arial"/>
          <w:szCs w:val="24"/>
          <w:lang w:val="en-US"/>
        </w:rPr>
        <w:t xml:space="preserve">, </w:t>
      </w:r>
      <w:r w:rsidR="000A78A0">
        <w:rPr>
          <w:rFonts w:cs="Arial"/>
          <w:szCs w:val="24"/>
          <w:lang w:val="en-US"/>
        </w:rPr>
        <w:t>threats,</w:t>
      </w:r>
      <w:r w:rsidR="00AC5D29">
        <w:rPr>
          <w:rFonts w:cs="Arial"/>
          <w:szCs w:val="24"/>
          <w:lang w:val="en-US"/>
        </w:rPr>
        <w:t xml:space="preserve"> </w:t>
      </w:r>
      <w:r w:rsidR="000A78A0">
        <w:rPr>
          <w:rFonts w:cs="Arial"/>
          <w:szCs w:val="24"/>
          <w:lang w:val="en-US"/>
        </w:rPr>
        <w:t xml:space="preserve">sexual </w:t>
      </w:r>
      <w:r>
        <w:rPr>
          <w:rFonts w:cs="Arial"/>
          <w:szCs w:val="24"/>
          <w:lang w:val="en-US"/>
        </w:rPr>
        <w:t>harassment</w:t>
      </w:r>
      <w:r w:rsidR="000A78A0">
        <w:rPr>
          <w:rFonts w:cs="Arial"/>
          <w:szCs w:val="24"/>
          <w:lang w:val="en-US"/>
        </w:rPr>
        <w:t xml:space="preserve"> and </w:t>
      </w:r>
      <w:r>
        <w:rPr>
          <w:rFonts w:cs="Arial"/>
          <w:szCs w:val="24"/>
          <w:lang w:val="en-US"/>
        </w:rPr>
        <w:t>violence</w:t>
      </w:r>
      <w:r w:rsidR="0056541D">
        <w:rPr>
          <w:rFonts w:cs="Arial"/>
          <w:szCs w:val="24"/>
          <w:lang w:val="en-US"/>
        </w:rPr>
        <w:t xml:space="preserve">, which </w:t>
      </w:r>
      <w:r w:rsidR="00DC636A">
        <w:rPr>
          <w:rFonts w:cs="Arial"/>
          <w:szCs w:val="24"/>
          <w:lang w:val="en-US"/>
        </w:rPr>
        <w:t>caus</w:t>
      </w:r>
      <w:r w:rsidR="00AD2187">
        <w:rPr>
          <w:rFonts w:cs="Arial"/>
          <w:szCs w:val="24"/>
          <w:lang w:val="en-US"/>
        </w:rPr>
        <w:t>es</w:t>
      </w:r>
      <w:r w:rsidR="00B51ACA">
        <w:rPr>
          <w:rFonts w:cs="Arial"/>
          <w:szCs w:val="24"/>
          <w:lang w:val="en-US"/>
        </w:rPr>
        <w:t xml:space="preserve"> severe </w:t>
      </w:r>
      <w:r w:rsidR="00DC636A">
        <w:rPr>
          <w:rFonts w:cs="Arial"/>
          <w:szCs w:val="24"/>
          <w:lang w:val="en-US"/>
        </w:rPr>
        <w:t>harms to women</w:t>
      </w:r>
      <w:r w:rsidR="00744013">
        <w:rPr>
          <w:rFonts w:cs="Arial"/>
          <w:szCs w:val="24"/>
          <w:lang w:val="en-US"/>
        </w:rPr>
        <w:t xml:space="preserve"> and </w:t>
      </w:r>
      <w:r w:rsidR="000A78A0">
        <w:rPr>
          <w:rFonts w:cs="Arial"/>
          <w:szCs w:val="24"/>
          <w:lang w:val="en-US"/>
        </w:rPr>
        <w:t xml:space="preserve">society, and </w:t>
      </w:r>
      <w:r w:rsidR="00744013">
        <w:rPr>
          <w:rFonts w:cs="Arial"/>
          <w:szCs w:val="24"/>
          <w:lang w:val="en-US"/>
        </w:rPr>
        <w:t xml:space="preserve">has a chilling effect on </w:t>
      </w:r>
      <w:r w:rsidR="000A78A0">
        <w:rPr>
          <w:rFonts w:cs="Arial"/>
          <w:szCs w:val="24"/>
          <w:lang w:val="en-US"/>
        </w:rPr>
        <w:t>democracy in Canada</w:t>
      </w:r>
      <w:r w:rsidR="00744013">
        <w:rPr>
          <w:rFonts w:cs="Arial"/>
          <w:szCs w:val="24"/>
          <w:lang w:val="en-US"/>
        </w:rPr>
        <w:t>.</w:t>
      </w:r>
      <w:r w:rsidR="00B51ACA">
        <w:rPr>
          <w:rStyle w:val="FootnoteReference"/>
          <w:rFonts w:cs="Arial"/>
          <w:szCs w:val="24"/>
          <w:lang w:val="en-US"/>
        </w:rPr>
        <w:footnoteReference w:id="39"/>
      </w:r>
      <w:r w:rsidR="00DC636A">
        <w:rPr>
          <w:rFonts w:cs="Arial"/>
          <w:szCs w:val="24"/>
          <w:lang w:val="en-US"/>
        </w:rPr>
        <w:t xml:space="preserve"> </w:t>
      </w:r>
      <w:r w:rsidR="00BE1E82">
        <w:rPr>
          <w:rFonts w:cs="Arial"/>
          <w:szCs w:val="24"/>
          <w:lang w:val="en-US"/>
        </w:rPr>
        <w:t>S</w:t>
      </w:r>
      <w:r w:rsidR="00905E37">
        <w:rPr>
          <w:rFonts w:cs="Arial"/>
          <w:szCs w:val="24"/>
          <w:lang w:val="en-US"/>
        </w:rPr>
        <w:t>exually explicit material</w:t>
      </w:r>
      <w:r w:rsidR="0078764E">
        <w:rPr>
          <w:rStyle w:val="FootnoteReference"/>
          <w:rFonts w:cs="Arial"/>
          <w:szCs w:val="24"/>
          <w:lang w:val="en-US"/>
        </w:rPr>
        <w:footnoteReference w:id="40"/>
      </w:r>
      <w:r w:rsidR="00905E37">
        <w:rPr>
          <w:rFonts w:cs="Arial"/>
          <w:szCs w:val="24"/>
          <w:lang w:val="en-US"/>
        </w:rPr>
        <w:t xml:space="preserve"> </w:t>
      </w:r>
      <w:r w:rsidR="00BE1E82">
        <w:rPr>
          <w:rFonts w:cs="Arial"/>
          <w:szCs w:val="24"/>
          <w:lang w:val="en-US"/>
        </w:rPr>
        <w:t xml:space="preserve">is </w:t>
      </w:r>
      <w:r w:rsidR="00DC636A">
        <w:rPr>
          <w:rFonts w:cs="Arial"/>
          <w:szCs w:val="24"/>
          <w:lang w:val="en-US"/>
        </w:rPr>
        <w:t xml:space="preserve">overwhelmingly aimed at women, </w:t>
      </w:r>
      <w:r w:rsidR="00B51ACA">
        <w:rPr>
          <w:rFonts w:cs="Arial"/>
          <w:szCs w:val="24"/>
          <w:lang w:val="en-US"/>
        </w:rPr>
        <w:t>with little legal recourse</w:t>
      </w:r>
      <w:r w:rsidR="00DC636A">
        <w:rPr>
          <w:rFonts w:cs="Arial"/>
          <w:szCs w:val="24"/>
          <w:lang w:val="en-US"/>
        </w:rPr>
        <w:t xml:space="preserve">. </w:t>
      </w:r>
      <w:r w:rsidR="00230DD4">
        <w:rPr>
          <w:rFonts w:cs="Arial"/>
          <w:szCs w:val="24"/>
          <w:lang w:val="en-US"/>
        </w:rPr>
        <w:t>Islamophobia, antisemitism,</w:t>
      </w:r>
      <w:r w:rsidR="00230DD4">
        <w:rPr>
          <w:rStyle w:val="FootnoteReference"/>
          <w:rFonts w:cs="Arial"/>
          <w:szCs w:val="24"/>
          <w:lang w:val="en-US"/>
        </w:rPr>
        <w:footnoteReference w:id="41"/>
      </w:r>
      <w:r w:rsidR="00230DD4">
        <w:rPr>
          <w:rFonts w:cs="Arial"/>
          <w:szCs w:val="24"/>
          <w:lang w:val="en-US"/>
        </w:rPr>
        <w:t xml:space="preserve"> misogynoir,</w:t>
      </w:r>
      <w:r w:rsidR="00230DD4">
        <w:rPr>
          <w:rStyle w:val="FootnoteReference"/>
          <w:rFonts w:cs="Arial"/>
          <w:szCs w:val="24"/>
          <w:lang w:val="en-US"/>
        </w:rPr>
        <w:footnoteReference w:id="42"/>
      </w:r>
      <w:r w:rsidR="00230DD4">
        <w:rPr>
          <w:rFonts w:cs="Arial"/>
          <w:szCs w:val="24"/>
          <w:lang w:val="en-US"/>
        </w:rPr>
        <w:t xml:space="preserve"> and other forms of hate continue to </w:t>
      </w:r>
      <w:r w:rsidR="00BE1E82">
        <w:rPr>
          <w:rFonts w:cs="Arial"/>
          <w:szCs w:val="24"/>
          <w:lang w:val="en-US"/>
        </w:rPr>
        <w:t>impact women</w:t>
      </w:r>
      <w:r w:rsidR="009044ED">
        <w:rPr>
          <w:rFonts w:cs="Arial"/>
          <w:szCs w:val="24"/>
          <w:lang w:val="en-US"/>
        </w:rPr>
        <w:t xml:space="preserve"> </w:t>
      </w:r>
      <w:r w:rsidR="00230DD4">
        <w:rPr>
          <w:rFonts w:cs="Arial"/>
          <w:szCs w:val="24"/>
          <w:lang w:val="en-US"/>
        </w:rPr>
        <w:t xml:space="preserve">online. </w:t>
      </w:r>
      <w:r w:rsidR="00DC636A">
        <w:rPr>
          <w:rFonts w:cs="Arial"/>
          <w:szCs w:val="24"/>
          <w:lang w:val="en-US"/>
        </w:rPr>
        <w:t xml:space="preserve">The CHRC is encouraged by the introduction of </w:t>
      </w:r>
      <w:r w:rsidR="009D3037">
        <w:rPr>
          <w:rFonts w:cs="Arial"/>
          <w:szCs w:val="24"/>
          <w:lang w:val="en-US"/>
        </w:rPr>
        <w:t>legislation</w:t>
      </w:r>
      <w:r w:rsidR="00B51ACA">
        <w:rPr>
          <w:rStyle w:val="FootnoteReference"/>
          <w:rFonts w:cs="Arial"/>
          <w:szCs w:val="24"/>
          <w:lang w:val="en-US"/>
        </w:rPr>
        <w:footnoteReference w:id="43"/>
      </w:r>
      <w:r w:rsidR="00DC636A">
        <w:rPr>
          <w:rFonts w:cs="Arial"/>
          <w:szCs w:val="24"/>
          <w:lang w:val="en-US"/>
        </w:rPr>
        <w:t xml:space="preserve"> </w:t>
      </w:r>
      <w:r w:rsidR="009D3037">
        <w:rPr>
          <w:rFonts w:cs="Arial"/>
          <w:szCs w:val="24"/>
          <w:lang w:val="en-US"/>
        </w:rPr>
        <w:t>that could</w:t>
      </w:r>
      <w:r w:rsidR="00B51ACA">
        <w:rPr>
          <w:rFonts w:cs="Arial"/>
          <w:szCs w:val="24"/>
          <w:lang w:val="en-US"/>
        </w:rPr>
        <w:t xml:space="preserve"> address online harms</w:t>
      </w:r>
      <w:r w:rsidR="009D3037">
        <w:rPr>
          <w:rFonts w:cs="Arial"/>
          <w:szCs w:val="24"/>
          <w:lang w:val="en-US"/>
        </w:rPr>
        <w:t>.</w:t>
      </w:r>
    </w:p>
    <w:p w14:paraId="6DCC3A41" w14:textId="50476EC2" w:rsidR="009B30DF" w:rsidRPr="00C25033" w:rsidRDefault="00FF3526" w:rsidP="00C25033">
      <w:pPr>
        <w:pBdr>
          <w:top w:val="single" w:sz="12" w:space="1" w:color="auto"/>
          <w:left w:val="single" w:sz="12" w:space="4" w:color="auto"/>
          <w:bottom w:val="single" w:sz="12" w:space="1" w:color="auto"/>
          <w:right w:val="single" w:sz="12" w:space="4" w:color="auto"/>
        </w:pBdr>
        <w:shd w:val="clear" w:color="auto" w:fill="DEEAF6" w:themeFill="accent1" w:themeFillTint="33"/>
        <w:spacing w:before="240" w:line="240" w:lineRule="auto"/>
        <w:rPr>
          <w:rFonts w:cs="Arial"/>
          <w:iCs/>
          <w:szCs w:val="24"/>
          <w:lang w:val="en-US"/>
        </w:rPr>
      </w:pPr>
      <w:r>
        <w:rPr>
          <w:rFonts w:cs="Arial"/>
          <w:b/>
          <w:bCs/>
          <w:iCs/>
          <w:szCs w:val="24"/>
          <w:lang w:val="en-US"/>
        </w:rPr>
        <w:lastRenderedPageBreak/>
        <w:t xml:space="preserve">Recommendation </w:t>
      </w:r>
      <w:r w:rsidR="00CB7542">
        <w:rPr>
          <w:rFonts w:cs="Arial"/>
          <w:b/>
          <w:bCs/>
          <w:iCs/>
          <w:szCs w:val="24"/>
          <w:lang w:val="en-US"/>
        </w:rPr>
        <w:t>#7</w:t>
      </w:r>
      <w:r>
        <w:rPr>
          <w:rFonts w:cs="Arial"/>
          <w:b/>
          <w:bCs/>
          <w:iCs/>
          <w:szCs w:val="24"/>
          <w:lang w:val="en-US"/>
        </w:rPr>
        <w:t xml:space="preserve">: </w:t>
      </w:r>
      <w:r>
        <w:rPr>
          <w:rFonts w:cs="Arial"/>
          <w:iCs/>
          <w:szCs w:val="24"/>
          <w:lang w:val="en-US"/>
        </w:rPr>
        <w:t xml:space="preserve">That Canada </w:t>
      </w:r>
      <w:r w:rsidR="00D6224E">
        <w:rPr>
          <w:rFonts w:cs="Arial"/>
          <w:iCs/>
          <w:szCs w:val="24"/>
          <w:lang w:val="en-US"/>
        </w:rPr>
        <w:t>implement</w:t>
      </w:r>
      <w:r w:rsidR="008D6942">
        <w:rPr>
          <w:rFonts w:cs="Arial"/>
          <w:iCs/>
          <w:szCs w:val="24"/>
          <w:lang w:val="en-US"/>
        </w:rPr>
        <w:t>s</w:t>
      </w:r>
      <w:r>
        <w:rPr>
          <w:rFonts w:cs="Arial"/>
          <w:iCs/>
          <w:szCs w:val="24"/>
          <w:lang w:val="en-US"/>
        </w:rPr>
        <w:t xml:space="preserve"> </w:t>
      </w:r>
      <w:r w:rsidR="00D6224E">
        <w:rPr>
          <w:rFonts w:cs="Arial"/>
          <w:iCs/>
          <w:szCs w:val="24"/>
          <w:lang w:val="en-US"/>
        </w:rPr>
        <w:t>rights-based</w:t>
      </w:r>
      <w:r>
        <w:rPr>
          <w:rFonts w:cs="Arial"/>
          <w:iCs/>
          <w:szCs w:val="24"/>
          <w:lang w:val="en-US"/>
        </w:rPr>
        <w:t xml:space="preserve"> protections against online hate, misogyny and sexual harassment and violence, </w:t>
      </w:r>
      <w:r w:rsidR="002071BD">
        <w:rPr>
          <w:rFonts w:cs="Arial"/>
          <w:iCs/>
          <w:szCs w:val="24"/>
          <w:lang w:val="en-US"/>
        </w:rPr>
        <w:t xml:space="preserve">and </w:t>
      </w:r>
      <w:r w:rsidR="009809AF">
        <w:rPr>
          <w:rFonts w:cs="Arial"/>
          <w:iCs/>
          <w:szCs w:val="24"/>
          <w:lang w:val="en-US"/>
        </w:rPr>
        <w:t>provide</w:t>
      </w:r>
      <w:r>
        <w:rPr>
          <w:rFonts w:cs="Arial"/>
          <w:iCs/>
          <w:szCs w:val="24"/>
          <w:lang w:val="en-US"/>
        </w:rPr>
        <w:t xml:space="preserve"> legal recourse and accountability for the harms caused</w:t>
      </w:r>
      <w:r w:rsidR="00D6224E">
        <w:rPr>
          <w:rFonts w:cs="Arial"/>
          <w:iCs/>
          <w:szCs w:val="24"/>
          <w:lang w:val="en-US"/>
        </w:rPr>
        <w:t>.</w:t>
      </w:r>
      <w:r w:rsidRPr="0092625C">
        <w:rPr>
          <w:rFonts w:cs="Arial"/>
          <w:b/>
          <w:bCs/>
          <w:iCs/>
          <w:szCs w:val="24"/>
          <w:lang w:val="en-US"/>
        </w:rPr>
        <w:t xml:space="preserve">  </w:t>
      </w:r>
      <w:bookmarkStart w:id="14" w:name="_Toc173158786"/>
      <w:bookmarkStart w:id="15" w:name="_Toc173229923"/>
      <w:bookmarkStart w:id="16" w:name="_Toc174371113"/>
      <w:bookmarkStart w:id="17" w:name="_Toc174373017"/>
      <w:bookmarkStart w:id="18" w:name="_Toc174371114"/>
      <w:bookmarkStart w:id="19" w:name="_Toc174373018"/>
      <w:bookmarkEnd w:id="14"/>
      <w:bookmarkEnd w:id="15"/>
      <w:bookmarkEnd w:id="16"/>
      <w:bookmarkEnd w:id="17"/>
      <w:bookmarkEnd w:id="18"/>
      <w:bookmarkEnd w:id="19"/>
    </w:p>
    <w:p w14:paraId="251003EA" w14:textId="1B502C9D" w:rsidR="00565773" w:rsidRPr="00E86C54" w:rsidRDefault="009D3037" w:rsidP="00C429D1">
      <w:pPr>
        <w:pStyle w:val="Heading2"/>
      </w:pPr>
      <w:bookmarkStart w:id="20" w:name="_Toc174373019"/>
      <w:r>
        <w:t>Women in the military</w:t>
      </w:r>
      <w:bookmarkEnd w:id="20"/>
      <w:r>
        <w:t xml:space="preserve"> </w:t>
      </w:r>
    </w:p>
    <w:p w14:paraId="45DACB4B" w14:textId="4E8B9C47" w:rsidR="00413EFA" w:rsidRDefault="006138E5" w:rsidP="006B0814">
      <w:pPr>
        <w:spacing w:before="240" w:line="240" w:lineRule="auto"/>
        <w:rPr>
          <w:rFonts w:cs="Arial"/>
          <w:szCs w:val="24"/>
          <w:lang w:val="en-US"/>
        </w:rPr>
      </w:pPr>
      <w:r>
        <w:rPr>
          <w:rFonts w:cs="Arial"/>
          <w:szCs w:val="24"/>
          <w:lang w:val="en-US"/>
        </w:rPr>
        <w:t>A</w:t>
      </w:r>
      <w:r w:rsidR="00D25528">
        <w:rPr>
          <w:rFonts w:cs="Arial"/>
          <w:szCs w:val="24"/>
          <w:lang w:val="en-US"/>
        </w:rPr>
        <w:t xml:space="preserve"> 2022 </w:t>
      </w:r>
      <w:r w:rsidR="00402677">
        <w:rPr>
          <w:rFonts w:cs="Arial"/>
          <w:szCs w:val="24"/>
          <w:lang w:val="en-US"/>
        </w:rPr>
        <w:t>report</w:t>
      </w:r>
      <w:r w:rsidR="00402677">
        <w:rPr>
          <w:rStyle w:val="FootnoteReference"/>
          <w:rFonts w:cs="Arial"/>
          <w:szCs w:val="24"/>
          <w:lang w:val="en-US"/>
        </w:rPr>
        <w:footnoteReference w:id="44"/>
      </w:r>
      <w:r>
        <w:rPr>
          <w:rFonts w:cs="Arial"/>
          <w:szCs w:val="24"/>
          <w:lang w:val="en-US"/>
        </w:rPr>
        <w:t xml:space="preserve"> </w:t>
      </w:r>
      <w:r w:rsidR="00BD57F2" w:rsidRPr="00C614A5">
        <w:rPr>
          <w:rFonts w:cs="Arial"/>
          <w:szCs w:val="24"/>
          <w:lang w:val="en-US"/>
        </w:rPr>
        <w:t xml:space="preserve">by </w:t>
      </w:r>
      <w:r>
        <w:rPr>
          <w:rFonts w:cs="Arial"/>
          <w:szCs w:val="24"/>
          <w:lang w:val="en-US"/>
        </w:rPr>
        <w:t xml:space="preserve">former Supreme Court of Canada </w:t>
      </w:r>
      <w:r w:rsidR="00BD57F2" w:rsidRPr="00C614A5">
        <w:rPr>
          <w:rFonts w:cs="Arial"/>
          <w:szCs w:val="24"/>
          <w:lang w:val="en-US"/>
        </w:rPr>
        <w:t xml:space="preserve">Justice Louise </w:t>
      </w:r>
      <w:proofErr w:type="spellStart"/>
      <w:r w:rsidR="00BD57F2" w:rsidRPr="00C614A5">
        <w:rPr>
          <w:rFonts w:cs="Arial"/>
          <w:szCs w:val="24"/>
          <w:lang w:val="en-US"/>
        </w:rPr>
        <w:t>Arbour</w:t>
      </w:r>
      <w:proofErr w:type="spellEnd"/>
      <w:r w:rsidR="00BD57F2" w:rsidRPr="00C614A5">
        <w:rPr>
          <w:rFonts w:cs="Arial"/>
          <w:szCs w:val="24"/>
          <w:lang w:val="en-US"/>
        </w:rPr>
        <w:t xml:space="preserve"> found that the</w:t>
      </w:r>
      <w:r w:rsidR="00744013">
        <w:rPr>
          <w:rFonts w:cs="Arial"/>
          <w:szCs w:val="24"/>
          <w:lang w:val="en-US"/>
        </w:rPr>
        <w:t xml:space="preserve"> Canadian Armed Forces</w:t>
      </w:r>
      <w:r w:rsidR="00BD57F2" w:rsidRPr="00C614A5">
        <w:rPr>
          <w:rFonts w:cs="Arial"/>
          <w:szCs w:val="24"/>
          <w:lang w:val="en-US"/>
        </w:rPr>
        <w:t xml:space="preserve"> </w:t>
      </w:r>
      <w:r w:rsidR="00744013">
        <w:rPr>
          <w:rFonts w:cs="Arial"/>
          <w:szCs w:val="24"/>
          <w:lang w:val="en-US"/>
        </w:rPr>
        <w:t>(</w:t>
      </w:r>
      <w:r w:rsidR="00BD57F2" w:rsidRPr="00C614A5">
        <w:rPr>
          <w:rFonts w:cs="Arial"/>
          <w:szCs w:val="24"/>
          <w:lang w:val="en-US"/>
        </w:rPr>
        <w:t>CAF</w:t>
      </w:r>
      <w:r w:rsidR="00744013">
        <w:rPr>
          <w:rFonts w:cs="Arial"/>
          <w:szCs w:val="24"/>
          <w:lang w:val="en-US"/>
        </w:rPr>
        <w:t>)</w:t>
      </w:r>
      <w:r w:rsidR="00BD57F2" w:rsidRPr="00C614A5">
        <w:rPr>
          <w:rFonts w:cs="Arial"/>
          <w:szCs w:val="24"/>
          <w:lang w:val="en-US"/>
        </w:rPr>
        <w:t xml:space="preserve"> </w:t>
      </w:r>
      <w:r w:rsidR="009D0336">
        <w:rPr>
          <w:rFonts w:cs="Arial"/>
          <w:szCs w:val="24"/>
          <w:lang w:val="en-US"/>
        </w:rPr>
        <w:t xml:space="preserve">has long </w:t>
      </w:r>
      <w:r w:rsidR="00BD57F2">
        <w:rPr>
          <w:rFonts w:cs="Arial"/>
          <w:szCs w:val="24"/>
          <w:lang w:val="en-US"/>
        </w:rPr>
        <w:t>support</w:t>
      </w:r>
      <w:r w:rsidR="009D0336">
        <w:rPr>
          <w:rFonts w:cs="Arial"/>
          <w:szCs w:val="24"/>
          <w:lang w:val="en-US"/>
        </w:rPr>
        <w:t>ed</w:t>
      </w:r>
      <w:r w:rsidR="00BD57F2">
        <w:rPr>
          <w:rFonts w:cs="Arial"/>
          <w:szCs w:val="24"/>
          <w:lang w:val="en-US"/>
        </w:rPr>
        <w:t xml:space="preserve"> a</w:t>
      </w:r>
      <w:r w:rsidR="00BD57F2" w:rsidRPr="00C614A5">
        <w:rPr>
          <w:rFonts w:cs="Arial"/>
          <w:szCs w:val="24"/>
          <w:lang w:val="en-US"/>
        </w:rPr>
        <w:t xml:space="preserve"> </w:t>
      </w:r>
      <w:r w:rsidR="00BD57F2">
        <w:rPr>
          <w:rFonts w:cs="Arial"/>
          <w:szCs w:val="24"/>
          <w:lang w:val="en-US"/>
        </w:rPr>
        <w:t xml:space="preserve">harmful </w:t>
      </w:r>
      <w:r w:rsidR="00BE1E82">
        <w:rPr>
          <w:rFonts w:cs="Arial"/>
          <w:szCs w:val="24"/>
          <w:lang w:val="en-US"/>
        </w:rPr>
        <w:t xml:space="preserve">military </w:t>
      </w:r>
      <w:r w:rsidR="00BD57F2" w:rsidRPr="00C614A5">
        <w:rPr>
          <w:rFonts w:cs="Arial"/>
          <w:szCs w:val="24"/>
          <w:lang w:val="en-US"/>
        </w:rPr>
        <w:t xml:space="preserve">culture </w:t>
      </w:r>
      <w:r w:rsidR="00E63ACF">
        <w:rPr>
          <w:rFonts w:cs="Arial"/>
          <w:szCs w:val="24"/>
          <w:lang w:val="en-US"/>
        </w:rPr>
        <w:t xml:space="preserve">that normalizes </w:t>
      </w:r>
      <w:r w:rsidR="00BE1E82">
        <w:rPr>
          <w:rFonts w:cs="Arial"/>
          <w:szCs w:val="24"/>
          <w:lang w:val="en-US"/>
        </w:rPr>
        <w:t xml:space="preserve">the </w:t>
      </w:r>
      <w:r w:rsidR="00BD57F2" w:rsidRPr="00C614A5">
        <w:rPr>
          <w:rFonts w:cs="Arial"/>
          <w:szCs w:val="24"/>
          <w:lang w:val="en-US"/>
        </w:rPr>
        <w:t>exclu</w:t>
      </w:r>
      <w:r w:rsidR="00BE1E82">
        <w:rPr>
          <w:rFonts w:cs="Arial"/>
          <w:szCs w:val="24"/>
          <w:lang w:val="en-US"/>
        </w:rPr>
        <w:t>sion</w:t>
      </w:r>
      <w:r w:rsidR="00BD57F2" w:rsidRPr="00C614A5">
        <w:rPr>
          <w:rFonts w:cs="Arial"/>
          <w:szCs w:val="24"/>
          <w:lang w:val="en-US"/>
        </w:rPr>
        <w:t>, harass</w:t>
      </w:r>
      <w:r w:rsidR="00BE1E82">
        <w:rPr>
          <w:rFonts w:cs="Arial"/>
          <w:szCs w:val="24"/>
          <w:lang w:val="en-US"/>
        </w:rPr>
        <w:t>ment</w:t>
      </w:r>
      <w:r w:rsidR="00BD57F2" w:rsidRPr="00C614A5">
        <w:rPr>
          <w:rFonts w:cs="Arial"/>
          <w:szCs w:val="24"/>
          <w:lang w:val="en-US"/>
        </w:rPr>
        <w:t>, humiliat</w:t>
      </w:r>
      <w:r w:rsidR="00BE1E82">
        <w:rPr>
          <w:rFonts w:cs="Arial"/>
          <w:szCs w:val="24"/>
          <w:lang w:val="en-US"/>
        </w:rPr>
        <w:t>ion</w:t>
      </w:r>
      <w:r w:rsidR="00BD57F2" w:rsidRPr="00C614A5">
        <w:rPr>
          <w:rFonts w:cs="Arial"/>
          <w:szCs w:val="24"/>
          <w:lang w:val="en-US"/>
        </w:rPr>
        <w:t>, abuse and assault</w:t>
      </w:r>
      <w:r w:rsidR="00BE1E82">
        <w:rPr>
          <w:rFonts w:cs="Arial"/>
          <w:szCs w:val="24"/>
          <w:lang w:val="en-US"/>
        </w:rPr>
        <w:t xml:space="preserve"> of women</w:t>
      </w:r>
      <w:r w:rsidR="00BD57F2" w:rsidRPr="00C614A5">
        <w:rPr>
          <w:rFonts w:cs="Arial"/>
          <w:szCs w:val="24"/>
          <w:lang w:val="en-US"/>
        </w:rPr>
        <w:t>.</w:t>
      </w:r>
      <w:r w:rsidR="00BD57F2">
        <w:rPr>
          <w:rFonts w:cs="Arial"/>
          <w:szCs w:val="24"/>
          <w:lang w:val="en-US"/>
        </w:rPr>
        <w:t xml:space="preserve"> </w:t>
      </w:r>
      <w:r w:rsidR="009D0336">
        <w:rPr>
          <w:rFonts w:cs="Arial"/>
          <w:szCs w:val="24"/>
          <w:lang w:val="en-US"/>
        </w:rPr>
        <w:t>It found that the CAF</w:t>
      </w:r>
      <w:r w:rsidR="00A757FA">
        <w:rPr>
          <w:rFonts w:cs="Arial"/>
          <w:szCs w:val="24"/>
          <w:lang w:val="en-US"/>
        </w:rPr>
        <w:t xml:space="preserve"> ignored or minimized complaints</w:t>
      </w:r>
      <w:r w:rsidR="00BD57F2" w:rsidRPr="00C614A5">
        <w:rPr>
          <w:rFonts w:cs="Arial"/>
          <w:szCs w:val="24"/>
          <w:lang w:val="en-US"/>
        </w:rPr>
        <w:t xml:space="preserve"> </w:t>
      </w:r>
      <w:r w:rsidR="00A757FA">
        <w:rPr>
          <w:rFonts w:cs="Arial"/>
          <w:szCs w:val="24"/>
          <w:lang w:val="en-US"/>
        </w:rPr>
        <w:t xml:space="preserve">and </w:t>
      </w:r>
      <w:r w:rsidR="009D0336">
        <w:rPr>
          <w:rFonts w:cs="Arial"/>
          <w:szCs w:val="24"/>
          <w:lang w:val="en-US"/>
        </w:rPr>
        <w:t>allow</w:t>
      </w:r>
      <w:r w:rsidR="00A757FA">
        <w:rPr>
          <w:rFonts w:cs="Arial"/>
          <w:szCs w:val="24"/>
          <w:lang w:val="en-US"/>
        </w:rPr>
        <w:t>ed</w:t>
      </w:r>
      <w:r w:rsidR="009D0336">
        <w:rPr>
          <w:rFonts w:cs="Arial"/>
          <w:szCs w:val="24"/>
          <w:lang w:val="en-US"/>
        </w:rPr>
        <w:t xml:space="preserve"> </w:t>
      </w:r>
      <w:r w:rsidR="00BD57F2" w:rsidRPr="00C614A5">
        <w:rPr>
          <w:rFonts w:cs="Arial"/>
          <w:szCs w:val="24"/>
          <w:lang w:val="en-US"/>
        </w:rPr>
        <w:t xml:space="preserve">retaliation </w:t>
      </w:r>
      <w:r w:rsidR="009D0336">
        <w:rPr>
          <w:rFonts w:cs="Arial"/>
          <w:szCs w:val="24"/>
          <w:lang w:val="en-US"/>
        </w:rPr>
        <w:t>against survivors</w:t>
      </w:r>
      <w:r w:rsidR="003D178F">
        <w:rPr>
          <w:rFonts w:cs="Arial"/>
          <w:szCs w:val="24"/>
          <w:lang w:val="en-US"/>
        </w:rPr>
        <w:t>.</w:t>
      </w:r>
      <w:r w:rsidR="00BD57F2" w:rsidRPr="00C614A5">
        <w:rPr>
          <w:rFonts w:cs="Arial"/>
          <w:szCs w:val="24"/>
          <w:lang w:val="en-US"/>
        </w:rPr>
        <w:t xml:space="preserve"> </w:t>
      </w:r>
      <w:r w:rsidR="00E63ACF">
        <w:rPr>
          <w:rFonts w:cs="Arial"/>
          <w:szCs w:val="24"/>
          <w:lang w:val="en-US"/>
        </w:rPr>
        <w:t>R</w:t>
      </w:r>
      <w:r w:rsidR="00413EFA" w:rsidRPr="00413EFA">
        <w:rPr>
          <w:rFonts w:cs="Arial"/>
          <w:szCs w:val="24"/>
          <w:lang w:val="en-US"/>
        </w:rPr>
        <w:t>eport</w:t>
      </w:r>
      <w:r w:rsidR="003D178F">
        <w:rPr>
          <w:rFonts w:cs="Arial"/>
          <w:szCs w:val="24"/>
          <w:lang w:val="en-US"/>
        </w:rPr>
        <w:t>s of</w:t>
      </w:r>
      <w:r w:rsidR="00DA2644">
        <w:rPr>
          <w:rFonts w:cs="Arial"/>
          <w:szCs w:val="24"/>
          <w:lang w:val="en-US"/>
        </w:rPr>
        <w:t xml:space="preserve"> </w:t>
      </w:r>
      <w:r w:rsidR="00413EFA" w:rsidRPr="00413EFA">
        <w:rPr>
          <w:rFonts w:cs="Arial"/>
          <w:szCs w:val="24"/>
          <w:lang w:val="en-US"/>
        </w:rPr>
        <w:t xml:space="preserve">sexual assault </w:t>
      </w:r>
      <w:r w:rsidR="00A757FA">
        <w:rPr>
          <w:rFonts w:cs="Arial"/>
          <w:szCs w:val="24"/>
          <w:lang w:val="en-US"/>
        </w:rPr>
        <w:t>within</w:t>
      </w:r>
      <w:r w:rsidR="00413EFA" w:rsidRPr="00413EFA">
        <w:rPr>
          <w:rFonts w:cs="Arial"/>
          <w:szCs w:val="24"/>
          <w:lang w:val="en-US"/>
        </w:rPr>
        <w:t xml:space="preserve"> the military has more than doubled between 2018 and 2022</w:t>
      </w:r>
      <w:r w:rsidR="003D178F">
        <w:rPr>
          <w:rFonts w:cs="Arial"/>
          <w:szCs w:val="24"/>
          <w:lang w:val="en-US"/>
        </w:rPr>
        <w:t>.</w:t>
      </w:r>
      <w:r w:rsidR="00842E9C">
        <w:rPr>
          <w:rStyle w:val="FootnoteReference"/>
          <w:rFonts w:cs="Arial"/>
          <w:szCs w:val="24"/>
          <w:lang w:val="en-US"/>
        </w:rPr>
        <w:footnoteReference w:id="45"/>
      </w:r>
      <w:r w:rsidR="006C1EA3">
        <w:rPr>
          <w:rFonts w:cs="Arial"/>
          <w:szCs w:val="24"/>
          <w:lang w:val="en-US"/>
        </w:rPr>
        <w:t xml:space="preserve"> </w:t>
      </w:r>
      <w:r w:rsidR="003D178F" w:rsidRPr="003D178F">
        <w:rPr>
          <w:rFonts w:cs="Arial"/>
          <w:szCs w:val="24"/>
          <w:lang w:val="en-US"/>
        </w:rPr>
        <w:t xml:space="preserve"> </w:t>
      </w:r>
    </w:p>
    <w:p w14:paraId="60CEF6FE" w14:textId="22C5854F" w:rsidR="00C614A5" w:rsidRDefault="00402677" w:rsidP="00C614A5">
      <w:pPr>
        <w:spacing w:before="240" w:line="240" w:lineRule="auto"/>
        <w:rPr>
          <w:rFonts w:cs="Arial"/>
          <w:szCs w:val="24"/>
          <w:lang w:val="en-US"/>
        </w:rPr>
      </w:pPr>
      <w:r>
        <w:rPr>
          <w:rFonts w:cs="Arial"/>
          <w:szCs w:val="24"/>
          <w:lang w:val="en-US"/>
        </w:rPr>
        <w:t>The</w:t>
      </w:r>
      <w:r w:rsidRPr="00C614A5">
        <w:rPr>
          <w:rFonts w:cs="Arial"/>
          <w:szCs w:val="24"/>
          <w:lang w:val="en-US"/>
        </w:rPr>
        <w:t xml:space="preserve"> </w:t>
      </w:r>
      <w:r w:rsidR="00CD785F">
        <w:rPr>
          <w:rFonts w:cs="Arial"/>
          <w:szCs w:val="24"/>
          <w:lang w:val="en-US"/>
        </w:rPr>
        <w:t xml:space="preserve">CHRC supports the recommendations made in the </w:t>
      </w:r>
      <w:proofErr w:type="spellStart"/>
      <w:r w:rsidRPr="00C614A5">
        <w:rPr>
          <w:rFonts w:cs="Arial"/>
          <w:szCs w:val="24"/>
          <w:lang w:val="en-US"/>
        </w:rPr>
        <w:t>Arbour</w:t>
      </w:r>
      <w:proofErr w:type="spellEnd"/>
      <w:r w:rsidRPr="00C614A5">
        <w:rPr>
          <w:rFonts w:cs="Arial"/>
          <w:szCs w:val="24"/>
          <w:lang w:val="en-US"/>
        </w:rPr>
        <w:t xml:space="preserve"> report</w:t>
      </w:r>
      <w:r w:rsidR="004E12E3">
        <w:rPr>
          <w:rFonts w:cs="Arial"/>
          <w:szCs w:val="24"/>
          <w:lang w:val="en-US"/>
        </w:rPr>
        <w:t xml:space="preserve">, including </w:t>
      </w:r>
      <w:r>
        <w:rPr>
          <w:rFonts w:cs="Arial"/>
          <w:szCs w:val="24"/>
          <w:lang w:val="en-US"/>
        </w:rPr>
        <w:t>removing the processing of these</w:t>
      </w:r>
      <w:r w:rsidR="00A15067">
        <w:rPr>
          <w:rFonts w:cs="Arial"/>
          <w:szCs w:val="24"/>
          <w:lang w:val="en-US"/>
        </w:rPr>
        <w:t xml:space="preserve"> complaints</w:t>
      </w:r>
      <w:r>
        <w:rPr>
          <w:rFonts w:cs="Arial"/>
          <w:szCs w:val="24"/>
          <w:lang w:val="en-US"/>
        </w:rPr>
        <w:t xml:space="preserve"> from the military chain of command and</w:t>
      </w:r>
      <w:r w:rsidRPr="00C614A5">
        <w:rPr>
          <w:rFonts w:cs="Arial"/>
          <w:szCs w:val="24"/>
          <w:lang w:val="en-US"/>
        </w:rPr>
        <w:t xml:space="preserve"> provid</w:t>
      </w:r>
      <w:r>
        <w:rPr>
          <w:rFonts w:cs="Arial"/>
          <w:szCs w:val="24"/>
          <w:lang w:val="en-US"/>
        </w:rPr>
        <w:t>ing</w:t>
      </w:r>
      <w:r w:rsidRPr="00C614A5">
        <w:rPr>
          <w:rFonts w:cs="Arial"/>
          <w:szCs w:val="24"/>
          <w:lang w:val="en-US"/>
        </w:rPr>
        <w:t xml:space="preserve"> victims with appropriate support and remed</w:t>
      </w:r>
      <w:r w:rsidR="00744013">
        <w:rPr>
          <w:rFonts w:cs="Arial"/>
          <w:szCs w:val="24"/>
          <w:lang w:val="en-US"/>
        </w:rPr>
        <w:t>ies</w:t>
      </w:r>
      <w:r w:rsidRPr="00C614A5">
        <w:rPr>
          <w:rFonts w:cs="Arial"/>
          <w:szCs w:val="24"/>
          <w:lang w:val="en-US"/>
        </w:rPr>
        <w:t>.</w:t>
      </w:r>
      <w:r>
        <w:rPr>
          <w:rFonts w:cs="Arial"/>
          <w:szCs w:val="24"/>
          <w:lang w:val="en-US"/>
        </w:rPr>
        <w:t xml:space="preserve"> </w:t>
      </w:r>
      <w:r w:rsidR="002C582C">
        <w:rPr>
          <w:rFonts w:cs="Arial"/>
          <w:szCs w:val="24"/>
          <w:lang w:val="en-US"/>
        </w:rPr>
        <w:t xml:space="preserve">In response, </w:t>
      </w:r>
      <w:r w:rsidR="00744013">
        <w:rPr>
          <w:rFonts w:cs="Arial"/>
          <w:szCs w:val="24"/>
          <w:lang w:val="en-US"/>
        </w:rPr>
        <w:t>t</w:t>
      </w:r>
      <w:r w:rsidR="00A15067">
        <w:rPr>
          <w:rFonts w:cs="Arial"/>
          <w:szCs w:val="24"/>
          <w:lang w:val="en-US"/>
        </w:rPr>
        <w:t>he</w:t>
      </w:r>
      <w:r w:rsidR="00DA2644">
        <w:rPr>
          <w:rFonts w:cs="Arial"/>
          <w:szCs w:val="24"/>
          <w:lang w:val="en-US"/>
        </w:rPr>
        <w:t xml:space="preserve"> </w:t>
      </w:r>
      <w:r w:rsidR="00C614A5" w:rsidRPr="00C614A5">
        <w:rPr>
          <w:rFonts w:cs="Arial"/>
          <w:szCs w:val="24"/>
          <w:lang w:val="en-US"/>
        </w:rPr>
        <w:t xml:space="preserve">Government of Canada increased access to the CHRC </w:t>
      </w:r>
      <w:r w:rsidR="002C582C">
        <w:rPr>
          <w:rFonts w:cs="Arial"/>
          <w:szCs w:val="24"/>
          <w:lang w:val="en-US"/>
        </w:rPr>
        <w:t>complaints system</w:t>
      </w:r>
      <w:r w:rsidR="00242822">
        <w:rPr>
          <w:rFonts w:cs="Arial"/>
          <w:szCs w:val="24"/>
          <w:lang w:val="en-US"/>
        </w:rPr>
        <w:t>. T</w:t>
      </w:r>
      <w:r>
        <w:rPr>
          <w:rFonts w:cs="Arial"/>
          <w:szCs w:val="24"/>
          <w:lang w:val="en-US"/>
        </w:rPr>
        <w:t>he</w:t>
      </w:r>
      <w:r w:rsidR="00C614A5" w:rsidRPr="00C614A5">
        <w:rPr>
          <w:rFonts w:cs="Arial"/>
          <w:szCs w:val="24"/>
          <w:lang w:val="en-US"/>
        </w:rPr>
        <w:t xml:space="preserve"> CHRC </w:t>
      </w:r>
      <w:r w:rsidR="002C582C">
        <w:rPr>
          <w:rFonts w:cs="Arial"/>
          <w:szCs w:val="24"/>
          <w:lang w:val="en-US"/>
        </w:rPr>
        <w:t>now</w:t>
      </w:r>
      <w:r w:rsidR="002C582C" w:rsidRPr="00C614A5">
        <w:rPr>
          <w:rFonts w:cs="Arial"/>
          <w:szCs w:val="24"/>
          <w:lang w:val="en-US"/>
        </w:rPr>
        <w:t xml:space="preserve"> </w:t>
      </w:r>
      <w:r w:rsidR="002C582C">
        <w:rPr>
          <w:rFonts w:cs="Arial"/>
          <w:szCs w:val="24"/>
          <w:lang w:val="en-US"/>
        </w:rPr>
        <w:t xml:space="preserve">deals with these military </w:t>
      </w:r>
      <w:r w:rsidR="00C614A5" w:rsidRPr="00C614A5">
        <w:rPr>
          <w:rFonts w:cs="Arial"/>
          <w:szCs w:val="24"/>
          <w:lang w:val="en-US"/>
        </w:rPr>
        <w:t>complaints</w:t>
      </w:r>
      <w:r w:rsidR="00242822">
        <w:rPr>
          <w:rFonts w:cs="Arial"/>
          <w:szCs w:val="24"/>
          <w:lang w:val="en-US"/>
        </w:rPr>
        <w:t>,</w:t>
      </w:r>
      <w:r w:rsidR="00C614A5" w:rsidRPr="00C614A5">
        <w:rPr>
          <w:rFonts w:cs="Arial"/>
          <w:szCs w:val="24"/>
          <w:lang w:val="en-US"/>
        </w:rPr>
        <w:t xml:space="preserve"> </w:t>
      </w:r>
      <w:r w:rsidR="00242822">
        <w:rPr>
          <w:rFonts w:cs="Arial"/>
          <w:szCs w:val="24"/>
          <w:lang w:val="en-US"/>
        </w:rPr>
        <w:t>which</w:t>
      </w:r>
      <w:r w:rsidR="00242822" w:rsidRPr="00C614A5">
        <w:rPr>
          <w:rFonts w:cs="Arial"/>
          <w:szCs w:val="24"/>
          <w:lang w:val="en-US"/>
        </w:rPr>
        <w:t xml:space="preserve"> </w:t>
      </w:r>
      <w:r w:rsidR="00A15067">
        <w:rPr>
          <w:rFonts w:cs="Arial"/>
          <w:szCs w:val="24"/>
          <w:lang w:val="en-US"/>
        </w:rPr>
        <w:t xml:space="preserve">require </w:t>
      </w:r>
      <w:r w:rsidR="00A15067" w:rsidRPr="00C614A5">
        <w:rPr>
          <w:rFonts w:cs="Arial"/>
          <w:szCs w:val="24"/>
          <w:lang w:val="en-US"/>
        </w:rPr>
        <w:t>a complex and sensitive response</w:t>
      </w:r>
      <w:r w:rsidR="00DA2644">
        <w:rPr>
          <w:rFonts w:cs="Arial"/>
          <w:szCs w:val="24"/>
          <w:lang w:val="en-US"/>
        </w:rPr>
        <w:t xml:space="preserve">. </w:t>
      </w:r>
      <w:r w:rsidR="002C582C">
        <w:rPr>
          <w:rFonts w:cs="Arial"/>
          <w:szCs w:val="24"/>
          <w:lang w:val="en-US"/>
        </w:rPr>
        <w:t xml:space="preserve">The </w:t>
      </w:r>
      <w:r w:rsidR="00A15067">
        <w:rPr>
          <w:rFonts w:cs="Arial"/>
          <w:szCs w:val="24"/>
          <w:lang w:val="en-US"/>
        </w:rPr>
        <w:t xml:space="preserve">CHRC remains concerned </w:t>
      </w:r>
      <w:r w:rsidR="00114CE1">
        <w:rPr>
          <w:rFonts w:cs="Arial"/>
          <w:szCs w:val="24"/>
          <w:lang w:val="en-US"/>
        </w:rPr>
        <w:t xml:space="preserve">that </w:t>
      </w:r>
      <w:r w:rsidR="00A15067">
        <w:rPr>
          <w:rFonts w:cs="Arial"/>
          <w:szCs w:val="24"/>
          <w:lang w:val="en-US"/>
        </w:rPr>
        <w:t>agencies tasked with improving access to justice</w:t>
      </w:r>
      <w:r w:rsidR="00E45FE7">
        <w:rPr>
          <w:rFonts w:cs="Arial"/>
          <w:szCs w:val="24"/>
          <w:lang w:val="en-US"/>
        </w:rPr>
        <w:t xml:space="preserve"> and r</w:t>
      </w:r>
      <w:r w:rsidR="00C614A5" w:rsidRPr="00C614A5">
        <w:rPr>
          <w:rFonts w:cs="Arial"/>
          <w:szCs w:val="24"/>
          <w:lang w:val="en-US"/>
        </w:rPr>
        <w:t>esponding to complaints of sexual misconduct and discrimination</w:t>
      </w:r>
      <w:r w:rsidR="00026FC2">
        <w:rPr>
          <w:rFonts w:cs="Arial"/>
          <w:szCs w:val="24"/>
          <w:lang w:val="en-US"/>
        </w:rPr>
        <w:t xml:space="preserve"> must be adequately </w:t>
      </w:r>
      <w:proofErr w:type="gramStart"/>
      <w:r w:rsidR="00026FC2">
        <w:rPr>
          <w:rFonts w:cs="Arial"/>
          <w:szCs w:val="24"/>
          <w:lang w:val="en-US"/>
        </w:rPr>
        <w:t>resourced</w:t>
      </w:r>
      <w:r w:rsidR="002120EE">
        <w:rPr>
          <w:rFonts w:cs="Arial"/>
          <w:szCs w:val="24"/>
          <w:lang w:val="en-US"/>
        </w:rPr>
        <w:t>, and</w:t>
      </w:r>
      <w:proofErr w:type="gramEnd"/>
      <w:r w:rsidR="00114CE1">
        <w:rPr>
          <w:rFonts w:cs="Arial"/>
          <w:szCs w:val="24"/>
          <w:lang w:val="en-US"/>
        </w:rPr>
        <w:t xml:space="preserve"> </w:t>
      </w:r>
      <w:r w:rsidR="00CD785F">
        <w:rPr>
          <w:rFonts w:cs="Arial"/>
          <w:szCs w:val="24"/>
          <w:lang w:val="en-US"/>
        </w:rPr>
        <w:t xml:space="preserve">echoes the report’s recommendation to remove </w:t>
      </w:r>
      <w:r w:rsidR="00114CE1">
        <w:rPr>
          <w:rFonts w:cs="Arial"/>
          <w:szCs w:val="24"/>
          <w:lang w:val="en-US"/>
        </w:rPr>
        <w:t xml:space="preserve">the </w:t>
      </w:r>
      <w:r w:rsidR="00242822">
        <w:rPr>
          <w:rFonts w:cs="Arial"/>
          <w:szCs w:val="24"/>
          <w:lang w:val="en-US"/>
        </w:rPr>
        <w:t>outdated and inadequate</w:t>
      </w:r>
      <w:r w:rsidR="00242822" w:rsidDel="00791E6B">
        <w:rPr>
          <w:rFonts w:cs="Arial"/>
          <w:szCs w:val="24"/>
          <w:lang w:val="en-US"/>
        </w:rPr>
        <w:t xml:space="preserve"> </w:t>
      </w:r>
      <w:r w:rsidR="00114CE1">
        <w:rPr>
          <w:rFonts w:cs="Arial"/>
          <w:szCs w:val="24"/>
          <w:lang w:val="en-US"/>
        </w:rPr>
        <w:t xml:space="preserve">cap on damages </w:t>
      </w:r>
      <w:r w:rsidR="002C582C">
        <w:rPr>
          <w:rFonts w:cs="Arial"/>
          <w:szCs w:val="24"/>
          <w:lang w:val="en-US"/>
        </w:rPr>
        <w:t xml:space="preserve">for </w:t>
      </w:r>
      <w:r w:rsidR="00114CE1">
        <w:rPr>
          <w:rFonts w:cs="Arial"/>
          <w:szCs w:val="24"/>
          <w:lang w:val="en-US"/>
        </w:rPr>
        <w:t>CHRA remedies.</w:t>
      </w:r>
    </w:p>
    <w:p w14:paraId="0A6F386A" w14:textId="30FB7604" w:rsidR="009A5CD4" w:rsidRDefault="00114CE1" w:rsidP="00456742">
      <w:pPr>
        <w:pBdr>
          <w:top w:val="single" w:sz="12" w:space="1" w:color="auto"/>
          <w:left w:val="single" w:sz="12" w:space="4" w:color="auto"/>
          <w:bottom w:val="single" w:sz="12" w:space="1" w:color="auto"/>
          <w:right w:val="single" w:sz="12" w:space="4" w:color="auto"/>
        </w:pBdr>
        <w:shd w:val="clear" w:color="auto" w:fill="DEEAF6" w:themeFill="accent1" w:themeFillTint="33"/>
        <w:spacing w:before="240" w:line="240" w:lineRule="auto"/>
        <w:rPr>
          <w:rFonts w:cs="Arial"/>
          <w:szCs w:val="24"/>
          <w:lang w:val="en-US"/>
        </w:rPr>
      </w:pPr>
      <w:r w:rsidRPr="009A5CD4">
        <w:rPr>
          <w:rFonts w:cs="Arial"/>
          <w:b/>
          <w:bCs/>
          <w:szCs w:val="24"/>
          <w:lang w:val="en-US"/>
        </w:rPr>
        <w:t xml:space="preserve">Recommendation </w:t>
      </w:r>
      <w:r w:rsidR="00CB7542">
        <w:rPr>
          <w:rFonts w:cs="Arial"/>
          <w:b/>
          <w:bCs/>
          <w:szCs w:val="24"/>
          <w:lang w:val="en-US"/>
        </w:rPr>
        <w:t>#8</w:t>
      </w:r>
      <w:r w:rsidRPr="009A5CD4">
        <w:rPr>
          <w:rFonts w:cs="Arial"/>
          <w:b/>
          <w:bCs/>
          <w:szCs w:val="24"/>
          <w:lang w:val="en-US"/>
        </w:rPr>
        <w:t xml:space="preserve">: </w:t>
      </w:r>
      <w:r w:rsidRPr="0025644A">
        <w:rPr>
          <w:rFonts w:cs="Arial"/>
          <w:szCs w:val="24"/>
          <w:lang w:val="en-US"/>
        </w:rPr>
        <w:t>That Canada fully implement</w:t>
      </w:r>
      <w:r w:rsidR="008D6942">
        <w:rPr>
          <w:rFonts w:cs="Arial"/>
          <w:szCs w:val="24"/>
          <w:lang w:val="en-US"/>
        </w:rPr>
        <w:t>s</w:t>
      </w:r>
      <w:r w:rsidRPr="0025644A">
        <w:rPr>
          <w:rFonts w:cs="Arial"/>
          <w:szCs w:val="24"/>
          <w:lang w:val="en-US"/>
        </w:rPr>
        <w:t xml:space="preserve"> Justice </w:t>
      </w:r>
      <w:proofErr w:type="spellStart"/>
      <w:r w:rsidRPr="0025644A">
        <w:rPr>
          <w:rFonts w:cs="Arial"/>
          <w:szCs w:val="24"/>
          <w:lang w:val="en-US"/>
        </w:rPr>
        <w:t>Arbour's</w:t>
      </w:r>
      <w:proofErr w:type="spellEnd"/>
      <w:r w:rsidRPr="0025644A">
        <w:rPr>
          <w:rFonts w:cs="Arial"/>
          <w:szCs w:val="24"/>
          <w:lang w:val="en-US"/>
        </w:rPr>
        <w:t xml:space="preserve"> recommendations</w:t>
      </w:r>
      <w:r w:rsidR="00DA2644" w:rsidRPr="0025644A">
        <w:rPr>
          <w:rFonts w:cs="Arial"/>
          <w:szCs w:val="24"/>
          <w:lang w:val="en-US"/>
        </w:rPr>
        <w:t>.</w:t>
      </w:r>
      <w:r w:rsidR="00A15067" w:rsidRPr="0025644A">
        <w:rPr>
          <w:rFonts w:cs="Arial"/>
          <w:szCs w:val="24"/>
          <w:lang w:val="en-US"/>
        </w:rPr>
        <w:t xml:space="preserve"> </w:t>
      </w:r>
      <w:r w:rsidR="009A5CD4" w:rsidRPr="0025644A">
        <w:rPr>
          <w:rFonts w:cs="Arial"/>
          <w:szCs w:val="24"/>
          <w:lang w:val="en-US"/>
        </w:rPr>
        <w:t xml:space="preserve"> </w:t>
      </w:r>
    </w:p>
    <w:p w14:paraId="2E4E51C4" w14:textId="415AFB8C" w:rsidR="00880208" w:rsidRDefault="00880208" w:rsidP="008F2070">
      <w:pPr>
        <w:pStyle w:val="Heading1"/>
      </w:pPr>
      <w:bookmarkStart w:id="21" w:name="_Toc174373020"/>
      <w:r>
        <w:t>PERSONS DEPRIVED OF THEIR LIBERTY</w:t>
      </w:r>
      <w:bookmarkEnd w:id="21"/>
      <w:r>
        <w:t xml:space="preserve"> </w:t>
      </w:r>
    </w:p>
    <w:p w14:paraId="61AA3FE7" w14:textId="4A3C2506" w:rsidR="006B0814" w:rsidRPr="00262BB7" w:rsidRDefault="006B0814" w:rsidP="00ED3C4C">
      <w:pPr>
        <w:spacing w:before="240" w:line="240" w:lineRule="auto"/>
        <w:rPr>
          <w:rFonts w:cs="Arial"/>
          <w:szCs w:val="24"/>
        </w:rPr>
      </w:pPr>
      <w:r w:rsidRPr="00262BB7">
        <w:rPr>
          <w:rFonts w:cs="Arial"/>
          <w:szCs w:val="24"/>
          <w:lang w:val="en-US"/>
        </w:rPr>
        <w:t xml:space="preserve">Indigenous women </w:t>
      </w:r>
      <w:r w:rsidR="00D354C6">
        <w:rPr>
          <w:rFonts w:cs="Arial"/>
          <w:szCs w:val="24"/>
          <w:lang w:val="en-US"/>
        </w:rPr>
        <w:t>continue to be</w:t>
      </w:r>
      <w:r w:rsidRPr="00262BB7">
        <w:rPr>
          <w:rFonts w:cs="Arial"/>
          <w:szCs w:val="24"/>
          <w:lang w:val="en-US"/>
        </w:rPr>
        <w:t xml:space="preserve"> the fastest growing population in Canadian prisons</w:t>
      </w:r>
      <w:r w:rsidR="00D25528">
        <w:rPr>
          <w:rFonts w:cs="Arial"/>
          <w:szCs w:val="24"/>
          <w:lang w:val="en-US"/>
        </w:rPr>
        <w:t>. They are vastly</w:t>
      </w:r>
      <w:r w:rsidRPr="00262BB7">
        <w:rPr>
          <w:rFonts w:cs="Arial"/>
          <w:szCs w:val="24"/>
          <w:lang w:val="en-US"/>
        </w:rPr>
        <w:t xml:space="preserve"> over-represented within the federal correctional system</w:t>
      </w:r>
      <w:r w:rsidR="00D25528">
        <w:rPr>
          <w:rFonts w:cs="Arial"/>
          <w:szCs w:val="24"/>
          <w:lang w:val="en-US"/>
        </w:rPr>
        <w:t xml:space="preserve">, particularly </w:t>
      </w:r>
      <w:r w:rsidR="00051490">
        <w:rPr>
          <w:rFonts w:cs="Arial"/>
          <w:szCs w:val="24"/>
          <w:lang w:val="en-US"/>
        </w:rPr>
        <w:t xml:space="preserve">among maximum security </w:t>
      </w:r>
      <w:r w:rsidR="002120EE">
        <w:rPr>
          <w:rFonts w:cs="Arial"/>
          <w:szCs w:val="24"/>
          <w:lang w:val="en-US"/>
        </w:rPr>
        <w:t>populations</w:t>
      </w:r>
      <w:r w:rsidR="00051490">
        <w:rPr>
          <w:rFonts w:cs="Arial"/>
          <w:szCs w:val="24"/>
          <w:lang w:val="en-US"/>
        </w:rPr>
        <w:t>.</w:t>
      </w:r>
      <w:r w:rsidR="00051490">
        <w:rPr>
          <w:rStyle w:val="FootnoteReference"/>
          <w:rFonts w:cs="Arial"/>
          <w:szCs w:val="24"/>
          <w:lang w:val="en-US"/>
        </w:rPr>
        <w:footnoteReference w:id="46"/>
      </w:r>
      <w:r w:rsidR="00182394">
        <w:rPr>
          <w:rFonts w:cs="Arial"/>
          <w:szCs w:val="24"/>
          <w:lang w:val="en-US"/>
        </w:rPr>
        <w:t xml:space="preserve"> </w:t>
      </w:r>
      <w:r w:rsidRPr="00262BB7">
        <w:rPr>
          <w:rFonts w:cs="Arial"/>
          <w:szCs w:val="24"/>
          <w:lang w:val="en-US"/>
        </w:rPr>
        <w:t xml:space="preserve">The </w:t>
      </w:r>
      <w:r w:rsidR="009D3037">
        <w:rPr>
          <w:rFonts w:cs="Arial"/>
          <w:szCs w:val="24"/>
          <w:lang w:val="en-US"/>
        </w:rPr>
        <w:t>continuing</w:t>
      </w:r>
      <w:r w:rsidR="009D3037" w:rsidRPr="00262BB7">
        <w:rPr>
          <w:rFonts w:cs="Arial"/>
          <w:szCs w:val="24"/>
          <w:lang w:val="en-US"/>
        </w:rPr>
        <w:t xml:space="preserve"> </w:t>
      </w:r>
      <w:r w:rsidRPr="00262BB7">
        <w:rPr>
          <w:rFonts w:cs="Arial"/>
          <w:szCs w:val="24"/>
          <w:lang w:val="en-US"/>
        </w:rPr>
        <w:t xml:space="preserve">effects of colonization and the </w:t>
      </w:r>
      <w:r w:rsidRPr="00262BB7">
        <w:rPr>
          <w:rFonts w:cs="Arial"/>
          <w:szCs w:val="24"/>
          <w:lang w:val="en-US"/>
        </w:rPr>
        <w:lastRenderedPageBreak/>
        <w:t>legacy of the residential school system</w:t>
      </w:r>
      <w:r w:rsidR="00242822">
        <w:rPr>
          <w:rFonts w:cs="Arial"/>
          <w:szCs w:val="24"/>
          <w:lang w:val="en-US"/>
        </w:rPr>
        <w:t xml:space="preserve"> and associated traumas</w:t>
      </w:r>
      <w:r w:rsidR="00242822">
        <w:rPr>
          <w:rStyle w:val="FootnoteReference"/>
          <w:rFonts w:cs="Arial"/>
          <w:szCs w:val="24"/>
          <w:lang w:val="en-US"/>
        </w:rPr>
        <w:footnoteReference w:id="47"/>
      </w:r>
      <w:r w:rsidRPr="00262BB7">
        <w:rPr>
          <w:rFonts w:cs="Arial"/>
          <w:szCs w:val="24"/>
          <w:lang w:val="en-US"/>
        </w:rPr>
        <w:t xml:space="preserve"> are of significance in any discussion of </w:t>
      </w:r>
      <w:r w:rsidR="00E33444">
        <w:rPr>
          <w:rFonts w:cs="Arial"/>
          <w:szCs w:val="24"/>
          <w:lang w:val="en-US"/>
        </w:rPr>
        <w:t>Indigenous women in prison</w:t>
      </w:r>
      <w:r w:rsidRPr="00262BB7">
        <w:rPr>
          <w:rFonts w:cs="Arial"/>
          <w:szCs w:val="24"/>
          <w:lang w:val="en-US"/>
        </w:rPr>
        <w:t>.</w:t>
      </w:r>
      <w:r w:rsidR="007B58BD">
        <w:rPr>
          <w:rStyle w:val="FootnoteReference"/>
          <w:rFonts w:cs="Arial"/>
          <w:szCs w:val="24"/>
          <w:lang w:val="en-US"/>
        </w:rPr>
        <w:footnoteReference w:id="48"/>
      </w:r>
      <w:r w:rsidR="00242822" w:rsidRPr="00262BB7" w:rsidDel="00242822">
        <w:rPr>
          <w:rStyle w:val="FootnoteReference"/>
          <w:rFonts w:cs="Arial"/>
          <w:szCs w:val="24"/>
        </w:rPr>
        <w:t xml:space="preserve"> </w:t>
      </w:r>
    </w:p>
    <w:p w14:paraId="05AF7490" w14:textId="1924675F" w:rsidR="002C7FA8" w:rsidRDefault="006B0814" w:rsidP="00DF2EBC">
      <w:pPr>
        <w:spacing w:before="240" w:line="240" w:lineRule="auto"/>
        <w:rPr>
          <w:rFonts w:cs="Arial"/>
          <w:szCs w:val="24"/>
          <w:lang w:val="en-US"/>
        </w:rPr>
      </w:pPr>
      <w:r w:rsidRPr="00262BB7">
        <w:rPr>
          <w:rFonts w:cs="Arial"/>
          <w:szCs w:val="24"/>
          <w:lang w:val="en-US"/>
        </w:rPr>
        <w:t>Indigenous women</w:t>
      </w:r>
      <w:r w:rsidR="002120EE">
        <w:rPr>
          <w:rFonts w:cs="Arial"/>
          <w:szCs w:val="24"/>
          <w:lang w:val="en-US"/>
        </w:rPr>
        <w:t xml:space="preserve"> in prisons</w:t>
      </w:r>
      <w:r w:rsidRPr="00262BB7">
        <w:rPr>
          <w:rFonts w:cs="Arial"/>
          <w:szCs w:val="24"/>
          <w:lang w:val="en-US"/>
        </w:rPr>
        <w:t xml:space="preserve"> are</w:t>
      </w:r>
      <w:r w:rsidR="0054212E">
        <w:rPr>
          <w:rFonts w:cs="Arial"/>
          <w:szCs w:val="24"/>
          <w:lang w:val="en-US"/>
        </w:rPr>
        <w:t xml:space="preserve"> </w:t>
      </w:r>
      <w:r w:rsidR="0084488F">
        <w:rPr>
          <w:rFonts w:cs="Arial"/>
          <w:szCs w:val="24"/>
          <w:lang w:val="en-US"/>
        </w:rPr>
        <w:t xml:space="preserve">also </w:t>
      </w:r>
      <w:r w:rsidR="0054212E">
        <w:rPr>
          <w:rFonts w:cs="Arial"/>
          <w:szCs w:val="24"/>
          <w:lang w:val="en-US"/>
        </w:rPr>
        <w:t>disproportionately denied necessary supports and services.</w:t>
      </w:r>
      <w:r w:rsidR="00651644">
        <w:rPr>
          <w:rFonts w:cs="Arial"/>
          <w:szCs w:val="24"/>
          <w:lang w:val="en-US"/>
        </w:rPr>
        <w:t xml:space="preserve"> </w:t>
      </w:r>
      <w:r w:rsidR="00523070">
        <w:rPr>
          <w:rFonts w:cs="Arial"/>
          <w:szCs w:val="24"/>
          <w:lang w:val="en-US"/>
        </w:rPr>
        <w:t>I</w:t>
      </w:r>
      <w:r w:rsidR="002847D7">
        <w:rPr>
          <w:rFonts w:cs="Arial"/>
          <w:szCs w:val="24"/>
          <w:lang w:val="en-US"/>
        </w:rPr>
        <w:t>n 2023, t</w:t>
      </w:r>
      <w:r w:rsidR="00651644">
        <w:rPr>
          <w:rFonts w:cs="Arial"/>
          <w:szCs w:val="24"/>
          <w:lang w:val="en-US"/>
        </w:rPr>
        <w:t>he</w:t>
      </w:r>
      <w:r w:rsidR="000E6B57">
        <w:rPr>
          <w:rFonts w:cs="Arial"/>
          <w:szCs w:val="24"/>
          <w:lang w:val="en-US"/>
        </w:rPr>
        <w:t xml:space="preserve"> </w:t>
      </w:r>
      <w:r w:rsidR="0054212E">
        <w:rPr>
          <w:rFonts w:cs="Arial"/>
          <w:szCs w:val="24"/>
          <w:lang w:val="en-US"/>
        </w:rPr>
        <w:t>O</w:t>
      </w:r>
      <w:r w:rsidR="002847D7">
        <w:rPr>
          <w:rFonts w:cs="Arial"/>
          <w:szCs w:val="24"/>
          <w:lang w:val="en-US"/>
        </w:rPr>
        <w:t xml:space="preserve">ffice of the </w:t>
      </w:r>
      <w:r w:rsidR="0054212E">
        <w:rPr>
          <w:rFonts w:cs="Arial"/>
          <w:szCs w:val="24"/>
          <w:lang w:val="en-US"/>
        </w:rPr>
        <w:t>C</w:t>
      </w:r>
      <w:r w:rsidR="002847D7">
        <w:rPr>
          <w:rFonts w:cs="Arial"/>
          <w:szCs w:val="24"/>
          <w:lang w:val="en-US"/>
        </w:rPr>
        <w:t xml:space="preserve">orrectional </w:t>
      </w:r>
      <w:r w:rsidR="0054212E">
        <w:rPr>
          <w:rFonts w:cs="Arial"/>
          <w:szCs w:val="24"/>
          <w:lang w:val="en-US"/>
        </w:rPr>
        <w:t>I</w:t>
      </w:r>
      <w:r w:rsidR="002847D7">
        <w:rPr>
          <w:rFonts w:cs="Arial"/>
          <w:szCs w:val="24"/>
          <w:lang w:val="en-US"/>
        </w:rPr>
        <w:t xml:space="preserve">nvestigator </w:t>
      </w:r>
      <w:r w:rsidR="0054212E">
        <w:rPr>
          <w:rFonts w:cs="Arial"/>
          <w:szCs w:val="24"/>
          <w:lang w:val="en-US"/>
        </w:rPr>
        <w:t xml:space="preserve">reported that </w:t>
      </w:r>
      <w:r w:rsidR="0054212E" w:rsidRPr="0054212E">
        <w:rPr>
          <w:rFonts w:cs="Arial"/>
          <w:szCs w:val="24"/>
          <w:lang w:val="en-US"/>
        </w:rPr>
        <w:t>coordinated efforts to address the mental health needs of Indigenous individuals</w:t>
      </w:r>
      <w:r w:rsidR="0054212E">
        <w:rPr>
          <w:rFonts w:cs="Arial"/>
          <w:szCs w:val="24"/>
          <w:lang w:val="en-US"/>
        </w:rPr>
        <w:t xml:space="preserve"> are </w:t>
      </w:r>
      <w:r w:rsidR="00E62DC0">
        <w:rPr>
          <w:rFonts w:cs="Arial"/>
          <w:szCs w:val="24"/>
          <w:lang w:val="en-US"/>
        </w:rPr>
        <w:t>“</w:t>
      </w:r>
      <w:r w:rsidR="0054212E">
        <w:rPr>
          <w:rFonts w:cs="Arial"/>
          <w:szCs w:val="24"/>
          <w:lang w:val="en-US"/>
        </w:rPr>
        <w:t>non-existent</w:t>
      </w:r>
      <w:r w:rsidR="00E62DC0">
        <w:rPr>
          <w:rFonts w:cs="Arial"/>
          <w:szCs w:val="24"/>
          <w:lang w:val="en-US"/>
        </w:rPr>
        <w:t>”</w:t>
      </w:r>
      <w:r w:rsidR="002D05CB">
        <w:rPr>
          <w:rFonts w:cs="Arial"/>
          <w:szCs w:val="24"/>
          <w:lang w:val="en-US"/>
        </w:rPr>
        <w:t>,</w:t>
      </w:r>
      <w:r w:rsidR="002120EE">
        <w:rPr>
          <w:rStyle w:val="FootnoteReference"/>
          <w:rFonts w:cs="Arial"/>
          <w:szCs w:val="24"/>
          <w:lang w:val="en-US"/>
        </w:rPr>
        <w:footnoteReference w:id="49"/>
      </w:r>
      <w:r w:rsidR="002D05CB">
        <w:rPr>
          <w:rFonts w:cs="Arial"/>
          <w:szCs w:val="24"/>
          <w:lang w:val="en-US"/>
        </w:rPr>
        <w:t xml:space="preserve"> and that c</w:t>
      </w:r>
      <w:r w:rsidR="005B2E09">
        <w:rPr>
          <w:rFonts w:cs="Arial"/>
          <w:szCs w:val="24"/>
          <w:lang w:val="en-US"/>
        </w:rPr>
        <w:t xml:space="preserve">ommunity-run Healing Lodges, intended to </w:t>
      </w:r>
      <w:r w:rsidR="0007357A">
        <w:rPr>
          <w:rFonts w:cs="Arial"/>
          <w:szCs w:val="24"/>
          <w:lang w:val="en-US"/>
        </w:rPr>
        <w:t>provide a traditional healing path</w:t>
      </w:r>
      <w:r w:rsidR="00422E82">
        <w:rPr>
          <w:rFonts w:cs="Arial"/>
          <w:szCs w:val="24"/>
          <w:lang w:val="en-US"/>
        </w:rPr>
        <w:t xml:space="preserve"> under </w:t>
      </w:r>
      <w:r w:rsidR="00422E82" w:rsidRPr="00422E82">
        <w:rPr>
          <w:rFonts w:cs="Arial"/>
          <w:szCs w:val="24"/>
          <w:lang w:val="en-US"/>
        </w:rPr>
        <w:t xml:space="preserve">sections 81 and 84 of the </w:t>
      </w:r>
      <w:r w:rsidR="00422E82" w:rsidRPr="008E0A83">
        <w:rPr>
          <w:rFonts w:cs="Arial"/>
          <w:szCs w:val="24"/>
          <w:lang w:val="en-US"/>
        </w:rPr>
        <w:t>Corrections and Conditional Release Act</w:t>
      </w:r>
      <w:r w:rsidR="00422E82" w:rsidRPr="00422E82">
        <w:rPr>
          <w:rFonts w:cs="Arial"/>
          <w:szCs w:val="24"/>
          <w:lang w:val="en-US"/>
        </w:rPr>
        <w:t xml:space="preserve"> (CCRA)</w:t>
      </w:r>
      <w:r w:rsidR="00F761EA">
        <w:rPr>
          <w:rStyle w:val="FootnoteReference"/>
          <w:rFonts w:cs="Arial"/>
          <w:szCs w:val="24"/>
        </w:rPr>
        <w:footnoteReference w:id="50"/>
      </w:r>
      <w:r w:rsidR="005B2E09">
        <w:rPr>
          <w:rFonts w:cs="Arial"/>
          <w:szCs w:val="24"/>
          <w:lang w:val="en-US"/>
        </w:rPr>
        <w:t>, are grossly under resourced and</w:t>
      </w:r>
      <w:r w:rsidR="002A0DB5">
        <w:rPr>
          <w:rFonts w:cs="Arial"/>
          <w:szCs w:val="24"/>
          <w:lang w:val="en-US"/>
        </w:rPr>
        <w:t xml:space="preserve"> largely</w:t>
      </w:r>
      <w:r w:rsidR="005B2E09">
        <w:rPr>
          <w:rFonts w:cs="Arial"/>
          <w:szCs w:val="24"/>
          <w:lang w:val="en-US"/>
        </w:rPr>
        <w:t xml:space="preserve"> unavailable to Indigenous women outside the Prairies region.</w:t>
      </w:r>
      <w:r w:rsidR="0007357A">
        <w:rPr>
          <w:rStyle w:val="FootnoteReference"/>
          <w:rFonts w:cs="Arial"/>
          <w:szCs w:val="24"/>
          <w:lang w:val="en-US"/>
        </w:rPr>
        <w:footnoteReference w:id="51"/>
      </w:r>
      <w:r w:rsidR="005B2E09">
        <w:rPr>
          <w:rFonts w:cs="Arial"/>
          <w:szCs w:val="24"/>
          <w:lang w:val="en-US"/>
        </w:rPr>
        <w:t xml:space="preserve"> </w:t>
      </w:r>
    </w:p>
    <w:p w14:paraId="0AF69D8A" w14:textId="27E405A4" w:rsidR="00051490" w:rsidRPr="00D0073E" w:rsidRDefault="008B0655" w:rsidP="008255C3">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spacing w:after="240"/>
        <w:rPr>
          <w:rFonts w:ascii="Arial" w:hAnsi="Arial" w:cs="Arial"/>
          <w:sz w:val="24"/>
          <w:szCs w:val="24"/>
        </w:rPr>
      </w:pPr>
      <w:r w:rsidRPr="00D0073E">
        <w:rPr>
          <w:rFonts w:ascii="Arial" w:hAnsi="Arial" w:cs="Arial"/>
          <w:b/>
          <w:bCs/>
          <w:sz w:val="24"/>
          <w:szCs w:val="24"/>
        </w:rPr>
        <w:t>Recommendation</w:t>
      </w:r>
      <w:r w:rsidR="002847D7">
        <w:rPr>
          <w:rFonts w:ascii="Arial" w:hAnsi="Arial" w:cs="Arial"/>
          <w:b/>
          <w:bCs/>
          <w:sz w:val="24"/>
          <w:szCs w:val="24"/>
        </w:rPr>
        <w:t xml:space="preserve"> </w:t>
      </w:r>
      <w:r w:rsidR="00CB7542">
        <w:rPr>
          <w:rFonts w:ascii="Arial" w:hAnsi="Arial" w:cs="Arial"/>
          <w:b/>
          <w:bCs/>
          <w:sz w:val="24"/>
          <w:szCs w:val="24"/>
        </w:rPr>
        <w:t>#</w:t>
      </w:r>
      <w:r w:rsidR="00106054">
        <w:rPr>
          <w:rFonts w:ascii="Arial" w:hAnsi="Arial" w:cs="Arial"/>
          <w:b/>
          <w:bCs/>
          <w:sz w:val="24"/>
          <w:szCs w:val="24"/>
        </w:rPr>
        <w:t>9</w:t>
      </w:r>
      <w:r w:rsidRPr="00D0073E">
        <w:rPr>
          <w:rFonts w:ascii="Arial" w:hAnsi="Arial" w:cs="Arial"/>
          <w:b/>
          <w:bCs/>
          <w:sz w:val="24"/>
          <w:szCs w:val="24"/>
        </w:rPr>
        <w:t xml:space="preserve">: </w:t>
      </w:r>
      <w:r w:rsidR="00AC1EB1">
        <w:rPr>
          <w:rFonts w:ascii="Arial" w:hAnsi="Arial" w:cs="Arial"/>
          <w:sz w:val="24"/>
          <w:szCs w:val="24"/>
        </w:rPr>
        <w:t>That Canada b</w:t>
      </w:r>
      <w:r w:rsidR="002B600C">
        <w:rPr>
          <w:rFonts w:ascii="Arial" w:hAnsi="Arial" w:cs="Arial"/>
          <w:sz w:val="24"/>
          <w:szCs w:val="24"/>
        </w:rPr>
        <w:t>ring</w:t>
      </w:r>
      <w:r w:rsidR="008D6942">
        <w:rPr>
          <w:rFonts w:ascii="Arial" w:hAnsi="Arial" w:cs="Arial"/>
          <w:sz w:val="24"/>
          <w:szCs w:val="24"/>
        </w:rPr>
        <w:t>s</w:t>
      </w:r>
      <w:r w:rsidR="002B600C">
        <w:rPr>
          <w:rFonts w:ascii="Arial" w:hAnsi="Arial" w:cs="Arial"/>
          <w:sz w:val="24"/>
          <w:szCs w:val="24"/>
        </w:rPr>
        <w:t xml:space="preserve"> effect to the</w:t>
      </w:r>
      <w:r w:rsidR="002B600C" w:rsidRPr="002B600C">
        <w:rPr>
          <w:rFonts w:ascii="Arial" w:hAnsi="Arial" w:cs="Arial"/>
          <w:sz w:val="24"/>
          <w:szCs w:val="24"/>
        </w:rPr>
        <w:t xml:space="preserve"> intent of sections 81 and 84 of the </w:t>
      </w:r>
      <w:r w:rsidR="002B600C">
        <w:rPr>
          <w:rFonts w:ascii="Arial" w:hAnsi="Arial" w:cs="Arial"/>
          <w:sz w:val="24"/>
          <w:szCs w:val="24"/>
        </w:rPr>
        <w:t xml:space="preserve">CCRA to support </w:t>
      </w:r>
      <w:proofErr w:type="spellStart"/>
      <w:r w:rsidR="004F24DD">
        <w:rPr>
          <w:rFonts w:ascii="Arial" w:hAnsi="Arial" w:cs="Arial"/>
          <w:sz w:val="24"/>
          <w:szCs w:val="24"/>
        </w:rPr>
        <w:t>decarceration</w:t>
      </w:r>
      <w:proofErr w:type="spellEnd"/>
      <w:r w:rsidR="004F24DD">
        <w:rPr>
          <w:rFonts w:ascii="Arial" w:hAnsi="Arial" w:cs="Arial"/>
          <w:sz w:val="24"/>
          <w:szCs w:val="24"/>
        </w:rPr>
        <w:t xml:space="preserve"> and </w:t>
      </w:r>
      <w:r w:rsidR="002B600C">
        <w:rPr>
          <w:rFonts w:ascii="Arial" w:hAnsi="Arial" w:cs="Arial"/>
          <w:sz w:val="24"/>
          <w:szCs w:val="24"/>
        </w:rPr>
        <w:t xml:space="preserve">access to </w:t>
      </w:r>
      <w:r w:rsidR="004F24DD">
        <w:rPr>
          <w:rFonts w:ascii="Arial" w:hAnsi="Arial" w:cs="Arial"/>
          <w:sz w:val="24"/>
          <w:szCs w:val="24"/>
        </w:rPr>
        <w:t>culturally responsive</w:t>
      </w:r>
      <w:r w:rsidR="0054683A">
        <w:rPr>
          <w:rFonts w:ascii="Arial" w:hAnsi="Arial" w:cs="Arial"/>
          <w:sz w:val="24"/>
          <w:szCs w:val="24"/>
        </w:rPr>
        <w:t xml:space="preserve"> </w:t>
      </w:r>
      <w:r w:rsidR="00D0073E">
        <w:rPr>
          <w:rFonts w:ascii="Arial" w:hAnsi="Arial" w:cs="Arial"/>
          <w:sz w:val="24"/>
          <w:szCs w:val="24"/>
        </w:rPr>
        <w:t xml:space="preserve">community-based </w:t>
      </w:r>
      <w:r w:rsidR="002B600C">
        <w:rPr>
          <w:rFonts w:ascii="Arial" w:hAnsi="Arial" w:cs="Arial"/>
          <w:sz w:val="24"/>
          <w:szCs w:val="24"/>
        </w:rPr>
        <w:t>services</w:t>
      </w:r>
      <w:r w:rsidR="00D0073E">
        <w:rPr>
          <w:rFonts w:ascii="Arial" w:hAnsi="Arial" w:cs="Arial"/>
          <w:sz w:val="24"/>
          <w:szCs w:val="24"/>
        </w:rPr>
        <w:t>.</w:t>
      </w:r>
    </w:p>
    <w:p w14:paraId="1DBBDFA2" w14:textId="5621C4E8" w:rsidR="00C15875" w:rsidRPr="00A85C41" w:rsidRDefault="00A85C41" w:rsidP="00A85C41">
      <w:pPr>
        <w:spacing w:line="240" w:lineRule="auto"/>
        <w:rPr>
          <w:rFonts w:cs="Arial"/>
          <w:szCs w:val="24"/>
        </w:rPr>
      </w:pPr>
      <w:r w:rsidRPr="00A85C41">
        <w:rPr>
          <w:rFonts w:cs="Arial"/>
          <w:szCs w:val="24"/>
          <w:lang w:val="en-US"/>
        </w:rPr>
        <w:t>Despite recent policy improvements to protect the rights of trans, non-binary and gender diverse prisoners</w:t>
      </w:r>
      <w:r w:rsidRPr="00A85C41">
        <w:rPr>
          <w:rStyle w:val="FootnoteReference"/>
          <w:rFonts w:cs="Arial"/>
          <w:szCs w:val="24"/>
          <w:lang w:val="en-US"/>
        </w:rPr>
        <w:footnoteReference w:id="52"/>
      </w:r>
      <w:r w:rsidRPr="00A85C41">
        <w:rPr>
          <w:rFonts w:cs="Arial"/>
          <w:szCs w:val="24"/>
          <w:lang w:val="en-US"/>
        </w:rPr>
        <w:t xml:space="preserve">, </w:t>
      </w:r>
      <w:r w:rsidR="00E911F5" w:rsidRPr="00815FD2">
        <w:rPr>
          <w:rFonts w:cs="Arial"/>
          <w:szCs w:val="24"/>
          <w:lang w:val="en-US"/>
        </w:rPr>
        <w:t>Correctional Service of Canada (CSC)</w:t>
      </w:r>
      <w:r w:rsidRPr="00A85C41">
        <w:rPr>
          <w:rFonts w:cs="Arial"/>
          <w:szCs w:val="24"/>
        </w:rPr>
        <w:t xml:space="preserve"> practices remain concerning, especially the use of segregation to ensure trans prisoners’ safety.</w:t>
      </w:r>
      <w:r w:rsidRPr="00A85C41">
        <w:rPr>
          <w:rStyle w:val="FootnoteReference"/>
          <w:rFonts w:cs="Arial"/>
          <w:szCs w:val="24"/>
        </w:rPr>
        <w:footnoteReference w:id="53"/>
      </w:r>
      <w:r w:rsidRPr="00A85C41">
        <w:rPr>
          <w:rFonts w:cs="Arial"/>
          <w:szCs w:val="24"/>
        </w:rPr>
        <w:t xml:space="preserve"> It is necessary to ensure that </w:t>
      </w:r>
      <w:r w:rsidR="00242822">
        <w:rPr>
          <w:rFonts w:cs="Arial"/>
          <w:szCs w:val="24"/>
        </w:rPr>
        <w:t xml:space="preserve">these </w:t>
      </w:r>
      <w:r w:rsidR="00371697">
        <w:rPr>
          <w:rFonts w:cs="Arial"/>
          <w:szCs w:val="24"/>
        </w:rPr>
        <w:t>individuals</w:t>
      </w:r>
      <w:r w:rsidR="00371697" w:rsidRPr="00A85C41">
        <w:rPr>
          <w:rFonts w:cs="Arial"/>
          <w:szCs w:val="24"/>
        </w:rPr>
        <w:t xml:space="preserve"> </w:t>
      </w:r>
      <w:r w:rsidRPr="00A85C41">
        <w:rPr>
          <w:rFonts w:cs="Arial"/>
          <w:szCs w:val="24"/>
        </w:rPr>
        <w:t>are not unnecessarily prevented from being placed in facilities that accord with their gender identity</w:t>
      </w:r>
      <w:r w:rsidR="009809AF">
        <w:rPr>
          <w:rFonts w:cs="Arial"/>
          <w:szCs w:val="24"/>
        </w:rPr>
        <w:t>,</w:t>
      </w:r>
      <w:r w:rsidRPr="00A85C41">
        <w:rPr>
          <w:rFonts w:cs="Arial"/>
          <w:szCs w:val="24"/>
        </w:rPr>
        <w:t xml:space="preserve"> to ensure regular staff training on preventing and addressing harassment and violence</w:t>
      </w:r>
      <w:r w:rsidR="009809AF">
        <w:rPr>
          <w:rFonts w:cs="Arial"/>
          <w:szCs w:val="24"/>
        </w:rPr>
        <w:t>,</w:t>
      </w:r>
      <w:r w:rsidRPr="00A85C41">
        <w:rPr>
          <w:rFonts w:cs="Arial"/>
          <w:szCs w:val="24"/>
        </w:rPr>
        <w:t xml:space="preserve"> and to improve public reporting.</w:t>
      </w:r>
    </w:p>
    <w:p w14:paraId="27825CBB" w14:textId="49904679" w:rsidR="00815FD2" w:rsidRDefault="00D0073E" w:rsidP="006111CE">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spacing w:after="240"/>
        <w:rPr>
          <w:rFonts w:ascii="Arial" w:hAnsi="Arial" w:cs="Arial"/>
          <w:sz w:val="24"/>
          <w:szCs w:val="24"/>
          <w:lang w:val="en-CA"/>
        </w:rPr>
      </w:pPr>
      <w:r>
        <w:rPr>
          <w:rFonts w:ascii="Arial" w:hAnsi="Arial" w:cs="Arial"/>
          <w:b/>
          <w:bCs/>
          <w:sz w:val="24"/>
          <w:szCs w:val="24"/>
          <w:lang w:val="en-CA"/>
        </w:rPr>
        <w:t>Recommendation</w:t>
      </w:r>
      <w:r w:rsidR="00A11B1F">
        <w:rPr>
          <w:rFonts w:ascii="Arial" w:hAnsi="Arial" w:cs="Arial"/>
          <w:b/>
          <w:bCs/>
          <w:sz w:val="24"/>
          <w:szCs w:val="24"/>
          <w:lang w:val="en-CA"/>
        </w:rPr>
        <w:t xml:space="preserve"> </w:t>
      </w:r>
      <w:r w:rsidR="00CB7542">
        <w:rPr>
          <w:rFonts w:ascii="Arial" w:hAnsi="Arial" w:cs="Arial"/>
          <w:b/>
          <w:bCs/>
          <w:sz w:val="24"/>
          <w:szCs w:val="24"/>
          <w:lang w:val="en-CA"/>
        </w:rPr>
        <w:t>#</w:t>
      </w:r>
      <w:r w:rsidR="00106054">
        <w:rPr>
          <w:rFonts w:ascii="Arial" w:hAnsi="Arial" w:cs="Arial"/>
          <w:b/>
          <w:bCs/>
          <w:sz w:val="24"/>
          <w:szCs w:val="24"/>
          <w:lang w:val="en-CA"/>
        </w:rPr>
        <w:t>10</w:t>
      </w:r>
      <w:r>
        <w:rPr>
          <w:rFonts w:ascii="Arial" w:hAnsi="Arial" w:cs="Arial"/>
          <w:b/>
          <w:bCs/>
          <w:sz w:val="24"/>
          <w:szCs w:val="24"/>
          <w:lang w:val="en-CA"/>
        </w:rPr>
        <w:t xml:space="preserve">: </w:t>
      </w:r>
      <w:r w:rsidR="00860E60">
        <w:rPr>
          <w:rFonts w:ascii="Arial" w:hAnsi="Arial" w:cs="Arial"/>
          <w:sz w:val="24"/>
          <w:szCs w:val="24"/>
          <w:lang w:val="en-CA"/>
        </w:rPr>
        <w:t>T</w:t>
      </w:r>
      <w:r w:rsidR="00AC1EB1">
        <w:rPr>
          <w:rFonts w:ascii="Arial" w:hAnsi="Arial" w:cs="Arial"/>
          <w:sz w:val="24"/>
          <w:szCs w:val="24"/>
          <w:lang w:val="en-CA"/>
        </w:rPr>
        <w:t>hat Canada t</w:t>
      </w:r>
      <w:r w:rsidR="00860E60">
        <w:rPr>
          <w:rFonts w:ascii="Arial" w:hAnsi="Arial" w:cs="Arial"/>
          <w:sz w:val="24"/>
          <w:szCs w:val="24"/>
          <w:lang w:val="en-CA"/>
        </w:rPr>
        <w:t>ake</w:t>
      </w:r>
      <w:r w:rsidR="008D6942">
        <w:rPr>
          <w:rFonts w:ascii="Arial" w:hAnsi="Arial" w:cs="Arial"/>
          <w:sz w:val="24"/>
          <w:szCs w:val="24"/>
          <w:lang w:val="en-CA"/>
        </w:rPr>
        <w:t>s</w:t>
      </w:r>
      <w:r w:rsidR="00860E60">
        <w:rPr>
          <w:rFonts w:ascii="Arial" w:hAnsi="Arial" w:cs="Arial"/>
          <w:sz w:val="24"/>
          <w:szCs w:val="24"/>
          <w:lang w:val="en-CA"/>
        </w:rPr>
        <w:t xml:space="preserve"> steps to protect</w:t>
      </w:r>
      <w:r w:rsidR="00516263">
        <w:rPr>
          <w:rFonts w:ascii="Arial" w:hAnsi="Arial" w:cs="Arial"/>
          <w:sz w:val="24"/>
          <w:szCs w:val="24"/>
          <w:lang w:val="en-CA"/>
        </w:rPr>
        <w:t xml:space="preserve">, ensure, monitor, and </w:t>
      </w:r>
      <w:r w:rsidR="00523070">
        <w:rPr>
          <w:rFonts w:ascii="Arial" w:hAnsi="Arial" w:cs="Arial"/>
          <w:sz w:val="24"/>
          <w:szCs w:val="24"/>
          <w:lang w:val="en-CA"/>
        </w:rPr>
        <w:t>publicly</w:t>
      </w:r>
      <w:r w:rsidR="00516263">
        <w:rPr>
          <w:rFonts w:ascii="Arial" w:hAnsi="Arial" w:cs="Arial"/>
          <w:sz w:val="24"/>
          <w:szCs w:val="24"/>
          <w:lang w:val="en-CA"/>
        </w:rPr>
        <w:t xml:space="preserve"> report on</w:t>
      </w:r>
      <w:r w:rsidR="00860E60">
        <w:rPr>
          <w:rFonts w:ascii="Arial" w:hAnsi="Arial" w:cs="Arial"/>
          <w:sz w:val="24"/>
          <w:szCs w:val="24"/>
          <w:lang w:val="en-CA"/>
        </w:rPr>
        <w:t xml:space="preserve"> the rights </w:t>
      </w:r>
      <w:r w:rsidR="00516263">
        <w:rPr>
          <w:rFonts w:ascii="Arial" w:hAnsi="Arial" w:cs="Arial"/>
          <w:sz w:val="24"/>
          <w:szCs w:val="24"/>
          <w:lang w:val="en-CA"/>
        </w:rPr>
        <w:t xml:space="preserve">and treatment </w:t>
      </w:r>
      <w:r w:rsidR="00860E60">
        <w:rPr>
          <w:rFonts w:ascii="Arial" w:hAnsi="Arial" w:cs="Arial"/>
          <w:sz w:val="24"/>
          <w:szCs w:val="24"/>
          <w:lang w:val="en-CA"/>
        </w:rPr>
        <w:t xml:space="preserve">of </w:t>
      </w:r>
      <w:r w:rsidR="001A1AA5">
        <w:rPr>
          <w:rFonts w:ascii="Arial" w:hAnsi="Arial" w:cs="Arial"/>
          <w:sz w:val="24"/>
          <w:szCs w:val="24"/>
          <w:lang w:val="en-CA"/>
        </w:rPr>
        <w:t>trans, non-binary and gender diverse</w:t>
      </w:r>
      <w:r w:rsidR="00860E60">
        <w:rPr>
          <w:rFonts w:ascii="Arial" w:hAnsi="Arial" w:cs="Arial"/>
          <w:sz w:val="24"/>
          <w:szCs w:val="24"/>
          <w:lang w:val="en-CA"/>
        </w:rPr>
        <w:t xml:space="preserve"> </w:t>
      </w:r>
      <w:r w:rsidR="00516263">
        <w:rPr>
          <w:rFonts w:ascii="Arial" w:hAnsi="Arial" w:cs="Arial"/>
          <w:sz w:val="24"/>
          <w:szCs w:val="24"/>
          <w:lang w:val="en-CA"/>
        </w:rPr>
        <w:t xml:space="preserve">prisoners. </w:t>
      </w:r>
    </w:p>
    <w:p w14:paraId="29325634" w14:textId="3821E7C9" w:rsidR="00815FD2" w:rsidRPr="00815FD2" w:rsidRDefault="00815FD2" w:rsidP="00815FD2">
      <w:pPr>
        <w:spacing w:before="240" w:line="240" w:lineRule="auto"/>
        <w:rPr>
          <w:rFonts w:cs="Arial"/>
          <w:szCs w:val="24"/>
        </w:rPr>
      </w:pPr>
      <w:r w:rsidRPr="00815FD2">
        <w:rPr>
          <w:rFonts w:cs="Arial"/>
          <w:szCs w:val="24"/>
          <w:lang w:val="en-US"/>
        </w:rPr>
        <w:t>The CHRC remains deeply concerned by reports of sexual coercion and violence in federal prisons</w:t>
      </w:r>
      <w:r w:rsidR="00523070">
        <w:rPr>
          <w:rFonts w:cs="Arial"/>
          <w:szCs w:val="24"/>
          <w:lang w:val="en-US"/>
        </w:rPr>
        <w:t xml:space="preserve">, which </w:t>
      </w:r>
      <w:r w:rsidRPr="00815FD2">
        <w:rPr>
          <w:rFonts w:cs="Arial"/>
          <w:szCs w:val="24"/>
          <w:lang w:val="en-US"/>
        </w:rPr>
        <w:t xml:space="preserve">disproportionately affects women and </w:t>
      </w:r>
      <w:r w:rsidR="00D25528">
        <w:rPr>
          <w:rFonts w:cs="Arial"/>
          <w:szCs w:val="24"/>
          <w:lang w:val="en-US"/>
        </w:rPr>
        <w:t>2SLGBTQQIA+</w:t>
      </w:r>
      <w:r w:rsidRPr="00815FD2">
        <w:rPr>
          <w:rFonts w:cs="Arial"/>
          <w:szCs w:val="24"/>
          <w:lang w:val="en-US"/>
        </w:rPr>
        <w:t xml:space="preserve"> people</w:t>
      </w:r>
      <w:r w:rsidR="00523070">
        <w:rPr>
          <w:rFonts w:cs="Arial"/>
          <w:szCs w:val="24"/>
          <w:lang w:val="en-US"/>
        </w:rPr>
        <w:t xml:space="preserve">. </w:t>
      </w:r>
      <w:r w:rsidR="00523070">
        <w:rPr>
          <w:rFonts w:cs="Arial"/>
          <w:szCs w:val="24"/>
          <w:lang w:val="en-US"/>
        </w:rPr>
        <w:lastRenderedPageBreak/>
        <w:t>I</w:t>
      </w:r>
      <w:r w:rsidRPr="00815FD2">
        <w:rPr>
          <w:rFonts w:cs="Arial"/>
          <w:szCs w:val="24"/>
          <w:lang w:val="en-US"/>
        </w:rPr>
        <w:t>ncidents go largely unreported because of a “culture of silence”.</w:t>
      </w:r>
      <w:r w:rsidRPr="00815FD2">
        <w:rPr>
          <w:rFonts w:cs="Arial"/>
          <w:szCs w:val="24"/>
          <w:vertAlign w:val="superscript"/>
          <w:lang w:val="en-US"/>
        </w:rPr>
        <w:footnoteReference w:id="54"/>
      </w:r>
      <w:r w:rsidRPr="00815FD2">
        <w:rPr>
          <w:rFonts w:cs="Arial"/>
          <w:szCs w:val="24"/>
          <w:lang w:val="en-US"/>
        </w:rPr>
        <w:t xml:space="preserve"> In 2022, the CSC announced a zero-tolerance policy </w:t>
      </w:r>
      <w:r w:rsidR="002120EE" w:rsidRPr="00815FD2">
        <w:rPr>
          <w:rFonts w:cs="Arial"/>
          <w:szCs w:val="24"/>
          <w:lang w:val="en-US"/>
        </w:rPr>
        <w:t>regarding</w:t>
      </w:r>
      <w:r w:rsidRPr="00815FD2">
        <w:rPr>
          <w:rFonts w:cs="Arial"/>
          <w:szCs w:val="24"/>
          <w:lang w:val="en-US"/>
        </w:rPr>
        <w:t xml:space="preserve"> sexual coercion and violence</w:t>
      </w:r>
      <w:r w:rsidR="00935567">
        <w:rPr>
          <w:rFonts w:cs="Arial"/>
          <w:szCs w:val="24"/>
          <w:lang w:val="en-US"/>
        </w:rPr>
        <w:t>.</w:t>
      </w:r>
      <w:r w:rsidRPr="00815FD2">
        <w:rPr>
          <w:rFonts w:cs="Arial"/>
          <w:szCs w:val="24"/>
          <w:vertAlign w:val="superscript"/>
          <w:lang w:val="en-US"/>
        </w:rPr>
        <w:footnoteReference w:id="55"/>
      </w:r>
      <w:r w:rsidR="00935567">
        <w:rPr>
          <w:rFonts w:cs="Arial"/>
          <w:szCs w:val="24"/>
          <w:lang w:val="en-US"/>
        </w:rPr>
        <w:t xml:space="preserve">  The policy</w:t>
      </w:r>
      <w:r w:rsidR="002120EE">
        <w:rPr>
          <w:rFonts w:cs="Arial"/>
          <w:szCs w:val="24"/>
          <w:lang w:val="en-US"/>
        </w:rPr>
        <w:t xml:space="preserve"> </w:t>
      </w:r>
      <w:r w:rsidR="00977E37" w:rsidRPr="00977E37">
        <w:rPr>
          <w:rFonts w:cs="Arial"/>
          <w:szCs w:val="24"/>
          <w:lang w:val="en-US"/>
        </w:rPr>
        <w:t>does not address barriers to disclosure, such as fear of retaliation, which could impact reporting</w:t>
      </w:r>
      <w:r w:rsidRPr="00815FD2">
        <w:rPr>
          <w:rFonts w:cs="Arial"/>
          <w:szCs w:val="24"/>
          <w:lang w:val="en-US"/>
        </w:rPr>
        <w:t>.</w:t>
      </w:r>
    </w:p>
    <w:p w14:paraId="4E62BB2E" w14:textId="24B42C7E" w:rsidR="00860E60" w:rsidRPr="0025644A" w:rsidRDefault="00815FD2" w:rsidP="006111CE">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spacing w:after="240"/>
        <w:rPr>
          <w:rFonts w:ascii="Arial" w:hAnsi="Arial" w:cs="Arial"/>
          <w:sz w:val="24"/>
          <w:szCs w:val="24"/>
          <w:lang w:val="en-CA"/>
        </w:rPr>
      </w:pPr>
      <w:r w:rsidRPr="00815FD2">
        <w:rPr>
          <w:rFonts w:ascii="Arial" w:eastAsiaTheme="minorHAnsi" w:hAnsi="Arial" w:cs="Arial"/>
          <w:b/>
          <w:bCs/>
          <w:sz w:val="24"/>
          <w:szCs w:val="24"/>
        </w:rPr>
        <w:t xml:space="preserve">Recommendation </w:t>
      </w:r>
      <w:r w:rsidR="00CB7542">
        <w:rPr>
          <w:rFonts w:ascii="Arial" w:eastAsiaTheme="minorHAnsi" w:hAnsi="Arial" w:cs="Arial"/>
          <w:b/>
          <w:bCs/>
          <w:sz w:val="24"/>
          <w:szCs w:val="24"/>
        </w:rPr>
        <w:t>#1</w:t>
      </w:r>
      <w:r w:rsidR="00106054">
        <w:rPr>
          <w:rFonts w:ascii="Arial" w:eastAsiaTheme="minorHAnsi" w:hAnsi="Arial" w:cs="Arial"/>
          <w:b/>
          <w:bCs/>
          <w:sz w:val="24"/>
          <w:szCs w:val="24"/>
        </w:rPr>
        <w:t>1</w:t>
      </w:r>
      <w:r w:rsidRPr="00815FD2">
        <w:rPr>
          <w:rFonts w:ascii="Arial" w:eastAsiaTheme="minorHAnsi" w:hAnsi="Arial" w:cs="Arial"/>
          <w:b/>
          <w:bCs/>
          <w:sz w:val="24"/>
          <w:szCs w:val="24"/>
        </w:rPr>
        <w:t xml:space="preserve">: </w:t>
      </w:r>
      <w:r w:rsidRPr="00815FD2">
        <w:rPr>
          <w:rFonts w:ascii="Arial" w:eastAsiaTheme="minorHAnsi" w:hAnsi="Arial" w:cs="Arial"/>
          <w:sz w:val="24"/>
          <w:szCs w:val="24"/>
        </w:rPr>
        <w:t>That Canada take</w:t>
      </w:r>
      <w:r w:rsidR="008D6942">
        <w:rPr>
          <w:rFonts w:ascii="Arial" w:eastAsiaTheme="minorHAnsi" w:hAnsi="Arial" w:cs="Arial"/>
          <w:sz w:val="24"/>
          <w:szCs w:val="24"/>
        </w:rPr>
        <w:t>s</w:t>
      </w:r>
      <w:r w:rsidRPr="00815FD2">
        <w:rPr>
          <w:rFonts w:ascii="Arial" w:eastAsiaTheme="minorHAnsi" w:hAnsi="Arial" w:cs="Arial"/>
          <w:sz w:val="24"/>
          <w:szCs w:val="24"/>
        </w:rPr>
        <w:t xml:space="preserve"> steps to address the issue of sexual coercion and violence in </w:t>
      </w:r>
      <w:proofErr w:type="gramStart"/>
      <w:r w:rsidRPr="00815FD2">
        <w:rPr>
          <w:rFonts w:ascii="Arial" w:eastAsiaTheme="minorHAnsi" w:hAnsi="Arial" w:cs="Arial"/>
          <w:sz w:val="24"/>
          <w:szCs w:val="24"/>
        </w:rPr>
        <w:t>prisons</w:t>
      </w:r>
      <w:r w:rsidR="00CB62CD">
        <w:rPr>
          <w:rFonts w:ascii="Arial" w:eastAsiaTheme="minorHAnsi" w:hAnsi="Arial" w:cs="Arial"/>
          <w:sz w:val="24"/>
          <w:szCs w:val="24"/>
        </w:rPr>
        <w:t>,</w:t>
      </w:r>
      <w:r w:rsidRPr="00815FD2">
        <w:rPr>
          <w:rFonts w:ascii="Arial" w:eastAsiaTheme="minorHAnsi" w:hAnsi="Arial" w:cs="Arial"/>
          <w:sz w:val="24"/>
          <w:szCs w:val="24"/>
        </w:rPr>
        <w:t xml:space="preserve"> and</w:t>
      </w:r>
      <w:proofErr w:type="gramEnd"/>
      <w:r w:rsidRPr="00815FD2">
        <w:rPr>
          <w:rFonts w:ascii="Arial" w:eastAsiaTheme="minorHAnsi" w:hAnsi="Arial" w:cs="Arial"/>
          <w:sz w:val="24"/>
          <w:szCs w:val="24"/>
        </w:rPr>
        <w:t xml:space="preserve"> review existing policies and procedures to ensure that they are trauma-informed and address barriers to disclosure.</w:t>
      </w:r>
    </w:p>
    <w:p w14:paraId="74C367FE" w14:textId="74C2E605" w:rsidR="00402166" w:rsidRDefault="004E3270" w:rsidP="00401D9A">
      <w:pPr>
        <w:spacing w:line="240" w:lineRule="auto"/>
      </w:pPr>
      <w:r>
        <w:t>B</w:t>
      </w:r>
      <w:r w:rsidR="00402166">
        <w:t xml:space="preserve">eyond the prison system, </w:t>
      </w:r>
      <w:r w:rsidR="00137ED0">
        <w:t>women</w:t>
      </w:r>
      <w:r w:rsidR="00402166">
        <w:t xml:space="preserve"> with disabilities</w:t>
      </w:r>
      <w:r w:rsidR="00D33296">
        <w:t xml:space="preserve"> are often </w:t>
      </w:r>
      <w:r w:rsidR="002120EE">
        <w:t>inappropriately institutionalized due to lack of access to services and supports</w:t>
      </w:r>
      <w:r w:rsidR="002120EE" w:rsidDel="002120EE">
        <w:t xml:space="preserve"> </w:t>
      </w:r>
      <w:r w:rsidR="00242822">
        <w:t>and denied</w:t>
      </w:r>
      <w:r w:rsidR="00F71AD4">
        <w:t xml:space="preserve"> </w:t>
      </w:r>
      <w:r w:rsidR="00402166">
        <w:t>their right to live independently and with dignity in their communities.</w:t>
      </w:r>
      <w:r w:rsidR="002120EE" w:rsidRPr="002120EE">
        <w:rPr>
          <w:rStyle w:val="FootnoteReference"/>
        </w:rPr>
        <w:t xml:space="preserve"> </w:t>
      </w:r>
      <w:r w:rsidR="002120EE">
        <w:rPr>
          <w:rStyle w:val="FootnoteReference"/>
        </w:rPr>
        <w:footnoteReference w:id="56"/>
      </w:r>
      <w:r w:rsidR="00402166">
        <w:t xml:space="preserve"> </w:t>
      </w:r>
      <w:r w:rsidR="00E45057">
        <w:t xml:space="preserve"> The lack of c</w:t>
      </w:r>
      <w:r w:rsidR="00402166">
        <w:t xml:space="preserve">omprehensive data on </w:t>
      </w:r>
      <w:r w:rsidR="00D33296">
        <w:t>institutionalization and</w:t>
      </w:r>
      <w:r w:rsidR="00402166">
        <w:t xml:space="preserve"> forcible treatment of people with disabilities </w:t>
      </w:r>
      <w:r w:rsidR="00D33296">
        <w:t xml:space="preserve">is </w:t>
      </w:r>
      <w:r w:rsidR="00402166">
        <w:t>especially concerning given the lack of independent monitoring</w:t>
      </w:r>
      <w:r w:rsidR="00F71AD4">
        <w:t xml:space="preserve"> and oversight</w:t>
      </w:r>
      <w:r w:rsidR="00402166">
        <w:t xml:space="preserve"> of </w:t>
      </w:r>
      <w:r w:rsidR="009C3648">
        <w:t>institutions</w:t>
      </w:r>
      <w:r w:rsidR="00402166">
        <w:t xml:space="preserve"> in Canada.  </w:t>
      </w:r>
    </w:p>
    <w:p w14:paraId="36FB2B16" w14:textId="1A9AC70C" w:rsidR="007A1495" w:rsidRDefault="006E3D09" w:rsidP="0055129D">
      <w:pPr>
        <w:pStyle w:val="NoSpacing"/>
        <w:rPr>
          <w:rFonts w:ascii="Arial" w:hAnsi="Arial" w:cs="Arial"/>
          <w:sz w:val="24"/>
          <w:szCs w:val="24"/>
        </w:rPr>
      </w:pPr>
      <w:r>
        <w:rPr>
          <w:rFonts w:ascii="Arial" w:hAnsi="Arial" w:cs="Arial"/>
          <w:sz w:val="24"/>
          <w:szCs w:val="24"/>
        </w:rPr>
        <w:t>To align Canada with international standards on independent oversight of places of deprivation of liberty, t</w:t>
      </w:r>
      <w:r w:rsidR="001B1D78">
        <w:rPr>
          <w:rFonts w:ascii="Arial" w:hAnsi="Arial" w:cs="Arial"/>
          <w:sz w:val="24"/>
          <w:szCs w:val="24"/>
        </w:rPr>
        <w:t xml:space="preserve">he CHRC </w:t>
      </w:r>
      <w:r w:rsidR="00E9799C">
        <w:rPr>
          <w:rFonts w:ascii="Arial" w:hAnsi="Arial" w:cs="Arial"/>
          <w:sz w:val="24"/>
          <w:szCs w:val="24"/>
        </w:rPr>
        <w:t>continues to call on Canada to ratify</w:t>
      </w:r>
      <w:r w:rsidR="001B1D78">
        <w:rPr>
          <w:rFonts w:ascii="Arial" w:hAnsi="Arial" w:cs="Arial"/>
          <w:sz w:val="24"/>
          <w:szCs w:val="24"/>
        </w:rPr>
        <w:t xml:space="preserve"> </w:t>
      </w:r>
      <w:r w:rsidR="001B1D78" w:rsidRPr="001B1D78">
        <w:rPr>
          <w:rFonts w:ascii="Arial" w:hAnsi="Arial" w:cs="Arial"/>
          <w:sz w:val="24"/>
          <w:szCs w:val="24"/>
        </w:rPr>
        <w:t xml:space="preserve">the </w:t>
      </w:r>
      <w:r w:rsidR="00402166" w:rsidRPr="00402166">
        <w:rPr>
          <w:rFonts w:ascii="Arial" w:hAnsi="Arial" w:cs="Arial"/>
          <w:sz w:val="24"/>
          <w:szCs w:val="24"/>
        </w:rPr>
        <w:t>Optional Protocol to the Convention against Torture (OPCAT)</w:t>
      </w:r>
      <w:r w:rsidR="00CA0FE7">
        <w:rPr>
          <w:rFonts w:ascii="Arial" w:hAnsi="Arial" w:cs="Arial"/>
          <w:sz w:val="24"/>
          <w:szCs w:val="24"/>
        </w:rPr>
        <w:t xml:space="preserve">. </w:t>
      </w:r>
      <w:r w:rsidR="00C52D37">
        <w:rPr>
          <w:rFonts w:ascii="Arial" w:hAnsi="Arial" w:cs="Arial"/>
          <w:sz w:val="24"/>
          <w:szCs w:val="24"/>
        </w:rPr>
        <w:t xml:space="preserve">The </w:t>
      </w:r>
      <w:r w:rsidR="00CA0FE7">
        <w:rPr>
          <w:rFonts w:ascii="Arial" w:hAnsi="Arial" w:cs="Arial"/>
          <w:sz w:val="24"/>
          <w:szCs w:val="24"/>
        </w:rPr>
        <w:t xml:space="preserve">OPCAT </w:t>
      </w:r>
      <w:r w:rsidR="001B1D78" w:rsidRPr="001B1D78">
        <w:rPr>
          <w:rFonts w:ascii="Arial" w:hAnsi="Arial" w:cs="Arial"/>
          <w:sz w:val="24"/>
          <w:szCs w:val="24"/>
        </w:rPr>
        <w:t>could offer a framework for more consistent and proactive human rights protections for people who are detained across all jurisdictions</w:t>
      </w:r>
      <w:r w:rsidR="001B1D78">
        <w:rPr>
          <w:rFonts w:ascii="Arial" w:hAnsi="Arial" w:cs="Arial"/>
          <w:sz w:val="24"/>
          <w:szCs w:val="24"/>
        </w:rPr>
        <w:t>.</w:t>
      </w:r>
      <w:r w:rsidR="001B1D78">
        <w:rPr>
          <w:rStyle w:val="FootnoteReference"/>
          <w:rFonts w:ascii="Arial" w:hAnsi="Arial" w:cs="Arial"/>
          <w:sz w:val="24"/>
          <w:szCs w:val="24"/>
        </w:rPr>
        <w:footnoteReference w:id="57"/>
      </w:r>
      <w:r w:rsidR="001B1D78">
        <w:rPr>
          <w:rFonts w:ascii="Arial" w:hAnsi="Arial" w:cs="Arial"/>
          <w:sz w:val="24"/>
          <w:szCs w:val="24"/>
        </w:rPr>
        <w:t xml:space="preserve"> </w:t>
      </w:r>
      <w:r w:rsidR="00523070">
        <w:rPr>
          <w:rFonts w:ascii="Arial" w:hAnsi="Arial" w:cs="Arial"/>
          <w:sz w:val="24"/>
          <w:szCs w:val="24"/>
        </w:rPr>
        <w:t>D</w:t>
      </w:r>
      <w:r w:rsidR="0055129D">
        <w:rPr>
          <w:rFonts w:ascii="Arial" w:hAnsi="Arial" w:cs="Arial"/>
          <w:sz w:val="24"/>
          <w:szCs w:val="24"/>
        </w:rPr>
        <w:t xml:space="preserve">espite </w:t>
      </w:r>
      <w:r w:rsidR="00517804" w:rsidRPr="003B4461">
        <w:rPr>
          <w:rFonts w:ascii="Arial" w:hAnsi="Arial" w:cs="Arial"/>
          <w:sz w:val="24"/>
          <w:szCs w:val="24"/>
        </w:rPr>
        <w:t>Canada’s commitment to prioritize the ratification of OPCAT</w:t>
      </w:r>
      <w:r w:rsidR="0055129D">
        <w:rPr>
          <w:rFonts w:ascii="Arial" w:hAnsi="Arial" w:cs="Arial"/>
          <w:sz w:val="24"/>
          <w:szCs w:val="24"/>
        </w:rPr>
        <w:t xml:space="preserve"> during its </w:t>
      </w:r>
      <w:r w:rsidR="001B1D78">
        <w:rPr>
          <w:rFonts w:ascii="Arial" w:hAnsi="Arial" w:cs="Arial"/>
          <w:sz w:val="24"/>
          <w:szCs w:val="24"/>
        </w:rPr>
        <w:t xml:space="preserve">most recent Universal Periodic Review, further developments have yet to be provided. </w:t>
      </w:r>
    </w:p>
    <w:p w14:paraId="401EC5B2" w14:textId="77777777" w:rsidR="0055129D" w:rsidRDefault="0055129D" w:rsidP="00402166">
      <w:pPr>
        <w:pStyle w:val="NoSpacing"/>
        <w:rPr>
          <w:rFonts w:ascii="Arial" w:hAnsi="Arial" w:cs="Arial"/>
          <w:b/>
          <w:bCs/>
          <w:sz w:val="24"/>
          <w:szCs w:val="24"/>
        </w:rPr>
      </w:pPr>
    </w:p>
    <w:p w14:paraId="591A231D" w14:textId="60233BDE" w:rsidR="001B1D78" w:rsidRDefault="007A1495" w:rsidP="006111CE">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rPr>
          <w:rFonts w:ascii="Arial" w:hAnsi="Arial" w:cs="Arial"/>
          <w:sz w:val="24"/>
          <w:szCs w:val="24"/>
        </w:rPr>
      </w:pPr>
      <w:r>
        <w:rPr>
          <w:rFonts w:ascii="Arial" w:hAnsi="Arial" w:cs="Arial"/>
          <w:b/>
          <w:bCs/>
          <w:sz w:val="24"/>
          <w:szCs w:val="24"/>
        </w:rPr>
        <w:t>Recommendation</w:t>
      </w:r>
      <w:r w:rsidR="00EF5B5F">
        <w:rPr>
          <w:rFonts w:ascii="Arial" w:hAnsi="Arial" w:cs="Arial"/>
          <w:b/>
          <w:bCs/>
          <w:sz w:val="24"/>
          <w:szCs w:val="24"/>
        </w:rPr>
        <w:t xml:space="preserve"> </w:t>
      </w:r>
      <w:r w:rsidR="00CB7542">
        <w:rPr>
          <w:rFonts w:ascii="Arial" w:hAnsi="Arial" w:cs="Arial"/>
          <w:b/>
          <w:bCs/>
          <w:sz w:val="24"/>
          <w:szCs w:val="24"/>
        </w:rPr>
        <w:t>#1</w:t>
      </w:r>
      <w:r w:rsidR="00106054">
        <w:rPr>
          <w:rFonts w:ascii="Arial" w:hAnsi="Arial" w:cs="Arial"/>
          <w:b/>
          <w:bCs/>
          <w:sz w:val="24"/>
          <w:szCs w:val="24"/>
        </w:rPr>
        <w:t>2</w:t>
      </w:r>
      <w:r>
        <w:rPr>
          <w:rFonts w:ascii="Arial" w:hAnsi="Arial" w:cs="Arial"/>
          <w:b/>
          <w:bCs/>
          <w:sz w:val="24"/>
          <w:szCs w:val="24"/>
        </w:rPr>
        <w:t xml:space="preserve">: </w:t>
      </w:r>
      <w:r w:rsidR="00AC1EB1">
        <w:rPr>
          <w:rFonts w:ascii="Arial" w:hAnsi="Arial" w:cs="Arial"/>
          <w:sz w:val="24"/>
          <w:szCs w:val="24"/>
        </w:rPr>
        <w:t>That Canada</w:t>
      </w:r>
      <w:r w:rsidR="00070304">
        <w:rPr>
          <w:rFonts w:ascii="Arial" w:hAnsi="Arial" w:cs="Arial"/>
          <w:sz w:val="24"/>
          <w:szCs w:val="24"/>
        </w:rPr>
        <w:t xml:space="preserve"> sign</w:t>
      </w:r>
      <w:r w:rsidR="008D6942">
        <w:rPr>
          <w:rFonts w:ascii="Arial" w:hAnsi="Arial" w:cs="Arial"/>
          <w:sz w:val="24"/>
          <w:szCs w:val="24"/>
        </w:rPr>
        <w:t>s</w:t>
      </w:r>
      <w:r w:rsidR="002C7272">
        <w:rPr>
          <w:rFonts w:ascii="Arial-BoldMT" w:eastAsiaTheme="minorHAnsi" w:hAnsi="Arial-BoldMT"/>
          <w:color w:val="000000"/>
          <w:sz w:val="24"/>
          <w:szCs w:val="24"/>
          <w:lang w:val="en-CA"/>
        </w:rPr>
        <w:t xml:space="preserve">, </w:t>
      </w:r>
      <w:r w:rsidR="007B58BD">
        <w:rPr>
          <w:rFonts w:ascii="Arial-BoldMT" w:eastAsiaTheme="minorHAnsi" w:hAnsi="Arial-BoldMT"/>
          <w:color w:val="000000"/>
          <w:sz w:val="24"/>
          <w:szCs w:val="24"/>
          <w:lang w:val="en-CA"/>
        </w:rPr>
        <w:t>ratif</w:t>
      </w:r>
      <w:r w:rsidR="008D6942">
        <w:rPr>
          <w:rFonts w:ascii="Arial-BoldMT" w:eastAsiaTheme="minorHAnsi" w:hAnsi="Arial-BoldMT"/>
          <w:color w:val="000000"/>
          <w:sz w:val="24"/>
          <w:szCs w:val="24"/>
          <w:lang w:val="en-CA"/>
        </w:rPr>
        <w:t>ies</w:t>
      </w:r>
      <w:r w:rsidR="007B58BD">
        <w:rPr>
          <w:rFonts w:ascii="Arial-BoldMT" w:eastAsiaTheme="minorHAnsi" w:hAnsi="Arial-BoldMT"/>
          <w:color w:val="000000"/>
          <w:sz w:val="24"/>
          <w:szCs w:val="24"/>
          <w:lang w:val="en-CA"/>
        </w:rPr>
        <w:t xml:space="preserve"> </w:t>
      </w:r>
      <w:r w:rsidR="002C7272">
        <w:rPr>
          <w:rFonts w:ascii="Arial-BoldMT" w:eastAsiaTheme="minorHAnsi" w:hAnsi="Arial-BoldMT"/>
          <w:color w:val="000000"/>
          <w:sz w:val="24"/>
          <w:szCs w:val="24"/>
          <w:lang w:val="en-CA"/>
        </w:rPr>
        <w:t>and implement</w:t>
      </w:r>
      <w:r w:rsidR="008D6942">
        <w:rPr>
          <w:rFonts w:ascii="Arial-BoldMT" w:eastAsiaTheme="minorHAnsi" w:hAnsi="Arial-BoldMT"/>
          <w:color w:val="000000"/>
          <w:sz w:val="24"/>
          <w:szCs w:val="24"/>
          <w:lang w:val="en-CA"/>
        </w:rPr>
        <w:t>s</w:t>
      </w:r>
      <w:r w:rsidR="002C7272">
        <w:rPr>
          <w:rFonts w:ascii="Arial-BoldMT" w:eastAsiaTheme="minorHAnsi" w:hAnsi="Arial-BoldMT"/>
          <w:color w:val="000000"/>
          <w:sz w:val="24"/>
          <w:szCs w:val="24"/>
          <w:lang w:val="en-CA"/>
        </w:rPr>
        <w:t xml:space="preserve"> </w:t>
      </w:r>
      <w:r w:rsidR="0012780D" w:rsidRPr="0012780D">
        <w:rPr>
          <w:rFonts w:ascii="Arial-BoldMT" w:eastAsiaTheme="minorHAnsi" w:hAnsi="Arial-BoldMT"/>
          <w:color w:val="000000"/>
          <w:sz w:val="24"/>
          <w:szCs w:val="24"/>
          <w:lang w:val="en-CA"/>
        </w:rPr>
        <w:t xml:space="preserve">the OPCAT without delay, including by designating an appropriate National Preventive Mechanism to ensure ongoing and enhanced independent oversight, monitoring and reporting in all places of detention. </w:t>
      </w:r>
    </w:p>
    <w:p w14:paraId="269A9EDE" w14:textId="77777777" w:rsidR="00402166" w:rsidRPr="002D0BE4" w:rsidRDefault="00402166" w:rsidP="00402166">
      <w:pPr>
        <w:pStyle w:val="NoSpacing"/>
        <w:rPr>
          <w:rFonts w:ascii="Arial" w:hAnsi="Arial" w:cs="Arial"/>
          <w:sz w:val="24"/>
          <w:szCs w:val="24"/>
        </w:rPr>
      </w:pPr>
    </w:p>
    <w:p w14:paraId="25BF2C1E" w14:textId="0F505530" w:rsidR="00880208" w:rsidRDefault="00880208" w:rsidP="008F2070">
      <w:pPr>
        <w:pStyle w:val="Heading1"/>
      </w:pPr>
      <w:bookmarkStart w:id="22" w:name="_Toc174373021"/>
      <w:r>
        <w:t>INDIGENOUS WOMEN AND GIRLS</w:t>
      </w:r>
      <w:bookmarkEnd w:id="22"/>
    </w:p>
    <w:p w14:paraId="27329FF4" w14:textId="389EFF22" w:rsidR="009B30DF" w:rsidRPr="00C25033" w:rsidRDefault="009A5CD4" w:rsidP="00C25033">
      <w:pPr>
        <w:spacing w:line="240" w:lineRule="auto"/>
        <w:rPr>
          <w:rFonts w:cs="Arial"/>
          <w:szCs w:val="24"/>
        </w:rPr>
      </w:pPr>
      <w:r w:rsidRPr="00262BB7">
        <w:rPr>
          <w:rFonts w:cs="Arial"/>
          <w:szCs w:val="24"/>
        </w:rPr>
        <w:t xml:space="preserve">The CHRC views the situation of Indigenous peoples as one of the most pressing human rights issues facing Canada today. </w:t>
      </w:r>
      <w:r w:rsidR="003351AC">
        <w:rPr>
          <w:rFonts w:cs="Arial"/>
          <w:szCs w:val="24"/>
        </w:rPr>
        <w:t>First Nations, Inuit and M</w:t>
      </w:r>
      <w:r w:rsidR="00791E6B">
        <w:rPr>
          <w:rFonts w:cs="Arial"/>
          <w:szCs w:val="24"/>
        </w:rPr>
        <w:t>é</w:t>
      </w:r>
      <w:r w:rsidR="003351AC">
        <w:rPr>
          <w:rFonts w:cs="Arial"/>
          <w:szCs w:val="24"/>
        </w:rPr>
        <w:t>tis</w:t>
      </w:r>
      <w:r w:rsidR="003351AC" w:rsidRPr="00262BB7">
        <w:rPr>
          <w:rFonts w:cs="Arial"/>
          <w:szCs w:val="24"/>
        </w:rPr>
        <w:t xml:space="preserve"> </w:t>
      </w:r>
      <w:r w:rsidRPr="00262BB7">
        <w:rPr>
          <w:rFonts w:cs="Arial"/>
          <w:szCs w:val="24"/>
        </w:rPr>
        <w:t xml:space="preserve">peoples in </w:t>
      </w:r>
      <w:r w:rsidRPr="00262BB7">
        <w:rPr>
          <w:rFonts w:cs="Arial"/>
          <w:szCs w:val="24"/>
        </w:rPr>
        <w:lastRenderedPageBreak/>
        <w:t>Canada</w:t>
      </w:r>
      <w:r w:rsidR="00A377D8">
        <w:rPr>
          <w:rFonts w:cs="Arial"/>
          <w:szCs w:val="24"/>
        </w:rPr>
        <w:t>, including women and girls,</w:t>
      </w:r>
      <w:r w:rsidRPr="00262BB7">
        <w:rPr>
          <w:rFonts w:cs="Arial"/>
          <w:szCs w:val="24"/>
        </w:rPr>
        <w:t xml:space="preserve"> continue to be significantly disadvantaged in terms of education, employment and access to basic needs such as water, food security and housing. </w:t>
      </w:r>
      <w:bookmarkStart w:id="23" w:name="_Toc173158793"/>
      <w:bookmarkStart w:id="24" w:name="_Toc173229930"/>
      <w:bookmarkStart w:id="25" w:name="_Toc174371118"/>
      <w:bookmarkStart w:id="26" w:name="_Toc174373022"/>
      <w:bookmarkStart w:id="27" w:name="_Toc174371124"/>
      <w:bookmarkStart w:id="28" w:name="_Toc174373028"/>
      <w:bookmarkEnd w:id="23"/>
      <w:bookmarkEnd w:id="24"/>
      <w:bookmarkEnd w:id="25"/>
      <w:bookmarkEnd w:id="26"/>
      <w:bookmarkEnd w:id="27"/>
      <w:bookmarkEnd w:id="28"/>
    </w:p>
    <w:p w14:paraId="23BDA915" w14:textId="23919D90" w:rsidR="009A5CD4" w:rsidRPr="00E86C54" w:rsidRDefault="00210B90" w:rsidP="00C429D1">
      <w:pPr>
        <w:pStyle w:val="Heading2"/>
      </w:pPr>
      <w:bookmarkStart w:id="29" w:name="_Toc174373029"/>
      <w:r w:rsidRPr="00E86C54">
        <w:t>Equitable and adequate services</w:t>
      </w:r>
      <w:bookmarkEnd w:id="29"/>
    </w:p>
    <w:p w14:paraId="0BFD9E7C" w14:textId="102E7584" w:rsidR="009A5CD4" w:rsidRDefault="00982FEF" w:rsidP="009A5CD4">
      <w:pPr>
        <w:spacing w:line="240" w:lineRule="auto"/>
        <w:rPr>
          <w:rFonts w:cs="Arial"/>
          <w:szCs w:val="24"/>
        </w:rPr>
      </w:pPr>
      <w:r>
        <w:rPr>
          <w:rFonts w:cs="Arial"/>
          <w:szCs w:val="24"/>
          <w:lang w:val="en-US"/>
        </w:rPr>
        <w:t>T</w:t>
      </w:r>
      <w:r w:rsidR="009A5CD4" w:rsidRPr="00262BB7">
        <w:rPr>
          <w:rFonts w:cs="Arial"/>
          <w:szCs w:val="24"/>
          <w:lang w:val="en-US"/>
        </w:rPr>
        <w:t xml:space="preserve">he chronic underfunding of </w:t>
      </w:r>
      <w:r w:rsidR="000365FF">
        <w:rPr>
          <w:rFonts w:cs="Arial"/>
          <w:szCs w:val="24"/>
          <w:lang w:val="en-US"/>
        </w:rPr>
        <w:t xml:space="preserve">housing and </w:t>
      </w:r>
      <w:r w:rsidR="009A5CD4" w:rsidRPr="00262BB7">
        <w:rPr>
          <w:rFonts w:cs="Arial"/>
          <w:szCs w:val="24"/>
          <w:lang w:val="en-US"/>
        </w:rPr>
        <w:t>essential services</w:t>
      </w:r>
      <w:r w:rsidR="00D92DFB">
        <w:rPr>
          <w:rFonts w:cs="Arial"/>
          <w:szCs w:val="24"/>
          <w:lang w:val="en-US"/>
        </w:rPr>
        <w:t xml:space="preserve"> </w:t>
      </w:r>
      <w:r w:rsidR="009A5CD4" w:rsidRPr="00262BB7">
        <w:rPr>
          <w:rFonts w:cs="Arial"/>
          <w:szCs w:val="24"/>
          <w:lang w:val="en-US"/>
        </w:rPr>
        <w:t>and the many health disparities facing Indigenous communities can be attributed to the legacy of colonialism and the intergenerational effects of trauma and genocide.</w:t>
      </w:r>
      <w:r w:rsidRPr="00262BB7">
        <w:rPr>
          <w:rStyle w:val="FootnoteReference"/>
          <w:rFonts w:cs="Arial"/>
          <w:lang w:val="en-US"/>
        </w:rPr>
        <w:footnoteReference w:id="58"/>
      </w:r>
      <w:r>
        <w:rPr>
          <w:rFonts w:cs="Arial"/>
          <w:lang w:val="en-US"/>
        </w:rPr>
        <w:t xml:space="preserve"> The CHRC has received many complaints concerning service delivery, most notably </w:t>
      </w:r>
      <w:r w:rsidR="002120EE">
        <w:rPr>
          <w:rFonts w:cs="Arial"/>
          <w:lang w:val="en-US"/>
        </w:rPr>
        <w:t>concerning</w:t>
      </w:r>
      <w:r>
        <w:rPr>
          <w:rFonts w:cs="Arial"/>
          <w:lang w:val="en-US"/>
        </w:rPr>
        <w:t xml:space="preserve"> child and family services.</w:t>
      </w:r>
      <w:r w:rsidR="002120EE">
        <w:rPr>
          <w:rStyle w:val="FootnoteReference"/>
          <w:rFonts w:cs="Arial"/>
          <w:lang w:val="en-US"/>
        </w:rPr>
        <w:footnoteReference w:id="59"/>
      </w:r>
    </w:p>
    <w:p w14:paraId="04694B1B" w14:textId="7ED28603" w:rsidR="009B30DF" w:rsidRPr="00C25033" w:rsidRDefault="00210B90" w:rsidP="00C2503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 xml:space="preserve">Recommendation </w:t>
      </w:r>
      <w:r w:rsidR="00CB7542">
        <w:rPr>
          <w:rFonts w:cs="Arial"/>
          <w:b/>
          <w:bCs/>
          <w:szCs w:val="24"/>
        </w:rPr>
        <w:t>#1</w:t>
      </w:r>
      <w:r w:rsidR="00106054">
        <w:rPr>
          <w:rFonts w:cs="Arial"/>
          <w:b/>
          <w:bCs/>
          <w:szCs w:val="24"/>
        </w:rPr>
        <w:t>3</w:t>
      </w:r>
      <w:r>
        <w:rPr>
          <w:rFonts w:cs="Arial"/>
          <w:b/>
          <w:bCs/>
          <w:szCs w:val="24"/>
        </w:rPr>
        <w:t xml:space="preserve">: </w:t>
      </w:r>
      <w:r>
        <w:rPr>
          <w:rFonts w:cs="Arial"/>
          <w:szCs w:val="24"/>
        </w:rPr>
        <w:t>That Canada</w:t>
      </w:r>
      <w:r w:rsidR="0001363C">
        <w:rPr>
          <w:rFonts w:cs="Arial"/>
          <w:szCs w:val="24"/>
        </w:rPr>
        <w:t xml:space="preserve"> ensure</w:t>
      </w:r>
      <w:r w:rsidR="008D6942">
        <w:rPr>
          <w:rFonts w:cs="Arial"/>
          <w:szCs w:val="24"/>
        </w:rPr>
        <w:t>s</w:t>
      </w:r>
      <w:r w:rsidR="0001363C">
        <w:rPr>
          <w:rFonts w:cs="Arial"/>
          <w:szCs w:val="24"/>
        </w:rPr>
        <w:t xml:space="preserve"> that services for Indigenous women, girls and 2SLGBTQQIA+ people are equitable, adequate and culturally appropriate</w:t>
      </w:r>
      <w:bookmarkStart w:id="30" w:name="_Toc174371126"/>
      <w:bookmarkStart w:id="31" w:name="_Toc174373030"/>
      <w:bookmarkStart w:id="32" w:name="_Toc174371127"/>
      <w:bookmarkStart w:id="33" w:name="_Toc174373031"/>
      <w:bookmarkStart w:id="34" w:name="_Toc174371128"/>
      <w:bookmarkStart w:id="35" w:name="_Toc174373032"/>
      <w:bookmarkEnd w:id="30"/>
      <w:bookmarkEnd w:id="31"/>
      <w:bookmarkEnd w:id="32"/>
      <w:bookmarkEnd w:id="33"/>
      <w:bookmarkEnd w:id="34"/>
      <w:bookmarkEnd w:id="35"/>
    </w:p>
    <w:p w14:paraId="792CCC5C" w14:textId="2CEC6848" w:rsidR="00133C78" w:rsidRDefault="00133C78" w:rsidP="00C429D1">
      <w:pPr>
        <w:pStyle w:val="Heading2"/>
      </w:pPr>
      <w:bookmarkStart w:id="36" w:name="_Toc174373033"/>
      <w:r>
        <w:t>Discrimination in the Indian Act</w:t>
      </w:r>
      <w:bookmarkEnd w:id="36"/>
    </w:p>
    <w:p w14:paraId="45DF5478" w14:textId="1E54F3D3" w:rsidR="00917FD8" w:rsidRDefault="00B73ED4" w:rsidP="00467453">
      <w:pPr>
        <w:spacing w:line="240" w:lineRule="auto"/>
      </w:pPr>
      <w:r>
        <w:t>Sexist and discriminatory</w:t>
      </w:r>
      <w:r w:rsidRPr="00EE392A">
        <w:t xml:space="preserve"> </w:t>
      </w:r>
      <w:r w:rsidR="00133C78" w:rsidRPr="00EE392A">
        <w:t xml:space="preserve">registration provisions in the </w:t>
      </w:r>
      <w:r w:rsidR="00133C78" w:rsidRPr="00EE392A">
        <w:rPr>
          <w:iCs/>
        </w:rPr>
        <w:t>Indian Act</w:t>
      </w:r>
      <w:r w:rsidR="00917FD8">
        <w:rPr>
          <w:iCs/>
        </w:rPr>
        <w:t xml:space="preserve"> continue to</w:t>
      </w:r>
      <w:r w:rsidR="00133C78" w:rsidRPr="00EE392A">
        <w:t xml:space="preserve"> </w:t>
      </w:r>
      <w:r w:rsidR="00917FD8">
        <w:t>perpetuate gender-based inequities that prevent Indigenous women and their descendants from seeking reaffiliation with their natal band as a result of a male relative’s choice to enfranchise.</w:t>
      </w:r>
      <w:r w:rsidR="00133C78" w:rsidRPr="00EE392A">
        <w:rPr>
          <w:rStyle w:val="FootnoteReference"/>
        </w:rPr>
        <w:footnoteReference w:id="60"/>
      </w:r>
      <w:r w:rsidR="00917FD8" w:rsidRPr="00917FD8">
        <w:rPr>
          <w:rStyle w:val="FootnoteReference"/>
        </w:rPr>
        <w:t xml:space="preserve"> </w:t>
      </w:r>
      <w:r w:rsidR="00917FD8">
        <w:rPr>
          <w:rStyle w:val="FootnoteReference"/>
        </w:rPr>
        <w:footnoteReference w:id="61"/>
      </w:r>
      <w:r w:rsidR="00917FD8">
        <w:t xml:space="preserve"> In 2022</w:t>
      </w:r>
      <w:r w:rsidR="00A20E37">
        <w:t>,</w:t>
      </w:r>
      <w:r w:rsidR="00133C78">
        <w:t xml:space="preserve"> </w:t>
      </w:r>
      <w:r w:rsidR="00133C78" w:rsidRPr="00046E2E">
        <w:t>Bill C-38, An Act to amend the Indian Act (new registration entitlements)</w:t>
      </w:r>
      <w:r w:rsidR="00133C78" w:rsidRPr="00A20E37">
        <w:rPr>
          <w:vertAlign w:val="superscript"/>
        </w:rPr>
        <w:footnoteReference w:id="62"/>
      </w:r>
      <w:r w:rsidR="00133C78">
        <w:t xml:space="preserve"> </w:t>
      </w:r>
      <w:r w:rsidR="00917FD8">
        <w:t>was introduced to address this issue,</w:t>
      </w:r>
      <w:r w:rsidR="00070771">
        <w:t xml:space="preserve"> as per the 2022 recommendation of this Committee.</w:t>
      </w:r>
      <w:r w:rsidR="00070771">
        <w:rPr>
          <w:rStyle w:val="FootnoteReference"/>
        </w:rPr>
        <w:footnoteReference w:id="63"/>
      </w:r>
      <w:r w:rsidR="00070771">
        <w:t xml:space="preserve"> However,</w:t>
      </w:r>
      <w:r w:rsidR="00133C78">
        <w:t xml:space="preserve"> </w:t>
      </w:r>
      <w:r w:rsidR="002C7272">
        <w:t>at present</w:t>
      </w:r>
      <w:r w:rsidR="00A20E37">
        <w:t xml:space="preserve">, </w:t>
      </w:r>
      <w:r w:rsidR="002C7272">
        <w:t xml:space="preserve">passage of </w:t>
      </w:r>
      <w:r w:rsidR="00070771">
        <w:t>the legislation is</w:t>
      </w:r>
      <w:r w:rsidR="00A20E37">
        <w:t xml:space="preserve"> </w:t>
      </w:r>
      <w:r w:rsidR="00070771">
        <w:t>stalled</w:t>
      </w:r>
      <w:r w:rsidR="00133C78">
        <w:t>.</w:t>
      </w:r>
      <w:r w:rsidR="00070771">
        <w:rPr>
          <w:rStyle w:val="FootnoteReference"/>
        </w:rPr>
        <w:footnoteReference w:id="64"/>
      </w:r>
      <w:r w:rsidR="00133C78">
        <w:t xml:space="preserve"> </w:t>
      </w:r>
    </w:p>
    <w:p w14:paraId="2908950C" w14:textId="13591C6E" w:rsidR="00133C78" w:rsidRDefault="00917FD8" w:rsidP="006C1EA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lang w:val="en-US"/>
        </w:rPr>
      </w:pPr>
      <w:r>
        <w:rPr>
          <w:b/>
          <w:bCs/>
          <w:lang w:val="en-US"/>
        </w:rPr>
        <w:lastRenderedPageBreak/>
        <w:t xml:space="preserve">Recommendation #14: </w:t>
      </w:r>
      <w:r>
        <w:rPr>
          <w:lang w:val="en-US"/>
        </w:rPr>
        <w:t>That Canada</w:t>
      </w:r>
      <w:r w:rsidR="002C7272">
        <w:rPr>
          <w:lang w:val="en-US"/>
        </w:rPr>
        <w:t xml:space="preserve"> enact</w:t>
      </w:r>
      <w:r w:rsidR="008D6942">
        <w:rPr>
          <w:lang w:val="en-US"/>
        </w:rPr>
        <w:t>s</w:t>
      </w:r>
      <w:r w:rsidR="002C7272">
        <w:rPr>
          <w:lang w:val="en-US"/>
        </w:rPr>
        <w:t xml:space="preserve"> the</w:t>
      </w:r>
      <w:r w:rsidR="00070771">
        <w:rPr>
          <w:lang w:val="en-US"/>
        </w:rPr>
        <w:t xml:space="preserve"> legislation </w:t>
      </w:r>
      <w:r w:rsidR="002C7272">
        <w:rPr>
          <w:lang w:val="en-US"/>
        </w:rPr>
        <w:t>reforms necessary to</w:t>
      </w:r>
      <w:r w:rsidR="00070771">
        <w:rPr>
          <w:lang w:val="en-US"/>
        </w:rPr>
        <w:t xml:space="preserve"> </w:t>
      </w:r>
      <w:r>
        <w:rPr>
          <w:lang w:val="en-US"/>
        </w:rPr>
        <w:t>eliminate</w:t>
      </w:r>
      <w:r w:rsidR="002C7272">
        <w:rPr>
          <w:lang w:val="en-US"/>
        </w:rPr>
        <w:t xml:space="preserve"> discrimination</w:t>
      </w:r>
      <w:r>
        <w:rPr>
          <w:lang w:val="en-US"/>
        </w:rPr>
        <w:t xml:space="preserve"> in the Indian Act</w:t>
      </w:r>
      <w:r w:rsidR="00070771">
        <w:rPr>
          <w:lang w:val="en-US"/>
        </w:rPr>
        <w:t xml:space="preserve"> without delay</w:t>
      </w:r>
      <w:r>
        <w:rPr>
          <w:lang w:val="en-US"/>
        </w:rPr>
        <w:t>.</w:t>
      </w:r>
    </w:p>
    <w:p w14:paraId="1BB5B2B9" w14:textId="7892A710" w:rsidR="009A5CD4" w:rsidRPr="00133C78" w:rsidRDefault="009A5CD4" w:rsidP="00C429D1">
      <w:pPr>
        <w:pStyle w:val="Heading2"/>
      </w:pPr>
      <w:bookmarkStart w:id="37" w:name="_Toc174373034"/>
      <w:r w:rsidRPr="00133C78">
        <w:t>Coerced sterilization</w:t>
      </w:r>
      <w:bookmarkEnd w:id="37"/>
    </w:p>
    <w:p w14:paraId="2496151C" w14:textId="1E6969CA" w:rsidR="009A5CD4" w:rsidRDefault="009A5CD4" w:rsidP="009A5CD4">
      <w:pPr>
        <w:spacing w:line="240" w:lineRule="auto"/>
        <w:rPr>
          <w:rFonts w:cs="Arial"/>
          <w:szCs w:val="24"/>
          <w:lang w:val="en-US"/>
        </w:rPr>
      </w:pPr>
      <w:r w:rsidRPr="00262BB7">
        <w:rPr>
          <w:rFonts w:cs="Arial"/>
          <w:szCs w:val="24"/>
        </w:rPr>
        <w:t>Historically, policies of sterilization in Canada existed under the guise of public health, where sterilization was a condition of release from mental health institutions. These policies disproportionately affected Indigenous women</w:t>
      </w:r>
      <w:r w:rsidR="00322804">
        <w:rPr>
          <w:rFonts w:cs="Arial"/>
          <w:szCs w:val="24"/>
        </w:rPr>
        <w:t xml:space="preserve"> </w:t>
      </w:r>
      <w:r w:rsidRPr="00262BB7">
        <w:rPr>
          <w:rFonts w:cs="Arial"/>
          <w:szCs w:val="24"/>
        </w:rPr>
        <w:t>labeled as “feeble-minded” or “mentally defective”.</w:t>
      </w:r>
      <w:r w:rsidRPr="00262BB7">
        <w:rPr>
          <w:rStyle w:val="FootnoteReference"/>
          <w:rFonts w:cs="Arial"/>
        </w:rPr>
        <w:footnoteReference w:id="65"/>
      </w:r>
      <w:r w:rsidRPr="00262BB7">
        <w:rPr>
          <w:rFonts w:cs="Arial"/>
          <w:szCs w:val="24"/>
          <w:lang w:val="en-US"/>
        </w:rPr>
        <w:t xml:space="preserve"> </w:t>
      </w:r>
      <w:r>
        <w:rPr>
          <w:rFonts w:cs="Arial"/>
          <w:szCs w:val="24"/>
          <w:lang w:val="en-US"/>
        </w:rPr>
        <w:t xml:space="preserve">Other groups disproportionately </w:t>
      </w:r>
      <w:r w:rsidR="00CD5E4C">
        <w:rPr>
          <w:rFonts w:cs="Arial"/>
          <w:szCs w:val="24"/>
          <w:lang w:val="en-US"/>
        </w:rPr>
        <w:t>affected</w:t>
      </w:r>
      <w:r>
        <w:rPr>
          <w:rFonts w:cs="Arial"/>
          <w:szCs w:val="24"/>
          <w:lang w:val="en-US"/>
        </w:rPr>
        <w:t xml:space="preserve"> includ</w:t>
      </w:r>
      <w:r w:rsidR="00CF602D">
        <w:rPr>
          <w:rFonts w:cs="Arial"/>
          <w:szCs w:val="24"/>
          <w:lang w:val="en-US"/>
        </w:rPr>
        <w:t>e</w:t>
      </w:r>
      <w:r>
        <w:rPr>
          <w:rFonts w:cs="Arial"/>
          <w:szCs w:val="24"/>
          <w:lang w:val="en-US"/>
        </w:rPr>
        <w:t xml:space="preserve"> </w:t>
      </w:r>
      <w:r w:rsidRPr="005C4609">
        <w:rPr>
          <w:rFonts w:cs="Arial"/>
          <w:szCs w:val="24"/>
          <w:lang w:val="en-US"/>
        </w:rPr>
        <w:t xml:space="preserve">Black and racialized women, </w:t>
      </w:r>
      <w:r w:rsidR="00E12B99">
        <w:rPr>
          <w:rFonts w:cs="Arial"/>
          <w:szCs w:val="24"/>
          <w:lang w:val="en-US"/>
        </w:rPr>
        <w:t>people</w:t>
      </w:r>
      <w:r w:rsidR="00E12B99" w:rsidRPr="005C4609">
        <w:rPr>
          <w:rFonts w:cs="Arial"/>
          <w:szCs w:val="24"/>
          <w:lang w:val="en-US"/>
        </w:rPr>
        <w:t xml:space="preserve"> </w:t>
      </w:r>
      <w:r w:rsidRPr="005C4609">
        <w:rPr>
          <w:rFonts w:cs="Arial"/>
          <w:szCs w:val="24"/>
          <w:lang w:val="en-US"/>
        </w:rPr>
        <w:t>with disabilities, intersex children and</w:t>
      </w:r>
      <w:r>
        <w:rPr>
          <w:rFonts w:cs="Arial"/>
          <w:szCs w:val="24"/>
          <w:lang w:val="en-US"/>
        </w:rPr>
        <w:t xml:space="preserve"> </w:t>
      </w:r>
      <w:r w:rsidRPr="005C4609">
        <w:rPr>
          <w:rFonts w:cs="Arial"/>
          <w:szCs w:val="24"/>
          <w:lang w:val="en-US"/>
        </w:rPr>
        <w:t xml:space="preserve">institutionalized </w:t>
      </w:r>
      <w:r w:rsidR="00E12B99">
        <w:rPr>
          <w:rFonts w:cs="Arial"/>
          <w:szCs w:val="24"/>
          <w:lang w:val="en-US"/>
        </w:rPr>
        <w:t>people</w:t>
      </w:r>
      <w:r>
        <w:rPr>
          <w:rFonts w:cs="Arial"/>
          <w:szCs w:val="24"/>
          <w:lang w:val="en-US"/>
        </w:rPr>
        <w:t>.</w:t>
      </w:r>
      <w:r>
        <w:rPr>
          <w:rStyle w:val="FootnoteReference"/>
          <w:rFonts w:cs="Arial"/>
          <w:szCs w:val="24"/>
          <w:lang w:val="en-US"/>
        </w:rPr>
        <w:footnoteReference w:id="66"/>
      </w:r>
      <w:r>
        <w:rPr>
          <w:rFonts w:cs="Arial"/>
          <w:szCs w:val="24"/>
          <w:lang w:val="en-US"/>
        </w:rPr>
        <w:t xml:space="preserve"> </w:t>
      </w:r>
      <w:r w:rsidR="00E12B99">
        <w:rPr>
          <w:rFonts w:cs="Arial"/>
          <w:szCs w:val="24"/>
          <w:lang w:val="en-US"/>
        </w:rPr>
        <w:t>Survivors of</w:t>
      </w:r>
      <w:r w:rsidRPr="00262BB7">
        <w:rPr>
          <w:rFonts w:cs="Arial"/>
          <w:szCs w:val="24"/>
          <w:lang w:val="en-US"/>
        </w:rPr>
        <w:t xml:space="preserve"> coerced sterilization have been found to suffer from </w:t>
      </w:r>
      <w:r w:rsidR="00430954">
        <w:rPr>
          <w:rFonts w:cs="Arial"/>
          <w:szCs w:val="24"/>
          <w:lang w:val="en-US"/>
        </w:rPr>
        <w:t>associated</w:t>
      </w:r>
      <w:r w:rsidRPr="00262BB7">
        <w:rPr>
          <w:rFonts w:cs="Arial"/>
          <w:szCs w:val="24"/>
          <w:lang w:val="en-US"/>
        </w:rPr>
        <w:t xml:space="preserve"> </w:t>
      </w:r>
      <w:proofErr w:type="gramStart"/>
      <w:r w:rsidRPr="00262BB7">
        <w:rPr>
          <w:rFonts w:cs="Arial"/>
          <w:szCs w:val="24"/>
          <w:lang w:val="en-US"/>
        </w:rPr>
        <w:t>ailments, and</w:t>
      </w:r>
      <w:proofErr w:type="gramEnd"/>
      <w:r w:rsidRPr="00262BB7">
        <w:rPr>
          <w:rFonts w:cs="Arial"/>
          <w:szCs w:val="24"/>
          <w:lang w:val="en-US"/>
        </w:rPr>
        <w:t xml:space="preserve"> </w:t>
      </w:r>
      <w:r w:rsidR="00AB308B">
        <w:rPr>
          <w:rFonts w:cs="Arial"/>
          <w:szCs w:val="24"/>
          <w:lang w:val="en-US"/>
        </w:rPr>
        <w:t>may</w:t>
      </w:r>
      <w:r w:rsidRPr="00262BB7">
        <w:rPr>
          <w:rFonts w:cs="Arial"/>
          <w:szCs w:val="24"/>
          <w:lang w:val="en-US"/>
        </w:rPr>
        <w:t xml:space="preserve"> </w:t>
      </w:r>
      <w:r w:rsidR="00CD5E4C">
        <w:rPr>
          <w:rFonts w:cs="Arial"/>
          <w:szCs w:val="24"/>
          <w:lang w:val="en-US"/>
        </w:rPr>
        <w:t>avoid</w:t>
      </w:r>
      <w:r w:rsidRPr="00262BB7">
        <w:rPr>
          <w:rFonts w:cs="Arial"/>
          <w:szCs w:val="24"/>
          <w:lang w:val="en-US"/>
        </w:rPr>
        <w:t xml:space="preserve"> preventive healthcare services due to profound mistrust of the healthcare system and its authorities.</w:t>
      </w:r>
      <w:r w:rsidRPr="00262BB7">
        <w:rPr>
          <w:rStyle w:val="FootnoteReference"/>
          <w:rFonts w:cs="Arial"/>
          <w:lang w:val="en-US"/>
        </w:rPr>
        <w:footnoteReference w:id="67"/>
      </w:r>
      <w:r>
        <w:rPr>
          <w:rFonts w:cs="Arial"/>
          <w:szCs w:val="24"/>
          <w:lang w:val="en-US"/>
        </w:rPr>
        <w:t xml:space="preserve"> </w:t>
      </w:r>
    </w:p>
    <w:p w14:paraId="37775D7A" w14:textId="7E8F9482" w:rsidR="00BD2679" w:rsidRPr="00B73ED4" w:rsidRDefault="00430954" w:rsidP="009A5CD4">
      <w:pPr>
        <w:spacing w:line="240" w:lineRule="auto"/>
        <w:rPr>
          <w:rFonts w:cs="Arial"/>
          <w:szCs w:val="24"/>
        </w:rPr>
      </w:pPr>
      <w:r>
        <w:rPr>
          <w:rFonts w:cs="Arial"/>
          <w:szCs w:val="24"/>
          <w:lang w:val="en-US"/>
        </w:rPr>
        <w:t>A</w:t>
      </w:r>
      <w:r w:rsidR="00BD2679" w:rsidRPr="00BD2679">
        <w:rPr>
          <w:rFonts w:cs="Arial"/>
          <w:szCs w:val="24"/>
          <w:lang w:val="en-US"/>
        </w:rPr>
        <w:t xml:space="preserve"> 2022 report from the Standing Senate Committee on Human Rights recommended</w:t>
      </w:r>
      <w:r w:rsidR="00F04898">
        <w:rPr>
          <w:rFonts w:cs="Arial"/>
          <w:szCs w:val="24"/>
          <w:lang w:val="en-US"/>
        </w:rPr>
        <w:t xml:space="preserve"> that Canada take </w:t>
      </w:r>
      <w:r w:rsidR="00F04898" w:rsidRPr="00F04898">
        <w:rPr>
          <w:rFonts w:cs="Arial"/>
          <w:szCs w:val="24"/>
          <w:lang w:val="en-US"/>
        </w:rPr>
        <w:t>legislative and policy measures to prevent forced or coerced sterilization, including by taking steps to address racism, ableism and other forms of discrimination in health care settings, and providing support to people seeking recourse and care.</w:t>
      </w:r>
      <w:r w:rsidR="003655E8">
        <w:rPr>
          <w:rStyle w:val="FootnoteReference"/>
          <w:rFonts w:cs="Arial"/>
          <w:szCs w:val="24"/>
          <w:lang w:val="en-US"/>
        </w:rPr>
        <w:footnoteReference w:id="68"/>
      </w:r>
      <w:r w:rsidRPr="00430954">
        <w:rPr>
          <w:rStyle w:val="FootnoteReference"/>
          <w:rFonts w:cs="Arial"/>
          <w:szCs w:val="24"/>
        </w:rPr>
        <w:t xml:space="preserve"> </w:t>
      </w:r>
    </w:p>
    <w:p w14:paraId="39A8E8C4" w14:textId="268AA1F4" w:rsidR="00D92DFB" w:rsidRDefault="00D92DFB" w:rsidP="00924908">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 xml:space="preserve">Recommendation </w:t>
      </w:r>
      <w:r w:rsidR="00CB7542">
        <w:rPr>
          <w:rFonts w:cs="Arial"/>
          <w:b/>
          <w:bCs/>
          <w:szCs w:val="24"/>
          <w:lang w:val="en-US"/>
        </w:rPr>
        <w:t>#1</w:t>
      </w:r>
      <w:r w:rsidR="00467453">
        <w:rPr>
          <w:rFonts w:cs="Arial"/>
          <w:b/>
          <w:bCs/>
          <w:szCs w:val="24"/>
          <w:lang w:val="en-US"/>
        </w:rPr>
        <w:t>5</w:t>
      </w:r>
      <w:r>
        <w:rPr>
          <w:rFonts w:cs="Arial"/>
          <w:b/>
          <w:bCs/>
          <w:szCs w:val="24"/>
          <w:lang w:val="en-US"/>
        </w:rPr>
        <w:t xml:space="preserve">: </w:t>
      </w:r>
      <w:r w:rsidR="0001363C" w:rsidRPr="0025644A">
        <w:rPr>
          <w:rFonts w:cs="Arial"/>
          <w:szCs w:val="24"/>
          <w:lang w:val="en-US"/>
        </w:rPr>
        <w:t>That Canada</w:t>
      </w:r>
      <w:r w:rsidR="0001363C">
        <w:rPr>
          <w:rFonts w:cs="Arial"/>
          <w:b/>
          <w:bCs/>
          <w:szCs w:val="24"/>
          <w:lang w:val="en-US"/>
        </w:rPr>
        <w:t xml:space="preserve"> </w:t>
      </w:r>
      <w:r w:rsidR="004D267F">
        <w:rPr>
          <w:rFonts w:cs="Arial"/>
          <w:szCs w:val="24"/>
          <w:lang w:val="en-US"/>
        </w:rPr>
        <w:t>implement</w:t>
      </w:r>
      <w:r w:rsidR="008D6942">
        <w:rPr>
          <w:rFonts w:cs="Arial"/>
          <w:szCs w:val="24"/>
          <w:lang w:val="en-US"/>
        </w:rPr>
        <w:t>s</w:t>
      </w:r>
      <w:r w:rsidR="00F04898">
        <w:rPr>
          <w:rFonts w:cs="Arial"/>
          <w:szCs w:val="24"/>
          <w:lang w:val="en-US"/>
        </w:rPr>
        <w:t xml:space="preserve"> </w:t>
      </w:r>
      <w:r w:rsidR="0031028A">
        <w:rPr>
          <w:rFonts w:cs="Arial"/>
          <w:szCs w:val="24"/>
          <w:lang w:val="en-US"/>
        </w:rPr>
        <w:t xml:space="preserve">the recommendations of the Standing Senate Committee on Human Rights </w:t>
      </w:r>
      <w:r w:rsidR="00F67073">
        <w:rPr>
          <w:rFonts w:cs="Arial"/>
          <w:szCs w:val="24"/>
          <w:lang w:val="en-US"/>
        </w:rPr>
        <w:t xml:space="preserve">to </w:t>
      </w:r>
      <w:r w:rsidR="00B73ED4">
        <w:rPr>
          <w:rFonts w:cs="Arial"/>
          <w:szCs w:val="24"/>
          <w:lang w:val="en-US"/>
        </w:rPr>
        <w:t xml:space="preserve">end forced </w:t>
      </w:r>
      <w:r w:rsidR="00090DDE">
        <w:rPr>
          <w:rFonts w:cs="Arial"/>
          <w:szCs w:val="24"/>
          <w:lang w:val="en-US"/>
        </w:rPr>
        <w:t>or</w:t>
      </w:r>
      <w:r w:rsidR="00B73ED4">
        <w:rPr>
          <w:rFonts w:cs="Arial"/>
          <w:szCs w:val="24"/>
          <w:lang w:val="en-US"/>
        </w:rPr>
        <w:t xml:space="preserve"> coerced sterilization and </w:t>
      </w:r>
      <w:r w:rsidR="00F67073">
        <w:rPr>
          <w:rFonts w:cs="Arial"/>
          <w:szCs w:val="24"/>
          <w:lang w:val="en-US"/>
        </w:rPr>
        <w:t>ensure</w:t>
      </w:r>
      <w:r w:rsidR="00F04898">
        <w:rPr>
          <w:rFonts w:cs="Arial"/>
          <w:szCs w:val="24"/>
          <w:lang w:val="en-US"/>
        </w:rPr>
        <w:t xml:space="preserve"> redress</w:t>
      </w:r>
      <w:r w:rsidR="00B73ED4">
        <w:rPr>
          <w:rFonts w:cs="Arial"/>
          <w:szCs w:val="24"/>
          <w:lang w:val="en-US"/>
        </w:rPr>
        <w:t>, support</w:t>
      </w:r>
      <w:r w:rsidR="00F04898">
        <w:rPr>
          <w:rFonts w:cs="Arial"/>
          <w:szCs w:val="24"/>
          <w:lang w:val="en-US"/>
        </w:rPr>
        <w:t xml:space="preserve"> and justice for survivors</w:t>
      </w:r>
      <w:r w:rsidR="00B73ED4">
        <w:rPr>
          <w:rFonts w:cs="Arial"/>
          <w:szCs w:val="24"/>
          <w:lang w:val="en-US"/>
        </w:rPr>
        <w:t>.</w:t>
      </w:r>
      <w:r w:rsidR="00F67073">
        <w:rPr>
          <w:rFonts w:cs="Arial"/>
          <w:szCs w:val="24"/>
          <w:lang w:val="en-US"/>
        </w:rPr>
        <w:t xml:space="preserve"> </w:t>
      </w:r>
    </w:p>
    <w:p w14:paraId="6FCED0C2" w14:textId="7D538727" w:rsidR="009A5CD4" w:rsidRPr="00E86C54" w:rsidRDefault="009A5CD4" w:rsidP="00C429D1">
      <w:pPr>
        <w:pStyle w:val="Heading2"/>
      </w:pPr>
      <w:bookmarkStart w:id="38" w:name="_Toc174373035"/>
      <w:r w:rsidRPr="00133C78">
        <w:t>Trafficking</w:t>
      </w:r>
      <w:r w:rsidR="0064363F" w:rsidRPr="00E86C54">
        <w:t>, exploitation</w:t>
      </w:r>
      <w:r w:rsidRPr="00E86C54">
        <w:t xml:space="preserve"> and violence</w:t>
      </w:r>
      <w:bookmarkEnd w:id="38"/>
    </w:p>
    <w:p w14:paraId="0225927E" w14:textId="25FC2717" w:rsidR="00A86A37" w:rsidRPr="00E86C54" w:rsidRDefault="007A2D15" w:rsidP="009A5CD4">
      <w:pPr>
        <w:spacing w:line="240" w:lineRule="auto"/>
        <w:rPr>
          <w:rFonts w:cs="Arial"/>
          <w:szCs w:val="24"/>
        </w:rPr>
      </w:pPr>
      <w:r w:rsidRPr="00A86A37">
        <w:rPr>
          <w:rFonts w:cs="Arial"/>
          <w:szCs w:val="24"/>
          <w:lang w:val="en-US"/>
        </w:rPr>
        <w:t>Indigenous women, girls, Two-Spirit, and gender</w:t>
      </w:r>
      <w:r>
        <w:rPr>
          <w:rFonts w:cs="Arial"/>
          <w:szCs w:val="24"/>
          <w:lang w:val="en-US"/>
        </w:rPr>
        <w:t xml:space="preserve"> </w:t>
      </w:r>
      <w:r w:rsidRPr="00A86A37">
        <w:rPr>
          <w:rFonts w:cs="Arial"/>
          <w:szCs w:val="24"/>
          <w:lang w:val="en-US"/>
        </w:rPr>
        <w:t>diverse people continue to go missing and are murdered in an ongoing epidemic of violence.</w:t>
      </w:r>
      <w:r>
        <w:rPr>
          <w:rStyle w:val="FootnoteReference"/>
          <w:rFonts w:cs="Arial"/>
          <w:szCs w:val="24"/>
          <w:lang w:val="en-US"/>
        </w:rPr>
        <w:footnoteReference w:id="69"/>
      </w:r>
      <w:r w:rsidRPr="00A86A37">
        <w:rPr>
          <w:rFonts w:cs="Arial"/>
          <w:szCs w:val="24"/>
          <w:lang w:val="en-US"/>
        </w:rPr>
        <w:t xml:space="preserve"> </w:t>
      </w:r>
      <w:r w:rsidR="009A5CD4" w:rsidRPr="003614EE">
        <w:rPr>
          <w:rFonts w:cs="Arial"/>
          <w:szCs w:val="24"/>
        </w:rPr>
        <w:t>Indigenous women and girls</w:t>
      </w:r>
      <w:r w:rsidR="00CA0BFD">
        <w:rPr>
          <w:rFonts w:cs="Arial"/>
          <w:szCs w:val="24"/>
        </w:rPr>
        <w:t xml:space="preserve"> </w:t>
      </w:r>
      <w:r w:rsidR="009A5CD4" w:rsidRPr="003614EE">
        <w:rPr>
          <w:rFonts w:cs="Arial"/>
          <w:szCs w:val="24"/>
        </w:rPr>
        <w:t xml:space="preserve">face significantly higher rates of sexual violence compared to any other group in </w:t>
      </w:r>
      <w:r w:rsidR="009A5CD4" w:rsidRPr="003614EE">
        <w:rPr>
          <w:rFonts w:cs="Arial"/>
          <w:szCs w:val="24"/>
        </w:rPr>
        <w:lastRenderedPageBreak/>
        <w:t>Canada,</w:t>
      </w:r>
      <w:r w:rsidR="009A5CD4" w:rsidRPr="003614EE">
        <w:rPr>
          <w:rStyle w:val="FootnoteReference"/>
          <w:rFonts w:cs="Arial"/>
          <w:szCs w:val="24"/>
        </w:rPr>
        <w:footnoteReference w:id="70"/>
      </w:r>
      <w:r w:rsidR="009A5CD4" w:rsidRPr="003614EE">
        <w:rPr>
          <w:rFonts w:cs="Arial"/>
          <w:szCs w:val="24"/>
        </w:rPr>
        <w:t xml:space="preserve"> </w:t>
      </w:r>
      <w:r w:rsidR="009A5CD4">
        <w:rPr>
          <w:rFonts w:cs="Arial"/>
          <w:szCs w:val="24"/>
        </w:rPr>
        <w:t>along with people with disabilities,</w:t>
      </w:r>
      <w:r w:rsidR="009A5CD4">
        <w:rPr>
          <w:rStyle w:val="FootnoteReference"/>
          <w:rFonts w:cs="Arial"/>
          <w:szCs w:val="24"/>
        </w:rPr>
        <w:footnoteReference w:id="71"/>
      </w:r>
      <w:r w:rsidR="009A5CD4" w:rsidRPr="003614EE">
        <w:rPr>
          <w:rFonts w:cs="Arial"/>
          <w:szCs w:val="24"/>
        </w:rPr>
        <w:t xml:space="preserve"> </w:t>
      </w:r>
      <w:r w:rsidR="00AB308B">
        <w:rPr>
          <w:rFonts w:cs="Arial"/>
          <w:szCs w:val="24"/>
        </w:rPr>
        <w:t xml:space="preserve">are </w:t>
      </w:r>
      <w:r w:rsidR="009A5CD4" w:rsidRPr="003614EE">
        <w:rPr>
          <w:rFonts w:cs="Arial"/>
          <w:szCs w:val="24"/>
        </w:rPr>
        <w:t xml:space="preserve">among the populations most vulnerable to trafficking </w:t>
      </w:r>
      <w:r w:rsidR="00A377D8">
        <w:rPr>
          <w:rFonts w:cs="Arial"/>
          <w:szCs w:val="24"/>
        </w:rPr>
        <w:t>and</w:t>
      </w:r>
      <w:r w:rsidR="00A377D8" w:rsidRPr="003614EE">
        <w:rPr>
          <w:rFonts w:cs="Arial"/>
          <w:szCs w:val="24"/>
        </w:rPr>
        <w:t xml:space="preserve"> </w:t>
      </w:r>
      <w:r w:rsidR="009A5CD4" w:rsidRPr="003614EE">
        <w:rPr>
          <w:rFonts w:cs="Arial"/>
          <w:szCs w:val="24"/>
        </w:rPr>
        <w:t>sexual exploitation</w:t>
      </w:r>
      <w:r w:rsidR="00A377D8">
        <w:rPr>
          <w:rFonts w:cs="Arial"/>
          <w:szCs w:val="24"/>
        </w:rPr>
        <w:t>.</w:t>
      </w:r>
      <w:r w:rsidR="009A5CD4" w:rsidRPr="003614EE">
        <w:rPr>
          <w:rStyle w:val="FootnoteReference"/>
          <w:rFonts w:cs="Arial"/>
          <w:szCs w:val="24"/>
        </w:rPr>
        <w:footnoteReference w:id="72"/>
      </w:r>
      <w:r w:rsidR="009A5CD4" w:rsidRPr="003614EE">
        <w:rPr>
          <w:rFonts w:cs="Arial"/>
          <w:szCs w:val="24"/>
        </w:rPr>
        <w:t xml:space="preserve"> </w:t>
      </w:r>
    </w:p>
    <w:p w14:paraId="5F9E9C6C" w14:textId="061F250F" w:rsidR="00B458E0" w:rsidRPr="00CD785F" w:rsidRDefault="00E12B99" w:rsidP="0056541D">
      <w:pPr>
        <w:spacing w:line="240" w:lineRule="auto"/>
        <w:rPr>
          <w:rFonts w:cs="Arial"/>
          <w:szCs w:val="24"/>
        </w:rPr>
      </w:pPr>
      <w:r>
        <w:rPr>
          <w:rFonts w:cs="Arial"/>
          <w:szCs w:val="24"/>
        </w:rPr>
        <w:t>A</w:t>
      </w:r>
      <w:r w:rsidR="00A86A37" w:rsidRPr="00A86A37">
        <w:rPr>
          <w:rFonts w:cs="Arial"/>
          <w:szCs w:val="24"/>
        </w:rPr>
        <w:t xml:space="preserve"> history of mistreatment</w:t>
      </w:r>
      <w:r w:rsidR="00CF602D">
        <w:rPr>
          <w:rFonts w:cs="Arial"/>
          <w:szCs w:val="24"/>
        </w:rPr>
        <w:t xml:space="preserve"> and discrimination </w:t>
      </w:r>
      <w:r w:rsidR="00A86A37" w:rsidRPr="00A86A37">
        <w:rPr>
          <w:rFonts w:cs="Arial"/>
          <w:szCs w:val="24"/>
        </w:rPr>
        <w:t>throughout the policing and justice systems</w:t>
      </w:r>
      <w:r>
        <w:rPr>
          <w:rFonts w:cs="Arial"/>
          <w:szCs w:val="24"/>
        </w:rPr>
        <w:t>, where c</w:t>
      </w:r>
      <w:r w:rsidR="00A86A37" w:rsidRPr="00A86A37">
        <w:rPr>
          <w:rFonts w:cs="Arial"/>
          <w:szCs w:val="24"/>
        </w:rPr>
        <w:t>alls for justice are often fruitless and disregarded</w:t>
      </w:r>
      <w:r>
        <w:rPr>
          <w:rFonts w:cs="Arial"/>
          <w:szCs w:val="24"/>
        </w:rPr>
        <w:t>,</w:t>
      </w:r>
      <w:r w:rsidR="00791E6B" w:rsidRPr="00A86A37">
        <w:rPr>
          <w:rFonts w:cs="Arial"/>
          <w:szCs w:val="24"/>
          <w:vertAlign w:val="superscript"/>
        </w:rPr>
        <w:footnoteReference w:id="73"/>
      </w:r>
      <w:r w:rsidR="00791E6B" w:rsidRPr="00A86A37">
        <w:rPr>
          <w:rFonts w:cs="Arial"/>
          <w:szCs w:val="24"/>
        </w:rPr>
        <w:t xml:space="preserve"> </w:t>
      </w:r>
      <w:r w:rsidR="00A86A37" w:rsidRPr="00A86A37">
        <w:rPr>
          <w:rFonts w:cs="Arial"/>
          <w:szCs w:val="24"/>
        </w:rPr>
        <w:t>contribute</w:t>
      </w:r>
      <w:r w:rsidR="00A377D8">
        <w:rPr>
          <w:rFonts w:cs="Arial"/>
          <w:szCs w:val="24"/>
        </w:rPr>
        <w:t>s</w:t>
      </w:r>
      <w:r w:rsidR="00A86A37" w:rsidRPr="00A86A37">
        <w:rPr>
          <w:rFonts w:cs="Arial"/>
          <w:szCs w:val="24"/>
        </w:rPr>
        <w:t xml:space="preserve"> to a relationship of distrust </w:t>
      </w:r>
      <w:r w:rsidR="00A377D8">
        <w:rPr>
          <w:rFonts w:cs="Arial"/>
          <w:szCs w:val="24"/>
        </w:rPr>
        <w:t>with</w:t>
      </w:r>
      <w:r w:rsidR="00A86A37" w:rsidRPr="00A86A37">
        <w:rPr>
          <w:rFonts w:cs="Arial"/>
          <w:szCs w:val="24"/>
        </w:rPr>
        <w:t xml:space="preserve"> </w:t>
      </w:r>
      <w:r w:rsidR="007A2D15">
        <w:rPr>
          <w:rFonts w:cs="Arial"/>
          <w:szCs w:val="24"/>
        </w:rPr>
        <w:t>these systems</w:t>
      </w:r>
      <w:r>
        <w:rPr>
          <w:rFonts w:cs="Arial"/>
          <w:szCs w:val="24"/>
        </w:rPr>
        <w:t xml:space="preserve">. This </w:t>
      </w:r>
      <w:r w:rsidR="00A86A37" w:rsidRPr="00A86A37">
        <w:rPr>
          <w:rFonts w:cs="Arial"/>
          <w:szCs w:val="24"/>
        </w:rPr>
        <w:t xml:space="preserve">can negatively impact </w:t>
      </w:r>
      <w:r w:rsidR="00A377D8">
        <w:rPr>
          <w:rFonts w:cs="Arial"/>
          <w:szCs w:val="24"/>
        </w:rPr>
        <w:t>victims’</w:t>
      </w:r>
      <w:r w:rsidR="00A377D8" w:rsidRPr="00A86A37">
        <w:rPr>
          <w:rFonts w:cs="Arial"/>
          <w:szCs w:val="24"/>
        </w:rPr>
        <w:t xml:space="preserve"> </w:t>
      </w:r>
      <w:r w:rsidR="00A86A37" w:rsidRPr="00A86A37">
        <w:rPr>
          <w:rFonts w:cs="Arial"/>
          <w:szCs w:val="24"/>
        </w:rPr>
        <w:t xml:space="preserve">access </w:t>
      </w:r>
      <w:r w:rsidR="00A377D8">
        <w:rPr>
          <w:rFonts w:cs="Arial"/>
          <w:szCs w:val="24"/>
        </w:rPr>
        <w:t xml:space="preserve">to </w:t>
      </w:r>
      <w:r w:rsidR="00A86A37" w:rsidRPr="00A86A37">
        <w:rPr>
          <w:rFonts w:cs="Arial"/>
          <w:szCs w:val="24"/>
        </w:rPr>
        <w:t>justice.</w:t>
      </w:r>
      <w:r w:rsidR="00DB15A8">
        <w:rPr>
          <w:rFonts w:cs="Arial"/>
          <w:szCs w:val="24"/>
        </w:rPr>
        <w:t xml:space="preserve"> </w:t>
      </w:r>
      <w:r w:rsidR="00CD785F">
        <w:rPr>
          <w:rFonts w:cs="Arial"/>
          <w:szCs w:val="24"/>
        </w:rPr>
        <w:t>Survivors</w:t>
      </w:r>
      <w:r w:rsidR="008F6576">
        <w:rPr>
          <w:rFonts w:cs="Arial"/>
          <w:szCs w:val="24"/>
        </w:rPr>
        <w:t xml:space="preserve"> of violence and exploitation</w:t>
      </w:r>
      <w:r w:rsidR="00CD785F">
        <w:rPr>
          <w:rFonts w:cs="Arial"/>
          <w:szCs w:val="24"/>
        </w:rPr>
        <w:t xml:space="preserve"> may also face unique compounded b</w:t>
      </w:r>
      <w:r w:rsidR="00CD785F" w:rsidRPr="00565773">
        <w:rPr>
          <w:rFonts w:cs="Arial"/>
          <w:szCs w:val="24"/>
        </w:rPr>
        <w:t xml:space="preserve">arriers to justice depending upon their lived experience, the resources available to them, and the combination of factors of oppression that they may face. </w:t>
      </w:r>
      <w:r w:rsidR="00B458E0">
        <w:rPr>
          <w:rFonts w:cs="Arial"/>
          <w:szCs w:val="24"/>
        </w:rPr>
        <w:t xml:space="preserve">The </w:t>
      </w:r>
      <w:r w:rsidR="00E07E17">
        <w:rPr>
          <w:rFonts w:cs="Arial"/>
          <w:szCs w:val="24"/>
        </w:rPr>
        <w:t>Final Report of the National Inquiry into Missing and Murdered Indigenous Women and Girls</w:t>
      </w:r>
      <w:r w:rsidR="000048CF">
        <w:rPr>
          <w:rFonts w:cs="Arial"/>
          <w:szCs w:val="24"/>
        </w:rPr>
        <w:t xml:space="preserve"> </w:t>
      </w:r>
      <w:r w:rsidR="00982FEF">
        <w:rPr>
          <w:rFonts w:cs="Arial"/>
          <w:szCs w:val="24"/>
        </w:rPr>
        <w:t xml:space="preserve">made </w:t>
      </w:r>
      <w:proofErr w:type="gramStart"/>
      <w:r w:rsidR="00982FEF">
        <w:rPr>
          <w:rFonts w:cs="Arial"/>
          <w:szCs w:val="24"/>
        </w:rPr>
        <w:t>a number of</w:t>
      </w:r>
      <w:proofErr w:type="gramEnd"/>
      <w:r w:rsidR="00982FEF">
        <w:rPr>
          <w:rFonts w:cs="Arial"/>
          <w:szCs w:val="24"/>
        </w:rPr>
        <w:t xml:space="preserve"> recommendations</w:t>
      </w:r>
      <w:r w:rsidR="00982FEF">
        <w:rPr>
          <w:rStyle w:val="FootnoteReference"/>
          <w:rFonts w:cs="Arial"/>
          <w:szCs w:val="24"/>
        </w:rPr>
        <w:footnoteReference w:id="74"/>
      </w:r>
      <w:r w:rsidR="00B458E0">
        <w:rPr>
          <w:rFonts w:cs="Arial"/>
          <w:szCs w:val="24"/>
        </w:rPr>
        <w:t xml:space="preserve"> </w:t>
      </w:r>
      <w:r w:rsidR="00206A3C">
        <w:rPr>
          <w:rFonts w:cs="Arial"/>
          <w:szCs w:val="24"/>
        </w:rPr>
        <w:t>to address these barriers</w:t>
      </w:r>
      <w:r w:rsidR="00982FEF">
        <w:rPr>
          <w:rFonts w:cs="Arial"/>
          <w:szCs w:val="24"/>
        </w:rPr>
        <w:t xml:space="preserve"> that have not been fully implemented to date</w:t>
      </w:r>
      <w:r w:rsidR="001E6301">
        <w:rPr>
          <w:rFonts w:cs="Arial"/>
          <w:szCs w:val="24"/>
        </w:rPr>
        <w:t xml:space="preserve">. </w:t>
      </w:r>
    </w:p>
    <w:p w14:paraId="46E9480C" w14:textId="6809D93D" w:rsidR="0064363F" w:rsidRPr="0064363F" w:rsidRDefault="003E7933" w:rsidP="00A377D8">
      <w:pPr>
        <w:spacing w:line="240" w:lineRule="auto"/>
        <w:rPr>
          <w:rFonts w:cs="Arial"/>
          <w:szCs w:val="24"/>
          <w:lang w:val="en-US"/>
        </w:rPr>
      </w:pPr>
      <w:r>
        <w:rPr>
          <w:rFonts w:cs="Arial"/>
          <w:szCs w:val="24"/>
          <w:lang w:val="en-US"/>
        </w:rPr>
        <w:t xml:space="preserve">In 2023, </w:t>
      </w:r>
      <w:r w:rsidR="0064363F" w:rsidRPr="0064363F">
        <w:rPr>
          <w:rFonts w:cs="Arial"/>
          <w:szCs w:val="24"/>
          <w:lang w:val="en-US"/>
        </w:rPr>
        <w:t xml:space="preserve">Canada appointed a Ministerial Special Representative </w:t>
      </w:r>
      <w:r w:rsidR="002B0CDC">
        <w:rPr>
          <w:rFonts w:cs="Arial"/>
          <w:szCs w:val="24"/>
          <w:lang w:val="en-US"/>
        </w:rPr>
        <w:t>who</w:t>
      </w:r>
      <w:r w:rsidR="0064363F" w:rsidRPr="0064363F">
        <w:rPr>
          <w:rFonts w:cs="Arial"/>
          <w:szCs w:val="24"/>
          <w:lang w:val="en-US"/>
        </w:rPr>
        <w:t xml:space="preserve"> </w:t>
      </w:r>
      <w:r w:rsidR="00BB1D2F">
        <w:rPr>
          <w:rFonts w:cs="Arial"/>
          <w:szCs w:val="24"/>
          <w:lang w:val="en-US"/>
        </w:rPr>
        <w:t xml:space="preserve">provided comprehensive recommendations </w:t>
      </w:r>
      <w:r>
        <w:rPr>
          <w:rFonts w:cs="Arial"/>
          <w:szCs w:val="24"/>
          <w:lang w:val="en-US"/>
        </w:rPr>
        <w:t xml:space="preserve">on </w:t>
      </w:r>
      <w:r w:rsidR="00AB6537" w:rsidRPr="00AB6537">
        <w:rPr>
          <w:rFonts w:cs="Arial"/>
          <w:szCs w:val="24"/>
        </w:rPr>
        <w:t>the creation of an Indigenous and Human Rights Ombudsperson</w:t>
      </w:r>
      <w:r>
        <w:rPr>
          <w:rFonts w:cs="Arial"/>
          <w:szCs w:val="24"/>
          <w:lang w:val="en-US"/>
        </w:rPr>
        <w:t xml:space="preserve"> </w:t>
      </w:r>
      <w:r w:rsidR="00BB1D2F">
        <w:rPr>
          <w:rFonts w:cs="Arial"/>
          <w:szCs w:val="24"/>
          <w:lang w:val="en-US"/>
        </w:rPr>
        <w:t>to the Government in a</w:t>
      </w:r>
      <w:r w:rsidR="00B31EC7">
        <w:rPr>
          <w:rFonts w:cs="Arial"/>
          <w:szCs w:val="24"/>
          <w:lang w:val="en-US"/>
        </w:rPr>
        <w:t xml:space="preserve"> </w:t>
      </w:r>
      <w:r w:rsidR="0049720A">
        <w:rPr>
          <w:rFonts w:cs="Arial"/>
          <w:szCs w:val="24"/>
          <w:lang w:val="en-US"/>
        </w:rPr>
        <w:t xml:space="preserve">June </w:t>
      </w:r>
      <w:r w:rsidR="002B0CDC">
        <w:rPr>
          <w:rFonts w:cs="Arial"/>
          <w:szCs w:val="24"/>
          <w:lang w:val="en-US"/>
        </w:rPr>
        <w:t xml:space="preserve">2024 </w:t>
      </w:r>
      <w:r w:rsidR="0064363F" w:rsidRPr="0064363F">
        <w:rPr>
          <w:rFonts w:cs="Arial"/>
          <w:szCs w:val="24"/>
          <w:lang w:val="en-US"/>
        </w:rPr>
        <w:t>report</w:t>
      </w:r>
      <w:r w:rsidR="00791E6B">
        <w:rPr>
          <w:rFonts w:cs="Arial"/>
          <w:szCs w:val="24"/>
          <w:lang w:val="en-US"/>
        </w:rPr>
        <w:t>.</w:t>
      </w:r>
      <w:r w:rsidR="0064363F" w:rsidRPr="0064363F">
        <w:rPr>
          <w:rFonts w:cs="Arial"/>
          <w:szCs w:val="24"/>
          <w:vertAlign w:val="superscript"/>
          <w:lang w:val="en-US"/>
        </w:rPr>
        <w:footnoteReference w:id="75"/>
      </w:r>
      <w:r w:rsidR="00A32D6C">
        <w:rPr>
          <w:rFonts w:cs="Arial"/>
          <w:szCs w:val="24"/>
          <w:lang w:val="en-US"/>
        </w:rPr>
        <w:t xml:space="preserve"> The CHRC </w:t>
      </w:r>
      <w:r w:rsidR="00A32D6C" w:rsidRPr="00A32D6C">
        <w:rPr>
          <w:rFonts w:cs="Arial"/>
          <w:szCs w:val="24"/>
          <w:lang w:val="en-US"/>
        </w:rPr>
        <w:t>fully supports the creation of</w:t>
      </w:r>
      <w:r w:rsidR="00A32D6C">
        <w:rPr>
          <w:rFonts w:cs="Arial"/>
          <w:szCs w:val="24"/>
          <w:lang w:val="en-US"/>
        </w:rPr>
        <w:t xml:space="preserve"> </w:t>
      </w:r>
      <w:r w:rsidR="0049720A">
        <w:rPr>
          <w:rFonts w:cs="Arial"/>
          <w:szCs w:val="24"/>
          <w:lang w:val="en-US"/>
        </w:rPr>
        <w:t xml:space="preserve">specific </w:t>
      </w:r>
      <w:r w:rsidR="00A32D6C" w:rsidRPr="00A32D6C">
        <w:rPr>
          <w:rFonts w:cs="Arial"/>
          <w:szCs w:val="24"/>
          <w:lang w:val="en-US"/>
        </w:rPr>
        <w:t>human rights mechanisms for Indigenous peoples in Canada</w:t>
      </w:r>
      <w:r w:rsidR="00A32D6C">
        <w:rPr>
          <w:rFonts w:cs="Arial"/>
          <w:szCs w:val="24"/>
          <w:lang w:val="en-US"/>
        </w:rPr>
        <w:t>.</w:t>
      </w:r>
      <w:r w:rsidR="00C22507">
        <w:rPr>
          <w:rStyle w:val="FootnoteReference"/>
          <w:rFonts w:cs="Arial"/>
          <w:szCs w:val="24"/>
          <w:lang w:val="en-US"/>
        </w:rPr>
        <w:footnoteReference w:id="76"/>
      </w:r>
    </w:p>
    <w:p w14:paraId="6C6BEA4C" w14:textId="59626D64" w:rsidR="00AB352F" w:rsidRDefault="00AB352F" w:rsidP="001C4D0C">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872C81">
        <w:rPr>
          <w:rFonts w:cs="Arial"/>
          <w:b/>
          <w:bCs/>
          <w:szCs w:val="24"/>
          <w:lang w:val="en-US"/>
        </w:rPr>
        <w:lastRenderedPageBreak/>
        <w:t xml:space="preserve">Recommendation </w:t>
      </w:r>
      <w:r w:rsidR="00CB7542">
        <w:rPr>
          <w:rFonts w:cs="Arial"/>
          <w:b/>
          <w:bCs/>
          <w:szCs w:val="24"/>
          <w:lang w:val="en-US"/>
        </w:rPr>
        <w:t>#1</w:t>
      </w:r>
      <w:r w:rsidR="00E600A3">
        <w:rPr>
          <w:rFonts w:cs="Arial"/>
          <w:b/>
          <w:bCs/>
          <w:szCs w:val="24"/>
          <w:lang w:val="en-US"/>
        </w:rPr>
        <w:t>6</w:t>
      </w:r>
      <w:r w:rsidRPr="00872C81">
        <w:rPr>
          <w:rFonts w:cs="Arial"/>
          <w:b/>
          <w:bCs/>
          <w:szCs w:val="24"/>
          <w:lang w:val="en-US"/>
        </w:rPr>
        <w:t>:</w:t>
      </w:r>
      <w:r>
        <w:rPr>
          <w:rFonts w:cs="Arial"/>
          <w:szCs w:val="24"/>
          <w:lang w:val="en-US"/>
        </w:rPr>
        <w:t xml:space="preserve"> That Canada fully </w:t>
      </w:r>
      <w:r w:rsidR="00B31EC7">
        <w:rPr>
          <w:rFonts w:cs="Arial"/>
          <w:szCs w:val="24"/>
          <w:lang w:val="en-US"/>
        </w:rPr>
        <w:t>implement</w:t>
      </w:r>
      <w:r w:rsidR="008D6942">
        <w:rPr>
          <w:rFonts w:cs="Arial"/>
          <w:szCs w:val="24"/>
          <w:lang w:val="en-US"/>
        </w:rPr>
        <w:t>s</w:t>
      </w:r>
      <w:r w:rsidR="00B31EC7">
        <w:rPr>
          <w:rFonts w:cs="Arial"/>
          <w:szCs w:val="24"/>
          <w:lang w:val="en-US"/>
        </w:rPr>
        <w:t xml:space="preserve"> </w:t>
      </w:r>
      <w:r>
        <w:rPr>
          <w:rFonts w:cs="Arial"/>
          <w:szCs w:val="24"/>
          <w:lang w:val="en-US"/>
        </w:rPr>
        <w:t xml:space="preserve">the recommendations of the Final Report of the National Inquiry into Missing and Murdered Indigenous Women and Girls. </w:t>
      </w:r>
    </w:p>
    <w:p w14:paraId="1CCA1D3B" w14:textId="2EA5C51C" w:rsidR="0064363F" w:rsidRDefault="0064363F" w:rsidP="001C4D0C">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64363F">
        <w:rPr>
          <w:rFonts w:cs="Arial"/>
          <w:b/>
          <w:bCs/>
          <w:szCs w:val="24"/>
          <w:lang w:val="en-US"/>
        </w:rPr>
        <w:t xml:space="preserve">Recommendation </w:t>
      </w:r>
      <w:r w:rsidR="00CB7542">
        <w:rPr>
          <w:rFonts w:cs="Arial"/>
          <w:b/>
          <w:bCs/>
          <w:szCs w:val="24"/>
          <w:lang w:val="en-US"/>
        </w:rPr>
        <w:t>#1</w:t>
      </w:r>
      <w:r w:rsidR="00E600A3">
        <w:rPr>
          <w:rFonts w:cs="Arial"/>
          <w:b/>
          <w:bCs/>
          <w:szCs w:val="24"/>
          <w:lang w:val="en-US"/>
        </w:rPr>
        <w:t>7</w:t>
      </w:r>
      <w:r w:rsidRPr="0064363F">
        <w:rPr>
          <w:rFonts w:cs="Arial"/>
          <w:b/>
          <w:bCs/>
          <w:szCs w:val="24"/>
          <w:lang w:val="en-US"/>
        </w:rPr>
        <w:t>:</w:t>
      </w:r>
      <w:r w:rsidRPr="0064363F">
        <w:rPr>
          <w:rFonts w:cs="Arial"/>
          <w:szCs w:val="24"/>
          <w:lang w:val="en-US"/>
        </w:rPr>
        <w:t xml:space="preserve"> That Canada </w:t>
      </w:r>
      <w:r w:rsidR="007E6831">
        <w:rPr>
          <w:rFonts w:cs="Arial"/>
          <w:szCs w:val="24"/>
          <w:lang w:val="en-US"/>
        </w:rPr>
        <w:t>implement</w:t>
      </w:r>
      <w:r w:rsidR="008D6942">
        <w:rPr>
          <w:rFonts w:cs="Arial"/>
          <w:szCs w:val="24"/>
          <w:lang w:val="en-US"/>
        </w:rPr>
        <w:t>s</w:t>
      </w:r>
      <w:r w:rsidR="007E6831" w:rsidRPr="0064363F">
        <w:rPr>
          <w:rFonts w:cs="Arial"/>
          <w:szCs w:val="24"/>
          <w:lang w:val="en-US"/>
        </w:rPr>
        <w:t xml:space="preserve"> </w:t>
      </w:r>
      <w:r w:rsidRPr="0064363F">
        <w:rPr>
          <w:rFonts w:cs="Arial"/>
          <w:szCs w:val="24"/>
          <w:lang w:val="en-US"/>
        </w:rPr>
        <w:t xml:space="preserve">the recommendations </w:t>
      </w:r>
      <w:r w:rsidR="007E6831">
        <w:rPr>
          <w:rFonts w:cs="Arial"/>
          <w:szCs w:val="24"/>
          <w:lang w:val="en-US"/>
        </w:rPr>
        <w:t xml:space="preserve">made by </w:t>
      </w:r>
      <w:r w:rsidRPr="0064363F">
        <w:rPr>
          <w:rFonts w:cs="Arial"/>
          <w:szCs w:val="24"/>
          <w:lang w:val="en-US"/>
        </w:rPr>
        <w:t xml:space="preserve">the Ministerial Special Representative </w:t>
      </w:r>
      <w:r w:rsidR="005876B0">
        <w:rPr>
          <w:rFonts w:cs="Arial"/>
          <w:szCs w:val="24"/>
          <w:lang w:val="en-US"/>
        </w:rPr>
        <w:t>without delay</w:t>
      </w:r>
      <w:r w:rsidRPr="0064363F">
        <w:rPr>
          <w:rFonts w:cs="Arial"/>
          <w:szCs w:val="24"/>
          <w:lang w:val="en-US"/>
        </w:rPr>
        <w:t>.</w:t>
      </w:r>
      <w:r w:rsidR="008A30E4">
        <w:rPr>
          <w:rFonts w:cs="Arial"/>
          <w:szCs w:val="24"/>
          <w:lang w:val="en-US"/>
        </w:rPr>
        <w:t xml:space="preserve"> </w:t>
      </w:r>
    </w:p>
    <w:p w14:paraId="0C15FD16" w14:textId="77777777" w:rsidR="001E6301" w:rsidRPr="00872C81" w:rsidRDefault="001E6301" w:rsidP="001E6301">
      <w:pPr>
        <w:spacing w:after="0" w:line="240" w:lineRule="auto"/>
        <w:rPr>
          <w:rFonts w:cs="Arial"/>
          <w:szCs w:val="24"/>
        </w:rPr>
      </w:pPr>
    </w:p>
    <w:p w14:paraId="4BCAF139" w14:textId="56EBCF0F" w:rsidR="008F2070" w:rsidRDefault="008F2070" w:rsidP="008F2070">
      <w:pPr>
        <w:pStyle w:val="Heading1"/>
      </w:pPr>
      <w:bookmarkStart w:id="40" w:name="_Toc174373036"/>
      <w:r>
        <w:t>WOMEN WITH DISABILITIES</w:t>
      </w:r>
      <w:bookmarkEnd w:id="40"/>
      <w:r>
        <w:t xml:space="preserve"> </w:t>
      </w:r>
    </w:p>
    <w:p w14:paraId="756C4439" w14:textId="761036F5" w:rsidR="000C4AC8" w:rsidRPr="000C4AC8" w:rsidRDefault="008B2C99" w:rsidP="000C4AC8">
      <w:pPr>
        <w:spacing w:line="240" w:lineRule="auto"/>
        <w:rPr>
          <w:rFonts w:cs="Arial"/>
          <w:szCs w:val="24"/>
        </w:rPr>
      </w:pPr>
      <w:r>
        <w:rPr>
          <w:rFonts w:cs="Arial"/>
          <w:szCs w:val="24"/>
          <w:lang w:val="en-US"/>
        </w:rPr>
        <w:t>T</w:t>
      </w:r>
      <w:r w:rsidR="000C4AC8" w:rsidRPr="000C4AC8">
        <w:rPr>
          <w:rFonts w:cs="Arial"/>
          <w:szCs w:val="24"/>
          <w:lang w:val="en-US"/>
        </w:rPr>
        <w:t>he prevalence of disability</w:t>
      </w:r>
      <w:r>
        <w:rPr>
          <w:rFonts w:cs="Arial"/>
          <w:szCs w:val="24"/>
          <w:lang w:val="en-US"/>
        </w:rPr>
        <w:t xml:space="preserve"> in Canada</w:t>
      </w:r>
      <w:r w:rsidR="000C4AC8" w:rsidRPr="000C4AC8">
        <w:rPr>
          <w:rFonts w:cs="Arial"/>
          <w:szCs w:val="24"/>
          <w:lang w:val="en-US"/>
        </w:rPr>
        <w:t xml:space="preserve"> is higher for women compared to men (30% versus 24%)</w:t>
      </w:r>
      <w:r w:rsidR="00845CC7">
        <w:rPr>
          <w:rFonts w:cs="Arial"/>
          <w:szCs w:val="24"/>
          <w:lang w:val="en-US"/>
        </w:rPr>
        <w:t>.</w:t>
      </w:r>
      <w:r w:rsidR="000C4AC8" w:rsidRPr="000C4AC8">
        <w:rPr>
          <w:rFonts w:cs="Arial"/>
          <w:szCs w:val="24"/>
          <w:vertAlign w:val="superscript"/>
          <w:lang w:val="en-US"/>
        </w:rPr>
        <w:footnoteReference w:id="77"/>
      </w:r>
      <w:r w:rsidR="000C4AC8" w:rsidRPr="000C4AC8">
        <w:rPr>
          <w:rFonts w:cs="Arial"/>
          <w:szCs w:val="24"/>
          <w:lang w:val="en-US"/>
        </w:rPr>
        <w:t xml:space="preserve"> Women with disabilities experience systemic barriers </w:t>
      </w:r>
      <w:r>
        <w:rPr>
          <w:rFonts w:cs="Arial"/>
          <w:szCs w:val="24"/>
          <w:lang w:val="en-US"/>
        </w:rPr>
        <w:t>and</w:t>
      </w:r>
      <w:r w:rsidR="000C4AC8" w:rsidRPr="000C4AC8">
        <w:rPr>
          <w:rFonts w:cs="Arial"/>
          <w:szCs w:val="24"/>
          <w:lang w:val="en-US"/>
        </w:rPr>
        <w:t xml:space="preserve"> soci</w:t>
      </w:r>
      <w:r>
        <w:rPr>
          <w:rFonts w:cs="Arial"/>
          <w:szCs w:val="24"/>
          <w:lang w:val="en-US"/>
        </w:rPr>
        <w:t>o-</w:t>
      </w:r>
      <w:r w:rsidR="000C4AC8" w:rsidRPr="000C4AC8">
        <w:rPr>
          <w:rFonts w:cs="Arial"/>
          <w:szCs w:val="24"/>
          <w:lang w:val="en-US"/>
        </w:rPr>
        <w:t>economic disadvantage that negatively impacts their well-being.</w:t>
      </w:r>
      <w:r w:rsidR="000C4AC8" w:rsidRPr="000C4AC8" w:rsidDel="00C66EEA">
        <w:rPr>
          <w:rFonts w:cs="Arial"/>
          <w:szCs w:val="24"/>
          <w:lang w:val="en-US"/>
        </w:rPr>
        <w:t xml:space="preserve"> </w:t>
      </w:r>
    </w:p>
    <w:p w14:paraId="5582370B" w14:textId="22D08698" w:rsidR="000C4AC8" w:rsidRPr="000C4AC8" w:rsidRDefault="003F0196" w:rsidP="000C4AC8">
      <w:pPr>
        <w:spacing w:line="240" w:lineRule="auto"/>
        <w:rPr>
          <w:rFonts w:cs="Arial"/>
          <w:szCs w:val="24"/>
          <w:lang w:val="en-US"/>
        </w:rPr>
      </w:pPr>
      <w:r>
        <w:rPr>
          <w:rFonts w:cs="Arial"/>
          <w:szCs w:val="24"/>
          <w:lang w:val="en-US"/>
        </w:rPr>
        <w:t>They have</w:t>
      </w:r>
      <w:r w:rsidR="000C4AC8" w:rsidRPr="000C4AC8">
        <w:rPr>
          <w:rFonts w:cs="Arial"/>
          <w:szCs w:val="24"/>
          <w:lang w:val="en-US"/>
        </w:rPr>
        <w:t xml:space="preserve"> a pronounced income gap and higher rates of poverty</w:t>
      </w:r>
      <w:r w:rsidR="00845CC7">
        <w:rPr>
          <w:rFonts w:cs="Arial"/>
          <w:szCs w:val="24"/>
          <w:lang w:val="en-US"/>
        </w:rPr>
        <w:t xml:space="preserve"> </w:t>
      </w:r>
      <w:r>
        <w:rPr>
          <w:rFonts w:cs="Arial"/>
          <w:szCs w:val="24"/>
          <w:lang w:val="en-US"/>
        </w:rPr>
        <w:t>compared</w:t>
      </w:r>
      <w:r w:rsidR="001E6301">
        <w:rPr>
          <w:rFonts w:cs="Arial"/>
          <w:szCs w:val="24"/>
          <w:lang w:val="en-US"/>
        </w:rPr>
        <w:t xml:space="preserve"> to</w:t>
      </w:r>
      <w:r w:rsidR="00845CC7">
        <w:rPr>
          <w:rFonts w:cs="Arial"/>
          <w:szCs w:val="24"/>
          <w:lang w:val="en-US"/>
        </w:rPr>
        <w:t xml:space="preserve"> other groups</w:t>
      </w:r>
      <w:r>
        <w:rPr>
          <w:rFonts w:cs="Arial"/>
          <w:szCs w:val="24"/>
          <w:lang w:val="en-US"/>
        </w:rPr>
        <w:t xml:space="preserve"> due to barriers in education and employment</w:t>
      </w:r>
      <w:r w:rsidR="000C4AC8" w:rsidRPr="000C4AC8">
        <w:rPr>
          <w:rFonts w:cs="Arial"/>
          <w:szCs w:val="24"/>
          <w:lang w:val="en-US"/>
        </w:rPr>
        <w:t xml:space="preserve">. During an engagement event </w:t>
      </w:r>
      <w:r>
        <w:rPr>
          <w:rFonts w:cs="Arial"/>
          <w:szCs w:val="24"/>
          <w:lang w:val="en-US"/>
        </w:rPr>
        <w:t xml:space="preserve">with the CHRC </w:t>
      </w:r>
      <w:r w:rsidR="000C4AC8" w:rsidRPr="000C4AC8">
        <w:rPr>
          <w:rFonts w:cs="Arial"/>
          <w:szCs w:val="24"/>
          <w:lang w:val="en-US"/>
        </w:rPr>
        <w:t xml:space="preserve">in 2022, women with disabilities </w:t>
      </w:r>
      <w:r>
        <w:rPr>
          <w:rFonts w:cs="Arial"/>
          <w:szCs w:val="24"/>
          <w:lang w:val="en-US"/>
        </w:rPr>
        <w:t xml:space="preserve">shared that they </w:t>
      </w:r>
      <w:r w:rsidR="000C4AC8" w:rsidRPr="000C4AC8">
        <w:rPr>
          <w:rFonts w:cs="Arial"/>
          <w:szCs w:val="24"/>
          <w:lang w:val="en-US"/>
        </w:rPr>
        <w:t xml:space="preserve">often </w:t>
      </w:r>
      <w:r>
        <w:rPr>
          <w:rFonts w:cs="Arial"/>
          <w:szCs w:val="24"/>
          <w:lang w:val="en-US"/>
        </w:rPr>
        <w:t>feel</w:t>
      </w:r>
      <w:r w:rsidR="000C4AC8" w:rsidRPr="000C4AC8">
        <w:rPr>
          <w:rFonts w:cs="Arial"/>
          <w:szCs w:val="24"/>
          <w:lang w:val="en-US"/>
        </w:rPr>
        <w:t xml:space="preserve"> financially and legally disempowered</w:t>
      </w:r>
      <w:r>
        <w:rPr>
          <w:rFonts w:cs="Arial"/>
          <w:szCs w:val="24"/>
          <w:lang w:val="en-US"/>
        </w:rPr>
        <w:t>, which limits their independence, security and autonomy</w:t>
      </w:r>
      <w:r w:rsidR="000C4AC8" w:rsidRPr="000C4AC8">
        <w:rPr>
          <w:rFonts w:cs="Arial"/>
          <w:szCs w:val="24"/>
          <w:lang w:val="en-US"/>
        </w:rPr>
        <w:t>.</w:t>
      </w:r>
      <w:r w:rsidR="000C4AC8" w:rsidRPr="000C4AC8">
        <w:rPr>
          <w:rFonts w:cs="Arial"/>
          <w:szCs w:val="24"/>
          <w:vertAlign w:val="superscript"/>
          <w:lang w:val="en-US"/>
        </w:rPr>
        <w:footnoteReference w:id="78"/>
      </w:r>
      <w:r w:rsidR="000C4AC8" w:rsidRPr="000C4AC8">
        <w:rPr>
          <w:rFonts w:cs="Arial"/>
          <w:szCs w:val="24"/>
          <w:lang w:val="en-US"/>
        </w:rPr>
        <w:t xml:space="preserve"> </w:t>
      </w:r>
      <w:r>
        <w:rPr>
          <w:rFonts w:cs="Arial"/>
          <w:szCs w:val="24"/>
          <w:lang w:val="en-US"/>
        </w:rPr>
        <w:t>For example, t</w:t>
      </w:r>
      <w:r w:rsidR="00845CC7" w:rsidRPr="00845CC7">
        <w:rPr>
          <w:rFonts w:cs="Arial"/>
          <w:szCs w:val="24"/>
          <w:lang w:val="en-US"/>
        </w:rPr>
        <w:t xml:space="preserve">hey risk having their </w:t>
      </w:r>
      <w:r>
        <w:rPr>
          <w:rFonts w:cs="Arial"/>
          <w:szCs w:val="24"/>
          <w:lang w:val="en-US"/>
        </w:rPr>
        <w:t>income supports</w:t>
      </w:r>
      <w:r w:rsidR="00845CC7" w:rsidRPr="00845CC7">
        <w:rPr>
          <w:rFonts w:cs="Arial"/>
          <w:szCs w:val="24"/>
          <w:lang w:val="en-US"/>
        </w:rPr>
        <w:t xml:space="preserve"> </w:t>
      </w:r>
      <w:r w:rsidR="00E302EB">
        <w:rPr>
          <w:rFonts w:cs="Arial"/>
          <w:szCs w:val="24"/>
          <w:lang w:val="en-US"/>
        </w:rPr>
        <w:t xml:space="preserve">reduced </w:t>
      </w:r>
      <w:r w:rsidR="00845CC7" w:rsidRPr="00845CC7">
        <w:rPr>
          <w:rFonts w:cs="Arial"/>
          <w:szCs w:val="24"/>
          <w:lang w:val="en-US"/>
        </w:rPr>
        <w:t>if they</w:t>
      </w:r>
      <w:r w:rsidR="00B31EC7">
        <w:rPr>
          <w:rFonts w:cs="Arial"/>
          <w:szCs w:val="24"/>
          <w:lang w:val="en-US"/>
        </w:rPr>
        <w:t xml:space="preserve"> choose to</w:t>
      </w:r>
      <w:r w:rsidR="00845CC7" w:rsidRPr="00845CC7">
        <w:rPr>
          <w:rFonts w:cs="Arial"/>
          <w:szCs w:val="24"/>
          <w:lang w:val="en-US"/>
        </w:rPr>
        <w:t xml:space="preserve"> </w:t>
      </w:r>
      <w:r>
        <w:rPr>
          <w:rFonts w:cs="Arial"/>
          <w:szCs w:val="24"/>
          <w:lang w:val="en-US"/>
        </w:rPr>
        <w:t>live</w:t>
      </w:r>
      <w:r w:rsidR="00845CC7" w:rsidRPr="00845CC7">
        <w:rPr>
          <w:rFonts w:cs="Arial"/>
          <w:szCs w:val="24"/>
          <w:lang w:val="en-US"/>
        </w:rPr>
        <w:t xml:space="preserve"> with their partners. </w:t>
      </w:r>
      <w:r w:rsidR="00EA7997">
        <w:rPr>
          <w:rFonts w:cs="Arial"/>
          <w:szCs w:val="24"/>
          <w:lang w:val="en-US"/>
        </w:rPr>
        <w:t>Conversely, t</w:t>
      </w:r>
      <w:r>
        <w:rPr>
          <w:rFonts w:cs="Arial"/>
          <w:szCs w:val="24"/>
          <w:lang w:val="en-US"/>
        </w:rPr>
        <w:t xml:space="preserve">hey may have difficulty leaving abusive relationships if they are </w:t>
      </w:r>
      <w:r w:rsidR="00845CC7" w:rsidRPr="00845CC7">
        <w:rPr>
          <w:rFonts w:cs="Arial"/>
          <w:szCs w:val="24"/>
          <w:lang w:val="en-US"/>
        </w:rPr>
        <w:t>financially dependent on their partners.</w:t>
      </w:r>
      <w:r w:rsidR="00845CC7">
        <w:rPr>
          <w:rFonts w:cs="Arial"/>
          <w:szCs w:val="24"/>
          <w:lang w:val="en-US"/>
        </w:rPr>
        <w:t xml:space="preserve"> </w:t>
      </w:r>
      <w:r>
        <w:rPr>
          <w:rFonts w:cs="Arial"/>
          <w:szCs w:val="24"/>
          <w:lang w:val="en-US"/>
        </w:rPr>
        <w:t>Women with disabilities also face barriers in the</w:t>
      </w:r>
      <w:r w:rsidR="00845CC7">
        <w:rPr>
          <w:rFonts w:cs="Arial"/>
          <w:szCs w:val="24"/>
          <w:lang w:val="en-US"/>
        </w:rPr>
        <w:t xml:space="preserve"> legal system</w:t>
      </w:r>
      <w:r w:rsidR="004C3636">
        <w:rPr>
          <w:rFonts w:cs="Arial"/>
          <w:szCs w:val="24"/>
          <w:lang w:val="en-US"/>
        </w:rPr>
        <w:t xml:space="preserve">, </w:t>
      </w:r>
      <w:r w:rsidR="004C3636" w:rsidRPr="004C3636">
        <w:rPr>
          <w:rFonts w:cs="Arial"/>
          <w:szCs w:val="24"/>
          <w:lang w:val="en-US"/>
        </w:rPr>
        <w:t xml:space="preserve">such as </w:t>
      </w:r>
      <w:r>
        <w:rPr>
          <w:rFonts w:cs="Arial"/>
          <w:szCs w:val="24"/>
          <w:lang w:val="en-US"/>
        </w:rPr>
        <w:t xml:space="preserve">communication barriers and ableist </w:t>
      </w:r>
      <w:r w:rsidR="004C3636" w:rsidRPr="004C3636">
        <w:rPr>
          <w:rFonts w:cs="Arial"/>
          <w:szCs w:val="24"/>
          <w:lang w:val="en-US"/>
        </w:rPr>
        <w:t>assumptions about their capacity</w:t>
      </w:r>
      <w:r w:rsidR="00845CC7">
        <w:rPr>
          <w:rFonts w:cs="Arial"/>
          <w:szCs w:val="24"/>
          <w:lang w:val="en-US"/>
        </w:rPr>
        <w:t xml:space="preserve">. </w:t>
      </w:r>
      <w:r w:rsidR="006368AA">
        <w:rPr>
          <w:rFonts w:cs="Arial"/>
          <w:szCs w:val="24"/>
          <w:lang w:val="en-US"/>
        </w:rPr>
        <w:t>These factors</w:t>
      </w:r>
      <w:r w:rsidR="000C4AC8" w:rsidRPr="000C4AC8">
        <w:rPr>
          <w:rFonts w:cs="Arial"/>
          <w:szCs w:val="24"/>
          <w:lang w:val="en-US"/>
        </w:rPr>
        <w:t xml:space="preserve"> increase their vulnerability to violence and exploitation, including trafficking</w:t>
      </w:r>
      <w:r w:rsidR="00062D6B">
        <w:rPr>
          <w:rFonts w:cs="Arial"/>
          <w:szCs w:val="24"/>
          <w:lang w:val="en-US"/>
        </w:rPr>
        <w:t>.</w:t>
      </w:r>
      <w:r>
        <w:rPr>
          <w:rFonts w:cs="Arial"/>
          <w:szCs w:val="24"/>
          <w:lang w:val="en-US"/>
        </w:rPr>
        <w:t xml:space="preserve"> These risks are heightened</w:t>
      </w:r>
      <w:r w:rsidR="000C4AC8" w:rsidRPr="000C4AC8">
        <w:rPr>
          <w:rFonts w:cs="Arial"/>
          <w:szCs w:val="24"/>
          <w:lang w:val="en-US"/>
        </w:rPr>
        <w:t xml:space="preserve"> for people </w:t>
      </w:r>
      <w:r>
        <w:rPr>
          <w:rFonts w:cs="Arial"/>
          <w:szCs w:val="24"/>
          <w:lang w:val="en-US"/>
        </w:rPr>
        <w:t>experiencing</w:t>
      </w:r>
      <w:r w:rsidR="000C4AC8" w:rsidRPr="000C4AC8">
        <w:rPr>
          <w:rFonts w:cs="Arial"/>
          <w:szCs w:val="24"/>
          <w:lang w:val="en-US"/>
        </w:rPr>
        <w:t xml:space="preserve"> intersectional forms of oppression.</w:t>
      </w:r>
      <w:r w:rsidR="00062D6B" w:rsidRPr="00062D6B">
        <w:rPr>
          <w:rFonts w:cs="Arial"/>
          <w:szCs w:val="24"/>
          <w:vertAlign w:val="superscript"/>
          <w:lang w:val="en-US"/>
        </w:rPr>
        <w:footnoteReference w:id="79"/>
      </w:r>
    </w:p>
    <w:p w14:paraId="7F8686F8" w14:textId="58E0E915" w:rsidR="000C4AC8" w:rsidRPr="000C4AC8" w:rsidRDefault="000C4AC8" w:rsidP="001C4D0C">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0C4AC8">
        <w:rPr>
          <w:rFonts w:cs="Arial"/>
          <w:b/>
          <w:bCs/>
          <w:szCs w:val="24"/>
          <w:lang w:val="en-US"/>
        </w:rPr>
        <w:t xml:space="preserve">Recommendation </w:t>
      </w:r>
      <w:r w:rsidR="00CB7542">
        <w:rPr>
          <w:rFonts w:cs="Arial"/>
          <w:b/>
          <w:bCs/>
          <w:szCs w:val="24"/>
          <w:lang w:val="en-US"/>
        </w:rPr>
        <w:t>#1</w:t>
      </w:r>
      <w:r w:rsidR="00E600A3">
        <w:rPr>
          <w:rFonts w:cs="Arial"/>
          <w:b/>
          <w:bCs/>
          <w:szCs w:val="24"/>
          <w:lang w:val="en-US"/>
        </w:rPr>
        <w:t>8</w:t>
      </w:r>
      <w:r w:rsidRPr="000C4AC8">
        <w:rPr>
          <w:rFonts w:cs="Arial"/>
          <w:b/>
          <w:bCs/>
          <w:szCs w:val="24"/>
          <w:lang w:val="en-US"/>
        </w:rPr>
        <w:t xml:space="preserve">: </w:t>
      </w:r>
      <w:r w:rsidRPr="000C4AC8">
        <w:rPr>
          <w:rFonts w:cs="Arial"/>
          <w:szCs w:val="24"/>
          <w:lang w:val="en-US"/>
        </w:rPr>
        <w:t xml:space="preserve">That Canada </w:t>
      </w:r>
      <w:r w:rsidR="003F0196">
        <w:rPr>
          <w:rFonts w:cs="Arial"/>
          <w:szCs w:val="24"/>
          <w:lang w:val="en-US"/>
        </w:rPr>
        <w:t>ensure</w:t>
      </w:r>
      <w:r w:rsidR="008D6942">
        <w:rPr>
          <w:rFonts w:cs="Arial"/>
          <w:szCs w:val="24"/>
          <w:lang w:val="en-US"/>
        </w:rPr>
        <w:t>s</w:t>
      </w:r>
      <w:r w:rsidR="003F0196">
        <w:rPr>
          <w:rFonts w:cs="Arial"/>
          <w:szCs w:val="24"/>
          <w:lang w:val="en-US"/>
        </w:rPr>
        <w:t xml:space="preserve"> </w:t>
      </w:r>
      <w:r w:rsidRPr="000C4AC8">
        <w:rPr>
          <w:rFonts w:cs="Arial"/>
          <w:szCs w:val="24"/>
          <w:lang w:val="en-US"/>
        </w:rPr>
        <w:t xml:space="preserve">women with disabilities </w:t>
      </w:r>
      <w:r w:rsidR="003F0196">
        <w:rPr>
          <w:rFonts w:cs="Arial"/>
          <w:szCs w:val="24"/>
          <w:lang w:val="en-US"/>
        </w:rPr>
        <w:t>have adequate financial supports that are</w:t>
      </w:r>
      <w:r w:rsidRPr="000C4AC8">
        <w:rPr>
          <w:rFonts w:cs="Arial"/>
          <w:szCs w:val="24"/>
          <w:lang w:val="en-US"/>
        </w:rPr>
        <w:t xml:space="preserve"> not impacted by their relationship status or living arrangements.</w:t>
      </w:r>
    </w:p>
    <w:p w14:paraId="0B109F5A" w14:textId="6AF1EB94" w:rsidR="00FE16DA" w:rsidRPr="00123ACC" w:rsidRDefault="000C4AC8" w:rsidP="001C4D0C">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0C4AC8">
        <w:rPr>
          <w:rFonts w:cs="Arial"/>
          <w:b/>
          <w:bCs/>
          <w:szCs w:val="24"/>
          <w:lang w:val="en-US"/>
        </w:rPr>
        <w:t xml:space="preserve">Recommendation </w:t>
      </w:r>
      <w:r w:rsidR="00CB7542">
        <w:rPr>
          <w:rFonts w:cs="Arial"/>
          <w:b/>
          <w:bCs/>
          <w:szCs w:val="24"/>
          <w:lang w:val="en-US"/>
        </w:rPr>
        <w:t>#1</w:t>
      </w:r>
      <w:r w:rsidR="00E600A3">
        <w:rPr>
          <w:rFonts w:cs="Arial"/>
          <w:b/>
          <w:bCs/>
          <w:szCs w:val="24"/>
          <w:lang w:val="en-US"/>
        </w:rPr>
        <w:t>9</w:t>
      </w:r>
      <w:r w:rsidRPr="000C4AC8">
        <w:rPr>
          <w:rFonts w:cs="Arial"/>
          <w:b/>
          <w:bCs/>
          <w:szCs w:val="24"/>
          <w:lang w:val="en-US"/>
        </w:rPr>
        <w:t xml:space="preserve">: </w:t>
      </w:r>
      <w:r w:rsidRPr="000C4AC8">
        <w:rPr>
          <w:rFonts w:cs="Arial"/>
          <w:szCs w:val="24"/>
          <w:lang w:val="en-US"/>
        </w:rPr>
        <w:t>That Canada remove</w:t>
      </w:r>
      <w:r w:rsidR="008D6942">
        <w:rPr>
          <w:rFonts w:cs="Arial"/>
          <w:szCs w:val="24"/>
          <w:lang w:val="en-US"/>
        </w:rPr>
        <w:t>s</w:t>
      </w:r>
      <w:r w:rsidRPr="000C4AC8">
        <w:rPr>
          <w:rFonts w:cs="Arial"/>
          <w:szCs w:val="24"/>
          <w:lang w:val="en-US"/>
        </w:rPr>
        <w:t xml:space="preserve"> barriers in the legal system and support the legal </w:t>
      </w:r>
      <w:r w:rsidR="003F0196">
        <w:rPr>
          <w:rFonts w:cs="Arial"/>
          <w:szCs w:val="24"/>
          <w:lang w:val="en-US"/>
        </w:rPr>
        <w:t xml:space="preserve">and financial </w:t>
      </w:r>
      <w:r w:rsidRPr="000C4AC8">
        <w:rPr>
          <w:rFonts w:cs="Arial"/>
          <w:szCs w:val="24"/>
          <w:lang w:val="en-US"/>
        </w:rPr>
        <w:t xml:space="preserve">empowerment of </w:t>
      </w:r>
      <w:r w:rsidR="003F0196">
        <w:rPr>
          <w:rFonts w:cs="Arial"/>
          <w:szCs w:val="24"/>
          <w:lang w:val="en-US"/>
        </w:rPr>
        <w:t>women</w:t>
      </w:r>
      <w:r w:rsidR="003F0196" w:rsidRPr="000C4AC8">
        <w:rPr>
          <w:rFonts w:cs="Arial"/>
          <w:szCs w:val="24"/>
          <w:lang w:val="en-US"/>
        </w:rPr>
        <w:t xml:space="preserve"> </w:t>
      </w:r>
      <w:r w:rsidRPr="000C4AC8">
        <w:rPr>
          <w:rFonts w:cs="Arial"/>
          <w:szCs w:val="24"/>
          <w:lang w:val="en-US"/>
        </w:rPr>
        <w:t>with disabilities</w:t>
      </w:r>
      <w:r w:rsidR="00845CC7">
        <w:rPr>
          <w:rFonts w:cs="Arial"/>
          <w:szCs w:val="24"/>
          <w:lang w:val="en-US"/>
        </w:rPr>
        <w:t>.</w:t>
      </w:r>
    </w:p>
    <w:p w14:paraId="1A9D996E" w14:textId="4918347B" w:rsidR="00880208" w:rsidRDefault="000B51FF" w:rsidP="008F2070">
      <w:pPr>
        <w:pStyle w:val="Heading1"/>
      </w:pPr>
      <w:bookmarkStart w:id="41" w:name="_Toc174373037"/>
      <w:r>
        <w:lastRenderedPageBreak/>
        <w:t>DISCRIMINATION BASED ON GENDER IDENTITY AND EXPRESSION</w:t>
      </w:r>
      <w:bookmarkEnd w:id="41"/>
    </w:p>
    <w:p w14:paraId="660993F7" w14:textId="6CA729B4" w:rsidR="00DA34F0" w:rsidRPr="00154596" w:rsidRDefault="00DA34F0" w:rsidP="00891786">
      <w:pPr>
        <w:spacing w:line="240" w:lineRule="auto"/>
        <w:rPr>
          <w:rFonts w:cs="Arial"/>
          <w:szCs w:val="24"/>
        </w:rPr>
      </w:pPr>
      <w:r>
        <w:rPr>
          <w:rFonts w:cs="Arial"/>
          <w:szCs w:val="24"/>
        </w:rPr>
        <w:t>T</w:t>
      </w:r>
      <w:r w:rsidRPr="00154596">
        <w:rPr>
          <w:rFonts w:cs="Arial"/>
          <w:szCs w:val="24"/>
        </w:rPr>
        <w:t>he CHRC remains deeply concerned about discrimination</w:t>
      </w:r>
      <w:r w:rsidR="008E7918">
        <w:rPr>
          <w:rFonts w:cs="Arial"/>
          <w:szCs w:val="24"/>
        </w:rPr>
        <w:t>,</w:t>
      </w:r>
      <w:r w:rsidR="00DA2644">
        <w:rPr>
          <w:rFonts w:cs="Arial"/>
          <w:szCs w:val="24"/>
        </w:rPr>
        <w:t xml:space="preserve"> </w:t>
      </w:r>
      <w:r w:rsidRPr="00154596">
        <w:rPr>
          <w:rFonts w:cs="Arial"/>
          <w:szCs w:val="24"/>
        </w:rPr>
        <w:t xml:space="preserve">harassment </w:t>
      </w:r>
      <w:r w:rsidR="008E7918">
        <w:rPr>
          <w:rFonts w:cs="Arial"/>
          <w:szCs w:val="24"/>
        </w:rPr>
        <w:t xml:space="preserve">and violence </w:t>
      </w:r>
      <w:r w:rsidRPr="00154596">
        <w:rPr>
          <w:rFonts w:cs="Arial"/>
          <w:szCs w:val="24"/>
        </w:rPr>
        <w:t>faced by trans</w:t>
      </w:r>
      <w:r w:rsidR="002545C4">
        <w:rPr>
          <w:rFonts w:cs="Arial"/>
          <w:szCs w:val="24"/>
        </w:rPr>
        <w:t>,</w:t>
      </w:r>
      <w:r w:rsidR="00DA2644">
        <w:rPr>
          <w:rFonts w:cs="Arial"/>
          <w:szCs w:val="24"/>
        </w:rPr>
        <w:t xml:space="preserve"> </w:t>
      </w:r>
      <w:r w:rsidRPr="00154596">
        <w:rPr>
          <w:rFonts w:cs="Arial"/>
          <w:szCs w:val="24"/>
        </w:rPr>
        <w:t xml:space="preserve">non-binary </w:t>
      </w:r>
      <w:r w:rsidR="002545C4">
        <w:rPr>
          <w:rFonts w:cs="Arial"/>
          <w:szCs w:val="24"/>
        </w:rPr>
        <w:t xml:space="preserve">and gender diverse </w:t>
      </w:r>
      <w:r w:rsidRPr="00154596">
        <w:rPr>
          <w:rFonts w:cs="Arial"/>
          <w:szCs w:val="24"/>
        </w:rPr>
        <w:t xml:space="preserve">persons, especially those who face intersectional barriers to their full equality in Canada. </w:t>
      </w:r>
    </w:p>
    <w:p w14:paraId="141C6691" w14:textId="77777777" w:rsidR="007079B4" w:rsidRPr="007079B4" w:rsidRDefault="007079B4" w:rsidP="00C429D1">
      <w:pPr>
        <w:pStyle w:val="Heading1"/>
        <w:rPr>
          <w:rStyle w:val="CommentReference"/>
          <w:vanish/>
        </w:rPr>
      </w:pPr>
      <w:bookmarkStart w:id="42" w:name="_Toc173158804"/>
      <w:bookmarkStart w:id="43" w:name="_Toc173229941"/>
      <w:bookmarkStart w:id="44" w:name="_Toc174371134"/>
      <w:bookmarkStart w:id="45" w:name="_Toc174373038"/>
      <w:bookmarkEnd w:id="42"/>
      <w:bookmarkEnd w:id="43"/>
      <w:bookmarkEnd w:id="44"/>
      <w:bookmarkEnd w:id="45"/>
    </w:p>
    <w:p w14:paraId="7131B6EE" w14:textId="77777777" w:rsidR="007079B4" w:rsidRPr="007079B4" w:rsidRDefault="007079B4" w:rsidP="00C429D1">
      <w:pPr>
        <w:pStyle w:val="Heading1"/>
        <w:rPr>
          <w:rStyle w:val="CommentReference"/>
          <w:vanish/>
        </w:rPr>
      </w:pPr>
      <w:bookmarkStart w:id="46" w:name="_Toc173158805"/>
      <w:bookmarkStart w:id="47" w:name="_Toc173229942"/>
      <w:bookmarkStart w:id="48" w:name="_Toc174371135"/>
      <w:bookmarkStart w:id="49" w:name="_Toc174373039"/>
      <w:bookmarkEnd w:id="46"/>
      <w:bookmarkEnd w:id="47"/>
      <w:bookmarkEnd w:id="48"/>
      <w:bookmarkEnd w:id="49"/>
    </w:p>
    <w:p w14:paraId="240C9D41" w14:textId="4ACE8095" w:rsidR="00075A79" w:rsidRDefault="00A85C41" w:rsidP="00891786">
      <w:pPr>
        <w:spacing w:line="240" w:lineRule="auto"/>
      </w:pPr>
      <w:r w:rsidRPr="00A85C41">
        <w:t xml:space="preserve">Gender affirming health care for </w:t>
      </w:r>
      <w:r w:rsidR="00DB15A8">
        <w:t>these groups</w:t>
      </w:r>
      <w:r w:rsidRPr="00A85C41">
        <w:t xml:space="preserve"> is recognized as medically necessary by leading medical organizations in Canada and around the world.</w:t>
      </w:r>
      <w:r w:rsidRPr="00A85C41">
        <w:rPr>
          <w:vertAlign w:val="superscript"/>
        </w:rPr>
        <w:footnoteReference w:id="80"/>
      </w:r>
      <w:r w:rsidRPr="00A85C41">
        <w:t xml:space="preserve"> The CHRC is concerned by unequal access to care and treatments that are only partially covered through public funds,</w:t>
      </w:r>
      <w:r>
        <w:t xml:space="preserve"> </w:t>
      </w:r>
      <w:r w:rsidRPr="00A85C41">
        <w:t>remaining unobtainable and negatively impact</w:t>
      </w:r>
      <w:r w:rsidR="001C0B5C">
        <w:t>ing</w:t>
      </w:r>
      <w:r w:rsidRPr="00A85C41">
        <w:t xml:space="preserve"> physical and mental health for certain groups including trans women</w:t>
      </w:r>
      <w:r w:rsidRPr="00A85C41">
        <w:rPr>
          <w:vertAlign w:val="superscript"/>
        </w:rPr>
        <w:footnoteReference w:id="81"/>
      </w:r>
      <w:r w:rsidRPr="00A85C41">
        <w:t xml:space="preserve"> and non</w:t>
      </w:r>
      <w:r w:rsidR="00A43DB2">
        <w:t>-</w:t>
      </w:r>
      <w:r w:rsidRPr="00A85C41">
        <w:t>binary persons.</w:t>
      </w:r>
      <w:r w:rsidRPr="00A85C41">
        <w:rPr>
          <w:vertAlign w:val="superscript"/>
        </w:rPr>
        <w:footnoteReference w:id="82"/>
      </w:r>
    </w:p>
    <w:p w14:paraId="611101DB" w14:textId="5B8700AD" w:rsidR="007235AC" w:rsidRDefault="002545C4" w:rsidP="00891786">
      <w:pPr>
        <w:spacing w:line="240" w:lineRule="auto"/>
      </w:pPr>
      <w:r>
        <w:t xml:space="preserve">The CHRC also remains alarmed about intersex, trans, and gender diverse persons subjected to cruel and harmful </w:t>
      </w:r>
      <w:r w:rsidRPr="00AD49EF">
        <w:t xml:space="preserve">non-consensual medical interventions, such as coerced examinations, unnecessary surgeries </w:t>
      </w:r>
      <w:r>
        <w:t>or</w:t>
      </w:r>
      <w:r w:rsidRPr="00AD49EF">
        <w:t xml:space="preserve"> conversion therapies</w:t>
      </w:r>
      <w:r>
        <w:t>.</w:t>
      </w:r>
      <w:r w:rsidR="00DA2644">
        <w:t xml:space="preserve"> </w:t>
      </w:r>
      <w:r w:rsidR="009C7558">
        <w:t xml:space="preserve">The CHRC supports the </w:t>
      </w:r>
      <w:r w:rsidR="00DA34F0">
        <w:t xml:space="preserve">development of policies and programs that specifically support </w:t>
      </w:r>
      <w:r w:rsidR="00F651AC">
        <w:t xml:space="preserve">the health and rights of </w:t>
      </w:r>
      <w:r w:rsidR="00E54523">
        <w:t>these groups</w:t>
      </w:r>
      <w:r w:rsidR="00DA34F0">
        <w:t>.</w:t>
      </w:r>
      <w:r w:rsidR="00DA34F0">
        <w:rPr>
          <w:rStyle w:val="FootnoteReference"/>
        </w:rPr>
        <w:footnoteReference w:id="83"/>
      </w:r>
    </w:p>
    <w:p w14:paraId="6DB62941" w14:textId="437C8B55" w:rsidR="00DA34F0" w:rsidRPr="00DA34F0" w:rsidRDefault="00DA34F0" w:rsidP="001C4D0C">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FB1CA7">
        <w:rPr>
          <w:rFonts w:cs="Arial"/>
          <w:b/>
          <w:bCs/>
          <w:szCs w:val="24"/>
        </w:rPr>
        <w:t>Recommendation</w:t>
      </w:r>
      <w:r w:rsidR="00F761EA">
        <w:rPr>
          <w:rFonts w:cs="Arial"/>
          <w:b/>
          <w:bCs/>
          <w:szCs w:val="24"/>
        </w:rPr>
        <w:t xml:space="preserve"> </w:t>
      </w:r>
      <w:r w:rsidR="00CB7542">
        <w:rPr>
          <w:rFonts w:cs="Arial"/>
          <w:b/>
          <w:bCs/>
          <w:szCs w:val="24"/>
        </w:rPr>
        <w:t>#</w:t>
      </w:r>
      <w:r w:rsidR="00E600A3">
        <w:rPr>
          <w:rFonts w:cs="Arial"/>
          <w:b/>
          <w:bCs/>
          <w:szCs w:val="24"/>
        </w:rPr>
        <w:t>20</w:t>
      </w:r>
      <w:r w:rsidRPr="00FB1CA7">
        <w:rPr>
          <w:rFonts w:cs="Arial"/>
          <w:b/>
          <w:bCs/>
          <w:szCs w:val="24"/>
        </w:rPr>
        <w:t>:</w:t>
      </w:r>
      <w:r>
        <w:rPr>
          <w:rFonts w:cs="Arial"/>
          <w:b/>
          <w:bCs/>
          <w:szCs w:val="24"/>
        </w:rPr>
        <w:t xml:space="preserve"> </w:t>
      </w:r>
      <w:r w:rsidR="00391076">
        <w:rPr>
          <w:rFonts w:cs="Arial"/>
          <w:szCs w:val="24"/>
        </w:rPr>
        <w:t xml:space="preserve">That Canada </w:t>
      </w:r>
      <w:r w:rsidRPr="00DA34F0">
        <w:rPr>
          <w:rFonts w:cs="Arial"/>
          <w:szCs w:val="24"/>
        </w:rPr>
        <w:t>recognize</w:t>
      </w:r>
      <w:r w:rsidR="008D6942">
        <w:rPr>
          <w:rFonts w:cs="Arial"/>
          <w:szCs w:val="24"/>
        </w:rPr>
        <w:t>s</w:t>
      </w:r>
      <w:r w:rsidRPr="00DA34F0">
        <w:rPr>
          <w:rFonts w:cs="Arial"/>
          <w:szCs w:val="24"/>
        </w:rPr>
        <w:t xml:space="preserve"> and normalize</w:t>
      </w:r>
      <w:r w:rsidR="008D6942">
        <w:rPr>
          <w:rFonts w:cs="Arial"/>
          <w:szCs w:val="24"/>
        </w:rPr>
        <w:t>s</w:t>
      </w:r>
      <w:r w:rsidRPr="00DA34F0">
        <w:rPr>
          <w:rFonts w:cs="Arial"/>
          <w:szCs w:val="24"/>
        </w:rPr>
        <w:t xml:space="preserve"> variations of sex characteristics and gender diversity, and </w:t>
      </w:r>
      <w:r w:rsidR="007235AC">
        <w:rPr>
          <w:rFonts w:cs="Arial"/>
          <w:szCs w:val="24"/>
        </w:rPr>
        <w:t>ensure that</w:t>
      </w:r>
      <w:r w:rsidR="007235AC" w:rsidRPr="00DA34F0">
        <w:rPr>
          <w:rFonts w:cs="Arial"/>
          <w:szCs w:val="24"/>
        </w:rPr>
        <w:t xml:space="preserve"> </w:t>
      </w:r>
      <w:r w:rsidRPr="00DA34F0">
        <w:rPr>
          <w:rFonts w:cs="Arial"/>
          <w:szCs w:val="24"/>
        </w:rPr>
        <w:t xml:space="preserve">intersex, </w:t>
      </w:r>
      <w:r w:rsidR="007235AC">
        <w:rPr>
          <w:rFonts w:cs="Arial"/>
          <w:szCs w:val="24"/>
        </w:rPr>
        <w:t xml:space="preserve">non-binary, </w:t>
      </w:r>
      <w:r w:rsidRPr="00DA34F0">
        <w:rPr>
          <w:rFonts w:cs="Arial"/>
          <w:szCs w:val="24"/>
        </w:rPr>
        <w:t xml:space="preserve">trans and gender diverse people </w:t>
      </w:r>
      <w:r w:rsidR="007235AC">
        <w:rPr>
          <w:rFonts w:cs="Arial"/>
          <w:szCs w:val="24"/>
        </w:rPr>
        <w:t>have</w:t>
      </w:r>
      <w:r w:rsidRPr="00DA34F0">
        <w:rPr>
          <w:rFonts w:cs="Arial"/>
          <w:szCs w:val="24"/>
        </w:rPr>
        <w:t xml:space="preserve"> access to appropriate care and supports</w:t>
      </w:r>
      <w:r w:rsidR="00145785">
        <w:rPr>
          <w:rFonts w:cs="Arial"/>
          <w:szCs w:val="24"/>
        </w:rPr>
        <w:t xml:space="preserve">. </w:t>
      </w:r>
    </w:p>
    <w:p w14:paraId="564E01CA" w14:textId="257D87E8" w:rsidR="00DE6AAB" w:rsidRDefault="00DE6AAB" w:rsidP="008F2070">
      <w:pPr>
        <w:pStyle w:val="Heading1"/>
      </w:pPr>
      <w:bookmarkStart w:id="50" w:name="_Toc174373040"/>
      <w:r>
        <w:t>RACIALIZED WOMEN</w:t>
      </w:r>
      <w:bookmarkEnd w:id="50"/>
    </w:p>
    <w:p w14:paraId="78CE2A5D" w14:textId="51162AB5" w:rsidR="0083655E" w:rsidRDefault="0083655E" w:rsidP="00623B57">
      <w:pPr>
        <w:spacing w:line="240" w:lineRule="auto"/>
      </w:pPr>
      <w:bookmarkStart w:id="51" w:name="_Hlk173286397"/>
      <w:r>
        <w:t xml:space="preserve">Racialized women in Canada continue to face </w:t>
      </w:r>
      <w:r w:rsidR="00134F23">
        <w:t>cultural and systemic racism that precludes them from the full enjoyment of their economic, social and cultural rights</w:t>
      </w:r>
      <w:r>
        <w:t>.</w:t>
      </w:r>
      <w:r w:rsidR="00134F23">
        <w:t xml:space="preserve"> </w:t>
      </w:r>
      <w:r w:rsidR="0031028A">
        <w:t xml:space="preserve">Indigenous, </w:t>
      </w:r>
      <w:r w:rsidR="008D6942">
        <w:t xml:space="preserve">Black, </w:t>
      </w:r>
      <w:r w:rsidR="0031028A">
        <w:t xml:space="preserve">and other racialized </w:t>
      </w:r>
      <w:r w:rsidR="00173DF9">
        <w:t>women</w:t>
      </w:r>
      <w:r w:rsidR="0031028A">
        <w:t xml:space="preserve"> are overrepresented in precarious </w:t>
      </w:r>
      <w:r w:rsidR="00173DF9">
        <w:t xml:space="preserve">and low-income </w:t>
      </w:r>
      <w:r w:rsidR="0031028A">
        <w:t>employment</w:t>
      </w:r>
      <w:r w:rsidR="00173DF9">
        <w:t>, resulting in a lack of economic security and increasing their vulnerability to violence and exploitation.</w:t>
      </w:r>
      <w:r w:rsidR="00173DF9">
        <w:rPr>
          <w:rStyle w:val="FootnoteReference"/>
        </w:rPr>
        <w:footnoteReference w:id="84"/>
      </w:r>
      <w:r w:rsidR="00173DF9">
        <w:t xml:space="preserve"> Racialized mothers </w:t>
      </w:r>
      <w:r w:rsidR="00405FB5">
        <w:t xml:space="preserve">in </w:t>
      </w:r>
      <w:r w:rsidR="003A0AD9">
        <w:t>precarious employment</w:t>
      </w:r>
      <w:r w:rsidR="00405FB5">
        <w:t xml:space="preserve"> face added challenges </w:t>
      </w:r>
      <w:r w:rsidR="003A0AD9">
        <w:t xml:space="preserve">due to </w:t>
      </w:r>
      <w:r w:rsidR="0031028A" w:rsidRPr="0031028A">
        <w:t>a lack of flexibility in working arrangements</w:t>
      </w:r>
      <w:r w:rsidR="0031028A">
        <w:t xml:space="preserve">. </w:t>
      </w:r>
    </w:p>
    <w:p w14:paraId="50BCC669" w14:textId="73EB3A32" w:rsidR="00952940" w:rsidRDefault="005656C4" w:rsidP="00623B57">
      <w:pPr>
        <w:spacing w:line="240" w:lineRule="auto"/>
      </w:pPr>
      <w:r>
        <w:lastRenderedPageBreak/>
        <w:t xml:space="preserve">In 2023, the Employment Equity Act Review Task Force released a report with recommendations to </w:t>
      </w:r>
      <w:r w:rsidRPr="005656C4">
        <w:t>strengthen and modernize the Employment Equity Act</w:t>
      </w:r>
      <w:r>
        <w:t xml:space="preserve">. The Government of Canada broadly accepted </w:t>
      </w:r>
      <w:r w:rsidR="0031028A">
        <w:t>the recommendations</w:t>
      </w:r>
      <w:r w:rsidR="00183AA9">
        <w:t>, including</w:t>
      </w:r>
      <w:r w:rsidR="005458BF">
        <w:t xml:space="preserve"> adding a</w:t>
      </w:r>
      <w:r w:rsidR="00183AA9">
        <w:t xml:space="preserve"> designated group for Black people, recognizing the barriers that Black women face in the workplace. </w:t>
      </w:r>
      <w:proofErr w:type="gramStart"/>
      <w:r w:rsidR="00183AA9">
        <w:t>In light of</w:t>
      </w:r>
      <w:proofErr w:type="gramEnd"/>
      <w:r w:rsidR="00183AA9">
        <w:t xml:space="preserve"> h</w:t>
      </w:r>
      <w:r w:rsidR="00183AA9" w:rsidRPr="0031028A">
        <w:t>istorical and ongoing anti-Black racism</w:t>
      </w:r>
      <w:r w:rsidR="00183AA9">
        <w:t xml:space="preserve"> that</w:t>
      </w:r>
      <w:r w:rsidR="00183AA9" w:rsidRPr="0031028A">
        <w:t xml:space="preserve"> has reinforced barriers to employment experienced by Black public servants and other workers in the federal employment sector</w:t>
      </w:r>
      <w:r w:rsidR="00183AA9">
        <w:t>, t</w:t>
      </w:r>
      <w:r w:rsidR="00952940">
        <w:t xml:space="preserve">he CHRC </w:t>
      </w:r>
      <w:r w:rsidR="00183AA9">
        <w:t xml:space="preserve">is </w:t>
      </w:r>
      <w:r>
        <w:t>encourage</w:t>
      </w:r>
      <w:r w:rsidR="00183AA9">
        <w:t>d by this commitment and</w:t>
      </w:r>
      <w:r>
        <w:t xml:space="preserve"> the adoption of an intersectional approach to </w:t>
      </w:r>
      <w:r w:rsidR="0031028A">
        <w:t>implementation</w:t>
      </w:r>
      <w:r w:rsidR="00183AA9">
        <w:t>.</w:t>
      </w:r>
      <w:r w:rsidR="0031028A">
        <w:t xml:space="preserve"> </w:t>
      </w:r>
    </w:p>
    <w:p w14:paraId="1077AC2F" w14:textId="3CD0AA6E" w:rsidR="00F848A9" w:rsidRPr="00062600" w:rsidRDefault="00F848A9" w:rsidP="00F848A9">
      <w:pPr>
        <w:spacing w:line="240" w:lineRule="auto"/>
        <w:rPr>
          <w:rFonts w:cs="Arial"/>
          <w:szCs w:val="24"/>
        </w:rPr>
      </w:pPr>
      <w:r>
        <w:rPr>
          <w:lang w:val="en-US"/>
        </w:rPr>
        <w:t>In Qu</w:t>
      </w:r>
      <w:r w:rsidR="008D6942">
        <w:rPr>
          <w:lang w:val="en-US"/>
        </w:rPr>
        <w:t>e</w:t>
      </w:r>
      <w:r>
        <w:rPr>
          <w:lang w:val="en-US"/>
        </w:rPr>
        <w:t>bec, t</w:t>
      </w:r>
      <w:r w:rsidRPr="0083655E">
        <w:rPr>
          <w:lang w:val="en-US"/>
        </w:rPr>
        <w:t xml:space="preserve">he </w:t>
      </w:r>
      <w:r w:rsidRPr="001C4D0C">
        <w:rPr>
          <w:lang w:val="en-US"/>
        </w:rPr>
        <w:t>Act respecting the laicity of the State</w:t>
      </w:r>
      <w:r>
        <w:rPr>
          <w:lang w:val="en-US"/>
        </w:rPr>
        <w:t xml:space="preserve"> (</w:t>
      </w:r>
      <w:r w:rsidRPr="0083655E">
        <w:rPr>
          <w:lang w:val="en-US"/>
        </w:rPr>
        <w:t>Bill 21</w:t>
      </w:r>
      <w:r>
        <w:rPr>
          <w:lang w:val="en-US"/>
        </w:rPr>
        <w:t>)</w:t>
      </w:r>
      <w:r w:rsidRPr="0083655E">
        <w:rPr>
          <w:lang w:val="en-US"/>
        </w:rPr>
        <w:t>, was adopted by the Qu</w:t>
      </w:r>
      <w:r w:rsidR="008D6942">
        <w:rPr>
          <w:lang w:val="en-US"/>
        </w:rPr>
        <w:t>e</w:t>
      </w:r>
      <w:r w:rsidRPr="0083655E">
        <w:rPr>
          <w:lang w:val="en-US"/>
        </w:rPr>
        <w:t xml:space="preserve">bec National Assembly </w:t>
      </w:r>
      <w:r>
        <w:rPr>
          <w:lang w:val="en-US"/>
        </w:rPr>
        <w:t>in</w:t>
      </w:r>
      <w:r w:rsidRPr="0083655E">
        <w:rPr>
          <w:lang w:val="en-US"/>
        </w:rPr>
        <w:t xml:space="preserve"> 2019</w:t>
      </w:r>
      <w:r>
        <w:rPr>
          <w:lang w:val="en-US"/>
        </w:rPr>
        <w:t xml:space="preserve"> and was upheld by the Quebec Court of Appeal in 2024</w:t>
      </w:r>
      <w:r w:rsidRPr="0083655E">
        <w:rPr>
          <w:lang w:val="en-US"/>
        </w:rPr>
        <w:t>.</w:t>
      </w:r>
      <w:r w:rsidR="005458BF">
        <w:rPr>
          <w:rStyle w:val="FootnoteReference"/>
          <w:lang w:val="en-US"/>
        </w:rPr>
        <w:footnoteReference w:id="85"/>
      </w:r>
      <w:r w:rsidRPr="0083655E">
        <w:rPr>
          <w:lang w:val="en-US"/>
        </w:rPr>
        <w:t xml:space="preserve"> The law bans provincial public sector workers in positions of authority </w:t>
      </w:r>
      <w:r>
        <w:rPr>
          <w:lang w:val="en-US"/>
        </w:rPr>
        <w:t>–</w:t>
      </w:r>
      <w:r w:rsidRPr="0083655E">
        <w:rPr>
          <w:lang w:val="en-US"/>
        </w:rPr>
        <w:t xml:space="preserve"> such as teachers, police officers</w:t>
      </w:r>
      <w:r>
        <w:rPr>
          <w:lang w:val="en-US"/>
        </w:rPr>
        <w:t xml:space="preserve">, </w:t>
      </w:r>
      <w:r w:rsidRPr="0083655E">
        <w:rPr>
          <w:lang w:val="en-US"/>
        </w:rPr>
        <w:t>and judges – from wearing religious symbols while at work, such as a hijab, turban or kippah.</w:t>
      </w:r>
      <w:r>
        <w:rPr>
          <w:lang w:val="en-US"/>
        </w:rPr>
        <w:t xml:space="preserve"> </w:t>
      </w:r>
      <w:r w:rsidRPr="00062600">
        <w:rPr>
          <w:rFonts w:cs="Arial"/>
          <w:szCs w:val="24"/>
        </w:rPr>
        <w:t xml:space="preserve">The </w:t>
      </w:r>
      <w:r>
        <w:rPr>
          <w:rFonts w:cs="Arial"/>
          <w:szCs w:val="24"/>
        </w:rPr>
        <w:t>CHRC</w:t>
      </w:r>
      <w:r w:rsidRPr="00062600">
        <w:rPr>
          <w:rFonts w:cs="Arial"/>
          <w:szCs w:val="24"/>
        </w:rPr>
        <w:t xml:space="preserve"> shares widespread concerns</w:t>
      </w:r>
      <w:r w:rsidR="00DB4D03">
        <w:rPr>
          <w:rStyle w:val="FootnoteReference"/>
          <w:rFonts w:cs="Arial"/>
          <w:szCs w:val="24"/>
        </w:rPr>
        <w:footnoteReference w:id="86"/>
      </w:r>
      <w:r w:rsidRPr="00062600">
        <w:rPr>
          <w:rFonts w:cs="Arial"/>
          <w:szCs w:val="24"/>
        </w:rPr>
        <w:t xml:space="preserve"> </w:t>
      </w:r>
      <w:r w:rsidR="00EB78A6">
        <w:rPr>
          <w:rFonts w:cs="Arial"/>
          <w:szCs w:val="24"/>
        </w:rPr>
        <w:t>regarding the</w:t>
      </w:r>
      <w:r w:rsidRPr="00062600">
        <w:rPr>
          <w:rFonts w:cs="Arial"/>
          <w:szCs w:val="24"/>
        </w:rPr>
        <w:t xml:space="preserve"> disproportionate adverse impacts on </w:t>
      </w:r>
      <w:r w:rsidR="001905A1">
        <w:rPr>
          <w:rFonts w:cs="Arial"/>
          <w:szCs w:val="24"/>
        </w:rPr>
        <w:t xml:space="preserve">racialized </w:t>
      </w:r>
      <w:r w:rsidRPr="00062600">
        <w:rPr>
          <w:rFonts w:cs="Arial"/>
          <w:szCs w:val="24"/>
        </w:rPr>
        <w:t>Muslim women</w:t>
      </w:r>
      <w:r w:rsidR="005458BF">
        <w:rPr>
          <w:rStyle w:val="FootnoteReference"/>
          <w:rFonts w:cs="Arial"/>
          <w:szCs w:val="24"/>
        </w:rPr>
        <w:footnoteReference w:id="87"/>
      </w:r>
      <w:r w:rsidRPr="00062600">
        <w:rPr>
          <w:rFonts w:cs="Arial"/>
          <w:szCs w:val="24"/>
        </w:rPr>
        <w:t xml:space="preserve"> who wear the hijab</w:t>
      </w:r>
      <w:r>
        <w:rPr>
          <w:rFonts w:cs="Arial"/>
          <w:szCs w:val="24"/>
        </w:rPr>
        <w:t>,</w:t>
      </w:r>
      <w:r>
        <w:rPr>
          <w:rStyle w:val="FootnoteReference"/>
          <w:rFonts w:cs="Arial"/>
          <w:szCs w:val="24"/>
        </w:rPr>
        <w:footnoteReference w:id="88"/>
      </w:r>
      <w:r>
        <w:rPr>
          <w:rFonts w:cs="Arial"/>
          <w:szCs w:val="24"/>
        </w:rPr>
        <w:t xml:space="preserve"> and effectively amounts to government-imposed workplace discrimination, during a period of rising religious intolerance across Canada</w:t>
      </w:r>
      <w:r w:rsidRPr="00062600">
        <w:rPr>
          <w:rFonts w:cs="Arial"/>
          <w:szCs w:val="24"/>
        </w:rPr>
        <w:t>.</w:t>
      </w:r>
      <w:r>
        <w:rPr>
          <w:rStyle w:val="FootnoteReference"/>
          <w:rFonts w:cs="Arial"/>
          <w:szCs w:val="24"/>
        </w:rPr>
        <w:footnoteReference w:id="89"/>
      </w:r>
      <w:r>
        <w:rPr>
          <w:rFonts w:cs="Arial"/>
          <w:szCs w:val="24"/>
        </w:rPr>
        <w:t xml:space="preserve"> </w:t>
      </w:r>
    </w:p>
    <w:p w14:paraId="25B8590A" w14:textId="7D2EB970" w:rsidR="008F2070" w:rsidRPr="0078764E" w:rsidRDefault="00CD0D9E" w:rsidP="00B93D3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Pr>
          <w:b/>
          <w:bCs/>
        </w:rPr>
        <w:t>Recommendation</w:t>
      </w:r>
      <w:r w:rsidR="00CB7542">
        <w:rPr>
          <w:b/>
          <w:bCs/>
        </w:rPr>
        <w:t xml:space="preserve"> #</w:t>
      </w:r>
      <w:r w:rsidR="00106054">
        <w:rPr>
          <w:b/>
          <w:bCs/>
        </w:rPr>
        <w:t>2</w:t>
      </w:r>
      <w:r w:rsidR="00E600A3">
        <w:rPr>
          <w:b/>
          <w:bCs/>
        </w:rPr>
        <w:t>1</w:t>
      </w:r>
      <w:r>
        <w:rPr>
          <w:b/>
          <w:bCs/>
        </w:rPr>
        <w:t>:</w:t>
      </w:r>
      <w:r w:rsidR="0078764E">
        <w:rPr>
          <w:b/>
          <w:bCs/>
        </w:rPr>
        <w:t xml:space="preserve"> </w:t>
      </w:r>
      <w:r w:rsidR="0078764E">
        <w:t xml:space="preserve">That Canada </w:t>
      </w:r>
      <w:r w:rsidR="00EC4668">
        <w:t>take</w:t>
      </w:r>
      <w:r w:rsidR="008D6942">
        <w:t>s</w:t>
      </w:r>
      <w:r w:rsidR="00EC4668">
        <w:t xml:space="preserve"> </w:t>
      </w:r>
      <w:r w:rsidR="003C2763">
        <w:t xml:space="preserve">renewed </w:t>
      </w:r>
      <w:r w:rsidR="00EC4668">
        <w:t xml:space="preserve">steps </w:t>
      </w:r>
      <w:r w:rsidR="003C2763">
        <w:t xml:space="preserve">to </w:t>
      </w:r>
      <w:r w:rsidR="0078764E">
        <w:t>ensure that employment of racialized women is equitable and non-discriminatory.</w:t>
      </w:r>
    </w:p>
    <w:bookmarkEnd w:id="51"/>
    <w:sectPr w:rsidR="008F2070" w:rsidRPr="0078764E" w:rsidSect="006C32A5">
      <w:footerReference w:type="default" r:id="rId8"/>
      <w:headerReference w:type="firs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1AC3C" w14:textId="77777777" w:rsidR="00F62F42" w:rsidRDefault="00F62F42" w:rsidP="00F71FA3">
      <w:pPr>
        <w:spacing w:after="0" w:line="240" w:lineRule="auto"/>
      </w:pPr>
      <w:r>
        <w:separator/>
      </w:r>
    </w:p>
  </w:endnote>
  <w:endnote w:type="continuationSeparator" w:id="0">
    <w:p w14:paraId="44E5F1AC" w14:textId="77777777" w:rsidR="00F62F42" w:rsidRDefault="00F62F42" w:rsidP="00F71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9678701"/>
      <w:docPartObj>
        <w:docPartGallery w:val="Page Numbers (Bottom of Page)"/>
        <w:docPartUnique/>
      </w:docPartObj>
    </w:sdtPr>
    <w:sdtEndPr>
      <w:rPr>
        <w:noProof/>
      </w:rPr>
    </w:sdtEndPr>
    <w:sdtContent>
      <w:p w14:paraId="36B09190" w14:textId="43AF9FE1" w:rsidR="007B7BD4" w:rsidRDefault="007B7BD4" w:rsidP="004F45F9">
        <w:pPr>
          <w:pStyle w:val="Footer"/>
          <w:ind w:left="3960" w:firstLine="4680"/>
        </w:pPr>
        <w:r>
          <w:fldChar w:fldCharType="begin"/>
        </w:r>
        <w:r>
          <w:instrText xml:space="preserve"> PAGE   \* MERGEFORMAT </w:instrText>
        </w:r>
        <w:r>
          <w:fldChar w:fldCharType="separate"/>
        </w:r>
        <w:r w:rsidR="00951FEA">
          <w:rPr>
            <w:noProof/>
          </w:rPr>
          <w:t>1</w:t>
        </w:r>
        <w:r>
          <w:rPr>
            <w:noProof/>
          </w:rPr>
          <w:fldChar w:fldCharType="end"/>
        </w:r>
      </w:p>
    </w:sdtContent>
  </w:sdt>
  <w:p w14:paraId="7450FF6F" w14:textId="77777777" w:rsidR="007B7BD4" w:rsidRDefault="007B7BD4">
    <w:pPr>
      <w:pStyle w:val="Footer"/>
    </w:pPr>
  </w:p>
  <w:p w14:paraId="6ECFD853" w14:textId="77777777" w:rsidR="006222D2" w:rsidRDefault="006222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72722" w14:textId="77777777" w:rsidR="00F62F42" w:rsidRDefault="00F62F42" w:rsidP="00F71FA3">
      <w:pPr>
        <w:spacing w:after="0" w:line="240" w:lineRule="auto"/>
      </w:pPr>
      <w:r>
        <w:separator/>
      </w:r>
    </w:p>
  </w:footnote>
  <w:footnote w:type="continuationSeparator" w:id="0">
    <w:p w14:paraId="4F29786C" w14:textId="77777777" w:rsidR="00F62F42" w:rsidRDefault="00F62F42" w:rsidP="00F71FA3">
      <w:pPr>
        <w:spacing w:after="0" w:line="240" w:lineRule="auto"/>
      </w:pPr>
      <w:r>
        <w:continuationSeparator/>
      </w:r>
    </w:p>
  </w:footnote>
  <w:footnote w:id="1">
    <w:p w14:paraId="60482F27" w14:textId="334F2929" w:rsidR="001D28D2" w:rsidRPr="0009052D" w:rsidRDefault="001D28D2" w:rsidP="001D28D2">
      <w:pPr>
        <w:pStyle w:val="NoSpacing"/>
        <w:rPr>
          <w:rFonts w:ascii="Arial" w:hAnsi="Arial" w:cs="Arial"/>
          <w:sz w:val="20"/>
          <w:szCs w:val="20"/>
        </w:rPr>
      </w:pPr>
      <w:r w:rsidRPr="0009052D">
        <w:rPr>
          <w:rStyle w:val="FootnoteReference"/>
          <w:rFonts w:ascii="Arial" w:hAnsi="Arial" w:cs="Arial"/>
          <w:sz w:val="20"/>
          <w:szCs w:val="20"/>
        </w:rPr>
        <w:footnoteRef/>
      </w:r>
      <w:r w:rsidRPr="0009052D">
        <w:rPr>
          <w:rFonts w:ascii="Arial" w:hAnsi="Arial" w:cs="Arial"/>
          <w:sz w:val="20"/>
          <w:szCs w:val="20"/>
        </w:rPr>
        <w:t xml:space="preserve"> Available at: </w:t>
      </w:r>
      <w:hyperlink r:id="rId1" w:history="1">
        <w:r w:rsidRPr="0009052D">
          <w:rPr>
            <w:rStyle w:val="Hyperlink"/>
            <w:rFonts w:ascii="Arial" w:hAnsi="Arial" w:cs="Arial"/>
            <w:sz w:val="20"/>
            <w:szCs w:val="20"/>
          </w:rPr>
          <w:t>laws-lois.justice.gc.ca/PDF/H-6.pdf</w:t>
        </w:r>
      </w:hyperlink>
      <w:r w:rsidRPr="0009052D">
        <w:rPr>
          <w:rFonts w:ascii="Arial" w:hAnsi="Arial" w:cs="Arial"/>
          <w:sz w:val="20"/>
          <w:szCs w:val="20"/>
        </w:rPr>
        <w:t xml:space="preserve">.  </w:t>
      </w:r>
    </w:p>
  </w:footnote>
  <w:footnote w:id="2">
    <w:p w14:paraId="78AF6534" w14:textId="77777777" w:rsidR="00A85C41" w:rsidRPr="00691CF2" w:rsidRDefault="00A85C41" w:rsidP="00A85C41">
      <w:pPr>
        <w:pStyle w:val="FootnoteText"/>
      </w:pPr>
      <w:r>
        <w:rPr>
          <w:rStyle w:val="FootnoteReference"/>
        </w:rPr>
        <w:footnoteRef/>
      </w:r>
      <w:r>
        <w:t xml:space="preserve"> The CHRC includes trans women when referencing women, unless otherwise specified.</w:t>
      </w:r>
    </w:p>
  </w:footnote>
  <w:footnote w:id="3">
    <w:p w14:paraId="7BCA6C21" w14:textId="618CA758" w:rsidR="00A85C41" w:rsidRPr="00691CF2" w:rsidRDefault="00A85C41" w:rsidP="00A85C41">
      <w:pPr>
        <w:pStyle w:val="FootnoteText"/>
      </w:pPr>
      <w:r>
        <w:rPr>
          <w:rStyle w:val="FootnoteReference"/>
        </w:rPr>
        <w:footnoteRef/>
      </w:r>
      <w:r>
        <w:t xml:space="preserve"> This acronym refers to people who are Two-Spirit, lesbian, gay, bisexual, trans, queer, questioning, intersex, asexual, and others of diverse gender and sexual identities. </w:t>
      </w:r>
      <w:r w:rsidR="000365FF">
        <w:t>As explained in a recent report by Native Women’s Association of Canada: “</w:t>
      </w:r>
      <w:r>
        <w:t xml:space="preserve">Two-Spirit </w:t>
      </w:r>
      <w:r w:rsidR="00187223">
        <w:t>is a</w:t>
      </w:r>
      <w:r w:rsidR="00187223" w:rsidRPr="00187223">
        <w:rPr>
          <w:lang w:val="en-US"/>
        </w:rPr>
        <w:t xml:space="preserve"> term that incorporates Indigenous views of gender and sexual</w:t>
      </w:r>
      <w:r w:rsidR="00187223">
        <w:rPr>
          <w:lang w:val="en-US"/>
        </w:rPr>
        <w:t xml:space="preserve"> </w:t>
      </w:r>
      <w:r w:rsidR="00187223" w:rsidRPr="00187223">
        <w:rPr>
          <w:lang w:val="en-US"/>
        </w:rPr>
        <w:t>diversity and encompasses sexual, gender, cultural and spiritual</w:t>
      </w:r>
      <w:r w:rsidR="00187223">
        <w:rPr>
          <w:lang w:val="en-US"/>
        </w:rPr>
        <w:t xml:space="preserve"> </w:t>
      </w:r>
      <w:r w:rsidR="00187223" w:rsidRPr="00187223">
        <w:rPr>
          <w:lang w:val="en-US"/>
        </w:rPr>
        <w:t>identity. The term was coined in 1990 by Myra Laramee at a</w:t>
      </w:r>
      <w:r w:rsidR="00187223">
        <w:rPr>
          <w:lang w:val="en-US"/>
        </w:rPr>
        <w:t xml:space="preserve"> </w:t>
      </w:r>
      <w:r w:rsidR="00187223" w:rsidRPr="00187223">
        <w:rPr>
          <w:lang w:val="en-US"/>
        </w:rPr>
        <w:t>gathering of Native American and Indigenous LGBT</w:t>
      </w:r>
      <w:r w:rsidR="00187223">
        <w:rPr>
          <w:lang w:val="en-US"/>
        </w:rPr>
        <w:t>Q</w:t>
      </w:r>
      <w:r w:rsidR="00187223" w:rsidRPr="00187223">
        <w:rPr>
          <w:lang w:val="en-US"/>
        </w:rPr>
        <w:t>Q</w:t>
      </w:r>
      <w:r w:rsidR="00187223">
        <w:rPr>
          <w:lang w:val="en-US"/>
        </w:rPr>
        <w:t>IA</w:t>
      </w:r>
      <w:r w:rsidR="00187223" w:rsidRPr="00187223">
        <w:rPr>
          <w:lang w:val="en-US"/>
        </w:rPr>
        <w:t>+ people</w:t>
      </w:r>
      <w:r w:rsidR="00187223">
        <w:rPr>
          <w:lang w:val="en-US"/>
        </w:rPr>
        <w:t xml:space="preserve"> </w:t>
      </w:r>
      <w:r w:rsidR="00187223" w:rsidRPr="00187223">
        <w:rPr>
          <w:lang w:val="en-US"/>
        </w:rPr>
        <w:t>in Manitoba. The term is a translation of the Anishinaabemowin</w:t>
      </w:r>
      <w:r w:rsidR="00187223" w:rsidRPr="00187223">
        <w:rPr>
          <w:lang w:val="en-US"/>
        </w:rPr>
        <w:br/>
        <w:t xml:space="preserve">term </w:t>
      </w:r>
      <w:proofErr w:type="spellStart"/>
      <w:r w:rsidR="00187223" w:rsidRPr="00187223">
        <w:rPr>
          <w:i/>
          <w:iCs/>
          <w:lang w:val="en-US"/>
        </w:rPr>
        <w:t>niizh</w:t>
      </w:r>
      <w:proofErr w:type="spellEnd"/>
      <w:r w:rsidR="00187223" w:rsidRPr="00187223">
        <w:rPr>
          <w:i/>
          <w:iCs/>
          <w:lang w:val="en-US"/>
        </w:rPr>
        <w:t xml:space="preserve"> </w:t>
      </w:r>
      <w:proofErr w:type="spellStart"/>
      <w:r w:rsidR="00187223" w:rsidRPr="00187223">
        <w:rPr>
          <w:i/>
          <w:iCs/>
          <w:lang w:val="en-US"/>
        </w:rPr>
        <w:t>manidoowag</w:t>
      </w:r>
      <w:proofErr w:type="spellEnd"/>
      <w:r w:rsidR="00187223" w:rsidRPr="00187223">
        <w:rPr>
          <w:lang w:val="en-US"/>
        </w:rPr>
        <w:t>, “two spirits.” It may be used among some</w:t>
      </w:r>
      <w:r w:rsidR="00187223">
        <w:rPr>
          <w:lang w:val="en-US"/>
        </w:rPr>
        <w:t xml:space="preserve"> </w:t>
      </w:r>
      <w:r w:rsidR="00187223" w:rsidRPr="00187223">
        <w:rPr>
          <w:lang w:val="en-US"/>
        </w:rPr>
        <w:t>Indigenous communities/peoples, rather than, or in addition to</w:t>
      </w:r>
      <w:r w:rsidR="00187223">
        <w:rPr>
          <w:lang w:val="en-US"/>
        </w:rPr>
        <w:t xml:space="preserve"> </w:t>
      </w:r>
      <w:r w:rsidR="00187223" w:rsidRPr="00187223">
        <w:rPr>
          <w:lang w:val="en-US"/>
        </w:rPr>
        <w:t>identifying as LGBTQQIA+, although not all sexual and gender</w:t>
      </w:r>
      <w:r w:rsidR="00E305DA">
        <w:rPr>
          <w:lang w:val="en-US"/>
        </w:rPr>
        <w:t xml:space="preserve"> </w:t>
      </w:r>
      <w:r w:rsidR="00187223" w:rsidRPr="00187223">
        <w:rPr>
          <w:lang w:val="en-US"/>
        </w:rPr>
        <w:t>diverse Indigenous people consider themselves to be Two</w:t>
      </w:r>
      <w:r w:rsidR="00E305DA">
        <w:rPr>
          <w:lang w:val="en-US"/>
        </w:rPr>
        <w:t>-</w:t>
      </w:r>
      <w:r w:rsidR="00187223" w:rsidRPr="00187223">
        <w:rPr>
          <w:lang w:val="en-US"/>
        </w:rPr>
        <w:t>Spirit. Though suppressed through the process of colonization,</w:t>
      </w:r>
      <w:r w:rsidR="00187223">
        <w:rPr>
          <w:lang w:val="en-US"/>
        </w:rPr>
        <w:t xml:space="preserve"> </w:t>
      </w:r>
      <w:r w:rsidR="00187223" w:rsidRPr="00187223">
        <w:rPr>
          <w:lang w:val="en-US"/>
        </w:rPr>
        <w:t>a Two-Spirit person may have specific roles containing cultural</w:t>
      </w:r>
      <w:r w:rsidR="00187223">
        <w:rPr>
          <w:lang w:val="en-US"/>
        </w:rPr>
        <w:t xml:space="preserve"> </w:t>
      </w:r>
      <w:r w:rsidR="00187223" w:rsidRPr="00187223">
        <w:rPr>
          <w:lang w:val="en-US"/>
        </w:rPr>
        <w:t>knowledge and governance structures. These roles may vary and</w:t>
      </w:r>
      <w:r w:rsidR="00187223">
        <w:rPr>
          <w:lang w:val="en-US"/>
        </w:rPr>
        <w:t xml:space="preserve"> </w:t>
      </w:r>
      <w:r w:rsidR="00187223" w:rsidRPr="00187223">
        <w:rPr>
          <w:lang w:val="en-US"/>
        </w:rPr>
        <w:t>are specific to each individual community. Due to cultural and</w:t>
      </w:r>
      <w:r w:rsidR="00187223">
        <w:rPr>
          <w:lang w:val="en-US"/>
        </w:rPr>
        <w:t xml:space="preserve"> </w:t>
      </w:r>
      <w:r w:rsidR="00187223" w:rsidRPr="00187223">
        <w:rPr>
          <w:lang w:val="en-US"/>
        </w:rPr>
        <w:t>spiritual context, the term Two-Spirit should only be used for</w:t>
      </w:r>
      <w:r w:rsidR="00187223">
        <w:rPr>
          <w:lang w:val="en-US"/>
        </w:rPr>
        <w:t xml:space="preserve"> </w:t>
      </w:r>
      <w:r w:rsidR="00187223" w:rsidRPr="00187223">
        <w:rPr>
          <w:lang w:val="en-US"/>
        </w:rPr>
        <w:t>Indigenous people</w:t>
      </w:r>
      <w:r w:rsidR="00187223">
        <w:rPr>
          <w:lang w:val="en-US"/>
        </w:rPr>
        <w:t>.</w:t>
      </w:r>
      <w:r w:rsidR="000365FF">
        <w:rPr>
          <w:lang w:val="en-US"/>
        </w:rPr>
        <w:t xml:space="preserve">” </w:t>
      </w:r>
      <w:r w:rsidR="0020605F">
        <w:rPr>
          <w:lang w:val="en-US"/>
        </w:rPr>
        <w:t xml:space="preserve">See: </w:t>
      </w:r>
      <w:r w:rsidR="000365FF">
        <w:rPr>
          <w:lang w:val="en-US"/>
        </w:rPr>
        <w:t>N</w:t>
      </w:r>
      <w:r w:rsidR="0020605F">
        <w:rPr>
          <w:lang w:val="en-US"/>
        </w:rPr>
        <w:t>ative Women’s Association of Canada.</w:t>
      </w:r>
      <w:r w:rsidR="000365FF">
        <w:rPr>
          <w:lang w:val="en-US"/>
        </w:rPr>
        <w:t xml:space="preserve"> (2024)</w:t>
      </w:r>
      <w:r w:rsidR="0020605F">
        <w:rPr>
          <w:lang w:val="en-US"/>
        </w:rPr>
        <w:t>.</w:t>
      </w:r>
      <w:r w:rsidR="000365FF">
        <w:rPr>
          <w:lang w:val="en-US"/>
        </w:rPr>
        <w:t xml:space="preserve"> </w:t>
      </w:r>
      <w:r w:rsidR="000365FF" w:rsidRPr="00E911F5">
        <w:rPr>
          <w:i/>
          <w:iCs/>
          <w:lang w:val="en-US"/>
        </w:rPr>
        <w:t xml:space="preserve">Final </w:t>
      </w:r>
      <w:r w:rsidR="0020605F">
        <w:rPr>
          <w:i/>
          <w:iCs/>
          <w:lang w:val="en-US"/>
        </w:rPr>
        <w:t>R</w:t>
      </w:r>
      <w:r w:rsidR="000365FF" w:rsidRPr="000C4433">
        <w:rPr>
          <w:i/>
          <w:iCs/>
          <w:lang w:val="en-US"/>
        </w:rPr>
        <w:t>eport: Adequate housing for Indigenous Two-Spirit, transgender, non-binary, and gender-diverse people</w:t>
      </w:r>
      <w:r w:rsidR="000365FF">
        <w:rPr>
          <w:lang w:val="en-US"/>
        </w:rPr>
        <w:t xml:space="preserve">. </w:t>
      </w:r>
      <w:hyperlink r:id="rId2" w:history="1">
        <w:r w:rsidR="00D04CCC" w:rsidRPr="002B06B2">
          <w:rPr>
            <w:rStyle w:val="Hyperlink"/>
            <w:lang w:val="en-US"/>
          </w:rPr>
          <w:t>https://nwac.ca/assets-documents/Final_Report_Adequate_Housing_for_Indigenous_People.pdf</w:t>
        </w:r>
      </w:hyperlink>
      <w:r w:rsidR="0020605F">
        <w:rPr>
          <w:lang w:val="en-US"/>
        </w:rPr>
        <w:t>.</w:t>
      </w:r>
      <w:r w:rsidR="00D04CCC">
        <w:rPr>
          <w:lang w:val="en-US"/>
        </w:rPr>
        <w:t xml:space="preserve"> </w:t>
      </w:r>
      <w:r w:rsidR="000365FF">
        <w:rPr>
          <w:lang w:val="en-US"/>
        </w:rPr>
        <w:t xml:space="preserve">  </w:t>
      </w:r>
    </w:p>
  </w:footnote>
  <w:footnote w:id="4">
    <w:p w14:paraId="1FA33217" w14:textId="4E79FFCA" w:rsidR="00A85C41" w:rsidRDefault="00A85C41" w:rsidP="00A85C41">
      <w:pPr>
        <w:pStyle w:val="FootnoteText"/>
      </w:pPr>
      <w:r>
        <w:rPr>
          <w:rStyle w:val="FootnoteReference"/>
        </w:rPr>
        <w:footnoteRef/>
      </w:r>
      <w:r>
        <w:t xml:space="preserve"> </w:t>
      </w:r>
      <w:r w:rsidR="000B12A0">
        <w:t xml:space="preserve">See: </w:t>
      </w:r>
      <w:hyperlink r:id="rId3" w:history="1">
        <w:r w:rsidR="000B12A0" w:rsidRPr="008B7FED">
          <w:rPr>
            <w:rStyle w:val="Hyperlink"/>
          </w:rPr>
          <w:t>https://www.actioncanadashr.org/news/2021-05-04-our-feminism-trans-inclusive</w:t>
        </w:r>
      </w:hyperlink>
      <w:r w:rsidR="000B12A0">
        <w:t>.</w:t>
      </w:r>
      <w:r>
        <w:t xml:space="preserve"> </w:t>
      </w:r>
    </w:p>
  </w:footnote>
  <w:footnote w:id="5">
    <w:p w14:paraId="5712C5AB" w14:textId="77777777" w:rsidR="000A13A2" w:rsidRPr="008A2D91" w:rsidRDefault="000A13A2" w:rsidP="000A13A2">
      <w:pPr>
        <w:pStyle w:val="FootnoteText"/>
      </w:pPr>
      <w:r>
        <w:rPr>
          <w:rStyle w:val="FootnoteReference"/>
        </w:rPr>
        <w:footnoteRef/>
      </w:r>
      <w:r>
        <w:t xml:space="preserve"> The Housing Policy Declaration (s.4) of the National Housing Strategy Act commits Canada to “further the progressive realization of the right to adequate housing as recognized in the International Covenant on Economic, Social, and Cultural Rights.” </w:t>
      </w:r>
      <w:hyperlink r:id="rId4" w:history="1">
        <w:r w:rsidRPr="00131EE4">
          <w:rPr>
            <w:rStyle w:val="Hyperlink"/>
          </w:rPr>
          <w:t>https://laws-lois.justice.gc.ca/eng/acts/n-11.2/FullText.html</w:t>
        </w:r>
      </w:hyperlink>
    </w:p>
  </w:footnote>
  <w:footnote w:id="6">
    <w:p w14:paraId="06360B57" w14:textId="77777777" w:rsidR="000A13A2" w:rsidRDefault="000A13A2" w:rsidP="000A13A2">
      <w:pPr>
        <w:pStyle w:val="FootnoteText"/>
      </w:pPr>
      <w:r>
        <w:rPr>
          <w:rStyle w:val="FootnoteReference"/>
        </w:rPr>
        <w:footnoteRef/>
      </w:r>
      <w:r>
        <w:t xml:space="preserve"> </w:t>
      </w:r>
      <w:r w:rsidRPr="00351BE4">
        <w:t xml:space="preserve">Appointed in 2022, Marie Josée Houle is Canada’s first Federal Housing Advocate. </w:t>
      </w:r>
      <w:r w:rsidRPr="00351BE4">
        <w:rPr>
          <w:rFonts w:cs="Arial"/>
          <w:lang w:val="en"/>
        </w:rPr>
        <w:t xml:space="preserve">The </w:t>
      </w:r>
      <w:r>
        <w:rPr>
          <w:rFonts w:cs="Arial"/>
          <w:lang w:val="en"/>
        </w:rPr>
        <w:t>Act mandates the Advocate to monitor the national housing strategy, engage</w:t>
      </w:r>
      <w:r w:rsidRPr="00351BE4">
        <w:rPr>
          <w:rFonts w:cs="Arial"/>
          <w:lang w:val="en"/>
        </w:rPr>
        <w:t xml:space="preserve"> with rights holders and civil society, receive submissions</w:t>
      </w:r>
      <w:r>
        <w:rPr>
          <w:rFonts w:cs="Arial"/>
          <w:lang w:val="en"/>
        </w:rPr>
        <w:t xml:space="preserve"> from individuals and organizations</w:t>
      </w:r>
      <w:r w:rsidRPr="00351BE4">
        <w:rPr>
          <w:rFonts w:cs="Arial"/>
          <w:lang w:val="en"/>
        </w:rPr>
        <w:t>, and produce reports with recommendations</w:t>
      </w:r>
      <w:r>
        <w:rPr>
          <w:rFonts w:cs="Arial"/>
          <w:lang w:val="en"/>
        </w:rPr>
        <w:t xml:space="preserve"> on systemic housing issues</w:t>
      </w:r>
      <w:r w:rsidRPr="00351BE4">
        <w:rPr>
          <w:rFonts w:cs="Arial"/>
          <w:lang w:val="en"/>
        </w:rPr>
        <w:t xml:space="preserve"> to the federal minister responsible for housing.</w:t>
      </w:r>
      <w:r>
        <w:rPr>
          <w:rFonts w:cs="Arial"/>
          <w:lang w:val="en"/>
        </w:rPr>
        <w:t xml:space="preserve"> The Advocate does not have enforcement powers and is not an individual recourse mechanism. The Office of the Federal Housing Advocate (OFHA) </w:t>
      </w:r>
      <w:proofErr w:type="gramStart"/>
      <w:r>
        <w:rPr>
          <w:rFonts w:cs="Arial"/>
          <w:lang w:val="en"/>
        </w:rPr>
        <w:t>is located in</w:t>
      </w:r>
      <w:proofErr w:type="gramEnd"/>
      <w:r>
        <w:rPr>
          <w:rFonts w:cs="Arial"/>
          <w:lang w:val="en"/>
        </w:rPr>
        <w:t xml:space="preserve"> the Canadian Human Rights Commission.</w:t>
      </w:r>
    </w:p>
  </w:footnote>
  <w:footnote w:id="7">
    <w:p w14:paraId="625DB064" w14:textId="269FDDB0" w:rsidR="000A13A2" w:rsidRDefault="000A13A2" w:rsidP="000A13A2">
      <w:pPr>
        <w:pStyle w:val="FootnoteText"/>
      </w:pPr>
      <w:r>
        <w:rPr>
          <w:rStyle w:val="FootnoteReference"/>
        </w:rPr>
        <w:footnoteRef/>
      </w:r>
      <w:r>
        <w:t xml:space="preserve"> The Act requires Canada to develop and maintain a national housing strategy that is focused on improving housing outcomes for persons in greatest need. The National Housing Strategy launched in 201</w:t>
      </w:r>
      <w:r w:rsidR="00B81580">
        <w:t>7</w:t>
      </w:r>
      <w:r>
        <w:t xml:space="preserve"> </w:t>
      </w:r>
      <w:hyperlink r:id="rId5" w:history="1">
        <w:r w:rsidR="00B81580" w:rsidRPr="00A44E84">
          <w:rPr>
            <w:rStyle w:val="Hyperlink"/>
          </w:rPr>
          <w:t>https://www.placetocallhome.ca/</w:t>
        </w:r>
      </w:hyperlink>
      <w:r>
        <w:t xml:space="preserve"> has since been expanded with new funds, programs, and policies, including Canada’s Housing Plan announced in early 2024 </w:t>
      </w:r>
      <w:hyperlink r:id="rId6" w:history="1">
        <w:r w:rsidRPr="006946D8">
          <w:rPr>
            <w:rStyle w:val="Hyperlink"/>
          </w:rPr>
          <w:t>https://housing-infrastructure.canada.ca/housing-logement/housing-plan-logement-eng.html</w:t>
        </w:r>
      </w:hyperlink>
      <w:r>
        <w:t>.</w:t>
      </w:r>
    </w:p>
  </w:footnote>
  <w:footnote w:id="8">
    <w:p w14:paraId="3F44D77A" w14:textId="09E948BB" w:rsidR="000A13A2" w:rsidRDefault="000A13A2" w:rsidP="000A13A2">
      <w:pPr>
        <w:pStyle w:val="FootnoteText"/>
      </w:pPr>
      <w:r>
        <w:rPr>
          <w:rStyle w:val="FootnoteReference"/>
        </w:rPr>
        <w:footnoteRef/>
      </w:r>
      <w:r>
        <w:t xml:space="preserve"> Priority groups listed in the National Housing Strategy include </w:t>
      </w:r>
      <w:r w:rsidRPr="000C5E15">
        <w:rPr>
          <w:rFonts w:cs="Arial"/>
          <w:lang w:val="en"/>
        </w:rPr>
        <w:t>Indigenous people</w:t>
      </w:r>
      <w:r w:rsidR="00F21094">
        <w:rPr>
          <w:rFonts w:cs="Arial"/>
          <w:lang w:val="en"/>
        </w:rPr>
        <w:t>s</w:t>
      </w:r>
      <w:r w:rsidRPr="000C5E15">
        <w:rPr>
          <w:rFonts w:cs="Arial"/>
          <w:lang w:val="en"/>
        </w:rPr>
        <w:t>; adults and children fleeing domestic violence; seniors;</w:t>
      </w:r>
      <w:r>
        <w:rPr>
          <w:rFonts w:cs="Arial"/>
          <w:lang w:val="en"/>
        </w:rPr>
        <w:t xml:space="preserve"> </w:t>
      </w:r>
      <w:r w:rsidRPr="000C5E15">
        <w:rPr>
          <w:rFonts w:cs="Arial"/>
          <w:lang w:val="en"/>
        </w:rPr>
        <w:t>people who identify as 2SLGBTQI+; people with disabilities; people with mental health or addiction disabilities; veterans; young adults; racialized groups; newcomers, especially refugees and refugee claimants; and others.</w:t>
      </w:r>
    </w:p>
  </w:footnote>
  <w:footnote w:id="9">
    <w:p w14:paraId="7BC07060" w14:textId="4E710164" w:rsidR="000A13A2" w:rsidRPr="005A2446" w:rsidRDefault="000A13A2" w:rsidP="000A13A2">
      <w:pPr>
        <w:pStyle w:val="FootnoteText"/>
      </w:pPr>
      <w:r>
        <w:rPr>
          <w:rStyle w:val="FootnoteReference"/>
        </w:rPr>
        <w:footnoteRef/>
      </w:r>
      <w:r>
        <w:t xml:space="preserve"> As discussed below in the section on pay equity, women</w:t>
      </w:r>
      <w:r w:rsidRPr="005A2446">
        <w:rPr>
          <w:lang w:val="en"/>
        </w:rPr>
        <w:t xml:space="preserve"> are more likely to have lower waged and precarious employment</w:t>
      </w:r>
      <w:r w:rsidR="00F21094">
        <w:rPr>
          <w:lang w:val="en"/>
        </w:rPr>
        <w:t>,</w:t>
      </w:r>
      <w:r w:rsidRPr="005A2446">
        <w:rPr>
          <w:lang w:val="en"/>
        </w:rPr>
        <w:t xml:space="preserve"> which affects their ability to access adequate and affordable housing.</w:t>
      </w:r>
      <w:r>
        <w:rPr>
          <w:lang w:val="en"/>
        </w:rPr>
        <w:t xml:space="preserve"> Income benefits for people without employment are below the poverty line across Canada, disproportionately affecting lone parent mothers and women with disabilities. </w:t>
      </w:r>
      <w:hyperlink r:id="rId7" w:history="1">
        <w:r w:rsidRPr="007E1D38">
          <w:rPr>
            <w:rStyle w:val="Hyperlink"/>
            <w:lang w:val="en"/>
          </w:rPr>
          <w:t>https://maytree.com/media-releases/welfare-incomes-keep-almost-all-households-living-below-the-poverty-line-latest-welfare-in-canada-report/</w:t>
        </w:r>
      </w:hyperlink>
      <w:r>
        <w:rPr>
          <w:lang w:val="en"/>
        </w:rPr>
        <w:t xml:space="preserve"> </w:t>
      </w:r>
    </w:p>
  </w:footnote>
  <w:footnote w:id="10">
    <w:p w14:paraId="20A41148" w14:textId="77777777" w:rsidR="000A13A2" w:rsidRPr="00302577" w:rsidRDefault="000A13A2" w:rsidP="000A13A2">
      <w:pPr>
        <w:pStyle w:val="FootnoteText"/>
      </w:pPr>
      <w:r>
        <w:rPr>
          <w:rStyle w:val="FootnoteReference"/>
        </w:rPr>
        <w:footnoteRef/>
      </w:r>
      <w:r>
        <w:t xml:space="preserve"> </w:t>
      </w:r>
      <w:r w:rsidRPr="00302577">
        <w:t>A household is said to be in core housing need if their dwelling falls below at least one of the affordability, suitability, or condition of dwelling standards, and would have to spend 30% or more of their total before-tax income to pay the median rent of alternative local housing that is acceptable (meets all three housing standards).</w:t>
      </w:r>
      <w:r>
        <w:t xml:space="preserve"> Data from Statistics Canada demonstrate that c</w:t>
      </w:r>
      <w:r w:rsidRPr="00302577">
        <w:t>ompared to men, women were more likely to live in unaffordable housing and be in core housing need. Gender diverse individuals were more likely to live in a dwelling requiring major repairs.</w:t>
      </w:r>
      <w:r>
        <w:t xml:space="preserve"> </w:t>
      </w:r>
      <w:hyperlink r:id="rId8" w:history="1">
        <w:r w:rsidRPr="007E1D38">
          <w:rPr>
            <w:rStyle w:val="Hyperlink"/>
          </w:rPr>
          <w:t>https://www150.statcan.gc.ca/n1/pub/46-28-0001/2021001/article/00001-eng.htm</w:t>
        </w:r>
      </w:hyperlink>
      <w:r>
        <w:t xml:space="preserve"> </w:t>
      </w:r>
    </w:p>
  </w:footnote>
  <w:footnote w:id="11">
    <w:p w14:paraId="5137BB1E" w14:textId="71922523" w:rsidR="000A13A2" w:rsidRPr="00890D1A" w:rsidRDefault="000A13A2" w:rsidP="000A13A2">
      <w:pPr>
        <w:pStyle w:val="FootnoteText"/>
      </w:pPr>
      <w:r>
        <w:rPr>
          <w:rStyle w:val="FootnoteReference"/>
        </w:rPr>
        <w:footnoteRef/>
      </w:r>
      <w:r>
        <w:t xml:space="preserve"> Housing discrimination is particularly acute for trans and gender-diverse people: a report by Trans</w:t>
      </w:r>
      <w:r w:rsidR="00D04CCC">
        <w:t xml:space="preserve"> PULSE</w:t>
      </w:r>
      <w:r>
        <w:t xml:space="preserve"> Canada found that </w:t>
      </w:r>
      <w:r w:rsidRPr="00167F9D">
        <w:t>26% of gender-diverse people have lost their housing due to discrimination and/or harassment</w:t>
      </w:r>
      <w:r>
        <w:t xml:space="preserve">, and </w:t>
      </w:r>
      <w:r w:rsidRPr="00167F9D">
        <w:t xml:space="preserve">43% reported experiencing discrimination from landlords and/or property managers </w:t>
      </w:r>
      <w:r w:rsidR="000B12A0">
        <w:t>because</w:t>
      </w:r>
      <w:r w:rsidRPr="000B12A0">
        <w:t xml:space="preserve"> of</w:t>
      </w:r>
      <w:r w:rsidR="00AA7778">
        <w:t xml:space="preserve"> who they are</w:t>
      </w:r>
      <w:r>
        <w:t>.</w:t>
      </w:r>
      <w:r w:rsidR="00D04CCC">
        <w:t xml:space="preserve"> </w:t>
      </w:r>
      <w:hyperlink r:id="rId9" w:history="1">
        <w:r w:rsidR="00D04CCC" w:rsidRPr="00D75366">
          <w:rPr>
            <w:rStyle w:val="Hyperlink"/>
          </w:rPr>
          <w:t>https://transpulsecanada.ca/results/responsive-report-housing-barriers-among-trans-and-non-binary-adults-in-canada</w:t>
        </w:r>
      </w:hyperlink>
      <w:r w:rsidR="00D04CCC" w:rsidRPr="00890D1A">
        <w:t>.</w:t>
      </w:r>
    </w:p>
  </w:footnote>
  <w:footnote w:id="12">
    <w:p w14:paraId="62123E12" w14:textId="56C96003" w:rsidR="000A13A2" w:rsidRDefault="000A13A2" w:rsidP="000A13A2">
      <w:pPr>
        <w:pStyle w:val="FootnoteText"/>
      </w:pPr>
      <w:r>
        <w:rPr>
          <w:rStyle w:val="FootnoteReference"/>
        </w:rPr>
        <w:footnoteRef/>
      </w:r>
      <w:r>
        <w:t xml:space="preserve"> </w:t>
      </w:r>
      <w:r>
        <w:rPr>
          <w:lang w:val="en-US"/>
        </w:rPr>
        <w:t>Canada’s housing system is more than 95% privatized, with only 4% of housing in the non-market sector (public, non-profit, cooperative, or Indigenous).</w:t>
      </w:r>
      <w:r w:rsidR="00B81580">
        <w:rPr>
          <w:lang w:val="en-US"/>
        </w:rPr>
        <w:t xml:space="preserve"> </w:t>
      </w:r>
      <w:r>
        <w:t xml:space="preserve">Research on financialization of housing conducted for OFHA </w:t>
      </w:r>
      <w:r w:rsidRPr="00A4610C">
        <w:rPr>
          <w:rFonts w:cs="Arial"/>
        </w:rPr>
        <w:t>estimates that about one-third of all seniors’ housing in Canada has been financialized, along with 20-30 percent of purpose-built rental buildings</w:t>
      </w:r>
      <w:r w:rsidR="00AB6537">
        <w:rPr>
          <w:rFonts w:cs="Arial"/>
        </w:rPr>
        <w:t>:</w:t>
      </w:r>
      <w:r>
        <w:rPr>
          <w:rFonts w:cs="Arial"/>
        </w:rPr>
        <w:t xml:space="preserve"> </w:t>
      </w:r>
      <w:hyperlink r:id="rId10" w:history="1">
        <w:r w:rsidR="002316D9" w:rsidRPr="00CA060C">
          <w:rPr>
            <w:rStyle w:val="Hyperlink"/>
          </w:rPr>
          <w:t>https://homelesshub.ca/book/office-of-the-federal-housing-advocate/the-financialization-of-housing-in-canada/</w:t>
        </w:r>
      </w:hyperlink>
      <w:r w:rsidR="00AB6537" w:rsidRPr="00D75366">
        <w:rPr>
          <w:rStyle w:val="Hyperlink"/>
          <w:rFonts w:cs="Arial"/>
          <w:u w:val="none"/>
        </w:rPr>
        <w:t>.</w:t>
      </w:r>
      <w:r w:rsidR="002316D9">
        <w:rPr>
          <w:rStyle w:val="Hyperlink"/>
          <w:rFonts w:cs="Arial"/>
          <w:u w:val="none"/>
        </w:rPr>
        <w:t xml:space="preserve"> </w:t>
      </w:r>
      <w:r>
        <w:rPr>
          <w:rFonts w:cs="Arial"/>
        </w:rPr>
        <w:t xml:space="preserve">The Women’s National Housing and Homelessness Network contends that women are disproportionately impacted by financialization: </w:t>
      </w:r>
      <w:hyperlink r:id="rId11" w:history="1">
        <w:r w:rsidRPr="007B380C">
          <w:rPr>
            <w:rStyle w:val="Hyperlink"/>
            <w:rFonts w:cs="Arial"/>
          </w:rPr>
          <w:t>https://womenshomelessness.ca/wp-content/uploads/Submission-to-the-NHC-Review-Panel-NRHN-WNHHN-31-March-2023-FINAL.pdf</w:t>
        </w:r>
      </w:hyperlink>
      <w:r>
        <w:rPr>
          <w:rFonts w:cs="Arial"/>
        </w:rPr>
        <w:t xml:space="preserve"> </w:t>
      </w:r>
    </w:p>
  </w:footnote>
  <w:footnote w:id="13">
    <w:p w14:paraId="70E42003" w14:textId="6DD2F65B" w:rsidR="000A13A2" w:rsidRPr="001664D5" w:rsidRDefault="000A13A2" w:rsidP="000A13A2">
      <w:pPr>
        <w:pStyle w:val="FootnoteText"/>
      </w:pPr>
      <w:r>
        <w:rPr>
          <w:rStyle w:val="FootnoteReference"/>
        </w:rPr>
        <w:footnoteRef/>
      </w:r>
      <w:r>
        <w:t xml:space="preserve"> The Ontario Human Rights Commission reports: </w:t>
      </w:r>
      <w:r w:rsidRPr="001664D5">
        <w:t>“Poverty is directly connected to increased rates of gender-based violence. On any given night in Canada, there are over 6</w:t>
      </w:r>
      <w:r w:rsidR="00F21094">
        <w:t xml:space="preserve"> </w:t>
      </w:r>
      <w:r w:rsidRPr="001664D5">
        <w:t>000 women and children sleeping in shelters due to unsafe living conditions at home and a lack of access to other adequate housing options.”</w:t>
      </w:r>
      <w:r w:rsidRPr="00A56361">
        <w:t xml:space="preserve"> </w:t>
      </w:r>
      <w:hyperlink r:id="rId12" w:history="1">
        <w:r w:rsidRPr="001664D5">
          <w:rPr>
            <w:rStyle w:val="Hyperlink"/>
          </w:rPr>
          <w:t>OHRC engagement on poverty and systemic discrimination in the areas of accessible, adequate and affordable housing, mental health and addiction disabilities</w:t>
        </w:r>
      </w:hyperlink>
    </w:p>
  </w:footnote>
  <w:footnote w:id="14">
    <w:p w14:paraId="34263DC3" w14:textId="632E8779" w:rsidR="000B12A0" w:rsidRPr="000B12A0" w:rsidRDefault="000B12A0">
      <w:pPr>
        <w:pStyle w:val="FootnoteText"/>
      </w:pPr>
      <w:r>
        <w:rPr>
          <w:rStyle w:val="FootnoteReference"/>
        </w:rPr>
        <w:footnoteRef/>
      </w:r>
      <w:r>
        <w:t xml:space="preserve"> British Columbia’s Office of the Human Rights Commissioner reports that hidden homelessness is at least five times more common than visible homelessness (such as staying in a shelter or on the street), and disproportionately affects women.</w:t>
      </w:r>
    </w:p>
  </w:footnote>
  <w:footnote w:id="15">
    <w:p w14:paraId="43316479" w14:textId="38162A15" w:rsidR="000A13A2" w:rsidRPr="00EA7847" w:rsidRDefault="000A13A2" w:rsidP="000A13A2">
      <w:pPr>
        <w:pStyle w:val="FootnoteText"/>
      </w:pPr>
      <w:r>
        <w:rPr>
          <w:rStyle w:val="FootnoteReference"/>
        </w:rPr>
        <w:footnoteRef/>
      </w:r>
      <w:r>
        <w:t xml:space="preserve"> A report for OFHA found that </w:t>
      </w:r>
      <w:proofErr w:type="gramStart"/>
      <w:r w:rsidRPr="00EA7847">
        <w:t>the vast majority of</w:t>
      </w:r>
      <w:proofErr w:type="gramEnd"/>
      <w:r w:rsidRPr="00EA7847">
        <w:t xml:space="preserve"> shelter beds in Canada are either designated for men or are co-ed (68 percent), with only 13 percent dedicated specifically for women.</w:t>
      </w:r>
      <w:r>
        <w:t xml:space="preserve"> Women’s National Housing and Homelessness Network: Implementation of the right to housing for women, girls, and gender-diverse people in Canada. </w:t>
      </w:r>
      <w:hyperlink r:id="rId13" w:history="1">
        <w:r w:rsidRPr="007B380C">
          <w:rPr>
            <w:rStyle w:val="Hyperlink"/>
          </w:rPr>
          <w:t>https://womenshomelessness.ca/wp-content/uploads/EN_CHRC_13-1.pdf</w:t>
        </w:r>
      </w:hyperlink>
      <w:r>
        <w:t xml:space="preserve"> </w:t>
      </w:r>
    </w:p>
  </w:footnote>
  <w:footnote w:id="16">
    <w:p w14:paraId="58E853EA" w14:textId="7CE75B36" w:rsidR="000A13A2" w:rsidRPr="00022908" w:rsidRDefault="000A13A2" w:rsidP="000A13A2">
      <w:pPr>
        <w:pStyle w:val="FootnoteText"/>
        <w:rPr>
          <w:lang w:val="en-US"/>
        </w:rPr>
      </w:pPr>
      <w:r>
        <w:rPr>
          <w:rStyle w:val="FootnoteReference"/>
        </w:rPr>
        <w:footnoteRef/>
      </w:r>
      <w:r w:rsidRPr="00022908">
        <w:rPr>
          <w:lang w:val="en-US"/>
        </w:rPr>
        <w:t xml:space="preserve"> See th</w:t>
      </w:r>
      <w:r>
        <w:rPr>
          <w:lang w:val="en-US"/>
        </w:rPr>
        <w:t xml:space="preserve">e </w:t>
      </w:r>
      <w:r w:rsidR="00F21094">
        <w:rPr>
          <w:lang w:val="en-US"/>
        </w:rPr>
        <w:t>I</w:t>
      </w:r>
      <w:r>
        <w:rPr>
          <w:lang w:val="en-US"/>
        </w:rPr>
        <w:t xml:space="preserve">nterim report of the Advocate’s review of homeless encampments: </w:t>
      </w:r>
      <w:r w:rsidRPr="00022908">
        <w:rPr>
          <w:lang w:val="en-US"/>
        </w:rPr>
        <w:t xml:space="preserve"> </w:t>
      </w:r>
      <w:hyperlink r:id="rId14" w:history="1">
        <w:r w:rsidRPr="00022908">
          <w:rPr>
            <w:rStyle w:val="Hyperlink"/>
            <w:lang w:val="en-US"/>
          </w:rPr>
          <w:t>https://www.housingchrc.ca/sites/housing/files/2023-10/ofha_-_interim_report_on_encampments_-_en_-_october_2023.pdf</w:t>
        </w:r>
      </w:hyperlink>
      <w:bookmarkStart w:id="9" w:name="_Hlk173247983"/>
    </w:p>
    <w:bookmarkEnd w:id="9"/>
  </w:footnote>
  <w:footnote w:id="17">
    <w:p w14:paraId="63E82FAB" w14:textId="77777777" w:rsidR="000A13A2" w:rsidRDefault="000A13A2" w:rsidP="000A13A2">
      <w:pPr>
        <w:pStyle w:val="FootnoteText"/>
      </w:pPr>
      <w:r>
        <w:rPr>
          <w:rStyle w:val="FootnoteReference"/>
        </w:rPr>
        <w:footnoteRef/>
      </w:r>
      <w:r>
        <w:t xml:space="preserve"> During the Advocate’s review of encampments, r</w:t>
      </w:r>
      <w:r w:rsidRPr="004B6FE9">
        <w:t>oundtable participants lamented the lack of emergency resources specifically for women and 2SLGBTQQIA+ people</w:t>
      </w:r>
      <w:r>
        <w:t>.</w:t>
      </w:r>
    </w:p>
  </w:footnote>
  <w:footnote w:id="18">
    <w:p w14:paraId="5D799008" w14:textId="5611DAAB" w:rsidR="000A13A2" w:rsidRPr="006C2932" w:rsidRDefault="000A13A2" w:rsidP="000A13A2">
      <w:pPr>
        <w:pStyle w:val="FootnoteText"/>
      </w:pPr>
      <w:r>
        <w:rPr>
          <w:rStyle w:val="FootnoteReference"/>
        </w:rPr>
        <w:footnoteRef/>
      </w:r>
      <w:r>
        <w:t xml:space="preserve"> For example, the National Housing Council found that fewer than 5% of new units funded by the largest capital programs of the NHS were affordable to lone-mother-led families: </w:t>
      </w:r>
      <w:hyperlink r:id="rId15" w:history="1">
        <w:r w:rsidRPr="007B380C">
          <w:rPr>
            <w:rStyle w:val="Hyperlink"/>
          </w:rPr>
          <w:t>https://assets.cmhc-schl.gc.ca/sites/place-to-call-home/pdfs/analysis-affordable-housing-supply-created-unilateral-nhs-programs-en.pdf</w:t>
        </w:r>
      </w:hyperlink>
      <w:r>
        <w:t xml:space="preserve">. A report by the Auditor General of Canada concluded that Canada </w:t>
      </w:r>
      <w:r w:rsidRPr="003571B0">
        <w:t xml:space="preserve">did not know whether chronic homelessness and homelessness had decreased </w:t>
      </w:r>
      <w:proofErr w:type="gramStart"/>
      <w:r w:rsidRPr="003571B0">
        <w:t>as a result of</w:t>
      </w:r>
      <w:proofErr w:type="gramEnd"/>
      <w:r w:rsidRPr="003571B0">
        <w:t xml:space="preserve"> </w:t>
      </w:r>
      <w:r>
        <w:t xml:space="preserve">federal homelessness programs, and </w:t>
      </w:r>
      <w:r w:rsidRPr="003571B0">
        <w:t xml:space="preserve">that rental housing units </w:t>
      </w:r>
      <w:r>
        <w:t>built by NHS programs</w:t>
      </w:r>
      <w:r w:rsidRPr="003571B0">
        <w:t xml:space="preserve"> were often unaffordable for low-income households</w:t>
      </w:r>
      <w:r>
        <w:t xml:space="preserve">. </w:t>
      </w:r>
      <w:hyperlink r:id="rId16" w:history="1">
        <w:r w:rsidRPr="007B380C">
          <w:rPr>
            <w:rStyle w:val="Hyperlink"/>
          </w:rPr>
          <w:t>https://www.oag-bvg.gc.ca/internet/english/parl_oag_202211_05_e_44151.html</w:t>
        </w:r>
      </w:hyperlink>
      <w:r>
        <w:t xml:space="preserve"> </w:t>
      </w:r>
    </w:p>
  </w:footnote>
  <w:footnote w:id="19">
    <w:p w14:paraId="367F57B4" w14:textId="5E973B5C" w:rsidR="00C74419" w:rsidRPr="00C74419" w:rsidRDefault="00C74419">
      <w:pPr>
        <w:pStyle w:val="FootnoteText"/>
      </w:pPr>
      <w:r>
        <w:rPr>
          <w:rStyle w:val="FootnoteReference"/>
        </w:rPr>
        <w:footnoteRef/>
      </w:r>
      <w:r>
        <w:t xml:space="preserve"> </w:t>
      </w:r>
      <w:r w:rsidRPr="00C74419">
        <w:t>The term “Indigenous” or “Indigenous peoples” is used throughout this submission to refer to First Nations, Inuit and Métis peoples in Canada.</w:t>
      </w:r>
    </w:p>
  </w:footnote>
  <w:footnote w:id="20">
    <w:p w14:paraId="1B9765BD" w14:textId="500F2DB2" w:rsidR="000A13A2" w:rsidRPr="00302577" w:rsidRDefault="000A13A2" w:rsidP="000A13A2">
      <w:pPr>
        <w:pStyle w:val="FootnoteText"/>
      </w:pPr>
      <w:r>
        <w:rPr>
          <w:rStyle w:val="FootnoteReference"/>
        </w:rPr>
        <w:footnoteRef/>
      </w:r>
      <w:r>
        <w:t xml:space="preserve"> For more detail on rates of inadequate housing among women from disadvantaged groups, see the Housing Experiences in Canada fact sheets developed by OFHA with Statistics Canada</w:t>
      </w:r>
      <w:r w:rsidRPr="00700FE3">
        <w:t>:</w:t>
      </w:r>
      <w:r w:rsidRPr="00CA693A">
        <w:rPr>
          <w:highlight w:val="yellow"/>
        </w:rPr>
        <w:t xml:space="preserve"> </w:t>
      </w:r>
      <w:hyperlink r:id="rId17" w:history="1">
        <w:r w:rsidR="00B81580" w:rsidRPr="00A44E84">
          <w:rPr>
            <w:rStyle w:val="Hyperlink"/>
          </w:rPr>
          <w:t>https://www150.statcan.gc.ca/n1/pub/46-28-0001/462800012021001-eng.htm</w:t>
        </w:r>
      </w:hyperlink>
      <w:r w:rsidR="00B81580">
        <w:t xml:space="preserve"> </w:t>
      </w:r>
    </w:p>
  </w:footnote>
  <w:footnote w:id="21">
    <w:p w14:paraId="1A26CD8B" w14:textId="010110F6" w:rsidR="000A13A2" w:rsidRPr="0038224E" w:rsidRDefault="000A13A2" w:rsidP="000A13A2">
      <w:pPr>
        <w:pStyle w:val="FootnoteText"/>
      </w:pPr>
      <w:r>
        <w:rPr>
          <w:rStyle w:val="FootnoteReference"/>
        </w:rPr>
        <w:footnoteRef/>
      </w:r>
      <w:r>
        <w:t xml:space="preserve"> </w:t>
      </w:r>
      <w:r w:rsidR="000365FF">
        <w:t>Systemic housing disadvantage is one facet of the pressing human rights issues discussed below in Section 7 on Indigenous women and girls.</w:t>
      </w:r>
      <w:r w:rsidR="009B30DF">
        <w:t xml:space="preserve"> </w:t>
      </w:r>
      <w:r w:rsidR="000365FF">
        <w:t xml:space="preserve">For more information on Indigenous women’s experiences of homelessness and inadequate housing, see: </w:t>
      </w:r>
      <w:r>
        <w:t>National Indigenous Feminist Housing Working Group (2022) Homeless on homelands: Upholding housing as a human right for Indigenous women, girls, Two-Spirit, and gender-diverse people. Submission to the Federal Housing Advocate</w:t>
      </w:r>
      <w:r w:rsidR="00AB6537">
        <w:t>:</w:t>
      </w:r>
      <w:r w:rsidRPr="0038224E">
        <w:t xml:space="preserve"> </w:t>
      </w:r>
      <w:hyperlink r:id="rId18" w:history="1">
        <w:r w:rsidRPr="007B380C">
          <w:rPr>
            <w:rStyle w:val="Hyperlink"/>
          </w:rPr>
          <w:t>https://womenshomelessness.ca/wp-content/uploads/Indigenous-Housing-Claim-June-15-2022.pdf</w:t>
        </w:r>
      </w:hyperlink>
      <w:r>
        <w:t xml:space="preserve"> </w:t>
      </w:r>
    </w:p>
  </w:footnote>
  <w:footnote w:id="22">
    <w:p w14:paraId="11C9DBAA" w14:textId="0FCED9CF" w:rsidR="000A13A2" w:rsidRDefault="000A13A2" w:rsidP="000A13A2">
      <w:pPr>
        <w:pStyle w:val="FootnoteText"/>
      </w:pPr>
      <w:r>
        <w:rPr>
          <w:rStyle w:val="FootnoteReference"/>
        </w:rPr>
        <w:footnoteRef/>
      </w:r>
      <w:r>
        <w:t xml:space="preserve"> </w:t>
      </w:r>
      <w:r w:rsidR="00187223">
        <w:t xml:space="preserve">Research conducted for OFHA highlights the intersecting barriers to adequate housing encountered by trans and gender-diverse people: </w:t>
      </w:r>
      <w:hyperlink r:id="rId19" w:history="1">
        <w:r w:rsidR="00B81580" w:rsidRPr="00A44E84">
          <w:rPr>
            <w:rStyle w:val="Hyperlink"/>
          </w:rPr>
          <w:t>https://www.housingchrc.ca/en/joint-statement-trans-visibility-starts-by-upholding-trans-human-rights</w:t>
        </w:r>
      </w:hyperlink>
      <w:r w:rsidR="00AB6537" w:rsidRPr="00B8139D">
        <w:rPr>
          <w:rStyle w:val="Hyperlink"/>
          <w:u w:val="none"/>
        </w:rPr>
        <w:t>.</w:t>
      </w:r>
      <w:r w:rsidR="00B81580">
        <w:t xml:space="preserve"> </w:t>
      </w:r>
    </w:p>
  </w:footnote>
  <w:footnote w:id="23">
    <w:p w14:paraId="07FCD3EA" w14:textId="6DEA5208" w:rsidR="000A13A2" w:rsidRDefault="000A13A2" w:rsidP="000A13A2">
      <w:pPr>
        <w:pStyle w:val="FootnoteText"/>
      </w:pPr>
      <w:r>
        <w:rPr>
          <w:rStyle w:val="FootnoteReference"/>
        </w:rPr>
        <w:footnoteRef/>
      </w:r>
      <w:r>
        <w:t xml:space="preserve"> </w:t>
      </w:r>
      <w:r w:rsidRPr="008420CA">
        <w:t>A majority of gender-diverse participants identified as being a survivor of trauma and abuse (84%), and 21% identified as having been involved in sex trafficking (double that of cisgender women (10%))</w:t>
      </w:r>
      <w:r w:rsidR="00AB6537">
        <w:t xml:space="preserve">: </w:t>
      </w:r>
      <w:hyperlink r:id="rId20" w:history="1">
        <w:r w:rsidR="00AB6537" w:rsidRPr="00ED1E71">
          <w:rPr>
            <w:rStyle w:val="Hyperlink"/>
          </w:rPr>
          <w:t>https://womenshomelessness.ca/wp-content/uploads/Research-Brief-on-Housing-Need-Homelessness-amongst-Gender-Diverse-Persons.pdf</w:t>
        </w:r>
      </w:hyperlink>
      <w:r w:rsidR="00AB6537" w:rsidRPr="00B8139D">
        <w:rPr>
          <w:rStyle w:val="Hyperlink"/>
          <w:u w:val="none"/>
        </w:rPr>
        <w:t>.</w:t>
      </w:r>
    </w:p>
  </w:footnote>
  <w:footnote w:id="24">
    <w:p w14:paraId="095A729B" w14:textId="05FEB70E" w:rsidR="000A13A2" w:rsidRPr="009935C8" w:rsidRDefault="000A13A2" w:rsidP="000A13A2">
      <w:pPr>
        <w:pStyle w:val="FootnoteText"/>
      </w:pPr>
      <w:r>
        <w:rPr>
          <w:rStyle w:val="FootnoteReference"/>
        </w:rPr>
        <w:footnoteRef/>
      </w:r>
      <w:r>
        <w:t xml:space="preserve"> OFHA and CHRC have developed a framework for monitoring the right to adequate housing for people with disabilities in Canada. The framework uses publicly available data to track Canada’s compliance with its human rights obligations under the National Housing Strategy Act, the Convention on the Rights of Persons with Disabilities, and the </w:t>
      </w:r>
      <w:r w:rsidR="00073059">
        <w:t xml:space="preserve">International Covenant </w:t>
      </w:r>
      <w:r>
        <w:t xml:space="preserve">on Economic, Social, and Cultural Rights. Early results show that </w:t>
      </w:r>
      <w:r w:rsidRPr="009935C8">
        <w:t xml:space="preserve">women with disabilities are </w:t>
      </w:r>
      <w:r>
        <w:t>4</w:t>
      </w:r>
      <w:r w:rsidRPr="009935C8">
        <w:t xml:space="preserve"> times more likely to experience homelessness. Of women with disabilities who have been homeless, </w:t>
      </w:r>
      <w:r>
        <w:t>63</w:t>
      </w:r>
      <w:r w:rsidRPr="009935C8">
        <w:t>% report that it was caused by violence</w:t>
      </w:r>
      <w:r w:rsidR="00D04CCC">
        <w:t>. See</w:t>
      </w:r>
      <w:r w:rsidR="009D19EF">
        <w:t xml:space="preserve"> our report on monitoring the right to housing for people with disabilities:</w:t>
      </w:r>
      <w:r>
        <w:t xml:space="preserve"> </w:t>
      </w:r>
      <w:hyperlink r:id="rId21" w:history="1">
        <w:r w:rsidR="00B81580" w:rsidRPr="00A44E84">
          <w:rPr>
            <w:rStyle w:val="Hyperlink"/>
          </w:rPr>
          <w:t>https://www.chrc-ccdp.gc.ca/en/resources/monitoring-the-right-housing-people-disabilities?utm_source=newsletter&amp;utm_medium=email&amp;utm_campaign=new-project</w:t>
        </w:r>
      </w:hyperlink>
      <w:r w:rsidR="00B81580">
        <w:t xml:space="preserve"> </w:t>
      </w:r>
    </w:p>
  </w:footnote>
  <w:footnote w:id="25">
    <w:p w14:paraId="6DEB596E" w14:textId="17C13AE7" w:rsidR="000A13A2" w:rsidRPr="00022908" w:rsidRDefault="000A13A2" w:rsidP="000A13A2">
      <w:pPr>
        <w:pStyle w:val="FootnoteText"/>
        <w:rPr>
          <w:lang w:val="en-US"/>
        </w:rPr>
      </w:pPr>
      <w:r>
        <w:rPr>
          <w:rStyle w:val="FootnoteReference"/>
        </w:rPr>
        <w:footnoteRef/>
      </w:r>
      <w:r>
        <w:t xml:space="preserve"> </w:t>
      </w:r>
      <w:r>
        <w:rPr>
          <w:lang w:val="en-US"/>
        </w:rPr>
        <w:t xml:space="preserve">Review Panels are a participatory human rights accountability mechanism established by the National Housing Strategy Act. Under the Act, the Advocate can request that the National Housing Council form a Review Panel to hold a hearing into a systemic housing issue identified in a submission. See the Advocate’s request: </w:t>
      </w:r>
      <w:hyperlink r:id="rId22" w:history="1">
        <w:r w:rsidR="00B81580" w:rsidRPr="00A44E84">
          <w:rPr>
            <w:rStyle w:val="Hyperlink"/>
            <w:lang w:val="en-US"/>
          </w:rPr>
          <w:t>https://www.housingchrc.ca/en/federal-housing-advocate-requests-review-into-the-failure-to-eliminate-homelessness-amongst-women-and-gender-diverse-people</w:t>
        </w:r>
      </w:hyperlink>
      <w:r w:rsidR="00B81580">
        <w:rPr>
          <w:lang w:val="en-US"/>
        </w:rPr>
        <w:t xml:space="preserve"> </w:t>
      </w:r>
    </w:p>
  </w:footnote>
  <w:footnote w:id="26">
    <w:p w14:paraId="2C246B9B" w14:textId="77777777" w:rsidR="00110240" w:rsidRPr="00B53FE4" w:rsidRDefault="00110240" w:rsidP="00110240">
      <w:pPr>
        <w:pStyle w:val="FootnoteText"/>
        <w:rPr>
          <w:lang w:val="en-US"/>
        </w:rPr>
      </w:pPr>
      <w:r>
        <w:rPr>
          <w:rStyle w:val="FootnoteReference"/>
        </w:rPr>
        <w:footnoteRef/>
      </w:r>
      <w:r>
        <w:t xml:space="preserve"> </w:t>
      </w:r>
      <w:r>
        <w:rPr>
          <w:lang w:val="en-US"/>
        </w:rPr>
        <w:t xml:space="preserve">Statistics Canada. Table 14-10-0417-01. Employee wages by occupation, annual. DOI: </w:t>
      </w:r>
      <w:hyperlink r:id="rId23" w:history="1">
        <w:r w:rsidRPr="004C0628">
          <w:rPr>
            <w:rStyle w:val="Hyperlink"/>
          </w:rPr>
          <w:t>https://doi.org/10.25318/1410041701-eng</w:t>
        </w:r>
      </w:hyperlink>
      <w:r>
        <w:rPr>
          <w:lang w:val="en-US"/>
        </w:rPr>
        <w:t xml:space="preserve"> </w:t>
      </w:r>
    </w:p>
  </w:footnote>
  <w:footnote w:id="27">
    <w:p w14:paraId="0C40EAAF" w14:textId="6AFD66D7" w:rsidR="00110240" w:rsidRPr="005F7A2E" w:rsidRDefault="00110240" w:rsidP="00110240">
      <w:pPr>
        <w:pStyle w:val="FootnoteText"/>
      </w:pPr>
      <w:r>
        <w:rPr>
          <w:rStyle w:val="FootnoteReference"/>
        </w:rPr>
        <w:footnoteRef/>
      </w:r>
      <w:r>
        <w:t xml:space="preserve"> </w:t>
      </w:r>
      <w:r w:rsidRPr="00A31E1F">
        <w:t xml:space="preserve">See, for example: “The Facts about the Gender Wage Gap in Canada.” </w:t>
      </w:r>
      <w:r w:rsidRPr="00982B4A">
        <w:rPr>
          <w:iCs/>
        </w:rPr>
        <w:t>Canadian Women’s Foundation</w:t>
      </w:r>
      <w:r w:rsidRPr="00A31E1F">
        <w:rPr>
          <w:i/>
        </w:rPr>
        <w:t xml:space="preserve">. </w:t>
      </w:r>
      <w:r w:rsidRPr="00A31E1F">
        <w:t>Published May 1</w:t>
      </w:r>
      <w:r w:rsidR="00933CA9">
        <w:t>,</w:t>
      </w:r>
      <w:r w:rsidRPr="00A31E1F">
        <w:t xml:space="preserve"> 2019. </w:t>
      </w:r>
      <w:hyperlink r:id="rId24" w:history="1">
        <w:r w:rsidRPr="00A31E1F">
          <w:rPr>
            <w:rStyle w:val="Hyperlink"/>
          </w:rPr>
          <w:t>https://www.canadianwomen.org/the-facts/the-wage-gap/</w:t>
        </w:r>
      </w:hyperlink>
      <w:r w:rsidRPr="00A31E1F">
        <w:t>;</w:t>
      </w:r>
      <w:r>
        <w:t xml:space="preserve"> </w:t>
      </w:r>
      <w:r w:rsidRPr="003A2E2B">
        <w:t xml:space="preserve">Sheila Block and Grace-Edward </w:t>
      </w:r>
      <w:proofErr w:type="spellStart"/>
      <w:r w:rsidRPr="003A2E2B">
        <w:t>Galabuzi</w:t>
      </w:r>
      <w:proofErr w:type="spellEnd"/>
      <w:r w:rsidRPr="003A2E2B">
        <w:t xml:space="preserve">. “Canada’s Colour Coded Labour Market: The Gap for Racialized Workers.” </w:t>
      </w:r>
      <w:r w:rsidRPr="00982B4A">
        <w:rPr>
          <w:iCs/>
        </w:rPr>
        <w:t>Canadian Centre for Policy Alternatives.</w:t>
      </w:r>
      <w:r w:rsidRPr="003A2E2B">
        <w:rPr>
          <w:i/>
        </w:rPr>
        <w:t xml:space="preserve"> </w:t>
      </w:r>
      <w:r w:rsidRPr="003A2E2B">
        <w:t xml:space="preserve">Published March 21, 2011, available at: </w:t>
      </w:r>
      <w:hyperlink r:id="rId25" w:history="1">
        <w:r w:rsidRPr="003A2E2B">
          <w:rPr>
            <w:rStyle w:val="Hyperlink"/>
          </w:rPr>
          <w:t>https://www.policyalternatives.ca/publications/reports/canadas-colour-coded-labour-market</w:t>
        </w:r>
      </w:hyperlink>
      <w:r>
        <w:t>; “</w:t>
      </w:r>
      <w:r w:rsidRPr="003A2E2B">
        <w:t xml:space="preserve">Intersectional Perspective on the Canadian Gender Wage Gap” </w:t>
      </w:r>
      <w:r w:rsidRPr="00982B4A">
        <w:t>Statistics Canada</w:t>
      </w:r>
      <w:r w:rsidRPr="003A2E2B">
        <w:rPr>
          <w:i/>
          <w:iCs/>
        </w:rPr>
        <w:t xml:space="preserve">. </w:t>
      </w:r>
      <w:r w:rsidRPr="003A2E2B">
        <w:t>Published September 21, 2023.</w:t>
      </w:r>
      <w:r w:rsidRPr="003A2E2B">
        <w:rPr>
          <w:u w:val="single"/>
        </w:rPr>
        <w:t xml:space="preserve">  </w:t>
      </w:r>
      <w:hyperlink r:id="rId26" w:history="1">
        <w:r w:rsidRPr="003A2E2B">
          <w:rPr>
            <w:rStyle w:val="Hyperlink"/>
          </w:rPr>
          <w:t>https://www150.statcan.gc.ca/n1/en/pub/45-20-0002/452000022023002-eng.pdf?st=nsbfmFg6</w:t>
        </w:r>
      </w:hyperlink>
      <w:r w:rsidRPr="003A2E2B">
        <w:rPr>
          <w:u w:val="single"/>
        </w:rPr>
        <w:t>.</w:t>
      </w:r>
    </w:p>
  </w:footnote>
  <w:footnote w:id="28">
    <w:p w14:paraId="3177F917" w14:textId="77777777" w:rsidR="00110240" w:rsidRPr="00CF4ECE" w:rsidRDefault="00110240" w:rsidP="00110240">
      <w:pPr>
        <w:pStyle w:val="FootnoteText"/>
        <w:rPr>
          <w:rFonts w:cs="Arial"/>
        </w:rPr>
      </w:pPr>
      <w:r w:rsidRPr="00262BB7">
        <w:rPr>
          <w:rStyle w:val="FootnoteReference"/>
          <w:rFonts w:cs="Arial"/>
        </w:rPr>
        <w:footnoteRef/>
      </w:r>
      <w:r w:rsidRPr="00647B80">
        <w:rPr>
          <w:rFonts w:cs="Arial"/>
        </w:rPr>
        <w:t xml:space="preserve"> </w:t>
      </w:r>
      <w:r w:rsidRPr="007857A2">
        <w:rPr>
          <w:rFonts w:cstheme="minorHAnsi"/>
        </w:rPr>
        <w:t xml:space="preserve">Statistics Canada, Table 11-10-0091-01 </w:t>
      </w:r>
      <w:r>
        <w:rPr>
          <w:rFonts w:cstheme="minorHAnsi"/>
        </w:rPr>
        <w:t>“</w:t>
      </w:r>
      <w:r w:rsidRPr="007857A2">
        <w:rPr>
          <w:rFonts w:cstheme="minorHAnsi"/>
        </w:rPr>
        <w:t>Average and median market, total and after-tax income of individuals by selected demographic characteristics</w:t>
      </w:r>
      <w:r w:rsidRPr="007857A2">
        <w:rPr>
          <w:rFonts w:cstheme="minorHAnsi"/>
          <w:i/>
          <w:iCs/>
        </w:rPr>
        <w:t xml:space="preserve">” </w:t>
      </w:r>
      <w:r w:rsidRPr="00982B4A">
        <w:rPr>
          <w:rFonts w:cstheme="minorHAnsi"/>
        </w:rPr>
        <w:t>Statistics Canada,</w:t>
      </w:r>
      <w:r w:rsidRPr="007857A2">
        <w:rPr>
          <w:rFonts w:cstheme="minorHAnsi"/>
        </w:rPr>
        <w:t xml:space="preserve"> April 26, 2024</w:t>
      </w:r>
      <w:r>
        <w:rPr>
          <w:rFonts w:cstheme="minorHAnsi"/>
        </w:rPr>
        <w:t>. Retrieved from:</w:t>
      </w:r>
      <w:r w:rsidRPr="007857A2">
        <w:rPr>
          <w:rFonts w:cstheme="minorHAnsi"/>
        </w:rPr>
        <w:t xml:space="preserve"> </w:t>
      </w:r>
      <w:hyperlink r:id="rId27" w:history="1">
        <w:r w:rsidRPr="00880EEF">
          <w:rPr>
            <w:rStyle w:val="Hyperlink"/>
            <w:rFonts w:cstheme="minorHAnsi"/>
          </w:rPr>
          <w:t>https://www150.statcan.gc.ca/t1/tbl1/en/cv.action?pid=1110009101</w:t>
        </w:r>
      </w:hyperlink>
      <w:r w:rsidRPr="007857A2">
        <w:rPr>
          <w:rFonts w:cstheme="minorHAnsi"/>
        </w:rPr>
        <w:t>; Carrly McDiarmid,</w:t>
      </w:r>
      <w:r w:rsidRPr="007857A2">
        <w:rPr>
          <w:rFonts w:cstheme="minorHAnsi"/>
        </w:rPr>
        <w:br/>
        <w:t xml:space="preserve">“Earnings Pay Gap among Persons with and without Disabilities, 2019,” </w:t>
      </w:r>
      <w:r w:rsidRPr="00042939">
        <w:rPr>
          <w:rFonts w:cstheme="minorHAnsi"/>
        </w:rPr>
        <w:t>Statistics Canada,</w:t>
      </w:r>
      <w:r w:rsidRPr="007857A2">
        <w:rPr>
          <w:rFonts w:cstheme="minorHAnsi"/>
        </w:rPr>
        <w:t xml:space="preserve"> June 27, 2023; </w:t>
      </w:r>
      <w:r>
        <w:rPr>
          <w:rFonts w:cstheme="minorHAnsi"/>
        </w:rPr>
        <w:t>“</w:t>
      </w:r>
      <w:r w:rsidRPr="007857A2">
        <w:rPr>
          <w:rFonts w:cstheme="minorHAnsi"/>
        </w:rPr>
        <w:t xml:space="preserve">Canadian Survey on Disability Reports.” </w:t>
      </w:r>
      <w:r w:rsidRPr="007857A2">
        <w:rPr>
          <w:rFonts w:cstheme="minorHAnsi"/>
          <w:i/>
        </w:rPr>
        <w:t xml:space="preserve">Statistics Canada. </w:t>
      </w:r>
      <w:r w:rsidRPr="007857A2">
        <w:rPr>
          <w:rFonts w:cstheme="minorHAnsi"/>
        </w:rPr>
        <w:t xml:space="preserve">Published November 28, 2018. </w:t>
      </w:r>
      <w:hyperlink r:id="rId28" w:history="1">
        <w:r w:rsidRPr="007857A2">
          <w:rPr>
            <w:rStyle w:val="Hyperlink"/>
            <w:rFonts w:cstheme="minorHAnsi"/>
          </w:rPr>
          <w:t>https://www150.statcan.gc.ca/n1/pub/89-654-x/89-654-x2018002-eng.htm</w:t>
        </w:r>
      </w:hyperlink>
      <w:r w:rsidRPr="007857A2">
        <w:rPr>
          <w:rFonts w:cstheme="minorHAnsi"/>
          <w:u w:val="single"/>
        </w:rPr>
        <w:t>.</w:t>
      </w:r>
      <w:r>
        <w:rPr>
          <w:rFonts w:cs="Arial"/>
          <w:u w:val="single"/>
        </w:rPr>
        <w:t xml:space="preserve"> </w:t>
      </w:r>
    </w:p>
  </w:footnote>
  <w:footnote w:id="29">
    <w:p w14:paraId="629BC610" w14:textId="77777777" w:rsidR="00110240" w:rsidRPr="00582B74" w:rsidRDefault="00110240" w:rsidP="00110240">
      <w:pPr>
        <w:pStyle w:val="FootnoteText"/>
      </w:pPr>
      <w:r>
        <w:rPr>
          <w:rStyle w:val="FootnoteReference"/>
        </w:rPr>
        <w:footnoteRef/>
      </w:r>
      <w:r>
        <w:t xml:space="preserve"> See for example: </w:t>
      </w:r>
      <w:r w:rsidRPr="00582B74">
        <w:t xml:space="preserve">BC Ministry of Labour and BC Ministry of Finance, </w:t>
      </w:r>
      <w:r>
        <w:t>“</w:t>
      </w:r>
      <w:hyperlink r:id="rId29" w:history="1">
        <w:r w:rsidRPr="00042939">
          <w:rPr>
            <w:rStyle w:val="Hyperlink"/>
          </w:rPr>
          <w:t>Developing Pay Transparency Legislation</w:t>
        </w:r>
      </w:hyperlink>
      <w:r>
        <w:t>”</w:t>
      </w:r>
      <w:r w:rsidRPr="00582B74">
        <w:t>, Discussion Paper, Government of British Columbia,</w:t>
      </w:r>
      <w:r>
        <w:t xml:space="preserve"> </w:t>
      </w:r>
      <w:r w:rsidRPr="00582B74">
        <w:t xml:space="preserve">June 2022; Ontario Pay Equity Office, </w:t>
      </w:r>
      <w:r>
        <w:t>“</w:t>
      </w:r>
      <w:r w:rsidRPr="00582B74">
        <w:t>The Gender Wage Gap: It’s More Than You Think</w:t>
      </w:r>
      <w:r>
        <w:t>”</w:t>
      </w:r>
      <w:r w:rsidRPr="00582B74">
        <w:t>, Ontario Pay Equity Office, accessed December 2022.</w:t>
      </w:r>
    </w:p>
  </w:footnote>
  <w:footnote w:id="30">
    <w:p w14:paraId="5DF00A06" w14:textId="3079CC8C" w:rsidR="00110240" w:rsidRPr="002A2E01" w:rsidRDefault="00110240" w:rsidP="00110240">
      <w:pPr>
        <w:pStyle w:val="FootnoteText"/>
        <w:rPr>
          <w:lang w:val="en-US"/>
        </w:rPr>
      </w:pPr>
      <w:r>
        <w:rPr>
          <w:rStyle w:val="FootnoteReference"/>
        </w:rPr>
        <w:footnoteRef/>
      </w:r>
      <w:r>
        <w:t xml:space="preserve"> See for example: </w:t>
      </w:r>
      <w:r w:rsidRPr="00A33508">
        <w:t xml:space="preserve">Canadian Labour Congress (2020) “Lessons of the pandemic must lead to change for frontline workers” Available from: </w:t>
      </w:r>
      <w:hyperlink r:id="rId30" w:history="1">
        <w:r w:rsidR="009F1C24" w:rsidRPr="003B023B">
          <w:rPr>
            <w:rStyle w:val="Hyperlink"/>
          </w:rPr>
          <w:t>https://canadianlabour.ca/lessons-of-the-pandemic-must-lead-to-change-for-frontlineworkers</w:t>
        </w:r>
      </w:hyperlink>
      <w:r w:rsidR="009F1C24">
        <w:t>;</w:t>
      </w:r>
      <w:r w:rsidRPr="00A33508">
        <w:t xml:space="preserve"> </w:t>
      </w:r>
      <w:hyperlink r:id="rId31" w:history="1">
        <w:proofErr w:type="spellStart"/>
        <w:r w:rsidRPr="0018785C">
          <w:rPr>
            <w:rStyle w:val="Hyperlink"/>
          </w:rPr>
          <w:t>Shrma</w:t>
        </w:r>
        <w:proofErr w:type="spellEnd"/>
        <w:r w:rsidRPr="0018785C">
          <w:rPr>
            <w:rStyle w:val="Hyperlink"/>
          </w:rPr>
          <w:t xml:space="preserve"> L</w:t>
        </w:r>
      </w:hyperlink>
      <w:r w:rsidRPr="0018785C">
        <w:t> and </w:t>
      </w:r>
      <w:hyperlink r:id="rId32" w:history="1">
        <w:r w:rsidRPr="0018785C">
          <w:rPr>
            <w:rStyle w:val="Hyperlink"/>
          </w:rPr>
          <w:t>Smith J</w:t>
        </w:r>
      </w:hyperlink>
      <w:r w:rsidRPr="0018785C">
        <w:t> (2021)</w:t>
      </w:r>
      <w:r w:rsidRPr="0018785C">
        <w:rPr>
          <w:b/>
          <w:bCs/>
        </w:rPr>
        <w:t> </w:t>
      </w:r>
      <w:r w:rsidRPr="009F1C24">
        <w:t>“</w:t>
      </w:r>
      <w:hyperlink r:id="rId33" w:history="1">
        <w:r w:rsidRPr="00982B4A">
          <w:rPr>
            <w:rStyle w:val="Hyperlink"/>
            <w:color w:val="5B9BD5" w:themeColor="accent1"/>
          </w:rPr>
          <w:t>Women in a COVID-19 recession: Employment, job loss and wage inequality in Canada, Gender and COVID-19 Evidence Download</w:t>
        </w:r>
      </w:hyperlink>
      <w:r w:rsidRPr="001F3BD9">
        <w:t>”</w:t>
      </w:r>
      <w:r>
        <w:t xml:space="preserve">; </w:t>
      </w:r>
      <w:r w:rsidRPr="00A33508">
        <w:t xml:space="preserve">Keskin, E., </w:t>
      </w:r>
      <w:proofErr w:type="spellStart"/>
      <w:r w:rsidRPr="00A33508">
        <w:t>Appau</w:t>
      </w:r>
      <w:proofErr w:type="spellEnd"/>
      <w:r w:rsidRPr="00A33508">
        <w:t xml:space="preserve">, A., Luig, T., </w:t>
      </w:r>
      <w:proofErr w:type="spellStart"/>
      <w:r w:rsidRPr="00A33508">
        <w:t>Ayis</w:t>
      </w:r>
      <w:proofErr w:type="spellEnd"/>
      <w:r w:rsidRPr="00A33508">
        <w:t xml:space="preserve">, D. and Parker, N. (2022) </w:t>
      </w:r>
      <w:r>
        <w:t>“</w:t>
      </w:r>
      <w:r w:rsidRPr="00A33508">
        <w:t>Discussion Paper: Reversing the Gendered Impact of COVID-19 on Labour Force Participation in Alberta.</w:t>
      </w:r>
      <w:r>
        <w:t>”</w:t>
      </w:r>
      <w:r w:rsidRPr="00A33508">
        <w:t xml:space="preserve"> Edmonton: </w:t>
      </w:r>
      <w:proofErr w:type="spellStart"/>
      <w:r w:rsidRPr="00A33508">
        <w:t>PolicyWise</w:t>
      </w:r>
      <w:proofErr w:type="spellEnd"/>
      <w:r w:rsidRPr="00A33508">
        <w:t xml:space="preserve"> for Children &amp; Families. </w:t>
      </w:r>
      <w:proofErr w:type="spellStart"/>
      <w:r w:rsidRPr="00A33508">
        <w:t>PolicyWise</w:t>
      </w:r>
      <w:proofErr w:type="spellEnd"/>
      <w:r w:rsidRPr="00A33508">
        <w:t xml:space="preserve"> for Children &amp; Families. Retrieved from: </w:t>
      </w:r>
      <w:hyperlink r:id="rId34" w:history="1">
        <w:r w:rsidRPr="00A33508">
          <w:rPr>
            <w:rStyle w:val="Hyperlink"/>
          </w:rPr>
          <w:t>Discussion Paper Reversing the Gendered Impact of Covid-19.pdf (policywise.blob.core.windows.net)</w:t>
        </w:r>
      </w:hyperlink>
      <w:r w:rsidRPr="00A33508">
        <w:t xml:space="preserve"> </w:t>
      </w:r>
    </w:p>
  </w:footnote>
  <w:footnote w:id="31">
    <w:p w14:paraId="5CBD6EC1" w14:textId="77777777" w:rsidR="00110240" w:rsidRPr="00ED1D30" w:rsidRDefault="00110240" w:rsidP="00110240">
      <w:pPr>
        <w:pStyle w:val="FootnoteText"/>
      </w:pPr>
      <w:r>
        <w:rPr>
          <w:rStyle w:val="FootnoteReference"/>
        </w:rPr>
        <w:footnoteRef/>
      </w:r>
      <w:r>
        <w:t xml:space="preserve"> For example, non-legislative and legislative measures that </w:t>
      </w:r>
      <w:proofErr w:type="gramStart"/>
      <w:r>
        <w:t>address:</w:t>
      </w:r>
      <w:proofErr w:type="gramEnd"/>
      <w:r w:rsidRPr="00ED1D30">
        <w:rPr>
          <w:rFonts w:cs="Arial"/>
          <w:sz w:val="24"/>
          <w:szCs w:val="24"/>
        </w:rPr>
        <w:t xml:space="preserve"> </w:t>
      </w:r>
      <w:r w:rsidRPr="00ED1D30">
        <w:t xml:space="preserve">pay equity, pay transparency, employment equity, labour standards, affordable childcare, affordable post-secondary education and specialized certification programs, and gendered stereotypes. </w:t>
      </w:r>
    </w:p>
  </w:footnote>
  <w:footnote w:id="32">
    <w:p w14:paraId="6A4ED580" w14:textId="6DB0483F" w:rsidR="00110240" w:rsidRPr="00AD3FD7" w:rsidRDefault="00110240" w:rsidP="00110240">
      <w:pPr>
        <w:pStyle w:val="FootnoteText"/>
      </w:pPr>
      <w:r>
        <w:rPr>
          <w:rStyle w:val="FootnoteReference"/>
        </w:rPr>
        <w:footnoteRef/>
      </w:r>
      <w:r>
        <w:t xml:space="preserve"> </w:t>
      </w:r>
      <w:r>
        <w:rPr>
          <w:lang w:val="en-US"/>
        </w:rPr>
        <w:t xml:space="preserve">See for example: “The gender wage gap” (2019) Gender and the economy. Retrieved from: </w:t>
      </w:r>
      <w:hyperlink r:id="rId35" w:history="1">
        <w:r w:rsidRPr="00F5103A">
          <w:rPr>
            <w:rStyle w:val="Hyperlink"/>
            <w:lang w:val="en-US"/>
          </w:rPr>
          <w:t>https://www.gendereconomy.org/the-gender-wage-gap/</w:t>
        </w:r>
      </w:hyperlink>
      <w:r>
        <w:rPr>
          <w:lang w:val="en-US"/>
        </w:rPr>
        <w:t xml:space="preserve">; Nicole M. Fortin. (21 April 2019) “Increasing earnings inequality and the gender pay gap in Canada: Prospects for convergence”. Canadian Journal of Economics; </w:t>
      </w:r>
      <w:r w:rsidRPr="006B1002">
        <w:t xml:space="preserve">Aneta </w:t>
      </w:r>
      <w:proofErr w:type="spellStart"/>
      <w:r w:rsidRPr="006B1002">
        <w:t>Bonikowska</w:t>
      </w:r>
      <w:proofErr w:type="spellEnd"/>
      <w:r>
        <w:t xml:space="preserve">, Marie Drolet, and Nicole M. Fortin. (March 7, 2019) “Earnings inequality and the gender pay gap in Canada: The role of women’s under-representation among top earners”. Statistics Canada. Retrieved from: </w:t>
      </w:r>
      <w:hyperlink r:id="rId36" w:history="1">
        <w:r w:rsidRPr="00F5103A">
          <w:rPr>
            <w:rStyle w:val="Hyperlink"/>
          </w:rPr>
          <w:t>https://epe.lac-bac.gc.ca/100/201/301/weekly_acquisitions_list-ef/2019/19-10/publications.gc.ca/collections/collection_2019/statcan/11-626-x/11-626-x2019002-eng.pdf</w:t>
        </w:r>
      </w:hyperlink>
      <w:r>
        <w:t xml:space="preserve"> ; Neeru </w:t>
      </w:r>
      <w:proofErr w:type="spellStart"/>
      <w:r>
        <w:t>Gupata</w:t>
      </w:r>
      <w:proofErr w:type="spellEnd"/>
      <w:r>
        <w:t xml:space="preserve">, Paramdeep Singh and Sarah Ann Balcom. (25 July 2022) “When pay equity policy is not enough: Persistence of the gender wage gap among health, education, and STEM professionals in Canada, 2006-2016. Canadian Studies in Population. Retrieved from: </w:t>
      </w:r>
      <w:hyperlink r:id="rId37" w:history="1">
        <w:r w:rsidRPr="00F5103A">
          <w:rPr>
            <w:rStyle w:val="Hyperlink"/>
          </w:rPr>
          <w:t>https://link.springer.com/article/10.1007/s42650-022-00069-z</w:t>
        </w:r>
      </w:hyperlink>
      <w:r>
        <w:t>.</w:t>
      </w:r>
    </w:p>
  </w:footnote>
  <w:footnote w:id="33">
    <w:p w14:paraId="2C5993C6" w14:textId="4BF9E0A5" w:rsidR="00195889" w:rsidRDefault="00195889">
      <w:pPr>
        <w:pStyle w:val="FootnoteText"/>
      </w:pPr>
      <w:r>
        <w:rPr>
          <w:rStyle w:val="FootnoteReference"/>
        </w:rPr>
        <w:footnoteRef/>
      </w:r>
      <w:r>
        <w:t xml:space="preserve"> The Governments of Northwest Territories, Yukon and Nunavut</w:t>
      </w:r>
      <w:r w:rsidR="009D19EF">
        <w:t>.</w:t>
      </w:r>
    </w:p>
  </w:footnote>
  <w:footnote w:id="34">
    <w:p w14:paraId="1EE24D54" w14:textId="103A1DBB" w:rsidR="00E35448" w:rsidRPr="00A30402" w:rsidRDefault="00E35448">
      <w:pPr>
        <w:pStyle w:val="FootnoteText"/>
        <w:rPr>
          <w:lang w:val="en-US"/>
        </w:rPr>
      </w:pPr>
      <w:r>
        <w:rPr>
          <w:rStyle w:val="FootnoteReference"/>
        </w:rPr>
        <w:footnoteRef/>
      </w:r>
      <w:r>
        <w:t xml:space="preserve"> See: </w:t>
      </w:r>
      <w:proofErr w:type="spellStart"/>
      <w:r w:rsidRPr="00E35448">
        <w:t>Hrymak</w:t>
      </w:r>
      <w:proofErr w:type="spellEnd"/>
      <w:r w:rsidR="009D19EF">
        <w:t>, H.,</w:t>
      </w:r>
      <w:r w:rsidRPr="00E35448">
        <w:t xml:space="preserve"> and Hawkins</w:t>
      </w:r>
      <w:r w:rsidR="009D19EF">
        <w:t>, K</w:t>
      </w:r>
      <w:r w:rsidRPr="00E35448">
        <w:t xml:space="preserve">. </w:t>
      </w:r>
      <w:r w:rsidR="009D19EF">
        <w:t>(</w:t>
      </w:r>
      <w:r w:rsidRPr="00E35448">
        <w:t>2021</w:t>
      </w:r>
      <w:r w:rsidR="009D19EF">
        <w:t>)</w:t>
      </w:r>
      <w:r w:rsidRPr="00E35448">
        <w:t xml:space="preserve">. </w:t>
      </w:r>
      <w:r w:rsidRPr="009F1C24">
        <w:t xml:space="preserve">Why Can’t Everyone Just Get </w:t>
      </w:r>
      <w:proofErr w:type="gramStart"/>
      <w:r w:rsidRPr="009F1C24">
        <w:t>Along?:</w:t>
      </w:r>
      <w:proofErr w:type="gramEnd"/>
      <w:r w:rsidRPr="009F1C24">
        <w:t xml:space="preserve"> How BC’s Family Law System Puts Survivors in Danger</w:t>
      </w:r>
      <w:r w:rsidRPr="00AB6537">
        <w:t>.</w:t>
      </w:r>
      <w:r w:rsidRPr="00E35448">
        <w:t xml:space="preserve"> Rise Women’s Legal Centre. </w:t>
      </w:r>
      <w:hyperlink r:id="rId38" w:history="1">
        <w:r w:rsidRPr="007818DC">
          <w:rPr>
            <w:rStyle w:val="Hyperlink"/>
          </w:rPr>
          <w:t>https://static1.squarespace.com/static/64220f300321233050a209ec/t/65de3b22be93725ee19fa396/1709062949128/Why+can%27t+everyone+just+get+along.pdf</w:t>
        </w:r>
      </w:hyperlink>
      <w:r w:rsidRPr="00E35448">
        <w:t>. p. 40</w:t>
      </w:r>
      <w:r>
        <w:t>.</w:t>
      </w:r>
    </w:p>
  </w:footnote>
  <w:footnote w:id="35">
    <w:p w14:paraId="25785189" w14:textId="5B7AA677" w:rsidR="006B0814" w:rsidRPr="001B1D78" w:rsidRDefault="006B0814" w:rsidP="006B0814">
      <w:pPr>
        <w:pStyle w:val="FootnoteText"/>
        <w:rPr>
          <w:rFonts w:cs="Arial"/>
          <w:lang w:val="en-US"/>
        </w:rPr>
      </w:pPr>
      <w:r w:rsidRPr="00262BB7">
        <w:rPr>
          <w:rStyle w:val="FootnoteReference"/>
          <w:rFonts w:cs="Arial"/>
        </w:rPr>
        <w:footnoteRef/>
      </w:r>
      <w:r w:rsidRPr="00262BB7">
        <w:rPr>
          <w:rFonts w:cs="Arial"/>
        </w:rPr>
        <w:t xml:space="preserve"> </w:t>
      </w:r>
      <w:r w:rsidR="009D19EF">
        <w:rPr>
          <w:rFonts w:cs="Arial"/>
        </w:rPr>
        <w:t xml:space="preserve">See: </w:t>
      </w:r>
      <w:r w:rsidR="009D19EF" w:rsidRPr="00F42C95">
        <w:rPr>
          <w:rFonts w:cs="Arial"/>
          <w:iCs/>
        </w:rPr>
        <w:t>Canadian Women’s Foundation</w:t>
      </w:r>
      <w:r w:rsidR="009D19EF" w:rsidRPr="00262BB7">
        <w:rPr>
          <w:rFonts w:cs="Arial"/>
          <w:i/>
        </w:rPr>
        <w:t>.</w:t>
      </w:r>
      <w:r w:rsidR="009D19EF" w:rsidRPr="009D19EF">
        <w:rPr>
          <w:rFonts w:cs="Arial"/>
        </w:rPr>
        <w:t xml:space="preserve"> </w:t>
      </w:r>
      <w:r w:rsidR="009D19EF">
        <w:rPr>
          <w:rFonts w:cs="Arial"/>
        </w:rPr>
        <w:t>(November 22, 2022).</w:t>
      </w:r>
      <w:r w:rsidR="009D19EF" w:rsidRPr="00262BB7">
        <w:rPr>
          <w:rFonts w:cs="Arial"/>
        </w:rPr>
        <w:t xml:space="preserve"> </w:t>
      </w:r>
      <w:r w:rsidRPr="00262BB7">
        <w:rPr>
          <w:rFonts w:cs="Arial"/>
        </w:rPr>
        <w:t xml:space="preserve">“The Facts About Sexual </w:t>
      </w:r>
      <w:r w:rsidR="00456742" w:rsidRPr="00262BB7">
        <w:rPr>
          <w:rFonts w:cs="Arial"/>
        </w:rPr>
        <w:t>Assault</w:t>
      </w:r>
      <w:r w:rsidRPr="00262BB7">
        <w:rPr>
          <w:rFonts w:cs="Arial"/>
        </w:rPr>
        <w:t xml:space="preserve"> and Harassment.”</w:t>
      </w:r>
      <w:r w:rsidR="00C43DFC">
        <w:rPr>
          <w:rFonts w:cs="Arial"/>
        </w:rPr>
        <w:t xml:space="preserve"> </w:t>
      </w:r>
      <w:hyperlink r:id="rId39" w:history="1">
        <w:r w:rsidRPr="001B1D78">
          <w:rPr>
            <w:rStyle w:val="Hyperlink"/>
            <w:rFonts w:cs="Arial"/>
            <w:lang w:val="en-US"/>
          </w:rPr>
          <w:t>https://www.canadianwomen.org/the-facts/sexual-assault-harassment/</w:t>
        </w:r>
      </w:hyperlink>
      <w:r w:rsidRPr="001B1D78">
        <w:rPr>
          <w:rFonts w:cs="Arial"/>
          <w:lang w:val="en-US"/>
        </w:rPr>
        <w:t>.</w:t>
      </w:r>
    </w:p>
  </w:footnote>
  <w:footnote w:id="36">
    <w:p w14:paraId="07B7476A" w14:textId="3094824B" w:rsidR="00026FC2" w:rsidRPr="003D416C" w:rsidRDefault="00026FC2">
      <w:pPr>
        <w:pStyle w:val="FootnoteText"/>
        <w:rPr>
          <w:lang w:val="en-US"/>
        </w:rPr>
      </w:pPr>
      <w:r>
        <w:rPr>
          <w:rStyle w:val="FootnoteReference"/>
        </w:rPr>
        <w:footnoteRef/>
      </w:r>
      <w:r>
        <w:t xml:space="preserve"> </w:t>
      </w:r>
      <w:r>
        <w:rPr>
          <w:lang w:val="en-US"/>
        </w:rPr>
        <w:t xml:space="preserve">Adultification bias refers to a specific form of racism that leads Black girls to be perceived as older or more mature than their counterparts. </w:t>
      </w:r>
      <w:r w:rsidR="00A2203A">
        <w:rPr>
          <w:lang w:val="en-US"/>
        </w:rPr>
        <w:t xml:space="preserve">Black girls may be held to a higher standard than their peers, given more responsibility, disciplined more harshly, or generally not deemed needful or deserving of protections generally afforded to children. See: </w:t>
      </w:r>
      <w:proofErr w:type="spellStart"/>
      <w:r w:rsidR="00A2203A">
        <w:rPr>
          <w:lang w:val="en-US"/>
        </w:rPr>
        <w:t>Huncar</w:t>
      </w:r>
      <w:proofErr w:type="spellEnd"/>
      <w:r w:rsidR="00A2203A">
        <w:rPr>
          <w:lang w:val="en-US"/>
        </w:rPr>
        <w:t xml:space="preserve">, A. (January 6, 2023). “Adultification bias robbing Black girls of childhood, researchers say.” </w:t>
      </w:r>
      <w:r w:rsidR="00A2203A" w:rsidRPr="00F05D44">
        <w:rPr>
          <w:lang w:val="en-US"/>
        </w:rPr>
        <w:t>CBC News.</w:t>
      </w:r>
      <w:r w:rsidR="00A2203A">
        <w:rPr>
          <w:lang w:val="en-US"/>
        </w:rPr>
        <w:t xml:space="preserve"> </w:t>
      </w:r>
      <w:hyperlink r:id="rId40" w:history="1">
        <w:r w:rsidR="00A2203A" w:rsidRPr="00AE26BA">
          <w:rPr>
            <w:rStyle w:val="Hyperlink"/>
            <w:lang w:val="en-US"/>
          </w:rPr>
          <w:t>https://www.cbc.ca/news/canada/edmonton/adultification-bias-edmonton-black-girls-1.6704953</w:t>
        </w:r>
      </w:hyperlink>
      <w:r w:rsidR="00A2203A">
        <w:rPr>
          <w:lang w:val="en-US"/>
        </w:rPr>
        <w:t xml:space="preserve">. </w:t>
      </w:r>
    </w:p>
  </w:footnote>
  <w:footnote w:id="37">
    <w:p w14:paraId="554B1B63" w14:textId="66CBD522" w:rsidR="00A2203A" w:rsidRPr="00A2203A" w:rsidRDefault="00A2203A">
      <w:pPr>
        <w:pStyle w:val="FootnoteText"/>
      </w:pPr>
      <w:r>
        <w:rPr>
          <w:rStyle w:val="FootnoteReference"/>
        </w:rPr>
        <w:footnoteRef/>
      </w:r>
      <w:r>
        <w:t xml:space="preserve"> </w:t>
      </w:r>
      <w:proofErr w:type="spellStart"/>
      <w:r>
        <w:t>Hypersexualization</w:t>
      </w:r>
      <w:proofErr w:type="spellEnd"/>
      <w:r>
        <w:t xml:space="preserve"> refers to a form of racism that applies assumptions about someone’s sexuality or sexual consent based on their race. This can have real and lasting effects. Canada has a history of denying humanity and victimhood to Black survivors of gender-based violence, ultimately resulting in increased barriers to safety and justice. See: Souffrant, </w:t>
      </w:r>
      <w:proofErr w:type="spellStart"/>
      <w:r>
        <w:t>Kharoll</w:t>
      </w:r>
      <w:proofErr w:type="spellEnd"/>
      <w:r>
        <w:t>-Ann</w:t>
      </w:r>
      <w:r w:rsidR="00F67073">
        <w:t xml:space="preserve"> and the GBV Learning Network</w:t>
      </w:r>
      <w:r>
        <w:t xml:space="preserve">. (January 2024). </w:t>
      </w:r>
      <w:r w:rsidRPr="00456742">
        <w:t>Sexual Violence Against Black Women and Girls in a #MeToo Era.</w:t>
      </w:r>
      <w:r>
        <w:t xml:space="preserve"> </w:t>
      </w:r>
      <w:hyperlink r:id="rId41" w:history="1">
        <w:r w:rsidR="00F67073" w:rsidRPr="00AE26BA">
          <w:rPr>
            <w:rStyle w:val="Hyperlink"/>
          </w:rPr>
          <w:t>https://gbvlearningnetwork.ca/our-work/backgrounders/SV-Against-Black-Women-Girls-MeToo/index.html</w:t>
        </w:r>
      </w:hyperlink>
      <w:r w:rsidR="00F67073">
        <w:t xml:space="preserve">. </w:t>
      </w:r>
    </w:p>
  </w:footnote>
  <w:footnote w:id="38">
    <w:p w14:paraId="67246D62" w14:textId="65F87F2C" w:rsidR="00D25528" w:rsidRPr="0084488F" w:rsidRDefault="00D25528" w:rsidP="00D25528">
      <w:pPr>
        <w:pStyle w:val="FootnoteText"/>
      </w:pPr>
      <w:r>
        <w:rPr>
          <w:rStyle w:val="FootnoteReference"/>
        </w:rPr>
        <w:footnoteRef/>
      </w:r>
      <w:r>
        <w:t xml:space="preserve"> This included: verbal and non-verbal communication (jokes, attention, comments, discussion about sex life), exposure to and publication of sexually explicit materials, and unwanted and/or inappropriate physical contact, as well as sexual assault.</w:t>
      </w:r>
      <w:r w:rsidR="00D35CFD">
        <w:t xml:space="preserve"> </w:t>
      </w:r>
      <w:r w:rsidR="00D35CFD">
        <w:rPr>
          <w:rFonts w:cs="Arial"/>
          <w:lang w:val="en-US"/>
        </w:rPr>
        <w:t xml:space="preserve">See: </w:t>
      </w:r>
      <w:proofErr w:type="spellStart"/>
      <w:r w:rsidR="00D35CFD" w:rsidRPr="00456742">
        <w:rPr>
          <w:rFonts w:cs="Arial"/>
        </w:rPr>
        <w:t>Burczycka</w:t>
      </w:r>
      <w:proofErr w:type="spellEnd"/>
      <w:r w:rsidR="00D35CFD" w:rsidRPr="00456742">
        <w:rPr>
          <w:rFonts w:cs="Arial"/>
        </w:rPr>
        <w:t>, M.</w:t>
      </w:r>
      <w:r w:rsidR="00D35CFD">
        <w:rPr>
          <w:rFonts w:cs="Arial"/>
        </w:rPr>
        <w:t>,</w:t>
      </w:r>
      <w:r w:rsidR="00D35CFD">
        <w:rPr>
          <w:rFonts w:cs="Arial"/>
          <w:b/>
          <w:bCs/>
        </w:rPr>
        <w:t xml:space="preserve"> </w:t>
      </w:r>
      <w:r w:rsidR="00D35CFD" w:rsidRPr="00255E90">
        <w:rPr>
          <w:rFonts w:cs="Arial"/>
          <w:lang w:val="en-US"/>
        </w:rPr>
        <w:t>Canadian Centre for Justice and Community Safety Statistics</w:t>
      </w:r>
      <w:r w:rsidR="00D35CFD">
        <w:rPr>
          <w:rFonts w:cs="Arial"/>
          <w:lang w:val="en-US"/>
        </w:rPr>
        <w:t>. (August 12, 2021). “</w:t>
      </w:r>
      <w:r w:rsidR="00D35CFD" w:rsidRPr="001B1D78">
        <w:rPr>
          <w:rFonts w:cs="Arial"/>
          <w:lang w:val="en-US"/>
        </w:rPr>
        <w:t xml:space="preserve">Workers’ experiences of inappropriate sexualized </w:t>
      </w:r>
      <w:proofErr w:type="spellStart"/>
      <w:r w:rsidR="00D35CFD" w:rsidRPr="001B1D78">
        <w:rPr>
          <w:rFonts w:cs="Arial"/>
          <w:lang w:val="en-US"/>
        </w:rPr>
        <w:t>behaviours</w:t>
      </w:r>
      <w:proofErr w:type="spellEnd"/>
      <w:r w:rsidR="00D35CFD" w:rsidRPr="001B1D78">
        <w:rPr>
          <w:rFonts w:cs="Arial"/>
          <w:lang w:val="en-US"/>
        </w:rPr>
        <w:t>, sexual assault and gender-based discrimination in the Canadian provinces, 2020.</w:t>
      </w:r>
      <w:r w:rsidR="00D35CFD">
        <w:rPr>
          <w:rFonts w:cs="Arial"/>
          <w:lang w:val="en-US"/>
        </w:rPr>
        <w:t>”</w:t>
      </w:r>
      <w:r w:rsidR="00D35CFD" w:rsidRPr="001B1D78">
        <w:rPr>
          <w:rFonts w:cs="Arial"/>
          <w:lang w:val="en-US"/>
        </w:rPr>
        <w:t xml:space="preserve"> </w:t>
      </w:r>
      <w:r w:rsidR="00D35CFD">
        <w:rPr>
          <w:rFonts w:cs="Arial"/>
          <w:lang w:val="en-US"/>
        </w:rPr>
        <w:t xml:space="preserve"> </w:t>
      </w:r>
      <w:hyperlink r:id="rId42" w:history="1">
        <w:r w:rsidR="00D35CFD" w:rsidRPr="00D35CFD">
          <w:rPr>
            <w:rStyle w:val="Hyperlink"/>
            <w:rFonts w:cs="Arial"/>
          </w:rPr>
          <w:t>https://www150.statcan.gc.ca/n1/pub/85-002-x/2021001/article/00015-eng.htm</w:t>
        </w:r>
      </w:hyperlink>
      <w:r w:rsidR="00D35CFD" w:rsidRPr="00D35CFD">
        <w:rPr>
          <w:rFonts w:cs="Arial"/>
        </w:rPr>
        <w:t>.</w:t>
      </w:r>
    </w:p>
  </w:footnote>
  <w:footnote w:id="39">
    <w:p w14:paraId="1CDB2B9A" w14:textId="2EB69228" w:rsidR="00B51ACA" w:rsidRPr="00AB6537" w:rsidRDefault="00B51ACA">
      <w:pPr>
        <w:pStyle w:val="FootnoteText"/>
      </w:pPr>
      <w:r>
        <w:rPr>
          <w:rStyle w:val="FootnoteReference"/>
        </w:rPr>
        <w:footnoteRef/>
      </w:r>
      <w:r>
        <w:t xml:space="preserve"> See</w:t>
      </w:r>
      <w:r w:rsidR="002071BD">
        <w:t>:</w:t>
      </w:r>
      <w:r>
        <w:t xml:space="preserve"> </w:t>
      </w:r>
      <w:r w:rsidR="00D35CFD">
        <w:t xml:space="preserve">Women’s Legal Education &amp; Action Fund. LEAF’s Technology-Facilitated Violence (TFV) Project. </w:t>
      </w:r>
      <w:hyperlink r:id="rId43" w:history="1">
        <w:r w:rsidR="006D4FD8" w:rsidRPr="006D4FD8">
          <w:rPr>
            <w:rStyle w:val="Hyperlink"/>
          </w:rPr>
          <w:t>https://www.leaf.ca/project/tfv/</w:t>
        </w:r>
      </w:hyperlink>
      <w:r w:rsidR="006D4FD8">
        <w:t>. See also: CBC News. (November</w:t>
      </w:r>
      <w:r w:rsidR="00933CA9">
        <w:t xml:space="preserve"> 1</w:t>
      </w:r>
      <w:r w:rsidR="006D4FD8">
        <w:t>, 2020). “</w:t>
      </w:r>
      <w:r w:rsidR="006D4FD8" w:rsidRPr="006D4FD8">
        <w:t>Trolled out of office: UBC report examines role of online abuse against politicians and democracy</w:t>
      </w:r>
      <w:r w:rsidR="006D4FD8">
        <w:t xml:space="preserve">.” </w:t>
      </w:r>
      <w:r w:rsidR="006D4FD8" w:rsidRPr="00456742">
        <w:t xml:space="preserve">CBC News. </w:t>
      </w:r>
      <w:hyperlink r:id="rId44" w:history="1">
        <w:r w:rsidR="006D4FD8" w:rsidRPr="00AB6537">
          <w:rPr>
            <w:rStyle w:val="Hyperlink"/>
          </w:rPr>
          <w:t>https://www.cbc.ca/news/canada/british-columbia/ubc-report-online-abuse-politicians-1.5782975</w:t>
        </w:r>
      </w:hyperlink>
      <w:r w:rsidR="006D4FD8" w:rsidRPr="00AB6537">
        <w:rPr>
          <w:rStyle w:val="Hyperlink"/>
        </w:rPr>
        <w:t xml:space="preserve">. </w:t>
      </w:r>
    </w:p>
  </w:footnote>
  <w:footnote w:id="40">
    <w:p w14:paraId="16E0601B" w14:textId="2FD9619D" w:rsidR="0078764E" w:rsidRPr="00AB6537" w:rsidRDefault="0078764E">
      <w:pPr>
        <w:pStyle w:val="FootnoteText"/>
      </w:pPr>
      <w:r w:rsidRPr="00AB6537">
        <w:rPr>
          <w:rStyle w:val="FootnoteReference"/>
        </w:rPr>
        <w:footnoteRef/>
      </w:r>
      <w:r w:rsidRPr="00AB6537">
        <w:t xml:space="preserve"> This includes material such as revenge porn (which includes sexually explicit material shared without</w:t>
      </w:r>
      <w:r w:rsidR="00890D1A" w:rsidRPr="00AB6537">
        <w:t xml:space="preserve"> the</w:t>
      </w:r>
      <w:r w:rsidRPr="00AB6537">
        <w:t xml:space="preserve"> consent</w:t>
      </w:r>
      <w:r w:rsidR="00890D1A" w:rsidRPr="00AB6537">
        <w:t xml:space="preserve"> of the subject</w:t>
      </w:r>
      <w:r w:rsidRPr="00AB6537">
        <w:t>) and deepfakes</w:t>
      </w:r>
      <w:r w:rsidR="00D6224E" w:rsidRPr="00AB6537">
        <w:t xml:space="preserve"> (which are </w:t>
      </w:r>
      <w:proofErr w:type="gramStart"/>
      <w:r w:rsidR="00D6224E" w:rsidRPr="00AB6537">
        <w:t>digitally-created</w:t>
      </w:r>
      <w:proofErr w:type="gramEnd"/>
      <w:r w:rsidR="00D6224E" w:rsidRPr="00AB6537">
        <w:t xml:space="preserve"> representations of an individual without their consent, sometimes sexually explicit, and sometimes indistinguishable from images of the individual themselves). While revenge porn is illegal according to Canada’s Criminal Code, there is no similar legislation criminalizing deepfakes.</w:t>
      </w:r>
    </w:p>
  </w:footnote>
  <w:footnote w:id="41">
    <w:p w14:paraId="774C1C9D" w14:textId="1FE62FE1" w:rsidR="00230DD4" w:rsidRPr="00AB6537" w:rsidRDefault="00230DD4">
      <w:pPr>
        <w:pStyle w:val="FootnoteText"/>
        <w:rPr>
          <w:lang w:val="en-US"/>
        </w:rPr>
      </w:pPr>
      <w:r w:rsidRPr="00AB6537">
        <w:rPr>
          <w:rStyle w:val="FootnoteReference"/>
        </w:rPr>
        <w:footnoteRef/>
      </w:r>
      <w:r w:rsidRPr="00AB6537">
        <w:rPr>
          <w:lang w:val="en-US"/>
        </w:rPr>
        <w:t xml:space="preserve"> This rise is partially contributed to by a lack of regulation </w:t>
      </w:r>
      <w:r w:rsidR="00890D1A" w:rsidRPr="00AB6537">
        <w:rPr>
          <w:lang w:val="en-US"/>
        </w:rPr>
        <w:t>regarding</w:t>
      </w:r>
      <w:r w:rsidRPr="00AB6537">
        <w:rPr>
          <w:lang w:val="en-US"/>
        </w:rPr>
        <w:t xml:space="preserve"> social networks and other online forums, as algorithms reward and amplify incendiary, and often hateful, content. See: Chaarani, J. (November 27, 2023). “Social media algorithms to blame for antisemitic, Islamophobic content online, Waterloo expert says.” </w:t>
      </w:r>
      <w:r w:rsidRPr="00456742">
        <w:rPr>
          <w:lang w:val="en-US"/>
        </w:rPr>
        <w:t>CBC News</w:t>
      </w:r>
      <w:r w:rsidRPr="00AB6537">
        <w:rPr>
          <w:lang w:val="en-US"/>
        </w:rPr>
        <w:t xml:space="preserve">. </w:t>
      </w:r>
      <w:hyperlink r:id="rId45" w:history="1">
        <w:r w:rsidRPr="00AB6537">
          <w:rPr>
            <w:rStyle w:val="Hyperlink"/>
            <w:lang w:val="en-US"/>
          </w:rPr>
          <w:t>https://www.cbc.ca/news/canada/kitchener-waterloo/twitter-x-tiktok-university-of-waterloo-hate-1.7037526</w:t>
        </w:r>
      </w:hyperlink>
      <w:r w:rsidRPr="00AB6537">
        <w:rPr>
          <w:lang w:val="en-US"/>
        </w:rPr>
        <w:t>.</w:t>
      </w:r>
    </w:p>
  </w:footnote>
  <w:footnote w:id="42">
    <w:p w14:paraId="7B68C9C0" w14:textId="5DC80E61" w:rsidR="00230DD4" w:rsidRPr="00AB6537" w:rsidRDefault="00230DD4">
      <w:pPr>
        <w:pStyle w:val="FootnoteText"/>
        <w:rPr>
          <w:lang w:val="en-US"/>
        </w:rPr>
      </w:pPr>
      <w:r w:rsidRPr="00AB6537">
        <w:rPr>
          <w:rStyle w:val="FootnoteReference"/>
        </w:rPr>
        <w:footnoteRef/>
      </w:r>
      <w:r w:rsidRPr="00AB6537">
        <w:t xml:space="preserve"> </w:t>
      </w:r>
      <w:r w:rsidRPr="00AB6537">
        <w:rPr>
          <w:lang w:val="en-US"/>
        </w:rPr>
        <w:t xml:space="preserve">Misogynoir, a term coined by Dr. Moya Bailey, refers to the unique form of discrimination faced by people who experience anti-Black racism and sexism (notably Black women and gender diverse individuals). This form of hate is prevalent in online spaces. See: Canadian Women’s Foundation, “Misogynoir in Digital Spaces </w:t>
      </w:r>
      <w:proofErr w:type="gramStart"/>
      <w:r w:rsidRPr="00AB6537">
        <w:rPr>
          <w:lang w:val="en-US"/>
        </w:rPr>
        <w:t>With</w:t>
      </w:r>
      <w:proofErr w:type="gramEnd"/>
      <w:r w:rsidRPr="00AB6537">
        <w:rPr>
          <w:lang w:val="en-US"/>
        </w:rPr>
        <w:t xml:space="preserve"> Yamikani </w:t>
      </w:r>
      <w:proofErr w:type="spellStart"/>
      <w:r w:rsidRPr="00AB6537">
        <w:rPr>
          <w:lang w:val="en-US"/>
        </w:rPr>
        <w:t>Msosa</w:t>
      </w:r>
      <w:proofErr w:type="spellEnd"/>
      <w:r w:rsidR="00890D1A" w:rsidRPr="00AB6537">
        <w:rPr>
          <w:lang w:val="en-US"/>
        </w:rPr>
        <w:t>.</w:t>
      </w:r>
      <w:r w:rsidRPr="00AB6537">
        <w:rPr>
          <w:lang w:val="en-US"/>
        </w:rPr>
        <w:t xml:space="preserve">” </w:t>
      </w:r>
      <w:hyperlink r:id="rId46" w:history="1">
        <w:r w:rsidRPr="00AB6537">
          <w:rPr>
            <w:rStyle w:val="Hyperlink"/>
            <w:lang w:val="en-US"/>
          </w:rPr>
          <w:t>https://canadianwomen.org/blog/misogynoir-in-digital-spaces-with-yamikani-msosa/</w:t>
        </w:r>
      </w:hyperlink>
      <w:r w:rsidRPr="00AB6537">
        <w:rPr>
          <w:lang w:val="en-US"/>
        </w:rPr>
        <w:t xml:space="preserve">. </w:t>
      </w:r>
    </w:p>
  </w:footnote>
  <w:footnote w:id="43">
    <w:p w14:paraId="10BDA9FE" w14:textId="6FD5B386" w:rsidR="00B51ACA" w:rsidRPr="00B51ACA" w:rsidRDefault="00B51ACA">
      <w:pPr>
        <w:pStyle w:val="FootnoteText"/>
      </w:pPr>
      <w:r>
        <w:rPr>
          <w:rStyle w:val="FootnoteReference"/>
        </w:rPr>
        <w:footnoteRef/>
      </w:r>
      <w:r>
        <w:t xml:space="preserve"> </w:t>
      </w:r>
      <w:r w:rsidR="00890D1A">
        <w:t xml:space="preserve">Bill C-63, also known as the Online Harms Act, was introduced in Parliament in February 2024. </w:t>
      </w:r>
      <w:r>
        <w:t>See</w:t>
      </w:r>
      <w:r w:rsidR="002071BD">
        <w:t>:</w:t>
      </w:r>
      <w:r>
        <w:t xml:space="preserve"> </w:t>
      </w:r>
      <w:hyperlink r:id="rId47" w:history="1">
        <w:r w:rsidRPr="00CC1EB4">
          <w:rPr>
            <w:rStyle w:val="Hyperlink"/>
          </w:rPr>
          <w:t>https://www.parl.ca/LegisInfo/en/bill/44-1/c-63</w:t>
        </w:r>
      </w:hyperlink>
      <w:r w:rsidR="00890D1A">
        <w:rPr>
          <w:rStyle w:val="Hyperlink"/>
        </w:rPr>
        <w:t>.</w:t>
      </w:r>
      <w:r>
        <w:t xml:space="preserve"> </w:t>
      </w:r>
    </w:p>
  </w:footnote>
  <w:footnote w:id="44">
    <w:p w14:paraId="041E779E" w14:textId="3E267555" w:rsidR="00402677" w:rsidRPr="00402677" w:rsidRDefault="00402677">
      <w:pPr>
        <w:pStyle w:val="FootnoteText"/>
      </w:pPr>
      <w:r>
        <w:rPr>
          <w:rStyle w:val="FootnoteReference"/>
        </w:rPr>
        <w:footnoteRef/>
      </w:r>
      <w:r>
        <w:t xml:space="preserve"> </w:t>
      </w:r>
      <w:r w:rsidR="00DA2644">
        <w:t>See the Report of the Independent External Comprehensive Review of the Department of National Defence and the CAF:</w:t>
      </w:r>
      <w:r>
        <w:t xml:space="preserve"> </w:t>
      </w:r>
      <w:hyperlink r:id="rId48" w:history="1">
        <w:r w:rsidRPr="00C45B92">
          <w:rPr>
            <w:rStyle w:val="Hyperlink"/>
          </w:rPr>
          <w:t>https://www.canada.ca/en/department-national-defence/corporate/reports-publications/report-of-the-independent-external-comprehensive-review.html</w:t>
        </w:r>
      </w:hyperlink>
      <w:r>
        <w:t xml:space="preserve"> </w:t>
      </w:r>
    </w:p>
  </w:footnote>
  <w:footnote w:id="45">
    <w:p w14:paraId="396F037C" w14:textId="269810A7" w:rsidR="00842E9C" w:rsidRPr="00842E9C" w:rsidRDefault="00842E9C">
      <w:pPr>
        <w:pStyle w:val="FootnoteText"/>
      </w:pPr>
      <w:r>
        <w:rPr>
          <w:rStyle w:val="FootnoteReference"/>
        </w:rPr>
        <w:footnoteRef/>
      </w:r>
      <w:r>
        <w:t xml:space="preserve"> </w:t>
      </w:r>
      <w:r w:rsidR="007B58BD" w:rsidRPr="007B58BD">
        <w:t>A successful class action lawsuit against the CAF currently has over 25000 claimants</w:t>
      </w:r>
      <w:r w:rsidR="007B58BD">
        <w:t xml:space="preserve">. </w:t>
      </w:r>
      <w:r>
        <w:t>More details available at</w:t>
      </w:r>
      <w:r w:rsidR="002071BD">
        <w:t>:</w:t>
      </w:r>
      <w:r>
        <w:t xml:space="preserve"> </w:t>
      </w:r>
      <w:hyperlink r:id="rId49" w:history="1">
        <w:r w:rsidRPr="00842E9C">
          <w:rPr>
            <w:rStyle w:val="Hyperlink"/>
          </w:rPr>
          <w:t>www.caf-dndsexualmisconductclassaction.ca/</w:t>
        </w:r>
      </w:hyperlink>
      <w:r w:rsidR="002316D9">
        <w:t xml:space="preserve">. See also: </w:t>
      </w:r>
      <w:r w:rsidR="002316D9" w:rsidRPr="00413EFA">
        <w:t>Cotter</w:t>
      </w:r>
      <w:r w:rsidR="002316D9">
        <w:t xml:space="preserve">, A., &amp; </w:t>
      </w:r>
      <w:proofErr w:type="spellStart"/>
      <w:r w:rsidR="002316D9" w:rsidRPr="00413EFA">
        <w:t>Burczycka</w:t>
      </w:r>
      <w:proofErr w:type="spellEnd"/>
      <w:r w:rsidR="002316D9">
        <w:t>, M. (December 5, 2023). “</w:t>
      </w:r>
      <w:r w:rsidR="002316D9" w:rsidRPr="00413EFA">
        <w:t>Sexual misconduct in the Canadian Armed Forces, 2022</w:t>
      </w:r>
      <w:r w:rsidR="002316D9">
        <w:t xml:space="preserve">.” </w:t>
      </w:r>
      <w:r w:rsidR="002316D9" w:rsidRPr="00AB6537">
        <w:t>Statistics Canada.</w:t>
      </w:r>
      <w:r w:rsidR="002316D9">
        <w:t xml:space="preserve"> </w:t>
      </w:r>
      <w:hyperlink r:id="rId50" w:history="1">
        <w:r w:rsidR="002316D9" w:rsidRPr="00890D1A">
          <w:rPr>
            <w:rStyle w:val="Hyperlink"/>
          </w:rPr>
          <w:t>https://www150.statcan.gc.ca/n1/pub/85-603-x/85-603-x2023001-eng.htm</w:t>
        </w:r>
      </w:hyperlink>
      <w:r w:rsidR="002316D9" w:rsidRPr="00890D1A">
        <w:t>.</w:t>
      </w:r>
    </w:p>
  </w:footnote>
  <w:footnote w:id="46">
    <w:p w14:paraId="17FBF246" w14:textId="00140A17" w:rsidR="00051490" w:rsidRPr="005B2E09" w:rsidRDefault="00051490" w:rsidP="00051490">
      <w:pPr>
        <w:pStyle w:val="FootnoteText"/>
      </w:pPr>
      <w:r>
        <w:rPr>
          <w:rStyle w:val="FootnoteReference"/>
        </w:rPr>
        <w:footnoteRef/>
      </w:r>
      <w:r>
        <w:t xml:space="preserve"> </w:t>
      </w:r>
      <w:r w:rsidRPr="005B2E09">
        <w:t xml:space="preserve">Office of the Correctional Investigator. </w:t>
      </w:r>
      <w:r w:rsidR="00890D1A">
        <w:t>(</w:t>
      </w:r>
      <w:r w:rsidR="00890D1A" w:rsidRPr="005B2E09">
        <w:t>November 1, 2023</w:t>
      </w:r>
      <w:r w:rsidR="00890D1A">
        <w:t xml:space="preserve">). </w:t>
      </w:r>
      <w:r w:rsidRPr="005B2E09">
        <w:t xml:space="preserve">“Ten Years since Spirit Matters: A Roadmap for the Reform of Indigenous Corrections in Canada.” </w:t>
      </w:r>
      <w:hyperlink r:id="rId51" w:anchor="s4" w:history="1">
        <w:r w:rsidRPr="00606912">
          <w:rPr>
            <w:rStyle w:val="Hyperlink"/>
          </w:rPr>
          <w:t>https://oci-bec.gc.ca/en/content/ten-years-spirit-matters-roadmap-reform-indigenous-corrections-canada#s4</w:t>
        </w:r>
      </w:hyperlink>
      <w:r w:rsidRPr="005B2E09">
        <w:t>.</w:t>
      </w:r>
      <w:r>
        <w:t xml:space="preserve"> </w:t>
      </w:r>
    </w:p>
  </w:footnote>
  <w:footnote w:id="47">
    <w:p w14:paraId="0032EC1A" w14:textId="1A160DA4" w:rsidR="00242822" w:rsidRPr="00803E11" w:rsidRDefault="00242822">
      <w:pPr>
        <w:pStyle w:val="FootnoteText"/>
      </w:pPr>
      <w:r>
        <w:rPr>
          <w:rStyle w:val="FootnoteReference"/>
        </w:rPr>
        <w:footnoteRef/>
      </w:r>
      <w:r>
        <w:t xml:space="preserve"> </w:t>
      </w:r>
      <w:r>
        <w:rPr>
          <w:rFonts w:cs="Arial"/>
          <w:szCs w:val="24"/>
          <w:lang w:val="en-US"/>
        </w:rPr>
        <w:t xml:space="preserve">Most Indigenous women in Canadian prisons have firsthand experience of substance use disorders, have had contact with the child welfare system and/or have experienced trauma related to sexual and/or physical abuse. </w:t>
      </w:r>
      <w:r w:rsidRPr="00647B80">
        <w:rPr>
          <w:rFonts w:cs="Arial"/>
        </w:rPr>
        <w:t>See</w:t>
      </w:r>
      <w:r w:rsidR="00803E11">
        <w:rPr>
          <w:rFonts w:cs="Arial"/>
        </w:rPr>
        <w:t>:</w:t>
      </w:r>
      <w:r w:rsidRPr="00647B80">
        <w:rPr>
          <w:rFonts w:cs="Arial"/>
        </w:rPr>
        <w:t xml:space="preserve"> </w:t>
      </w:r>
      <w:r w:rsidR="00803E11">
        <w:rPr>
          <w:rFonts w:cs="Arial"/>
        </w:rPr>
        <w:t xml:space="preserve">Office of the Correctional Investigator. </w:t>
      </w:r>
      <w:r w:rsidR="00803E11" w:rsidRPr="00803E11">
        <w:rPr>
          <w:rFonts w:cs="Arial"/>
        </w:rPr>
        <w:t>(J</w:t>
      </w:r>
      <w:r w:rsidR="00803E11" w:rsidRPr="008255C3">
        <w:rPr>
          <w:rFonts w:cs="Arial"/>
        </w:rPr>
        <w:t>un</w:t>
      </w:r>
      <w:r w:rsidR="00803E11">
        <w:rPr>
          <w:rFonts w:cs="Arial"/>
        </w:rPr>
        <w:t xml:space="preserve">e 30, 2016). </w:t>
      </w:r>
      <w:r w:rsidR="00803E11" w:rsidRPr="006111CE">
        <w:rPr>
          <w:rFonts w:cs="Arial"/>
          <w:iCs/>
        </w:rPr>
        <w:t>Annual Report of the Office of the Correctional Investigator 2015-2016</w:t>
      </w:r>
      <w:r w:rsidR="00803E11" w:rsidRPr="0075181C">
        <w:rPr>
          <w:rFonts w:cs="Arial"/>
          <w:i/>
        </w:rPr>
        <w:t>.</w:t>
      </w:r>
      <w:r w:rsidR="00803E11" w:rsidRPr="00803E11">
        <w:rPr>
          <w:rFonts w:cs="Arial"/>
        </w:rPr>
        <w:t xml:space="preserve"> </w:t>
      </w:r>
      <w:hyperlink r:id="rId52" w:history="1">
        <w:r w:rsidR="00803E11" w:rsidRPr="00803E11">
          <w:rPr>
            <w:rStyle w:val="Hyperlink"/>
            <w:rFonts w:cs="Arial"/>
          </w:rPr>
          <w:t>https://oci-bec.gc.ca/en/content/annual-report-office-correctional-investigator-2015-2016</w:t>
        </w:r>
      </w:hyperlink>
      <w:r w:rsidRPr="00803E11">
        <w:rPr>
          <w:rFonts w:cs="Arial"/>
        </w:rPr>
        <w:t>.</w:t>
      </w:r>
      <w:r w:rsidR="00803E11">
        <w:rPr>
          <w:rFonts w:cs="Arial"/>
        </w:rPr>
        <w:t xml:space="preserve"> p. 43.</w:t>
      </w:r>
    </w:p>
  </w:footnote>
  <w:footnote w:id="48">
    <w:p w14:paraId="44C81ECC" w14:textId="65DE56A3" w:rsidR="007B58BD" w:rsidRPr="007B58BD" w:rsidRDefault="007B58BD">
      <w:pPr>
        <w:pStyle w:val="FootnoteText"/>
      </w:pPr>
      <w:r>
        <w:rPr>
          <w:rStyle w:val="FootnoteReference"/>
        </w:rPr>
        <w:footnoteRef/>
      </w:r>
      <w:r>
        <w:t xml:space="preserve"> </w:t>
      </w:r>
      <w:r w:rsidRPr="007B58BD">
        <w:t>Over half have attended, or have a relative who has attended, residential school.</w:t>
      </w:r>
    </w:p>
  </w:footnote>
  <w:footnote w:id="49">
    <w:p w14:paraId="7784453D" w14:textId="6139F8A7" w:rsidR="002120EE" w:rsidRPr="00890D1A" w:rsidRDefault="002120EE">
      <w:pPr>
        <w:pStyle w:val="FootnoteText"/>
      </w:pPr>
      <w:r w:rsidRPr="002316D9">
        <w:rPr>
          <w:rStyle w:val="FootnoteReference"/>
        </w:rPr>
        <w:footnoteRef/>
      </w:r>
      <w:r w:rsidRPr="002316D9">
        <w:t xml:space="preserve"> </w:t>
      </w:r>
      <w:r w:rsidR="00890D1A" w:rsidRPr="002316D9">
        <w:t>supra note 50.</w:t>
      </w:r>
    </w:p>
  </w:footnote>
  <w:footnote w:id="50">
    <w:p w14:paraId="1D647859" w14:textId="77777777" w:rsidR="00F761EA" w:rsidRDefault="00F761EA" w:rsidP="00F761EA">
      <w:pPr>
        <w:pStyle w:val="FootnoteText"/>
      </w:pPr>
      <w:r>
        <w:rPr>
          <w:rStyle w:val="FootnoteReference"/>
        </w:rPr>
        <w:footnoteRef/>
      </w:r>
      <w:r>
        <w:t xml:space="preserve"> Text of the CCRA available at: </w:t>
      </w:r>
      <w:hyperlink r:id="rId53" w:history="1">
        <w:r w:rsidRPr="00A553DD">
          <w:rPr>
            <w:rStyle w:val="Hyperlink"/>
          </w:rPr>
          <w:t>https://laws-lois.justice.gc.ca/eng/acts/c-44.6/</w:t>
        </w:r>
      </w:hyperlink>
      <w:r>
        <w:t xml:space="preserve">. </w:t>
      </w:r>
    </w:p>
  </w:footnote>
  <w:footnote w:id="51">
    <w:p w14:paraId="544E61FE" w14:textId="4665541A" w:rsidR="0007357A" w:rsidRPr="0007357A" w:rsidRDefault="0007357A">
      <w:pPr>
        <w:pStyle w:val="FootnoteText"/>
      </w:pPr>
      <w:r w:rsidRPr="002316D9">
        <w:rPr>
          <w:rStyle w:val="FootnoteReference"/>
        </w:rPr>
        <w:footnoteRef/>
      </w:r>
      <w:r w:rsidRPr="002316D9">
        <w:t xml:space="preserve"> </w:t>
      </w:r>
      <w:r w:rsidR="00890D1A" w:rsidRPr="002316D9">
        <w:t>supra</w:t>
      </w:r>
      <w:r w:rsidR="00890D1A" w:rsidRPr="002316D9">
        <w:rPr>
          <w:i/>
          <w:iCs/>
        </w:rPr>
        <w:t xml:space="preserve"> </w:t>
      </w:r>
      <w:r w:rsidR="00890D1A" w:rsidRPr="002316D9">
        <w:t>note 50.</w:t>
      </w:r>
      <w:r w:rsidR="00890D1A">
        <w:t xml:space="preserve"> </w:t>
      </w:r>
      <w:r w:rsidR="004D7CAD">
        <w:t>See also</w:t>
      </w:r>
      <w:r w:rsidR="00890D1A">
        <w:t xml:space="preserve">: </w:t>
      </w:r>
      <w:r w:rsidR="00F3450A">
        <w:t xml:space="preserve">Standing Senate Committee on Human Rights. (June 2021). </w:t>
      </w:r>
      <w:r w:rsidR="00F3450A" w:rsidRPr="006111CE">
        <w:t>Human Rights of Federally Sentenced Persons.</w:t>
      </w:r>
      <w:r w:rsidR="00F3450A" w:rsidRPr="00544E37">
        <w:t xml:space="preserve"> </w:t>
      </w:r>
      <w:hyperlink r:id="rId54" w:history="1">
        <w:r w:rsidR="00F3450A" w:rsidRPr="002B06B2">
          <w:rPr>
            <w:rStyle w:val="Hyperlink"/>
          </w:rPr>
          <w:t>https://sencanada.ca/content/sen/committee/432/RIDR/Reports/RIDR_FederallySentencedPersons_e.pdf</w:t>
        </w:r>
      </w:hyperlink>
      <w:r w:rsidR="00F3450A">
        <w:t>.</w:t>
      </w:r>
      <w:r w:rsidR="004D7CAD">
        <w:t xml:space="preserve"> </w:t>
      </w:r>
      <w:r w:rsidR="00F3450A">
        <w:t>This report</w:t>
      </w:r>
      <w:r w:rsidR="004D7CAD">
        <w:t xml:space="preserve"> raised deep and systemic concerns regarding the classification and treatment of women and Indigenous prisoners</w:t>
      </w:r>
      <w:r w:rsidR="00F3450A">
        <w:t>.</w:t>
      </w:r>
    </w:p>
  </w:footnote>
  <w:footnote w:id="52">
    <w:p w14:paraId="11632480" w14:textId="484F4DD4" w:rsidR="00A85C41" w:rsidRPr="00544E37" w:rsidRDefault="00A85C41" w:rsidP="00A85C41">
      <w:pPr>
        <w:pStyle w:val="FootnoteText"/>
      </w:pPr>
      <w:r>
        <w:rPr>
          <w:rStyle w:val="FootnoteReference"/>
        </w:rPr>
        <w:footnoteRef/>
      </w:r>
      <w:r w:rsidRPr="00544E37">
        <w:t xml:space="preserve"> </w:t>
      </w:r>
      <w:r w:rsidR="00544E37" w:rsidRPr="00544E37">
        <w:t>Se</w:t>
      </w:r>
      <w:r w:rsidR="00544E37" w:rsidRPr="006111CE">
        <w:t>e:</w:t>
      </w:r>
      <w:r w:rsidR="00544E37">
        <w:t xml:space="preserve"> Correctional Service Canada. (May 9, 2022). Commissioner’s directive 100: Gender diverse offenders.</w:t>
      </w:r>
      <w:r w:rsidR="00F3450A" w:rsidRPr="006111CE">
        <w:t xml:space="preserve"> </w:t>
      </w:r>
      <w:hyperlink r:id="rId55" w:history="1">
        <w:r w:rsidR="00F3450A" w:rsidRPr="00544E37">
          <w:rPr>
            <w:rStyle w:val="Hyperlink"/>
          </w:rPr>
          <w:t>www.canada.ca/en/correctional-service/corporate/acts-regulations-policy/commissioners-directives/100.html</w:t>
        </w:r>
      </w:hyperlink>
      <w:r w:rsidR="00F3450A" w:rsidRPr="00544E37">
        <w:t xml:space="preserve">. </w:t>
      </w:r>
      <w:r w:rsidRPr="00544E37">
        <w:t xml:space="preserve"> </w:t>
      </w:r>
    </w:p>
  </w:footnote>
  <w:footnote w:id="53">
    <w:p w14:paraId="237BF8E6" w14:textId="516ECD03" w:rsidR="00A85C41" w:rsidRDefault="00A85C41" w:rsidP="00A85C41">
      <w:pPr>
        <w:pStyle w:val="FootnoteText"/>
      </w:pPr>
      <w:r>
        <w:rPr>
          <w:rStyle w:val="FootnoteReference"/>
        </w:rPr>
        <w:footnoteRef/>
      </w:r>
      <w:r>
        <w:t xml:space="preserve"> </w:t>
      </w:r>
      <w:r w:rsidRPr="00233DAD">
        <w:t>See</w:t>
      </w:r>
      <w:r w:rsidR="00544E37">
        <w:t>: Office of the Correctional Investigator. (June 30, 2023).</w:t>
      </w:r>
      <w:r w:rsidRPr="00233DAD">
        <w:t xml:space="preserve"> Annual Report of the Office of the Correctional Investigator 2022-2023</w:t>
      </w:r>
      <w:r w:rsidR="00544E37">
        <w:t xml:space="preserve">. </w:t>
      </w:r>
      <w:hyperlink r:id="rId56" w:history="1">
        <w:r w:rsidRPr="00980D73">
          <w:rPr>
            <w:rStyle w:val="Hyperlink"/>
          </w:rPr>
          <w:t>https://oci-bec.gc.ca/sites/default/files/2023-10/Annual%20Report%20EN%20%C3%94%C3%87%C3%B4%20Web.pdf</w:t>
        </w:r>
      </w:hyperlink>
      <w:r w:rsidR="00544E37" w:rsidRPr="006111CE">
        <w:rPr>
          <w:rStyle w:val="Hyperlink"/>
          <w:color w:val="auto"/>
          <w:u w:val="none"/>
        </w:rPr>
        <w:t>. p. 40.</w:t>
      </w:r>
      <w:r w:rsidRPr="003F1A5F">
        <w:t xml:space="preserve">    </w:t>
      </w:r>
    </w:p>
  </w:footnote>
  <w:footnote w:id="54">
    <w:p w14:paraId="2EBE8783" w14:textId="1D91C928" w:rsidR="00815FD2" w:rsidRDefault="00815FD2" w:rsidP="00815FD2">
      <w:pPr>
        <w:pStyle w:val="FootnoteText"/>
      </w:pPr>
      <w:r>
        <w:rPr>
          <w:rStyle w:val="FootnoteReference"/>
        </w:rPr>
        <w:footnoteRef/>
      </w:r>
      <w:r>
        <w:t xml:space="preserve"> See</w:t>
      </w:r>
      <w:r w:rsidR="00544E37">
        <w:t>: Office of the Correctional Investigator. (June 26, 2020).</w:t>
      </w:r>
      <w:r>
        <w:t xml:space="preserve"> </w:t>
      </w:r>
      <w:r w:rsidRPr="00F42C95">
        <w:rPr>
          <w:rFonts w:cs="Arial"/>
          <w:iCs/>
        </w:rPr>
        <w:t>Annual Report of the Office of the Correctional Investigator</w:t>
      </w:r>
      <w:r>
        <w:rPr>
          <w:rFonts w:cs="Arial"/>
          <w:iCs/>
        </w:rPr>
        <w:t xml:space="preserve"> 2019-2020</w:t>
      </w:r>
      <w:r w:rsidR="00544E37">
        <w:rPr>
          <w:rFonts w:cs="Arial"/>
          <w:iCs/>
        </w:rPr>
        <w:t xml:space="preserve">. </w:t>
      </w:r>
      <w:hyperlink r:id="rId57" w:history="1">
        <w:r w:rsidRPr="00980D73">
          <w:rPr>
            <w:rStyle w:val="Hyperlink"/>
            <w:rFonts w:cs="Arial"/>
            <w:iCs/>
          </w:rPr>
          <w:t>https://oci-bec.gc.ca/sites/default/files/2023-06/annrpt20192020-eng.pdf</w:t>
        </w:r>
      </w:hyperlink>
      <w:r w:rsidR="004C1991">
        <w:rPr>
          <w:rFonts w:cs="Arial"/>
          <w:iCs/>
        </w:rPr>
        <w:t xml:space="preserve">. </w:t>
      </w:r>
      <w:r w:rsidR="00544E37">
        <w:rPr>
          <w:rFonts w:cs="Arial"/>
          <w:iCs/>
        </w:rPr>
        <w:t xml:space="preserve">p. 21. </w:t>
      </w:r>
      <w:r w:rsidR="004C1991">
        <w:rPr>
          <w:rFonts w:cs="Arial"/>
          <w:iCs/>
        </w:rPr>
        <w:t>Also, in 2022, the CHRC joined the Canadian Association of Elizabeth Fry Societies’ call for an independent public inquiry into the issue of sexual coercion and violence against prisoners in facilities designated for women</w:t>
      </w:r>
      <w:r w:rsidR="00544E37">
        <w:rPr>
          <w:rFonts w:cs="Arial"/>
          <w:iCs/>
        </w:rPr>
        <w:t xml:space="preserve">. See: </w:t>
      </w:r>
      <w:hyperlink r:id="rId58" w:history="1">
        <w:r w:rsidR="00544E37" w:rsidRPr="002B06B2">
          <w:rPr>
            <w:rStyle w:val="Hyperlink"/>
            <w:rFonts w:cs="Arial"/>
            <w:iCs/>
          </w:rPr>
          <w:t>https://www.chrc-ccdp.gc.ca/en/resources/urgent-action-needed-stop-sexual-coercion-and-violence-federal-prisons</w:t>
        </w:r>
      </w:hyperlink>
      <w:r w:rsidR="00544E37">
        <w:rPr>
          <w:rFonts w:cs="Arial"/>
          <w:iCs/>
        </w:rPr>
        <w:t xml:space="preserve">. </w:t>
      </w:r>
      <w:r w:rsidR="004C1991">
        <w:rPr>
          <w:rFonts w:cs="Arial"/>
          <w:iCs/>
        </w:rPr>
        <w:t xml:space="preserve"> </w:t>
      </w:r>
    </w:p>
  </w:footnote>
  <w:footnote w:id="55">
    <w:p w14:paraId="5C9A70B6" w14:textId="6E6F5081" w:rsidR="00815FD2" w:rsidRPr="00DA5D24" w:rsidRDefault="00815FD2" w:rsidP="00815FD2">
      <w:pPr>
        <w:pStyle w:val="FootnoteText"/>
        <w:rPr>
          <w:lang w:val="en-US"/>
        </w:rPr>
      </w:pPr>
      <w:r>
        <w:rPr>
          <w:rStyle w:val="FootnoteReference"/>
        </w:rPr>
        <w:footnoteRef/>
      </w:r>
      <w:r>
        <w:t xml:space="preserve"> </w:t>
      </w:r>
      <w:r>
        <w:rPr>
          <w:lang w:val="en-US"/>
        </w:rPr>
        <w:t>See</w:t>
      </w:r>
      <w:r w:rsidR="00544E37">
        <w:rPr>
          <w:lang w:val="en-US"/>
        </w:rPr>
        <w:t xml:space="preserve">: Correctional Service Canada. (May 9, 2022). </w:t>
      </w:r>
      <w:r>
        <w:rPr>
          <w:lang w:val="en-US"/>
        </w:rPr>
        <w:t>Commissioner’s directive 574: Sexual coercion and violence</w:t>
      </w:r>
      <w:r w:rsidR="00544E37">
        <w:rPr>
          <w:lang w:val="en-US"/>
        </w:rPr>
        <w:t xml:space="preserve">. </w:t>
      </w:r>
      <w:hyperlink r:id="rId59" w:history="1">
        <w:r w:rsidRPr="00A553DD">
          <w:rPr>
            <w:rStyle w:val="Hyperlink"/>
            <w:lang w:val="en-US"/>
          </w:rPr>
          <w:t>https://www.canada.ca/en/correctional-service/corporate/acts-regulations-policy/commissioners-directives/574.html</w:t>
        </w:r>
      </w:hyperlink>
      <w:r>
        <w:rPr>
          <w:lang w:val="en-US"/>
        </w:rPr>
        <w:t xml:space="preserve">. </w:t>
      </w:r>
    </w:p>
  </w:footnote>
  <w:footnote w:id="56">
    <w:p w14:paraId="1C105EFF" w14:textId="77777777" w:rsidR="002120EE" w:rsidRDefault="002120EE" w:rsidP="002120EE">
      <w:pPr>
        <w:pStyle w:val="FootnoteText"/>
      </w:pPr>
      <w:r>
        <w:rPr>
          <w:rStyle w:val="FootnoteReference"/>
        </w:rPr>
        <w:footnoteRef/>
      </w:r>
      <w:r>
        <w:t xml:space="preserve"> People with disabilities may be institutionalized in facilities such as hospitals, nursing/seniors’ homes and other long-term care facilities.</w:t>
      </w:r>
    </w:p>
  </w:footnote>
  <w:footnote w:id="57">
    <w:p w14:paraId="58E7DF6E" w14:textId="6F03E0F9" w:rsidR="001B1D78" w:rsidRPr="001B1D78" w:rsidRDefault="001B1D78">
      <w:pPr>
        <w:pStyle w:val="FootnoteText"/>
      </w:pPr>
      <w:r>
        <w:rPr>
          <w:rStyle w:val="FootnoteReference"/>
        </w:rPr>
        <w:footnoteRef/>
      </w:r>
      <w:r>
        <w:t xml:space="preserve"> For a more fulsome understanding of the CHRC’s call to ratify the OPCAT, please see our joint open letter with the </w:t>
      </w:r>
      <w:r w:rsidR="001C4D0C">
        <w:rPr>
          <w:rFonts w:cs="Arial"/>
        </w:rPr>
        <w:t>Office of the Correctional Investigator</w:t>
      </w:r>
      <w:r>
        <w:t xml:space="preserve">, </w:t>
      </w:r>
      <w:r w:rsidR="00544E37">
        <w:t>(</w:t>
      </w:r>
      <w:r>
        <w:t>November 1, 2023</w:t>
      </w:r>
      <w:r w:rsidR="00544E37">
        <w:t>)</w:t>
      </w:r>
      <w:r>
        <w:t xml:space="preserve">. </w:t>
      </w:r>
      <w:hyperlink r:id="rId60" w:history="1">
        <w:r w:rsidRPr="00606912">
          <w:rPr>
            <w:rStyle w:val="Hyperlink"/>
          </w:rPr>
          <w:t>https://www.chrc-ccdp.gc.ca/en/resources/publications/chrc-and-oci-open-letter-calling-canadas-ratification-the-opcat</w:t>
        </w:r>
      </w:hyperlink>
      <w:r>
        <w:t xml:space="preserve">. </w:t>
      </w:r>
    </w:p>
  </w:footnote>
  <w:footnote w:id="58">
    <w:p w14:paraId="0027CF48" w14:textId="0AA4CCB3" w:rsidR="00982FEF" w:rsidRPr="00262BB7" w:rsidRDefault="00982FEF" w:rsidP="00982FEF">
      <w:pPr>
        <w:pStyle w:val="FootnoteText"/>
        <w:rPr>
          <w:rFonts w:cs="Arial"/>
        </w:rPr>
      </w:pPr>
      <w:r w:rsidRPr="00262BB7">
        <w:rPr>
          <w:rStyle w:val="FootnoteReference"/>
          <w:rFonts w:cs="Arial"/>
        </w:rPr>
        <w:footnoteRef/>
      </w:r>
      <w:r w:rsidRPr="00262BB7">
        <w:rPr>
          <w:rFonts w:cs="Arial"/>
        </w:rPr>
        <w:t xml:space="preserve"> </w:t>
      </w:r>
      <w:r w:rsidR="003F1A5F">
        <w:rPr>
          <w:rFonts w:cs="Arial"/>
        </w:rPr>
        <w:t>See:</w:t>
      </w:r>
      <w:r w:rsidRPr="007B58BD">
        <w:rPr>
          <w:rFonts w:cs="Arial"/>
        </w:rPr>
        <w:t xml:space="preserve"> </w:t>
      </w:r>
      <w:r w:rsidR="003F1A5F">
        <w:rPr>
          <w:rFonts w:cs="Arial"/>
        </w:rPr>
        <w:t xml:space="preserve">Reclaiming Power and Place: The </w:t>
      </w:r>
      <w:r w:rsidRPr="007B58BD">
        <w:rPr>
          <w:rFonts w:cs="Arial"/>
        </w:rPr>
        <w:t>Final Report of the National Inquiry into Missing and Murdered Indigenous Women and Girls</w:t>
      </w:r>
      <w:r w:rsidR="003F1A5F">
        <w:rPr>
          <w:rFonts w:cs="Arial"/>
        </w:rPr>
        <w:t>.</w:t>
      </w:r>
      <w:r w:rsidR="002316D9">
        <w:rPr>
          <w:rFonts w:cs="Arial"/>
        </w:rPr>
        <w:t xml:space="preserve"> (June 2019).</w:t>
      </w:r>
      <w:r w:rsidRPr="00262BB7">
        <w:rPr>
          <w:rFonts w:cs="Arial"/>
        </w:rPr>
        <w:t xml:space="preserve"> </w:t>
      </w:r>
      <w:hyperlink r:id="rId61" w:history="1">
        <w:r w:rsidRPr="00262BB7">
          <w:rPr>
            <w:rStyle w:val="Hyperlink"/>
            <w:rFonts w:cs="Arial"/>
          </w:rPr>
          <w:t>https://www.mmiwg-ffada.ca/final-report/</w:t>
        </w:r>
      </w:hyperlink>
      <w:r w:rsidRPr="00262BB7">
        <w:rPr>
          <w:rFonts w:cs="Arial"/>
        </w:rPr>
        <w:t xml:space="preserve">. See Volume 1a, Chapter 6: </w:t>
      </w:r>
      <w:r w:rsidRPr="00F42C95">
        <w:rPr>
          <w:rFonts w:cs="Arial"/>
          <w:iCs/>
        </w:rPr>
        <w:t>Confronting O</w:t>
      </w:r>
      <w:r>
        <w:rPr>
          <w:rFonts w:cs="Arial"/>
          <w:iCs/>
        </w:rPr>
        <w:t>p</w:t>
      </w:r>
      <w:r w:rsidRPr="00F42C95">
        <w:rPr>
          <w:rFonts w:cs="Arial"/>
          <w:iCs/>
        </w:rPr>
        <w:t>pression – Right to Health</w:t>
      </w:r>
      <w:r w:rsidRPr="00262BB7">
        <w:rPr>
          <w:rFonts w:cs="Arial"/>
        </w:rPr>
        <w:t xml:space="preserve">, for the health-related aspects of the report. </w:t>
      </w:r>
      <w:r w:rsidRPr="00262BB7">
        <w:rPr>
          <w:rFonts w:cs="Arial"/>
        </w:rPr>
        <w:tab/>
      </w:r>
    </w:p>
  </w:footnote>
  <w:footnote w:id="59">
    <w:p w14:paraId="4DDACBD1" w14:textId="491A2C1C" w:rsidR="002120EE" w:rsidRDefault="002120EE">
      <w:pPr>
        <w:pStyle w:val="FootnoteText"/>
      </w:pPr>
      <w:r>
        <w:rPr>
          <w:rStyle w:val="FootnoteReference"/>
        </w:rPr>
        <w:footnoteRef/>
      </w:r>
      <w:r>
        <w:t xml:space="preserve"> A </w:t>
      </w:r>
      <w:r w:rsidRPr="002120EE">
        <w:t>landmark 2016 Canadian Human Rights Tribunal decision</w:t>
      </w:r>
      <w:r w:rsidR="00430954">
        <w:t xml:space="preserve"> on a complaint filed by the First Nations Child and Family Caring Society and the Assembly of First Nations</w:t>
      </w:r>
      <w:r w:rsidRPr="002120EE">
        <w:t xml:space="preserve"> found </w:t>
      </w:r>
      <w:r>
        <w:t xml:space="preserve">that </w:t>
      </w:r>
      <w:r w:rsidRPr="002120EE">
        <w:t>Canada was discriminating against First Nations children and families in the provision of services. </w:t>
      </w:r>
      <w:r w:rsidR="003F1A5F">
        <w:t xml:space="preserve">See all Canadian Human Rights Tribunal rulings related to this complaint: </w:t>
      </w:r>
      <w:hyperlink r:id="rId62" w:history="1">
        <w:r w:rsidR="003F1A5F" w:rsidRPr="002B06B2">
          <w:rPr>
            <w:rStyle w:val="Hyperlink"/>
          </w:rPr>
          <w:t>https://fncaringsociety.com/i-am-witness/chrt-orders</w:t>
        </w:r>
      </w:hyperlink>
      <w:r w:rsidR="003F1A5F">
        <w:t xml:space="preserve">. </w:t>
      </w:r>
    </w:p>
  </w:footnote>
  <w:footnote w:id="60">
    <w:p w14:paraId="494AA4F5" w14:textId="5044683D" w:rsidR="00133C78" w:rsidRPr="00554A50" w:rsidRDefault="00133C78" w:rsidP="00133C78">
      <w:pPr>
        <w:pStyle w:val="FootnoteText"/>
      </w:pPr>
      <w:r>
        <w:rPr>
          <w:rStyle w:val="FootnoteReference"/>
        </w:rPr>
        <w:footnoteRef/>
      </w:r>
      <w:r>
        <w:t xml:space="preserve"> </w:t>
      </w:r>
      <w:r w:rsidR="00917FD8" w:rsidRPr="00EE392A">
        <w:t>In 1981, the UN Human Rights Committee found aspects of the registration provisions were contrary to international human rights law.</w:t>
      </w:r>
      <w:r w:rsidR="00917FD8">
        <w:t xml:space="preserve"> </w:t>
      </w:r>
      <w:r w:rsidR="00917FD8" w:rsidRPr="00EE392A">
        <w:t>Canada has amended the registration provisions of the Indian Act several times since 1985 in response to court judgments, but inequities remain, as detailed in a report published by the Standing Senate Committee on Indigenous Peoples in June 2022.</w:t>
      </w:r>
      <w:r w:rsidR="00917FD8">
        <w:t xml:space="preserve"> </w:t>
      </w:r>
      <w:r>
        <w:t>See: Senate of Canada</w:t>
      </w:r>
      <w:r w:rsidR="003F1A5F">
        <w:t>.</w:t>
      </w:r>
      <w:r>
        <w:t xml:space="preserve"> </w:t>
      </w:r>
      <w:r w:rsidR="003F1A5F">
        <w:t xml:space="preserve">(June 2022). </w:t>
      </w:r>
      <w:r w:rsidRPr="006C1EA3">
        <w:t>Make it Stop! Ending the Remaining Discrimination in Indian Registration</w:t>
      </w:r>
      <w:r w:rsidR="003F1A5F">
        <w:t>.</w:t>
      </w:r>
      <w:r w:rsidRPr="003F1A5F">
        <w:t xml:space="preserve"> </w:t>
      </w:r>
      <w:hyperlink r:id="rId63" w:history="1">
        <w:r w:rsidRPr="00D416ED">
          <w:rPr>
            <w:rStyle w:val="Hyperlink"/>
          </w:rPr>
          <w:t>https://sencanada.ca/content/sen/committee/441/APPA/Reports/2022-06-27_APPA_S-3_Report_e_FINAL.pdf</w:t>
        </w:r>
      </w:hyperlink>
      <w:r>
        <w:rPr>
          <w:rStyle w:val="Hyperlink"/>
        </w:rPr>
        <w:t>.</w:t>
      </w:r>
      <w:r>
        <w:t xml:space="preserve"> </w:t>
      </w:r>
    </w:p>
  </w:footnote>
  <w:footnote w:id="61">
    <w:p w14:paraId="5CAE701F" w14:textId="77777777" w:rsidR="00917FD8" w:rsidRPr="00613B54" w:rsidRDefault="00917FD8" w:rsidP="00917FD8">
      <w:pPr>
        <w:pStyle w:val="FootnoteText"/>
      </w:pPr>
      <w:r>
        <w:rPr>
          <w:rStyle w:val="FootnoteReference"/>
        </w:rPr>
        <w:footnoteRef/>
      </w:r>
      <w:r>
        <w:t xml:space="preserve"> </w:t>
      </w:r>
      <w:r w:rsidRPr="00613B54">
        <w:t xml:space="preserve">Enfranchisement </w:t>
      </w:r>
      <w:r>
        <w:t>wa</w:t>
      </w:r>
      <w:r w:rsidRPr="00613B54">
        <w:t>s a legal process for terminating a person's Indian status and conferring full Canadian citizenship</w:t>
      </w:r>
      <w:r>
        <w:t xml:space="preserve"> rights which were not necessarily available to “Status Indians” before 1960</w:t>
      </w:r>
      <w:r w:rsidRPr="00613B54">
        <w:t xml:space="preserve">. Enfranchisement was a key feature of the Canadian government's assimilation policies regarding </w:t>
      </w:r>
      <w:r>
        <w:t>Indigenous</w:t>
      </w:r>
      <w:r w:rsidRPr="00613B54">
        <w:t xml:space="preserve"> peoples.</w:t>
      </w:r>
    </w:p>
  </w:footnote>
  <w:footnote w:id="62">
    <w:p w14:paraId="4FA71C4D" w14:textId="158E5308" w:rsidR="00133C78" w:rsidRPr="00667DCE" w:rsidRDefault="00133C78" w:rsidP="00133C78">
      <w:pPr>
        <w:pStyle w:val="FootnoteText"/>
      </w:pPr>
      <w:r>
        <w:rPr>
          <w:rStyle w:val="FootnoteReference"/>
        </w:rPr>
        <w:footnoteRef/>
      </w:r>
      <w:r>
        <w:t xml:space="preserve"> See: Parliament of Canada</w:t>
      </w:r>
      <w:r w:rsidR="003F1A5F">
        <w:t xml:space="preserve">. (December 14, 2022). </w:t>
      </w:r>
      <w:hyperlink r:id="rId64" w:history="1">
        <w:r w:rsidRPr="00D416ED">
          <w:rPr>
            <w:rStyle w:val="Hyperlink"/>
          </w:rPr>
          <w:t>https://www.parl.ca/legisinfo/en/bill/44-1/c-38</w:t>
        </w:r>
      </w:hyperlink>
      <w:r>
        <w:rPr>
          <w:rStyle w:val="Hyperlink"/>
        </w:rPr>
        <w:t>.</w:t>
      </w:r>
      <w:r>
        <w:t xml:space="preserve"> </w:t>
      </w:r>
    </w:p>
  </w:footnote>
  <w:footnote w:id="63">
    <w:p w14:paraId="008AFB0E" w14:textId="5CC5B16C" w:rsidR="00070771" w:rsidRDefault="00070771">
      <w:pPr>
        <w:pStyle w:val="FootnoteText"/>
      </w:pPr>
      <w:r>
        <w:rPr>
          <w:rStyle w:val="FootnoteReference"/>
        </w:rPr>
        <w:footnoteRef/>
      </w:r>
      <w:r>
        <w:t xml:space="preserve"> See: </w:t>
      </w:r>
      <w:r w:rsidRPr="00070771">
        <w:t>Matson v Canada UN-CEDAW decision CEDAW/C/81/D/68/2014</w:t>
      </w:r>
      <w:r>
        <w:t xml:space="preserve">. </w:t>
      </w:r>
      <w:hyperlink r:id="rId65" w:history="1">
        <w:r w:rsidRPr="00713A5B">
          <w:rPr>
            <w:rStyle w:val="Hyperlink"/>
          </w:rPr>
          <w:t>https://tbinternet.ohchr.org/_layouts/15/treatybodyexternal/Download.aspx?symbolno=CEDAW%2fC%2f81%2fD%2f68%2f2014&amp;Lang=en</w:t>
        </w:r>
      </w:hyperlink>
      <w:r>
        <w:t xml:space="preserve">. </w:t>
      </w:r>
    </w:p>
  </w:footnote>
  <w:footnote w:id="64">
    <w:p w14:paraId="6044779D" w14:textId="412101ED" w:rsidR="00070771" w:rsidRPr="00070771" w:rsidRDefault="00070771">
      <w:pPr>
        <w:pStyle w:val="FootnoteText"/>
      </w:pPr>
      <w:r>
        <w:rPr>
          <w:rStyle w:val="FootnoteReference"/>
        </w:rPr>
        <w:footnoteRef/>
      </w:r>
      <w:r>
        <w:t xml:space="preserve"> The delay has prompted First Nations families to resume legal challenges to the legislation, for fear that the issue will not be resolved before the next federal election, expected in 2025. See: Stefanovich, O. (July 28, 2024). </w:t>
      </w:r>
      <w:r w:rsidRPr="00070771">
        <w:t>Court battle against Ottawa restarts over Indian Act gender discrimination</w:t>
      </w:r>
      <w:r>
        <w:t xml:space="preserve">. </w:t>
      </w:r>
      <w:r w:rsidRPr="00E33C39">
        <w:t>CBC News.</w:t>
      </w:r>
      <w:r>
        <w:t xml:space="preserve"> </w:t>
      </w:r>
      <w:hyperlink r:id="rId66" w:history="1">
        <w:r w:rsidRPr="00713A5B">
          <w:rPr>
            <w:rStyle w:val="Hyperlink"/>
          </w:rPr>
          <w:t>https://www.cbc.ca/news/politics/families-reactivate-enfranchisement-litigation-1.7273638</w:t>
        </w:r>
      </w:hyperlink>
      <w:r>
        <w:t xml:space="preserve">. </w:t>
      </w:r>
    </w:p>
  </w:footnote>
  <w:footnote w:id="65">
    <w:p w14:paraId="05E24488" w14:textId="6460698D" w:rsidR="009A5CD4" w:rsidRPr="00262BB7" w:rsidRDefault="009A5CD4" w:rsidP="009A5CD4">
      <w:pPr>
        <w:pStyle w:val="FootnoteText"/>
        <w:rPr>
          <w:rFonts w:cs="Arial"/>
        </w:rPr>
      </w:pPr>
      <w:r w:rsidRPr="002316D9">
        <w:rPr>
          <w:rStyle w:val="FootnoteReference"/>
          <w:rFonts w:cs="Arial"/>
        </w:rPr>
        <w:footnoteRef/>
      </w:r>
      <w:r w:rsidRPr="002316D9">
        <w:rPr>
          <w:rFonts w:cs="Arial"/>
        </w:rPr>
        <w:t xml:space="preserve"> </w:t>
      </w:r>
      <w:r w:rsidR="003F1A5F" w:rsidRPr="002316D9">
        <w:rPr>
          <w:rFonts w:cs="Arial"/>
        </w:rPr>
        <w:t>supra note 63.</w:t>
      </w:r>
      <w:r w:rsidRPr="00262BB7">
        <w:rPr>
          <w:rFonts w:cs="Arial"/>
        </w:rPr>
        <w:t xml:space="preserve"> </w:t>
      </w:r>
    </w:p>
  </w:footnote>
  <w:footnote w:id="66">
    <w:p w14:paraId="546BCEE0" w14:textId="3A47EA9B" w:rsidR="009A5CD4" w:rsidRPr="00AD49EF" w:rsidRDefault="009A5CD4" w:rsidP="009A5CD4">
      <w:pPr>
        <w:pStyle w:val="FootnoteText"/>
      </w:pPr>
      <w:r>
        <w:rPr>
          <w:rStyle w:val="FootnoteReference"/>
        </w:rPr>
        <w:footnoteRef/>
      </w:r>
      <w:r>
        <w:t xml:space="preserve"> </w:t>
      </w:r>
      <w:r w:rsidR="003F1A5F">
        <w:t>See:</w:t>
      </w:r>
      <w:r w:rsidRPr="00AD49EF">
        <w:t xml:space="preserve"> Report of the Standing Senate Committee on Human Rights. </w:t>
      </w:r>
      <w:r w:rsidR="003F1A5F">
        <w:t xml:space="preserve">(July 2022). </w:t>
      </w:r>
      <w:r w:rsidRPr="00AD49EF">
        <w:t xml:space="preserve">The Scars that We Carry: Forced and Coerced Sterilization of Persons in Canada – Part II. </w:t>
      </w:r>
      <w:hyperlink r:id="rId67" w:history="1">
        <w:r w:rsidRPr="007818DC">
          <w:rPr>
            <w:rStyle w:val="Hyperlink"/>
          </w:rPr>
          <w:t>https://sencanada.ca/content/sen/committee/441/RIDR/reports/2022-07-14_ForcedSterilization_E.pdf</w:t>
        </w:r>
      </w:hyperlink>
      <w:r>
        <w:t xml:space="preserve">. </w:t>
      </w:r>
    </w:p>
  </w:footnote>
  <w:footnote w:id="67">
    <w:p w14:paraId="46EC4D6D" w14:textId="204EF204" w:rsidR="009A5CD4" w:rsidRPr="00262BB7" w:rsidRDefault="009A5CD4" w:rsidP="009A5CD4">
      <w:pPr>
        <w:pStyle w:val="FootnoteText"/>
        <w:rPr>
          <w:rFonts w:cs="Arial"/>
        </w:rPr>
      </w:pPr>
      <w:r w:rsidRPr="00262BB7">
        <w:rPr>
          <w:rStyle w:val="FootnoteReference"/>
          <w:rFonts w:cs="Arial"/>
        </w:rPr>
        <w:footnoteRef/>
      </w:r>
      <w:r w:rsidRPr="00262BB7">
        <w:rPr>
          <w:rFonts w:cs="Arial"/>
        </w:rPr>
        <w:t xml:space="preserve"> </w:t>
      </w:r>
      <w:r w:rsidR="003F1A5F">
        <w:rPr>
          <w:rFonts w:cs="Arial"/>
        </w:rPr>
        <w:t xml:space="preserve">Boyer, Y., &amp; Bartlett, J., </w:t>
      </w:r>
      <w:r w:rsidRPr="00262BB7">
        <w:rPr>
          <w:rFonts w:cs="Arial"/>
        </w:rPr>
        <w:t>Saskatoon Regional Health Authority</w:t>
      </w:r>
      <w:r w:rsidR="003F1A5F">
        <w:rPr>
          <w:rFonts w:cs="Arial"/>
        </w:rPr>
        <w:t>. (July 11, 2017).</w:t>
      </w:r>
      <w:r w:rsidRPr="00262BB7">
        <w:rPr>
          <w:rFonts w:cs="Arial"/>
          <w:i/>
          <w:iCs/>
        </w:rPr>
        <w:t xml:space="preserve"> </w:t>
      </w:r>
      <w:r w:rsidRPr="00F42C95">
        <w:rPr>
          <w:rFonts w:cs="Arial"/>
        </w:rPr>
        <w:t>External Review: Tubal Ligation in the Saskatoon Health Region: The Lived Experience of Aboriginal Women,</w:t>
      </w:r>
      <w:r w:rsidRPr="00262BB7">
        <w:rPr>
          <w:rFonts w:cs="Arial"/>
        </w:rPr>
        <w:t xml:space="preserve"> 2017, available at:  </w:t>
      </w:r>
      <w:hyperlink r:id="rId68" w:history="1">
        <w:r w:rsidR="003F1A5F">
          <w:rPr>
            <w:rStyle w:val="Hyperlink"/>
            <w:rFonts w:cs="Arial"/>
          </w:rPr>
          <w:t>https://senatorboyer.ca/wp-content/uploads/2021/09/Tubal-Ligation-in-the-Saskatoon-Health-Region-the-Lived-Experience-of-Aboriginal-Women-Boyer-and-Bartlett-July-11-2017.pdf</w:t>
        </w:r>
      </w:hyperlink>
      <w:r w:rsidRPr="00262BB7">
        <w:rPr>
          <w:rFonts w:cs="Arial"/>
        </w:rPr>
        <w:t>.</w:t>
      </w:r>
      <w:r w:rsidR="002316D9">
        <w:rPr>
          <w:rFonts w:cs="Arial"/>
        </w:rPr>
        <w:t xml:space="preserve"> See also: </w:t>
      </w:r>
      <w:r w:rsidR="002316D9" w:rsidRPr="002316D9">
        <w:t>supra note 71.</w:t>
      </w:r>
    </w:p>
  </w:footnote>
  <w:footnote w:id="68">
    <w:p w14:paraId="066749DB" w14:textId="3D9952F8" w:rsidR="003655E8" w:rsidRPr="003655E8" w:rsidRDefault="003655E8">
      <w:pPr>
        <w:pStyle w:val="FootnoteText"/>
      </w:pPr>
      <w:r w:rsidRPr="002316D9">
        <w:rPr>
          <w:rStyle w:val="FootnoteReference"/>
        </w:rPr>
        <w:footnoteRef/>
      </w:r>
      <w:r w:rsidRPr="002316D9">
        <w:t xml:space="preserve"> </w:t>
      </w:r>
      <w:r w:rsidR="00EE643D">
        <w:t>supra note 66.</w:t>
      </w:r>
    </w:p>
  </w:footnote>
  <w:footnote w:id="69">
    <w:p w14:paraId="6B1CA196" w14:textId="550472F1" w:rsidR="007A2D15" w:rsidRPr="002316D9" w:rsidRDefault="007A2D15" w:rsidP="007A2D15">
      <w:pPr>
        <w:pStyle w:val="FootnoteText"/>
      </w:pPr>
      <w:r w:rsidRPr="002316D9">
        <w:rPr>
          <w:rStyle w:val="FootnoteReference"/>
        </w:rPr>
        <w:footnoteRef/>
      </w:r>
      <w:r w:rsidRPr="002316D9">
        <w:t xml:space="preserve"> </w:t>
      </w:r>
      <w:r w:rsidR="003F1A5F" w:rsidRPr="002316D9">
        <w:t>supra note 63.</w:t>
      </w:r>
      <w:r w:rsidRPr="002316D9">
        <w:t xml:space="preserve"> </w:t>
      </w:r>
    </w:p>
  </w:footnote>
  <w:footnote w:id="70">
    <w:p w14:paraId="39A98ABA" w14:textId="035933A3" w:rsidR="009A5CD4" w:rsidRPr="002D5A28" w:rsidRDefault="009A5CD4" w:rsidP="009A5CD4">
      <w:pPr>
        <w:pStyle w:val="FootnoteText"/>
      </w:pPr>
      <w:r w:rsidRPr="002316D9">
        <w:rPr>
          <w:rStyle w:val="FootnoteReference"/>
        </w:rPr>
        <w:footnoteRef/>
      </w:r>
      <w:r w:rsidRPr="002316D9">
        <w:t xml:space="preserve"> </w:t>
      </w:r>
      <w:r w:rsidR="003F1A5F" w:rsidRPr="002316D9">
        <w:t>supra note 63.</w:t>
      </w:r>
      <w:r>
        <w:t xml:space="preserve"> </w:t>
      </w:r>
    </w:p>
  </w:footnote>
  <w:footnote w:id="71">
    <w:p w14:paraId="697752AC" w14:textId="2C18E1E3" w:rsidR="009A5CD4" w:rsidRPr="00765FB5" w:rsidRDefault="009A5CD4" w:rsidP="009A5CD4">
      <w:pPr>
        <w:pStyle w:val="FootnoteText"/>
      </w:pPr>
      <w:r>
        <w:rPr>
          <w:rStyle w:val="FootnoteReference"/>
        </w:rPr>
        <w:footnoteRef/>
      </w:r>
      <w:r>
        <w:t xml:space="preserve"> Stigma and marginalization, negative attitudes about the value of people with disabilities, inability of victims to self-advocate and self-identify, and a lack of education and awareness about trafficking and exploitation contribute to the increased risk of sexual exploitation for people with disabilities. See: </w:t>
      </w:r>
      <w:proofErr w:type="spellStart"/>
      <w:r>
        <w:t>DisAbled</w:t>
      </w:r>
      <w:proofErr w:type="spellEnd"/>
      <w:r>
        <w:t xml:space="preserve"> Women’s Network of Canada</w:t>
      </w:r>
      <w:r w:rsidR="00E7482E">
        <w:t xml:space="preserve">. (June 15, 2018). </w:t>
      </w:r>
      <w:r w:rsidRPr="00924908">
        <w:rPr>
          <w:iCs/>
        </w:rPr>
        <w:t>Canadian Women and Girls with Disabilities and Human Trafficking: A Brief Prepared for the Standing Committee on Justice and Human Rights for their study on Human Trafficking in Canada</w:t>
      </w:r>
      <w:r w:rsidR="00E7482E">
        <w:rPr>
          <w:iCs/>
        </w:rPr>
        <w:t>.</w:t>
      </w:r>
      <w:r>
        <w:t xml:space="preserve"> </w:t>
      </w:r>
      <w:hyperlink r:id="rId69" w:history="1">
        <w:r w:rsidRPr="00D87296">
          <w:rPr>
            <w:rStyle w:val="Hyperlink"/>
          </w:rPr>
          <w:t>https://www.dawncanada.net/media/uploads/page_data/page-63/dawn_brief_on_human_trafficking_and_women_with_disabilities_june_15_2018.pdf</w:t>
        </w:r>
      </w:hyperlink>
      <w:r>
        <w:t xml:space="preserve">. </w:t>
      </w:r>
      <w:r w:rsidR="00E7482E">
        <w:t xml:space="preserve">See also: </w:t>
      </w:r>
      <w:proofErr w:type="spellStart"/>
      <w:r w:rsidR="00E7482E">
        <w:t>DisAbled</w:t>
      </w:r>
      <w:proofErr w:type="spellEnd"/>
      <w:r w:rsidR="00E7482E">
        <w:t xml:space="preserve"> Women’s Network of Canada. (May 11, 2023).</w:t>
      </w:r>
      <w:r w:rsidR="00E7482E" w:rsidRPr="00062D6B">
        <w:t xml:space="preserve"> </w:t>
      </w:r>
      <w:r w:rsidR="00E7482E" w:rsidRPr="0075181C">
        <w:t>Parliamentary Brief on Human Trafficking</w:t>
      </w:r>
      <w:r w:rsidR="00E7482E" w:rsidRPr="00E7482E">
        <w:t xml:space="preserve">. </w:t>
      </w:r>
      <w:hyperlink r:id="rId70" w:history="1">
        <w:r w:rsidR="00E7482E" w:rsidRPr="000C3E62">
          <w:rPr>
            <w:rStyle w:val="Hyperlink"/>
          </w:rPr>
          <w:t>https://dawncanada.net/media/uploads/page_data/page-63/FEWO_Human_Trafficking_Parliamentary_Brief-May11_2023-LONG_EN_BH.pdf</w:t>
        </w:r>
      </w:hyperlink>
      <w:r w:rsidR="00E7482E" w:rsidRPr="00062D6B">
        <w:t>.</w:t>
      </w:r>
    </w:p>
  </w:footnote>
  <w:footnote w:id="72">
    <w:p w14:paraId="21AB6FCC" w14:textId="20BD2362" w:rsidR="009A5CD4" w:rsidRPr="00765FB5" w:rsidRDefault="009A5CD4" w:rsidP="009A5CD4">
      <w:pPr>
        <w:pStyle w:val="FootnoteText"/>
      </w:pPr>
      <w:r w:rsidRPr="00E911F5">
        <w:rPr>
          <w:rStyle w:val="FootnoteReference"/>
        </w:rPr>
        <w:footnoteRef/>
      </w:r>
      <w:r w:rsidRPr="00E911F5">
        <w:t xml:space="preserve"> </w:t>
      </w:r>
      <w:bookmarkStart w:id="39" w:name="_Hlk174355187"/>
      <w:r w:rsidR="000365FF">
        <w:t>Women, Two Spirit and gender-diverse people experiencing homelessness also face extremely high rates of sexual exploitation and violence.</w:t>
      </w:r>
      <w:bookmarkEnd w:id="39"/>
      <w:r w:rsidR="000365FF">
        <w:t xml:space="preserve"> See: Women’s National Housing and Homelessness Network</w:t>
      </w:r>
      <w:r w:rsidR="00E7482E">
        <w:t>.</w:t>
      </w:r>
      <w:r w:rsidR="000365FF">
        <w:t xml:space="preserve"> (2022)</w:t>
      </w:r>
      <w:r w:rsidR="00E7482E">
        <w:t>.</w:t>
      </w:r>
      <w:r w:rsidR="000365FF">
        <w:t xml:space="preserve"> The crisis ends with us: Request for a review into the systemic denial of the equal right to housing of women and gender-diverse people in Canada. </w:t>
      </w:r>
      <w:hyperlink r:id="rId71" w:history="1">
        <w:r w:rsidR="000365FF" w:rsidRPr="00A065EC">
          <w:rPr>
            <w:rStyle w:val="Hyperlink"/>
          </w:rPr>
          <w:t>https://womenshomelessness.ca/wp-content/uploads/WNHHN-Claim-15-June-2022.pdf</w:t>
        </w:r>
      </w:hyperlink>
      <w:r w:rsidR="00E7482E">
        <w:rPr>
          <w:rStyle w:val="Hyperlink"/>
        </w:rPr>
        <w:t>.</w:t>
      </w:r>
    </w:p>
  </w:footnote>
  <w:footnote w:id="73">
    <w:p w14:paraId="1EFAD186" w14:textId="2D11C9A5" w:rsidR="00791E6B" w:rsidRPr="00E3409B" w:rsidRDefault="00791E6B" w:rsidP="00791E6B">
      <w:pPr>
        <w:pStyle w:val="FootnoteText"/>
        <w:rPr>
          <w:lang w:val="en-US"/>
        </w:rPr>
      </w:pPr>
      <w:r>
        <w:rPr>
          <w:rStyle w:val="FootnoteReference"/>
        </w:rPr>
        <w:footnoteRef/>
      </w:r>
      <w:r>
        <w:t xml:space="preserve"> </w:t>
      </w:r>
      <w:r>
        <w:rPr>
          <w:lang w:val="en-US"/>
        </w:rPr>
        <w:t xml:space="preserve">For example: The bodies of three women murdered in Winnipeg were disposed of in a nearby landfill in spring 2022. To date, a search of the landfill to recover the murdered women has not been conducted, despite outcry from the families and communities across Canada. See: Baxter, D. (June </w:t>
      </w:r>
      <w:r w:rsidR="00186CCD">
        <w:rPr>
          <w:lang w:val="en-US"/>
        </w:rPr>
        <w:t xml:space="preserve">10, </w:t>
      </w:r>
      <w:r>
        <w:rPr>
          <w:lang w:val="en-US"/>
        </w:rPr>
        <w:t>2024)</w:t>
      </w:r>
      <w:r w:rsidR="00E7482E">
        <w:rPr>
          <w:lang w:val="en-US"/>
        </w:rPr>
        <w:t xml:space="preserve">. </w:t>
      </w:r>
      <w:r w:rsidR="00371697">
        <w:rPr>
          <w:lang w:val="en-US"/>
        </w:rPr>
        <w:t xml:space="preserve">DO </w:t>
      </w:r>
      <w:r w:rsidRPr="00C73606">
        <w:rPr>
          <w:lang w:val="en-US"/>
        </w:rPr>
        <w:t>YOUR JOB WAB: Protesters demand landfill search immediately</w:t>
      </w:r>
      <w:r w:rsidR="00E7482E">
        <w:rPr>
          <w:lang w:val="en-US"/>
        </w:rPr>
        <w:t>.</w:t>
      </w:r>
      <w:r>
        <w:rPr>
          <w:lang w:val="en-US"/>
        </w:rPr>
        <w:t xml:space="preserve"> </w:t>
      </w:r>
      <w:r w:rsidRPr="00924908">
        <w:rPr>
          <w:lang w:val="en-US"/>
        </w:rPr>
        <w:t>Winnipeg Sun</w:t>
      </w:r>
      <w:r w:rsidR="00E7482E">
        <w:rPr>
          <w:lang w:val="en-US"/>
        </w:rPr>
        <w:t>.</w:t>
      </w:r>
      <w:r>
        <w:rPr>
          <w:i/>
          <w:iCs/>
          <w:lang w:val="en-US"/>
        </w:rPr>
        <w:t xml:space="preserve"> </w:t>
      </w:r>
      <w:hyperlink r:id="rId72" w:anchor=":~:text=And%20with%20chants%20of%20%E2%80%9Cdo,headlines%2C%20breaking%20news%20and%20columns" w:history="1">
        <w:r w:rsidRPr="007818DC">
          <w:rPr>
            <w:rStyle w:val="Hyperlink"/>
            <w:lang w:val="en-US"/>
          </w:rPr>
          <w:t>https://winnipegsun.com/news/local-news/do-your-job-wab-protesters-demand-landfill-search-immediately#:~:text=And%20with%20chants%20of%20%E2%80%9Cdo,headlines%2C%20breaking%20news%20and%20columns</w:t>
        </w:r>
      </w:hyperlink>
      <w:r w:rsidRPr="00C73606">
        <w:rPr>
          <w:lang w:val="en-US"/>
        </w:rPr>
        <w:t>.</w:t>
      </w:r>
      <w:r>
        <w:rPr>
          <w:lang w:val="en-US"/>
        </w:rPr>
        <w:t xml:space="preserve"> </w:t>
      </w:r>
    </w:p>
  </w:footnote>
  <w:footnote w:id="74">
    <w:p w14:paraId="0E39ED66" w14:textId="5D91C947" w:rsidR="00982FEF" w:rsidRDefault="00982FEF">
      <w:pPr>
        <w:pStyle w:val="FootnoteText"/>
      </w:pPr>
      <w:r>
        <w:rPr>
          <w:rStyle w:val="FootnoteReference"/>
        </w:rPr>
        <w:footnoteRef/>
      </w:r>
      <w:r>
        <w:t xml:space="preserve"> Some of these recommendations included: </w:t>
      </w:r>
      <w:r w:rsidRPr="00B458E0">
        <w:rPr>
          <w:rFonts w:cs="Arial"/>
          <w:szCs w:val="24"/>
        </w:rPr>
        <w:t>supporting community-based first response, supporting Indigenous-led responses to violence, better protecting Indigenous women and girls involved in sex work or being trafficked, and providing culturally appropriate and equitable judicial processes and supports</w:t>
      </w:r>
      <w:r>
        <w:rPr>
          <w:rFonts w:cs="Arial"/>
          <w:szCs w:val="24"/>
        </w:rPr>
        <w:t>.</w:t>
      </w:r>
    </w:p>
  </w:footnote>
  <w:footnote w:id="75">
    <w:p w14:paraId="6CEF0501" w14:textId="22048F1A" w:rsidR="0064363F" w:rsidRPr="00872C81" w:rsidRDefault="0064363F" w:rsidP="0064363F">
      <w:pPr>
        <w:pStyle w:val="FootnoteText"/>
        <w:rPr>
          <w:lang w:val="en-US"/>
        </w:rPr>
      </w:pPr>
      <w:r>
        <w:rPr>
          <w:rStyle w:val="FootnoteReference"/>
        </w:rPr>
        <w:footnoteRef/>
      </w:r>
      <w:r>
        <w:t xml:space="preserve"> </w:t>
      </w:r>
      <w:r w:rsidR="003E7933">
        <w:t>This action was taken in response to Call for Justice 1.7 in the</w:t>
      </w:r>
      <w:r w:rsidR="000048CF">
        <w:t xml:space="preserve"> </w:t>
      </w:r>
      <w:r w:rsidR="000048CF" w:rsidRPr="00351E56">
        <w:t>Final Report of the National Inquiry into Missing and Murdered Indigenous Women and Girls</w:t>
      </w:r>
      <w:r w:rsidR="003E7933">
        <w:t xml:space="preserve">. </w:t>
      </w:r>
      <w:r w:rsidR="003E7933">
        <w:rPr>
          <w:lang w:val="en-US"/>
        </w:rPr>
        <w:t>The Ministerial Special Representative’s final report and recommendations is a</w:t>
      </w:r>
      <w:r w:rsidRPr="00872C81">
        <w:rPr>
          <w:lang w:val="en-US"/>
        </w:rPr>
        <w:t xml:space="preserve">vailable at: </w:t>
      </w:r>
      <w:hyperlink r:id="rId73" w:history="1">
        <w:r w:rsidR="00351E56" w:rsidRPr="00BA7CCF">
          <w:rPr>
            <w:rStyle w:val="Hyperlink"/>
            <w:lang w:val="en-US"/>
          </w:rPr>
          <w:t>https://www.rcaanc-cirnac.gc.ca/eng/1717103903695/1717103981609</w:t>
        </w:r>
      </w:hyperlink>
      <w:r>
        <w:rPr>
          <w:lang w:val="en-US"/>
        </w:rPr>
        <w:t>.</w:t>
      </w:r>
      <w:r w:rsidR="00351E56">
        <w:rPr>
          <w:lang w:val="en-US"/>
        </w:rPr>
        <w:t xml:space="preserve"> </w:t>
      </w:r>
    </w:p>
  </w:footnote>
  <w:footnote w:id="76">
    <w:p w14:paraId="2A6972AC" w14:textId="1600470C" w:rsidR="00C22507" w:rsidRPr="001C4D0C" w:rsidRDefault="00C22507">
      <w:pPr>
        <w:pStyle w:val="FootnoteText"/>
        <w:rPr>
          <w:lang w:val="en-US"/>
        </w:rPr>
      </w:pPr>
      <w:r>
        <w:rPr>
          <w:rStyle w:val="FootnoteReference"/>
        </w:rPr>
        <w:footnoteRef/>
      </w:r>
      <w:r>
        <w:t xml:space="preserve"> </w:t>
      </w:r>
      <w:r>
        <w:rPr>
          <w:lang w:val="en-US"/>
        </w:rPr>
        <w:t xml:space="preserve">See: </w:t>
      </w:r>
      <w:hyperlink r:id="rId74" w:history="1">
        <w:r w:rsidR="00AB6537" w:rsidRPr="002B06B2">
          <w:rPr>
            <w:rStyle w:val="Hyperlink"/>
            <w:lang w:val="en-US"/>
          </w:rPr>
          <w:t>https://www.chrc-ccdp.gc.ca/en/resources/independent-indigenous-human-rights-system-overdue</w:t>
        </w:r>
      </w:hyperlink>
      <w:r w:rsidR="00AB6537">
        <w:rPr>
          <w:lang w:val="en-US"/>
        </w:rPr>
        <w:t xml:space="preserve">. </w:t>
      </w:r>
    </w:p>
  </w:footnote>
  <w:footnote w:id="77">
    <w:p w14:paraId="2817F6EE" w14:textId="74BA41C2" w:rsidR="000C4AC8" w:rsidRPr="00A4277A" w:rsidRDefault="000C4AC8" w:rsidP="000C4AC8">
      <w:pPr>
        <w:pStyle w:val="FootnoteText"/>
      </w:pPr>
      <w:r>
        <w:rPr>
          <w:rStyle w:val="FootnoteReference"/>
        </w:rPr>
        <w:footnoteRef/>
      </w:r>
      <w:r>
        <w:t xml:space="preserve"> </w:t>
      </w:r>
      <w:r w:rsidRPr="00A4277A">
        <w:t xml:space="preserve">Statistics Canada. </w:t>
      </w:r>
      <w:r w:rsidR="00AB6537">
        <w:t>(</w:t>
      </w:r>
      <w:r w:rsidRPr="00A4277A">
        <w:t>December 1, 2023</w:t>
      </w:r>
      <w:r w:rsidR="00AB6537">
        <w:t>)</w:t>
      </w:r>
      <w:r w:rsidRPr="00A4277A">
        <w:t xml:space="preserve">. Canadian Survey on Disability. </w:t>
      </w:r>
      <w:hyperlink r:id="rId75" w:history="1">
        <w:r w:rsidRPr="00112FCF">
          <w:rPr>
            <w:rStyle w:val="Hyperlink"/>
          </w:rPr>
          <w:t>https://www150.statcan.gc.ca/n1/daily-quotidien/231201/dq231201b-eng.htm</w:t>
        </w:r>
      </w:hyperlink>
      <w:r w:rsidRPr="00A4277A">
        <w:t>.</w:t>
      </w:r>
      <w:r>
        <w:t xml:space="preserve"> </w:t>
      </w:r>
    </w:p>
  </w:footnote>
  <w:footnote w:id="78">
    <w:p w14:paraId="3A68D57D" w14:textId="77777777" w:rsidR="000C4AC8" w:rsidRPr="00AD49EF" w:rsidRDefault="000C4AC8" w:rsidP="000C4AC8">
      <w:pPr>
        <w:pStyle w:val="FootnoteText"/>
      </w:pPr>
      <w:r>
        <w:rPr>
          <w:rStyle w:val="FootnoteReference"/>
        </w:rPr>
        <w:footnoteRef/>
      </w:r>
      <w:r>
        <w:t xml:space="preserve"> See the CHRC’s engagement report:</w:t>
      </w:r>
      <w:r w:rsidRPr="00AD49EF">
        <w:t xml:space="preserve"> </w:t>
      </w:r>
      <w:hyperlink r:id="rId76" w:history="1">
        <w:r w:rsidRPr="000A3C7C">
          <w:rPr>
            <w:rStyle w:val="Hyperlink"/>
          </w:rPr>
          <w:t>www.chrc-ccdp.gc.ca/en/resources/publications/what-we-learned-housing-people-disabilities</w:t>
        </w:r>
      </w:hyperlink>
      <w:r>
        <w:t xml:space="preserve">. </w:t>
      </w:r>
    </w:p>
  </w:footnote>
  <w:footnote w:id="79">
    <w:p w14:paraId="5DEED153" w14:textId="5D3819B9" w:rsidR="00062D6B" w:rsidRPr="00812522" w:rsidRDefault="00062D6B" w:rsidP="00062D6B">
      <w:pPr>
        <w:pStyle w:val="FootnoteText"/>
      </w:pPr>
      <w:r>
        <w:rPr>
          <w:rStyle w:val="FootnoteReference"/>
        </w:rPr>
        <w:footnoteRef/>
      </w:r>
      <w:r w:rsidRPr="00812522">
        <w:rPr>
          <w:lang w:val="en-US"/>
        </w:rPr>
        <w:t xml:space="preserve"> </w:t>
      </w:r>
      <w:r>
        <w:rPr>
          <w:lang w:val="en-US"/>
        </w:rPr>
        <w:t>Am</w:t>
      </w:r>
      <w:r w:rsidRPr="00401D9A">
        <w:rPr>
          <w:lang w:val="en-US"/>
        </w:rPr>
        <w:t xml:space="preserve">ong people who had been in an intimate partnership, 55% of women with disabilities reported </w:t>
      </w:r>
      <w:r>
        <w:rPr>
          <w:lang w:val="en-US"/>
        </w:rPr>
        <w:t xml:space="preserve">having </w:t>
      </w:r>
      <w:r w:rsidRPr="00401D9A">
        <w:rPr>
          <w:lang w:val="en-US"/>
        </w:rPr>
        <w:t>experienc</w:t>
      </w:r>
      <w:r>
        <w:rPr>
          <w:lang w:val="en-US"/>
        </w:rPr>
        <w:t>ed</w:t>
      </w:r>
      <w:r w:rsidRPr="00401D9A">
        <w:rPr>
          <w:lang w:val="en-US"/>
        </w:rPr>
        <w:t xml:space="preserve"> </w:t>
      </w:r>
      <w:r>
        <w:rPr>
          <w:lang w:val="en-US"/>
        </w:rPr>
        <w:t>a</w:t>
      </w:r>
      <w:r w:rsidRPr="00401D9A">
        <w:rPr>
          <w:lang w:val="en-US"/>
        </w:rPr>
        <w:t xml:space="preserve"> form of </w:t>
      </w:r>
      <w:r w:rsidR="00B93D33">
        <w:rPr>
          <w:lang w:val="en-US"/>
        </w:rPr>
        <w:t>intimate partner violence</w:t>
      </w:r>
      <w:r w:rsidRPr="00401D9A">
        <w:rPr>
          <w:lang w:val="en-US"/>
        </w:rPr>
        <w:t>.</w:t>
      </w:r>
      <w:r>
        <w:rPr>
          <w:lang w:val="en-US"/>
        </w:rPr>
        <w:t xml:space="preserve"> </w:t>
      </w:r>
      <w:r w:rsidRPr="00062D6B">
        <w:rPr>
          <w:lang w:val="en-US"/>
        </w:rPr>
        <w:t xml:space="preserve">Factors contributing to violence </w:t>
      </w:r>
      <w:proofErr w:type="gramStart"/>
      <w:r w:rsidRPr="00062D6B">
        <w:rPr>
          <w:lang w:val="en-US"/>
        </w:rPr>
        <w:t>include:</w:t>
      </w:r>
      <w:proofErr w:type="gramEnd"/>
      <w:r w:rsidRPr="00062D6B">
        <w:rPr>
          <w:lang w:val="en-US"/>
        </w:rPr>
        <w:t xml:space="preserve"> poverty; lack of access to sexual health education and resources; lack of access to justice; lack of support in exercising independence and autonomy; and systemic ableism in the justice and health care systems.</w:t>
      </w:r>
      <w:r>
        <w:rPr>
          <w:lang w:val="en-US"/>
        </w:rPr>
        <w:t xml:space="preserve"> See: </w:t>
      </w:r>
      <w:r w:rsidRPr="00812522">
        <w:rPr>
          <w:lang w:val="en-US"/>
        </w:rPr>
        <w:t>Savage</w:t>
      </w:r>
      <w:r w:rsidR="00AB6537">
        <w:rPr>
          <w:lang w:val="en-US"/>
        </w:rPr>
        <w:t>, L</w:t>
      </w:r>
      <w:r w:rsidRPr="00812522">
        <w:rPr>
          <w:lang w:val="en-US"/>
        </w:rPr>
        <w:t xml:space="preserve">. </w:t>
      </w:r>
      <w:r w:rsidR="00AB6537">
        <w:rPr>
          <w:lang w:val="en-US"/>
        </w:rPr>
        <w:t>(</w:t>
      </w:r>
      <w:r>
        <w:t>April 26, 2021</w:t>
      </w:r>
      <w:r w:rsidR="00AB6537">
        <w:t>)</w:t>
      </w:r>
      <w:r>
        <w:t xml:space="preserve">. </w:t>
      </w:r>
      <w:r w:rsidRPr="00812522">
        <w:t>Intimate partner violence: Experiences of women with disabilities in Canada, 2018</w:t>
      </w:r>
      <w:r>
        <w:t xml:space="preserve">. </w:t>
      </w:r>
      <w:hyperlink r:id="rId77" w:history="1">
        <w:r w:rsidRPr="00A553DD">
          <w:rPr>
            <w:rStyle w:val="Hyperlink"/>
          </w:rPr>
          <w:t>www150.statcan.gc.ca/n1/pub/85-002-x/2021001/article/00006-eng.htm</w:t>
        </w:r>
      </w:hyperlink>
      <w:r>
        <w:t xml:space="preserve">. See also: </w:t>
      </w:r>
      <w:proofErr w:type="spellStart"/>
      <w:r w:rsidR="00AB6537">
        <w:t>DisAbled</w:t>
      </w:r>
      <w:proofErr w:type="spellEnd"/>
      <w:r w:rsidR="00AB6537">
        <w:t xml:space="preserve"> Women’s Network of Canada. (May 11, 2023).</w:t>
      </w:r>
      <w:r w:rsidR="00AB6537" w:rsidRPr="00062D6B">
        <w:t xml:space="preserve"> </w:t>
      </w:r>
      <w:r w:rsidR="00AB6537" w:rsidRPr="0075181C">
        <w:t>Parliamentary Brief on Human Trafficking</w:t>
      </w:r>
      <w:r w:rsidR="00AB6537" w:rsidRPr="00E7482E">
        <w:t>.</w:t>
      </w:r>
      <w:r w:rsidR="00AB6537" w:rsidRPr="00062D6B">
        <w:t xml:space="preserve"> </w:t>
      </w:r>
      <w:hyperlink r:id="rId78" w:history="1">
        <w:r w:rsidR="00AB6537" w:rsidRPr="000C3E62">
          <w:rPr>
            <w:rStyle w:val="Hyperlink"/>
          </w:rPr>
          <w:t>https://dawncanada.net/media/uploads/page_data/page-63/FEWO_Human_Trafficking_Parliamentary_Brief-May11_2023-LONG_EN_BH.pdf</w:t>
        </w:r>
      </w:hyperlink>
      <w:r w:rsidR="00AB6537" w:rsidRPr="00062D6B">
        <w:t>.</w:t>
      </w:r>
    </w:p>
  </w:footnote>
  <w:footnote w:id="80">
    <w:p w14:paraId="76D9ACC7" w14:textId="0463F1BA" w:rsidR="00A85C41" w:rsidRDefault="00A85C41" w:rsidP="00A85C41">
      <w:pPr>
        <w:pStyle w:val="FootnoteText"/>
      </w:pPr>
      <w:r>
        <w:rPr>
          <w:rStyle w:val="FootnoteReference"/>
        </w:rPr>
        <w:footnoteRef/>
      </w:r>
      <w:r>
        <w:t xml:space="preserve"> See:</w:t>
      </w:r>
      <w:r w:rsidR="00AB6537">
        <w:t xml:space="preserve"> Women’s Legal Education and Action Fund. (November 16, 2021). Open letter: Gender Affirming Health Care Advisory Committee Act.</w:t>
      </w:r>
      <w:r>
        <w:t xml:space="preserve"> </w:t>
      </w:r>
      <w:hyperlink r:id="rId79" w:history="1">
        <w:r>
          <w:rPr>
            <w:rStyle w:val="Hyperlink"/>
          </w:rPr>
          <w:t>20211116-Gender-Affirming-Health-Care-Advisory-Committee-Act.pdf (leaf.ca)</w:t>
        </w:r>
      </w:hyperlink>
      <w:r w:rsidR="00AB6537" w:rsidRPr="001C4D0C">
        <w:rPr>
          <w:rStyle w:val="Hyperlink"/>
          <w:color w:val="auto"/>
          <w:u w:val="none"/>
        </w:rPr>
        <w:t>. See also:</w:t>
      </w:r>
      <w:r w:rsidR="00AB6537">
        <w:rPr>
          <w:rStyle w:val="Hyperlink"/>
          <w:color w:val="auto"/>
          <w:u w:val="none"/>
        </w:rPr>
        <w:t xml:space="preserve"> World Professional Association for Transgender Health.</w:t>
      </w:r>
      <w:r w:rsidR="002316D9">
        <w:rPr>
          <w:rStyle w:val="Hyperlink"/>
          <w:color w:val="auto"/>
          <w:u w:val="none"/>
        </w:rPr>
        <w:t xml:space="preserve"> (2022).</w:t>
      </w:r>
      <w:r w:rsidR="00AB6537">
        <w:rPr>
          <w:rStyle w:val="Hyperlink"/>
          <w:color w:val="auto"/>
          <w:u w:val="none"/>
        </w:rPr>
        <w:t xml:space="preserve"> </w:t>
      </w:r>
      <w:r w:rsidRPr="001C4D0C">
        <w:rPr>
          <w:rStyle w:val="Hyperlink"/>
          <w:color w:val="auto"/>
          <w:u w:val="none"/>
        </w:rPr>
        <w:t xml:space="preserve">Standards of Care </w:t>
      </w:r>
      <w:r w:rsidR="00AB6537">
        <w:rPr>
          <w:rStyle w:val="Hyperlink"/>
          <w:color w:val="auto"/>
          <w:u w:val="none"/>
        </w:rPr>
        <w:t xml:space="preserve">Version 8. </w:t>
      </w:r>
      <w:hyperlink r:id="rId80" w:history="1">
        <w:r w:rsidRPr="00AB6537">
          <w:rPr>
            <w:rStyle w:val="Hyperlink"/>
          </w:rPr>
          <w:t>www.wpath.org/soc8</w:t>
        </w:r>
      </w:hyperlink>
      <w:r w:rsidR="00AB6537">
        <w:rPr>
          <w:rStyle w:val="Hyperlink"/>
          <w:color w:val="auto"/>
          <w:u w:val="none"/>
        </w:rPr>
        <w:t xml:space="preserve">. </w:t>
      </w:r>
    </w:p>
  </w:footnote>
  <w:footnote w:id="81">
    <w:p w14:paraId="17C65145" w14:textId="49B4C87B" w:rsidR="00A85C41" w:rsidRDefault="00A85C41" w:rsidP="00A85C41">
      <w:pPr>
        <w:pStyle w:val="FootnoteText"/>
      </w:pPr>
      <w:r>
        <w:rPr>
          <w:rStyle w:val="FootnoteReference"/>
        </w:rPr>
        <w:footnoteRef/>
      </w:r>
      <w:r>
        <w:t xml:space="preserve"> Trans and gender diverse individuals are among groups more likely to experience poverty, impeding their access to private funding for health services. See:</w:t>
      </w:r>
      <w:r w:rsidR="00B930E9">
        <w:t xml:space="preserve"> Statistics Canada. (November 9, 2022). Census in Brief: Disaggregated trends in poverty from the 2021 Census of Population.</w:t>
      </w:r>
      <w:r>
        <w:t xml:space="preserve"> </w:t>
      </w:r>
      <w:hyperlink r:id="rId81" w:history="1">
        <w:r w:rsidR="00B930E9" w:rsidRPr="002B06B2">
          <w:rPr>
            <w:rStyle w:val="Hyperlink"/>
          </w:rPr>
          <w:t>https://www12.statcan.gc.ca/census-recensement/2021/as-sa/98-200-x/2021009/98-200-x2021009-eng.pdf</w:t>
        </w:r>
      </w:hyperlink>
      <w:r w:rsidR="00B930E9">
        <w:t xml:space="preserve">. </w:t>
      </w:r>
    </w:p>
  </w:footnote>
  <w:footnote w:id="82">
    <w:p w14:paraId="2E288B06" w14:textId="30D9B413" w:rsidR="00A85C41" w:rsidRPr="009C3648" w:rsidRDefault="00A85C41" w:rsidP="00A85C41">
      <w:pPr>
        <w:pStyle w:val="FootnoteText"/>
      </w:pPr>
      <w:r>
        <w:rPr>
          <w:rStyle w:val="FootnoteReference"/>
        </w:rPr>
        <w:footnoteRef/>
      </w:r>
      <w:r w:rsidRPr="00F761EA">
        <w:rPr>
          <w:lang w:val="fr-CA"/>
        </w:rPr>
        <w:t xml:space="preserve"> Navarro, J., et al. </w:t>
      </w:r>
      <w:r w:rsidR="00EA3507">
        <w:rPr>
          <w:lang w:val="fr-CA"/>
        </w:rPr>
        <w:t>(</w:t>
      </w:r>
      <w:r w:rsidRPr="00F761EA">
        <w:rPr>
          <w:lang w:val="fr-CA"/>
        </w:rPr>
        <w:t>July 6, 2021</w:t>
      </w:r>
      <w:r w:rsidR="00EA3507">
        <w:rPr>
          <w:lang w:val="fr-CA"/>
        </w:rPr>
        <w:t>)</w:t>
      </w:r>
      <w:r w:rsidRPr="00F761EA">
        <w:rPr>
          <w:lang w:val="fr-CA"/>
        </w:rPr>
        <w:t xml:space="preserve">. </w:t>
      </w:r>
      <w:r w:rsidRPr="001C4D0C">
        <w:t>Health and Well-Being Among Non-Binary People.</w:t>
      </w:r>
      <w:r>
        <w:t xml:space="preserve"> Trans</w:t>
      </w:r>
      <w:r w:rsidR="00EA3507">
        <w:t xml:space="preserve"> PULSE </w:t>
      </w:r>
      <w:r>
        <w:t xml:space="preserve">Canada. </w:t>
      </w:r>
      <w:hyperlink r:id="rId82" w:history="1">
        <w:r w:rsidRPr="007818DC">
          <w:rPr>
            <w:rStyle w:val="Hyperlink"/>
          </w:rPr>
          <w:t>https://transpulsecanada.ca/results/report-health-and-well-being-among-non-binary-people/</w:t>
        </w:r>
      </w:hyperlink>
      <w:r>
        <w:t>. p. 9</w:t>
      </w:r>
    </w:p>
  </w:footnote>
  <w:footnote w:id="83">
    <w:p w14:paraId="3F8F915A" w14:textId="7CEED7B7" w:rsidR="00DA34F0" w:rsidRDefault="00DA34F0" w:rsidP="00DA34F0">
      <w:pPr>
        <w:pStyle w:val="FootnoteText"/>
      </w:pPr>
      <w:r w:rsidRPr="002316D9">
        <w:rPr>
          <w:rStyle w:val="FootnoteReference"/>
        </w:rPr>
        <w:footnoteRef/>
      </w:r>
      <w:r w:rsidRPr="002316D9">
        <w:t xml:space="preserve"> </w:t>
      </w:r>
      <w:r w:rsidR="00EA3507" w:rsidRPr="002316D9">
        <w:t>ibid</w:t>
      </w:r>
      <w:r w:rsidR="00B5342D" w:rsidRPr="002316D9">
        <w:t xml:space="preserve"> p. 10</w:t>
      </w:r>
    </w:p>
  </w:footnote>
  <w:footnote w:id="84">
    <w:p w14:paraId="01DCC4B7" w14:textId="34BF7CE5" w:rsidR="00173DF9" w:rsidRPr="00623B57" w:rsidRDefault="00173DF9">
      <w:pPr>
        <w:pStyle w:val="FootnoteText"/>
        <w:rPr>
          <w:lang w:val="en-US"/>
        </w:rPr>
      </w:pPr>
      <w:r>
        <w:rPr>
          <w:rStyle w:val="FootnoteReference"/>
        </w:rPr>
        <w:footnoteRef/>
      </w:r>
      <w:r>
        <w:t xml:space="preserve"> </w:t>
      </w:r>
      <w:r w:rsidR="00E86398">
        <w:t xml:space="preserve">Barriers to secure employment may cause economic precarity or poverty and can also increase reliance on others such as domestic partners to fill basic needs, especially for women with children. This results in vulnerability to dangers such as trafficking and intimate partner violence. </w:t>
      </w:r>
      <w:r>
        <w:rPr>
          <w:lang w:val="en-US"/>
        </w:rPr>
        <w:t>See: Miners, J., Mackenzie, U., Landers, A., Isaac, A</w:t>
      </w:r>
      <w:r w:rsidR="00405FB5">
        <w:rPr>
          <w:lang w:val="en-US"/>
        </w:rPr>
        <w:t xml:space="preserve">, and </w:t>
      </w:r>
      <w:proofErr w:type="spellStart"/>
      <w:r w:rsidR="00405FB5">
        <w:rPr>
          <w:lang w:val="en-US"/>
        </w:rPr>
        <w:t>Achev</w:t>
      </w:r>
      <w:proofErr w:type="spellEnd"/>
      <w:r>
        <w:rPr>
          <w:lang w:val="en-US"/>
        </w:rPr>
        <w:t>.</w:t>
      </w:r>
      <w:r w:rsidR="00405FB5">
        <w:rPr>
          <w:lang w:val="en-US"/>
        </w:rPr>
        <w:t xml:space="preserve"> (2022).</w:t>
      </w:r>
      <w:r>
        <w:rPr>
          <w:lang w:val="en-US"/>
        </w:rPr>
        <w:t xml:space="preserve"> </w:t>
      </w:r>
      <w:r w:rsidRPr="001C4D0C">
        <w:rPr>
          <w:lang w:val="en-US"/>
        </w:rPr>
        <w:t>Addressing Barriers to Employment for Immigrant and Racialized Women and Youth.</w:t>
      </w:r>
      <w:r>
        <w:rPr>
          <w:i/>
          <w:iCs/>
          <w:lang w:val="en-US"/>
        </w:rPr>
        <w:t xml:space="preserve"> </w:t>
      </w:r>
      <w:hyperlink r:id="rId83" w:history="1">
        <w:r w:rsidRPr="00623B57">
          <w:rPr>
            <w:rStyle w:val="Hyperlink"/>
            <w:lang w:val="en-US"/>
          </w:rPr>
          <w:t>https://achev.ca/wp-content/uploads/2022/11/What-We-Heard-report-Advancing-Equity-for-Women-and-Girls.pdf</w:t>
        </w:r>
      </w:hyperlink>
      <w:r w:rsidRPr="00623B57">
        <w:rPr>
          <w:lang w:val="en-US"/>
        </w:rPr>
        <w:t>.</w:t>
      </w:r>
      <w:r>
        <w:rPr>
          <w:i/>
          <w:iCs/>
          <w:lang w:val="en-US"/>
        </w:rPr>
        <w:t xml:space="preserve"> </w:t>
      </w:r>
      <w:r w:rsidR="00E86398">
        <w:rPr>
          <w:lang w:val="en-US"/>
        </w:rPr>
        <w:t xml:space="preserve">See also: </w:t>
      </w:r>
      <w:proofErr w:type="spellStart"/>
      <w:r w:rsidR="00E86398" w:rsidRPr="00E86398">
        <w:rPr>
          <w:lang w:val="en-US"/>
        </w:rPr>
        <w:t>Chellapermal</w:t>
      </w:r>
      <w:proofErr w:type="spellEnd"/>
      <w:r w:rsidR="00E86398" w:rsidRPr="00E86398">
        <w:rPr>
          <w:lang w:val="en-US"/>
        </w:rPr>
        <w:t xml:space="preserve">, P. and </w:t>
      </w:r>
      <w:proofErr w:type="spellStart"/>
      <w:r w:rsidR="00E86398" w:rsidRPr="00E86398">
        <w:rPr>
          <w:lang w:val="en-US"/>
        </w:rPr>
        <w:t>WomenACT</w:t>
      </w:r>
      <w:proofErr w:type="spellEnd"/>
      <w:r w:rsidR="00E86398" w:rsidRPr="00E86398">
        <w:rPr>
          <w:lang w:val="en-US"/>
        </w:rPr>
        <w:t xml:space="preserve">. (2022). Intersections Between Employment and Safety among Racialized Women. </w:t>
      </w:r>
      <w:hyperlink r:id="rId84" w:history="1">
        <w:r w:rsidR="00E86398" w:rsidRPr="009540B6">
          <w:rPr>
            <w:rStyle w:val="Hyperlink"/>
            <w:lang w:val="en-US"/>
          </w:rPr>
          <w:t>https://womanact.ca/wp-content/uploads/2022/11/WomanACT_Intersections-between-employment-and-safety-among-racialized-women.pdf</w:t>
        </w:r>
      </w:hyperlink>
      <w:r w:rsidR="00E86398" w:rsidRPr="00E86398">
        <w:rPr>
          <w:lang w:val="en-US"/>
        </w:rPr>
        <w:t>.</w:t>
      </w:r>
      <w:r w:rsidR="00E86398">
        <w:rPr>
          <w:lang w:val="en-US"/>
        </w:rPr>
        <w:t xml:space="preserve"> </w:t>
      </w:r>
    </w:p>
  </w:footnote>
  <w:footnote w:id="85">
    <w:p w14:paraId="3AC1C5C2" w14:textId="1E78E33C" w:rsidR="005458BF" w:rsidRDefault="005458BF" w:rsidP="005458BF">
      <w:pPr>
        <w:pStyle w:val="FootnoteText"/>
      </w:pPr>
      <w:r>
        <w:rPr>
          <w:rStyle w:val="FootnoteReference"/>
        </w:rPr>
        <w:footnoteRef/>
      </w:r>
      <w:r>
        <w:t xml:space="preserve"> Since the legislation has been upheld by the Quebec Court of Appeal, parties have sought leave to file an appeal </w:t>
      </w:r>
      <w:r w:rsidR="00EA22E9">
        <w:t>to the Supreme Court of Canada</w:t>
      </w:r>
      <w:r>
        <w:t xml:space="preserve">. A decision on leave to appeal has yet to be granted. </w:t>
      </w:r>
    </w:p>
  </w:footnote>
  <w:footnote w:id="86">
    <w:p w14:paraId="2C270D9C" w14:textId="10D91E45" w:rsidR="00DB4D03" w:rsidRDefault="00DB4D03">
      <w:pPr>
        <w:pStyle w:val="FootnoteText"/>
      </w:pPr>
      <w:r>
        <w:rPr>
          <w:rStyle w:val="FootnoteReference"/>
        </w:rPr>
        <w:footnoteRef/>
      </w:r>
      <w:r>
        <w:t xml:space="preserve"> The CHRC intervened in the case </w:t>
      </w:r>
      <w:r w:rsidR="005C67C8">
        <w:t>at all levels of court.</w:t>
      </w:r>
      <w:r>
        <w:t xml:space="preserve">  </w:t>
      </w:r>
    </w:p>
  </w:footnote>
  <w:footnote w:id="87">
    <w:p w14:paraId="0D933F85" w14:textId="6C8193FF" w:rsidR="005458BF" w:rsidRPr="00376FEB" w:rsidRDefault="005458BF" w:rsidP="005458BF">
      <w:pPr>
        <w:pStyle w:val="FootnoteText"/>
      </w:pPr>
      <w:r>
        <w:rPr>
          <w:rStyle w:val="FootnoteReference"/>
        </w:rPr>
        <w:footnoteRef/>
      </w:r>
      <w:r>
        <w:t xml:space="preserve"> Reports show that it is primarily Muslim women whose employment is affected by the enforcement of Bill 21.</w:t>
      </w:r>
      <w:r w:rsidR="00EB78A6">
        <w:t xml:space="preserve"> Civil society groups have expressed concerns that the unique position of Muslim women in hijab </w:t>
      </w:r>
      <w:r w:rsidR="00376FEB">
        <w:t>and their experiences at the intersection of race, religion and gender, contributes to a lack of power and privilege and other unique challenges.</w:t>
      </w:r>
      <w:r>
        <w:t xml:space="preserve"> See: Rukavina, S. (November 8, 2022). </w:t>
      </w:r>
      <w:r w:rsidRPr="005458BF">
        <w:t>Muslim women most affected by Quebec's secularism law, Court of Appeal hears</w:t>
      </w:r>
      <w:r>
        <w:t xml:space="preserve">. </w:t>
      </w:r>
      <w:r w:rsidRPr="001C4D0C">
        <w:t>CBC News.</w:t>
      </w:r>
      <w:r>
        <w:t xml:space="preserve"> </w:t>
      </w:r>
      <w:hyperlink r:id="rId85" w:history="1">
        <w:r w:rsidRPr="00AE16D4">
          <w:rPr>
            <w:rStyle w:val="Hyperlink"/>
          </w:rPr>
          <w:t>https://www.cbc.ca/news/canada/montreal/muslim-women-most-affected-by-quebec-s-secularism-law-court-of-appeal-hears-1.6644377</w:t>
        </w:r>
      </w:hyperlink>
      <w:r>
        <w:t xml:space="preserve">. </w:t>
      </w:r>
      <w:r w:rsidR="00376FEB">
        <w:t xml:space="preserve">See also: Syed, S. (May 18, 2022). </w:t>
      </w:r>
      <w:r w:rsidR="00376FEB" w:rsidRPr="00376FEB">
        <w:t>Muslim women wearing hijab at work face heightened scrutiny, professional consequences</w:t>
      </w:r>
      <w:r w:rsidR="00376FEB">
        <w:t xml:space="preserve">. </w:t>
      </w:r>
      <w:r w:rsidR="00376FEB" w:rsidRPr="001C4D0C">
        <w:t>The Globe and Mail.</w:t>
      </w:r>
      <w:r w:rsidR="00376FEB">
        <w:t xml:space="preserve"> </w:t>
      </w:r>
      <w:hyperlink r:id="rId86" w:history="1">
        <w:r w:rsidR="00376FEB" w:rsidRPr="00284D19">
          <w:rPr>
            <w:rStyle w:val="Hyperlink"/>
          </w:rPr>
          <w:t>https://www.theglobeandmail.com/business/article-muslim-women-wearing-hijab-at-work-face-heightened-scrutiny/</w:t>
        </w:r>
      </w:hyperlink>
      <w:r w:rsidR="00376FEB">
        <w:t xml:space="preserve">. </w:t>
      </w:r>
    </w:p>
  </w:footnote>
  <w:footnote w:id="88">
    <w:p w14:paraId="32B4A262" w14:textId="43A2C125" w:rsidR="00F848A9" w:rsidRPr="00ED27A2" w:rsidRDefault="00F848A9" w:rsidP="00F848A9">
      <w:pPr>
        <w:pStyle w:val="FootnoteText"/>
      </w:pPr>
      <w:r>
        <w:rPr>
          <w:rStyle w:val="FootnoteReference"/>
        </w:rPr>
        <w:footnoteRef/>
      </w:r>
      <w:r>
        <w:t xml:space="preserve"> </w:t>
      </w:r>
      <w:r w:rsidRPr="00485DED">
        <w:t xml:space="preserve">While it is not only racialized women who wear the hijab, </w:t>
      </w:r>
      <w:r>
        <w:t xml:space="preserve">the hijab is a physical identifier of a religion that has been widely racialized throughout the West. This places women and girls in hijab firmly at the intersection of cultural, structural and institutional oppression that is gendered Islamophobia and anti-Muslim racism. </w:t>
      </w:r>
      <w:r w:rsidR="005458BF">
        <w:t xml:space="preserve">White and “white-passing” </w:t>
      </w:r>
      <w:proofErr w:type="spellStart"/>
      <w:r w:rsidR="005458BF">
        <w:t>hijabi</w:t>
      </w:r>
      <w:proofErr w:type="spellEnd"/>
      <w:r w:rsidR="005458BF">
        <w:t xml:space="preserve"> women and girls have expressed how they feel that their whiteness is malleable and precarious, and dependent on the racialization of their religious expression. </w:t>
      </w:r>
      <w:r>
        <w:t>See: Bakali, N., (August 17, 2021), Hijab, Gendered Islamophobia, and the Lived Experiences of Muslim Women</w:t>
      </w:r>
      <w:r w:rsidRPr="00EA3507">
        <w:t xml:space="preserve">. </w:t>
      </w:r>
      <w:r w:rsidRPr="001C4D0C">
        <w:t>Yaqeen Institute.</w:t>
      </w:r>
      <w:r>
        <w:rPr>
          <w:i/>
          <w:iCs/>
        </w:rPr>
        <w:t xml:space="preserve"> </w:t>
      </w:r>
      <w:hyperlink r:id="rId87" w:history="1">
        <w:r w:rsidRPr="004D267F">
          <w:rPr>
            <w:rStyle w:val="Hyperlink"/>
          </w:rPr>
          <w:t>https://yaqeeninstitute.ca/read/paper/hijab-gendered-islamophobia-and-the-lived-experiences-of-muslim-women</w:t>
        </w:r>
      </w:hyperlink>
      <w:r w:rsidRPr="004D267F">
        <w:t>.</w:t>
      </w:r>
      <w:r>
        <w:rPr>
          <w:i/>
          <w:iCs/>
        </w:rPr>
        <w:t xml:space="preserve"> </w:t>
      </w:r>
      <w:r w:rsidR="005458BF">
        <w:t xml:space="preserve">See also: Karaman, N. &amp; Christian, M. (2020). </w:t>
      </w:r>
      <w:r w:rsidR="005458BF" w:rsidRPr="00ED27A2">
        <w:t>“My Hijab Is Like My Skin Color”: Muslim Women Students, Racialization, and Intersectionality</w:t>
      </w:r>
      <w:r w:rsidR="005458BF">
        <w:t xml:space="preserve">. </w:t>
      </w:r>
      <w:r w:rsidR="005458BF" w:rsidRPr="001C4D0C">
        <w:t>Sociology of Race and Ethnicity,</w:t>
      </w:r>
      <w:r w:rsidR="005458BF">
        <w:rPr>
          <w:i/>
          <w:iCs/>
        </w:rPr>
        <w:t xml:space="preserve"> </w:t>
      </w:r>
      <w:r w:rsidR="005458BF" w:rsidRPr="001C4D0C">
        <w:t>6</w:t>
      </w:r>
      <w:r w:rsidR="005458BF">
        <w:t xml:space="preserve">(4). </w:t>
      </w:r>
      <w:hyperlink r:id="rId88" w:history="1">
        <w:r w:rsidR="005458BF" w:rsidRPr="00AE16D4">
          <w:rPr>
            <w:rStyle w:val="Hyperlink"/>
          </w:rPr>
          <w:t>https://doi.org/10.1177/2332649220903740</w:t>
        </w:r>
      </w:hyperlink>
      <w:r w:rsidR="005458BF">
        <w:t>.</w:t>
      </w:r>
    </w:p>
  </w:footnote>
  <w:footnote w:id="89">
    <w:p w14:paraId="56C665EA" w14:textId="77777777" w:rsidR="00F848A9" w:rsidRPr="0078764E" w:rsidRDefault="00F848A9" w:rsidP="00F848A9">
      <w:pPr>
        <w:pStyle w:val="FootnoteText"/>
        <w:rPr>
          <w:lang w:val="en-US"/>
        </w:rPr>
      </w:pPr>
      <w:r>
        <w:rPr>
          <w:rStyle w:val="FootnoteReference"/>
        </w:rPr>
        <w:footnoteRef/>
      </w:r>
      <w:r>
        <w:t xml:space="preserve"> </w:t>
      </w:r>
      <w:r>
        <w:rPr>
          <w:lang w:val="en-US"/>
        </w:rPr>
        <w:t xml:space="preserve">See: </w:t>
      </w:r>
      <w:hyperlink r:id="rId89" w:history="1">
        <w:r w:rsidRPr="00BA7CCF">
          <w:rPr>
            <w:rStyle w:val="Hyperlink"/>
            <w:lang w:val="en-US"/>
          </w:rPr>
          <w:t>https://www.chrc-ccdp.gc.ca/en/resources/banning-religious-symbols-puts-everyones-rights-risk</w:t>
        </w:r>
      </w:hyperlink>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2FEB3" w14:textId="4C01D7BE" w:rsidR="00F73E0B" w:rsidRDefault="00F73E0B">
    <w:pPr>
      <w:pStyle w:val="Header"/>
    </w:pPr>
    <w:r>
      <w:rPr>
        <w:noProof/>
        <w:lang w:eastAsia="en-CA"/>
      </w:rPr>
      <w:drawing>
        <wp:anchor distT="0" distB="0" distL="114300" distR="114300" simplePos="0" relativeHeight="251659264" behindDoc="1" locked="0" layoutInCell="1" allowOverlap="1" wp14:anchorId="7DBE6F22" wp14:editId="4138917D">
          <wp:simplePos x="0" y="0"/>
          <wp:positionH relativeFrom="page">
            <wp:posOffset>9525</wp:posOffset>
          </wp:positionH>
          <wp:positionV relativeFrom="paragraph">
            <wp:posOffset>-457835</wp:posOffset>
          </wp:positionV>
          <wp:extent cx="7763510" cy="10126980"/>
          <wp:effectExtent l="0" t="0" r="8890" b="7620"/>
          <wp:wrapNone/>
          <wp:docPr id="3" name="Image 2" descr="Cover page with a black banner at the top containing the Canadian Human Rights Commission logo and two colored triangles at the bottom. On the right side, it is inscribed &quot;Human Righ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Cover page with a black banner at the top containing the Canadian Human Rights Commission logo and two colored triangles at the bottom. On the right side, it is inscribed &quot;Human Rights&quot;."/>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3510" cy="101269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A259A"/>
    <w:multiLevelType w:val="hybridMultilevel"/>
    <w:tmpl w:val="79202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BB1D66"/>
    <w:multiLevelType w:val="hybridMultilevel"/>
    <w:tmpl w:val="B9242612"/>
    <w:lvl w:ilvl="0" w:tplc="569E5A1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507BAB"/>
    <w:multiLevelType w:val="hybridMultilevel"/>
    <w:tmpl w:val="3B48A4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CC64CC6"/>
    <w:multiLevelType w:val="hybridMultilevel"/>
    <w:tmpl w:val="3E965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D331DAB"/>
    <w:multiLevelType w:val="hybridMultilevel"/>
    <w:tmpl w:val="A3EC1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131666"/>
    <w:multiLevelType w:val="hybridMultilevel"/>
    <w:tmpl w:val="4844C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557335"/>
    <w:multiLevelType w:val="multilevel"/>
    <w:tmpl w:val="F67E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3611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DE3289"/>
    <w:multiLevelType w:val="hybridMultilevel"/>
    <w:tmpl w:val="B9242612"/>
    <w:lvl w:ilvl="0" w:tplc="569E5A1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86E6C19"/>
    <w:multiLevelType w:val="hybridMultilevel"/>
    <w:tmpl w:val="9F563D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1A4450FC"/>
    <w:multiLevelType w:val="hybridMultilevel"/>
    <w:tmpl w:val="370C11EA"/>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7FD5265"/>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5E5DEA"/>
    <w:multiLevelType w:val="hybridMultilevel"/>
    <w:tmpl w:val="5C1ACE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295D0BE3"/>
    <w:multiLevelType w:val="hybridMultilevel"/>
    <w:tmpl w:val="126AE2F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A215C57"/>
    <w:multiLevelType w:val="hybridMultilevel"/>
    <w:tmpl w:val="5CFCA944"/>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EB0552B"/>
    <w:multiLevelType w:val="hybridMultilevel"/>
    <w:tmpl w:val="B9242612"/>
    <w:lvl w:ilvl="0" w:tplc="569E5A1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F7D108D"/>
    <w:multiLevelType w:val="hybridMultilevel"/>
    <w:tmpl w:val="B9242612"/>
    <w:lvl w:ilvl="0" w:tplc="569E5A1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7A441AF"/>
    <w:multiLevelType w:val="hybridMultilevel"/>
    <w:tmpl w:val="7C3C7BB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39065527"/>
    <w:multiLevelType w:val="hybridMultilevel"/>
    <w:tmpl w:val="B9242612"/>
    <w:lvl w:ilvl="0" w:tplc="569E5A1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90F21B4"/>
    <w:multiLevelType w:val="hybridMultilevel"/>
    <w:tmpl w:val="537ACC46"/>
    <w:lvl w:ilvl="0" w:tplc="25CC4BDE">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9FD52C1"/>
    <w:multiLevelType w:val="hybridMultilevel"/>
    <w:tmpl w:val="1AE08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AED4A34"/>
    <w:multiLevelType w:val="hybridMultilevel"/>
    <w:tmpl w:val="BDE0E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C9148BF"/>
    <w:multiLevelType w:val="hybridMultilevel"/>
    <w:tmpl w:val="F88E0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3F72214"/>
    <w:multiLevelType w:val="hybridMultilevel"/>
    <w:tmpl w:val="05D65F58"/>
    <w:lvl w:ilvl="0" w:tplc="1982F788">
      <w:start w:val="1"/>
      <w:numFmt w:val="bullet"/>
      <w:lvlText w:val=""/>
      <w:lvlJc w:val="left"/>
      <w:pPr>
        <w:ind w:left="1440" w:hanging="360"/>
      </w:pPr>
      <w:rPr>
        <w:rFonts w:ascii="Symbol" w:hAnsi="Symbol"/>
      </w:rPr>
    </w:lvl>
    <w:lvl w:ilvl="1" w:tplc="C966F6D2">
      <w:start w:val="1"/>
      <w:numFmt w:val="bullet"/>
      <w:lvlText w:val=""/>
      <w:lvlJc w:val="left"/>
      <w:pPr>
        <w:ind w:left="1440" w:hanging="360"/>
      </w:pPr>
      <w:rPr>
        <w:rFonts w:ascii="Symbol" w:hAnsi="Symbol"/>
      </w:rPr>
    </w:lvl>
    <w:lvl w:ilvl="2" w:tplc="994EEF3E">
      <w:start w:val="1"/>
      <w:numFmt w:val="bullet"/>
      <w:lvlText w:val=""/>
      <w:lvlJc w:val="left"/>
      <w:pPr>
        <w:ind w:left="1440" w:hanging="360"/>
      </w:pPr>
      <w:rPr>
        <w:rFonts w:ascii="Symbol" w:hAnsi="Symbol"/>
      </w:rPr>
    </w:lvl>
    <w:lvl w:ilvl="3" w:tplc="BBA2ACBC">
      <w:start w:val="1"/>
      <w:numFmt w:val="bullet"/>
      <w:lvlText w:val=""/>
      <w:lvlJc w:val="left"/>
      <w:pPr>
        <w:ind w:left="1440" w:hanging="360"/>
      </w:pPr>
      <w:rPr>
        <w:rFonts w:ascii="Symbol" w:hAnsi="Symbol"/>
      </w:rPr>
    </w:lvl>
    <w:lvl w:ilvl="4" w:tplc="59903D42">
      <w:start w:val="1"/>
      <w:numFmt w:val="bullet"/>
      <w:lvlText w:val=""/>
      <w:lvlJc w:val="left"/>
      <w:pPr>
        <w:ind w:left="1440" w:hanging="360"/>
      </w:pPr>
      <w:rPr>
        <w:rFonts w:ascii="Symbol" w:hAnsi="Symbol"/>
      </w:rPr>
    </w:lvl>
    <w:lvl w:ilvl="5" w:tplc="7CA2EA10">
      <w:start w:val="1"/>
      <w:numFmt w:val="bullet"/>
      <w:lvlText w:val=""/>
      <w:lvlJc w:val="left"/>
      <w:pPr>
        <w:ind w:left="1440" w:hanging="360"/>
      </w:pPr>
      <w:rPr>
        <w:rFonts w:ascii="Symbol" w:hAnsi="Symbol"/>
      </w:rPr>
    </w:lvl>
    <w:lvl w:ilvl="6" w:tplc="2F5AD69E">
      <w:start w:val="1"/>
      <w:numFmt w:val="bullet"/>
      <w:lvlText w:val=""/>
      <w:lvlJc w:val="left"/>
      <w:pPr>
        <w:ind w:left="1440" w:hanging="360"/>
      </w:pPr>
      <w:rPr>
        <w:rFonts w:ascii="Symbol" w:hAnsi="Symbol"/>
      </w:rPr>
    </w:lvl>
    <w:lvl w:ilvl="7" w:tplc="264E058E">
      <w:start w:val="1"/>
      <w:numFmt w:val="bullet"/>
      <w:lvlText w:val=""/>
      <w:lvlJc w:val="left"/>
      <w:pPr>
        <w:ind w:left="1440" w:hanging="360"/>
      </w:pPr>
      <w:rPr>
        <w:rFonts w:ascii="Symbol" w:hAnsi="Symbol"/>
      </w:rPr>
    </w:lvl>
    <w:lvl w:ilvl="8" w:tplc="85DCE788">
      <w:start w:val="1"/>
      <w:numFmt w:val="bullet"/>
      <w:lvlText w:val=""/>
      <w:lvlJc w:val="left"/>
      <w:pPr>
        <w:ind w:left="1440" w:hanging="360"/>
      </w:pPr>
      <w:rPr>
        <w:rFonts w:ascii="Symbol" w:hAnsi="Symbol"/>
      </w:rPr>
    </w:lvl>
  </w:abstractNum>
  <w:abstractNum w:abstractNumId="24" w15:restartNumberingAfterBreak="0">
    <w:nsid w:val="4BDE382E"/>
    <w:multiLevelType w:val="hybridMultilevel"/>
    <w:tmpl w:val="EC96DB92"/>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F715DA6"/>
    <w:multiLevelType w:val="hybridMultilevel"/>
    <w:tmpl w:val="D8805F0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50D37997"/>
    <w:multiLevelType w:val="hybridMultilevel"/>
    <w:tmpl w:val="5DF0376C"/>
    <w:lvl w:ilvl="0" w:tplc="10090001">
      <w:start w:val="1"/>
      <w:numFmt w:val="bullet"/>
      <w:lvlText w:val=""/>
      <w:lvlJc w:val="left"/>
      <w:pPr>
        <w:ind w:left="360" w:hanging="360"/>
      </w:pPr>
      <w:rPr>
        <w:rFonts w:ascii="Symbol" w:hAnsi="Symbol" w:hint="default"/>
        <w:sz w:val="24"/>
        <w:szCs w:val="24"/>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54B67EB4"/>
    <w:multiLevelType w:val="hybridMultilevel"/>
    <w:tmpl w:val="2256B2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55A31ADD"/>
    <w:multiLevelType w:val="hybridMultilevel"/>
    <w:tmpl w:val="B0CABC6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57650093"/>
    <w:multiLevelType w:val="hybridMultilevel"/>
    <w:tmpl w:val="B9242612"/>
    <w:lvl w:ilvl="0" w:tplc="569E5A12">
      <w:start w:val="1"/>
      <w:numFmt w:val="decimal"/>
      <w:lvlText w:val="%1."/>
      <w:lvlJc w:val="left"/>
      <w:pPr>
        <w:ind w:left="720" w:hanging="360"/>
      </w:pPr>
      <w:rPr>
        <w:rFonts w:hint="default"/>
        <w:sz w:val="36"/>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A123D5B"/>
    <w:multiLevelType w:val="hybridMultilevel"/>
    <w:tmpl w:val="42065CDA"/>
    <w:lvl w:ilvl="0" w:tplc="CA14DC4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1" w15:restartNumberingAfterBreak="0">
    <w:nsid w:val="5A291E4E"/>
    <w:multiLevelType w:val="multilevel"/>
    <w:tmpl w:val="A8D68A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FFC023D"/>
    <w:multiLevelType w:val="hybridMultilevel"/>
    <w:tmpl w:val="25DA94D0"/>
    <w:lvl w:ilvl="0" w:tplc="66E4CF8E">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6A17897"/>
    <w:multiLevelType w:val="multilevel"/>
    <w:tmpl w:val="16A64BE2"/>
    <w:lvl w:ilvl="0">
      <w:start w:val="1"/>
      <w:numFmt w:val="decimal"/>
      <w:pStyle w:val="Heading1"/>
      <w:suff w:val="space"/>
      <w:lvlText w:val="%1."/>
      <w:lvlJc w:val="left"/>
      <w:pPr>
        <w:ind w:left="2610" w:hanging="720"/>
      </w:pPr>
      <w:rPr>
        <w:rFonts w:hint="default"/>
      </w:rPr>
    </w:lvl>
    <w:lvl w:ilvl="1">
      <w:start w:val="1"/>
      <w:numFmt w:val="decimal"/>
      <w:pStyle w:val="Heading2"/>
      <w:isLgl/>
      <w:lvlText w:val="%1.%2"/>
      <w:lvlJc w:val="left"/>
      <w:pPr>
        <w:ind w:left="2295" w:hanging="405"/>
      </w:pPr>
      <w:rPr>
        <w:rFonts w:hint="default"/>
      </w:rPr>
    </w:lvl>
    <w:lvl w:ilvl="2">
      <w:start w:val="1"/>
      <w:numFmt w:val="decimal"/>
      <w:isLgl/>
      <w:lvlText w:val="%1.%2.%3"/>
      <w:lvlJc w:val="left"/>
      <w:pPr>
        <w:ind w:left="261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297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690" w:hanging="1800"/>
      </w:pPr>
      <w:rPr>
        <w:rFonts w:hint="default"/>
      </w:rPr>
    </w:lvl>
    <w:lvl w:ilvl="8">
      <w:start w:val="1"/>
      <w:numFmt w:val="decimal"/>
      <w:isLgl/>
      <w:lvlText w:val="%1.%2.%3.%4.%5.%6.%7.%8.%9"/>
      <w:lvlJc w:val="left"/>
      <w:pPr>
        <w:ind w:left="3690" w:hanging="1800"/>
      </w:pPr>
      <w:rPr>
        <w:rFonts w:hint="default"/>
      </w:rPr>
    </w:lvl>
  </w:abstractNum>
  <w:abstractNum w:abstractNumId="34" w15:restartNumberingAfterBreak="0">
    <w:nsid w:val="673D6925"/>
    <w:multiLevelType w:val="hybridMultilevel"/>
    <w:tmpl w:val="D9868F2E"/>
    <w:lvl w:ilvl="0" w:tplc="FC4821F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5" w15:restartNumberingAfterBreak="0">
    <w:nsid w:val="69397693"/>
    <w:multiLevelType w:val="hybridMultilevel"/>
    <w:tmpl w:val="6768759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15:restartNumberingAfterBreak="0">
    <w:nsid w:val="6B7236B2"/>
    <w:multiLevelType w:val="hybridMultilevel"/>
    <w:tmpl w:val="3A8EDB32"/>
    <w:lvl w:ilvl="0" w:tplc="1009000F">
      <w:start w:val="1"/>
      <w:numFmt w:val="decimal"/>
      <w:lvlText w:val="%1."/>
      <w:lvlJc w:val="left"/>
      <w:pPr>
        <w:ind w:left="360" w:hanging="360"/>
      </w:pPr>
    </w:lvl>
    <w:lvl w:ilvl="1" w:tplc="10090001">
      <w:start w:val="1"/>
      <w:numFmt w:val="bullet"/>
      <w:lvlText w:val=""/>
      <w:lvlJc w:val="left"/>
      <w:pPr>
        <w:ind w:left="1080" w:hanging="360"/>
      </w:pPr>
      <w:rPr>
        <w:rFonts w:ascii="Symbol" w:hAnsi="Symbol" w:hint="default"/>
      </w:rPr>
    </w:lvl>
    <w:lvl w:ilvl="2" w:tplc="A9AA8CE2">
      <w:start w:val="1"/>
      <w:numFmt w:val="decimal"/>
      <w:lvlText w:val="%3)"/>
      <w:lvlJc w:val="left"/>
      <w:pPr>
        <w:ind w:left="1980" w:hanging="36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7" w15:restartNumberingAfterBreak="0">
    <w:nsid w:val="6B8647BD"/>
    <w:multiLevelType w:val="hybridMultilevel"/>
    <w:tmpl w:val="D50855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15:restartNumberingAfterBreak="0">
    <w:nsid w:val="6DB7467A"/>
    <w:multiLevelType w:val="hybridMultilevel"/>
    <w:tmpl w:val="483460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6E5341BE"/>
    <w:multiLevelType w:val="hybridMultilevel"/>
    <w:tmpl w:val="A9302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849592E"/>
    <w:multiLevelType w:val="multilevel"/>
    <w:tmpl w:val="FA30BF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9137B2"/>
    <w:multiLevelType w:val="hybridMultilevel"/>
    <w:tmpl w:val="2454FF0C"/>
    <w:lvl w:ilvl="0" w:tplc="2BB8A734">
      <w:start w:val="5"/>
      <w:numFmt w:val="bullet"/>
      <w:lvlText w:val="-"/>
      <w:lvlJc w:val="left"/>
      <w:pPr>
        <w:ind w:left="720" w:hanging="360"/>
      </w:pPr>
      <w:rPr>
        <w:rFonts w:ascii="Calibri" w:eastAsia="Calibr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15:restartNumberingAfterBreak="0">
    <w:nsid w:val="7AF13B9B"/>
    <w:multiLevelType w:val="hybridMultilevel"/>
    <w:tmpl w:val="C3669DA4"/>
    <w:lvl w:ilvl="0" w:tplc="105ABBD2">
      <w:start w:val="1"/>
      <w:numFmt w:val="bullet"/>
      <w:lvlText w:val=""/>
      <w:lvlJc w:val="left"/>
      <w:pPr>
        <w:ind w:left="1440" w:hanging="360"/>
      </w:pPr>
      <w:rPr>
        <w:rFonts w:ascii="Symbol" w:hAnsi="Symbol"/>
      </w:rPr>
    </w:lvl>
    <w:lvl w:ilvl="1" w:tplc="DC8698CE">
      <w:start w:val="1"/>
      <w:numFmt w:val="bullet"/>
      <w:lvlText w:val=""/>
      <w:lvlJc w:val="left"/>
      <w:pPr>
        <w:ind w:left="1440" w:hanging="360"/>
      </w:pPr>
      <w:rPr>
        <w:rFonts w:ascii="Symbol" w:hAnsi="Symbol"/>
      </w:rPr>
    </w:lvl>
    <w:lvl w:ilvl="2" w:tplc="912E0C0C">
      <w:start w:val="1"/>
      <w:numFmt w:val="bullet"/>
      <w:lvlText w:val=""/>
      <w:lvlJc w:val="left"/>
      <w:pPr>
        <w:ind w:left="1440" w:hanging="360"/>
      </w:pPr>
      <w:rPr>
        <w:rFonts w:ascii="Symbol" w:hAnsi="Symbol"/>
      </w:rPr>
    </w:lvl>
    <w:lvl w:ilvl="3" w:tplc="857C9082">
      <w:start w:val="1"/>
      <w:numFmt w:val="bullet"/>
      <w:lvlText w:val=""/>
      <w:lvlJc w:val="left"/>
      <w:pPr>
        <w:ind w:left="1440" w:hanging="360"/>
      </w:pPr>
      <w:rPr>
        <w:rFonts w:ascii="Symbol" w:hAnsi="Symbol"/>
      </w:rPr>
    </w:lvl>
    <w:lvl w:ilvl="4" w:tplc="6CA09A3E">
      <w:start w:val="1"/>
      <w:numFmt w:val="bullet"/>
      <w:lvlText w:val=""/>
      <w:lvlJc w:val="left"/>
      <w:pPr>
        <w:ind w:left="1440" w:hanging="360"/>
      </w:pPr>
      <w:rPr>
        <w:rFonts w:ascii="Symbol" w:hAnsi="Symbol"/>
      </w:rPr>
    </w:lvl>
    <w:lvl w:ilvl="5" w:tplc="D3201850">
      <w:start w:val="1"/>
      <w:numFmt w:val="bullet"/>
      <w:lvlText w:val=""/>
      <w:lvlJc w:val="left"/>
      <w:pPr>
        <w:ind w:left="1440" w:hanging="360"/>
      </w:pPr>
      <w:rPr>
        <w:rFonts w:ascii="Symbol" w:hAnsi="Symbol"/>
      </w:rPr>
    </w:lvl>
    <w:lvl w:ilvl="6" w:tplc="2D06A478">
      <w:start w:val="1"/>
      <w:numFmt w:val="bullet"/>
      <w:lvlText w:val=""/>
      <w:lvlJc w:val="left"/>
      <w:pPr>
        <w:ind w:left="1440" w:hanging="360"/>
      </w:pPr>
      <w:rPr>
        <w:rFonts w:ascii="Symbol" w:hAnsi="Symbol"/>
      </w:rPr>
    </w:lvl>
    <w:lvl w:ilvl="7" w:tplc="31EC9D8E">
      <w:start w:val="1"/>
      <w:numFmt w:val="bullet"/>
      <w:lvlText w:val=""/>
      <w:lvlJc w:val="left"/>
      <w:pPr>
        <w:ind w:left="1440" w:hanging="360"/>
      </w:pPr>
      <w:rPr>
        <w:rFonts w:ascii="Symbol" w:hAnsi="Symbol"/>
      </w:rPr>
    </w:lvl>
    <w:lvl w:ilvl="8" w:tplc="C2D037B2">
      <w:start w:val="1"/>
      <w:numFmt w:val="bullet"/>
      <w:lvlText w:val=""/>
      <w:lvlJc w:val="left"/>
      <w:pPr>
        <w:ind w:left="1440" w:hanging="360"/>
      </w:pPr>
      <w:rPr>
        <w:rFonts w:ascii="Symbol" w:hAnsi="Symbol"/>
      </w:rPr>
    </w:lvl>
  </w:abstractNum>
  <w:num w:numId="1" w16cid:durableId="14961873">
    <w:abstractNumId w:val="15"/>
  </w:num>
  <w:num w:numId="2" w16cid:durableId="135341244">
    <w:abstractNumId w:val="18"/>
  </w:num>
  <w:num w:numId="3" w16cid:durableId="696008664">
    <w:abstractNumId w:val="29"/>
  </w:num>
  <w:num w:numId="4" w16cid:durableId="575895297">
    <w:abstractNumId w:val="16"/>
  </w:num>
  <w:num w:numId="5" w16cid:durableId="1456145634">
    <w:abstractNumId w:val="8"/>
  </w:num>
  <w:num w:numId="6" w16cid:durableId="769162638">
    <w:abstractNumId w:val="1"/>
  </w:num>
  <w:num w:numId="7" w16cid:durableId="1033460690">
    <w:abstractNumId w:val="5"/>
  </w:num>
  <w:num w:numId="8" w16cid:durableId="1325545912">
    <w:abstractNumId w:val="27"/>
  </w:num>
  <w:num w:numId="9" w16cid:durableId="1872958106">
    <w:abstractNumId w:val="26"/>
  </w:num>
  <w:num w:numId="10" w16cid:durableId="1833763011">
    <w:abstractNumId w:val="10"/>
  </w:num>
  <w:num w:numId="11" w16cid:durableId="477377114">
    <w:abstractNumId w:val="24"/>
  </w:num>
  <w:num w:numId="12" w16cid:durableId="1931543306">
    <w:abstractNumId w:val="14"/>
  </w:num>
  <w:num w:numId="13" w16cid:durableId="962200256">
    <w:abstractNumId w:val="37"/>
  </w:num>
  <w:num w:numId="14" w16cid:durableId="540289943">
    <w:abstractNumId w:val="0"/>
  </w:num>
  <w:num w:numId="15" w16cid:durableId="727609928">
    <w:abstractNumId w:val="2"/>
  </w:num>
  <w:num w:numId="16" w16cid:durableId="1690789629">
    <w:abstractNumId w:val="38"/>
  </w:num>
  <w:num w:numId="17" w16cid:durableId="265309185">
    <w:abstractNumId w:val="12"/>
  </w:num>
  <w:num w:numId="18" w16cid:durableId="1886259689">
    <w:abstractNumId w:val="25"/>
  </w:num>
  <w:num w:numId="19" w16cid:durableId="135995979">
    <w:abstractNumId w:val="28"/>
  </w:num>
  <w:num w:numId="20" w16cid:durableId="1707564102">
    <w:abstractNumId w:val="9"/>
  </w:num>
  <w:num w:numId="21" w16cid:durableId="295068860">
    <w:abstractNumId w:val="30"/>
  </w:num>
  <w:num w:numId="22" w16cid:durableId="645664007">
    <w:abstractNumId w:val="32"/>
  </w:num>
  <w:num w:numId="23" w16cid:durableId="1525363731">
    <w:abstractNumId w:val="17"/>
  </w:num>
  <w:num w:numId="24" w16cid:durableId="1175223161">
    <w:abstractNumId w:val="34"/>
  </w:num>
  <w:num w:numId="25" w16cid:durableId="2041778113">
    <w:abstractNumId w:val="6"/>
  </w:num>
  <w:num w:numId="26" w16cid:durableId="241572196">
    <w:abstractNumId w:val="21"/>
  </w:num>
  <w:num w:numId="27" w16cid:durableId="110830439">
    <w:abstractNumId w:val="22"/>
  </w:num>
  <w:num w:numId="28" w16cid:durableId="191503242">
    <w:abstractNumId w:val="20"/>
  </w:num>
  <w:num w:numId="29" w16cid:durableId="182256596">
    <w:abstractNumId w:val="41"/>
  </w:num>
  <w:num w:numId="30" w16cid:durableId="349645473">
    <w:abstractNumId w:val="39"/>
  </w:num>
  <w:num w:numId="31" w16cid:durableId="1185705892">
    <w:abstractNumId w:val="31"/>
  </w:num>
  <w:num w:numId="32" w16cid:durableId="1860776964">
    <w:abstractNumId w:val="35"/>
  </w:num>
  <w:num w:numId="33" w16cid:durableId="526021563">
    <w:abstractNumId w:val="33"/>
  </w:num>
  <w:num w:numId="34" w16cid:durableId="1587882504">
    <w:abstractNumId w:val="33"/>
    <w:lvlOverride w:ilvl="0">
      <w:startOverride w:val="1"/>
    </w:lvlOverride>
  </w:num>
  <w:num w:numId="35" w16cid:durableId="1367414867">
    <w:abstractNumId w:val="33"/>
    <w:lvlOverride w:ilvl="0">
      <w:startOverride w:val="1"/>
    </w:lvlOverride>
  </w:num>
  <w:num w:numId="36" w16cid:durableId="929506144">
    <w:abstractNumId w:val="33"/>
  </w:num>
  <w:num w:numId="37" w16cid:durableId="1720664825">
    <w:abstractNumId w:val="36"/>
  </w:num>
  <w:num w:numId="38" w16cid:durableId="1979340009">
    <w:abstractNumId w:val="13"/>
  </w:num>
  <w:num w:numId="39" w16cid:durableId="1115563826">
    <w:abstractNumId w:val="19"/>
  </w:num>
  <w:num w:numId="40" w16cid:durableId="1131628882">
    <w:abstractNumId w:val="4"/>
  </w:num>
  <w:num w:numId="41" w16cid:durableId="1335453806">
    <w:abstractNumId w:val="3"/>
  </w:num>
  <w:num w:numId="42" w16cid:durableId="2098941119">
    <w:abstractNumId w:val="7"/>
  </w:num>
  <w:num w:numId="43" w16cid:durableId="2106609900">
    <w:abstractNumId w:val="11"/>
  </w:num>
  <w:num w:numId="44" w16cid:durableId="106509534">
    <w:abstractNumId w:val="40"/>
  </w:num>
  <w:num w:numId="45" w16cid:durableId="1679040033">
    <w:abstractNumId w:val="23"/>
  </w:num>
  <w:num w:numId="46" w16cid:durableId="216472371">
    <w:abstractNumId w:val="42"/>
  </w:num>
  <w:num w:numId="47" w16cid:durableId="1085416506">
    <w:abstractNumId w:val="40"/>
  </w:num>
  <w:num w:numId="48" w16cid:durableId="1766225533">
    <w:abstractNumId w:val="4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CA" w:vendorID="64" w:dllVersion="0" w:nlCheck="1" w:checkStyle="0"/>
  <w:activeWritingStyle w:appName="MSWord" w:lang="fr-CA"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0E2"/>
    <w:rsid w:val="00001691"/>
    <w:rsid w:val="00001B64"/>
    <w:rsid w:val="00002BC6"/>
    <w:rsid w:val="0000325E"/>
    <w:rsid w:val="00003AC5"/>
    <w:rsid w:val="0000487C"/>
    <w:rsid w:val="000048CF"/>
    <w:rsid w:val="00005014"/>
    <w:rsid w:val="000053E2"/>
    <w:rsid w:val="00005846"/>
    <w:rsid w:val="00005BFD"/>
    <w:rsid w:val="000061C9"/>
    <w:rsid w:val="000077E8"/>
    <w:rsid w:val="00007B78"/>
    <w:rsid w:val="0001040A"/>
    <w:rsid w:val="00011B62"/>
    <w:rsid w:val="00012307"/>
    <w:rsid w:val="000130E2"/>
    <w:rsid w:val="00013513"/>
    <w:rsid w:val="000135F7"/>
    <w:rsid w:val="0001363C"/>
    <w:rsid w:val="000142AF"/>
    <w:rsid w:val="00014DAC"/>
    <w:rsid w:val="00014DC2"/>
    <w:rsid w:val="00016189"/>
    <w:rsid w:val="00017DC9"/>
    <w:rsid w:val="00020924"/>
    <w:rsid w:val="00021016"/>
    <w:rsid w:val="000214D9"/>
    <w:rsid w:val="00022BE2"/>
    <w:rsid w:val="000230B2"/>
    <w:rsid w:val="00025769"/>
    <w:rsid w:val="00026CDA"/>
    <w:rsid w:val="00026E32"/>
    <w:rsid w:val="00026FC2"/>
    <w:rsid w:val="000309F9"/>
    <w:rsid w:val="000319E4"/>
    <w:rsid w:val="00032A77"/>
    <w:rsid w:val="00032F26"/>
    <w:rsid w:val="00033CE3"/>
    <w:rsid w:val="00034B8C"/>
    <w:rsid w:val="000359BB"/>
    <w:rsid w:val="00035A87"/>
    <w:rsid w:val="000360D6"/>
    <w:rsid w:val="000365FF"/>
    <w:rsid w:val="00037367"/>
    <w:rsid w:val="000401FA"/>
    <w:rsid w:val="000414E8"/>
    <w:rsid w:val="000422B1"/>
    <w:rsid w:val="000423FC"/>
    <w:rsid w:val="00042716"/>
    <w:rsid w:val="00042C8A"/>
    <w:rsid w:val="000434B3"/>
    <w:rsid w:val="00043967"/>
    <w:rsid w:val="000444EC"/>
    <w:rsid w:val="000445EF"/>
    <w:rsid w:val="00045929"/>
    <w:rsid w:val="00045A4D"/>
    <w:rsid w:val="00045EE6"/>
    <w:rsid w:val="000464A5"/>
    <w:rsid w:val="000467D7"/>
    <w:rsid w:val="00046E4F"/>
    <w:rsid w:val="0005079A"/>
    <w:rsid w:val="0005093D"/>
    <w:rsid w:val="00051490"/>
    <w:rsid w:val="00051522"/>
    <w:rsid w:val="000517FA"/>
    <w:rsid w:val="00054E5E"/>
    <w:rsid w:val="00055CC5"/>
    <w:rsid w:val="00055EC3"/>
    <w:rsid w:val="00055F80"/>
    <w:rsid w:val="000571DB"/>
    <w:rsid w:val="0005774A"/>
    <w:rsid w:val="00057A31"/>
    <w:rsid w:val="0006046E"/>
    <w:rsid w:val="0006086C"/>
    <w:rsid w:val="00062D6B"/>
    <w:rsid w:val="00062FA1"/>
    <w:rsid w:val="00063744"/>
    <w:rsid w:val="00063C2D"/>
    <w:rsid w:val="00063D67"/>
    <w:rsid w:val="00063E5B"/>
    <w:rsid w:val="00064375"/>
    <w:rsid w:val="00064712"/>
    <w:rsid w:val="00064A5C"/>
    <w:rsid w:val="00064E9F"/>
    <w:rsid w:val="00064F41"/>
    <w:rsid w:val="00065803"/>
    <w:rsid w:val="00065E87"/>
    <w:rsid w:val="000673A6"/>
    <w:rsid w:val="0006795E"/>
    <w:rsid w:val="00070304"/>
    <w:rsid w:val="00070771"/>
    <w:rsid w:val="000708A3"/>
    <w:rsid w:val="00073059"/>
    <w:rsid w:val="0007357A"/>
    <w:rsid w:val="00073CBC"/>
    <w:rsid w:val="00073E0A"/>
    <w:rsid w:val="00075A79"/>
    <w:rsid w:val="000764F9"/>
    <w:rsid w:val="0007745E"/>
    <w:rsid w:val="00077506"/>
    <w:rsid w:val="00077C96"/>
    <w:rsid w:val="000800A1"/>
    <w:rsid w:val="00082817"/>
    <w:rsid w:val="0008495C"/>
    <w:rsid w:val="00085499"/>
    <w:rsid w:val="00085FC1"/>
    <w:rsid w:val="00086161"/>
    <w:rsid w:val="00087D0C"/>
    <w:rsid w:val="0009052D"/>
    <w:rsid w:val="00090DDE"/>
    <w:rsid w:val="000916A8"/>
    <w:rsid w:val="000917EE"/>
    <w:rsid w:val="000951E4"/>
    <w:rsid w:val="000969F2"/>
    <w:rsid w:val="000975CD"/>
    <w:rsid w:val="000977C0"/>
    <w:rsid w:val="000A03AE"/>
    <w:rsid w:val="000A13A2"/>
    <w:rsid w:val="000A17E1"/>
    <w:rsid w:val="000A3206"/>
    <w:rsid w:val="000A3267"/>
    <w:rsid w:val="000A4385"/>
    <w:rsid w:val="000A4654"/>
    <w:rsid w:val="000A5989"/>
    <w:rsid w:val="000A6C56"/>
    <w:rsid w:val="000A7319"/>
    <w:rsid w:val="000A78A0"/>
    <w:rsid w:val="000A79BD"/>
    <w:rsid w:val="000B0EF7"/>
    <w:rsid w:val="000B12A0"/>
    <w:rsid w:val="000B28ED"/>
    <w:rsid w:val="000B361E"/>
    <w:rsid w:val="000B3A58"/>
    <w:rsid w:val="000B450E"/>
    <w:rsid w:val="000B483F"/>
    <w:rsid w:val="000B51FF"/>
    <w:rsid w:val="000B5FB5"/>
    <w:rsid w:val="000B68A8"/>
    <w:rsid w:val="000B6DF6"/>
    <w:rsid w:val="000B7BA0"/>
    <w:rsid w:val="000C1711"/>
    <w:rsid w:val="000C27AE"/>
    <w:rsid w:val="000C3CC8"/>
    <w:rsid w:val="000C4433"/>
    <w:rsid w:val="000C470E"/>
    <w:rsid w:val="000C4AC8"/>
    <w:rsid w:val="000C680A"/>
    <w:rsid w:val="000C6C48"/>
    <w:rsid w:val="000D076D"/>
    <w:rsid w:val="000D0E23"/>
    <w:rsid w:val="000D0F9F"/>
    <w:rsid w:val="000D13C7"/>
    <w:rsid w:val="000D2697"/>
    <w:rsid w:val="000D332A"/>
    <w:rsid w:val="000D432E"/>
    <w:rsid w:val="000D683B"/>
    <w:rsid w:val="000D6C55"/>
    <w:rsid w:val="000D6F36"/>
    <w:rsid w:val="000E09FF"/>
    <w:rsid w:val="000E0B36"/>
    <w:rsid w:val="000E116C"/>
    <w:rsid w:val="000E193D"/>
    <w:rsid w:val="000E1B90"/>
    <w:rsid w:val="000E1CED"/>
    <w:rsid w:val="000E23FA"/>
    <w:rsid w:val="000E2BB8"/>
    <w:rsid w:val="000E2C96"/>
    <w:rsid w:val="000E3339"/>
    <w:rsid w:val="000E603B"/>
    <w:rsid w:val="000E6418"/>
    <w:rsid w:val="000E6589"/>
    <w:rsid w:val="000E6B57"/>
    <w:rsid w:val="000F0154"/>
    <w:rsid w:val="000F23E2"/>
    <w:rsid w:val="000F38BE"/>
    <w:rsid w:val="000F3FE5"/>
    <w:rsid w:val="000F5DF7"/>
    <w:rsid w:val="000F608D"/>
    <w:rsid w:val="000F69B7"/>
    <w:rsid w:val="000F6E4E"/>
    <w:rsid w:val="000F74EE"/>
    <w:rsid w:val="000F7565"/>
    <w:rsid w:val="000F78E2"/>
    <w:rsid w:val="00101103"/>
    <w:rsid w:val="0010158E"/>
    <w:rsid w:val="001027BC"/>
    <w:rsid w:val="001028E4"/>
    <w:rsid w:val="00102DEB"/>
    <w:rsid w:val="00102EF5"/>
    <w:rsid w:val="00103DCA"/>
    <w:rsid w:val="00104356"/>
    <w:rsid w:val="00104473"/>
    <w:rsid w:val="0010518D"/>
    <w:rsid w:val="00106054"/>
    <w:rsid w:val="00106664"/>
    <w:rsid w:val="00107E00"/>
    <w:rsid w:val="00110240"/>
    <w:rsid w:val="00110846"/>
    <w:rsid w:val="00110B66"/>
    <w:rsid w:val="00110CDD"/>
    <w:rsid w:val="001116A2"/>
    <w:rsid w:val="00111714"/>
    <w:rsid w:val="00111A2C"/>
    <w:rsid w:val="00111E2F"/>
    <w:rsid w:val="001132D9"/>
    <w:rsid w:val="001148C2"/>
    <w:rsid w:val="00114CE1"/>
    <w:rsid w:val="00115209"/>
    <w:rsid w:val="001154C2"/>
    <w:rsid w:val="00115555"/>
    <w:rsid w:val="0011736B"/>
    <w:rsid w:val="001173B0"/>
    <w:rsid w:val="00117CA0"/>
    <w:rsid w:val="00120561"/>
    <w:rsid w:val="00120A62"/>
    <w:rsid w:val="00120C77"/>
    <w:rsid w:val="0012110C"/>
    <w:rsid w:val="0012123B"/>
    <w:rsid w:val="001216F8"/>
    <w:rsid w:val="00122FDB"/>
    <w:rsid w:val="00123A79"/>
    <w:rsid w:val="00123ACC"/>
    <w:rsid w:val="001244F5"/>
    <w:rsid w:val="00125B37"/>
    <w:rsid w:val="00127069"/>
    <w:rsid w:val="0012780D"/>
    <w:rsid w:val="001313D6"/>
    <w:rsid w:val="00131411"/>
    <w:rsid w:val="0013165C"/>
    <w:rsid w:val="00132092"/>
    <w:rsid w:val="00133C78"/>
    <w:rsid w:val="00134F23"/>
    <w:rsid w:val="0013530B"/>
    <w:rsid w:val="00136440"/>
    <w:rsid w:val="00136F2A"/>
    <w:rsid w:val="00137ED0"/>
    <w:rsid w:val="0014045F"/>
    <w:rsid w:val="00140722"/>
    <w:rsid w:val="001416B8"/>
    <w:rsid w:val="001426F1"/>
    <w:rsid w:val="00143DB9"/>
    <w:rsid w:val="00145785"/>
    <w:rsid w:val="00150937"/>
    <w:rsid w:val="001509DB"/>
    <w:rsid w:val="00150AF3"/>
    <w:rsid w:val="00150CA6"/>
    <w:rsid w:val="00152CB2"/>
    <w:rsid w:val="001530DD"/>
    <w:rsid w:val="00153140"/>
    <w:rsid w:val="00153D36"/>
    <w:rsid w:val="00154661"/>
    <w:rsid w:val="001547A6"/>
    <w:rsid w:val="00154B5F"/>
    <w:rsid w:val="001556E3"/>
    <w:rsid w:val="00155703"/>
    <w:rsid w:val="001560A3"/>
    <w:rsid w:val="0015652F"/>
    <w:rsid w:val="00157347"/>
    <w:rsid w:val="00160DC5"/>
    <w:rsid w:val="00161893"/>
    <w:rsid w:val="00161AE1"/>
    <w:rsid w:val="00162563"/>
    <w:rsid w:val="00162D6B"/>
    <w:rsid w:val="0016319C"/>
    <w:rsid w:val="0016347A"/>
    <w:rsid w:val="00163F3D"/>
    <w:rsid w:val="0016408A"/>
    <w:rsid w:val="00164774"/>
    <w:rsid w:val="00164B08"/>
    <w:rsid w:val="00164B8D"/>
    <w:rsid w:val="00164BFA"/>
    <w:rsid w:val="001659A6"/>
    <w:rsid w:val="00166072"/>
    <w:rsid w:val="00166136"/>
    <w:rsid w:val="00167409"/>
    <w:rsid w:val="00167940"/>
    <w:rsid w:val="00167A62"/>
    <w:rsid w:val="00170017"/>
    <w:rsid w:val="00170DD9"/>
    <w:rsid w:val="00170E2B"/>
    <w:rsid w:val="00171839"/>
    <w:rsid w:val="00171AFB"/>
    <w:rsid w:val="00171C2A"/>
    <w:rsid w:val="00172872"/>
    <w:rsid w:val="00172F68"/>
    <w:rsid w:val="00173608"/>
    <w:rsid w:val="00173DF9"/>
    <w:rsid w:val="0017699F"/>
    <w:rsid w:val="001770E0"/>
    <w:rsid w:val="00177B10"/>
    <w:rsid w:val="00180F95"/>
    <w:rsid w:val="00181288"/>
    <w:rsid w:val="00181A6C"/>
    <w:rsid w:val="00182394"/>
    <w:rsid w:val="00182709"/>
    <w:rsid w:val="001831BF"/>
    <w:rsid w:val="00183AA9"/>
    <w:rsid w:val="0018445B"/>
    <w:rsid w:val="00184514"/>
    <w:rsid w:val="0018509F"/>
    <w:rsid w:val="00186CCD"/>
    <w:rsid w:val="00187223"/>
    <w:rsid w:val="00187253"/>
    <w:rsid w:val="00187A50"/>
    <w:rsid w:val="001905A1"/>
    <w:rsid w:val="00191623"/>
    <w:rsid w:val="00192292"/>
    <w:rsid w:val="00192812"/>
    <w:rsid w:val="00194196"/>
    <w:rsid w:val="00194C05"/>
    <w:rsid w:val="00195889"/>
    <w:rsid w:val="00196E93"/>
    <w:rsid w:val="00197EF0"/>
    <w:rsid w:val="001A0A10"/>
    <w:rsid w:val="001A0E88"/>
    <w:rsid w:val="001A1AA5"/>
    <w:rsid w:val="001A27B5"/>
    <w:rsid w:val="001A29E1"/>
    <w:rsid w:val="001A3679"/>
    <w:rsid w:val="001A50D0"/>
    <w:rsid w:val="001A522C"/>
    <w:rsid w:val="001A6353"/>
    <w:rsid w:val="001A6E54"/>
    <w:rsid w:val="001A77CF"/>
    <w:rsid w:val="001B0811"/>
    <w:rsid w:val="001B1D78"/>
    <w:rsid w:val="001B309F"/>
    <w:rsid w:val="001B465E"/>
    <w:rsid w:val="001B62F4"/>
    <w:rsid w:val="001B7796"/>
    <w:rsid w:val="001B7FB0"/>
    <w:rsid w:val="001C058A"/>
    <w:rsid w:val="001C08B5"/>
    <w:rsid w:val="001C0A4F"/>
    <w:rsid w:val="001C0B5C"/>
    <w:rsid w:val="001C208C"/>
    <w:rsid w:val="001C3221"/>
    <w:rsid w:val="001C4802"/>
    <w:rsid w:val="001C4D0C"/>
    <w:rsid w:val="001C53EF"/>
    <w:rsid w:val="001C6214"/>
    <w:rsid w:val="001C641A"/>
    <w:rsid w:val="001C69B6"/>
    <w:rsid w:val="001C6BC1"/>
    <w:rsid w:val="001C6C0E"/>
    <w:rsid w:val="001C768E"/>
    <w:rsid w:val="001C78B7"/>
    <w:rsid w:val="001C7A1C"/>
    <w:rsid w:val="001D2577"/>
    <w:rsid w:val="001D28D2"/>
    <w:rsid w:val="001D359F"/>
    <w:rsid w:val="001D3673"/>
    <w:rsid w:val="001D37FF"/>
    <w:rsid w:val="001D5244"/>
    <w:rsid w:val="001D58DE"/>
    <w:rsid w:val="001D5A91"/>
    <w:rsid w:val="001D5D1B"/>
    <w:rsid w:val="001D73F4"/>
    <w:rsid w:val="001D76AA"/>
    <w:rsid w:val="001E0766"/>
    <w:rsid w:val="001E0BF4"/>
    <w:rsid w:val="001E1327"/>
    <w:rsid w:val="001E166F"/>
    <w:rsid w:val="001E39A4"/>
    <w:rsid w:val="001E42E9"/>
    <w:rsid w:val="001E6301"/>
    <w:rsid w:val="001E6454"/>
    <w:rsid w:val="001E6626"/>
    <w:rsid w:val="001E75C2"/>
    <w:rsid w:val="001F11E5"/>
    <w:rsid w:val="001F2E41"/>
    <w:rsid w:val="001F30FB"/>
    <w:rsid w:val="001F4916"/>
    <w:rsid w:val="001F594B"/>
    <w:rsid w:val="001F7AF7"/>
    <w:rsid w:val="002006A7"/>
    <w:rsid w:val="00201FFE"/>
    <w:rsid w:val="002022A2"/>
    <w:rsid w:val="0020256F"/>
    <w:rsid w:val="002028E0"/>
    <w:rsid w:val="002033FC"/>
    <w:rsid w:val="00203576"/>
    <w:rsid w:val="00204B80"/>
    <w:rsid w:val="00204DAC"/>
    <w:rsid w:val="002050FB"/>
    <w:rsid w:val="002058D6"/>
    <w:rsid w:val="0020605F"/>
    <w:rsid w:val="00206A3C"/>
    <w:rsid w:val="00206BE3"/>
    <w:rsid w:val="002071BD"/>
    <w:rsid w:val="00207351"/>
    <w:rsid w:val="002076C2"/>
    <w:rsid w:val="00207C85"/>
    <w:rsid w:val="00207C9E"/>
    <w:rsid w:val="00210272"/>
    <w:rsid w:val="00210B90"/>
    <w:rsid w:val="002110DA"/>
    <w:rsid w:val="0021137C"/>
    <w:rsid w:val="0021207E"/>
    <w:rsid w:val="002120EE"/>
    <w:rsid w:val="00212580"/>
    <w:rsid w:val="00212DAD"/>
    <w:rsid w:val="002135D6"/>
    <w:rsid w:val="00214628"/>
    <w:rsid w:val="00214719"/>
    <w:rsid w:val="00215343"/>
    <w:rsid w:val="002168CA"/>
    <w:rsid w:val="00217024"/>
    <w:rsid w:val="00217720"/>
    <w:rsid w:val="002200B1"/>
    <w:rsid w:val="00222045"/>
    <w:rsid w:val="002230BD"/>
    <w:rsid w:val="0022376D"/>
    <w:rsid w:val="00223F2A"/>
    <w:rsid w:val="00224849"/>
    <w:rsid w:val="00224BFF"/>
    <w:rsid w:val="00225D34"/>
    <w:rsid w:val="00225E8D"/>
    <w:rsid w:val="002268B3"/>
    <w:rsid w:val="00227199"/>
    <w:rsid w:val="00230DD4"/>
    <w:rsid w:val="00231276"/>
    <w:rsid w:val="002316D9"/>
    <w:rsid w:val="002322CC"/>
    <w:rsid w:val="002323B7"/>
    <w:rsid w:val="002324F3"/>
    <w:rsid w:val="00233DAD"/>
    <w:rsid w:val="00234142"/>
    <w:rsid w:val="002350E2"/>
    <w:rsid w:val="002366BE"/>
    <w:rsid w:val="00240A20"/>
    <w:rsid w:val="0024208D"/>
    <w:rsid w:val="00242822"/>
    <w:rsid w:val="00243538"/>
    <w:rsid w:val="00244CD3"/>
    <w:rsid w:val="00245242"/>
    <w:rsid w:val="0024601F"/>
    <w:rsid w:val="00246798"/>
    <w:rsid w:val="00250115"/>
    <w:rsid w:val="00253D2D"/>
    <w:rsid w:val="0025453F"/>
    <w:rsid w:val="002545C4"/>
    <w:rsid w:val="00255E90"/>
    <w:rsid w:val="0025644A"/>
    <w:rsid w:val="00256E74"/>
    <w:rsid w:val="002572AE"/>
    <w:rsid w:val="00260A5A"/>
    <w:rsid w:val="00260A6D"/>
    <w:rsid w:val="00261A19"/>
    <w:rsid w:val="00261E8D"/>
    <w:rsid w:val="00262130"/>
    <w:rsid w:val="00263674"/>
    <w:rsid w:val="002646DE"/>
    <w:rsid w:val="00264726"/>
    <w:rsid w:val="00264DB3"/>
    <w:rsid w:val="002650B2"/>
    <w:rsid w:val="00265295"/>
    <w:rsid w:val="00265A48"/>
    <w:rsid w:val="002666BA"/>
    <w:rsid w:val="00266A9A"/>
    <w:rsid w:val="002676B0"/>
    <w:rsid w:val="00267B0D"/>
    <w:rsid w:val="00270A32"/>
    <w:rsid w:val="00271CB3"/>
    <w:rsid w:val="00272317"/>
    <w:rsid w:val="002725CD"/>
    <w:rsid w:val="00272BA2"/>
    <w:rsid w:val="0027391F"/>
    <w:rsid w:val="002739BD"/>
    <w:rsid w:val="0027466C"/>
    <w:rsid w:val="00275CFC"/>
    <w:rsid w:val="00275F52"/>
    <w:rsid w:val="002770D0"/>
    <w:rsid w:val="00280EE2"/>
    <w:rsid w:val="002816CF"/>
    <w:rsid w:val="00281BA7"/>
    <w:rsid w:val="002847D7"/>
    <w:rsid w:val="00285B3A"/>
    <w:rsid w:val="0028667D"/>
    <w:rsid w:val="00286887"/>
    <w:rsid w:val="00286916"/>
    <w:rsid w:val="002902B2"/>
    <w:rsid w:val="0029156F"/>
    <w:rsid w:val="002915EF"/>
    <w:rsid w:val="00291612"/>
    <w:rsid w:val="002917FA"/>
    <w:rsid w:val="00292442"/>
    <w:rsid w:val="00292473"/>
    <w:rsid w:val="00292485"/>
    <w:rsid w:val="00292566"/>
    <w:rsid w:val="00292588"/>
    <w:rsid w:val="0029281D"/>
    <w:rsid w:val="002932B6"/>
    <w:rsid w:val="00293664"/>
    <w:rsid w:val="00293A86"/>
    <w:rsid w:val="00293D0F"/>
    <w:rsid w:val="0029455E"/>
    <w:rsid w:val="00295101"/>
    <w:rsid w:val="002967B8"/>
    <w:rsid w:val="002971B7"/>
    <w:rsid w:val="002975EE"/>
    <w:rsid w:val="00297917"/>
    <w:rsid w:val="00297B2E"/>
    <w:rsid w:val="002A0DB5"/>
    <w:rsid w:val="002A0E73"/>
    <w:rsid w:val="002A133B"/>
    <w:rsid w:val="002A15E1"/>
    <w:rsid w:val="002A15E4"/>
    <w:rsid w:val="002A1EE2"/>
    <w:rsid w:val="002A2525"/>
    <w:rsid w:val="002A321F"/>
    <w:rsid w:val="002A35A4"/>
    <w:rsid w:val="002A47F4"/>
    <w:rsid w:val="002A54E9"/>
    <w:rsid w:val="002A5899"/>
    <w:rsid w:val="002A59D3"/>
    <w:rsid w:val="002A5EAB"/>
    <w:rsid w:val="002A78B3"/>
    <w:rsid w:val="002B093C"/>
    <w:rsid w:val="002B0CDC"/>
    <w:rsid w:val="002B0DF3"/>
    <w:rsid w:val="002B12D5"/>
    <w:rsid w:val="002B225F"/>
    <w:rsid w:val="002B2B26"/>
    <w:rsid w:val="002B2E03"/>
    <w:rsid w:val="002B30FE"/>
    <w:rsid w:val="002B34A2"/>
    <w:rsid w:val="002B3AF6"/>
    <w:rsid w:val="002B46A2"/>
    <w:rsid w:val="002B4972"/>
    <w:rsid w:val="002B600C"/>
    <w:rsid w:val="002B6FC3"/>
    <w:rsid w:val="002B6FD4"/>
    <w:rsid w:val="002B720E"/>
    <w:rsid w:val="002C0021"/>
    <w:rsid w:val="002C0E62"/>
    <w:rsid w:val="002C1C9C"/>
    <w:rsid w:val="002C40FD"/>
    <w:rsid w:val="002C42D1"/>
    <w:rsid w:val="002C4C91"/>
    <w:rsid w:val="002C5584"/>
    <w:rsid w:val="002C582C"/>
    <w:rsid w:val="002C5D3D"/>
    <w:rsid w:val="002C7272"/>
    <w:rsid w:val="002C7AFA"/>
    <w:rsid w:val="002C7FA8"/>
    <w:rsid w:val="002D05CB"/>
    <w:rsid w:val="002D0AFF"/>
    <w:rsid w:val="002D185E"/>
    <w:rsid w:val="002D219F"/>
    <w:rsid w:val="002D2741"/>
    <w:rsid w:val="002D3BB5"/>
    <w:rsid w:val="002D56C1"/>
    <w:rsid w:val="002D70D7"/>
    <w:rsid w:val="002D7A03"/>
    <w:rsid w:val="002E0535"/>
    <w:rsid w:val="002E1237"/>
    <w:rsid w:val="002E144E"/>
    <w:rsid w:val="002E284A"/>
    <w:rsid w:val="002E2FEF"/>
    <w:rsid w:val="002E360C"/>
    <w:rsid w:val="002E38F0"/>
    <w:rsid w:val="002E4332"/>
    <w:rsid w:val="002E629C"/>
    <w:rsid w:val="002E687F"/>
    <w:rsid w:val="002E6926"/>
    <w:rsid w:val="002E7238"/>
    <w:rsid w:val="002E7623"/>
    <w:rsid w:val="002F21AE"/>
    <w:rsid w:val="002F3CF2"/>
    <w:rsid w:val="002F4E20"/>
    <w:rsid w:val="002F5B82"/>
    <w:rsid w:val="00300A8A"/>
    <w:rsid w:val="00301017"/>
    <w:rsid w:val="00302EBC"/>
    <w:rsid w:val="003040ED"/>
    <w:rsid w:val="00304209"/>
    <w:rsid w:val="00304D76"/>
    <w:rsid w:val="0030588E"/>
    <w:rsid w:val="00307556"/>
    <w:rsid w:val="00307DC1"/>
    <w:rsid w:val="0031028A"/>
    <w:rsid w:val="0031059B"/>
    <w:rsid w:val="00311356"/>
    <w:rsid w:val="00311548"/>
    <w:rsid w:val="0031306B"/>
    <w:rsid w:val="00313839"/>
    <w:rsid w:val="00315DC0"/>
    <w:rsid w:val="0031670A"/>
    <w:rsid w:val="00317CF6"/>
    <w:rsid w:val="00317D08"/>
    <w:rsid w:val="003203CF"/>
    <w:rsid w:val="00320FFC"/>
    <w:rsid w:val="003216C8"/>
    <w:rsid w:val="00321BB4"/>
    <w:rsid w:val="00321F63"/>
    <w:rsid w:val="00322804"/>
    <w:rsid w:val="003234AA"/>
    <w:rsid w:val="00323B73"/>
    <w:rsid w:val="00324522"/>
    <w:rsid w:val="00325522"/>
    <w:rsid w:val="00326B98"/>
    <w:rsid w:val="00326E3B"/>
    <w:rsid w:val="00327653"/>
    <w:rsid w:val="00327C74"/>
    <w:rsid w:val="003307D8"/>
    <w:rsid w:val="00331CB8"/>
    <w:rsid w:val="00332161"/>
    <w:rsid w:val="003334E5"/>
    <w:rsid w:val="00333673"/>
    <w:rsid w:val="003339C3"/>
    <w:rsid w:val="003351AC"/>
    <w:rsid w:val="00335ADD"/>
    <w:rsid w:val="00335BC9"/>
    <w:rsid w:val="00336735"/>
    <w:rsid w:val="003400D6"/>
    <w:rsid w:val="003407A2"/>
    <w:rsid w:val="00341064"/>
    <w:rsid w:val="003412D7"/>
    <w:rsid w:val="00341A0B"/>
    <w:rsid w:val="003426DD"/>
    <w:rsid w:val="00342725"/>
    <w:rsid w:val="003428CF"/>
    <w:rsid w:val="00342D2B"/>
    <w:rsid w:val="003433DF"/>
    <w:rsid w:val="0034379B"/>
    <w:rsid w:val="00343FB9"/>
    <w:rsid w:val="003446DC"/>
    <w:rsid w:val="00346E22"/>
    <w:rsid w:val="0034745E"/>
    <w:rsid w:val="00350204"/>
    <w:rsid w:val="00350DAF"/>
    <w:rsid w:val="00351E56"/>
    <w:rsid w:val="00352CD5"/>
    <w:rsid w:val="00352CE1"/>
    <w:rsid w:val="00353211"/>
    <w:rsid w:val="00354558"/>
    <w:rsid w:val="00354682"/>
    <w:rsid w:val="00355786"/>
    <w:rsid w:val="003557ED"/>
    <w:rsid w:val="00357D03"/>
    <w:rsid w:val="00360CDB"/>
    <w:rsid w:val="00362C08"/>
    <w:rsid w:val="00363315"/>
    <w:rsid w:val="00363541"/>
    <w:rsid w:val="003655E8"/>
    <w:rsid w:val="0036668F"/>
    <w:rsid w:val="0037025F"/>
    <w:rsid w:val="00370E96"/>
    <w:rsid w:val="00371268"/>
    <w:rsid w:val="00371697"/>
    <w:rsid w:val="00371ED5"/>
    <w:rsid w:val="00372D4C"/>
    <w:rsid w:val="00372F5E"/>
    <w:rsid w:val="00373DA6"/>
    <w:rsid w:val="00374804"/>
    <w:rsid w:val="00375A46"/>
    <w:rsid w:val="0037648E"/>
    <w:rsid w:val="00376998"/>
    <w:rsid w:val="00376A28"/>
    <w:rsid w:val="00376FEB"/>
    <w:rsid w:val="00380F21"/>
    <w:rsid w:val="003810CF"/>
    <w:rsid w:val="00381A1C"/>
    <w:rsid w:val="00382153"/>
    <w:rsid w:val="00383919"/>
    <w:rsid w:val="00385E58"/>
    <w:rsid w:val="00386F45"/>
    <w:rsid w:val="00390149"/>
    <w:rsid w:val="00390573"/>
    <w:rsid w:val="00391076"/>
    <w:rsid w:val="00391E5B"/>
    <w:rsid w:val="00392162"/>
    <w:rsid w:val="003927BC"/>
    <w:rsid w:val="00392F52"/>
    <w:rsid w:val="00393C39"/>
    <w:rsid w:val="00394211"/>
    <w:rsid w:val="00394372"/>
    <w:rsid w:val="00394F3C"/>
    <w:rsid w:val="003964EE"/>
    <w:rsid w:val="00396BB2"/>
    <w:rsid w:val="00396D1B"/>
    <w:rsid w:val="003A0AD9"/>
    <w:rsid w:val="003A0B90"/>
    <w:rsid w:val="003A1362"/>
    <w:rsid w:val="003A2E2B"/>
    <w:rsid w:val="003A3A20"/>
    <w:rsid w:val="003A4289"/>
    <w:rsid w:val="003A48B5"/>
    <w:rsid w:val="003A526B"/>
    <w:rsid w:val="003A57BB"/>
    <w:rsid w:val="003A7769"/>
    <w:rsid w:val="003A7E05"/>
    <w:rsid w:val="003B0662"/>
    <w:rsid w:val="003B0F38"/>
    <w:rsid w:val="003B18EA"/>
    <w:rsid w:val="003B1D2B"/>
    <w:rsid w:val="003B346C"/>
    <w:rsid w:val="003B3629"/>
    <w:rsid w:val="003B3FA7"/>
    <w:rsid w:val="003B4EDA"/>
    <w:rsid w:val="003B53D2"/>
    <w:rsid w:val="003B7CED"/>
    <w:rsid w:val="003C00A7"/>
    <w:rsid w:val="003C037E"/>
    <w:rsid w:val="003C108F"/>
    <w:rsid w:val="003C1CEC"/>
    <w:rsid w:val="003C1F87"/>
    <w:rsid w:val="003C2763"/>
    <w:rsid w:val="003C3219"/>
    <w:rsid w:val="003C4CAD"/>
    <w:rsid w:val="003C5EE1"/>
    <w:rsid w:val="003C6130"/>
    <w:rsid w:val="003C6371"/>
    <w:rsid w:val="003C6E02"/>
    <w:rsid w:val="003C782A"/>
    <w:rsid w:val="003C7953"/>
    <w:rsid w:val="003C7B1B"/>
    <w:rsid w:val="003D0645"/>
    <w:rsid w:val="003D08F7"/>
    <w:rsid w:val="003D0902"/>
    <w:rsid w:val="003D0B08"/>
    <w:rsid w:val="003D100D"/>
    <w:rsid w:val="003D178F"/>
    <w:rsid w:val="003D21F3"/>
    <w:rsid w:val="003D274B"/>
    <w:rsid w:val="003D362E"/>
    <w:rsid w:val="003D366E"/>
    <w:rsid w:val="003D416C"/>
    <w:rsid w:val="003D4CBA"/>
    <w:rsid w:val="003D630E"/>
    <w:rsid w:val="003D779B"/>
    <w:rsid w:val="003D7C00"/>
    <w:rsid w:val="003E091C"/>
    <w:rsid w:val="003E0DE8"/>
    <w:rsid w:val="003E1238"/>
    <w:rsid w:val="003E1812"/>
    <w:rsid w:val="003E1DCF"/>
    <w:rsid w:val="003E2711"/>
    <w:rsid w:val="003E2C40"/>
    <w:rsid w:val="003E2FFD"/>
    <w:rsid w:val="003E3555"/>
    <w:rsid w:val="003E3A34"/>
    <w:rsid w:val="003E3A51"/>
    <w:rsid w:val="003E53D1"/>
    <w:rsid w:val="003E694D"/>
    <w:rsid w:val="003E6BE4"/>
    <w:rsid w:val="003E7085"/>
    <w:rsid w:val="003E753F"/>
    <w:rsid w:val="003E7556"/>
    <w:rsid w:val="003E7933"/>
    <w:rsid w:val="003E7A4C"/>
    <w:rsid w:val="003E7ABE"/>
    <w:rsid w:val="003F0196"/>
    <w:rsid w:val="003F1A5F"/>
    <w:rsid w:val="003F25F5"/>
    <w:rsid w:val="003F44C3"/>
    <w:rsid w:val="003F6056"/>
    <w:rsid w:val="004000E8"/>
    <w:rsid w:val="00400FF2"/>
    <w:rsid w:val="00401ACD"/>
    <w:rsid w:val="00401D9A"/>
    <w:rsid w:val="00402166"/>
    <w:rsid w:val="00402677"/>
    <w:rsid w:val="0040288B"/>
    <w:rsid w:val="00402E25"/>
    <w:rsid w:val="004047B5"/>
    <w:rsid w:val="004057A3"/>
    <w:rsid w:val="00405B99"/>
    <w:rsid w:val="00405FB5"/>
    <w:rsid w:val="00406F3D"/>
    <w:rsid w:val="004105F7"/>
    <w:rsid w:val="004107DA"/>
    <w:rsid w:val="00410BDB"/>
    <w:rsid w:val="004111F4"/>
    <w:rsid w:val="00411FD7"/>
    <w:rsid w:val="00412A5B"/>
    <w:rsid w:val="004137AF"/>
    <w:rsid w:val="00413AC7"/>
    <w:rsid w:val="00413EFA"/>
    <w:rsid w:val="00414456"/>
    <w:rsid w:val="00414EA6"/>
    <w:rsid w:val="004151F2"/>
    <w:rsid w:val="00415D69"/>
    <w:rsid w:val="00416E7A"/>
    <w:rsid w:val="0042037B"/>
    <w:rsid w:val="00420E4A"/>
    <w:rsid w:val="0042174D"/>
    <w:rsid w:val="00422E82"/>
    <w:rsid w:val="004237E5"/>
    <w:rsid w:val="00423C52"/>
    <w:rsid w:val="00424AA5"/>
    <w:rsid w:val="00426045"/>
    <w:rsid w:val="004268FF"/>
    <w:rsid w:val="00426D25"/>
    <w:rsid w:val="00426FE1"/>
    <w:rsid w:val="004273F8"/>
    <w:rsid w:val="004274A4"/>
    <w:rsid w:val="00430954"/>
    <w:rsid w:val="004324E3"/>
    <w:rsid w:val="00432C08"/>
    <w:rsid w:val="00433948"/>
    <w:rsid w:val="00434DED"/>
    <w:rsid w:val="00436F9C"/>
    <w:rsid w:val="00441440"/>
    <w:rsid w:val="0044166A"/>
    <w:rsid w:val="004418DC"/>
    <w:rsid w:val="00441A1C"/>
    <w:rsid w:val="00441B51"/>
    <w:rsid w:val="0044254D"/>
    <w:rsid w:val="00442BAF"/>
    <w:rsid w:val="00444545"/>
    <w:rsid w:val="00444BE8"/>
    <w:rsid w:val="00446702"/>
    <w:rsid w:val="00447395"/>
    <w:rsid w:val="00450465"/>
    <w:rsid w:val="00450BF8"/>
    <w:rsid w:val="00450ECC"/>
    <w:rsid w:val="0045122D"/>
    <w:rsid w:val="00451305"/>
    <w:rsid w:val="00451A93"/>
    <w:rsid w:val="00452A14"/>
    <w:rsid w:val="00452B5C"/>
    <w:rsid w:val="0045410B"/>
    <w:rsid w:val="00455014"/>
    <w:rsid w:val="00456742"/>
    <w:rsid w:val="004578F6"/>
    <w:rsid w:val="0046000F"/>
    <w:rsid w:val="00462419"/>
    <w:rsid w:val="0046513A"/>
    <w:rsid w:val="00466351"/>
    <w:rsid w:val="004668C2"/>
    <w:rsid w:val="00466C48"/>
    <w:rsid w:val="00467453"/>
    <w:rsid w:val="00470629"/>
    <w:rsid w:val="00471D64"/>
    <w:rsid w:val="0047200A"/>
    <w:rsid w:val="004720E8"/>
    <w:rsid w:val="00472140"/>
    <w:rsid w:val="0047221B"/>
    <w:rsid w:val="00472699"/>
    <w:rsid w:val="004766F0"/>
    <w:rsid w:val="004767A2"/>
    <w:rsid w:val="00476EE8"/>
    <w:rsid w:val="004771FA"/>
    <w:rsid w:val="00477258"/>
    <w:rsid w:val="00477972"/>
    <w:rsid w:val="00480960"/>
    <w:rsid w:val="00481553"/>
    <w:rsid w:val="00481606"/>
    <w:rsid w:val="0048166F"/>
    <w:rsid w:val="00481B2A"/>
    <w:rsid w:val="00481B97"/>
    <w:rsid w:val="00483846"/>
    <w:rsid w:val="00483C84"/>
    <w:rsid w:val="0048466A"/>
    <w:rsid w:val="00484BD5"/>
    <w:rsid w:val="00484DE7"/>
    <w:rsid w:val="00485DED"/>
    <w:rsid w:val="004867FE"/>
    <w:rsid w:val="00487801"/>
    <w:rsid w:val="00487B69"/>
    <w:rsid w:val="0049059B"/>
    <w:rsid w:val="004908FB"/>
    <w:rsid w:val="0049101A"/>
    <w:rsid w:val="00491912"/>
    <w:rsid w:val="00491D38"/>
    <w:rsid w:val="00492B32"/>
    <w:rsid w:val="0049641E"/>
    <w:rsid w:val="00496E5E"/>
    <w:rsid w:val="0049720A"/>
    <w:rsid w:val="00497E51"/>
    <w:rsid w:val="004A0586"/>
    <w:rsid w:val="004A0590"/>
    <w:rsid w:val="004A2AFC"/>
    <w:rsid w:val="004A4EBA"/>
    <w:rsid w:val="004A7A2F"/>
    <w:rsid w:val="004B0974"/>
    <w:rsid w:val="004B1BFE"/>
    <w:rsid w:val="004B3F4F"/>
    <w:rsid w:val="004B50A1"/>
    <w:rsid w:val="004B6ACC"/>
    <w:rsid w:val="004C0418"/>
    <w:rsid w:val="004C1991"/>
    <w:rsid w:val="004C1AC3"/>
    <w:rsid w:val="004C2603"/>
    <w:rsid w:val="004C29FD"/>
    <w:rsid w:val="004C3636"/>
    <w:rsid w:val="004C50A1"/>
    <w:rsid w:val="004D135D"/>
    <w:rsid w:val="004D2090"/>
    <w:rsid w:val="004D267F"/>
    <w:rsid w:val="004D2DE7"/>
    <w:rsid w:val="004D2FC2"/>
    <w:rsid w:val="004D34E8"/>
    <w:rsid w:val="004D413E"/>
    <w:rsid w:val="004D4A4E"/>
    <w:rsid w:val="004D4B30"/>
    <w:rsid w:val="004D4DF4"/>
    <w:rsid w:val="004D5059"/>
    <w:rsid w:val="004D5D7E"/>
    <w:rsid w:val="004D61ED"/>
    <w:rsid w:val="004D66BF"/>
    <w:rsid w:val="004D6887"/>
    <w:rsid w:val="004D6B97"/>
    <w:rsid w:val="004D7B49"/>
    <w:rsid w:val="004D7CAD"/>
    <w:rsid w:val="004E12E3"/>
    <w:rsid w:val="004E1532"/>
    <w:rsid w:val="004E1842"/>
    <w:rsid w:val="004E26E2"/>
    <w:rsid w:val="004E3270"/>
    <w:rsid w:val="004E32AA"/>
    <w:rsid w:val="004E44EE"/>
    <w:rsid w:val="004E49C2"/>
    <w:rsid w:val="004E4D47"/>
    <w:rsid w:val="004E5889"/>
    <w:rsid w:val="004E5C8F"/>
    <w:rsid w:val="004E61A6"/>
    <w:rsid w:val="004E6CCC"/>
    <w:rsid w:val="004F0F08"/>
    <w:rsid w:val="004F113E"/>
    <w:rsid w:val="004F24DD"/>
    <w:rsid w:val="004F3092"/>
    <w:rsid w:val="004F38A7"/>
    <w:rsid w:val="004F45BE"/>
    <w:rsid w:val="004F45F9"/>
    <w:rsid w:val="004F4916"/>
    <w:rsid w:val="004F50BC"/>
    <w:rsid w:val="004F7001"/>
    <w:rsid w:val="004F77EE"/>
    <w:rsid w:val="0050104A"/>
    <w:rsid w:val="005015E1"/>
    <w:rsid w:val="0050170C"/>
    <w:rsid w:val="00501DF2"/>
    <w:rsid w:val="00502C0B"/>
    <w:rsid w:val="005037CD"/>
    <w:rsid w:val="005044B7"/>
    <w:rsid w:val="00506777"/>
    <w:rsid w:val="0050706C"/>
    <w:rsid w:val="0050762E"/>
    <w:rsid w:val="00510648"/>
    <w:rsid w:val="00510F57"/>
    <w:rsid w:val="00512F12"/>
    <w:rsid w:val="00513691"/>
    <w:rsid w:val="00516263"/>
    <w:rsid w:val="00516375"/>
    <w:rsid w:val="005168D8"/>
    <w:rsid w:val="005173E7"/>
    <w:rsid w:val="00517804"/>
    <w:rsid w:val="00517991"/>
    <w:rsid w:val="0052147B"/>
    <w:rsid w:val="00521FDB"/>
    <w:rsid w:val="00523070"/>
    <w:rsid w:val="00523710"/>
    <w:rsid w:val="00524257"/>
    <w:rsid w:val="00525190"/>
    <w:rsid w:val="00525300"/>
    <w:rsid w:val="00525A03"/>
    <w:rsid w:val="00526044"/>
    <w:rsid w:val="0052637E"/>
    <w:rsid w:val="005276C5"/>
    <w:rsid w:val="00530783"/>
    <w:rsid w:val="00531B1B"/>
    <w:rsid w:val="00531E27"/>
    <w:rsid w:val="00532068"/>
    <w:rsid w:val="0053493E"/>
    <w:rsid w:val="00534AC9"/>
    <w:rsid w:val="00534DEF"/>
    <w:rsid w:val="00536E0E"/>
    <w:rsid w:val="0053720A"/>
    <w:rsid w:val="00537C91"/>
    <w:rsid w:val="00540C05"/>
    <w:rsid w:val="00541A62"/>
    <w:rsid w:val="00541CB0"/>
    <w:rsid w:val="0054212E"/>
    <w:rsid w:val="0054397E"/>
    <w:rsid w:val="00543B28"/>
    <w:rsid w:val="00543CF8"/>
    <w:rsid w:val="00544562"/>
    <w:rsid w:val="00544E37"/>
    <w:rsid w:val="005458BF"/>
    <w:rsid w:val="005459E7"/>
    <w:rsid w:val="00545BA5"/>
    <w:rsid w:val="005461FF"/>
    <w:rsid w:val="0054683A"/>
    <w:rsid w:val="00547E42"/>
    <w:rsid w:val="00550F8D"/>
    <w:rsid w:val="005510B5"/>
    <w:rsid w:val="0055129D"/>
    <w:rsid w:val="00551317"/>
    <w:rsid w:val="0055144A"/>
    <w:rsid w:val="00552105"/>
    <w:rsid w:val="005535A3"/>
    <w:rsid w:val="0055477C"/>
    <w:rsid w:val="00556171"/>
    <w:rsid w:val="005566FD"/>
    <w:rsid w:val="00557486"/>
    <w:rsid w:val="0055753D"/>
    <w:rsid w:val="00557CFD"/>
    <w:rsid w:val="00560194"/>
    <w:rsid w:val="005604FC"/>
    <w:rsid w:val="00562862"/>
    <w:rsid w:val="0056541D"/>
    <w:rsid w:val="005656C4"/>
    <w:rsid w:val="00565773"/>
    <w:rsid w:val="005657D0"/>
    <w:rsid w:val="005657FB"/>
    <w:rsid w:val="0056596F"/>
    <w:rsid w:val="00566041"/>
    <w:rsid w:val="00566A58"/>
    <w:rsid w:val="00566D0B"/>
    <w:rsid w:val="00566ECC"/>
    <w:rsid w:val="0056792B"/>
    <w:rsid w:val="0057025F"/>
    <w:rsid w:val="00570647"/>
    <w:rsid w:val="00570759"/>
    <w:rsid w:val="0057133A"/>
    <w:rsid w:val="0057157B"/>
    <w:rsid w:val="0057186E"/>
    <w:rsid w:val="00571A44"/>
    <w:rsid w:val="00571B9F"/>
    <w:rsid w:val="005723EB"/>
    <w:rsid w:val="00573185"/>
    <w:rsid w:val="00573594"/>
    <w:rsid w:val="005741C4"/>
    <w:rsid w:val="00574878"/>
    <w:rsid w:val="00575252"/>
    <w:rsid w:val="00575A49"/>
    <w:rsid w:val="00575DFA"/>
    <w:rsid w:val="00576C24"/>
    <w:rsid w:val="005778CD"/>
    <w:rsid w:val="00582887"/>
    <w:rsid w:val="005834B8"/>
    <w:rsid w:val="0058364C"/>
    <w:rsid w:val="005841D3"/>
    <w:rsid w:val="00585395"/>
    <w:rsid w:val="0058595F"/>
    <w:rsid w:val="00586653"/>
    <w:rsid w:val="005876B0"/>
    <w:rsid w:val="00587BC0"/>
    <w:rsid w:val="005903D4"/>
    <w:rsid w:val="00591D49"/>
    <w:rsid w:val="00591EA1"/>
    <w:rsid w:val="00592401"/>
    <w:rsid w:val="005962B8"/>
    <w:rsid w:val="00596DEE"/>
    <w:rsid w:val="00596F46"/>
    <w:rsid w:val="0059759B"/>
    <w:rsid w:val="005A0397"/>
    <w:rsid w:val="005A1301"/>
    <w:rsid w:val="005A35A0"/>
    <w:rsid w:val="005A4598"/>
    <w:rsid w:val="005A49AC"/>
    <w:rsid w:val="005A68AE"/>
    <w:rsid w:val="005A7819"/>
    <w:rsid w:val="005B098D"/>
    <w:rsid w:val="005B10FD"/>
    <w:rsid w:val="005B19C2"/>
    <w:rsid w:val="005B2211"/>
    <w:rsid w:val="005B2E09"/>
    <w:rsid w:val="005B3F0D"/>
    <w:rsid w:val="005B45C8"/>
    <w:rsid w:val="005B4C27"/>
    <w:rsid w:val="005B6EEE"/>
    <w:rsid w:val="005C0773"/>
    <w:rsid w:val="005C0E96"/>
    <w:rsid w:val="005C2AAA"/>
    <w:rsid w:val="005C2EB1"/>
    <w:rsid w:val="005C2EF2"/>
    <w:rsid w:val="005C4609"/>
    <w:rsid w:val="005C470F"/>
    <w:rsid w:val="005C67C8"/>
    <w:rsid w:val="005C797E"/>
    <w:rsid w:val="005D179B"/>
    <w:rsid w:val="005D28FA"/>
    <w:rsid w:val="005D361E"/>
    <w:rsid w:val="005D388F"/>
    <w:rsid w:val="005D5692"/>
    <w:rsid w:val="005D5C1C"/>
    <w:rsid w:val="005D62E7"/>
    <w:rsid w:val="005E159E"/>
    <w:rsid w:val="005E22A9"/>
    <w:rsid w:val="005E2C2A"/>
    <w:rsid w:val="005E45D6"/>
    <w:rsid w:val="005E555A"/>
    <w:rsid w:val="005F0093"/>
    <w:rsid w:val="005F01FC"/>
    <w:rsid w:val="005F1C21"/>
    <w:rsid w:val="005F2E06"/>
    <w:rsid w:val="005F348C"/>
    <w:rsid w:val="005F37DC"/>
    <w:rsid w:val="005F3AF4"/>
    <w:rsid w:val="005F442C"/>
    <w:rsid w:val="005F5803"/>
    <w:rsid w:val="005F5A95"/>
    <w:rsid w:val="005F5CC9"/>
    <w:rsid w:val="005F66D3"/>
    <w:rsid w:val="005F670D"/>
    <w:rsid w:val="005F6B06"/>
    <w:rsid w:val="005F7442"/>
    <w:rsid w:val="005F79CA"/>
    <w:rsid w:val="00600038"/>
    <w:rsid w:val="006016D6"/>
    <w:rsid w:val="00602554"/>
    <w:rsid w:val="00603B77"/>
    <w:rsid w:val="006045B9"/>
    <w:rsid w:val="00604A57"/>
    <w:rsid w:val="0060733B"/>
    <w:rsid w:val="006073BB"/>
    <w:rsid w:val="0060764D"/>
    <w:rsid w:val="00607E80"/>
    <w:rsid w:val="006105F2"/>
    <w:rsid w:val="00610CCC"/>
    <w:rsid w:val="00610E52"/>
    <w:rsid w:val="006111CE"/>
    <w:rsid w:val="00611307"/>
    <w:rsid w:val="006132C9"/>
    <w:rsid w:val="006138E5"/>
    <w:rsid w:val="00613B48"/>
    <w:rsid w:val="00613B50"/>
    <w:rsid w:val="0061492E"/>
    <w:rsid w:val="006155C7"/>
    <w:rsid w:val="00615942"/>
    <w:rsid w:val="0061697B"/>
    <w:rsid w:val="00617778"/>
    <w:rsid w:val="006222D2"/>
    <w:rsid w:val="0062269F"/>
    <w:rsid w:val="006229A2"/>
    <w:rsid w:val="00623B57"/>
    <w:rsid w:val="00623C0C"/>
    <w:rsid w:val="00623DF5"/>
    <w:rsid w:val="00624033"/>
    <w:rsid w:val="00624142"/>
    <w:rsid w:val="00624B8D"/>
    <w:rsid w:val="00624E91"/>
    <w:rsid w:val="00625DE4"/>
    <w:rsid w:val="00626BE8"/>
    <w:rsid w:val="006314A0"/>
    <w:rsid w:val="00632637"/>
    <w:rsid w:val="006346FD"/>
    <w:rsid w:val="00634BA8"/>
    <w:rsid w:val="006368AA"/>
    <w:rsid w:val="00636FD7"/>
    <w:rsid w:val="00637A9C"/>
    <w:rsid w:val="006411C5"/>
    <w:rsid w:val="006423CC"/>
    <w:rsid w:val="00642A8F"/>
    <w:rsid w:val="0064363F"/>
    <w:rsid w:val="00643C7F"/>
    <w:rsid w:val="00644CDC"/>
    <w:rsid w:val="00644F06"/>
    <w:rsid w:val="00650C95"/>
    <w:rsid w:val="00650FC8"/>
    <w:rsid w:val="00651644"/>
    <w:rsid w:val="0065197C"/>
    <w:rsid w:val="00651E0B"/>
    <w:rsid w:val="0065245C"/>
    <w:rsid w:val="00652D34"/>
    <w:rsid w:val="00653024"/>
    <w:rsid w:val="00654A9B"/>
    <w:rsid w:val="00655D4B"/>
    <w:rsid w:val="00655E95"/>
    <w:rsid w:val="006564B6"/>
    <w:rsid w:val="0066093B"/>
    <w:rsid w:val="006613C5"/>
    <w:rsid w:val="0066310A"/>
    <w:rsid w:val="00663977"/>
    <w:rsid w:val="006642BE"/>
    <w:rsid w:val="006643F9"/>
    <w:rsid w:val="00664AE3"/>
    <w:rsid w:val="00664CDC"/>
    <w:rsid w:val="006651FD"/>
    <w:rsid w:val="00665275"/>
    <w:rsid w:val="00666372"/>
    <w:rsid w:val="006665C7"/>
    <w:rsid w:val="006677E1"/>
    <w:rsid w:val="00670747"/>
    <w:rsid w:val="006709FA"/>
    <w:rsid w:val="00671777"/>
    <w:rsid w:val="00671BF0"/>
    <w:rsid w:val="00672544"/>
    <w:rsid w:val="006729BA"/>
    <w:rsid w:val="006737FF"/>
    <w:rsid w:val="00673927"/>
    <w:rsid w:val="0067520D"/>
    <w:rsid w:val="00675A29"/>
    <w:rsid w:val="00676137"/>
    <w:rsid w:val="0068072B"/>
    <w:rsid w:val="00680F6C"/>
    <w:rsid w:val="00680FB0"/>
    <w:rsid w:val="0068220A"/>
    <w:rsid w:val="00682314"/>
    <w:rsid w:val="00682FDF"/>
    <w:rsid w:val="00683B15"/>
    <w:rsid w:val="00683C91"/>
    <w:rsid w:val="00683CE3"/>
    <w:rsid w:val="006844E8"/>
    <w:rsid w:val="006846F5"/>
    <w:rsid w:val="00684D18"/>
    <w:rsid w:val="006865A1"/>
    <w:rsid w:val="00687D1C"/>
    <w:rsid w:val="00691CF0"/>
    <w:rsid w:val="00691CF2"/>
    <w:rsid w:val="00691FA5"/>
    <w:rsid w:val="006942F8"/>
    <w:rsid w:val="00694CF6"/>
    <w:rsid w:val="00694F24"/>
    <w:rsid w:val="00696759"/>
    <w:rsid w:val="00697B3E"/>
    <w:rsid w:val="00697E14"/>
    <w:rsid w:val="006A06D0"/>
    <w:rsid w:val="006A1761"/>
    <w:rsid w:val="006A2126"/>
    <w:rsid w:val="006A286A"/>
    <w:rsid w:val="006A44F5"/>
    <w:rsid w:val="006A4715"/>
    <w:rsid w:val="006A545E"/>
    <w:rsid w:val="006A5979"/>
    <w:rsid w:val="006A65A4"/>
    <w:rsid w:val="006B0814"/>
    <w:rsid w:val="006B1103"/>
    <w:rsid w:val="006B1124"/>
    <w:rsid w:val="006B13C2"/>
    <w:rsid w:val="006B2655"/>
    <w:rsid w:val="006B2FFC"/>
    <w:rsid w:val="006B4836"/>
    <w:rsid w:val="006B4E13"/>
    <w:rsid w:val="006B5F38"/>
    <w:rsid w:val="006B74E5"/>
    <w:rsid w:val="006C0890"/>
    <w:rsid w:val="006C1230"/>
    <w:rsid w:val="006C1EA3"/>
    <w:rsid w:val="006C1EBA"/>
    <w:rsid w:val="006C208A"/>
    <w:rsid w:val="006C28E5"/>
    <w:rsid w:val="006C3283"/>
    <w:rsid w:val="006C32A5"/>
    <w:rsid w:val="006C4F3E"/>
    <w:rsid w:val="006C6575"/>
    <w:rsid w:val="006C7BC3"/>
    <w:rsid w:val="006D0136"/>
    <w:rsid w:val="006D025B"/>
    <w:rsid w:val="006D1720"/>
    <w:rsid w:val="006D2801"/>
    <w:rsid w:val="006D2C9F"/>
    <w:rsid w:val="006D3399"/>
    <w:rsid w:val="006D3578"/>
    <w:rsid w:val="006D4DC9"/>
    <w:rsid w:val="006D4FA7"/>
    <w:rsid w:val="006D4FD8"/>
    <w:rsid w:val="006D5AFC"/>
    <w:rsid w:val="006D6CF8"/>
    <w:rsid w:val="006D717D"/>
    <w:rsid w:val="006D7897"/>
    <w:rsid w:val="006E0BCB"/>
    <w:rsid w:val="006E0C20"/>
    <w:rsid w:val="006E0E68"/>
    <w:rsid w:val="006E18E7"/>
    <w:rsid w:val="006E241E"/>
    <w:rsid w:val="006E3A61"/>
    <w:rsid w:val="006E3C63"/>
    <w:rsid w:val="006E3D09"/>
    <w:rsid w:val="006E40C6"/>
    <w:rsid w:val="006E5B97"/>
    <w:rsid w:val="006E5CA3"/>
    <w:rsid w:val="006E6A0A"/>
    <w:rsid w:val="006E7253"/>
    <w:rsid w:val="006F0118"/>
    <w:rsid w:val="006F0308"/>
    <w:rsid w:val="006F0EC1"/>
    <w:rsid w:val="006F1E53"/>
    <w:rsid w:val="006F2431"/>
    <w:rsid w:val="006F2492"/>
    <w:rsid w:val="006F294F"/>
    <w:rsid w:val="006F29F1"/>
    <w:rsid w:val="006F3735"/>
    <w:rsid w:val="006F4276"/>
    <w:rsid w:val="006F5948"/>
    <w:rsid w:val="006F5D6B"/>
    <w:rsid w:val="006F694E"/>
    <w:rsid w:val="006F7046"/>
    <w:rsid w:val="006F77BB"/>
    <w:rsid w:val="006F79BC"/>
    <w:rsid w:val="007000E6"/>
    <w:rsid w:val="007015BA"/>
    <w:rsid w:val="00701C64"/>
    <w:rsid w:val="00702369"/>
    <w:rsid w:val="007023FB"/>
    <w:rsid w:val="00702D86"/>
    <w:rsid w:val="007046B0"/>
    <w:rsid w:val="0070472B"/>
    <w:rsid w:val="00705048"/>
    <w:rsid w:val="0070596A"/>
    <w:rsid w:val="007073A6"/>
    <w:rsid w:val="0070744E"/>
    <w:rsid w:val="007079B4"/>
    <w:rsid w:val="00707AE2"/>
    <w:rsid w:val="00710878"/>
    <w:rsid w:val="00711B22"/>
    <w:rsid w:val="00713AF0"/>
    <w:rsid w:val="007145C4"/>
    <w:rsid w:val="00716999"/>
    <w:rsid w:val="00716E0A"/>
    <w:rsid w:val="00717770"/>
    <w:rsid w:val="00720EAE"/>
    <w:rsid w:val="007220E7"/>
    <w:rsid w:val="00722FC9"/>
    <w:rsid w:val="007235AC"/>
    <w:rsid w:val="00723CEA"/>
    <w:rsid w:val="0072458B"/>
    <w:rsid w:val="00724BA4"/>
    <w:rsid w:val="00725107"/>
    <w:rsid w:val="00725635"/>
    <w:rsid w:val="007258B3"/>
    <w:rsid w:val="007302A1"/>
    <w:rsid w:val="007310B2"/>
    <w:rsid w:val="0073112A"/>
    <w:rsid w:val="00732B8B"/>
    <w:rsid w:val="00733294"/>
    <w:rsid w:val="007345BC"/>
    <w:rsid w:val="00736E05"/>
    <w:rsid w:val="007402BF"/>
    <w:rsid w:val="00741BAC"/>
    <w:rsid w:val="00742CE3"/>
    <w:rsid w:val="00743CC1"/>
    <w:rsid w:val="00744013"/>
    <w:rsid w:val="007440A0"/>
    <w:rsid w:val="00744282"/>
    <w:rsid w:val="00744FD4"/>
    <w:rsid w:val="00745A14"/>
    <w:rsid w:val="0074613C"/>
    <w:rsid w:val="00747C79"/>
    <w:rsid w:val="00750481"/>
    <w:rsid w:val="00751302"/>
    <w:rsid w:val="00752B3A"/>
    <w:rsid w:val="00753391"/>
    <w:rsid w:val="00753878"/>
    <w:rsid w:val="0075608B"/>
    <w:rsid w:val="007561C4"/>
    <w:rsid w:val="00760782"/>
    <w:rsid w:val="00760AAE"/>
    <w:rsid w:val="00760C8F"/>
    <w:rsid w:val="00761220"/>
    <w:rsid w:val="0076404E"/>
    <w:rsid w:val="00764567"/>
    <w:rsid w:val="0076497B"/>
    <w:rsid w:val="00764FA1"/>
    <w:rsid w:val="007665D9"/>
    <w:rsid w:val="0077111C"/>
    <w:rsid w:val="00771882"/>
    <w:rsid w:val="0077322E"/>
    <w:rsid w:val="007735C4"/>
    <w:rsid w:val="00773C88"/>
    <w:rsid w:val="00773FEB"/>
    <w:rsid w:val="00775DC8"/>
    <w:rsid w:val="00776777"/>
    <w:rsid w:val="00780E33"/>
    <w:rsid w:val="007818FF"/>
    <w:rsid w:val="00781B5B"/>
    <w:rsid w:val="00782001"/>
    <w:rsid w:val="00782AD5"/>
    <w:rsid w:val="00783CD4"/>
    <w:rsid w:val="00784014"/>
    <w:rsid w:val="00784489"/>
    <w:rsid w:val="00784670"/>
    <w:rsid w:val="007847CD"/>
    <w:rsid w:val="00785208"/>
    <w:rsid w:val="007861C6"/>
    <w:rsid w:val="007866BD"/>
    <w:rsid w:val="00787255"/>
    <w:rsid w:val="0078764E"/>
    <w:rsid w:val="00790B78"/>
    <w:rsid w:val="00791042"/>
    <w:rsid w:val="007915B6"/>
    <w:rsid w:val="00791E6B"/>
    <w:rsid w:val="00791F5F"/>
    <w:rsid w:val="0079230D"/>
    <w:rsid w:val="007950BD"/>
    <w:rsid w:val="00795333"/>
    <w:rsid w:val="00797396"/>
    <w:rsid w:val="007977B8"/>
    <w:rsid w:val="00797958"/>
    <w:rsid w:val="007A1495"/>
    <w:rsid w:val="007A1E31"/>
    <w:rsid w:val="007A2D15"/>
    <w:rsid w:val="007A3B2B"/>
    <w:rsid w:val="007A4A4F"/>
    <w:rsid w:val="007A68F7"/>
    <w:rsid w:val="007B0597"/>
    <w:rsid w:val="007B2396"/>
    <w:rsid w:val="007B2E7A"/>
    <w:rsid w:val="007B3934"/>
    <w:rsid w:val="007B5725"/>
    <w:rsid w:val="007B58BD"/>
    <w:rsid w:val="007B5DA8"/>
    <w:rsid w:val="007B7769"/>
    <w:rsid w:val="007B7981"/>
    <w:rsid w:val="007B7BD4"/>
    <w:rsid w:val="007C12CB"/>
    <w:rsid w:val="007C2F50"/>
    <w:rsid w:val="007C30C4"/>
    <w:rsid w:val="007C32BF"/>
    <w:rsid w:val="007C352B"/>
    <w:rsid w:val="007C540F"/>
    <w:rsid w:val="007C5804"/>
    <w:rsid w:val="007C5B60"/>
    <w:rsid w:val="007C677F"/>
    <w:rsid w:val="007C73AA"/>
    <w:rsid w:val="007D0D45"/>
    <w:rsid w:val="007D175D"/>
    <w:rsid w:val="007D2E4F"/>
    <w:rsid w:val="007D3094"/>
    <w:rsid w:val="007D3BDD"/>
    <w:rsid w:val="007D3F6F"/>
    <w:rsid w:val="007D67A0"/>
    <w:rsid w:val="007D73A5"/>
    <w:rsid w:val="007E0DA5"/>
    <w:rsid w:val="007E3A33"/>
    <w:rsid w:val="007E4F71"/>
    <w:rsid w:val="007E4FE7"/>
    <w:rsid w:val="007E6831"/>
    <w:rsid w:val="007E7521"/>
    <w:rsid w:val="007E7821"/>
    <w:rsid w:val="007E7AD8"/>
    <w:rsid w:val="007E7B42"/>
    <w:rsid w:val="007F2616"/>
    <w:rsid w:val="007F3659"/>
    <w:rsid w:val="007F3BC9"/>
    <w:rsid w:val="007F42F3"/>
    <w:rsid w:val="007F7627"/>
    <w:rsid w:val="007F794A"/>
    <w:rsid w:val="007F7F20"/>
    <w:rsid w:val="00800176"/>
    <w:rsid w:val="0080065B"/>
    <w:rsid w:val="00801CE1"/>
    <w:rsid w:val="00801CF5"/>
    <w:rsid w:val="00802499"/>
    <w:rsid w:val="00802D21"/>
    <w:rsid w:val="00803A06"/>
    <w:rsid w:val="00803E11"/>
    <w:rsid w:val="0080484F"/>
    <w:rsid w:val="00805F37"/>
    <w:rsid w:val="00807126"/>
    <w:rsid w:val="0080769A"/>
    <w:rsid w:val="00807879"/>
    <w:rsid w:val="00807A1C"/>
    <w:rsid w:val="0081066C"/>
    <w:rsid w:val="0081093C"/>
    <w:rsid w:val="00810D41"/>
    <w:rsid w:val="00810F07"/>
    <w:rsid w:val="008117AB"/>
    <w:rsid w:val="00812522"/>
    <w:rsid w:val="00812A04"/>
    <w:rsid w:val="00812B28"/>
    <w:rsid w:val="008130D3"/>
    <w:rsid w:val="008134A3"/>
    <w:rsid w:val="00815618"/>
    <w:rsid w:val="00815A84"/>
    <w:rsid w:val="00815FD2"/>
    <w:rsid w:val="00816522"/>
    <w:rsid w:val="00816A4B"/>
    <w:rsid w:val="0081738C"/>
    <w:rsid w:val="0081762D"/>
    <w:rsid w:val="00817699"/>
    <w:rsid w:val="00817E05"/>
    <w:rsid w:val="00817FD9"/>
    <w:rsid w:val="008203EE"/>
    <w:rsid w:val="008212BD"/>
    <w:rsid w:val="00821533"/>
    <w:rsid w:val="00821C9A"/>
    <w:rsid w:val="0082231B"/>
    <w:rsid w:val="00823375"/>
    <w:rsid w:val="008244B9"/>
    <w:rsid w:val="0082524E"/>
    <w:rsid w:val="008255C3"/>
    <w:rsid w:val="00825CBE"/>
    <w:rsid w:val="00825D85"/>
    <w:rsid w:val="008272CB"/>
    <w:rsid w:val="00827EFA"/>
    <w:rsid w:val="008323BA"/>
    <w:rsid w:val="008344FE"/>
    <w:rsid w:val="00835A1A"/>
    <w:rsid w:val="00835DCB"/>
    <w:rsid w:val="008360B4"/>
    <w:rsid w:val="00836399"/>
    <w:rsid w:val="0083640A"/>
    <w:rsid w:val="0083655E"/>
    <w:rsid w:val="00837E9E"/>
    <w:rsid w:val="00840695"/>
    <w:rsid w:val="0084095F"/>
    <w:rsid w:val="00840BF1"/>
    <w:rsid w:val="00842128"/>
    <w:rsid w:val="008421A4"/>
    <w:rsid w:val="00842E9C"/>
    <w:rsid w:val="0084410F"/>
    <w:rsid w:val="00844279"/>
    <w:rsid w:val="0084488F"/>
    <w:rsid w:val="00845B56"/>
    <w:rsid w:val="00845CC7"/>
    <w:rsid w:val="00846D13"/>
    <w:rsid w:val="00852709"/>
    <w:rsid w:val="008531C8"/>
    <w:rsid w:val="00854BBD"/>
    <w:rsid w:val="00854E12"/>
    <w:rsid w:val="00857DFF"/>
    <w:rsid w:val="0086018B"/>
    <w:rsid w:val="00860E60"/>
    <w:rsid w:val="008612B6"/>
    <w:rsid w:val="00861523"/>
    <w:rsid w:val="00861960"/>
    <w:rsid w:val="00861BE8"/>
    <w:rsid w:val="00862415"/>
    <w:rsid w:val="008625A1"/>
    <w:rsid w:val="008626D6"/>
    <w:rsid w:val="008627CA"/>
    <w:rsid w:val="0086367A"/>
    <w:rsid w:val="00863772"/>
    <w:rsid w:val="0086490C"/>
    <w:rsid w:val="0086500C"/>
    <w:rsid w:val="00865098"/>
    <w:rsid w:val="00865CA8"/>
    <w:rsid w:val="00866D35"/>
    <w:rsid w:val="00867514"/>
    <w:rsid w:val="00867CBB"/>
    <w:rsid w:val="00867D31"/>
    <w:rsid w:val="00871107"/>
    <w:rsid w:val="008712EB"/>
    <w:rsid w:val="00871B6E"/>
    <w:rsid w:val="00871D1F"/>
    <w:rsid w:val="0087231A"/>
    <w:rsid w:val="0087253E"/>
    <w:rsid w:val="0087256B"/>
    <w:rsid w:val="00872C41"/>
    <w:rsid w:val="00872E3E"/>
    <w:rsid w:val="00872FE0"/>
    <w:rsid w:val="00873699"/>
    <w:rsid w:val="00873DF5"/>
    <w:rsid w:val="00873FAA"/>
    <w:rsid w:val="008754DD"/>
    <w:rsid w:val="008761F6"/>
    <w:rsid w:val="0087678A"/>
    <w:rsid w:val="00876EA4"/>
    <w:rsid w:val="00880208"/>
    <w:rsid w:val="00880A18"/>
    <w:rsid w:val="00881022"/>
    <w:rsid w:val="00881367"/>
    <w:rsid w:val="008819BF"/>
    <w:rsid w:val="00881DD2"/>
    <w:rsid w:val="00881E49"/>
    <w:rsid w:val="00883051"/>
    <w:rsid w:val="00883EFA"/>
    <w:rsid w:val="00883F43"/>
    <w:rsid w:val="0088530F"/>
    <w:rsid w:val="008860ED"/>
    <w:rsid w:val="00886A72"/>
    <w:rsid w:val="00887B3D"/>
    <w:rsid w:val="00890D1A"/>
    <w:rsid w:val="00891786"/>
    <w:rsid w:val="00892718"/>
    <w:rsid w:val="00893634"/>
    <w:rsid w:val="00893782"/>
    <w:rsid w:val="00893AFF"/>
    <w:rsid w:val="00897032"/>
    <w:rsid w:val="008974B9"/>
    <w:rsid w:val="008A04B7"/>
    <w:rsid w:val="008A30E4"/>
    <w:rsid w:val="008A499D"/>
    <w:rsid w:val="008A4F2A"/>
    <w:rsid w:val="008A527A"/>
    <w:rsid w:val="008A5470"/>
    <w:rsid w:val="008A5532"/>
    <w:rsid w:val="008A5937"/>
    <w:rsid w:val="008A6867"/>
    <w:rsid w:val="008A7B61"/>
    <w:rsid w:val="008A7FDB"/>
    <w:rsid w:val="008B0655"/>
    <w:rsid w:val="008B0C78"/>
    <w:rsid w:val="008B2609"/>
    <w:rsid w:val="008B26EB"/>
    <w:rsid w:val="008B2C99"/>
    <w:rsid w:val="008B2E2B"/>
    <w:rsid w:val="008B39BC"/>
    <w:rsid w:val="008B64AE"/>
    <w:rsid w:val="008B6867"/>
    <w:rsid w:val="008B724D"/>
    <w:rsid w:val="008C1628"/>
    <w:rsid w:val="008C183E"/>
    <w:rsid w:val="008C2646"/>
    <w:rsid w:val="008C29CD"/>
    <w:rsid w:val="008C2AD6"/>
    <w:rsid w:val="008C4DDC"/>
    <w:rsid w:val="008C631F"/>
    <w:rsid w:val="008C6AA7"/>
    <w:rsid w:val="008D0C6D"/>
    <w:rsid w:val="008D111E"/>
    <w:rsid w:val="008D11B7"/>
    <w:rsid w:val="008D38A7"/>
    <w:rsid w:val="008D3F2D"/>
    <w:rsid w:val="008D49E2"/>
    <w:rsid w:val="008D6691"/>
    <w:rsid w:val="008D6942"/>
    <w:rsid w:val="008E06A9"/>
    <w:rsid w:val="008E0A83"/>
    <w:rsid w:val="008E1F5D"/>
    <w:rsid w:val="008E25B6"/>
    <w:rsid w:val="008E3309"/>
    <w:rsid w:val="008E405A"/>
    <w:rsid w:val="008E4C27"/>
    <w:rsid w:val="008E5D52"/>
    <w:rsid w:val="008E708E"/>
    <w:rsid w:val="008E7855"/>
    <w:rsid w:val="008E7918"/>
    <w:rsid w:val="008F2070"/>
    <w:rsid w:val="008F224A"/>
    <w:rsid w:val="008F2356"/>
    <w:rsid w:val="008F295F"/>
    <w:rsid w:val="008F43AE"/>
    <w:rsid w:val="008F442D"/>
    <w:rsid w:val="008F6576"/>
    <w:rsid w:val="00901126"/>
    <w:rsid w:val="00902A34"/>
    <w:rsid w:val="00902CC5"/>
    <w:rsid w:val="009044ED"/>
    <w:rsid w:val="00905E37"/>
    <w:rsid w:val="0090664B"/>
    <w:rsid w:val="0090684A"/>
    <w:rsid w:val="00906E6C"/>
    <w:rsid w:val="00913044"/>
    <w:rsid w:val="00913661"/>
    <w:rsid w:val="0091451F"/>
    <w:rsid w:val="00914DF6"/>
    <w:rsid w:val="00915452"/>
    <w:rsid w:val="00915752"/>
    <w:rsid w:val="00917452"/>
    <w:rsid w:val="00917C97"/>
    <w:rsid w:val="00917D63"/>
    <w:rsid w:val="00917FD8"/>
    <w:rsid w:val="0092094A"/>
    <w:rsid w:val="0092287D"/>
    <w:rsid w:val="00923C21"/>
    <w:rsid w:val="00923FC4"/>
    <w:rsid w:val="009241A8"/>
    <w:rsid w:val="0092476E"/>
    <w:rsid w:val="00924908"/>
    <w:rsid w:val="00924AF2"/>
    <w:rsid w:val="0092533E"/>
    <w:rsid w:val="0092576A"/>
    <w:rsid w:val="009275FB"/>
    <w:rsid w:val="00931234"/>
    <w:rsid w:val="009316AB"/>
    <w:rsid w:val="00931A8E"/>
    <w:rsid w:val="009320B5"/>
    <w:rsid w:val="00932393"/>
    <w:rsid w:val="009328BE"/>
    <w:rsid w:val="00932AF7"/>
    <w:rsid w:val="00933B63"/>
    <w:rsid w:val="00933CA9"/>
    <w:rsid w:val="00934276"/>
    <w:rsid w:val="00934853"/>
    <w:rsid w:val="00935454"/>
    <w:rsid w:val="00935567"/>
    <w:rsid w:val="009355E0"/>
    <w:rsid w:val="009355FF"/>
    <w:rsid w:val="009431CE"/>
    <w:rsid w:val="009434EA"/>
    <w:rsid w:val="0094512C"/>
    <w:rsid w:val="00946DF0"/>
    <w:rsid w:val="00946F89"/>
    <w:rsid w:val="009478F7"/>
    <w:rsid w:val="00950F80"/>
    <w:rsid w:val="00951561"/>
    <w:rsid w:val="009516FD"/>
    <w:rsid w:val="00951FEA"/>
    <w:rsid w:val="009524AE"/>
    <w:rsid w:val="00952940"/>
    <w:rsid w:val="00952FAF"/>
    <w:rsid w:val="009538F5"/>
    <w:rsid w:val="009555ED"/>
    <w:rsid w:val="009558CB"/>
    <w:rsid w:val="00955A66"/>
    <w:rsid w:val="00955BC5"/>
    <w:rsid w:val="00955ED4"/>
    <w:rsid w:val="0095724F"/>
    <w:rsid w:val="00957422"/>
    <w:rsid w:val="009600F9"/>
    <w:rsid w:val="009606DA"/>
    <w:rsid w:val="00961523"/>
    <w:rsid w:val="00961860"/>
    <w:rsid w:val="009624AF"/>
    <w:rsid w:val="009625EF"/>
    <w:rsid w:val="0096294F"/>
    <w:rsid w:val="00964A0F"/>
    <w:rsid w:val="00964BFD"/>
    <w:rsid w:val="00964DF2"/>
    <w:rsid w:val="009666CA"/>
    <w:rsid w:val="00967421"/>
    <w:rsid w:val="00967448"/>
    <w:rsid w:val="00967992"/>
    <w:rsid w:val="00970CB0"/>
    <w:rsid w:val="00970E84"/>
    <w:rsid w:val="009715D5"/>
    <w:rsid w:val="009718AE"/>
    <w:rsid w:val="0097235E"/>
    <w:rsid w:val="00972576"/>
    <w:rsid w:val="0097282E"/>
    <w:rsid w:val="00972DC3"/>
    <w:rsid w:val="00973E7F"/>
    <w:rsid w:val="009741B1"/>
    <w:rsid w:val="00975BB7"/>
    <w:rsid w:val="00976BD0"/>
    <w:rsid w:val="00976F33"/>
    <w:rsid w:val="00976FA8"/>
    <w:rsid w:val="00977A38"/>
    <w:rsid w:val="00977B01"/>
    <w:rsid w:val="00977E37"/>
    <w:rsid w:val="00980493"/>
    <w:rsid w:val="009809AF"/>
    <w:rsid w:val="00980B1E"/>
    <w:rsid w:val="00980ED9"/>
    <w:rsid w:val="00982FEF"/>
    <w:rsid w:val="0098376F"/>
    <w:rsid w:val="00983F42"/>
    <w:rsid w:val="00983F8A"/>
    <w:rsid w:val="00984025"/>
    <w:rsid w:val="00985C5C"/>
    <w:rsid w:val="00986057"/>
    <w:rsid w:val="009860EB"/>
    <w:rsid w:val="009867A8"/>
    <w:rsid w:val="00986AA4"/>
    <w:rsid w:val="009877A4"/>
    <w:rsid w:val="009906E2"/>
    <w:rsid w:val="00992277"/>
    <w:rsid w:val="009922AE"/>
    <w:rsid w:val="00992D97"/>
    <w:rsid w:val="0099369C"/>
    <w:rsid w:val="009948D4"/>
    <w:rsid w:val="0099648B"/>
    <w:rsid w:val="00997F71"/>
    <w:rsid w:val="009A1A22"/>
    <w:rsid w:val="009A1BE0"/>
    <w:rsid w:val="009A1D50"/>
    <w:rsid w:val="009A22E6"/>
    <w:rsid w:val="009A2943"/>
    <w:rsid w:val="009A2D4E"/>
    <w:rsid w:val="009A48E5"/>
    <w:rsid w:val="009A5A69"/>
    <w:rsid w:val="009A5CD4"/>
    <w:rsid w:val="009A60B4"/>
    <w:rsid w:val="009A6A95"/>
    <w:rsid w:val="009A6BF3"/>
    <w:rsid w:val="009A6EE6"/>
    <w:rsid w:val="009B01E6"/>
    <w:rsid w:val="009B0758"/>
    <w:rsid w:val="009B08E7"/>
    <w:rsid w:val="009B0BDF"/>
    <w:rsid w:val="009B0E79"/>
    <w:rsid w:val="009B30DF"/>
    <w:rsid w:val="009B36BB"/>
    <w:rsid w:val="009B44DF"/>
    <w:rsid w:val="009B5525"/>
    <w:rsid w:val="009B565C"/>
    <w:rsid w:val="009B57E3"/>
    <w:rsid w:val="009B5A74"/>
    <w:rsid w:val="009B6682"/>
    <w:rsid w:val="009B704E"/>
    <w:rsid w:val="009C05DF"/>
    <w:rsid w:val="009C0697"/>
    <w:rsid w:val="009C18A3"/>
    <w:rsid w:val="009C1934"/>
    <w:rsid w:val="009C1F7B"/>
    <w:rsid w:val="009C3648"/>
    <w:rsid w:val="009C39E9"/>
    <w:rsid w:val="009C3C68"/>
    <w:rsid w:val="009C4F66"/>
    <w:rsid w:val="009C6F5C"/>
    <w:rsid w:val="009C7558"/>
    <w:rsid w:val="009C7F05"/>
    <w:rsid w:val="009D0033"/>
    <w:rsid w:val="009D0336"/>
    <w:rsid w:val="009D0A0D"/>
    <w:rsid w:val="009D0CA9"/>
    <w:rsid w:val="009D0E9F"/>
    <w:rsid w:val="009D1322"/>
    <w:rsid w:val="009D19EF"/>
    <w:rsid w:val="009D1A14"/>
    <w:rsid w:val="009D25F7"/>
    <w:rsid w:val="009D3037"/>
    <w:rsid w:val="009D4A74"/>
    <w:rsid w:val="009D5203"/>
    <w:rsid w:val="009D58DF"/>
    <w:rsid w:val="009D6287"/>
    <w:rsid w:val="009D6CC0"/>
    <w:rsid w:val="009D7C98"/>
    <w:rsid w:val="009E127A"/>
    <w:rsid w:val="009E130B"/>
    <w:rsid w:val="009E15DA"/>
    <w:rsid w:val="009E17D8"/>
    <w:rsid w:val="009E4041"/>
    <w:rsid w:val="009E47DF"/>
    <w:rsid w:val="009E4DB0"/>
    <w:rsid w:val="009E5588"/>
    <w:rsid w:val="009E5F47"/>
    <w:rsid w:val="009E6732"/>
    <w:rsid w:val="009F0FE4"/>
    <w:rsid w:val="009F1693"/>
    <w:rsid w:val="009F1C24"/>
    <w:rsid w:val="009F2DB2"/>
    <w:rsid w:val="009F3681"/>
    <w:rsid w:val="009F46ED"/>
    <w:rsid w:val="009F4EA9"/>
    <w:rsid w:val="009F7023"/>
    <w:rsid w:val="00A0030B"/>
    <w:rsid w:val="00A00477"/>
    <w:rsid w:val="00A01A6A"/>
    <w:rsid w:val="00A01EFB"/>
    <w:rsid w:val="00A02452"/>
    <w:rsid w:val="00A04CDB"/>
    <w:rsid w:val="00A07126"/>
    <w:rsid w:val="00A0726C"/>
    <w:rsid w:val="00A113EC"/>
    <w:rsid w:val="00A11B1F"/>
    <w:rsid w:val="00A1265E"/>
    <w:rsid w:val="00A12AAA"/>
    <w:rsid w:val="00A13186"/>
    <w:rsid w:val="00A14175"/>
    <w:rsid w:val="00A15067"/>
    <w:rsid w:val="00A1649C"/>
    <w:rsid w:val="00A17525"/>
    <w:rsid w:val="00A20BE8"/>
    <w:rsid w:val="00A20E37"/>
    <w:rsid w:val="00A215DD"/>
    <w:rsid w:val="00A2203A"/>
    <w:rsid w:val="00A22C05"/>
    <w:rsid w:val="00A23910"/>
    <w:rsid w:val="00A241C6"/>
    <w:rsid w:val="00A247C2"/>
    <w:rsid w:val="00A26892"/>
    <w:rsid w:val="00A26C4B"/>
    <w:rsid w:val="00A27873"/>
    <w:rsid w:val="00A278AB"/>
    <w:rsid w:val="00A30402"/>
    <w:rsid w:val="00A3109B"/>
    <w:rsid w:val="00A31863"/>
    <w:rsid w:val="00A32D6C"/>
    <w:rsid w:val="00A32DD0"/>
    <w:rsid w:val="00A340E2"/>
    <w:rsid w:val="00A34BFC"/>
    <w:rsid w:val="00A34DDC"/>
    <w:rsid w:val="00A35025"/>
    <w:rsid w:val="00A35F29"/>
    <w:rsid w:val="00A35F37"/>
    <w:rsid w:val="00A36D4D"/>
    <w:rsid w:val="00A3736E"/>
    <w:rsid w:val="00A377D8"/>
    <w:rsid w:val="00A404C1"/>
    <w:rsid w:val="00A40C61"/>
    <w:rsid w:val="00A42686"/>
    <w:rsid w:val="00A4277A"/>
    <w:rsid w:val="00A42973"/>
    <w:rsid w:val="00A43948"/>
    <w:rsid w:val="00A439C8"/>
    <w:rsid w:val="00A43DB2"/>
    <w:rsid w:val="00A43ECE"/>
    <w:rsid w:val="00A4561C"/>
    <w:rsid w:val="00A458F1"/>
    <w:rsid w:val="00A4593B"/>
    <w:rsid w:val="00A46BA5"/>
    <w:rsid w:val="00A46BE3"/>
    <w:rsid w:val="00A46EEC"/>
    <w:rsid w:val="00A46FCD"/>
    <w:rsid w:val="00A47437"/>
    <w:rsid w:val="00A47BAC"/>
    <w:rsid w:val="00A47C08"/>
    <w:rsid w:val="00A536DA"/>
    <w:rsid w:val="00A5527A"/>
    <w:rsid w:val="00A55567"/>
    <w:rsid w:val="00A56EEF"/>
    <w:rsid w:val="00A57349"/>
    <w:rsid w:val="00A6053D"/>
    <w:rsid w:val="00A63462"/>
    <w:rsid w:val="00A667D8"/>
    <w:rsid w:val="00A667EE"/>
    <w:rsid w:val="00A66AF8"/>
    <w:rsid w:val="00A67391"/>
    <w:rsid w:val="00A6751B"/>
    <w:rsid w:val="00A677A5"/>
    <w:rsid w:val="00A67885"/>
    <w:rsid w:val="00A70BC6"/>
    <w:rsid w:val="00A71231"/>
    <w:rsid w:val="00A7570C"/>
    <w:rsid w:val="00A757FA"/>
    <w:rsid w:val="00A76773"/>
    <w:rsid w:val="00A76A68"/>
    <w:rsid w:val="00A771F6"/>
    <w:rsid w:val="00A772A2"/>
    <w:rsid w:val="00A80D01"/>
    <w:rsid w:val="00A83EC4"/>
    <w:rsid w:val="00A84033"/>
    <w:rsid w:val="00A847B6"/>
    <w:rsid w:val="00A85543"/>
    <w:rsid w:val="00A859DD"/>
    <w:rsid w:val="00A85C41"/>
    <w:rsid w:val="00A86528"/>
    <w:rsid w:val="00A86A37"/>
    <w:rsid w:val="00A87747"/>
    <w:rsid w:val="00A877C9"/>
    <w:rsid w:val="00A9007F"/>
    <w:rsid w:val="00A90914"/>
    <w:rsid w:val="00A90DE3"/>
    <w:rsid w:val="00A91263"/>
    <w:rsid w:val="00A92903"/>
    <w:rsid w:val="00A93089"/>
    <w:rsid w:val="00A950DA"/>
    <w:rsid w:val="00A95324"/>
    <w:rsid w:val="00A97EB1"/>
    <w:rsid w:val="00A97F0A"/>
    <w:rsid w:val="00AA097B"/>
    <w:rsid w:val="00AA0CD9"/>
    <w:rsid w:val="00AA28A7"/>
    <w:rsid w:val="00AA3860"/>
    <w:rsid w:val="00AA7423"/>
    <w:rsid w:val="00AA7778"/>
    <w:rsid w:val="00AA79C2"/>
    <w:rsid w:val="00AA7C5F"/>
    <w:rsid w:val="00AB17AE"/>
    <w:rsid w:val="00AB1970"/>
    <w:rsid w:val="00AB1EBF"/>
    <w:rsid w:val="00AB2203"/>
    <w:rsid w:val="00AB29DB"/>
    <w:rsid w:val="00AB308B"/>
    <w:rsid w:val="00AB34F7"/>
    <w:rsid w:val="00AB352F"/>
    <w:rsid w:val="00AB35FE"/>
    <w:rsid w:val="00AB5596"/>
    <w:rsid w:val="00AB6537"/>
    <w:rsid w:val="00AB69DA"/>
    <w:rsid w:val="00AB6FAD"/>
    <w:rsid w:val="00AB7F62"/>
    <w:rsid w:val="00AC0421"/>
    <w:rsid w:val="00AC0BED"/>
    <w:rsid w:val="00AC1DB3"/>
    <w:rsid w:val="00AC1EB1"/>
    <w:rsid w:val="00AC284D"/>
    <w:rsid w:val="00AC2B6E"/>
    <w:rsid w:val="00AC2EC5"/>
    <w:rsid w:val="00AC3358"/>
    <w:rsid w:val="00AC482D"/>
    <w:rsid w:val="00AC5C12"/>
    <w:rsid w:val="00AC5D29"/>
    <w:rsid w:val="00AC5DE4"/>
    <w:rsid w:val="00AC5EE8"/>
    <w:rsid w:val="00AD2187"/>
    <w:rsid w:val="00AD2DF6"/>
    <w:rsid w:val="00AD425F"/>
    <w:rsid w:val="00AD489C"/>
    <w:rsid w:val="00AD49EF"/>
    <w:rsid w:val="00AD51F0"/>
    <w:rsid w:val="00AD55B5"/>
    <w:rsid w:val="00AD584A"/>
    <w:rsid w:val="00AD5BB2"/>
    <w:rsid w:val="00AD6163"/>
    <w:rsid w:val="00AD7833"/>
    <w:rsid w:val="00AD7E81"/>
    <w:rsid w:val="00AE0BB5"/>
    <w:rsid w:val="00AE1ADE"/>
    <w:rsid w:val="00AE1D52"/>
    <w:rsid w:val="00AE4C67"/>
    <w:rsid w:val="00AE57CD"/>
    <w:rsid w:val="00AE5E47"/>
    <w:rsid w:val="00AE6144"/>
    <w:rsid w:val="00AE7634"/>
    <w:rsid w:val="00AE7FDD"/>
    <w:rsid w:val="00AF00AC"/>
    <w:rsid w:val="00AF0A8A"/>
    <w:rsid w:val="00AF1718"/>
    <w:rsid w:val="00AF180B"/>
    <w:rsid w:val="00AF2017"/>
    <w:rsid w:val="00AF64B6"/>
    <w:rsid w:val="00AF654D"/>
    <w:rsid w:val="00B0077B"/>
    <w:rsid w:val="00B007D5"/>
    <w:rsid w:val="00B01569"/>
    <w:rsid w:val="00B017FF"/>
    <w:rsid w:val="00B02B80"/>
    <w:rsid w:val="00B039FC"/>
    <w:rsid w:val="00B040C7"/>
    <w:rsid w:val="00B04C03"/>
    <w:rsid w:val="00B05171"/>
    <w:rsid w:val="00B06FA1"/>
    <w:rsid w:val="00B07855"/>
    <w:rsid w:val="00B07A65"/>
    <w:rsid w:val="00B07C7E"/>
    <w:rsid w:val="00B10892"/>
    <w:rsid w:val="00B12C91"/>
    <w:rsid w:val="00B1338C"/>
    <w:rsid w:val="00B13CA2"/>
    <w:rsid w:val="00B13EFA"/>
    <w:rsid w:val="00B14216"/>
    <w:rsid w:val="00B15438"/>
    <w:rsid w:val="00B155E5"/>
    <w:rsid w:val="00B159FB"/>
    <w:rsid w:val="00B160B6"/>
    <w:rsid w:val="00B17D0C"/>
    <w:rsid w:val="00B17E97"/>
    <w:rsid w:val="00B20539"/>
    <w:rsid w:val="00B20E3C"/>
    <w:rsid w:val="00B212BE"/>
    <w:rsid w:val="00B214AD"/>
    <w:rsid w:val="00B228E9"/>
    <w:rsid w:val="00B24154"/>
    <w:rsid w:val="00B24C94"/>
    <w:rsid w:val="00B26AF1"/>
    <w:rsid w:val="00B26EE0"/>
    <w:rsid w:val="00B278C2"/>
    <w:rsid w:val="00B30C44"/>
    <w:rsid w:val="00B316F4"/>
    <w:rsid w:val="00B317CA"/>
    <w:rsid w:val="00B31EC7"/>
    <w:rsid w:val="00B32033"/>
    <w:rsid w:val="00B322C7"/>
    <w:rsid w:val="00B33035"/>
    <w:rsid w:val="00B33161"/>
    <w:rsid w:val="00B33220"/>
    <w:rsid w:val="00B3389D"/>
    <w:rsid w:val="00B33BD3"/>
    <w:rsid w:val="00B34CAC"/>
    <w:rsid w:val="00B35A2B"/>
    <w:rsid w:val="00B36EA4"/>
    <w:rsid w:val="00B37142"/>
    <w:rsid w:val="00B37DC0"/>
    <w:rsid w:val="00B40755"/>
    <w:rsid w:val="00B41336"/>
    <w:rsid w:val="00B43204"/>
    <w:rsid w:val="00B43DD6"/>
    <w:rsid w:val="00B44850"/>
    <w:rsid w:val="00B44D61"/>
    <w:rsid w:val="00B458E0"/>
    <w:rsid w:val="00B45C00"/>
    <w:rsid w:val="00B46648"/>
    <w:rsid w:val="00B47ACE"/>
    <w:rsid w:val="00B47B8A"/>
    <w:rsid w:val="00B501BD"/>
    <w:rsid w:val="00B506A8"/>
    <w:rsid w:val="00B51120"/>
    <w:rsid w:val="00B51ACA"/>
    <w:rsid w:val="00B51E83"/>
    <w:rsid w:val="00B526DA"/>
    <w:rsid w:val="00B52BC2"/>
    <w:rsid w:val="00B5342D"/>
    <w:rsid w:val="00B547D5"/>
    <w:rsid w:val="00B54CF5"/>
    <w:rsid w:val="00B55F05"/>
    <w:rsid w:val="00B56FC1"/>
    <w:rsid w:val="00B600BC"/>
    <w:rsid w:val="00B60677"/>
    <w:rsid w:val="00B6200D"/>
    <w:rsid w:val="00B622E5"/>
    <w:rsid w:val="00B63826"/>
    <w:rsid w:val="00B64835"/>
    <w:rsid w:val="00B6626C"/>
    <w:rsid w:val="00B709DE"/>
    <w:rsid w:val="00B71A14"/>
    <w:rsid w:val="00B73B8C"/>
    <w:rsid w:val="00B73D5C"/>
    <w:rsid w:val="00B73ED4"/>
    <w:rsid w:val="00B740CC"/>
    <w:rsid w:val="00B74EA0"/>
    <w:rsid w:val="00B75B5B"/>
    <w:rsid w:val="00B75F0C"/>
    <w:rsid w:val="00B75F11"/>
    <w:rsid w:val="00B76132"/>
    <w:rsid w:val="00B76863"/>
    <w:rsid w:val="00B76D17"/>
    <w:rsid w:val="00B77D76"/>
    <w:rsid w:val="00B8049A"/>
    <w:rsid w:val="00B8139D"/>
    <w:rsid w:val="00B81580"/>
    <w:rsid w:val="00B81A90"/>
    <w:rsid w:val="00B82AD7"/>
    <w:rsid w:val="00B8329C"/>
    <w:rsid w:val="00B83FFE"/>
    <w:rsid w:val="00B84207"/>
    <w:rsid w:val="00B842FC"/>
    <w:rsid w:val="00B8553E"/>
    <w:rsid w:val="00B85EC8"/>
    <w:rsid w:val="00B862F5"/>
    <w:rsid w:val="00B86AF8"/>
    <w:rsid w:val="00B86BF5"/>
    <w:rsid w:val="00B9230B"/>
    <w:rsid w:val="00B930E9"/>
    <w:rsid w:val="00B93BE9"/>
    <w:rsid w:val="00B93D33"/>
    <w:rsid w:val="00B94354"/>
    <w:rsid w:val="00B9476B"/>
    <w:rsid w:val="00B95005"/>
    <w:rsid w:val="00B9551B"/>
    <w:rsid w:val="00B960EE"/>
    <w:rsid w:val="00B96137"/>
    <w:rsid w:val="00B96264"/>
    <w:rsid w:val="00BA0BD9"/>
    <w:rsid w:val="00BA1384"/>
    <w:rsid w:val="00BA1773"/>
    <w:rsid w:val="00BA253C"/>
    <w:rsid w:val="00BA3348"/>
    <w:rsid w:val="00BA4121"/>
    <w:rsid w:val="00BA4625"/>
    <w:rsid w:val="00BA4B73"/>
    <w:rsid w:val="00BA5814"/>
    <w:rsid w:val="00BA685D"/>
    <w:rsid w:val="00BB04CB"/>
    <w:rsid w:val="00BB0D36"/>
    <w:rsid w:val="00BB0E5B"/>
    <w:rsid w:val="00BB11B2"/>
    <w:rsid w:val="00BB1D2F"/>
    <w:rsid w:val="00BB2922"/>
    <w:rsid w:val="00BB2A47"/>
    <w:rsid w:val="00BB4910"/>
    <w:rsid w:val="00BB5E65"/>
    <w:rsid w:val="00BB6947"/>
    <w:rsid w:val="00BB71A3"/>
    <w:rsid w:val="00BB7444"/>
    <w:rsid w:val="00BB776C"/>
    <w:rsid w:val="00BC1E7E"/>
    <w:rsid w:val="00BC2B6C"/>
    <w:rsid w:val="00BC3A9F"/>
    <w:rsid w:val="00BC3E87"/>
    <w:rsid w:val="00BC55CD"/>
    <w:rsid w:val="00BC6987"/>
    <w:rsid w:val="00BC6C90"/>
    <w:rsid w:val="00BC6D2F"/>
    <w:rsid w:val="00BD03A2"/>
    <w:rsid w:val="00BD098B"/>
    <w:rsid w:val="00BD2679"/>
    <w:rsid w:val="00BD2698"/>
    <w:rsid w:val="00BD3190"/>
    <w:rsid w:val="00BD4295"/>
    <w:rsid w:val="00BD5320"/>
    <w:rsid w:val="00BD57F2"/>
    <w:rsid w:val="00BD5C38"/>
    <w:rsid w:val="00BD794D"/>
    <w:rsid w:val="00BD7B81"/>
    <w:rsid w:val="00BE031D"/>
    <w:rsid w:val="00BE0A6A"/>
    <w:rsid w:val="00BE0F93"/>
    <w:rsid w:val="00BE1E82"/>
    <w:rsid w:val="00BE26B1"/>
    <w:rsid w:val="00BE36A6"/>
    <w:rsid w:val="00BE41A0"/>
    <w:rsid w:val="00BE4313"/>
    <w:rsid w:val="00BE48AB"/>
    <w:rsid w:val="00BE5943"/>
    <w:rsid w:val="00BE5E79"/>
    <w:rsid w:val="00BE5EB9"/>
    <w:rsid w:val="00BE613E"/>
    <w:rsid w:val="00BE78BD"/>
    <w:rsid w:val="00BF0B11"/>
    <w:rsid w:val="00BF20CB"/>
    <w:rsid w:val="00BF230D"/>
    <w:rsid w:val="00BF2ADF"/>
    <w:rsid w:val="00BF2BAD"/>
    <w:rsid w:val="00BF4461"/>
    <w:rsid w:val="00BF4D3E"/>
    <w:rsid w:val="00BF4D5C"/>
    <w:rsid w:val="00BF5B83"/>
    <w:rsid w:val="00BF7F56"/>
    <w:rsid w:val="00C010F8"/>
    <w:rsid w:val="00C01B32"/>
    <w:rsid w:val="00C030DB"/>
    <w:rsid w:val="00C032AD"/>
    <w:rsid w:val="00C035C5"/>
    <w:rsid w:val="00C04B37"/>
    <w:rsid w:val="00C04C61"/>
    <w:rsid w:val="00C05B70"/>
    <w:rsid w:val="00C06665"/>
    <w:rsid w:val="00C06CEB"/>
    <w:rsid w:val="00C07D21"/>
    <w:rsid w:val="00C10CFC"/>
    <w:rsid w:val="00C111FE"/>
    <w:rsid w:val="00C113EA"/>
    <w:rsid w:val="00C131F2"/>
    <w:rsid w:val="00C1395D"/>
    <w:rsid w:val="00C13BA8"/>
    <w:rsid w:val="00C14694"/>
    <w:rsid w:val="00C14C7A"/>
    <w:rsid w:val="00C15495"/>
    <w:rsid w:val="00C1584A"/>
    <w:rsid w:val="00C15875"/>
    <w:rsid w:val="00C16153"/>
    <w:rsid w:val="00C1651F"/>
    <w:rsid w:val="00C20676"/>
    <w:rsid w:val="00C22507"/>
    <w:rsid w:val="00C247BA"/>
    <w:rsid w:val="00C25033"/>
    <w:rsid w:val="00C26A1E"/>
    <w:rsid w:val="00C27328"/>
    <w:rsid w:val="00C27E95"/>
    <w:rsid w:val="00C30A5B"/>
    <w:rsid w:val="00C334CC"/>
    <w:rsid w:val="00C337ED"/>
    <w:rsid w:val="00C3460C"/>
    <w:rsid w:val="00C35590"/>
    <w:rsid w:val="00C3606D"/>
    <w:rsid w:val="00C40995"/>
    <w:rsid w:val="00C4129A"/>
    <w:rsid w:val="00C41350"/>
    <w:rsid w:val="00C429D1"/>
    <w:rsid w:val="00C43DFC"/>
    <w:rsid w:val="00C4402C"/>
    <w:rsid w:val="00C44752"/>
    <w:rsid w:val="00C45097"/>
    <w:rsid w:val="00C45756"/>
    <w:rsid w:val="00C464A0"/>
    <w:rsid w:val="00C475F8"/>
    <w:rsid w:val="00C50077"/>
    <w:rsid w:val="00C509E8"/>
    <w:rsid w:val="00C51792"/>
    <w:rsid w:val="00C521F1"/>
    <w:rsid w:val="00C52310"/>
    <w:rsid w:val="00C52D37"/>
    <w:rsid w:val="00C52E0C"/>
    <w:rsid w:val="00C53975"/>
    <w:rsid w:val="00C544D0"/>
    <w:rsid w:val="00C555DA"/>
    <w:rsid w:val="00C56948"/>
    <w:rsid w:val="00C56BF3"/>
    <w:rsid w:val="00C603D7"/>
    <w:rsid w:val="00C60858"/>
    <w:rsid w:val="00C614A5"/>
    <w:rsid w:val="00C61899"/>
    <w:rsid w:val="00C61DCE"/>
    <w:rsid w:val="00C62067"/>
    <w:rsid w:val="00C6315B"/>
    <w:rsid w:val="00C63B09"/>
    <w:rsid w:val="00C63F40"/>
    <w:rsid w:val="00C6597F"/>
    <w:rsid w:val="00C662DC"/>
    <w:rsid w:val="00C66A93"/>
    <w:rsid w:val="00C66EEA"/>
    <w:rsid w:val="00C7002A"/>
    <w:rsid w:val="00C70366"/>
    <w:rsid w:val="00C70C43"/>
    <w:rsid w:val="00C73606"/>
    <w:rsid w:val="00C73A39"/>
    <w:rsid w:val="00C73CFD"/>
    <w:rsid w:val="00C74419"/>
    <w:rsid w:val="00C744A1"/>
    <w:rsid w:val="00C76896"/>
    <w:rsid w:val="00C76E9C"/>
    <w:rsid w:val="00C7710F"/>
    <w:rsid w:val="00C77254"/>
    <w:rsid w:val="00C7736D"/>
    <w:rsid w:val="00C80174"/>
    <w:rsid w:val="00C82398"/>
    <w:rsid w:val="00C82816"/>
    <w:rsid w:val="00C82F1F"/>
    <w:rsid w:val="00C853DA"/>
    <w:rsid w:val="00C854B7"/>
    <w:rsid w:val="00C8630E"/>
    <w:rsid w:val="00C86E74"/>
    <w:rsid w:val="00C87450"/>
    <w:rsid w:val="00C87547"/>
    <w:rsid w:val="00C91095"/>
    <w:rsid w:val="00C91C85"/>
    <w:rsid w:val="00C9224F"/>
    <w:rsid w:val="00C9349E"/>
    <w:rsid w:val="00C94694"/>
    <w:rsid w:val="00C94B56"/>
    <w:rsid w:val="00C94CA8"/>
    <w:rsid w:val="00C94DD9"/>
    <w:rsid w:val="00C95016"/>
    <w:rsid w:val="00C95368"/>
    <w:rsid w:val="00C95FCF"/>
    <w:rsid w:val="00C96BA8"/>
    <w:rsid w:val="00C97346"/>
    <w:rsid w:val="00CA0386"/>
    <w:rsid w:val="00CA0BFD"/>
    <w:rsid w:val="00CA0FE7"/>
    <w:rsid w:val="00CA243B"/>
    <w:rsid w:val="00CA263F"/>
    <w:rsid w:val="00CA349E"/>
    <w:rsid w:val="00CA3F9B"/>
    <w:rsid w:val="00CA65E3"/>
    <w:rsid w:val="00CA6E16"/>
    <w:rsid w:val="00CB0A53"/>
    <w:rsid w:val="00CB1D9E"/>
    <w:rsid w:val="00CB33CA"/>
    <w:rsid w:val="00CB340C"/>
    <w:rsid w:val="00CB35F2"/>
    <w:rsid w:val="00CB5655"/>
    <w:rsid w:val="00CB5F9E"/>
    <w:rsid w:val="00CB62CD"/>
    <w:rsid w:val="00CB632E"/>
    <w:rsid w:val="00CB7542"/>
    <w:rsid w:val="00CB7733"/>
    <w:rsid w:val="00CC000C"/>
    <w:rsid w:val="00CC0FC8"/>
    <w:rsid w:val="00CC1369"/>
    <w:rsid w:val="00CC1925"/>
    <w:rsid w:val="00CC2634"/>
    <w:rsid w:val="00CC3904"/>
    <w:rsid w:val="00CC3FBE"/>
    <w:rsid w:val="00CC71A4"/>
    <w:rsid w:val="00CC7DB7"/>
    <w:rsid w:val="00CD0780"/>
    <w:rsid w:val="00CD0952"/>
    <w:rsid w:val="00CD0B93"/>
    <w:rsid w:val="00CD0D9E"/>
    <w:rsid w:val="00CD194F"/>
    <w:rsid w:val="00CD23A4"/>
    <w:rsid w:val="00CD23D3"/>
    <w:rsid w:val="00CD457E"/>
    <w:rsid w:val="00CD5E4C"/>
    <w:rsid w:val="00CD6405"/>
    <w:rsid w:val="00CD65EC"/>
    <w:rsid w:val="00CD668F"/>
    <w:rsid w:val="00CD758C"/>
    <w:rsid w:val="00CD785F"/>
    <w:rsid w:val="00CE06E9"/>
    <w:rsid w:val="00CE0C04"/>
    <w:rsid w:val="00CE14C4"/>
    <w:rsid w:val="00CE1789"/>
    <w:rsid w:val="00CE46CD"/>
    <w:rsid w:val="00CE4D00"/>
    <w:rsid w:val="00CE5136"/>
    <w:rsid w:val="00CE51A0"/>
    <w:rsid w:val="00CF0A83"/>
    <w:rsid w:val="00CF1396"/>
    <w:rsid w:val="00CF1882"/>
    <w:rsid w:val="00CF3ECD"/>
    <w:rsid w:val="00CF602D"/>
    <w:rsid w:val="00CF6B46"/>
    <w:rsid w:val="00CF7BCC"/>
    <w:rsid w:val="00D0073E"/>
    <w:rsid w:val="00D010C2"/>
    <w:rsid w:val="00D01379"/>
    <w:rsid w:val="00D013B0"/>
    <w:rsid w:val="00D015AB"/>
    <w:rsid w:val="00D01FEF"/>
    <w:rsid w:val="00D04B31"/>
    <w:rsid w:val="00D04CCC"/>
    <w:rsid w:val="00D053D4"/>
    <w:rsid w:val="00D11148"/>
    <w:rsid w:val="00D11374"/>
    <w:rsid w:val="00D12354"/>
    <w:rsid w:val="00D1314A"/>
    <w:rsid w:val="00D133DE"/>
    <w:rsid w:val="00D148DB"/>
    <w:rsid w:val="00D14CEF"/>
    <w:rsid w:val="00D14E19"/>
    <w:rsid w:val="00D15265"/>
    <w:rsid w:val="00D155FF"/>
    <w:rsid w:val="00D1584C"/>
    <w:rsid w:val="00D17468"/>
    <w:rsid w:val="00D176C0"/>
    <w:rsid w:val="00D213F4"/>
    <w:rsid w:val="00D2149A"/>
    <w:rsid w:val="00D21560"/>
    <w:rsid w:val="00D220E8"/>
    <w:rsid w:val="00D223AA"/>
    <w:rsid w:val="00D234BA"/>
    <w:rsid w:val="00D23EE5"/>
    <w:rsid w:val="00D23F76"/>
    <w:rsid w:val="00D25528"/>
    <w:rsid w:val="00D27192"/>
    <w:rsid w:val="00D277C1"/>
    <w:rsid w:val="00D277DE"/>
    <w:rsid w:val="00D279BF"/>
    <w:rsid w:val="00D303A1"/>
    <w:rsid w:val="00D31AC8"/>
    <w:rsid w:val="00D31FFE"/>
    <w:rsid w:val="00D322F4"/>
    <w:rsid w:val="00D3235E"/>
    <w:rsid w:val="00D33296"/>
    <w:rsid w:val="00D332CF"/>
    <w:rsid w:val="00D33B09"/>
    <w:rsid w:val="00D34631"/>
    <w:rsid w:val="00D354C6"/>
    <w:rsid w:val="00D35ACB"/>
    <w:rsid w:val="00D35CFD"/>
    <w:rsid w:val="00D36E13"/>
    <w:rsid w:val="00D41BA5"/>
    <w:rsid w:val="00D42412"/>
    <w:rsid w:val="00D43082"/>
    <w:rsid w:val="00D4332D"/>
    <w:rsid w:val="00D4350C"/>
    <w:rsid w:val="00D43F64"/>
    <w:rsid w:val="00D446F0"/>
    <w:rsid w:val="00D44762"/>
    <w:rsid w:val="00D447FC"/>
    <w:rsid w:val="00D46125"/>
    <w:rsid w:val="00D50482"/>
    <w:rsid w:val="00D50B4E"/>
    <w:rsid w:val="00D50D17"/>
    <w:rsid w:val="00D510F9"/>
    <w:rsid w:val="00D51341"/>
    <w:rsid w:val="00D52A2E"/>
    <w:rsid w:val="00D531F6"/>
    <w:rsid w:val="00D53988"/>
    <w:rsid w:val="00D555CE"/>
    <w:rsid w:val="00D56E75"/>
    <w:rsid w:val="00D607B4"/>
    <w:rsid w:val="00D607F0"/>
    <w:rsid w:val="00D61189"/>
    <w:rsid w:val="00D6224E"/>
    <w:rsid w:val="00D62276"/>
    <w:rsid w:val="00D6257C"/>
    <w:rsid w:val="00D6306D"/>
    <w:rsid w:val="00D64759"/>
    <w:rsid w:val="00D64767"/>
    <w:rsid w:val="00D662E7"/>
    <w:rsid w:val="00D6653F"/>
    <w:rsid w:val="00D66AA3"/>
    <w:rsid w:val="00D71055"/>
    <w:rsid w:val="00D71717"/>
    <w:rsid w:val="00D71FD2"/>
    <w:rsid w:val="00D73D75"/>
    <w:rsid w:val="00D74A07"/>
    <w:rsid w:val="00D75291"/>
    <w:rsid w:val="00D752CB"/>
    <w:rsid w:val="00D75366"/>
    <w:rsid w:val="00D757A9"/>
    <w:rsid w:val="00D7617A"/>
    <w:rsid w:val="00D765EB"/>
    <w:rsid w:val="00D76AEF"/>
    <w:rsid w:val="00D76EFF"/>
    <w:rsid w:val="00D77C4A"/>
    <w:rsid w:val="00D77EC8"/>
    <w:rsid w:val="00D80CA3"/>
    <w:rsid w:val="00D80EE0"/>
    <w:rsid w:val="00D8202D"/>
    <w:rsid w:val="00D85843"/>
    <w:rsid w:val="00D866A8"/>
    <w:rsid w:val="00D86F0C"/>
    <w:rsid w:val="00D87307"/>
    <w:rsid w:val="00D8771E"/>
    <w:rsid w:val="00D87A1A"/>
    <w:rsid w:val="00D915E8"/>
    <w:rsid w:val="00D92DFB"/>
    <w:rsid w:val="00D94015"/>
    <w:rsid w:val="00D95CD9"/>
    <w:rsid w:val="00D96087"/>
    <w:rsid w:val="00DA02BC"/>
    <w:rsid w:val="00DA1C2F"/>
    <w:rsid w:val="00DA2644"/>
    <w:rsid w:val="00DA2C25"/>
    <w:rsid w:val="00DA2CE7"/>
    <w:rsid w:val="00DA34F0"/>
    <w:rsid w:val="00DA3913"/>
    <w:rsid w:val="00DA5D24"/>
    <w:rsid w:val="00DA70AC"/>
    <w:rsid w:val="00DB09F1"/>
    <w:rsid w:val="00DB15A8"/>
    <w:rsid w:val="00DB1836"/>
    <w:rsid w:val="00DB1F2B"/>
    <w:rsid w:val="00DB2C67"/>
    <w:rsid w:val="00DB31FA"/>
    <w:rsid w:val="00DB487D"/>
    <w:rsid w:val="00DB490B"/>
    <w:rsid w:val="00DB4AD5"/>
    <w:rsid w:val="00DB4CEF"/>
    <w:rsid w:val="00DB4D03"/>
    <w:rsid w:val="00DB51E6"/>
    <w:rsid w:val="00DB540C"/>
    <w:rsid w:val="00DC00E6"/>
    <w:rsid w:val="00DC0345"/>
    <w:rsid w:val="00DC0B06"/>
    <w:rsid w:val="00DC0BFA"/>
    <w:rsid w:val="00DC0DAB"/>
    <w:rsid w:val="00DC1587"/>
    <w:rsid w:val="00DC2227"/>
    <w:rsid w:val="00DC2923"/>
    <w:rsid w:val="00DC6108"/>
    <w:rsid w:val="00DC6128"/>
    <w:rsid w:val="00DC636A"/>
    <w:rsid w:val="00DC6588"/>
    <w:rsid w:val="00DC733E"/>
    <w:rsid w:val="00DD196C"/>
    <w:rsid w:val="00DD2AC1"/>
    <w:rsid w:val="00DD3B0E"/>
    <w:rsid w:val="00DD5444"/>
    <w:rsid w:val="00DD55F0"/>
    <w:rsid w:val="00DE0DEF"/>
    <w:rsid w:val="00DE10E2"/>
    <w:rsid w:val="00DE11E2"/>
    <w:rsid w:val="00DE2212"/>
    <w:rsid w:val="00DE35AE"/>
    <w:rsid w:val="00DE61EC"/>
    <w:rsid w:val="00DE6AAB"/>
    <w:rsid w:val="00DE6BC1"/>
    <w:rsid w:val="00DE6D21"/>
    <w:rsid w:val="00DE74A8"/>
    <w:rsid w:val="00DE74F1"/>
    <w:rsid w:val="00DE7D55"/>
    <w:rsid w:val="00DE7D92"/>
    <w:rsid w:val="00DF023C"/>
    <w:rsid w:val="00DF07E1"/>
    <w:rsid w:val="00DF2EBC"/>
    <w:rsid w:val="00DF2FD7"/>
    <w:rsid w:val="00DF3120"/>
    <w:rsid w:val="00DF3491"/>
    <w:rsid w:val="00DF3FCE"/>
    <w:rsid w:val="00DF4EB7"/>
    <w:rsid w:val="00DF5774"/>
    <w:rsid w:val="00DF5B79"/>
    <w:rsid w:val="00DF6B81"/>
    <w:rsid w:val="00DF7315"/>
    <w:rsid w:val="00E013CF"/>
    <w:rsid w:val="00E01888"/>
    <w:rsid w:val="00E01A3F"/>
    <w:rsid w:val="00E02F50"/>
    <w:rsid w:val="00E032D2"/>
    <w:rsid w:val="00E046FB"/>
    <w:rsid w:val="00E05302"/>
    <w:rsid w:val="00E062CE"/>
    <w:rsid w:val="00E06E8C"/>
    <w:rsid w:val="00E07649"/>
    <w:rsid w:val="00E07864"/>
    <w:rsid w:val="00E07E17"/>
    <w:rsid w:val="00E07E2C"/>
    <w:rsid w:val="00E104F0"/>
    <w:rsid w:val="00E10736"/>
    <w:rsid w:val="00E109C9"/>
    <w:rsid w:val="00E124BC"/>
    <w:rsid w:val="00E12B99"/>
    <w:rsid w:val="00E142C0"/>
    <w:rsid w:val="00E14CE7"/>
    <w:rsid w:val="00E14EF4"/>
    <w:rsid w:val="00E15713"/>
    <w:rsid w:val="00E15EAE"/>
    <w:rsid w:val="00E15FD3"/>
    <w:rsid w:val="00E16536"/>
    <w:rsid w:val="00E17B73"/>
    <w:rsid w:val="00E20187"/>
    <w:rsid w:val="00E20AD2"/>
    <w:rsid w:val="00E2127E"/>
    <w:rsid w:val="00E2252C"/>
    <w:rsid w:val="00E23398"/>
    <w:rsid w:val="00E24C31"/>
    <w:rsid w:val="00E24CAF"/>
    <w:rsid w:val="00E2618D"/>
    <w:rsid w:val="00E26BDA"/>
    <w:rsid w:val="00E3004C"/>
    <w:rsid w:val="00E302EB"/>
    <w:rsid w:val="00E303C5"/>
    <w:rsid w:val="00E305DA"/>
    <w:rsid w:val="00E30F75"/>
    <w:rsid w:val="00E319F6"/>
    <w:rsid w:val="00E32BCA"/>
    <w:rsid w:val="00E32C70"/>
    <w:rsid w:val="00E33444"/>
    <w:rsid w:val="00E33819"/>
    <w:rsid w:val="00E33C39"/>
    <w:rsid w:val="00E34E15"/>
    <w:rsid w:val="00E35448"/>
    <w:rsid w:val="00E3618D"/>
    <w:rsid w:val="00E36C09"/>
    <w:rsid w:val="00E410FF"/>
    <w:rsid w:val="00E412EE"/>
    <w:rsid w:val="00E42759"/>
    <w:rsid w:val="00E42FE4"/>
    <w:rsid w:val="00E4388E"/>
    <w:rsid w:val="00E43ADC"/>
    <w:rsid w:val="00E43EB0"/>
    <w:rsid w:val="00E45057"/>
    <w:rsid w:val="00E45BA8"/>
    <w:rsid w:val="00E45FE7"/>
    <w:rsid w:val="00E46096"/>
    <w:rsid w:val="00E468DA"/>
    <w:rsid w:val="00E47073"/>
    <w:rsid w:val="00E47799"/>
    <w:rsid w:val="00E50131"/>
    <w:rsid w:val="00E51BDB"/>
    <w:rsid w:val="00E541F6"/>
    <w:rsid w:val="00E54523"/>
    <w:rsid w:val="00E54CB3"/>
    <w:rsid w:val="00E54DAC"/>
    <w:rsid w:val="00E55D35"/>
    <w:rsid w:val="00E56A43"/>
    <w:rsid w:val="00E5716B"/>
    <w:rsid w:val="00E600A3"/>
    <w:rsid w:val="00E6057D"/>
    <w:rsid w:val="00E60FEA"/>
    <w:rsid w:val="00E6105F"/>
    <w:rsid w:val="00E61524"/>
    <w:rsid w:val="00E619D8"/>
    <w:rsid w:val="00E62ADD"/>
    <w:rsid w:val="00E62DC0"/>
    <w:rsid w:val="00E63303"/>
    <w:rsid w:val="00E63ACF"/>
    <w:rsid w:val="00E65175"/>
    <w:rsid w:val="00E657BE"/>
    <w:rsid w:val="00E65FA5"/>
    <w:rsid w:val="00E66457"/>
    <w:rsid w:val="00E6691B"/>
    <w:rsid w:val="00E6720D"/>
    <w:rsid w:val="00E67ED6"/>
    <w:rsid w:val="00E70E99"/>
    <w:rsid w:val="00E71567"/>
    <w:rsid w:val="00E71BDB"/>
    <w:rsid w:val="00E72075"/>
    <w:rsid w:val="00E72C42"/>
    <w:rsid w:val="00E72D97"/>
    <w:rsid w:val="00E73443"/>
    <w:rsid w:val="00E7482E"/>
    <w:rsid w:val="00E74CBE"/>
    <w:rsid w:val="00E7562A"/>
    <w:rsid w:val="00E756FC"/>
    <w:rsid w:val="00E76555"/>
    <w:rsid w:val="00E7669A"/>
    <w:rsid w:val="00E771B8"/>
    <w:rsid w:val="00E77696"/>
    <w:rsid w:val="00E77E0E"/>
    <w:rsid w:val="00E80C11"/>
    <w:rsid w:val="00E810E4"/>
    <w:rsid w:val="00E81C0B"/>
    <w:rsid w:val="00E81F74"/>
    <w:rsid w:val="00E82071"/>
    <w:rsid w:val="00E830F3"/>
    <w:rsid w:val="00E8314B"/>
    <w:rsid w:val="00E835C5"/>
    <w:rsid w:val="00E83BFC"/>
    <w:rsid w:val="00E84FF9"/>
    <w:rsid w:val="00E86398"/>
    <w:rsid w:val="00E86650"/>
    <w:rsid w:val="00E86C54"/>
    <w:rsid w:val="00E86D88"/>
    <w:rsid w:val="00E872FC"/>
    <w:rsid w:val="00E877F9"/>
    <w:rsid w:val="00E87BFE"/>
    <w:rsid w:val="00E90096"/>
    <w:rsid w:val="00E90A4F"/>
    <w:rsid w:val="00E90C38"/>
    <w:rsid w:val="00E911F5"/>
    <w:rsid w:val="00E91A78"/>
    <w:rsid w:val="00E91F31"/>
    <w:rsid w:val="00E9224C"/>
    <w:rsid w:val="00E92C20"/>
    <w:rsid w:val="00E94753"/>
    <w:rsid w:val="00E94A8D"/>
    <w:rsid w:val="00E94ED6"/>
    <w:rsid w:val="00E95F7C"/>
    <w:rsid w:val="00E96A95"/>
    <w:rsid w:val="00E96B31"/>
    <w:rsid w:val="00E9799B"/>
    <w:rsid w:val="00E9799C"/>
    <w:rsid w:val="00E97CC5"/>
    <w:rsid w:val="00EA00E8"/>
    <w:rsid w:val="00EA1552"/>
    <w:rsid w:val="00EA163A"/>
    <w:rsid w:val="00EA1F03"/>
    <w:rsid w:val="00EA22E9"/>
    <w:rsid w:val="00EA2F61"/>
    <w:rsid w:val="00EA3050"/>
    <w:rsid w:val="00EA3507"/>
    <w:rsid w:val="00EA4106"/>
    <w:rsid w:val="00EA5E97"/>
    <w:rsid w:val="00EA704F"/>
    <w:rsid w:val="00EA7997"/>
    <w:rsid w:val="00EA7CD1"/>
    <w:rsid w:val="00EB2A9F"/>
    <w:rsid w:val="00EB33E7"/>
    <w:rsid w:val="00EB34CF"/>
    <w:rsid w:val="00EB34DF"/>
    <w:rsid w:val="00EB4326"/>
    <w:rsid w:val="00EB448E"/>
    <w:rsid w:val="00EB647A"/>
    <w:rsid w:val="00EB78A6"/>
    <w:rsid w:val="00EC1E78"/>
    <w:rsid w:val="00EC2020"/>
    <w:rsid w:val="00EC2880"/>
    <w:rsid w:val="00EC386A"/>
    <w:rsid w:val="00EC4181"/>
    <w:rsid w:val="00EC4668"/>
    <w:rsid w:val="00EC4981"/>
    <w:rsid w:val="00EC6555"/>
    <w:rsid w:val="00EC6B21"/>
    <w:rsid w:val="00ED028D"/>
    <w:rsid w:val="00ED141B"/>
    <w:rsid w:val="00ED27A2"/>
    <w:rsid w:val="00ED294C"/>
    <w:rsid w:val="00ED2A18"/>
    <w:rsid w:val="00ED3C4C"/>
    <w:rsid w:val="00ED3CC7"/>
    <w:rsid w:val="00ED4897"/>
    <w:rsid w:val="00ED4B03"/>
    <w:rsid w:val="00ED5A05"/>
    <w:rsid w:val="00ED5B17"/>
    <w:rsid w:val="00ED5C3A"/>
    <w:rsid w:val="00ED5DB0"/>
    <w:rsid w:val="00ED5DC1"/>
    <w:rsid w:val="00ED7A4B"/>
    <w:rsid w:val="00ED7C62"/>
    <w:rsid w:val="00EE0F35"/>
    <w:rsid w:val="00EE115B"/>
    <w:rsid w:val="00EE16BD"/>
    <w:rsid w:val="00EE21B4"/>
    <w:rsid w:val="00EE5517"/>
    <w:rsid w:val="00EE55CE"/>
    <w:rsid w:val="00EE5813"/>
    <w:rsid w:val="00EE5DD9"/>
    <w:rsid w:val="00EE643D"/>
    <w:rsid w:val="00EE64FB"/>
    <w:rsid w:val="00EE67A2"/>
    <w:rsid w:val="00EE7A4F"/>
    <w:rsid w:val="00EE7C7B"/>
    <w:rsid w:val="00EF1464"/>
    <w:rsid w:val="00EF221A"/>
    <w:rsid w:val="00EF2C2B"/>
    <w:rsid w:val="00EF330F"/>
    <w:rsid w:val="00EF37A2"/>
    <w:rsid w:val="00EF3F35"/>
    <w:rsid w:val="00EF4B92"/>
    <w:rsid w:val="00EF5143"/>
    <w:rsid w:val="00EF5B5F"/>
    <w:rsid w:val="00EF5E61"/>
    <w:rsid w:val="00EF69CC"/>
    <w:rsid w:val="00EF7AE2"/>
    <w:rsid w:val="00F04898"/>
    <w:rsid w:val="00F05C0E"/>
    <w:rsid w:val="00F05D44"/>
    <w:rsid w:val="00F063A4"/>
    <w:rsid w:val="00F07D27"/>
    <w:rsid w:val="00F110C9"/>
    <w:rsid w:val="00F118AC"/>
    <w:rsid w:val="00F11CD4"/>
    <w:rsid w:val="00F12686"/>
    <w:rsid w:val="00F1454C"/>
    <w:rsid w:val="00F14C5C"/>
    <w:rsid w:val="00F14F9F"/>
    <w:rsid w:val="00F15CFA"/>
    <w:rsid w:val="00F15D29"/>
    <w:rsid w:val="00F16790"/>
    <w:rsid w:val="00F17402"/>
    <w:rsid w:val="00F206BD"/>
    <w:rsid w:val="00F2091B"/>
    <w:rsid w:val="00F21094"/>
    <w:rsid w:val="00F212FA"/>
    <w:rsid w:val="00F23366"/>
    <w:rsid w:val="00F23CFC"/>
    <w:rsid w:val="00F23D96"/>
    <w:rsid w:val="00F25F74"/>
    <w:rsid w:val="00F26BCC"/>
    <w:rsid w:val="00F274D7"/>
    <w:rsid w:val="00F3093D"/>
    <w:rsid w:val="00F30F15"/>
    <w:rsid w:val="00F31827"/>
    <w:rsid w:val="00F31E2E"/>
    <w:rsid w:val="00F32684"/>
    <w:rsid w:val="00F32C6D"/>
    <w:rsid w:val="00F3450A"/>
    <w:rsid w:val="00F36119"/>
    <w:rsid w:val="00F36934"/>
    <w:rsid w:val="00F369B2"/>
    <w:rsid w:val="00F36A46"/>
    <w:rsid w:val="00F37C79"/>
    <w:rsid w:val="00F37E50"/>
    <w:rsid w:val="00F402DE"/>
    <w:rsid w:val="00F41833"/>
    <w:rsid w:val="00F43425"/>
    <w:rsid w:val="00F43D99"/>
    <w:rsid w:val="00F4443D"/>
    <w:rsid w:val="00F4471A"/>
    <w:rsid w:val="00F4575D"/>
    <w:rsid w:val="00F45F02"/>
    <w:rsid w:val="00F50670"/>
    <w:rsid w:val="00F50894"/>
    <w:rsid w:val="00F50C6C"/>
    <w:rsid w:val="00F52A4B"/>
    <w:rsid w:val="00F53727"/>
    <w:rsid w:val="00F5418E"/>
    <w:rsid w:val="00F549F7"/>
    <w:rsid w:val="00F553B2"/>
    <w:rsid w:val="00F56ADB"/>
    <w:rsid w:val="00F5730E"/>
    <w:rsid w:val="00F57514"/>
    <w:rsid w:val="00F6049E"/>
    <w:rsid w:val="00F6064D"/>
    <w:rsid w:val="00F60D0C"/>
    <w:rsid w:val="00F61704"/>
    <w:rsid w:val="00F62F42"/>
    <w:rsid w:val="00F6330C"/>
    <w:rsid w:val="00F63523"/>
    <w:rsid w:val="00F639AF"/>
    <w:rsid w:val="00F63CF6"/>
    <w:rsid w:val="00F64423"/>
    <w:rsid w:val="00F64568"/>
    <w:rsid w:val="00F64FD9"/>
    <w:rsid w:val="00F651AC"/>
    <w:rsid w:val="00F667BB"/>
    <w:rsid w:val="00F66BDE"/>
    <w:rsid w:val="00F67073"/>
    <w:rsid w:val="00F673D0"/>
    <w:rsid w:val="00F67758"/>
    <w:rsid w:val="00F67D11"/>
    <w:rsid w:val="00F67DA0"/>
    <w:rsid w:val="00F7070F"/>
    <w:rsid w:val="00F7136E"/>
    <w:rsid w:val="00F71AD4"/>
    <w:rsid w:val="00F71FA3"/>
    <w:rsid w:val="00F7288F"/>
    <w:rsid w:val="00F73706"/>
    <w:rsid w:val="00F73E0B"/>
    <w:rsid w:val="00F74E50"/>
    <w:rsid w:val="00F75893"/>
    <w:rsid w:val="00F75BBA"/>
    <w:rsid w:val="00F75DF7"/>
    <w:rsid w:val="00F761C7"/>
    <w:rsid w:val="00F761EA"/>
    <w:rsid w:val="00F77FDD"/>
    <w:rsid w:val="00F80670"/>
    <w:rsid w:val="00F80C20"/>
    <w:rsid w:val="00F811D6"/>
    <w:rsid w:val="00F81F97"/>
    <w:rsid w:val="00F848A9"/>
    <w:rsid w:val="00F8501F"/>
    <w:rsid w:val="00F8539B"/>
    <w:rsid w:val="00F85742"/>
    <w:rsid w:val="00F85CAE"/>
    <w:rsid w:val="00F866B7"/>
    <w:rsid w:val="00F90353"/>
    <w:rsid w:val="00F903AE"/>
    <w:rsid w:val="00F90983"/>
    <w:rsid w:val="00F909DE"/>
    <w:rsid w:val="00F91AA8"/>
    <w:rsid w:val="00F9238B"/>
    <w:rsid w:val="00F935B3"/>
    <w:rsid w:val="00F93AFB"/>
    <w:rsid w:val="00F93E5D"/>
    <w:rsid w:val="00F9488C"/>
    <w:rsid w:val="00F94D0A"/>
    <w:rsid w:val="00F94D42"/>
    <w:rsid w:val="00F95BA5"/>
    <w:rsid w:val="00F95D12"/>
    <w:rsid w:val="00F960F6"/>
    <w:rsid w:val="00F96420"/>
    <w:rsid w:val="00F96473"/>
    <w:rsid w:val="00F964F2"/>
    <w:rsid w:val="00F965BA"/>
    <w:rsid w:val="00F978EF"/>
    <w:rsid w:val="00F979D6"/>
    <w:rsid w:val="00FA03B1"/>
    <w:rsid w:val="00FA0C64"/>
    <w:rsid w:val="00FA1978"/>
    <w:rsid w:val="00FA2B6F"/>
    <w:rsid w:val="00FA3440"/>
    <w:rsid w:val="00FA348E"/>
    <w:rsid w:val="00FA34EF"/>
    <w:rsid w:val="00FA3BB9"/>
    <w:rsid w:val="00FA43CF"/>
    <w:rsid w:val="00FA5D7E"/>
    <w:rsid w:val="00FA6142"/>
    <w:rsid w:val="00FA6A2E"/>
    <w:rsid w:val="00FA6E67"/>
    <w:rsid w:val="00FA7EBB"/>
    <w:rsid w:val="00FB1761"/>
    <w:rsid w:val="00FB1A64"/>
    <w:rsid w:val="00FB230C"/>
    <w:rsid w:val="00FB4847"/>
    <w:rsid w:val="00FB4A09"/>
    <w:rsid w:val="00FB4B2E"/>
    <w:rsid w:val="00FB53B3"/>
    <w:rsid w:val="00FB5A31"/>
    <w:rsid w:val="00FB6709"/>
    <w:rsid w:val="00FB70FE"/>
    <w:rsid w:val="00FC0FFD"/>
    <w:rsid w:val="00FC1737"/>
    <w:rsid w:val="00FC27E0"/>
    <w:rsid w:val="00FC37ED"/>
    <w:rsid w:val="00FC4420"/>
    <w:rsid w:val="00FC4569"/>
    <w:rsid w:val="00FC4978"/>
    <w:rsid w:val="00FC5FDF"/>
    <w:rsid w:val="00FC6475"/>
    <w:rsid w:val="00FD0597"/>
    <w:rsid w:val="00FD0D02"/>
    <w:rsid w:val="00FD17AB"/>
    <w:rsid w:val="00FD267B"/>
    <w:rsid w:val="00FD3BE0"/>
    <w:rsid w:val="00FD62DD"/>
    <w:rsid w:val="00FD632B"/>
    <w:rsid w:val="00FD6747"/>
    <w:rsid w:val="00FD69E0"/>
    <w:rsid w:val="00FD7E5C"/>
    <w:rsid w:val="00FE06AC"/>
    <w:rsid w:val="00FE137F"/>
    <w:rsid w:val="00FE16DA"/>
    <w:rsid w:val="00FE351E"/>
    <w:rsid w:val="00FE6876"/>
    <w:rsid w:val="00FE6AAD"/>
    <w:rsid w:val="00FE6B97"/>
    <w:rsid w:val="00FE7476"/>
    <w:rsid w:val="00FE7980"/>
    <w:rsid w:val="00FE7A6F"/>
    <w:rsid w:val="00FF11F0"/>
    <w:rsid w:val="00FF15F5"/>
    <w:rsid w:val="00FF27BE"/>
    <w:rsid w:val="00FF3526"/>
    <w:rsid w:val="00FF370B"/>
    <w:rsid w:val="00FF3B07"/>
    <w:rsid w:val="00FF3FDB"/>
    <w:rsid w:val="00FF4B99"/>
    <w:rsid w:val="00FF74C4"/>
    <w:rsid w:val="00FF7C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784414"/>
  <w15:chartTrackingRefBased/>
  <w15:docId w15:val="{5330DAE4-3045-421F-BB2F-A49E3284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8E4"/>
    <w:rPr>
      <w:rFonts w:ascii="Arial" w:hAnsi="Arial"/>
      <w:sz w:val="24"/>
    </w:rPr>
  </w:style>
  <w:style w:type="paragraph" w:styleId="Heading1">
    <w:name w:val="heading 1"/>
    <w:basedOn w:val="ListParagraph"/>
    <w:next w:val="Normal"/>
    <w:link w:val="Heading1Char"/>
    <w:uiPriority w:val="9"/>
    <w:qFormat/>
    <w:rsid w:val="008F2070"/>
    <w:pPr>
      <w:numPr>
        <w:numId w:val="33"/>
      </w:numPr>
      <w:pBdr>
        <w:top w:val="single" w:sz="4" w:space="0" w:color="auto"/>
        <w:left w:val="single" w:sz="4" w:space="4" w:color="auto"/>
        <w:bottom w:val="single" w:sz="4" w:space="1" w:color="auto"/>
        <w:right w:val="single" w:sz="4" w:space="4" w:color="auto"/>
      </w:pBdr>
      <w:shd w:val="clear" w:color="auto" w:fill="8DB3E2"/>
      <w:spacing w:line="240" w:lineRule="auto"/>
      <w:ind w:left="720"/>
      <w:outlineLvl w:val="0"/>
    </w:pPr>
    <w:rPr>
      <w:rFonts w:cs="Arial"/>
      <w:b/>
      <w:bCs/>
      <w:sz w:val="32"/>
      <w:szCs w:val="32"/>
    </w:rPr>
  </w:style>
  <w:style w:type="paragraph" w:styleId="Heading2">
    <w:name w:val="heading 2"/>
    <w:basedOn w:val="Normal"/>
    <w:next w:val="Normal"/>
    <w:link w:val="Heading2Char"/>
    <w:uiPriority w:val="9"/>
    <w:unhideWhenUsed/>
    <w:qFormat/>
    <w:rsid w:val="00C429D1"/>
    <w:pPr>
      <w:numPr>
        <w:ilvl w:val="1"/>
        <w:numId w:val="33"/>
      </w:numPr>
      <w:spacing w:before="240" w:line="240" w:lineRule="auto"/>
      <w:ind w:left="567" w:hanging="567"/>
      <w:outlineLvl w:val="1"/>
    </w:pPr>
    <w:rPr>
      <w:rFonts w:cs="Arial"/>
      <w:b/>
      <w:bCs/>
      <w:szCs w:val="24"/>
      <w:lang w:val="en-US"/>
    </w:rPr>
  </w:style>
  <w:style w:type="paragraph" w:styleId="Heading3">
    <w:name w:val="heading 3"/>
    <w:basedOn w:val="Normal"/>
    <w:next w:val="Normal"/>
    <w:link w:val="Heading3Char"/>
    <w:uiPriority w:val="9"/>
    <w:unhideWhenUsed/>
    <w:qFormat/>
    <w:rsid w:val="00540C05"/>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707AE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7177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7253E"/>
    <w:rPr>
      <w:rFonts w:ascii="ArialMT" w:hAnsi="ArialMT" w:hint="default"/>
      <w:b w:val="0"/>
      <w:bCs w:val="0"/>
      <w:i w:val="0"/>
      <w:iCs w:val="0"/>
      <w:color w:val="000000"/>
      <w:sz w:val="22"/>
      <w:szCs w:val="22"/>
    </w:rPr>
  </w:style>
  <w:style w:type="character" w:customStyle="1" w:styleId="fontstyle21">
    <w:name w:val="fontstyle21"/>
    <w:basedOn w:val="DefaultParagraphFont"/>
    <w:rsid w:val="0087253E"/>
    <w:rPr>
      <w:rFonts w:ascii="Arial-ItalicMT" w:hAnsi="Arial-ItalicMT" w:hint="default"/>
      <w:b w:val="0"/>
      <w:bCs w:val="0"/>
      <w:i/>
      <w:iCs/>
      <w:color w:val="000000"/>
      <w:sz w:val="22"/>
      <w:szCs w:val="22"/>
    </w:rPr>
  </w:style>
  <w:style w:type="paragraph" w:customStyle="1" w:styleId="paragraph">
    <w:name w:val="paragraph"/>
    <w:basedOn w:val="Normal"/>
    <w:rsid w:val="0058288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normaltextrun">
    <w:name w:val="normaltextrun"/>
    <w:basedOn w:val="DefaultParagraphFont"/>
    <w:rsid w:val="00582887"/>
  </w:style>
  <w:style w:type="character" w:customStyle="1" w:styleId="eop">
    <w:name w:val="eop"/>
    <w:basedOn w:val="DefaultParagraphFont"/>
    <w:rsid w:val="00582887"/>
  </w:style>
  <w:style w:type="paragraph" w:styleId="ListParagraph">
    <w:name w:val="List Paragraph"/>
    <w:aliases w:val="Recommendation,List Paragraph11,L,CV text,Table text,F5 List Paragraph,Dot pt,Bullet 1,Numbered Para 1,No Spacing1,List Paragraph Char Char Char,Indicator Text,table bullets,List Paragraph1,Bullet Points,List Paragraph2,MAIN CONTENT"/>
    <w:basedOn w:val="Normal"/>
    <w:link w:val="ListParagraphChar"/>
    <w:uiPriority w:val="34"/>
    <w:qFormat/>
    <w:rsid w:val="00582887"/>
    <w:pPr>
      <w:ind w:left="720"/>
      <w:contextualSpacing/>
    </w:p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FA Fußnotentext"/>
    <w:basedOn w:val="Normal"/>
    <w:link w:val="FootnoteTextChar"/>
    <w:uiPriority w:val="99"/>
    <w:unhideWhenUsed/>
    <w:rsid w:val="00F71FA3"/>
    <w:pPr>
      <w:spacing w:after="0" w:line="240" w:lineRule="auto"/>
    </w:pPr>
    <w:rPr>
      <w:sz w:val="20"/>
      <w:szCs w:val="20"/>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F71FA3"/>
    <w:rPr>
      <w:sz w:val="20"/>
      <w:szCs w:val="20"/>
    </w:rPr>
  </w:style>
  <w:style w:type="character" w:styleId="FootnoteReference">
    <w:name w:val="footnote reference"/>
    <w:aliases w:val="Appel note de bas de page,Footnotes refss,Fago Fu?notenzeichen,Fago Fußnotenzeichen,Footnote number,Fago Fuﬂnotenzeichen"/>
    <w:basedOn w:val="DefaultParagraphFont"/>
    <w:uiPriority w:val="99"/>
    <w:unhideWhenUsed/>
    <w:rsid w:val="00F71FA3"/>
    <w:rPr>
      <w:vertAlign w:val="superscript"/>
    </w:rPr>
  </w:style>
  <w:style w:type="character" w:styleId="Hyperlink">
    <w:name w:val="Hyperlink"/>
    <w:basedOn w:val="DefaultParagraphFont"/>
    <w:uiPriority w:val="99"/>
    <w:unhideWhenUsed/>
    <w:rsid w:val="00F71FA3"/>
    <w:rPr>
      <w:color w:val="0563C1" w:themeColor="hyperlink"/>
      <w:u w:val="single"/>
    </w:rPr>
  </w:style>
  <w:style w:type="paragraph" w:styleId="NormalWeb">
    <w:name w:val="Normal (Web)"/>
    <w:basedOn w:val="Normal"/>
    <w:uiPriority w:val="99"/>
    <w:unhideWhenUsed/>
    <w:rsid w:val="002E1237"/>
    <w:pPr>
      <w:spacing w:before="100" w:beforeAutospacing="1" w:after="100" w:afterAutospacing="1" w:line="240" w:lineRule="auto"/>
    </w:pPr>
    <w:rPr>
      <w:rFonts w:ascii="Times New Roman" w:eastAsia="Times New Roman" w:hAnsi="Times New Roman" w:cs="Times New Roman"/>
      <w:szCs w:val="24"/>
      <w:lang w:eastAsia="en-CA"/>
    </w:rPr>
  </w:style>
  <w:style w:type="character" w:styleId="Emphasis">
    <w:name w:val="Emphasis"/>
    <w:basedOn w:val="DefaultParagraphFont"/>
    <w:uiPriority w:val="20"/>
    <w:qFormat/>
    <w:rsid w:val="002E1237"/>
    <w:rPr>
      <w:i/>
      <w:iCs/>
    </w:rPr>
  </w:style>
  <w:style w:type="character" w:styleId="FollowedHyperlink">
    <w:name w:val="FollowedHyperlink"/>
    <w:basedOn w:val="DefaultParagraphFont"/>
    <w:uiPriority w:val="99"/>
    <w:semiHidden/>
    <w:unhideWhenUsed/>
    <w:rsid w:val="006E3A61"/>
    <w:rPr>
      <w:color w:val="954F72" w:themeColor="followedHyperlink"/>
      <w:u w:val="single"/>
    </w:rPr>
  </w:style>
  <w:style w:type="character" w:styleId="Strong">
    <w:name w:val="Strong"/>
    <w:basedOn w:val="DefaultParagraphFont"/>
    <w:uiPriority w:val="22"/>
    <w:qFormat/>
    <w:rsid w:val="000A03AE"/>
    <w:rPr>
      <w:b/>
      <w:bCs/>
    </w:rPr>
  </w:style>
  <w:style w:type="character" w:customStyle="1" w:styleId="ListParagraphChar">
    <w:name w:val="List Paragraph Char"/>
    <w:aliases w:val="Recommendation Char,List Paragraph11 Char,L Char,CV text Char,Table text Char,F5 List Paragraph Char,Dot pt Char,Bullet 1 Char,Numbered Para 1 Char,No Spacing1 Char,List Paragraph Char Char Char Char,Indicator Text Char"/>
    <w:basedOn w:val="DefaultParagraphFont"/>
    <w:link w:val="ListParagraph"/>
    <w:uiPriority w:val="34"/>
    <w:qFormat/>
    <w:locked/>
    <w:rsid w:val="00BA4B73"/>
  </w:style>
  <w:style w:type="paragraph" w:styleId="BalloonText">
    <w:name w:val="Balloon Text"/>
    <w:basedOn w:val="Normal"/>
    <w:link w:val="BalloonTextChar"/>
    <w:uiPriority w:val="99"/>
    <w:semiHidden/>
    <w:unhideWhenUsed/>
    <w:rsid w:val="006F24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31"/>
    <w:rPr>
      <w:rFonts w:ascii="Segoe UI" w:hAnsi="Segoe UI" w:cs="Segoe UI"/>
      <w:sz w:val="18"/>
      <w:szCs w:val="18"/>
    </w:rPr>
  </w:style>
  <w:style w:type="character" w:styleId="CommentReference">
    <w:name w:val="annotation reference"/>
    <w:basedOn w:val="DefaultParagraphFont"/>
    <w:uiPriority w:val="99"/>
    <w:semiHidden/>
    <w:unhideWhenUsed/>
    <w:rsid w:val="003A57BB"/>
    <w:rPr>
      <w:sz w:val="16"/>
      <w:szCs w:val="16"/>
    </w:rPr>
  </w:style>
  <w:style w:type="paragraph" w:styleId="CommentText">
    <w:name w:val="annotation text"/>
    <w:basedOn w:val="Normal"/>
    <w:link w:val="CommentTextChar"/>
    <w:uiPriority w:val="99"/>
    <w:unhideWhenUsed/>
    <w:rsid w:val="003A57BB"/>
    <w:pPr>
      <w:spacing w:line="240" w:lineRule="auto"/>
    </w:pPr>
    <w:rPr>
      <w:sz w:val="20"/>
      <w:szCs w:val="20"/>
    </w:rPr>
  </w:style>
  <w:style w:type="character" w:customStyle="1" w:styleId="CommentTextChar">
    <w:name w:val="Comment Text Char"/>
    <w:basedOn w:val="DefaultParagraphFont"/>
    <w:link w:val="CommentText"/>
    <w:uiPriority w:val="99"/>
    <w:rsid w:val="003A57BB"/>
    <w:rPr>
      <w:sz w:val="20"/>
      <w:szCs w:val="20"/>
    </w:rPr>
  </w:style>
  <w:style w:type="paragraph" w:styleId="CommentSubject">
    <w:name w:val="annotation subject"/>
    <w:basedOn w:val="CommentText"/>
    <w:next w:val="CommentText"/>
    <w:link w:val="CommentSubjectChar"/>
    <w:uiPriority w:val="99"/>
    <w:semiHidden/>
    <w:unhideWhenUsed/>
    <w:rsid w:val="003A57BB"/>
    <w:rPr>
      <w:b/>
      <w:bCs/>
    </w:rPr>
  </w:style>
  <w:style w:type="character" w:customStyle="1" w:styleId="CommentSubjectChar">
    <w:name w:val="Comment Subject Char"/>
    <w:basedOn w:val="CommentTextChar"/>
    <w:link w:val="CommentSubject"/>
    <w:uiPriority w:val="99"/>
    <w:semiHidden/>
    <w:rsid w:val="003A57BB"/>
    <w:rPr>
      <w:b/>
      <w:bCs/>
      <w:sz w:val="20"/>
      <w:szCs w:val="20"/>
    </w:rPr>
  </w:style>
  <w:style w:type="paragraph" w:styleId="Subtitle">
    <w:name w:val="Subtitle"/>
    <w:basedOn w:val="Normal"/>
    <w:next w:val="Normal"/>
    <w:link w:val="SubtitleChar"/>
    <w:uiPriority w:val="11"/>
    <w:qFormat/>
    <w:rsid w:val="003307D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307D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F2070"/>
    <w:rPr>
      <w:rFonts w:ascii="Arial" w:hAnsi="Arial" w:cs="Arial"/>
      <w:b/>
      <w:bCs/>
      <w:sz w:val="32"/>
      <w:szCs w:val="32"/>
      <w:shd w:val="clear" w:color="auto" w:fill="8DB3E2"/>
    </w:rPr>
  </w:style>
  <w:style w:type="character" w:customStyle="1" w:styleId="Heading2Char">
    <w:name w:val="Heading 2 Char"/>
    <w:basedOn w:val="DefaultParagraphFont"/>
    <w:link w:val="Heading2"/>
    <w:uiPriority w:val="9"/>
    <w:rsid w:val="00C429D1"/>
    <w:rPr>
      <w:rFonts w:ascii="Arial" w:hAnsi="Arial" w:cs="Arial"/>
      <w:b/>
      <w:bCs/>
      <w:sz w:val="24"/>
      <w:szCs w:val="24"/>
      <w:lang w:val="en-US"/>
    </w:rPr>
  </w:style>
  <w:style w:type="character" w:customStyle="1" w:styleId="Heading3Char">
    <w:name w:val="Heading 3 Char"/>
    <w:basedOn w:val="DefaultParagraphFont"/>
    <w:link w:val="Heading3"/>
    <w:uiPriority w:val="9"/>
    <w:rsid w:val="00540C0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07AE2"/>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BF4461"/>
    <w:pPr>
      <w:outlineLvl w:val="9"/>
    </w:pPr>
    <w:rPr>
      <w:lang w:val="en-US"/>
    </w:rPr>
  </w:style>
  <w:style w:type="paragraph" w:styleId="TOC1">
    <w:name w:val="toc 1"/>
    <w:basedOn w:val="Normal"/>
    <w:next w:val="Normal"/>
    <w:autoRedefine/>
    <w:uiPriority w:val="39"/>
    <w:unhideWhenUsed/>
    <w:rsid w:val="00BF4461"/>
    <w:pPr>
      <w:spacing w:after="100"/>
    </w:pPr>
  </w:style>
  <w:style w:type="paragraph" w:styleId="TOC2">
    <w:name w:val="toc 2"/>
    <w:basedOn w:val="Normal"/>
    <w:next w:val="Normal"/>
    <w:autoRedefine/>
    <w:uiPriority w:val="39"/>
    <w:unhideWhenUsed/>
    <w:rsid w:val="00BF4461"/>
    <w:pPr>
      <w:spacing w:after="100"/>
      <w:ind w:left="220"/>
    </w:pPr>
  </w:style>
  <w:style w:type="paragraph" w:styleId="TOC3">
    <w:name w:val="toc 3"/>
    <w:basedOn w:val="Normal"/>
    <w:next w:val="Normal"/>
    <w:autoRedefine/>
    <w:uiPriority w:val="39"/>
    <w:unhideWhenUsed/>
    <w:rsid w:val="00BF4461"/>
    <w:pPr>
      <w:spacing w:after="100"/>
      <w:ind w:left="440"/>
    </w:pPr>
  </w:style>
  <w:style w:type="paragraph" w:styleId="Header">
    <w:name w:val="header"/>
    <w:basedOn w:val="Normal"/>
    <w:link w:val="HeaderChar"/>
    <w:uiPriority w:val="99"/>
    <w:unhideWhenUsed/>
    <w:rsid w:val="004F45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5F9"/>
  </w:style>
  <w:style w:type="paragraph" w:styleId="Footer">
    <w:name w:val="footer"/>
    <w:basedOn w:val="Normal"/>
    <w:link w:val="FooterChar"/>
    <w:uiPriority w:val="99"/>
    <w:unhideWhenUsed/>
    <w:rsid w:val="004F45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5F9"/>
  </w:style>
  <w:style w:type="paragraph" w:styleId="Revision">
    <w:name w:val="Revision"/>
    <w:hidden/>
    <w:uiPriority w:val="99"/>
    <w:semiHidden/>
    <w:rsid w:val="00E013CF"/>
    <w:pPr>
      <w:spacing w:after="0" w:line="240" w:lineRule="auto"/>
    </w:pPr>
  </w:style>
  <w:style w:type="paragraph" w:customStyle="1" w:styleId="section">
    <w:name w:val="section"/>
    <w:basedOn w:val="Normal"/>
    <w:rsid w:val="00FB4B2E"/>
    <w:pPr>
      <w:spacing w:before="100" w:beforeAutospacing="1" w:after="100" w:afterAutospacing="1" w:line="240" w:lineRule="auto"/>
    </w:pPr>
    <w:rPr>
      <w:rFonts w:ascii="Times New Roman" w:hAnsi="Times New Roman" w:cs="Times New Roman"/>
      <w:szCs w:val="24"/>
      <w:lang w:eastAsia="en-CA"/>
    </w:rPr>
  </w:style>
  <w:style w:type="character" w:customStyle="1" w:styleId="sectionlabel">
    <w:name w:val="sectionlabel"/>
    <w:basedOn w:val="DefaultParagraphFont"/>
    <w:rsid w:val="00FB4B2E"/>
  </w:style>
  <w:style w:type="character" w:customStyle="1" w:styleId="lawlabel">
    <w:name w:val="lawlabel"/>
    <w:basedOn w:val="DefaultParagraphFont"/>
    <w:rsid w:val="00FB4B2E"/>
  </w:style>
  <w:style w:type="character" w:customStyle="1" w:styleId="Heading5Char">
    <w:name w:val="Heading 5 Char"/>
    <w:basedOn w:val="DefaultParagraphFont"/>
    <w:link w:val="Heading5"/>
    <w:uiPriority w:val="9"/>
    <w:rsid w:val="00671777"/>
    <w:rPr>
      <w:rFonts w:asciiTheme="majorHAnsi" w:eastAsiaTheme="majorEastAsia" w:hAnsiTheme="majorHAnsi" w:cstheme="majorBidi"/>
      <w:color w:val="2E74B5" w:themeColor="accent1" w:themeShade="BF"/>
    </w:rPr>
  </w:style>
  <w:style w:type="paragraph" w:customStyle="1" w:styleId="marginalnote">
    <w:name w:val="marginalnote"/>
    <w:basedOn w:val="Normal"/>
    <w:rsid w:val="00893AFF"/>
    <w:pPr>
      <w:spacing w:before="100" w:beforeAutospacing="1" w:after="100" w:afterAutospacing="1" w:line="240" w:lineRule="auto"/>
    </w:pPr>
    <w:rPr>
      <w:rFonts w:ascii="Times New Roman" w:eastAsia="Times New Roman" w:hAnsi="Times New Roman" w:cs="Times New Roman"/>
      <w:szCs w:val="24"/>
      <w:lang w:eastAsia="en-CA"/>
    </w:rPr>
  </w:style>
  <w:style w:type="paragraph" w:styleId="NoSpacing">
    <w:name w:val="No Spacing"/>
    <w:link w:val="NoSpacingChar"/>
    <w:uiPriority w:val="1"/>
    <w:qFormat/>
    <w:rsid w:val="003C5E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5EE1"/>
    <w:rPr>
      <w:rFonts w:eastAsiaTheme="minorEastAsia"/>
      <w:lang w:val="en-US"/>
    </w:rPr>
  </w:style>
  <w:style w:type="table" w:styleId="TableGrid">
    <w:name w:val="Table Grid"/>
    <w:basedOn w:val="TableNormal"/>
    <w:uiPriority w:val="39"/>
    <w:rsid w:val="00D66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43B28"/>
  </w:style>
  <w:style w:type="character" w:styleId="UnresolvedMention">
    <w:name w:val="Unresolved Mention"/>
    <w:basedOn w:val="DefaultParagraphFont"/>
    <w:uiPriority w:val="99"/>
    <w:semiHidden/>
    <w:unhideWhenUsed/>
    <w:rsid w:val="00255E90"/>
    <w:rPr>
      <w:color w:val="605E5C"/>
      <w:shd w:val="clear" w:color="auto" w:fill="E1DFDD"/>
    </w:rPr>
  </w:style>
  <w:style w:type="paragraph" w:styleId="EndnoteText">
    <w:name w:val="endnote text"/>
    <w:basedOn w:val="Normal"/>
    <w:link w:val="EndnoteTextChar"/>
    <w:uiPriority w:val="99"/>
    <w:semiHidden/>
    <w:unhideWhenUsed/>
    <w:rsid w:val="007B58B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58BD"/>
    <w:rPr>
      <w:rFonts w:ascii="Arial" w:hAnsi="Arial"/>
      <w:sz w:val="20"/>
      <w:szCs w:val="20"/>
    </w:rPr>
  </w:style>
  <w:style w:type="character" w:styleId="EndnoteReference">
    <w:name w:val="endnote reference"/>
    <w:basedOn w:val="DefaultParagraphFont"/>
    <w:uiPriority w:val="99"/>
    <w:semiHidden/>
    <w:unhideWhenUsed/>
    <w:rsid w:val="007B58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85267">
      <w:bodyDiv w:val="1"/>
      <w:marLeft w:val="0"/>
      <w:marRight w:val="0"/>
      <w:marTop w:val="0"/>
      <w:marBottom w:val="0"/>
      <w:divBdr>
        <w:top w:val="none" w:sz="0" w:space="0" w:color="auto"/>
        <w:left w:val="none" w:sz="0" w:space="0" w:color="auto"/>
        <w:bottom w:val="none" w:sz="0" w:space="0" w:color="auto"/>
        <w:right w:val="none" w:sz="0" w:space="0" w:color="auto"/>
      </w:divBdr>
    </w:div>
    <w:div w:id="55595263">
      <w:bodyDiv w:val="1"/>
      <w:marLeft w:val="0"/>
      <w:marRight w:val="0"/>
      <w:marTop w:val="0"/>
      <w:marBottom w:val="0"/>
      <w:divBdr>
        <w:top w:val="none" w:sz="0" w:space="0" w:color="auto"/>
        <w:left w:val="none" w:sz="0" w:space="0" w:color="auto"/>
        <w:bottom w:val="none" w:sz="0" w:space="0" w:color="auto"/>
        <w:right w:val="none" w:sz="0" w:space="0" w:color="auto"/>
      </w:divBdr>
    </w:div>
    <w:div w:id="75590680">
      <w:bodyDiv w:val="1"/>
      <w:marLeft w:val="0"/>
      <w:marRight w:val="0"/>
      <w:marTop w:val="0"/>
      <w:marBottom w:val="0"/>
      <w:divBdr>
        <w:top w:val="none" w:sz="0" w:space="0" w:color="auto"/>
        <w:left w:val="none" w:sz="0" w:space="0" w:color="auto"/>
        <w:bottom w:val="none" w:sz="0" w:space="0" w:color="auto"/>
        <w:right w:val="none" w:sz="0" w:space="0" w:color="auto"/>
      </w:divBdr>
    </w:div>
    <w:div w:id="78916278">
      <w:bodyDiv w:val="1"/>
      <w:marLeft w:val="0"/>
      <w:marRight w:val="0"/>
      <w:marTop w:val="0"/>
      <w:marBottom w:val="0"/>
      <w:divBdr>
        <w:top w:val="none" w:sz="0" w:space="0" w:color="auto"/>
        <w:left w:val="none" w:sz="0" w:space="0" w:color="auto"/>
        <w:bottom w:val="none" w:sz="0" w:space="0" w:color="auto"/>
        <w:right w:val="none" w:sz="0" w:space="0" w:color="auto"/>
      </w:divBdr>
    </w:div>
    <w:div w:id="93022200">
      <w:bodyDiv w:val="1"/>
      <w:marLeft w:val="0"/>
      <w:marRight w:val="0"/>
      <w:marTop w:val="0"/>
      <w:marBottom w:val="0"/>
      <w:divBdr>
        <w:top w:val="none" w:sz="0" w:space="0" w:color="auto"/>
        <w:left w:val="none" w:sz="0" w:space="0" w:color="auto"/>
        <w:bottom w:val="none" w:sz="0" w:space="0" w:color="auto"/>
        <w:right w:val="none" w:sz="0" w:space="0" w:color="auto"/>
      </w:divBdr>
    </w:div>
    <w:div w:id="97259551">
      <w:bodyDiv w:val="1"/>
      <w:marLeft w:val="0"/>
      <w:marRight w:val="0"/>
      <w:marTop w:val="0"/>
      <w:marBottom w:val="0"/>
      <w:divBdr>
        <w:top w:val="none" w:sz="0" w:space="0" w:color="auto"/>
        <w:left w:val="none" w:sz="0" w:space="0" w:color="auto"/>
        <w:bottom w:val="none" w:sz="0" w:space="0" w:color="auto"/>
        <w:right w:val="none" w:sz="0" w:space="0" w:color="auto"/>
      </w:divBdr>
    </w:div>
    <w:div w:id="179975550">
      <w:bodyDiv w:val="1"/>
      <w:marLeft w:val="0"/>
      <w:marRight w:val="0"/>
      <w:marTop w:val="0"/>
      <w:marBottom w:val="0"/>
      <w:divBdr>
        <w:top w:val="none" w:sz="0" w:space="0" w:color="auto"/>
        <w:left w:val="none" w:sz="0" w:space="0" w:color="auto"/>
        <w:bottom w:val="none" w:sz="0" w:space="0" w:color="auto"/>
        <w:right w:val="none" w:sz="0" w:space="0" w:color="auto"/>
      </w:divBdr>
    </w:div>
    <w:div w:id="203833488">
      <w:bodyDiv w:val="1"/>
      <w:marLeft w:val="0"/>
      <w:marRight w:val="0"/>
      <w:marTop w:val="0"/>
      <w:marBottom w:val="0"/>
      <w:divBdr>
        <w:top w:val="none" w:sz="0" w:space="0" w:color="auto"/>
        <w:left w:val="none" w:sz="0" w:space="0" w:color="auto"/>
        <w:bottom w:val="none" w:sz="0" w:space="0" w:color="auto"/>
        <w:right w:val="none" w:sz="0" w:space="0" w:color="auto"/>
      </w:divBdr>
    </w:div>
    <w:div w:id="215553898">
      <w:bodyDiv w:val="1"/>
      <w:marLeft w:val="0"/>
      <w:marRight w:val="0"/>
      <w:marTop w:val="0"/>
      <w:marBottom w:val="0"/>
      <w:divBdr>
        <w:top w:val="none" w:sz="0" w:space="0" w:color="auto"/>
        <w:left w:val="none" w:sz="0" w:space="0" w:color="auto"/>
        <w:bottom w:val="none" w:sz="0" w:space="0" w:color="auto"/>
        <w:right w:val="none" w:sz="0" w:space="0" w:color="auto"/>
      </w:divBdr>
    </w:div>
    <w:div w:id="244000016">
      <w:bodyDiv w:val="1"/>
      <w:marLeft w:val="0"/>
      <w:marRight w:val="0"/>
      <w:marTop w:val="0"/>
      <w:marBottom w:val="0"/>
      <w:divBdr>
        <w:top w:val="none" w:sz="0" w:space="0" w:color="auto"/>
        <w:left w:val="none" w:sz="0" w:space="0" w:color="auto"/>
        <w:bottom w:val="none" w:sz="0" w:space="0" w:color="auto"/>
        <w:right w:val="none" w:sz="0" w:space="0" w:color="auto"/>
      </w:divBdr>
    </w:div>
    <w:div w:id="244842691">
      <w:bodyDiv w:val="1"/>
      <w:marLeft w:val="0"/>
      <w:marRight w:val="0"/>
      <w:marTop w:val="0"/>
      <w:marBottom w:val="0"/>
      <w:divBdr>
        <w:top w:val="none" w:sz="0" w:space="0" w:color="auto"/>
        <w:left w:val="none" w:sz="0" w:space="0" w:color="auto"/>
        <w:bottom w:val="none" w:sz="0" w:space="0" w:color="auto"/>
        <w:right w:val="none" w:sz="0" w:space="0" w:color="auto"/>
      </w:divBdr>
    </w:div>
    <w:div w:id="296424069">
      <w:bodyDiv w:val="1"/>
      <w:marLeft w:val="0"/>
      <w:marRight w:val="0"/>
      <w:marTop w:val="0"/>
      <w:marBottom w:val="0"/>
      <w:divBdr>
        <w:top w:val="none" w:sz="0" w:space="0" w:color="auto"/>
        <w:left w:val="none" w:sz="0" w:space="0" w:color="auto"/>
        <w:bottom w:val="none" w:sz="0" w:space="0" w:color="auto"/>
        <w:right w:val="none" w:sz="0" w:space="0" w:color="auto"/>
      </w:divBdr>
    </w:div>
    <w:div w:id="301232862">
      <w:bodyDiv w:val="1"/>
      <w:marLeft w:val="0"/>
      <w:marRight w:val="0"/>
      <w:marTop w:val="0"/>
      <w:marBottom w:val="0"/>
      <w:divBdr>
        <w:top w:val="none" w:sz="0" w:space="0" w:color="auto"/>
        <w:left w:val="none" w:sz="0" w:space="0" w:color="auto"/>
        <w:bottom w:val="none" w:sz="0" w:space="0" w:color="auto"/>
        <w:right w:val="none" w:sz="0" w:space="0" w:color="auto"/>
      </w:divBdr>
    </w:div>
    <w:div w:id="304623881">
      <w:bodyDiv w:val="1"/>
      <w:marLeft w:val="0"/>
      <w:marRight w:val="0"/>
      <w:marTop w:val="0"/>
      <w:marBottom w:val="0"/>
      <w:divBdr>
        <w:top w:val="none" w:sz="0" w:space="0" w:color="auto"/>
        <w:left w:val="none" w:sz="0" w:space="0" w:color="auto"/>
        <w:bottom w:val="none" w:sz="0" w:space="0" w:color="auto"/>
        <w:right w:val="none" w:sz="0" w:space="0" w:color="auto"/>
      </w:divBdr>
    </w:div>
    <w:div w:id="336351794">
      <w:bodyDiv w:val="1"/>
      <w:marLeft w:val="0"/>
      <w:marRight w:val="0"/>
      <w:marTop w:val="0"/>
      <w:marBottom w:val="0"/>
      <w:divBdr>
        <w:top w:val="none" w:sz="0" w:space="0" w:color="auto"/>
        <w:left w:val="none" w:sz="0" w:space="0" w:color="auto"/>
        <w:bottom w:val="none" w:sz="0" w:space="0" w:color="auto"/>
        <w:right w:val="none" w:sz="0" w:space="0" w:color="auto"/>
      </w:divBdr>
      <w:divsChild>
        <w:div w:id="23484425">
          <w:marLeft w:val="0"/>
          <w:marRight w:val="0"/>
          <w:marTop w:val="0"/>
          <w:marBottom w:val="0"/>
          <w:divBdr>
            <w:top w:val="none" w:sz="0" w:space="0" w:color="auto"/>
            <w:left w:val="none" w:sz="0" w:space="0" w:color="auto"/>
            <w:bottom w:val="none" w:sz="0" w:space="0" w:color="auto"/>
            <w:right w:val="none" w:sz="0" w:space="0" w:color="auto"/>
          </w:divBdr>
          <w:divsChild>
            <w:div w:id="220794951">
              <w:marLeft w:val="0"/>
              <w:marRight w:val="0"/>
              <w:marTop w:val="0"/>
              <w:marBottom w:val="0"/>
              <w:divBdr>
                <w:top w:val="none" w:sz="0" w:space="0" w:color="auto"/>
                <w:left w:val="none" w:sz="0" w:space="0" w:color="auto"/>
                <w:bottom w:val="none" w:sz="0" w:space="0" w:color="auto"/>
                <w:right w:val="none" w:sz="0" w:space="0" w:color="auto"/>
              </w:divBdr>
            </w:div>
            <w:div w:id="259611391">
              <w:marLeft w:val="0"/>
              <w:marRight w:val="0"/>
              <w:marTop w:val="0"/>
              <w:marBottom w:val="0"/>
              <w:divBdr>
                <w:top w:val="none" w:sz="0" w:space="0" w:color="auto"/>
                <w:left w:val="none" w:sz="0" w:space="0" w:color="auto"/>
                <w:bottom w:val="none" w:sz="0" w:space="0" w:color="auto"/>
                <w:right w:val="none" w:sz="0" w:space="0" w:color="auto"/>
              </w:divBdr>
            </w:div>
            <w:div w:id="348726211">
              <w:marLeft w:val="0"/>
              <w:marRight w:val="0"/>
              <w:marTop w:val="0"/>
              <w:marBottom w:val="0"/>
              <w:divBdr>
                <w:top w:val="none" w:sz="0" w:space="0" w:color="auto"/>
                <w:left w:val="none" w:sz="0" w:space="0" w:color="auto"/>
                <w:bottom w:val="none" w:sz="0" w:space="0" w:color="auto"/>
                <w:right w:val="none" w:sz="0" w:space="0" w:color="auto"/>
              </w:divBdr>
            </w:div>
            <w:div w:id="714547243">
              <w:marLeft w:val="0"/>
              <w:marRight w:val="0"/>
              <w:marTop w:val="0"/>
              <w:marBottom w:val="0"/>
              <w:divBdr>
                <w:top w:val="none" w:sz="0" w:space="0" w:color="auto"/>
                <w:left w:val="none" w:sz="0" w:space="0" w:color="auto"/>
                <w:bottom w:val="none" w:sz="0" w:space="0" w:color="auto"/>
                <w:right w:val="none" w:sz="0" w:space="0" w:color="auto"/>
              </w:divBdr>
            </w:div>
            <w:div w:id="805469337">
              <w:marLeft w:val="0"/>
              <w:marRight w:val="0"/>
              <w:marTop w:val="0"/>
              <w:marBottom w:val="0"/>
              <w:divBdr>
                <w:top w:val="none" w:sz="0" w:space="0" w:color="auto"/>
                <w:left w:val="none" w:sz="0" w:space="0" w:color="auto"/>
                <w:bottom w:val="none" w:sz="0" w:space="0" w:color="auto"/>
                <w:right w:val="none" w:sz="0" w:space="0" w:color="auto"/>
              </w:divBdr>
            </w:div>
          </w:divsChild>
        </w:div>
        <w:div w:id="51930075">
          <w:marLeft w:val="0"/>
          <w:marRight w:val="0"/>
          <w:marTop w:val="0"/>
          <w:marBottom w:val="0"/>
          <w:divBdr>
            <w:top w:val="none" w:sz="0" w:space="0" w:color="auto"/>
            <w:left w:val="none" w:sz="0" w:space="0" w:color="auto"/>
            <w:bottom w:val="none" w:sz="0" w:space="0" w:color="auto"/>
            <w:right w:val="none" w:sz="0" w:space="0" w:color="auto"/>
          </w:divBdr>
          <w:divsChild>
            <w:div w:id="259073534">
              <w:marLeft w:val="0"/>
              <w:marRight w:val="0"/>
              <w:marTop w:val="0"/>
              <w:marBottom w:val="0"/>
              <w:divBdr>
                <w:top w:val="none" w:sz="0" w:space="0" w:color="auto"/>
                <w:left w:val="none" w:sz="0" w:space="0" w:color="auto"/>
                <w:bottom w:val="none" w:sz="0" w:space="0" w:color="auto"/>
                <w:right w:val="none" w:sz="0" w:space="0" w:color="auto"/>
              </w:divBdr>
            </w:div>
            <w:div w:id="678890305">
              <w:marLeft w:val="0"/>
              <w:marRight w:val="0"/>
              <w:marTop w:val="0"/>
              <w:marBottom w:val="0"/>
              <w:divBdr>
                <w:top w:val="none" w:sz="0" w:space="0" w:color="auto"/>
                <w:left w:val="none" w:sz="0" w:space="0" w:color="auto"/>
                <w:bottom w:val="none" w:sz="0" w:space="0" w:color="auto"/>
                <w:right w:val="none" w:sz="0" w:space="0" w:color="auto"/>
              </w:divBdr>
            </w:div>
            <w:div w:id="891963672">
              <w:marLeft w:val="0"/>
              <w:marRight w:val="0"/>
              <w:marTop w:val="0"/>
              <w:marBottom w:val="0"/>
              <w:divBdr>
                <w:top w:val="none" w:sz="0" w:space="0" w:color="auto"/>
                <w:left w:val="none" w:sz="0" w:space="0" w:color="auto"/>
                <w:bottom w:val="none" w:sz="0" w:space="0" w:color="auto"/>
                <w:right w:val="none" w:sz="0" w:space="0" w:color="auto"/>
              </w:divBdr>
            </w:div>
            <w:div w:id="1006131452">
              <w:marLeft w:val="0"/>
              <w:marRight w:val="0"/>
              <w:marTop w:val="0"/>
              <w:marBottom w:val="0"/>
              <w:divBdr>
                <w:top w:val="none" w:sz="0" w:space="0" w:color="auto"/>
                <w:left w:val="none" w:sz="0" w:space="0" w:color="auto"/>
                <w:bottom w:val="none" w:sz="0" w:space="0" w:color="auto"/>
                <w:right w:val="none" w:sz="0" w:space="0" w:color="auto"/>
              </w:divBdr>
            </w:div>
            <w:div w:id="1709253342">
              <w:marLeft w:val="0"/>
              <w:marRight w:val="0"/>
              <w:marTop w:val="0"/>
              <w:marBottom w:val="0"/>
              <w:divBdr>
                <w:top w:val="none" w:sz="0" w:space="0" w:color="auto"/>
                <w:left w:val="none" w:sz="0" w:space="0" w:color="auto"/>
                <w:bottom w:val="none" w:sz="0" w:space="0" w:color="auto"/>
                <w:right w:val="none" w:sz="0" w:space="0" w:color="auto"/>
              </w:divBdr>
            </w:div>
          </w:divsChild>
        </w:div>
        <w:div w:id="138810534">
          <w:marLeft w:val="0"/>
          <w:marRight w:val="0"/>
          <w:marTop w:val="0"/>
          <w:marBottom w:val="0"/>
          <w:divBdr>
            <w:top w:val="none" w:sz="0" w:space="0" w:color="auto"/>
            <w:left w:val="none" w:sz="0" w:space="0" w:color="auto"/>
            <w:bottom w:val="none" w:sz="0" w:space="0" w:color="auto"/>
            <w:right w:val="none" w:sz="0" w:space="0" w:color="auto"/>
          </w:divBdr>
        </w:div>
        <w:div w:id="144929996">
          <w:marLeft w:val="0"/>
          <w:marRight w:val="0"/>
          <w:marTop w:val="0"/>
          <w:marBottom w:val="0"/>
          <w:divBdr>
            <w:top w:val="none" w:sz="0" w:space="0" w:color="auto"/>
            <w:left w:val="none" w:sz="0" w:space="0" w:color="auto"/>
            <w:bottom w:val="none" w:sz="0" w:space="0" w:color="auto"/>
            <w:right w:val="none" w:sz="0" w:space="0" w:color="auto"/>
          </w:divBdr>
        </w:div>
        <w:div w:id="195849939">
          <w:marLeft w:val="0"/>
          <w:marRight w:val="0"/>
          <w:marTop w:val="0"/>
          <w:marBottom w:val="0"/>
          <w:divBdr>
            <w:top w:val="none" w:sz="0" w:space="0" w:color="auto"/>
            <w:left w:val="none" w:sz="0" w:space="0" w:color="auto"/>
            <w:bottom w:val="none" w:sz="0" w:space="0" w:color="auto"/>
            <w:right w:val="none" w:sz="0" w:space="0" w:color="auto"/>
          </w:divBdr>
        </w:div>
        <w:div w:id="260458788">
          <w:marLeft w:val="0"/>
          <w:marRight w:val="0"/>
          <w:marTop w:val="0"/>
          <w:marBottom w:val="0"/>
          <w:divBdr>
            <w:top w:val="none" w:sz="0" w:space="0" w:color="auto"/>
            <w:left w:val="none" w:sz="0" w:space="0" w:color="auto"/>
            <w:bottom w:val="none" w:sz="0" w:space="0" w:color="auto"/>
            <w:right w:val="none" w:sz="0" w:space="0" w:color="auto"/>
          </w:divBdr>
        </w:div>
        <w:div w:id="299967135">
          <w:marLeft w:val="0"/>
          <w:marRight w:val="0"/>
          <w:marTop w:val="0"/>
          <w:marBottom w:val="0"/>
          <w:divBdr>
            <w:top w:val="none" w:sz="0" w:space="0" w:color="auto"/>
            <w:left w:val="none" w:sz="0" w:space="0" w:color="auto"/>
            <w:bottom w:val="none" w:sz="0" w:space="0" w:color="auto"/>
            <w:right w:val="none" w:sz="0" w:space="0" w:color="auto"/>
          </w:divBdr>
        </w:div>
        <w:div w:id="438306514">
          <w:marLeft w:val="0"/>
          <w:marRight w:val="0"/>
          <w:marTop w:val="0"/>
          <w:marBottom w:val="0"/>
          <w:divBdr>
            <w:top w:val="none" w:sz="0" w:space="0" w:color="auto"/>
            <w:left w:val="none" w:sz="0" w:space="0" w:color="auto"/>
            <w:bottom w:val="none" w:sz="0" w:space="0" w:color="auto"/>
            <w:right w:val="none" w:sz="0" w:space="0" w:color="auto"/>
          </w:divBdr>
          <w:divsChild>
            <w:div w:id="292757767">
              <w:marLeft w:val="0"/>
              <w:marRight w:val="0"/>
              <w:marTop w:val="0"/>
              <w:marBottom w:val="0"/>
              <w:divBdr>
                <w:top w:val="none" w:sz="0" w:space="0" w:color="auto"/>
                <w:left w:val="none" w:sz="0" w:space="0" w:color="auto"/>
                <w:bottom w:val="none" w:sz="0" w:space="0" w:color="auto"/>
                <w:right w:val="none" w:sz="0" w:space="0" w:color="auto"/>
              </w:divBdr>
            </w:div>
            <w:div w:id="348682656">
              <w:marLeft w:val="0"/>
              <w:marRight w:val="0"/>
              <w:marTop w:val="0"/>
              <w:marBottom w:val="0"/>
              <w:divBdr>
                <w:top w:val="none" w:sz="0" w:space="0" w:color="auto"/>
                <w:left w:val="none" w:sz="0" w:space="0" w:color="auto"/>
                <w:bottom w:val="none" w:sz="0" w:space="0" w:color="auto"/>
                <w:right w:val="none" w:sz="0" w:space="0" w:color="auto"/>
              </w:divBdr>
            </w:div>
            <w:div w:id="590432151">
              <w:marLeft w:val="0"/>
              <w:marRight w:val="0"/>
              <w:marTop w:val="0"/>
              <w:marBottom w:val="0"/>
              <w:divBdr>
                <w:top w:val="none" w:sz="0" w:space="0" w:color="auto"/>
                <w:left w:val="none" w:sz="0" w:space="0" w:color="auto"/>
                <w:bottom w:val="none" w:sz="0" w:space="0" w:color="auto"/>
                <w:right w:val="none" w:sz="0" w:space="0" w:color="auto"/>
              </w:divBdr>
            </w:div>
            <w:div w:id="1188368523">
              <w:marLeft w:val="0"/>
              <w:marRight w:val="0"/>
              <w:marTop w:val="0"/>
              <w:marBottom w:val="0"/>
              <w:divBdr>
                <w:top w:val="none" w:sz="0" w:space="0" w:color="auto"/>
                <w:left w:val="none" w:sz="0" w:space="0" w:color="auto"/>
                <w:bottom w:val="none" w:sz="0" w:space="0" w:color="auto"/>
                <w:right w:val="none" w:sz="0" w:space="0" w:color="auto"/>
              </w:divBdr>
            </w:div>
            <w:div w:id="1386687159">
              <w:marLeft w:val="0"/>
              <w:marRight w:val="0"/>
              <w:marTop w:val="0"/>
              <w:marBottom w:val="0"/>
              <w:divBdr>
                <w:top w:val="none" w:sz="0" w:space="0" w:color="auto"/>
                <w:left w:val="none" w:sz="0" w:space="0" w:color="auto"/>
                <w:bottom w:val="none" w:sz="0" w:space="0" w:color="auto"/>
                <w:right w:val="none" w:sz="0" w:space="0" w:color="auto"/>
              </w:divBdr>
            </w:div>
          </w:divsChild>
        </w:div>
        <w:div w:id="491719683">
          <w:marLeft w:val="0"/>
          <w:marRight w:val="0"/>
          <w:marTop w:val="0"/>
          <w:marBottom w:val="0"/>
          <w:divBdr>
            <w:top w:val="none" w:sz="0" w:space="0" w:color="auto"/>
            <w:left w:val="none" w:sz="0" w:space="0" w:color="auto"/>
            <w:bottom w:val="none" w:sz="0" w:space="0" w:color="auto"/>
            <w:right w:val="none" w:sz="0" w:space="0" w:color="auto"/>
          </w:divBdr>
        </w:div>
        <w:div w:id="578100135">
          <w:marLeft w:val="0"/>
          <w:marRight w:val="0"/>
          <w:marTop w:val="0"/>
          <w:marBottom w:val="0"/>
          <w:divBdr>
            <w:top w:val="none" w:sz="0" w:space="0" w:color="auto"/>
            <w:left w:val="none" w:sz="0" w:space="0" w:color="auto"/>
            <w:bottom w:val="none" w:sz="0" w:space="0" w:color="auto"/>
            <w:right w:val="none" w:sz="0" w:space="0" w:color="auto"/>
          </w:divBdr>
        </w:div>
        <w:div w:id="619730211">
          <w:marLeft w:val="0"/>
          <w:marRight w:val="0"/>
          <w:marTop w:val="0"/>
          <w:marBottom w:val="0"/>
          <w:divBdr>
            <w:top w:val="none" w:sz="0" w:space="0" w:color="auto"/>
            <w:left w:val="none" w:sz="0" w:space="0" w:color="auto"/>
            <w:bottom w:val="none" w:sz="0" w:space="0" w:color="auto"/>
            <w:right w:val="none" w:sz="0" w:space="0" w:color="auto"/>
          </w:divBdr>
        </w:div>
        <w:div w:id="692270994">
          <w:marLeft w:val="0"/>
          <w:marRight w:val="0"/>
          <w:marTop w:val="0"/>
          <w:marBottom w:val="0"/>
          <w:divBdr>
            <w:top w:val="none" w:sz="0" w:space="0" w:color="auto"/>
            <w:left w:val="none" w:sz="0" w:space="0" w:color="auto"/>
            <w:bottom w:val="none" w:sz="0" w:space="0" w:color="auto"/>
            <w:right w:val="none" w:sz="0" w:space="0" w:color="auto"/>
          </w:divBdr>
        </w:div>
        <w:div w:id="772482782">
          <w:marLeft w:val="0"/>
          <w:marRight w:val="0"/>
          <w:marTop w:val="0"/>
          <w:marBottom w:val="0"/>
          <w:divBdr>
            <w:top w:val="none" w:sz="0" w:space="0" w:color="auto"/>
            <w:left w:val="none" w:sz="0" w:space="0" w:color="auto"/>
            <w:bottom w:val="none" w:sz="0" w:space="0" w:color="auto"/>
            <w:right w:val="none" w:sz="0" w:space="0" w:color="auto"/>
          </w:divBdr>
        </w:div>
        <w:div w:id="774324584">
          <w:marLeft w:val="0"/>
          <w:marRight w:val="0"/>
          <w:marTop w:val="0"/>
          <w:marBottom w:val="0"/>
          <w:divBdr>
            <w:top w:val="none" w:sz="0" w:space="0" w:color="auto"/>
            <w:left w:val="none" w:sz="0" w:space="0" w:color="auto"/>
            <w:bottom w:val="none" w:sz="0" w:space="0" w:color="auto"/>
            <w:right w:val="none" w:sz="0" w:space="0" w:color="auto"/>
          </w:divBdr>
        </w:div>
        <w:div w:id="795216624">
          <w:marLeft w:val="0"/>
          <w:marRight w:val="0"/>
          <w:marTop w:val="0"/>
          <w:marBottom w:val="0"/>
          <w:divBdr>
            <w:top w:val="none" w:sz="0" w:space="0" w:color="auto"/>
            <w:left w:val="none" w:sz="0" w:space="0" w:color="auto"/>
            <w:bottom w:val="none" w:sz="0" w:space="0" w:color="auto"/>
            <w:right w:val="none" w:sz="0" w:space="0" w:color="auto"/>
          </w:divBdr>
        </w:div>
        <w:div w:id="818769399">
          <w:marLeft w:val="0"/>
          <w:marRight w:val="0"/>
          <w:marTop w:val="0"/>
          <w:marBottom w:val="0"/>
          <w:divBdr>
            <w:top w:val="none" w:sz="0" w:space="0" w:color="auto"/>
            <w:left w:val="none" w:sz="0" w:space="0" w:color="auto"/>
            <w:bottom w:val="none" w:sz="0" w:space="0" w:color="auto"/>
            <w:right w:val="none" w:sz="0" w:space="0" w:color="auto"/>
          </w:divBdr>
        </w:div>
        <w:div w:id="882248916">
          <w:marLeft w:val="0"/>
          <w:marRight w:val="0"/>
          <w:marTop w:val="0"/>
          <w:marBottom w:val="0"/>
          <w:divBdr>
            <w:top w:val="none" w:sz="0" w:space="0" w:color="auto"/>
            <w:left w:val="none" w:sz="0" w:space="0" w:color="auto"/>
            <w:bottom w:val="none" w:sz="0" w:space="0" w:color="auto"/>
            <w:right w:val="none" w:sz="0" w:space="0" w:color="auto"/>
          </w:divBdr>
          <w:divsChild>
            <w:div w:id="609776029">
              <w:marLeft w:val="0"/>
              <w:marRight w:val="0"/>
              <w:marTop w:val="0"/>
              <w:marBottom w:val="0"/>
              <w:divBdr>
                <w:top w:val="none" w:sz="0" w:space="0" w:color="auto"/>
                <w:left w:val="none" w:sz="0" w:space="0" w:color="auto"/>
                <w:bottom w:val="none" w:sz="0" w:space="0" w:color="auto"/>
                <w:right w:val="none" w:sz="0" w:space="0" w:color="auto"/>
              </w:divBdr>
            </w:div>
          </w:divsChild>
        </w:div>
        <w:div w:id="928126377">
          <w:marLeft w:val="0"/>
          <w:marRight w:val="0"/>
          <w:marTop w:val="0"/>
          <w:marBottom w:val="0"/>
          <w:divBdr>
            <w:top w:val="none" w:sz="0" w:space="0" w:color="auto"/>
            <w:left w:val="none" w:sz="0" w:space="0" w:color="auto"/>
            <w:bottom w:val="none" w:sz="0" w:space="0" w:color="auto"/>
            <w:right w:val="none" w:sz="0" w:space="0" w:color="auto"/>
          </w:divBdr>
        </w:div>
        <w:div w:id="1080521318">
          <w:marLeft w:val="0"/>
          <w:marRight w:val="0"/>
          <w:marTop w:val="0"/>
          <w:marBottom w:val="0"/>
          <w:divBdr>
            <w:top w:val="none" w:sz="0" w:space="0" w:color="auto"/>
            <w:left w:val="none" w:sz="0" w:space="0" w:color="auto"/>
            <w:bottom w:val="none" w:sz="0" w:space="0" w:color="auto"/>
            <w:right w:val="none" w:sz="0" w:space="0" w:color="auto"/>
          </w:divBdr>
        </w:div>
        <w:div w:id="1107889890">
          <w:marLeft w:val="0"/>
          <w:marRight w:val="0"/>
          <w:marTop w:val="0"/>
          <w:marBottom w:val="0"/>
          <w:divBdr>
            <w:top w:val="none" w:sz="0" w:space="0" w:color="auto"/>
            <w:left w:val="none" w:sz="0" w:space="0" w:color="auto"/>
            <w:bottom w:val="none" w:sz="0" w:space="0" w:color="auto"/>
            <w:right w:val="none" w:sz="0" w:space="0" w:color="auto"/>
          </w:divBdr>
        </w:div>
        <w:div w:id="1252738882">
          <w:marLeft w:val="0"/>
          <w:marRight w:val="0"/>
          <w:marTop w:val="0"/>
          <w:marBottom w:val="0"/>
          <w:divBdr>
            <w:top w:val="none" w:sz="0" w:space="0" w:color="auto"/>
            <w:left w:val="none" w:sz="0" w:space="0" w:color="auto"/>
            <w:bottom w:val="none" w:sz="0" w:space="0" w:color="auto"/>
            <w:right w:val="none" w:sz="0" w:space="0" w:color="auto"/>
          </w:divBdr>
          <w:divsChild>
            <w:div w:id="469909186">
              <w:marLeft w:val="0"/>
              <w:marRight w:val="0"/>
              <w:marTop w:val="0"/>
              <w:marBottom w:val="0"/>
              <w:divBdr>
                <w:top w:val="none" w:sz="0" w:space="0" w:color="auto"/>
                <w:left w:val="none" w:sz="0" w:space="0" w:color="auto"/>
                <w:bottom w:val="none" w:sz="0" w:space="0" w:color="auto"/>
                <w:right w:val="none" w:sz="0" w:space="0" w:color="auto"/>
              </w:divBdr>
            </w:div>
            <w:div w:id="782115628">
              <w:marLeft w:val="0"/>
              <w:marRight w:val="0"/>
              <w:marTop w:val="0"/>
              <w:marBottom w:val="0"/>
              <w:divBdr>
                <w:top w:val="none" w:sz="0" w:space="0" w:color="auto"/>
                <w:left w:val="none" w:sz="0" w:space="0" w:color="auto"/>
                <w:bottom w:val="none" w:sz="0" w:space="0" w:color="auto"/>
                <w:right w:val="none" w:sz="0" w:space="0" w:color="auto"/>
              </w:divBdr>
            </w:div>
            <w:div w:id="1379014501">
              <w:marLeft w:val="0"/>
              <w:marRight w:val="0"/>
              <w:marTop w:val="0"/>
              <w:marBottom w:val="0"/>
              <w:divBdr>
                <w:top w:val="none" w:sz="0" w:space="0" w:color="auto"/>
                <w:left w:val="none" w:sz="0" w:space="0" w:color="auto"/>
                <w:bottom w:val="none" w:sz="0" w:space="0" w:color="auto"/>
                <w:right w:val="none" w:sz="0" w:space="0" w:color="auto"/>
              </w:divBdr>
            </w:div>
            <w:div w:id="1400404211">
              <w:marLeft w:val="0"/>
              <w:marRight w:val="0"/>
              <w:marTop w:val="0"/>
              <w:marBottom w:val="0"/>
              <w:divBdr>
                <w:top w:val="none" w:sz="0" w:space="0" w:color="auto"/>
                <w:left w:val="none" w:sz="0" w:space="0" w:color="auto"/>
                <w:bottom w:val="none" w:sz="0" w:space="0" w:color="auto"/>
                <w:right w:val="none" w:sz="0" w:space="0" w:color="auto"/>
              </w:divBdr>
            </w:div>
            <w:div w:id="1596474441">
              <w:marLeft w:val="0"/>
              <w:marRight w:val="0"/>
              <w:marTop w:val="0"/>
              <w:marBottom w:val="0"/>
              <w:divBdr>
                <w:top w:val="none" w:sz="0" w:space="0" w:color="auto"/>
                <w:left w:val="none" w:sz="0" w:space="0" w:color="auto"/>
                <w:bottom w:val="none" w:sz="0" w:space="0" w:color="auto"/>
                <w:right w:val="none" w:sz="0" w:space="0" w:color="auto"/>
              </w:divBdr>
            </w:div>
          </w:divsChild>
        </w:div>
        <w:div w:id="1339229539">
          <w:marLeft w:val="0"/>
          <w:marRight w:val="0"/>
          <w:marTop w:val="0"/>
          <w:marBottom w:val="0"/>
          <w:divBdr>
            <w:top w:val="none" w:sz="0" w:space="0" w:color="auto"/>
            <w:left w:val="none" w:sz="0" w:space="0" w:color="auto"/>
            <w:bottom w:val="none" w:sz="0" w:space="0" w:color="auto"/>
            <w:right w:val="none" w:sz="0" w:space="0" w:color="auto"/>
          </w:divBdr>
        </w:div>
        <w:div w:id="1356687378">
          <w:marLeft w:val="0"/>
          <w:marRight w:val="0"/>
          <w:marTop w:val="0"/>
          <w:marBottom w:val="0"/>
          <w:divBdr>
            <w:top w:val="none" w:sz="0" w:space="0" w:color="auto"/>
            <w:left w:val="none" w:sz="0" w:space="0" w:color="auto"/>
            <w:bottom w:val="none" w:sz="0" w:space="0" w:color="auto"/>
            <w:right w:val="none" w:sz="0" w:space="0" w:color="auto"/>
          </w:divBdr>
        </w:div>
        <w:div w:id="1387680072">
          <w:marLeft w:val="0"/>
          <w:marRight w:val="0"/>
          <w:marTop w:val="0"/>
          <w:marBottom w:val="0"/>
          <w:divBdr>
            <w:top w:val="none" w:sz="0" w:space="0" w:color="auto"/>
            <w:left w:val="none" w:sz="0" w:space="0" w:color="auto"/>
            <w:bottom w:val="none" w:sz="0" w:space="0" w:color="auto"/>
            <w:right w:val="none" w:sz="0" w:space="0" w:color="auto"/>
          </w:divBdr>
        </w:div>
        <w:div w:id="1394893078">
          <w:marLeft w:val="0"/>
          <w:marRight w:val="0"/>
          <w:marTop w:val="0"/>
          <w:marBottom w:val="0"/>
          <w:divBdr>
            <w:top w:val="none" w:sz="0" w:space="0" w:color="auto"/>
            <w:left w:val="none" w:sz="0" w:space="0" w:color="auto"/>
            <w:bottom w:val="none" w:sz="0" w:space="0" w:color="auto"/>
            <w:right w:val="none" w:sz="0" w:space="0" w:color="auto"/>
          </w:divBdr>
        </w:div>
        <w:div w:id="1477188234">
          <w:marLeft w:val="0"/>
          <w:marRight w:val="0"/>
          <w:marTop w:val="0"/>
          <w:marBottom w:val="0"/>
          <w:divBdr>
            <w:top w:val="none" w:sz="0" w:space="0" w:color="auto"/>
            <w:left w:val="none" w:sz="0" w:space="0" w:color="auto"/>
            <w:bottom w:val="none" w:sz="0" w:space="0" w:color="auto"/>
            <w:right w:val="none" w:sz="0" w:space="0" w:color="auto"/>
          </w:divBdr>
        </w:div>
        <w:div w:id="1506674297">
          <w:marLeft w:val="0"/>
          <w:marRight w:val="0"/>
          <w:marTop w:val="0"/>
          <w:marBottom w:val="0"/>
          <w:divBdr>
            <w:top w:val="none" w:sz="0" w:space="0" w:color="auto"/>
            <w:left w:val="none" w:sz="0" w:space="0" w:color="auto"/>
            <w:bottom w:val="none" w:sz="0" w:space="0" w:color="auto"/>
            <w:right w:val="none" w:sz="0" w:space="0" w:color="auto"/>
          </w:divBdr>
        </w:div>
        <w:div w:id="1547449441">
          <w:marLeft w:val="0"/>
          <w:marRight w:val="0"/>
          <w:marTop w:val="0"/>
          <w:marBottom w:val="0"/>
          <w:divBdr>
            <w:top w:val="none" w:sz="0" w:space="0" w:color="auto"/>
            <w:left w:val="none" w:sz="0" w:space="0" w:color="auto"/>
            <w:bottom w:val="none" w:sz="0" w:space="0" w:color="auto"/>
            <w:right w:val="none" w:sz="0" w:space="0" w:color="auto"/>
          </w:divBdr>
        </w:div>
        <w:div w:id="1707365297">
          <w:marLeft w:val="0"/>
          <w:marRight w:val="0"/>
          <w:marTop w:val="0"/>
          <w:marBottom w:val="0"/>
          <w:divBdr>
            <w:top w:val="none" w:sz="0" w:space="0" w:color="auto"/>
            <w:left w:val="none" w:sz="0" w:space="0" w:color="auto"/>
            <w:bottom w:val="none" w:sz="0" w:space="0" w:color="auto"/>
            <w:right w:val="none" w:sz="0" w:space="0" w:color="auto"/>
          </w:divBdr>
        </w:div>
        <w:div w:id="1728605762">
          <w:marLeft w:val="0"/>
          <w:marRight w:val="0"/>
          <w:marTop w:val="0"/>
          <w:marBottom w:val="0"/>
          <w:divBdr>
            <w:top w:val="none" w:sz="0" w:space="0" w:color="auto"/>
            <w:left w:val="none" w:sz="0" w:space="0" w:color="auto"/>
            <w:bottom w:val="none" w:sz="0" w:space="0" w:color="auto"/>
            <w:right w:val="none" w:sz="0" w:space="0" w:color="auto"/>
          </w:divBdr>
        </w:div>
        <w:div w:id="1769276709">
          <w:marLeft w:val="0"/>
          <w:marRight w:val="0"/>
          <w:marTop w:val="0"/>
          <w:marBottom w:val="0"/>
          <w:divBdr>
            <w:top w:val="none" w:sz="0" w:space="0" w:color="auto"/>
            <w:left w:val="none" w:sz="0" w:space="0" w:color="auto"/>
            <w:bottom w:val="none" w:sz="0" w:space="0" w:color="auto"/>
            <w:right w:val="none" w:sz="0" w:space="0" w:color="auto"/>
          </w:divBdr>
          <w:divsChild>
            <w:div w:id="276303539">
              <w:marLeft w:val="0"/>
              <w:marRight w:val="0"/>
              <w:marTop w:val="0"/>
              <w:marBottom w:val="0"/>
              <w:divBdr>
                <w:top w:val="none" w:sz="0" w:space="0" w:color="auto"/>
                <w:left w:val="none" w:sz="0" w:space="0" w:color="auto"/>
                <w:bottom w:val="none" w:sz="0" w:space="0" w:color="auto"/>
                <w:right w:val="none" w:sz="0" w:space="0" w:color="auto"/>
              </w:divBdr>
            </w:div>
            <w:div w:id="438988274">
              <w:marLeft w:val="0"/>
              <w:marRight w:val="0"/>
              <w:marTop w:val="0"/>
              <w:marBottom w:val="0"/>
              <w:divBdr>
                <w:top w:val="none" w:sz="0" w:space="0" w:color="auto"/>
                <w:left w:val="none" w:sz="0" w:space="0" w:color="auto"/>
                <w:bottom w:val="none" w:sz="0" w:space="0" w:color="auto"/>
                <w:right w:val="none" w:sz="0" w:space="0" w:color="auto"/>
              </w:divBdr>
            </w:div>
            <w:div w:id="647051896">
              <w:marLeft w:val="0"/>
              <w:marRight w:val="0"/>
              <w:marTop w:val="0"/>
              <w:marBottom w:val="0"/>
              <w:divBdr>
                <w:top w:val="none" w:sz="0" w:space="0" w:color="auto"/>
                <w:left w:val="none" w:sz="0" w:space="0" w:color="auto"/>
                <w:bottom w:val="none" w:sz="0" w:space="0" w:color="auto"/>
                <w:right w:val="none" w:sz="0" w:space="0" w:color="auto"/>
              </w:divBdr>
            </w:div>
            <w:div w:id="948315546">
              <w:marLeft w:val="0"/>
              <w:marRight w:val="0"/>
              <w:marTop w:val="0"/>
              <w:marBottom w:val="0"/>
              <w:divBdr>
                <w:top w:val="none" w:sz="0" w:space="0" w:color="auto"/>
                <w:left w:val="none" w:sz="0" w:space="0" w:color="auto"/>
                <w:bottom w:val="none" w:sz="0" w:space="0" w:color="auto"/>
                <w:right w:val="none" w:sz="0" w:space="0" w:color="auto"/>
              </w:divBdr>
            </w:div>
            <w:div w:id="2045056390">
              <w:marLeft w:val="0"/>
              <w:marRight w:val="0"/>
              <w:marTop w:val="0"/>
              <w:marBottom w:val="0"/>
              <w:divBdr>
                <w:top w:val="none" w:sz="0" w:space="0" w:color="auto"/>
                <w:left w:val="none" w:sz="0" w:space="0" w:color="auto"/>
                <w:bottom w:val="none" w:sz="0" w:space="0" w:color="auto"/>
                <w:right w:val="none" w:sz="0" w:space="0" w:color="auto"/>
              </w:divBdr>
            </w:div>
          </w:divsChild>
        </w:div>
        <w:div w:id="1803840101">
          <w:marLeft w:val="0"/>
          <w:marRight w:val="0"/>
          <w:marTop w:val="0"/>
          <w:marBottom w:val="0"/>
          <w:divBdr>
            <w:top w:val="none" w:sz="0" w:space="0" w:color="auto"/>
            <w:left w:val="none" w:sz="0" w:space="0" w:color="auto"/>
            <w:bottom w:val="none" w:sz="0" w:space="0" w:color="auto"/>
            <w:right w:val="none" w:sz="0" w:space="0" w:color="auto"/>
          </w:divBdr>
        </w:div>
        <w:div w:id="1872759755">
          <w:marLeft w:val="0"/>
          <w:marRight w:val="0"/>
          <w:marTop w:val="0"/>
          <w:marBottom w:val="0"/>
          <w:divBdr>
            <w:top w:val="none" w:sz="0" w:space="0" w:color="auto"/>
            <w:left w:val="none" w:sz="0" w:space="0" w:color="auto"/>
            <w:bottom w:val="none" w:sz="0" w:space="0" w:color="auto"/>
            <w:right w:val="none" w:sz="0" w:space="0" w:color="auto"/>
          </w:divBdr>
        </w:div>
        <w:div w:id="1942950187">
          <w:marLeft w:val="0"/>
          <w:marRight w:val="0"/>
          <w:marTop w:val="0"/>
          <w:marBottom w:val="0"/>
          <w:divBdr>
            <w:top w:val="none" w:sz="0" w:space="0" w:color="auto"/>
            <w:left w:val="none" w:sz="0" w:space="0" w:color="auto"/>
            <w:bottom w:val="none" w:sz="0" w:space="0" w:color="auto"/>
            <w:right w:val="none" w:sz="0" w:space="0" w:color="auto"/>
          </w:divBdr>
        </w:div>
        <w:div w:id="1952937722">
          <w:marLeft w:val="0"/>
          <w:marRight w:val="0"/>
          <w:marTop w:val="0"/>
          <w:marBottom w:val="0"/>
          <w:divBdr>
            <w:top w:val="none" w:sz="0" w:space="0" w:color="auto"/>
            <w:left w:val="none" w:sz="0" w:space="0" w:color="auto"/>
            <w:bottom w:val="none" w:sz="0" w:space="0" w:color="auto"/>
            <w:right w:val="none" w:sz="0" w:space="0" w:color="auto"/>
          </w:divBdr>
        </w:div>
        <w:div w:id="1956673281">
          <w:marLeft w:val="0"/>
          <w:marRight w:val="0"/>
          <w:marTop w:val="0"/>
          <w:marBottom w:val="0"/>
          <w:divBdr>
            <w:top w:val="none" w:sz="0" w:space="0" w:color="auto"/>
            <w:left w:val="none" w:sz="0" w:space="0" w:color="auto"/>
            <w:bottom w:val="none" w:sz="0" w:space="0" w:color="auto"/>
            <w:right w:val="none" w:sz="0" w:space="0" w:color="auto"/>
          </w:divBdr>
        </w:div>
        <w:div w:id="2094206064">
          <w:marLeft w:val="0"/>
          <w:marRight w:val="0"/>
          <w:marTop w:val="0"/>
          <w:marBottom w:val="0"/>
          <w:divBdr>
            <w:top w:val="none" w:sz="0" w:space="0" w:color="auto"/>
            <w:left w:val="none" w:sz="0" w:space="0" w:color="auto"/>
            <w:bottom w:val="none" w:sz="0" w:space="0" w:color="auto"/>
            <w:right w:val="none" w:sz="0" w:space="0" w:color="auto"/>
          </w:divBdr>
          <w:divsChild>
            <w:div w:id="714351658">
              <w:marLeft w:val="0"/>
              <w:marRight w:val="0"/>
              <w:marTop w:val="0"/>
              <w:marBottom w:val="0"/>
              <w:divBdr>
                <w:top w:val="none" w:sz="0" w:space="0" w:color="auto"/>
                <w:left w:val="none" w:sz="0" w:space="0" w:color="auto"/>
                <w:bottom w:val="none" w:sz="0" w:space="0" w:color="auto"/>
                <w:right w:val="none" w:sz="0" w:space="0" w:color="auto"/>
              </w:divBdr>
            </w:div>
            <w:div w:id="756482438">
              <w:marLeft w:val="0"/>
              <w:marRight w:val="0"/>
              <w:marTop w:val="0"/>
              <w:marBottom w:val="0"/>
              <w:divBdr>
                <w:top w:val="none" w:sz="0" w:space="0" w:color="auto"/>
                <w:left w:val="none" w:sz="0" w:space="0" w:color="auto"/>
                <w:bottom w:val="none" w:sz="0" w:space="0" w:color="auto"/>
                <w:right w:val="none" w:sz="0" w:space="0" w:color="auto"/>
              </w:divBdr>
            </w:div>
            <w:div w:id="778335638">
              <w:marLeft w:val="0"/>
              <w:marRight w:val="0"/>
              <w:marTop w:val="0"/>
              <w:marBottom w:val="0"/>
              <w:divBdr>
                <w:top w:val="none" w:sz="0" w:space="0" w:color="auto"/>
                <w:left w:val="none" w:sz="0" w:space="0" w:color="auto"/>
                <w:bottom w:val="none" w:sz="0" w:space="0" w:color="auto"/>
                <w:right w:val="none" w:sz="0" w:space="0" w:color="auto"/>
              </w:divBdr>
            </w:div>
            <w:div w:id="197378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336711">
      <w:bodyDiv w:val="1"/>
      <w:marLeft w:val="0"/>
      <w:marRight w:val="0"/>
      <w:marTop w:val="0"/>
      <w:marBottom w:val="0"/>
      <w:divBdr>
        <w:top w:val="none" w:sz="0" w:space="0" w:color="auto"/>
        <w:left w:val="none" w:sz="0" w:space="0" w:color="auto"/>
        <w:bottom w:val="none" w:sz="0" w:space="0" w:color="auto"/>
        <w:right w:val="none" w:sz="0" w:space="0" w:color="auto"/>
      </w:divBdr>
    </w:div>
    <w:div w:id="383334246">
      <w:bodyDiv w:val="1"/>
      <w:marLeft w:val="0"/>
      <w:marRight w:val="0"/>
      <w:marTop w:val="0"/>
      <w:marBottom w:val="0"/>
      <w:divBdr>
        <w:top w:val="none" w:sz="0" w:space="0" w:color="auto"/>
        <w:left w:val="none" w:sz="0" w:space="0" w:color="auto"/>
        <w:bottom w:val="none" w:sz="0" w:space="0" w:color="auto"/>
        <w:right w:val="none" w:sz="0" w:space="0" w:color="auto"/>
      </w:divBdr>
    </w:div>
    <w:div w:id="393044090">
      <w:bodyDiv w:val="1"/>
      <w:marLeft w:val="0"/>
      <w:marRight w:val="0"/>
      <w:marTop w:val="0"/>
      <w:marBottom w:val="0"/>
      <w:divBdr>
        <w:top w:val="none" w:sz="0" w:space="0" w:color="auto"/>
        <w:left w:val="none" w:sz="0" w:space="0" w:color="auto"/>
        <w:bottom w:val="none" w:sz="0" w:space="0" w:color="auto"/>
        <w:right w:val="none" w:sz="0" w:space="0" w:color="auto"/>
      </w:divBdr>
    </w:div>
    <w:div w:id="466356569">
      <w:bodyDiv w:val="1"/>
      <w:marLeft w:val="0"/>
      <w:marRight w:val="0"/>
      <w:marTop w:val="0"/>
      <w:marBottom w:val="0"/>
      <w:divBdr>
        <w:top w:val="none" w:sz="0" w:space="0" w:color="auto"/>
        <w:left w:val="none" w:sz="0" w:space="0" w:color="auto"/>
        <w:bottom w:val="none" w:sz="0" w:space="0" w:color="auto"/>
        <w:right w:val="none" w:sz="0" w:space="0" w:color="auto"/>
      </w:divBdr>
    </w:div>
    <w:div w:id="511603565">
      <w:bodyDiv w:val="1"/>
      <w:marLeft w:val="0"/>
      <w:marRight w:val="0"/>
      <w:marTop w:val="0"/>
      <w:marBottom w:val="0"/>
      <w:divBdr>
        <w:top w:val="none" w:sz="0" w:space="0" w:color="auto"/>
        <w:left w:val="none" w:sz="0" w:space="0" w:color="auto"/>
        <w:bottom w:val="none" w:sz="0" w:space="0" w:color="auto"/>
        <w:right w:val="none" w:sz="0" w:space="0" w:color="auto"/>
      </w:divBdr>
      <w:divsChild>
        <w:div w:id="172577278">
          <w:marLeft w:val="0"/>
          <w:marRight w:val="0"/>
          <w:marTop w:val="0"/>
          <w:marBottom w:val="0"/>
          <w:divBdr>
            <w:top w:val="none" w:sz="0" w:space="0" w:color="auto"/>
            <w:left w:val="none" w:sz="0" w:space="0" w:color="auto"/>
            <w:bottom w:val="none" w:sz="0" w:space="0" w:color="auto"/>
            <w:right w:val="none" w:sz="0" w:space="0" w:color="auto"/>
          </w:divBdr>
        </w:div>
        <w:div w:id="222717634">
          <w:marLeft w:val="0"/>
          <w:marRight w:val="0"/>
          <w:marTop w:val="0"/>
          <w:marBottom w:val="0"/>
          <w:divBdr>
            <w:top w:val="none" w:sz="0" w:space="0" w:color="auto"/>
            <w:left w:val="none" w:sz="0" w:space="0" w:color="auto"/>
            <w:bottom w:val="none" w:sz="0" w:space="0" w:color="auto"/>
            <w:right w:val="none" w:sz="0" w:space="0" w:color="auto"/>
          </w:divBdr>
        </w:div>
        <w:div w:id="1157187690">
          <w:marLeft w:val="0"/>
          <w:marRight w:val="0"/>
          <w:marTop w:val="0"/>
          <w:marBottom w:val="0"/>
          <w:divBdr>
            <w:top w:val="none" w:sz="0" w:space="0" w:color="auto"/>
            <w:left w:val="none" w:sz="0" w:space="0" w:color="auto"/>
            <w:bottom w:val="none" w:sz="0" w:space="0" w:color="auto"/>
            <w:right w:val="none" w:sz="0" w:space="0" w:color="auto"/>
          </w:divBdr>
        </w:div>
      </w:divsChild>
    </w:div>
    <w:div w:id="513229542">
      <w:bodyDiv w:val="1"/>
      <w:marLeft w:val="0"/>
      <w:marRight w:val="0"/>
      <w:marTop w:val="0"/>
      <w:marBottom w:val="0"/>
      <w:divBdr>
        <w:top w:val="none" w:sz="0" w:space="0" w:color="auto"/>
        <w:left w:val="none" w:sz="0" w:space="0" w:color="auto"/>
        <w:bottom w:val="none" w:sz="0" w:space="0" w:color="auto"/>
        <w:right w:val="none" w:sz="0" w:space="0" w:color="auto"/>
      </w:divBdr>
    </w:div>
    <w:div w:id="530654706">
      <w:bodyDiv w:val="1"/>
      <w:marLeft w:val="0"/>
      <w:marRight w:val="0"/>
      <w:marTop w:val="0"/>
      <w:marBottom w:val="0"/>
      <w:divBdr>
        <w:top w:val="none" w:sz="0" w:space="0" w:color="auto"/>
        <w:left w:val="none" w:sz="0" w:space="0" w:color="auto"/>
        <w:bottom w:val="none" w:sz="0" w:space="0" w:color="auto"/>
        <w:right w:val="none" w:sz="0" w:space="0" w:color="auto"/>
      </w:divBdr>
    </w:div>
    <w:div w:id="540358839">
      <w:bodyDiv w:val="1"/>
      <w:marLeft w:val="0"/>
      <w:marRight w:val="0"/>
      <w:marTop w:val="0"/>
      <w:marBottom w:val="0"/>
      <w:divBdr>
        <w:top w:val="none" w:sz="0" w:space="0" w:color="auto"/>
        <w:left w:val="none" w:sz="0" w:space="0" w:color="auto"/>
        <w:bottom w:val="none" w:sz="0" w:space="0" w:color="auto"/>
        <w:right w:val="none" w:sz="0" w:space="0" w:color="auto"/>
      </w:divBdr>
    </w:div>
    <w:div w:id="556822103">
      <w:bodyDiv w:val="1"/>
      <w:marLeft w:val="0"/>
      <w:marRight w:val="0"/>
      <w:marTop w:val="0"/>
      <w:marBottom w:val="0"/>
      <w:divBdr>
        <w:top w:val="none" w:sz="0" w:space="0" w:color="auto"/>
        <w:left w:val="none" w:sz="0" w:space="0" w:color="auto"/>
        <w:bottom w:val="none" w:sz="0" w:space="0" w:color="auto"/>
        <w:right w:val="none" w:sz="0" w:space="0" w:color="auto"/>
      </w:divBdr>
    </w:div>
    <w:div w:id="581985120">
      <w:bodyDiv w:val="1"/>
      <w:marLeft w:val="0"/>
      <w:marRight w:val="0"/>
      <w:marTop w:val="0"/>
      <w:marBottom w:val="0"/>
      <w:divBdr>
        <w:top w:val="none" w:sz="0" w:space="0" w:color="auto"/>
        <w:left w:val="none" w:sz="0" w:space="0" w:color="auto"/>
        <w:bottom w:val="none" w:sz="0" w:space="0" w:color="auto"/>
        <w:right w:val="none" w:sz="0" w:space="0" w:color="auto"/>
      </w:divBdr>
    </w:div>
    <w:div w:id="594675768">
      <w:bodyDiv w:val="1"/>
      <w:marLeft w:val="0"/>
      <w:marRight w:val="0"/>
      <w:marTop w:val="0"/>
      <w:marBottom w:val="0"/>
      <w:divBdr>
        <w:top w:val="none" w:sz="0" w:space="0" w:color="auto"/>
        <w:left w:val="none" w:sz="0" w:space="0" w:color="auto"/>
        <w:bottom w:val="none" w:sz="0" w:space="0" w:color="auto"/>
        <w:right w:val="none" w:sz="0" w:space="0" w:color="auto"/>
      </w:divBdr>
    </w:div>
    <w:div w:id="598441959">
      <w:bodyDiv w:val="1"/>
      <w:marLeft w:val="0"/>
      <w:marRight w:val="0"/>
      <w:marTop w:val="0"/>
      <w:marBottom w:val="0"/>
      <w:divBdr>
        <w:top w:val="none" w:sz="0" w:space="0" w:color="auto"/>
        <w:left w:val="none" w:sz="0" w:space="0" w:color="auto"/>
        <w:bottom w:val="none" w:sz="0" w:space="0" w:color="auto"/>
        <w:right w:val="none" w:sz="0" w:space="0" w:color="auto"/>
      </w:divBdr>
    </w:div>
    <w:div w:id="609825646">
      <w:bodyDiv w:val="1"/>
      <w:marLeft w:val="0"/>
      <w:marRight w:val="0"/>
      <w:marTop w:val="0"/>
      <w:marBottom w:val="0"/>
      <w:divBdr>
        <w:top w:val="none" w:sz="0" w:space="0" w:color="auto"/>
        <w:left w:val="none" w:sz="0" w:space="0" w:color="auto"/>
        <w:bottom w:val="none" w:sz="0" w:space="0" w:color="auto"/>
        <w:right w:val="none" w:sz="0" w:space="0" w:color="auto"/>
      </w:divBdr>
    </w:div>
    <w:div w:id="614214557">
      <w:bodyDiv w:val="1"/>
      <w:marLeft w:val="0"/>
      <w:marRight w:val="0"/>
      <w:marTop w:val="0"/>
      <w:marBottom w:val="0"/>
      <w:divBdr>
        <w:top w:val="none" w:sz="0" w:space="0" w:color="auto"/>
        <w:left w:val="none" w:sz="0" w:space="0" w:color="auto"/>
        <w:bottom w:val="none" w:sz="0" w:space="0" w:color="auto"/>
        <w:right w:val="none" w:sz="0" w:space="0" w:color="auto"/>
      </w:divBdr>
    </w:div>
    <w:div w:id="657078358">
      <w:bodyDiv w:val="1"/>
      <w:marLeft w:val="0"/>
      <w:marRight w:val="0"/>
      <w:marTop w:val="0"/>
      <w:marBottom w:val="0"/>
      <w:divBdr>
        <w:top w:val="none" w:sz="0" w:space="0" w:color="auto"/>
        <w:left w:val="none" w:sz="0" w:space="0" w:color="auto"/>
        <w:bottom w:val="none" w:sz="0" w:space="0" w:color="auto"/>
        <w:right w:val="none" w:sz="0" w:space="0" w:color="auto"/>
      </w:divBdr>
    </w:div>
    <w:div w:id="690495867">
      <w:bodyDiv w:val="1"/>
      <w:marLeft w:val="0"/>
      <w:marRight w:val="0"/>
      <w:marTop w:val="0"/>
      <w:marBottom w:val="0"/>
      <w:divBdr>
        <w:top w:val="none" w:sz="0" w:space="0" w:color="auto"/>
        <w:left w:val="none" w:sz="0" w:space="0" w:color="auto"/>
        <w:bottom w:val="none" w:sz="0" w:space="0" w:color="auto"/>
        <w:right w:val="none" w:sz="0" w:space="0" w:color="auto"/>
      </w:divBdr>
    </w:div>
    <w:div w:id="717977859">
      <w:bodyDiv w:val="1"/>
      <w:marLeft w:val="0"/>
      <w:marRight w:val="0"/>
      <w:marTop w:val="0"/>
      <w:marBottom w:val="0"/>
      <w:divBdr>
        <w:top w:val="none" w:sz="0" w:space="0" w:color="auto"/>
        <w:left w:val="none" w:sz="0" w:space="0" w:color="auto"/>
        <w:bottom w:val="none" w:sz="0" w:space="0" w:color="auto"/>
        <w:right w:val="none" w:sz="0" w:space="0" w:color="auto"/>
      </w:divBdr>
    </w:div>
    <w:div w:id="728923870">
      <w:bodyDiv w:val="1"/>
      <w:marLeft w:val="0"/>
      <w:marRight w:val="0"/>
      <w:marTop w:val="0"/>
      <w:marBottom w:val="0"/>
      <w:divBdr>
        <w:top w:val="none" w:sz="0" w:space="0" w:color="auto"/>
        <w:left w:val="none" w:sz="0" w:space="0" w:color="auto"/>
        <w:bottom w:val="none" w:sz="0" w:space="0" w:color="auto"/>
        <w:right w:val="none" w:sz="0" w:space="0" w:color="auto"/>
      </w:divBdr>
    </w:div>
    <w:div w:id="798842564">
      <w:bodyDiv w:val="1"/>
      <w:marLeft w:val="0"/>
      <w:marRight w:val="0"/>
      <w:marTop w:val="0"/>
      <w:marBottom w:val="0"/>
      <w:divBdr>
        <w:top w:val="none" w:sz="0" w:space="0" w:color="auto"/>
        <w:left w:val="none" w:sz="0" w:space="0" w:color="auto"/>
        <w:bottom w:val="none" w:sz="0" w:space="0" w:color="auto"/>
        <w:right w:val="none" w:sz="0" w:space="0" w:color="auto"/>
      </w:divBdr>
    </w:div>
    <w:div w:id="851380682">
      <w:bodyDiv w:val="1"/>
      <w:marLeft w:val="0"/>
      <w:marRight w:val="0"/>
      <w:marTop w:val="0"/>
      <w:marBottom w:val="0"/>
      <w:divBdr>
        <w:top w:val="none" w:sz="0" w:space="0" w:color="auto"/>
        <w:left w:val="none" w:sz="0" w:space="0" w:color="auto"/>
        <w:bottom w:val="none" w:sz="0" w:space="0" w:color="auto"/>
        <w:right w:val="none" w:sz="0" w:space="0" w:color="auto"/>
      </w:divBdr>
    </w:div>
    <w:div w:id="878396698">
      <w:bodyDiv w:val="1"/>
      <w:marLeft w:val="0"/>
      <w:marRight w:val="0"/>
      <w:marTop w:val="0"/>
      <w:marBottom w:val="0"/>
      <w:divBdr>
        <w:top w:val="none" w:sz="0" w:space="0" w:color="auto"/>
        <w:left w:val="none" w:sz="0" w:space="0" w:color="auto"/>
        <w:bottom w:val="none" w:sz="0" w:space="0" w:color="auto"/>
        <w:right w:val="none" w:sz="0" w:space="0" w:color="auto"/>
      </w:divBdr>
    </w:div>
    <w:div w:id="896086660">
      <w:bodyDiv w:val="1"/>
      <w:marLeft w:val="0"/>
      <w:marRight w:val="0"/>
      <w:marTop w:val="0"/>
      <w:marBottom w:val="0"/>
      <w:divBdr>
        <w:top w:val="none" w:sz="0" w:space="0" w:color="auto"/>
        <w:left w:val="none" w:sz="0" w:space="0" w:color="auto"/>
        <w:bottom w:val="none" w:sz="0" w:space="0" w:color="auto"/>
        <w:right w:val="none" w:sz="0" w:space="0" w:color="auto"/>
      </w:divBdr>
    </w:div>
    <w:div w:id="932012038">
      <w:bodyDiv w:val="1"/>
      <w:marLeft w:val="0"/>
      <w:marRight w:val="0"/>
      <w:marTop w:val="0"/>
      <w:marBottom w:val="0"/>
      <w:divBdr>
        <w:top w:val="none" w:sz="0" w:space="0" w:color="auto"/>
        <w:left w:val="none" w:sz="0" w:space="0" w:color="auto"/>
        <w:bottom w:val="none" w:sz="0" w:space="0" w:color="auto"/>
        <w:right w:val="none" w:sz="0" w:space="0" w:color="auto"/>
      </w:divBdr>
    </w:div>
    <w:div w:id="943269653">
      <w:bodyDiv w:val="1"/>
      <w:marLeft w:val="0"/>
      <w:marRight w:val="0"/>
      <w:marTop w:val="0"/>
      <w:marBottom w:val="0"/>
      <w:divBdr>
        <w:top w:val="none" w:sz="0" w:space="0" w:color="auto"/>
        <w:left w:val="none" w:sz="0" w:space="0" w:color="auto"/>
        <w:bottom w:val="none" w:sz="0" w:space="0" w:color="auto"/>
        <w:right w:val="none" w:sz="0" w:space="0" w:color="auto"/>
      </w:divBdr>
    </w:div>
    <w:div w:id="949582557">
      <w:bodyDiv w:val="1"/>
      <w:marLeft w:val="0"/>
      <w:marRight w:val="0"/>
      <w:marTop w:val="0"/>
      <w:marBottom w:val="0"/>
      <w:divBdr>
        <w:top w:val="none" w:sz="0" w:space="0" w:color="auto"/>
        <w:left w:val="none" w:sz="0" w:space="0" w:color="auto"/>
        <w:bottom w:val="none" w:sz="0" w:space="0" w:color="auto"/>
        <w:right w:val="none" w:sz="0" w:space="0" w:color="auto"/>
      </w:divBdr>
    </w:div>
    <w:div w:id="949819973">
      <w:bodyDiv w:val="1"/>
      <w:marLeft w:val="0"/>
      <w:marRight w:val="0"/>
      <w:marTop w:val="0"/>
      <w:marBottom w:val="0"/>
      <w:divBdr>
        <w:top w:val="none" w:sz="0" w:space="0" w:color="auto"/>
        <w:left w:val="none" w:sz="0" w:space="0" w:color="auto"/>
        <w:bottom w:val="none" w:sz="0" w:space="0" w:color="auto"/>
        <w:right w:val="none" w:sz="0" w:space="0" w:color="auto"/>
      </w:divBdr>
    </w:div>
    <w:div w:id="950473055">
      <w:bodyDiv w:val="1"/>
      <w:marLeft w:val="0"/>
      <w:marRight w:val="0"/>
      <w:marTop w:val="0"/>
      <w:marBottom w:val="0"/>
      <w:divBdr>
        <w:top w:val="none" w:sz="0" w:space="0" w:color="auto"/>
        <w:left w:val="none" w:sz="0" w:space="0" w:color="auto"/>
        <w:bottom w:val="none" w:sz="0" w:space="0" w:color="auto"/>
        <w:right w:val="none" w:sz="0" w:space="0" w:color="auto"/>
      </w:divBdr>
    </w:div>
    <w:div w:id="977952076">
      <w:bodyDiv w:val="1"/>
      <w:marLeft w:val="0"/>
      <w:marRight w:val="0"/>
      <w:marTop w:val="0"/>
      <w:marBottom w:val="0"/>
      <w:divBdr>
        <w:top w:val="none" w:sz="0" w:space="0" w:color="auto"/>
        <w:left w:val="none" w:sz="0" w:space="0" w:color="auto"/>
        <w:bottom w:val="none" w:sz="0" w:space="0" w:color="auto"/>
        <w:right w:val="none" w:sz="0" w:space="0" w:color="auto"/>
      </w:divBdr>
    </w:div>
    <w:div w:id="985860646">
      <w:bodyDiv w:val="1"/>
      <w:marLeft w:val="0"/>
      <w:marRight w:val="0"/>
      <w:marTop w:val="0"/>
      <w:marBottom w:val="0"/>
      <w:divBdr>
        <w:top w:val="none" w:sz="0" w:space="0" w:color="auto"/>
        <w:left w:val="none" w:sz="0" w:space="0" w:color="auto"/>
        <w:bottom w:val="none" w:sz="0" w:space="0" w:color="auto"/>
        <w:right w:val="none" w:sz="0" w:space="0" w:color="auto"/>
      </w:divBdr>
    </w:div>
    <w:div w:id="1012728642">
      <w:bodyDiv w:val="1"/>
      <w:marLeft w:val="0"/>
      <w:marRight w:val="0"/>
      <w:marTop w:val="0"/>
      <w:marBottom w:val="0"/>
      <w:divBdr>
        <w:top w:val="none" w:sz="0" w:space="0" w:color="auto"/>
        <w:left w:val="none" w:sz="0" w:space="0" w:color="auto"/>
        <w:bottom w:val="none" w:sz="0" w:space="0" w:color="auto"/>
        <w:right w:val="none" w:sz="0" w:space="0" w:color="auto"/>
      </w:divBdr>
    </w:div>
    <w:div w:id="1061171459">
      <w:bodyDiv w:val="1"/>
      <w:marLeft w:val="0"/>
      <w:marRight w:val="0"/>
      <w:marTop w:val="0"/>
      <w:marBottom w:val="0"/>
      <w:divBdr>
        <w:top w:val="none" w:sz="0" w:space="0" w:color="auto"/>
        <w:left w:val="none" w:sz="0" w:space="0" w:color="auto"/>
        <w:bottom w:val="none" w:sz="0" w:space="0" w:color="auto"/>
        <w:right w:val="none" w:sz="0" w:space="0" w:color="auto"/>
      </w:divBdr>
    </w:div>
    <w:div w:id="1087729480">
      <w:bodyDiv w:val="1"/>
      <w:marLeft w:val="0"/>
      <w:marRight w:val="0"/>
      <w:marTop w:val="0"/>
      <w:marBottom w:val="0"/>
      <w:divBdr>
        <w:top w:val="none" w:sz="0" w:space="0" w:color="auto"/>
        <w:left w:val="none" w:sz="0" w:space="0" w:color="auto"/>
        <w:bottom w:val="none" w:sz="0" w:space="0" w:color="auto"/>
        <w:right w:val="none" w:sz="0" w:space="0" w:color="auto"/>
      </w:divBdr>
    </w:div>
    <w:div w:id="1102070822">
      <w:bodyDiv w:val="1"/>
      <w:marLeft w:val="0"/>
      <w:marRight w:val="0"/>
      <w:marTop w:val="0"/>
      <w:marBottom w:val="0"/>
      <w:divBdr>
        <w:top w:val="none" w:sz="0" w:space="0" w:color="auto"/>
        <w:left w:val="none" w:sz="0" w:space="0" w:color="auto"/>
        <w:bottom w:val="none" w:sz="0" w:space="0" w:color="auto"/>
        <w:right w:val="none" w:sz="0" w:space="0" w:color="auto"/>
      </w:divBdr>
    </w:div>
    <w:div w:id="1150446285">
      <w:bodyDiv w:val="1"/>
      <w:marLeft w:val="0"/>
      <w:marRight w:val="0"/>
      <w:marTop w:val="0"/>
      <w:marBottom w:val="0"/>
      <w:divBdr>
        <w:top w:val="none" w:sz="0" w:space="0" w:color="auto"/>
        <w:left w:val="none" w:sz="0" w:space="0" w:color="auto"/>
        <w:bottom w:val="none" w:sz="0" w:space="0" w:color="auto"/>
        <w:right w:val="none" w:sz="0" w:space="0" w:color="auto"/>
      </w:divBdr>
    </w:div>
    <w:div w:id="1167359134">
      <w:bodyDiv w:val="1"/>
      <w:marLeft w:val="0"/>
      <w:marRight w:val="0"/>
      <w:marTop w:val="0"/>
      <w:marBottom w:val="0"/>
      <w:divBdr>
        <w:top w:val="none" w:sz="0" w:space="0" w:color="auto"/>
        <w:left w:val="none" w:sz="0" w:space="0" w:color="auto"/>
        <w:bottom w:val="none" w:sz="0" w:space="0" w:color="auto"/>
        <w:right w:val="none" w:sz="0" w:space="0" w:color="auto"/>
      </w:divBdr>
    </w:div>
    <w:div w:id="1202323721">
      <w:bodyDiv w:val="1"/>
      <w:marLeft w:val="0"/>
      <w:marRight w:val="0"/>
      <w:marTop w:val="0"/>
      <w:marBottom w:val="0"/>
      <w:divBdr>
        <w:top w:val="none" w:sz="0" w:space="0" w:color="auto"/>
        <w:left w:val="none" w:sz="0" w:space="0" w:color="auto"/>
        <w:bottom w:val="none" w:sz="0" w:space="0" w:color="auto"/>
        <w:right w:val="none" w:sz="0" w:space="0" w:color="auto"/>
      </w:divBdr>
    </w:div>
    <w:div w:id="1247887494">
      <w:bodyDiv w:val="1"/>
      <w:marLeft w:val="0"/>
      <w:marRight w:val="0"/>
      <w:marTop w:val="0"/>
      <w:marBottom w:val="0"/>
      <w:divBdr>
        <w:top w:val="none" w:sz="0" w:space="0" w:color="auto"/>
        <w:left w:val="none" w:sz="0" w:space="0" w:color="auto"/>
        <w:bottom w:val="none" w:sz="0" w:space="0" w:color="auto"/>
        <w:right w:val="none" w:sz="0" w:space="0" w:color="auto"/>
      </w:divBdr>
    </w:div>
    <w:div w:id="1265501353">
      <w:bodyDiv w:val="1"/>
      <w:marLeft w:val="0"/>
      <w:marRight w:val="0"/>
      <w:marTop w:val="0"/>
      <w:marBottom w:val="0"/>
      <w:divBdr>
        <w:top w:val="none" w:sz="0" w:space="0" w:color="auto"/>
        <w:left w:val="none" w:sz="0" w:space="0" w:color="auto"/>
        <w:bottom w:val="none" w:sz="0" w:space="0" w:color="auto"/>
        <w:right w:val="none" w:sz="0" w:space="0" w:color="auto"/>
      </w:divBdr>
    </w:div>
    <w:div w:id="1271472147">
      <w:bodyDiv w:val="1"/>
      <w:marLeft w:val="0"/>
      <w:marRight w:val="0"/>
      <w:marTop w:val="0"/>
      <w:marBottom w:val="0"/>
      <w:divBdr>
        <w:top w:val="none" w:sz="0" w:space="0" w:color="auto"/>
        <w:left w:val="none" w:sz="0" w:space="0" w:color="auto"/>
        <w:bottom w:val="none" w:sz="0" w:space="0" w:color="auto"/>
        <w:right w:val="none" w:sz="0" w:space="0" w:color="auto"/>
      </w:divBdr>
    </w:div>
    <w:div w:id="1360352588">
      <w:bodyDiv w:val="1"/>
      <w:marLeft w:val="0"/>
      <w:marRight w:val="0"/>
      <w:marTop w:val="0"/>
      <w:marBottom w:val="0"/>
      <w:divBdr>
        <w:top w:val="none" w:sz="0" w:space="0" w:color="auto"/>
        <w:left w:val="none" w:sz="0" w:space="0" w:color="auto"/>
        <w:bottom w:val="none" w:sz="0" w:space="0" w:color="auto"/>
        <w:right w:val="none" w:sz="0" w:space="0" w:color="auto"/>
      </w:divBdr>
    </w:div>
    <w:div w:id="1363558889">
      <w:bodyDiv w:val="1"/>
      <w:marLeft w:val="0"/>
      <w:marRight w:val="0"/>
      <w:marTop w:val="0"/>
      <w:marBottom w:val="0"/>
      <w:divBdr>
        <w:top w:val="none" w:sz="0" w:space="0" w:color="auto"/>
        <w:left w:val="none" w:sz="0" w:space="0" w:color="auto"/>
        <w:bottom w:val="none" w:sz="0" w:space="0" w:color="auto"/>
        <w:right w:val="none" w:sz="0" w:space="0" w:color="auto"/>
      </w:divBdr>
    </w:div>
    <w:div w:id="1391422192">
      <w:bodyDiv w:val="1"/>
      <w:marLeft w:val="0"/>
      <w:marRight w:val="0"/>
      <w:marTop w:val="0"/>
      <w:marBottom w:val="0"/>
      <w:divBdr>
        <w:top w:val="none" w:sz="0" w:space="0" w:color="auto"/>
        <w:left w:val="none" w:sz="0" w:space="0" w:color="auto"/>
        <w:bottom w:val="none" w:sz="0" w:space="0" w:color="auto"/>
        <w:right w:val="none" w:sz="0" w:space="0" w:color="auto"/>
      </w:divBdr>
      <w:divsChild>
        <w:div w:id="784740267">
          <w:marLeft w:val="0"/>
          <w:marRight w:val="0"/>
          <w:marTop w:val="15"/>
          <w:marBottom w:val="0"/>
          <w:divBdr>
            <w:top w:val="single" w:sz="48" w:space="0" w:color="auto"/>
            <w:left w:val="single" w:sz="48" w:space="0" w:color="auto"/>
            <w:bottom w:val="single" w:sz="48" w:space="0" w:color="auto"/>
            <w:right w:val="single" w:sz="48" w:space="0" w:color="auto"/>
          </w:divBdr>
          <w:divsChild>
            <w:div w:id="1785032086">
              <w:marLeft w:val="0"/>
              <w:marRight w:val="0"/>
              <w:marTop w:val="0"/>
              <w:marBottom w:val="0"/>
              <w:divBdr>
                <w:top w:val="none" w:sz="0" w:space="0" w:color="auto"/>
                <w:left w:val="none" w:sz="0" w:space="0" w:color="auto"/>
                <w:bottom w:val="none" w:sz="0" w:space="0" w:color="auto"/>
                <w:right w:val="none" w:sz="0" w:space="0" w:color="auto"/>
              </w:divBdr>
              <w:divsChild>
                <w:div w:id="13382701">
                  <w:marLeft w:val="0"/>
                  <w:marRight w:val="0"/>
                  <w:marTop w:val="0"/>
                  <w:marBottom w:val="0"/>
                  <w:divBdr>
                    <w:top w:val="none" w:sz="0" w:space="0" w:color="auto"/>
                    <w:left w:val="none" w:sz="0" w:space="0" w:color="auto"/>
                    <w:bottom w:val="none" w:sz="0" w:space="0" w:color="auto"/>
                    <w:right w:val="none" w:sz="0" w:space="0" w:color="auto"/>
                  </w:divBdr>
                </w:div>
                <w:div w:id="62072976">
                  <w:marLeft w:val="0"/>
                  <w:marRight w:val="0"/>
                  <w:marTop w:val="0"/>
                  <w:marBottom w:val="0"/>
                  <w:divBdr>
                    <w:top w:val="none" w:sz="0" w:space="0" w:color="auto"/>
                    <w:left w:val="none" w:sz="0" w:space="0" w:color="auto"/>
                    <w:bottom w:val="none" w:sz="0" w:space="0" w:color="auto"/>
                    <w:right w:val="none" w:sz="0" w:space="0" w:color="auto"/>
                  </w:divBdr>
                </w:div>
                <w:div w:id="149833038">
                  <w:marLeft w:val="0"/>
                  <w:marRight w:val="0"/>
                  <w:marTop w:val="0"/>
                  <w:marBottom w:val="0"/>
                  <w:divBdr>
                    <w:top w:val="none" w:sz="0" w:space="0" w:color="auto"/>
                    <w:left w:val="none" w:sz="0" w:space="0" w:color="auto"/>
                    <w:bottom w:val="none" w:sz="0" w:space="0" w:color="auto"/>
                    <w:right w:val="none" w:sz="0" w:space="0" w:color="auto"/>
                  </w:divBdr>
                </w:div>
                <w:div w:id="498227633">
                  <w:marLeft w:val="0"/>
                  <w:marRight w:val="0"/>
                  <w:marTop w:val="0"/>
                  <w:marBottom w:val="0"/>
                  <w:divBdr>
                    <w:top w:val="none" w:sz="0" w:space="0" w:color="auto"/>
                    <w:left w:val="none" w:sz="0" w:space="0" w:color="auto"/>
                    <w:bottom w:val="none" w:sz="0" w:space="0" w:color="auto"/>
                    <w:right w:val="none" w:sz="0" w:space="0" w:color="auto"/>
                  </w:divBdr>
                </w:div>
                <w:div w:id="663631697">
                  <w:marLeft w:val="0"/>
                  <w:marRight w:val="0"/>
                  <w:marTop w:val="0"/>
                  <w:marBottom w:val="0"/>
                  <w:divBdr>
                    <w:top w:val="none" w:sz="0" w:space="0" w:color="auto"/>
                    <w:left w:val="none" w:sz="0" w:space="0" w:color="auto"/>
                    <w:bottom w:val="none" w:sz="0" w:space="0" w:color="auto"/>
                    <w:right w:val="none" w:sz="0" w:space="0" w:color="auto"/>
                  </w:divBdr>
                </w:div>
                <w:div w:id="790170167">
                  <w:marLeft w:val="0"/>
                  <w:marRight w:val="0"/>
                  <w:marTop w:val="0"/>
                  <w:marBottom w:val="0"/>
                  <w:divBdr>
                    <w:top w:val="none" w:sz="0" w:space="0" w:color="auto"/>
                    <w:left w:val="none" w:sz="0" w:space="0" w:color="auto"/>
                    <w:bottom w:val="none" w:sz="0" w:space="0" w:color="auto"/>
                    <w:right w:val="none" w:sz="0" w:space="0" w:color="auto"/>
                  </w:divBdr>
                </w:div>
                <w:div w:id="874580065">
                  <w:marLeft w:val="0"/>
                  <w:marRight w:val="0"/>
                  <w:marTop w:val="0"/>
                  <w:marBottom w:val="0"/>
                  <w:divBdr>
                    <w:top w:val="none" w:sz="0" w:space="0" w:color="auto"/>
                    <w:left w:val="none" w:sz="0" w:space="0" w:color="auto"/>
                    <w:bottom w:val="none" w:sz="0" w:space="0" w:color="auto"/>
                    <w:right w:val="none" w:sz="0" w:space="0" w:color="auto"/>
                  </w:divBdr>
                </w:div>
                <w:div w:id="1015501195">
                  <w:marLeft w:val="0"/>
                  <w:marRight w:val="0"/>
                  <w:marTop w:val="0"/>
                  <w:marBottom w:val="0"/>
                  <w:divBdr>
                    <w:top w:val="none" w:sz="0" w:space="0" w:color="auto"/>
                    <w:left w:val="none" w:sz="0" w:space="0" w:color="auto"/>
                    <w:bottom w:val="none" w:sz="0" w:space="0" w:color="auto"/>
                    <w:right w:val="none" w:sz="0" w:space="0" w:color="auto"/>
                  </w:divBdr>
                </w:div>
                <w:div w:id="1035235996">
                  <w:marLeft w:val="0"/>
                  <w:marRight w:val="0"/>
                  <w:marTop w:val="0"/>
                  <w:marBottom w:val="0"/>
                  <w:divBdr>
                    <w:top w:val="none" w:sz="0" w:space="0" w:color="auto"/>
                    <w:left w:val="none" w:sz="0" w:space="0" w:color="auto"/>
                    <w:bottom w:val="none" w:sz="0" w:space="0" w:color="auto"/>
                    <w:right w:val="none" w:sz="0" w:space="0" w:color="auto"/>
                  </w:divBdr>
                </w:div>
                <w:div w:id="1142964956">
                  <w:marLeft w:val="0"/>
                  <w:marRight w:val="0"/>
                  <w:marTop w:val="0"/>
                  <w:marBottom w:val="0"/>
                  <w:divBdr>
                    <w:top w:val="none" w:sz="0" w:space="0" w:color="auto"/>
                    <w:left w:val="none" w:sz="0" w:space="0" w:color="auto"/>
                    <w:bottom w:val="none" w:sz="0" w:space="0" w:color="auto"/>
                    <w:right w:val="none" w:sz="0" w:space="0" w:color="auto"/>
                  </w:divBdr>
                </w:div>
                <w:div w:id="1537230861">
                  <w:marLeft w:val="0"/>
                  <w:marRight w:val="0"/>
                  <w:marTop w:val="0"/>
                  <w:marBottom w:val="0"/>
                  <w:divBdr>
                    <w:top w:val="none" w:sz="0" w:space="0" w:color="auto"/>
                    <w:left w:val="none" w:sz="0" w:space="0" w:color="auto"/>
                    <w:bottom w:val="none" w:sz="0" w:space="0" w:color="auto"/>
                    <w:right w:val="none" w:sz="0" w:space="0" w:color="auto"/>
                  </w:divBdr>
                </w:div>
                <w:div w:id="1590849997">
                  <w:marLeft w:val="0"/>
                  <w:marRight w:val="0"/>
                  <w:marTop w:val="0"/>
                  <w:marBottom w:val="0"/>
                  <w:divBdr>
                    <w:top w:val="none" w:sz="0" w:space="0" w:color="auto"/>
                    <w:left w:val="none" w:sz="0" w:space="0" w:color="auto"/>
                    <w:bottom w:val="none" w:sz="0" w:space="0" w:color="auto"/>
                    <w:right w:val="none" w:sz="0" w:space="0" w:color="auto"/>
                  </w:divBdr>
                </w:div>
                <w:div w:id="1594126792">
                  <w:marLeft w:val="0"/>
                  <w:marRight w:val="0"/>
                  <w:marTop w:val="0"/>
                  <w:marBottom w:val="0"/>
                  <w:divBdr>
                    <w:top w:val="none" w:sz="0" w:space="0" w:color="auto"/>
                    <w:left w:val="none" w:sz="0" w:space="0" w:color="auto"/>
                    <w:bottom w:val="none" w:sz="0" w:space="0" w:color="auto"/>
                    <w:right w:val="none" w:sz="0" w:space="0" w:color="auto"/>
                  </w:divBdr>
                </w:div>
                <w:div w:id="1916238727">
                  <w:marLeft w:val="0"/>
                  <w:marRight w:val="0"/>
                  <w:marTop w:val="0"/>
                  <w:marBottom w:val="0"/>
                  <w:divBdr>
                    <w:top w:val="none" w:sz="0" w:space="0" w:color="auto"/>
                    <w:left w:val="none" w:sz="0" w:space="0" w:color="auto"/>
                    <w:bottom w:val="none" w:sz="0" w:space="0" w:color="auto"/>
                    <w:right w:val="none" w:sz="0" w:space="0" w:color="auto"/>
                  </w:divBdr>
                </w:div>
                <w:div w:id="20639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57301">
          <w:marLeft w:val="0"/>
          <w:marRight w:val="0"/>
          <w:marTop w:val="15"/>
          <w:marBottom w:val="0"/>
          <w:divBdr>
            <w:top w:val="single" w:sz="48" w:space="0" w:color="auto"/>
            <w:left w:val="single" w:sz="48" w:space="0" w:color="auto"/>
            <w:bottom w:val="single" w:sz="48" w:space="0" w:color="auto"/>
            <w:right w:val="single" w:sz="48" w:space="0" w:color="auto"/>
          </w:divBdr>
          <w:divsChild>
            <w:div w:id="1952975344">
              <w:marLeft w:val="0"/>
              <w:marRight w:val="0"/>
              <w:marTop w:val="0"/>
              <w:marBottom w:val="0"/>
              <w:divBdr>
                <w:top w:val="none" w:sz="0" w:space="0" w:color="auto"/>
                <w:left w:val="none" w:sz="0" w:space="0" w:color="auto"/>
                <w:bottom w:val="none" w:sz="0" w:space="0" w:color="auto"/>
                <w:right w:val="none" w:sz="0" w:space="0" w:color="auto"/>
              </w:divBdr>
              <w:divsChild>
                <w:div w:id="24600231">
                  <w:marLeft w:val="0"/>
                  <w:marRight w:val="0"/>
                  <w:marTop w:val="0"/>
                  <w:marBottom w:val="0"/>
                  <w:divBdr>
                    <w:top w:val="none" w:sz="0" w:space="0" w:color="auto"/>
                    <w:left w:val="none" w:sz="0" w:space="0" w:color="auto"/>
                    <w:bottom w:val="none" w:sz="0" w:space="0" w:color="auto"/>
                    <w:right w:val="none" w:sz="0" w:space="0" w:color="auto"/>
                  </w:divBdr>
                </w:div>
                <w:div w:id="749085863">
                  <w:marLeft w:val="0"/>
                  <w:marRight w:val="0"/>
                  <w:marTop w:val="0"/>
                  <w:marBottom w:val="0"/>
                  <w:divBdr>
                    <w:top w:val="none" w:sz="0" w:space="0" w:color="auto"/>
                    <w:left w:val="none" w:sz="0" w:space="0" w:color="auto"/>
                    <w:bottom w:val="none" w:sz="0" w:space="0" w:color="auto"/>
                    <w:right w:val="none" w:sz="0" w:space="0" w:color="auto"/>
                  </w:divBdr>
                </w:div>
                <w:div w:id="1054353460">
                  <w:marLeft w:val="0"/>
                  <w:marRight w:val="0"/>
                  <w:marTop w:val="0"/>
                  <w:marBottom w:val="0"/>
                  <w:divBdr>
                    <w:top w:val="none" w:sz="0" w:space="0" w:color="auto"/>
                    <w:left w:val="none" w:sz="0" w:space="0" w:color="auto"/>
                    <w:bottom w:val="none" w:sz="0" w:space="0" w:color="auto"/>
                    <w:right w:val="none" w:sz="0" w:space="0" w:color="auto"/>
                  </w:divBdr>
                </w:div>
                <w:div w:id="1178885456">
                  <w:marLeft w:val="0"/>
                  <w:marRight w:val="0"/>
                  <w:marTop w:val="0"/>
                  <w:marBottom w:val="0"/>
                  <w:divBdr>
                    <w:top w:val="none" w:sz="0" w:space="0" w:color="auto"/>
                    <w:left w:val="none" w:sz="0" w:space="0" w:color="auto"/>
                    <w:bottom w:val="none" w:sz="0" w:space="0" w:color="auto"/>
                    <w:right w:val="none" w:sz="0" w:space="0" w:color="auto"/>
                  </w:divBdr>
                </w:div>
                <w:div w:id="1639261013">
                  <w:marLeft w:val="0"/>
                  <w:marRight w:val="0"/>
                  <w:marTop w:val="0"/>
                  <w:marBottom w:val="0"/>
                  <w:divBdr>
                    <w:top w:val="none" w:sz="0" w:space="0" w:color="auto"/>
                    <w:left w:val="none" w:sz="0" w:space="0" w:color="auto"/>
                    <w:bottom w:val="none" w:sz="0" w:space="0" w:color="auto"/>
                    <w:right w:val="none" w:sz="0" w:space="0" w:color="auto"/>
                  </w:divBdr>
                </w:div>
                <w:div w:id="183313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79157">
      <w:bodyDiv w:val="1"/>
      <w:marLeft w:val="0"/>
      <w:marRight w:val="0"/>
      <w:marTop w:val="0"/>
      <w:marBottom w:val="0"/>
      <w:divBdr>
        <w:top w:val="none" w:sz="0" w:space="0" w:color="auto"/>
        <w:left w:val="none" w:sz="0" w:space="0" w:color="auto"/>
        <w:bottom w:val="none" w:sz="0" w:space="0" w:color="auto"/>
        <w:right w:val="none" w:sz="0" w:space="0" w:color="auto"/>
      </w:divBdr>
    </w:div>
    <w:div w:id="1406534062">
      <w:bodyDiv w:val="1"/>
      <w:marLeft w:val="0"/>
      <w:marRight w:val="0"/>
      <w:marTop w:val="0"/>
      <w:marBottom w:val="0"/>
      <w:divBdr>
        <w:top w:val="none" w:sz="0" w:space="0" w:color="auto"/>
        <w:left w:val="none" w:sz="0" w:space="0" w:color="auto"/>
        <w:bottom w:val="none" w:sz="0" w:space="0" w:color="auto"/>
        <w:right w:val="none" w:sz="0" w:space="0" w:color="auto"/>
      </w:divBdr>
    </w:div>
    <w:div w:id="1502355372">
      <w:bodyDiv w:val="1"/>
      <w:marLeft w:val="0"/>
      <w:marRight w:val="0"/>
      <w:marTop w:val="0"/>
      <w:marBottom w:val="0"/>
      <w:divBdr>
        <w:top w:val="none" w:sz="0" w:space="0" w:color="auto"/>
        <w:left w:val="none" w:sz="0" w:space="0" w:color="auto"/>
        <w:bottom w:val="none" w:sz="0" w:space="0" w:color="auto"/>
        <w:right w:val="none" w:sz="0" w:space="0" w:color="auto"/>
      </w:divBdr>
    </w:div>
    <w:div w:id="1512574089">
      <w:bodyDiv w:val="1"/>
      <w:marLeft w:val="0"/>
      <w:marRight w:val="0"/>
      <w:marTop w:val="0"/>
      <w:marBottom w:val="0"/>
      <w:divBdr>
        <w:top w:val="none" w:sz="0" w:space="0" w:color="auto"/>
        <w:left w:val="none" w:sz="0" w:space="0" w:color="auto"/>
        <w:bottom w:val="none" w:sz="0" w:space="0" w:color="auto"/>
        <w:right w:val="none" w:sz="0" w:space="0" w:color="auto"/>
      </w:divBdr>
    </w:div>
    <w:div w:id="1531798645">
      <w:bodyDiv w:val="1"/>
      <w:marLeft w:val="0"/>
      <w:marRight w:val="0"/>
      <w:marTop w:val="0"/>
      <w:marBottom w:val="0"/>
      <w:divBdr>
        <w:top w:val="none" w:sz="0" w:space="0" w:color="auto"/>
        <w:left w:val="none" w:sz="0" w:space="0" w:color="auto"/>
        <w:bottom w:val="none" w:sz="0" w:space="0" w:color="auto"/>
        <w:right w:val="none" w:sz="0" w:space="0" w:color="auto"/>
      </w:divBdr>
    </w:div>
    <w:div w:id="1537085063">
      <w:bodyDiv w:val="1"/>
      <w:marLeft w:val="0"/>
      <w:marRight w:val="0"/>
      <w:marTop w:val="0"/>
      <w:marBottom w:val="0"/>
      <w:divBdr>
        <w:top w:val="none" w:sz="0" w:space="0" w:color="auto"/>
        <w:left w:val="none" w:sz="0" w:space="0" w:color="auto"/>
        <w:bottom w:val="none" w:sz="0" w:space="0" w:color="auto"/>
        <w:right w:val="none" w:sz="0" w:space="0" w:color="auto"/>
      </w:divBdr>
    </w:div>
    <w:div w:id="1569614291">
      <w:bodyDiv w:val="1"/>
      <w:marLeft w:val="0"/>
      <w:marRight w:val="0"/>
      <w:marTop w:val="0"/>
      <w:marBottom w:val="0"/>
      <w:divBdr>
        <w:top w:val="none" w:sz="0" w:space="0" w:color="auto"/>
        <w:left w:val="none" w:sz="0" w:space="0" w:color="auto"/>
        <w:bottom w:val="none" w:sz="0" w:space="0" w:color="auto"/>
        <w:right w:val="none" w:sz="0" w:space="0" w:color="auto"/>
      </w:divBdr>
    </w:div>
    <w:div w:id="1602487453">
      <w:bodyDiv w:val="1"/>
      <w:marLeft w:val="0"/>
      <w:marRight w:val="0"/>
      <w:marTop w:val="0"/>
      <w:marBottom w:val="0"/>
      <w:divBdr>
        <w:top w:val="none" w:sz="0" w:space="0" w:color="auto"/>
        <w:left w:val="none" w:sz="0" w:space="0" w:color="auto"/>
        <w:bottom w:val="none" w:sz="0" w:space="0" w:color="auto"/>
        <w:right w:val="none" w:sz="0" w:space="0" w:color="auto"/>
      </w:divBdr>
    </w:div>
    <w:div w:id="1640647819">
      <w:bodyDiv w:val="1"/>
      <w:marLeft w:val="0"/>
      <w:marRight w:val="0"/>
      <w:marTop w:val="0"/>
      <w:marBottom w:val="0"/>
      <w:divBdr>
        <w:top w:val="none" w:sz="0" w:space="0" w:color="auto"/>
        <w:left w:val="none" w:sz="0" w:space="0" w:color="auto"/>
        <w:bottom w:val="none" w:sz="0" w:space="0" w:color="auto"/>
        <w:right w:val="none" w:sz="0" w:space="0" w:color="auto"/>
      </w:divBdr>
    </w:div>
    <w:div w:id="1662464667">
      <w:bodyDiv w:val="1"/>
      <w:marLeft w:val="0"/>
      <w:marRight w:val="0"/>
      <w:marTop w:val="0"/>
      <w:marBottom w:val="0"/>
      <w:divBdr>
        <w:top w:val="none" w:sz="0" w:space="0" w:color="auto"/>
        <w:left w:val="none" w:sz="0" w:space="0" w:color="auto"/>
        <w:bottom w:val="none" w:sz="0" w:space="0" w:color="auto"/>
        <w:right w:val="none" w:sz="0" w:space="0" w:color="auto"/>
      </w:divBdr>
    </w:div>
    <w:div w:id="1814180665">
      <w:bodyDiv w:val="1"/>
      <w:marLeft w:val="0"/>
      <w:marRight w:val="0"/>
      <w:marTop w:val="0"/>
      <w:marBottom w:val="0"/>
      <w:divBdr>
        <w:top w:val="none" w:sz="0" w:space="0" w:color="auto"/>
        <w:left w:val="none" w:sz="0" w:space="0" w:color="auto"/>
        <w:bottom w:val="none" w:sz="0" w:space="0" w:color="auto"/>
        <w:right w:val="none" w:sz="0" w:space="0" w:color="auto"/>
      </w:divBdr>
    </w:div>
    <w:div w:id="1815828628">
      <w:bodyDiv w:val="1"/>
      <w:marLeft w:val="0"/>
      <w:marRight w:val="0"/>
      <w:marTop w:val="0"/>
      <w:marBottom w:val="0"/>
      <w:divBdr>
        <w:top w:val="none" w:sz="0" w:space="0" w:color="auto"/>
        <w:left w:val="none" w:sz="0" w:space="0" w:color="auto"/>
        <w:bottom w:val="none" w:sz="0" w:space="0" w:color="auto"/>
        <w:right w:val="none" w:sz="0" w:space="0" w:color="auto"/>
      </w:divBdr>
    </w:div>
    <w:div w:id="1820152857">
      <w:bodyDiv w:val="1"/>
      <w:marLeft w:val="0"/>
      <w:marRight w:val="0"/>
      <w:marTop w:val="0"/>
      <w:marBottom w:val="0"/>
      <w:divBdr>
        <w:top w:val="none" w:sz="0" w:space="0" w:color="auto"/>
        <w:left w:val="none" w:sz="0" w:space="0" w:color="auto"/>
        <w:bottom w:val="none" w:sz="0" w:space="0" w:color="auto"/>
        <w:right w:val="none" w:sz="0" w:space="0" w:color="auto"/>
      </w:divBdr>
    </w:div>
    <w:div w:id="1881626709">
      <w:bodyDiv w:val="1"/>
      <w:marLeft w:val="0"/>
      <w:marRight w:val="0"/>
      <w:marTop w:val="0"/>
      <w:marBottom w:val="0"/>
      <w:divBdr>
        <w:top w:val="none" w:sz="0" w:space="0" w:color="auto"/>
        <w:left w:val="none" w:sz="0" w:space="0" w:color="auto"/>
        <w:bottom w:val="none" w:sz="0" w:space="0" w:color="auto"/>
        <w:right w:val="none" w:sz="0" w:space="0" w:color="auto"/>
      </w:divBdr>
    </w:div>
    <w:div w:id="1884946531">
      <w:bodyDiv w:val="1"/>
      <w:marLeft w:val="0"/>
      <w:marRight w:val="0"/>
      <w:marTop w:val="0"/>
      <w:marBottom w:val="0"/>
      <w:divBdr>
        <w:top w:val="none" w:sz="0" w:space="0" w:color="auto"/>
        <w:left w:val="none" w:sz="0" w:space="0" w:color="auto"/>
        <w:bottom w:val="none" w:sz="0" w:space="0" w:color="auto"/>
        <w:right w:val="none" w:sz="0" w:space="0" w:color="auto"/>
      </w:divBdr>
    </w:div>
    <w:div w:id="1896774787">
      <w:bodyDiv w:val="1"/>
      <w:marLeft w:val="0"/>
      <w:marRight w:val="0"/>
      <w:marTop w:val="0"/>
      <w:marBottom w:val="0"/>
      <w:divBdr>
        <w:top w:val="none" w:sz="0" w:space="0" w:color="auto"/>
        <w:left w:val="none" w:sz="0" w:space="0" w:color="auto"/>
        <w:bottom w:val="none" w:sz="0" w:space="0" w:color="auto"/>
        <w:right w:val="none" w:sz="0" w:space="0" w:color="auto"/>
      </w:divBdr>
    </w:div>
    <w:div w:id="1907716169">
      <w:bodyDiv w:val="1"/>
      <w:marLeft w:val="0"/>
      <w:marRight w:val="0"/>
      <w:marTop w:val="0"/>
      <w:marBottom w:val="0"/>
      <w:divBdr>
        <w:top w:val="none" w:sz="0" w:space="0" w:color="auto"/>
        <w:left w:val="none" w:sz="0" w:space="0" w:color="auto"/>
        <w:bottom w:val="none" w:sz="0" w:space="0" w:color="auto"/>
        <w:right w:val="none" w:sz="0" w:space="0" w:color="auto"/>
      </w:divBdr>
    </w:div>
    <w:div w:id="1911185257">
      <w:bodyDiv w:val="1"/>
      <w:marLeft w:val="0"/>
      <w:marRight w:val="0"/>
      <w:marTop w:val="0"/>
      <w:marBottom w:val="0"/>
      <w:divBdr>
        <w:top w:val="none" w:sz="0" w:space="0" w:color="auto"/>
        <w:left w:val="none" w:sz="0" w:space="0" w:color="auto"/>
        <w:bottom w:val="none" w:sz="0" w:space="0" w:color="auto"/>
        <w:right w:val="none" w:sz="0" w:space="0" w:color="auto"/>
      </w:divBdr>
    </w:div>
    <w:div w:id="1919485853">
      <w:bodyDiv w:val="1"/>
      <w:marLeft w:val="0"/>
      <w:marRight w:val="0"/>
      <w:marTop w:val="0"/>
      <w:marBottom w:val="0"/>
      <w:divBdr>
        <w:top w:val="none" w:sz="0" w:space="0" w:color="auto"/>
        <w:left w:val="none" w:sz="0" w:space="0" w:color="auto"/>
        <w:bottom w:val="none" w:sz="0" w:space="0" w:color="auto"/>
        <w:right w:val="none" w:sz="0" w:space="0" w:color="auto"/>
      </w:divBdr>
    </w:div>
    <w:div w:id="1979218323">
      <w:bodyDiv w:val="1"/>
      <w:marLeft w:val="0"/>
      <w:marRight w:val="0"/>
      <w:marTop w:val="0"/>
      <w:marBottom w:val="0"/>
      <w:divBdr>
        <w:top w:val="none" w:sz="0" w:space="0" w:color="auto"/>
        <w:left w:val="none" w:sz="0" w:space="0" w:color="auto"/>
        <w:bottom w:val="none" w:sz="0" w:space="0" w:color="auto"/>
        <w:right w:val="none" w:sz="0" w:space="0" w:color="auto"/>
      </w:divBdr>
    </w:div>
    <w:div w:id="1991670423">
      <w:bodyDiv w:val="1"/>
      <w:marLeft w:val="0"/>
      <w:marRight w:val="0"/>
      <w:marTop w:val="0"/>
      <w:marBottom w:val="0"/>
      <w:divBdr>
        <w:top w:val="none" w:sz="0" w:space="0" w:color="auto"/>
        <w:left w:val="none" w:sz="0" w:space="0" w:color="auto"/>
        <w:bottom w:val="none" w:sz="0" w:space="0" w:color="auto"/>
        <w:right w:val="none" w:sz="0" w:space="0" w:color="auto"/>
      </w:divBdr>
    </w:div>
    <w:div w:id="2001807653">
      <w:bodyDiv w:val="1"/>
      <w:marLeft w:val="0"/>
      <w:marRight w:val="0"/>
      <w:marTop w:val="0"/>
      <w:marBottom w:val="0"/>
      <w:divBdr>
        <w:top w:val="none" w:sz="0" w:space="0" w:color="auto"/>
        <w:left w:val="none" w:sz="0" w:space="0" w:color="auto"/>
        <w:bottom w:val="none" w:sz="0" w:space="0" w:color="auto"/>
        <w:right w:val="none" w:sz="0" w:space="0" w:color="auto"/>
      </w:divBdr>
    </w:div>
    <w:div w:id="2024430973">
      <w:bodyDiv w:val="1"/>
      <w:marLeft w:val="0"/>
      <w:marRight w:val="0"/>
      <w:marTop w:val="0"/>
      <w:marBottom w:val="0"/>
      <w:divBdr>
        <w:top w:val="none" w:sz="0" w:space="0" w:color="auto"/>
        <w:left w:val="none" w:sz="0" w:space="0" w:color="auto"/>
        <w:bottom w:val="none" w:sz="0" w:space="0" w:color="auto"/>
        <w:right w:val="none" w:sz="0" w:space="0" w:color="auto"/>
      </w:divBdr>
    </w:div>
    <w:div w:id="2073263039">
      <w:bodyDiv w:val="1"/>
      <w:marLeft w:val="0"/>
      <w:marRight w:val="0"/>
      <w:marTop w:val="0"/>
      <w:marBottom w:val="0"/>
      <w:divBdr>
        <w:top w:val="none" w:sz="0" w:space="0" w:color="auto"/>
        <w:left w:val="none" w:sz="0" w:space="0" w:color="auto"/>
        <w:bottom w:val="none" w:sz="0" w:space="0" w:color="auto"/>
        <w:right w:val="none" w:sz="0" w:space="0" w:color="auto"/>
      </w:divBdr>
    </w:div>
    <w:div w:id="2077582633">
      <w:bodyDiv w:val="1"/>
      <w:marLeft w:val="0"/>
      <w:marRight w:val="0"/>
      <w:marTop w:val="0"/>
      <w:marBottom w:val="0"/>
      <w:divBdr>
        <w:top w:val="none" w:sz="0" w:space="0" w:color="auto"/>
        <w:left w:val="none" w:sz="0" w:space="0" w:color="auto"/>
        <w:bottom w:val="none" w:sz="0" w:space="0" w:color="auto"/>
        <w:right w:val="none" w:sz="0" w:space="0" w:color="auto"/>
      </w:divBdr>
    </w:div>
    <w:div w:id="2083019606">
      <w:bodyDiv w:val="1"/>
      <w:marLeft w:val="0"/>
      <w:marRight w:val="0"/>
      <w:marTop w:val="0"/>
      <w:marBottom w:val="0"/>
      <w:divBdr>
        <w:top w:val="none" w:sz="0" w:space="0" w:color="auto"/>
        <w:left w:val="none" w:sz="0" w:space="0" w:color="auto"/>
        <w:bottom w:val="none" w:sz="0" w:space="0" w:color="auto"/>
        <w:right w:val="none" w:sz="0" w:space="0" w:color="auto"/>
      </w:divBdr>
    </w:div>
    <w:div w:id="2105805350">
      <w:bodyDiv w:val="1"/>
      <w:marLeft w:val="0"/>
      <w:marRight w:val="0"/>
      <w:marTop w:val="0"/>
      <w:marBottom w:val="0"/>
      <w:divBdr>
        <w:top w:val="none" w:sz="0" w:space="0" w:color="auto"/>
        <w:left w:val="none" w:sz="0" w:space="0" w:color="auto"/>
        <w:bottom w:val="none" w:sz="0" w:space="0" w:color="auto"/>
        <w:right w:val="none" w:sz="0" w:space="0" w:color="auto"/>
      </w:divBdr>
    </w:div>
    <w:div w:id="2114471270">
      <w:bodyDiv w:val="1"/>
      <w:marLeft w:val="0"/>
      <w:marRight w:val="0"/>
      <w:marTop w:val="0"/>
      <w:marBottom w:val="0"/>
      <w:divBdr>
        <w:top w:val="none" w:sz="0" w:space="0" w:color="auto"/>
        <w:left w:val="none" w:sz="0" w:space="0" w:color="auto"/>
        <w:bottom w:val="none" w:sz="0" w:space="0" w:color="auto"/>
        <w:right w:val="none" w:sz="0" w:space="0" w:color="auto"/>
      </w:divBdr>
    </w:div>
    <w:div w:id="2118332130">
      <w:bodyDiv w:val="1"/>
      <w:marLeft w:val="0"/>
      <w:marRight w:val="0"/>
      <w:marTop w:val="0"/>
      <w:marBottom w:val="0"/>
      <w:divBdr>
        <w:top w:val="none" w:sz="0" w:space="0" w:color="auto"/>
        <w:left w:val="none" w:sz="0" w:space="0" w:color="auto"/>
        <w:bottom w:val="none" w:sz="0" w:space="0" w:color="auto"/>
        <w:right w:val="none" w:sz="0" w:space="0" w:color="auto"/>
      </w:divBdr>
    </w:div>
    <w:div w:id="2124575527">
      <w:bodyDiv w:val="1"/>
      <w:marLeft w:val="0"/>
      <w:marRight w:val="0"/>
      <w:marTop w:val="0"/>
      <w:marBottom w:val="0"/>
      <w:divBdr>
        <w:top w:val="none" w:sz="0" w:space="0" w:color="auto"/>
        <w:left w:val="none" w:sz="0" w:space="0" w:color="auto"/>
        <w:bottom w:val="none" w:sz="0" w:space="0" w:color="auto"/>
        <w:right w:val="none" w:sz="0" w:space="0" w:color="auto"/>
      </w:divBdr>
    </w:div>
    <w:div w:id="2125348559">
      <w:bodyDiv w:val="1"/>
      <w:marLeft w:val="0"/>
      <w:marRight w:val="0"/>
      <w:marTop w:val="0"/>
      <w:marBottom w:val="0"/>
      <w:divBdr>
        <w:top w:val="none" w:sz="0" w:space="0" w:color="auto"/>
        <w:left w:val="none" w:sz="0" w:space="0" w:color="auto"/>
        <w:bottom w:val="none" w:sz="0" w:space="0" w:color="auto"/>
        <w:right w:val="none" w:sz="0" w:space="0" w:color="auto"/>
      </w:divBdr>
    </w:div>
    <w:div w:id="21402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s://www150.statcan.gc.ca/n1/en/pub/45-20-0002/452000022023002-eng.pdf?st=nsbfmFg6" TargetMode="External"/><Relationship Id="rId21" Type="http://schemas.openxmlformats.org/officeDocument/2006/relationships/hyperlink" Target="https://www.chrc-ccdp.gc.ca/en/resources/monitoring-the-right-housing-people-disabilities?utm_source=newsletter&amp;utm_medium=email&amp;utm_campaign=new-project" TargetMode="External"/><Relationship Id="rId42" Type="http://schemas.openxmlformats.org/officeDocument/2006/relationships/hyperlink" Target="https://www150.statcan.gc.ca/n1/pub/85-002-x/2021001/article/00015-eng.htm" TargetMode="External"/><Relationship Id="rId47" Type="http://schemas.openxmlformats.org/officeDocument/2006/relationships/hyperlink" Target="https://www.parl.ca/LegisInfo/en/bill/44-1/c-63" TargetMode="External"/><Relationship Id="rId63" Type="http://schemas.openxmlformats.org/officeDocument/2006/relationships/hyperlink" Target="https://sencanada.ca/content/sen/committee/441/APPA/Reports/2022-06-27_APPA_S-3_Report_e_FINAL.pdf" TargetMode="External"/><Relationship Id="rId68" Type="http://schemas.openxmlformats.org/officeDocument/2006/relationships/hyperlink" Target="https://senatorboyer.ca/wp-content/uploads/2021/09/Tubal-Ligation-in-the-Saskatoon-Health-Region-the-Lived-Experience-of-Aboriginal-Women-Boyer-and-Bartlett-July-11-2017.pdf" TargetMode="External"/><Relationship Id="rId84" Type="http://schemas.openxmlformats.org/officeDocument/2006/relationships/hyperlink" Target="https://womanact.ca/wp-content/uploads/2022/11/WomanACT_Intersections-between-employment-and-safety-among-racialized-women.pdf" TargetMode="External"/><Relationship Id="rId89" Type="http://schemas.openxmlformats.org/officeDocument/2006/relationships/hyperlink" Target="https://www.chrc-ccdp.gc.ca/en/resources/banning-religious-symbols-puts-everyones-rights-risk" TargetMode="External"/><Relationship Id="rId16" Type="http://schemas.openxmlformats.org/officeDocument/2006/relationships/hyperlink" Target="https://www.oag-bvg.gc.ca/internet/english/parl_oag_202211_05_e_44151.html" TargetMode="External"/><Relationship Id="rId11" Type="http://schemas.openxmlformats.org/officeDocument/2006/relationships/hyperlink" Target="https://womenshomelessness.ca/wp-content/uploads/Submission-to-the-NHC-Review-Panel-NRHN-WNHHN-31-March-2023-FINAL.pdf" TargetMode="External"/><Relationship Id="rId32" Type="http://schemas.openxmlformats.org/officeDocument/2006/relationships/hyperlink" Target="https://twitter.com/juliaheather" TargetMode="External"/><Relationship Id="rId37" Type="http://schemas.openxmlformats.org/officeDocument/2006/relationships/hyperlink" Target="https://link.springer.com/article/10.1007/s42650-022-00069-z" TargetMode="External"/><Relationship Id="rId53" Type="http://schemas.openxmlformats.org/officeDocument/2006/relationships/hyperlink" Target="https://laws-lois.justice.gc.ca/eng/acts/c-44.6/" TargetMode="External"/><Relationship Id="rId58" Type="http://schemas.openxmlformats.org/officeDocument/2006/relationships/hyperlink" Target="https://www.chrc-ccdp.gc.ca/en/resources/urgent-action-needed-stop-sexual-coercion-and-violence-federal-prisons" TargetMode="External"/><Relationship Id="rId74" Type="http://schemas.openxmlformats.org/officeDocument/2006/relationships/hyperlink" Target="https://www.chrc-ccdp.gc.ca/en/resources/independent-indigenous-human-rights-system-overdue" TargetMode="External"/><Relationship Id="rId79" Type="http://schemas.openxmlformats.org/officeDocument/2006/relationships/hyperlink" Target="https://can01.safelinks.protection.outlook.com/?url=https%3A%2F%2Fwww.leaf.ca%2Fwp-content%2Fuploads%2F2021%2F11%2F20211116-Gender-Affirming-Health-Care-Advisory-Committee-Act.pdf&amp;data=05%7C02%7Cmichael.swinburne%40chrc-ccdp.gc.ca%7Cce071143382a4964ea9d08dca65bfa3f%7C7ec5cbe9f9014e73a7ce2104e3789491%7C0%7C0%7C638568161170381919%7CUnknown%7CTWFpbGZsb3d8eyJWIjoiMC4wLjAwMDAiLCJQIjoiV2luMzIiLCJBTiI6Ik1haWwiLCJXVCI6Mn0%3D%7C0%7C%7C%7C&amp;sdata=Vc3lQZ0rGoJ%2B7Z5wRgNqfdv0N6bLuoa16ODGd1Cd55M%3D&amp;reserved=0" TargetMode="External"/><Relationship Id="rId5" Type="http://schemas.openxmlformats.org/officeDocument/2006/relationships/hyperlink" Target="https://www.placetocallhome.ca/" TargetMode="External"/><Relationship Id="rId14" Type="http://schemas.openxmlformats.org/officeDocument/2006/relationships/hyperlink" Target="https://www.housingchrc.ca/sites/housing/files/2023-10/ofha_-_interim_report_on_encampments_-_en_-_october_2023.pdf" TargetMode="External"/><Relationship Id="rId22" Type="http://schemas.openxmlformats.org/officeDocument/2006/relationships/hyperlink" Target="https://www.housingchrc.ca/en/federal-housing-advocate-requests-review-into-the-failure-to-eliminate-homelessness-amongst-women-and-gender-diverse-people" TargetMode="External"/><Relationship Id="rId27" Type="http://schemas.openxmlformats.org/officeDocument/2006/relationships/hyperlink" Target="https://www150.statcan.gc.ca/t1/tbl1/en/cv.action?pid=1110009101" TargetMode="External"/><Relationship Id="rId30" Type="http://schemas.openxmlformats.org/officeDocument/2006/relationships/hyperlink" Target="https://canadianlabour.ca/lessons-of-the-pandemic-must-lead-to-change-for-frontlineworkers" TargetMode="External"/><Relationship Id="rId35" Type="http://schemas.openxmlformats.org/officeDocument/2006/relationships/hyperlink" Target="https://www.gendereconomy.org/the-gender-wage-gap/" TargetMode="External"/><Relationship Id="rId43" Type="http://schemas.openxmlformats.org/officeDocument/2006/relationships/hyperlink" Target="https://www.leaf.ca/project/tfv/" TargetMode="External"/><Relationship Id="rId48" Type="http://schemas.openxmlformats.org/officeDocument/2006/relationships/hyperlink" Target="https://www.canada.ca/en/department-national-defence/corporate/reports-publications/report-of-the-independent-external-comprehensive-review.html" TargetMode="External"/><Relationship Id="rId56" Type="http://schemas.openxmlformats.org/officeDocument/2006/relationships/hyperlink" Target="https://oci-bec.gc.ca/sites/default/files/2023-10/Annual%20Report%20EN%20%C3%94%C3%87%C3%B4%20Web.pdf" TargetMode="External"/><Relationship Id="rId64" Type="http://schemas.openxmlformats.org/officeDocument/2006/relationships/hyperlink" Target="https://www.parl.ca/legisinfo/en/bill/44-1/c-38" TargetMode="External"/><Relationship Id="rId69" Type="http://schemas.openxmlformats.org/officeDocument/2006/relationships/hyperlink" Target="https://www.dawncanada.net/media/uploads/page_data/page-63/dawn_brief_on_human_trafficking_and_women_with_disabilities_june_15_2018.pdf" TargetMode="External"/><Relationship Id="rId77" Type="http://schemas.openxmlformats.org/officeDocument/2006/relationships/hyperlink" Target="https://www150.statcan.gc.ca/n1/pub/85-002-x/2021001/article/00006-eng.htm" TargetMode="External"/><Relationship Id="rId8" Type="http://schemas.openxmlformats.org/officeDocument/2006/relationships/hyperlink" Target="https://www150.statcan.gc.ca/n1/pub/46-28-0001/2021001/article/00001-eng.htm" TargetMode="External"/><Relationship Id="rId51" Type="http://schemas.openxmlformats.org/officeDocument/2006/relationships/hyperlink" Target="https://oci-bec.gc.ca/en/content/ten-years-spirit-matters-roadmap-reform-indigenous-corrections-canada" TargetMode="External"/><Relationship Id="rId72" Type="http://schemas.openxmlformats.org/officeDocument/2006/relationships/hyperlink" Target="https://winnipegsun.com/news/local-news/do-your-job-wab-protesters-demand-landfill-search-immediately" TargetMode="External"/><Relationship Id="rId80" Type="http://schemas.openxmlformats.org/officeDocument/2006/relationships/hyperlink" Target="http://www.wpath.org/soc8" TargetMode="External"/><Relationship Id="rId85" Type="http://schemas.openxmlformats.org/officeDocument/2006/relationships/hyperlink" Target="https://www.cbc.ca/news/canada/montreal/muslim-women-most-affected-by-quebec-s-secularism-law-court-of-appeal-hears-1.6644377" TargetMode="External"/><Relationship Id="rId3" Type="http://schemas.openxmlformats.org/officeDocument/2006/relationships/hyperlink" Target="https://www.actioncanadashr.org/news/2021-05-04-our-feminism-trans-inclusive" TargetMode="External"/><Relationship Id="rId12" Type="http://schemas.openxmlformats.org/officeDocument/2006/relationships/hyperlink" Target="https://can01.safelinks.protection.outlook.com/?url=https%3A%2F%2Fwww3.ohrc.on.ca%2Fsites%2Fdefault%2Ffiles%2F20221101%2520OHRC%2520Background%2520Paper_Poverty%2520and%2520systemic%2520discrimination_DESIGNED.pdf%3F_gl%3D1*ezwj6w*_ga*OTY0ODk4ODE4LjE3MTU4MzQ1OTE.*_ga_K3JBNZ5N4P*MTcyMDI5Nzk1My4zNS4wLjE3MjAyOTc5NTMuMC4wLjA.&amp;data=05%7C02%7CMaia.McKinley%40chrc-ccdp.gc.ca%7C1075073f53994fa43fac08dca297f9d3%7C7ec5cbe9f9014e73a7ce2104e3789491%7C0%7C0%7C638564020815008597%7CUnknown%7CTWFpbGZsb3d8eyJWIjoiMC4wLjAwMDAiLCJQIjoiV2luMzIiLCJBTiI6Ik1haWwiLCJXVCI6Mn0%3D%7C0%7C%7C%7C&amp;sdata=oTX51PX0GX%2FfhwdP2hoFTb3cCfFYBk7C6iDYcrF%2FqHw%3D&amp;reserved=0" TargetMode="External"/><Relationship Id="rId17" Type="http://schemas.openxmlformats.org/officeDocument/2006/relationships/hyperlink" Target="https://www150.statcan.gc.ca/n1/pub/46-28-0001/462800012021001-eng.htm" TargetMode="External"/><Relationship Id="rId25" Type="http://schemas.openxmlformats.org/officeDocument/2006/relationships/hyperlink" Target="https://www.policyalternatives.ca/publications/reports/canadas-colour-coded-labour-market" TargetMode="External"/><Relationship Id="rId33" Type="http://schemas.openxmlformats.org/officeDocument/2006/relationships/hyperlink" Target="https://www.genderandcovid-19.org/wp-content/uploads/2021/06/Women-in-a-COVID-19-recession-Canada-and-economic-impacts.pdf" TargetMode="External"/><Relationship Id="rId38" Type="http://schemas.openxmlformats.org/officeDocument/2006/relationships/hyperlink" Target="https://static1.squarespace.com/static/64220f300321233050a209ec/t/65de3b22be93725ee19fa396/1709062949128/Why+can%27t+everyone+just+get+along.pdf" TargetMode="External"/><Relationship Id="rId46" Type="http://schemas.openxmlformats.org/officeDocument/2006/relationships/hyperlink" Target="https://canadianwomen.org/blog/misogynoir-in-digital-spaces-with-yamikani-msosa/" TargetMode="External"/><Relationship Id="rId59" Type="http://schemas.openxmlformats.org/officeDocument/2006/relationships/hyperlink" Target="https://www.canada.ca/en/correctional-service/corporate/acts-regulations-policy/commissioners-directives/574.html" TargetMode="External"/><Relationship Id="rId67" Type="http://schemas.openxmlformats.org/officeDocument/2006/relationships/hyperlink" Target="https://sencanada.ca/content/sen/committee/441/RIDR/reports/2022-07-14_ForcedSterilization_E.pdf" TargetMode="External"/><Relationship Id="rId20" Type="http://schemas.openxmlformats.org/officeDocument/2006/relationships/hyperlink" Target="https://womenshomelessness.ca/wp-content/uploads/Research-Brief-on-Housing-Need-Homelessness-amongst-Gender-Diverse-Persons.pdf" TargetMode="External"/><Relationship Id="rId41" Type="http://schemas.openxmlformats.org/officeDocument/2006/relationships/hyperlink" Target="https://gbvlearningnetwork.ca/our-work/backgrounders/SV-Against-Black-Women-Girls-MeToo/index.html" TargetMode="External"/><Relationship Id="rId54" Type="http://schemas.openxmlformats.org/officeDocument/2006/relationships/hyperlink" Target="https://sencanada.ca/content/sen/committee/432/RIDR/Reports/RIDR_FederallySentencedPersons_e.pdf" TargetMode="External"/><Relationship Id="rId62" Type="http://schemas.openxmlformats.org/officeDocument/2006/relationships/hyperlink" Target="https://fncaringsociety.com/i-am-witness/chrt-orders" TargetMode="External"/><Relationship Id="rId70" Type="http://schemas.openxmlformats.org/officeDocument/2006/relationships/hyperlink" Target="https://dawncanada.net/media/uploads/page_data/page-63/FEWO_Human_Trafficking_Parliamentary_Brief-May11_2023-LONG_EN_BH.pdf" TargetMode="External"/><Relationship Id="rId75" Type="http://schemas.openxmlformats.org/officeDocument/2006/relationships/hyperlink" Target="https://www150.statcan.gc.ca/n1/daily-quotidien/231201/dq231201b-eng.htm" TargetMode="External"/><Relationship Id="rId83" Type="http://schemas.openxmlformats.org/officeDocument/2006/relationships/hyperlink" Target="https://achev.ca/wp-content/uploads/2022/11/What-We-Heard-report-Advancing-Equity-for-Women-and-Girls.pdf" TargetMode="External"/><Relationship Id="rId88" Type="http://schemas.openxmlformats.org/officeDocument/2006/relationships/hyperlink" Target="https://doi.org/10.1177/2332649220903740" TargetMode="External"/><Relationship Id="rId1" Type="http://schemas.openxmlformats.org/officeDocument/2006/relationships/hyperlink" Target="http://laws-lois.justice.gc.ca/PDF/H-6.pdf" TargetMode="External"/><Relationship Id="rId6" Type="http://schemas.openxmlformats.org/officeDocument/2006/relationships/hyperlink" Target="https://housing-infrastructure.canada.ca/housing-logement/housing-plan-logement-eng.html" TargetMode="External"/><Relationship Id="rId15" Type="http://schemas.openxmlformats.org/officeDocument/2006/relationships/hyperlink" Target="https://assets.cmhc-schl.gc.ca/sites/place-to-call-home/pdfs/analysis-affordable-housing-supply-created-unilateral-nhs-programs-en.pdf" TargetMode="External"/><Relationship Id="rId23" Type="http://schemas.openxmlformats.org/officeDocument/2006/relationships/hyperlink" Target="https://doi.org/10.25318/1410041701-eng" TargetMode="External"/><Relationship Id="rId28" Type="http://schemas.openxmlformats.org/officeDocument/2006/relationships/hyperlink" Target="https://www150.statcan.gc.ca/n1/pub/89-654-x/89-654-x2018002-eng.htm" TargetMode="External"/><Relationship Id="rId36" Type="http://schemas.openxmlformats.org/officeDocument/2006/relationships/hyperlink" Target="https://epe.lac-bac.gc.ca/100/201/301/weekly_acquisitions_list-ef/2019/19-10/publications.gc.ca/collections/collection_2019/statcan/11-626-x/11-626-x2019002-eng.pdf" TargetMode="External"/><Relationship Id="rId49" Type="http://schemas.openxmlformats.org/officeDocument/2006/relationships/hyperlink" Target="http://www.caf-dndsexualmisconductclassaction.ca/" TargetMode="External"/><Relationship Id="rId57" Type="http://schemas.openxmlformats.org/officeDocument/2006/relationships/hyperlink" Target="https://oci-bec.gc.ca/sites/default/files/2023-06/annrpt20192020-eng.pdf" TargetMode="External"/><Relationship Id="rId10" Type="http://schemas.openxmlformats.org/officeDocument/2006/relationships/hyperlink" Target="https://homelesshub.ca/book/office-of-the-federal-housing-advocate/the-financialization-of-housing-in-canada/" TargetMode="External"/><Relationship Id="rId31" Type="http://schemas.openxmlformats.org/officeDocument/2006/relationships/hyperlink" Target="https://twitter.com/lokpriyieg" TargetMode="External"/><Relationship Id="rId44" Type="http://schemas.openxmlformats.org/officeDocument/2006/relationships/hyperlink" Target="https://www.cbc.ca/news/canada/british-columbia/ubc-report-online-abuse-politicians-1.5782975" TargetMode="External"/><Relationship Id="rId52" Type="http://schemas.openxmlformats.org/officeDocument/2006/relationships/hyperlink" Target="https://oci-bec.gc.ca/en/content/annual-report-office-correctional-investigator-2015-2016" TargetMode="External"/><Relationship Id="rId60" Type="http://schemas.openxmlformats.org/officeDocument/2006/relationships/hyperlink" Target="https://www.chrc-ccdp.gc.ca/en/resources/publications/chrc-and-oci-open-letter-calling-canadas-ratification-the-opcat" TargetMode="External"/><Relationship Id="rId65" Type="http://schemas.openxmlformats.org/officeDocument/2006/relationships/hyperlink" Target="https://tbinternet.ohchr.org/_layouts/15/treatybodyexternal/Download.aspx?symbolno=CEDAW%2fC%2f81%2fD%2f68%2f2014&amp;Lang=en" TargetMode="External"/><Relationship Id="rId73" Type="http://schemas.openxmlformats.org/officeDocument/2006/relationships/hyperlink" Target="https://www.rcaanc-cirnac.gc.ca/eng/1717103903695/1717103981609" TargetMode="External"/><Relationship Id="rId78" Type="http://schemas.openxmlformats.org/officeDocument/2006/relationships/hyperlink" Target="https://dawncanada.net/media/uploads/page_data/page-63/FEWO_Human_Trafficking_Parliamentary_Brief-May11_2023-LONG_EN_BH.pdf" TargetMode="External"/><Relationship Id="rId81" Type="http://schemas.openxmlformats.org/officeDocument/2006/relationships/hyperlink" Target="https://www12.statcan.gc.ca/census-recensement/2021/as-sa/98-200-x/2021009/98-200-x2021009-eng.pdf" TargetMode="External"/><Relationship Id="rId86" Type="http://schemas.openxmlformats.org/officeDocument/2006/relationships/hyperlink" Target="https://www.theglobeandmail.com/business/article-muslim-women-wearing-hijab-at-work-face-heightened-scrutiny/" TargetMode="External"/><Relationship Id="rId4" Type="http://schemas.openxmlformats.org/officeDocument/2006/relationships/hyperlink" Target="https://laws-lois.justice.gc.ca/eng/acts/n-11.2/FullText.html" TargetMode="External"/><Relationship Id="rId9" Type="http://schemas.openxmlformats.org/officeDocument/2006/relationships/hyperlink" Target="https://transpulsecanada.ca/results/responsive-report-housing-barriers-among-trans-and-non-binary-adults-in-canada" TargetMode="External"/><Relationship Id="rId13" Type="http://schemas.openxmlformats.org/officeDocument/2006/relationships/hyperlink" Target="https://womenshomelessness.ca/wp-content/uploads/EN_CHRC_13-1.pdf" TargetMode="External"/><Relationship Id="rId18" Type="http://schemas.openxmlformats.org/officeDocument/2006/relationships/hyperlink" Target="https://womenshomelessness.ca/wp-content/uploads/Indigenous-Housing-Claim-June-15-2022.pdf" TargetMode="External"/><Relationship Id="rId39" Type="http://schemas.openxmlformats.org/officeDocument/2006/relationships/hyperlink" Target="https://www.canadianwomen.org/the-facts/sexual-assault-harassment/" TargetMode="External"/><Relationship Id="rId34" Type="http://schemas.openxmlformats.org/officeDocument/2006/relationships/hyperlink" Target="https://policywise.blob.core.windows.net/files/Discussion%20Paper%20Reversing%20the%20Gendered%20Impact%20of%20Covid-19.pdf" TargetMode="External"/><Relationship Id="rId50" Type="http://schemas.openxmlformats.org/officeDocument/2006/relationships/hyperlink" Target="https://www150.statcan.gc.ca/n1/pub/85-603-x/85-603-x2023001-eng.htm" TargetMode="External"/><Relationship Id="rId55" Type="http://schemas.openxmlformats.org/officeDocument/2006/relationships/hyperlink" Target="http://www.canada.ca/en/correctional-service/corporate/acts-regulations-policy/commissioners-directives/100.html" TargetMode="External"/><Relationship Id="rId76" Type="http://schemas.openxmlformats.org/officeDocument/2006/relationships/hyperlink" Target="http://www.chrc-ccdp.gc.ca/en/resources/publications/what-we-learned-housing-people-disabilities" TargetMode="External"/><Relationship Id="rId7" Type="http://schemas.openxmlformats.org/officeDocument/2006/relationships/hyperlink" Target="https://maytree.com/media-releases/welfare-incomes-keep-almost-all-households-living-below-the-poverty-line-latest-welfare-in-canada-report/" TargetMode="External"/><Relationship Id="rId71" Type="http://schemas.openxmlformats.org/officeDocument/2006/relationships/hyperlink" Target="https://womenshomelessness.ca/wp-content/uploads/WNHHN-Claim-15-June-2022.pdf" TargetMode="External"/><Relationship Id="rId2" Type="http://schemas.openxmlformats.org/officeDocument/2006/relationships/hyperlink" Target="https://nwac.ca/assets-documents/Final_Report_Adequate_Housing_for_Indigenous_People.pdf" TargetMode="External"/><Relationship Id="rId29" Type="http://schemas.openxmlformats.org/officeDocument/2006/relationships/hyperlink" Target="https://www2.gov.bc.ca/assets/gov/british-columbians-our-governments/services-policies-for-government/gender-equity/bc-pay-transparency-discussion-paper.pdf" TargetMode="External"/><Relationship Id="rId24" Type="http://schemas.openxmlformats.org/officeDocument/2006/relationships/hyperlink" Target="https://www.canadianwomen.org/the-facts/the-wage-gap/" TargetMode="External"/><Relationship Id="rId40" Type="http://schemas.openxmlformats.org/officeDocument/2006/relationships/hyperlink" Target="https://www.cbc.ca/news/canada/edmonton/adultification-bias-edmonton-black-girls-1.6704953" TargetMode="External"/><Relationship Id="rId45" Type="http://schemas.openxmlformats.org/officeDocument/2006/relationships/hyperlink" Target="https://www.cbc.ca/news/canada/kitchener-waterloo/twitter-x-tiktok-university-of-waterloo-hate-1.7037526" TargetMode="External"/><Relationship Id="rId66" Type="http://schemas.openxmlformats.org/officeDocument/2006/relationships/hyperlink" Target="https://www.cbc.ca/news/politics/families-reactivate-enfranchisement-litigation-1.7273638" TargetMode="External"/><Relationship Id="rId87" Type="http://schemas.openxmlformats.org/officeDocument/2006/relationships/hyperlink" Target="https://yaqeeninstitute.ca/read/paper/hijab-gendered-islamophobia-and-the-lived-experiences-of-muslim-women" TargetMode="External"/><Relationship Id="rId61" Type="http://schemas.openxmlformats.org/officeDocument/2006/relationships/hyperlink" Target="https://www.mmiwg-ffada.ca/final-report/" TargetMode="External"/><Relationship Id="rId82" Type="http://schemas.openxmlformats.org/officeDocument/2006/relationships/hyperlink" Target="https://transpulsecanada.ca/results/report-health-and-well-being-among-non-binary-people/" TargetMode="External"/><Relationship Id="rId19" Type="http://schemas.openxmlformats.org/officeDocument/2006/relationships/hyperlink" Target="https://www.housingchrc.ca/en/joint-statement-trans-visibility-starts-by-upholding-trans-human-righ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DA78B4-7686-47EE-AE1F-E8E4A418D8D2}">
  <ds:schemaRefs>
    <ds:schemaRef ds:uri="http://schemas.openxmlformats.org/officeDocument/2006/bibliography"/>
  </ds:schemaRefs>
</ds:datastoreItem>
</file>

<file path=customXml/itemProps2.xml><?xml version="1.0" encoding="utf-8"?>
<ds:datastoreItem xmlns:ds="http://schemas.openxmlformats.org/officeDocument/2006/customXml" ds:itemID="{60984D69-9D55-4534-96BB-1A72A348BEC3}"/>
</file>

<file path=customXml/itemProps3.xml><?xml version="1.0" encoding="utf-8"?>
<ds:datastoreItem xmlns:ds="http://schemas.openxmlformats.org/officeDocument/2006/customXml" ds:itemID="{B8006DC9-A719-4AFA-88DC-6B7C758A1D3C}"/>
</file>

<file path=docProps/app.xml><?xml version="1.0" encoding="utf-8"?>
<Properties xmlns="http://schemas.openxmlformats.org/officeDocument/2006/extended-properties" xmlns:vt="http://schemas.openxmlformats.org/officeDocument/2006/docPropsVTypes">
  <Template>Normal.dotm</Template>
  <TotalTime>1</TotalTime>
  <Pages>18</Pages>
  <Words>3359</Words>
  <Characters>20037</Characters>
  <Application>Microsoft Office Word</Application>
  <DocSecurity>4</DocSecurity>
  <Lines>166</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Swinburne</dc:creator>
  <cp:keywords/>
  <dc:description/>
  <cp:lastModifiedBy>Uzoma, Emma (CHRC/CCDP)</cp:lastModifiedBy>
  <cp:revision>2</cp:revision>
  <dcterms:created xsi:type="dcterms:W3CDTF">2024-09-06T18:08:00Z</dcterms:created>
  <dcterms:modified xsi:type="dcterms:W3CDTF">2024-09-06T18:08:00Z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ies>
</file>