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7E2A2" w14:textId="04E0F7CD" w:rsidR="00BA19CB" w:rsidRPr="009958E2" w:rsidRDefault="008C426B" w:rsidP="008C426B">
      <w:pPr>
        <w:pStyle w:val="Normal1"/>
        <w:contextualSpacing w:val="0"/>
        <w:jc w:val="right"/>
        <w:rPr>
          <w:rFonts w:ascii="Franklin Gothic Medium" w:hAnsi="Franklin Gothic Medium"/>
          <w:sz w:val="24"/>
          <w:szCs w:val="24"/>
          <w:lang w:val="en-GB"/>
        </w:rPr>
      </w:pPr>
      <w:r>
        <w:rPr>
          <w:rFonts w:ascii="Franklin Gothic Medium" w:hAnsi="Franklin Gothic Medium"/>
          <w:noProof/>
          <w:sz w:val="24"/>
          <w:szCs w:val="24"/>
          <w:lang w:val="en-GB"/>
        </w:rPr>
        <w:drawing>
          <wp:inline distT="0" distB="0" distL="0" distR="0" wp14:anchorId="458F3449" wp14:editId="2700D022">
            <wp:extent cx="3875752" cy="7365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byline_for_sections_ITALY_right_positive.png"/>
                    <pic:cNvPicPr/>
                  </pic:nvPicPr>
                  <pic:blipFill>
                    <a:blip r:embed="rId7"/>
                    <a:stretch>
                      <a:fillRect/>
                    </a:stretch>
                  </pic:blipFill>
                  <pic:spPr>
                    <a:xfrm>
                      <a:off x="0" y="0"/>
                      <a:ext cx="3901472" cy="741456"/>
                    </a:xfrm>
                    <a:prstGeom prst="rect">
                      <a:avLst/>
                    </a:prstGeom>
                  </pic:spPr>
                </pic:pic>
              </a:graphicData>
            </a:graphic>
          </wp:inline>
        </w:drawing>
      </w:r>
    </w:p>
    <w:p w14:paraId="4FB8F6D9" w14:textId="33507258" w:rsidR="00BA19CB" w:rsidRPr="009958E2" w:rsidRDefault="007A18BF" w:rsidP="004F0BE7">
      <w:pPr>
        <w:pStyle w:val="Normal1"/>
        <w:contextualSpacing w:val="0"/>
        <w:rPr>
          <w:rFonts w:ascii="Franklin Gothic Medium" w:hAnsi="Franklin Gothic Medium"/>
          <w:sz w:val="24"/>
          <w:szCs w:val="24"/>
          <w:lang w:val="en-GB"/>
        </w:rPr>
      </w:pPr>
      <w:r>
        <w:rPr>
          <w:rFonts w:ascii="Franklin Gothic Medium" w:hAnsi="Franklin Gothic Medium"/>
          <w:sz w:val="24"/>
          <w:szCs w:val="24"/>
          <w:lang w:val="en-GB"/>
        </w:rPr>
        <w:t xml:space="preserve">    </w:t>
      </w:r>
      <w:r w:rsidR="004F0BE7">
        <w:rPr>
          <w:rFonts w:ascii="Franklin Gothic Medium" w:hAnsi="Franklin Gothic Medium"/>
          <w:sz w:val="24"/>
          <w:szCs w:val="24"/>
          <w:lang w:val="en-GB"/>
        </w:rPr>
        <w:t xml:space="preserve">                        </w:t>
      </w:r>
    </w:p>
    <w:p w14:paraId="3BC349E9" w14:textId="077698DD" w:rsidR="00FE278A" w:rsidRPr="009958E2" w:rsidRDefault="00FE278A" w:rsidP="001E542A">
      <w:pPr>
        <w:jc w:val="center"/>
        <w:rPr>
          <w:i/>
          <w:lang w:val="en-GB"/>
        </w:rPr>
      </w:pPr>
      <w:r w:rsidRPr="009958E2">
        <w:rPr>
          <w:i/>
          <w:lang w:val="en-GB"/>
        </w:rPr>
        <w:tab/>
      </w:r>
      <w:r w:rsidRPr="009958E2">
        <w:rPr>
          <w:i/>
          <w:lang w:val="en-GB"/>
        </w:rPr>
        <w:tab/>
      </w:r>
      <w:r w:rsidRPr="009958E2">
        <w:rPr>
          <w:i/>
          <w:lang w:val="en-GB"/>
        </w:rPr>
        <w:tab/>
      </w:r>
      <w:r w:rsidRPr="009958E2">
        <w:rPr>
          <w:i/>
          <w:lang w:val="en-GB"/>
        </w:rPr>
        <w:tab/>
      </w:r>
      <w:r w:rsidRPr="009958E2">
        <w:rPr>
          <w:i/>
          <w:lang w:val="en-GB"/>
        </w:rPr>
        <w:tab/>
      </w:r>
      <w:r w:rsidRPr="009958E2">
        <w:rPr>
          <w:i/>
          <w:lang w:val="en-GB"/>
        </w:rPr>
        <w:tab/>
        <w:t xml:space="preserve">    </w:t>
      </w:r>
    </w:p>
    <w:p w14:paraId="349AB358" w14:textId="77777777" w:rsidR="00A12525" w:rsidRPr="009958E2"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1314055D" w14:textId="77777777" w:rsidR="005C4072" w:rsidRPr="00A864F8" w:rsidRDefault="005C4072" w:rsidP="005C4072">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A864F8">
        <w:rPr>
          <w:rFonts w:ascii="Franklin Gothic Demi" w:hAnsi="Franklin Gothic Demi" w:cs="Cordia New"/>
          <w:b/>
          <w:color w:val="17365D" w:themeColor="text2" w:themeShade="BF"/>
          <w:sz w:val="32"/>
          <w:szCs w:val="32"/>
          <w:lang w:val="en-GB"/>
        </w:rPr>
        <w:t>Review of Italy</w:t>
      </w:r>
    </w:p>
    <w:p w14:paraId="021E7D55" w14:textId="77777777" w:rsidR="005C4072" w:rsidRPr="00A864F8" w:rsidRDefault="005C4072" w:rsidP="008C426B">
      <w:pPr>
        <w:pStyle w:val="Normal1"/>
        <w:shd w:val="clear" w:color="auto" w:fill="F2F2F2" w:themeFill="background1" w:themeFillShade="F2"/>
        <w:contextualSpacing w:val="0"/>
        <w:rPr>
          <w:rFonts w:ascii="Franklin Gothic Demi" w:hAnsi="Franklin Gothic Demi" w:cs="Cordia New"/>
          <w:b/>
          <w:color w:val="17365D" w:themeColor="text2" w:themeShade="BF"/>
          <w:sz w:val="32"/>
          <w:szCs w:val="32"/>
          <w:lang w:val="en-GB"/>
        </w:rPr>
      </w:pPr>
      <w:r w:rsidRPr="00A864F8">
        <w:rPr>
          <w:rFonts w:ascii="Franklin Gothic Demi" w:hAnsi="Franklin Gothic Demi" w:cs="Cordia New"/>
          <w:b/>
          <w:color w:val="17365D" w:themeColor="text2" w:themeShade="BF"/>
          <w:sz w:val="32"/>
          <w:szCs w:val="32"/>
          <w:lang w:val="en-GB"/>
        </w:rPr>
        <w:t xml:space="preserve"> </w:t>
      </w:r>
    </w:p>
    <w:p w14:paraId="66BAD05C" w14:textId="7F969310" w:rsidR="005C4072" w:rsidRDefault="005C4072" w:rsidP="005C4072">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A864F8">
        <w:rPr>
          <w:rFonts w:ascii="Franklin Gothic Demi" w:hAnsi="Franklin Gothic Demi" w:cs="Cordia New"/>
          <w:b/>
          <w:color w:val="17365D" w:themeColor="text2" w:themeShade="BF"/>
          <w:sz w:val="28"/>
          <w:szCs w:val="28"/>
          <w:lang w:val="en-GB"/>
        </w:rPr>
        <w:t>Submission to the UN Committee on Economic, Social and Cultural Rights, Pre-sessional Working Group, 66</w:t>
      </w:r>
      <w:r w:rsidRPr="00A864F8">
        <w:rPr>
          <w:rFonts w:ascii="Franklin Gothic Demi" w:hAnsi="Franklin Gothic Demi" w:cs="Cordia New"/>
          <w:b/>
          <w:color w:val="17365D" w:themeColor="text2" w:themeShade="BF"/>
          <w:sz w:val="28"/>
          <w:szCs w:val="28"/>
          <w:vertAlign w:val="superscript"/>
          <w:lang w:val="en-GB"/>
        </w:rPr>
        <w:t>th</w:t>
      </w:r>
      <w:r w:rsidRPr="00A864F8">
        <w:rPr>
          <w:rFonts w:ascii="Franklin Gothic Demi" w:hAnsi="Franklin Gothic Demi" w:cs="Cordia New"/>
          <w:b/>
          <w:color w:val="17365D" w:themeColor="text2" w:themeShade="BF"/>
          <w:sz w:val="28"/>
          <w:szCs w:val="28"/>
          <w:lang w:val="en-GB"/>
        </w:rPr>
        <w:t xml:space="preserve"> session (March 2020) </w:t>
      </w:r>
    </w:p>
    <w:p w14:paraId="12740587" w14:textId="77777777" w:rsidR="008C426B" w:rsidRPr="008C426B" w:rsidRDefault="008C426B" w:rsidP="008C426B">
      <w:pPr>
        <w:pStyle w:val="Normal1"/>
        <w:shd w:val="clear" w:color="auto" w:fill="F2F2F2" w:themeFill="background1" w:themeFillShade="F2"/>
        <w:contextualSpacing w:val="0"/>
        <w:rPr>
          <w:rFonts w:ascii="Franklin Gothic Demi" w:hAnsi="Franklin Gothic Demi" w:cs="Cordia New"/>
          <w:b/>
          <w:color w:val="17365D" w:themeColor="text2" w:themeShade="BF"/>
          <w:sz w:val="28"/>
          <w:szCs w:val="28"/>
        </w:rPr>
      </w:pPr>
    </w:p>
    <w:p w14:paraId="23A30693" w14:textId="403FEF9F" w:rsidR="00496188" w:rsidRPr="009958E2"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DF279BB" w14:textId="77777777" w:rsidR="00A12525" w:rsidRPr="009958E2" w:rsidRDefault="00A12525" w:rsidP="00820BFF">
      <w:pPr>
        <w:rPr>
          <w:lang w:val="en-GB"/>
        </w:rPr>
      </w:pPr>
    </w:p>
    <w:p w14:paraId="2B5F4BAE" w14:textId="7EDBD4B3" w:rsidR="00820BFF" w:rsidRPr="008C426B" w:rsidRDefault="00820BFF" w:rsidP="008C426B">
      <w:pPr>
        <w:jc w:val="center"/>
        <w:rPr>
          <w:b/>
          <w:color w:val="002060"/>
        </w:rPr>
      </w:pPr>
    </w:p>
    <w:p w14:paraId="03632657" w14:textId="6AF083D0" w:rsidR="00820BFF" w:rsidRDefault="008C426B" w:rsidP="008C426B">
      <w:pPr>
        <w:jc w:val="center"/>
        <w:rPr>
          <w:b/>
          <w:color w:val="002060"/>
        </w:rPr>
      </w:pPr>
      <w:r w:rsidRPr="008C426B">
        <w:rPr>
          <w:b/>
          <w:color w:val="002060"/>
        </w:rPr>
        <w:t>Contents</w:t>
      </w:r>
    </w:p>
    <w:p w14:paraId="27FDB521" w14:textId="77777777" w:rsidR="008C426B" w:rsidRDefault="008C426B" w:rsidP="008C426B">
      <w:pPr>
        <w:jc w:val="center"/>
        <w:rPr>
          <w:b/>
          <w:color w:val="002060"/>
        </w:rPr>
      </w:pPr>
    </w:p>
    <w:bookmarkStart w:id="0" w:name="_GoBack"/>
    <w:bookmarkEnd w:id="0"/>
    <w:p w14:paraId="709CD5BA" w14:textId="5EE7D741" w:rsidR="007C0AE6" w:rsidRDefault="008C426B">
      <w:pPr>
        <w:pStyle w:val="TOC1"/>
        <w:rPr>
          <w:rFonts w:asciiTheme="minorHAnsi" w:eastAsiaTheme="minorEastAsia" w:hAnsiTheme="minorHAnsi" w:cstheme="minorBidi"/>
          <w:b w:val="0"/>
          <w:noProof/>
          <w:color w:val="auto"/>
          <w:szCs w:val="24"/>
          <w:lang w:val="en-US"/>
        </w:rPr>
      </w:pPr>
      <w:r>
        <w:rPr>
          <w:b w:val="0"/>
          <w:lang w:val="en-GB"/>
        </w:rPr>
        <w:fldChar w:fldCharType="begin"/>
      </w:r>
      <w:r>
        <w:rPr>
          <w:b w:val="0"/>
          <w:lang w:val="en-GB"/>
        </w:rPr>
        <w:instrText xml:space="preserve"> TOC \o "1-3" \h \z \u </w:instrText>
      </w:r>
      <w:r>
        <w:rPr>
          <w:b w:val="0"/>
          <w:lang w:val="en-GB"/>
        </w:rPr>
        <w:fldChar w:fldCharType="separate"/>
      </w:r>
      <w:hyperlink w:anchor="_Toc30188564" w:history="1">
        <w:r w:rsidR="007C0AE6" w:rsidRPr="00A61D5B">
          <w:rPr>
            <w:rStyle w:val="Hyperlink"/>
            <w:noProof/>
            <w:lang w:val="en-GB"/>
          </w:rPr>
          <w:t>I. Introduction</w:t>
        </w:r>
        <w:r w:rsidR="007C0AE6">
          <w:rPr>
            <w:noProof/>
            <w:webHidden/>
          </w:rPr>
          <w:tab/>
        </w:r>
        <w:r w:rsidR="007C0AE6">
          <w:rPr>
            <w:noProof/>
            <w:webHidden/>
          </w:rPr>
          <w:fldChar w:fldCharType="begin"/>
        </w:r>
        <w:r w:rsidR="007C0AE6">
          <w:rPr>
            <w:noProof/>
            <w:webHidden/>
          </w:rPr>
          <w:instrText xml:space="preserve"> PAGEREF _Toc30188564 \h </w:instrText>
        </w:r>
        <w:r w:rsidR="007C0AE6">
          <w:rPr>
            <w:noProof/>
            <w:webHidden/>
          </w:rPr>
        </w:r>
        <w:r w:rsidR="007C0AE6">
          <w:rPr>
            <w:noProof/>
            <w:webHidden/>
          </w:rPr>
          <w:fldChar w:fldCharType="separate"/>
        </w:r>
        <w:r w:rsidR="007C0AE6">
          <w:rPr>
            <w:noProof/>
            <w:webHidden/>
          </w:rPr>
          <w:t>2</w:t>
        </w:r>
        <w:r w:rsidR="007C0AE6">
          <w:rPr>
            <w:noProof/>
            <w:webHidden/>
          </w:rPr>
          <w:fldChar w:fldCharType="end"/>
        </w:r>
      </w:hyperlink>
    </w:p>
    <w:p w14:paraId="4BC02DBE" w14:textId="009C802C" w:rsidR="007C0AE6" w:rsidRDefault="007C0AE6">
      <w:pPr>
        <w:pStyle w:val="TOC1"/>
        <w:rPr>
          <w:rFonts w:asciiTheme="minorHAnsi" w:eastAsiaTheme="minorEastAsia" w:hAnsiTheme="minorHAnsi" w:cstheme="minorBidi"/>
          <w:b w:val="0"/>
          <w:noProof/>
          <w:color w:val="auto"/>
          <w:szCs w:val="24"/>
          <w:lang w:val="en-US"/>
        </w:rPr>
      </w:pPr>
      <w:hyperlink w:anchor="_Toc30188565" w:history="1">
        <w:r w:rsidRPr="00A61D5B">
          <w:rPr>
            <w:rStyle w:val="Hyperlink"/>
            <w:noProof/>
            <w:lang w:val="en-GB"/>
          </w:rPr>
          <w:t>II. Migration, asylum and trafficking in human beings</w:t>
        </w:r>
        <w:r>
          <w:rPr>
            <w:noProof/>
            <w:webHidden/>
          </w:rPr>
          <w:tab/>
        </w:r>
        <w:r>
          <w:rPr>
            <w:noProof/>
            <w:webHidden/>
          </w:rPr>
          <w:fldChar w:fldCharType="begin"/>
        </w:r>
        <w:r>
          <w:rPr>
            <w:noProof/>
            <w:webHidden/>
          </w:rPr>
          <w:instrText xml:space="preserve"> PAGEREF _Toc30188565 \h </w:instrText>
        </w:r>
        <w:r>
          <w:rPr>
            <w:noProof/>
            <w:webHidden/>
          </w:rPr>
        </w:r>
        <w:r>
          <w:rPr>
            <w:noProof/>
            <w:webHidden/>
          </w:rPr>
          <w:fldChar w:fldCharType="separate"/>
        </w:r>
        <w:r>
          <w:rPr>
            <w:noProof/>
            <w:webHidden/>
          </w:rPr>
          <w:t>2</w:t>
        </w:r>
        <w:r>
          <w:rPr>
            <w:noProof/>
            <w:webHidden/>
          </w:rPr>
          <w:fldChar w:fldCharType="end"/>
        </w:r>
      </w:hyperlink>
    </w:p>
    <w:p w14:paraId="26A79E87" w14:textId="66EF073F" w:rsidR="007C0AE6" w:rsidRDefault="007C0AE6">
      <w:pPr>
        <w:pStyle w:val="TOC1"/>
        <w:rPr>
          <w:rFonts w:asciiTheme="minorHAnsi" w:eastAsiaTheme="minorEastAsia" w:hAnsiTheme="minorHAnsi" w:cstheme="minorBidi"/>
          <w:b w:val="0"/>
          <w:noProof/>
          <w:color w:val="auto"/>
          <w:szCs w:val="24"/>
          <w:lang w:val="en-US"/>
        </w:rPr>
      </w:pPr>
      <w:hyperlink w:anchor="_Toc30188566" w:history="1">
        <w:r w:rsidRPr="00A61D5B">
          <w:rPr>
            <w:rStyle w:val="Hyperlink"/>
            <w:noProof/>
            <w:lang w:val="en-GB"/>
          </w:rPr>
          <w:t>III. Suggested questions</w:t>
        </w:r>
        <w:r>
          <w:rPr>
            <w:noProof/>
            <w:webHidden/>
          </w:rPr>
          <w:tab/>
        </w:r>
        <w:r>
          <w:rPr>
            <w:noProof/>
            <w:webHidden/>
          </w:rPr>
          <w:fldChar w:fldCharType="begin"/>
        </w:r>
        <w:r>
          <w:rPr>
            <w:noProof/>
            <w:webHidden/>
          </w:rPr>
          <w:instrText xml:space="preserve"> PAGEREF _Toc30188566 \h </w:instrText>
        </w:r>
        <w:r>
          <w:rPr>
            <w:noProof/>
            <w:webHidden/>
          </w:rPr>
        </w:r>
        <w:r>
          <w:rPr>
            <w:noProof/>
            <w:webHidden/>
          </w:rPr>
          <w:fldChar w:fldCharType="separate"/>
        </w:r>
        <w:r>
          <w:rPr>
            <w:noProof/>
            <w:webHidden/>
          </w:rPr>
          <w:t>7</w:t>
        </w:r>
        <w:r>
          <w:rPr>
            <w:noProof/>
            <w:webHidden/>
          </w:rPr>
          <w:fldChar w:fldCharType="end"/>
        </w:r>
      </w:hyperlink>
    </w:p>
    <w:p w14:paraId="4EF0B786" w14:textId="70B87CE8" w:rsidR="008C426B" w:rsidRPr="008C426B" w:rsidRDefault="008C426B" w:rsidP="008C426B">
      <w:pPr>
        <w:rPr>
          <w:b/>
          <w:color w:val="002060"/>
          <w:lang w:val="en-GB"/>
        </w:rPr>
      </w:pPr>
      <w:r>
        <w:rPr>
          <w:b/>
          <w:color w:val="002060"/>
          <w:lang w:val="en-GB"/>
        </w:rPr>
        <w:fldChar w:fldCharType="end"/>
      </w:r>
    </w:p>
    <w:p w14:paraId="633F82ED" w14:textId="168E9E89" w:rsidR="00820BFF" w:rsidRPr="009958E2" w:rsidRDefault="00820BFF" w:rsidP="009E03A5">
      <w:pPr>
        <w:rPr>
          <w:lang w:val="en-GB"/>
        </w:rPr>
      </w:pPr>
    </w:p>
    <w:p w14:paraId="534C17DF" w14:textId="2C2C4517" w:rsidR="001E542A" w:rsidRPr="009958E2" w:rsidRDefault="001E542A">
      <w:pPr>
        <w:spacing w:line="276" w:lineRule="auto"/>
        <w:jc w:val="left"/>
        <w:rPr>
          <w:b/>
          <w:sz w:val="24"/>
          <w:szCs w:val="24"/>
          <w:lang w:val="en-GB"/>
        </w:rPr>
      </w:pPr>
      <w:r w:rsidRPr="009958E2">
        <w:rPr>
          <w:b/>
          <w:noProof/>
          <w:lang w:val="en-GB"/>
        </w:rPr>
        <mc:AlternateContent>
          <mc:Choice Requires="wps">
            <w:drawing>
              <wp:anchor distT="0" distB="0" distL="114300" distR="114300" simplePos="0" relativeHeight="251659264" behindDoc="0" locked="0" layoutInCell="1" allowOverlap="1" wp14:anchorId="17D1CB29" wp14:editId="5728B95E">
                <wp:simplePos x="0" y="0"/>
                <wp:positionH relativeFrom="column">
                  <wp:posOffset>1511989</wp:posOffset>
                </wp:positionH>
                <wp:positionV relativeFrom="paragraph">
                  <wp:posOffset>2107592</wp:posOffset>
                </wp:positionV>
                <wp:extent cx="4318000" cy="12788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7B83A98E" w14:textId="5B6E3D7E" w:rsidR="005253BB" w:rsidRPr="00B921A6" w:rsidRDefault="005253BB" w:rsidP="008B0BF4">
                            <w:pPr>
                              <w:tabs>
                                <w:tab w:val="left" w:pos="8647"/>
                              </w:tabs>
                              <w:ind w:right="283"/>
                              <w:jc w:val="right"/>
                              <w:rPr>
                                <w:b/>
                                <w:color w:val="1F497D" w:themeColor="text2"/>
                                <w:sz w:val="20"/>
                                <w:szCs w:val="20"/>
                              </w:rPr>
                            </w:pPr>
                            <w:r w:rsidRPr="00B921A6">
                              <w:rPr>
                                <w:b/>
                                <w:color w:val="1F497D" w:themeColor="text2"/>
                                <w:sz w:val="20"/>
                                <w:szCs w:val="20"/>
                              </w:rPr>
                              <w:t xml:space="preserve">Submitted </w:t>
                            </w:r>
                            <w:r w:rsidR="008C426B">
                              <w:rPr>
                                <w:b/>
                                <w:color w:val="1F497D" w:themeColor="text2"/>
                                <w:sz w:val="20"/>
                                <w:szCs w:val="20"/>
                              </w:rPr>
                              <w:t>in</w:t>
                            </w:r>
                            <w:r>
                              <w:rPr>
                                <w:b/>
                                <w:color w:val="1F497D" w:themeColor="text2"/>
                                <w:sz w:val="20"/>
                                <w:szCs w:val="20"/>
                              </w:rPr>
                              <w:t xml:space="preserve"> January 2020</w:t>
                            </w:r>
                          </w:p>
                          <w:p w14:paraId="050CAB85" w14:textId="77777777" w:rsidR="005253BB" w:rsidRPr="00734E49" w:rsidRDefault="005253BB"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5253BB" w:rsidRPr="00734E49" w:rsidRDefault="005253BB"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5253BB" w:rsidRPr="00734E49" w:rsidRDefault="005253BB"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5253BB" w:rsidRPr="00734E49" w:rsidRDefault="005253BB"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5253BB" w:rsidRPr="00734E49" w:rsidRDefault="005253BB" w:rsidP="00820BFF">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1CB29" id="_x0000_t202" coordsize="21600,21600" o:spt="202" path="m,l,21600r21600,l21600,xe">
                <v:stroke joinstyle="miter"/>
                <v:path gradientshapeok="t" o:connecttype="rect"/>
              </v:shapetype>
              <v:shape id="Text Box 4" o:spid="_x0000_s1026" type="#_x0000_t202" style="position:absolute;margin-left:119.05pt;margin-top:165.95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" filled="f" stroked="f" strokeweight=".5pt">
                <v:textbox>
                  <w:txbxContent>
                    <w:p w14:paraId="7B83A98E" w14:textId="5B6E3D7E" w:rsidR="005253BB" w:rsidRPr="00B921A6" w:rsidRDefault="005253BB" w:rsidP="008B0BF4">
                      <w:pPr>
                        <w:tabs>
                          <w:tab w:val="left" w:pos="8647"/>
                        </w:tabs>
                        <w:ind w:right="283"/>
                        <w:jc w:val="right"/>
                        <w:rPr>
                          <w:b/>
                          <w:color w:val="1F497D" w:themeColor="text2"/>
                          <w:sz w:val="20"/>
                          <w:szCs w:val="20"/>
                        </w:rPr>
                      </w:pPr>
                      <w:r w:rsidRPr="00B921A6">
                        <w:rPr>
                          <w:b/>
                          <w:color w:val="1F497D" w:themeColor="text2"/>
                          <w:sz w:val="20"/>
                          <w:szCs w:val="20"/>
                        </w:rPr>
                        <w:t xml:space="preserve">Submitted </w:t>
                      </w:r>
                      <w:r w:rsidR="008C426B">
                        <w:rPr>
                          <w:b/>
                          <w:color w:val="1F497D" w:themeColor="text2"/>
                          <w:sz w:val="20"/>
                          <w:szCs w:val="20"/>
                        </w:rPr>
                        <w:t>in</w:t>
                      </w:r>
                      <w:r>
                        <w:rPr>
                          <w:b/>
                          <w:color w:val="1F497D" w:themeColor="text2"/>
                          <w:sz w:val="20"/>
                          <w:szCs w:val="20"/>
                        </w:rPr>
                        <w:t xml:space="preserve"> January 2020</w:t>
                      </w:r>
                    </w:p>
                    <w:p w14:paraId="050CAB85" w14:textId="77777777" w:rsidR="005253BB" w:rsidRPr="00734E49" w:rsidRDefault="005253BB"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5253BB" w:rsidRPr="00734E49" w:rsidRDefault="005253BB"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5253BB" w:rsidRPr="00734E49" w:rsidRDefault="005253BB"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5253BB" w:rsidRPr="00734E49" w:rsidRDefault="005253BB"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5253BB" w:rsidRPr="00734E49" w:rsidRDefault="005253BB" w:rsidP="00820BFF">
                      <w:pPr>
                        <w:jc w:val="right"/>
                        <w:rPr>
                          <w:b/>
                          <w:color w:val="000000" w:themeColor="text1"/>
                        </w:rPr>
                      </w:pPr>
                    </w:p>
                  </w:txbxContent>
                </v:textbox>
              </v:shape>
            </w:pict>
          </mc:Fallback>
        </mc:AlternateContent>
      </w:r>
      <w:r w:rsidRPr="009958E2">
        <w:rPr>
          <w:b/>
          <w:sz w:val="24"/>
          <w:szCs w:val="24"/>
          <w:lang w:val="en-GB"/>
        </w:rPr>
        <w:br w:type="page"/>
      </w:r>
    </w:p>
    <w:p w14:paraId="5F61CA80" w14:textId="1FF0BD07" w:rsidR="008C426B" w:rsidRDefault="008C426B" w:rsidP="008C426B">
      <w:pPr>
        <w:pStyle w:val="Heading1"/>
        <w:rPr>
          <w:lang w:val="en-GB"/>
        </w:rPr>
      </w:pPr>
      <w:bookmarkStart w:id="1" w:name="_heading=h.1fob9te" w:colFirst="0" w:colLast="0"/>
      <w:bookmarkStart w:id="2" w:name="_Toc30188564"/>
      <w:bookmarkEnd w:id="1"/>
      <w:r>
        <w:rPr>
          <w:lang w:val="en-GB"/>
        </w:rPr>
        <w:lastRenderedPageBreak/>
        <w:t xml:space="preserve">I. </w:t>
      </w:r>
      <w:r w:rsidR="007C0AE6">
        <w:rPr>
          <w:lang w:val="en-GB"/>
        </w:rPr>
        <w:t>Introduction</w:t>
      </w:r>
      <w:bookmarkEnd w:id="2"/>
      <w:r w:rsidR="007C0AE6">
        <w:rPr>
          <w:lang w:val="en-GB"/>
        </w:rPr>
        <w:t xml:space="preserve"> </w:t>
      </w:r>
    </w:p>
    <w:p w14:paraId="69EAE0C8" w14:textId="194D8D58" w:rsidR="008C426B" w:rsidRPr="008C426B" w:rsidRDefault="008C426B" w:rsidP="008C426B">
      <w:pPr>
        <w:rPr>
          <w:lang w:val="en-GB"/>
        </w:rPr>
      </w:pPr>
      <w:r w:rsidRPr="008C426B">
        <w:rPr>
          <w:lang w:val="en-GB"/>
        </w:rPr>
        <w:t xml:space="preserve">WILPF Italy is a national section of the Women’s International League for Peace and Freedom, which is a national section of the Women’s International League for Peace and Freedom (WILPF). In this submission, we have focused on </w:t>
      </w:r>
      <w:r w:rsidRPr="008C426B">
        <w:rPr>
          <w:b/>
          <w:bCs/>
          <w:lang w:val="en-GB"/>
        </w:rPr>
        <w:t>migration, asylum and trafficking in human beings.</w:t>
      </w:r>
      <w:r w:rsidRPr="008C426B">
        <w:rPr>
          <w:lang w:val="en-GB"/>
        </w:rPr>
        <w:t xml:space="preserve"> WILPF Italy is also part of a joint submission on women’s rights, submitted jointly with </w:t>
      </w:r>
      <w:r>
        <w:rPr>
          <w:lang w:val="en-GB"/>
        </w:rPr>
        <w:t xml:space="preserve">the </w:t>
      </w:r>
      <w:r w:rsidRPr="008C426B">
        <w:rPr>
          <w:lang w:val="en-GB"/>
        </w:rPr>
        <w:t xml:space="preserve">Fondazione Pangea </w:t>
      </w:r>
      <w:proofErr w:type="spellStart"/>
      <w:r w:rsidRPr="008C426B">
        <w:rPr>
          <w:lang w:val="en-GB"/>
        </w:rPr>
        <w:t>onlus</w:t>
      </w:r>
      <w:proofErr w:type="spellEnd"/>
      <w:r w:rsidRPr="008C426B">
        <w:rPr>
          <w:lang w:val="en-GB"/>
        </w:rPr>
        <w:t xml:space="preserve">. </w:t>
      </w:r>
    </w:p>
    <w:p w14:paraId="72BE42C0" w14:textId="036616D1" w:rsidR="008C426B" w:rsidRDefault="008C426B" w:rsidP="008C426B">
      <w:pPr>
        <w:rPr>
          <w:lang w:val="en-GB"/>
        </w:rPr>
      </w:pPr>
    </w:p>
    <w:p w14:paraId="7E85F4B6" w14:textId="2BE06B44" w:rsidR="008C426B" w:rsidRPr="008C426B" w:rsidRDefault="008C426B" w:rsidP="008C426B">
      <w:pPr>
        <w:pStyle w:val="Heading1"/>
        <w:rPr>
          <w:lang w:val="en-GB"/>
        </w:rPr>
      </w:pPr>
      <w:bookmarkStart w:id="3" w:name="_Toc30188565"/>
      <w:r>
        <w:rPr>
          <w:lang w:val="en-GB"/>
        </w:rPr>
        <w:t>II. M</w:t>
      </w:r>
      <w:r w:rsidRPr="008C426B">
        <w:rPr>
          <w:lang w:val="en-GB"/>
        </w:rPr>
        <w:t>igration, asylum and trafficking in human beings</w:t>
      </w:r>
      <w:bookmarkEnd w:id="3"/>
    </w:p>
    <w:p w14:paraId="0813C7C0" w14:textId="77777777" w:rsidR="008C426B" w:rsidRPr="008C426B" w:rsidRDefault="008C426B" w:rsidP="008C426B">
      <w:pPr>
        <w:rPr>
          <w:lang w:val="en-GB"/>
        </w:rPr>
      </w:pPr>
      <w:r w:rsidRPr="008C426B">
        <w:rPr>
          <w:lang w:val="en-GB"/>
        </w:rPr>
        <w:t>Through a combination of political pressure, financial incentives and military assistance, the EU has tried to induce transit countries in the Sahel to close their borders to Europe-bound migrants.</w:t>
      </w:r>
      <w:r w:rsidRPr="008C426B">
        <w:rPr>
          <w:vertAlign w:val="superscript"/>
          <w:lang w:val="en-GB"/>
        </w:rPr>
        <w:footnoteReference w:id="1"/>
      </w:r>
      <w:r w:rsidRPr="008C426B">
        <w:rPr>
          <w:lang w:val="en-GB"/>
        </w:rPr>
        <w:t xml:space="preserve"> Italy has signed cooperation and development agreements with countries in Africa which are, in fact, focused on controlling and stopping migration. </w:t>
      </w:r>
    </w:p>
    <w:p w14:paraId="79E2B7EF" w14:textId="77777777" w:rsidR="008C426B" w:rsidRPr="008C426B" w:rsidRDefault="008C426B" w:rsidP="008C426B">
      <w:pPr>
        <w:rPr>
          <w:lang w:val="en-GB"/>
        </w:rPr>
      </w:pPr>
    </w:p>
    <w:p w14:paraId="09B74BF5" w14:textId="77777777" w:rsidR="008C426B" w:rsidRPr="008C426B" w:rsidRDefault="008C426B" w:rsidP="008C426B">
      <w:pPr>
        <w:rPr>
          <w:lang w:val="en-GB"/>
        </w:rPr>
      </w:pPr>
      <w:r w:rsidRPr="008C426B">
        <w:rPr>
          <w:lang w:val="en-GB"/>
        </w:rPr>
        <w:t>With backing from the EU,</w:t>
      </w:r>
      <w:r w:rsidRPr="008C426B">
        <w:rPr>
          <w:vertAlign w:val="superscript"/>
          <w:lang w:val="en-GB"/>
        </w:rPr>
        <w:footnoteReference w:id="2"/>
      </w:r>
      <w:r w:rsidRPr="008C426B">
        <w:rPr>
          <w:lang w:val="en-GB"/>
        </w:rPr>
        <w:t xml:space="preserve"> Italy has been outsourcing its border control to Libya by funding immigration detention centres under the pretext that such centres deter trafficking in human beings.</w:t>
      </w:r>
      <w:r w:rsidRPr="008C426B">
        <w:rPr>
          <w:vertAlign w:val="superscript"/>
          <w:lang w:val="en-GB"/>
        </w:rPr>
        <w:footnoteReference w:id="3"/>
      </w:r>
      <w:r w:rsidRPr="008C426B">
        <w:rPr>
          <w:lang w:val="en-GB"/>
        </w:rPr>
        <w:t xml:space="preserve"> However, credible reports have shown that rights abuses, such as torture, including torture of children, and gender-based violence, have been perpetrated in these centres.</w:t>
      </w:r>
      <w:r w:rsidRPr="008C426B">
        <w:rPr>
          <w:vertAlign w:val="superscript"/>
          <w:lang w:val="en-GB"/>
        </w:rPr>
        <w:footnoteReference w:id="4"/>
      </w:r>
      <w:r w:rsidRPr="008C426B">
        <w:rPr>
          <w:lang w:val="en-GB"/>
        </w:rPr>
        <w:t xml:space="preserve"> In March 2019, the High Commissioner for Human Rights called upon Libya, the EU and Italy to respect human rights of migrants.</w:t>
      </w:r>
      <w:r w:rsidRPr="008C426B">
        <w:rPr>
          <w:vertAlign w:val="superscript"/>
          <w:lang w:val="en-GB"/>
        </w:rPr>
        <w:footnoteReference w:id="5"/>
      </w:r>
      <w:r w:rsidRPr="008C426B">
        <w:rPr>
          <w:lang w:val="en-GB"/>
        </w:rPr>
        <w:t xml:space="preserve"> </w:t>
      </w:r>
    </w:p>
    <w:p w14:paraId="57E99A7E" w14:textId="77777777" w:rsidR="008C426B" w:rsidRPr="008C426B" w:rsidRDefault="008C426B" w:rsidP="008C426B">
      <w:pPr>
        <w:rPr>
          <w:lang w:val="en-GB"/>
        </w:rPr>
      </w:pPr>
    </w:p>
    <w:p w14:paraId="37D8BF39" w14:textId="77777777" w:rsidR="008C426B" w:rsidRPr="008C426B" w:rsidRDefault="008C426B" w:rsidP="008C426B">
      <w:pPr>
        <w:rPr>
          <w:lang w:val="en-GB"/>
        </w:rPr>
      </w:pPr>
      <w:r w:rsidRPr="008C426B">
        <w:rPr>
          <w:lang w:val="en-GB"/>
        </w:rPr>
        <w:t>After the closure of ports to vessels carrying migrants, including asylum seekers, and the reduction of search and rescue operations at sea,</w:t>
      </w:r>
      <w:r w:rsidRPr="008C426B">
        <w:rPr>
          <w:vertAlign w:val="superscript"/>
          <w:lang w:val="en-GB"/>
        </w:rPr>
        <w:footnoteReference w:id="6"/>
      </w:r>
      <w:r w:rsidRPr="008C426B">
        <w:rPr>
          <w:lang w:val="en-GB"/>
        </w:rPr>
        <w:t xml:space="preserve"> the government adopted a restrictive approach to internal legislation, reforming the architecture of the Italian system of international protection for asylum. </w:t>
      </w:r>
    </w:p>
    <w:p w14:paraId="112CB352" w14:textId="77777777" w:rsidR="008C426B" w:rsidRPr="008C426B" w:rsidRDefault="008C426B" w:rsidP="008C426B">
      <w:pPr>
        <w:rPr>
          <w:lang w:val="en-GB"/>
        </w:rPr>
      </w:pPr>
      <w:r w:rsidRPr="008C426B">
        <w:rPr>
          <w:lang w:val="en-GB"/>
        </w:rPr>
        <w:lastRenderedPageBreak/>
        <w:t xml:space="preserve">In September 2018, the Italian Council of Ministers unanimously adopted Decree-law 113/2018 on Immigration and Security, which represents a crackdown on migrants and asylum seekers. As noted by Professor Cecilia </w:t>
      </w:r>
      <w:proofErr w:type="spellStart"/>
      <w:r w:rsidRPr="008C426B">
        <w:rPr>
          <w:lang w:val="en-GB"/>
        </w:rPr>
        <w:t>Corsi</w:t>
      </w:r>
      <w:proofErr w:type="spellEnd"/>
      <w:r w:rsidRPr="008C426B">
        <w:rPr>
          <w:lang w:val="en-GB"/>
        </w:rPr>
        <w:t>, “the principal changes are both substantive (the abolition of humanitarian protection) and procedural (the introduction of accelerated procedures and new grounds for detention of individuals seeking asylum), as well as the modalities of reception.”</w:t>
      </w:r>
      <w:r w:rsidRPr="008C426B">
        <w:rPr>
          <w:vertAlign w:val="superscript"/>
          <w:lang w:val="en-GB"/>
        </w:rPr>
        <w:footnoteReference w:id="7"/>
      </w:r>
      <w:r w:rsidRPr="008C426B">
        <w:rPr>
          <w:lang w:val="en-GB"/>
        </w:rPr>
        <w:t xml:space="preserve"> </w:t>
      </w:r>
    </w:p>
    <w:p w14:paraId="7AE7FA72" w14:textId="77777777" w:rsidR="008C426B" w:rsidRPr="008C426B" w:rsidRDefault="008C426B" w:rsidP="008C426B">
      <w:pPr>
        <w:rPr>
          <w:lang w:val="en-GB"/>
        </w:rPr>
      </w:pPr>
    </w:p>
    <w:p w14:paraId="307FE751" w14:textId="77777777" w:rsidR="008C426B" w:rsidRPr="008C426B" w:rsidRDefault="008C426B" w:rsidP="008C426B">
      <w:pPr>
        <w:rPr>
          <w:lang w:val="en-GB"/>
        </w:rPr>
      </w:pPr>
      <w:r w:rsidRPr="008C426B">
        <w:rPr>
          <w:lang w:val="en-GB"/>
        </w:rPr>
        <w:t>Available data already gave an idea of the scale of violations that new decree would trigger, since in 2017 a majority of asylum seekers were granted humanitarian protection.</w:t>
      </w:r>
      <w:r w:rsidRPr="008C426B">
        <w:rPr>
          <w:vertAlign w:val="superscript"/>
          <w:lang w:val="en-GB"/>
        </w:rPr>
        <w:footnoteReference w:id="8"/>
      </w:r>
      <w:r w:rsidRPr="008C426B">
        <w:rPr>
          <w:lang w:val="en-GB"/>
        </w:rPr>
        <w:t xml:space="preserve"> </w:t>
      </w:r>
    </w:p>
    <w:p w14:paraId="35D9EAAA" w14:textId="77777777" w:rsidR="008C426B" w:rsidRPr="008C426B" w:rsidRDefault="008C426B" w:rsidP="008C426B">
      <w:pPr>
        <w:rPr>
          <w:lang w:val="en-GB"/>
        </w:rPr>
      </w:pPr>
    </w:p>
    <w:p w14:paraId="040C463E" w14:textId="77777777" w:rsidR="008C426B" w:rsidRPr="008C426B" w:rsidRDefault="008C426B" w:rsidP="008C426B">
      <w:pPr>
        <w:rPr>
          <w:lang w:val="en-GB"/>
        </w:rPr>
      </w:pPr>
      <w:r w:rsidRPr="008C426B">
        <w:rPr>
          <w:lang w:val="en-GB"/>
        </w:rPr>
        <w:t xml:space="preserve">The decree, </w:t>
      </w:r>
      <w:r w:rsidRPr="008C426B">
        <w:rPr>
          <w:i/>
          <w:iCs/>
          <w:lang w:val="en-GB"/>
        </w:rPr>
        <w:t>inter alia</w:t>
      </w:r>
      <w:r w:rsidRPr="008C426B">
        <w:rPr>
          <w:lang w:val="en-GB"/>
        </w:rPr>
        <w:t xml:space="preserve">, modifies the System for the Protection of Asylum Seekers and Refugees (SPRAR) managed by local authorities making it available only to adults who had already been granted international protection and to unaccompanied minors; while asylum seekers would be hosted in collective reception centres (CARA, CDA) or temporary reception centres (CAS), with access to only a basic level of reception. The decree also extends the period of detention of asylum seekers and migrants at so-called repatriation centres </w:t>
      </w:r>
      <w:r w:rsidRPr="008C426B">
        <w:rPr>
          <w:i/>
          <w:lang w:val="en-GB"/>
        </w:rPr>
        <w:t>(</w:t>
      </w:r>
      <w:proofErr w:type="spellStart"/>
      <w:r w:rsidRPr="008C426B">
        <w:rPr>
          <w:i/>
          <w:lang w:val="en-GB"/>
        </w:rPr>
        <w:t>Centri</w:t>
      </w:r>
      <w:proofErr w:type="spellEnd"/>
      <w:r w:rsidRPr="008C426B">
        <w:rPr>
          <w:i/>
          <w:lang w:val="en-GB"/>
        </w:rPr>
        <w:t xml:space="preserve"> di </w:t>
      </w:r>
      <w:proofErr w:type="spellStart"/>
      <w:r w:rsidRPr="008C426B">
        <w:rPr>
          <w:i/>
          <w:lang w:val="en-GB"/>
        </w:rPr>
        <w:t>permanenza</w:t>
      </w:r>
      <w:proofErr w:type="spellEnd"/>
      <w:r w:rsidRPr="008C426B">
        <w:rPr>
          <w:i/>
          <w:lang w:val="en-GB"/>
        </w:rPr>
        <w:t xml:space="preserve"> per </w:t>
      </w:r>
      <w:proofErr w:type="spellStart"/>
      <w:r w:rsidRPr="008C426B">
        <w:rPr>
          <w:i/>
          <w:lang w:val="en-GB"/>
        </w:rPr>
        <w:t>il</w:t>
      </w:r>
      <w:proofErr w:type="spellEnd"/>
      <w:r w:rsidRPr="008C426B">
        <w:rPr>
          <w:i/>
          <w:lang w:val="en-GB"/>
        </w:rPr>
        <w:t xml:space="preserve"> </w:t>
      </w:r>
      <w:proofErr w:type="spellStart"/>
      <w:r w:rsidRPr="008C426B">
        <w:rPr>
          <w:i/>
          <w:lang w:val="en-GB"/>
        </w:rPr>
        <w:t>rimpatrio</w:t>
      </w:r>
      <w:proofErr w:type="spellEnd"/>
      <w:r w:rsidRPr="008C426B">
        <w:rPr>
          <w:lang w:val="en-GB"/>
        </w:rPr>
        <w:t xml:space="preserve">, </w:t>
      </w:r>
      <w:r w:rsidRPr="008C426B">
        <w:rPr>
          <w:i/>
          <w:lang w:val="en-GB"/>
        </w:rPr>
        <w:t>CPR.)</w:t>
      </w:r>
    </w:p>
    <w:p w14:paraId="65EF5AC4" w14:textId="77777777" w:rsidR="008C426B" w:rsidRPr="008C426B" w:rsidRDefault="008C426B" w:rsidP="008C426B">
      <w:pPr>
        <w:rPr>
          <w:lang w:val="en-GB"/>
        </w:rPr>
      </w:pPr>
    </w:p>
    <w:p w14:paraId="2A79EB6B" w14:textId="77777777" w:rsidR="008C426B" w:rsidRPr="008C426B" w:rsidRDefault="008C426B" w:rsidP="008C426B">
      <w:pPr>
        <w:rPr>
          <w:lang w:val="en-GB"/>
        </w:rPr>
      </w:pPr>
      <w:r w:rsidRPr="008C426B">
        <w:rPr>
          <w:lang w:val="en-GB"/>
        </w:rPr>
        <w:t>Among those included in the reception system, as of 30 June 2019, 75,8% of asylum seekers were hosted in CASs and only the 24,1% in the SPRAR.</w:t>
      </w:r>
      <w:r w:rsidRPr="008C426B">
        <w:rPr>
          <w:vertAlign w:val="superscript"/>
          <w:lang w:val="en-GB"/>
        </w:rPr>
        <w:footnoteReference w:id="9"/>
      </w:r>
      <w:r w:rsidRPr="008C426B">
        <w:rPr>
          <w:lang w:val="en-GB"/>
        </w:rPr>
        <w:t xml:space="preserve"> This is symptomatic of a system that favours an emergency approach at the expense of integration. Humanitarian protection holders have been excluded by the reception system and asylum seekers who do not find space in CASs end up living in urban and rural slums with no guarantee of their rights, including economic, social and cultural rights. Unaccompanied minors, despite being hosted in the SPRAR, are excluded from the system once they reach the age of eighteen without receiving sufficient support to obtain a residence permit for studying or working.</w:t>
      </w:r>
    </w:p>
    <w:p w14:paraId="22493606" w14:textId="77777777" w:rsidR="008C426B" w:rsidRPr="008C426B" w:rsidRDefault="008C426B" w:rsidP="008C426B">
      <w:pPr>
        <w:rPr>
          <w:lang w:val="en-GB"/>
        </w:rPr>
      </w:pPr>
    </w:p>
    <w:p w14:paraId="6DAA48F6" w14:textId="77777777" w:rsidR="008C426B" w:rsidRPr="008C426B" w:rsidRDefault="008C426B" w:rsidP="008C426B">
      <w:pPr>
        <w:rPr>
          <w:lang w:val="en-GB"/>
        </w:rPr>
      </w:pPr>
      <w:r w:rsidRPr="008C426B">
        <w:rPr>
          <w:lang w:val="en-GB"/>
        </w:rPr>
        <w:t xml:space="preserve">While stating that the residence permit for asylum constitutes an identification document, the Decree 113/2018 establishes that it does not constitute a valid document for the registration of asylum seekers in the civil registry of municipalities’ resident population. This is particularly concerning as the </w:t>
      </w:r>
      <w:r w:rsidRPr="008C426B">
        <w:rPr>
          <w:lang w:val="en-GB"/>
        </w:rPr>
        <w:lastRenderedPageBreak/>
        <w:t>registration at the civil registry is the ‘access key’ to the ID card and consequently to fundamental rights and services and can affect asylum seekers’ ability to rent accommodation, enrol in public schools and nursery schools,</w:t>
      </w:r>
      <w:r w:rsidRPr="008C426B">
        <w:rPr>
          <w:vertAlign w:val="superscript"/>
          <w:lang w:val="en-GB"/>
        </w:rPr>
        <w:footnoteReference w:id="10"/>
      </w:r>
      <w:r w:rsidRPr="008C426B">
        <w:rPr>
          <w:lang w:val="en-GB"/>
        </w:rPr>
        <w:t xml:space="preserve"> have a bank or postal account</w:t>
      </w:r>
      <w:r w:rsidRPr="008C426B">
        <w:rPr>
          <w:vertAlign w:val="superscript"/>
          <w:lang w:val="en-GB"/>
        </w:rPr>
        <w:footnoteReference w:id="11"/>
      </w:r>
      <w:r w:rsidRPr="008C426B">
        <w:rPr>
          <w:lang w:val="en-GB"/>
        </w:rPr>
        <w:t xml:space="preserve"> and a driving license, and delays their possibility to access public housing and the acquisition of citizenship.</w:t>
      </w:r>
      <w:r w:rsidRPr="008C426B">
        <w:rPr>
          <w:vertAlign w:val="superscript"/>
          <w:lang w:val="en-GB"/>
        </w:rPr>
        <w:footnoteReference w:id="12"/>
      </w:r>
    </w:p>
    <w:p w14:paraId="38BDFBD4" w14:textId="77777777" w:rsidR="008C426B" w:rsidRPr="008C426B" w:rsidRDefault="008C426B" w:rsidP="008C426B">
      <w:pPr>
        <w:rPr>
          <w:lang w:val="en-GB"/>
        </w:rPr>
      </w:pPr>
    </w:p>
    <w:p w14:paraId="6B72D499" w14:textId="77777777" w:rsidR="008C426B" w:rsidRPr="008C426B" w:rsidRDefault="008C426B" w:rsidP="008C426B">
      <w:pPr>
        <w:rPr>
          <w:lang w:val="en-GB"/>
        </w:rPr>
      </w:pPr>
      <w:r w:rsidRPr="008C426B">
        <w:rPr>
          <w:lang w:val="en-GB"/>
        </w:rPr>
        <w:t xml:space="preserve">Asylum seekers face further obstacles, since the renewal of the asylum protection permit can take up to seven months during which they can be convened five times, and in the meantime – if not in possession of an ID or a passport – they do not have the possibility to enter into a rental lease, open a bank account or receive a payment by cheque, even if they work. People who have already been granted international protection are sometimes asked to provide a certificate of residence when they ask for a renewal or a copy of their international protection permit. A certificate of residence is often asked of asylum seekers also by employment centres, without </w:t>
      </w:r>
      <w:proofErr w:type="gramStart"/>
      <w:r w:rsidRPr="008C426B">
        <w:rPr>
          <w:lang w:val="en-GB"/>
        </w:rPr>
        <w:t>taking into account</w:t>
      </w:r>
      <w:proofErr w:type="gramEnd"/>
      <w:r w:rsidRPr="008C426B">
        <w:rPr>
          <w:lang w:val="en-GB"/>
        </w:rPr>
        <w:t xml:space="preserve"> that without a job it is extremely difficult to afford an apartment and therefore register the residence. All these barriers make integration even more difficult and constitute a source of distress for asylum seekers, severely affecting their mental health. </w:t>
      </w:r>
    </w:p>
    <w:p w14:paraId="2F52D098" w14:textId="77777777" w:rsidR="008C426B" w:rsidRPr="008C426B" w:rsidRDefault="008C426B" w:rsidP="008C426B">
      <w:pPr>
        <w:rPr>
          <w:lang w:val="en-GB"/>
        </w:rPr>
      </w:pPr>
    </w:p>
    <w:p w14:paraId="171916FC" w14:textId="77777777" w:rsidR="008C426B" w:rsidRPr="008C426B" w:rsidRDefault="008C426B" w:rsidP="008C426B">
      <w:pPr>
        <w:rPr>
          <w:lang w:val="en-GB"/>
        </w:rPr>
      </w:pPr>
      <w:r w:rsidRPr="008C426B">
        <w:rPr>
          <w:lang w:val="en-GB"/>
        </w:rPr>
        <w:t>Some city mayors have proceeded with the registration of asylum seekers even after the adoption of the decree.</w:t>
      </w:r>
      <w:r w:rsidRPr="008C426B">
        <w:rPr>
          <w:vertAlign w:val="superscript"/>
          <w:lang w:val="en-GB"/>
        </w:rPr>
        <w:footnoteReference w:id="13"/>
      </w:r>
      <w:r w:rsidRPr="008C426B">
        <w:rPr>
          <w:lang w:val="en-GB"/>
        </w:rPr>
        <w:t xml:space="preserve"> The Constitutional Court is currently examining whether denying asylum seekers of the registration in the civil registry of the resident population is compatible with the Italian Constitution; the ruling is expected for March 2020.</w:t>
      </w:r>
      <w:r w:rsidRPr="008C426B">
        <w:rPr>
          <w:vertAlign w:val="superscript"/>
          <w:lang w:val="en-GB"/>
        </w:rPr>
        <w:footnoteReference w:id="14"/>
      </w:r>
    </w:p>
    <w:p w14:paraId="38938B21" w14:textId="77777777" w:rsidR="008C426B" w:rsidRPr="008C426B" w:rsidRDefault="008C426B" w:rsidP="008C426B">
      <w:pPr>
        <w:rPr>
          <w:lang w:val="en-GB"/>
        </w:rPr>
      </w:pPr>
    </w:p>
    <w:p w14:paraId="0F4D32B4" w14:textId="77777777" w:rsidR="008C426B" w:rsidRPr="008C426B" w:rsidRDefault="008C426B" w:rsidP="008C426B">
      <w:pPr>
        <w:rPr>
          <w:lang w:val="en-GB"/>
        </w:rPr>
      </w:pPr>
      <w:r w:rsidRPr="008C426B">
        <w:rPr>
          <w:lang w:val="en-GB"/>
        </w:rPr>
        <w:t>The United Nations High Commissioner for Refugees (UNHCR) and the Council of Europe Commissioner for Human Rights are among those to have expressed concerns about the decree.</w:t>
      </w:r>
      <w:r w:rsidRPr="008C426B">
        <w:rPr>
          <w:vertAlign w:val="superscript"/>
          <w:lang w:val="en-GB"/>
        </w:rPr>
        <w:footnoteReference w:id="15"/>
      </w:r>
      <w:r w:rsidRPr="008C426B">
        <w:rPr>
          <w:lang w:val="en-GB"/>
        </w:rPr>
        <w:t xml:space="preserve"> On </w:t>
      </w:r>
      <w:r w:rsidRPr="008C426B">
        <w:rPr>
          <w:lang w:val="en-GB"/>
        </w:rPr>
        <w:lastRenderedPageBreak/>
        <w:t>12 November 2018, several UN Special Procedures sent to the Italian government a detailed communication with concerns relating to the adverse implications of the implementation of the decree on the rights of migrants, including victims or potential victims of trafficking in persons, as well as to the continuing smear campaigns against civil society organisations engaged in search and rescue operations in the Mediterranean Sea and the criminalisation of the work of migrant rights defenders.</w:t>
      </w:r>
      <w:r w:rsidRPr="008C426B">
        <w:rPr>
          <w:vertAlign w:val="superscript"/>
          <w:lang w:val="en-GB"/>
        </w:rPr>
        <w:footnoteReference w:id="16"/>
      </w:r>
    </w:p>
    <w:p w14:paraId="1F9EE255" w14:textId="77777777" w:rsidR="008C426B" w:rsidRPr="008C426B" w:rsidRDefault="008C426B" w:rsidP="008C426B">
      <w:pPr>
        <w:rPr>
          <w:lang w:val="en-GB"/>
        </w:rPr>
      </w:pPr>
    </w:p>
    <w:p w14:paraId="2D5DA089" w14:textId="77777777" w:rsidR="008C426B" w:rsidRPr="008C426B" w:rsidRDefault="008C426B" w:rsidP="008C426B">
      <w:pPr>
        <w:rPr>
          <w:lang w:val="en-GB"/>
        </w:rPr>
      </w:pPr>
      <w:r w:rsidRPr="008C426B">
        <w:rPr>
          <w:lang w:val="en-GB"/>
        </w:rPr>
        <w:t xml:space="preserve">Furthermore, the UNHCR noted that a newly introduced additional security-oriented piece of legislation - decree DDL 53/19 of 15 June 2019, which curtails and penalizes non-authorized rescue at sea operations - is in breach of international law, in particular of the principle of non-refoulment. </w:t>
      </w:r>
    </w:p>
    <w:p w14:paraId="7BE47072" w14:textId="77777777" w:rsidR="008C426B" w:rsidRPr="008C426B" w:rsidRDefault="008C426B" w:rsidP="008C426B">
      <w:pPr>
        <w:rPr>
          <w:lang w:val="en-GB"/>
        </w:rPr>
      </w:pPr>
    </w:p>
    <w:p w14:paraId="05BACCF7" w14:textId="77777777" w:rsidR="008C426B" w:rsidRPr="008C426B" w:rsidRDefault="008C426B" w:rsidP="008C426B">
      <w:pPr>
        <w:rPr>
          <w:lang w:val="en-GB"/>
        </w:rPr>
      </w:pPr>
      <w:r w:rsidRPr="008C426B">
        <w:rPr>
          <w:lang w:val="en-GB"/>
        </w:rPr>
        <w:t>In 2015 the Committee on Economic, Social and Cultural Rights (CESCR) expressed concern about the limited “enjoyment of the Covenant rights by migrants, asylum seekers and refugees upon arrival in the State party.”</w:t>
      </w:r>
      <w:r w:rsidRPr="008C426B">
        <w:rPr>
          <w:vertAlign w:val="superscript"/>
          <w:lang w:val="en-GB"/>
        </w:rPr>
        <w:footnoteReference w:id="17"/>
      </w:r>
      <w:r w:rsidRPr="008C426B">
        <w:rPr>
          <w:lang w:val="en-GB"/>
        </w:rPr>
        <w:t xml:space="preserve"> With the new legislation the situation has worsened. For example, recent social welfare measures, such as </w:t>
      </w:r>
      <w:proofErr w:type="spellStart"/>
      <w:r w:rsidRPr="008C426B">
        <w:rPr>
          <w:i/>
          <w:lang w:val="en-GB"/>
        </w:rPr>
        <w:t>reddito</w:t>
      </w:r>
      <w:proofErr w:type="spellEnd"/>
      <w:r w:rsidRPr="008C426B">
        <w:rPr>
          <w:i/>
          <w:lang w:val="en-GB"/>
        </w:rPr>
        <w:t xml:space="preserve"> di </w:t>
      </w:r>
      <w:proofErr w:type="spellStart"/>
      <w:r w:rsidRPr="008C426B">
        <w:rPr>
          <w:i/>
          <w:lang w:val="en-GB"/>
        </w:rPr>
        <w:t>cittadinanza</w:t>
      </w:r>
      <w:proofErr w:type="spellEnd"/>
      <w:r w:rsidRPr="008C426B">
        <w:rPr>
          <w:i/>
          <w:lang w:val="en-GB"/>
        </w:rPr>
        <w:t xml:space="preserve"> (i.e. Citizenship guaranteed minimum income),</w:t>
      </w:r>
      <w:r w:rsidRPr="008C426B">
        <w:rPr>
          <w:lang w:val="en-GB"/>
        </w:rPr>
        <w:t xml:space="preserve"> have very strict requirement for migrants (10 years of residence, 2 of which without interruptions, and a long-term residence permit)</w:t>
      </w:r>
      <w:r w:rsidRPr="008C426B">
        <w:rPr>
          <w:vertAlign w:val="superscript"/>
          <w:lang w:val="en-GB"/>
        </w:rPr>
        <w:footnoteReference w:id="18"/>
      </w:r>
      <w:r w:rsidRPr="008C426B">
        <w:rPr>
          <w:lang w:val="en-GB"/>
        </w:rPr>
        <w:t xml:space="preserve"> and family allowances are provided to migrants when their children are not living with them in Italy.</w:t>
      </w:r>
      <w:r w:rsidRPr="008C426B">
        <w:rPr>
          <w:vertAlign w:val="superscript"/>
          <w:lang w:val="en-GB"/>
        </w:rPr>
        <w:footnoteReference w:id="19"/>
      </w:r>
      <w:r w:rsidRPr="008C426B">
        <w:rPr>
          <w:lang w:val="en-GB"/>
        </w:rPr>
        <w:t xml:space="preserve"> </w:t>
      </w:r>
    </w:p>
    <w:p w14:paraId="6A55C378" w14:textId="77777777" w:rsidR="008C426B" w:rsidRPr="008C426B" w:rsidRDefault="008C426B" w:rsidP="008C426B">
      <w:pPr>
        <w:rPr>
          <w:lang w:val="en-GB"/>
        </w:rPr>
      </w:pPr>
    </w:p>
    <w:p w14:paraId="7738C515" w14:textId="77777777" w:rsidR="008C426B" w:rsidRPr="008C426B" w:rsidRDefault="008C426B" w:rsidP="008C426B">
      <w:pPr>
        <w:rPr>
          <w:lang w:val="en-GB"/>
        </w:rPr>
      </w:pPr>
      <w:r w:rsidRPr="008C426B">
        <w:rPr>
          <w:lang w:val="en-GB"/>
        </w:rPr>
        <w:t>Since the humanitarian protection has been abolished, it cannot be renewed; it can be converted into a work permit, but while looking for a job, which is extremely difficult and can take a long time, unemployed asylum seekers find themselves in a further vulnerable situation.</w:t>
      </w:r>
      <w:r w:rsidRPr="008C426B">
        <w:rPr>
          <w:vertAlign w:val="superscript"/>
          <w:lang w:val="en-GB"/>
        </w:rPr>
        <w:footnoteReference w:id="20"/>
      </w:r>
      <w:r w:rsidRPr="008C426B">
        <w:rPr>
          <w:lang w:val="en-GB"/>
        </w:rPr>
        <w:t xml:space="preserve"> </w:t>
      </w:r>
    </w:p>
    <w:p w14:paraId="57EDA572" w14:textId="77777777" w:rsidR="008C426B" w:rsidRPr="008C426B" w:rsidRDefault="008C426B" w:rsidP="008C426B">
      <w:pPr>
        <w:rPr>
          <w:lang w:val="en-GB"/>
        </w:rPr>
      </w:pPr>
    </w:p>
    <w:p w14:paraId="52F0F921" w14:textId="71F7AD36" w:rsidR="008C426B" w:rsidRPr="008C426B" w:rsidRDefault="008C426B" w:rsidP="008C426B">
      <w:pPr>
        <w:rPr>
          <w:lang w:val="en-GB"/>
        </w:rPr>
      </w:pPr>
      <w:r w:rsidRPr="008C426B">
        <w:rPr>
          <w:lang w:val="en-GB"/>
        </w:rPr>
        <w:lastRenderedPageBreak/>
        <w:t>Funding for the integration of migrants and asylum seekers have been severely reduced. The forms provided as part of new calls for funding application pay little attention to the integration of migrants in the local social fabric. Integration services such as psychological assistance and language courses are reserved only to those who already have an asylum permit. Consequently, there is no funding for the work of social workers, social and cultural anthropologists, cultural mediators, lawyers and psychologists. After six months from the entry into force of the decree, 5.000 people lost their job or their jobs have been downgraded and other 18.000, mainly young qualified professionals, are estimated to lose their job as a result of the full implementation of the decree</w:t>
      </w:r>
      <w:r>
        <w:rPr>
          <w:lang w:val="en-GB"/>
        </w:rPr>
        <w:t>.</w:t>
      </w:r>
      <w:r>
        <w:rPr>
          <w:rStyle w:val="FootnoteReference"/>
          <w:lang w:val="en-GB"/>
        </w:rPr>
        <w:footnoteReference w:id="21"/>
      </w:r>
    </w:p>
    <w:p w14:paraId="0192445A" w14:textId="77777777" w:rsidR="008C426B" w:rsidRPr="008C426B" w:rsidRDefault="008C426B" w:rsidP="008C426B">
      <w:pPr>
        <w:rPr>
          <w:lang w:val="en-GB"/>
        </w:rPr>
      </w:pPr>
    </w:p>
    <w:p w14:paraId="6354F09B" w14:textId="77777777" w:rsidR="008C426B" w:rsidRPr="008C426B" w:rsidRDefault="008C426B" w:rsidP="008C426B">
      <w:pPr>
        <w:rPr>
          <w:lang w:val="en-GB"/>
        </w:rPr>
      </w:pPr>
      <w:r w:rsidRPr="008C426B">
        <w:rPr>
          <w:lang w:val="en-GB"/>
        </w:rPr>
        <w:t xml:space="preserve">Professionals such as social and cultural anthropologists should be present in reception centres, territorial commissions for the recognition of asylum, health, administrative and legal services providers, schools, penitentiaries, police headquarters and stations (for example on the occasion of the release of documents or reporting of thefts or loss of documents). Furthermore, training on human rights and anthropological-cultural skills could prevent misunderstandings and, therefore abuses, by security officers towards migrants, asylum seekers and refugees. </w:t>
      </w:r>
    </w:p>
    <w:p w14:paraId="4C9F6830" w14:textId="77777777" w:rsidR="008C426B" w:rsidRPr="008C426B" w:rsidRDefault="008C426B" w:rsidP="008C426B">
      <w:pPr>
        <w:rPr>
          <w:lang w:val="en-GB"/>
        </w:rPr>
      </w:pPr>
    </w:p>
    <w:p w14:paraId="1A6CE4BD" w14:textId="77777777" w:rsidR="008C426B" w:rsidRPr="008C426B" w:rsidRDefault="008C426B" w:rsidP="008C426B">
      <w:pPr>
        <w:rPr>
          <w:lang w:val="en-GB"/>
        </w:rPr>
      </w:pPr>
      <w:r w:rsidRPr="008C426B">
        <w:rPr>
          <w:lang w:val="en-GB"/>
        </w:rPr>
        <w:t>Women belonging to groups in vulnerable situations are exposed to a greater risk of suffering multiple forms of violence and discrimination. Migrant women encounter greater difficulties in accessing the justice and protection systems, which are not equipped and trained to understand the complexity of their lives. For example, they are not always fully aware of the legislation enshrined in Article 18-bis of Law 119/2013, which covers the matter of residence permits for victims of domestic violence.</w:t>
      </w:r>
    </w:p>
    <w:p w14:paraId="5E8FDE55" w14:textId="77777777" w:rsidR="008C426B" w:rsidRPr="008C426B" w:rsidRDefault="008C426B" w:rsidP="008C426B">
      <w:pPr>
        <w:rPr>
          <w:lang w:val="en-GB"/>
        </w:rPr>
      </w:pPr>
    </w:p>
    <w:p w14:paraId="50513B25" w14:textId="77777777" w:rsidR="008C426B" w:rsidRPr="008C426B" w:rsidRDefault="008C426B" w:rsidP="008C426B">
      <w:pPr>
        <w:rPr>
          <w:lang w:val="en-GB"/>
        </w:rPr>
      </w:pPr>
      <w:r w:rsidRPr="008C426B">
        <w:rPr>
          <w:lang w:val="en-GB"/>
        </w:rPr>
        <w:t>In 2017 the CEDAW Committee expressed concerns about the prevalence of trafficking in women and girls in Italy and their subsequent forced prostitution, especially in the context of migration flows.</w:t>
      </w:r>
      <w:r w:rsidRPr="008C426B">
        <w:rPr>
          <w:vertAlign w:val="superscript"/>
          <w:lang w:val="en-GB"/>
        </w:rPr>
        <w:footnoteReference w:id="22"/>
      </w:r>
      <w:r w:rsidRPr="008C426B">
        <w:rPr>
          <w:lang w:val="en-GB"/>
        </w:rPr>
        <w:t xml:space="preserve"> Given the prevalence of women and girls among victims of trafficking, it is crucial to develop stronger coordination between the implementation of the 2016 national Plan of Action on Human Trafficking and those of the National Strategic Plan on male violence against women 2017-2020.</w:t>
      </w:r>
    </w:p>
    <w:p w14:paraId="5756D33B" w14:textId="77777777" w:rsidR="008C426B" w:rsidRPr="008C426B" w:rsidRDefault="008C426B" w:rsidP="008C426B">
      <w:pPr>
        <w:rPr>
          <w:lang w:val="en-GB"/>
        </w:rPr>
      </w:pPr>
    </w:p>
    <w:p w14:paraId="38F261A4" w14:textId="77777777" w:rsidR="008C426B" w:rsidRPr="008C426B" w:rsidRDefault="008C426B" w:rsidP="008C426B">
      <w:pPr>
        <w:rPr>
          <w:lang w:val="en-GB"/>
        </w:rPr>
      </w:pPr>
      <w:r w:rsidRPr="008C426B">
        <w:rPr>
          <w:lang w:val="en-GB"/>
        </w:rPr>
        <w:t xml:space="preserve">Migrants are also subjected to labour exploitation, including forced labour, especially in the agricultural sector. The Special Rapporteur on contemporary forms of slavery, its causes and consequences visited </w:t>
      </w:r>
      <w:r w:rsidRPr="008C426B">
        <w:rPr>
          <w:lang w:val="en-GB"/>
        </w:rPr>
        <w:lastRenderedPageBreak/>
        <w:t xml:space="preserve">Italy in 2018. In her report from the visit she focussed on the phenomenon of </w:t>
      </w:r>
      <w:proofErr w:type="spellStart"/>
      <w:r w:rsidRPr="008C426B">
        <w:rPr>
          <w:i/>
          <w:lang w:val="en-GB"/>
        </w:rPr>
        <w:t>caporalato</w:t>
      </w:r>
      <w:proofErr w:type="spellEnd"/>
      <w:r w:rsidRPr="008C426B">
        <w:rPr>
          <w:lang w:val="en-GB"/>
        </w:rPr>
        <w:t>.</w:t>
      </w:r>
      <w:r w:rsidRPr="008C426B">
        <w:rPr>
          <w:vertAlign w:val="superscript"/>
          <w:lang w:val="en-GB"/>
        </w:rPr>
        <w:footnoteReference w:id="23"/>
      </w:r>
      <w:r w:rsidRPr="008C426B">
        <w:rPr>
          <w:lang w:val="en-GB"/>
        </w:rPr>
        <w:t xml:space="preserve"> As stated in the Special Rapporteur’s report, migrant women working in agriculture have doubled between 2006 and 2016 and they constitute almost half of the workers employed in farms.</w:t>
      </w:r>
      <w:r w:rsidRPr="008C426B">
        <w:rPr>
          <w:vertAlign w:val="superscript"/>
          <w:lang w:val="en-GB"/>
        </w:rPr>
        <w:footnoteReference w:id="24"/>
      </w:r>
      <w:r w:rsidRPr="008C426B">
        <w:rPr>
          <w:lang w:val="en-GB"/>
        </w:rPr>
        <w:t xml:space="preserve"> In these settings they suffer not only forms of labour exploitation, including forced labour, but also of sexual exploitation, compounded by the geographical isolation that put them at greater risk. </w:t>
      </w:r>
    </w:p>
    <w:p w14:paraId="459896F0" w14:textId="77777777" w:rsidR="008C426B" w:rsidRPr="008C426B" w:rsidRDefault="008C426B" w:rsidP="008C426B">
      <w:pPr>
        <w:rPr>
          <w:lang w:val="en-GB"/>
        </w:rPr>
      </w:pPr>
    </w:p>
    <w:p w14:paraId="09E33E2C" w14:textId="77777777" w:rsidR="008C426B" w:rsidRPr="008C426B" w:rsidRDefault="008C426B" w:rsidP="008C426B">
      <w:pPr>
        <w:rPr>
          <w:lang w:val="en-GB"/>
        </w:rPr>
      </w:pPr>
      <w:r w:rsidRPr="008C426B">
        <w:rPr>
          <w:lang w:val="en-GB"/>
        </w:rPr>
        <w:t xml:space="preserve">Migrants, whether first or second-generation, are not properly included in TV programs and political debates, neither as hosts nor as guests, and the current socio-cultural composition of Italy is not reflected in the mainstream media. </w:t>
      </w:r>
    </w:p>
    <w:p w14:paraId="6DD4CE50" w14:textId="77777777" w:rsidR="008C426B" w:rsidRPr="008C426B" w:rsidRDefault="008C426B" w:rsidP="008C426B">
      <w:pPr>
        <w:rPr>
          <w:lang w:val="en-GB"/>
        </w:rPr>
      </w:pPr>
    </w:p>
    <w:p w14:paraId="17FBB2F9" w14:textId="77777777" w:rsidR="008C426B" w:rsidRPr="008C426B" w:rsidRDefault="008C426B" w:rsidP="008C426B">
      <w:pPr>
        <w:rPr>
          <w:lang w:val="en-GB"/>
        </w:rPr>
      </w:pPr>
      <w:r w:rsidRPr="008C426B">
        <w:rPr>
          <w:lang w:val="en-GB"/>
        </w:rPr>
        <w:t xml:space="preserve">Issues related to the causes of migration flows are not addressed and there is little information about migrants’ countries of origin. Mutual knowledge, which would facilitate integration and counter hate speech, is not incentivized. </w:t>
      </w:r>
    </w:p>
    <w:p w14:paraId="2E0DC11E" w14:textId="77777777" w:rsidR="008C426B" w:rsidRPr="008C426B" w:rsidRDefault="008C426B" w:rsidP="008C426B">
      <w:pPr>
        <w:rPr>
          <w:lang w:val="en-GB"/>
        </w:rPr>
      </w:pPr>
    </w:p>
    <w:p w14:paraId="60B65A63" w14:textId="77777777" w:rsidR="008C426B" w:rsidRPr="008C426B" w:rsidRDefault="008C426B" w:rsidP="008C426B">
      <w:pPr>
        <w:rPr>
          <w:lang w:val="en-GB"/>
        </w:rPr>
      </w:pPr>
      <w:r w:rsidRPr="008C426B">
        <w:rPr>
          <w:lang w:val="en-GB"/>
        </w:rPr>
        <w:t xml:space="preserve">Second-generation migrants are also discriminated by the current legislation on citizenship. The parliament has not approved any of the proposals aimed to modify the current law, which is based on the principle of </w:t>
      </w:r>
      <w:proofErr w:type="spellStart"/>
      <w:r w:rsidRPr="008C426B">
        <w:rPr>
          <w:i/>
          <w:iCs/>
          <w:lang w:val="en-GB"/>
        </w:rPr>
        <w:t>ius</w:t>
      </w:r>
      <w:proofErr w:type="spellEnd"/>
      <w:r w:rsidRPr="008C426B">
        <w:rPr>
          <w:i/>
          <w:iCs/>
          <w:lang w:val="en-GB"/>
        </w:rPr>
        <w:t xml:space="preserve"> </w:t>
      </w:r>
      <w:proofErr w:type="spellStart"/>
      <w:r w:rsidRPr="008C426B">
        <w:rPr>
          <w:i/>
          <w:iCs/>
          <w:lang w:val="en-GB"/>
        </w:rPr>
        <w:t>sanguinis</w:t>
      </w:r>
      <w:proofErr w:type="spellEnd"/>
      <w:r w:rsidRPr="008C426B">
        <w:rPr>
          <w:i/>
          <w:iCs/>
          <w:lang w:val="en-GB"/>
        </w:rPr>
        <w:t xml:space="preserve">, </w:t>
      </w:r>
      <w:r w:rsidRPr="008C426B">
        <w:rPr>
          <w:lang w:val="en-GB"/>
        </w:rPr>
        <w:t xml:space="preserve">to move towards a more </w:t>
      </w:r>
      <w:proofErr w:type="spellStart"/>
      <w:r w:rsidRPr="008C426B">
        <w:rPr>
          <w:i/>
          <w:iCs/>
          <w:lang w:val="en-GB"/>
        </w:rPr>
        <w:t>ius</w:t>
      </w:r>
      <w:proofErr w:type="spellEnd"/>
      <w:r w:rsidRPr="008C426B">
        <w:rPr>
          <w:i/>
          <w:iCs/>
          <w:lang w:val="en-GB"/>
        </w:rPr>
        <w:t xml:space="preserve"> soli </w:t>
      </w:r>
      <w:r w:rsidRPr="008C426B">
        <w:rPr>
          <w:lang w:val="en-GB"/>
        </w:rPr>
        <w:t xml:space="preserve">or </w:t>
      </w:r>
      <w:proofErr w:type="spellStart"/>
      <w:r w:rsidRPr="008C426B">
        <w:rPr>
          <w:i/>
          <w:iCs/>
          <w:lang w:val="en-GB"/>
        </w:rPr>
        <w:t>ius</w:t>
      </w:r>
      <w:proofErr w:type="spellEnd"/>
      <w:r w:rsidRPr="008C426B">
        <w:rPr>
          <w:i/>
          <w:iCs/>
          <w:lang w:val="en-GB"/>
        </w:rPr>
        <w:t xml:space="preserve"> </w:t>
      </w:r>
      <w:proofErr w:type="spellStart"/>
      <w:r w:rsidRPr="008C426B">
        <w:rPr>
          <w:i/>
          <w:iCs/>
          <w:lang w:val="en-GB"/>
        </w:rPr>
        <w:t>culturae</w:t>
      </w:r>
      <w:proofErr w:type="spellEnd"/>
      <w:r w:rsidRPr="008C426B">
        <w:rPr>
          <w:lang w:val="en-GB"/>
        </w:rPr>
        <w:t xml:space="preserve"> based model.</w:t>
      </w:r>
      <w:r w:rsidRPr="008C426B">
        <w:rPr>
          <w:vertAlign w:val="superscript"/>
          <w:lang w:val="en-GB"/>
        </w:rPr>
        <w:footnoteReference w:id="25"/>
      </w:r>
      <w:r w:rsidRPr="008C426B">
        <w:rPr>
          <w:lang w:val="en-GB"/>
        </w:rPr>
        <w:t xml:space="preserve">  Moreover, when it comes to secondary education children of migrants often follow professional training and technical and vocational education, potentially confining them to low-paid jobs in their future professions.</w:t>
      </w:r>
      <w:r w:rsidRPr="008C426B">
        <w:rPr>
          <w:vertAlign w:val="superscript"/>
          <w:lang w:val="en-GB"/>
        </w:rPr>
        <w:footnoteReference w:id="26"/>
      </w:r>
      <w:r w:rsidRPr="008C426B">
        <w:rPr>
          <w:lang w:val="en-GB"/>
        </w:rPr>
        <w:t xml:space="preserve"> </w:t>
      </w:r>
    </w:p>
    <w:p w14:paraId="48A18D2D" w14:textId="77777777" w:rsidR="008C426B" w:rsidRPr="008C426B" w:rsidRDefault="008C426B" w:rsidP="008C426B">
      <w:pPr>
        <w:rPr>
          <w:lang w:val="en-GB"/>
        </w:rPr>
      </w:pPr>
    </w:p>
    <w:p w14:paraId="59766750" w14:textId="21DF9D9B" w:rsidR="008C426B" w:rsidRPr="008C426B" w:rsidRDefault="008C426B" w:rsidP="008C426B">
      <w:pPr>
        <w:pStyle w:val="Heading1"/>
        <w:rPr>
          <w:lang w:val="en-GB"/>
        </w:rPr>
      </w:pPr>
      <w:bookmarkStart w:id="4" w:name="_Toc30188566"/>
      <w:r>
        <w:rPr>
          <w:lang w:val="en-GB"/>
        </w:rPr>
        <w:t>III. Suggested q</w:t>
      </w:r>
      <w:r w:rsidRPr="008C426B">
        <w:rPr>
          <w:lang w:val="en-GB"/>
        </w:rPr>
        <w:t>uestions</w:t>
      </w:r>
      <w:bookmarkEnd w:id="4"/>
    </w:p>
    <w:p w14:paraId="2E665C47" w14:textId="77777777" w:rsidR="008C426B" w:rsidRPr="008C426B" w:rsidRDefault="008C426B" w:rsidP="008C426B">
      <w:pPr>
        <w:numPr>
          <w:ilvl w:val="0"/>
          <w:numId w:val="21"/>
        </w:numPr>
        <w:rPr>
          <w:lang w:val="en-GB"/>
        </w:rPr>
      </w:pPr>
      <w:r w:rsidRPr="008C426B">
        <w:rPr>
          <w:lang w:val="en-GB"/>
        </w:rPr>
        <w:t xml:space="preserve">Please indicate concrete steps Italy has undertaken to guarantee migrants, asylum seekers and refugees’ human rights, including whether steps have been taken to modify the agreements with Libya. </w:t>
      </w:r>
    </w:p>
    <w:p w14:paraId="27EEDF12" w14:textId="77777777" w:rsidR="008C426B" w:rsidRPr="008C426B" w:rsidRDefault="008C426B" w:rsidP="008C426B">
      <w:pPr>
        <w:numPr>
          <w:ilvl w:val="0"/>
          <w:numId w:val="21"/>
        </w:numPr>
        <w:rPr>
          <w:lang w:val="en-GB"/>
        </w:rPr>
      </w:pPr>
      <w:r w:rsidRPr="008C426B">
        <w:rPr>
          <w:lang w:val="en-GB"/>
        </w:rPr>
        <w:lastRenderedPageBreak/>
        <w:t xml:space="preserve">Which measures has the state undertaken to counter the adverse impact of the Decree-law 113/2018 on Immigration and Security on asylum seekers and to revise its provisions to bring it in line with Italy’s international law obligations? </w:t>
      </w:r>
    </w:p>
    <w:p w14:paraId="11F06FC3" w14:textId="77777777" w:rsidR="008C426B" w:rsidRPr="008C426B" w:rsidRDefault="008C426B" w:rsidP="008C426B">
      <w:pPr>
        <w:numPr>
          <w:ilvl w:val="0"/>
          <w:numId w:val="21"/>
        </w:numPr>
        <w:rPr>
          <w:lang w:val="en-GB"/>
        </w:rPr>
      </w:pPr>
      <w:r w:rsidRPr="008C426B">
        <w:rPr>
          <w:lang w:val="en-GB"/>
        </w:rPr>
        <w:t xml:space="preserve">Which measures has the state undertaken to tackle the negative consequences of the abolition of humanitarian protection? </w:t>
      </w:r>
    </w:p>
    <w:p w14:paraId="4FFC447C" w14:textId="77777777" w:rsidR="008C426B" w:rsidRPr="008C426B" w:rsidRDefault="008C426B" w:rsidP="008C426B">
      <w:pPr>
        <w:numPr>
          <w:ilvl w:val="0"/>
          <w:numId w:val="21"/>
        </w:numPr>
        <w:rPr>
          <w:lang w:val="en-GB"/>
        </w:rPr>
      </w:pPr>
      <w:r w:rsidRPr="008C426B">
        <w:rPr>
          <w:lang w:val="en-GB"/>
        </w:rPr>
        <w:t xml:space="preserve">How will the state guarantee the protection, respect and fulfilment of economic, social and cultural rights of asylum seekers, end their segregation in slums and favour their access to services? </w:t>
      </w:r>
    </w:p>
    <w:p w14:paraId="1BDC2F2D" w14:textId="77777777" w:rsidR="008C426B" w:rsidRPr="008C426B" w:rsidRDefault="008C426B" w:rsidP="008C426B">
      <w:pPr>
        <w:numPr>
          <w:ilvl w:val="0"/>
          <w:numId w:val="21"/>
        </w:numPr>
        <w:rPr>
          <w:lang w:val="en-GB"/>
        </w:rPr>
      </w:pPr>
      <w:r w:rsidRPr="008C426B">
        <w:rPr>
          <w:lang w:val="en-GB"/>
        </w:rPr>
        <w:t xml:space="preserve">What measures does the state take to facilitate the integration of unaccompanied minors in the society after they reach the age of 18? </w:t>
      </w:r>
    </w:p>
    <w:p w14:paraId="690A9AED" w14:textId="77777777" w:rsidR="008C426B" w:rsidRPr="008C426B" w:rsidRDefault="008C426B" w:rsidP="008C426B">
      <w:pPr>
        <w:numPr>
          <w:ilvl w:val="0"/>
          <w:numId w:val="21"/>
        </w:numPr>
        <w:rPr>
          <w:lang w:val="en-GB"/>
        </w:rPr>
      </w:pPr>
      <w:r w:rsidRPr="008C426B">
        <w:rPr>
          <w:lang w:val="en-GB"/>
        </w:rPr>
        <w:t>Why does Italy deny the registration of asylum seekers in the civil registry of the resident population, something that negatively impacts on their access to basic services as result of not being able to get an ID? What assessment has the government made with regard to the impact of the denial of such registration on asylum seekers’ ability to rent accommodation, enrol in public schools and nursery schools, have a bank or postal account, have a driving license, and delay their possibility to access public housing and citizenship.</w:t>
      </w:r>
    </w:p>
    <w:p w14:paraId="56E65E2C" w14:textId="77777777" w:rsidR="008C426B" w:rsidRPr="008C426B" w:rsidRDefault="008C426B" w:rsidP="008C426B">
      <w:pPr>
        <w:numPr>
          <w:ilvl w:val="0"/>
          <w:numId w:val="21"/>
        </w:numPr>
        <w:rPr>
          <w:lang w:val="en-GB"/>
        </w:rPr>
      </w:pPr>
      <w:r w:rsidRPr="008C426B">
        <w:rPr>
          <w:lang w:val="en-GB"/>
        </w:rPr>
        <w:t xml:space="preserve">Why does </w:t>
      </w:r>
      <w:proofErr w:type="spellStart"/>
      <w:r w:rsidRPr="008C426B">
        <w:rPr>
          <w:i/>
          <w:iCs/>
          <w:lang w:val="en-GB"/>
        </w:rPr>
        <w:t>questura</w:t>
      </w:r>
      <w:proofErr w:type="spellEnd"/>
      <w:r w:rsidRPr="008C426B">
        <w:rPr>
          <w:i/>
          <w:iCs/>
          <w:lang w:val="en-GB"/>
        </w:rPr>
        <w:t xml:space="preserve"> </w:t>
      </w:r>
      <w:r w:rsidRPr="008C426B">
        <w:rPr>
          <w:iCs/>
          <w:lang w:val="en-GB"/>
        </w:rPr>
        <w:t xml:space="preserve">(i.e. </w:t>
      </w:r>
      <w:r w:rsidRPr="008C426B">
        <w:rPr>
          <w:lang w:val="en-GB"/>
        </w:rPr>
        <w:t xml:space="preserve">police head office for a province) ask for the residence certificate when someone need to renew or duplicate a permit for international protection? </w:t>
      </w:r>
    </w:p>
    <w:p w14:paraId="5EB7A349" w14:textId="77777777" w:rsidR="008C426B" w:rsidRPr="008C426B" w:rsidRDefault="008C426B" w:rsidP="008C426B">
      <w:pPr>
        <w:numPr>
          <w:ilvl w:val="0"/>
          <w:numId w:val="21"/>
        </w:numPr>
        <w:rPr>
          <w:lang w:val="en-GB"/>
        </w:rPr>
      </w:pPr>
      <w:r w:rsidRPr="008C426B">
        <w:rPr>
          <w:lang w:val="en-GB"/>
        </w:rPr>
        <w:t xml:space="preserve">Why do employment centres ask asylum seekers to provide a residence certificate? Which measures has the state undertaken to promote the socio-occupational inclusion of asylum seekers? </w:t>
      </w:r>
    </w:p>
    <w:p w14:paraId="4600178A" w14:textId="77777777" w:rsidR="008C426B" w:rsidRPr="008C426B" w:rsidRDefault="008C426B" w:rsidP="008C426B">
      <w:pPr>
        <w:numPr>
          <w:ilvl w:val="0"/>
          <w:numId w:val="21"/>
        </w:numPr>
        <w:rPr>
          <w:lang w:val="en-GB"/>
        </w:rPr>
      </w:pPr>
      <w:r w:rsidRPr="008C426B">
        <w:rPr>
          <w:lang w:val="en-GB"/>
        </w:rPr>
        <w:t>Please provide information on how has the state ensured that:</w:t>
      </w:r>
    </w:p>
    <w:p w14:paraId="0C93D1D1" w14:textId="77777777" w:rsidR="008C426B" w:rsidRPr="008C426B" w:rsidRDefault="008C426B" w:rsidP="008C426B">
      <w:pPr>
        <w:numPr>
          <w:ilvl w:val="1"/>
          <w:numId w:val="21"/>
        </w:numPr>
        <w:rPr>
          <w:lang w:val="en-GB"/>
        </w:rPr>
      </w:pPr>
      <w:r w:rsidRPr="008C426B">
        <w:rPr>
          <w:lang w:val="en-GB"/>
        </w:rPr>
        <w:t>victims of trafficking be quickly identified and their rights upheld, including access to residence permits, justice, health services, food and adequate lodgings.</w:t>
      </w:r>
    </w:p>
    <w:p w14:paraId="1DE4F9BF" w14:textId="77777777" w:rsidR="008C426B" w:rsidRPr="008C426B" w:rsidRDefault="008C426B" w:rsidP="008C426B">
      <w:pPr>
        <w:numPr>
          <w:ilvl w:val="1"/>
          <w:numId w:val="21"/>
        </w:numPr>
        <w:rPr>
          <w:lang w:val="en-GB"/>
        </w:rPr>
      </w:pPr>
      <w:r w:rsidRPr="008C426B">
        <w:rPr>
          <w:lang w:val="en-GB"/>
        </w:rPr>
        <w:t>well-trained staff who possess a gender perspective are available throughout the migrants’ reception processes in order to achieve early identification and protection of women who have survived gender-based violence, including human trafficking.</w:t>
      </w:r>
    </w:p>
    <w:p w14:paraId="744DDE6A" w14:textId="77777777" w:rsidR="008C426B" w:rsidRPr="008C426B" w:rsidRDefault="008C426B" w:rsidP="008C426B">
      <w:pPr>
        <w:numPr>
          <w:ilvl w:val="1"/>
          <w:numId w:val="21"/>
        </w:numPr>
        <w:rPr>
          <w:lang w:val="en-GB"/>
        </w:rPr>
      </w:pPr>
      <w:r w:rsidRPr="008C426B">
        <w:rPr>
          <w:lang w:val="en-GB"/>
        </w:rPr>
        <w:t>All those authorities involved in processing migrant women’s status are fully aware of the legislation enshrined in Article 18-bis of Law 119/2013</w:t>
      </w:r>
    </w:p>
    <w:p w14:paraId="6A5A7407" w14:textId="77777777" w:rsidR="008C426B" w:rsidRPr="008C426B" w:rsidRDefault="008C426B" w:rsidP="008C426B">
      <w:pPr>
        <w:numPr>
          <w:ilvl w:val="0"/>
          <w:numId w:val="21"/>
        </w:numPr>
        <w:rPr>
          <w:lang w:val="en-GB"/>
        </w:rPr>
      </w:pPr>
      <w:r w:rsidRPr="008C426B">
        <w:rPr>
          <w:lang w:val="en-GB"/>
        </w:rPr>
        <w:t xml:space="preserve">Please provide information on assessments made of the consequences of the lack of social and cultural anthropologists in: reception centres, territorial commissions for the recognition of asylum, health, administrative and legal services providers, schools, prisons, </w:t>
      </w:r>
      <w:proofErr w:type="spellStart"/>
      <w:r w:rsidRPr="008C426B">
        <w:rPr>
          <w:i/>
          <w:iCs/>
          <w:lang w:val="en-GB"/>
        </w:rPr>
        <w:t>questure</w:t>
      </w:r>
      <w:proofErr w:type="spellEnd"/>
      <w:r w:rsidRPr="008C426B">
        <w:rPr>
          <w:i/>
          <w:iCs/>
          <w:lang w:val="en-GB"/>
        </w:rPr>
        <w:t xml:space="preserve"> </w:t>
      </w:r>
      <w:r w:rsidRPr="008C426B">
        <w:rPr>
          <w:lang w:val="en-GB"/>
        </w:rPr>
        <w:t xml:space="preserve">and </w:t>
      </w:r>
      <w:proofErr w:type="spellStart"/>
      <w:r w:rsidRPr="008C426B">
        <w:rPr>
          <w:i/>
          <w:iCs/>
          <w:lang w:val="en-GB"/>
        </w:rPr>
        <w:t>commissariati</w:t>
      </w:r>
      <w:proofErr w:type="spellEnd"/>
      <w:r w:rsidRPr="008C426B">
        <w:rPr>
          <w:i/>
          <w:iCs/>
          <w:lang w:val="en-GB"/>
        </w:rPr>
        <w:t xml:space="preserve"> </w:t>
      </w:r>
      <w:r w:rsidRPr="008C426B">
        <w:rPr>
          <w:lang w:val="en-GB"/>
        </w:rPr>
        <w:t>(police stations.)</w:t>
      </w:r>
    </w:p>
    <w:p w14:paraId="2B22238F" w14:textId="77777777" w:rsidR="008C426B" w:rsidRPr="008C426B" w:rsidRDefault="008C426B" w:rsidP="008C426B">
      <w:pPr>
        <w:numPr>
          <w:ilvl w:val="0"/>
          <w:numId w:val="21"/>
        </w:numPr>
        <w:rPr>
          <w:lang w:val="en-GB"/>
        </w:rPr>
      </w:pPr>
      <w:r w:rsidRPr="008C426B">
        <w:rPr>
          <w:lang w:val="en-GB"/>
        </w:rPr>
        <w:t xml:space="preserve">Please provide information on measures taken to implement the recommendations on women refugees and asylum seekers made by the CEDAW committee in 2017, “including in relation to </w:t>
      </w:r>
      <w:r w:rsidRPr="008C426B">
        <w:rPr>
          <w:lang w:val="en-GB"/>
        </w:rPr>
        <w:lastRenderedPageBreak/>
        <w:t xml:space="preserve">gender-appropriate, individual screening and assessment procedures, adequate reception standards for refugees and asylum seekers, with particular attention to the needs of women and girls, strict observation of the principle of non-refoulment, support to civil society organizations working with women refugees and asylum seekers, and allowing rescue boats of NGOs to dock in Italian ports and allowing those rescued to disembark.” </w:t>
      </w:r>
    </w:p>
    <w:p w14:paraId="57BAF7D2" w14:textId="77777777" w:rsidR="008C426B" w:rsidRPr="008C426B" w:rsidRDefault="008C426B" w:rsidP="008C426B">
      <w:pPr>
        <w:numPr>
          <w:ilvl w:val="0"/>
          <w:numId w:val="21"/>
        </w:numPr>
        <w:rPr>
          <w:lang w:val="en-GB"/>
        </w:rPr>
      </w:pPr>
      <w:r w:rsidRPr="008C426B">
        <w:rPr>
          <w:lang w:val="en-GB"/>
        </w:rPr>
        <w:t xml:space="preserve">Which measures has the state undertaken to implement the CEDAW Committee’s recommendation to ensure the effective implementation of the law to combat undeclared work and labour exploitation in agriculture? Which steps have been taken to implement the recommendations of the UN Special Rapporteur on contemporary forms of slavery, including its causes and consequences aimed to end labour exploitation in agriculture, such that facilitated by the </w:t>
      </w:r>
      <w:proofErr w:type="spellStart"/>
      <w:r w:rsidRPr="008C426B">
        <w:rPr>
          <w:i/>
          <w:iCs/>
          <w:lang w:val="en-GB"/>
        </w:rPr>
        <w:t>caporalato</w:t>
      </w:r>
      <w:proofErr w:type="spellEnd"/>
      <w:r w:rsidRPr="008C426B">
        <w:rPr>
          <w:lang w:val="en-GB"/>
        </w:rPr>
        <w:t>?</w:t>
      </w:r>
    </w:p>
    <w:p w14:paraId="3AC20915" w14:textId="77777777" w:rsidR="008C426B" w:rsidRPr="008C426B" w:rsidRDefault="008C426B" w:rsidP="008C426B">
      <w:pPr>
        <w:numPr>
          <w:ilvl w:val="0"/>
          <w:numId w:val="21"/>
        </w:numPr>
        <w:rPr>
          <w:lang w:val="en-GB"/>
        </w:rPr>
      </w:pPr>
      <w:r w:rsidRPr="008C426B">
        <w:rPr>
          <w:lang w:val="en-GB"/>
        </w:rPr>
        <w:t xml:space="preserve">Why is access to welfare measures, such as the </w:t>
      </w:r>
      <w:proofErr w:type="spellStart"/>
      <w:r w:rsidRPr="008C426B">
        <w:rPr>
          <w:i/>
          <w:iCs/>
          <w:lang w:val="en-GB"/>
        </w:rPr>
        <w:t>reddito</w:t>
      </w:r>
      <w:proofErr w:type="spellEnd"/>
      <w:r w:rsidRPr="008C426B">
        <w:rPr>
          <w:i/>
          <w:iCs/>
          <w:lang w:val="en-GB"/>
        </w:rPr>
        <w:t xml:space="preserve"> di </w:t>
      </w:r>
      <w:proofErr w:type="spellStart"/>
      <w:r w:rsidRPr="008C426B">
        <w:rPr>
          <w:i/>
          <w:iCs/>
          <w:lang w:val="en-GB"/>
        </w:rPr>
        <w:t>cittadinanza</w:t>
      </w:r>
      <w:proofErr w:type="spellEnd"/>
      <w:r w:rsidRPr="008C426B">
        <w:rPr>
          <w:i/>
          <w:iCs/>
          <w:lang w:val="en-GB"/>
        </w:rPr>
        <w:t>,</w:t>
      </w:r>
      <w:r w:rsidRPr="008C426B">
        <w:rPr>
          <w:i/>
          <w:iCs/>
          <w:vertAlign w:val="superscript"/>
          <w:lang w:val="en-GB"/>
        </w:rPr>
        <w:footnoteReference w:id="27"/>
      </w:r>
      <w:r w:rsidRPr="008C426B">
        <w:rPr>
          <w:i/>
          <w:iCs/>
          <w:lang w:val="en-GB"/>
        </w:rPr>
        <w:t xml:space="preserve"> </w:t>
      </w:r>
      <w:r w:rsidRPr="008C426B">
        <w:rPr>
          <w:lang w:val="en-GB"/>
        </w:rPr>
        <w:t>restricted for migrants? Why migrants with children living abroad cannot benefit from family allowances?</w:t>
      </w:r>
    </w:p>
    <w:p w14:paraId="40E343A5" w14:textId="77777777" w:rsidR="008C426B" w:rsidRPr="008C426B" w:rsidRDefault="008C426B" w:rsidP="008C426B">
      <w:pPr>
        <w:numPr>
          <w:ilvl w:val="0"/>
          <w:numId w:val="21"/>
        </w:numPr>
        <w:rPr>
          <w:lang w:val="en-GB"/>
        </w:rPr>
      </w:pPr>
      <w:r w:rsidRPr="008C426B">
        <w:rPr>
          <w:lang w:val="en-GB"/>
        </w:rPr>
        <w:t xml:space="preserve">What measures have been taken to promote the adequate inclusion migrants or second-generation migrants in Italian media, especially the state-owned TV channels? </w:t>
      </w:r>
    </w:p>
    <w:p w14:paraId="69A6E2B0" w14:textId="77777777" w:rsidR="008C426B" w:rsidRPr="008C426B" w:rsidRDefault="008C426B" w:rsidP="008C426B">
      <w:pPr>
        <w:numPr>
          <w:ilvl w:val="0"/>
          <w:numId w:val="21"/>
        </w:numPr>
        <w:rPr>
          <w:lang w:val="en-GB"/>
        </w:rPr>
      </w:pPr>
      <w:r w:rsidRPr="008C426B">
        <w:rPr>
          <w:lang w:val="en-GB"/>
        </w:rPr>
        <w:t>What steps have been taken to implement the recommendation of the Working Group of Experts on People of African descent’s recommendation to reform “the law regulating Italian citizenship in order to grant citizenship to children born in Italy of foreign citizens and minors entering the country and expedite the process for adults”?</w:t>
      </w:r>
      <w:r w:rsidRPr="008C426B">
        <w:rPr>
          <w:vertAlign w:val="superscript"/>
          <w:lang w:val="en-GB"/>
        </w:rPr>
        <w:footnoteReference w:id="28"/>
      </w:r>
    </w:p>
    <w:p w14:paraId="42535A4C" w14:textId="77777777" w:rsidR="008C426B" w:rsidRPr="008C426B" w:rsidRDefault="008C426B" w:rsidP="008C426B">
      <w:pPr>
        <w:numPr>
          <w:ilvl w:val="0"/>
          <w:numId w:val="21"/>
        </w:numPr>
        <w:rPr>
          <w:lang w:val="it-IT"/>
        </w:rPr>
      </w:pPr>
      <w:r w:rsidRPr="008C426B">
        <w:rPr>
          <w:lang w:val="en-GB"/>
        </w:rPr>
        <w:t xml:space="preserve">What measures have been taken to overcome the over representation of children of migrants in professional training and technical and vocational education, something that potentially confines them to low-paid jobs in their future professions? </w:t>
      </w:r>
    </w:p>
    <w:p w14:paraId="75708E10" w14:textId="77777777" w:rsidR="008C426B" w:rsidRPr="008C426B" w:rsidRDefault="008C426B" w:rsidP="003478DD">
      <w:pPr>
        <w:rPr>
          <w:lang w:val="it-IT"/>
        </w:rPr>
      </w:pPr>
    </w:p>
    <w:sectPr w:rsidR="008C426B" w:rsidRPr="008C426B" w:rsidSect="00DC4523">
      <w:headerReference w:type="default" r:id="rId8"/>
      <w:footerReference w:type="even" r:id="rId9"/>
      <w:footerReference w:type="default" r:id="rId1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093D5" w14:textId="77777777" w:rsidR="002A3CA5" w:rsidRDefault="002A3CA5">
      <w:pPr>
        <w:spacing w:line="240" w:lineRule="auto"/>
      </w:pPr>
      <w:r>
        <w:separator/>
      </w:r>
    </w:p>
    <w:p w14:paraId="6D345341" w14:textId="77777777" w:rsidR="002A3CA5" w:rsidRDefault="002A3CA5"/>
  </w:endnote>
  <w:endnote w:type="continuationSeparator" w:id="0">
    <w:p w14:paraId="1B861DF5" w14:textId="77777777" w:rsidR="002A3CA5" w:rsidRDefault="002A3CA5">
      <w:pPr>
        <w:spacing w:line="240" w:lineRule="auto"/>
      </w:pPr>
      <w:r>
        <w:continuationSeparator/>
      </w:r>
    </w:p>
    <w:p w14:paraId="0337F236" w14:textId="77777777" w:rsidR="002A3CA5" w:rsidRDefault="002A3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3587461"/>
      <w:docPartObj>
        <w:docPartGallery w:val="Page Numbers (Bottom of Page)"/>
        <w:docPartUnique/>
      </w:docPartObj>
    </w:sdtPr>
    <w:sdtEndPr>
      <w:rPr>
        <w:rStyle w:val="PageNumber"/>
      </w:rPr>
    </w:sdtEndPr>
    <w:sdtContent>
      <w:p w14:paraId="49CF50B4" w14:textId="16EB5220" w:rsidR="00DC4523" w:rsidRDefault="00DC4523" w:rsidP="006C3C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2AE65B" w14:textId="77777777" w:rsidR="00DC4523" w:rsidRDefault="00DC4523" w:rsidP="00DC45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74733892"/>
      <w:docPartObj>
        <w:docPartGallery w:val="Page Numbers (Bottom of Page)"/>
        <w:docPartUnique/>
      </w:docPartObj>
    </w:sdtPr>
    <w:sdtEndPr>
      <w:rPr>
        <w:rStyle w:val="PageNumber"/>
      </w:rPr>
    </w:sdtEndPr>
    <w:sdtContent>
      <w:p w14:paraId="2E9658A6" w14:textId="6A5C24D1" w:rsidR="00DC4523" w:rsidRDefault="00DC4523" w:rsidP="006C3C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4804D1" w14:textId="0885684E" w:rsidR="005253BB" w:rsidRPr="00FE2A93" w:rsidRDefault="005253BB" w:rsidP="00DC4523">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5253BB" w:rsidRDefault="005253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CD809" w14:textId="77777777" w:rsidR="002A3CA5" w:rsidRDefault="002A3CA5">
      <w:pPr>
        <w:spacing w:line="240" w:lineRule="auto"/>
      </w:pPr>
      <w:r>
        <w:separator/>
      </w:r>
    </w:p>
    <w:p w14:paraId="5148C7E1" w14:textId="77777777" w:rsidR="002A3CA5" w:rsidRDefault="002A3CA5"/>
  </w:footnote>
  <w:footnote w:type="continuationSeparator" w:id="0">
    <w:p w14:paraId="6DB967DF" w14:textId="77777777" w:rsidR="002A3CA5" w:rsidRDefault="002A3CA5">
      <w:pPr>
        <w:spacing w:line="240" w:lineRule="auto"/>
      </w:pPr>
      <w:r>
        <w:continuationSeparator/>
      </w:r>
    </w:p>
    <w:p w14:paraId="7CD2C115" w14:textId="77777777" w:rsidR="002A3CA5" w:rsidRDefault="002A3CA5"/>
  </w:footnote>
  <w:footnote w:id="1">
    <w:p w14:paraId="12BBDFB7" w14:textId="77777777" w:rsidR="008C426B" w:rsidRPr="008C426B" w:rsidRDefault="008C426B" w:rsidP="008C426B">
      <w:pPr>
        <w:pStyle w:val="FootnoteText"/>
      </w:pPr>
      <w:r w:rsidRPr="008C426B">
        <w:rPr>
          <w:rStyle w:val="FootnoteReference"/>
          <w:vertAlign w:val="baseline"/>
        </w:rPr>
        <w:footnoteRef/>
      </w:r>
      <w:r w:rsidRPr="008C426B">
        <w:t xml:space="preserve"> See, for example, Villa, M., Gruijters, R. and Steinhilper, E. (2018) ‘Outsourcing European Border Control: Recent Trends in Departures, Deaths and Search and Rescue Activities in the Central Mediterranean’. Available at: </w:t>
      </w:r>
      <w:hyperlink r:id="rId1" w:history="1">
        <w:r w:rsidRPr="008C426B">
          <w:t>https://www.law.ox.ac.uk/research-subject-groups/centre-criminology/centreborder-criminologies/blog/2018/09/outsourcing</w:t>
        </w:r>
      </w:hyperlink>
      <w:r w:rsidRPr="008C426B">
        <w:t xml:space="preserve"> </w:t>
      </w:r>
    </w:p>
  </w:footnote>
  <w:footnote w:id="2">
    <w:p w14:paraId="4C823B9B" w14:textId="77777777" w:rsidR="008C426B" w:rsidRPr="008C426B" w:rsidRDefault="008C426B" w:rsidP="008C426B">
      <w:pPr>
        <w:pStyle w:val="FootnoteText"/>
      </w:pPr>
      <w:r w:rsidRPr="008C426B">
        <w:rPr>
          <w:rStyle w:val="FootnoteReference"/>
          <w:vertAlign w:val="baseline"/>
        </w:rPr>
        <w:footnoteRef/>
      </w:r>
      <w:r w:rsidRPr="008C426B">
        <w:rPr>
          <w:rStyle w:val="FootnoteReference"/>
          <w:vertAlign w:val="baseline"/>
        </w:rPr>
        <w:t xml:space="preserve"> </w:t>
      </w:r>
      <w:r w:rsidRPr="008C426B">
        <w:t xml:space="preserve">See, for example, Amnesty International ‘Between the Devil and the Deep Blue Sea: Europe Fails Refugees and Migrants in the Central Mediterranean.’ Available at: </w:t>
      </w:r>
      <w:hyperlink r:id="rId2" w:history="1">
        <w:r w:rsidRPr="008C426B">
          <w:t>https://www.amnesty.org/en/documents/eur30/8906/2018/en/</w:t>
        </w:r>
      </w:hyperlink>
    </w:p>
  </w:footnote>
  <w:footnote w:id="3">
    <w:p w14:paraId="3B359821" w14:textId="77777777" w:rsidR="008C426B" w:rsidRPr="008C426B" w:rsidRDefault="008C426B" w:rsidP="008C426B">
      <w:pPr>
        <w:pStyle w:val="FootnoteText"/>
      </w:pPr>
      <w:r w:rsidRPr="008C426B">
        <w:rPr>
          <w:rStyle w:val="FootnoteReference"/>
          <w:vertAlign w:val="baseline"/>
        </w:rPr>
        <w:footnoteRef/>
      </w:r>
      <w:r w:rsidRPr="008C426B">
        <w:rPr>
          <w:rStyle w:val="FootnoteReference"/>
          <w:vertAlign w:val="baseline"/>
        </w:rPr>
        <w:t xml:space="preserve"> </w:t>
      </w:r>
      <w:r w:rsidRPr="008C426B">
        <w:t xml:space="preserve">See, for example, Amnesty International ‘EU leaders must fix “broken system” that leaves people adrift at sea’. Available at: </w:t>
      </w:r>
      <w:hyperlink r:id="rId3" w:history="1">
        <w:r w:rsidRPr="008C426B">
          <w:t>https://www.amnesty.org/en/latest/news/2019/01/eu-leaders-must-fix-broken-system-that-leaves-people-adrift-at-sea/</w:t>
        </w:r>
      </w:hyperlink>
    </w:p>
  </w:footnote>
  <w:footnote w:id="4">
    <w:p w14:paraId="1219F645" w14:textId="77777777" w:rsidR="008C426B" w:rsidRPr="008C426B" w:rsidRDefault="008C426B" w:rsidP="008C426B">
      <w:pPr>
        <w:pStyle w:val="FootnoteText"/>
      </w:pPr>
      <w:r w:rsidRPr="008C426B">
        <w:rPr>
          <w:rStyle w:val="FootnoteReference"/>
          <w:vertAlign w:val="baseline"/>
        </w:rPr>
        <w:footnoteRef/>
      </w:r>
      <w:r w:rsidRPr="008C426B">
        <w:rPr>
          <w:rStyle w:val="FootnoteReference"/>
          <w:vertAlign w:val="baseline"/>
        </w:rPr>
        <w:t xml:space="preserve"> </w:t>
      </w:r>
      <w:r w:rsidRPr="008C426B">
        <w:t xml:space="preserve">The Guardian “Libya: child refugees abused in UK-funded detention centres”, 20 November 2018. Available at: </w:t>
      </w:r>
      <w:hyperlink r:id="rId4" w:history="1">
        <w:r w:rsidRPr="008C426B">
          <w:t>https://www.theguardian.com/world/2018/nov/20/child-refugees-facing-abuse-in-libyan-detention-centres</w:t>
        </w:r>
      </w:hyperlink>
      <w:r w:rsidRPr="008C426B">
        <w:t xml:space="preserve"> </w:t>
      </w:r>
    </w:p>
  </w:footnote>
  <w:footnote w:id="5">
    <w:p w14:paraId="09096519" w14:textId="77777777" w:rsidR="008C426B" w:rsidRPr="008C426B" w:rsidRDefault="008C426B" w:rsidP="008C426B">
      <w:pPr>
        <w:pStyle w:val="FootnoteText"/>
      </w:pPr>
      <w:r w:rsidRPr="008C426B">
        <w:rPr>
          <w:rStyle w:val="FootnoteReference"/>
          <w:vertAlign w:val="baseline"/>
        </w:rPr>
        <w:footnoteRef/>
      </w:r>
      <w:r w:rsidRPr="008C426B">
        <w:t xml:space="preserve"> Oral update of the United Nations High Commissioner for Human Rights on Libya pursuant to Human Rights Council resolution 34/38, Human Rights Council – 36th session, Address by Ms. Kate Gilmore, United Nations Deputy High Commissioner for Human Rights, September 2017. Available at: </w:t>
      </w:r>
      <w:hyperlink r:id="rId5" w:history="1">
        <w:r w:rsidRPr="008C426B">
          <w:rPr>
            <w:rStyle w:val="Hyperlink"/>
            <w:color w:val="595959" w:themeColor="text1" w:themeTint="A6"/>
            <w:u w:val="none"/>
          </w:rPr>
          <w:t>https://www.ohchr.org/en/NewsEvents/Pages/DisplayNews.aspx?NewsID=22170</w:t>
        </w:r>
      </w:hyperlink>
    </w:p>
  </w:footnote>
  <w:footnote w:id="6">
    <w:p w14:paraId="4878341E" w14:textId="77777777" w:rsidR="008C426B" w:rsidRPr="008C426B" w:rsidRDefault="008C426B" w:rsidP="008C426B">
      <w:pPr>
        <w:pStyle w:val="FootnoteText"/>
      </w:pPr>
      <w:r w:rsidRPr="008C426B">
        <w:rPr>
          <w:rStyle w:val="FootnoteReference"/>
          <w:vertAlign w:val="baseline"/>
        </w:rPr>
        <w:footnoteRef/>
      </w:r>
      <w:r w:rsidRPr="008C426B">
        <w:t xml:space="preserve"> See, for example: ISPI “Sea Arrivals to Italy: The Cost of Deterrence Policies”, 05 October 2018. Available at:</w:t>
      </w:r>
    </w:p>
    <w:p w14:paraId="46743A0A" w14:textId="77777777" w:rsidR="008C426B" w:rsidRPr="008C426B" w:rsidRDefault="008C426B" w:rsidP="008C426B">
      <w:pPr>
        <w:pStyle w:val="FootnoteText"/>
      </w:pPr>
      <w:r w:rsidRPr="008C426B">
        <w:t xml:space="preserve"> </w:t>
      </w:r>
      <w:hyperlink r:id="rId6" w:history="1">
        <w:r w:rsidRPr="008C426B">
          <w:rPr>
            <w:rStyle w:val="Hyperlink"/>
            <w:color w:val="595959" w:themeColor="text1" w:themeTint="A6"/>
            <w:u w:val="none"/>
          </w:rPr>
          <w:t>https://www.ispionline.it/en/publication/sea-arrivals-italy-cost-deterrence-policies-21367</w:t>
        </w:r>
      </w:hyperlink>
    </w:p>
  </w:footnote>
  <w:footnote w:id="7">
    <w:p w14:paraId="73E374FC" w14:textId="77777777" w:rsidR="008C426B" w:rsidRPr="008C426B" w:rsidRDefault="008C426B" w:rsidP="008C426B">
      <w:pPr>
        <w:pStyle w:val="FootnoteText"/>
      </w:pPr>
      <w:r w:rsidRPr="008C426B">
        <w:rPr>
          <w:rStyle w:val="FootnoteReference"/>
          <w:vertAlign w:val="baseline"/>
        </w:rPr>
        <w:footnoteRef/>
      </w:r>
      <w:r w:rsidRPr="008C426B">
        <w:t xml:space="preserve"> See “Evaluating the ‘Salvini Decree’: Doubts of constitutional legitimacy,” by Cecilia Corsi, EUI, available at: </w:t>
      </w:r>
      <w:hyperlink r:id="rId7" w:history="1">
        <w:r w:rsidRPr="008C426B">
          <w:rPr>
            <w:rStyle w:val="Hyperlink"/>
            <w:color w:val="595959" w:themeColor="text1" w:themeTint="A6"/>
            <w:u w:val="none"/>
          </w:rPr>
          <w:t>http://cadmus.eui.eu/bitstream/handle/1814/61784/QM-AX-19-006-EN-N.pdf?sequence=1&amp;isAllowed=y</w:t>
        </w:r>
      </w:hyperlink>
      <w:r w:rsidRPr="008C426B">
        <w:t xml:space="preserve">. See also Italian Mayors, Lawmakers Call Security Decree Unconstitutional, available at: </w:t>
      </w:r>
      <w:hyperlink r:id="rId8" w:history="1">
        <w:r w:rsidRPr="008C426B">
          <w:rPr>
            <w:rStyle w:val="Hyperlink"/>
            <w:color w:val="595959" w:themeColor="text1" w:themeTint="A6"/>
            <w:u w:val="none"/>
          </w:rPr>
          <w:t>https://www.voanews.com/a/italian-mayors-lawmakers-call-security-decree-unconstitutional-/4737739.html</w:t>
        </w:r>
      </w:hyperlink>
      <w:r w:rsidRPr="008C426B">
        <w:t xml:space="preserve"> </w:t>
      </w:r>
    </w:p>
  </w:footnote>
  <w:footnote w:id="8">
    <w:p w14:paraId="780BE234" w14:textId="77777777" w:rsidR="008C426B" w:rsidRPr="008C426B" w:rsidRDefault="008C426B" w:rsidP="008C426B">
      <w:pPr>
        <w:pStyle w:val="FootnoteText"/>
      </w:pPr>
      <w:r w:rsidRPr="008C426B">
        <w:rPr>
          <w:rStyle w:val="FootnoteReference"/>
          <w:vertAlign w:val="baseline"/>
        </w:rPr>
        <w:footnoteRef/>
      </w:r>
      <w:r w:rsidRPr="008C426B">
        <w:t xml:space="preserve"> According to ISMU (Foundation for Initiatives and Studies on Multi-ethnicity), out of the 81000 requests for asylum examined in Italy in 2017, 16.8% yielded international protection; 8.4% of asylum seekers have obtained refugee status, 8.4% received subsidiary protection, while 24.7% of asylum seekers qualified for humanitarian protection.</w:t>
      </w:r>
    </w:p>
  </w:footnote>
  <w:footnote w:id="9">
    <w:p w14:paraId="7AF1CC10" w14:textId="77777777" w:rsidR="008C426B" w:rsidRPr="008C426B" w:rsidRDefault="008C426B" w:rsidP="008C426B">
      <w:pPr>
        <w:pStyle w:val="FootnoteText"/>
      </w:pPr>
      <w:r w:rsidRPr="008C426B">
        <w:rPr>
          <w:rStyle w:val="FootnoteReference"/>
          <w:vertAlign w:val="baseline"/>
        </w:rPr>
        <w:footnoteRef/>
      </w:r>
      <w:r w:rsidRPr="008C426B">
        <w:t xml:space="preserve"> </w:t>
      </w:r>
      <w:r w:rsidRPr="008C426B">
        <w:rPr>
          <w:i/>
          <w:iCs/>
        </w:rPr>
        <w:t>Centro Studi e Ricerche IDOS</w:t>
      </w:r>
      <w:r w:rsidRPr="008C426B">
        <w:t xml:space="preserve"> in collaboration with </w:t>
      </w:r>
      <w:r w:rsidRPr="008C426B">
        <w:rPr>
          <w:i/>
          <w:iCs/>
        </w:rPr>
        <w:t>Centro Studi Confronti,</w:t>
      </w:r>
      <w:r w:rsidRPr="008C426B">
        <w:t xml:space="preserve"> </w:t>
      </w:r>
      <w:r w:rsidRPr="008C426B">
        <w:rPr>
          <w:i/>
          <w:iCs/>
        </w:rPr>
        <w:t>Dossier Statistico Immigrazione,</w:t>
      </w:r>
      <w:r w:rsidRPr="008C426B">
        <w:t xml:space="preserve"> 2019. Available at: </w:t>
      </w:r>
      <w:hyperlink r:id="rId9">
        <w:r w:rsidRPr="008C426B">
          <w:t>https://www.dossierimmigrazione.it/prodotto/dossier-statistico-immigrazione-2019/</w:t>
        </w:r>
      </w:hyperlink>
    </w:p>
  </w:footnote>
  <w:footnote w:id="10">
    <w:p w14:paraId="292E86A9" w14:textId="77777777" w:rsidR="008C426B" w:rsidRPr="008C426B" w:rsidRDefault="008C426B" w:rsidP="008C426B">
      <w:pPr>
        <w:pStyle w:val="FootnoteText"/>
      </w:pPr>
      <w:r w:rsidRPr="008C426B">
        <w:footnoteRef/>
      </w:r>
      <w:r w:rsidRPr="007C0AE6">
        <w:rPr>
          <w:lang w:val="fr-CH"/>
        </w:rPr>
        <w:t xml:space="preserve"> Morozzo della Rocca P., “</w:t>
      </w:r>
      <w:r w:rsidRPr="007C0AE6">
        <w:rPr>
          <w:i/>
          <w:iCs/>
          <w:lang w:val="fr-CH"/>
        </w:rPr>
        <w:t>Residenza, dimora, domicilio e condizione alloggiativa nella disciplina del permesso di soggiorno”</w:t>
      </w:r>
      <w:r w:rsidRPr="007C0AE6">
        <w:rPr>
          <w:lang w:val="fr-CH"/>
        </w:rPr>
        <w:t xml:space="preserve">, in Diritto, Immigrazione e Cittadinanza, Fascicolo n.1/2019. </w:t>
      </w:r>
      <w:r w:rsidRPr="008C426B">
        <w:t xml:space="preserve">Available at: </w:t>
      </w:r>
      <w:hyperlink r:id="rId10" w:history="1">
        <w:r w:rsidRPr="008C426B">
          <w:t>https://www.dirittoimmigrazionecittadinanza.it/archivio-saggi-commenti/saggi/fascicolo-n-1-2019-1/360-residenza-dimora-domicilio-e-condizione-alloggiativa-nella-disciplina-del-permesso-di-soggiorno</w:t>
        </w:r>
      </w:hyperlink>
      <w:r w:rsidRPr="008C426B">
        <w:t xml:space="preserve"> </w:t>
      </w:r>
    </w:p>
  </w:footnote>
  <w:footnote w:id="11">
    <w:p w14:paraId="78F0DD2E" w14:textId="77777777" w:rsidR="008C426B" w:rsidRPr="008C426B" w:rsidRDefault="008C426B" w:rsidP="008C426B">
      <w:pPr>
        <w:pStyle w:val="FootnoteText"/>
      </w:pPr>
      <w:r w:rsidRPr="008C426B">
        <w:rPr>
          <w:rStyle w:val="FootnoteReference"/>
          <w:vertAlign w:val="baseline"/>
        </w:rPr>
        <w:footnoteRef/>
      </w:r>
      <w:r w:rsidRPr="008C426B">
        <w:t xml:space="preserve"> See: </w:t>
      </w:r>
      <w:hyperlink r:id="rId11" w:history="1">
        <w:r w:rsidRPr="008C426B">
          <w:t>https://www.laleggepertutti.it/292266_quali-documenti-servono-per-aprire-un-conto-corrente</w:t>
        </w:r>
      </w:hyperlink>
      <w:r w:rsidRPr="008C426B">
        <w:t xml:space="preserve"> and </w:t>
      </w:r>
      <w:hyperlink r:id="rId12" w:history="1">
        <w:r w:rsidRPr="008C426B">
          <w:t>https://www.finanzamia.com/cosa-serve-per-aprire-un-conto-corrente-postale/</w:t>
        </w:r>
      </w:hyperlink>
    </w:p>
  </w:footnote>
  <w:footnote w:id="12">
    <w:p w14:paraId="4B621B1B" w14:textId="77777777" w:rsidR="008C426B" w:rsidRPr="008C426B" w:rsidRDefault="008C426B" w:rsidP="008C426B">
      <w:pPr>
        <w:pStyle w:val="FootnoteText"/>
      </w:pPr>
      <w:r w:rsidRPr="008C426B">
        <w:rPr>
          <w:rStyle w:val="FootnoteReference"/>
          <w:vertAlign w:val="baseline"/>
        </w:rPr>
        <w:footnoteRef/>
      </w:r>
      <w:r w:rsidRPr="008C426B">
        <w:t xml:space="preserve"> The time that asylum seekers spend without residence is not calculated when applying for public housing and citizenship</w:t>
      </w:r>
    </w:p>
  </w:footnote>
  <w:footnote w:id="13">
    <w:p w14:paraId="0DB6BC25" w14:textId="77777777" w:rsidR="008C426B" w:rsidRPr="008C426B" w:rsidRDefault="008C426B" w:rsidP="008C426B">
      <w:pPr>
        <w:pStyle w:val="FootnoteText"/>
      </w:pPr>
      <w:r w:rsidRPr="008C426B">
        <w:footnoteRef/>
      </w:r>
      <w:r w:rsidRPr="008C426B">
        <w:t xml:space="preserve"> See, for example, </w:t>
      </w:r>
      <w:r w:rsidRPr="008C426B">
        <w:rPr>
          <w:i/>
          <w:iCs/>
        </w:rPr>
        <w:t xml:space="preserve">“Decreto sicurezza, la rivolta dei sindaci. </w:t>
      </w:r>
      <w:r w:rsidRPr="007C0AE6">
        <w:rPr>
          <w:i/>
          <w:iCs/>
          <w:lang w:val="fr-CH"/>
        </w:rPr>
        <w:t>Salvini: “Ne risponderanno legalmente” Palermo e Napoli guidano la fronda: stop alla norma che impedisce di dare la residenza ai richiedenti asilo”</w:t>
      </w:r>
      <w:r w:rsidRPr="007C0AE6">
        <w:rPr>
          <w:lang w:val="fr-CH"/>
        </w:rPr>
        <w:t xml:space="preserve">. </w:t>
      </w:r>
      <w:r w:rsidRPr="008C426B">
        <w:t xml:space="preserve">Available at: </w:t>
      </w:r>
      <w:hyperlink r:id="rId13" w:history="1">
        <w:r w:rsidRPr="008C426B">
          <w:rPr>
            <w:rStyle w:val="Hyperlink"/>
            <w:color w:val="595959" w:themeColor="text1" w:themeTint="A6"/>
            <w:u w:val="none"/>
          </w:rPr>
          <w:t>https://www.lastampa.it/2019/01/03/italia/decreto-sicurezza-la-rivolta-dei-sindaci-salvini-nerisponderanno-legalmente-ln8LdNArbEalIEKokuUQdP/pagina.html</w:t>
        </w:r>
      </w:hyperlink>
      <w:r w:rsidRPr="008C426B">
        <w:t xml:space="preserve"> </w:t>
      </w:r>
    </w:p>
  </w:footnote>
  <w:footnote w:id="14">
    <w:p w14:paraId="365C890B" w14:textId="77777777" w:rsidR="008C426B" w:rsidRPr="008C426B" w:rsidRDefault="008C426B" w:rsidP="008C426B">
      <w:pPr>
        <w:pStyle w:val="FootnoteText"/>
      </w:pPr>
      <w:r w:rsidRPr="008C426B">
        <w:footnoteRef/>
      </w:r>
      <w:r w:rsidRPr="007C0AE6">
        <w:rPr>
          <w:lang w:val="fr-CH"/>
        </w:rPr>
        <w:t xml:space="preserve"> ASGI, </w:t>
      </w:r>
      <w:r w:rsidRPr="007C0AE6">
        <w:rPr>
          <w:i/>
          <w:iCs/>
          <w:lang w:val="fr-CH"/>
        </w:rPr>
        <w:t>“Iscrizione anagrafica dei richiedenti asilo, il giudice al comune di Ferrara: si deve aspettare la Corte Costituzionale”</w:t>
      </w:r>
      <w:r w:rsidRPr="007C0AE6">
        <w:rPr>
          <w:lang w:val="fr-CH"/>
        </w:rPr>
        <w:t xml:space="preserve"> 28 November 2019. </w:t>
      </w:r>
      <w:r w:rsidRPr="008C426B">
        <w:t xml:space="preserve">Available at: </w:t>
      </w:r>
      <w:hyperlink r:id="rId14" w:history="1">
        <w:r w:rsidRPr="008C426B">
          <w:rPr>
            <w:rStyle w:val="Hyperlink"/>
            <w:color w:val="595959" w:themeColor="text1" w:themeTint="A6"/>
            <w:u w:val="none"/>
          </w:rPr>
          <w:t>https://www.asgi.it/asilo-e-protezione-internazionale/iscrizione-anagrafica-dei-richiedenti-asilo-il-giudice-al-comune-di-ferrara-si-deve-aspettare-la-corte-costituzionale/</w:t>
        </w:r>
      </w:hyperlink>
    </w:p>
  </w:footnote>
  <w:footnote w:id="15">
    <w:p w14:paraId="17024E47" w14:textId="77777777" w:rsidR="008C426B" w:rsidRPr="008C426B" w:rsidRDefault="008C426B" w:rsidP="008C426B">
      <w:pPr>
        <w:pStyle w:val="FootnoteText"/>
      </w:pPr>
      <w:r w:rsidRPr="008C426B">
        <w:footnoteRef/>
      </w:r>
      <w:r w:rsidRPr="008C426B">
        <w:t xml:space="preserve"> See </w:t>
      </w:r>
      <w:hyperlink r:id="rId15" w:history="1">
        <w:r w:rsidRPr="008C426B">
          <w:rPr>
            <w:rStyle w:val="Hyperlink"/>
            <w:color w:val="595959" w:themeColor="text1" w:themeTint="A6"/>
            <w:u w:val="none"/>
          </w:rPr>
          <w:t>https://www.infomigrants.net/en/post/13382/council-of-europe-italian-security-decree-a-stepbackwards</w:t>
        </w:r>
      </w:hyperlink>
      <w:r w:rsidRPr="008C426B">
        <w:t xml:space="preserve">.  See also, </w:t>
      </w:r>
      <w:hyperlink r:id="rId16" w:history="1">
        <w:r w:rsidRPr="008C426B">
          <w:rPr>
            <w:rStyle w:val="Hyperlink"/>
            <w:color w:val="595959" w:themeColor="text1" w:themeTint="A6"/>
            <w:u w:val="none"/>
          </w:rPr>
          <w:t>https://ec.europa.eu/migrant-integration/news/council-of-europe-concerned-byconsequences-of-italian-government-actions</w:t>
        </w:r>
      </w:hyperlink>
      <w:r w:rsidRPr="008C426B">
        <w:t xml:space="preserve"> and </w:t>
      </w:r>
      <w:hyperlink r:id="rId17" w:history="1">
        <w:r w:rsidRPr="008C426B">
          <w:rPr>
            <w:rStyle w:val="Hyperlink"/>
            <w:color w:val="595959" w:themeColor="text1" w:themeTint="A6"/>
            <w:u w:val="none"/>
          </w:rPr>
          <w:t>https://ec.europa.eu/migrantintegration/news/controversial-decree-in-italy-to-abolish-humanitarian-protection-make-naturalised-citizensless-equal</w:t>
        </w:r>
      </w:hyperlink>
      <w:r w:rsidRPr="008C426B">
        <w:t xml:space="preserve"> </w:t>
      </w:r>
    </w:p>
  </w:footnote>
  <w:footnote w:id="16">
    <w:p w14:paraId="4E81C71E" w14:textId="77777777" w:rsidR="008C426B" w:rsidRPr="008C426B" w:rsidRDefault="008C426B" w:rsidP="008C426B">
      <w:pPr>
        <w:pStyle w:val="FootnoteText"/>
      </w:pPr>
      <w:r w:rsidRPr="008C426B">
        <w:rPr>
          <w:rStyle w:val="FootnoteReference"/>
          <w:vertAlign w:val="baseline"/>
        </w:rPr>
        <w:footnoteRef/>
      </w:r>
      <w:r w:rsidRPr="008C426B">
        <w:t xml:space="preserve"> See communication by The Special Rapporteur on the promotion and protection of the right to freedom of opinion and expression; the Special Rapporteur on the rights to freedom of peaceful assembly and of association; the Special Rapporteur on the situation of human rights defenders; the Independent Expert on human rights and international solidarity; the Special Rapporteur on the human rights of migrants; the Special Rapporteur on contemporary forms of racism, racial discrimination, xenophobia and related intolerance; the Special Rapporteur on contemporary forms of slavery, including its causes and consequences; the Special Rapporteur on torture and other cruel, inhuman or degrading treatment or punishment; the Special Rapporteur on trafficking in persons, especially women and children; and the Special Rapporteur on violence against women, its causes and consequences. Available at: https://spcommreports.ohchr.org/TMResultsBase/DownLoadPublicCommunicationFile?gId=24084 See also: Legal changes and climate of hatred threaten migrants’ rights in Italy, say UN experts. Available at: https://www.ohchr.org/en/NewsEvents/Pages/DisplayNews.aspx?NewsID=23908&amp;LangID=E.</w:t>
      </w:r>
    </w:p>
  </w:footnote>
  <w:footnote w:id="17">
    <w:p w14:paraId="63C0B51E" w14:textId="77777777" w:rsidR="008C426B" w:rsidRPr="008C426B" w:rsidRDefault="008C426B" w:rsidP="008C426B">
      <w:pPr>
        <w:pStyle w:val="FootnoteText"/>
      </w:pPr>
      <w:r w:rsidRPr="008C426B">
        <w:rPr>
          <w:rStyle w:val="FootnoteReference"/>
          <w:vertAlign w:val="baseline"/>
        </w:rPr>
        <w:footnoteRef/>
      </w:r>
      <w:r w:rsidRPr="008C426B">
        <w:t xml:space="preserve"> E/C.12/ITA/CO/5, p.3, available at: </w:t>
      </w:r>
      <w:hyperlink r:id="rId18" w:history="1">
        <w:r w:rsidRPr="008C426B">
          <w:t>https://undocs.org/en/E/C.12/ITA/CO/5</w:t>
        </w:r>
      </w:hyperlink>
      <w:r w:rsidRPr="008C426B">
        <w:t xml:space="preserve"> </w:t>
      </w:r>
    </w:p>
  </w:footnote>
  <w:footnote w:id="18">
    <w:p w14:paraId="72F13D53" w14:textId="77777777" w:rsidR="008C426B" w:rsidRPr="008C426B" w:rsidRDefault="008C426B" w:rsidP="008C426B">
      <w:pPr>
        <w:pStyle w:val="FootnoteText"/>
      </w:pPr>
      <w:r w:rsidRPr="008C426B">
        <w:footnoteRef/>
      </w:r>
      <w:r w:rsidRPr="008C426B">
        <w:t xml:space="preserve"> </w:t>
      </w:r>
      <w:r w:rsidRPr="008C426B">
        <w:rPr>
          <w:i/>
          <w:iCs/>
        </w:rPr>
        <w:t>Centro Studi e Ricerche</w:t>
      </w:r>
      <w:r w:rsidRPr="008C426B">
        <w:t xml:space="preserve"> IDOS in collaboration with </w:t>
      </w:r>
      <w:r w:rsidRPr="008C426B">
        <w:rPr>
          <w:i/>
          <w:iCs/>
        </w:rPr>
        <w:t>Centro Studi Confronti, Ibid.</w:t>
      </w:r>
    </w:p>
  </w:footnote>
  <w:footnote w:id="19">
    <w:p w14:paraId="2BCA9BE7" w14:textId="77777777" w:rsidR="008C426B" w:rsidRPr="008C426B" w:rsidRDefault="008C426B" w:rsidP="008C426B">
      <w:pPr>
        <w:pStyle w:val="FootnoteText"/>
      </w:pPr>
      <w:r w:rsidRPr="008C426B">
        <w:rPr>
          <w:rStyle w:val="FootnoteReference"/>
          <w:vertAlign w:val="baseline"/>
        </w:rPr>
        <w:footnoteRef/>
      </w:r>
      <w:r w:rsidRPr="008C426B">
        <w:t xml:space="preserve"> </w:t>
      </w:r>
      <w:r w:rsidRPr="008C426B">
        <w:rPr>
          <w:i/>
          <w:iCs/>
        </w:rPr>
        <w:t xml:space="preserve">Corte di Cassazione </w:t>
      </w:r>
      <w:r w:rsidRPr="008C426B">
        <w:t>referred to the EU Court of Justice to ask if Italy acted in accordance to the 2003/109 and 2011/98 Directives.</w:t>
      </w:r>
    </w:p>
  </w:footnote>
  <w:footnote w:id="20">
    <w:p w14:paraId="16CBC569" w14:textId="77777777" w:rsidR="008C426B" w:rsidRPr="008C426B" w:rsidRDefault="008C426B" w:rsidP="008C426B">
      <w:pPr>
        <w:pStyle w:val="FootnoteText"/>
      </w:pPr>
      <w:r w:rsidRPr="008C426B">
        <w:rPr>
          <w:rStyle w:val="FootnoteReference"/>
          <w:vertAlign w:val="baseline"/>
        </w:rPr>
        <w:footnoteRef/>
      </w:r>
      <w:r w:rsidRPr="008C426B">
        <w:rPr>
          <w:rStyle w:val="FootnoteReference"/>
          <w:vertAlign w:val="baseline"/>
        </w:rPr>
        <w:t xml:space="preserve"> </w:t>
      </w:r>
      <w:r w:rsidRPr="008C426B">
        <w:rPr>
          <w:i/>
          <w:iCs/>
        </w:rPr>
        <w:t>Questura di Treviso – Ufficio Immigrazione</w:t>
      </w:r>
      <w:r w:rsidRPr="008C426B">
        <w:t xml:space="preserve">, available at: </w:t>
      </w:r>
      <w:hyperlink r:id="rId19" w:history="1">
        <w:r w:rsidRPr="008C426B">
          <w:rPr>
            <w:rStyle w:val="Hyperlink"/>
            <w:color w:val="595959" w:themeColor="text1" w:themeTint="A6"/>
            <w:u w:val="none"/>
          </w:rPr>
          <w:t>http://www.trevisolavora.it/guidastranieri/documenti/5_conversione_kit_postale.pdf?id_contenuto=1424&amp;id_categoria=158</w:t>
        </w:r>
      </w:hyperlink>
    </w:p>
  </w:footnote>
  <w:footnote w:id="21">
    <w:p w14:paraId="45BCE428" w14:textId="5343E15D" w:rsidR="008C426B" w:rsidRPr="008C426B" w:rsidRDefault="008C426B" w:rsidP="008C426B">
      <w:pPr>
        <w:pStyle w:val="FootnoteText"/>
      </w:pPr>
      <w:r w:rsidRPr="008C426B">
        <w:rPr>
          <w:rStyle w:val="FootnoteReference"/>
          <w:vertAlign w:val="baseline"/>
        </w:rPr>
        <w:footnoteRef/>
      </w:r>
      <w:r w:rsidRPr="008C426B">
        <w:t xml:space="preserve"> </w:t>
      </w:r>
      <w:r w:rsidRPr="008C426B">
        <w:rPr>
          <w:i/>
          <w:iCs/>
        </w:rPr>
        <w:t>Centro Studi e Ricerche IDOS</w:t>
      </w:r>
      <w:r w:rsidRPr="008C426B">
        <w:t xml:space="preserve"> in collaboration with </w:t>
      </w:r>
      <w:r w:rsidRPr="008C426B">
        <w:rPr>
          <w:i/>
          <w:iCs/>
        </w:rPr>
        <w:t>Centro Studi Confronti,</w:t>
      </w:r>
      <w:r w:rsidRPr="008C426B">
        <w:t xml:space="preserve"> </w:t>
      </w:r>
      <w:r w:rsidRPr="008C426B">
        <w:rPr>
          <w:i/>
          <w:iCs/>
        </w:rPr>
        <w:t>Ibid.</w:t>
      </w:r>
    </w:p>
  </w:footnote>
  <w:footnote w:id="22">
    <w:p w14:paraId="015B632B" w14:textId="77777777" w:rsidR="008C426B" w:rsidRPr="008C426B" w:rsidRDefault="008C426B" w:rsidP="008C426B">
      <w:pPr>
        <w:pStyle w:val="FootnoteText"/>
      </w:pPr>
      <w:r w:rsidRPr="008C426B">
        <w:rPr>
          <w:rStyle w:val="FootnoteReference"/>
          <w:vertAlign w:val="baseline"/>
        </w:rPr>
        <w:footnoteRef/>
      </w:r>
      <w:r w:rsidRPr="008C426B">
        <w:t xml:space="preserve"> CEDAW/C/ITA/CO/7</w:t>
      </w:r>
    </w:p>
  </w:footnote>
  <w:footnote w:id="23">
    <w:p w14:paraId="29F809BE" w14:textId="52CB20B2" w:rsidR="008C426B" w:rsidRPr="008C426B" w:rsidRDefault="008C426B" w:rsidP="008C426B">
      <w:pPr>
        <w:pStyle w:val="FootnoteText"/>
      </w:pPr>
      <w:r w:rsidRPr="008C426B">
        <w:rPr>
          <w:rStyle w:val="FootnoteReference"/>
          <w:vertAlign w:val="baseline"/>
        </w:rPr>
        <w:footnoteRef/>
      </w:r>
      <w:r w:rsidRPr="008C426B">
        <w:t xml:space="preserve"> </w:t>
      </w:r>
      <w:r w:rsidRPr="008C426B">
        <w:rPr>
          <w:i/>
          <w:iCs/>
        </w:rPr>
        <w:t>Caporalato</w:t>
      </w:r>
      <w:r w:rsidRPr="008C426B">
        <w:t xml:space="preserve"> is the term used to refer to work in the informal economy and to labour exploitation of vulnerable workers. It is a form of illegal intermediation and exploitation of migrant workers in the agricultural sector. See, for, example, </w:t>
      </w:r>
      <w:hyperlink r:id="rId20" w:history="1">
        <w:r w:rsidRPr="008C426B">
          <w:rPr>
            <w:rStyle w:val="Hyperlink"/>
            <w:color w:val="595959" w:themeColor="text1" w:themeTint="A6"/>
            <w:u w:val="none"/>
          </w:rPr>
          <w:t>https://www.ohchr.org/EN/NewsEvents/Pages/DisplayNews.aspx?NewsID=23708&amp;LangID=E</w:t>
        </w:r>
      </w:hyperlink>
    </w:p>
  </w:footnote>
  <w:footnote w:id="24">
    <w:p w14:paraId="2B9A7C71" w14:textId="55B230B1" w:rsidR="008C426B" w:rsidRPr="008C426B" w:rsidRDefault="008C426B" w:rsidP="008C426B">
      <w:pPr>
        <w:pStyle w:val="FootnoteText"/>
      </w:pPr>
      <w:r w:rsidRPr="008C426B">
        <w:rPr>
          <w:rStyle w:val="FootnoteReference"/>
          <w:vertAlign w:val="baseline"/>
        </w:rPr>
        <w:footnoteRef/>
      </w:r>
      <w:r w:rsidRPr="008C426B">
        <w:t xml:space="preserve"> For more information, See Report of the Special Rapporteur on contemporary forms of slavery,</w:t>
      </w:r>
    </w:p>
    <w:p w14:paraId="60A4C5CA" w14:textId="77777777" w:rsidR="008C426B" w:rsidRPr="008C426B" w:rsidRDefault="008C426B" w:rsidP="008C426B">
      <w:pPr>
        <w:pStyle w:val="FootnoteText"/>
      </w:pPr>
      <w:r w:rsidRPr="008C426B">
        <w:t xml:space="preserve">including its causes and consequences, 25 July 2019, UN Index: A/HRC/42/44/Add.1, paragraphs 10 and 49 </w:t>
      </w:r>
    </w:p>
  </w:footnote>
  <w:footnote w:id="25">
    <w:p w14:paraId="2C44CA90" w14:textId="3002E2F3" w:rsidR="008C426B" w:rsidRPr="008C426B" w:rsidRDefault="008C426B" w:rsidP="008C426B">
      <w:pPr>
        <w:pStyle w:val="FootnoteText"/>
      </w:pPr>
      <w:r w:rsidRPr="008C426B">
        <w:rPr>
          <w:rStyle w:val="FootnoteReference"/>
          <w:vertAlign w:val="baseline"/>
        </w:rPr>
        <w:footnoteRef/>
      </w:r>
      <w:r w:rsidRPr="008C426B">
        <w:t xml:space="preserve"> Ilsole24ore.com, “</w:t>
      </w:r>
      <w:r w:rsidRPr="008C426B">
        <w:rPr>
          <w:i/>
          <w:iCs/>
        </w:rPr>
        <w:t>Ius soli e ius culturae nell’agenda di governo – scontro PD – M5S</w:t>
      </w:r>
      <w:r w:rsidRPr="008C426B">
        <w:t xml:space="preserve">”, 18 November 2019. Available at: </w:t>
      </w:r>
      <w:hyperlink r:id="rId21" w:history="1">
        <w:r w:rsidRPr="008C426B">
          <w:t>https://www.ilsole24ore.com/art/cittadinanza-pressing-pd-ius-soli-e-ius-culturae-nell-agenda-governo-ecco-cosa-sono-ACv3hez</w:t>
        </w:r>
      </w:hyperlink>
      <w:r w:rsidRPr="008C426B">
        <w:t xml:space="preserve"> </w:t>
      </w:r>
    </w:p>
  </w:footnote>
  <w:footnote w:id="26">
    <w:p w14:paraId="661BAEF5" w14:textId="79C94649" w:rsidR="008C426B" w:rsidRPr="008C426B" w:rsidRDefault="008C426B" w:rsidP="008C426B">
      <w:pPr>
        <w:pStyle w:val="FootnoteText"/>
      </w:pPr>
      <w:r w:rsidRPr="008C426B">
        <w:rPr>
          <w:rStyle w:val="FootnoteReference"/>
          <w:vertAlign w:val="baseline"/>
        </w:rPr>
        <w:footnoteRef/>
      </w:r>
      <w:r w:rsidRPr="008C426B">
        <w:t xml:space="preserve"> </w:t>
      </w:r>
      <w:r w:rsidRPr="008C426B">
        <w:rPr>
          <w:i/>
          <w:iCs/>
        </w:rPr>
        <w:t>Centro Studi e Ricerche</w:t>
      </w:r>
      <w:r w:rsidRPr="008C426B">
        <w:t xml:space="preserve"> </w:t>
      </w:r>
      <w:r w:rsidRPr="008C426B">
        <w:rPr>
          <w:i/>
          <w:iCs/>
        </w:rPr>
        <w:t>IDOS</w:t>
      </w:r>
      <w:r w:rsidRPr="008C426B">
        <w:t xml:space="preserve"> in collaboration with </w:t>
      </w:r>
      <w:r w:rsidRPr="008C426B">
        <w:rPr>
          <w:i/>
          <w:iCs/>
        </w:rPr>
        <w:t>Centro Studi Confronti, Ibid.</w:t>
      </w:r>
    </w:p>
  </w:footnote>
  <w:footnote w:id="27">
    <w:p w14:paraId="4F13D321" w14:textId="399A5FB2" w:rsidR="008C426B" w:rsidRPr="008C426B" w:rsidRDefault="008C426B" w:rsidP="008C426B">
      <w:pPr>
        <w:pStyle w:val="FootnoteText"/>
      </w:pPr>
      <w:r w:rsidRPr="008C426B">
        <w:rPr>
          <w:rStyle w:val="FootnoteReference"/>
          <w:vertAlign w:val="baseline"/>
        </w:rPr>
        <w:footnoteRef/>
      </w:r>
      <w:r w:rsidRPr="008C426B">
        <w:t xml:space="preserve"> i.e. the Citizenship guaranteed minimum income </w:t>
      </w:r>
    </w:p>
  </w:footnote>
  <w:footnote w:id="28">
    <w:p w14:paraId="469788EE" w14:textId="72560F32" w:rsidR="008C426B" w:rsidRPr="008C426B" w:rsidRDefault="008C426B" w:rsidP="008C426B">
      <w:pPr>
        <w:pStyle w:val="FootnoteText"/>
      </w:pPr>
      <w:r w:rsidRPr="008C426B">
        <w:rPr>
          <w:rStyle w:val="FootnoteReference"/>
          <w:vertAlign w:val="baseline"/>
        </w:rPr>
        <w:footnoteRef/>
      </w:r>
      <w:r w:rsidRPr="008C426B">
        <w:t xml:space="preserve"> Report of the Report of the Working Group of Experts on People of</w:t>
      </w:r>
    </w:p>
    <w:p w14:paraId="3E6CFA89" w14:textId="77777777" w:rsidR="008C426B" w:rsidRPr="008C426B" w:rsidRDefault="008C426B" w:rsidP="008C426B">
      <w:pPr>
        <w:pStyle w:val="FootnoteText"/>
      </w:pPr>
      <w:r w:rsidRPr="008C426B">
        <w:t xml:space="preserve">African Descent on its mission to Italy, A/HRC/33/61/Add.1, 12 August 2016, paragraph 89.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DE41" w14:textId="77777777" w:rsidR="005253BB" w:rsidRDefault="005253BB">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5253BB" w:rsidRDefault="005253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9254A0B"/>
    <w:multiLevelType w:val="hybridMultilevel"/>
    <w:tmpl w:val="911A0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A231B"/>
    <w:multiLevelType w:val="hybridMultilevel"/>
    <w:tmpl w:val="014A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A210E"/>
    <w:multiLevelType w:val="hybridMultilevel"/>
    <w:tmpl w:val="870A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3BF45C5"/>
    <w:multiLevelType w:val="hybridMultilevel"/>
    <w:tmpl w:val="90628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B47C8F"/>
    <w:multiLevelType w:val="hybridMultilevel"/>
    <w:tmpl w:val="EC7E3EC2"/>
    <w:lvl w:ilvl="0" w:tplc="F6E8CAA0">
      <w:start w:val="1"/>
      <w:numFmt w:val="bullet"/>
      <w:lvlText w:val=""/>
      <w:lvlJc w:val="left"/>
      <w:pPr>
        <w:ind w:left="360" w:hanging="360"/>
      </w:pPr>
      <w:rPr>
        <w:rFonts w:ascii="Symbol" w:hAnsi="Symbol" w:hint="default"/>
        <w:color w:val="000000" w:themeColor="text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C5C19F5"/>
    <w:multiLevelType w:val="hybridMultilevel"/>
    <w:tmpl w:val="E848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1369E6"/>
    <w:multiLevelType w:val="hybridMultilevel"/>
    <w:tmpl w:val="E12E4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0"/>
  </w:num>
  <w:num w:numId="3">
    <w:abstractNumId w:val="20"/>
  </w:num>
  <w:num w:numId="4">
    <w:abstractNumId w:val="17"/>
  </w:num>
  <w:num w:numId="5">
    <w:abstractNumId w:val="18"/>
  </w:num>
  <w:num w:numId="6">
    <w:abstractNumId w:val="7"/>
  </w:num>
  <w:num w:numId="7">
    <w:abstractNumId w:val="1"/>
  </w:num>
  <w:num w:numId="8">
    <w:abstractNumId w:val="2"/>
  </w:num>
  <w:num w:numId="9">
    <w:abstractNumId w:val="5"/>
  </w:num>
  <w:num w:numId="10">
    <w:abstractNumId w:val="15"/>
  </w:num>
  <w:num w:numId="11">
    <w:abstractNumId w:val="6"/>
  </w:num>
  <w:num w:numId="12">
    <w:abstractNumId w:val="9"/>
  </w:num>
  <w:num w:numId="13">
    <w:abstractNumId w:val="19"/>
  </w:num>
  <w:num w:numId="14">
    <w:abstractNumId w:val="16"/>
  </w:num>
  <w:num w:numId="15">
    <w:abstractNumId w:val="4"/>
  </w:num>
  <w:num w:numId="16">
    <w:abstractNumId w:val="8"/>
  </w:num>
  <w:num w:numId="17">
    <w:abstractNumId w:val="14"/>
  </w:num>
  <w:num w:numId="18">
    <w:abstractNumId w:val="10"/>
  </w:num>
  <w:num w:numId="19">
    <w:abstractNumId w:val="13"/>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10974"/>
    <w:rsid w:val="00030B2F"/>
    <w:rsid w:val="00040091"/>
    <w:rsid w:val="00047B83"/>
    <w:rsid w:val="00071D9B"/>
    <w:rsid w:val="0007753A"/>
    <w:rsid w:val="000976C7"/>
    <w:rsid w:val="00097AA7"/>
    <w:rsid w:val="000C1B99"/>
    <w:rsid w:val="000D49D8"/>
    <w:rsid w:val="000E1C29"/>
    <w:rsid w:val="000E65D0"/>
    <w:rsid w:val="000F45FC"/>
    <w:rsid w:val="0011545B"/>
    <w:rsid w:val="00124C49"/>
    <w:rsid w:val="001254E1"/>
    <w:rsid w:val="0014147A"/>
    <w:rsid w:val="001432E4"/>
    <w:rsid w:val="00152514"/>
    <w:rsid w:val="00163C1A"/>
    <w:rsid w:val="00173161"/>
    <w:rsid w:val="001A5456"/>
    <w:rsid w:val="001E542A"/>
    <w:rsid w:val="001E6D73"/>
    <w:rsid w:val="001E6FE4"/>
    <w:rsid w:val="002242D7"/>
    <w:rsid w:val="002314D8"/>
    <w:rsid w:val="00260A03"/>
    <w:rsid w:val="00285BB9"/>
    <w:rsid w:val="00286041"/>
    <w:rsid w:val="00287914"/>
    <w:rsid w:val="00295099"/>
    <w:rsid w:val="002A3CA5"/>
    <w:rsid w:val="002B3F82"/>
    <w:rsid w:val="002C5B18"/>
    <w:rsid w:val="002D2682"/>
    <w:rsid w:val="00304BB0"/>
    <w:rsid w:val="003276AE"/>
    <w:rsid w:val="003478DD"/>
    <w:rsid w:val="00352CE2"/>
    <w:rsid w:val="00370675"/>
    <w:rsid w:val="00384DB0"/>
    <w:rsid w:val="003A4369"/>
    <w:rsid w:val="003A60F4"/>
    <w:rsid w:val="003B4998"/>
    <w:rsid w:val="003D2A64"/>
    <w:rsid w:val="003D6791"/>
    <w:rsid w:val="003E53B8"/>
    <w:rsid w:val="00401590"/>
    <w:rsid w:val="00424EAC"/>
    <w:rsid w:val="004419C4"/>
    <w:rsid w:val="0044430E"/>
    <w:rsid w:val="00444B29"/>
    <w:rsid w:val="00446D37"/>
    <w:rsid w:val="00467BCD"/>
    <w:rsid w:val="00471983"/>
    <w:rsid w:val="00471F90"/>
    <w:rsid w:val="00472C4E"/>
    <w:rsid w:val="00477D32"/>
    <w:rsid w:val="00486724"/>
    <w:rsid w:val="0049376D"/>
    <w:rsid w:val="00496188"/>
    <w:rsid w:val="00497B7E"/>
    <w:rsid w:val="004B44F0"/>
    <w:rsid w:val="004B73F2"/>
    <w:rsid w:val="004C2E1C"/>
    <w:rsid w:val="004D239F"/>
    <w:rsid w:val="004E6957"/>
    <w:rsid w:val="004F0BE7"/>
    <w:rsid w:val="005022DD"/>
    <w:rsid w:val="005253BB"/>
    <w:rsid w:val="00526AC0"/>
    <w:rsid w:val="00560DE6"/>
    <w:rsid w:val="005625EF"/>
    <w:rsid w:val="0056659E"/>
    <w:rsid w:val="00571B4E"/>
    <w:rsid w:val="00593579"/>
    <w:rsid w:val="00595961"/>
    <w:rsid w:val="005A08A3"/>
    <w:rsid w:val="005A5314"/>
    <w:rsid w:val="005A5780"/>
    <w:rsid w:val="005B5B3B"/>
    <w:rsid w:val="005B69C5"/>
    <w:rsid w:val="005C4072"/>
    <w:rsid w:val="005F5CC0"/>
    <w:rsid w:val="006063F7"/>
    <w:rsid w:val="00617639"/>
    <w:rsid w:val="00642B57"/>
    <w:rsid w:val="00651CA1"/>
    <w:rsid w:val="006B199A"/>
    <w:rsid w:val="006B6318"/>
    <w:rsid w:val="006C3B04"/>
    <w:rsid w:val="006C40DF"/>
    <w:rsid w:val="006C6106"/>
    <w:rsid w:val="00701324"/>
    <w:rsid w:val="00707A69"/>
    <w:rsid w:val="00711409"/>
    <w:rsid w:val="00717B21"/>
    <w:rsid w:val="00726858"/>
    <w:rsid w:val="007616FA"/>
    <w:rsid w:val="007652B8"/>
    <w:rsid w:val="00765BFE"/>
    <w:rsid w:val="00773397"/>
    <w:rsid w:val="00774554"/>
    <w:rsid w:val="00792478"/>
    <w:rsid w:val="00796312"/>
    <w:rsid w:val="00797535"/>
    <w:rsid w:val="007A18BF"/>
    <w:rsid w:val="007A1A0A"/>
    <w:rsid w:val="007C0AE6"/>
    <w:rsid w:val="007D2A6E"/>
    <w:rsid w:val="007E1B64"/>
    <w:rsid w:val="007E6823"/>
    <w:rsid w:val="007F5145"/>
    <w:rsid w:val="008058BF"/>
    <w:rsid w:val="008065AF"/>
    <w:rsid w:val="00810057"/>
    <w:rsid w:val="008179D2"/>
    <w:rsid w:val="00820BFF"/>
    <w:rsid w:val="008230D9"/>
    <w:rsid w:val="00834E85"/>
    <w:rsid w:val="00835621"/>
    <w:rsid w:val="00836BE6"/>
    <w:rsid w:val="008438E3"/>
    <w:rsid w:val="00863E24"/>
    <w:rsid w:val="00865676"/>
    <w:rsid w:val="008A07A5"/>
    <w:rsid w:val="008A273F"/>
    <w:rsid w:val="008B0BF4"/>
    <w:rsid w:val="008B0E17"/>
    <w:rsid w:val="008B4344"/>
    <w:rsid w:val="008C426B"/>
    <w:rsid w:val="008F4E81"/>
    <w:rsid w:val="008F6B9A"/>
    <w:rsid w:val="009341C3"/>
    <w:rsid w:val="00952EA0"/>
    <w:rsid w:val="00965C2E"/>
    <w:rsid w:val="00966605"/>
    <w:rsid w:val="009958E2"/>
    <w:rsid w:val="00996902"/>
    <w:rsid w:val="00996E79"/>
    <w:rsid w:val="009A0B72"/>
    <w:rsid w:val="009C3F27"/>
    <w:rsid w:val="009C6152"/>
    <w:rsid w:val="009E03A5"/>
    <w:rsid w:val="00A01A7E"/>
    <w:rsid w:val="00A02C90"/>
    <w:rsid w:val="00A12525"/>
    <w:rsid w:val="00A64563"/>
    <w:rsid w:val="00A74329"/>
    <w:rsid w:val="00AA430E"/>
    <w:rsid w:val="00AE3540"/>
    <w:rsid w:val="00AE3B64"/>
    <w:rsid w:val="00AF1A6F"/>
    <w:rsid w:val="00AF225C"/>
    <w:rsid w:val="00B046B8"/>
    <w:rsid w:val="00B11A4E"/>
    <w:rsid w:val="00B246A5"/>
    <w:rsid w:val="00B24B29"/>
    <w:rsid w:val="00B30AB7"/>
    <w:rsid w:val="00B378B8"/>
    <w:rsid w:val="00B43C4A"/>
    <w:rsid w:val="00B71B73"/>
    <w:rsid w:val="00BA118F"/>
    <w:rsid w:val="00BA1598"/>
    <w:rsid w:val="00BA19CB"/>
    <w:rsid w:val="00BA72F8"/>
    <w:rsid w:val="00BB6A7C"/>
    <w:rsid w:val="00BD4A1E"/>
    <w:rsid w:val="00BE7257"/>
    <w:rsid w:val="00BF6E4E"/>
    <w:rsid w:val="00C3070A"/>
    <w:rsid w:val="00C42C80"/>
    <w:rsid w:val="00C57D85"/>
    <w:rsid w:val="00C758B5"/>
    <w:rsid w:val="00CC2D7F"/>
    <w:rsid w:val="00CD0B25"/>
    <w:rsid w:val="00CD3346"/>
    <w:rsid w:val="00CE2C73"/>
    <w:rsid w:val="00CE470E"/>
    <w:rsid w:val="00D020B2"/>
    <w:rsid w:val="00D07C28"/>
    <w:rsid w:val="00D119A7"/>
    <w:rsid w:val="00D23CE1"/>
    <w:rsid w:val="00D3026F"/>
    <w:rsid w:val="00D41024"/>
    <w:rsid w:val="00D46D9C"/>
    <w:rsid w:val="00D5475E"/>
    <w:rsid w:val="00D662D8"/>
    <w:rsid w:val="00D9076A"/>
    <w:rsid w:val="00D927EC"/>
    <w:rsid w:val="00D93157"/>
    <w:rsid w:val="00DB6D71"/>
    <w:rsid w:val="00DC4523"/>
    <w:rsid w:val="00DF0791"/>
    <w:rsid w:val="00DF6C33"/>
    <w:rsid w:val="00E1020E"/>
    <w:rsid w:val="00E2527B"/>
    <w:rsid w:val="00E307A0"/>
    <w:rsid w:val="00E406F2"/>
    <w:rsid w:val="00E76600"/>
    <w:rsid w:val="00E8189A"/>
    <w:rsid w:val="00E9229F"/>
    <w:rsid w:val="00E975FB"/>
    <w:rsid w:val="00EA0150"/>
    <w:rsid w:val="00EB3A5E"/>
    <w:rsid w:val="00EF1523"/>
    <w:rsid w:val="00F34844"/>
    <w:rsid w:val="00F55C35"/>
    <w:rsid w:val="00F63AD7"/>
    <w:rsid w:val="00F708F1"/>
    <w:rsid w:val="00F95E2C"/>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717B21"/>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6"/>
      <w:szCs w:val="28"/>
    </w:rPr>
  </w:style>
  <w:style w:type="paragraph" w:styleId="Heading3">
    <w:name w:val="heading 3"/>
    <w:basedOn w:val="Normal1"/>
    <w:next w:val="Normal1"/>
    <w:rsid w:val="00835621"/>
    <w:pPr>
      <w:keepNext/>
      <w:keepLines/>
      <w:pBdr>
        <w:top w:val="nil"/>
        <w:left w:val="nil"/>
        <w:bottom w:val="nil"/>
        <w:right w:val="nil"/>
        <w:between w:val="nil"/>
      </w:pBdr>
      <w:spacing w:before="320" w:after="80"/>
      <w:outlineLvl w:val="2"/>
    </w:pPr>
    <w:rPr>
      <w:rFonts w:ascii="Franklin Gothic Book" w:hAnsi="Franklin Gothic Book"/>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5253BB"/>
    <w:pPr>
      <w:spacing w:line="240" w:lineRule="auto"/>
      <w:jc w:val="left"/>
    </w:pPr>
    <w:rPr>
      <w:color w:val="595959" w:themeColor="text1" w:themeTint="A6"/>
      <w:sz w:val="18"/>
      <w:szCs w:val="18"/>
      <w:lang w:val="en-GB"/>
    </w:rPr>
  </w:style>
  <w:style w:type="character" w:customStyle="1" w:styleId="FootnoteTextChar">
    <w:name w:val="Footnote Text Char"/>
    <w:basedOn w:val="DefaultParagraphFont"/>
    <w:link w:val="FootnoteText"/>
    <w:uiPriority w:val="99"/>
    <w:rsid w:val="005253BB"/>
    <w:rPr>
      <w:rFonts w:ascii="Franklin Gothic Book" w:hAnsi="Franklin Gothic Book"/>
      <w:color w:val="595959" w:themeColor="text1" w:themeTint="A6"/>
      <w:sz w:val="18"/>
      <w:szCs w:val="18"/>
      <w:lang w:val="en-GB"/>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 w:type="character" w:styleId="PageNumber">
    <w:name w:val="page number"/>
    <w:basedOn w:val="DefaultParagraphFont"/>
    <w:uiPriority w:val="99"/>
    <w:semiHidden/>
    <w:unhideWhenUsed/>
    <w:rsid w:val="00DC4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voanews.com/a/italian-mayors-lawmakers-call-security-decree-unconstitutional-/4737739.html" TargetMode="External"/><Relationship Id="rId13" Type="http://schemas.openxmlformats.org/officeDocument/2006/relationships/hyperlink" Target="https://www.lastampa.it/2019/01/03/italia/decreto-sicurezza-la-rivolta-dei-sindaci-salvini-nerisponderanno-legalmente-ln8LdNArbEalIEKokuUQdP/pagina.html" TargetMode="External"/><Relationship Id="rId18" Type="http://schemas.openxmlformats.org/officeDocument/2006/relationships/hyperlink" Target="https://undocs.org/en/E/C.12/ITA/CO/5" TargetMode="External"/><Relationship Id="rId3" Type="http://schemas.openxmlformats.org/officeDocument/2006/relationships/hyperlink" Target="https://www.amnesty.org/en/latest/news/2019/01/eu-leaders-must-fix-broken-system-that-leaves-people-adrift-at-sea/" TargetMode="External"/><Relationship Id="rId21" Type="http://schemas.openxmlformats.org/officeDocument/2006/relationships/hyperlink" Target="https://www.ilsole24ore.com/art/cittadinanza-pressing-pd-ius-soli-e-ius-culturae-nell-agenda-governo-ecco-cosa-sono-ACv3hez" TargetMode="External"/><Relationship Id="rId7" Type="http://schemas.openxmlformats.org/officeDocument/2006/relationships/hyperlink" Target="http://cadmus.eui.eu/bitstream/handle/1814/61784/QM-AX-19-006-EN-N.pdf?sequence=1&amp;isAllowed=y" TargetMode="External"/><Relationship Id="rId12" Type="http://schemas.openxmlformats.org/officeDocument/2006/relationships/hyperlink" Target="https://www.finanzamia.com/cosa-serve-per-aprire-un-conto-corrente-postale/" TargetMode="External"/><Relationship Id="rId17" Type="http://schemas.openxmlformats.org/officeDocument/2006/relationships/hyperlink" Target="https://ec.europa.eu/migrantintegration/news/controversial-decree-in-italy-to-abolish-humanitarian-protection-make-naturalised-citizensless-equal" TargetMode="External"/><Relationship Id="rId2" Type="http://schemas.openxmlformats.org/officeDocument/2006/relationships/hyperlink" Target="https://www.amnesty.org/en/documents/eur30/8906/2018/en/" TargetMode="External"/><Relationship Id="rId16" Type="http://schemas.openxmlformats.org/officeDocument/2006/relationships/hyperlink" Target="https://ec.europa.eu/migrant-integration/news/council-of-europe-concerned-byconsequences-of-italian-government-actions" TargetMode="External"/><Relationship Id="rId20" Type="http://schemas.openxmlformats.org/officeDocument/2006/relationships/hyperlink" Target="https://www.ohchr.org/EN/NewsEvents/Pages/DisplayNews.aspx?NewsID=23708&amp;LangID=E" TargetMode="External"/><Relationship Id="rId1" Type="http://schemas.openxmlformats.org/officeDocument/2006/relationships/hyperlink" Target="https://www.law.ox.ac.uk/research-subject-groups/centre-criminology/centreborder-criminologies/blog/2018/09/outsourcing" TargetMode="External"/><Relationship Id="rId6" Type="http://schemas.openxmlformats.org/officeDocument/2006/relationships/hyperlink" Target="https://www.ispionline.it/en/publication/sea-arrivals-italy-cost-deterrence-policies-21367" TargetMode="External"/><Relationship Id="rId11" Type="http://schemas.openxmlformats.org/officeDocument/2006/relationships/hyperlink" Target="https://www.laleggepertutti.it/292266_quali-documenti-servono-per-aprire-un-conto-corrente" TargetMode="External"/><Relationship Id="rId5" Type="http://schemas.openxmlformats.org/officeDocument/2006/relationships/hyperlink" Target="https://www.ohchr.org/en/NewsEvents/Pages/DisplayNews.aspx?NewsID=22170" TargetMode="External"/><Relationship Id="rId15" Type="http://schemas.openxmlformats.org/officeDocument/2006/relationships/hyperlink" Target="https://www.infomigrants.net/en/post/13382/council-of-europe-italian-security-decree-a-stepbackwards" TargetMode="External"/><Relationship Id="rId10" Type="http://schemas.openxmlformats.org/officeDocument/2006/relationships/hyperlink" Target="https://www.dirittoimmigrazionecittadinanza.it/archivio-saggi-commenti/saggi/fascicolo-n-1-2019-1/360-residenza-dimora-domicilio-e-condizione-alloggiativa-nella-disciplina-del-permesso-di-soggiorno" TargetMode="External"/><Relationship Id="rId19" Type="http://schemas.openxmlformats.org/officeDocument/2006/relationships/hyperlink" Target="http://www.trevisolavora.it/guidastranieri/documenti/5_conversione_kit_postale.pdf?id_contenuto=1424&amp;id_categoria=158" TargetMode="External"/><Relationship Id="rId4" Type="http://schemas.openxmlformats.org/officeDocument/2006/relationships/hyperlink" Target="https://www.theguardian.com/world/2018/nov/20/child-refugees-facing-abuse-in-libyan-detention-centres" TargetMode="External"/><Relationship Id="rId9" Type="http://schemas.openxmlformats.org/officeDocument/2006/relationships/hyperlink" Target="https://www.dossierimmigrazione.it/prodotto/dossier-statistico-immigrazione-2019/" TargetMode="External"/><Relationship Id="rId14" Type="http://schemas.openxmlformats.org/officeDocument/2006/relationships/hyperlink" Target="https://www.asgi.it/asilo-e-protezione-internazionale/iscrizione-anagrafica-dei-richiedenti-asilo-il-giudice-al-comune-di-ferrara-si-deve-aspettare-la-corte-costituzion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B5416F-5342-4442-9133-1A4AE730A6EB}"/>
</file>

<file path=customXml/itemProps2.xml><?xml version="1.0" encoding="utf-8"?>
<ds:datastoreItem xmlns:ds="http://schemas.openxmlformats.org/officeDocument/2006/customXml" ds:itemID="{6DD0549B-16D5-4EA1-BC4E-D28C3C10B8D5}"/>
</file>

<file path=customXml/itemProps3.xml><?xml version="1.0" encoding="utf-8"?>
<ds:datastoreItem xmlns:ds="http://schemas.openxmlformats.org/officeDocument/2006/customXml" ds:itemID="{2EA9A126-EA48-4D37-8E21-262FF8A24AEB}"/>
</file>

<file path=docProps/app.xml><?xml version="1.0" encoding="utf-8"?>
<Properties xmlns="http://schemas.openxmlformats.org/officeDocument/2006/extended-properties" xmlns:vt="http://schemas.openxmlformats.org/officeDocument/2006/docPropsVTypes">
  <Template>Normal.dotm</Template>
  <TotalTime>0</TotalTime>
  <Pages>9</Pages>
  <Words>2508</Words>
  <Characters>14148</Characters>
  <Application>Microsoft Office Word</Application>
  <DocSecurity>0</DocSecurity>
  <Lines>231</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2019-08-27T07:28:00Z</cp:lastPrinted>
  <dcterms:created xsi:type="dcterms:W3CDTF">2020-01-17T20:22:00Z</dcterms:created>
  <dcterms:modified xsi:type="dcterms:W3CDTF">2020-01-17T20:22:00Z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