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8BEA7" w14:textId="77777777" w:rsidR="004C4088" w:rsidRDefault="00964A2B">
      <w:pPr>
        <w:pStyle w:val="Head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2D32E0B" wp14:editId="0A9A4CFE">
            <wp:extent cx="5389183" cy="33956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r="41186"/>
                    <a:stretch>
                      <a:fillRect/>
                    </a:stretch>
                  </pic:blipFill>
                  <pic:spPr>
                    <a:xfrm>
                      <a:off x="0" y="0"/>
                      <a:ext cx="5389183" cy="3395663"/>
                    </a:xfrm>
                    <a:prstGeom prst="rect">
                      <a:avLst/>
                    </a:prstGeom>
                    <a:ln/>
                  </pic:spPr>
                </pic:pic>
              </a:graphicData>
            </a:graphic>
          </wp:inline>
        </w:drawing>
      </w:r>
    </w:p>
    <w:p w14:paraId="4F36F26C" w14:textId="77777777" w:rsidR="004C4088" w:rsidRPr="00D04B81" w:rsidRDefault="00964A2B">
      <w:pPr>
        <w:pStyle w:val="Heading1"/>
        <w:jc w:val="both"/>
        <w:rPr>
          <w:rFonts w:ascii="Times New Roman" w:eastAsia="Times New Roman" w:hAnsi="Times New Roman" w:cs="Times New Roman"/>
          <w:sz w:val="32"/>
          <w:szCs w:val="32"/>
          <w:lang w:val="es-ES"/>
        </w:rPr>
      </w:pPr>
      <w:r w:rsidRPr="00D04B81">
        <w:rPr>
          <w:rFonts w:ascii="Times New Roman" w:eastAsia="Times New Roman" w:hAnsi="Times New Roman" w:cs="Times New Roman"/>
          <w:sz w:val="32"/>
          <w:szCs w:val="32"/>
          <w:lang w:val="es-ES"/>
        </w:rPr>
        <w:t>Contribución de sociedad civil para la adopción de la Lista de Cuestiones sobre Cuba ante el Comité contra la Desaparición Forzada</w:t>
      </w:r>
    </w:p>
    <w:p w14:paraId="09FEE657"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Presentada en relación con la información complementaria de Cuba bajo el artículo 29, párrafo 4, de la Convención Internacional para la Protección de Todas las Personas contra las Desapariciones Forzadas.</w:t>
      </w:r>
    </w:p>
    <w:p w14:paraId="12D74790" w14:textId="77777777" w:rsidR="004C4088" w:rsidRPr="00D04B81" w:rsidRDefault="004C4088">
      <w:pPr>
        <w:pBdr>
          <w:top w:val="nil"/>
          <w:left w:val="nil"/>
          <w:bottom w:val="nil"/>
          <w:right w:val="nil"/>
          <w:between w:val="nil"/>
        </w:pBdr>
        <w:spacing w:before="180" w:after="180"/>
        <w:jc w:val="center"/>
        <w:rPr>
          <w:rFonts w:ascii="Times New Roman" w:eastAsia="Times New Roman" w:hAnsi="Times New Roman" w:cs="Times New Roman"/>
          <w:lang w:val="es-ES"/>
        </w:rPr>
      </w:pPr>
    </w:p>
    <w:p w14:paraId="67E11C60" w14:textId="77777777" w:rsidR="004C4088" w:rsidRDefault="00964A2B">
      <w:pPr>
        <w:pBdr>
          <w:top w:val="nil"/>
          <w:left w:val="nil"/>
          <w:bottom w:val="nil"/>
          <w:right w:val="nil"/>
          <w:between w:val="nil"/>
        </w:pBdr>
        <w:spacing w:before="180" w:after="180"/>
        <w:jc w:val="center"/>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Junio de 2026</w:t>
      </w:r>
    </w:p>
    <w:p w14:paraId="420A9080" w14:textId="77777777" w:rsidR="004C4088" w:rsidRDefault="004C4088">
      <w:pPr>
        <w:pBdr>
          <w:top w:val="nil"/>
          <w:left w:val="nil"/>
          <w:bottom w:val="nil"/>
          <w:right w:val="nil"/>
          <w:between w:val="nil"/>
        </w:pBdr>
        <w:spacing w:before="180" w:after="180"/>
        <w:jc w:val="both"/>
        <w:rPr>
          <w:rFonts w:ascii="Times New Roman" w:eastAsia="Times New Roman" w:hAnsi="Times New Roman" w:cs="Times New Roman"/>
        </w:rPr>
      </w:pPr>
    </w:p>
    <w:p w14:paraId="2A56617B" w14:textId="77777777" w:rsidR="004C4088" w:rsidRDefault="004C4088">
      <w:pPr>
        <w:pBdr>
          <w:top w:val="nil"/>
          <w:left w:val="nil"/>
          <w:bottom w:val="nil"/>
          <w:right w:val="nil"/>
          <w:between w:val="nil"/>
        </w:pBdr>
        <w:spacing w:before="180" w:after="180"/>
        <w:jc w:val="both"/>
        <w:rPr>
          <w:rFonts w:ascii="Times New Roman" w:eastAsia="Times New Roman" w:hAnsi="Times New Roman" w:cs="Times New Roman"/>
        </w:rPr>
      </w:pPr>
    </w:p>
    <w:p w14:paraId="4EE68380" w14:textId="77777777" w:rsidR="004C4088" w:rsidRDefault="004C4088">
      <w:pPr>
        <w:pBdr>
          <w:top w:val="nil"/>
          <w:left w:val="nil"/>
          <w:bottom w:val="nil"/>
          <w:right w:val="nil"/>
          <w:between w:val="nil"/>
        </w:pBdr>
        <w:spacing w:before="180" w:after="180"/>
        <w:jc w:val="both"/>
        <w:rPr>
          <w:rFonts w:ascii="Times New Roman" w:eastAsia="Times New Roman" w:hAnsi="Times New Roman" w:cs="Times New Roman"/>
          <w:color w:val="000000"/>
        </w:rPr>
      </w:pPr>
    </w:p>
    <w:p w14:paraId="7C4F9AD7" w14:textId="77777777" w:rsidR="004C4088" w:rsidRDefault="00964A2B">
      <w:pPr>
        <w:pStyle w:val="Heading2"/>
        <w:rPr>
          <w:sz w:val="24"/>
          <w:szCs w:val="24"/>
        </w:rPr>
      </w:pPr>
      <w:r>
        <w:br w:type="page"/>
      </w:r>
    </w:p>
    <w:sdt>
      <w:sdtPr>
        <w:id w:val="-1306645998"/>
        <w:docPartObj>
          <w:docPartGallery w:val="Table of Contents"/>
          <w:docPartUnique/>
        </w:docPartObj>
      </w:sdtPr>
      <w:sdtEndPr/>
      <w:sdtContent>
        <w:p w14:paraId="14F4260A" w14:textId="77777777" w:rsidR="004C4088" w:rsidRDefault="00964A2B">
          <w:pPr>
            <w:widowControl w:val="0"/>
            <w:tabs>
              <w:tab w:val="right" w:pos="9360"/>
            </w:tabs>
            <w:spacing w:before="60"/>
            <w:rPr>
              <w:rFonts w:ascii="Times New Roman" w:eastAsia="Times New Roman" w:hAnsi="Times New Roman" w:cs="Times New Roman"/>
              <w:b/>
              <w:bCs/>
              <w:color w:val="000000"/>
            </w:rPr>
          </w:pPr>
          <w:r>
            <w:fldChar w:fldCharType="begin"/>
          </w:r>
          <w:r>
            <w:instrText xml:space="preserve"> TOC \h \u \z \t "Heading 1,1,Heading 2,2,Heading 3,3,Heading 4,4,Heading 5,5,Heading 6,6,"</w:instrText>
          </w:r>
          <w:r>
            <w:fldChar w:fldCharType="separate"/>
          </w:r>
          <w:hyperlink>
            <w:r>
              <w:rPr>
                <w:rFonts w:ascii="Times New Roman" w:eastAsia="Times New Roman" w:hAnsi="Times New Roman" w:cs="Times New Roman"/>
                <w:b/>
                <w:bCs/>
                <w:color w:val="000000"/>
              </w:rPr>
              <w:t>Contribución de sociedad civil para la adopción de la Lista de Cuestiones sobre Cuba ante el Comité contra la Desaparición Forzada</w:t>
            </w:r>
            <w:r>
              <w:rPr>
                <w:rFonts w:ascii="Times New Roman" w:eastAsia="Times New Roman" w:hAnsi="Times New Roman" w:cs="Times New Roman"/>
                <w:b/>
                <w:bCs/>
                <w:color w:val="000000"/>
              </w:rPr>
              <w:tab/>
            </w:r>
          </w:hyperlink>
          <w:r>
            <w:fldChar w:fldCharType="begin"/>
          </w:r>
          <w:r>
            <w:instrText xml:space="preserve"> PAGEREF  \h </w:instrText>
          </w:r>
          <w:r>
            <w:fldChar w:fldCharType="separate"/>
          </w:r>
          <w:r>
            <w:rPr>
              <w:rFonts w:ascii="Times New Roman" w:eastAsia="Times New Roman" w:hAnsi="Times New Roman" w:cs="Times New Roman"/>
              <w:b/>
              <w:bCs/>
            </w:rPr>
            <w:t>1</w:t>
          </w:r>
          <w:r>
            <w:fldChar w:fldCharType="end"/>
          </w:r>
        </w:p>
        <w:p w14:paraId="756411E4" w14:textId="77777777" w:rsidR="004C4088" w:rsidRDefault="00964A2B">
          <w:pPr>
            <w:widowControl w:val="0"/>
            <w:tabs>
              <w:tab w:val="right" w:pos="9360"/>
            </w:tabs>
            <w:spacing w:before="60"/>
            <w:ind w:left="360"/>
            <w:rPr>
              <w:rFonts w:ascii="Times New Roman" w:eastAsia="Times New Roman" w:hAnsi="Times New Roman" w:cs="Times New Roman"/>
              <w:color w:val="000000"/>
            </w:rPr>
          </w:pPr>
          <w:hyperlink>
            <w:r>
              <w:rPr>
                <w:rFonts w:ascii="Times New Roman" w:eastAsia="Times New Roman" w:hAnsi="Times New Roman" w:cs="Times New Roman"/>
                <w:color w:val="000000"/>
              </w:rPr>
              <w:t>1. Presentación de la organización y alcance de la contribución</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3</w:t>
          </w:r>
          <w:r>
            <w:fldChar w:fldCharType="end"/>
          </w:r>
        </w:p>
        <w:p w14:paraId="1B0F43E1" w14:textId="77777777" w:rsidR="004C4088" w:rsidRDefault="00964A2B">
          <w:pPr>
            <w:widowControl w:val="0"/>
            <w:tabs>
              <w:tab w:val="right" w:pos="9360"/>
            </w:tabs>
            <w:spacing w:before="60"/>
            <w:ind w:left="360"/>
            <w:rPr>
              <w:rFonts w:ascii="Times New Roman" w:eastAsia="Times New Roman" w:hAnsi="Times New Roman" w:cs="Times New Roman"/>
              <w:color w:val="000000"/>
            </w:rPr>
          </w:pPr>
          <w:hyperlink>
            <w:r>
              <w:rPr>
                <w:rFonts w:ascii="Times New Roman" w:eastAsia="Times New Roman" w:hAnsi="Times New Roman" w:cs="Times New Roman"/>
                <w:color w:val="000000"/>
              </w:rPr>
              <w:t>2. Problema central: ausencia de una política estatal de búsqueda, registro y protección frente a desapariciones en Cuba</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3</w:t>
          </w:r>
          <w:r>
            <w:fldChar w:fldCharType="end"/>
          </w:r>
        </w:p>
        <w:p w14:paraId="33ABBF85" w14:textId="77777777" w:rsidR="004C4088" w:rsidRDefault="00964A2B">
          <w:pPr>
            <w:widowControl w:val="0"/>
            <w:tabs>
              <w:tab w:val="right" w:pos="9360"/>
            </w:tabs>
            <w:spacing w:before="60"/>
            <w:ind w:left="360"/>
            <w:rPr>
              <w:rFonts w:ascii="Times New Roman" w:eastAsia="Times New Roman" w:hAnsi="Times New Roman" w:cs="Times New Roman"/>
              <w:color w:val="000000"/>
            </w:rPr>
          </w:pPr>
          <w:hyperlink>
            <w:r>
              <w:rPr>
                <w:rFonts w:ascii="Times New Roman" w:eastAsia="Times New Roman" w:hAnsi="Times New Roman" w:cs="Times New Roman"/>
                <w:color w:val="000000"/>
              </w:rPr>
              <w:t>3. Contraste con la información presentada por el Estado cubano</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5</w:t>
          </w:r>
          <w:r>
            <w:fldChar w:fldCharType="end"/>
          </w:r>
        </w:p>
        <w:p w14:paraId="5EDF0E4E" w14:textId="77777777" w:rsidR="004C4088" w:rsidRDefault="00964A2B">
          <w:pPr>
            <w:widowControl w:val="0"/>
            <w:tabs>
              <w:tab w:val="right" w:pos="9360"/>
            </w:tabs>
            <w:spacing w:before="60"/>
            <w:ind w:left="360"/>
            <w:rPr>
              <w:rFonts w:ascii="Times New Roman" w:eastAsia="Times New Roman" w:hAnsi="Times New Roman" w:cs="Times New Roman"/>
              <w:color w:val="000000"/>
            </w:rPr>
          </w:pPr>
          <w:hyperlink>
            <w:r>
              <w:rPr>
                <w:rFonts w:ascii="Times New Roman" w:eastAsia="Times New Roman" w:hAnsi="Times New Roman" w:cs="Times New Roman"/>
                <w:color w:val="000000"/>
              </w:rPr>
              <w:t>4. Análisis crítico por obligaciones de la Convención</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6</w:t>
          </w:r>
          <w:r>
            <w:fldChar w:fldCharType="end"/>
          </w:r>
        </w:p>
        <w:p w14:paraId="2E34C0FF"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4.1. Tipificación penal, investigación y sanción</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6</w:t>
          </w:r>
          <w:r>
            <w:fldChar w:fldCharType="end"/>
          </w:r>
        </w:p>
        <w:p w14:paraId="38DCB760"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4.2. Registros de detención, incomunicación y desapariciones de corta duración</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7</w:t>
          </w:r>
          <w:r>
            <w:fldChar w:fldCharType="end"/>
          </w:r>
        </w:p>
        <w:p w14:paraId="0673B552"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4.3. Búsqueda de personas desaparecidas y presunción de vida</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8</w:t>
          </w:r>
          <w:r>
            <w:fldChar w:fldCharType="end"/>
          </w:r>
        </w:p>
        <w:p w14:paraId="1FFFBD4B"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4.4. Derechos de familiares, acceso a información y participación</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8</w:t>
          </w:r>
          <w:r>
            <w:fldChar w:fldCharType="end"/>
          </w:r>
        </w:p>
        <w:p w14:paraId="310DAA0F"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4.5. Desapariciones en contexto migratorio</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9</w:t>
          </w:r>
          <w:r>
            <w:fldChar w:fldCharType="end"/>
          </w:r>
        </w:p>
        <w:p w14:paraId="7441C3AF"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4.6. Falta de datos públicos, transparencia e institucionalidad independiente</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10</w:t>
          </w:r>
          <w:r>
            <w:fldChar w:fldCharType="end"/>
          </w:r>
        </w:p>
        <w:p w14:paraId="19FD004C" w14:textId="77777777" w:rsidR="004C4088" w:rsidRDefault="00964A2B">
          <w:pPr>
            <w:widowControl w:val="0"/>
            <w:tabs>
              <w:tab w:val="right" w:pos="9360"/>
            </w:tabs>
            <w:spacing w:before="60"/>
            <w:ind w:left="360"/>
            <w:rPr>
              <w:rFonts w:ascii="Times New Roman" w:eastAsia="Times New Roman" w:hAnsi="Times New Roman" w:cs="Times New Roman"/>
              <w:color w:val="000000"/>
            </w:rPr>
          </w:pPr>
          <w:hyperlink>
            <w:r>
              <w:rPr>
                <w:rFonts w:ascii="Times New Roman" w:eastAsia="Times New Roman" w:hAnsi="Times New Roman" w:cs="Times New Roman"/>
                <w:color w:val="000000"/>
              </w:rPr>
              <w:t>5. Preguntas sugeridas al Estado cubano</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11</w:t>
          </w:r>
          <w:r>
            <w:fldChar w:fldCharType="end"/>
          </w:r>
        </w:p>
        <w:p w14:paraId="1A01107E"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Marco legal y reconocimiento de la persona desaparecida</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11</w:t>
          </w:r>
          <w:r>
            <w:fldChar w:fldCharType="end"/>
          </w:r>
        </w:p>
        <w:p w14:paraId="35E2840C"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Sistema nacional de búsqueda, primeras diligencias y registros</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11</w:t>
          </w:r>
          <w:r>
            <w:fldChar w:fldCharType="end"/>
          </w:r>
        </w:p>
        <w:p w14:paraId="4DF084C5"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Derechos de familiares, verdad y reparación integral</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12</w:t>
          </w:r>
          <w:r>
            <w:fldChar w:fldCharType="end"/>
          </w:r>
        </w:p>
        <w:p w14:paraId="1F224D30"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Personas privadas de libertad, custodia estatal e investigación independiente</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13</w:t>
          </w:r>
          <w:r>
            <w:fldChar w:fldCharType="end"/>
          </w:r>
        </w:p>
        <w:p w14:paraId="01F7F931"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Mujeres, niñas, niños, adolescentes y personas vulnerables</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14</w:t>
          </w:r>
          <w:r>
            <w:fldChar w:fldCharType="end"/>
          </w:r>
        </w:p>
        <w:p w14:paraId="211F7C9B"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Migración, muertes, cuerpos no identificados y apropiación de niños</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14</w:t>
          </w:r>
          <w:r>
            <w:fldChar w:fldCharType="end"/>
          </w:r>
        </w:p>
        <w:p w14:paraId="4FFC1BCE" w14:textId="77777777" w:rsidR="004C4088" w:rsidRDefault="00964A2B">
          <w:pPr>
            <w:widowControl w:val="0"/>
            <w:tabs>
              <w:tab w:val="right" w:pos="9360"/>
            </w:tabs>
            <w:spacing w:before="60"/>
            <w:ind w:left="720"/>
            <w:rPr>
              <w:rFonts w:ascii="Times New Roman" w:eastAsia="Times New Roman" w:hAnsi="Times New Roman" w:cs="Times New Roman"/>
              <w:color w:val="000000"/>
            </w:rPr>
          </w:pPr>
          <w:hyperlink>
            <w:r>
              <w:rPr>
                <w:rFonts w:ascii="Times New Roman" w:eastAsia="Times New Roman" w:hAnsi="Times New Roman" w:cs="Times New Roman"/>
                <w:color w:val="000000"/>
              </w:rPr>
              <w:t>Reformas estructurales y garantías de no repetición</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15</w:t>
          </w:r>
          <w:r>
            <w:fldChar w:fldCharType="end"/>
          </w:r>
        </w:p>
        <w:p w14:paraId="15C381FC" w14:textId="77777777" w:rsidR="004C4088" w:rsidRDefault="00964A2B">
          <w:pPr>
            <w:widowControl w:val="0"/>
            <w:tabs>
              <w:tab w:val="right" w:pos="9360"/>
            </w:tabs>
            <w:spacing w:before="60"/>
            <w:ind w:left="360"/>
            <w:rPr>
              <w:rFonts w:ascii="Times New Roman" w:eastAsia="Times New Roman" w:hAnsi="Times New Roman" w:cs="Times New Roman"/>
              <w:color w:val="000000"/>
            </w:rPr>
          </w:pPr>
          <w:hyperlink>
            <w:r>
              <w:rPr>
                <w:rFonts w:ascii="Times New Roman" w:eastAsia="Times New Roman" w:hAnsi="Times New Roman" w:cs="Times New Roman"/>
                <w:color w:val="000000"/>
              </w:rPr>
              <w:t>6. Anexo breve: fuentes utilizadas o casos ilustrativos</w:t>
            </w:r>
            <w:r>
              <w:rPr>
                <w:rFonts w:ascii="Times New Roman" w:eastAsia="Times New Roman" w:hAnsi="Times New Roman" w:cs="Times New Roman"/>
                <w:color w:val="000000"/>
              </w:rPr>
              <w:tab/>
            </w:r>
          </w:hyperlink>
          <w:r>
            <w:fldChar w:fldCharType="begin"/>
          </w:r>
          <w:r>
            <w:instrText xml:space="preserve"> PAGEREF  \h </w:instrText>
          </w:r>
          <w:r>
            <w:fldChar w:fldCharType="separate"/>
          </w:r>
          <w:r>
            <w:rPr>
              <w:rFonts w:ascii="Times New Roman" w:eastAsia="Times New Roman" w:hAnsi="Times New Roman" w:cs="Times New Roman"/>
            </w:rPr>
            <w:t>16</w:t>
          </w:r>
          <w:r>
            <w:fldChar w:fldCharType="end"/>
          </w:r>
          <w:r>
            <w:fldChar w:fldCharType="end"/>
          </w:r>
        </w:p>
      </w:sdtContent>
    </w:sdt>
    <w:p w14:paraId="085E535A" w14:textId="77777777" w:rsidR="004C4088" w:rsidRDefault="00964A2B">
      <w:pPr>
        <w:pStyle w:val="Heading2"/>
        <w:rPr>
          <w:sz w:val="24"/>
          <w:szCs w:val="24"/>
        </w:rPr>
      </w:pPr>
      <w:r>
        <w:br w:type="page"/>
      </w:r>
    </w:p>
    <w:p w14:paraId="25B05D04" w14:textId="77777777" w:rsidR="004C4088" w:rsidRPr="00D04B81" w:rsidRDefault="00964A2B">
      <w:pPr>
        <w:pStyle w:val="Heading2"/>
        <w:rPr>
          <w:lang w:val="es-ES"/>
        </w:rPr>
      </w:pPr>
      <w:r w:rsidRPr="00D04B81">
        <w:rPr>
          <w:lang w:val="es-ES"/>
        </w:rPr>
        <w:lastRenderedPageBreak/>
        <w:t>1. Presentación de la organización y alcance de la contribución</w:t>
      </w:r>
    </w:p>
    <w:p w14:paraId="79ED3A91"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Cubalex es una organización apartidista de derechos humanos fundada en 2010 en La Habana como centro de asesoría jurídica independiente. Promueve y defiende derechos mediante análisis legal, documentación de violaciones, asistencia jurídica gratuita y presentación de información ante mecanismos internacionales de protección. Tras el allanamiento de su sede en 2016 y el exilio forzado de parte de su equipo en 2017, Cubalex continúa su labor desde el exterior, en un contexto de restricciones al espacio cívico</w:t>
      </w:r>
      <w:r w:rsidRPr="00D04B81">
        <w:rPr>
          <w:rFonts w:ascii="Times New Roman" w:eastAsia="Times New Roman" w:hAnsi="Times New Roman" w:cs="Times New Roman"/>
          <w:color w:val="000000"/>
          <w:lang w:val="es-ES"/>
        </w:rPr>
        <w:t>, ausencia de garantías institucionales independientes y obstáculos para la documentación de violaciones de derechos humanos en Cuba.</w:t>
      </w:r>
    </w:p>
    <w:p w14:paraId="1CECBDE5" w14:textId="77777777" w:rsidR="004C4088" w:rsidRPr="00D04B81" w:rsidRDefault="00964A2B">
      <w:pPr>
        <w:spacing w:after="16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 xml:space="preserve">La Mesa de Diálogo de la Juventud Cubana (MDJC) es una plataforma de articulación juvenil que promueve la participación cívica, el debate plural y la construcción de propuestas para una sociedad más inclusiva. Impulsa espacios de diálogo intergeneracional y acciones de incidencia sobre derechos civiles, políticos y sociales que incluye a jóvenes líderes, activistas y artistas urbanos. La MDJC fue creada en el 2014 y ha sido registrada en el 2023 como asociación ante la imposibilidad de hacerlo dentro de la </w:t>
      </w:r>
      <w:r w:rsidRPr="00D04B81">
        <w:rPr>
          <w:rFonts w:ascii="Times New Roman" w:eastAsia="Times New Roman" w:hAnsi="Times New Roman" w:cs="Times New Roman"/>
          <w:lang w:val="es-ES"/>
        </w:rPr>
        <w:t>isla. Sus informes sobre la juventud han ayudado a medir la situación y el sentir de las juventudes cubanas. Ha participado en procesos ante la CIDH, el EPU, CEDAW, CERD, entre los años 2016 y 2026.</w:t>
      </w:r>
    </w:p>
    <w:p w14:paraId="413DBF5A" w14:textId="77777777" w:rsidR="004C4088" w:rsidRPr="00D04B81" w:rsidRDefault="00964A2B">
      <w:pPr>
        <w:spacing w:after="16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El Museo Virtual de la Memoria contra la Violencia Basada en Género (Museo V) es una iniciativa de la sociedad civil cubana que visibiliza las distintas formas de violencia basada en género que afectan a las mujeres en toda su diversidad. Creada en 2022 para dar espacio a artistas que, por su discurso político, quedaron excluidos del discurso oficial. Es una asociación registrada en España y se ha combinado desde su creación la denuncia, la creación artística y la reivindicación de voces negras y de persona</w:t>
      </w:r>
      <w:r w:rsidRPr="00D04B81">
        <w:rPr>
          <w:rFonts w:ascii="Times New Roman" w:eastAsia="Times New Roman" w:hAnsi="Times New Roman" w:cs="Times New Roman"/>
          <w:lang w:val="es-ES"/>
        </w:rPr>
        <w:t>s sexodisidentes. Como Museo V ha participado en procesos ante el EPU, la CIDH, la CEDAW  y el CERD, entre el 2023 y el 2026.</w:t>
      </w:r>
    </w:p>
    <w:p w14:paraId="78E2AC45" w14:textId="77777777" w:rsidR="004C4088" w:rsidRPr="00D04B81" w:rsidRDefault="00964A2B">
      <w:pPr>
        <w:spacing w:after="16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 xml:space="preserve">El Museo de la Disidencia en Cuba es un proyecto de investigación y memoria que documenta las diversas expresiones históricas y contemporáneas de disidencia en el país. Fundada en 2016 por el artista Luis Manuel Otero Alcántara y la curadora Yanelys Nuñez Leyva, se ha mantenido en la observancia y denuncia constante de la situación de los artistas y activistas políticos dentro de Cuba. </w:t>
      </w:r>
    </w:p>
    <w:p w14:paraId="2AF7C555" w14:textId="77777777" w:rsidR="004C4088" w:rsidRPr="00D04B81" w:rsidRDefault="00964A2B">
      <w:pPr>
        <w:pStyle w:val="Heading2"/>
        <w:keepNext w:val="0"/>
        <w:keepLines w:val="0"/>
        <w:spacing w:before="0" w:after="0"/>
        <w:rPr>
          <w:color w:val="000000"/>
          <w:sz w:val="24"/>
          <w:szCs w:val="24"/>
          <w:lang w:val="es-ES"/>
        </w:rPr>
      </w:pPr>
      <w:bookmarkStart w:id="0" w:name="_rcoucza5hyq7" w:colFirst="0" w:colLast="0"/>
      <w:bookmarkEnd w:id="0"/>
      <w:r w:rsidRPr="00D04B81">
        <w:rPr>
          <w:color w:val="000000"/>
          <w:sz w:val="24"/>
          <w:szCs w:val="24"/>
          <w:lang w:val="es-ES"/>
        </w:rPr>
        <w:t xml:space="preserve">Cuido60 es un observatorio independiente fundado en 2021 en Miami y Bogotá. Monitorea los derechos humanos de las personas mayores en Cuba, documenta sus condiciones de vida, así como las vulneraciones de sus derechos, y cuenta con experiencia especializada en el diseño y formulación de políticas públicas y en la incidencia en mecanismos internacionales como el EPU y otras convocatorias específicas. </w:t>
      </w:r>
    </w:p>
    <w:p w14:paraId="7E5A27DD" w14:textId="77777777" w:rsidR="004C4088" w:rsidRPr="00D04B81" w:rsidRDefault="004C4088">
      <w:pPr>
        <w:rPr>
          <w:lang w:val="es-ES"/>
        </w:rPr>
      </w:pPr>
    </w:p>
    <w:p w14:paraId="63B84F41" w14:textId="77777777" w:rsidR="004C4088" w:rsidRPr="00D04B81" w:rsidRDefault="00964A2B">
      <w:pPr>
        <w:spacing w:after="0"/>
        <w:rPr>
          <w:rFonts w:ascii="Times New Roman" w:eastAsia="Times New Roman" w:hAnsi="Times New Roman" w:cs="Times New Roman"/>
          <w:lang w:val="es-ES"/>
        </w:rPr>
      </w:pPr>
      <w:r w:rsidRPr="00D04B81">
        <w:rPr>
          <w:rFonts w:ascii="Times New Roman" w:eastAsia="Times New Roman" w:hAnsi="Times New Roman" w:cs="Times New Roman"/>
          <w:lang w:val="es-ES"/>
        </w:rPr>
        <w:t>El Observatorio de Género de Alas Tensas (OGAT) es una plataforma independiente que, desde 2019, documenta y denuncia los feminicidios y otras formas de violencia contra las mujeres en Cuba. Más allá del registro de casos, OGAT analiza las dinámicas estructurales de estas violencias para contribuir, desde un enfoque pedagógico, preventivo y de derechos humanos, al diseño de respuestas institucionales y comunitarias orientadas a su prevención. Como iniciativa de la sociedad civil, desarrolla acciones de inci</w:t>
      </w:r>
      <w:r w:rsidRPr="00D04B81">
        <w:rPr>
          <w:rFonts w:ascii="Times New Roman" w:eastAsia="Times New Roman" w:hAnsi="Times New Roman" w:cs="Times New Roman"/>
          <w:lang w:val="es-ES"/>
        </w:rPr>
        <w:t xml:space="preserve">dencia y participa en diálogos interactivos ante el Parlamento Europeo, el Examen Periódico Universal (EPU), la CIDH, el Comité para la </w:t>
      </w:r>
      <w:r w:rsidRPr="00D04B81">
        <w:rPr>
          <w:rFonts w:ascii="Times New Roman" w:eastAsia="Times New Roman" w:hAnsi="Times New Roman" w:cs="Times New Roman"/>
          <w:lang w:val="es-ES"/>
        </w:rPr>
        <w:lastRenderedPageBreak/>
        <w:t>Eliminación de la Discriminación contra la Mujer (CEDAW) y el Comité para la Eliminación de la Discriminación Racial (CERD).</w:t>
      </w:r>
    </w:p>
    <w:p w14:paraId="30C56820" w14:textId="77777777" w:rsidR="004C4088" w:rsidRPr="00D04B81" w:rsidRDefault="004C4088">
      <w:pPr>
        <w:rPr>
          <w:lang w:val="es-ES"/>
        </w:rPr>
      </w:pPr>
    </w:p>
    <w:p w14:paraId="2038629A" w14:textId="77777777" w:rsidR="004C4088" w:rsidRPr="00D04B81" w:rsidRDefault="00964A2B">
      <w:pPr>
        <w:spacing w:before="180" w:after="180"/>
        <w:jc w:val="both"/>
        <w:rPr>
          <w:rFonts w:ascii="Times New Roman" w:eastAsia="Times New Roman" w:hAnsi="Times New Roman" w:cs="Times New Roman"/>
          <w:sz w:val="22"/>
          <w:szCs w:val="22"/>
          <w:lang w:val="es-ES"/>
        </w:rPr>
      </w:pPr>
      <w:r w:rsidRPr="00D04B81">
        <w:rPr>
          <w:rFonts w:ascii="Times New Roman" w:eastAsia="Times New Roman" w:hAnsi="Times New Roman" w:cs="Times New Roman"/>
          <w:lang w:val="es-ES"/>
        </w:rPr>
        <w:t>Las organizaciones firmantes autorizan al Comité contra la Desaparición Forzada a publicar este informe en su página web y a utilizarlo como insumo en el proceso de elaboración de la Lista de Temas Prioritarios relativa a Cuba.</w:t>
      </w:r>
    </w:p>
    <w:p w14:paraId="2E2B72A8" w14:textId="77777777" w:rsidR="004C4088" w:rsidRPr="00D04B81" w:rsidRDefault="00964A2B">
      <w:pPr>
        <w:pStyle w:val="Heading2"/>
        <w:rPr>
          <w:lang w:val="es-ES"/>
        </w:rPr>
      </w:pPr>
      <w:bookmarkStart w:id="1" w:name="_5ikanympnezd" w:colFirst="0" w:colLast="0"/>
      <w:bookmarkEnd w:id="1"/>
      <w:r w:rsidRPr="00D04B81">
        <w:rPr>
          <w:lang w:val="es-ES"/>
        </w:rPr>
        <w:t>2. Observaciones finales del Comité, recomendaciones pendientes y respuesta del Estado cubano</w:t>
      </w:r>
    </w:p>
    <w:p w14:paraId="53DA6029"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La presente contribución se concentra en tres preocupaciones formuladas previamente por el Comité contra la Desaparición Forzada a Cuba, directamente relacionadas con el artículo 24 de la Convención y con los derechos de las víctimas y sus familiares: la reparación integral, la situación jurídica de las personas desaparecidas cuya suerte no haya sido esclarecida, y la protección de niñas y niños frente a conductas de apropiación vinculadas a desapariciones forzadas.</w:t>
      </w:r>
      <w:r>
        <w:rPr>
          <w:rFonts w:ascii="Times New Roman" w:eastAsia="Times New Roman" w:hAnsi="Times New Roman" w:cs="Times New Roman"/>
          <w:vertAlign w:val="superscript"/>
        </w:rPr>
        <w:footnoteReference w:id="1"/>
      </w:r>
    </w:p>
    <w:p w14:paraId="7BA7E985"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En primer lugar, el Comité observó que el derecho interno cubano no contempla un sistema de reparación integral plenamente ajustado al artículo 24, párrafos 4 y 5, de la Convención. Aunque tomó nota de la información estatal sobre normas internas relativas a indemnización y reparación por daños y perjuicios, expresó preocupación porque la legislación nacional no prevé un sistema de reparación integral conforme a la Convención. Por ello, recomendó al Estado adoptar las medidas necesarias para garantizar un s</w:t>
      </w:r>
      <w:r w:rsidRPr="00D04B81">
        <w:rPr>
          <w:rFonts w:ascii="Times New Roman" w:eastAsia="Times New Roman" w:hAnsi="Times New Roman" w:cs="Times New Roman"/>
          <w:lang w:val="es-ES"/>
        </w:rPr>
        <w:t>istema de reparación integral sensible a las condiciones individuales de las víctimas, incluyendo sexo, orientación sexual, identidad de género, edad, origen étnico, situación social y discapacidad, y aplicable incluso cuando no se hubieran iniciado actuaciones penales contra los presuntos responsables.</w:t>
      </w:r>
    </w:p>
    <w:p w14:paraId="73B69158"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En segundo lugar, el Comité examinó la regulación cubana sobre declaración de ausencia y presunción de muerte. Si bien tomó nota de que el Código Civil regula estas figuras, expresó preocupación porque una persona desaparecida pueda ser declarada presuntamente muerta por el simple transcurso de los plazos legales. El Comité recordó que, debido al carácter continuo de la desaparición forzada, no debe presumirse la muerte de la persona desaparecida hasta que se haya establecido su suerte, salvo prueba concret</w:t>
      </w:r>
      <w:r w:rsidRPr="00D04B81">
        <w:rPr>
          <w:rFonts w:ascii="Times New Roman" w:eastAsia="Times New Roman" w:hAnsi="Times New Roman" w:cs="Times New Roman"/>
          <w:lang w:val="es-ES"/>
        </w:rPr>
        <w:t>a en contrario. En consecuencia, recomendó al Estado regular adecuadamente la situación legal de las personas desaparecidas cuya suerte no haya sido esclarecida y la de sus allegados en ámbitos como protección social, cuestiones económicas, derecho de familia y derechos de propiedad, sin exigir la declaración de muerte presunta. También alentó al Estado a establecer un procedimiento de declaración de ausencia por causa de desaparición forzada.</w:t>
      </w:r>
    </w:p>
    <w:p w14:paraId="3DF2CAE4"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 xml:space="preserve">En tercer lugar, el Comité expresó preocupación porque la legislación cubana no sanciona específicamente las conductas relativas a la apropiación de niñas y niños previstas en el artículo 25, párrafo 1, apartado a), de la Convención. Aunque tomó nota de la existencia de delitos como sustitución de un niño por otro, venta y tráfico de menores, consideró que esas figuras no incorporan de manera específica las conductas previstas en la Convención. Por ello, recomendó </w:t>
      </w:r>
      <w:r w:rsidRPr="00D04B81">
        <w:rPr>
          <w:rFonts w:ascii="Times New Roman" w:eastAsia="Times New Roman" w:hAnsi="Times New Roman" w:cs="Times New Roman"/>
          <w:lang w:val="es-ES"/>
        </w:rPr>
        <w:lastRenderedPageBreak/>
        <w:t>adoptar medidas legislativas para tipificar esos delitos específicos con penas adecuadas a su extrema gravedad.</w:t>
      </w:r>
    </w:p>
    <w:p w14:paraId="265E524A"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 xml:space="preserve">Además, el Comité subrayó la necesidad de integrar perspectivas de género y enfoques adaptados a niñas y niños en la aplicación de la Convención. Recordó que las mujeres sometidas a desaparición forzada son particularmente vulnerables a violencia sexual y otras formas de violencia de género; que las mujeres familiares de personas desaparecidas pueden sufrir efectos sociales y económicos adversos, persecución y represalias por sus esfuerzos de búsqueda; y que niñas y niños víctimas de desaparición forzada o </w:t>
      </w:r>
      <w:r w:rsidRPr="00D04B81">
        <w:rPr>
          <w:rFonts w:ascii="Times New Roman" w:eastAsia="Times New Roman" w:hAnsi="Times New Roman" w:cs="Times New Roman"/>
          <w:lang w:val="es-ES"/>
        </w:rPr>
        <w:t>afectados por la desaparición de familiares son especialmente vulnerables a múltiples violaciones de derechos humanos, incluida la sustitución de identidad.</w:t>
      </w:r>
    </w:p>
    <w:p w14:paraId="0B87A2F9"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La información complementaria presentada por Cuba no demuestra cumplimiento sustantivo de estas recomendaciones. Frente a la recomendación sobre reparación integral, el Estado describió normas generales del proceso penal sobre víctima o perjudicado, responsabilidad civil, resarcimiento de daños materiales y morales, indemnización de perjuicios y ejecución mediante la Caja de Resarcimientos del Ministerio de Justicia. También afirmó que, como no se han producido ni juzgado hechos de desaparición forzada desd</w:t>
      </w:r>
      <w:r w:rsidRPr="00D04B81">
        <w:rPr>
          <w:rFonts w:ascii="Times New Roman" w:eastAsia="Times New Roman" w:hAnsi="Times New Roman" w:cs="Times New Roman"/>
          <w:lang w:val="es-ES"/>
        </w:rPr>
        <w:t>e 1959, no existen procesos penales relacionados con este delito que hayan tenido como resultado una reparación.</w:t>
      </w:r>
    </w:p>
    <w:p w14:paraId="6D83E5DF"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Esa respuesta es insuficiente. El Estado no explicó la existencia de un régimen autónomo de reparación integral para víctimas de desaparición forzada ni para familiares de personas desaparecidas cuya suerte no haya sido esclarecida. Tampoco informó sobre medidas específicas de rehabilitación, satisfacción, garantías de no repetición, apoyo psicosocial, búsqueda, verdad, participación familiar, asistencia jurídica, medidas provisionales de protección social o protección frente a represalias. Además, al vincu</w:t>
      </w:r>
      <w:r w:rsidRPr="00D04B81">
        <w:rPr>
          <w:rFonts w:ascii="Times New Roman" w:eastAsia="Times New Roman" w:hAnsi="Times New Roman" w:cs="Times New Roman"/>
          <w:lang w:val="es-ES"/>
        </w:rPr>
        <w:t>lar la reparación a la existencia de procesos penales y sentencias, la respuesta estatal no responde a la recomendación expresa del Comité de garantizar reparación incluso cuando no se hubieran iniciado actuaciones penales.</w:t>
      </w:r>
    </w:p>
    <w:p w14:paraId="78169DC9"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Frente a la recomendación sobre la situación jurídica de la persona desaparecida, Cuba reiteró que el Código Civil regula la ausencia y la presunción de muerte. Indicó que la persona natural desaparecida de su domicilio, sin indicios de paradero durante más de un año, puede ser declarada ausente; que, transcurridos tres años sin noticias, puede ser declarada presuntamente muerta; y que esa declaración permite a las personas interesadas ejercer los mismos derechos que les corresponderían si la muerte hubiera</w:t>
      </w:r>
      <w:r w:rsidRPr="00D04B81">
        <w:rPr>
          <w:rFonts w:ascii="Times New Roman" w:eastAsia="Times New Roman" w:hAnsi="Times New Roman" w:cs="Times New Roman"/>
          <w:lang w:val="es-ES"/>
        </w:rPr>
        <w:t xml:space="preserve"> sido acreditada por certificación médica.</w:t>
      </w:r>
    </w:p>
    <w:p w14:paraId="16B018F0"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Esta respuesta confirma la preocupación del Comité. El Estado mantiene una lógica civil, patrimonial y sucesoria, orientada a administrar los efectos de la ausencia o de la muerte presunta, pero no acredita un procedimiento especial que proteja a la persona desaparecida y a sus familiares mientras persiste la incertidumbre sobre su suerte o paradero. Tampoco informa si la declaración de ausencia o presunción de muerte se articula con una obligación continua de búsqueda e investigación, ni si existen medidas</w:t>
      </w:r>
      <w:r w:rsidRPr="00D04B81">
        <w:rPr>
          <w:rFonts w:ascii="Times New Roman" w:eastAsia="Times New Roman" w:hAnsi="Times New Roman" w:cs="Times New Roman"/>
          <w:lang w:val="es-ES"/>
        </w:rPr>
        <w:t xml:space="preserve"> para garantizar protección social, derechos familiares, patrimoniales, laborales o de seguridad social sin obligar a los familiares a promover la presunción de muerte.</w:t>
      </w:r>
    </w:p>
    <w:p w14:paraId="7CB97ED5"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 xml:space="preserve">Frente a la recomendación sobre apropiación de niñas y niños, Cuba reconoció que el Código Penal no contiene delitos específicos relacionados con la apropiación de niños sometidos a desaparición </w:t>
      </w:r>
      <w:r w:rsidRPr="00D04B81">
        <w:rPr>
          <w:rFonts w:ascii="Times New Roman" w:eastAsia="Times New Roman" w:hAnsi="Times New Roman" w:cs="Times New Roman"/>
          <w:lang w:val="es-ES"/>
        </w:rPr>
        <w:lastRenderedPageBreak/>
        <w:t>forzada, de niños cuyo padre, madre o representante legal haya sido sometido a desaparición forzada, o de niños nacidos durante el cautiverio de una madre desaparecida. El Estado intentó compensar ese vacío señalando que el delito de desaparición forzada prevé agravantes cuando la víctima es menor de 18 años, mayor de 60 años, persona con discapacidad o mujer embarazada.</w:t>
      </w:r>
    </w:p>
    <w:p w14:paraId="7343B4CD"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Sin embargo, esta referencia resulta insuficiente. El delito de desaparición forzada, conforme al artículo 2 de la Convención, exige la intervención de agentes estatales o de particulares que actúen con autorización, apoyo o aquiescencia del Estado. Esa estructura no cubre ni sustituye la obligación autónoma de tipificar las conductas previstas en el artículo 25, párrafo 1, apartado a), de la Convención. La apropiación de niñas y niños puede incluir actos específicos como retención, sustitución de identidad</w:t>
      </w:r>
      <w:r w:rsidRPr="00D04B81">
        <w:rPr>
          <w:rFonts w:ascii="Times New Roman" w:eastAsia="Times New Roman" w:hAnsi="Times New Roman" w:cs="Times New Roman"/>
          <w:lang w:val="es-ES"/>
        </w:rPr>
        <w:t>, ocultamiento de origen, falsificación documental, separación familiar, adopciones irregulares o negativa a restituir identidad, que deben ser sancionados de manera autónoma y con penas proporcionales a su extrema gravedad.</w:t>
      </w:r>
    </w:p>
    <w:p w14:paraId="077C0D65" w14:textId="77777777" w:rsidR="004C4088" w:rsidRPr="00D04B81" w:rsidRDefault="00964A2B">
      <w:pPr>
        <w:spacing w:before="240" w:after="240"/>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Por estas razones, esta contribución solicita al Comité que requiera al Estado cubano información concreta, verificable y desagregada sobre las medidas adoptadas para cumplir el artículo 24 de la Convención y las recomendaciones pendientes. En particular, se solicita que el Estado explique si existe una política pública, protocolo nacional, registro centralizado, mecanismo especializado de búsqueda, sistema de reparación integral y procedimiento jurídico especial para proteger a las personas desaparecidas y</w:t>
      </w:r>
      <w:r w:rsidRPr="00D04B81">
        <w:rPr>
          <w:rFonts w:ascii="Times New Roman" w:eastAsia="Times New Roman" w:hAnsi="Times New Roman" w:cs="Times New Roman"/>
          <w:lang w:val="es-ES"/>
        </w:rPr>
        <w:t xml:space="preserve"> a sus familiares sin depender de la existencia de un proceso penal, una sentencia condenatoria o una declaración de muerte presunta.</w:t>
      </w:r>
    </w:p>
    <w:p w14:paraId="3D1A84FA" w14:textId="77777777" w:rsidR="004C4088" w:rsidRPr="00D04B81" w:rsidRDefault="00964A2B">
      <w:pPr>
        <w:pStyle w:val="Heading2"/>
        <w:rPr>
          <w:lang w:val="es-ES"/>
        </w:rPr>
      </w:pPr>
      <w:r w:rsidRPr="00D04B81">
        <w:rPr>
          <w:lang w:val="es-ES"/>
        </w:rPr>
        <w:t>3. Problema central: ausencia de una política estatal de búsqueda, registro y protección frente a desapariciones en Cuba</w:t>
      </w:r>
    </w:p>
    <w:p w14:paraId="3D6C47E2"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El problema central que se somete a consideración del Comité no se limita a la falta de reconocimiento oficial de desapariciones forzadas por parte del Estado cubano. El problema previo y estructural es la ausencia de un sistema público, especializado, coordinado, independiente y verificable para responder ante personas desaparecidas o no localizadas.</w:t>
      </w:r>
    </w:p>
    <w:p w14:paraId="7E0E7380"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Sin ese sistema, el Estado no puede demostrar que busca de manera inmediata, registra adecuadamente, investiga hipótesis de participación estatal o de particulares, informa a las familias, protege a quienes denuncian, identifica restos, repara integralmente ni adopta garantías de no repetición.</w:t>
      </w:r>
    </w:p>
    <w:p w14:paraId="0B7203DE"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Cuba sostiene en su información complementaria que no se han producido ni juzgado hechos de desaparición forzada desde el triunfo de la Revolución en 1959. Sin embargo, esa afirmación no responde por sí misma a las obligaciones derivadas de la Convención. La obligación de adecuar el derecho interno, prevenir, investigar y reparar no depende de que el Estado reconozca casos. Al contrario, cuando un Estado niega categóricamente la existencia del fenómeno, debe demostrar con mayor precisión cuáles son los meca</w:t>
      </w:r>
      <w:r w:rsidRPr="00D04B81">
        <w:rPr>
          <w:rFonts w:ascii="Times New Roman" w:eastAsia="Times New Roman" w:hAnsi="Times New Roman" w:cs="Times New Roman"/>
          <w:color w:val="000000"/>
          <w:lang w:val="es-ES"/>
        </w:rPr>
        <w:t>nismos que permiten registrar, buscar, investigar y descartar posibles desapariciones forzadas.</w:t>
      </w:r>
    </w:p>
    <w:p w14:paraId="300B139F"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Esta obligación es especialmente relevante en contextos de detención, custodia policial o militar, migración marítima, repatriaciones, centros penitenciarios, hospitales psiquiátricos, instituciones de asistencia social, desapariciones de niñas, niños y adolescentes, violencia de género, trata de personas, muertes bajo custodia o incidentes en operaciones estatales de seguridad.</w:t>
      </w:r>
    </w:p>
    <w:p w14:paraId="33FC888A"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lastRenderedPageBreak/>
        <w:t>La legislación cubana regula la desaparición principalmente desde categorías civiles de ausencia y presunción de muerte. Estas figuras permiten administrar determinados efectos patrimoniales, familiares o sucesorios cuando una persona no aparece durante cierto tiempo, pero no activan por sí mismas una obligación estatal urgente de búsqueda, investigación, registro, protección de la vida, información a familiares ni preservación de evidencia.</w:t>
      </w:r>
    </w:p>
    <w:p w14:paraId="7A0EDE6F"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Esa brecha es central. La búsqueda de una persona desaparecida debe activarse desde las primeras horas, bajo presunción de vida. La ausencia civil opera cuando ya ha transcurrido un plazo prolongado sin noticias. La presunción de muerte produce efectos jurídicos similares a una certificación de defunción, pero no esclarece qué ocurrió, dónde estuvo la persona, si fue víctima de un delito, si existió participación estatal o si hubo omisiones institucionales.</w:t>
      </w:r>
    </w:p>
    <w:p w14:paraId="27785365"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En consecuencia, el sistema cubano parece contar con mecanismos para administrar las consecuencias patrimoniales de la ausencia, pero no con un régimen especializado para buscar a la persona desaparecida y proteger a sus familiares mientras se desconoce su suerte o paradero.</w:t>
      </w:r>
    </w:p>
    <w:p w14:paraId="4E2401F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ausencia de un sistema de búsqueda afecta de manera diferenciada a grupos en situación de vulnerabilidad: niñas, niños y adolescentes; mujeres desaparecidas en contextos de violencia de género, trata o explotación sexual; personas mayores; personas con discapacidad psicosocial o intelectual; personas en situación de calle; personas migrantes desaparecidas en rutas marítimas o terrestres; personas privadas de libertad; personas bajo custodia policial, militar, penitenciaria, hospitalaria o psiquiátrica; y</w:t>
      </w:r>
      <w:r w:rsidRPr="00D04B81">
        <w:rPr>
          <w:rFonts w:ascii="Times New Roman" w:eastAsia="Times New Roman" w:hAnsi="Times New Roman" w:cs="Times New Roman"/>
          <w:color w:val="000000"/>
          <w:lang w:val="es-ES"/>
        </w:rPr>
        <w:t xml:space="preserve"> familiares que buscan en un contexto de miedo, desinformación o posible represalia.</w:t>
      </w:r>
    </w:p>
    <w:p w14:paraId="566C2404"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En la práctica, la falta de registros públicos y protocolos verificables traslada la carga de búsqueda a las familias. Son los familiares quienes suelen acudir a unidades policiales, hospitales, morgues, centros de salud mental, centros de asistencia social, redes sociales, medios independientes, observatorios de género, organizaciones de derechos humanos o contactos personales para intentar reconstruir la ruta de la persona desaparecida.</w:t>
      </w:r>
    </w:p>
    <w:p w14:paraId="0DAE8BA4"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Esta carga no es solo emocional o económica. También afecta la preservación de evidencia, el acceso a la verdad, la posibilidad de determinar responsabilidades y la protección frente a represalias. Las primeras horas son decisivas para preservar pruebas, entrevistar testigos, verificar cámaras, consultar registros telefónicos, revisar hospitales y centros de detención, activar alertas y reconstruir rutas. Si el Estado no actúa con urgencia, la familia queda obligada a buscar sin herramientas legales, sin ac</w:t>
      </w:r>
      <w:r w:rsidRPr="00D04B81">
        <w:rPr>
          <w:rFonts w:ascii="Times New Roman" w:eastAsia="Times New Roman" w:hAnsi="Times New Roman" w:cs="Times New Roman"/>
          <w:color w:val="000000"/>
          <w:lang w:val="es-ES"/>
        </w:rPr>
        <w:t>ceso a bases de datos y sin capacidad institucional para preservar pruebas.</w:t>
      </w:r>
    </w:p>
    <w:p w14:paraId="7C2FD26A"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El contexto cubano agrava estas dificultades. La inexistencia de una institución nacional independiente de derechos humanos, la falta de acceso de organizaciones independientes a centros de detención y custodia, la opacidad de los registros estatales, el control estatal sobre la información pública, las restricciones a la libertad de asociación y expresión, y la desconfianza frente a autoridades policiales o de seguridad dificultan que familiares y organizaciones puedan buscar, documentar y denunciar sin ri</w:t>
      </w:r>
      <w:r w:rsidRPr="00D04B81">
        <w:rPr>
          <w:rFonts w:ascii="Times New Roman" w:eastAsia="Times New Roman" w:hAnsi="Times New Roman" w:cs="Times New Roman"/>
          <w:color w:val="000000"/>
          <w:lang w:val="es-ES"/>
        </w:rPr>
        <w:t>esgo.</w:t>
      </w:r>
    </w:p>
    <w:p w14:paraId="51A8236B"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 xml:space="preserve">Por tanto, la cuestión que debería ser incluida en la Lista de Cuestiones no es únicamente si Cuba reconoce casos de desaparición forzada. La pregunta central es qué sistema existe para saberlo. El Estado debe explicar qué ocurre desde el momento en que una persona desaparece: quién recibe la denuncia, si existe prohibición de exigir plazos de espera, qué diligencias se practican durante </w:t>
      </w:r>
      <w:r w:rsidRPr="00D04B81">
        <w:rPr>
          <w:rFonts w:ascii="Times New Roman" w:eastAsia="Times New Roman" w:hAnsi="Times New Roman" w:cs="Times New Roman"/>
          <w:color w:val="000000"/>
          <w:lang w:val="es-ES"/>
        </w:rPr>
        <w:lastRenderedPageBreak/>
        <w:t>las primeras horas, qué registros se consultan, cómo se coordinan Policía, Fiscalía, hospitales, Medicina Legal, Migración, Tropas Guardafronteras, centros penitenciarios, instituciones psiquiátricas y autoridades consulares, cómo se informa a la familia, cómo se protege a quienes buscan, cómo se investigan hipótesis de participación estatal o de particulares, cómo se identifican restos y cómo se garantiza reparación integral aun sin sentencia penal.</w:t>
      </w:r>
    </w:p>
    <w:p w14:paraId="3A63A3E7" w14:textId="77777777" w:rsidR="004C4088" w:rsidRPr="00D04B81" w:rsidRDefault="00964A2B">
      <w:pPr>
        <w:pStyle w:val="Heading2"/>
        <w:rPr>
          <w:sz w:val="24"/>
          <w:szCs w:val="24"/>
          <w:lang w:val="es-ES"/>
        </w:rPr>
      </w:pPr>
      <w:r w:rsidRPr="00D04B81">
        <w:rPr>
          <w:sz w:val="24"/>
          <w:szCs w:val="24"/>
          <w:lang w:val="es-ES"/>
        </w:rPr>
        <w:t>4</w:t>
      </w:r>
      <w:r w:rsidRPr="00D04B81">
        <w:rPr>
          <w:sz w:val="24"/>
          <w:szCs w:val="24"/>
          <w:lang w:val="es-ES"/>
        </w:rPr>
        <w:t>. Contraste con la información presentada por el Estado cubano</w:t>
      </w:r>
    </w:p>
    <w:p w14:paraId="1B939B34"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información complementaria presentada por Cuba no demuestra cumplimiento sustantivo de las recomendaciones formuladas por el Comité en relación con el artículo 24 de la Convención.</w:t>
      </w:r>
    </w:p>
    <w:p w14:paraId="08B5DBE8"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En materia de reparación integral, el Estado describe normas generales del proceso penal sobre víctima o perjudicado, responsabilidad civil, resarcimiento de daños materiales y morales, indemnización de perjuicios y ejecución mediante la Caja de Resarcimientos del Ministerio de Justicia. Sin embargo, no explica la existencia de un régimen autónomo de reparación integral para víctimas de desaparición forzada ni para familiares de personas desaparecidas cuya suerte no haya sido esclarecida.</w:t>
      </w:r>
    </w:p>
    <w:p w14:paraId="43C207BB"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 xml:space="preserve">La respuesta estatal tampoco informa sobre medidas específicas de rehabilitación, satisfacción, garantías de no repetición, apoyo psicosocial, búsqueda, verdad, participación familiar, asistencia jurídica, medidas económicas provisionales o protección frente a represalias. Además, subordina en la práctica la reparación a la existencia de un proceso penal, a la identificación de responsables, a una sentencia y a una declaración de responsabilidad civil, pese a que el Comité recomendó expresamente garantizar </w:t>
      </w:r>
      <w:r w:rsidRPr="00D04B81">
        <w:rPr>
          <w:rFonts w:ascii="Times New Roman" w:eastAsia="Times New Roman" w:hAnsi="Times New Roman" w:cs="Times New Roman"/>
          <w:color w:val="000000"/>
          <w:lang w:val="es-ES"/>
        </w:rPr>
        <w:t>reparación incluso cuando no se hubieran iniciado actuaciones penales.</w:t>
      </w:r>
    </w:p>
    <w:p w14:paraId="05AF7079"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En materia de situación jurídica de la persona desaparecida, Cuba reitera que su Código Civil regula la ausencia y la presunción de muerte. Esa respuesta confirma la preocupación del Comité: el Estado mantiene una lógica civil, patrimonial y sucesoria, orientada a administrar los efectos de la ausencia o de la muerte presunta, pero no acredita un procedimiento especial que proteja a la persona desaparecida y a sus familiares mientras persiste la incertidumbre sobre su suerte o paradero.</w:t>
      </w:r>
    </w:p>
    <w:p w14:paraId="367A75C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El Estado no explica si la declaración de ausencia o presunción de muerte se articula con una obligación continua de búsqueda e investigación. Tampoco informa si las familias pueden acceder a protección social, derechos patrimoniales, laborales, familiares o de seguridad social sin verse obligadas a promover la presunción de muerte de la persona desaparecida.</w:t>
      </w:r>
    </w:p>
    <w:p w14:paraId="13050007"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En materia de apropiación de niños, Cuba reconoce que el Código Penal no contiene delitos específicos relativos a la apropiación de niños sometidos a desaparición forzada, de niños cuyos padres, madres o representantes legales hayan sido sometidos a desaparición forzada, o de niños nacidos durante el cautiverio de una madre desaparecida. El Estado intenta compensar ese vacío señalando que la pena por desaparición forzada se agrava cuando la víctima es menor de 18 años, mayor de 60 años, persona con discapac</w:t>
      </w:r>
      <w:r w:rsidRPr="00D04B81">
        <w:rPr>
          <w:rFonts w:ascii="Times New Roman" w:eastAsia="Times New Roman" w:hAnsi="Times New Roman" w:cs="Times New Roman"/>
          <w:color w:val="000000"/>
          <w:lang w:val="es-ES"/>
        </w:rPr>
        <w:t>idad o mujer embarazada.</w:t>
      </w:r>
    </w:p>
    <w:p w14:paraId="41DED0E1"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 xml:space="preserve">Esa respuesta resulta insuficiente. La apropiación de niños puede involucrar conductas autónomas distintas de la desaparición forzada de la persona menor de edad, como sustracción, retención, sustitución de identidad, ocultamiento de origen, falsificación documental, adopciones irregulares o separación de niños de familiares desaparecidos. Una agravante no sustituye la obligación de </w:t>
      </w:r>
      <w:r w:rsidRPr="00D04B81">
        <w:rPr>
          <w:rFonts w:ascii="Times New Roman" w:eastAsia="Times New Roman" w:hAnsi="Times New Roman" w:cs="Times New Roman"/>
          <w:color w:val="000000"/>
          <w:lang w:val="es-ES"/>
        </w:rPr>
        <w:lastRenderedPageBreak/>
        <w:t>tipificar estas conductas específicas, investigarlas, sancionarlas y garantizar restitución de identidad.</w:t>
      </w:r>
    </w:p>
    <w:p w14:paraId="1C001464"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Además, la respuesta estatal se apoya en una lógica de cumplimiento formal basada en normas generales. Cuba invoca disposiciones ordinarias del proceso penal, responsabilidad civil, ausencia, presunción de muerte y agravantes penales, pero no demuestra la existencia de un sistema integral de búsqueda, registro, investigación, verdad, reparación, situación jurídica, protección de familiares, enfoque diferenciado, control independiente y garantías de no repetición.</w:t>
      </w:r>
    </w:p>
    <w:p w14:paraId="4A1B1333"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afirmación de que no existen desapariciones forzadas en Cuba no puede considerarse suficiente si el Estado no acredita los mecanismos que permitirían detectarlas, investigarlas y descartarlas de manera verificable. La inexistencia formal de procesos penales puede reflejar ausencia de casos, pero también puede reflejar falta de denuncia, miedo, ausencia de registros, falta de investigación, archivo prematuro, clasificación inadecuada, impunidad o negativa institucional.</w:t>
      </w:r>
    </w:p>
    <w:p w14:paraId="0BBC6153"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Por ello, la Lista de Cuestiones debería requerir al Estado información concreta, desagregada y verificable sobre protocolos, registros, estadísticas, primeras diligencias, derechos de familiares, mecanismos de reparación, situación jurídica de la persona desaparecida, investigación de muertes potencialmente ilícitas, control de lugares de custodia, enfoque diferenciado y medidas de no repetición.</w:t>
      </w:r>
    </w:p>
    <w:p w14:paraId="54EE5FCE" w14:textId="77777777" w:rsidR="004C4088" w:rsidRPr="00D04B81" w:rsidRDefault="00964A2B">
      <w:pPr>
        <w:pStyle w:val="Heading2"/>
        <w:rPr>
          <w:sz w:val="24"/>
          <w:szCs w:val="24"/>
          <w:lang w:val="es-ES"/>
        </w:rPr>
      </w:pPr>
      <w:r w:rsidRPr="00D04B81">
        <w:rPr>
          <w:sz w:val="24"/>
          <w:szCs w:val="24"/>
          <w:lang w:val="es-ES"/>
        </w:rPr>
        <w:t>5</w:t>
      </w:r>
      <w:r w:rsidRPr="00D04B81">
        <w:rPr>
          <w:sz w:val="24"/>
          <w:szCs w:val="24"/>
          <w:lang w:val="es-ES"/>
        </w:rPr>
        <w:t>. Análisis crítico por obligaciones de la Convención</w:t>
      </w:r>
    </w:p>
    <w:p w14:paraId="57DE3395"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5.1. Tipificación penal, investigación y sanción</w:t>
      </w:r>
    </w:p>
    <w:p w14:paraId="026DBB7E"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Convención exige que los Estados tipifiquen adecuadamente la desaparición forzada y adopten medidas efectivas para investigar, sancionar y reparar. Esta obligación no se cumple únicamente mediante la existencia formal de un tipo penal. Requiere instituciones, registros, controles y procedimientos capaces de detectar situaciones en las que una persona pueda haber sido privada de libertad por agentes estatales o por particulares que actúan con autorización, apoyo o aquiescencia del Estado, seguida de negat</w:t>
      </w:r>
      <w:r w:rsidRPr="00D04B81">
        <w:rPr>
          <w:rFonts w:ascii="Times New Roman" w:eastAsia="Times New Roman" w:hAnsi="Times New Roman" w:cs="Times New Roman"/>
          <w:color w:val="000000"/>
          <w:lang w:val="es-ES"/>
        </w:rPr>
        <w:t>iva a reconocer la privación de libertad o de ocultamiento de la suerte o paradero de la persona.</w:t>
      </w:r>
    </w:p>
    <w:p w14:paraId="46BE7484"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respuesta del Estado cubano se apoya en la afirmación de que no se han producido ni juzgado desapariciones forzadas desde 1959. Sin embargo, para que esa afirmación sea verificable, el Estado debe demostrar que cuenta con mecanismos efectivos para recibir denuncias, registrar casos, buscar de inmediato, cruzar información institucional, verificar lugares de detención, investigar hipótesis de intervención estatal, preservar evidencia e informar a familiares.</w:t>
      </w:r>
    </w:p>
    <w:p w14:paraId="1388B81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El Estado también debe investigar conductas similares a la desaparición forzada cometidas por personas o grupos de personas que actúan sin autorización, apoyo o aquiescencia estatal, y llevar a los responsables ante la justicia. Esta obligación es relevante para desapariciones que pueden estar vinculadas a trata de personas, violencia sexual, feminicidio, explotación, redes migratorias, retención por terceros, violencia familiar, criminalidad organizada o desapariciones de niñas, niños y adolescentes.</w:t>
      </w:r>
    </w:p>
    <w:p w14:paraId="7F0ADD1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 xml:space="preserve">El Estado no puede limitar su respuesta a negar participación estatal directa. Cuando una persona desaparece, y especialmente cuando pertenece a un grupo en situación de vulnerabilidad, las autoridades deben buscarla e investigar con debida diligencia. La falta de búsqueda inmediata, la estigmatización de la víctima, la demora en recibir la denuncia, la ausencia de alerta pública o la </w:t>
      </w:r>
      <w:r w:rsidRPr="00D04B81">
        <w:rPr>
          <w:rFonts w:ascii="Times New Roman" w:eastAsia="Times New Roman" w:hAnsi="Times New Roman" w:cs="Times New Roman"/>
          <w:color w:val="000000"/>
          <w:lang w:val="es-ES"/>
        </w:rPr>
        <w:lastRenderedPageBreak/>
        <w:t>falta de coordinación entre instituciones pueden constituir incumplimientos de la obligación de investigar, aun cuando finalmente se determine que no existió participación estatal directa.</w:t>
      </w:r>
    </w:p>
    <w:p w14:paraId="5ED07E91"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investigación también debe ser independiente cuando los hechos involucren o puedan involucrar a agentes estatales, especialmente del Ministerio del Interior, las Fuerzas Armadas Revolucionarias, Tropas Guardafronteras, Policía, Seguridad del Estado, sistema penitenciario o instituciones bajo control militar o de seguridad. Si la investigación queda dentro de estructuras jerárquicas vinculadas a las instituciones potencialmente involucradas, se debilita la independencia, la imparcialidad, el acceso famili</w:t>
      </w:r>
      <w:r w:rsidRPr="00D04B81">
        <w:rPr>
          <w:rFonts w:ascii="Times New Roman" w:eastAsia="Times New Roman" w:hAnsi="Times New Roman" w:cs="Times New Roman"/>
          <w:color w:val="000000"/>
          <w:lang w:val="es-ES"/>
        </w:rPr>
        <w:t>ar al expediente y la posibilidad de impugnar archivos.</w:t>
      </w:r>
    </w:p>
    <w:p w14:paraId="7F9457F7"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5.2. Registros de detención, incomunicación y desapariciones de corta duración</w:t>
      </w:r>
    </w:p>
    <w:p w14:paraId="78FF9005"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Convención exige prevenir la detención secreta o no reconocida y garantizar que toda persona privada de libertad sea registrada. La información esencial sobre su paradero debe ser accesible a familiares, abogados o personas con interés legítimo.</w:t>
      </w:r>
    </w:p>
    <w:p w14:paraId="7F45023A"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Esta obligación es fundamental para prevenir desapariciones forzadas y desapariciones de corta duración. En Cuba, los riesgos aparecen en contextos de detención policial, citaciones por órganos de seguridad, traslados, centros de instrucción penal, unidades de Seguridad del Estado, prisiones, hospitales penitenciarios, operaciones de Guardafronteras, repatriaciones y centros de internamiento o asistencia social.</w:t>
      </w:r>
    </w:p>
    <w:p w14:paraId="1573795D"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Si una familia no puede verificar si una persona está detenida, trasladada, hospitalizada, internada o bajo custodia estatal, la persona queda en una zona de desprotección. El Estado debe demostrar que todo lugar de privación de libertad cuenta con registros actualizados, completos, auditables y accesibles; que las familias pueden verificar el paradero de una persona; que existen controles externos; que los traslados se notifican; que no hay incomunicación arbitraria; y que las negativas de información pued</w:t>
      </w:r>
      <w:r w:rsidRPr="00D04B81">
        <w:rPr>
          <w:rFonts w:ascii="Times New Roman" w:eastAsia="Times New Roman" w:hAnsi="Times New Roman" w:cs="Times New Roman"/>
          <w:color w:val="000000"/>
          <w:lang w:val="es-ES"/>
        </w:rPr>
        <w:t>en ser impugnadas ante autoridad independiente.</w:t>
      </w:r>
    </w:p>
    <w:p w14:paraId="0A0395DE"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También debe informar qué datos mínimos se registran en toda privación de libertad: fecha, hora y lugar de detención o ingreso; autoridad actuante; motivo; estado físico y mental; traslados; lugar de destino; autoridad responsable; comunicación a familiares; acceso a defensa; y fecha de liberación o egreso.</w:t>
      </w:r>
    </w:p>
    <w:p w14:paraId="4699182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ausencia de información pública sobre estos registros impide evaluar si el Estado cumple con sus obligaciones de prevención. Además, dificulta determinar si las detenciones no reconocidas, los traslados no comunicados o la incomunicación de corta duración son tratados como irregularidades administrativas, como violaciones de derechos o como posibles desapariciones forzadas.</w:t>
      </w:r>
    </w:p>
    <w:p w14:paraId="7A4053FA"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5.3. Búsqueda de personas desaparecidas y presunción de vida</w:t>
      </w:r>
    </w:p>
    <w:p w14:paraId="10E2866C"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El artículo 24 reconoce el derecho de las víctimas a conocer la verdad sobre las circunstancias de la desaparición, el avance y resultado de la investigación, y la suerte de la persona desaparecida. Ese derecho no puede hacerse efectivo si no existe una búsqueda inmediata, diligente y coordinada desde las primeras horas.</w:t>
      </w:r>
    </w:p>
    <w:p w14:paraId="5D4BA69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 xml:space="preserve">La búsqueda no debe depender de que la familia pruebe primero la existencia de un delito. La desaparición de una persona genera por sí misma una situación de riesgo que exige actuación </w:t>
      </w:r>
      <w:r w:rsidRPr="00D04B81">
        <w:rPr>
          <w:rFonts w:ascii="Times New Roman" w:eastAsia="Times New Roman" w:hAnsi="Times New Roman" w:cs="Times New Roman"/>
          <w:color w:val="000000"/>
          <w:lang w:val="es-ES"/>
        </w:rPr>
        <w:lastRenderedPageBreak/>
        <w:t>estatal. La búsqueda debe operar bajo presunción de vida, sin perjuicio de que la investigación penal explore hipótesis de delito, participación estatal, violencia, trata, muerte bajo custodia o muerte potencialmente ilícita.</w:t>
      </w:r>
    </w:p>
    <w:p w14:paraId="3A42C207"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ausencia de un protocolo nacional público, obligatorio y coordinado permite respuestas discrecionales. Algunas desapariciones pueden ser tratadas como ausencias voluntarias, fugas, problemas familiares, salidas ilegales, situaciones de salud mental, accidentes, delitos comunes o hechos sin relevancia penal, sin que exista una investigación suficiente para sostener esa clasificación.</w:t>
      </w:r>
    </w:p>
    <w:p w14:paraId="2E1A51D9"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consecuencia es que el Estado puede cerrar prematuramente hipótesis relevantes, perder evidencia y trasladar la carga de búsqueda a los familiares. Esto afecta de manera particular a mujeres, niñas, adolescentes, personas mayores, personas con discapacidad, personas en situación de calle, personas migrantes y personas sometidas previamente a vigilancia o amenazas por órganos estatales.</w:t>
      </w:r>
    </w:p>
    <w:p w14:paraId="42C2BA5D"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Cuando una persona desaparecida aparece fallecida, el Estado debe investigar no solo la causa inmediata de muerte, sino también las circunstancias de la desaparición, el período en que se desconoció el paradero, las posibles omisiones estatales, la intervención de terceros, la preservación de evidencia y la posible responsabilidad de autoridades. El hallazgo del cuerpo no extingue el derecho a la verdad; lo transforma en una obligación reforzada de investigación forense y determinación de responsabilidades.</w:t>
      </w:r>
    </w:p>
    <w:p w14:paraId="43745508"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5.4. Derechos de familiares, acceso a información y participación</w:t>
      </w:r>
    </w:p>
    <w:p w14:paraId="60EEE62D"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El artículo 24 define como víctima no solo a la persona desaparecida, sino también a toda persona física que haya sufrido un perjuicio directo como consecuencia de la desaparición. Por tanto, los familiares deben ser reconocidos como víctimas con derechos propios, aun cuando no exista proceso penal, sentencia condenatoria, certificado de defunción o declaración de muerte presunta.</w:t>
      </w:r>
    </w:p>
    <w:p w14:paraId="4801371F"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legislación y práctica cubanas, según la respuesta estatal, tienden a reconocer a familiares como víctimas o perjudicados dentro del proceso penal en supuestos específicos, o como interesados en procesos civiles de ausencia o presunción de muerte. Ese enfoque es insuficiente frente a la Convención.</w:t>
      </w:r>
    </w:p>
    <w:p w14:paraId="71AC73E1"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Los familiares de una persona desaparecida sufren daño directo por la incertidumbre prolongada, la carga de búsqueda, la afectación psicológica, los costos económicos, los obstáculos administrativos, la falta de información y el riesgo de represalias. Estos daños existen aunque no haya sentencia penal, aunque no se haya declarado la muerte, aunque el Estado no reconozca una desaparición forzada y aunque la persona permanezca desaparecida.</w:t>
      </w:r>
    </w:p>
    <w:p w14:paraId="7FE673D9"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El reconocimiento de los familiares como víctimas debe traducirse en derechos concretos: recibir copia de la denuncia, acceder a información periódica, participar en la búsqueda, solicitar diligencias, impugnar inacción o archivo, recibir asistencia jurídica y psicosocial, obtener medidas de protección, preservar la memoria de la persona desaparecida y acceder a reparación integral.</w:t>
      </w:r>
    </w:p>
    <w:p w14:paraId="46F74870"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 xml:space="preserve">La reparación integral no puede limitarse a indemnización económica. Debe incluir búsqueda, verdad, investigación, restitución de restos cuando corresponda, rehabilitación médica y psicológica, satisfacción, reconocimiento de responsabilidad, garantías de no repetición, asistencia social, apoyo jurídico, protección contra represalias y medidas diferenciadas según edad, género, </w:t>
      </w:r>
      <w:r w:rsidRPr="00D04B81">
        <w:rPr>
          <w:rFonts w:ascii="Times New Roman" w:eastAsia="Times New Roman" w:hAnsi="Times New Roman" w:cs="Times New Roman"/>
          <w:color w:val="000000"/>
          <w:lang w:val="es-ES"/>
        </w:rPr>
        <w:lastRenderedPageBreak/>
        <w:t>discapacidad, origen étnico, situación social, orientación sexual, identidad de género y otras condiciones relevantes.</w:t>
      </w:r>
    </w:p>
    <w:p w14:paraId="17A2CD3A"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reparación debe estar disponible incluso cuando no se hayan iniciado actuaciones penales. Esta exigencia es central en contextos donde la desaparición puede ser negada, clasificada como ausencia, archivada, tratada como asunto migratorio o atribuida a terceros sin investigación suficiente.</w:t>
      </w:r>
    </w:p>
    <w:p w14:paraId="5BA7EA0F"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El artículo 24 también protege el derecho de las víctimas y familiares a formar y participar libremente en organizaciones dedicadas a esclarecer desapariciones y asistir a las víctimas. En Cuba, esta obligación adquiere especial relevancia por las restricciones al espacio cívico y el control estatal sobre la información pública. El Estado debe garantizar que familiares, periodistas, organizaciones feministas, organizaciones de derechos humanos, redes comunitarias y observatorios independientes puedan difund</w:t>
      </w:r>
      <w:r w:rsidRPr="00D04B81">
        <w:rPr>
          <w:rFonts w:ascii="Times New Roman" w:eastAsia="Times New Roman" w:hAnsi="Times New Roman" w:cs="Times New Roman"/>
          <w:color w:val="000000"/>
          <w:lang w:val="es-ES"/>
        </w:rPr>
        <w:t>ir alertas, recopilar información, acompañar a víctimas, solicitar datos, documentar casos y denunciar omisiones sin intimidación, vigilancia, censura, criminalización o represalias.</w:t>
      </w:r>
    </w:p>
    <w:p w14:paraId="53CB1FEF"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5.5. Desapariciones en contexto migratorio</w:t>
      </w:r>
    </w:p>
    <w:p w14:paraId="3294EF8A"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Las desapariciones de personas cubanas en contextos migratorios, especialmente en rutas marítimas, plantean obligaciones específicas de prevención, búsqueda, cooperación, registro, identificación, información familiar e investigación.</w:t>
      </w:r>
    </w:p>
    <w:p w14:paraId="16B64133"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Estas desapariciones ocurren en un entorno marcado por salidas de alto riesgo, embarcaciones precarias, tráfico ilícito de migrantes, posibles naufragios, operaciones de interdicción, criminalización de la salida irregular, repatriaciones y falta de información pública sobre personas rescatadas, interceptadas, fallecidas o desaparecidas.</w:t>
      </w:r>
    </w:p>
    <w:p w14:paraId="68F0009D"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Aunque no todas las desapariciones migratorias constituyen desaparición forzada, el Estado conserva obligaciones de prevención, búsqueda, cooperación, identificación y reparación. En particular, cuando una operación de Tropas Guardafronteras, una interdicción marítima, una repatriación o una detención posterior coloca a personas migrantes bajo control estatal, el deber de registro y comunicación inmediata se vuelve indispensable para prevenir desapariciones temporales, detenciones no reconocidas, muertes no</w:t>
      </w:r>
      <w:r w:rsidRPr="00D04B81">
        <w:rPr>
          <w:rFonts w:ascii="Times New Roman" w:eastAsia="Times New Roman" w:hAnsi="Times New Roman" w:cs="Times New Roman"/>
          <w:color w:val="000000"/>
          <w:lang w:val="es-ES"/>
        </w:rPr>
        <w:t xml:space="preserve"> investigadas o represalias.</w:t>
      </w:r>
    </w:p>
    <w:p w14:paraId="5A5484FD"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ausencia de listas nominales, registros consultables, protocolos de búsqueda marítima, cooperación consular activa y datos sobre cuerpos recuperados o restos no identificados deja a las familias en una incertidumbre prolongada. El Estado no puede limitar su respuesta a la narrativa de migración irregular o tráfico de personas. Debe explicar qué hace para salvar, buscar, identificar, informar, investigar y reparar cuando sus nacionales desaparecen o mueren en rutas migratorias.</w:t>
      </w:r>
    </w:p>
    <w:p w14:paraId="777EC4B5"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En este ámbito, el Comité debería preguntar por registros de embarcaciones interceptadas, personas rescatadas, personas fallecidas, personas desaparecidas, personas repatriadas, personas detenidas posteriormente, investigaciones penales o administrativas abiertas por incidentes marítimos y reglas de uso de la fuerza aplicables a Tropas Guardafronteras.</w:t>
      </w:r>
    </w:p>
    <w:p w14:paraId="554D5C0C"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lastRenderedPageBreak/>
        <w:t>5.6. Falta de datos públicos, transparencia e institucionalidad independiente</w:t>
      </w:r>
    </w:p>
    <w:p w14:paraId="13D121C9"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falta de información pública, centralizada y desagregada sobre personas desaparecidas o no localizadas impide evaluar el cumplimiento de la Convención. No se identifica un registro nacional accesible que permita conocer cuántas denuncias de desaparición recibe el Estado, cuántas personas son localizadas con vida, cuántas son halladas fallecidas, cuántas permanecen sin localizar, cuántas desapariciones involucran menores de edad, mujeres, personas mayores, personas con discapacidad, personas migrantes, pe</w:t>
      </w:r>
      <w:r w:rsidRPr="00D04B81">
        <w:rPr>
          <w:rFonts w:ascii="Times New Roman" w:eastAsia="Times New Roman" w:hAnsi="Times New Roman" w:cs="Times New Roman"/>
          <w:color w:val="000000"/>
          <w:lang w:val="es-ES"/>
        </w:rPr>
        <w:t>rsonas detenidas, personas bajo custodia institucional o cuerpos no identificados.</w:t>
      </w:r>
    </w:p>
    <w:p w14:paraId="5909E54C"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falta de registros permite que la afirmación estatal de inexistencia de desapariciones forzadas opere como una conclusión no verificable. Si no hay datos públicos sobre desapariciones, personas no localizadas, cuerpos no identificados, muertes bajo custodia, traslados, repatriaciones, personas internadas en instituciones estatales o denuncias archivadas, no es posible comprobar si el Estado está detectando, investigando y descartando posibles desapariciones forzadas.</w:t>
      </w:r>
    </w:p>
    <w:p w14:paraId="6BAE872C"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trazabilidad institucional es igualmente deficiente. Una persona puede pasar por la Policía, un centro de asistencia social, un hospital, un hospital psiquiátrico, una morgue, un cementerio o una autoridad migratoria sin que la familia reciba información clara. Esta falta de cruce entre bases de datos y registros institucionales puede convertir una desaparición inicialmente social, médica, migratoria o familiar en una desaparición prolongada por omisión estatal.</w:t>
      </w:r>
    </w:p>
    <w:p w14:paraId="218498C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 inexistencia de una institución nacional independiente de derechos humanos agrava este problema. También preocupa la ausencia de mecanismos independientes de supervisión de estaciones policiales, centros de instrucción penal, unidades de Seguridad del Estado, prisiones, hospitales penitenciarios, hospitales psiquiátricos, centros de asistencia social, unidades militares y operaciones de Tropas Guardafronteras.</w:t>
      </w:r>
    </w:p>
    <w:p w14:paraId="76E5AC15"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Sin transparencia, registros públicos, control independiente y participación de familiares y organizaciones, el Estado no puede demostrar cumplimiento efectivo de la Convención.</w:t>
      </w:r>
    </w:p>
    <w:p w14:paraId="64079EC2" w14:textId="77777777" w:rsidR="004C4088" w:rsidRPr="00D04B81" w:rsidRDefault="00964A2B">
      <w:pPr>
        <w:pStyle w:val="Heading2"/>
        <w:rPr>
          <w:sz w:val="24"/>
          <w:szCs w:val="24"/>
          <w:lang w:val="es-ES"/>
        </w:rPr>
      </w:pPr>
      <w:r w:rsidRPr="00D04B81">
        <w:rPr>
          <w:sz w:val="24"/>
          <w:szCs w:val="24"/>
          <w:lang w:val="es-ES"/>
        </w:rPr>
        <w:t>6</w:t>
      </w:r>
      <w:r w:rsidRPr="00D04B81">
        <w:rPr>
          <w:sz w:val="24"/>
          <w:szCs w:val="24"/>
          <w:lang w:val="es-ES"/>
        </w:rPr>
        <w:t>. Preguntas sugeridas al Estado cubano</w:t>
      </w:r>
    </w:p>
    <w:p w14:paraId="13625F82"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Las organizaciones firmantes solicitan respetuosamente al Comité que considere formular al Estado cubano las siguientes preguntas, dirigidas a obtener información concreta, desagregada y verificable sobre el cumplimiento de la Convención.</w:t>
      </w:r>
    </w:p>
    <w:p w14:paraId="3FF6A856"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Marco legal y reconocimiento de la persona desaparecida</w:t>
      </w:r>
    </w:p>
    <w:p w14:paraId="74A4C83A" w14:textId="77777777" w:rsidR="004C4088" w:rsidRPr="00D04B81" w:rsidRDefault="00964A2B">
      <w:pPr>
        <w:numPr>
          <w:ilvl w:val="0"/>
          <w:numId w:val="1"/>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el ordenamiento jurídico cubano reconoce la categoría de “persona desaparecida” o “persona no localizada” como figura distinta de la declaración civil de ausencia y de la presunción de muerte. En caso afirmativo, indique la norma aplicable, autoridad competente, procedimiento, derechos de los familiares y medidas inmediatas de búsqueda.</w:t>
      </w:r>
    </w:p>
    <w:p w14:paraId="70A242DE" w14:textId="77777777" w:rsidR="004C4088" w:rsidRPr="00D04B81" w:rsidRDefault="00964A2B">
      <w:pPr>
        <w:numPr>
          <w:ilvl w:val="0"/>
          <w:numId w:val="1"/>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En caso de que no exista una categoría jurídica específica de persona desaparecida, sírvase explicar cómo garantiza el Estado los derechos reconocidos en el artículo 24 de la Convención desde las primeras horas de la desaparición y antes de que transcurran los plazos civiles para solicitar la declaración de ausencia o presunción de muerte.</w:t>
      </w:r>
    </w:p>
    <w:p w14:paraId="1BEC2AC6" w14:textId="77777777" w:rsidR="004C4088" w:rsidRPr="00D04B81" w:rsidRDefault="00964A2B">
      <w:pPr>
        <w:numPr>
          <w:ilvl w:val="0"/>
          <w:numId w:val="1"/>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lastRenderedPageBreak/>
        <w:t>Sírvase explicar cómo evita el Estado que la declaración civil de ausencia o la presunción de muerte sustituyan, suspendan o cierren la obligación estatal de continuar la búsqueda e investigación hasta esclarecer la suerte o paradero de la persona desaparecida.</w:t>
      </w:r>
    </w:p>
    <w:p w14:paraId="4E31A59A" w14:textId="77777777" w:rsidR="004C4088" w:rsidRPr="00D04B81" w:rsidRDefault="00964A2B">
      <w:pPr>
        <w:numPr>
          <w:ilvl w:val="0"/>
          <w:numId w:val="1"/>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el Estado prevé adoptar una figura especial de ausencia por desaparición que permita proteger derechos patrimoniales, familiares, laborales, sociales y de seguridad social sin exigir a los familiares promover la presunción de muerte de la persona desaparecida.</w:t>
      </w:r>
    </w:p>
    <w:p w14:paraId="61AADD36"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Sistema nacional de búsqueda, primeras diligencias y registros</w:t>
      </w:r>
    </w:p>
    <w:p w14:paraId="72F53968" w14:textId="77777777" w:rsidR="004C4088" w:rsidRPr="00D04B81" w:rsidRDefault="00964A2B">
      <w:pPr>
        <w:numPr>
          <w:ilvl w:val="0"/>
          <w:numId w:val="2"/>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Cuba cuenta con una ley, protocolo nacional, instrucción pública o mecanismo interinstitucional obligatorio para la búsqueda inmediata de personas desaparecidas o no localizadas. Indique la autoridad responsable, los plazos de activación, las medidas iniciales obligatorias y las instituciones que deben intervenir.</w:t>
      </w:r>
    </w:p>
    <w:p w14:paraId="44A82DFD" w14:textId="77777777" w:rsidR="004C4088" w:rsidRPr="00D04B81" w:rsidRDefault="00964A2B">
      <w:pPr>
        <w:numPr>
          <w:ilvl w:val="0"/>
          <w:numId w:val="2"/>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indicar si existe una prohibición expresa de exigir a familiares un plazo de espera de 24, 48 o 72 horas antes de recibir una denuncia o activar la búsqueda de una persona desaparecida. En caso afirmativo, precise la norma aplicable y las medidas adoptadas para garantizar su cumplimiento en todas las unidades policiales.</w:t>
      </w:r>
    </w:p>
    <w:p w14:paraId="02F90946" w14:textId="77777777" w:rsidR="004C4088" w:rsidRPr="00D04B81" w:rsidRDefault="00964A2B">
      <w:pPr>
        <w:numPr>
          <w:ilvl w:val="0"/>
          <w:numId w:val="2"/>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qué diligencias mínimas deben realizarse durante las primeras veinticuatro horas de una denuncia de desaparición, incluyendo entrevistas a testigos, revisión de hospitales, morgues, estaciones policiales, centros de detención, terminales de transporte, registros migratorios, cámaras de seguridad, registros telefónicos y posibles lugares de riesgo.</w:t>
      </w:r>
    </w:p>
    <w:p w14:paraId="26E5650C" w14:textId="77777777" w:rsidR="004C4088" w:rsidRPr="00D04B81" w:rsidRDefault="00964A2B">
      <w:pPr>
        <w:numPr>
          <w:ilvl w:val="0"/>
          <w:numId w:val="2"/>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qué autoridad coordina la búsqueda cuando intervienen simultáneamente la Policía Nacional Revolucionaria, Fiscalía, Medicina Legal, hospitales, instituciones psiquiátricas, centros de asistencia social, Tropas Guardafronteras, autoridades migratorias, registros civiles, autoridades locales, ETECSA y autoridades consulares.</w:t>
      </w:r>
    </w:p>
    <w:p w14:paraId="4962540E" w14:textId="77777777" w:rsidR="004C4088" w:rsidRPr="00D04B81" w:rsidRDefault="00964A2B">
      <w:pPr>
        <w:numPr>
          <w:ilvl w:val="0"/>
          <w:numId w:val="2"/>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existe un registro nacional centralizado de personas desaparecidas o no localizadas. En caso afirmativo, precise qué institución lo administra, qué datos contiene, qué criterios de inclusión utiliza y si puede ser consultado por familiares, abogados, organizaciones humanitarias o mecanismos internacionales.</w:t>
      </w:r>
    </w:p>
    <w:p w14:paraId="5C3F6DA2" w14:textId="77777777" w:rsidR="004C4088" w:rsidRPr="00D04B81" w:rsidRDefault="00964A2B">
      <w:pPr>
        <w:numPr>
          <w:ilvl w:val="0"/>
          <w:numId w:val="2"/>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proporcionar estadísticas desagregadas desde 2017 hasta la fecha sobre denuncias de personas desaparecidas o no localizadas, indicando año, provincia, sexo, edad, color de piel u origen étnico, discapacidad, nacionalidad, contexto de desaparición, fecha de denuncia, fecha de localización, personas localizadas con vida, personas halladas fallecidas, casos pendientes, casos archivados e investigaciones penales abiertas.</w:t>
      </w:r>
    </w:p>
    <w:p w14:paraId="085DC3CF" w14:textId="77777777" w:rsidR="004C4088" w:rsidRPr="00D04B81" w:rsidRDefault="00964A2B">
      <w:pPr>
        <w:numPr>
          <w:ilvl w:val="0"/>
          <w:numId w:val="2"/>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existen registros centralizados de cuerpos no identificados, restos humanos no reclamados, entierros administrativos, personas fallecidas bajo custodia, personas internadas en instituciones psiquiátricas o de asistencia social, personas trasladadas entre centros de detención, personas interceptadas o repatriadas en contexto migratorio y personas desaparecidas en rutas marítimas o terrestres.</w:t>
      </w:r>
    </w:p>
    <w:p w14:paraId="102D9B84" w14:textId="77777777" w:rsidR="004C4088" w:rsidRPr="00D04B81" w:rsidRDefault="00964A2B">
      <w:pPr>
        <w:numPr>
          <w:ilvl w:val="0"/>
          <w:numId w:val="2"/>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lastRenderedPageBreak/>
        <w:t>Sírvase explicar si existe un sistema automatizado de cruce de datos entre denuncias de desaparición, registros policiales, hospitales, Medicina Legal, morgues, cementerios, instituciones psiquiátricas, centros de asistencia social, registros migratorios, establecimientos penitenciarios y registros de personas privadas de libertad.</w:t>
      </w:r>
    </w:p>
    <w:p w14:paraId="40B3DD16"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Derechos de familiares, verdad y reparación integral</w:t>
      </w:r>
    </w:p>
    <w:p w14:paraId="4F356F6E" w14:textId="77777777" w:rsidR="004C4088" w:rsidRPr="00D04B81" w:rsidRDefault="00964A2B">
      <w:pPr>
        <w:numPr>
          <w:ilvl w:val="0"/>
          <w:numId w:val="3"/>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toda denuncia de desaparición genera constancia escrita entregada a los familiares, número de expediente, identificación de autoridad responsable, plan inicial de búsqueda y calendario de actualizaciones periódicas.</w:t>
      </w:r>
    </w:p>
    <w:p w14:paraId="5000B204" w14:textId="77777777" w:rsidR="004C4088" w:rsidRPr="00D04B81" w:rsidRDefault="00964A2B">
      <w:pPr>
        <w:numPr>
          <w:ilvl w:val="0"/>
          <w:numId w:val="3"/>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si los familiares tienen derecho a aportar información, solicitar diligencias, recibir información sobre hipótesis investigativas, acceder al expediente, impugnar la inacción, oponerse al archivo y recibir protección frente a represalias.</w:t>
      </w:r>
    </w:p>
    <w:p w14:paraId="45BA223D" w14:textId="77777777" w:rsidR="004C4088" w:rsidRPr="00D04B81" w:rsidRDefault="00964A2B">
      <w:pPr>
        <w:numPr>
          <w:ilvl w:val="0"/>
          <w:numId w:val="3"/>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indicar si los familiares de personas desaparecidas son reconocidos como víctimas con derechos propios conforme al artículo 24 de la Convención, aun cuando no exista proceso penal, sentencia condenatoria, certificado de defunción ni declaración de muerte presunta.</w:t>
      </w:r>
    </w:p>
    <w:p w14:paraId="10C04F63" w14:textId="77777777" w:rsidR="004C4088" w:rsidRPr="00D04B81" w:rsidRDefault="00964A2B">
      <w:pPr>
        <w:numPr>
          <w:ilvl w:val="0"/>
          <w:numId w:val="3"/>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qué asistencia jurídica, apoyo psicológico, protección social, medidas económicas provisionales, acompañamiento institucional y protección frente a represalias reciben los familiares durante la búsqueda.</w:t>
      </w:r>
    </w:p>
    <w:p w14:paraId="3CB2388B" w14:textId="77777777" w:rsidR="004C4088" w:rsidRPr="00D04B81" w:rsidRDefault="00964A2B">
      <w:pPr>
        <w:numPr>
          <w:ilvl w:val="0"/>
          <w:numId w:val="3"/>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cómo garantiza el Estado el derecho de los familiares a conocer la verdad sobre las circunstancias de la desaparición, las diligencias realizadas, las hipótesis investigadas, el avance y resultado de la investigación y la suerte o paradero de la persona desaparecida.</w:t>
      </w:r>
    </w:p>
    <w:p w14:paraId="1C301373" w14:textId="77777777" w:rsidR="004C4088" w:rsidRPr="00D04B81" w:rsidRDefault="00964A2B">
      <w:pPr>
        <w:numPr>
          <w:ilvl w:val="0"/>
          <w:numId w:val="3"/>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cómo puede una víctima o familiar obtener reparación integral cuando no existe proceso penal, cuando no hay sentencia, cuando el responsable no ha sido identificado, cuando el caso fue archivado, cuando la denuncia fue registrada como ausencia o cuando las autoridades no reconocen el hecho como desaparición forzada.</w:t>
      </w:r>
    </w:p>
    <w:p w14:paraId="7B66EC47" w14:textId="77777777" w:rsidR="004C4088" w:rsidRPr="00D04B81" w:rsidRDefault="00964A2B">
      <w:pPr>
        <w:numPr>
          <w:ilvl w:val="0"/>
          <w:numId w:val="3"/>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indicar qué formas de reparación distintas de la indemnización económica están previstas para casos de desaparición o desaparición no esclarecida, incluyendo búsqueda, verdad, rehabilitación médica y psicológica, satisfacción, memoria, garantías de no repetición, apoyo social, asistencia jurídica y protección frente a represalias.</w:t>
      </w:r>
    </w:p>
    <w:p w14:paraId="36836744" w14:textId="77777777" w:rsidR="004C4088" w:rsidRPr="00D04B81" w:rsidRDefault="00964A2B">
      <w:pPr>
        <w:numPr>
          <w:ilvl w:val="0"/>
          <w:numId w:val="3"/>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qué garantías existen para que familiares, periodistas, organizaciones feministas, organizaciones de derechos humanos, redes comunitarias y observatorios independientes puedan difundir alertas de búsqueda, recopilar información, acompañar a víctimas y denunciar omisiones sin amenazas, vigilancia, criminalización, censura o acusaciones políticas.</w:t>
      </w:r>
    </w:p>
    <w:p w14:paraId="6A1D5EC3"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Personas privadas de libertad, custodia estatal e investigación independiente</w:t>
      </w:r>
    </w:p>
    <w:p w14:paraId="03C94E7D" w14:textId="77777777" w:rsidR="004C4088" w:rsidRPr="00D04B81" w:rsidRDefault="00964A2B">
      <w:pPr>
        <w:numPr>
          <w:ilvl w:val="0"/>
          <w:numId w:val="4"/>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 xml:space="preserve">Sírvase informar si toda persona detenida, trasladada, interrogada, internada o retenida por Policía, Seguridad del Estado, Tropas Guardafronteras, autoridades penitenciarias, autoridades migratorias, instituciones militares, hospitales penitenciarios, hospitales </w:t>
      </w:r>
      <w:r w:rsidRPr="00D04B81">
        <w:rPr>
          <w:rFonts w:ascii="Times New Roman" w:eastAsia="Times New Roman" w:hAnsi="Times New Roman" w:cs="Times New Roman"/>
          <w:lang w:val="es-ES"/>
        </w:rPr>
        <w:lastRenderedPageBreak/>
        <w:t>psiquiátricos o centros de asistencia social debe ser registrada de inmediato en un sistema verificable.</w:t>
      </w:r>
    </w:p>
    <w:p w14:paraId="5CD4B73F" w14:textId="77777777" w:rsidR="004C4088" w:rsidRPr="00D04B81" w:rsidRDefault="00964A2B">
      <w:pPr>
        <w:numPr>
          <w:ilvl w:val="0"/>
          <w:numId w:val="4"/>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qué mecanismo permite a una familia verificar si una persona se encuentra o estuvo detenida en una estación policial, centro de instrucción penal, unidad de Seguridad del Estado, prisión, hospital penitenciario, dependencia militar, centro migratorio o institución psiquiátrica.</w:t>
      </w:r>
    </w:p>
    <w:p w14:paraId="6786E1AC" w14:textId="77777777" w:rsidR="004C4088" w:rsidRPr="00D04B81" w:rsidRDefault="00964A2B">
      <w:pPr>
        <w:numPr>
          <w:ilvl w:val="0"/>
          <w:numId w:val="4"/>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qué información mínima se registra sobre toda persona privada de libertad o bajo custodia estatal, incluyendo fecha, hora y lugar de detención o ingreso, autoridad actuante, motivo, estado físico y mental, traslados, lugar de destino, autoridad responsable, comunicación a familiares, acceso a defensa y fecha de liberación o egreso.</w:t>
      </w:r>
    </w:p>
    <w:p w14:paraId="3C8C7201" w14:textId="77777777" w:rsidR="004C4088" w:rsidRPr="00D04B81" w:rsidRDefault="00964A2B">
      <w:pPr>
        <w:numPr>
          <w:ilvl w:val="0"/>
          <w:numId w:val="4"/>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qué recurso judicial efectivo existe para localizar a una persona presuntamente detenida por agentes estatales cuando la autoridad niega, no confirma o demora información sobre la privación de libertad.</w:t>
      </w:r>
    </w:p>
    <w:p w14:paraId="72FE6721" w14:textId="77777777" w:rsidR="004C4088" w:rsidRPr="00D04B81" w:rsidRDefault="00964A2B">
      <w:pPr>
        <w:numPr>
          <w:ilvl w:val="0"/>
          <w:numId w:val="4"/>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qué órganos independientes supervisan estaciones policiales, centros de instrucción penal, unidades de Seguridad del Estado, prisiones, hospitales penitenciarios, hospitales psiquiátricos, centros de asistencia social, unidades militares y operaciones de Tropas Guardafronteras.</w:t>
      </w:r>
    </w:p>
    <w:p w14:paraId="24C743DE" w14:textId="77777777" w:rsidR="004C4088" w:rsidRPr="00D04B81" w:rsidRDefault="00964A2B">
      <w:pPr>
        <w:numPr>
          <w:ilvl w:val="0"/>
          <w:numId w:val="4"/>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qué autoridad investiga denuncias de desaparición, muerte bajo custodia, uso letal de la fuerza, interdicción marítima, detención no reconocida, tortura, traslado irregular o entierro sin aviso cuando pueden estar implicados agentes del MININT, FAR, Tropas Guardafronteras, Policía, Seguridad del Estado o funcionarios penitenciarios.</w:t>
      </w:r>
    </w:p>
    <w:p w14:paraId="0B835E43" w14:textId="77777777" w:rsidR="004C4088" w:rsidRPr="00D04B81" w:rsidRDefault="00964A2B">
      <w:pPr>
        <w:numPr>
          <w:ilvl w:val="0"/>
          <w:numId w:val="4"/>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indicar qué casos de desaparición, muerte bajo custodia, uso letal de la fuerza, incidentes marítimos, hechos ocurridos en prisiones, estaciones policiales, zonas fronterizas o unidades militares son conocidos por la jurisdicción penal militar y cuáles por la jurisdicción ordinaria.</w:t>
      </w:r>
    </w:p>
    <w:p w14:paraId="49C3F62C" w14:textId="77777777" w:rsidR="004C4088" w:rsidRPr="00D04B81" w:rsidRDefault="00964A2B">
      <w:pPr>
        <w:numPr>
          <w:ilvl w:val="0"/>
          <w:numId w:val="4"/>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si las familias de víctimas en casos tramitados por Fiscalía Militar o tribunales militares tienen derecho a acceder al expediente, aportar pruebas, solicitar diligencias, impugnar archivos y obtener revisión judicial ante una autoridad independiente.</w:t>
      </w:r>
    </w:p>
    <w:p w14:paraId="7DC7DAE9"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Mujeres, niñas, niños, adolescentes y personas vulnerables</w:t>
      </w:r>
    </w:p>
    <w:p w14:paraId="7726102E" w14:textId="77777777" w:rsidR="004C4088" w:rsidRPr="00D04B81" w:rsidRDefault="00964A2B">
      <w:pPr>
        <w:numPr>
          <w:ilvl w:val="0"/>
          <w:numId w:val="5"/>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Cuba cuenta con protocolos específicos para la búsqueda inmediata de niñas, niños, adolescentes y mujeres desaparecidas, incluyendo casos con riesgo de violencia sexual, trata, explotación, feminicidio, captación, retención por terceros, discapacidad, embarazo, pobreza extrema o violencia familiar previa.</w:t>
      </w:r>
    </w:p>
    <w:p w14:paraId="0A47B883" w14:textId="77777777" w:rsidR="004C4088" w:rsidRPr="00D04B81" w:rsidRDefault="00964A2B">
      <w:pPr>
        <w:numPr>
          <w:ilvl w:val="0"/>
          <w:numId w:val="5"/>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indicar si existe o se prevé crear un sistema nacional de alerta temprana para niñas, niños, adolescentes y mujeres desaparecidas, con participación de televisión, radio, telefonía móvil, ETECSA, escuelas, transporte público, gobiernos locales, instituciones de salud y redes comunitarias.</w:t>
      </w:r>
    </w:p>
    <w:p w14:paraId="7C7E408B" w14:textId="77777777" w:rsidR="004C4088" w:rsidRPr="00D04B81" w:rsidRDefault="00964A2B">
      <w:pPr>
        <w:numPr>
          <w:ilvl w:val="0"/>
          <w:numId w:val="5"/>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lastRenderedPageBreak/>
        <w:t>Sírvase informar qué medidas se adoptan para evitar que autoridades clasifiquen prematuramente la desaparición de una mujer, niña o adolescente como fuga voluntaria, problema familiar, conducta moral, relación afectiva, salida del país o abandono del hogar sin investigación suficiente.</w:t>
      </w:r>
    </w:p>
    <w:p w14:paraId="127F153A" w14:textId="77777777" w:rsidR="004C4088" w:rsidRPr="00D04B81" w:rsidRDefault="00964A2B">
      <w:pPr>
        <w:numPr>
          <w:ilvl w:val="0"/>
          <w:numId w:val="5"/>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qué protocolo se activa cuando desaparece una persona mayor, persona con Alzheimer, epilepsia, discapacidad psicosocial o intelectual, enfermedad crónica, situación de calle o falta de redes familiares.</w:t>
      </w:r>
    </w:p>
    <w:p w14:paraId="305E07F2" w14:textId="77777777" w:rsidR="004C4088" w:rsidRPr="00D04B81" w:rsidRDefault="00964A2B">
      <w:pPr>
        <w:numPr>
          <w:ilvl w:val="0"/>
          <w:numId w:val="5"/>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qué garantías existen antes de recoger, trasladar o internar a una persona bajo procedimientos de asistencia social, “conducta deambulante”, salud mental, protección social o internamiento institucional. Indique si se exige identificación, registro, consentimiento informado, notificación familiar, revisión médica, control judicial o supervisión independiente.</w:t>
      </w:r>
    </w:p>
    <w:p w14:paraId="22639965" w14:textId="77777777" w:rsidR="004C4088" w:rsidRPr="00D04B81" w:rsidRDefault="00964A2B">
      <w:pPr>
        <w:numPr>
          <w:ilvl w:val="0"/>
          <w:numId w:val="5"/>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las instituciones de salud, hospitales psiquiátricos, centros de asistencia social, hogares de ancianos, centros para personas en situación de calle y morgues están obligados a verificar si una persona ingresada, fallecida o no reclamada aparece en una denuncia de desaparición.</w:t>
      </w:r>
    </w:p>
    <w:p w14:paraId="6200804C"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Migración, muertes, cuerpos no identificados y apropiación de niños</w:t>
      </w:r>
    </w:p>
    <w:p w14:paraId="4846BDD3" w14:textId="77777777" w:rsidR="004C4088" w:rsidRPr="00D04B81" w:rsidRDefault="00964A2B">
      <w:pPr>
        <w:numPr>
          <w:ilvl w:val="0"/>
          <w:numId w:val="6"/>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Cuba cuenta con un registro nacional de personas desaparecidas en contexto migratorio, incluidas personas que salieron del territorio nacional, no llegaron a destino, no fueron interceptadas y permanecen no localizadas.</w:t>
      </w:r>
    </w:p>
    <w:p w14:paraId="5CED15CD" w14:textId="77777777" w:rsidR="004C4088" w:rsidRPr="00D04B81" w:rsidRDefault="00964A2B">
      <w:pPr>
        <w:numPr>
          <w:ilvl w:val="0"/>
          <w:numId w:val="6"/>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proporcionar estadísticas desagregadas desde 2017 sobre personas cubanas fallecidas, desaparecidas, rescatadas, interceptadas, repatriadas, detenidas posteriormente o investigadas penalmente en relación con intentos de salida marítima o rutas migratorias terrestres.</w:t>
      </w:r>
    </w:p>
    <w:p w14:paraId="0E6A44A0" w14:textId="77777777" w:rsidR="004C4088" w:rsidRPr="00D04B81" w:rsidRDefault="00964A2B">
      <w:pPr>
        <w:numPr>
          <w:ilvl w:val="0"/>
          <w:numId w:val="6"/>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las Tropas Guardafronteras llevan registros nominales de todas las embarcaciones interceptadas, personas a bordo, personas heridas, fallecidas, desaparecidas, rescatadas, repatriadas, bienes incautados y familiares notificados.</w:t>
      </w:r>
    </w:p>
    <w:p w14:paraId="1DD757DD" w14:textId="77777777" w:rsidR="004C4088" w:rsidRPr="00D04B81" w:rsidRDefault="00964A2B">
      <w:pPr>
        <w:numPr>
          <w:ilvl w:val="0"/>
          <w:numId w:val="6"/>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qué protocolo de búsqueda y rescate se activa cuando familiares reportan que una embarcación salió de Cuba y se desconoce su paradero. Indique si Cuba coordina operaciones de búsqueda con otros Estados de la región.</w:t>
      </w:r>
    </w:p>
    <w:p w14:paraId="6952736D" w14:textId="77777777" w:rsidR="004C4088" w:rsidRPr="00D04B81" w:rsidRDefault="00964A2B">
      <w:pPr>
        <w:numPr>
          <w:ilvl w:val="0"/>
          <w:numId w:val="6"/>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qué protocolo se activa cuando una persona denunciada como desaparecida aparece fallecida. Indique si se investiga la posible muerte ilícita, negligencia estatal, violencia sexual, trata, uso de la fuerza, muerte bajo custodia, omisión de búsqueda o encubrimiento.</w:t>
      </w:r>
    </w:p>
    <w:p w14:paraId="1B231B01" w14:textId="77777777" w:rsidR="004C4088" w:rsidRPr="00D04B81" w:rsidRDefault="00964A2B">
      <w:pPr>
        <w:numPr>
          <w:ilvl w:val="0"/>
          <w:numId w:val="6"/>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Cuba mantiene un banco de datos forenses, registro de ADN, odontogramas, huellas, fotografías y otros elementos de identificación para cotejar cuerpos no identificados con denuncias de desaparición.</w:t>
      </w:r>
    </w:p>
    <w:p w14:paraId="2CCFB940" w14:textId="77777777" w:rsidR="004C4088" w:rsidRPr="00D04B81" w:rsidRDefault="00964A2B">
      <w:pPr>
        <w:numPr>
          <w:ilvl w:val="0"/>
          <w:numId w:val="6"/>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 xml:space="preserve">Sírvase informar qué medidas legislativas ha adoptado o prevé adoptar el Estado para tipificar de manera específica la apropiación de niños sometidos a desaparición forzada, de </w:t>
      </w:r>
      <w:r w:rsidRPr="00D04B81">
        <w:rPr>
          <w:rFonts w:ascii="Times New Roman" w:eastAsia="Times New Roman" w:hAnsi="Times New Roman" w:cs="Times New Roman"/>
          <w:lang w:val="es-ES"/>
        </w:rPr>
        <w:lastRenderedPageBreak/>
        <w:t>niños cuyos padres, madres o representantes legales hayan sido sometidos a desaparición forzada, y de niños nacidos durante el cautiverio de una madre desaparecida.</w:t>
      </w:r>
    </w:p>
    <w:p w14:paraId="38029575" w14:textId="77777777" w:rsidR="004C4088" w:rsidRPr="00D04B81" w:rsidRDefault="00964A2B">
      <w:pPr>
        <w:numPr>
          <w:ilvl w:val="0"/>
          <w:numId w:val="6"/>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por qué el Estado considera suficiente la existencia de agravantes del delito de desaparición forzada cuando la víctima es menor de edad, si el artículo 25 de la Convención exige sancionar conductas autónomas como apropiación, retención, sustitución de identidad, ocultamiento de origen o falsificación documental.</w:t>
      </w:r>
    </w:p>
    <w:p w14:paraId="562C6EBD" w14:textId="77777777" w:rsidR="004C4088" w:rsidRPr="00D04B81" w:rsidRDefault="00964A2B">
      <w:pPr>
        <w:pStyle w:val="Heading3"/>
        <w:jc w:val="both"/>
        <w:rPr>
          <w:rFonts w:ascii="Times New Roman" w:eastAsia="Times New Roman" w:hAnsi="Times New Roman" w:cs="Times New Roman"/>
          <w:sz w:val="24"/>
          <w:szCs w:val="24"/>
          <w:lang w:val="es-ES"/>
        </w:rPr>
      </w:pPr>
      <w:r w:rsidRPr="00D04B81">
        <w:rPr>
          <w:rFonts w:ascii="Times New Roman" w:eastAsia="Times New Roman" w:hAnsi="Times New Roman" w:cs="Times New Roman"/>
          <w:sz w:val="24"/>
          <w:szCs w:val="24"/>
          <w:lang w:val="es-ES"/>
        </w:rPr>
        <w:t>Reformas estructurales y garantías de no repetición</w:t>
      </w:r>
    </w:p>
    <w:p w14:paraId="01A11C36" w14:textId="77777777" w:rsidR="004C4088" w:rsidRPr="00D04B81" w:rsidRDefault="00964A2B">
      <w:pPr>
        <w:numPr>
          <w:ilvl w:val="0"/>
          <w:numId w:val="7"/>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si Cuba prevé adoptar una ley nacional de búsqueda de personas desaparecidas, un registro único de personas desaparecidas, un registro de cuerpos no identificados, un banco de datos forenses, mecanismos de alerta temprana y protocolos públicos de coordinación interinstitucional compatibles con la Convención.</w:t>
      </w:r>
    </w:p>
    <w:p w14:paraId="1CC3E50A" w14:textId="77777777" w:rsidR="004C4088" w:rsidRPr="00D04B81" w:rsidRDefault="00964A2B">
      <w:pPr>
        <w:numPr>
          <w:ilvl w:val="0"/>
          <w:numId w:val="7"/>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explicar qué reformas legislativas, administrativas o institucionales adoptará el Estado para garantizar reparación integral aplicable aun sin proceso penal, situación jurídica especial de personas desaparecidas, reconocimiento de familiares como víctimas, protección de organizaciones de búsqueda y control independiente de lugares de custodia.</w:t>
      </w:r>
    </w:p>
    <w:p w14:paraId="22366490" w14:textId="77777777" w:rsidR="004C4088" w:rsidRPr="00D04B81" w:rsidRDefault="00964A2B">
      <w:pPr>
        <w:numPr>
          <w:ilvl w:val="0"/>
          <w:numId w:val="7"/>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Sírvase informar qué medidas de capacitación obligatoria reciben policías, fiscales, jueces, médicos legistas, personal de salud, autoridades migratorias, Tropas Guardafronteras, funcionarios penitenciarios, trabajadores sociales y autoridades locales sobre búsqueda de personas desaparecidas, enfoque diferenciado, derecho a la verdad, trato a familiares, preservación de evidencia y prevención de desapariciones forzadas.</w:t>
      </w:r>
    </w:p>
    <w:p w14:paraId="1BBCA292" w14:textId="77777777" w:rsidR="004C4088" w:rsidRPr="00D04B81" w:rsidRDefault="00964A2B">
      <w:pPr>
        <w:numPr>
          <w:ilvl w:val="0"/>
          <w:numId w:val="7"/>
        </w:numPr>
        <w:jc w:val="both"/>
        <w:rPr>
          <w:rFonts w:ascii="Times New Roman" w:eastAsia="Times New Roman" w:hAnsi="Times New Roman" w:cs="Times New Roman"/>
          <w:lang w:val="es-ES"/>
        </w:rPr>
      </w:pPr>
      <w:r w:rsidRPr="00D04B81">
        <w:rPr>
          <w:rFonts w:ascii="Times New Roman" w:eastAsia="Times New Roman" w:hAnsi="Times New Roman" w:cs="Times New Roman"/>
          <w:lang w:val="es-ES"/>
        </w:rPr>
        <w:t>Si el Estado sostiene que no existen desapariciones forzadas en Cuba, sírvase explicar qué mecanismos legales, administrativos, judiciales y estadísticos permiten detectar, investigar y descartar esa hipótesis cuando una persona desaparece en contextos de detención, custodia policial o militar, operaciones marítimas, repatriaciones, prisiones, centros de salud mental, instituciones de asistencia social, violencia de género, trata, protesta social, intervención de agentes estatales o zonas controladas por el</w:t>
      </w:r>
      <w:r w:rsidRPr="00D04B81">
        <w:rPr>
          <w:rFonts w:ascii="Times New Roman" w:eastAsia="Times New Roman" w:hAnsi="Times New Roman" w:cs="Times New Roman"/>
          <w:lang w:val="es-ES"/>
        </w:rPr>
        <w:t xml:space="preserve"> MININT/FAR.</w:t>
      </w:r>
    </w:p>
    <w:p w14:paraId="2EB58A5A" w14:textId="77777777" w:rsidR="004C4088" w:rsidRPr="00D04B81" w:rsidRDefault="00964A2B">
      <w:pPr>
        <w:pStyle w:val="Heading2"/>
        <w:rPr>
          <w:sz w:val="24"/>
          <w:szCs w:val="24"/>
          <w:lang w:val="es-ES"/>
        </w:rPr>
      </w:pPr>
      <w:r w:rsidRPr="00D04B81">
        <w:rPr>
          <w:sz w:val="24"/>
          <w:szCs w:val="24"/>
          <w:lang w:val="es-ES"/>
        </w:rPr>
        <w:t>7</w:t>
      </w:r>
      <w:r w:rsidRPr="00D04B81">
        <w:rPr>
          <w:sz w:val="24"/>
          <w:szCs w:val="24"/>
          <w:lang w:val="es-ES"/>
        </w:rPr>
        <w:t>. Anexo breve: fuentes utilizadas o casos ilustrativos</w:t>
      </w:r>
    </w:p>
    <w:p w14:paraId="05896F9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Esta contribución se basa en el análisis de las observaciones finales del Comité contra la Desaparición Forzada sobre Cuba, la información complementaria presentada por el Estado cubano bajo el artículo 29, párrafo 4, de la Convención, la Convención Internacional para la Protección de Todas las Personas contra las Desapariciones Forzadas, legislación cubana relevante, documentos de Naciones Unidas y fuentes públicas disponibles sobre desapariciones, búsqueda de personas, situación jurídica de personas desap</w:t>
      </w:r>
      <w:r w:rsidRPr="00D04B81">
        <w:rPr>
          <w:rFonts w:ascii="Times New Roman" w:eastAsia="Times New Roman" w:hAnsi="Times New Roman" w:cs="Times New Roman"/>
          <w:color w:val="000000"/>
          <w:lang w:val="es-ES"/>
        </w:rPr>
        <w:t>arecidas, reparación integral, desapariciones en contexto migratorio, personas bajo custodia estatal y protección de familiares.</w:t>
      </w:r>
    </w:p>
    <w:p w14:paraId="048A70E6"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t>También se han considerado fuentes públicas independientes, informes de organizaciones de derechos humanos, análisis legales especializados y documentación de casos que ilustran patrones de falta de búsqueda inmediata, ausencia de registros verificables, traslado de la carga de búsqueda a familiares, falta de información oficial, opacidad institucional, desapariciones en contexto migratorio, riesgos para mujeres, niñas, niños, adolescentes, personas mayores, personas con discapacidad y personas bajo custodi</w:t>
      </w:r>
      <w:r w:rsidRPr="00D04B81">
        <w:rPr>
          <w:rFonts w:ascii="Times New Roman" w:eastAsia="Times New Roman" w:hAnsi="Times New Roman" w:cs="Times New Roman"/>
          <w:color w:val="000000"/>
          <w:lang w:val="es-ES"/>
        </w:rPr>
        <w:t>a estatal o institucional.</w:t>
      </w:r>
    </w:p>
    <w:p w14:paraId="4E19E781" w14:textId="77777777" w:rsidR="004C4088" w:rsidRPr="00D04B81" w:rsidRDefault="00964A2B">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D04B81">
        <w:rPr>
          <w:rFonts w:ascii="Times New Roman" w:eastAsia="Times New Roman" w:hAnsi="Times New Roman" w:cs="Times New Roman"/>
          <w:color w:val="000000"/>
          <w:lang w:val="es-ES"/>
        </w:rPr>
        <w:lastRenderedPageBreak/>
        <w:t>Las organizaciones firmantes no sostienen que todos los casos examinados constituyan desapariciones forzadas. Los casos se utilizan para ilustrar riesgos, vacíos institucionales y patrones de omisión que justifican solicitar al Estado información concreta, desagregada y verificable sobre los mecanismos existentes para buscar, registrar, investigar, informar, reparar y prevenir desapariciones forzadas o desapariciones no esclarecidas.</w:t>
      </w:r>
    </w:p>
    <w:sectPr w:rsidR="004C4088" w:rsidRPr="00D04B81">
      <w:headerReference w:type="default" r:id="rId8"/>
      <w:pgSz w:w="12240" w:h="15840"/>
      <w:pgMar w:top="1440" w:right="1440" w:bottom="1440" w:left="144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B6A22" w14:textId="77777777" w:rsidR="00964A2B" w:rsidRDefault="00964A2B">
      <w:pPr>
        <w:spacing w:after="0"/>
      </w:pPr>
      <w:r>
        <w:separator/>
      </w:r>
    </w:p>
  </w:endnote>
  <w:endnote w:type="continuationSeparator" w:id="0">
    <w:p w14:paraId="120A43FF" w14:textId="77777777" w:rsidR="00964A2B" w:rsidRDefault="00964A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D142B887-1EC6-4EB0-84BB-04BAC0BD0C4F}"/>
    <w:embedItalic r:id="rId2" w:fontKey="{073E073B-EF22-4D3F-BF51-7AC9BFBA5037}"/>
  </w:font>
  <w:font w:name="Play">
    <w:charset w:val="00"/>
    <w:family w:val="auto"/>
    <w:pitch w:val="default"/>
    <w:embedRegular r:id="rId3" w:fontKey="{7074F89A-C16A-41BC-B511-CDC066CBC10D}"/>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2E2D9ADC-E4D4-4754-B578-5943DE927379}"/>
  </w:font>
  <w:font w:name="Cambria">
    <w:panose1 w:val="02040503050406030204"/>
    <w:charset w:val="00"/>
    <w:family w:val="roman"/>
    <w:pitch w:val="variable"/>
    <w:sig w:usb0="E00006FF" w:usb1="420024FF" w:usb2="02000000" w:usb3="00000000" w:csb0="0000019F" w:csb1="00000000"/>
    <w:embedRegular r:id="rId5" w:fontKey="{9E14B5EA-64F2-4348-BA3E-DB71C4427E65}"/>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41B9D" w14:textId="77777777" w:rsidR="00964A2B" w:rsidRDefault="00964A2B">
      <w:pPr>
        <w:spacing w:after="0"/>
      </w:pPr>
      <w:r>
        <w:separator/>
      </w:r>
    </w:p>
  </w:footnote>
  <w:footnote w:type="continuationSeparator" w:id="0">
    <w:p w14:paraId="7D5F73DC" w14:textId="77777777" w:rsidR="00964A2B" w:rsidRDefault="00964A2B">
      <w:pPr>
        <w:spacing w:after="0"/>
      </w:pPr>
      <w:r>
        <w:continuationSeparator/>
      </w:r>
    </w:p>
  </w:footnote>
  <w:footnote w:id="1">
    <w:p w14:paraId="7443C3AD" w14:textId="77777777" w:rsidR="004C4088" w:rsidRPr="00D04B81" w:rsidRDefault="00964A2B">
      <w:pPr>
        <w:spacing w:after="0"/>
        <w:rPr>
          <w:sz w:val="20"/>
          <w:szCs w:val="20"/>
          <w:lang w:val="es-ES"/>
        </w:rPr>
      </w:pPr>
      <w:r>
        <w:rPr>
          <w:vertAlign w:val="superscript"/>
        </w:rPr>
        <w:footnoteRef/>
      </w:r>
      <w:r w:rsidRPr="00D04B81">
        <w:rPr>
          <w:sz w:val="20"/>
          <w:szCs w:val="20"/>
          <w:lang w:val="es-ES"/>
        </w:rPr>
        <w:t xml:space="preserve"> </w:t>
      </w:r>
      <w:r w:rsidRPr="00D04B81">
        <w:rPr>
          <w:rFonts w:ascii="Times New Roman" w:eastAsia="Times New Roman" w:hAnsi="Times New Roman" w:cs="Times New Roman"/>
          <w:sz w:val="18"/>
          <w:szCs w:val="18"/>
          <w:lang w:val="es-ES"/>
        </w:rPr>
        <w:t xml:space="preserve">Naciones Unidas. (2006). </w:t>
      </w:r>
      <w:hyperlink r:id="rId1">
        <w:r w:rsidRPr="00D04B81">
          <w:rPr>
            <w:rFonts w:ascii="Times New Roman" w:eastAsia="Times New Roman" w:hAnsi="Times New Roman" w:cs="Times New Roman"/>
            <w:i/>
            <w:iCs/>
            <w:color w:val="1155CC"/>
            <w:sz w:val="18"/>
            <w:szCs w:val="18"/>
            <w:u w:val="single"/>
            <w:lang w:val="es-ES"/>
          </w:rPr>
          <w:t>Convención Internacional para la Protección de Todas las Personas contra las Desapariciones Forzadas</w:t>
        </w:r>
      </w:hyperlink>
      <w:r w:rsidRPr="00D04B81">
        <w:rPr>
          <w:rFonts w:ascii="Times New Roman" w:eastAsia="Times New Roman" w:hAnsi="Times New Roman" w:cs="Times New Roman"/>
          <w:sz w:val="18"/>
          <w:szCs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98472" w14:textId="77777777" w:rsidR="004C4088" w:rsidRDefault="004C4088">
    <w:pPr>
      <w:pStyle w:val="Heading1"/>
      <w:jc w:val="both"/>
    </w:pPr>
    <w:bookmarkStart w:id="2" w:name="_5jp1anrda0zy" w:colFirst="0" w:colLast="0"/>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48A8"/>
    <w:multiLevelType w:val="multilevel"/>
    <w:tmpl w:val="215C341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4970187C"/>
    <w:multiLevelType w:val="multilevel"/>
    <w:tmpl w:val="254C1C90"/>
    <w:lvl w:ilvl="0">
      <w:start w:val="43"/>
      <w:numFmt w:val="decimal"/>
      <w:lvlText w:val="%1."/>
      <w:lvlJc w:val="left"/>
      <w:pPr>
        <w:ind w:left="720" w:hanging="360"/>
      </w:pPr>
    </w:lvl>
    <w:lvl w:ilvl="1">
      <w:start w:val="43"/>
      <w:numFmt w:val="decimal"/>
      <w:lvlText w:val="%2."/>
      <w:lvlJc w:val="left"/>
      <w:pPr>
        <w:ind w:left="1440" w:hanging="360"/>
      </w:pPr>
    </w:lvl>
    <w:lvl w:ilvl="2">
      <w:start w:val="43"/>
      <w:numFmt w:val="decimal"/>
      <w:lvlText w:val="%3."/>
      <w:lvlJc w:val="left"/>
      <w:pPr>
        <w:ind w:left="2160" w:hanging="360"/>
      </w:pPr>
    </w:lvl>
    <w:lvl w:ilvl="3">
      <w:start w:val="43"/>
      <w:numFmt w:val="decimal"/>
      <w:lvlText w:val="%4."/>
      <w:lvlJc w:val="left"/>
      <w:pPr>
        <w:ind w:left="2880" w:hanging="360"/>
      </w:pPr>
    </w:lvl>
    <w:lvl w:ilvl="4">
      <w:start w:val="43"/>
      <w:numFmt w:val="decimal"/>
      <w:lvlText w:val="%5."/>
      <w:lvlJc w:val="left"/>
      <w:pPr>
        <w:ind w:left="3600" w:hanging="360"/>
      </w:pPr>
    </w:lvl>
    <w:lvl w:ilvl="5">
      <w:start w:val="43"/>
      <w:numFmt w:val="decimal"/>
      <w:lvlText w:val="%6."/>
      <w:lvlJc w:val="left"/>
      <w:pPr>
        <w:ind w:left="4320" w:hanging="360"/>
      </w:pPr>
    </w:lvl>
    <w:lvl w:ilvl="6">
      <w:start w:val="43"/>
      <w:numFmt w:val="decimal"/>
      <w:lvlText w:val="%7."/>
      <w:lvlJc w:val="left"/>
      <w:pPr>
        <w:ind w:left="5040" w:hanging="360"/>
      </w:pPr>
    </w:lvl>
    <w:lvl w:ilvl="7">
      <w:start w:val="43"/>
      <w:numFmt w:val="decimal"/>
      <w:lvlText w:val="%8."/>
      <w:lvlJc w:val="left"/>
      <w:pPr>
        <w:ind w:left="5760" w:hanging="360"/>
      </w:pPr>
    </w:lvl>
    <w:lvl w:ilvl="8">
      <w:start w:val="43"/>
      <w:numFmt w:val="decimal"/>
      <w:lvlText w:val="%9."/>
      <w:lvlJc w:val="left"/>
      <w:pPr>
        <w:ind w:left="6480" w:hanging="360"/>
      </w:pPr>
    </w:lvl>
  </w:abstractNum>
  <w:abstractNum w:abstractNumId="2" w15:restartNumberingAfterBreak="0">
    <w:nsid w:val="4D034240"/>
    <w:multiLevelType w:val="multilevel"/>
    <w:tmpl w:val="B0A6792C"/>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abstractNum w:abstractNumId="3" w15:restartNumberingAfterBreak="0">
    <w:nsid w:val="54EB090C"/>
    <w:multiLevelType w:val="multilevel"/>
    <w:tmpl w:val="A9861B08"/>
    <w:lvl w:ilvl="0">
      <w:start w:val="13"/>
      <w:numFmt w:val="decimal"/>
      <w:lvlText w:val="%1."/>
      <w:lvlJc w:val="left"/>
      <w:pPr>
        <w:ind w:left="720" w:hanging="360"/>
      </w:pPr>
    </w:lvl>
    <w:lvl w:ilvl="1">
      <w:start w:val="13"/>
      <w:numFmt w:val="decimal"/>
      <w:lvlText w:val="%2."/>
      <w:lvlJc w:val="left"/>
      <w:pPr>
        <w:ind w:left="1440" w:hanging="360"/>
      </w:pPr>
    </w:lvl>
    <w:lvl w:ilvl="2">
      <w:start w:val="13"/>
      <w:numFmt w:val="decimal"/>
      <w:lvlText w:val="%3."/>
      <w:lvlJc w:val="left"/>
      <w:pPr>
        <w:ind w:left="2160" w:hanging="360"/>
      </w:pPr>
    </w:lvl>
    <w:lvl w:ilvl="3">
      <w:start w:val="13"/>
      <w:numFmt w:val="decimal"/>
      <w:lvlText w:val="%4."/>
      <w:lvlJc w:val="left"/>
      <w:pPr>
        <w:ind w:left="2880" w:hanging="360"/>
      </w:pPr>
    </w:lvl>
    <w:lvl w:ilvl="4">
      <w:start w:val="13"/>
      <w:numFmt w:val="decimal"/>
      <w:lvlText w:val="%5."/>
      <w:lvlJc w:val="left"/>
      <w:pPr>
        <w:ind w:left="3600" w:hanging="360"/>
      </w:pPr>
    </w:lvl>
    <w:lvl w:ilvl="5">
      <w:start w:val="13"/>
      <w:numFmt w:val="decimal"/>
      <w:lvlText w:val="%6."/>
      <w:lvlJc w:val="left"/>
      <w:pPr>
        <w:ind w:left="4320" w:hanging="360"/>
      </w:pPr>
    </w:lvl>
    <w:lvl w:ilvl="6">
      <w:start w:val="13"/>
      <w:numFmt w:val="decimal"/>
      <w:lvlText w:val="%7."/>
      <w:lvlJc w:val="left"/>
      <w:pPr>
        <w:ind w:left="5040" w:hanging="360"/>
      </w:pPr>
    </w:lvl>
    <w:lvl w:ilvl="7">
      <w:start w:val="13"/>
      <w:numFmt w:val="decimal"/>
      <w:lvlText w:val="%8."/>
      <w:lvlJc w:val="left"/>
      <w:pPr>
        <w:ind w:left="5760" w:hanging="360"/>
      </w:pPr>
    </w:lvl>
    <w:lvl w:ilvl="8">
      <w:start w:val="13"/>
      <w:numFmt w:val="decimal"/>
      <w:lvlText w:val="%9."/>
      <w:lvlJc w:val="left"/>
      <w:pPr>
        <w:ind w:left="6480" w:hanging="360"/>
      </w:pPr>
    </w:lvl>
  </w:abstractNum>
  <w:abstractNum w:abstractNumId="4" w15:restartNumberingAfterBreak="0">
    <w:nsid w:val="5F8F3769"/>
    <w:multiLevelType w:val="multilevel"/>
    <w:tmpl w:val="F76CB0DE"/>
    <w:lvl w:ilvl="0">
      <w:start w:val="35"/>
      <w:numFmt w:val="decimal"/>
      <w:lvlText w:val="%1."/>
      <w:lvlJc w:val="left"/>
      <w:pPr>
        <w:ind w:left="720" w:hanging="360"/>
      </w:pPr>
    </w:lvl>
    <w:lvl w:ilvl="1">
      <w:start w:val="35"/>
      <w:numFmt w:val="decimal"/>
      <w:lvlText w:val="%2."/>
      <w:lvlJc w:val="left"/>
      <w:pPr>
        <w:ind w:left="1440" w:hanging="360"/>
      </w:pPr>
    </w:lvl>
    <w:lvl w:ilvl="2">
      <w:start w:val="35"/>
      <w:numFmt w:val="decimal"/>
      <w:lvlText w:val="%3."/>
      <w:lvlJc w:val="left"/>
      <w:pPr>
        <w:ind w:left="2160" w:hanging="360"/>
      </w:pPr>
    </w:lvl>
    <w:lvl w:ilvl="3">
      <w:start w:val="35"/>
      <w:numFmt w:val="decimal"/>
      <w:lvlText w:val="%4."/>
      <w:lvlJc w:val="left"/>
      <w:pPr>
        <w:ind w:left="2880" w:hanging="360"/>
      </w:pPr>
    </w:lvl>
    <w:lvl w:ilvl="4">
      <w:start w:val="35"/>
      <w:numFmt w:val="decimal"/>
      <w:lvlText w:val="%5."/>
      <w:lvlJc w:val="left"/>
      <w:pPr>
        <w:ind w:left="3600" w:hanging="360"/>
      </w:pPr>
    </w:lvl>
    <w:lvl w:ilvl="5">
      <w:start w:val="35"/>
      <w:numFmt w:val="decimal"/>
      <w:lvlText w:val="%6."/>
      <w:lvlJc w:val="left"/>
      <w:pPr>
        <w:ind w:left="4320" w:hanging="360"/>
      </w:pPr>
    </w:lvl>
    <w:lvl w:ilvl="6">
      <w:start w:val="35"/>
      <w:numFmt w:val="decimal"/>
      <w:lvlText w:val="%7."/>
      <w:lvlJc w:val="left"/>
      <w:pPr>
        <w:ind w:left="5040" w:hanging="360"/>
      </w:pPr>
    </w:lvl>
    <w:lvl w:ilvl="7">
      <w:start w:val="35"/>
      <w:numFmt w:val="decimal"/>
      <w:lvlText w:val="%8."/>
      <w:lvlJc w:val="left"/>
      <w:pPr>
        <w:ind w:left="5760" w:hanging="360"/>
      </w:pPr>
    </w:lvl>
    <w:lvl w:ilvl="8">
      <w:start w:val="35"/>
      <w:numFmt w:val="decimal"/>
      <w:lvlText w:val="%9."/>
      <w:lvlJc w:val="left"/>
      <w:pPr>
        <w:ind w:left="6480" w:hanging="360"/>
      </w:pPr>
    </w:lvl>
  </w:abstractNum>
  <w:abstractNum w:abstractNumId="5" w15:restartNumberingAfterBreak="0">
    <w:nsid w:val="6A6873AC"/>
    <w:multiLevelType w:val="multilevel"/>
    <w:tmpl w:val="9C98123C"/>
    <w:lvl w:ilvl="0">
      <w:start w:val="29"/>
      <w:numFmt w:val="decimal"/>
      <w:lvlText w:val="%1."/>
      <w:lvlJc w:val="left"/>
      <w:pPr>
        <w:ind w:left="720" w:hanging="360"/>
      </w:pPr>
    </w:lvl>
    <w:lvl w:ilvl="1">
      <w:start w:val="29"/>
      <w:numFmt w:val="decimal"/>
      <w:lvlText w:val="%2."/>
      <w:lvlJc w:val="left"/>
      <w:pPr>
        <w:ind w:left="1440" w:hanging="360"/>
      </w:pPr>
    </w:lvl>
    <w:lvl w:ilvl="2">
      <w:start w:val="29"/>
      <w:numFmt w:val="decimal"/>
      <w:lvlText w:val="%3."/>
      <w:lvlJc w:val="left"/>
      <w:pPr>
        <w:ind w:left="2160" w:hanging="360"/>
      </w:pPr>
    </w:lvl>
    <w:lvl w:ilvl="3">
      <w:start w:val="29"/>
      <w:numFmt w:val="decimal"/>
      <w:lvlText w:val="%4."/>
      <w:lvlJc w:val="left"/>
      <w:pPr>
        <w:ind w:left="2880" w:hanging="360"/>
      </w:pPr>
    </w:lvl>
    <w:lvl w:ilvl="4">
      <w:start w:val="29"/>
      <w:numFmt w:val="decimal"/>
      <w:lvlText w:val="%5."/>
      <w:lvlJc w:val="left"/>
      <w:pPr>
        <w:ind w:left="3600" w:hanging="360"/>
      </w:pPr>
    </w:lvl>
    <w:lvl w:ilvl="5">
      <w:start w:val="29"/>
      <w:numFmt w:val="decimal"/>
      <w:lvlText w:val="%6."/>
      <w:lvlJc w:val="left"/>
      <w:pPr>
        <w:ind w:left="4320" w:hanging="360"/>
      </w:pPr>
    </w:lvl>
    <w:lvl w:ilvl="6">
      <w:start w:val="29"/>
      <w:numFmt w:val="decimal"/>
      <w:lvlText w:val="%7."/>
      <w:lvlJc w:val="left"/>
      <w:pPr>
        <w:ind w:left="5040" w:hanging="360"/>
      </w:pPr>
    </w:lvl>
    <w:lvl w:ilvl="7">
      <w:start w:val="29"/>
      <w:numFmt w:val="decimal"/>
      <w:lvlText w:val="%8."/>
      <w:lvlJc w:val="left"/>
      <w:pPr>
        <w:ind w:left="5760" w:hanging="360"/>
      </w:pPr>
    </w:lvl>
    <w:lvl w:ilvl="8">
      <w:start w:val="29"/>
      <w:numFmt w:val="decimal"/>
      <w:lvlText w:val="%9."/>
      <w:lvlJc w:val="left"/>
      <w:pPr>
        <w:ind w:left="6480" w:hanging="360"/>
      </w:pPr>
    </w:lvl>
  </w:abstractNum>
  <w:abstractNum w:abstractNumId="6" w15:restartNumberingAfterBreak="0">
    <w:nsid w:val="7C9A7EEB"/>
    <w:multiLevelType w:val="multilevel"/>
    <w:tmpl w:val="8CF4D740"/>
    <w:lvl w:ilvl="0">
      <w:start w:val="21"/>
      <w:numFmt w:val="decimal"/>
      <w:lvlText w:val="%1."/>
      <w:lvlJc w:val="left"/>
      <w:pPr>
        <w:ind w:left="720" w:hanging="360"/>
      </w:pPr>
    </w:lvl>
    <w:lvl w:ilvl="1">
      <w:start w:val="21"/>
      <w:numFmt w:val="decimal"/>
      <w:lvlText w:val="%2."/>
      <w:lvlJc w:val="left"/>
      <w:pPr>
        <w:ind w:left="1440" w:hanging="360"/>
      </w:pPr>
    </w:lvl>
    <w:lvl w:ilvl="2">
      <w:start w:val="21"/>
      <w:numFmt w:val="decimal"/>
      <w:lvlText w:val="%3."/>
      <w:lvlJc w:val="left"/>
      <w:pPr>
        <w:ind w:left="2160" w:hanging="360"/>
      </w:pPr>
    </w:lvl>
    <w:lvl w:ilvl="3">
      <w:start w:val="21"/>
      <w:numFmt w:val="decimal"/>
      <w:lvlText w:val="%4."/>
      <w:lvlJc w:val="left"/>
      <w:pPr>
        <w:ind w:left="2880" w:hanging="360"/>
      </w:pPr>
    </w:lvl>
    <w:lvl w:ilvl="4">
      <w:start w:val="21"/>
      <w:numFmt w:val="decimal"/>
      <w:lvlText w:val="%5."/>
      <w:lvlJc w:val="left"/>
      <w:pPr>
        <w:ind w:left="3600" w:hanging="360"/>
      </w:pPr>
    </w:lvl>
    <w:lvl w:ilvl="5">
      <w:start w:val="21"/>
      <w:numFmt w:val="decimal"/>
      <w:lvlText w:val="%6."/>
      <w:lvlJc w:val="left"/>
      <w:pPr>
        <w:ind w:left="4320" w:hanging="360"/>
      </w:pPr>
    </w:lvl>
    <w:lvl w:ilvl="6">
      <w:start w:val="21"/>
      <w:numFmt w:val="decimal"/>
      <w:lvlText w:val="%7."/>
      <w:lvlJc w:val="left"/>
      <w:pPr>
        <w:ind w:left="5040" w:hanging="360"/>
      </w:pPr>
    </w:lvl>
    <w:lvl w:ilvl="7">
      <w:start w:val="21"/>
      <w:numFmt w:val="decimal"/>
      <w:lvlText w:val="%8."/>
      <w:lvlJc w:val="left"/>
      <w:pPr>
        <w:ind w:left="5760" w:hanging="360"/>
      </w:pPr>
    </w:lvl>
    <w:lvl w:ilvl="8">
      <w:start w:val="21"/>
      <w:numFmt w:val="decimal"/>
      <w:lvlText w:val="%9."/>
      <w:lvlJc w:val="left"/>
      <w:pPr>
        <w:ind w:left="6480" w:hanging="360"/>
      </w:pPr>
    </w:lvl>
  </w:abstractNum>
  <w:num w:numId="1" w16cid:durableId="1772120893">
    <w:abstractNumId w:val="0"/>
  </w:num>
  <w:num w:numId="2" w16cid:durableId="1946307906">
    <w:abstractNumId w:val="2"/>
  </w:num>
  <w:num w:numId="3" w16cid:durableId="1166549766">
    <w:abstractNumId w:val="3"/>
  </w:num>
  <w:num w:numId="4" w16cid:durableId="529681277">
    <w:abstractNumId w:val="6"/>
  </w:num>
  <w:num w:numId="5" w16cid:durableId="380448537">
    <w:abstractNumId w:val="5"/>
  </w:num>
  <w:num w:numId="6" w16cid:durableId="1555585621">
    <w:abstractNumId w:val="4"/>
  </w:num>
  <w:num w:numId="7" w16cid:durableId="1602954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088"/>
    <w:rsid w:val="004C4088"/>
    <w:rsid w:val="005A0CCC"/>
    <w:rsid w:val="00964A2B"/>
    <w:rsid w:val="00D04B81"/>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4B91D"/>
  <w15:docId w15:val="{572E5D33-4B13-4746-9A93-DF4F58043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zh-CN"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jc w:val="both"/>
      <w:outlineLvl w:val="1"/>
    </w:pPr>
    <w:rPr>
      <w:rFonts w:ascii="Times New Roman" w:eastAsia="Times New Roman" w:hAnsi="Times New Roman" w:cs="Times New Roman"/>
      <w:color w:val="0F4761"/>
      <w:sz w:val="28"/>
      <w:szCs w:val="28"/>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rFonts w:ascii="Play" w:eastAsia="Play" w:hAnsi="Play" w:cs="Play"/>
      <w:sz w:val="56"/>
      <w:szCs w:val="56"/>
    </w:rPr>
  </w:style>
  <w:style w:type="paragraph" w:styleId="Subtitle">
    <w:name w:val="Subtitle"/>
    <w:basedOn w:val="Normal"/>
    <w:next w:val="Normal"/>
    <w:uiPriority w:val="11"/>
    <w:qFormat/>
    <w:pPr>
      <w:spacing w:after="80"/>
      <w:jc w:val="center"/>
    </w:pPr>
    <w:rPr>
      <w:rFonts w:ascii="Play" w:eastAsia="Play" w:hAnsi="Play" w:cs="Play"/>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isappearance-conven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2026-07-01T09:30:52+00:00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78B91F0-E17E-430A-96E1-CD23660D7D68}"/>
</file>

<file path=customXml/itemProps2.xml><?xml version="1.0" encoding="utf-8"?>
<ds:datastoreItem xmlns:ds="http://schemas.openxmlformats.org/officeDocument/2006/customXml" ds:itemID="{DB453A92-940D-42A4-90E1-1ED262C27383}"/>
</file>

<file path=customXml/itemProps3.xml><?xml version="1.0" encoding="utf-8"?>
<ds:datastoreItem xmlns:ds="http://schemas.openxmlformats.org/officeDocument/2006/customXml" ds:itemID="{79FF1E04-B2CA-4A24-A753-2DE6FC840149}"/>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8367</Words>
  <Characters>47695</Characters>
  <Application>Microsoft Office Word</Application>
  <DocSecurity>0</DocSecurity>
  <Lines>397</Lines>
  <Paragraphs>111</Paragraphs>
  <ScaleCrop>false</ScaleCrop>
  <Company/>
  <LinksUpToDate>false</LinksUpToDate>
  <CharactersWithSpaces>55951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2026-07-01T09:30:00Z</dcterms:created>
  <dcterms:modified xsi:type="dcterms:W3CDTF">2026-07-01T09:30:00Z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