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B15C4" w14:textId="689FCE6A" w:rsidR="008E3272" w:rsidRPr="00C910F7" w:rsidRDefault="008E3272" w:rsidP="008E3272">
      <w:pPr>
        <w:rPr>
          <w:rFonts w:ascii="Futura Md" w:hAnsi="Futura Md"/>
          <w:b/>
          <w:bCs/>
          <w:color w:val="156082" w:themeColor="accent1"/>
          <w:kern w:val="0"/>
          <w:sz w:val="26"/>
          <w:szCs w:val="26"/>
          <w:shd w:val="clear" w:color="auto" w:fill="FFFFFF"/>
          <w14:ligatures w14:val="none"/>
        </w:rPr>
      </w:pPr>
      <w:r w:rsidRPr="00C910F7">
        <w:rPr>
          <w:rFonts w:ascii="Futura Md" w:hAnsi="Futura Md"/>
          <w:b/>
          <w:bCs/>
          <w:color w:val="156082" w:themeColor="accent1"/>
          <w:kern w:val="0"/>
          <w:sz w:val="26"/>
          <w:szCs w:val="26"/>
          <w:shd w:val="clear" w:color="auto" w:fill="FFFFFF"/>
          <w14:ligatures w14:val="none"/>
        </w:rPr>
        <w:t>Rapport parallèle sur la mise en œuvre des droits économiques, sociaux et culturels des femmes en Tunisie</w:t>
      </w:r>
    </w:p>
    <w:p w14:paraId="308EEDE6" w14:textId="77777777" w:rsidR="008E3272" w:rsidRDefault="008E3272" w:rsidP="008E3272">
      <w:pPr>
        <w:rPr>
          <w:b/>
          <w:bCs/>
          <w:sz w:val="20"/>
          <w:szCs w:val="20"/>
        </w:rPr>
      </w:pPr>
      <w:r w:rsidRPr="00C910F7">
        <w:rPr>
          <w:rFonts w:ascii="Futura Md" w:hAnsi="Futura Md"/>
          <w:color w:val="333333"/>
          <w:kern w:val="0"/>
          <w:sz w:val="20"/>
          <w:szCs w:val="20"/>
          <w:shd w:val="clear" w:color="auto" w:fill="FFFFFF"/>
          <w14:ligatures w14:val="none"/>
        </w:rPr>
        <w:t>Soumis au Comité des droits économiques, sociaux et culturels (CESCR)</w:t>
      </w:r>
      <w:r w:rsidRPr="00C910F7">
        <w:rPr>
          <w:rFonts w:ascii="Futura Md" w:hAnsi="Futura Md"/>
          <w:color w:val="333333"/>
          <w:kern w:val="0"/>
          <w:sz w:val="20"/>
          <w:szCs w:val="20"/>
          <w:shd w:val="clear" w:color="auto" w:fill="FFFFFF"/>
          <w14:ligatures w14:val="none"/>
        </w:rPr>
        <w:br/>
        <w:t xml:space="preserve">Par : Aswat </w:t>
      </w:r>
      <w:proofErr w:type="spellStart"/>
      <w:r w:rsidRPr="00C910F7">
        <w:rPr>
          <w:rFonts w:ascii="Futura Md" w:hAnsi="Futura Md"/>
          <w:color w:val="333333"/>
          <w:kern w:val="0"/>
          <w:sz w:val="20"/>
          <w:szCs w:val="20"/>
          <w:shd w:val="clear" w:color="auto" w:fill="FFFFFF"/>
          <w14:ligatures w14:val="none"/>
        </w:rPr>
        <w:t>Nissa</w:t>
      </w:r>
      <w:proofErr w:type="spellEnd"/>
      <w:r w:rsidRPr="008E3272">
        <w:rPr>
          <w:sz w:val="20"/>
          <w:szCs w:val="20"/>
        </w:rPr>
        <w:br/>
      </w:r>
      <w:r w:rsidRPr="008E3272">
        <w:rPr>
          <w:b/>
          <w:bCs/>
          <w:sz w:val="20"/>
          <w:szCs w:val="20"/>
        </w:rPr>
        <w:t>Date : 2025</w:t>
      </w:r>
    </w:p>
    <w:p w14:paraId="39457480" w14:textId="77777777" w:rsidR="0009775B" w:rsidRDefault="0009775B" w:rsidP="008E3272">
      <w:pPr>
        <w:rPr>
          <w:b/>
          <w:bCs/>
          <w:sz w:val="20"/>
          <w:szCs w:val="20"/>
        </w:rPr>
      </w:pPr>
    </w:p>
    <w:p w14:paraId="217E2BF9" w14:textId="22C6ADB4" w:rsidR="00E31CD1" w:rsidRPr="00833E59" w:rsidRDefault="00E31CD1" w:rsidP="00833E59">
      <w:pPr>
        <w:pStyle w:val="Paragraphedeliste"/>
        <w:numPr>
          <w:ilvl w:val="0"/>
          <w:numId w:val="1"/>
        </w:numPr>
        <w:rPr>
          <w:rFonts w:asciiTheme="majorBidi" w:hAnsiTheme="majorBidi" w:cstheme="majorBidi"/>
          <w:b/>
          <w:bCs/>
        </w:rPr>
      </w:pPr>
      <w:r w:rsidRPr="00833E59">
        <w:rPr>
          <w:rFonts w:asciiTheme="majorBidi" w:hAnsiTheme="majorBidi" w:cstheme="majorBidi"/>
          <w:b/>
          <w:bCs/>
        </w:rPr>
        <w:t>Introduction</w:t>
      </w:r>
    </w:p>
    <w:p w14:paraId="0069A662" w14:textId="5507A422" w:rsidR="00E31CD1" w:rsidRPr="00E31CD1" w:rsidRDefault="00E31CD1" w:rsidP="009D7733">
      <w:pPr>
        <w:jc w:val="both"/>
        <w:rPr>
          <w:rFonts w:asciiTheme="majorBidi" w:hAnsiTheme="majorBidi" w:cstheme="majorBidi"/>
        </w:rPr>
      </w:pPr>
      <w:r w:rsidRPr="00E31CD1">
        <w:rPr>
          <w:rFonts w:asciiTheme="majorBidi" w:hAnsiTheme="majorBidi" w:cstheme="majorBidi"/>
        </w:rPr>
        <w:t>Cré</w:t>
      </w:r>
      <w:r w:rsidR="009D362E">
        <w:rPr>
          <w:rFonts w:asciiTheme="majorBidi" w:hAnsiTheme="majorBidi" w:cstheme="majorBidi"/>
        </w:rPr>
        <w:t>e</w:t>
      </w:r>
      <w:r w:rsidRPr="00E31CD1">
        <w:rPr>
          <w:rFonts w:asciiTheme="majorBidi" w:hAnsiTheme="majorBidi" w:cstheme="majorBidi"/>
        </w:rPr>
        <w:t xml:space="preserve"> en 2011, Aswat </w:t>
      </w:r>
      <w:proofErr w:type="spellStart"/>
      <w:r w:rsidRPr="00E31CD1">
        <w:rPr>
          <w:rFonts w:asciiTheme="majorBidi" w:hAnsiTheme="majorBidi" w:cstheme="majorBidi"/>
        </w:rPr>
        <w:t>Nissa</w:t>
      </w:r>
      <w:proofErr w:type="spellEnd"/>
      <w:r w:rsidRPr="00E31CD1">
        <w:rPr>
          <w:rFonts w:asciiTheme="majorBidi" w:hAnsiTheme="majorBidi" w:cstheme="majorBidi"/>
        </w:rPr>
        <w:t xml:space="preserve"> est une organisation féministe non gouvernementale, indépendante de toute affiliation politique. Elle œuvre pour une société tunisienne inclusive et égalitaire en encourageant les femmes à porter leur voix, à participer activement à la vie publique et politique, et à revendiquer leurs droits. L’association se donne pour mission de lutter contre toutes les formes de discrimination fondées sur le genre et de promouvoir l’intégration de l’approche genre dans l’élaboration, la mise en œuvre et l’évaluation des politiques publiques.</w:t>
      </w:r>
    </w:p>
    <w:p w14:paraId="7020B68B" w14:textId="77777777" w:rsidR="00E31CD1" w:rsidRPr="00E31CD1" w:rsidRDefault="00E31CD1" w:rsidP="009D7733">
      <w:pPr>
        <w:jc w:val="both"/>
        <w:rPr>
          <w:rFonts w:asciiTheme="majorBidi" w:hAnsiTheme="majorBidi" w:cstheme="majorBidi"/>
        </w:rPr>
      </w:pPr>
      <w:r w:rsidRPr="00E31CD1">
        <w:rPr>
          <w:rFonts w:asciiTheme="majorBidi" w:hAnsiTheme="majorBidi" w:cstheme="majorBidi"/>
        </w:rPr>
        <w:t>La présente contribution s’inscrit dans le cadre du processus d’examen de la Tunisie par le Comité des droits économiques, sociaux et culturels (DESC). Malgré les avancées notables en matière de reconnaissance juridique des droits des femmes, notamment à travers l’adoption de textes progressistes, la réalité reste marquée par de profondes inégalités structurelles. Ces droits, bien que consacrés dans les lois, peinent encore à être appliqués de manière effective sur le terrain.</w:t>
      </w:r>
    </w:p>
    <w:p w14:paraId="3207F480" w14:textId="2B2EF08E" w:rsidR="00E31CD1" w:rsidRPr="00E31CD1" w:rsidRDefault="00E31CD1" w:rsidP="009D7733">
      <w:pPr>
        <w:jc w:val="both"/>
        <w:rPr>
          <w:rFonts w:asciiTheme="majorBidi" w:hAnsiTheme="majorBidi" w:cstheme="majorBidi"/>
        </w:rPr>
      </w:pPr>
      <w:r w:rsidRPr="00E31CD1">
        <w:rPr>
          <w:rFonts w:asciiTheme="majorBidi" w:hAnsiTheme="majorBidi" w:cstheme="majorBidi"/>
        </w:rPr>
        <w:t xml:space="preserve">Les femmes en Tunisie demeurent particulièrement vulnérables en raison de la persistance d’une mentalité patriarcale profondément ancrée, d’une culture conservatrice qui freine </w:t>
      </w:r>
      <w:r w:rsidR="00C910F7">
        <w:rPr>
          <w:rFonts w:asciiTheme="majorBidi" w:hAnsiTheme="majorBidi" w:cstheme="majorBidi"/>
        </w:rPr>
        <w:t xml:space="preserve">leur </w:t>
      </w:r>
      <w:r w:rsidRPr="00E31CD1">
        <w:rPr>
          <w:rFonts w:asciiTheme="majorBidi" w:hAnsiTheme="majorBidi" w:cstheme="majorBidi"/>
        </w:rPr>
        <w:t>autonomisation, et d’un manque de sensibilité institutionnelle aux enjeux de genre. Les violences basées sur le genre, y compris les féminicides, continuent de sévir dans l’impunité et traduisent une atteinte grave à la dignité et aux droits fondamentaux des femmes.</w:t>
      </w:r>
    </w:p>
    <w:p w14:paraId="425587B1" w14:textId="77777777" w:rsidR="00D20FD7" w:rsidRDefault="00E31CD1" w:rsidP="009D7733">
      <w:pPr>
        <w:jc w:val="both"/>
        <w:rPr>
          <w:rFonts w:asciiTheme="majorBidi" w:hAnsiTheme="majorBidi" w:cstheme="majorBidi"/>
        </w:rPr>
      </w:pPr>
      <w:r w:rsidRPr="00E31CD1">
        <w:rPr>
          <w:rFonts w:asciiTheme="majorBidi" w:hAnsiTheme="majorBidi" w:cstheme="majorBidi"/>
        </w:rPr>
        <w:t xml:space="preserve">L’absence d’autonomie économique représente un facteur majeur de vulnérabilité pour de nombreuses femmes, les empêchant de sortir du cycle de la violence et de revendiquer pleinement leurs droits. </w:t>
      </w:r>
    </w:p>
    <w:p w14:paraId="66436D76" w14:textId="77777777" w:rsidR="00D20FD7" w:rsidRPr="00833E59" w:rsidRDefault="00D20FD7" w:rsidP="00D20FD7">
      <w:pPr>
        <w:jc w:val="both"/>
        <w:rPr>
          <w:rFonts w:asciiTheme="majorBidi" w:hAnsiTheme="majorBidi" w:cstheme="majorBidi"/>
        </w:rPr>
      </w:pPr>
      <w:r w:rsidRPr="00D20FD7">
        <w:rPr>
          <w:rFonts w:asciiTheme="majorBidi" w:hAnsiTheme="majorBidi" w:cstheme="majorBidi"/>
        </w:rPr>
        <w:t xml:space="preserve">Il est également essentiel de souligner que certaines catégories de femmes sont confrontées à une discrimination intersectionnelle encore plus marquée, notamment les femmes migrantes et les femmes en situation de handicap. Ces groupes cumulent les obstacles socio-économiques, juridiques et culturels, les exposant à une exclusion systémique. </w:t>
      </w:r>
    </w:p>
    <w:p w14:paraId="60818374" w14:textId="0A1B4E41" w:rsidR="00833E59" w:rsidRDefault="00E31CD1" w:rsidP="00085E60">
      <w:pPr>
        <w:jc w:val="both"/>
        <w:rPr>
          <w:rFonts w:asciiTheme="majorBidi" w:hAnsiTheme="majorBidi" w:cstheme="majorBidi"/>
        </w:rPr>
      </w:pPr>
      <w:r w:rsidRPr="00E31CD1">
        <w:rPr>
          <w:rFonts w:asciiTheme="majorBidi" w:hAnsiTheme="majorBidi" w:cstheme="majorBidi"/>
        </w:rPr>
        <w:t xml:space="preserve">Ce rapport parallèle vise </w:t>
      </w:r>
      <w:r w:rsidR="00E25C92">
        <w:rPr>
          <w:rFonts w:asciiTheme="majorBidi" w:hAnsiTheme="majorBidi" w:cstheme="majorBidi"/>
        </w:rPr>
        <w:t xml:space="preserve">donc </w:t>
      </w:r>
      <w:r w:rsidRPr="00E31CD1">
        <w:rPr>
          <w:rFonts w:asciiTheme="majorBidi" w:hAnsiTheme="majorBidi" w:cstheme="majorBidi"/>
        </w:rPr>
        <w:t xml:space="preserve">à évaluer l’état de mise en œuvre des droits économiques, sociaux et culturels des femmes en Tunisie, tels que garantis par le Pacte international relatif aux DESC. En tant qu’association féministe, Aswat </w:t>
      </w:r>
      <w:proofErr w:type="spellStart"/>
      <w:r w:rsidRPr="00E31CD1">
        <w:rPr>
          <w:rFonts w:asciiTheme="majorBidi" w:hAnsiTheme="majorBidi" w:cstheme="majorBidi"/>
        </w:rPr>
        <w:t>Nissa</w:t>
      </w:r>
      <w:proofErr w:type="spellEnd"/>
      <w:r w:rsidRPr="00E31CD1">
        <w:rPr>
          <w:rFonts w:asciiTheme="majorBidi" w:hAnsiTheme="majorBidi" w:cstheme="majorBidi"/>
        </w:rPr>
        <w:t xml:space="preserve"> souhaite, à travers cette contribution, formuler </w:t>
      </w:r>
      <w:proofErr w:type="gramStart"/>
      <w:r w:rsidRPr="00E31CD1">
        <w:rPr>
          <w:rFonts w:asciiTheme="majorBidi" w:hAnsiTheme="majorBidi" w:cstheme="majorBidi"/>
        </w:rPr>
        <w:lastRenderedPageBreak/>
        <w:t>des</w:t>
      </w:r>
      <w:proofErr w:type="gramEnd"/>
      <w:r w:rsidRPr="00E31CD1">
        <w:rPr>
          <w:rFonts w:asciiTheme="majorBidi" w:hAnsiTheme="majorBidi" w:cstheme="majorBidi"/>
        </w:rPr>
        <w:t xml:space="preserve"> constats documentés et proposer des recommandations concrètes, réalistes et adaptées afin de renforcer l’effectivité de ces droits et contribuer à une société plus juste et égalitaire.</w:t>
      </w:r>
    </w:p>
    <w:p w14:paraId="4F410E86" w14:textId="77777777" w:rsidR="00085E60" w:rsidRPr="00833E59" w:rsidRDefault="00085E60" w:rsidP="00085E60">
      <w:pPr>
        <w:jc w:val="both"/>
        <w:rPr>
          <w:rFonts w:asciiTheme="majorBidi" w:hAnsiTheme="majorBidi" w:cstheme="majorBidi"/>
        </w:rPr>
      </w:pPr>
    </w:p>
    <w:p w14:paraId="62237C84" w14:textId="5495C344" w:rsidR="00833E59" w:rsidRDefault="00833E59" w:rsidP="009D7733">
      <w:pPr>
        <w:jc w:val="both"/>
        <w:rPr>
          <w:rFonts w:asciiTheme="majorBidi" w:hAnsiTheme="majorBidi" w:cstheme="majorBidi"/>
        </w:rPr>
      </w:pPr>
      <w:r w:rsidRPr="00833E59">
        <w:rPr>
          <w:rFonts w:asciiTheme="majorBidi" w:hAnsiTheme="majorBidi" w:cstheme="majorBidi"/>
        </w:rPr>
        <w:t>L’article 3 du Pacte</w:t>
      </w:r>
      <w:r>
        <w:rPr>
          <w:rStyle w:val="Appelnotedebasdep"/>
          <w:rFonts w:asciiTheme="majorBidi" w:hAnsiTheme="majorBidi" w:cstheme="majorBidi"/>
        </w:rPr>
        <w:footnoteReference w:id="1"/>
      </w:r>
      <w:r w:rsidRPr="00833E59">
        <w:rPr>
          <w:rFonts w:asciiTheme="majorBidi" w:hAnsiTheme="majorBidi" w:cstheme="majorBidi"/>
        </w:rPr>
        <w:t xml:space="preserve"> garantit aux femmes les mêmes droits économiques, sociaux et culturels que les hommes. Toutefois, les inégalités entre les sexes persistent dans de nombreux </w:t>
      </w:r>
      <w:proofErr w:type="gramStart"/>
      <w:r w:rsidRPr="00833E59">
        <w:rPr>
          <w:rFonts w:asciiTheme="majorBidi" w:hAnsiTheme="majorBidi" w:cstheme="majorBidi"/>
        </w:rPr>
        <w:t>domaines:</w:t>
      </w:r>
      <w:proofErr w:type="gramEnd"/>
      <w:r w:rsidRPr="00833E59">
        <w:rPr>
          <w:rFonts w:asciiTheme="majorBidi" w:hAnsiTheme="majorBidi" w:cstheme="majorBidi"/>
        </w:rPr>
        <w:t xml:space="preserve"> emploi, santé, éducation, autonomie économique, accès à la propriété.</w:t>
      </w:r>
    </w:p>
    <w:p w14:paraId="73BCAFEB" w14:textId="7647D3CA" w:rsidR="002762B4" w:rsidRPr="002762B4" w:rsidRDefault="002762B4" w:rsidP="009D7733">
      <w:pPr>
        <w:pStyle w:val="Paragraphedeliste"/>
        <w:numPr>
          <w:ilvl w:val="0"/>
          <w:numId w:val="9"/>
        </w:numPr>
        <w:jc w:val="both"/>
        <w:rPr>
          <w:rFonts w:asciiTheme="majorBidi" w:hAnsiTheme="majorBidi" w:cstheme="majorBidi"/>
          <w:b/>
          <w:bCs/>
        </w:rPr>
      </w:pPr>
      <w:r w:rsidRPr="00833E59">
        <w:rPr>
          <w:rFonts w:asciiTheme="majorBidi" w:hAnsiTheme="majorBidi" w:cstheme="majorBidi"/>
          <w:b/>
          <w:bCs/>
        </w:rPr>
        <w:t xml:space="preserve">Droit au travail et à des conditions justes (Articles </w:t>
      </w:r>
      <w:r>
        <w:rPr>
          <w:rFonts w:asciiTheme="majorBidi" w:hAnsiTheme="majorBidi" w:cstheme="majorBidi"/>
          <w:b/>
          <w:bCs/>
        </w:rPr>
        <w:t xml:space="preserve">3, </w:t>
      </w:r>
      <w:r w:rsidRPr="00833E59">
        <w:rPr>
          <w:rFonts w:asciiTheme="majorBidi" w:hAnsiTheme="majorBidi" w:cstheme="majorBidi"/>
          <w:b/>
          <w:bCs/>
        </w:rPr>
        <w:t>6 et 7)</w:t>
      </w:r>
    </w:p>
    <w:p w14:paraId="066CABD9" w14:textId="132A5C00" w:rsidR="00833E59" w:rsidRPr="00833E59" w:rsidRDefault="00833E59" w:rsidP="00E25C92">
      <w:pPr>
        <w:jc w:val="both"/>
        <w:rPr>
          <w:rFonts w:asciiTheme="majorBidi" w:hAnsiTheme="majorBidi" w:cstheme="majorBidi"/>
        </w:rPr>
      </w:pPr>
      <w:r w:rsidRPr="00833E59">
        <w:rPr>
          <w:rFonts w:asciiTheme="majorBidi" w:hAnsiTheme="majorBidi" w:cstheme="majorBidi"/>
        </w:rPr>
        <w:t xml:space="preserve">Le taux de participation des femmes au marché du travail reste extrêmement faible, avec </w:t>
      </w:r>
      <w:r w:rsidRPr="00833E59">
        <w:rPr>
          <w:rFonts w:asciiTheme="majorBidi" w:hAnsiTheme="majorBidi" w:cstheme="majorBidi"/>
          <w:b/>
          <w:bCs/>
        </w:rPr>
        <w:t>26,68 % contre 64,89 % pour les hommes</w:t>
      </w:r>
      <w:r w:rsidR="00343819">
        <w:rPr>
          <w:rStyle w:val="Appelnotedebasdep"/>
          <w:rFonts w:asciiTheme="majorBidi" w:hAnsiTheme="majorBidi" w:cstheme="majorBidi"/>
        </w:rPr>
        <w:footnoteReference w:id="2"/>
      </w:r>
      <w:r w:rsidRPr="00833E59">
        <w:rPr>
          <w:rFonts w:asciiTheme="majorBidi" w:hAnsiTheme="majorBidi" w:cstheme="majorBidi"/>
        </w:rPr>
        <w:t>. À compétences et fonctions égales, les écarts salariaux persistent.</w:t>
      </w:r>
      <w:r w:rsidR="00E25C92" w:rsidRPr="00E25C92">
        <w:t xml:space="preserve"> </w:t>
      </w:r>
      <w:r w:rsidR="00E25C92" w:rsidRPr="00E25C92">
        <w:rPr>
          <w:rFonts w:asciiTheme="majorBidi" w:hAnsiTheme="majorBidi" w:cstheme="majorBidi"/>
        </w:rPr>
        <w:t xml:space="preserve">En 2022, les femmes gagnaient en moyenne </w:t>
      </w:r>
      <w:r w:rsidR="00E25C92" w:rsidRPr="00E25C92">
        <w:rPr>
          <w:rFonts w:asciiTheme="majorBidi" w:hAnsiTheme="majorBidi" w:cstheme="majorBidi"/>
          <w:b/>
          <w:bCs/>
        </w:rPr>
        <w:t>20 % de moins</w:t>
      </w:r>
      <w:r w:rsidR="00E25C92" w:rsidRPr="00E25C92">
        <w:rPr>
          <w:rFonts w:asciiTheme="majorBidi" w:hAnsiTheme="majorBidi" w:cstheme="majorBidi"/>
        </w:rPr>
        <w:t xml:space="preserve"> que les hommes à poste équivalent, </w:t>
      </w:r>
      <w:r w:rsidR="00343819">
        <w:rPr>
          <w:rStyle w:val="Appelnotedebasdep"/>
          <w:rFonts w:asciiTheme="majorBidi" w:hAnsiTheme="majorBidi" w:cstheme="majorBidi"/>
        </w:rPr>
        <w:footnoteReference w:id="3"/>
      </w:r>
      <w:r w:rsidR="00E25C92">
        <w:rPr>
          <w:rFonts w:asciiTheme="majorBidi" w:hAnsiTheme="majorBidi" w:cstheme="majorBidi"/>
        </w:rPr>
        <w:t xml:space="preserve"> </w:t>
      </w:r>
    </w:p>
    <w:p w14:paraId="64BFBD44" w14:textId="6F8E5CA4" w:rsidR="000B0215" w:rsidRPr="000B0215" w:rsidRDefault="000B0215" w:rsidP="009D7733">
      <w:pPr>
        <w:jc w:val="both"/>
        <w:rPr>
          <w:rFonts w:asciiTheme="majorBidi" w:hAnsiTheme="majorBidi" w:cstheme="majorBidi"/>
        </w:rPr>
      </w:pPr>
      <w:r w:rsidRPr="000B0215">
        <w:rPr>
          <w:rFonts w:asciiTheme="majorBidi" w:hAnsiTheme="majorBidi" w:cstheme="majorBidi"/>
        </w:rPr>
        <w:t>Le non-respect du droit des femmes à un travail décent et à des conditions de travail équitables contribue directement au phénomène de la féminisation de la pauvreté, en maintenant de nombreuses femmes dans des situations de précarité économique et d'exclusion sociale.</w:t>
      </w:r>
      <w:r w:rsidR="00A53556">
        <w:rPr>
          <w:rStyle w:val="Appelnotedebasdep"/>
          <w:rFonts w:asciiTheme="majorBidi" w:hAnsiTheme="majorBidi" w:cstheme="majorBidi"/>
        </w:rPr>
        <w:footnoteReference w:id="4"/>
      </w:r>
    </w:p>
    <w:p w14:paraId="1384FED6" w14:textId="2CEAF5E2" w:rsidR="00833E59" w:rsidRDefault="00833E59" w:rsidP="009D7733">
      <w:pPr>
        <w:pStyle w:val="Paragraphedeliste"/>
        <w:numPr>
          <w:ilvl w:val="1"/>
          <w:numId w:val="9"/>
        </w:numPr>
        <w:jc w:val="both"/>
        <w:rPr>
          <w:rFonts w:asciiTheme="majorBidi" w:hAnsiTheme="majorBidi" w:cstheme="majorBidi"/>
          <w:b/>
          <w:bCs/>
        </w:rPr>
      </w:pPr>
      <w:r w:rsidRPr="00833E59">
        <w:rPr>
          <w:rFonts w:asciiTheme="majorBidi" w:hAnsiTheme="majorBidi" w:cstheme="majorBidi"/>
          <w:b/>
          <w:bCs/>
        </w:rPr>
        <w:t xml:space="preserve"> Femmes dans le secteur agricole</w:t>
      </w:r>
    </w:p>
    <w:p w14:paraId="7031225E" w14:textId="43784EE9" w:rsidR="00833E59" w:rsidRPr="00833E59" w:rsidRDefault="00833E59" w:rsidP="00E05974">
      <w:pPr>
        <w:jc w:val="both"/>
        <w:rPr>
          <w:rFonts w:asciiTheme="majorBidi" w:hAnsiTheme="majorBidi" w:cstheme="majorBidi"/>
        </w:rPr>
      </w:pPr>
      <w:r w:rsidRPr="00833E59">
        <w:rPr>
          <w:rFonts w:ascii="Segoe UI Emoji" w:hAnsi="Segoe UI Emoji" w:cs="Segoe UI Emoji"/>
        </w:rPr>
        <w:t>🔹</w:t>
      </w:r>
      <w:r w:rsidRPr="00833E59">
        <w:rPr>
          <w:rFonts w:asciiTheme="majorBidi" w:hAnsiTheme="majorBidi" w:cstheme="majorBidi"/>
        </w:rPr>
        <w:t xml:space="preserve"> En 2024, le décret-loi n°4</w:t>
      </w:r>
      <w:r w:rsidR="004D4139">
        <w:rPr>
          <w:rStyle w:val="Appelnotedebasdep"/>
          <w:rFonts w:asciiTheme="majorBidi" w:hAnsiTheme="majorBidi" w:cstheme="majorBidi"/>
        </w:rPr>
        <w:footnoteReference w:id="5"/>
      </w:r>
      <w:r w:rsidRPr="00833E59">
        <w:rPr>
          <w:rFonts w:asciiTheme="majorBidi" w:hAnsiTheme="majorBidi" w:cstheme="majorBidi"/>
        </w:rPr>
        <w:t xml:space="preserve"> </w:t>
      </w:r>
      <w:r w:rsidR="000B0215" w:rsidRPr="000B0215">
        <w:rPr>
          <w:rFonts w:asciiTheme="majorBidi" w:hAnsiTheme="majorBidi" w:cstheme="majorBidi"/>
        </w:rPr>
        <w:t>relatif au régime de protection sociale des travailleuses agricole</w:t>
      </w:r>
      <w:r w:rsidR="000B0215">
        <w:rPr>
          <w:rFonts w:asciiTheme="majorBidi" w:hAnsiTheme="majorBidi" w:cstheme="majorBidi"/>
        </w:rPr>
        <w:t xml:space="preserve"> </w:t>
      </w:r>
      <w:r w:rsidRPr="00833E59">
        <w:rPr>
          <w:rFonts w:asciiTheme="majorBidi" w:hAnsiTheme="majorBidi" w:cstheme="majorBidi"/>
        </w:rPr>
        <w:t xml:space="preserve">a imposé une contribution mensuelle de 61,900 DT aux femmes travaillant dans le secteur agricole pour bénéficier de la sécurité sociale. Or, </w:t>
      </w:r>
      <w:r w:rsidRPr="00833E59">
        <w:rPr>
          <w:rFonts w:asciiTheme="majorBidi" w:hAnsiTheme="majorBidi" w:cstheme="majorBidi"/>
          <w:b/>
          <w:bCs/>
        </w:rPr>
        <w:t>leur revenu journalier moyen ne dépasse pas 10 DT</w:t>
      </w:r>
      <w:r w:rsidR="004D4139">
        <w:rPr>
          <w:rStyle w:val="Appelnotedebasdep"/>
          <w:rFonts w:asciiTheme="majorBidi" w:hAnsiTheme="majorBidi" w:cstheme="majorBidi"/>
        </w:rPr>
        <w:footnoteReference w:id="6"/>
      </w:r>
      <w:r w:rsidR="00E05974">
        <w:rPr>
          <w:rFonts w:hint="cs"/>
          <w:rtl/>
        </w:rPr>
        <w:t xml:space="preserve"> </w:t>
      </w:r>
      <w:r w:rsidR="00E05974" w:rsidRPr="00E05974">
        <w:rPr>
          <w:rFonts w:asciiTheme="majorBidi" w:hAnsiTheme="majorBidi" w:cstheme="majorBidi"/>
        </w:rPr>
        <w:t xml:space="preserve">ce qui correspond à environ </w:t>
      </w:r>
      <w:r w:rsidR="00E05974" w:rsidRPr="00E05974">
        <w:rPr>
          <w:rFonts w:asciiTheme="majorBidi" w:hAnsiTheme="majorBidi" w:cstheme="majorBidi"/>
          <w:b/>
          <w:bCs/>
        </w:rPr>
        <w:t>200 à 250 dinars par mois</w:t>
      </w:r>
      <w:r w:rsidR="00E05974" w:rsidRPr="00E05974">
        <w:rPr>
          <w:rFonts w:asciiTheme="majorBidi" w:hAnsiTheme="majorBidi" w:cstheme="majorBidi"/>
        </w:rPr>
        <w:t xml:space="preserve">, dans des conditions de travail souvent précaires, informelles et sans continuité. Dans un contexte de </w:t>
      </w:r>
      <w:r w:rsidR="00E05974" w:rsidRPr="00E05974">
        <w:rPr>
          <w:rFonts w:asciiTheme="majorBidi" w:hAnsiTheme="majorBidi" w:cstheme="majorBidi"/>
          <w:b/>
          <w:bCs/>
        </w:rPr>
        <w:t>hausse généralisée du coût de la vie</w:t>
      </w:r>
      <w:r w:rsidR="00E05974" w:rsidRPr="00E05974">
        <w:rPr>
          <w:rFonts w:asciiTheme="majorBidi" w:hAnsiTheme="majorBidi" w:cstheme="majorBidi"/>
        </w:rPr>
        <w:t xml:space="preserve"> (inflation alimentaire, transport, soins), il est </w:t>
      </w:r>
      <w:r w:rsidR="00E05974" w:rsidRPr="00E05974">
        <w:rPr>
          <w:rFonts w:asciiTheme="majorBidi" w:hAnsiTheme="majorBidi" w:cstheme="majorBidi"/>
          <w:b/>
          <w:bCs/>
        </w:rPr>
        <w:t>économiquement irréaliste</w:t>
      </w:r>
      <w:r w:rsidR="00E05974" w:rsidRPr="00E05974">
        <w:rPr>
          <w:rFonts w:asciiTheme="majorBidi" w:hAnsiTheme="majorBidi" w:cstheme="majorBidi"/>
        </w:rPr>
        <w:t xml:space="preserve"> d’exiger de ces travailleuses de consacrer </w:t>
      </w:r>
      <w:r w:rsidR="00E05974" w:rsidRPr="00E05974">
        <w:rPr>
          <w:rFonts w:asciiTheme="majorBidi" w:hAnsiTheme="majorBidi" w:cstheme="majorBidi"/>
          <w:b/>
          <w:bCs/>
        </w:rPr>
        <w:t>près du tiers de leur revenu mensuel</w:t>
      </w:r>
      <w:r w:rsidR="00E05974" w:rsidRPr="00E05974">
        <w:rPr>
          <w:rFonts w:asciiTheme="majorBidi" w:hAnsiTheme="majorBidi" w:cstheme="majorBidi"/>
        </w:rPr>
        <w:t xml:space="preserve"> à </w:t>
      </w:r>
      <w:r w:rsidR="00E05974" w:rsidRPr="00E05974">
        <w:rPr>
          <w:rFonts w:asciiTheme="majorBidi" w:hAnsiTheme="majorBidi" w:cstheme="majorBidi"/>
        </w:rPr>
        <w:lastRenderedPageBreak/>
        <w:t>une cotisation sociale. Cette disproportion rend le dispositif inaccessible pour la majorité, perpétuant ainsi leur exclusion des mécanismes de protection sociale.</w:t>
      </w:r>
    </w:p>
    <w:p w14:paraId="28006D0E" w14:textId="4049CE9E" w:rsidR="00833E59" w:rsidRPr="00833E59" w:rsidRDefault="00833E59" w:rsidP="009D7733">
      <w:pPr>
        <w:jc w:val="both"/>
        <w:rPr>
          <w:rFonts w:asciiTheme="majorBidi" w:hAnsiTheme="majorBidi" w:cstheme="majorBidi"/>
        </w:rPr>
      </w:pPr>
      <w:r w:rsidRPr="00833E59">
        <w:rPr>
          <w:rFonts w:ascii="Segoe UI Emoji" w:hAnsi="Segoe UI Emoji" w:cs="Segoe UI Emoji"/>
        </w:rPr>
        <w:t>🔹</w:t>
      </w:r>
      <w:r w:rsidRPr="00833E59">
        <w:rPr>
          <w:rFonts w:asciiTheme="majorBidi" w:hAnsiTheme="majorBidi" w:cstheme="majorBidi"/>
        </w:rPr>
        <w:t xml:space="preserve"> Les femmes rurales ne détiennent que </w:t>
      </w:r>
      <w:r w:rsidRPr="00833E59">
        <w:rPr>
          <w:rFonts w:asciiTheme="majorBidi" w:hAnsiTheme="majorBidi" w:cstheme="majorBidi"/>
          <w:b/>
          <w:bCs/>
        </w:rPr>
        <w:t>3 % des terres agricoles</w:t>
      </w:r>
      <w:r w:rsidR="004D4139">
        <w:rPr>
          <w:rStyle w:val="Appelnotedebasdep"/>
          <w:rFonts w:asciiTheme="majorBidi" w:hAnsiTheme="majorBidi" w:cstheme="majorBidi"/>
          <w:b/>
          <w:bCs/>
        </w:rPr>
        <w:footnoteReference w:id="7"/>
      </w:r>
      <w:r w:rsidRPr="00833E59">
        <w:rPr>
          <w:rFonts w:asciiTheme="majorBidi" w:hAnsiTheme="majorBidi" w:cstheme="majorBidi"/>
        </w:rPr>
        <w:t xml:space="preserve"> malgré leur représentation de </w:t>
      </w:r>
      <w:r w:rsidRPr="00833E59">
        <w:rPr>
          <w:rFonts w:asciiTheme="majorBidi" w:hAnsiTheme="majorBidi" w:cstheme="majorBidi"/>
          <w:b/>
          <w:bCs/>
        </w:rPr>
        <w:t>70 % dans la main-d'œuvre agricole</w:t>
      </w:r>
      <w:r w:rsidRPr="00833E59">
        <w:rPr>
          <w:rFonts w:asciiTheme="majorBidi" w:hAnsiTheme="majorBidi" w:cstheme="majorBidi"/>
        </w:rPr>
        <w:t>.</w:t>
      </w:r>
      <w:r w:rsidR="004D4139">
        <w:rPr>
          <w:rStyle w:val="Appelnotedebasdep"/>
          <w:rFonts w:asciiTheme="majorBidi" w:hAnsiTheme="majorBidi" w:cstheme="majorBidi"/>
        </w:rPr>
        <w:footnoteReference w:id="8"/>
      </w:r>
      <w:r w:rsidRPr="00833E59">
        <w:rPr>
          <w:rFonts w:asciiTheme="majorBidi" w:hAnsiTheme="majorBidi" w:cstheme="majorBidi"/>
        </w:rPr>
        <w:t xml:space="preserve"> Le manque d’accès à la propriété limite considérablement leur autonomie économique.</w:t>
      </w:r>
      <w:r w:rsidR="000B48A6">
        <w:rPr>
          <w:rStyle w:val="Appelnotedebasdep"/>
          <w:rFonts w:asciiTheme="majorBidi" w:hAnsiTheme="majorBidi" w:cstheme="majorBidi"/>
        </w:rPr>
        <w:footnoteReference w:id="9"/>
      </w:r>
    </w:p>
    <w:p w14:paraId="33648422" w14:textId="2039CAA1" w:rsidR="00833E59" w:rsidRDefault="00833E59" w:rsidP="009D7733">
      <w:pPr>
        <w:jc w:val="both"/>
        <w:rPr>
          <w:rFonts w:asciiTheme="majorBidi" w:hAnsiTheme="majorBidi" w:cstheme="majorBidi"/>
        </w:rPr>
      </w:pPr>
      <w:r w:rsidRPr="00833E59">
        <w:rPr>
          <w:rFonts w:ascii="Segoe UI Emoji" w:hAnsi="Segoe UI Emoji" w:cs="Segoe UI Emoji"/>
        </w:rPr>
        <w:t>🔹</w:t>
      </w:r>
      <w:r w:rsidRPr="00833E59">
        <w:rPr>
          <w:rFonts w:asciiTheme="majorBidi" w:hAnsiTheme="majorBidi" w:cstheme="majorBidi"/>
        </w:rPr>
        <w:t xml:space="preserve"> Le transport demeure dangereux : entre 2015 et 2024, </w:t>
      </w:r>
      <w:r w:rsidRPr="00833E59">
        <w:rPr>
          <w:rFonts w:asciiTheme="majorBidi" w:hAnsiTheme="majorBidi" w:cstheme="majorBidi"/>
          <w:b/>
          <w:bCs/>
        </w:rPr>
        <w:t>au moins 60 femmes rurales</w:t>
      </w:r>
      <w:r w:rsidRPr="00833E59">
        <w:rPr>
          <w:rFonts w:asciiTheme="majorBidi" w:hAnsiTheme="majorBidi" w:cstheme="majorBidi"/>
        </w:rPr>
        <w:t xml:space="preserve"> ont perdu la vie dans des accidents de "camions de la mort", et plus de 500 ont subi des blessures graves.</w:t>
      </w:r>
      <w:r w:rsidR="000B48A6">
        <w:rPr>
          <w:rStyle w:val="Appelnotedebasdep"/>
          <w:rFonts w:asciiTheme="majorBidi" w:hAnsiTheme="majorBidi" w:cstheme="majorBidi"/>
        </w:rPr>
        <w:footnoteReference w:id="10"/>
      </w:r>
    </w:p>
    <w:p w14:paraId="64B8E35F" w14:textId="4952523B" w:rsidR="00815FC9" w:rsidRPr="00815FC9" w:rsidRDefault="00815FC9" w:rsidP="009D7733">
      <w:pPr>
        <w:jc w:val="both"/>
        <w:rPr>
          <w:rFonts w:asciiTheme="majorBidi" w:hAnsiTheme="majorBidi" w:cstheme="majorBidi"/>
        </w:rPr>
      </w:pPr>
      <w:r>
        <w:rPr>
          <w:rFonts w:asciiTheme="majorBidi" w:hAnsiTheme="majorBidi" w:cstheme="majorBidi"/>
        </w:rPr>
        <w:t>-</w:t>
      </w:r>
      <w:r w:rsidRPr="00815FC9">
        <w:rPr>
          <w:rFonts w:asciiTheme="majorBidi" w:hAnsiTheme="majorBidi" w:cstheme="majorBidi"/>
        </w:rPr>
        <w:t>Les femmes blessées ne bénéficient généralement d'</w:t>
      </w:r>
      <w:r w:rsidRPr="00815FC9">
        <w:rPr>
          <w:rFonts w:asciiTheme="majorBidi" w:hAnsiTheme="majorBidi" w:cstheme="majorBidi"/>
          <w:b/>
          <w:bCs/>
        </w:rPr>
        <w:t>aucune indemnisation</w:t>
      </w:r>
      <w:r w:rsidRPr="00815FC9">
        <w:rPr>
          <w:rFonts w:asciiTheme="majorBidi" w:hAnsiTheme="majorBidi" w:cstheme="majorBidi"/>
        </w:rPr>
        <w:t>,</w:t>
      </w:r>
    </w:p>
    <w:p w14:paraId="23F7A1A9" w14:textId="76296E9B" w:rsidR="00815FC9" w:rsidRPr="00815FC9" w:rsidRDefault="00815FC9" w:rsidP="009D7733">
      <w:pPr>
        <w:jc w:val="both"/>
        <w:rPr>
          <w:rFonts w:asciiTheme="majorBidi" w:hAnsiTheme="majorBidi" w:cstheme="majorBidi"/>
        </w:rPr>
      </w:pPr>
      <w:r>
        <w:rPr>
          <w:rFonts w:asciiTheme="majorBidi" w:hAnsiTheme="majorBidi" w:cstheme="majorBidi"/>
        </w:rPr>
        <w:t>-</w:t>
      </w:r>
      <w:r w:rsidRPr="00815FC9">
        <w:rPr>
          <w:rFonts w:asciiTheme="majorBidi" w:hAnsiTheme="majorBidi" w:cstheme="majorBidi"/>
        </w:rPr>
        <w:t xml:space="preserve">Les </w:t>
      </w:r>
      <w:r w:rsidRPr="00815FC9">
        <w:rPr>
          <w:rFonts w:asciiTheme="majorBidi" w:hAnsiTheme="majorBidi" w:cstheme="majorBidi"/>
          <w:b/>
          <w:bCs/>
        </w:rPr>
        <w:t>accidents du travail</w:t>
      </w:r>
      <w:r w:rsidRPr="00815FC9">
        <w:rPr>
          <w:rFonts w:asciiTheme="majorBidi" w:hAnsiTheme="majorBidi" w:cstheme="majorBidi"/>
        </w:rPr>
        <w:t xml:space="preserve"> ne sont pas reconnus officiellement,</w:t>
      </w:r>
    </w:p>
    <w:p w14:paraId="185276CD" w14:textId="47271D63" w:rsidR="00815FC9" w:rsidRDefault="00815FC9" w:rsidP="009D7733">
      <w:pPr>
        <w:jc w:val="both"/>
        <w:rPr>
          <w:rFonts w:asciiTheme="majorBidi" w:hAnsiTheme="majorBidi" w:cstheme="majorBidi"/>
        </w:rPr>
      </w:pPr>
      <w:r>
        <w:rPr>
          <w:rFonts w:asciiTheme="majorBidi" w:hAnsiTheme="majorBidi" w:cstheme="majorBidi"/>
        </w:rPr>
        <w:t>-</w:t>
      </w:r>
      <w:r w:rsidRPr="00815FC9">
        <w:rPr>
          <w:rFonts w:asciiTheme="majorBidi" w:hAnsiTheme="majorBidi" w:cstheme="majorBidi"/>
        </w:rPr>
        <w:t xml:space="preserve">Et les employeurs ne sont </w:t>
      </w:r>
      <w:r w:rsidRPr="00815FC9">
        <w:rPr>
          <w:rFonts w:asciiTheme="majorBidi" w:hAnsiTheme="majorBidi" w:cstheme="majorBidi"/>
          <w:b/>
          <w:bCs/>
        </w:rPr>
        <w:t>ni contrôlés ni sanctionnés</w:t>
      </w:r>
      <w:r w:rsidRPr="00815FC9">
        <w:rPr>
          <w:rFonts w:asciiTheme="majorBidi" w:hAnsiTheme="majorBidi" w:cstheme="majorBidi"/>
        </w:rPr>
        <w:t xml:space="preserve"> pour non-respect des normes de sécurité ou d’embauche.</w:t>
      </w:r>
    </w:p>
    <w:p w14:paraId="77818384" w14:textId="50DD093C" w:rsidR="005D5960" w:rsidRDefault="005D5960" w:rsidP="00E7609E">
      <w:pPr>
        <w:jc w:val="both"/>
        <w:rPr>
          <w:rFonts w:asciiTheme="majorBidi" w:hAnsiTheme="majorBidi" w:cstheme="majorBidi"/>
        </w:rPr>
      </w:pPr>
      <w:r w:rsidRPr="005D5960">
        <w:rPr>
          <w:rFonts w:ascii="Segoe UI Emoji" w:hAnsi="Segoe UI Emoji" w:cs="Segoe UI Emoji"/>
        </w:rPr>
        <w:t>🔹</w:t>
      </w:r>
      <w:r w:rsidRPr="005D5960">
        <w:rPr>
          <w:rFonts w:asciiTheme="majorBidi" w:hAnsiTheme="majorBidi" w:cstheme="majorBidi"/>
        </w:rPr>
        <w:t xml:space="preserve"> En tant qu’ouvrières agricoles ou micro-productrices, les femmes rencontrent de nombreux obstacles pour accéder au </w:t>
      </w:r>
      <w:r w:rsidRPr="005D5960">
        <w:rPr>
          <w:rFonts w:asciiTheme="majorBidi" w:hAnsiTheme="majorBidi" w:cstheme="majorBidi"/>
          <w:b/>
          <w:bCs/>
        </w:rPr>
        <w:t>crédit agricole</w:t>
      </w:r>
      <w:r w:rsidRPr="005D5960">
        <w:rPr>
          <w:rFonts w:asciiTheme="majorBidi" w:hAnsiTheme="majorBidi" w:cstheme="majorBidi"/>
        </w:rPr>
        <w:t xml:space="preserve"> ou au </w:t>
      </w:r>
      <w:r w:rsidRPr="005D5960">
        <w:rPr>
          <w:rFonts w:asciiTheme="majorBidi" w:hAnsiTheme="majorBidi" w:cstheme="majorBidi"/>
          <w:b/>
          <w:bCs/>
        </w:rPr>
        <w:t>microcrédit</w:t>
      </w:r>
      <w:r w:rsidR="00E7609E">
        <w:rPr>
          <w:rStyle w:val="Appelnotedebasdep"/>
          <w:rFonts w:asciiTheme="majorBidi" w:hAnsiTheme="majorBidi" w:cstheme="majorBidi"/>
          <w:b/>
          <w:bCs/>
        </w:rPr>
        <w:footnoteReference w:id="11"/>
      </w:r>
      <w:r w:rsidRPr="005D5960">
        <w:rPr>
          <w:rFonts w:asciiTheme="majorBidi" w:hAnsiTheme="majorBidi" w:cstheme="majorBidi"/>
        </w:rPr>
        <w:t>, que ce soit en raison de leur statut informel, de l’absence de reconnaissance juridique de leur activité, ou de normes bancaires discriminatoires fondées sur le genre.</w:t>
      </w:r>
      <w:r w:rsidRPr="005D5960">
        <w:rPr>
          <w:rFonts w:ascii="Times New Roman" w:eastAsia="Times New Roman" w:hAnsi="Times New Roman" w:cs="Times New Roman"/>
          <w:kern w:val="0"/>
          <w:lang w:eastAsia="fr-FR"/>
          <w14:ligatures w14:val="none"/>
        </w:rPr>
        <w:t xml:space="preserve"> </w:t>
      </w:r>
      <w:r w:rsidRPr="005D5960">
        <w:rPr>
          <w:rFonts w:asciiTheme="majorBidi" w:hAnsiTheme="majorBidi" w:cstheme="majorBidi"/>
        </w:rPr>
        <w:t xml:space="preserve">Les banques exigent des </w:t>
      </w:r>
      <w:r w:rsidRPr="005D5960">
        <w:rPr>
          <w:rFonts w:asciiTheme="majorBidi" w:hAnsiTheme="majorBidi" w:cstheme="majorBidi"/>
          <w:b/>
          <w:bCs/>
        </w:rPr>
        <w:t>garanties foncières ou mobilières</w:t>
      </w:r>
      <w:r w:rsidRPr="005D5960">
        <w:rPr>
          <w:rFonts w:asciiTheme="majorBidi" w:hAnsiTheme="majorBidi" w:cstheme="majorBidi"/>
        </w:rPr>
        <w:t xml:space="preserve"> que la majorité des femmes rurales ne peuvent fournir, faute d’accès équitable à la propriété. En effet, </w:t>
      </w:r>
      <w:r w:rsidRPr="005D5960">
        <w:rPr>
          <w:rFonts w:asciiTheme="majorBidi" w:hAnsiTheme="majorBidi" w:cstheme="majorBidi"/>
          <w:b/>
          <w:bCs/>
        </w:rPr>
        <w:t>les femmes ne bénéficient pas d’une égalité réelle dans l’accès à la terre</w:t>
      </w:r>
      <w:r w:rsidRPr="005D5960">
        <w:rPr>
          <w:rFonts w:asciiTheme="majorBidi" w:hAnsiTheme="majorBidi" w:cstheme="majorBidi"/>
        </w:rPr>
        <w:t xml:space="preserve">, en raison de </w:t>
      </w:r>
      <w:r w:rsidRPr="005D5960">
        <w:rPr>
          <w:rFonts w:asciiTheme="majorBidi" w:hAnsiTheme="majorBidi" w:cstheme="majorBidi"/>
          <w:b/>
          <w:bCs/>
        </w:rPr>
        <w:t>disparités sectorielles persistantes et d’un système d’héritage patriarcal</w:t>
      </w:r>
      <w:r w:rsidRPr="005D5960">
        <w:rPr>
          <w:rFonts w:asciiTheme="majorBidi" w:hAnsiTheme="majorBidi" w:cstheme="majorBidi"/>
        </w:rPr>
        <w:t xml:space="preserve"> qui limite leur droit effectif à posséder et gérer des biens. Cette inégalité structurelle est </w:t>
      </w:r>
      <w:r w:rsidRPr="005D5960">
        <w:rPr>
          <w:rFonts w:asciiTheme="majorBidi" w:hAnsiTheme="majorBidi" w:cstheme="majorBidi"/>
        </w:rPr>
        <w:lastRenderedPageBreak/>
        <w:t xml:space="preserve">aggravée par </w:t>
      </w:r>
      <w:r w:rsidRPr="005D5960">
        <w:rPr>
          <w:rFonts w:asciiTheme="majorBidi" w:hAnsiTheme="majorBidi" w:cstheme="majorBidi"/>
          <w:b/>
          <w:bCs/>
        </w:rPr>
        <w:t>l’impunité entourant les formes de violences économiques</w:t>
      </w:r>
      <w:r w:rsidRPr="005D5960">
        <w:rPr>
          <w:rFonts w:asciiTheme="majorBidi" w:hAnsiTheme="majorBidi" w:cstheme="majorBidi"/>
        </w:rPr>
        <w:t>,</w:t>
      </w:r>
      <w:r w:rsidR="00996CD7">
        <w:rPr>
          <w:rStyle w:val="Appelnotedebasdep"/>
          <w:rFonts w:asciiTheme="majorBidi" w:hAnsiTheme="majorBidi" w:cstheme="majorBidi"/>
        </w:rPr>
        <w:footnoteReference w:id="12"/>
      </w:r>
      <w:r w:rsidRPr="005D5960">
        <w:rPr>
          <w:rFonts w:asciiTheme="majorBidi" w:hAnsiTheme="majorBidi" w:cstheme="majorBidi"/>
        </w:rPr>
        <w:t xml:space="preserve"> telles que la privation de ressources, le contrôle abusif des revenus ou l’exploitation informelle, qui restent rarement reconnues ou sanctionnées par les autorités.</w:t>
      </w:r>
    </w:p>
    <w:p w14:paraId="6D64FD24" w14:textId="1FB87C0C" w:rsidR="00B05550" w:rsidRPr="00B05550" w:rsidRDefault="00833E59" w:rsidP="004A617C">
      <w:pPr>
        <w:rPr>
          <w:rFonts w:asciiTheme="majorBidi" w:hAnsiTheme="majorBidi" w:cstheme="majorBidi"/>
        </w:rPr>
      </w:pPr>
      <w:proofErr w:type="gramStart"/>
      <w:r w:rsidRPr="00833E59">
        <w:rPr>
          <w:rFonts w:asciiTheme="majorBidi" w:hAnsiTheme="majorBidi" w:cstheme="majorBidi"/>
          <w:b/>
          <w:bCs/>
        </w:rPr>
        <w:t>Recommandation:</w:t>
      </w:r>
      <w:proofErr w:type="gramEnd"/>
      <w:r w:rsidRPr="00833E59">
        <w:rPr>
          <w:rFonts w:asciiTheme="majorBidi" w:hAnsiTheme="majorBidi" w:cstheme="majorBidi"/>
        </w:rPr>
        <w:br/>
      </w:r>
      <w:r w:rsidR="00B05550" w:rsidRPr="00B05550">
        <w:rPr>
          <w:rFonts w:asciiTheme="majorBidi" w:hAnsiTheme="majorBidi" w:cstheme="majorBidi"/>
          <w:b/>
          <w:bCs/>
        </w:rPr>
        <w:t>Accélérer</w:t>
      </w:r>
      <w:r w:rsidR="00B05550" w:rsidRPr="00B05550">
        <w:rPr>
          <w:rFonts w:asciiTheme="majorBidi" w:hAnsiTheme="majorBidi" w:cstheme="majorBidi"/>
        </w:rPr>
        <w:t xml:space="preserve">, d’ici </w:t>
      </w:r>
      <w:r w:rsidR="00B05550" w:rsidRPr="00B05550">
        <w:rPr>
          <w:rFonts w:asciiTheme="majorBidi" w:hAnsiTheme="majorBidi" w:cstheme="majorBidi"/>
          <w:b/>
          <w:bCs/>
        </w:rPr>
        <w:t>fin 202</w:t>
      </w:r>
      <w:r w:rsidR="004A617C">
        <w:rPr>
          <w:rFonts w:asciiTheme="majorBidi" w:hAnsiTheme="majorBidi" w:cstheme="majorBidi"/>
          <w:b/>
          <w:bCs/>
        </w:rPr>
        <w:t>5</w:t>
      </w:r>
      <w:r w:rsidR="00B05550" w:rsidRPr="00B05550">
        <w:rPr>
          <w:rFonts w:asciiTheme="majorBidi" w:hAnsiTheme="majorBidi" w:cstheme="majorBidi"/>
        </w:rPr>
        <w:t xml:space="preserve">, l’adoption des </w:t>
      </w:r>
      <w:r w:rsidR="00B05550" w:rsidRPr="00B05550">
        <w:rPr>
          <w:rFonts w:asciiTheme="majorBidi" w:hAnsiTheme="majorBidi" w:cstheme="majorBidi"/>
          <w:b/>
          <w:bCs/>
        </w:rPr>
        <w:t>six décrets d’application</w:t>
      </w:r>
      <w:r w:rsidR="00B05550" w:rsidRPr="00B05550">
        <w:rPr>
          <w:rFonts w:asciiTheme="majorBidi" w:hAnsiTheme="majorBidi" w:cstheme="majorBidi"/>
        </w:rPr>
        <w:t xml:space="preserve"> prévus par le décret-loi n°4 de 202</w:t>
      </w:r>
      <w:r w:rsidR="00B05550">
        <w:rPr>
          <w:rFonts w:asciiTheme="majorBidi" w:hAnsiTheme="majorBidi" w:cstheme="majorBidi"/>
        </w:rPr>
        <w:t>4</w:t>
      </w:r>
      <w:r w:rsidR="00B05550" w:rsidRPr="00B05550">
        <w:rPr>
          <w:rFonts w:asciiTheme="majorBidi" w:hAnsiTheme="majorBidi" w:cstheme="majorBidi"/>
        </w:rPr>
        <w:t xml:space="preserve"> et la </w:t>
      </w:r>
      <w:r w:rsidR="00B05550" w:rsidRPr="00B05550">
        <w:rPr>
          <w:rFonts w:asciiTheme="majorBidi" w:hAnsiTheme="majorBidi" w:cstheme="majorBidi"/>
          <w:b/>
          <w:bCs/>
        </w:rPr>
        <w:t>signature des conventions interinstitutionnelles</w:t>
      </w:r>
      <w:r w:rsidR="00B05550" w:rsidRPr="00B05550">
        <w:rPr>
          <w:rFonts w:asciiTheme="majorBidi" w:hAnsiTheme="majorBidi" w:cstheme="majorBidi"/>
        </w:rPr>
        <w:t xml:space="preserve"> requises (notamment celles prévues à l’article 11), afin de permettre l’entrée en vigueur effective du régime de protection sociale au profit des travailleuses agricoles.</w:t>
      </w:r>
      <w:r w:rsidR="00B05550" w:rsidRPr="00B05550">
        <w:rPr>
          <w:rFonts w:asciiTheme="majorBidi" w:hAnsiTheme="majorBidi" w:cstheme="majorBidi"/>
        </w:rPr>
        <w:br/>
        <w:t xml:space="preserve">Parallèlement, </w:t>
      </w:r>
      <w:r w:rsidR="00B05550" w:rsidRPr="00B05550">
        <w:rPr>
          <w:rFonts w:asciiTheme="majorBidi" w:hAnsiTheme="majorBidi" w:cstheme="majorBidi"/>
          <w:b/>
          <w:bCs/>
        </w:rPr>
        <w:t>réviser le décret-loi</w:t>
      </w:r>
      <w:r w:rsidR="00B05550" w:rsidRPr="00B05550">
        <w:rPr>
          <w:rFonts w:asciiTheme="majorBidi" w:hAnsiTheme="majorBidi" w:cstheme="majorBidi"/>
        </w:rPr>
        <w:t xml:space="preserve"> pour introduire :</w:t>
      </w:r>
    </w:p>
    <w:p w14:paraId="565041B1" w14:textId="34D4E220" w:rsidR="00B05550" w:rsidRPr="00B05550" w:rsidRDefault="00B05550" w:rsidP="009D7733">
      <w:pPr>
        <w:numPr>
          <w:ilvl w:val="0"/>
          <w:numId w:val="10"/>
        </w:numPr>
        <w:jc w:val="both"/>
        <w:rPr>
          <w:rFonts w:asciiTheme="majorBidi" w:hAnsiTheme="majorBidi" w:cstheme="majorBidi"/>
        </w:rPr>
      </w:pPr>
      <w:proofErr w:type="gramStart"/>
      <w:r w:rsidRPr="00B05550">
        <w:rPr>
          <w:rFonts w:asciiTheme="majorBidi" w:hAnsiTheme="majorBidi" w:cstheme="majorBidi"/>
        </w:rPr>
        <w:t>un</w:t>
      </w:r>
      <w:proofErr w:type="gramEnd"/>
      <w:r w:rsidRPr="00B05550">
        <w:rPr>
          <w:rFonts w:asciiTheme="majorBidi" w:hAnsiTheme="majorBidi" w:cstheme="majorBidi"/>
        </w:rPr>
        <w:t xml:space="preserve"> </w:t>
      </w:r>
      <w:r w:rsidRPr="00B05550">
        <w:rPr>
          <w:rFonts w:asciiTheme="majorBidi" w:hAnsiTheme="majorBidi" w:cstheme="majorBidi"/>
          <w:b/>
          <w:bCs/>
        </w:rPr>
        <w:t>système de cotisation progressif basé sur le revenu réel</w:t>
      </w:r>
      <w:r w:rsidRPr="00B05550">
        <w:rPr>
          <w:rFonts w:asciiTheme="majorBidi" w:hAnsiTheme="majorBidi" w:cstheme="majorBidi"/>
        </w:rPr>
        <w:t xml:space="preserve"> des travailleuses agricoles </w:t>
      </w:r>
    </w:p>
    <w:p w14:paraId="27ADE282" w14:textId="1232A740" w:rsidR="0094059F" w:rsidRPr="00833E59" w:rsidRDefault="00702E12" w:rsidP="009D7733">
      <w:pPr>
        <w:numPr>
          <w:ilvl w:val="0"/>
          <w:numId w:val="10"/>
        </w:numPr>
        <w:jc w:val="both"/>
        <w:rPr>
          <w:rFonts w:asciiTheme="majorBidi" w:hAnsiTheme="majorBidi" w:cstheme="majorBidi"/>
        </w:rPr>
      </w:pPr>
      <w:r>
        <w:rPr>
          <w:rFonts w:asciiTheme="majorBidi" w:hAnsiTheme="majorBidi" w:cstheme="majorBidi"/>
        </w:rPr>
        <w:t>C</w:t>
      </w:r>
      <w:r w:rsidR="00B05550" w:rsidRPr="00B05550">
        <w:rPr>
          <w:rFonts w:asciiTheme="majorBidi" w:hAnsiTheme="majorBidi" w:cstheme="majorBidi"/>
        </w:rPr>
        <w:t xml:space="preserve">réer un </w:t>
      </w:r>
      <w:r w:rsidR="00B05550" w:rsidRPr="00B05550">
        <w:rPr>
          <w:rFonts w:asciiTheme="majorBidi" w:hAnsiTheme="majorBidi" w:cstheme="majorBidi"/>
          <w:b/>
          <w:bCs/>
        </w:rPr>
        <w:t>fonds public de transport rural sécurisé</w:t>
      </w:r>
      <w:r w:rsidR="00B05550" w:rsidRPr="00B05550">
        <w:rPr>
          <w:rFonts w:asciiTheme="majorBidi" w:hAnsiTheme="majorBidi" w:cstheme="majorBidi"/>
        </w:rPr>
        <w:t xml:space="preserve">, visant une </w:t>
      </w:r>
      <w:r w:rsidR="00B05550" w:rsidRPr="00B05550">
        <w:rPr>
          <w:rFonts w:asciiTheme="majorBidi" w:hAnsiTheme="majorBidi" w:cstheme="majorBidi"/>
          <w:b/>
          <w:bCs/>
        </w:rPr>
        <w:t>couverture d’au moins 60 % des régions prioritaires d’ici 2027</w:t>
      </w:r>
      <w:r w:rsidR="00B05550" w:rsidRPr="00B05550">
        <w:rPr>
          <w:rFonts w:asciiTheme="majorBidi" w:hAnsiTheme="majorBidi" w:cstheme="majorBidi"/>
        </w:rPr>
        <w:t>.</w:t>
      </w:r>
    </w:p>
    <w:p w14:paraId="254C5E54" w14:textId="72F932EF" w:rsidR="00833E59" w:rsidRPr="00833E59" w:rsidRDefault="00833E59" w:rsidP="009D7733">
      <w:pPr>
        <w:pStyle w:val="Paragraphedeliste"/>
        <w:numPr>
          <w:ilvl w:val="1"/>
          <w:numId w:val="9"/>
        </w:numPr>
        <w:jc w:val="both"/>
        <w:rPr>
          <w:rFonts w:asciiTheme="majorBidi" w:hAnsiTheme="majorBidi" w:cstheme="majorBidi"/>
          <w:b/>
          <w:bCs/>
        </w:rPr>
      </w:pPr>
      <w:r w:rsidRPr="00833E59">
        <w:rPr>
          <w:rFonts w:asciiTheme="majorBidi" w:hAnsiTheme="majorBidi" w:cstheme="majorBidi"/>
          <w:b/>
          <w:bCs/>
        </w:rPr>
        <w:t xml:space="preserve"> Travail domestique</w:t>
      </w:r>
    </w:p>
    <w:p w14:paraId="079E4D53" w14:textId="3C94DC1A" w:rsidR="000B48A6" w:rsidRDefault="00833E59" w:rsidP="009D7733">
      <w:pPr>
        <w:jc w:val="both"/>
        <w:rPr>
          <w:rFonts w:asciiTheme="majorBidi" w:hAnsiTheme="majorBidi" w:cstheme="majorBidi"/>
        </w:rPr>
      </w:pPr>
      <w:r w:rsidRPr="00833E59">
        <w:rPr>
          <w:rFonts w:asciiTheme="majorBidi" w:hAnsiTheme="majorBidi" w:cstheme="majorBidi"/>
        </w:rPr>
        <w:t xml:space="preserve">Malgré la loi n°37 de 2021, </w:t>
      </w:r>
      <w:r w:rsidRPr="00833E59">
        <w:rPr>
          <w:rFonts w:asciiTheme="majorBidi" w:hAnsiTheme="majorBidi" w:cstheme="majorBidi"/>
          <w:b/>
          <w:bCs/>
        </w:rPr>
        <w:t>97 % des travailleuses domestiques ne disposent toujours pas de contrat de travail ni de couverture sociale</w:t>
      </w:r>
      <w:r w:rsidRPr="00833E59">
        <w:rPr>
          <w:rFonts w:asciiTheme="majorBidi" w:hAnsiTheme="majorBidi" w:cstheme="majorBidi"/>
        </w:rPr>
        <w:t>.</w:t>
      </w:r>
      <w:r w:rsidR="000B48A6">
        <w:rPr>
          <w:rStyle w:val="Appelnotedebasdep"/>
          <w:rFonts w:asciiTheme="majorBidi" w:hAnsiTheme="majorBidi" w:cstheme="majorBidi"/>
        </w:rPr>
        <w:footnoteReference w:id="13"/>
      </w:r>
    </w:p>
    <w:p w14:paraId="055DF9EB" w14:textId="7B279CF3" w:rsidR="00815FC9" w:rsidRPr="00815FC9" w:rsidRDefault="00815FC9" w:rsidP="009D7733">
      <w:pPr>
        <w:jc w:val="both"/>
        <w:rPr>
          <w:rFonts w:asciiTheme="majorBidi" w:hAnsiTheme="majorBidi" w:cstheme="majorBidi"/>
        </w:rPr>
      </w:pPr>
      <w:r w:rsidRPr="00815FC9">
        <w:rPr>
          <w:rFonts w:asciiTheme="majorBidi" w:hAnsiTheme="majorBidi" w:cstheme="majorBidi"/>
        </w:rPr>
        <w:t>L’</w:t>
      </w:r>
      <w:r w:rsidRPr="00815FC9">
        <w:rPr>
          <w:rFonts w:asciiTheme="majorBidi" w:hAnsiTheme="majorBidi" w:cstheme="majorBidi"/>
          <w:b/>
          <w:bCs/>
        </w:rPr>
        <w:t>Organisation internationale du Travail (OIT)</w:t>
      </w:r>
      <w:r w:rsidRPr="00815FC9">
        <w:rPr>
          <w:rFonts w:asciiTheme="majorBidi" w:hAnsiTheme="majorBidi" w:cstheme="majorBidi"/>
        </w:rPr>
        <w:t xml:space="preserve"> a également rappelé que la grande majorité des travailleuses domestiques dans le monde, notamment dans les pays du Sud, travaillent </w:t>
      </w:r>
      <w:r w:rsidRPr="00815FC9">
        <w:rPr>
          <w:rFonts w:asciiTheme="majorBidi" w:hAnsiTheme="majorBidi" w:cstheme="majorBidi"/>
          <w:b/>
          <w:bCs/>
        </w:rPr>
        <w:t>en dehors de toute forme de protection sociale</w:t>
      </w:r>
      <w:r w:rsidRPr="00815FC9">
        <w:rPr>
          <w:rFonts w:asciiTheme="majorBidi" w:hAnsiTheme="majorBidi" w:cstheme="majorBidi"/>
        </w:rPr>
        <w:t>.</w:t>
      </w:r>
      <w:r w:rsidR="0051359D">
        <w:rPr>
          <w:rStyle w:val="Appelnotedebasdep"/>
          <w:rFonts w:asciiTheme="majorBidi" w:hAnsiTheme="majorBidi" w:cstheme="majorBidi"/>
        </w:rPr>
        <w:footnoteReference w:id="14"/>
      </w:r>
    </w:p>
    <w:p w14:paraId="01495CB4" w14:textId="77777777" w:rsidR="00815FC9" w:rsidRDefault="00815FC9" w:rsidP="009D7733">
      <w:pPr>
        <w:jc w:val="both"/>
        <w:rPr>
          <w:rFonts w:asciiTheme="majorBidi" w:hAnsiTheme="majorBidi" w:cstheme="majorBidi"/>
        </w:rPr>
      </w:pPr>
      <w:r w:rsidRPr="00815FC9">
        <w:rPr>
          <w:rFonts w:asciiTheme="majorBidi" w:hAnsiTheme="majorBidi" w:cstheme="majorBidi"/>
        </w:rPr>
        <w:t xml:space="preserve">La mise en œuvre de la loi reste largement inefficace faute de dispositifs concrets d’application : </w:t>
      </w:r>
      <w:r w:rsidRPr="00815FC9">
        <w:rPr>
          <w:rFonts w:asciiTheme="majorBidi" w:hAnsiTheme="majorBidi" w:cstheme="majorBidi"/>
          <w:b/>
          <w:bCs/>
        </w:rPr>
        <w:t>absence d’inspections régulières</w:t>
      </w:r>
      <w:r w:rsidRPr="00815FC9">
        <w:rPr>
          <w:rFonts w:asciiTheme="majorBidi" w:hAnsiTheme="majorBidi" w:cstheme="majorBidi"/>
        </w:rPr>
        <w:t xml:space="preserve">, </w:t>
      </w:r>
      <w:r w:rsidRPr="00815FC9">
        <w:rPr>
          <w:rFonts w:asciiTheme="majorBidi" w:hAnsiTheme="majorBidi" w:cstheme="majorBidi"/>
          <w:b/>
          <w:bCs/>
        </w:rPr>
        <w:t>manque de suivi des employeurs</w:t>
      </w:r>
      <w:r w:rsidRPr="00815FC9">
        <w:rPr>
          <w:rFonts w:asciiTheme="majorBidi" w:hAnsiTheme="majorBidi" w:cstheme="majorBidi"/>
        </w:rPr>
        <w:t xml:space="preserve">, </w:t>
      </w:r>
      <w:r w:rsidRPr="00815FC9">
        <w:rPr>
          <w:rFonts w:asciiTheme="majorBidi" w:hAnsiTheme="majorBidi" w:cstheme="majorBidi"/>
          <w:b/>
          <w:bCs/>
        </w:rPr>
        <w:t>faible accès à l’information juridique</w:t>
      </w:r>
      <w:r w:rsidRPr="00815FC9">
        <w:rPr>
          <w:rFonts w:asciiTheme="majorBidi" w:hAnsiTheme="majorBidi" w:cstheme="majorBidi"/>
        </w:rPr>
        <w:t xml:space="preserve"> pour les travailleuses, et </w:t>
      </w:r>
      <w:r w:rsidRPr="00815FC9">
        <w:rPr>
          <w:rFonts w:asciiTheme="majorBidi" w:hAnsiTheme="majorBidi" w:cstheme="majorBidi"/>
          <w:b/>
          <w:bCs/>
        </w:rPr>
        <w:t>manque de volonté politique</w:t>
      </w:r>
      <w:r w:rsidRPr="00815FC9">
        <w:rPr>
          <w:rFonts w:asciiTheme="majorBidi" w:hAnsiTheme="majorBidi" w:cstheme="majorBidi"/>
        </w:rPr>
        <w:t xml:space="preserve"> pour contraindre à l’enregistrement des contrats. De plus, l’absence de </w:t>
      </w:r>
      <w:r w:rsidRPr="00815FC9">
        <w:rPr>
          <w:rFonts w:asciiTheme="majorBidi" w:hAnsiTheme="majorBidi" w:cstheme="majorBidi"/>
          <w:b/>
          <w:bCs/>
        </w:rPr>
        <w:t>syndicalisation ou d'organisation collective</w:t>
      </w:r>
      <w:r w:rsidRPr="00815FC9">
        <w:rPr>
          <w:rFonts w:asciiTheme="majorBidi" w:hAnsiTheme="majorBidi" w:cstheme="majorBidi"/>
        </w:rPr>
        <w:t xml:space="preserve"> des travailleuses domestiques empêche toute négociation collective ou défense efficace de leurs droits.</w:t>
      </w:r>
    </w:p>
    <w:p w14:paraId="654012C0" w14:textId="4AAA3616" w:rsidR="00D20FD7" w:rsidRPr="00815FC9" w:rsidRDefault="00D20FD7" w:rsidP="00D20FD7">
      <w:pPr>
        <w:jc w:val="both"/>
        <w:rPr>
          <w:rFonts w:asciiTheme="majorBidi" w:hAnsiTheme="majorBidi" w:cstheme="majorBidi"/>
        </w:rPr>
      </w:pPr>
      <w:r w:rsidRPr="00C64EE2">
        <w:rPr>
          <w:rFonts w:asciiTheme="majorBidi" w:hAnsiTheme="majorBidi" w:cstheme="majorBidi"/>
        </w:rPr>
        <w:t xml:space="preserve">Les travailleuses domestiques migrantes, en particulier les femmes subsahariennes, sont encore plus exposées à ces formes d’exploitation. Selon le Forum Tunisien pour les Droits Économiques et Sociaux (FTDES), plus de 70 % des travailleuses migrantes déclarent travailler sans contrat et sont souvent soumises à des abus verbaux, physiques et économiques, sans </w:t>
      </w:r>
      <w:r w:rsidRPr="00C64EE2">
        <w:rPr>
          <w:rFonts w:asciiTheme="majorBidi" w:hAnsiTheme="majorBidi" w:cstheme="majorBidi"/>
        </w:rPr>
        <w:lastRenderedPageBreak/>
        <w:t>possibilité de recours en raison de leur statut administratif précaire. Elles vivent également sous la menace d’expulsion, ce qui les empêche de dénoncer leurs conditions de travail.</w:t>
      </w:r>
    </w:p>
    <w:p w14:paraId="141F15F3" w14:textId="2E0791CA" w:rsidR="00815FC9" w:rsidRDefault="00815FC9" w:rsidP="009D7733">
      <w:pPr>
        <w:jc w:val="both"/>
        <w:rPr>
          <w:rFonts w:asciiTheme="majorBidi" w:hAnsiTheme="majorBidi" w:cstheme="majorBidi"/>
        </w:rPr>
      </w:pPr>
      <w:r w:rsidRPr="00815FC9">
        <w:rPr>
          <w:rFonts w:asciiTheme="majorBidi" w:hAnsiTheme="majorBidi" w:cstheme="majorBidi"/>
        </w:rPr>
        <w:t xml:space="preserve">Cette situation crée un </w:t>
      </w:r>
      <w:r w:rsidRPr="00815FC9">
        <w:rPr>
          <w:rFonts w:asciiTheme="majorBidi" w:hAnsiTheme="majorBidi" w:cstheme="majorBidi"/>
          <w:b/>
          <w:bCs/>
        </w:rPr>
        <w:t>cercle vicieux de vulnérabilité</w:t>
      </w:r>
      <w:r w:rsidRPr="00815FC9">
        <w:rPr>
          <w:rFonts w:asciiTheme="majorBidi" w:hAnsiTheme="majorBidi" w:cstheme="majorBidi"/>
        </w:rPr>
        <w:t xml:space="preserve"> : en cas d'accident de travail, ces femmes </w:t>
      </w:r>
      <w:r w:rsidRPr="00815FC9">
        <w:rPr>
          <w:rFonts w:asciiTheme="majorBidi" w:hAnsiTheme="majorBidi" w:cstheme="majorBidi"/>
          <w:b/>
          <w:bCs/>
        </w:rPr>
        <w:t>ne sont pas indemnisées</w:t>
      </w:r>
      <w:r w:rsidRPr="00815FC9">
        <w:rPr>
          <w:rFonts w:asciiTheme="majorBidi" w:hAnsiTheme="majorBidi" w:cstheme="majorBidi"/>
        </w:rPr>
        <w:t xml:space="preserve">, ne peuvent pas accéder à des soins adaptés et </w:t>
      </w:r>
      <w:r w:rsidRPr="00815FC9">
        <w:rPr>
          <w:rFonts w:asciiTheme="majorBidi" w:hAnsiTheme="majorBidi" w:cstheme="majorBidi"/>
          <w:b/>
          <w:bCs/>
        </w:rPr>
        <w:t>risquent de perdre leur seul revenu</w:t>
      </w:r>
      <w:r w:rsidRPr="00815FC9">
        <w:rPr>
          <w:rFonts w:asciiTheme="majorBidi" w:hAnsiTheme="majorBidi" w:cstheme="majorBidi"/>
        </w:rPr>
        <w:t xml:space="preserve">. Le travail informel devient ainsi un </w:t>
      </w:r>
      <w:r w:rsidRPr="00815FC9">
        <w:rPr>
          <w:rFonts w:asciiTheme="majorBidi" w:hAnsiTheme="majorBidi" w:cstheme="majorBidi"/>
          <w:b/>
          <w:bCs/>
        </w:rPr>
        <w:t>facteur d’exclusion sociale</w:t>
      </w:r>
      <w:r w:rsidRPr="00815FC9">
        <w:rPr>
          <w:rFonts w:asciiTheme="majorBidi" w:hAnsiTheme="majorBidi" w:cstheme="majorBidi"/>
        </w:rPr>
        <w:t xml:space="preserve"> et d’appauvrissement, et aggrave les inégalités structurelles fondées sur le genre et la classe sociale.</w:t>
      </w:r>
    </w:p>
    <w:p w14:paraId="26BE5D39" w14:textId="1A096B24" w:rsidR="00833E59" w:rsidRPr="00833E59" w:rsidRDefault="00833E59" w:rsidP="00D20FD7">
      <w:pPr>
        <w:rPr>
          <w:rFonts w:asciiTheme="majorBidi" w:hAnsiTheme="majorBidi" w:cstheme="majorBidi"/>
        </w:rPr>
      </w:pPr>
      <w:r w:rsidRPr="00833E59">
        <w:rPr>
          <w:rFonts w:asciiTheme="majorBidi" w:hAnsiTheme="majorBidi" w:cstheme="majorBidi"/>
          <w:b/>
          <w:bCs/>
        </w:rPr>
        <w:t>Recommandation</w:t>
      </w:r>
      <w:r w:rsidR="00AE5907">
        <w:rPr>
          <w:rFonts w:asciiTheme="majorBidi" w:hAnsiTheme="majorBidi" w:cstheme="majorBidi" w:hint="cs"/>
          <w:b/>
          <w:bCs/>
          <w:rtl/>
        </w:rPr>
        <w:t xml:space="preserve"> </w:t>
      </w:r>
      <w:r w:rsidRPr="00833E59">
        <w:rPr>
          <w:rFonts w:asciiTheme="majorBidi" w:hAnsiTheme="majorBidi" w:cstheme="majorBidi"/>
          <w:b/>
          <w:bCs/>
        </w:rPr>
        <w:t>:</w:t>
      </w:r>
      <w:r w:rsidRPr="00833E59">
        <w:rPr>
          <w:rFonts w:asciiTheme="majorBidi" w:hAnsiTheme="majorBidi" w:cstheme="majorBidi"/>
        </w:rPr>
        <w:br/>
        <w:t xml:space="preserve">Mettre en place d’ici fin 2026 un </w:t>
      </w:r>
      <w:r w:rsidRPr="00833E59">
        <w:rPr>
          <w:rFonts w:asciiTheme="majorBidi" w:hAnsiTheme="majorBidi" w:cstheme="majorBidi"/>
          <w:b/>
          <w:bCs/>
        </w:rPr>
        <w:t>registre national des travailleuses domestiques</w:t>
      </w:r>
      <w:r w:rsidRPr="00833E59">
        <w:rPr>
          <w:rFonts w:asciiTheme="majorBidi" w:hAnsiTheme="majorBidi" w:cstheme="majorBidi"/>
        </w:rPr>
        <w:t>, accompagné d’un programme de contractualisation et d’accès à la sécurité sociale, avec des incitations fiscales pour les employeurs.</w:t>
      </w:r>
    </w:p>
    <w:p w14:paraId="700B1232" w14:textId="73E1B727" w:rsidR="00833E59" w:rsidRPr="00833E59" w:rsidRDefault="00833E59" w:rsidP="009D7733">
      <w:pPr>
        <w:pStyle w:val="Paragraphedeliste"/>
        <w:numPr>
          <w:ilvl w:val="0"/>
          <w:numId w:val="9"/>
        </w:numPr>
        <w:jc w:val="both"/>
        <w:rPr>
          <w:rFonts w:asciiTheme="majorBidi" w:hAnsiTheme="majorBidi" w:cstheme="majorBidi"/>
          <w:b/>
          <w:bCs/>
        </w:rPr>
      </w:pPr>
      <w:r w:rsidRPr="00833E59">
        <w:rPr>
          <w:rFonts w:asciiTheme="majorBidi" w:hAnsiTheme="majorBidi" w:cstheme="majorBidi"/>
          <w:b/>
          <w:bCs/>
        </w:rPr>
        <w:t>Autonomisation économique et approche genrée</w:t>
      </w:r>
    </w:p>
    <w:p w14:paraId="233110BC" w14:textId="77777777" w:rsidR="0096040D" w:rsidRDefault="00833E59" w:rsidP="009D7733">
      <w:pPr>
        <w:jc w:val="both"/>
        <w:rPr>
          <w:rFonts w:asciiTheme="majorBidi" w:hAnsiTheme="majorBidi" w:cstheme="majorBidi"/>
        </w:rPr>
      </w:pPr>
      <w:r w:rsidRPr="00833E59">
        <w:rPr>
          <w:rFonts w:asciiTheme="majorBidi" w:hAnsiTheme="majorBidi" w:cstheme="majorBidi"/>
        </w:rPr>
        <w:t xml:space="preserve">La Tunisie a récemment adopté une </w:t>
      </w:r>
      <w:r w:rsidRPr="00833E59">
        <w:rPr>
          <w:rFonts w:asciiTheme="majorBidi" w:hAnsiTheme="majorBidi" w:cstheme="majorBidi"/>
          <w:b/>
          <w:bCs/>
        </w:rPr>
        <w:t>approche familiale</w:t>
      </w:r>
      <w:r w:rsidRPr="00833E59">
        <w:rPr>
          <w:rFonts w:asciiTheme="majorBidi" w:hAnsiTheme="majorBidi" w:cstheme="majorBidi"/>
        </w:rPr>
        <w:t xml:space="preserve"> dans les politiques de genre, en insistant sur le rôle des femmes dans la famille plutôt que comme sujets autonomes.</w:t>
      </w:r>
      <w:r w:rsidR="0096040D">
        <w:rPr>
          <w:rFonts w:asciiTheme="majorBidi" w:hAnsiTheme="majorBidi" w:cstheme="majorBidi"/>
        </w:rPr>
        <w:t xml:space="preserve"> </w:t>
      </w:r>
      <w:r w:rsidR="0096040D">
        <w:rPr>
          <w:rStyle w:val="Appelnotedebasdep"/>
          <w:rFonts w:asciiTheme="majorBidi" w:hAnsiTheme="majorBidi" w:cstheme="majorBidi"/>
        </w:rPr>
        <w:footnoteReference w:id="15"/>
      </w:r>
      <w:r w:rsidRPr="00833E59">
        <w:rPr>
          <w:rFonts w:asciiTheme="majorBidi" w:hAnsiTheme="majorBidi" w:cstheme="majorBidi"/>
        </w:rPr>
        <w:t xml:space="preserve"> </w:t>
      </w:r>
      <w:r w:rsidR="0096040D" w:rsidRPr="0096040D">
        <w:rPr>
          <w:rFonts w:asciiTheme="majorBidi" w:hAnsiTheme="majorBidi" w:cstheme="majorBidi"/>
        </w:rPr>
        <w:t xml:space="preserve">Cette orientation est institutionnalisée à travers le </w:t>
      </w:r>
      <w:r w:rsidR="0096040D" w:rsidRPr="0096040D">
        <w:rPr>
          <w:rFonts w:asciiTheme="majorBidi" w:hAnsiTheme="majorBidi" w:cstheme="majorBidi"/>
          <w:b/>
          <w:bCs/>
        </w:rPr>
        <w:t>décret gouvernemental n°2018</w:t>
      </w:r>
      <w:r w:rsidR="0096040D" w:rsidRPr="0096040D">
        <w:rPr>
          <w:rFonts w:asciiTheme="majorBidi" w:hAnsiTheme="majorBidi" w:cstheme="majorBidi"/>
          <w:b/>
          <w:bCs/>
        </w:rPr>
        <w:noBreakHyphen/>
        <w:t>166 du 13 février 2018</w:t>
      </w:r>
      <w:r w:rsidR="0096040D" w:rsidRPr="0096040D">
        <w:rPr>
          <w:rFonts w:asciiTheme="majorBidi" w:hAnsiTheme="majorBidi" w:cstheme="majorBidi"/>
        </w:rPr>
        <w:t xml:space="preserve">, qui a rebaptisé le ministère en charge de ces questions en « Ministère de la Femme, de la Famille, de l’Enfance et des Personnes âgées », élargissant ainsi son champ d’action au détriment d’une approche féministe centrée sur l’autonomisation. Cette vision se reflète également dans la communication officielle de ce ministère, où les femmes sont majoritairement représentées sous les traits de </w:t>
      </w:r>
      <w:r w:rsidR="0096040D" w:rsidRPr="0096040D">
        <w:rPr>
          <w:rFonts w:asciiTheme="majorBidi" w:hAnsiTheme="majorBidi" w:cstheme="majorBidi"/>
          <w:b/>
          <w:bCs/>
        </w:rPr>
        <w:t>mères protectrices, éducatrices ou piliers de la famille</w:t>
      </w:r>
      <w:r w:rsidR="0096040D" w:rsidRPr="0096040D">
        <w:rPr>
          <w:rFonts w:asciiTheme="majorBidi" w:hAnsiTheme="majorBidi" w:cstheme="majorBidi"/>
        </w:rPr>
        <w:t xml:space="preserve">, et rarement comme </w:t>
      </w:r>
      <w:r w:rsidR="0096040D" w:rsidRPr="0096040D">
        <w:rPr>
          <w:rFonts w:asciiTheme="majorBidi" w:hAnsiTheme="majorBidi" w:cstheme="majorBidi"/>
          <w:b/>
          <w:bCs/>
        </w:rPr>
        <w:t>actrices économiques autonomes</w:t>
      </w:r>
      <w:r w:rsidR="0096040D" w:rsidRPr="0096040D">
        <w:rPr>
          <w:rFonts w:asciiTheme="majorBidi" w:hAnsiTheme="majorBidi" w:cstheme="majorBidi"/>
        </w:rPr>
        <w:t xml:space="preserve"> ou </w:t>
      </w:r>
      <w:r w:rsidR="0096040D" w:rsidRPr="0096040D">
        <w:rPr>
          <w:rFonts w:asciiTheme="majorBidi" w:hAnsiTheme="majorBidi" w:cstheme="majorBidi"/>
          <w:b/>
          <w:bCs/>
        </w:rPr>
        <w:t>leaders dans la vie publique</w:t>
      </w:r>
      <w:r w:rsidR="0096040D" w:rsidRPr="0096040D">
        <w:rPr>
          <w:rFonts w:asciiTheme="majorBidi" w:hAnsiTheme="majorBidi" w:cstheme="majorBidi"/>
        </w:rPr>
        <w:t>.</w:t>
      </w:r>
      <w:r w:rsidR="0096040D">
        <w:rPr>
          <w:rFonts w:asciiTheme="majorBidi" w:hAnsiTheme="majorBidi" w:cstheme="majorBidi"/>
        </w:rPr>
        <w:t xml:space="preserve"> </w:t>
      </w:r>
    </w:p>
    <w:p w14:paraId="0C4AB1C8" w14:textId="2245CF3F" w:rsidR="00833E59" w:rsidRPr="00833E59" w:rsidRDefault="00833E59" w:rsidP="009D7733">
      <w:pPr>
        <w:jc w:val="both"/>
        <w:rPr>
          <w:rFonts w:asciiTheme="majorBidi" w:hAnsiTheme="majorBidi" w:cstheme="majorBidi"/>
        </w:rPr>
      </w:pPr>
      <w:r w:rsidRPr="00833E59">
        <w:rPr>
          <w:rFonts w:asciiTheme="majorBidi" w:hAnsiTheme="majorBidi" w:cstheme="majorBidi"/>
        </w:rPr>
        <w:t xml:space="preserve">Par ailleurs, les programmes comme </w:t>
      </w:r>
      <w:proofErr w:type="spellStart"/>
      <w:r w:rsidRPr="00833E59">
        <w:rPr>
          <w:rFonts w:asciiTheme="majorBidi" w:hAnsiTheme="majorBidi" w:cstheme="majorBidi"/>
          <w:b/>
          <w:bCs/>
        </w:rPr>
        <w:t>Raidet</w:t>
      </w:r>
      <w:proofErr w:type="spellEnd"/>
      <w:r w:rsidRPr="00833E59">
        <w:rPr>
          <w:rFonts w:asciiTheme="majorBidi" w:hAnsiTheme="majorBidi" w:cstheme="majorBidi"/>
        </w:rPr>
        <w:t xml:space="preserve"> (appui à l'entrepreneuriat féminin)</w:t>
      </w:r>
      <w:r w:rsidR="0096040D">
        <w:rPr>
          <w:rStyle w:val="Appelnotedebasdep"/>
          <w:rFonts w:asciiTheme="majorBidi" w:hAnsiTheme="majorBidi" w:cstheme="majorBidi"/>
        </w:rPr>
        <w:footnoteReference w:id="16"/>
      </w:r>
      <w:r w:rsidRPr="00833E59">
        <w:rPr>
          <w:rFonts w:asciiTheme="majorBidi" w:hAnsiTheme="majorBidi" w:cstheme="majorBidi"/>
        </w:rPr>
        <w:t xml:space="preserve"> et </w:t>
      </w:r>
      <w:proofErr w:type="spellStart"/>
      <w:r w:rsidRPr="00833E59">
        <w:rPr>
          <w:rFonts w:asciiTheme="majorBidi" w:hAnsiTheme="majorBidi" w:cstheme="majorBidi"/>
          <w:b/>
          <w:bCs/>
        </w:rPr>
        <w:t>Samida</w:t>
      </w:r>
      <w:proofErr w:type="spellEnd"/>
      <w:r w:rsidRPr="00833E59">
        <w:rPr>
          <w:rFonts w:asciiTheme="majorBidi" w:hAnsiTheme="majorBidi" w:cstheme="majorBidi"/>
        </w:rPr>
        <w:t xml:space="preserve"> (aide aux femmes survivantes de violences) restent </w:t>
      </w:r>
      <w:r w:rsidRPr="00833E59">
        <w:rPr>
          <w:rFonts w:asciiTheme="majorBidi" w:hAnsiTheme="majorBidi" w:cstheme="majorBidi"/>
          <w:b/>
          <w:bCs/>
        </w:rPr>
        <w:t>insuffisants</w:t>
      </w:r>
      <w:r w:rsidR="008F0580">
        <w:rPr>
          <w:rStyle w:val="Appelnotedebasdep"/>
          <w:rFonts w:asciiTheme="majorBidi" w:hAnsiTheme="majorBidi" w:cstheme="majorBidi"/>
          <w:b/>
          <w:bCs/>
        </w:rPr>
        <w:footnoteReference w:id="17"/>
      </w:r>
      <w:r w:rsidRPr="00833E59">
        <w:rPr>
          <w:rFonts w:asciiTheme="majorBidi" w:hAnsiTheme="majorBidi" w:cstheme="majorBidi"/>
        </w:rPr>
        <w:t xml:space="preserve"> : faibles dotations, procédures complexes, et couverture limitée.</w:t>
      </w:r>
    </w:p>
    <w:p w14:paraId="28930546" w14:textId="1CE01E2F" w:rsidR="00833E59" w:rsidRDefault="00833E59" w:rsidP="009D7733">
      <w:pPr>
        <w:jc w:val="both"/>
        <w:rPr>
          <w:rFonts w:asciiTheme="majorBidi" w:hAnsiTheme="majorBidi" w:cstheme="majorBidi"/>
        </w:rPr>
      </w:pPr>
      <w:r w:rsidRPr="00833E59">
        <w:rPr>
          <w:rFonts w:asciiTheme="majorBidi" w:hAnsiTheme="majorBidi" w:cstheme="majorBidi"/>
        </w:rPr>
        <w:lastRenderedPageBreak/>
        <w:t xml:space="preserve">Selon le ministère de la Femme, </w:t>
      </w:r>
      <w:r w:rsidRPr="00833E59">
        <w:rPr>
          <w:rFonts w:asciiTheme="majorBidi" w:hAnsiTheme="majorBidi" w:cstheme="majorBidi"/>
          <w:b/>
          <w:bCs/>
        </w:rPr>
        <w:t xml:space="preserve">seulement </w:t>
      </w:r>
      <w:r w:rsidR="002762B4">
        <w:rPr>
          <w:rFonts w:asciiTheme="majorBidi" w:hAnsiTheme="majorBidi" w:cstheme="majorBidi"/>
          <w:b/>
          <w:bCs/>
        </w:rPr>
        <w:t>3898</w:t>
      </w:r>
      <w:r w:rsidRPr="00833E59">
        <w:rPr>
          <w:rFonts w:asciiTheme="majorBidi" w:hAnsiTheme="majorBidi" w:cstheme="majorBidi"/>
          <w:b/>
          <w:bCs/>
        </w:rPr>
        <w:t xml:space="preserve"> femmes</w:t>
      </w:r>
      <w:r w:rsidR="008F0580">
        <w:rPr>
          <w:rFonts w:asciiTheme="majorBidi" w:hAnsiTheme="majorBidi" w:cstheme="majorBidi"/>
          <w:b/>
          <w:bCs/>
        </w:rPr>
        <w:t xml:space="preserve"> en 2023</w:t>
      </w:r>
      <w:r w:rsidRPr="00833E59">
        <w:rPr>
          <w:rFonts w:asciiTheme="majorBidi" w:hAnsiTheme="majorBidi" w:cstheme="majorBidi"/>
        </w:rPr>
        <w:t xml:space="preserve"> ont bénéficié de </w:t>
      </w:r>
      <w:proofErr w:type="spellStart"/>
      <w:r w:rsidRPr="00833E59">
        <w:rPr>
          <w:rFonts w:asciiTheme="majorBidi" w:hAnsiTheme="majorBidi" w:cstheme="majorBidi"/>
        </w:rPr>
        <w:t>Raidet</w:t>
      </w:r>
      <w:proofErr w:type="spellEnd"/>
      <w:r w:rsidRPr="00833E59">
        <w:rPr>
          <w:rFonts w:asciiTheme="majorBidi" w:hAnsiTheme="majorBidi" w:cstheme="majorBidi"/>
        </w:rPr>
        <w:t xml:space="preserve"> depuis son lancement, alors que </w:t>
      </w:r>
      <w:r w:rsidRPr="00833E59">
        <w:rPr>
          <w:rFonts w:asciiTheme="majorBidi" w:hAnsiTheme="majorBidi" w:cstheme="majorBidi"/>
          <w:b/>
          <w:bCs/>
        </w:rPr>
        <w:t xml:space="preserve">plus de </w:t>
      </w:r>
      <w:r w:rsidR="002762B4">
        <w:rPr>
          <w:rFonts w:asciiTheme="majorBidi" w:hAnsiTheme="majorBidi" w:cstheme="majorBidi"/>
          <w:b/>
          <w:bCs/>
        </w:rPr>
        <w:t>16800</w:t>
      </w:r>
      <w:r w:rsidRPr="00833E59">
        <w:rPr>
          <w:rFonts w:asciiTheme="majorBidi" w:hAnsiTheme="majorBidi" w:cstheme="majorBidi"/>
          <w:b/>
          <w:bCs/>
        </w:rPr>
        <w:t xml:space="preserve"> femmes</w:t>
      </w:r>
      <w:r w:rsidRPr="00833E59">
        <w:rPr>
          <w:rFonts w:asciiTheme="majorBidi" w:hAnsiTheme="majorBidi" w:cstheme="majorBidi"/>
        </w:rPr>
        <w:t xml:space="preserve"> se déclarent demandeuses d’un appui entrepreneurial.</w:t>
      </w:r>
      <w:r w:rsidR="008F0580">
        <w:rPr>
          <w:rStyle w:val="Appelnotedebasdep"/>
          <w:rFonts w:asciiTheme="majorBidi" w:hAnsiTheme="majorBidi" w:cstheme="majorBidi"/>
        </w:rPr>
        <w:footnoteReference w:id="18"/>
      </w:r>
      <w:r w:rsidR="008F0580">
        <w:rPr>
          <w:rFonts w:asciiTheme="majorBidi" w:hAnsiTheme="majorBidi" w:cstheme="majorBidi"/>
        </w:rPr>
        <w:t xml:space="preserve"> </w:t>
      </w:r>
      <w:r w:rsidR="008F0580" w:rsidRPr="008F0580">
        <w:rPr>
          <w:rFonts w:asciiTheme="majorBidi" w:hAnsiTheme="majorBidi" w:cstheme="majorBidi"/>
        </w:rPr>
        <w:t>Par ailleurs, ce faible nombre de bénéficiaires n’a pas fait l’objet d’un suivi rigoureux pour évaluer la satisfaction ou la réussite réelle de leurs projets. Plusieurs témoignages soulignent que, en raison de conditions peu adaptées et d’un accompagnement insuffisant, de nombreuses femmes rencontrent des difficultés à mener à bien leurs initiatives. Cela révèle un manque de stratégie claire et approfondie, notamment en matière de formation à la gestion de projets et du suivi des micro-crédits, ce qui limite considérablement l’impact réel du programme sur l’autonomisation économique des femmes.</w:t>
      </w:r>
    </w:p>
    <w:p w14:paraId="733922F4" w14:textId="781AA640" w:rsidR="00B15631" w:rsidRPr="00833E59" w:rsidRDefault="00B15631" w:rsidP="00B15631">
      <w:pPr>
        <w:jc w:val="both"/>
        <w:rPr>
          <w:rFonts w:asciiTheme="majorBidi" w:hAnsiTheme="majorBidi" w:cstheme="majorBidi"/>
          <w:rtl/>
          <w:lang w:bidi="ar-TN"/>
        </w:rPr>
      </w:pPr>
      <w:r w:rsidRPr="00C64EE2">
        <w:rPr>
          <w:rFonts w:asciiTheme="majorBidi" w:hAnsiTheme="majorBidi" w:cstheme="majorBidi"/>
          <w:b/>
          <w:bCs/>
          <w:lang w:bidi="ar-TN"/>
        </w:rPr>
        <w:t>De surcroît</w:t>
      </w:r>
      <w:r w:rsidRPr="00C64EE2">
        <w:rPr>
          <w:rFonts w:asciiTheme="majorBidi" w:hAnsiTheme="majorBidi" w:cstheme="majorBidi"/>
          <w:lang w:bidi="ar-TN"/>
        </w:rPr>
        <w:t xml:space="preserve">, la stratégie actuelle d’autonomisation économique </w:t>
      </w:r>
      <w:r w:rsidRPr="00C64EE2">
        <w:rPr>
          <w:rFonts w:asciiTheme="majorBidi" w:hAnsiTheme="majorBidi" w:cstheme="majorBidi"/>
          <w:b/>
          <w:bCs/>
          <w:lang w:bidi="ar-TN"/>
        </w:rPr>
        <w:t>ne prend pas suffisamment en compte les femmes en situation de handicap</w:t>
      </w:r>
      <w:r w:rsidRPr="00C64EE2">
        <w:rPr>
          <w:rFonts w:asciiTheme="majorBidi" w:hAnsiTheme="majorBidi" w:cstheme="majorBidi"/>
          <w:lang w:bidi="ar-TN"/>
        </w:rPr>
        <w:t xml:space="preserve">. Selon les chiffres officiels, environ 3 800 femmes ont bénéficié des programmes </w:t>
      </w:r>
      <w:proofErr w:type="spellStart"/>
      <w:r w:rsidRPr="00C64EE2">
        <w:rPr>
          <w:rFonts w:asciiTheme="majorBidi" w:hAnsiTheme="majorBidi" w:cstheme="majorBidi"/>
          <w:lang w:bidi="ar-TN"/>
        </w:rPr>
        <w:t>Raidet</w:t>
      </w:r>
      <w:proofErr w:type="spellEnd"/>
      <w:r w:rsidRPr="00C64EE2">
        <w:rPr>
          <w:rFonts w:asciiTheme="majorBidi" w:hAnsiTheme="majorBidi" w:cstheme="majorBidi"/>
          <w:lang w:bidi="ar-TN"/>
        </w:rPr>
        <w:t xml:space="preserve"> et </w:t>
      </w:r>
      <w:proofErr w:type="spellStart"/>
      <w:r w:rsidRPr="00C64EE2">
        <w:rPr>
          <w:rFonts w:asciiTheme="majorBidi" w:hAnsiTheme="majorBidi" w:cstheme="majorBidi"/>
          <w:lang w:bidi="ar-TN"/>
        </w:rPr>
        <w:t>Samida</w:t>
      </w:r>
      <w:proofErr w:type="spellEnd"/>
      <w:r w:rsidRPr="00C64EE2">
        <w:rPr>
          <w:rFonts w:asciiTheme="majorBidi" w:hAnsiTheme="majorBidi" w:cstheme="majorBidi"/>
          <w:lang w:bidi="ar-TN"/>
        </w:rPr>
        <w:t xml:space="preserve"> entre 2022 et 2023. Toutefois, aucune donnée ventilée n’est disponible concernant la participation des femmes handicapées, ce qui reflète un manque d’intégration de cette dimension dans les politiques publiques. Sur la base d'observations et de retours de terrain, on estime que ces femmes représentent </w:t>
      </w:r>
      <w:r w:rsidRPr="00C64EE2">
        <w:rPr>
          <w:rFonts w:asciiTheme="majorBidi" w:hAnsiTheme="majorBidi" w:cstheme="majorBidi"/>
          <w:b/>
          <w:bCs/>
          <w:lang w:bidi="ar-TN"/>
        </w:rPr>
        <w:t>moins de 3 %</w:t>
      </w:r>
      <w:r w:rsidRPr="00C64EE2">
        <w:rPr>
          <w:rFonts w:asciiTheme="majorBidi" w:hAnsiTheme="majorBidi" w:cstheme="majorBidi"/>
          <w:lang w:bidi="ar-TN"/>
        </w:rPr>
        <w:t xml:space="preserve"> des bénéficiaires, traduisant une exclusion systémique. L’absence d’aménagements accessibles, de dispositifs de soutien technique ou de financement adapté empêche leur pleine inclusion, en contradiction avec le principe d’égalité des chances et d’universalité des politiques d’autonomisation.</w:t>
      </w:r>
    </w:p>
    <w:p w14:paraId="3AE6E91F" w14:textId="6B092D89" w:rsidR="009D7733" w:rsidRDefault="00B13E27" w:rsidP="00C64EE2">
      <w:pPr>
        <w:rPr>
          <w:rFonts w:asciiTheme="majorBidi" w:hAnsiTheme="majorBidi" w:cstheme="majorBidi"/>
        </w:rPr>
      </w:pPr>
      <w:r w:rsidRPr="00833E59">
        <w:rPr>
          <w:rFonts w:asciiTheme="majorBidi" w:hAnsiTheme="majorBidi" w:cstheme="majorBidi"/>
          <w:b/>
          <w:bCs/>
        </w:rPr>
        <w:t>Recommandation :</w:t>
      </w:r>
      <w:r w:rsidR="00833E59" w:rsidRPr="00833E59">
        <w:rPr>
          <w:rFonts w:asciiTheme="majorBidi" w:hAnsiTheme="majorBidi" w:cstheme="majorBidi"/>
        </w:rPr>
        <w:br/>
      </w:r>
      <w:r w:rsidR="00C64EE2">
        <w:rPr>
          <w:rFonts w:asciiTheme="majorBidi" w:hAnsiTheme="majorBidi" w:cstheme="majorBidi"/>
        </w:rPr>
        <w:t>-</w:t>
      </w:r>
      <w:r w:rsidR="00B15631">
        <w:rPr>
          <w:rFonts w:asciiTheme="majorBidi" w:hAnsiTheme="majorBidi" w:cstheme="majorBidi"/>
        </w:rPr>
        <w:t>A</w:t>
      </w:r>
      <w:r w:rsidR="00B15631" w:rsidRPr="00B15631">
        <w:rPr>
          <w:rFonts w:asciiTheme="majorBidi" w:hAnsiTheme="majorBidi" w:cstheme="majorBidi"/>
        </w:rPr>
        <w:t xml:space="preserve">ugmenter de 50 % le budget alloué au programme </w:t>
      </w:r>
      <w:proofErr w:type="spellStart"/>
      <w:r w:rsidR="00B15631" w:rsidRPr="00B15631">
        <w:rPr>
          <w:rFonts w:asciiTheme="majorBidi" w:hAnsiTheme="majorBidi" w:cstheme="majorBidi"/>
        </w:rPr>
        <w:t>Raidet</w:t>
      </w:r>
      <w:proofErr w:type="spellEnd"/>
      <w:r w:rsidR="00B15631" w:rsidRPr="00B15631">
        <w:rPr>
          <w:rFonts w:asciiTheme="majorBidi" w:hAnsiTheme="majorBidi" w:cstheme="majorBidi"/>
        </w:rPr>
        <w:t>, tout en révisant ses critères d’éligibilité pour élargir l’accès aux femmes sans garanties financières, y compris les femmes en situation de handicap.</w:t>
      </w:r>
      <w:r w:rsidR="00B15631" w:rsidRPr="00B15631">
        <w:rPr>
          <w:rFonts w:asciiTheme="majorBidi" w:hAnsiTheme="majorBidi" w:cstheme="majorBidi"/>
        </w:rPr>
        <w:br/>
      </w:r>
      <w:r w:rsidR="00C64EE2">
        <w:rPr>
          <w:rFonts w:asciiTheme="majorBidi" w:hAnsiTheme="majorBidi" w:cstheme="majorBidi"/>
        </w:rPr>
        <w:t>-</w:t>
      </w:r>
      <w:r w:rsidR="00B15631" w:rsidRPr="00B15631">
        <w:rPr>
          <w:rFonts w:asciiTheme="majorBidi" w:hAnsiTheme="majorBidi" w:cstheme="majorBidi"/>
        </w:rPr>
        <w:t>Mettre en place un dispositif d’évaluation annuelle basé sur des indicateurs de durabilité des projets, de taux de réussite économique, et d’impact réel sur l’autonomisation des bénéficiaires, en incluant une ventilation des données par situation de handicap, âge, région et statut socio-économique.</w:t>
      </w:r>
      <w:r w:rsidR="00B15631" w:rsidRPr="00B15631">
        <w:rPr>
          <w:rFonts w:asciiTheme="majorBidi" w:hAnsiTheme="majorBidi" w:cstheme="majorBidi"/>
        </w:rPr>
        <w:br/>
      </w:r>
      <w:r w:rsidR="00C64EE2">
        <w:rPr>
          <w:rFonts w:asciiTheme="majorBidi" w:hAnsiTheme="majorBidi" w:cstheme="majorBidi"/>
        </w:rPr>
        <w:t>-</w:t>
      </w:r>
      <w:r w:rsidR="00B15631" w:rsidRPr="00B15631">
        <w:rPr>
          <w:rFonts w:asciiTheme="majorBidi" w:hAnsiTheme="majorBidi" w:cstheme="majorBidi"/>
        </w:rPr>
        <w:t xml:space="preserve">Publier chaque année un </w:t>
      </w:r>
      <w:r w:rsidR="00B15631" w:rsidRPr="00B15631">
        <w:rPr>
          <w:rFonts w:asciiTheme="majorBidi" w:hAnsiTheme="majorBidi" w:cstheme="majorBidi"/>
          <w:b/>
          <w:bCs/>
        </w:rPr>
        <w:t>rapport d’impact genré et inclusif</w:t>
      </w:r>
      <w:r w:rsidR="00B15631" w:rsidRPr="00B15631">
        <w:rPr>
          <w:rFonts w:asciiTheme="majorBidi" w:hAnsiTheme="majorBidi" w:cstheme="majorBidi"/>
        </w:rPr>
        <w:t>, accessible au public.</w:t>
      </w:r>
      <w:r w:rsidR="00B15631" w:rsidRPr="00B15631">
        <w:rPr>
          <w:rFonts w:asciiTheme="majorBidi" w:hAnsiTheme="majorBidi" w:cstheme="majorBidi"/>
        </w:rPr>
        <w:br/>
      </w:r>
      <w:r w:rsidR="00C64EE2">
        <w:rPr>
          <w:rFonts w:asciiTheme="majorBidi" w:hAnsiTheme="majorBidi" w:cstheme="majorBidi"/>
        </w:rPr>
        <w:t>-S</w:t>
      </w:r>
      <w:r w:rsidR="00B15631" w:rsidRPr="00B15631">
        <w:rPr>
          <w:rFonts w:asciiTheme="majorBidi" w:hAnsiTheme="majorBidi" w:cstheme="majorBidi"/>
        </w:rPr>
        <w:t>implifier les procédures administratives d’accès au programme, garantir l’accessibilité physique et numérique des guichets, et intégrer un accompagnement personnalisé pour les femmes issues de milieux précaires, rurales ou handicapées, avec l’objectif de doubler leur taux de participation d’ici 2027.</w:t>
      </w:r>
    </w:p>
    <w:p w14:paraId="2644E135" w14:textId="77777777" w:rsidR="00232831" w:rsidRDefault="00232831" w:rsidP="00C64EE2">
      <w:pPr>
        <w:rPr>
          <w:rFonts w:asciiTheme="majorBidi" w:hAnsiTheme="majorBidi" w:cstheme="majorBidi"/>
        </w:rPr>
      </w:pPr>
    </w:p>
    <w:p w14:paraId="48404873" w14:textId="77777777" w:rsidR="00232831" w:rsidRPr="00833E59" w:rsidRDefault="00232831" w:rsidP="00C64EE2">
      <w:pPr>
        <w:rPr>
          <w:rFonts w:asciiTheme="majorBidi" w:hAnsiTheme="majorBidi" w:cstheme="majorBidi"/>
        </w:rPr>
      </w:pPr>
    </w:p>
    <w:p w14:paraId="78FF6A1C" w14:textId="269067EE" w:rsidR="00833E59" w:rsidRPr="00833E59" w:rsidRDefault="00833E59" w:rsidP="009D7733">
      <w:pPr>
        <w:pStyle w:val="Paragraphedeliste"/>
        <w:numPr>
          <w:ilvl w:val="0"/>
          <w:numId w:val="9"/>
        </w:numPr>
        <w:jc w:val="both"/>
        <w:rPr>
          <w:rFonts w:asciiTheme="majorBidi" w:hAnsiTheme="majorBidi" w:cstheme="majorBidi"/>
          <w:b/>
          <w:bCs/>
        </w:rPr>
      </w:pPr>
      <w:r w:rsidRPr="00833E59">
        <w:rPr>
          <w:rFonts w:asciiTheme="majorBidi" w:hAnsiTheme="majorBidi" w:cstheme="majorBidi"/>
          <w:b/>
          <w:bCs/>
        </w:rPr>
        <w:lastRenderedPageBreak/>
        <w:t>Violences fondées sur le genre et non-exécution de la loi 58-2017</w:t>
      </w:r>
    </w:p>
    <w:p w14:paraId="7996AB3B" w14:textId="77777777" w:rsidR="00833E59" w:rsidRPr="00833E59" w:rsidRDefault="00833E59" w:rsidP="009D7733">
      <w:pPr>
        <w:jc w:val="both"/>
        <w:rPr>
          <w:rFonts w:asciiTheme="majorBidi" w:hAnsiTheme="majorBidi" w:cstheme="majorBidi"/>
        </w:rPr>
      </w:pPr>
      <w:r w:rsidRPr="00833E59">
        <w:rPr>
          <w:rFonts w:asciiTheme="majorBidi" w:hAnsiTheme="majorBidi" w:cstheme="majorBidi"/>
        </w:rPr>
        <w:t xml:space="preserve">Bien que la </w:t>
      </w:r>
      <w:r w:rsidRPr="00833E59">
        <w:rPr>
          <w:rFonts w:asciiTheme="majorBidi" w:hAnsiTheme="majorBidi" w:cstheme="majorBidi"/>
          <w:b/>
          <w:bCs/>
        </w:rPr>
        <w:t>loi 58-2017</w:t>
      </w:r>
      <w:r w:rsidRPr="00833E59">
        <w:rPr>
          <w:rFonts w:asciiTheme="majorBidi" w:hAnsiTheme="majorBidi" w:cstheme="majorBidi"/>
        </w:rPr>
        <w:t xml:space="preserve"> prévoie des mesures contre toutes les formes de violence à l’égard des femmes, sa mise en œuvre demeure fragmentaire.</w:t>
      </w:r>
    </w:p>
    <w:p w14:paraId="47812B8B" w14:textId="47251049" w:rsidR="00CB6BFB" w:rsidRPr="00CB6BFB" w:rsidRDefault="00CB6BFB" w:rsidP="009D7733">
      <w:pPr>
        <w:jc w:val="both"/>
        <w:rPr>
          <w:rFonts w:asciiTheme="majorBidi" w:hAnsiTheme="majorBidi" w:cstheme="majorBidi"/>
        </w:rPr>
      </w:pPr>
      <w:r w:rsidRPr="00CB6BFB">
        <w:rPr>
          <w:rFonts w:asciiTheme="majorBidi" w:hAnsiTheme="majorBidi" w:cstheme="majorBidi"/>
        </w:rPr>
        <w:t>L’augmentation préoccupante des violences à l’égard des femmes en Tunisie constitue une violation manifeste des obligations de l’État au titre du Pacte international relatif aux droits économiques, sociaux et culturels (DESC), notamment en ce qui concerne le droit à la sécurité, à la protection sociale, au logement et à la santé. Selon les données de l’Institut National de la Statistique</w:t>
      </w:r>
      <w:r w:rsidR="00C64EE2">
        <w:rPr>
          <w:rFonts w:asciiTheme="majorBidi" w:hAnsiTheme="majorBidi" w:cstheme="majorBidi"/>
        </w:rPr>
        <w:t xml:space="preserve">, </w:t>
      </w:r>
      <w:r w:rsidRPr="00CB6BFB">
        <w:rPr>
          <w:rFonts w:asciiTheme="majorBidi" w:hAnsiTheme="majorBidi" w:cstheme="majorBidi"/>
        </w:rPr>
        <w:t>le taux de violences physiques et psychologiques envers les femmes a augmenté de manière significative ces dernières années</w:t>
      </w:r>
      <w:r w:rsidR="003B5907">
        <w:rPr>
          <w:rFonts w:asciiTheme="majorBidi" w:hAnsiTheme="majorBidi" w:cstheme="majorBidi"/>
        </w:rPr>
        <w:t>,</w:t>
      </w:r>
      <w:r w:rsidR="003B5907" w:rsidRPr="003B5907">
        <w:rPr>
          <w:rFonts w:asciiTheme="majorBidi" w:hAnsiTheme="majorBidi" w:cstheme="majorBidi"/>
          <w:b/>
          <w:bCs/>
        </w:rPr>
        <w:t>84,7 % des femmes en Tunisie ont déclaré avoir été exposées à au moins une forme de violence au cours de leur vie</w:t>
      </w:r>
      <w:r w:rsidR="003B5907" w:rsidRPr="003B5907">
        <w:rPr>
          <w:rFonts w:asciiTheme="majorBidi" w:hAnsiTheme="majorBidi" w:cstheme="majorBidi"/>
        </w:rPr>
        <w:t>,</w:t>
      </w:r>
      <w:r w:rsidRPr="00CB6BFB">
        <w:rPr>
          <w:rFonts w:asciiTheme="majorBidi" w:hAnsiTheme="majorBidi" w:cstheme="majorBidi"/>
        </w:rPr>
        <w:t>.</w:t>
      </w:r>
      <w:r w:rsidR="00A630E3">
        <w:rPr>
          <w:rStyle w:val="Appelnotedebasdep"/>
          <w:rFonts w:asciiTheme="majorBidi" w:hAnsiTheme="majorBidi" w:cstheme="majorBidi"/>
        </w:rPr>
        <w:footnoteReference w:id="19"/>
      </w:r>
      <w:r w:rsidRPr="00CB6BFB">
        <w:rPr>
          <w:rFonts w:asciiTheme="majorBidi" w:hAnsiTheme="majorBidi" w:cstheme="majorBidi"/>
        </w:rPr>
        <w:t xml:space="preserve"> Par ailleurs, le nombre de féminicides a également crû</w:t>
      </w:r>
      <w:r w:rsidR="003B5907">
        <w:rPr>
          <w:rFonts w:asciiTheme="majorBidi" w:hAnsiTheme="majorBidi" w:cstheme="majorBidi"/>
        </w:rPr>
        <w:t xml:space="preserve"> </w:t>
      </w:r>
      <w:r w:rsidR="003B5907" w:rsidRPr="003B5907">
        <w:rPr>
          <w:rFonts w:asciiTheme="majorBidi" w:hAnsiTheme="majorBidi" w:cstheme="majorBidi"/>
          <w:b/>
          <w:bCs/>
        </w:rPr>
        <w:t>51 cas de féminicide ont été enregistrés entre 2023 et 2024</w:t>
      </w:r>
      <w:r w:rsidR="003B5907" w:rsidRPr="003B5907">
        <w:rPr>
          <w:rFonts w:asciiTheme="majorBidi" w:hAnsiTheme="majorBidi" w:cstheme="majorBidi"/>
        </w:rPr>
        <w:t>, selon les données recueillies par les organisations de la société civile</w:t>
      </w:r>
      <w:r w:rsidRPr="00CB6BFB">
        <w:rPr>
          <w:rFonts w:asciiTheme="majorBidi" w:hAnsiTheme="majorBidi" w:cstheme="majorBidi"/>
        </w:rPr>
        <w:t>, avec une majorité des cas survenant au sein du domicile conjugal, révélant la vulnérabilité des femmes au sein même de leur foyer.</w:t>
      </w:r>
      <w:r w:rsidR="00E3232B">
        <w:rPr>
          <w:rStyle w:val="Appelnotedebasdep"/>
          <w:rFonts w:asciiTheme="majorBidi" w:hAnsiTheme="majorBidi" w:cstheme="majorBidi"/>
        </w:rPr>
        <w:footnoteReference w:id="20"/>
      </w:r>
    </w:p>
    <w:p w14:paraId="41703CDA" w14:textId="1E936D48" w:rsidR="00CB6BFB" w:rsidRDefault="00CB6BFB" w:rsidP="009D7733">
      <w:pPr>
        <w:jc w:val="both"/>
        <w:rPr>
          <w:rFonts w:asciiTheme="majorBidi" w:hAnsiTheme="majorBidi" w:cstheme="majorBidi"/>
        </w:rPr>
      </w:pPr>
      <w:r w:rsidRPr="00CB6BFB">
        <w:rPr>
          <w:rFonts w:asciiTheme="majorBidi" w:hAnsiTheme="majorBidi" w:cstheme="majorBidi"/>
        </w:rPr>
        <w:t>Ce constat est aggravé par l’insuffisance des infrastructures et des moyens alloués aux centres d’hébergement pour les femmes victimes de violences. Le nombre de places disponibles reste très limité</w:t>
      </w:r>
      <w:r w:rsidR="003B5907">
        <w:rPr>
          <w:rStyle w:val="Appelnotedebasdep"/>
          <w:rFonts w:asciiTheme="majorBidi" w:hAnsiTheme="majorBidi" w:cstheme="majorBidi"/>
        </w:rPr>
        <w:footnoteReference w:id="21"/>
      </w:r>
      <w:r w:rsidRPr="00CB6BFB">
        <w:rPr>
          <w:rFonts w:asciiTheme="majorBidi" w:hAnsiTheme="majorBidi" w:cstheme="majorBidi"/>
        </w:rPr>
        <w:t>, tandis que la gestion de ces structures souffre de lacunes organisationnelles et financières, ce qui réduit l’accès effectif des femmes à un refuge sécurisé. En outre, les procédures judiciaires sont souvent longues et inefficaces, retardant l’octroi de mesures de protection telles que l’ordonnance de protection. Le ministère de la Femme a communiqué sur cette situation alarmante, signalant que l’augmentation des cas de féminicide reflète aussi la précarité économique des femmes, qui ne disposent souvent pas des ressources financières nécessaires pour quitter leur domicile ou accéder à un logement autonome.</w:t>
      </w:r>
      <w:r w:rsidR="006E5762">
        <w:rPr>
          <w:rStyle w:val="Appelnotedebasdep"/>
          <w:rFonts w:asciiTheme="majorBidi" w:hAnsiTheme="majorBidi" w:cstheme="majorBidi"/>
        </w:rPr>
        <w:footnoteReference w:id="22"/>
      </w:r>
    </w:p>
    <w:p w14:paraId="162249DA" w14:textId="44458E4D" w:rsidR="00025DAE" w:rsidRPr="00CB6BFB" w:rsidRDefault="00025DAE" w:rsidP="00025DAE">
      <w:pPr>
        <w:jc w:val="both"/>
        <w:rPr>
          <w:rFonts w:asciiTheme="majorBidi" w:hAnsiTheme="majorBidi" w:cstheme="majorBidi"/>
        </w:rPr>
      </w:pPr>
      <w:r w:rsidRPr="00025DAE">
        <w:rPr>
          <w:rFonts w:asciiTheme="majorBidi" w:hAnsiTheme="majorBidi" w:cstheme="majorBidi"/>
        </w:rPr>
        <w:t xml:space="preserve">Les femmes migrantes et les femmes en situation de handicap font face à de nombreuses barrières dans l’accès aux centres d’hébergement. Si les données désagrégées par type de besoin ou de handicap sont inexistantes, plusieurs rapports et témoignages dénoncent des conditions inadaptées. En ce qui concerne les centres d’hébergement de migrants, </w:t>
      </w:r>
      <w:r w:rsidRPr="00025DAE">
        <w:rPr>
          <w:rFonts w:asciiTheme="majorBidi" w:hAnsiTheme="majorBidi" w:cstheme="majorBidi"/>
          <w:b/>
          <w:bCs/>
        </w:rPr>
        <w:t xml:space="preserve">les femmes ont dénoncé </w:t>
      </w:r>
      <w:r w:rsidRPr="00025DAE">
        <w:rPr>
          <w:rFonts w:asciiTheme="majorBidi" w:hAnsiTheme="majorBidi" w:cstheme="majorBidi"/>
          <w:b/>
          <w:bCs/>
        </w:rPr>
        <w:lastRenderedPageBreak/>
        <w:t>l’insalubrité, l’absence de moyens – couvertures – et d’intimité pour elles et leurs enfants, ainsi que la présence accrue de violences entre les habitants des centres en raison de la précarité et de la surpopulation</w:t>
      </w:r>
      <w:r>
        <w:rPr>
          <w:rStyle w:val="Appelnotedebasdep"/>
          <w:rFonts w:asciiTheme="majorBidi" w:hAnsiTheme="majorBidi" w:cstheme="majorBidi"/>
          <w:b/>
          <w:bCs/>
        </w:rPr>
        <w:footnoteReference w:id="23"/>
      </w:r>
      <w:r w:rsidRPr="00025DAE">
        <w:rPr>
          <w:rFonts w:asciiTheme="majorBidi" w:hAnsiTheme="majorBidi" w:cstheme="majorBidi"/>
        </w:rPr>
        <w:t>. Quant aux femmes en situation de handicap, l’absence d’aménagements spécifiques dans la majorité des centres restreint leur accès effectif à une protection sécurisée. Cette réalité empêche l’égalité de traitement dans les politiques de lutte contre les violences basées sur le genre, et aggrave la marginalisation de ces groupes.</w:t>
      </w:r>
      <w:r>
        <w:rPr>
          <w:rFonts w:asciiTheme="majorBidi" w:hAnsiTheme="majorBidi" w:cstheme="majorBidi"/>
        </w:rPr>
        <w:t xml:space="preserve"> </w:t>
      </w:r>
    </w:p>
    <w:p w14:paraId="09DB4A5F" w14:textId="77777777" w:rsidR="00CB6BFB" w:rsidRPr="00CB6BFB" w:rsidRDefault="00CB6BFB" w:rsidP="009D7733">
      <w:pPr>
        <w:jc w:val="both"/>
        <w:rPr>
          <w:rFonts w:asciiTheme="majorBidi" w:hAnsiTheme="majorBidi" w:cstheme="majorBidi"/>
        </w:rPr>
      </w:pPr>
      <w:r w:rsidRPr="00CB6BFB">
        <w:rPr>
          <w:rFonts w:asciiTheme="majorBidi" w:hAnsiTheme="majorBidi" w:cstheme="majorBidi"/>
        </w:rPr>
        <w:t>Cette réalité illustre clairement une violation du principe d’égalité inscrit dans le Pacte DESC, qui impose à l’État d’assurer aux femmes des conditions économiques, sociales et culturelles leur permettant de vivre à l’abri de la violence et de la discrimination.</w:t>
      </w:r>
    </w:p>
    <w:p w14:paraId="3CC0C374" w14:textId="2014EDBD" w:rsidR="00CB6BFB" w:rsidRPr="00CB6BFB" w:rsidRDefault="008E31C3" w:rsidP="009D7733">
      <w:pPr>
        <w:jc w:val="both"/>
        <w:rPr>
          <w:rFonts w:asciiTheme="majorBidi" w:hAnsiTheme="majorBidi" w:cstheme="majorBidi"/>
          <w:b/>
          <w:bCs/>
        </w:rPr>
      </w:pPr>
      <w:r w:rsidRPr="00CB6BFB">
        <w:rPr>
          <w:rFonts w:asciiTheme="majorBidi" w:hAnsiTheme="majorBidi" w:cstheme="majorBidi"/>
          <w:b/>
          <w:bCs/>
        </w:rPr>
        <w:t>Recommandation :</w:t>
      </w:r>
    </w:p>
    <w:p w14:paraId="7C3F5548" w14:textId="2918A258" w:rsidR="00D81B05" w:rsidRPr="00833E59" w:rsidRDefault="00025DAE" w:rsidP="006E5762">
      <w:pPr>
        <w:jc w:val="both"/>
        <w:rPr>
          <w:rFonts w:asciiTheme="majorBidi" w:hAnsiTheme="majorBidi" w:cstheme="majorBidi"/>
        </w:rPr>
      </w:pPr>
      <w:r w:rsidRPr="00025DAE">
        <w:rPr>
          <w:rFonts w:asciiTheme="majorBidi" w:hAnsiTheme="majorBidi" w:cstheme="majorBidi"/>
        </w:rPr>
        <w:t xml:space="preserve">D’ici fin 2026, augmenter de 50 % la capacité d’accueil des centres d’hébergement pour les femmes victimes de violences dans toutes les régions, en garantissant des </w:t>
      </w:r>
      <w:r w:rsidRPr="00025DAE">
        <w:rPr>
          <w:rFonts w:asciiTheme="majorBidi" w:hAnsiTheme="majorBidi" w:cstheme="majorBidi"/>
          <w:b/>
          <w:bCs/>
        </w:rPr>
        <w:t>conditions dignes, sûres et adaptées aux besoins spécifiques</w:t>
      </w:r>
      <w:r w:rsidRPr="00025DAE">
        <w:rPr>
          <w:rFonts w:asciiTheme="majorBidi" w:hAnsiTheme="majorBidi" w:cstheme="majorBidi"/>
        </w:rPr>
        <w:t xml:space="preserve"> des femmes, notamment celles en situation de handicap ou migrantes.</w:t>
      </w:r>
      <w:r w:rsidRPr="00025DAE">
        <w:rPr>
          <w:rFonts w:asciiTheme="majorBidi" w:hAnsiTheme="majorBidi" w:cstheme="majorBidi"/>
        </w:rPr>
        <w:br/>
        <w:t>Prévoir des mécanismes d’accessibilité physique, des espaces respectant l’intimité des femmes avec enfants, et des dispositifs de médiation et de prévention des violences internes en cas de surpopulation.</w:t>
      </w:r>
      <w:r w:rsidRPr="00025DAE">
        <w:rPr>
          <w:rFonts w:asciiTheme="majorBidi" w:hAnsiTheme="majorBidi" w:cstheme="majorBidi"/>
        </w:rPr>
        <w:br/>
        <w:t xml:space="preserve">Parallèlement, améliorer la gestion et le financement de ces structures via un cahier des charges renforcé, et </w:t>
      </w:r>
      <w:r w:rsidRPr="00025DAE">
        <w:rPr>
          <w:rFonts w:asciiTheme="majorBidi" w:hAnsiTheme="majorBidi" w:cstheme="majorBidi"/>
          <w:b/>
          <w:bCs/>
        </w:rPr>
        <w:t>réduire à trois mois maximum</w:t>
      </w:r>
      <w:r w:rsidRPr="00025DAE">
        <w:rPr>
          <w:rFonts w:asciiTheme="majorBidi" w:hAnsiTheme="majorBidi" w:cstheme="majorBidi"/>
        </w:rPr>
        <w:t xml:space="preserve"> la durée moyenne des procédures judiciaires pour les ordonnances de protection, afin d’assurer un accès rapide, effectif et égalitaire à la sécurité et aux droits fondamentaux de toutes les femmes victimes, sans discrimination.</w:t>
      </w:r>
    </w:p>
    <w:p w14:paraId="1CC8B6F1" w14:textId="000C5DF5" w:rsidR="00833E59" w:rsidRPr="00833E59" w:rsidRDefault="00833E59" w:rsidP="009D7733">
      <w:pPr>
        <w:pStyle w:val="Paragraphedeliste"/>
        <w:numPr>
          <w:ilvl w:val="0"/>
          <w:numId w:val="9"/>
        </w:numPr>
        <w:jc w:val="both"/>
        <w:rPr>
          <w:rFonts w:asciiTheme="majorBidi" w:hAnsiTheme="majorBidi" w:cstheme="majorBidi"/>
          <w:b/>
          <w:bCs/>
        </w:rPr>
      </w:pPr>
      <w:r w:rsidRPr="00833E59">
        <w:rPr>
          <w:rFonts w:asciiTheme="majorBidi" w:hAnsiTheme="majorBidi" w:cstheme="majorBidi"/>
          <w:b/>
          <w:bCs/>
        </w:rPr>
        <w:t>Droit à la santé (Article 12)</w:t>
      </w:r>
    </w:p>
    <w:p w14:paraId="66AFFC9C" w14:textId="083862D8" w:rsidR="0044727D" w:rsidRPr="0044727D" w:rsidRDefault="0044727D" w:rsidP="009D7733">
      <w:pPr>
        <w:jc w:val="both"/>
        <w:rPr>
          <w:rFonts w:asciiTheme="majorBidi" w:hAnsiTheme="majorBidi" w:cstheme="majorBidi"/>
        </w:rPr>
      </w:pPr>
      <w:r w:rsidRPr="0044727D">
        <w:rPr>
          <w:rFonts w:asciiTheme="majorBidi" w:hAnsiTheme="majorBidi" w:cstheme="majorBidi"/>
        </w:rPr>
        <w:t>En Tunisie, malgré la reconnaissance juridique du droit à la santé</w:t>
      </w:r>
      <w:r w:rsidR="00C473BB">
        <w:rPr>
          <w:rStyle w:val="Appelnotedebasdep"/>
          <w:rFonts w:asciiTheme="majorBidi" w:hAnsiTheme="majorBidi" w:cstheme="majorBidi"/>
        </w:rPr>
        <w:footnoteReference w:id="24"/>
      </w:r>
      <w:r w:rsidRPr="0044727D">
        <w:rPr>
          <w:rFonts w:asciiTheme="majorBidi" w:hAnsiTheme="majorBidi" w:cstheme="majorBidi"/>
        </w:rPr>
        <w:t xml:space="preserve">, de nombreuses femmes sont confrontées à des obstacles structurels qui empêchent l’exercice effectif de ce droit, en violation de l’article 12 du Pacte international relatif aux droits économiques, sociaux et culturels (PIDESC). Ainsi, </w:t>
      </w:r>
      <w:r w:rsidRPr="0044727D">
        <w:rPr>
          <w:rFonts w:asciiTheme="majorBidi" w:hAnsiTheme="majorBidi" w:cstheme="majorBidi"/>
          <w:b/>
          <w:bCs/>
        </w:rPr>
        <w:t>60 % des femmes rurales tunisiennes déclarent souffrir de problèmes de santé liés à leurs conditions de travail</w:t>
      </w:r>
      <w:r w:rsidRPr="0044727D">
        <w:rPr>
          <w:rFonts w:asciiTheme="majorBidi" w:hAnsiTheme="majorBidi" w:cstheme="majorBidi"/>
        </w:rPr>
        <w:t xml:space="preserve">, dont </w:t>
      </w:r>
      <w:r w:rsidRPr="0044727D">
        <w:rPr>
          <w:rFonts w:asciiTheme="majorBidi" w:hAnsiTheme="majorBidi" w:cstheme="majorBidi"/>
          <w:b/>
          <w:bCs/>
        </w:rPr>
        <w:t>93 % sont directement causés par l’exposition à des pesticides et produits chimiques non contrôlés</w:t>
      </w:r>
      <w:r w:rsidRPr="0044727D">
        <w:rPr>
          <w:rFonts w:asciiTheme="majorBidi" w:hAnsiTheme="majorBidi" w:cstheme="majorBidi"/>
        </w:rPr>
        <w:t xml:space="preserve">, entraînant des fausses </w:t>
      </w:r>
      <w:r w:rsidRPr="0044727D">
        <w:rPr>
          <w:rFonts w:asciiTheme="majorBidi" w:hAnsiTheme="majorBidi" w:cstheme="majorBidi"/>
        </w:rPr>
        <w:lastRenderedPageBreak/>
        <w:t>couches et des maladies chroniques, sans prise en charge médicale adéquate</w:t>
      </w:r>
      <w:r w:rsidR="00D71C8A">
        <w:rPr>
          <w:rStyle w:val="Appelnotedebasdep"/>
          <w:rFonts w:asciiTheme="majorBidi" w:hAnsiTheme="majorBidi" w:cstheme="majorBidi"/>
        </w:rPr>
        <w:footnoteReference w:id="25"/>
      </w:r>
      <w:r w:rsidRPr="0044727D">
        <w:rPr>
          <w:rFonts w:asciiTheme="majorBidi" w:hAnsiTheme="majorBidi" w:cstheme="majorBidi"/>
        </w:rPr>
        <w:t xml:space="preserve">. Dans les régions de l’intérieur telles que </w:t>
      </w:r>
      <w:r w:rsidRPr="00833E59">
        <w:rPr>
          <w:rFonts w:asciiTheme="majorBidi" w:hAnsiTheme="majorBidi" w:cstheme="majorBidi"/>
        </w:rPr>
        <w:t xml:space="preserve">Kasserine, Sidi Bouzid, </w:t>
      </w:r>
      <w:proofErr w:type="spellStart"/>
      <w:r w:rsidRPr="00833E59">
        <w:rPr>
          <w:rFonts w:asciiTheme="majorBidi" w:hAnsiTheme="majorBidi" w:cstheme="majorBidi"/>
        </w:rPr>
        <w:t>Siliana</w:t>
      </w:r>
      <w:proofErr w:type="spellEnd"/>
      <w:r w:rsidRPr="00833E59">
        <w:rPr>
          <w:rFonts w:asciiTheme="majorBidi" w:hAnsiTheme="majorBidi" w:cstheme="majorBidi"/>
        </w:rPr>
        <w:t>.</w:t>
      </w:r>
      <w:r>
        <w:rPr>
          <w:rStyle w:val="Appelnotedebasdep"/>
          <w:rFonts w:asciiTheme="majorBidi" w:hAnsiTheme="majorBidi" w:cstheme="majorBidi"/>
        </w:rPr>
        <w:footnoteReference w:id="26"/>
      </w:r>
      <w:r w:rsidRPr="0044727D">
        <w:rPr>
          <w:rFonts w:asciiTheme="majorBidi" w:hAnsiTheme="majorBidi" w:cstheme="majorBidi"/>
        </w:rPr>
        <w:t xml:space="preserve">, l’accès aux soins est gravement entravé par la </w:t>
      </w:r>
      <w:r w:rsidRPr="0044727D">
        <w:rPr>
          <w:rFonts w:asciiTheme="majorBidi" w:hAnsiTheme="majorBidi" w:cstheme="majorBidi"/>
          <w:b/>
          <w:bCs/>
        </w:rPr>
        <w:t xml:space="preserve">faible densité de </w:t>
      </w:r>
      <w:r w:rsidR="00833E59" w:rsidRPr="00833E59">
        <w:rPr>
          <w:rFonts w:asciiTheme="majorBidi" w:hAnsiTheme="majorBidi" w:cstheme="majorBidi"/>
        </w:rPr>
        <w:t>gynécologues</w:t>
      </w:r>
      <w:r w:rsidR="003810A4">
        <w:rPr>
          <w:rStyle w:val="Appelnotedebasdep"/>
          <w:rFonts w:asciiTheme="majorBidi" w:hAnsiTheme="majorBidi" w:cstheme="majorBidi"/>
        </w:rPr>
        <w:footnoteReference w:id="27"/>
      </w:r>
      <w:r w:rsidR="00833E59" w:rsidRPr="00833E59">
        <w:rPr>
          <w:rFonts w:asciiTheme="majorBidi" w:hAnsiTheme="majorBidi" w:cstheme="majorBidi"/>
        </w:rPr>
        <w:t xml:space="preserve">, </w:t>
      </w:r>
      <w:r w:rsidRPr="0044727D">
        <w:rPr>
          <w:rFonts w:asciiTheme="majorBidi" w:hAnsiTheme="majorBidi" w:cstheme="majorBidi"/>
        </w:rPr>
        <w:t xml:space="preserve">l’absence d’infrastructures de santé suffisantes, et le </w:t>
      </w:r>
      <w:r w:rsidRPr="0044727D">
        <w:rPr>
          <w:rFonts w:asciiTheme="majorBidi" w:hAnsiTheme="majorBidi" w:cstheme="majorBidi"/>
          <w:b/>
          <w:bCs/>
        </w:rPr>
        <w:t>coût élevé du transport</w:t>
      </w:r>
      <w:r w:rsidRPr="0044727D">
        <w:rPr>
          <w:rFonts w:asciiTheme="majorBidi" w:hAnsiTheme="majorBidi" w:cstheme="majorBidi"/>
        </w:rPr>
        <w:t>, rendant les soins presque inaccessibles aux femmes, notamment en cas de violences basées sur le genre.</w:t>
      </w:r>
    </w:p>
    <w:p w14:paraId="087ACE28" w14:textId="19D75EF6" w:rsidR="0044727D" w:rsidRDefault="0044727D" w:rsidP="009D7733">
      <w:pPr>
        <w:jc w:val="both"/>
        <w:rPr>
          <w:rFonts w:asciiTheme="majorBidi" w:hAnsiTheme="majorBidi" w:cstheme="majorBidi"/>
        </w:rPr>
      </w:pPr>
      <w:r w:rsidRPr="0044727D">
        <w:rPr>
          <w:rFonts w:asciiTheme="majorBidi" w:hAnsiTheme="majorBidi" w:cstheme="majorBidi"/>
        </w:rPr>
        <w:t xml:space="preserve">Par ailleurs, les femmes sont </w:t>
      </w:r>
      <w:r w:rsidRPr="009C27DD">
        <w:rPr>
          <w:rFonts w:asciiTheme="majorBidi" w:hAnsiTheme="majorBidi" w:cstheme="majorBidi"/>
          <w:b/>
          <w:bCs/>
        </w:rPr>
        <w:t>souvent privées de leur droit à l'avortement</w:t>
      </w:r>
      <w:r w:rsidRPr="0044727D">
        <w:rPr>
          <w:rFonts w:asciiTheme="majorBidi" w:hAnsiTheme="majorBidi" w:cstheme="majorBidi"/>
        </w:rPr>
        <w:t xml:space="preserve"> dans les hôpitaux publics, où elles sont fréquemment orientées vers des cliniques privées,</w:t>
      </w:r>
      <w:r w:rsidR="00895233">
        <w:rPr>
          <w:rStyle w:val="Appelnotedebasdep"/>
          <w:rFonts w:asciiTheme="majorBidi" w:hAnsiTheme="majorBidi" w:cstheme="majorBidi"/>
        </w:rPr>
        <w:footnoteReference w:id="28"/>
      </w:r>
      <w:r w:rsidRPr="0044727D">
        <w:rPr>
          <w:rFonts w:asciiTheme="majorBidi" w:hAnsiTheme="majorBidi" w:cstheme="majorBidi"/>
        </w:rPr>
        <w:t xml:space="preserve"> limitant ainsi l'accès à ce service en fonction du statut économique.</w:t>
      </w:r>
      <w:r w:rsidR="00997678">
        <w:rPr>
          <w:rStyle w:val="Appelnotedebasdep"/>
          <w:rFonts w:asciiTheme="majorBidi" w:hAnsiTheme="majorBidi" w:cstheme="majorBidi"/>
        </w:rPr>
        <w:footnoteReference w:id="29"/>
      </w:r>
      <w:r w:rsidRPr="0044727D">
        <w:rPr>
          <w:rFonts w:asciiTheme="majorBidi" w:hAnsiTheme="majorBidi" w:cstheme="majorBidi"/>
        </w:rPr>
        <w:t xml:space="preserve"> À cela s’ajoute l’exclusion de nombreuses femmes du </w:t>
      </w:r>
      <w:r w:rsidRPr="0044727D">
        <w:rPr>
          <w:rFonts w:asciiTheme="majorBidi" w:hAnsiTheme="majorBidi" w:cstheme="majorBidi"/>
          <w:b/>
          <w:bCs/>
        </w:rPr>
        <w:t>système de couverture sociale</w:t>
      </w:r>
      <w:r w:rsidRPr="0044727D">
        <w:rPr>
          <w:rFonts w:asciiTheme="majorBidi" w:hAnsiTheme="majorBidi" w:cstheme="majorBidi"/>
        </w:rPr>
        <w:t xml:space="preserve">, ce qui compromet leur capacité à supporter le coût des soins médicaux. Le </w:t>
      </w:r>
      <w:r w:rsidRPr="0044727D">
        <w:rPr>
          <w:rFonts w:asciiTheme="majorBidi" w:hAnsiTheme="majorBidi" w:cstheme="majorBidi"/>
          <w:b/>
          <w:bCs/>
        </w:rPr>
        <w:t>système de transferts sociaux</w:t>
      </w:r>
      <w:r w:rsidRPr="0044727D">
        <w:rPr>
          <w:rFonts w:asciiTheme="majorBidi" w:hAnsiTheme="majorBidi" w:cstheme="majorBidi"/>
        </w:rPr>
        <w:t xml:space="preserve"> en Tunisie est organisé </w:t>
      </w:r>
      <w:r w:rsidRPr="0044727D">
        <w:rPr>
          <w:rFonts w:asciiTheme="majorBidi" w:hAnsiTheme="majorBidi" w:cstheme="majorBidi"/>
          <w:b/>
          <w:bCs/>
        </w:rPr>
        <w:t>sur la base du chef de famille, souvent désigné comme étant l’homme</w:t>
      </w:r>
      <w:r w:rsidRPr="0044727D">
        <w:rPr>
          <w:rFonts w:asciiTheme="majorBidi" w:hAnsiTheme="majorBidi" w:cstheme="majorBidi"/>
        </w:rPr>
        <w:t>, ce qui aggrave les inégalités. Par exemple, pendant la pandémie de COVID-19</w:t>
      </w:r>
      <w:r w:rsidR="00D71C8A">
        <w:rPr>
          <w:rFonts w:asciiTheme="majorBidi" w:hAnsiTheme="majorBidi" w:cstheme="majorBidi"/>
        </w:rPr>
        <w:t>,</w:t>
      </w:r>
      <w:r w:rsidR="007F618F">
        <w:rPr>
          <w:rStyle w:val="Appelnotedebasdep"/>
          <w:rFonts w:asciiTheme="majorBidi" w:hAnsiTheme="majorBidi" w:cstheme="majorBidi"/>
        </w:rPr>
        <w:footnoteReference w:id="30"/>
      </w:r>
      <w:r w:rsidR="00D71C8A" w:rsidRPr="00D71C8A">
        <w:rPr>
          <w:rFonts w:asciiTheme="majorBidi" w:hAnsiTheme="majorBidi" w:cstheme="majorBidi"/>
        </w:rPr>
        <w:t xml:space="preserve"> </w:t>
      </w:r>
      <w:r w:rsidR="00D71C8A" w:rsidRPr="009D362E">
        <w:rPr>
          <w:rFonts w:asciiTheme="majorBidi" w:hAnsiTheme="majorBidi" w:cstheme="majorBidi"/>
        </w:rPr>
        <w:t xml:space="preserve">une allocation de </w:t>
      </w:r>
      <w:r w:rsidR="00D71C8A" w:rsidRPr="009D362E">
        <w:rPr>
          <w:rFonts w:asciiTheme="majorBidi" w:hAnsiTheme="majorBidi" w:cstheme="majorBidi"/>
          <w:b/>
          <w:bCs/>
        </w:rPr>
        <w:t>200 dinars par mois</w:t>
      </w:r>
      <w:r w:rsidR="00D71C8A" w:rsidRPr="009D362E">
        <w:rPr>
          <w:rFonts w:asciiTheme="majorBidi" w:hAnsiTheme="majorBidi" w:cstheme="majorBidi"/>
        </w:rPr>
        <w:t xml:space="preserve"> a été versée à </w:t>
      </w:r>
      <w:r w:rsidR="00D71C8A" w:rsidRPr="009D362E">
        <w:rPr>
          <w:rFonts w:asciiTheme="majorBidi" w:hAnsiTheme="majorBidi" w:cstheme="majorBidi"/>
          <w:b/>
          <w:bCs/>
        </w:rPr>
        <w:t>370 000 familles</w:t>
      </w:r>
      <w:r w:rsidR="00D71C8A" w:rsidRPr="009D362E">
        <w:rPr>
          <w:rFonts w:asciiTheme="majorBidi" w:hAnsiTheme="majorBidi" w:cstheme="majorBidi"/>
        </w:rPr>
        <w:t xml:space="preserve">, plus </w:t>
      </w:r>
      <w:r w:rsidR="00D71C8A" w:rsidRPr="009D362E">
        <w:rPr>
          <w:rFonts w:asciiTheme="majorBidi" w:hAnsiTheme="majorBidi" w:cstheme="majorBidi"/>
          <w:b/>
          <w:bCs/>
        </w:rPr>
        <w:t>779 familles monoparentales</w:t>
      </w:r>
      <w:r w:rsidR="00D71C8A" w:rsidRPr="009D362E">
        <w:rPr>
          <w:rFonts w:asciiTheme="majorBidi" w:hAnsiTheme="majorBidi" w:cstheme="majorBidi"/>
        </w:rPr>
        <w:t xml:space="preserve">, mais </w:t>
      </w:r>
      <w:r w:rsidR="00D71C8A" w:rsidRPr="009D362E">
        <w:rPr>
          <w:rFonts w:asciiTheme="majorBidi" w:hAnsiTheme="majorBidi" w:cstheme="majorBidi"/>
          <w:b/>
          <w:bCs/>
        </w:rPr>
        <w:t>86,5 % des fonds ont été perçus par des hommes</w:t>
      </w:r>
      <w:r w:rsidR="00D71C8A" w:rsidRPr="009D362E">
        <w:rPr>
          <w:rFonts w:asciiTheme="majorBidi" w:hAnsiTheme="majorBidi" w:cstheme="majorBidi"/>
        </w:rPr>
        <w:t>, laissant de côté les femmes sans représentation masculine dans leur foyer</w:t>
      </w:r>
      <w:r w:rsidR="00D71C8A">
        <w:rPr>
          <w:rStyle w:val="Appelnotedebasdep"/>
          <w:rFonts w:asciiTheme="majorBidi" w:hAnsiTheme="majorBidi" w:cstheme="majorBidi"/>
        </w:rPr>
        <w:footnoteReference w:id="31"/>
      </w:r>
    </w:p>
    <w:p w14:paraId="3F3DA8B2" w14:textId="79350DDE" w:rsidR="00947951" w:rsidRDefault="003244CB" w:rsidP="003244CB">
      <w:pPr>
        <w:jc w:val="both"/>
        <w:rPr>
          <w:rFonts w:asciiTheme="majorBidi" w:hAnsiTheme="majorBidi" w:cstheme="majorBidi"/>
        </w:rPr>
      </w:pPr>
      <w:r w:rsidRPr="003244CB">
        <w:rPr>
          <w:rFonts w:asciiTheme="majorBidi" w:hAnsiTheme="majorBidi" w:cstheme="majorBidi"/>
        </w:rPr>
        <w:t xml:space="preserve">Les lacunes du système de santé publique sont accentuées par un déficit structurel en équipements et services spécialisés, notamment pour la santé des femmes : le nombre de lits hospitaliers gynécologiques et dédiés à la prise en charge des victimes de violences reste gravement insuffisant, surtout dans les régions intérieures. En 2023, les établissements publics comptaient environ </w:t>
      </w:r>
      <w:r w:rsidRPr="003244CB">
        <w:rPr>
          <w:rFonts w:asciiTheme="majorBidi" w:hAnsiTheme="majorBidi" w:cstheme="majorBidi"/>
          <w:b/>
          <w:bCs/>
        </w:rPr>
        <w:t>22 164 lits</w:t>
      </w:r>
      <w:r w:rsidRPr="003244CB">
        <w:rPr>
          <w:rFonts w:asciiTheme="majorBidi" w:hAnsiTheme="majorBidi" w:cstheme="majorBidi"/>
        </w:rPr>
        <w:t xml:space="preserve">, soit </w:t>
      </w:r>
      <w:r w:rsidRPr="003244CB">
        <w:rPr>
          <w:rFonts w:asciiTheme="majorBidi" w:hAnsiTheme="majorBidi" w:cstheme="majorBidi"/>
          <w:b/>
          <w:bCs/>
        </w:rPr>
        <w:t>1,9 lit pour 100 habitants</w:t>
      </w:r>
      <w:r w:rsidRPr="003244CB">
        <w:rPr>
          <w:rFonts w:asciiTheme="majorBidi" w:hAnsiTheme="majorBidi" w:cstheme="majorBidi"/>
        </w:rPr>
        <w:t>, avec une forte concentration dans le Grand Tunis (6 679 lits), contre seulement 1 440 dans le Sud-Ouest.</w:t>
      </w:r>
      <w:r w:rsidR="00DC3069">
        <w:rPr>
          <w:rStyle w:val="Appelnotedebasdep"/>
          <w:rFonts w:asciiTheme="majorBidi" w:hAnsiTheme="majorBidi" w:cstheme="majorBidi"/>
        </w:rPr>
        <w:footnoteReference w:id="32"/>
      </w:r>
      <w:r w:rsidRPr="003244CB">
        <w:rPr>
          <w:rFonts w:asciiTheme="majorBidi" w:hAnsiTheme="majorBidi" w:cstheme="majorBidi"/>
        </w:rPr>
        <w:t xml:space="preserve"> </w:t>
      </w:r>
      <w:r w:rsidRPr="003244CB">
        <w:rPr>
          <w:rFonts w:asciiTheme="majorBidi" w:hAnsiTheme="majorBidi" w:cstheme="majorBidi"/>
          <w:b/>
          <w:bCs/>
        </w:rPr>
        <w:t xml:space="preserve">Aucune donnée </w:t>
      </w:r>
      <w:r w:rsidRPr="003244CB">
        <w:rPr>
          <w:rFonts w:asciiTheme="majorBidi" w:hAnsiTheme="majorBidi" w:cstheme="majorBidi"/>
          <w:b/>
          <w:bCs/>
        </w:rPr>
        <w:lastRenderedPageBreak/>
        <w:t>officielle</w:t>
      </w:r>
      <w:r w:rsidRPr="003244CB">
        <w:rPr>
          <w:rFonts w:asciiTheme="majorBidi" w:hAnsiTheme="majorBidi" w:cstheme="majorBidi"/>
        </w:rPr>
        <w:t xml:space="preserve"> ne précise le nombre de lits réservés à la gynécologie, ce qui reflète un </w:t>
      </w:r>
      <w:r w:rsidRPr="003244CB">
        <w:rPr>
          <w:rFonts w:asciiTheme="majorBidi" w:hAnsiTheme="majorBidi" w:cstheme="majorBidi"/>
          <w:b/>
          <w:bCs/>
        </w:rPr>
        <w:t>déficit structurel préoccupant</w:t>
      </w:r>
      <w:r w:rsidRPr="003244CB">
        <w:rPr>
          <w:rFonts w:asciiTheme="majorBidi" w:hAnsiTheme="majorBidi" w:cstheme="majorBidi"/>
        </w:rPr>
        <w:t xml:space="preserve">, particulièrement en zones rurales, comme le soulignent plusieurs témoignages de </w:t>
      </w:r>
      <w:proofErr w:type="spellStart"/>
      <w:r w:rsidRPr="003244CB">
        <w:rPr>
          <w:rFonts w:asciiTheme="majorBidi" w:hAnsiTheme="majorBidi" w:cstheme="majorBidi"/>
        </w:rPr>
        <w:t>professionnel·les</w:t>
      </w:r>
      <w:proofErr w:type="spellEnd"/>
      <w:r w:rsidRPr="003244CB">
        <w:rPr>
          <w:rFonts w:asciiTheme="majorBidi" w:hAnsiTheme="majorBidi" w:cstheme="majorBidi"/>
        </w:rPr>
        <w:t xml:space="preserve"> de santé et rapports associatifs.</w:t>
      </w:r>
      <w:r w:rsidR="00602CE4">
        <w:rPr>
          <w:rStyle w:val="Appelnotedebasdep"/>
          <w:rFonts w:asciiTheme="majorBidi" w:hAnsiTheme="majorBidi" w:cstheme="majorBidi"/>
        </w:rPr>
        <w:footnoteReference w:id="33"/>
      </w:r>
      <w:r w:rsidR="00947951">
        <w:rPr>
          <w:rFonts w:asciiTheme="majorBidi" w:hAnsiTheme="majorBidi" w:cstheme="majorBidi"/>
        </w:rPr>
        <w:t xml:space="preserve"> </w:t>
      </w:r>
    </w:p>
    <w:p w14:paraId="5CA91788" w14:textId="25B3020F" w:rsidR="009D362E" w:rsidRPr="009D362E" w:rsidRDefault="00947951" w:rsidP="003244CB">
      <w:pPr>
        <w:jc w:val="both"/>
        <w:rPr>
          <w:rFonts w:asciiTheme="majorBidi" w:hAnsiTheme="majorBidi" w:cstheme="majorBidi"/>
        </w:rPr>
      </w:pPr>
      <w:r>
        <w:rPr>
          <w:rFonts w:asciiTheme="majorBidi" w:hAnsiTheme="majorBidi" w:cstheme="majorBidi"/>
        </w:rPr>
        <w:t xml:space="preserve">En plus, </w:t>
      </w:r>
      <w:r w:rsidR="009D362E" w:rsidRPr="009D362E">
        <w:rPr>
          <w:rFonts w:asciiTheme="majorBidi" w:hAnsiTheme="majorBidi" w:cstheme="majorBidi"/>
        </w:rPr>
        <w:t xml:space="preserve">La </w:t>
      </w:r>
      <w:r w:rsidR="009D362E" w:rsidRPr="009D362E">
        <w:rPr>
          <w:rFonts w:asciiTheme="majorBidi" w:hAnsiTheme="majorBidi" w:cstheme="majorBidi"/>
          <w:b/>
          <w:bCs/>
        </w:rPr>
        <w:t>CNAM accuse des retards importants dans la couverture des soins liés au cancer du sein</w:t>
      </w:r>
      <w:r w:rsidR="009D362E" w:rsidRPr="009D362E">
        <w:rPr>
          <w:rFonts w:asciiTheme="majorBidi" w:hAnsiTheme="majorBidi" w:cstheme="majorBidi"/>
        </w:rPr>
        <w:t xml:space="preserve">, principal cancer chez les femmes en Tunisie, avec </w:t>
      </w:r>
      <w:r w:rsidR="009D362E" w:rsidRPr="009D362E">
        <w:rPr>
          <w:rFonts w:asciiTheme="majorBidi" w:hAnsiTheme="majorBidi" w:cstheme="majorBidi"/>
          <w:b/>
          <w:bCs/>
        </w:rPr>
        <w:t>trois cancers sur quatre diagnostiqués à un stade avancé</w:t>
      </w:r>
      <w:r w:rsidR="009D362E" w:rsidRPr="009D362E">
        <w:rPr>
          <w:rFonts w:asciiTheme="majorBidi" w:hAnsiTheme="majorBidi" w:cstheme="majorBidi"/>
        </w:rPr>
        <w:t>, nuisant gravement au pronostic</w:t>
      </w:r>
      <w:r w:rsidR="009D362E">
        <w:rPr>
          <w:rStyle w:val="Appelnotedebasdep"/>
          <w:rFonts w:asciiTheme="majorBidi" w:hAnsiTheme="majorBidi" w:cstheme="majorBidi"/>
        </w:rPr>
        <w:footnoteReference w:id="34"/>
      </w:r>
      <w:r w:rsidR="009D362E">
        <w:rPr>
          <w:rFonts w:asciiTheme="majorBidi" w:hAnsiTheme="majorBidi" w:cstheme="majorBidi"/>
        </w:rPr>
        <w:t xml:space="preserve"> </w:t>
      </w:r>
      <w:r w:rsidR="009D362E" w:rsidRPr="009D362E">
        <w:rPr>
          <w:rFonts w:asciiTheme="majorBidi" w:hAnsiTheme="majorBidi" w:cstheme="majorBidi"/>
        </w:rPr>
        <w:t>. Ce retard structurel pousse les patientes à recourir à l’automédication ou à la médecine populaire</w:t>
      </w:r>
      <w:r w:rsidR="009D362E">
        <w:rPr>
          <w:rStyle w:val="Appelnotedebasdep"/>
          <w:rFonts w:asciiTheme="majorBidi" w:hAnsiTheme="majorBidi" w:cstheme="majorBidi"/>
        </w:rPr>
        <w:footnoteReference w:id="35"/>
      </w:r>
      <w:r w:rsidR="009D362E">
        <w:rPr>
          <w:rFonts w:asciiTheme="majorBidi" w:hAnsiTheme="majorBidi" w:cstheme="majorBidi"/>
        </w:rPr>
        <w:t xml:space="preserve"> </w:t>
      </w:r>
      <w:r w:rsidR="009D362E" w:rsidRPr="009D362E">
        <w:rPr>
          <w:rFonts w:asciiTheme="majorBidi" w:hAnsiTheme="majorBidi" w:cstheme="majorBidi"/>
        </w:rPr>
        <w:t xml:space="preserve">De plus, les </w:t>
      </w:r>
      <w:r w:rsidR="009D362E" w:rsidRPr="009D362E">
        <w:rPr>
          <w:rFonts w:asciiTheme="majorBidi" w:hAnsiTheme="majorBidi" w:cstheme="majorBidi"/>
          <w:b/>
          <w:bCs/>
        </w:rPr>
        <w:t>femmes handicapées</w:t>
      </w:r>
      <w:r w:rsidR="009D362E" w:rsidRPr="009D362E">
        <w:rPr>
          <w:rFonts w:asciiTheme="majorBidi" w:hAnsiTheme="majorBidi" w:cstheme="majorBidi"/>
        </w:rPr>
        <w:t xml:space="preserve"> font face à une exclusion renforcée : les infrastructures sont rarement adaptées, et les barrières institutionnelles et financières demeurent, avec peu de mesure publique pour y </w:t>
      </w:r>
      <w:r w:rsidR="009C27DD" w:rsidRPr="009D362E">
        <w:rPr>
          <w:rFonts w:asciiTheme="majorBidi" w:hAnsiTheme="majorBidi" w:cstheme="majorBidi"/>
        </w:rPr>
        <w:t>remédier.</w:t>
      </w:r>
      <w:r w:rsidR="00FD4257">
        <w:rPr>
          <w:rStyle w:val="Appelnotedebasdep"/>
          <w:rFonts w:asciiTheme="majorBidi" w:hAnsiTheme="majorBidi" w:cstheme="majorBidi"/>
        </w:rPr>
        <w:footnoteReference w:id="36"/>
      </w:r>
    </w:p>
    <w:p w14:paraId="27513067" w14:textId="46653285" w:rsidR="00A25247" w:rsidRDefault="00833E59" w:rsidP="009D7733">
      <w:pPr>
        <w:jc w:val="both"/>
        <w:rPr>
          <w:rFonts w:asciiTheme="majorBidi" w:hAnsiTheme="majorBidi" w:cstheme="majorBidi"/>
        </w:rPr>
      </w:pPr>
      <w:proofErr w:type="gramStart"/>
      <w:r w:rsidRPr="00833E59">
        <w:rPr>
          <w:rFonts w:asciiTheme="majorBidi" w:hAnsiTheme="majorBidi" w:cstheme="majorBidi"/>
          <w:b/>
          <w:bCs/>
        </w:rPr>
        <w:t>Recommandation:</w:t>
      </w:r>
      <w:proofErr w:type="gramEnd"/>
      <w:r w:rsidRPr="00833E59">
        <w:rPr>
          <w:rFonts w:asciiTheme="majorBidi" w:hAnsiTheme="majorBidi" w:cstheme="majorBidi"/>
        </w:rPr>
        <w:br/>
      </w:r>
      <w:r w:rsidR="00A25247" w:rsidRPr="00A25247">
        <w:rPr>
          <w:rFonts w:asciiTheme="majorBidi" w:hAnsiTheme="majorBidi" w:cstheme="majorBidi"/>
          <w:b/>
          <w:bCs/>
        </w:rPr>
        <w:t>D’ici fin 202</w:t>
      </w:r>
      <w:r w:rsidR="00A25247">
        <w:rPr>
          <w:rFonts w:asciiTheme="majorBidi" w:hAnsiTheme="majorBidi" w:cstheme="majorBidi"/>
          <w:b/>
          <w:bCs/>
        </w:rPr>
        <w:t>7</w:t>
      </w:r>
      <w:r w:rsidR="00A25247" w:rsidRPr="00A25247">
        <w:rPr>
          <w:rFonts w:asciiTheme="majorBidi" w:hAnsiTheme="majorBidi" w:cstheme="majorBidi"/>
        </w:rPr>
        <w:t xml:space="preserve">, l’État tunisien devrait garantir un accès équitable aux soins de santé sexuelle et reproductive pour toutes les femmes, notamment dans les régions de l’intérieur, en créant </w:t>
      </w:r>
      <w:r w:rsidR="00A25247" w:rsidRPr="00A25247">
        <w:rPr>
          <w:rFonts w:asciiTheme="majorBidi" w:hAnsiTheme="majorBidi" w:cstheme="majorBidi"/>
          <w:b/>
          <w:bCs/>
        </w:rPr>
        <w:t>des services gynécologiques spécialisés</w:t>
      </w:r>
      <w:r w:rsidR="00A25247" w:rsidRPr="00A25247">
        <w:rPr>
          <w:rFonts w:asciiTheme="majorBidi" w:hAnsiTheme="majorBidi" w:cstheme="majorBidi"/>
        </w:rPr>
        <w:t xml:space="preserve"> dans chaque hôpital régional, en </w:t>
      </w:r>
      <w:r w:rsidR="00A25247" w:rsidRPr="00A25247">
        <w:rPr>
          <w:rFonts w:asciiTheme="majorBidi" w:hAnsiTheme="majorBidi" w:cstheme="majorBidi"/>
          <w:b/>
          <w:bCs/>
        </w:rPr>
        <w:t>augmentant le nombre de gynécologues et de spécialistes en santé des femmes</w:t>
      </w:r>
      <w:r w:rsidR="00A25247" w:rsidRPr="00A25247">
        <w:rPr>
          <w:rFonts w:asciiTheme="majorBidi" w:hAnsiTheme="majorBidi" w:cstheme="majorBidi"/>
        </w:rPr>
        <w:t xml:space="preserve">, et en </w:t>
      </w:r>
      <w:r w:rsidR="00A25247" w:rsidRPr="00A25247">
        <w:rPr>
          <w:rFonts w:asciiTheme="majorBidi" w:hAnsiTheme="majorBidi" w:cstheme="majorBidi"/>
          <w:b/>
          <w:bCs/>
        </w:rPr>
        <w:t>les dotant des équipements médicaux nécessaires</w:t>
      </w:r>
      <w:r w:rsidR="00A25247" w:rsidRPr="00A25247">
        <w:rPr>
          <w:rFonts w:asciiTheme="majorBidi" w:hAnsiTheme="majorBidi" w:cstheme="majorBidi"/>
        </w:rPr>
        <w:t xml:space="preserve">. Il est également essentiel de </w:t>
      </w:r>
      <w:r w:rsidR="00A25247" w:rsidRPr="00A25247">
        <w:rPr>
          <w:rFonts w:asciiTheme="majorBidi" w:hAnsiTheme="majorBidi" w:cstheme="majorBidi"/>
          <w:b/>
          <w:bCs/>
        </w:rPr>
        <w:t>réaliser une enquête nationale</w:t>
      </w:r>
      <w:r w:rsidR="00A25247" w:rsidRPr="00A25247">
        <w:rPr>
          <w:rFonts w:asciiTheme="majorBidi" w:hAnsiTheme="majorBidi" w:cstheme="majorBidi"/>
        </w:rPr>
        <w:t xml:space="preserve"> sur les maladies les plus fréquemment observées chez les femmes, en lien avec leurs conditions de vie et de travail. Parallèlement, un </w:t>
      </w:r>
      <w:r w:rsidR="00A25247" w:rsidRPr="00A25247">
        <w:rPr>
          <w:rFonts w:asciiTheme="majorBidi" w:hAnsiTheme="majorBidi" w:cstheme="majorBidi"/>
          <w:b/>
          <w:bCs/>
        </w:rPr>
        <w:t>système de transport subventionné</w:t>
      </w:r>
      <w:r w:rsidR="00A25247" w:rsidRPr="00A25247">
        <w:rPr>
          <w:rFonts w:asciiTheme="majorBidi" w:hAnsiTheme="majorBidi" w:cstheme="majorBidi"/>
        </w:rPr>
        <w:t xml:space="preserve"> devrait être mis en place pour les femmes vivant loin des structures sanitaires, et le </w:t>
      </w:r>
      <w:r w:rsidR="00A25247" w:rsidRPr="00A25247">
        <w:rPr>
          <w:rFonts w:asciiTheme="majorBidi" w:hAnsiTheme="majorBidi" w:cstheme="majorBidi"/>
          <w:b/>
          <w:bCs/>
        </w:rPr>
        <w:t>cadre juridique des aides sociales</w:t>
      </w:r>
      <w:r w:rsidR="00A25247" w:rsidRPr="00A25247">
        <w:rPr>
          <w:rFonts w:asciiTheme="majorBidi" w:hAnsiTheme="majorBidi" w:cstheme="majorBidi"/>
        </w:rPr>
        <w:t xml:space="preserve"> doit être réformé pour garantir </w:t>
      </w:r>
      <w:r w:rsidR="00A25247" w:rsidRPr="00A25247">
        <w:rPr>
          <w:rFonts w:asciiTheme="majorBidi" w:hAnsiTheme="majorBidi" w:cstheme="majorBidi"/>
          <w:b/>
          <w:bCs/>
        </w:rPr>
        <w:t>l’individualisation des droits des femmes bénéficiaires</w:t>
      </w:r>
      <w:r w:rsidR="00A25247" w:rsidRPr="00A25247">
        <w:rPr>
          <w:rFonts w:asciiTheme="majorBidi" w:hAnsiTheme="majorBidi" w:cstheme="majorBidi"/>
        </w:rPr>
        <w:t>, indépendamment de leur statut matrimonial.</w:t>
      </w:r>
    </w:p>
    <w:p w14:paraId="433B5FA4" w14:textId="70BAAF5D" w:rsidR="00833E59" w:rsidRPr="00833E59" w:rsidRDefault="00833E59" w:rsidP="009D7733">
      <w:pPr>
        <w:jc w:val="both"/>
        <w:rPr>
          <w:rFonts w:asciiTheme="majorBidi" w:hAnsiTheme="majorBidi" w:cstheme="majorBidi"/>
        </w:rPr>
      </w:pPr>
    </w:p>
    <w:p w14:paraId="57D0F0A4" w14:textId="08043BE7" w:rsidR="00833E59" w:rsidRPr="00833E59" w:rsidRDefault="00833E59" w:rsidP="009D7733">
      <w:pPr>
        <w:pStyle w:val="Paragraphedeliste"/>
        <w:numPr>
          <w:ilvl w:val="0"/>
          <w:numId w:val="9"/>
        </w:numPr>
        <w:jc w:val="both"/>
        <w:rPr>
          <w:rFonts w:asciiTheme="majorBidi" w:hAnsiTheme="majorBidi" w:cstheme="majorBidi"/>
          <w:b/>
          <w:bCs/>
        </w:rPr>
      </w:pPr>
      <w:r w:rsidRPr="00833E59">
        <w:rPr>
          <w:rFonts w:asciiTheme="majorBidi" w:hAnsiTheme="majorBidi" w:cstheme="majorBidi"/>
          <w:b/>
          <w:bCs/>
        </w:rPr>
        <w:t>Droit à l’éducation (Article 13)</w:t>
      </w:r>
    </w:p>
    <w:p w14:paraId="05ACAA29" w14:textId="580575E1" w:rsidR="00833E59" w:rsidRDefault="00876C3B" w:rsidP="00876C3B">
      <w:pPr>
        <w:jc w:val="both"/>
        <w:rPr>
          <w:rFonts w:asciiTheme="majorBidi" w:hAnsiTheme="majorBidi" w:cstheme="majorBidi"/>
          <w:rtl/>
          <w:lang w:bidi="ar-TN"/>
        </w:rPr>
      </w:pPr>
      <w:r w:rsidRPr="00876C3B">
        <w:rPr>
          <w:rFonts w:asciiTheme="majorBidi" w:hAnsiTheme="majorBidi" w:cstheme="majorBidi"/>
        </w:rPr>
        <w:t xml:space="preserve">Selon les dernières données du ministère des Affaires sociales (2023), le taux d’analphabétisme en Tunisie atteint </w:t>
      </w:r>
      <w:r w:rsidRPr="00876C3B">
        <w:rPr>
          <w:rFonts w:asciiTheme="majorBidi" w:hAnsiTheme="majorBidi" w:cstheme="majorBidi"/>
          <w:b/>
          <w:bCs/>
        </w:rPr>
        <w:t>17,7 %</w:t>
      </w:r>
      <w:r w:rsidRPr="00876C3B">
        <w:rPr>
          <w:rFonts w:asciiTheme="majorBidi" w:hAnsiTheme="majorBidi" w:cstheme="majorBidi"/>
        </w:rPr>
        <w:t xml:space="preserve">, soit environ </w:t>
      </w:r>
      <w:r w:rsidRPr="00876C3B">
        <w:rPr>
          <w:rFonts w:asciiTheme="majorBidi" w:hAnsiTheme="majorBidi" w:cstheme="majorBidi"/>
          <w:b/>
          <w:bCs/>
        </w:rPr>
        <w:t>2 millions de personnes</w:t>
      </w:r>
      <w:r w:rsidRPr="00876C3B">
        <w:rPr>
          <w:rFonts w:asciiTheme="majorBidi" w:hAnsiTheme="majorBidi" w:cstheme="majorBidi"/>
        </w:rPr>
        <w:t>. Ce taux est nettement plus élevé chez les femmes (</w:t>
      </w:r>
      <w:r w:rsidRPr="00876C3B">
        <w:rPr>
          <w:rFonts w:asciiTheme="majorBidi" w:hAnsiTheme="majorBidi" w:cstheme="majorBidi"/>
          <w:b/>
          <w:bCs/>
        </w:rPr>
        <w:t>25 %</w:t>
      </w:r>
      <w:r w:rsidRPr="00876C3B">
        <w:rPr>
          <w:rFonts w:asciiTheme="majorBidi" w:hAnsiTheme="majorBidi" w:cstheme="majorBidi"/>
        </w:rPr>
        <w:t xml:space="preserve">), et dépasse les </w:t>
      </w:r>
      <w:r w:rsidRPr="00876C3B">
        <w:rPr>
          <w:rFonts w:asciiTheme="majorBidi" w:hAnsiTheme="majorBidi" w:cstheme="majorBidi"/>
          <w:b/>
          <w:bCs/>
        </w:rPr>
        <w:t>50 % dans les zones rurales</w:t>
      </w:r>
      <w:r w:rsidRPr="00876C3B">
        <w:rPr>
          <w:rFonts w:asciiTheme="majorBidi" w:hAnsiTheme="majorBidi" w:cstheme="majorBidi"/>
        </w:rPr>
        <w:t>.</w:t>
      </w:r>
      <w:r w:rsidR="007249C2">
        <w:rPr>
          <w:rStyle w:val="Appelnotedebasdep"/>
          <w:rFonts w:asciiTheme="majorBidi" w:hAnsiTheme="majorBidi" w:cstheme="majorBidi"/>
        </w:rPr>
        <w:footnoteReference w:id="37"/>
      </w:r>
    </w:p>
    <w:p w14:paraId="3BCDF75D" w14:textId="77777777" w:rsidR="00876C3B" w:rsidRPr="00876C3B" w:rsidRDefault="00876C3B" w:rsidP="00876C3B">
      <w:pPr>
        <w:jc w:val="both"/>
        <w:rPr>
          <w:rFonts w:asciiTheme="majorBidi" w:hAnsiTheme="majorBidi" w:cstheme="majorBidi"/>
        </w:rPr>
      </w:pPr>
      <w:r w:rsidRPr="00876C3B">
        <w:rPr>
          <w:rFonts w:asciiTheme="majorBidi" w:hAnsiTheme="majorBidi" w:cstheme="majorBidi"/>
        </w:rPr>
        <w:t xml:space="preserve">Cette réalité traduit une </w:t>
      </w:r>
      <w:r w:rsidRPr="00876C3B">
        <w:rPr>
          <w:rFonts w:asciiTheme="majorBidi" w:hAnsiTheme="majorBidi" w:cstheme="majorBidi"/>
          <w:b/>
          <w:bCs/>
        </w:rPr>
        <w:t>inégalité structurelle d’accès à l’éducation</w:t>
      </w:r>
      <w:r w:rsidRPr="00876C3B">
        <w:rPr>
          <w:rFonts w:asciiTheme="majorBidi" w:hAnsiTheme="majorBidi" w:cstheme="majorBidi"/>
        </w:rPr>
        <w:t xml:space="preserve"> qui persiste malgré les engagements constitutionnels et les objectifs de développement durable (ODD 4 et 5). L’analphabétisme féminin est à la fois </w:t>
      </w:r>
      <w:r w:rsidRPr="00876C3B">
        <w:rPr>
          <w:rFonts w:asciiTheme="majorBidi" w:hAnsiTheme="majorBidi" w:cstheme="majorBidi"/>
          <w:b/>
          <w:bCs/>
        </w:rPr>
        <w:t>conséquence et facteur de vulnérabilité</w:t>
      </w:r>
      <w:r w:rsidRPr="00876C3B">
        <w:rPr>
          <w:rFonts w:asciiTheme="majorBidi" w:hAnsiTheme="majorBidi" w:cstheme="majorBidi"/>
        </w:rPr>
        <w:t xml:space="preserve"> : il limite </w:t>
      </w:r>
      <w:r w:rsidRPr="00876C3B">
        <w:rPr>
          <w:rFonts w:asciiTheme="majorBidi" w:hAnsiTheme="majorBidi" w:cstheme="majorBidi"/>
        </w:rPr>
        <w:lastRenderedPageBreak/>
        <w:t>l’accès des femmes à l’emploi décent, à la santé, à la participation citoyenne et aux droits fondamentaux.</w:t>
      </w:r>
    </w:p>
    <w:p w14:paraId="67978CF0" w14:textId="3D73D0C6" w:rsidR="00876C3B" w:rsidRPr="00876C3B" w:rsidRDefault="00876C3B" w:rsidP="00876C3B">
      <w:pPr>
        <w:jc w:val="both"/>
        <w:rPr>
          <w:rFonts w:asciiTheme="majorBidi" w:hAnsiTheme="majorBidi" w:cstheme="majorBidi"/>
          <w:b/>
          <w:bCs/>
        </w:rPr>
      </w:pPr>
      <w:r w:rsidRPr="00876C3B">
        <w:rPr>
          <w:rFonts w:asciiTheme="majorBidi" w:hAnsiTheme="majorBidi" w:cstheme="majorBidi"/>
          <w:b/>
          <w:bCs/>
        </w:rPr>
        <w:t>Principales causes identifiées</w:t>
      </w:r>
      <w:r w:rsidR="005928F2">
        <w:rPr>
          <w:rStyle w:val="Appelnotedebasdep"/>
          <w:rFonts w:asciiTheme="majorBidi" w:hAnsiTheme="majorBidi" w:cstheme="majorBidi"/>
          <w:b/>
          <w:bCs/>
        </w:rPr>
        <w:footnoteReference w:id="38"/>
      </w:r>
    </w:p>
    <w:p w14:paraId="3C06D171" w14:textId="77777777" w:rsidR="00876C3B" w:rsidRPr="00876C3B" w:rsidRDefault="00876C3B" w:rsidP="00876C3B">
      <w:pPr>
        <w:numPr>
          <w:ilvl w:val="0"/>
          <w:numId w:val="11"/>
        </w:numPr>
        <w:jc w:val="both"/>
        <w:rPr>
          <w:rFonts w:asciiTheme="majorBidi" w:hAnsiTheme="majorBidi" w:cstheme="majorBidi"/>
        </w:rPr>
      </w:pPr>
      <w:r w:rsidRPr="00876C3B">
        <w:rPr>
          <w:rFonts w:asciiTheme="majorBidi" w:hAnsiTheme="majorBidi" w:cstheme="majorBidi"/>
          <w:b/>
          <w:bCs/>
        </w:rPr>
        <w:t>La pauvreté multidimensionnelle</w:t>
      </w:r>
      <w:r w:rsidRPr="00876C3B">
        <w:rPr>
          <w:rFonts w:asciiTheme="majorBidi" w:hAnsiTheme="majorBidi" w:cstheme="majorBidi"/>
        </w:rPr>
        <w:t>, qui oblige de nombreuses filles à abandonner l’école pour aider au travail domestique ou agricole.</w:t>
      </w:r>
    </w:p>
    <w:p w14:paraId="6C9DB85C" w14:textId="77777777" w:rsidR="00876C3B" w:rsidRPr="00876C3B" w:rsidRDefault="00876C3B" w:rsidP="00876C3B">
      <w:pPr>
        <w:numPr>
          <w:ilvl w:val="0"/>
          <w:numId w:val="11"/>
        </w:numPr>
        <w:jc w:val="both"/>
        <w:rPr>
          <w:rFonts w:asciiTheme="majorBidi" w:hAnsiTheme="majorBidi" w:cstheme="majorBidi"/>
        </w:rPr>
      </w:pPr>
      <w:r w:rsidRPr="00876C3B">
        <w:rPr>
          <w:rFonts w:asciiTheme="majorBidi" w:hAnsiTheme="majorBidi" w:cstheme="majorBidi"/>
          <w:b/>
          <w:bCs/>
        </w:rPr>
        <w:t>Le décrochage scolaire précoce</w:t>
      </w:r>
      <w:r w:rsidRPr="00876C3B">
        <w:rPr>
          <w:rFonts w:asciiTheme="majorBidi" w:hAnsiTheme="majorBidi" w:cstheme="majorBidi"/>
        </w:rPr>
        <w:t>, surtout dans les régions rurales, en raison de l’éloignement des établissements, de l’insécurité ou du mariage précoce.</w:t>
      </w:r>
    </w:p>
    <w:p w14:paraId="79B6993B" w14:textId="77777777" w:rsidR="00876C3B" w:rsidRPr="00876C3B" w:rsidRDefault="00876C3B" w:rsidP="00876C3B">
      <w:pPr>
        <w:numPr>
          <w:ilvl w:val="0"/>
          <w:numId w:val="11"/>
        </w:numPr>
        <w:jc w:val="both"/>
        <w:rPr>
          <w:rFonts w:asciiTheme="majorBidi" w:hAnsiTheme="majorBidi" w:cstheme="majorBidi"/>
        </w:rPr>
      </w:pPr>
      <w:r w:rsidRPr="00876C3B">
        <w:rPr>
          <w:rFonts w:asciiTheme="majorBidi" w:hAnsiTheme="majorBidi" w:cstheme="majorBidi"/>
          <w:b/>
          <w:bCs/>
        </w:rPr>
        <w:t>La dégradation de l’enseignement public</w:t>
      </w:r>
      <w:r w:rsidRPr="00876C3B">
        <w:rPr>
          <w:rFonts w:asciiTheme="majorBidi" w:hAnsiTheme="majorBidi" w:cstheme="majorBidi"/>
        </w:rPr>
        <w:t>, qui affecte la qualité de l’apprentissage et le maintien des enfants à l’école, en particulier les filles.</w:t>
      </w:r>
    </w:p>
    <w:p w14:paraId="6D21575B" w14:textId="77777777" w:rsidR="00876C3B" w:rsidRPr="00876C3B" w:rsidRDefault="00876C3B" w:rsidP="00876C3B">
      <w:pPr>
        <w:numPr>
          <w:ilvl w:val="0"/>
          <w:numId w:val="11"/>
        </w:numPr>
        <w:jc w:val="both"/>
        <w:rPr>
          <w:rFonts w:asciiTheme="majorBidi" w:hAnsiTheme="majorBidi" w:cstheme="majorBidi"/>
        </w:rPr>
      </w:pPr>
      <w:r w:rsidRPr="00876C3B">
        <w:rPr>
          <w:rFonts w:asciiTheme="majorBidi" w:hAnsiTheme="majorBidi" w:cstheme="majorBidi"/>
          <w:b/>
          <w:bCs/>
        </w:rPr>
        <w:t>L’absence de politiques publiques ciblées</w:t>
      </w:r>
      <w:r w:rsidRPr="00876C3B">
        <w:rPr>
          <w:rFonts w:asciiTheme="majorBidi" w:hAnsiTheme="majorBidi" w:cstheme="majorBidi"/>
        </w:rPr>
        <w:t>, notamment en matière d’éducation non formelle et de réinsertion éducative des femmes adultes.</w:t>
      </w:r>
    </w:p>
    <w:p w14:paraId="33211FB1" w14:textId="77777777" w:rsidR="00876C3B" w:rsidRPr="00876C3B" w:rsidRDefault="00876C3B" w:rsidP="00876C3B">
      <w:pPr>
        <w:jc w:val="both"/>
        <w:rPr>
          <w:rFonts w:asciiTheme="majorBidi" w:hAnsiTheme="majorBidi" w:cstheme="majorBidi"/>
          <w:b/>
          <w:bCs/>
        </w:rPr>
      </w:pPr>
      <w:r w:rsidRPr="00876C3B">
        <w:rPr>
          <w:rFonts w:asciiTheme="majorBidi" w:hAnsiTheme="majorBidi" w:cstheme="majorBidi"/>
          <w:b/>
          <w:bCs/>
        </w:rPr>
        <w:t>Conséquences :</w:t>
      </w:r>
    </w:p>
    <w:p w14:paraId="18C996DB" w14:textId="77777777" w:rsidR="00876C3B" w:rsidRPr="00876C3B" w:rsidRDefault="00876C3B" w:rsidP="00876C3B">
      <w:pPr>
        <w:numPr>
          <w:ilvl w:val="0"/>
          <w:numId w:val="12"/>
        </w:numPr>
        <w:jc w:val="both"/>
        <w:rPr>
          <w:rFonts w:asciiTheme="majorBidi" w:hAnsiTheme="majorBidi" w:cstheme="majorBidi"/>
        </w:rPr>
      </w:pPr>
      <w:r w:rsidRPr="00876C3B">
        <w:rPr>
          <w:rFonts w:asciiTheme="majorBidi" w:hAnsiTheme="majorBidi" w:cstheme="majorBidi"/>
        </w:rPr>
        <w:t xml:space="preserve">Difficulté d’accès à des </w:t>
      </w:r>
      <w:r w:rsidRPr="00876C3B">
        <w:rPr>
          <w:rFonts w:asciiTheme="majorBidi" w:hAnsiTheme="majorBidi" w:cstheme="majorBidi"/>
          <w:b/>
          <w:bCs/>
        </w:rPr>
        <w:t>programmes de formation, de crédit, ou d’entrepreneuriat</w:t>
      </w:r>
      <w:r w:rsidRPr="00876C3B">
        <w:rPr>
          <w:rFonts w:asciiTheme="majorBidi" w:hAnsiTheme="majorBidi" w:cstheme="majorBidi"/>
        </w:rPr>
        <w:t>, qui nécessitent un minimum de compétences en lecture et en écriture.</w:t>
      </w:r>
    </w:p>
    <w:p w14:paraId="08AD02F7" w14:textId="77777777" w:rsidR="00876C3B" w:rsidRPr="00876C3B" w:rsidRDefault="00876C3B" w:rsidP="00876C3B">
      <w:pPr>
        <w:numPr>
          <w:ilvl w:val="0"/>
          <w:numId w:val="12"/>
        </w:numPr>
        <w:jc w:val="both"/>
        <w:rPr>
          <w:rFonts w:asciiTheme="majorBidi" w:hAnsiTheme="majorBidi" w:cstheme="majorBidi"/>
        </w:rPr>
      </w:pPr>
      <w:r w:rsidRPr="00876C3B">
        <w:rPr>
          <w:rFonts w:asciiTheme="majorBidi" w:hAnsiTheme="majorBidi" w:cstheme="majorBidi"/>
          <w:b/>
          <w:bCs/>
        </w:rPr>
        <w:t>Dépendance économique accrue</w:t>
      </w:r>
      <w:r w:rsidRPr="00876C3B">
        <w:rPr>
          <w:rFonts w:asciiTheme="majorBidi" w:hAnsiTheme="majorBidi" w:cstheme="majorBidi"/>
        </w:rPr>
        <w:t xml:space="preserve"> vis-à-vis du conjoint ou de la famille.</w:t>
      </w:r>
    </w:p>
    <w:p w14:paraId="70576211" w14:textId="77777777" w:rsidR="00876C3B" w:rsidRPr="00876C3B" w:rsidRDefault="00876C3B" w:rsidP="00876C3B">
      <w:pPr>
        <w:numPr>
          <w:ilvl w:val="0"/>
          <w:numId w:val="12"/>
        </w:numPr>
        <w:jc w:val="both"/>
        <w:rPr>
          <w:rFonts w:asciiTheme="majorBidi" w:hAnsiTheme="majorBidi" w:cstheme="majorBidi"/>
        </w:rPr>
      </w:pPr>
      <w:r w:rsidRPr="00876C3B">
        <w:rPr>
          <w:rFonts w:asciiTheme="majorBidi" w:hAnsiTheme="majorBidi" w:cstheme="majorBidi"/>
          <w:b/>
          <w:bCs/>
        </w:rPr>
        <w:t>Frein à l’autonomisation</w:t>
      </w:r>
      <w:r w:rsidRPr="00876C3B">
        <w:rPr>
          <w:rFonts w:asciiTheme="majorBidi" w:hAnsiTheme="majorBidi" w:cstheme="majorBidi"/>
        </w:rPr>
        <w:t>, à la participation communautaire et à la connaissance de ses droits, notamment juridiques et sociaux.</w:t>
      </w:r>
    </w:p>
    <w:p w14:paraId="546F12A1" w14:textId="77777777" w:rsidR="00876C3B" w:rsidRPr="00833E59" w:rsidRDefault="00876C3B" w:rsidP="00876C3B">
      <w:pPr>
        <w:jc w:val="both"/>
        <w:rPr>
          <w:rFonts w:asciiTheme="majorBidi" w:hAnsiTheme="majorBidi" w:cstheme="majorBidi"/>
        </w:rPr>
      </w:pPr>
    </w:p>
    <w:p w14:paraId="55978862" w14:textId="3FF43669" w:rsidR="00833E59" w:rsidRPr="00E31CD1" w:rsidRDefault="00833E59" w:rsidP="00876C3B">
      <w:pPr>
        <w:jc w:val="both"/>
        <w:rPr>
          <w:sz w:val="20"/>
          <w:szCs w:val="20"/>
        </w:rPr>
      </w:pPr>
      <w:proofErr w:type="gramStart"/>
      <w:r w:rsidRPr="00833E59">
        <w:rPr>
          <w:rFonts w:asciiTheme="majorBidi" w:hAnsiTheme="majorBidi" w:cstheme="majorBidi"/>
          <w:b/>
          <w:bCs/>
        </w:rPr>
        <w:t>Recommandation:</w:t>
      </w:r>
      <w:proofErr w:type="gramEnd"/>
      <w:r w:rsidRPr="00833E59">
        <w:rPr>
          <w:rFonts w:asciiTheme="majorBidi" w:hAnsiTheme="majorBidi" w:cstheme="majorBidi"/>
        </w:rPr>
        <w:br/>
      </w:r>
      <w:r w:rsidR="00876C3B">
        <w:rPr>
          <w:rFonts w:asciiTheme="majorBidi" w:hAnsiTheme="majorBidi" w:cstheme="majorBidi"/>
        </w:rPr>
        <w:t>M</w:t>
      </w:r>
      <w:r w:rsidR="00876C3B" w:rsidRPr="00876C3B">
        <w:rPr>
          <w:rFonts w:asciiTheme="majorBidi" w:hAnsiTheme="majorBidi" w:cstheme="majorBidi"/>
        </w:rPr>
        <w:t xml:space="preserve">ettre en œuvre un </w:t>
      </w:r>
      <w:r w:rsidR="00876C3B" w:rsidRPr="00876C3B">
        <w:rPr>
          <w:rFonts w:asciiTheme="majorBidi" w:hAnsiTheme="majorBidi" w:cstheme="majorBidi"/>
          <w:b/>
          <w:bCs/>
        </w:rPr>
        <w:t>Plan national de lutte contre l’analphabétisme féminin 2025–2030</w:t>
      </w:r>
      <w:r w:rsidR="00876C3B" w:rsidRPr="00876C3B">
        <w:rPr>
          <w:rFonts w:asciiTheme="majorBidi" w:hAnsiTheme="majorBidi" w:cstheme="majorBidi"/>
        </w:rPr>
        <w:t xml:space="preserve">, en s’appuyant sur des programmes gratuits et accessibles, spécifiquement conçus pour les femmes vivant en milieu rural. Ce plan devrait viser un </w:t>
      </w:r>
      <w:r w:rsidR="00876C3B" w:rsidRPr="00876C3B">
        <w:rPr>
          <w:rFonts w:asciiTheme="majorBidi" w:hAnsiTheme="majorBidi" w:cstheme="majorBidi"/>
          <w:b/>
          <w:bCs/>
        </w:rPr>
        <w:t>objectif annuel de 10 000 bénéficiaires</w:t>
      </w:r>
      <w:r w:rsidR="00876C3B" w:rsidRPr="00876C3B">
        <w:rPr>
          <w:rFonts w:asciiTheme="majorBidi" w:hAnsiTheme="majorBidi" w:cstheme="majorBidi"/>
        </w:rPr>
        <w:t xml:space="preserve">, avec une priorisation des régions à forte prévalence d’analphabétisme. Il est essentiel que ces programmes soient </w:t>
      </w:r>
      <w:r w:rsidR="00876C3B" w:rsidRPr="00876C3B">
        <w:rPr>
          <w:rFonts w:asciiTheme="majorBidi" w:hAnsiTheme="majorBidi" w:cstheme="majorBidi"/>
          <w:b/>
          <w:bCs/>
        </w:rPr>
        <w:t>intégrés au budget national de l’éducation</w:t>
      </w:r>
      <w:r w:rsidR="00876C3B" w:rsidRPr="00876C3B">
        <w:rPr>
          <w:rFonts w:asciiTheme="majorBidi" w:hAnsiTheme="majorBidi" w:cstheme="majorBidi"/>
        </w:rPr>
        <w:t xml:space="preserve"> et mis en œuvre en collaboration avec les collectivités locales et les organisations de la société civile.</w:t>
      </w:r>
    </w:p>
    <w:p w14:paraId="2B50414D" w14:textId="77777777" w:rsidR="006E5762" w:rsidRDefault="006E5762" w:rsidP="009D7733">
      <w:pPr>
        <w:jc w:val="both"/>
      </w:pPr>
    </w:p>
    <w:p w14:paraId="4ED1AA3D" w14:textId="77777777" w:rsidR="006E5762" w:rsidRDefault="006E5762" w:rsidP="009D7733">
      <w:pPr>
        <w:jc w:val="both"/>
      </w:pPr>
    </w:p>
    <w:p w14:paraId="5362AAF2" w14:textId="0EA94688" w:rsidR="006E5762" w:rsidRDefault="006E5762" w:rsidP="009D7733">
      <w:pPr>
        <w:jc w:val="both"/>
        <w:rPr>
          <w:rtl/>
          <w:lang w:bidi="ar-TN"/>
        </w:rPr>
      </w:pPr>
    </w:p>
    <w:sectPr w:rsidR="006E5762">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46D05" w14:textId="77777777" w:rsidR="00CA7281" w:rsidRDefault="00CA7281" w:rsidP="0009775B">
      <w:pPr>
        <w:spacing w:after="0" w:line="240" w:lineRule="auto"/>
      </w:pPr>
      <w:r>
        <w:separator/>
      </w:r>
    </w:p>
  </w:endnote>
  <w:endnote w:type="continuationSeparator" w:id="0">
    <w:p w14:paraId="35AFE566" w14:textId="77777777" w:rsidR="00CA7281" w:rsidRDefault="00CA7281" w:rsidP="000977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utura Md">
    <w:altName w:val="Century Gothic"/>
    <w:panose1 w:val="00000000000000000000"/>
    <w:charset w:val="00"/>
    <w:family w:val="roman"/>
    <w:notTrueType/>
    <w:pitch w:val="default"/>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D9671" w14:textId="77777777" w:rsidR="00CA7281" w:rsidRDefault="00CA7281" w:rsidP="0009775B">
      <w:pPr>
        <w:spacing w:after="0" w:line="240" w:lineRule="auto"/>
      </w:pPr>
      <w:r>
        <w:separator/>
      </w:r>
    </w:p>
  </w:footnote>
  <w:footnote w:type="continuationSeparator" w:id="0">
    <w:p w14:paraId="7B2B9E3A" w14:textId="77777777" w:rsidR="00CA7281" w:rsidRDefault="00CA7281" w:rsidP="0009775B">
      <w:pPr>
        <w:spacing w:after="0" w:line="240" w:lineRule="auto"/>
      </w:pPr>
      <w:r>
        <w:continuationSeparator/>
      </w:r>
    </w:p>
  </w:footnote>
  <w:footnote w:id="1">
    <w:p w14:paraId="11E99A7C" w14:textId="11B7C1CB" w:rsidR="00833E59" w:rsidRPr="00454D1B" w:rsidRDefault="00833E59" w:rsidP="00833E59">
      <w:pPr>
        <w:pStyle w:val="Notedebasdepage"/>
        <w:rPr>
          <w:rFonts w:asciiTheme="majorBidi" w:hAnsiTheme="majorBidi" w:cstheme="majorBidi"/>
        </w:rPr>
      </w:pPr>
      <w:r w:rsidRPr="00454D1B">
        <w:rPr>
          <w:rStyle w:val="Appelnotedebasdep"/>
          <w:rFonts w:asciiTheme="majorBidi" w:hAnsiTheme="majorBidi" w:cstheme="majorBidi"/>
        </w:rPr>
        <w:footnoteRef/>
      </w:r>
      <w:r w:rsidRPr="00454D1B">
        <w:rPr>
          <w:rFonts w:asciiTheme="majorBidi" w:hAnsiTheme="majorBidi" w:cstheme="majorBidi"/>
        </w:rPr>
        <w:t xml:space="preserve"> Article 3 : Les Etats parties au présent Pacte s'engagent à assurer le droit égal qu'ont l'homme et la femme au bénéfice de tous les droits économiques, sociaux et culturels qui sont énumérés dans le présent Pacte</w:t>
      </w:r>
    </w:p>
    <w:p w14:paraId="729D14DD" w14:textId="49D8302F" w:rsidR="00833E59" w:rsidRPr="00454D1B" w:rsidRDefault="00833E59">
      <w:pPr>
        <w:pStyle w:val="Notedebasdepage"/>
        <w:rPr>
          <w:rFonts w:asciiTheme="majorBidi" w:hAnsiTheme="majorBidi" w:cstheme="majorBidi"/>
        </w:rPr>
      </w:pPr>
    </w:p>
  </w:footnote>
  <w:footnote w:id="2">
    <w:p w14:paraId="48C663C3" w14:textId="59413D91" w:rsidR="00343819" w:rsidRPr="00454D1B" w:rsidRDefault="00343819">
      <w:pPr>
        <w:pStyle w:val="Notedebasdepage"/>
        <w:rPr>
          <w:rFonts w:asciiTheme="majorBidi" w:hAnsiTheme="majorBidi" w:cstheme="majorBidi"/>
          <w:rtl/>
          <w:lang w:bidi="ar-TN"/>
        </w:rPr>
      </w:pPr>
      <w:r w:rsidRPr="00454D1B">
        <w:rPr>
          <w:rStyle w:val="Appelnotedebasdep"/>
          <w:rFonts w:asciiTheme="majorBidi" w:hAnsiTheme="majorBidi" w:cstheme="majorBidi"/>
        </w:rPr>
        <w:footnoteRef/>
      </w:r>
      <w:r w:rsidRPr="00454D1B">
        <w:rPr>
          <w:rFonts w:asciiTheme="majorBidi" w:hAnsiTheme="majorBidi" w:cstheme="majorBidi"/>
        </w:rPr>
        <w:t xml:space="preserve"> </w:t>
      </w:r>
      <w:r w:rsidR="00E25C92" w:rsidRPr="00454D1B">
        <w:rPr>
          <w:rFonts w:asciiTheme="majorBidi" w:hAnsiTheme="majorBidi" w:cstheme="majorBidi"/>
        </w:rPr>
        <w:t xml:space="preserve">Selon le </w:t>
      </w:r>
      <w:r w:rsidR="00E25C92" w:rsidRPr="00454D1B">
        <w:rPr>
          <w:rFonts w:asciiTheme="majorBidi" w:hAnsiTheme="majorBidi" w:cstheme="majorBidi"/>
          <w:b/>
          <w:bCs/>
        </w:rPr>
        <w:t>Global Gender Gap Report 2024</w:t>
      </w:r>
      <w:r w:rsidR="00E25C92" w:rsidRPr="00454D1B">
        <w:rPr>
          <w:rFonts w:asciiTheme="majorBidi" w:hAnsiTheme="majorBidi" w:cstheme="majorBidi"/>
        </w:rPr>
        <w:t xml:space="preserve"> du Forum économique mondial : </w:t>
      </w:r>
      <w:hyperlink r:id="rId1" w:history="1">
        <w:r w:rsidR="00E25C92" w:rsidRPr="00454D1B">
          <w:rPr>
            <w:rStyle w:val="Lienhypertexte"/>
            <w:rFonts w:asciiTheme="majorBidi" w:hAnsiTheme="majorBidi" w:cstheme="majorBidi"/>
          </w:rPr>
          <w:t>Global Gender Gap Report 2024 | World Economic Forum</w:t>
        </w:r>
      </w:hyperlink>
      <w:r w:rsidR="00E25C92" w:rsidRPr="00454D1B">
        <w:rPr>
          <w:rFonts w:asciiTheme="majorBidi" w:hAnsiTheme="majorBidi" w:cstheme="majorBidi"/>
        </w:rPr>
        <w:t xml:space="preserve"> </w:t>
      </w:r>
    </w:p>
  </w:footnote>
  <w:footnote w:id="3">
    <w:p w14:paraId="5637861D" w14:textId="65324D2A" w:rsidR="00E25C92" w:rsidRPr="00454D1B" w:rsidRDefault="00343819" w:rsidP="00E25C92">
      <w:pPr>
        <w:pStyle w:val="Notedebasdepage"/>
        <w:rPr>
          <w:rFonts w:asciiTheme="majorBidi" w:hAnsiTheme="majorBidi" w:cstheme="majorBidi"/>
          <w:rtl/>
          <w:lang w:bidi="ar-TN"/>
        </w:rPr>
      </w:pPr>
      <w:r w:rsidRPr="00454D1B">
        <w:rPr>
          <w:rStyle w:val="Appelnotedebasdep"/>
          <w:rFonts w:asciiTheme="majorBidi" w:hAnsiTheme="majorBidi" w:cstheme="majorBidi"/>
        </w:rPr>
        <w:footnoteRef/>
      </w:r>
      <w:r w:rsidRPr="00454D1B">
        <w:rPr>
          <w:rFonts w:asciiTheme="majorBidi" w:hAnsiTheme="majorBidi" w:cstheme="majorBidi"/>
        </w:rPr>
        <w:t xml:space="preserve"> </w:t>
      </w:r>
      <w:hyperlink r:id="rId2" w:history="1">
        <w:r w:rsidR="00E25C92" w:rsidRPr="00454D1B">
          <w:rPr>
            <w:rStyle w:val="Lienhypertexte"/>
            <w:rFonts w:asciiTheme="majorBidi" w:hAnsiTheme="majorBidi" w:cstheme="majorBidi"/>
          </w:rPr>
          <w:t>https://www.ins.tn/ar/publication/mwshrat-altshghyl-walbtalt-llthlathy-althany-mn-snt-2024</w:t>
        </w:r>
      </w:hyperlink>
      <w:r w:rsidR="00E25C92" w:rsidRPr="00454D1B">
        <w:rPr>
          <w:rFonts w:asciiTheme="majorBidi" w:hAnsiTheme="majorBidi" w:cstheme="majorBidi"/>
          <w:rtl/>
        </w:rPr>
        <w:t xml:space="preserve"> </w:t>
      </w:r>
    </w:p>
    <w:p w14:paraId="69E965C6" w14:textId="2B20E3AC" w:rsidR="00343819" w:rsidRPr="00454D1B" w:rsidRDefault="00343819" w:rsidP="00343819">
      <w:pPr>
        <w:pStyle w:val="Notedebasdepage"/>
        <w:rPr>
          <w:rFonts w:asciiTheme="majorBidi" w:hAnsiTheme="majorBidi" w:cstheme="majorBidi"/>
        </w:rPr>
      </w:pPr>
      <w:r w:rsidRPr="00454D1B">
        <w:rPr>
          <w:rFonts w:asciiTheme="majorBidi" w:hAnsiTheme="majorBidi" w:cstheme="majorBidi"/>
          <w:rtl/>
        </w:rPr>
        <w:t>.</w:t>
      </w:r>
      <w:r w:rsidR="004D4139" w:rsidRPr="00454D1B">
        <w:rPr>
          <w:rFonts w:asciiTheme="majorBidi" w:hAnsiTheme="majorBidi" w:cstheme="majorBidi"/>
          <w:rtl/>
        </w:rPr>
        <w:t xml:space="preserve"> </w:t>
      </w:r>
    </w:p>
  </w:footnote>
  <w:footnote w:id="4">
    <w:p w14:paraId="4384F0F2" w14:textId="0B04DB8B" w:rsidR="00A53556" w:rsidRPr="00454D1B" w:rsidRDefault="00A53556">
      <w:pPr>
        <w:pStyle w:val="Notedebasdepage"/>
        <w:rPr>
          <w:rFonts w:asciiTheme="majorBidi" w:hAnsiTheme="majorBidi" w:cstheme="majorBidi"/>
          <w:rtl/>
          <w:lang w:bidi="ar-TN"/>
        </w:rPr>
      </w:pPr>
      <w:r w:rsidRPr="00454D1B">
        <w:rPr>
          <w:rStyle w:val="Appelnotedebasdep"/>
          <w:rFonts w:asciiTheme="majorBidi" w:hAnsiTheme="majorBidi" w:cstheme="majorBidi"/>
        </w:rPr>
        <w:footnoteRef/>
      </w:r>
      <w:r w:rsidRPr="00454D1B">
        <w:rPr>
          <w:rFonts w:asciiTheme="majorBidi" w:hAnsiTheme="majorBidi" w:cstheme="majorBidi"/>
        </w:rPr>
        <w:t xml:space="preserve"> </w:t>
      </w:r>
      <w:hyperlink r:id="rId3" w:history="1">
        <w:r w:rsidR="00E05974" w:rsidRPr="00454D1B">
          <w:rPr>
            <w:rStyle w:val="Lienhypertexte"/>
            <w:rFonts w:asciiTheme="majorBidi" w:hAnsiTheme="majorBidi" w:cstheme="majorBidi"/>
          </w:rPr>
          <w:t>https://blogs.worldbank.org/en/arabvoices/how-rising-inflation-mena-impacts-poverty?utm</w:t>
        </w:r>
      </w:hyperlink>
      <w:r w:rsidR="00E05974" w:rsidRPr="00454D1B">
        <w:rPr>
          <w:rFonts w:asciiTheme="majorBidi" w:hAnsiTheme="majorBidi" w:cstheme="majorBidi"/>
        </w:rPr>
        <w:t xml:space="preserve"> </w:t>
      </w:r>
    </w:p>
  </w:footnote>
  <w:footnote w:id="5">
    <w:p w14:paraId="47D3C745" w14:textId="77777777" w:rsidR="004D4139" w:rsidRPr="00454D1B" w:rsidRDefault="004D4139" w:rsidP="004D4139">
      <w:pPr>
        <w:pStyle w:val="Notedefin"/>
        <w:jc w:val="both"/>
        <w:rPr>
          <w:rFonts w:asciiTheme="majorBidi" w:hAnsiTheme="majorBidi" w:cstheme="majorBidi"/>
          <w:rtl/>
        </w:rPr>
      </w:pPr>
      <w:r w:rsidRPr="00454D1B">
        <w:rPr>
          <w:rStyle w:val="Appelnotedebasdep"/>
          <w:rFonts w:asciiTheme="majorBidi" w:hAnsiTheme="majorBidi" w:cstheme="majorBidi"/>
        </w:rPr>
        <w:footnoteRef/>
      </w:r>
      <w:r w:rsidRPr="00454D1B">
        <w:rPr>
          <w:rFonts w:asciiTheme="majorBidi" w:hAnsiTheme="majorBidi" w:cstheme="majorBidi"/>
        </w:rPr>
        <w:t xml:space="preserve"> Décret-loi n° 2024-4 du 22 octobre 2024, portant création d’un régime de protection sociale au profit des travailleuses agricoles.</w:t>
      </w:r>
      <w:r w:rsidRPr="00454D1B">
        <w:rPr>
          <w:rFonts w:asciiTheme="majorBidi" w:hAnsiTheme="majorBidi" w:cstheme="majorBidi"/>
          <w:rtl/>
        </w:rPr>
        <w:t xml:space="preserve"> </w:t>
      </w:r>
      <w:hyperlink r:id="rId4" w:history="1">
        <w:r w:rsidRPr="00C910F7">
          <w:rPr>
            <w:rStyle w:val="Lienhypertexte"/>
            <w:rFonts w:asciiTheme="majorBidi" w:hAnsiTheme="majorBidi" w:cstheme="majorBidi"/>
            <w:lang w:val="en-US"/>
          </w:rPr>
          <w:t>file:///C:/Users/user/Downloads/D2024_0004-A2024_129.pdf</w:t>
        </w:r>
      </w:hyperlink>
      <w:r w:rsidRPr="00454D1B">
        <w:rPr>
          <w:rFonts w:asciiTheme="majorBidi" w:hAnsiTheme="majorBidi" w:cstheme="majorBidi"/>
          <w:rtl/>
        </w:rPr>
        <w:t xml:space="preserve">  </w:t>
      </w:r>
    </w:p>
    <w:p w14:paraId="74F725CE" w14:textId="04FA22D1" w:rsidR="004D4139" w:rsidRPr="00454D1B" w:rsidRDefault="004D4139" w:rsidP="004D4139">
      <w:pPr>
        <w:pStyle w:val="Notedebasdepage"/>
        <w:rPr>
          <w:rFonts w:asciiTheme="majorBidi" w:hAnsiTheme="majorBidi" w:cstheme="majorBidi"/>
          <w:rtl/>
          <w:lang w:bidi="ar-TN"/>
        </w:rPr>
      </w:pPr>
      <w:hyperlink r:id="rId5" w:history="1">
        <w:r w:rsidRPr="00C910F7">
          <w:rPr>
            <w:rStyle w:val="Lienhypertexte"/>
            <w:rFonts w:asciiTheme="majorBidi" w:hAnsiTheme="majorBidi" w:cstheme="majorBidi"/>
            <w:lang w:val="en-US"/>
          </w:rPr>
          <w:t>http://www.iort.gov.tn/WD120AWP/WD120Awp.exe/CTX_6704-10-nGuFLlDVIT/RechercheTexte/SYNC_1835503525</w:t>
        </w:r>
      </w:hyperlink>
      <w:r w:rsidRPr="00454D1B">
        <w:rPr>
          <w:rFonts w:asciiTheme="majorBidi" w:hAnsiTheme="majorBidi" w:cstheme="majorBidi"/>
          <w:rtl/>
        </w:rPr>
        <w:t xml:space="preserve">    </w:t>
      </w:r>
    </w:p>
  </w:footnote>
  <w:footnote w:id="6">
    <w:p w14:paraId="7C2B156D" w14:textId="0EF5ADF8" w:rsidR="004D4139" w:rsidRDefault="004D4139" w:rsidP="004D4139">
      <w:pPr>
        <w:pStyle w:val="Notedebasdepage"/>
        <w:rPr>
          <w:lang w:bidi="ar-TN"/>
        </w:rPr>
      </w:pPr>
      <w:r w:rsidRPr="00454D1B">
        <w:rPr>
          <w:rStyle w:val="Appelnotedebasdep"/>
          <w:rFonts w:asciiTheme="majorBidi" w:hAnsiTheme="majorBidi" w:cstheme="majorBidi"/>
        </w:rPr>
        <w:footnoteRef/>
      </w:r>
      <w:r w:rsidRPr="00454D1B">
        <w:rPr>
          <w:rFonts w:asciiTheme="majorBidi" w:hAnsiTheme="majorBidi" w:cstheme="majorBidi"/>
        </w:rPr>
        <w:t xml:space="preserve"> 58% des ouvrières agricoles en Tunisie reçoivent une rémunération journalière comprise entre 10 et 15 dinars, selon une étude sur les femmes travaillant dans le secteur agricole en Tunisie.</w:t>
      </w:r>
      <w:r w:rsidRPr="00454D1B">
        <w:rPr>
          <w:rFonts w:asciiTheme="majorBidi" w:hAnsiTheme="majorBidi" w:cstheme="majorBidi"/>
          <w:rtl/>
        </w:rPr>
        <w:t xml:space="preserve"> </w:t>
      </w:r>
      <w:r w:rsidRPr="00454D1B">
        <w:rPr>
          <w:rFonts w:asciiTheme="majorBidi" w:hAnsiTheme="majorBidi" w:cstheme="majorBidi"/>
        </w:rPr>
        <w:t xml:space="preserve">Voir article </w:t>
      </w:r>
      <w:hyperlink r:id="rId6" w:history="1">
        <w:r w:rsidRPr="00454D1B">
          <w:rPr>
            <w:rStyle w:val="Lienhypertexte"/>
            <w:rFonts w:asciiTheme="majorBidi" w:hAnsiTheme="majorBidi" w:cstheme="majorBidi"/>
          </w:rPr>
          <w:t>https://www.webmanagercenter.com/2020/08/31/455220/kairouan-58-des-ouvrieres-agricoles-en-tunisie-recoivent-un-salaire-net-quotidien-compris-entre-10-et-15-dinars-etude/?utm</w:t>
        </w:r>
      </w:hyperlink>
    </w:p>
  </w:footnote>
  <w:footnote w:id="7">
    <w:p w14:paraId="721F041D" w14:textId="5C8697DC" w:rsidR="004D4139" w:rsidRPr="00DE6879" w:rsidRDefault="004D4139" w:rsidP="004D4139">
      <w:pPr>
        <w:pStyle w:val="Notedebasdepage"/>
        <w:rPr>
          <w:rFonts w:asciiTheme="majorBidi" w:hAnsiTheme="majorBidi" w:cstheme="majorBidi"/>
        </w:rPr>
      </w:pPr>
      <w:r w:rsidRPr="00DE6879">
        <w:rPr>
          <w:rStyle w:val="Appelnotedebasdep"/>
          <w:rFonts w:asciiTheme="majorBidi" w:hAnsiTheme="majorBidi" w:cstheme="majorBidi"/>
        </w:rPr>
        <w:footnoteRef/>
      </w:r>
      <w:r w:rsidRPr="00DE6879">
        <w:rPr>
          <w:rFonts w:asciiTheme="majorBidi" w:hAnsiTheme="majorBidi" w:cstheme="majorBidi"/>
        </w:rPr>
        <w:t xml:space="preserve"> Ministère des Finances, UNICEF, Sep 2022, Rapport d'analyse budgétaire selon le genre (2010-2021), Page 1</w:t>
      </w:r>
      <w:r w:rsidRPr="00DE6879">
        <w:rPr>
          <w:rFonts w:asciiTheme="majorBidi" w:hAnsiTheme="majorBidi" w:cstheme="majorBidi"/>
          <w:sz w:val="24"/>
          <w:szCs w:val="24"/>
        </w:rPr>
        <w:t xml:space="preserve"> </w:t>
      </w:r>
      <w:r w:rsidRPr="00DE6879">
        <w:rPr>
          <w:rFonts w:asciiTheme="majorBidi" w:hAnsiTheme="majorBidi" w:cstheme="majorBidi"/>
        </w:rPr>
        <w:t xml:space="preserve">Ministère des Finances, UNICEF, Sep 2022, Rapport d'analyse budgétaire selon le genre (2010-2021), Page 18. </w:t>
      </w:r>
    </w:p>
  </w:footnote>
  <w:footnote w:id="8">
    <w:p w14:paraId="2BBA89DA" w14:textId="4A6CD1A5" w:rsidR="004D4139" w:rsidRPr="00DE6879" w:rsidRDefault="004D4139" w:rsidP="004D4139">
      <w:pPr>
        <w:pStyle w:val="Notedebasdepage"/>
        <w:rPr>
          <w:rFonts w:asciiTheme="majorBidi" w:hAnsiTheme="majorBidi" w:cstheme="majorBidi"/>
        </w:rPr>
      </w:pPr>
      <w:r w:rsidRPr="00DE6879">
        <w:rPr>
          <w:rStyle w:val="Appelnotedebasdep"/>
          <w:rFonts w:asciiTheme="majorBidi" w:hAnsiTheme="majorBidi" w:cstheme="majorBidi"/>
        </w:rPr>
        <w:footnoteRef/>
      </w:r>
      <w:r w:rsidRPr="00DE6879">
        <w:rPr>
          <w:rFonts w:asciiTheme="majorBidi" w:hAnsiTheme="majorBidi" w:cstheme="majorBidi"/>
        </w:rPr>
        <w:t xml:space="preserve"> Ministère des Finances, Ecole Nationale des Finances, La budgétisation sensible au genre, Octobre 2021, Page 7-8 </w:t>
      </w:r>
    </w:p>
  </w:footnote>
  <w:footnote w:id="9">
    <w:p w14:paraId="6A885FA2" w14:textId="444E7FCF" w:rsidR="000B48A6" w:rsidRPr="00DE6879" w:rsidRDefault="000B48A6" w:rsidP="000B48A6">
      <w:pPr>
        <w:pStyle w:val="Notedebasdepage"/>
        <w:rPr>
          <w:rFonts w:asciiTheme="majorBidi" w:hAnsiTheme="majorBidi" w:cstheme="majorBidi"/>
        </w:rPr>
      </w:pPr>
      <w:r w:rsidRPr="00DE6879">
        <w:rPr>
          <w:rStyle w:val="Appelnotedebasdep"/>
          <w:rFonts w:asciiTheme="majorBidi" w:hAnsiTheme="majorBidi" w:cstheme="majorBidi"/>
        </w:rPr>
        <w:footnoteRef/>
      </w:r>
      <w:r w:rsidRPr="00DE6879">
        <w:rPr>
          <w:rFonts w:asciiTheme="majorBidi" w:hAnsiTheme="majorBidi" w:cstheme="majorBidi"/>
        </w:rPr>
        <w:t xml:space="preserve"> Assemblée Générale des Nations Unies, Rapport de l’Expert indépendant sur les effets de la dette extérieure “Rapport de l’Expert indépendant sur les effets de la dette extérieure et des obligations financières internationales connexes des États sur le plein exercice de tous les droits de la personne, en particulier les droits économiques, sociaux et culturels, 16 juillet 2019 : </w:t>
      </w:r>
      <w:hyperlink r:id="rId7" w:history="1">
        <w:r w:rsidRPr="00DE6879">
          <w:rPr>
            <w:rStyle w:val="Lienhypertexte"/>
            <w:rFonts w:asciiTheme="majorBidi" w:hAnsiTheme="majorBidi" w:cstheme="majorBidi"/>
          </w:rPr>
          <w:t>https://documents.un.org/doc/undoc/gen/n18/229/04/pdf/n1822904.pdf?OpenElement</w:t>
        </w:r>
      </w:hyperlink>
      <w:r w:rsidRPr="00DE6879">
        <w:rPr>
          <w:rFonts w:asciiTheme="majorBidi" w:hAnsiTheme="majorBidi" w:cstheme="majorBidi"/>
        </w:rPr>
        <w:t xml:space="preserve"> </w:t>
      </w:r>
    </w:p>
  </w:footnote>
  <w:footnote w:id="10">
    <w:p w14:paraId="641F58F4" w14:textId="15839286" w:rsidR="000B48A6" w:rsidRPr="00DE6879" w:rsidRDefault="000B48A6" w:rsidP="000B48A6">
      <w:pPr>
        <w:pStyle w:val="Notedebasdepage"/>
        <w:rPr>
          <w:rFonts w:asciiTheme="majorBidi" w:hAnsiTheme="majorBidi" w:cstheme="majorBidi"/>
        </w:rPr>
      </w:pPr>
      <w:r w:rsidRPr="00DE6879">
        <w:rPr>
          <w:rStyle w:val="Appelnotedebasdep"/>
          <w:rFonts w:asciiTheme="majorBidi" w:hAnsiTheme="majorBidi" w:cstheme="majorBidi"/>
        </w:rPr>
        <w:footnoteRef/>
      </w:r>
      <w:r w:rsidRPr="00DE6879">
        <w:rPr>
          <w:rFonts w:asciiTheme="majorBidi" w:hAnsiTheme="majorBidi" w:cstheme="majorBidi"/>
        </w:rPr>
        <w:t xml:space="preserve"> En Tunisie, malgré une loi pour réguler le transport des femmes agricoles depuis 2019, les accidents mortels continuent. La majorité de ces femmes, qui représentent près de 80 % de la main d’œuvre du secteur, se rendent sur leur lieu de travail, entassées de 20 à 30 dans des pickups. Un moyen de transport très dangereux : entre 2015 et 2023, 55 de ces femmes ont trouvé la mort et 796 ont été blessées dans ces accidents. Des chiffres qui témoignent de l’échec à les protéger, selon le Forum des droits économiques et sociaux, auteur d’une étude sur la question, présentée à Tunis en octobre dernier. Voir : </w:t>
      </w:r>
      <w:hyperlink r:id="rId8" w:history="1">
        <w:r w:rsidRPr="00DE6879">
          <w:rPr>
            <w:rStyle w:val="Lienhypertexte"/>
            <w:rFonts w:asciiTheme="majorBidi" w:hAnsiTheme="majorBidi" w:cstheme="majorBidi"/>
          </w:rPr>
          <w:t>https://www.rfi.fr/fr/afrique/20231107-tunisie-des-travailleuses-agricoles-victimes-de-nombreux-accidents-de-la-route-souvent-mortels?utm</w:t>
        </w:r>
      </w:hyperlink>
      <w:r w:rsidR="00996CD7" w:rsidRPr="00DE6879">
        <w:rPr>
          <w:rFonts w:asciiTheme="majorBidi" w:hAnsiTheme="majorBidi" w:cstheme="majorBidi"/>
        </w:rPr>
        <w:t xml:space="preserve"> </w:t>
      </w:r>
      <w:r w:rsidRPr="00DE6879">
        <w:rPr>
          <w:rFonts w:asciiTheme="majorBidi" w:hAnsiTheme="majorBidi" w:cstheme="majorBidi"/>
        </w:rPr>
        <w:t xml:space="preserve"> </w:t>
      </w:r>
    </w:p>
  </w:footnote>
  <w:footnote w:id="11">
    <w:p w14:paraId="5FC0D0FD" w14:textId="4B36A068" w:rsidR="00E7609E" w:rsidRDefault="00E7609E">
      <w:pPr>
        <w:pStyle w:val="Notedebasdepage"/>
      </w:pPr>
      <w:r w:rsidRPr="00DE6879">
        <w:rPr>
          <w:rStyle w:val="Appelnotedebasdep"/>
          <w:rFonts w:asciiTheme="majorBidi" w:hAnsiTheme="majorBidi" w:cstheme="majorBidi"/>
        </w:rPr>
        <w:footnoteRef/>
      </w:r>
      <w:r w:rsidRPr="00DE6879">
        <w:rPr>
          <w:rFonts w:asciiTheme="majorBidi" w:hAnsiTheme="majorBidi" w:cstheme="majorBidi"/>
        </w:rPr>
        <w:t xml:space="preserve"> </w:t>
      </w:r>
      <w:hyperlink r:id="rId9" w:history="1">
        <w:r w:rsidRPr="00DE6879">
          <w:rPr>
            <w:rStyle w:val="Lienhypertexte"/>
            <w:rFonts w:asciiTheme="majorBidi" w:hAnsiTheme="majorBidi" w:cstheme="majorBidi"/>
          </w:rPr>
          <w:t>https://www.cawtarclearinghouse.org/storage/4915/L%E2%80%99inclusion-financi%C3%A8re-des-jeunes-et-des-femmes-entrepreneurs-en-Tunisie.pdf</w:t>
        </w:r>
      </w:hyperlink>
      <w:r>
        <w:t xml:space="preserve"> </w:t>
      </w:r>
    </w:p>
  </w:footnote>
  <w:footnote w:id="12">
    <w:p w14:paraId="4AB83583" w14:textId="241B8653" w:rsidR="00996CD7" w:rsidRPr="00DE6879" w:rsidRDefault="00996CD7">
      <w:pPr>
        <w:pStyle w:val="Notedebasdepage"/>
        <w:rPr>
          <w:rFonts w:asciiTheme="majorBidi" w:hAnsiTheme="majorBidi" w:cstheme="majorBidi"/>
        </w:rPr>
      </w:pPr>
      <w:r w:rsidRPr="00DE6879">
        <w:rPr>
          <w:rStyle w:val="Appelnotedebasdep"/>
          <w:rFonts w:asciiTheme="majorBidi" w:hAnsiTheme="majorBidi" w:cstheme="majorBidi"/>
        </w:rPr>
        <w:footnoteRef/>
      </w:r>
      <w:r w:rsidRPr="00DE6879">
        <w:rPr>
          <w:rFonts w:asciiTheme="majorBidi" w:hAnsiTheme="majorBidi" w:cstheme="majorBidi"/>
        </w:rPr>
        <w:t xml:space="preserve"> </w:t>
      </w:r>
      <w:hyperlink r:id="rId10" w:history="1">
        <w:r w:rsidRPr="00DE6879">
          <w:rPr>
            <w:rStyle w:val="Lienhypertexte"/>
            <w:rFonts w:asciiTheme="majorBidi" w:hAnsiTheme="majorBidi" w:cstheme="majorBidi"/>
          </w:rPr>
          <w:t>https://tunisia.unfpa.org/sites/default/files/pub-pdf/Etude%20archives%20ATFD.pdf</w:t>
        </w:r>
      </w:hyperlink>
      <w:r w:rsidRPr="00DE6879">
        <w:rPr>
          <w:rFonts w:asciiTheme="majorBidi" w:hAnsiTheme="majorBidi" w:cstheme="majorBidi"/>
        </w:rPr>
        <w:t xml:space="preserve"> </w:t>
      </w:r>
    </w:p>
  </w:footnote>
  <w:footnote w:id="13">
    <w:p w14:paraId="6C5256C8" w14:textId="77777777" w:rsidR="000B48A6" w:rsidRPr="00DE6879" w:rsidRDefault="000B48A6" w:rsidP="000B48A6">
      <w:pPr>
        <w:pStyle w:val="Notedebasdepage"/>
        <w:rPr>
          <w:rFonts w:asciiTheme="majorBidi" w:hAnsiTheme="majorBidi" w:cstheme="majorBidi"/>
          <w:b/>
          <w:bCs/>
        </w:rPr>
      </w:pPr>
      <w:r w:rsidRPr="00DE6879">
        <w:rPr>
          <w:rStyle w:val="Appelnotedebasdep"/>
          <w:rFonts w:asciiTheme="majorBidi" w:hAnsiTheme="majorBidi" w:cstheme="majorBidi"/>
        </w:rPr>
        <w:footnoteRef/>
      </w:r>
      <w:r w:rsidRPr="00DE6879">
        <w:rPr>
          <w:rFonts w:asciiTheme="majorBidi" w:hAnsiTheme="majorBidi" w:cstheme="majorBidi"/>
        </w:rPr>
        <w:t xml:space="preserve"> </w:t>
      </w:r>
      <w:r w:rsidRPr="00DE6879">
        <w:rPr>
          <w:rFonts w:asciiTheme="majorBidi" w:hAnsiTheme="majorBidi" w:cstheme="majorBidi"/>
          <w:b/>
          <w:bCs/>
        </w:rPr>
        <w:t>Seuls six pour cent des travailleurs domestiques disposent d’une couverture sociale complète selon l’OIT</w:t>
      </w:r>
    </w:p>
    <w:p w14:paraId="35C42A14" w14:textId="4DAEA635" w:rsidR="000B48A6" w:rsidRPr="00DE6879" w:rsidRDefault="000B48A6">
      <w:pPr>
        <w:pStyle w:val="Notedebasdepage"/>
        <w:rPr>
          <w:rFonts w:asciiTheme="majorBidi" w:hAnsiTheme="majorBidi" w:cstheme="majorBidi"/>
        </w:rPr>
      </w:pPr>
      <w:hyperlink r:id="rId11" w:history="1">
        <w:r w:rsidRPr="00DE6879">
          <w:rPr>
            <w:rStyle w:val="Lienhypertexte"/>
            <w:rFonts w:asciiTheme="majorBidi" w:hAnsiTheme="majorBidi" w:cstheme="majorBidi"/>
          </w:rPr>
          <w:t>https://www.ilo.org/fr/resource/news/seuls-six-pour-cent-des-travailleurs-domestiques-disposent-d%E2%80%99une-couverture</w:t>
        </w:r>
      </w:hyperlink>
      <w:r w:rsidRPr="00DE6879">
        <w:rPr>
          <w:rFonts w:asciiTheme="majorBidi" w:hAnsiTheme="majorBidi" w:cstheme="majorBidi"/>
        </w:rPr>
        <w:t xml:space="preserve"> </w:t>
      </w:r>
    </w:p>
  </w:footnote>
  <w:footnote w:id="14">
    <w:p w14:paraId="39BD0EEA" w14:textId="58F68620" w:rsidR="0051359D" w:rsidRDefault="0051359D">
      <w:pPr>
        <w:pStyle w:val="Notedebasdepage"/>
      </w:pPr>
      <w:r w:rsidRPr="00DE6879">
        <w:rPr>
          <w:rStyle w:val="Appelnotedebasdep"/>
          <w:rFonts w:asciiTheme="majorBidi" w:hAnsiTheme="majorBidi" w:cstheme="majorBidi"/>
        </w:rPr>
        <w:footnoteRef/>
      </w:r>
      <w:r w:rsidRPr="00DE6879">
        <w:rPr>
          <w:rFonts w:asciiTheme="majorBidi" w:hAnsiTheme="majorBidi" w:cstheme="majorBidi"/>
        </w:rPr>
        <w:t xml:space="preserve"> </w:t>
      </w:r>
      <w:hyperlink r:id="rId12" w:history="1">
        <w:r w:rsidRPr="00DE6879">
          <w:rPr>
            <w:rStyle w:val="Lienhypertexte"/>
            <w:rFonts w:asciiTheme="majorBidi" w:hAnsiTheme="majorBidi" w:cstheme="majorBidi"/>
          </w:rPr>
          <w:t>https://www.leral.net/Plus-de-90-des-travailleurs-domestiques-ne-disposent-pas-d-une-couverture-sociale-complete-selon-l-OIT_a332826.html?utm</w:t>
        </w:r>
      </w:hyperlink>
    </w:p>
  </w:footnote>
  <w:footnote w:id="15">
    <w:p w14:paraId="614DB4DC" w14:textId="3754C1FE" w:rsidR="0096040D" w:rsidRPr="00DE6879" w:rsidRDefault="0096040D" w:rsidP="0096040D">
      <w:pPr>
        <w:pStyle w:val="Notedebasdepage"/>
        <w:rPr>
          <w:rFonts w:asciiTheme="majorBidi" w:hAnsiTheme="majorBidi" w:cstheme="majorBidi"/>
        </w:rPr>
      </w:pPr>
      <w:r w:rsidRPr="00DE6879">
        <w:rPr>
          <w:rStyle w:val="Appelnotedebasdep"/>
          <w:rFonts w:asciiTheme="majorBidi" w:hAnsiTheme="majorBidi" w:cstheme="majorBidi"/>
        </w:rPr>
        <w:footnoteRef/>
      </w:r>
      <w:r w:rsidRPr="00DE6879">
        <w:rPr>
          <w:rFonts w:asciiTheme="majorBidi" w:hAnsiTheme="majorBidi" w:cstheme="majorBidi"/>
        </w:rPr>
        <w:t xml:space="preserve"> Par décret gouvernemental n°2018</w:t>
      </w:r>
      <w:r w:rsidRPr="00DE6879">
        <w:rPr>
          <w:rFonts w:asciiTheme="majorBidi" w:hAnsiTheme="majorBidi" w:cstheme="majorBidi"/>
        </w:rPr>
        <w:noBreakHyphen/>
        <w:t xml:space="preserve">166 du 13 février 2018, le ministère chargé des questions de genre a été rebaptisé “Ministère de la famille, de la Femme, de l’Enfance et des Seniors”, élargissant ainsi son périmètre à la famille, à l’enfant et aux aînés, au détriment de son focus antérieur sur la femme comme sujet autonome : </w:t>
      </w:r>
      <w:hyperlink r:id="rId13" w:history="1">
        <w:r w:rsidR="00996CD7" w:rsidRPr="00DE6879">
          <w:rPr>
            <w:rStyle w:val="Lienhypertexte"/>
            <w:rFonts w:asciiTheme="majorBidi" w:hAnsiTheme="majorBidi" w:cstheme="majorBidi"/>
          </w:rPr>
          <w:t>https://natlex.ilo.org/dyn/natlex2/r/natlex/fe/details?cs=1URlh_6T9KBhhhUwCxXmH-gQCFKs-oSQ-y6ngHjmMckNPsn2nJ3a9fXAW1fgUH8Em7mBkeMSG1_BWHWmcyLm3fQ&amp;p3_isn=106463&amp;utm_</w:t>
        </w:r>
      </w:hyperlink>
      <w:r w:rsidR="00996CD7" w:rsidRPr="00DE6879">
        <w:rPr>
          <w:rFonts w:asciiTheme="majorBidi" w:hAnsiTheme="majorBidi" w:cstheme="majorBidi"/>
        </w:rPr>
        <w:t xml:space="preserve">  </w:t>
      </w:r>
    </w:p>
  </w:footnote>
  <w:footnote w:id="16">
    <w:p w14:paraId="013DA9EB" w14:textId="3C96DED5" w:rsidR="0096040D" w:rsidRPr="00DE6879" w:rsidRDefault="0096040D">
      <w:pPr>
        <w:pStyle w:val="Notedebasdepage"/>
        <w:rPr>
          <w:rFonts w:asciiTheme="majorBidi" w:hAnsiTheme="majorBidi" w:cstheme="majorBidi"/>
        </w:rPr>
      </w:pPr>
      <w:r w:rsidRPr="00DE6879">
        <w:rPr>
          <w:rStyle w:val="Appelnotedebasdep"/>
          <w:rFonts w:asciiTheme="majorBidi" w:hAnsiTheme="majorBidi" w:cstheme="majorBidi"/>
        </w:rPr>
        <w:footnoteRef/>
      </w:r>
      <w:r w:rsidRPr="00DE6879">
        <w:rPr>
          <w:rFonts w:asciiTheme="majorBidi" w:hAnsiTheme="majorBidi" w:cstheme="majorBidi"/>
        </w:rPr>
        <w:t xml:space="preserve"> </w:t>
      </w:r>
      <w:hyperlink r:id="rId14" w:tgtFrame="_blank" w:history="1">
        <w:r w:rsidR="008F0580" w:rsidRPr="00DE6879">
          <w:rPr>
            <w:rStyle w:val="Lienhypertexte"/>
            <w:rFonts w:asciiTheme="majorBidi" w:hAnsiTheme="majorBidi" w:cstheme="majorBidi"/>
          </w:rPr>
          <w:t>www.raidet.tn</w:t>
        </w:r>
      </w:hyperlink>
      <w:r w:rsidR="008F0580" w:rsidRPr="00DE6879">
        <w:rPr>
          <w:rFonts w:asciiTheme="majorBidi" w:hAnsiTheme="majorBidi" w:cstheme="majorBidi"/>
        </w:rPr>
        <w:t xml:space="preserve"> </w:t>
      </w:r>
    </w:p>
  </w:footnote>
  <w:footnote w:id="17">
    <w:p w14:paraId="6B2C5A6F" w14:textId="1B301838" w:rsidR="008F0580" w:rsidRDefault="008F0580">
      <w:pPr>
        <w:pStyle w:val="Notedebasdepage"/>
      </w:pPr>
      <w:r w:rsidRPr="00DE6879">
        <w:rPr>
          <w:rStyle w:val="Appelnotedebasdep"/>
          <w:rFonts w:asciiTheme="majorBidi" w:hAnsiTheme="majorBidi" w:cstheme="majorBidi"/>
        </w:rPr>
        <w:footnoteRef/>
      </w:r>
      <w:r w:rsidRPr="00DE6879">
        <w:rPr>
          <w:rFonts w:asciiTheme="majorBidi" w:hAnsiTheme="majorBidi" w:cstheme="majorBidi"/>
        </w:rPr>
        <w:t xml:space="preserve"> </w:t>
      </w:r>
      <w:hyperlink r:id="rId15" w:history="1">
        <w:r w:rsidRPr="00DE6879">
          <w:rPr>
            <w:rStyle w:val="Lienhypertexte"/>
            <w:rFonts w:asciiTheme="majorBidi" w:hAnsiTheme="majorBidi" w:cstheme="majorBidi"/>
          </w:rPr>
          <w:t>http://www.femmes.gov.tn/ar/2024/01/30/%D8%A8%D8%B1%D9%86%D8%A7%D9%85%D8%AC-%D8%B5%D8%A7%D9%85%D8%AF%D8%A9-%D9%84%D9%84%D8%AA%D9%85%D9%83%D9%8A%D9%86-%D8%A7%D9%84%D8%A7%D9%82%D8%AA%D8%B5%D8%A7%D8%AF%D9%8A-%D9%84%D9%84%D9%86%D8%B3%D8%A7/</w:t>
        </w:r>
      </w:hyperlink>
      <w:r w:rsidRPr="00DE6879">
        <w:rPr>
          <w:rFonts w:asciiTheme="majorBidi" w:hAnsiTheme="majorBidi" w:cstheme="majorBidi"/>
        </w:rPr>
        <w:t xml:space="preserve"> </w:t>
      </w:r>
    </w:p>
  </w:footnote>
  <w:footnote w:id="18">
    <w:p w14:paraId="136D6506" w14:textId="1E792407" w:rsidR="008F0580" w:rsidRPr="00DE6879" w:rsidRDefault="008F0580">
      <w:pPr>
        <w:pStyle w:val="Notedebasdepage"/>
        <w:rPr>
          <w:rFonts w:asciiTheme="majorBidi" w:hAnsiTheme="majorBidi" w:cstheme="majorBidi"/>
        </w:rPr>
      </w:pPr>
      <w:r w:rsidRPr="00DE6879">
        <w:rPr>
          <w:rStyle w:val="Appelnotedebasdep"/>
          <w:rFonts w:asciiTheme="majorBidi" w:hAnsiTheme="majorBidi" w:cstheme="majorBidi"/>
        </w:rPr>
        <w:footnoteRef/>
      </w:r>
      <w:r w:rsidRPr="00DE6879">
        <w:rPr>
          <w:rFonts w:asciiTheme="majorBidi" w:hAnsiTheme="majorBidi" w:cstheme="majorBidi"/>
        </w:rPr>
        <w:t xml:space="preserve"> </w:t>
      </w:r>
      <w:hyperlink r:id="rId16" w:history="1">
        <w:r w:rsidRPr="00DE6879">
          <w:rPr>
            <w:rStyle w:val="Lienhypertexte"/>
            <w:rFonts w:asciiTheme="majorBidi" w:hAnsiTheme="majorBidi" w:cstheme="majorBidi"/>
          </w:rPr>
          <w:t>http://www.femmes.gov.tn/ar/2024/03/08/15503/</w:t>
        </w:r>
      </w:hyperlink>
      <w:r w:rsidRPr="00DE6879">
        <w:rPr>
          <w:rFonts w:asciiTheme="majorBidi" w:hAnsiTheme="majorBidi" w:cstheme="majorBidi"/>
        </w:rPr>
        <w:t xml:space="preserve"> </w:t>
      </w:r>
    </w:p>
  </w:footnote>
  <w:footnote w:id="19">
    <w:p w14:paraId="152D14AD" w14:textId="6917BB67" w:rsidR="00A630E3" w:rsidRPr="00DE6879" w:rsidRDefault="00A630E3">
      <w:pPr>
        <w:pStyle w:val="Notedebasdepage"/>
        <w:rPr>
          <w:rFonts w:asciiTheme="majorBidi" w:hAnsiTheme="majorBidi" w:cstheme="majorBidi"/>
        </w:rPr>
      </w:pPr>
      <w:r w:rsidRPr="00DE6879">
        <w:rPr>
          <w:rStyle w:val="Appelnotedebasdep"/>
          <w:rFonts w:asciiTheme="majorBidi" w:hAnsiTheme="majorBidi" w:cstheme="majorBidi"/>
        </w:rPr>
        <w:footnoteRef/>
      </w:r>
      <w:r w:rsidRPr="00DE6879">
        <w:rPr>
          <w:rFonts w:asciiTheme="majorBidi" w:hAnsiTheme="majorBidi" w:cstheme="majorBidi"/>
        </w:rPr>
        <w:t xml:space="preserve"> </w:t>
      </w:r>
      <w:hyperlink r:id="rId17" w:history="1">
        <w:r w:rsidRPr="00DE6879">
          <w:rPr>
            <w:rStyle w:val="Lienhypertexte"/>
            <w:rFonts w:asciiTheme="majorBidi" w:hAnsiTheme="majorBidi" w:cstheme="majorBidi"/>
          </w:rPr>
          <w:t>https://www.unwomen.org/fr/articles/faits-et-chiffres/faits-et-chiffres-mettre-fin-a-la-violence-a-legard-des-femmes</w:t>
        </w:r>
      </w:hyperlink>
      <w:r w:rsidRPr="00DE6879">
        <w:rPr>
          <w:rFonts w:asciiTheme="majorBidi" w:hAnsiTheme="majorBidi" w:cstheme="majorBidi"/>
        </w:rPr>
        <w:t xml:space="preserve"> </w:t>
      </w:r>
    </w:p>
  </w:footnote>
  <w:footnote w:id="20">
    <w:p w14:paraId="590C7C7A" w14:textId="234DB6C2" w:rsidR="00E3232B" w:rsidRPr="00DE6879" w:rsidRDefault="00E3232B" w:rsidP="00E3232B">
      <w:pPr>
        <w:pStyle w:val="Notedebasdepage"/>
        <w:rPr>
          <w:rFonts w:asciiTheme="majorBidi" w:hAnsiTheme="majorBidi" w:cstheme="majorBidi"/>
        </w:rPr>
      </w:pPr>
      <w:r w:rsidRPr="00DE6879">
        <w:rPr>
          <w:rStyle w:val="Appelnotedebasdep"/>
          <w:rFonts w:asciiTheme="majorBidi" w:hAnsiTheme="majorBidi" w:cstheme="majorBidi"/>
        </w:rPr>
        <w:footnoteRef/>
      </w:r>
      <w:r w:rsidRPr="00DE6879">
        <w:rPr>
          <w:rFonts w:asciiTheme="majorBidi" w:hAnsiTheme="majorBidi" w:cstheme="majorBidi"/>
        </w:rPr>
        <w:t xml:space="preserve"> Par ailleurs, le nombre de féminicides a également connu une augmentation alarmante. Selon les données du ministère de la Femme, ce chiffre a été multiplié par quatre entre 2018 et 2023. Les associations féministes, telles qu’Aswat Nissa, ont recensé pour leur part </w:t>
      </w:r>
      <w:r w:rsidRPr="00DE6879">
        <w:rPr>
          <w:rFonts w:asciiTheme="majorBidi" w:hAnsiTheme="majorBidi" w:cstheme="majorBidi"/>
          <w:b/>
          <w:bCs/>
        </w:rPr>
        <w:t>51 cas de féminicides</w:t>
      </w:r>
      <w:r w:rsidRPr="00DE6879">
        <w:rPr>
          <w:rFonts w:asciiTheme="majorBidi" w:hAnsiTheme="majorBidi" w:cstheme="majorBidi"/>
        </w:rPr>
        <w:t xml:space="preserve"> pour les années 2023 et 2024, ce qui reflète une aggravation inquiétante des violences extrêmes à l’égard des femmes en Tunisie. </w:t>
      </w:r>
    </w:p>
    <w:p w14:paraId="13675AFB" w14:textId="1B23966A" w:rsidR="00E3232B" w:rsidRPr="00DE6879" w:rsidRDefault="00E3232B" w:rsidP="00E3232B">
      <w:pPr>
        <w:pStyle w:val="Notedebasdepage"/>
        <w:rPr>
          <w:rFonts w:asciiTheme="majorBidi" w:hAnsiTheme="majorBidi" w:cstheme="majorBidi"/>
          <w:rtl/>
          <w:lang w:bidi="ar-TN"/>
        </w:rPr>
      </w:pPr>
      <w:hyperlink r:id="rId18" w:history="1">
        <w:r w:rsidRPr="00DE6879">
          <w:rPr>
            <w:rStyle w:val="Lienhypertexte"/>
            <w:rFonts w:asciiTheme="majorBidi" w:hAnsiTheme="majorBidi" w:cstheme="majorBidi"/>
            <w:lang w:bidi="ar-TN"/>
          </w:rPr>
          <w:t>http://www.femmes.gov.tn/ar/2023/11/24</w:t>
        </w:r>
      </w:hyperlink>
      <w:r w:rsidRPr="00DE6879">
        <w:rPr>
          <w:rFonts w:asciiTheme="majorBidi" w:hAnsiTheme="majorBidi" w:cstheme="majorBidi"/>
          <w:rtl/>
          <w:lang w:bidi="ar-TN"/>
        </w:rPr>
        <w:t xml:space="preserve"> </w:t>
      </w:r>
    </w:p>
    <w:p w14:paraId="319539E4" w14:textId="73FA73EE" w:rsidR="00E3232B" w:rsidRPr="00DE6879" w:rsidRDefault="00E3232B" w:rsidP="00E3232B">
      <w:pPr>
        <w:pStyle w:val="Notedebasdepage"/>
        <w:rPr>
          <w:rFonts w:asciiTheme="majorBidi" w:hAnsiTheme="majorBidi" w:cstheme="majorBidi"/>
          <w:lang w:bidi="ar-TN"/>
        </w:rPr>
      </w:pPr>
      <w:hyperlink r:id="rId19" w:history="1">
        <w:r w:rsidRPr="00DE6879">
          <w:rPr>
            <w:rStyle w:val="Lienhypertexte"/>
            <w:rFonts w:asciiTheme="majorBidi" w:hAnsiTheme="majorBidi" w:cstheme="majorBidi"/>
            <w:lang w:bidi="ar-TN"/>
          </w:rPr>
          <w:t>https://www.aswatnissa.org/wp-content/uploads/2025/05/final.pdf</w:t>
        </w:r>
      </w:hyperlink>
      <w:r w:rsidRPr="00DE6879">
        <w:rPr>
          <w:rFonts w:asciiTheme="majorBidi" w:hAnsiTheme="majorBidi" w:cstheme="majorBidi"/>
          <w:lang w:bidi="ar-TN"/>
        </w:rPr>
        <w:t xml:space="preserve"> </w:t>
      </w:r>
    </w:p>
    <w:p w14:paraId="78845989" w14:textId="6DC77553" w:rsidR="00E3232B" w:rsidRPr="00DE6879" w:rsidRDefault="00E3232B" w:rsidP="00E3232B">
      <w:pPr>
        <w:pStyle w:val="Notedebasdepage"/>
        <w:rPr>
          <w:rFonts w:asciiTheme="majorBidi" w:hAnsiTheme="majorBidi" w:cstheme="majorBidi"/>
          <w:rtl/>
          <w:lang w:bidi="ar-TN"/>
        </w:rPr>
      </w:pPr>
      <w:hyperlink r:id="rId20" w:history="1">
        <w:r w:rsidRPr="00DE6879">
          <w:rPr>
            <w:rStyle w:val="Lienhypertexte"/>
            <w:rFonts w:asciiTheme="majorBidi" w:hAnsiTheme="majorBidi" w:cstheme="majorBidi"/>
            <w:lang w:bidi="ar-TN"/>
          </w:rPr>
          <w:t>http://www.aswatnissa.org/wp-content/uploads/2024/05/rapport2web.pdf</w:t>
        </w:r>
      </w:hyperlink>
      <w:r w:rsidRPr="00DE6879">
        <w:rPr>
          <w:rFonts w:asciiTheme="majorBidi" w:hAnsiTheme="majorBidi" w:cstheme="majorBidi"/>
          <w:lang w:bidi="ar-TN"/>
        </w:rPr>
        <w:t xml:space="preserve"> </w:t>
      </w:r>
    </w:p>
  </w:footnote>
  <w:footnote w:id="21">
    <w:p w14:paraId="2AA787B3" w14:textId="18D69FF9" w:rsidR="003B5907" w:rsidRPr="00DE6879" w:rsidRDefault="003B5907">
      <w:pPr>
        <w:pStyle w:val="Notedebasdepage"/>
        <w:rPr>
          <w:rFonts w:asciiTheme="majorBidi" w:hAnsiTheme="majorBidi" w:cstheme="majorBidi"/>
          <w:lang w:bidi="ar-TN"/>
        </w:rPr>
      </w:pPr>
      <w:r w:rsidRPr="00DE6879">
        <w:rPr>
          <w:rStyle w:val="Appelnotedebasdep"/>
          <w:rFonts w:asciiTheme="majorBidi" w:hAnsiTheme="majorBidi" w:cstheme="majorBidi"/>
        </w:rPr>
        <w:footnoteRef/>
      </w:r>
      <w:r w:rsidRPr="00DE6879">
        <w:rPr>
          <w:rFonts w:asciiTheme="majorBidi" w:hAnsiTheme="majorBidi" w:cstheme="majorBidi"/>
        </w:rPr>
        <w:t xml:space="preserve"> </w:t>
      </w:r>
      <w:hyperlink r:id="rId21" w:history="1">
        <w:r w:rsidR="005757FE" w:rsidRPr="00DE6879">
          <w:rPr>
            <w:rStyle w:val="Lienhypertexte"/>
            <w:rFonts w:asciiTheme="majorBidi" w:hAnsiTheme="majorBidi" w:cstheme="majorBidi"/>
          </w:rPr>
          <w:t>http://www.femmes.gov.tn/wp-content/uploads/2022/10/guide-des-centres-vectoris%C3%A9-red.pdf</w:t>
        </w:r>
      </w:hyperlink>
      <w:r w:rsidR="005757FE" w:rsidRPr="00DE6879">
        <w:rPr>
          <w:rFonts w:asciiTheme="majorBidi" w:hAnsiTheme="majorBidi" w:cstheme="majorBidi"/>
          <w:rtl/>
        </w:rPr>
        <w:t xml:space="preserve"> </w:t>
      </w:r>
    </w:p>
  </w:footnote>
  <w:footnote w:id="22">
    <w:p w14:paraId="18D42C24" w14:textId="6A28890C" w:rsidR="006E5762" w:rsidRDefault="006E5762">
      <w:pPr>
        <w:pStyle w:val="Notedebasdepage"/>
      </w:pPr>
      <w:r w:rsidRPr="00DE6879">
        <w:rPr>
          <w:rStyle w:val="Appelnotedebasdep"/>
          <w:rFonts w:asciiTheme="majorBidi" w:hAnsiTheme="majorBidi" w:cstheme="majorBidi"/>
        </w:rPr>
        <w:footnoteRef/>
      </w:r>
      <w:r w:rsidRPr="00DE6879">
        <w:rPr>
          <w:rFonts w:asciiTheme="majorBidi" w:hAnsiTheme="majorBidi" w:cstheme="majorBidi"/>
        </w:rPr>
        <w:t xml:space="preserve"> </w:t>
      </w:r>
      <w:hyperlink r:id="rId22" w:history="1">
        <w:r w:rsidRPr="00DE6879">
          <w:rPr>
            <w:rStyle w:val="Lienhypertexte"/>
            <w:rFonts w:asciiTheme="majorBidi" w:hAnsiTheme="majorBidi" w:cstheme="majorBidi"/>
          </w:rPr>
          <w:t>https://tunisia.unfpa.org/sites/default/files/pub-pdf/etude_feminicide_-_a4_v3.pdf</w:t>
        </w:r>
      </w:hyperlink>
      <w:r w:rsidRPr="00DE6879">
        <w:rPr>
          <w:rFonts w:asciiTheme="majorBidi" w:hAnsiTheme="majorBidi" w:cstheme="majorBidi"/>
        </w:rPr>
        <w:t xml:space="preserve"> </w:t>
      </w:r>
    </w:p>
  </w:footnote>
  <w:footnote w:id="23">
    <w:p w14:paraId="3B70F877" w14:textId="4A21B5A0" w:rsidR="00025DAE" w:rsidRPr="00DE6879" w:rsidRDefault="00025DAE" w:rsidP="00085E60">
      <w:pPr>
        <w:pStyle w:val="Notedebasdepage"/>
        <w:rPr>
          <w:rFonts w:asciiTheme="majorBidi" w:hAnsiTheme="majorBidi" w:cstheme="majorBidi"/>
        </w:rPr>
      </w:pPr>
      <w:r w:rsidRPr="00DE6879">
        <w:rPr>
          <w:rStyle w:val="Appelnotedebasdep"/>
          <w:rFonts w:asciiTheme="majorBidi" w:hAnsiTheme="majorBidi" w:cstheme="majorBidi"/>
        </w:rPr>
        <w:footnoteRef/>
      </w:r>
      <w:r w:rsidR="00085E60" w:rsidRPr="00DE6879">
        <w:rPr>
          <w:rFonts w:asciiTheme="majorBidi" w:hAnsiTheme="majorBidi" w:cstheme="majorBidi"/>
        </w:rPr>
        <w:t xml:space="preserve">Observatoire National contre les Violences à l’Encontre des Femmes &amp; Fonds des Nations Unies pour la Population (UNFPA). (2023). </w:t>
      </w:r>
      <w:r w:rsidR="00085E60" w:rsidRPr="00DE6879">
        <w:rPr>
          <w:rFonts w:asciiTheme="majorBidi" w:hAnsiTheme="majorBidi" w:cstheme="majorBidi"/>
          <w:i/>
          <w:iCs/>
        </w:rPr>
        <w:t>Les violences qui migrent avec les femmes : Enquête qualitative sur les violences basées sur le genre vécues par les femmes migrantes subsahariennes en Tunisie</w:t>
      </w:r>
      <w:r w:rsidR="00085E60" w:rsidRPr="00DE6879">
        <w:rPr>
          <w:rFonts w:asciiTheme="majorBidi" w:hAnsiTheme="majorBidi" w:cstheme="majorBidi"/>
        </w:rPr>
        <w:t>. Tunis : UNFPA.</w:t>
      </w:r>
      <w:r w:rsidRPr="00DE6879">
        <w:rPr>
          <w:rFonts w:asciiTheme="majorBidi" w:hAnsiTheme="majorBidi" w:cstheme="majorBidi"/>
        </w:rPr>
        <w:t xml:space="preserve"> </w:t>
      </w:r>
      <w:hyperlink r:id="rId23" w:history="1">
        <w:r w:rsidRPr="00DE6879">
          <w:rPr>
            <w:rStyle w:val="Lienhypertexte"/>
            <w:rFonts w:asciiTheme="majorBidi" w:hAnsiTheme="majorBidi" w:cstheme="majorBidi"/>
          </w:rPr>
          <w:t>https://tunisia.unfpa.org/sites/default/files/pub-pdf/les_violences_qui_migrent_avec_les_femmes.pdf</w:t>
        </w:r>
      </w:hyperlink>
      <w:r w:rsidRPr="00DE6879">
        <w:rPr>
          <w:rFonts w:asciiTheme="majorBidi" w:hAnsiTheme="majorBidi" w:cstheme="majorBidi"/>
        </w:rPr>
        <w:t xml:space="preserve"> </w:t>
      </w:r>
    </w:p>
  </w:footnote>
  <w:footnote w:id="24">
    <w:p w14:paraId="56F50C3C" w14:textId="0A1416C0" w:rsidR="00C473BB" w:rsidRPr="00C473BB" w:rsidRDefault="00C473BB" w:rsidP="00C473BB">
      <w:pPr>
        <w:pStyle w:val="Notedebasdepage"/>
        <w:rPr>
          <w:rStyle w:val="Lienhypertexte"/>
          <w:rFonts w:asciiTheme="majorBidi" w:hAnsiTheme="majorBidi" w:cstheme="majorBidi"/>
        </w:rPr>
      </w:pPr>
      <w:r w:rsidRPr="00DE6879">
        <w:rPr>
          <w:rStyle w:val="Appelnotedebasdep"/>
          <w:rFonts w:asciiTheme="majorBidi" w:hAnsiTheme="majorBidi" w:cstheme="majorBidi"/>
        </w:rPr>
        <w:footnoteRef/>
      </w:r>
      <w:r w:rsidRPr="00DE6879">
        <w:rPr>
          <w:rFonts w:asciiTheme="majorBidi" w:hAnsiTheme="majorBidi" w:cstheme="majorBidi"/>
        </w:rPr>
        <w:t xml:space="preserve"> </w:t>
      </w:r>
      <w:r w:rsidRPr="00DE6879">
        <w:rPr>
          <w:rFonts w:asciiTheme="majorBidi" w:hAnsiTheme="majorBidi" w:cstheme="majorBidi"/>
        </w:rPr>
        <w:fldChar w:fldCharType="begin"/>
      </w:r>
      <w:r w:rsidRPr="00DE6879">
        <w:rPr>
          <w:rFonts w:asciiTheme="majorBidi" w:hAnsiTheme="majorBidi" w:cstheme="majorBidi"/>
        </w:rPr>
        <w:instrText>HYPERLINK "https://legislation-securite.tn/latest-laws/decret-presidentiel-n-2022-691-du-17-aout-2022-portant-promulgation-de-la-constitution-de-la-republique-tunisienne/"</w:instrText>
      </w:r>
      <w:r w:rsidRPr="00DE6879">
        <w:rPr>
          <w:rFonts w:asciiTheme="majorBidi" w:hAnsiTheme="majorBidi" w:cstheme="majorBidi"/>
        </w:rPr>
      </w:r>
      <w:r w:rsidRPr="00DE6879">
        <w:rPr>
          <w:rFonts w:asciiTheme="majorBidi" w:hAnsiTheme="majorBidi" w:cstheme="majorBidi"/>
        </w:rPr>
        <w:fldChar w:fldCharType="separate"/>
      </w:r>
      <w:r w:rsidRPr="00DE6879">
        <w:rPr>
          <w:rStyle w:val="Lienhypertexte"/>
          <w:rFonts w:asciiTheme="majorBidi" w:hAnsiTheme="majorBidi" w:cstheme="majorBidi"/>
        </w:rPr>
        <w:t xml:space="preserve">Article 43 de </w:t>
      </w:r>
      <w:r w:rsidRPr="00C473BB">
        <w:rPr>
          <w:rStyle w:val="Lienhypertexte"/>
          <w:rFonts w:asciiTheme="majorBidi" w:hAnsiTheme="majorBidi" w:cstheme="majorBidi"/>
        </w:rPr>
        <w:t>La Constitution de la République tunisienne du 25 juillet 2022</w:t>
      </w:r>
    </w:p>
    <w:p w14:paraId="11E33058" w14:textId="2B3DE120" w:rsidR="00C473BB" w:rsidRPr="00C473BB" w:rsidRDefault="00C473BB" w:rsidP="00C473BB">
      <w:pPr>
        <w:pStyle w:val="Notedebasdepage"/>
        <w:rPr>
          <w:rStyle w:val="Lienhypertexte"/>
          <w:rFonts w:asciiTheme="majorBidi" w:hAnsiTheme="majorBidi" w:cstheme="majorBidi"/>
        </w:rPr>
      </w:pPr>
    </w:p>
    <w:p w14:paraId="25DC66C5" w14:textId="53C24B93" w:rsidR="00C473BB" w:rsidRDefault="00C473BB" w:rsidP="00C473BB">
      <w:pPr>
        <w:pStyle w:val="Notedebasdepage"/>
      </w:pPr>
      <w:r w:rsidRPr="00DE6879">
        <w:rPr>
          <w:rFonts w:asciiTheme="majorBidi" w:hAnsiTheme="majorBidi" w:cstheme="majorBidi"/>
        </w:rPr>
        <w:fldChar w:fldCharType="end"/>
      </w:r>
    </w:p>
  </w:footnote>
  <w:footnote w:id="25">
    <w:p w14:paraId="4E153117" w14:textId="311F67C0" w:rsidR="00D71C8A" w:rsidRPr="00D71C8A" w:rsidRDefault="00D71C8A" w:rsidP="00D71C8A">
      <w:pPr>
        <w:pStyle w:val="Notedebasdepage"/>
        <w:rPr>
          <w:rFonts w:asciiTheme="minorBidi" w:hAnsiTheme="minorBidi"/>
        </w:rPr>
      </w:pPr>
      <w:r w:rsidRPr="00D71C8A">
        <w:rPr>
          <w:rStyle w:val="Appelnotedebasdep"/>
          <w:rFonts w:asciiTheme="minorBidi" w:hAnsiTheme="minorBidi"/>
        </w:rPr>
        <w:footnoteRef/>
      </w:r>
      <w:r w:rsidRPr="00D71C8A">
        <w:rPr>
          <w:rFonts w:asciiTheme="minorBidi" w:hAnsiTheme="minorBidi"/>
        </w:rPr>
        <w:t xml:space="preserve"> Rural </w:t>
      </w:r>
      <w:proofErr w:type="spellStart"/>
      <w:r w:rsidRPr="00D71C8A">
        <w:rPr>
          <w:rFonts w:asciiTheme="minorBidi" w:hAnsiTheme="minorBidi"/>
        </w:rPr>
        <w:t>women</w:t>
      </w:r>
      <w:proofErr w:type="spellEnd"/>
      <w:r w:rsidRPr="00D71C8A">
        <w:rPr>
          <w:rFonts w:asciiTheme="minorBidi" w:hAnsiTheme="minorBidi"/>
        </w:rPr>
        <w:t xml:space="preserve"> in </w:t>
      </w:r>
      <w:proofErr w:type="spellStart"/>
      <w:r w:rsidRPr="00D71C8A">
        <w:rPr>
          <w:rFonts w:asciiTheme="minorBidi" w:hAnsiTheme="minorBidi"/>
        </w:rPr>
        <w:t>Tunisia</w:t>
      </w:r>
      <w:proofErr w:type="spellEnd"/>
      <w:r w:rsidRPr="00D71C8A">
        <w:rPr>
          <w:rFonts w:asciiTheme="minorBidi" w:hAnsiTheme="minorBidi"/>
        </w:rPr>
        <w:t xml:space="preserve"> disponible sur : </w:t>
      </w:r>
      <w:hyperlink r:id="rId24" w:history="1">
        <w:r w:rsidRPr="00D71C8A">
          <w:rPr>
            <w:rStyle w:val="Lienhypertexte"/>
            <w:rFonts w:asciiTheme="minorBidi" w:hAnsiTheme="minorBidi"/>
          </w:rPr>
          <w:t>https://www.theguardian.com/global-development/2015/mar/30/rural-women-rights-tunisia-world-social-forum</w:t>
        </w:r>
      </w:hyperlink>
      <w:r w:rsidRPr="00D71C8A">
        <w:rPr>
          <w:rFonts w:asciiTheme="minorBidi" w:hAnsiTheme="minorBidi"/>
        </w:rPr>
        <w:t xml:space="preserve"> </w:t>
      </w:r>
    </w:p>
    <w:p w14:paraId="7634A0DA" w14:textId="1E091D9E" w:rsidR="00D71C8A" w:rsidRDefault="00D71C8A">
      <w:pPr>
        <w:pStyle w:val="Notedebasdepage"/>
      </w:pPr>
    </w:p>
  </w:footnote>
  <w:footnote w:id="26">
    <w:p w14:paraId="1D58A8D2" w14:textId="77777777" w:rsidR="00085E60" w:rsidRPr="00DE6879" w:rsidRDefault="0044727D" w:rsidP="00085E60">
      <w:pPr>
        <w:pStyle w:val="Notedebasdepage"/>
        <w:rPr>
          <w:rFonts w:asciiTheme="majorBidi" w:hAnsiTheme="majorBidi" w:cstheme="majorBidi"/>
        </w:rPr>
      </w:pPr>
      <w:r w:rsidRPr="00DE6879">
        <w:rPr>
          <w:rStyle w:val="Appelnotedebasdep"/>
          <w:rFonts w:asciiTheme="majorBidi" w:hAnsiTheme="majorBidi" w:cstheme="majorBidi"/>
        </w:rPr>
        <w:footnoteRef/>
      </w:r>
      <w:r w:rsidRPr="00DE6879">
        <w:rPr>
          <w:rFonts w:asciiTheme="majorBidi" w:hAnsiTheme="majorBidi" w:cstheme="majorBidi"/>
        </w:rPr>
        <w:t xml:space="preserve"> </w:t>
      </w:r>
      <w:r w:rsidR="00085E60" w:rsidRPr="00DE6879">
        <w:rPr>
          <w:rFonts w:asciiTheme="majorBidi" w:hAnsiTheme="majorBidi" w:cstheme="majorBidi"/>
        </w:rPr>
        <w:t xml:space="preserve">Al </w:t>
      </w:r>
      <w:proofErr w:type="spellStart"/>
      <w:r w:rsidR="00085E60" w:rsidRPr="00DE6879">
        <w:rPr>
          <w:rFonts w:asciiTheme="majorBidi" w:hAnsiTheme="majorBidi" w:cstheme="majorBidi"/>
        </w:rPr>
        <w:t>Bawsala</w:t>
      </w:r>
      <w:proofErr w:type="spellEnd"/>
      <w:r w:rsidR="00085E60" w:rsidRPr="00DE6879">
        <w:rPr>
          <w:rFonts w:asciiTheme="majorBidi" w:hAnsiTheme="majorBidi" w:cstheme="majorBidi"/>
        </w:rPr>
        <w:t xml:space="preserve">. (2022). </w:t>
      </w:r>
      <w:r w:rsidR="00085E60" w:rsidRPr="00DE6879">
        <w:rPr>
          <w:rFonts w:asciiTheme="majorBidi" w:hAnsiTheme="majorBidi" w:cstheme="majorBidi"/>
          <w:i/>
          <w:iCs/>
        </w:rPr>
        <w:t>L’austérité : une maladie chronique de la santé publique en Tunisie</w:t>
      </w:r>
      <w:r w:rsidR="00085E60" w:rsidRPr="00DE6879">
        <w:rPr>
          <w:rFonts w:asciiTheme="majorBidi" w:hAnsiTheme="majorBidi" w:cstheme="majorBidi"/>
        </w:rPr>
        <w:t xml:space="preserve"> (version arabe). Tunis : Al Bawsala.  </w:t>
      </w:r>
    </w:p>
    <w:p w14:paraId="17DA989C" w14:textId="3CB91B5D" w:rsidR="0044727D" w:rsidRPr="00E6754C" w:rsidRDefault="00085E60" w:rsidP="00085E60">
      <w:pPr>
        <w:pStyle w:val="Notedebasdepage"/>
        <w:rPr>
          <w:rFonts w:asciiTheme="majorBidi" w:hAnsiTheme="majorBidi" w:cstheme="majorBidi"/>
        </w:rPr>
      </w:pPr>
      <w:hyperlink r:id="rId25" w:history="1">
        <w:r w:rsidRPr="00E6754C">
          <w:rPr>
            <w:rStyle w:val="Lienhypertexte"/>
            <w:rFonts w:asciiTheme="majorBidi" w:hAnsiTheme="majorBidi" w:cstheme="majorBidi"/>
          </w:rPr>
          <w:t>https://www.albawsala.com/files/2022/11/Laust%C3%A9rit%C3%A9-une-maladie-chronique-de-la-sant%C3%A9-publique-AR-f.pdf</w:t>
        </w:r>
      </w:hyperlink>
      <w:r w:rsidR="0044727D" w:rsidRPr="00E6754C">
        <w:rPr>
          <w:rFonts w:asciiTheme="majorBidi" w:hAnsiTheme="majorBidi" w:cstheme="majorBidi"/>
        </w:rPr>
        <w:t xml:space="preserve"> </w:t>
      </w:r>
    </w:p>
  </w:footnote>
  <w:footnote w:id="27">
    <w:p w14:paraId="397B3B8F" w14:textId="2E795F37" w:rsidR="003810A4" w:rsidRPr="00E6754C" w:rsidRDefault="003810A4" w:rsidP="00085E60">
      <w:pPr>
        <w:pStyle w:val="Notedebasdepage"/>
        <w:rPr>
          <w:rFonts w:asciiTheme="majorBidi" w:hAnsiTheme="majorBidi" w:cstheme="majorBidi"/>
        </w:rPr>
      </w:pPr>
      <w:r w:rsidRPr="00E6754C">
        <w:rPr>
          <w:rStyle w:val="Appelnotedebasdep"/>
          <w:rFonts w:asciiTheme="majorBidi" w:hAnsiTheme="majorBidi" w:cstheme="majorBidi"/>
        </w:rPr>
        <w:footnoteRef/>
      </w:r>
      <w:r w:rsidRPr="00E6754C">
        <w:rPr>
          <w:rFonts w:asciiTheme="majorBidi" w:hAnsiTheme="majorBidi" w:cstheme="majorBidi"/>
        </w:rPr>
        <w:t xml:space="preserve"> </w:t>
      </w:r>
      <w:r w:rsidR="00085E60" w:rsidRPr="00E6754C">
        <w:rPr>
          <w:rFonts w:asciiTheme="majorBidi" w:hAnsiTheme="majorBidi" w:cstheme="majorBidi"/>
        </w:rPr>
        <w:t xml:space="preserve">Démographie médicale en Tunisie : état actuel et perspectives  </w:t>
      </w:r>
      <w:hyperlink r:id="rId26" w:history="1">
        <w:r w:rsidR="00085E60" w:rsidRPr="00E6754C">
          <w:rPr>
            <w:rStyle w:val="Lienhypertexte"/>
            <w:rFonts w:asciiTheme="majorBidi" w:hAnsiTheme="majorBidi" w:cstheme="majorBidi"/>
          </w:rPr>
          <w:t>https://latunisiemedicale.com/pdf/12.pdf</w:t>
        </w:r>
      </w:hyperlink>
      <w:r w:rsidRPr="00E6754C">
        <w:rPr>
          <w:rFonts w:asciiTheme="majorBidi" w:hAnsiTheme="majorBidi" w:cstheme="majorBidi"/>
        </w:rPr>
        <w:t xml:space="preserve"> </w:t>
      </w:r>
    </w:p>
  </w:footnote>
  <w:footnote w:id="28">
    <w:p w14:paraId="3FE52487" w14:textId="77777777" w:rsidR="00895233" w:rsidRPr="00E6754C" w:rsidRDefault="00895233" w:rsidP="00895233">
      <w:pPr>
        <w:pStyle w:val="Notedebasdepage"/>
        <w:rPr>
          <w:rFonts w:asciiTheme="majorBidi" w:hAnsiTheme="majorBidi" w:cstheme="majorBidi"/>
          <w:b/>
          <w:bCs/>
        </w:rPr>
      </w:pPr>
      <w:r w:rsidRPr="00E6754C">
        <w:rPr>
          <w:rStyle w:val="Appelnotedebasdep"/>
          <w:rFonts w:asciiTheme="majorBidi" w:hAnsiTheme="majorBidi" w:cstheme="majorBidi"/>
        </w:rPr>
        <w:footnoteRef/>
      </w:r>
      <w:r w:rsidRPr="00E6754C">
        <w:rPr>
          <w:rFonts w:asciiTheme="majorBidi" w:hAnsiTheme="majorBidi" w:cstheme="majorBidi"/>
        </w:rPr>
        <w:t xml:space="preserve"> </w:t>
      </w:r>
      <w:r w:rsidRPr="00E6754C">
        <w:rPr>
          <w:rFonts w:asciiTheme="majorBidi" w:hAnsiTheme="majorBidi" w:cstheme="majorBidi"/>
          <w:b/>
          <w:bCs/>
        </w:rPr>
        <w:t>Avorter en Tunisie : un droit sous pression</w:t>
      </w:r>
    </w:p>
    <w:p w14:paraId="2AD699F3" w14:textId="1D846CE7" w:rsidR="00895233" w:rsidRPr="00E6754C" w:rsidRDefault="00953603">
      <w:pPr>
        <w:pStyle w:val="Notedebasdepage"/>
        <w:rPr>
          <w:rFonts w:asciiTheme="majorBidi" w:hAnsiTheme="majorBidi" w:cstheme="majorBidi"/>
        </w:rPr>
      </w:pPr>
      <w:hyperlink r:id="rId27" w:history="1">
        <w:r w:rsidRPr="00E6754C">
          <w:rPr>
            <w:rStyle w:val="Lienhypertexte"/>
            <w:rFonts w:asciiTheme="majorBidi" w:hAnsiTheme="majorBidi" w:cstheme="majorBidi"/>
          </w:rPr>
          <w:t>https://inkyfada.com/fr/2016/07/17/avortement-pression-tunisie-droit-femmes-tunisie/</w:t>
        </w:r>
      </w:hyperlink>
      <w:r w:rsidRPr="00E6754C">
        <w:rPr>
          <w:rFonts w:asciiTheme="majorBidi" w:hAnsiTheme="majorBidi" w:cstheme="majorBidi"/>
        </w:rPr>
        <w:t xml:space="preserve"> </w:t>
      </w:r>
    </w:p>
  </w:footnote>
  <w:footnote w:id="29">
    <w:p w14:paraId="3E1FF03F" w14:textId="77777777" w:rsidR="00997678" w:rsidRPr="00E6754C" w:rsidRDefault="00997678" w:rsidP="00997678">
      <w:pPr>
        <w:pStyle w:val="Notedebasdepage"/>
        <w:rPr>
          <w:rFonts w:asciiTheme="majorBidi" w:hAnsiTheme="majorBidi" w:cstheme="majorBidi"/>
          <w:b/>
          <w:bCs/>
        </w:rPr>
      </w:pPr>
      <w:r w:rsidRPr="00E6754C">
        <w:rPr>
          <w:rStyle w:val="Appelnotedebasdep"/>
          <w:rFonts w:asciiTheme="majorBidi" w:hAnsiTheme="majorBidi" w:cstheme="majorBidi"/>
        </w:rPr>
        <w:footnoteRef/>
      </w:r>
      <w:r w:rsidRPr="00E6754C">
        <w:rPr>
          <w:rFonts w:asciiTheme="majorBidi" w:hAnsiTheme="majorBidi" w:cstheme="majorBidi"/>
        </w:rPr>
        <w:t xml:space="preserve"> </w:t>
      </w:r>
      <w:r w:rsidRPr="00E6754C">
        <w:rPr>
          <w:rFonts w:asciiTheme="majorBidi" w:hAnsiTheme="majorBidi" w:cstheme="majorBidi"/>
          <w:b/>
          <w:bCs/>
        </w:rPr>
        <w:t>Avorter en Tunisie : une loi pionnière mais un droit non garanti</w:t>
      </w:r>
    </w:p>
    <w:p w14:paraId="14D42D9F" w14:textId="775AA560" w:rsidR="00997678" w:rsidRPr="00E6754C" w:rsidRDefault="009C27DD">
      <w:pPr>
        <w:pStyle w:val="Notedebasdepage"/>
        <w:rPr>
          <w:rFonts w:asciiTheme="majorBidi" w:hAnsiTheme="majorBidi" w:cstheme="majorBidi"/>
        </w:rPr>
      </w:pPr>
      <w:hyperlink r:id="rId28" w:anchor=":~:text=Le%20priv%C3%A9%2C%20une%20solution%20par,selon%20des%20estimations%20de%202011" w:history="1">
        <w:r w:rsidRPr="00E6754C">
          <w:rPr>
            <w:rStyle w:val="Lienhypertexte"/>
            <w:rFonts w:asciiTheme="majorBidi" w:hAnsiTheme="majorBidi" w:cstheme="majorBidi"/>
          </w:rPr>
          <w:t>https://inkyfada.com/fr/2022/06/13/avortement-tunisie-loi-pionniere-droit-non-garanti/#:~:text=Le%20priv%C3%A9%2C%20une%20solution%20par,selon%20des%20estimations%20de%202011</w:t>
        </w:r>
      </w:hyperlink>
      <w:r w:rsidRPr="00E6754C">
        <w:rPr>
          <w:rFonts w:asciiTheme="majorBidi" w:hAnsiTheme="majorBidi" w:cstheme="majorBidi"/>
        </w:rPr>
        <w:t xml:space="preserve">. </w:t>
      </w:r>
    </w:p>
  </w:footnote>
  <w:footnote w:id="30">
    <w:p w14:paraId="0D6F3F22" w14:textId="101B7A3A" w:rsidR="007F618F" w:rsidRDefault="007F618F">
      <w:pPr>
        <w:pStyle w:val="Notedebasdepage"/>
      </w:pPr>
      <w:r>
        <w:rPr>
          <w:rStyle w:val="Appelnotedebasdep"/>
        </w:rPr>
        <w:footnoteRef/>
      </w:r>
      <w:r>
        <w:t xml:space="preserve"> </w:t>
      </w:r>
      <w:hyperlink r:id="rId29" w:history="1">
        <w:r w:rsidRPr="002049CC">
          <w:rPr>
            <w:rStyle w:val="Lienhypertexte"/>
          </w:rPr>
          <w:t>https://www.webdo.tn/fr/actualite/national/amen-social-plus-de-850-mille-familles-demunies-ont-recu-laide-de-300-dinars/135485/</w:t>
        </w:r>
      </w:hyperlink>
      <w:r>
        <w:t xml:space="preserve"> </w:t>
      </w:r>
    </w:p>
  </w:footnote>
  <w:footnote w:id="31">
    <w:p w14:paraId="476CE3AB" w14:textId="77777777" w:rsidR="00D71C8A" w:rsidRDefault="00D71C8A" w:rsidP="00D71C8A">
      <w:pPr>
        <w:pStyle w:val="Notedebasdepage"/>
      </w:pPr>
      <w:r>
        <w:rPr>
          <w:rStyle w:val="Appelnotedebasdep"/>
        </w:rPr>
        <w:footnoteRef/>
      </w:r>
      <w:r>
        <w:t xml:space="preserve"> </w:t>
      </w:r>
      <w:hyperlink r:id="rId30" w:history="1">
        <w:r w:rsidRPr="00EB364E">
          <w:rPr>
            <w:rStyle w:val="Lienhypertexte"/>
            <w:rFonts w:asciiTheme="majorBidi" w:hAnsiTheme="majorBidi" w:cstheme="majorBidi"/>
          </w:rPr>
          <w:t>https://nawaat.org/2020/10/08/covid-19-les-damnes-de-la-tunisie/?utm</w:t>
        </w:r>
      </w:hyperlink>
      <w:r>
        <w:rPr>
          <w:rFonts w:asciiTheme="majorBidi" w:hAnsiTheme="majorBidi" w:cstheme="majorBidi"/>
        </w:rPr>
        <w:t xml:space="preserve"> </w:t>
      </w:r>
    </w:p>
  </w:footnote>
  <w:footnote w:id="32">
    <w:p w14:paraId="0361E61A" w14:textId="090748E1" w:rsidR="00DC3069" w:rsidRDefault="00DC3069">
      <w:pPr>
        <w:pStyle w:val="Notedebasdepage"/>
      </w:pPr>
      <w:r>
        <w:rPr>
          <w:rStyle w:val="Appelnotedebasdep"/>
        </w:rPr>
        <w:footnoteRef/>
      </w:r>
      <w:hyperlink r:id="rId31" w:history="1">
        <w:r w:rsidR="000B3B0F" w:rsidRPr="00EB364E">
          <w:rPr>
            <w:rStyle w:val="Lienhypertexte"/>
          </w:rPr>
          <w:t>https://alqatiba.com/2024/10/15/%D8%A7%D9%84%D9%85%D8%B5%D8%AD%D9%91%D8%A7%D8%AA-%D8%A7%D9%84%D8%AE%D8%A7%D8%B5%D9%91%D8%A9-%D9%81%D9%8A-%D8%AA%D9%88%D9%86%D8%B3-%D8%AC%D8%B4%D8%B9%D9%8C-%D9%85%D9%85%D9%86%D9%87%D8%AC-%D9%8A%D9%82/?utm_source</w:t>
        </w:r>
      </w:hyperlink>
      <w:r w:rsidR="000B3B0F">
        <w:t xml:space="preserve"> </w:t>
      </w:r>
    </w:p>
  </w:footnote>
  <w:footnote w:id="33">
    <w:p w14:paraId="587FD138" w14:textId="0E087B16" w:rsidR="00602CE4" w:rsidRDefault="00602CE4">
      <w:pPr>
        <w:pStyle w:val="Notedebasdepage"/>
      </w:pPr>
      <w:r>
        <w:rPr>
          <w:rStyle w:val="Appelnotedebasdep"/>
        </w:rPr>
        <w:footnoteRef/>
      </w:r>
      <w:r>
        <w:t xml:space="preserve"> </w:t>
      </w:r>
      <w:hyperlink r:id="rId32" w:history="1">
        <w:r w:rsidRPr="00EB364E">
          <w:rPr>
            <w:rStyle w:val="Lienhypertexte"/>
          </w:rPr>
          <w:t>https://nawaat.org/2024/06/07/sante-en-tunisie-les-chiffres-de-la-debacle/?utm_</w:t>
        </w:r>
      </w:hyperlink>
      <w:r>
        <w:t xml:space="preserve"> </w:t>
      </w:r>
    </w:p>
  </w:footnote>
  <w:footnote w:id="34">
    <w:p w14:paraId="7B351227" w14:textId="5059A1FE" w:rsidR="009D362E" w:rsidRPr="00E6754C" w:rsidRDefault="009D362E">
      <w:pPr>
        <w:pStyle w:val="Notedebasdepage"/>
        <w:rPr>
          <w:rFonts w:asciiTheme="majorBidi" w:hAnsiTheme="majorBidi" w:cstheme="majorBidi"/>
        </w:rPr>
      </w:pPr>
      <w:r w:rsidRPr="00E6754C">
        <w:rPr>
          <w:rStyle w:val="Appelnotedebasdep"/>
          <w:rFonts w:asciiTheme="majorBidi" w:hAnsiTheme="majorBidi" w:cstheme="majorBidi"/>
        </w:rPr>
        <w:footnoteRef/>
      </w:r>
      <w:r w:rsidRPr="00E6754C">
        <w:rPr>
          <w:rFonts w:asciiTheme="majorBidi" w:hAnsiTheme="majorBidi" w:cstheme="majorBidi"/>
        </w:rPr>
        <w:t xml:space="preserve"> </w:t>
      </w:r>
      <w:hyperlink r:id="rId33" w:history="1">
        <w:r w:rsidRPr="00E6754C">
          <w:rPr>
            <w:rStyle w:val="Lienhypertexte"/>
            <w:rFonts w:asciiTheme="majorBidi" w:hAnsiTheme="majorBidi" w:cstheme="majorBidi"/>
          </w:rPr>
          <w:t>https://fr.scribd.com/document/544037451/Rapport-Sante-1-Final-2021?utm</w:t>
        </w:r>
      </w:hyperlink>
      <w:r w:rsidRPr="00E6754C">
        <w:rPr>
          <w:rFonts w:asciiTheme="majorBidi" w:hAnsiTheme="majorBidi" w:cstheme="majorBidi"/>
        </w:rPr>
        <w:t xml:space="preserve"> </w:t>
      </w:r>
    </w:p>
  </w:footnote>
  <w:footnote w:id="35">
    <w:p w14:paraId="5D65A62F" w14:textId="1449FFDB" w:rsidR="009D362E" w:rsidRDefault="009D362E">
      <w:pPr>
        <w:pStyle w:val="Notedebasdepage"/>
      </w:pPr>
      <w:r w:rsidRPr="00E6754C">
        <w:rPr>
          <w:rStyle w:val="Appelnotedebasdep"/>
          <w:rFonts w:asciiTheme="majorBidi" w:hAnsiTheme="majorBidi" w:cstheme="majorBidi"/>
        </w:rPr>
        <w:footnoteRef/>
      </w:r>
      <w:r w:rsidRPr="00E6754C">
        <w:rPr>
          <w:rFonts w:asciiTheme="majorBidi" w:hAnsiTheme="majorBidi" w:cstheme="majorBidi"/>
        </w:rPr>
        <w:t xml:space="preserve"> </w:t>
      </w:r>
      <w:hyperlink r:id="rId34" w:history="1">
        <w:r w:rsidRPr="00E6754C">
          <w:rPr>
            <w:rStyle w:val="Lienhypertexte"/>
            <w:rFonts w:asciiTheme="majorBidi" w:hAnsiTheme="majorBidi" w:cstheme="majorBidi"/>
          </w:rPr>
          <w:t>https://www.tunisie-actualite.com/le-retard-du-diagnostic-des-cancers/Articles_18300_758068_23_1.html?utm</w:t>
        </w:r>
      </w:hyperlink>
      <w:r>
        <w:t xml:space="preserve"> </w:t>
      </w:r>
    </w:p>
  </w:footnote>
  <w:footnote w:id="36">
    <w:p w14:paraId="5F62C98C" w14:textId="077A8B08" w:rsidR="00FD4257" w:rsidRDefault="00FD4257">
      <w:pPr>
        <w:pStyle w:val="Notedebasdepage"/>
      </w:pPr>
      <w:r>
        <w:rPr>
          <w:rStyle w:val="Appelnotedebasdep"/>
        </w:rPr>
        <w:footnoteRef/>
      </w:r>
      <w:r>
        <w:t xml:space="preserve"> </w:t>
      </w:r>
      <w:hyperlink r:id="rId35" w:history="1">
        <w:r w:rsidRPr="00185BD7">
          <w:rPr>
            <w:rStyle w:val="Lienhypertexte"/>
          </w:rPr>
          <w:t>https://nawaat.org/2023/12/15/tunisie-la-pilule-doree-du-droit-a-la-sante/</w:t>
        </w:r>
      </w:hyperlink>
      <w:r>
        <w:t xml:space="preserve"> </w:t>
      </w:r>
    </w:p>
  </w:footnote>
  <w:footnote w:id="37">
    <w:p w14:paraId="517E02AF" w14:textId="0DB7BC7C" w:rsidR="007249C2" w:rsidRPr="00CE5586" w:rsidRDefault="007249C2">
      <w:pPr>
        <w:pStyle w:val="Notedebasdepage"/>
        <w:rPr>
          <w:rFonts w:asciiTheme="majorBidi" w:hAnsiTheme="majorBidi" w:cstheme="majorBidi"/>
          <w:rtl/>
          <w:lang w:bidi="ar-TN"/>
        </w:rPr>
      </w:pPr>
      <w:r w:rsidRPr="00CE5586">
        <w:rPr>
          <w:rStyle w:val="Appelnotedebasdep"/>
          <w:rFonts w:asciiTheme="majorBidi" w:hAnsiTheme="majorBidi" w:cstheme="majorBidi"/>
        </w:rPr>
        <w:footnoteRef/>
      </w:r>
      <w:r w:rsidRPr="00CE5586">
        <w:rPr>
          <w:rFonts w:asciiTheme="majorBidi" w:hAnsiTheme="majorBidi" w:cstheme="majorBidi"/>
        </w:rPr>
        <w:t xml:space="preserve"> </w:t>
      </w:r>
      <w:hyperlink r:id="rId36" w:history="1">
        <w:r w:rsidRPr="00CE5586">
          <w:rPr>
            <w:rStyle w:val="Lienhypertexte"/>
            <w:rFonts w:asciiTheme="majorBidi" w:hAnsiTheme="majorBidi" w:cstheme="majorBidi"/>
          </w:rPr>
          <w:t>https://www.jeuneafrique.com/1545401/societe/en-tunisie-le-douloureux-probleme-de-lanalphabetisme-feminin/</w:t>
        </w:r>
      </w:hyperlink>
      <w:r w:rsidRPr="00CE5586">
        <w:rPr>
          <w:rFonts w:asciiTheme="majorBidi" w:hAnsiTheme="majorBidi" w:cstheme="majorBidi"/>
          <w:rtl/>
        </w:rPr>
        <w:t xml:space="preserve"> </w:t>
      </w:r>
    </w:p>
  </w:footnote>
  <w:footnote w:id="38">
    <w:p w14:paraId="1F1D1D90" w14:textId="3F572B9A" w:rsidR="005928F2" w:rsidRDefault="005928F2">
      <w:pPr>
        <w:pStyle w:val="Notedebasdepage"/>
        <w:rPr>
          <w:rtl/>
          <w:lang w:bidi="ar-TN"/>
        </w:rPr>
      </w:pPr>
      <w:r w:rsidRPr="00CE5586">
        <w:rPr>
          <w:rStyle w:val="Appelnotedebasdep"/>
          <w:rFonts w:asciiTheme="majorBidi" w:hAnsiTheme="majorBidi" w:cstheme="majorBidi"/>
        </w:rPr>
        <w:footnoteRef/>
      </w:r>
      <w:r w:rsidRPr="00CE5586">
        <w:rPr>
          <w:rFonts w:asciiTheme="majorBidi" w:hAnsiTheme="majorBidi" w:cstheme="majorBidi"/>
        </w:rPr>
        <w:t xml:space="preserve"> </w:t>
      </w:r>
      <w:hyperlink r:id="rId37" w:history="1">
        <w:r w:rsidRPr="00CE5586">
          <w:rPr>
            <w:rStyle w:val="Lienhypertexte"/>
            <w:rFonts w:asciiTheme="majorBidi" w:hAnsiTheme="majorBidi" w:cstheme="majorBidi"/>
          </w:rPr>
          <w:t>https://www.ins.tn/sites/default/files/publication/pdf/RGPH%202014-V4.pdf</w:t>
        </w:r>
      </w:hyperlink>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01F1F" w14:textId="38B0F43B" w:rsidR="0009775B" w:rsidRDefault="0009775B">
    <w:pPr>
      <w:pStyle w:val="En-tte"/>
    </w:pPr>
    <w:r>
      <w:rPr>
        <w:noProof/>
      </w:rPr>
      <w:drawing>
        <wp:anchor distT="0" distB="0" distL="114300" distR="114300" simplePos="0" relativeHeight="251659264" behindDoc="0" locked="0" layoutInCell="1" allowOverlap="1" wp14:anchorId="1663847D" wp14:editId="077AB217">
          <wp:simplePos x="0" y="0"/>
          <wp:positionH relativeFrom="column">
            <wp:posOffset>-168275</wp:posOffset>
          </wp:positionH>
          <wp:positionV relativeFrom="paragraph">
            <wp:posOffset>12700</wp:posOffset>
          </wp:positionV>
          <wp:extent cx="1303020" cy="1321435"/>
          <wp:effectExtent l="0" t="0" r="0" b="0"/>
          <wp:wrapTopAndBottom/>
          <wp:docPr id="30860903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3020" cy="13214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3EBB63D0" wp14:editId="59CB34CB">
          <wp:simplePos x="0" y="0"/>
          <wp:positionH relativeFrom="column">
            <wp:posOffset>4487545</wp:posOffset>
          </wp:positionH>
          <wp:positionV relativeFrom="paragraph">
            <wp:posOffset>-74930</wp:posOffset>
          </wp:positionV>
          <wp:extent cx="1409700" cy="1409700"/>
          <wp:effectExtent l="0" t="0" r="0" b="0"/>
          <wp:wrapTight wrapText="bothSides">
            <wp:wrapPolygon edited="0">
              <wp:start x="11092" y="0"/>
              <wp:lineTo x="7881" y="4962"/>
              <wp:lineTo x="4962" y="5254"/>
              <wp:lineTo x="292" y="8173"/>
              <wp:lineTo x="0" y="12551"/>
              <wp:lineTo x="292" y="15178"/>
              <wp:lineTo x="4086" y="19849"/>
              <wp:lineTo x="7589" y="21308"/>
              <wp:lineTo x="14303" y="21308"/>
              <wp:lineTo x="15178" y="20724"/>
              <wp:lineTo x="18389" y="19265"/>
              <wp:lineTo x="21308" y="15470"/>
              <wp:lineTo x="21308" y="8465"/>
              <wp:lineTo x="18097" y="5838"/>
              <wp:lineTo x="15762" y="5254"/>
              <wp:lineTo x="12551" y="0"/>
              <wp:lineTo x="11092" y="0"/>
            </wp:wrapPolygon>
          </wp:wrapTight>
          <wp:docPr id="1284594502" name="Image 1" descr="Une image contenant Graphique, conception, créativité&#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594502" name="Image 1" descr="Une image contenant Graphique, conception, créativité&#10;&#10;Le contenu généré par l’IA peut être incorrect."/>
                  <pic:cNvPicPr/>
                </pic:nvPicPr>
                <pic:blipFill>
                  <a:blip r:embed="rId2">
                    <a:extLst>
                      <a:ext uri="{28A0092B-C50C-407E-A947-70E740481C1C}">
                        <a14:useLocalDpi xmlns:a14="http://schemas.microsoft.com/office/drawing/2010/main" val="0"/>
                      </a:ext>
                    </a:extLst>
                  </a:blip>
                  <a:stretch>
                    <a:fillRect/>
                  </a:stretch>
                </pic:blipFill>
                <pic:spPr>
                  <a:xfrm>
                    <a:off x="0" y="0"/>
                    <a:ext cx="1409700" cy="1409700"/>
                  </a:xfrm>
                  <a:prstGeom prst="rect">
                    <a:avLst/>
                  </a:prstGeom>
                </pic:spPr>
              </pic:pic>
            </a:graphicData>
          </a:graphic>
          <wp14:sizeRelH relativeFrom="page">
            <wp14:pctWidth>0</wp14:pctWidth>
          </wp14:sizeRelH>
          <wp14:sizeRelV relativeFrom="page">
            <wp14:pctHeight>0</wp14:pctHeight>
          </wp14:sizeRelV>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68D6"/>
    <w:multiLevelType w:val="multilevel"/>
    <w:tmpl w:val="614AE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27315"/>
    <w:multiLevelType w:val="multilevel"/>
    <w:tmpl w:val="8042F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576850"/>
    <w:multiLevelType w:val="multilevel"/>
    <w:tmpl w:val="2816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803FDA"/>
    <w:multiLevelType w:val="multilevel"/>
    <w:tmpl w:val="89946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BE4788"/>
    <w:multiLevelType w:val="multilevel"/>
    <w:tmpl w:val="F6024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334451"/>
    <w:multiLevelType w:val="multilevel"/>
    <w:tmpl w:val="19C4D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027037"/>
    <w:multiLevelType w:val="multilevel"/>
    <w:tmpl w:val="B1D0E7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3C80C2B"/>
    <w:multiLevelType w:val="multilevel"/>
    <w:tmpl w:val="EC04E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C35F75"/>
    <w:multiLevelType w:val="multilevel"/>
    <w:tmpl w:val="C3E48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E004BB"/>
    <w:multiLevelType w:val="multilevel"/>
    <w:tmpl w:val="B1D0E7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D2F6B0B"/>
    <w:multiLevelType w:val="multilevel"/>
    <w:tmpl w:val="C4D4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377D46"/>
    <w:multiLevelType w:val="multilevel"/>
    <w:tmpl w:val="50962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2741576">
    <w:abstractNumId w:val="6"/>
  </w:num>
  <w:num w:numId="2" w16cid:durableId="1317537019">
    <w:abstractNumId w:val="3"/>
  </w:num>
  <w:num w:numId="3" w16cid:durableId="746877582">
    <w:abstractNumId w:val="8"/>
  </w:num>
  <w:num w:numId="4" w16cid:durableId="179205645">
    <w:abstractNumId w:val="1"/>
  </w:num>
  <w:num w:numId="5" w16cid:durableId="652611817">
    <w:abstractNumId w:val="4"/>
  </w:num>
  <w:num w:numId="6" w16cid:durableId="161822826">
    <w:abstractNumId w:val="11"/>
  </w:num>
  <w:num w:numId="7" w16cid:durableId="171378837">
    <w:abstractNumId w:val="0"/>
  </w:num>
  <w:num w:numId="8" w16cid:durableId="1863469627">
    <w:abstractNumId w:val="10"/>
  </w:num>
  <w:num w:numId="9" w16cid:durableId="436601576">
    <w:abstractNumId w:val="9"/>
  </w:num>
  <w:num w:numId="10" w16cid:durableId="1022590051">
    <w:abstractNumId w:val="2"/>
  </w:num>
  <w:num w:numId="11" w16cid:durableId="435029128">
    <w:abstractNumId w:val="7"/>
  </w:num>
  <w:num w:numId="12" w16cid:durableId="9527873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5B2"/>
    <w:rsid w:val="00012EE3"/>
    <w:rsid w:val="0002396F"/>
    <w:rsid w:val="00025DAE"/>
    <w:rsid w:val="000279CE"/>
    <w:rsid w:val="000310DA"/>
    <w:rsid w:val="00036D78"/>
    <w:rsid w:val="00037954"/>
    <w:rsid w:val="000414C7"/>
    <w:rsid w:val="0008412E"/>
    <w:rsid w:val="00085E60"/>
    <w:rsid w:val="0009775B"/>
    <w:rsid w:val="000A543B"/>
    <w:rsid w:val="000A5EAE"/>
    <w:rsid w:val="000A7C44"/>
    <w:rsid w:val="000B0215"/>
    <w:rsid w:val="000B3B0F"/>
    <w:rsid w:val="000B48A6"/>
    <w:rsid w:val="000B66E1"/>
    <w:rsid w:val="000D6E57"/>
    <w:rsid w:val="000E3875"/>
    <w:rsid w:val="00100707"/>
    <w:rsid w:val="001C1105"/>
    <w:rsid w:val="001E6A61"/>
    <w:rsid w:val="001F18D5"/>
    <w:rsid w:val="001F2F1B"/>
    <w:rsid w:val="00220346"/>
    <w:rsid w:val="00226627"/>
    <w:rsid w:val="00232831"/>
    <w:rsid w:val="00244340"/>
    <w:rsid w:val="00244B21"/>
    <w:rsid w:val="002527FA"/>
    <w:rsid w:val="00273C84"/>
    <w:rsid w:val="002762B4"/>
    <w:rsid w:val="00282320"/>
    <w:rsid w:val="002A0F75"/>
    <w:rsid w:val="002A439B"/>
    <w:rsid w:val="002B13E3"/>
    <w:rsid w:val="002C4B41"/>
    <w:rsid w:val="002F1400"/>
    <w:rsid w:val="002F57C6"/>
    <w:rsid w:val="00302A54"/>
    <w:rsid w:val="00311DFF"/>
    <w:rsid w:val="003244CB"/>
    <w:rsid w:val="003324CE"/>
    <w:rsid w:val="0034332A"/>
    <w:rsid w:val="00343819"/>
    <w:rsid w:val="00356150"/>
    <w:rsid w:val="0036483B"/>
    <w:rsid w:val="003810A4"/>
    <w:rsid w:val="003832EE"/>
    <w:rsid w:val="00384193"/>
    <w:rsid w:val="00394D49"/>
    <w:rsid w:val="003A0964"/>
    <w:rsid w:val="003B0906"/>
    <w:rsid w:val="003B5907"/>
    <w:rsid w:val="003B6B47"/>
    <w:rsid w:val="003B7DD5"/>
    <w:rsid w:val="003C0C7E"/>
    <w:rsid w:val="00401689"/>
    <w:rsid w:val="004137B1"/>
    <w:rsid w:val="00424BFE"/>
    <w:rsid w:val="004353DE"/>
    <w:rsid w:val="00437FE4"/>
    <w:rsid w:val="0044727D"/>
    <w:rsid w:val="004503AE"/>
    <w:rsid w:val="00454D1B"/>
    <w:rsid w:val="00463CFE"/>
    <w:rsid w:val="00471AD4"/>
    <w:rsid w:val="00472702"/>
    <w:rsid w:val="004A06FF"/>
    <w:rsid w:val="004A617C"/>
    <w:rsid w:val="004B3D08"/>
    <w:rsid w:val="004C7FA1"/>
    <w:rsid w:val="004D4139"/>
    <w:rsid w:val="004D73AC"/>
    <w:rsid w:val="004F0222"/>
    <w:rsid w:val="005053B7"/>
    <w:rsid w:val="0051359D"/>
    <w:rsid w:val="005433DE"/>
    <w:rsid w:val="0057011B"/>
    <w:rsid w:val="00571723"/>
    <w:rsid w:val="005757FE"/>
    <w:rsid w:val="00581C7E"/>
    <w:rsid w:val="005928F2"/>
    <w:rsid w:val="005A73BC"/>
    <w:rsid w:val="005C5714"/>
    <w:rsid w:val="005C5843"/>
    <w:rsid w:val="005C741C"/>
    <w:rsid w:val="005D0429"/>
    <w:rsid w:val="005D4F05"/>
    <w:rsid w:val="005D5960"/>
    <w:rsid w:val="005E5AEE"/>
    <w:rsid w:val="006011FC"/>
    <w:rsid w:val="00602CE4"/>
    <w:rsid w:val="0060348F"/>
    <w:rsid w:val="00632E48"/>
    <w:rsid w:val="0063307A"/>
    <w:rsid w:val="00634596"/>
    <w:rsid w:val="006429FA"/>
    <w:rsid w:val="006625F8"/>
    <w:rsid w:val="00674FFD"/>
    <w:rsid w:val="006808CC"/>
    <w:rsid w:val="00683312"/>
    <w:rsid w:val="006B5415"/>
    <w:rsid w:val="006C23DF"/>
    <w:rsid w:val="006E5762"/>
    <w:rsid w:val="006E78A0"/>
    <w:rsid w:val="006F7BF4"/>
    <w:rsid w:val="0070206D"/>
    <w:rsid w:val="00702E12"/>
    <w:rsid w:val="00712DBA"/>
    <w:rsid w:val="007249C2"/>
    <w:rsid w:val="007268B6"/>
    <w:rsid w:val="00747462"/>
    <w:rsid w:val="00776697"/>
    <w:rsid w:val="00791A85"/>
    <w:rsid w:val="007A014A"/>
    <w:rsid w:val="007A0B7C"/>
    <w:rsid w:val="007A3DFE"/>
    <w:rsid w:val="007A553C"/>
    <w:rsid w:val="007B02C0"/>
    <w:rsid w:val="007B7C8F"/>
    <w:rsid w:val="007C1233"/>
    <w:rsid w:val="007C4D69"/>
    <w:rsid w:val="007E610A"/>
    <w:rsid w:val="007F32DF"/>
    <w:rsid w:val="007F475F"/>
    <w:rsid w:val="007F618F"/>
    <w:rsid w:val="0080485C"/>
    <w:rsid w:val="00815FC9"/>
    <w:rsid w:val="00833E59"/>
    <w:rsid w:val="00853E2C"/>
    <w:rsid w:val="008701F6"/>
    <w:rsid w:val="00876C3B"/>
    <w:rsid w:val="00886BF8"/>
    <w:rsid w:val="008873BC"/>
    <w:rsid w:val="00895233"/>
    <w:rsid w:val="008958E8"/>
    <w:rsid w:val="00897ACE"/>
    <w:rsid w:val="008B05CE"/>
    <w:rsid w:val="008B32C6"/>
    <w:rsid w:val="008C35FB"/>
    <w:rsid w:val="008E31C3"/>
    <w:rsid w:val="008E3272"/>
    <w:rsid w:val="008E5B0D"/>
    <w:rsid w:val="008F0580"/>
    <w:rsid w:val="0094059F"/>
    <w:rsid w:val="00943D6E"/>
    <w:rsid w:val="00947951"/>
    <w:rsid w:val="00953603"/>
    <w:rsid w:val="00954F2B"/>
    <w:rsid w:val="0096040D"/>
    <w:rsid w:val="00996CD7"/>
    <w:rsid w:val="00997678"/>
    <w:rsid w:val="009A5869"/>
    <w:rsid w:val="009A5C61"/>
    <w:rsid w:val="009B0F80"/>
    <w:rsid w:val="009B3652"/>
    <w:rsid w:val="009B7035"/>
    <w:rsid w:val="009C27DD"/>
    <w:rsid w:val="009D362E"/>
    <w:rsid w:val="009D45FA"/>
    <w:rsid w:val="009D7733"/>
    <w:rsid w:val="009E11A7"/>
    <w:rsid w:val="00A02090"/>
    <w:rsid w:val="00A10E90"/>
    <w:rsid w:val="00A153C6"/>
    <w:rsid w:val="00A16386"/>
    <w:rsid w:val="00A164DA"/>
    <w:rsid w:val="00A25247"/>
    <w:rsid w:val="00A53556"/>
    <w:rsid w:val="00A630E3"/>
    <w:rsid w:val="00A81DF0"/>
    <w:rsid w:val="00AE42D5"/>
    <w:rsid w:val="00AE5907"/>
    <w:rsid w:val="00AF4A2A"/>
    <w:rsid w:val="00B05550"/>
    <w:rsid w:val="00B13E27"/>
    <w:rsid w:val="00B15631"/>
    <w:rsid w:val="00B33807"/>
    <w:rsid w:val="00B3788D"/>
    <w:rsid w:val="00B52FF1"/>
    <w:rsid w:val="00B54E10"/>
    <w:rsid w:val="00B56148"/>
    <w:rsid w:val="00B66646"/>
    <w:rsid w:val="00B7010F"/>
    <w:rsid w:val="00B721EF"/>
    <w:rsid w:val="00B76B1A"/>
    <w:rsid w:val="00B90FE3"/>
    <w:rsid w:val="00BB0D78"/>
    <w:rsid w:val="00BB3002"/>
    <w:rsid w:val="00BC305F"/>
    <w:rsid w:val="00BD79EB"/>
    <w:rsid w:val="00BF0CB6"/>
    <w:rsid w:val="00C0261A"/>
    <w:rsid w:val="00C11FBB"/>
    <w:rsid w:val="00C249D3"/>
    <w:rsid w:val="00C32064"/>
    <w:rsid w:val="00C473BB"/>
    <w:rsid w:val="00C54323"/>
    <w:rsid w:val="00C62162"/>
    <w:rsid w:val="00C64EE2"/>
    <w:rsid w:val="00C910F7"/>
    <w:rsid w:val="00CA7281"/>
    <w:rsid w:val="00CB6BFB"/>
    <w:rsid w:val="00CC7137"/>
    <w:rsid w:val="00CD0E1C"/>
    <w:rsid w:val="00CE1CC2"/>
    <w:rsid w:val="00CE5586"/>
    <w:rsid w:val="00CE710B"/>
    <w:rsid w:val="00CF0120"/>
    <w:rsid w:val="00CF02F5"/>
    <w:rsid w:val="00D20FD7"/>
    <w:rsid w:val="00D21929"/>
    <w:rsid w:val="00D26025"/>
    <w:rsid w:val="00D320CA"/>
    <w:rsid w:val="00D365B2"/>
    <w:rsid w:val="00D560E9"/>
    <w:rsid w:val="00D60B1C"/>
    <w:rsid w:val="00D71C8A"/>
    <w:rsid w:val="00D81B05"/>
    <w:rsid w:val="00D82244"/>
    <w:rsid w:val="00DC21C3"/>
    <w:rsid w:val="00DC3069"/>
    <w:rsid w:val="00DC48AB"/>
    <w:rsid w:val="00DC52B4"/>
    <w:rsid w:val="00DC6081"/>
    <w:rsid w:val="00DD11A6"/>
    <w:rsid w:val="00DE6879"/>
    <w:rsid w:val="00DF7B41"/>
    <w:rsid w:val="00E05974"/>
    <w:rsid w:val="00E16E64"/>
    <w:rsid w:val="00E25C92"/>
    <w:rsid w:val="00E31CD1"/>
    <w:rsid w:val="00E3232B"/>
    <w:rsid w:val="00E32604"/>
    <w:rsid w:val="00E37B59"/>
    <w:rsid w:val="00E44BD9"/>
    <w:rsid w:val="00E6754C"/>
    <w:rsid w:val="00E7609E"/>
    <w:rsid w:val="00E900EE"/>
    <w:rsid w:val="00E95228"/>
    <w:rsid w:val="00E95279"/>
    <w:rsid w:val="00E970BC"/>
    <w:rsid w:val="00EB16F0"/>
    <w:rsid w:val="00EB6701"/>
    <w:rsid w:val="00ED1D45"/>
    <w:rsid w:val="00ED5B7A"/>
    <w:rsid w:val="00EF3058"/>
    <w:rsid w:val="00EF7239"/>
    <w:rsid w:val="00F10FD5"/>
    <w:rsid w:val="00F35649"/>
    <w:rsid w:val="00F446F0"/>
    <w:rsid w:val="00F456C7"/>
    <w:rsid w:val="00F55F18"/>
    <w:rsid w:val="00F57866"/>
    <w:rsid w:val="00F66760"/>
    <w:rsid w:val="00F91AF1"/>
    <w:rsid w:val="00FA6971"/>
    <w:rsid w:val="00FD4257"/>
    <w:rsid w:val="00FE379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BA236"/>
  <w15:chartTrackingRefBased/>
  <w15:docId w15:val="{7E539895-DDDD-4A80-A146-9A49791E5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D365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D365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D365B2"/>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D365B2"/>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D365B2"/>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D365B2"/>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D365B2"/>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D365B2"/>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D365B2"/>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365B2"/>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D365B2"/>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D365B2"/>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D365B2"/>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D365B2"/>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D365B2"/>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D365B2"/>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D365B2"/>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D365B2"/>
    <w:rPr>
      <w:rFonts w:eastAsiaTheme="majorEastAsia" w:cstheme="majorBidi"/>
      <w:color w:val="272727" w:themeColor="text1" w:themeTint="D8"/>
    </w:rPr>
  </w:style>
  <w:style w:type="paragraph" w:styleId="Titre">
    <w:name w:val="Title"/>
    <w:basedOn w:val="Normal"/>
    <w:next w:val="Normal"/>
    <w:link w:val="TitreCar"/>
    <w:uiPriority w:val="10"/>
    <w:qFormat/>
    <w:rsid w:val="00D365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D365B2"/>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D365B2"/>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D365B2"/>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D365B2"/>
    <w:pPr>
      <w:spacing w:before="160"/>
      <w:jc w:val="center"/>
    </w:pPr>
    <w:rPr>
      <w:i/>
      <w:iCs/>
      <w:color w:val="404040" w:themeColor="text1" w:themeTint="BF"/>
    </w:rPr>
  </w:style>
  <w:style w:type="character" w:customStyle="1" w:styleId="CitationCar">
    <w:name w:val="Citation Car"/>
    <w:basedOn w:val="Policepardfaut"/>
    <w:link w:val="Citation"/>
    <w:uiPriority w:val="29"/>
    <w:rsid w:val="00D365B2"/>
    <w:rPr>
      <w:i/>
      <w:iCs/>
      <w:color w:val="404040" w:themeColor="text1" w:themeTint="BF"/>
    </w:rPr>
  </w:style>
  <w:style w:type="paragraph" w:styleId="Paragraphedeliste">
    <w:name w:val="List Paragraph"/>
    <w:basedOn w:val="Normal"/>
    <w:uiPriority w:val="34"/>
    <w:qFormat/>
    <w:rsid w:val="00D365B2"/>
    <w:pPr>
      <w:ind w:left="720"/>
      <w:contextualSpacing/>
    </w:pPr>
  </w:style>
  <w:style w:type="character" w:styleId="Accentuationintense">
    <w:name w:val="Intense Emphasis"/>
    <w:basedOn w:val="Policepardfaut"/>
    <w:uiPriority w:val="21"/>
    <w:qFormat/>
    <w:rsid w:val="00D365B2"/>
    <w:rPr>
      <w:i/>
      <w:iCs/>
      <w:color w:val="0F4761" w:themeColor="accent1" w:themeShade="BF"/>
    </w:rPr>
  </w:style>
  <w:style w:type="paragraph" w:styleId="Citationintense">
    <w:name w:val="Intense Quote"/>
    <w:basedOn w:val="Normal"/>
    <w:next w:val="Normal"/>
    <w:link w:val="CitationintenseCar"/>
    <w:uiPriority w:val="30"/>
    <w:qFormat/>
    <w:rsid w:val="00D365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D365B2"/>
    <w:rPr>
      <w:i/>
      <w:iCs/>
      <w:color w:val="0F4761" w:themeColor="accent1" w:themeShade="BF"/>
    </w:rPr>
  </w:style>
  <w:style w:type="character" w:styleId="Rfrenceintense">
    <w:name w:val="Intense Reference"/>
    <w:basedOn w:val="Policepardfaut"/>
    <w:uiPriority w:val="32"/>
    <w:qFormat/>
    <w:rsid w:val="00D365B2"/>
    <w:rPr>
      <w:b/>
      <w:bCs/>
      <w:smallCaps/>
      <w:color w:val="0F4761" w:themeColor="accent1" w:themeShade="BF"/>
      <w:spacing w:val="5"/>
    </w:rPr>
  </w:style>
  <w:style w:type="paragraph" w:styleId="En-tte">
    <w:name w:val="header"/>
    <w:basedOn w:val="Normal"/>
    <w:link w:val="En-tteCar"/>
    <w:uiPriority w:val="99"/>
    <w:unhideWhenUsed/>
    <w:rsid w:val="0009775B"/>
    <w:pPr>
      <w:tabs>
        <w:tab w:val="center" w:pos="4536"/>
        <w:tab w:val="right" w:pos="9072"/>
      </w:tabs>
      <w:spacing w:after="0" w:line="240" w:lineRule="auto"/>
    </w:pPr>
  </w:style>
  <w:style w:type="character" w:customStyle="1" w:styleId="En-tteCar">
    <w:name w:val="En-tête Car"/>
    <w:basedOn w:val="Policepardfaut"/>
    <w:link w:val="En-tte"/>
    <w:uiPriority w:val="99"/>
    <w:rsid w:val="0009775B"/>
  </w:style>
  <w:style w:type="paragraph" w:styleId="Pieddepage">
    <w:name w:val="footer"/>
    <w:basedOn w:val="Normal"/>
    <w:link w:val="PieddepageCar"/>
    <w:uiPriority w:val="99"/>
    <w:unhideWhenUsed/>
    <w:rsid w:val="0009775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9775B"/>
  </w:style>
  <w:style w:type="paragraph" w:styleId="Notedebasdepage">
    <w:name w:val="footnote text"/>
    <w:basedOn w:val="Normal"/>
    <w:link w:val="NotedebasdepageCar"/>
    <w:uiPriority w:val="99"/>
    <w:unhideWhenUsed/>
    <w:rsid w:val="00833E59"/>
    <w:pPr>
      <w:spacing w:after="0" w:line="240" w:lineRule="auto"/>
    </w:pPr>
    <w:rPr>
      <w:sz w:val="20"/>
      <w:szCs w:val="20"/>
    </w:rPr>
  </w:style>
  <w:style w:type="character" w:customStyle="1" w:styleId="NotedebasdepageCar">
    <w:name w:val="Note de bas de page Car"/>
    <w:basedOn w:val="Policepardfaut"/>
    <w:link w:val="Notedebasdepage"/>
    <w:uiPriority w:val="99"/>
    <w:rsid w:val="00833E59"/>
    <w:rPr>
      <w:sz w:val="20"/>
      <w:szCs w:val="20"/>
    </w:rPr>
  </w:style>
  <w:style w:type="character" w:styleId="Appelnotedebasdep">
    <w:name w:val="footnote reference"/>
    <w:basedOn w:val="Policepardfaut"/>
    <w:uiPriority w:val="99"/>
    <w:semiHidden/>
    <w:unhideWhenUsed/>
    <w:rsid w:val="00833E59"/>
    <w:rPr>
      <w:vertAlign w:val="superscript"/>
    </w:rPr>
  </w:style>
  <w:style w:type="character" w:styleId="Lienhypertexte">
    <w:name w:val="Hyperlink"/>
    <w:basedOn w:val="Policepardfaut"/>
    <w:uiPriority w:val="99"/>
    <w:unhideWhenUsed/>
    <w:rsid w:val="00343819"/>
    <w:rPr>
      <w:color w:val="467886" w:themeColor="hyperlink"/>
      <w:u w:val="single"/>
    </w:rPr>
  </w:style>
  <w:style w:type="character" w:styleId="Mentionnonrsolue">
    <w:name w:val="Unresolved Mention"/>
    <w:basedOn w:val="Policepardfaut"/>
    <w:uiPriority w:val="99"/>
    <w:semiHidden/>
    <w:unhideWhenUsed/>
    <w:rsid w:val="00343819"/>
    <w:rPr>
      <w:color w:val="605E5C"/>
      <w:shd w:val="clear" w:color="auto" w:fill="E1DFDD"/>
    </w:rPr>
  </w:style>
  <w:style w:type="character" w:styleId="Lienhypertextesuivivisit">
    <w:name w:val="FollowedHyperlink"/>
    <w:basedOn w:val="Policepardfaut"/>
    <w:uiPriority w:val="99"/>
    <w:semiHidden/>
    <w:unhideWhenUsed/>
    <w:rsid w:val="00343819"/>
    <w:rPr>
      <w:color w:val="96607D" w:themeColor="followedHyperlink"/>
      <w:u w:val="single"/>
    </w:rPr>
  </w:style>
  <w:style w:type="paragraph" w:styleId="Notedefin">
    <w:name w:val="endnote text"/>
    <w:basedOn w:val="Normal"/>
    <w:link w:val="NotedefinCar"/>
    <w:uiPriority w:val="99"/>
    <w:unhideWhenUsed/>
    <w:rsid w:val="004D4139"/>
    <w:pPr>
      <w:spacing w:after="0" w:line="240" w:lineRule="auto"/>
    </w:pPr>
    <w:rPr>
      <w:sz w:val="20"/>
      <w:szCs w:val="20"/>
    </w:rPr>
  </w:style>
  <w:style w:type="character" w:customStyle="1" w:styleId="NotedefinCar">
    <w:name w:val="Note de fin Car"/>
    <w:basedOn w:val="Policepardfaut"/>
    <w:link w:val="Notedefin"/>
    <w:uiPriority w:val="99"/>
    <w:rsid w:val="004D4139"/>
    <w:rPr>
      <w:sz w:val="20"/>
      <w:szCs w:val="20"/>
    </w:rPr>
  </w:style>
  <w:style w:type="paragraph" w:styleId="NormalWeb">
    <w:name w:val="Normal (Web)"/>
    <w:basedOn w:val="Normal"/>
    <w:uiPriority w:val="99"/>
    <w:semiHidden/>
    <w:unhideWhenUsed/>
    <w:rsid w:val="0044727D"/>
    <w:rPr>
      <w:rFonts w:ascii="Times New Roman" w:hAnsi="Times New Roman" w:cs="Times New Roman"/>
    </w:rPr>
  </w:style>
  <w:style w:type="character" w:styleId="Marquedecommentaire">
    <w:name w:val="annotation reference"/>
    <w:basedOn w:val="Policepardfaut"/>
    <w:uiPriority w:val="99"/>
    <w:semiHidden/>
    <w:unhideWhenUsed/>
    <w:rsid w:val="006E78A0"/>
    <w:rPr>
      <w:sz w:val="16"/>
      <w:szCs w:val="16"/>
    </w:rPr>
  </w:style>
  <w:style w:type="paragraph" w:styleId="Commentaire">
    <w:name w:val="annotation text"/>
    <w:basedOn w:val="Normal"/>
    <w:link w:val="CommentaireCar"/>
    <w:uiPriority w:val="99"/>
    <w:unhideWhenUsed/>
    <w:rsid w:val="006E78A0"/>
    <w:pPr>
      <w:spacing w:line="240" w:lineRule="auto"/>
    </w:pPr>
    <w:rPr>
      <w:sz w:val="20"/>
      <w:szCs w:val="20"/>
    </w:rPr>
  </w:style>
  <w:style w:type="character" w:customStyle="1" w:styleId="CommentaireCar">
    <w:name w:val="Commentaire Car"/>
    <w:basedOn w:val="Policepardfaut"/>
    <w:link w:val="Commentaire"/>
    <w:uiPriority w:val="99"/>
    <w:rsid w:val="006E78A0"/>
    <w:rPr>
      <w:sz w:val="20"/>
      <w:szCs w:val="20"/>
    </w:rPr>
  </w:style>
  <w:style w:type="paragraph" w:styleId="Objetducommentaire">
    <w:name w:val="annotation subject"/>
    <w:basedOn w:val="Commentaire"/>
    <w:next w:val="Commentaire"/>
    <w:link w:val="ObjetducommentaireCar"/>
    <w:uiPriority w:val="99"/>
    <w:semiHidden/>
    <w:unhideWhenUsed/>
    <w:rsid w:val="006E78A0"/>
    <w:rPr>
      <w:b/>
      <w:bCs/>
    </w:rPr>
  </w:style>
  <w:style w:type="character" w:customStyle="1" w:styleId="ObjetducommentaireCar">
    <w:name w:val="Objet du commentaire Car"/>
    <w:basedOn w:val="CommentaireCar"/>
    <w:link w:val="Objetducommentaire"/>
    <w:uiPriority w:val="99"/>
    <w:semiHidden/>
    <w:rsid w:val="006E78A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7152">
      <w:bodyDiv w:val="1"/>
      <w:marLeft w:val="0"/>
      <w:marRight w:val="0"/>
      <w:marTop w:val="0"/>
      <w:marBottom w:val="0"/>
      <w:divBdr>
        <w:top w:val="none" w:sz="0" w:space="0" w:color="auto"/>
        <w:left w:val="none" w:sz="0" w:space="0" w:color="auto"/>
        <w:bottom w:val="none" w:sz="0" w:space="0" w:color="auto"/>
        <w:right w:val="none" w:sz="0" w:space="0" w:color="auto"/>
      </w:divBdr>
    </w:div>
    <w:div w:id="44305451">
      <w:bodyDiv w:val="1"/>
      <w:marLeft w:val="0"/>
      <w:marRight w:val="0"/>
      <w:marTop w:val="0"/>
      <w:marBottom w:val="0"/>
      <w:divBdr>
        <w:top w:val="none" w:sz="0" w:space="0" w:color="auto"/>
        <w:left w:val="none" w:sz="0" w:space="0" w:color="auto"/>
        <w:bottom w:val="none" w:sz="0" w:space="0" w:color="auto"/>
        <w:right w:val="none" w:sz="0" w:space="0" w:color="auto"/>
      </w:divBdr>
    </w:div>
    <w:div w:id="247882933">
      <w:bodyDiv w:val="1"/>
      <w:marLeft w:val="0"/>
      <w:marRight w:val="0"/>
      <w:marTop w:val="0"/>
      <w:marBottom w:val="0"/>
      <w:divBdr>
        <w:top w:val="none" w:sz="0" w:space="0" w:color="auto"/>
        <w:left w:val="none" w:sz="0" w:space="0" w:color="auto"/>
        <w:bottom w:val="none" w:sz="0" w:space="0" w:color="auto"/>
        <w:right w:val="none" w:sz="0" w:space="0" w:color="auto"/>
      </w:divBdr>
    </w:div>
    <w:div w:id="249238876">
      <w:bodyDiv w:val="1"/>
      <w:marLeft w:val="0"/>
      <w:marRight w:val="0"/>
      <w:marTop w:val="0"/>
      <w:marBottom w:val="0"/>
      <w:divBdr>
        <w:top w:val="none" w:sz="0" w:space="0" w:color="auto"/>
        <w:left w:val="none" w:sz="0" w:space="0" w:color="auto"/>
        <w:bottom w:val="none" w:sz="0" w:space="0" w:color="auto"/>
        <w:right w:val="none" w:sz="0" w:space="0" w:color="auto"/>
      </w:divBdr>
    </w:div>
    <w:div w:id="259605174">
      <w:bodyDiv w:val="1"/>
      <w:marLeft w:val="0"/>
      <w:marRight w:val="0"/>
      <w:marTop w:val="0"/>
      <w:marBottom w:val="0"/>
      <w:divBdr>
        <w:top w:val="none" w:sz="0" w:space="0" w:color="auto"/>
        <w:left w:val="none" w:sz="0" w:space="0" w:color="auto"/>
        <w:bottom w:val="none" w:sz="0" w:space="0" w:color="auto"/>
        <w:right w:val="none" w:sz="0" w:space="0" w:color="auto"/>
      </w:divBdr>
    </w:div>
    <w:div w:id="265582678">
      <w:bodyDiv w:val="1"/>
      <w:marLeft w:val="0"/>
      <w:marRight w:val="0"/>
      <w:marTop w:val="0"/>
      <w:marBottom w:val="0"/>
      <w:divBdr>
        <w:top w:val="none" w:sz="0" w:space="0" w:color="auto"/>
        <w:left w:val="none" w:sz="0" w:space="0" w:color="auto"/>
        <w:bottom w:val="none" w:sz="0" w:space="0" w:color="auto"/>
        <w:right w:val="none" w:sz="0" w:space="0" w:color="auto"/>
      </w:divBdr>
    </w:div>
    <w:div w:id="300111326">
      <w:bodyDiv w:val="1"/>
      <w:marLeft w:val="0"/>
      <w:marRight w:val="0"/>
      <w:marTop w:val="0"/>
      <w:marBottom w:val="0"/>
      <w:divBdr>
        <w:top w:val="none" w:sz="0" w:space="0" w:color="auto"/>
        <w:left w:val="none" w:sz="0" w:space="0" w:color="auto"/>
        <w:bottom w:val="none" w:sz="0" w:space="0" w:color="auto"/>
        <w:right w:val="none" w:sz="0" w:space="0" w:color="auto"/>
      </w:divBdr>
    </w:div>
    <w:div w:id="365181556">
      <w:bodyDiv w:val="1"/>
      <w:marLeft w:val="0"/>
      <w:marRight w:val="0"/>
      <w:marTop w:val="0"/>
      <w:marBottom w:val="0"/>
      <w:divBdr>
        <w:top w:val="none" w:sz="0" w:space="0" w:color="auto"/>
        <w:left w:val="none" w:sz="0" w:space="0" w:color="auto"/>
        <w:bottom w:val="none" w:sz="0" w:space="0" w:color="auto"/>
        <w:right w:val="none" w:sz="0" w:space="0" w:color="auto"/>
      </w:divBdr>
    </w:div>
    <w:div w:id="440998491">
      <w:bodyDiv w:val="1"/>
      <w:marLeft w:val="0"/>
      <w:marRight w:val="0"/>
      <w:marTop w:val="0"/>
      <w:marBottom w:val="0"/>
      <w:divBdr>
        <w:top w:val="none" w:sz="0" w:space="0" w:color="auto"/>
        <w:left w:val="none" w:sz="0" w:space="0" w:color="auto"/>
        <w:bottom w:val="none" w:sz="0" w:space="0" w:color="auto"/>
        <w:right w:val="none" w:sz="0" w:space="0" w:color="auto"/>
      </w:divBdr>
    </w:div>
    <w:div w:id="457264396">
      <w:bodyDiv w:val="1"/>
      <w:marLeft w:val="0"/>
      <w:marRight w:val="0"/>
      <w:marTop w:val="0"/>
      <w:marBottom w:val="0"/>
      <w:divBdr>
        <w:top w:val="none" w:sz="0" w:space="0" w:color="auto"/>
        <w:left w:val="none" w:sz="0" w:space="0" w:color="auto"/>
        <w:bottom w:val="none" w:sz="0" w:space="0" w:color="auto"/>
        <w:right w:val="none" w:sz="0" w:space="0" w:color="auto"/>
      </w:divBdr>
    </w:div>
    <w:div w:id="475299076">
      <w:bodyDiv w:val="1"/>
      <w:marLeft w:val="0"/>
      <w:marRight w:val="0"/>
      <w:marTop w:val="0"/>
      <w:marBottom w:val="0"/>
      <w:divBdr>
        <w:top w:val="none" w:sz="0" w:space="0" w:color="auto"/>
        <w:left w:val="none" w:sz="0" w:space="0" w:color="auto"/>
        <w:bottom w:val="none" w:sz="0" w:space="0" w:color="auto"/>
        <w:right w:val="none" w:sz="0" w:space="0" w:color="auto"/>
      </w:divBdr>
      <w:divsChild>
        <w:div w:id="903296535">
          <w:marLeft w:val="-150"/>
          <w:marRight w:val="0"/>
          <w:marTop w:val="0"/>
          <w:marBottom w:val="90"/>
          <w:divBdr>
            <w:top w:val="none" w:sz="0" w:space="0" w:color="auto"/>
            <w:left w:val="none" w:sz="0" w:space="0" w:color="auto"/>
            <w:bottom w:val="none" w:sz="0" w:space="0" w:color="auto"/>
            <w:right w:val="none" w:sz="0" w:space="0" w:color="auto"/>
          </w:divBdr>
          <w:divsChild>
            <w:div w:id="103129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678743">
      <w:bodyDiv w:val="1"/>
      <w:marLeft w:val="0"/>
      <w:marRight w:val="0"/>
      <w:marTop w:val="0"/>
      <w:marBottom w:val="0"/>
      <w:divBdr>
        <w:top w:val="none" w:sz="0" w:space="0" w:color="auto"/>
        <w:left w:val="none" w:sz="0" w:space="0" w:color="auto"/>
        <w:bottom w:val="none" w:sz="0" w:space="0" w:color="auto"/>
        <w:right w:val="none" w:sz="0" w:space="0" w:color="auto"/>
      </w:divBdr>
    </w:div>
    <w:div w:id="512492892">
      <w:bodyDiv w:val="1"/>
      <w:marLeft w:val="0"/>
      <w:marRight w:val="0"/>
      <w:marTop w:val="0"/>
      <w:marBottom w:val="0"/>
      <w:divBdr>
        <w:top w:val="none" w:sz="0" w:space="0" w:color="auto"/>
        <w:left w:val="none" w:sz="0" w:space="0" w:color="auto"/>
        <w:bottom w:val="none" w:sz="0" w:space="0" w:color="auto"/>
        <w:right w:val="none" w:sz="0" w:space="0" w:color="auto"/>
      </w:divBdr>
    </w:div>
    <w:div w:id="517814397">
      <w:bodyDiv w:val="1"/>
      <w:marLeft w:val="0"/>
      <w:marRight w:val="0"/>
      <w:marTop w:val="0"/>
      <w:marBottom w:val="0"/>
      <w:divBdr>
        <w:top w:val="none" w:sz="0" w:space="0" w:color="auto"/>
        <w:left w:val="none" w:sz="0" w:space="0" w:color="auto"/>
        <w:bottom w:val="none" w:sz="0" w:space="0" w:color="auto"/>
        <w:right w:val="none" w:sz="0" w:space="0" w:color="auto"/>
      </w:divBdr>
      <w:divsChild>
        <w:div w:id="575942877">
          <w:marLeft w:val="-150"/>
          <w:marRight w:val="0"/>
          <w:marTop w:val="0"/>
          <w:marBottom w:val="90"/>
          <w:divBdr>
            <w:top w:val="none" w:sz="0" w:space="0" w:color="auto"/>
            <w:left w:val="none" w:sz="0" w:space="0" w:color="auto"/>
            <w:bottom w:val="none" w:sz="0" w:space="0" w:color="auto"/>
            <w:right w:val="none" w:sz="0" w:space="0" w:color="auto"/>
          </w:divBdr>
          <w:divsChild>
            <w:div w:id="198554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185802">
      <w:bodyDiv w:val="1"/>
      <w:marLeft w:val="0"/>
      <w:marRight w:val="0"/>
      <w:marTop w:val="0"/>
      <w:marBottom w:val="0"/>
      <w:divBdr>
        <w:top w:val="none" w:sz="0" w:space="0" w:color="auto"/>
        <w:left w:val="none" w:sz="0" w:space="0" w:color="auto"/>
        <w:bottom w:val="none" w:sz="0" w:space="0" w:color="auto"/>
        <w:right w:val="none" w:sz="0" w:space="0" w:color="auto"/>
      </w:divBdr>
    </w:div>
    <w:div w:id="556205640">
      <w:bodyDiv w:val="1"/>
      <w:marLeft w:val="0"/>
      <w:marRight w:val="0"/>
      <w:marTop w:val="0"/>
      <w:marBottom w:val="0"/>
      <w:divBdr>
        <w:top w:val="none" w:sz="0" w:space="0" w:color="auto"/>
        <w:left w:val="none" w:sz="0" w:space="0" w:color="auto"/>
        <w:bottom w:val="none" w:sz="0" w:space="0" w:color="auto"/>
        <w:right w:val="none" w:sz="0" w:space="0" w:color="auto"/>
      </w:divBdr>
    </w:div>
    <w:div w:id="609052917">
      <w:bodyDiv w:val="1"/>
      <w:marLeft w:val="0"/>
      <w:marRight w:val="0"/>
      <w:marTop w:val="0"/>
      <w:marBottom w:val="0"/>
      <w:divBdr>
        <w:top w:val="none" w:sz="0" w:space="0" w:color="auto"/>
        <w:left w:val="none" w:sz="0" w:space="0" w:color="auto"/>
        <w:bottom w:val="none" w:sz="0" w:space="0" w:color="auto"/>
        <w:right w:val="none" w:sz="0" w:space="0" w:color="auto"/>
      </w:divBdr>
    </w:div>
    <w:div w:id="643320311">
      <w:bodyDiv w:val="1"/>
      <w:marLeft w:val="0"/>
      <w:marRight w:val="0"/>
      <w:marTop w:val="0"/>
      <w:marBottom w:val="0"/>
      <w:divBdr>
        <w:top w:val="none" w:sz="0" w:space="0" w:color="auto"/>
        <w:left w:val="none" w:sz="0" w:space="0" w:color="auto"/>
        <w:bottom w:val="none" w:sz="0" w:space="0" w:color="auto"/>
        <w:right w:val="none" w:sz="0" w:space="0" w:color="auto"/>
      </w:divBdr>
    </w:div>
    <w:div w:id="686298135">
      <w:bodyDiv w:val="1"/>
      <w:marLeft w:val="0"/>
      <w:marRight w:val="0"/>
      <w:marTop w:val="0"/>
      <w:marBottom w:val="0"/>
      <w:divBdr>
        <w:top w:val="none" w:sz="0" w:space="0" w:color="auto"/>
        <w:left w:val="none" w:sz="0" w:space="0" w:color="auto"/>
        <w:bottom w:val="none" w:sz="0" w:space="0" w:color="auto"/>
        <w:right w:val="none" w:sz="0" w:space="0" w:color="auto"/>
      </w:divBdr>
      <w:divsChild>
        <w:div w:id="341129698">
          <w:marLeft w:val="0"/>
          <w:marRight w:val="0"/>
          <w:marTop w:val="0"/>
          <w:marBottom w:val="0"/>
          <w:divBdr>
            <w:top w:val="none" w:sz="0" w:space="0" w:color="auto"/>
            <w:left w:val="none" w:sz="0" w:space="0" w:color="auto"/>
            <w:bottom w:val="none" w:sz="0" w:space="0" w:color="auto"/>
            <w:right w:val="none" w:sz="0" w:space="0" w:color="auto"/>
          </w:divBdr>
          <w:divsChild>
            <w:div w:id="122783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738140">
      <w:bodyDiv w:val="1"/>
      <w:marLeft w:val="0"/>
      <w:marRight w:val="0"/>
      <w:marTop w:val="0"/>
      <w:marBottom w:val="0"/>
      <w:divBdr>
        <w:top w:val="none" w:sz="0" w:space="0" w:color="auto"/>
        <w:left w:val="none" w:sz="0" w:space="0" w:color="auto"/>
        <w:bottom w:val="none" w:sz="0" w:space="0" w:color="auto"/>
        <w:right w:val="none" w:sz="0" w:space="0" w:color="auto"/>
      </w:divBdr>
    </w:div>
    <w:div w:id="705832605">
      <w:bodyDiv w:val="1"/>
      <w:marLeft w:val="0"/>
      <w:marRight w:val="0"/>
      <w:marTop w:val="0"/>
      <w:marBottom w:val="0"/>
      <w:divBdr>
        <w:top w:val="none" w:sz="0" w:space="0" w:color="auto"/>
        <w:left w:val="none" w:sz="0" w:space="0" w:color="auto"/>
        <w:bottom w:val="none" w:sz="0" w:space="0" w:color="auto"/>
        <w:right w:val="none" w:sz="0" w:space="0" w:color="auto"/>
      </w:divBdr>
    </w:div>
    <w:div w:id="708145690">
      <w:bodyDiv w:val="1"/>
      <w:marLeft w:val="0"/>
      <w:marRight w:val="0"/>
      <w:marTop w:val="0"/>
      <w:marBottom w:val="0"/>
      <w:divBdr>
        <w:top w:val="none" w:sz="0" w:space="0" w:color="auto"/>
        <w:left w:val="none" w:sz="0" w:space="0" w:color="auto"/>
        <w:bottom w:val="none" w:sz="0" w:space="0" w:color="auto"/>
        <w:right w:val="none" w:sz="0" w:space="0" w:color="auto"/>
      </w:divBdr>
    </w:div>
    <w:div w:id="773407598">
      <w:bodyDiv w:val="1"/>
      <w:marLeft w:val="0"/>
      <w:marRight w:val="0"/>
      <w:marTop w:val="0"/>
      <w:marBottom w:val="0"/>
      <w:divBdr>
        <w:top w:val="none" w:sz="0" w:space="0" w:color="auto"/>
        <w:left w:val="none" w:sz="0" w:space="0" w:color="auto"/>
        <w:bottom w:val="none" w:sz="0" w:space="0" w:color="auto"/>
        <w:right w:val="none" w:sz="0" w:space="0" w:color="auto"/>
      </w:divBdr>
    </w:div>
    <w:div w:id="787702977">
      <w:bodyDiv w:val="1"/>
      <w:marLeft w:val="0"/>
      <w:marRight w:val="0"/>
      <w:marTop w:val="0"/>
      <w:marBottom w:val="0"/>
      <w:divBdr>
        <w:top w:val="none" w:sz="0" w:space="0" w:color="auto"/>
        <w:left w:val="none" w:sz="0" w:space="0" w:color="auto"/>
        <w:bottom w:val="none" w:sz="0" w:space="0" w:color="auto"/>
        <w:right w:val="none" w:sz="0" w:space="0" w:color="auto"/>
      </w:divBdr>
    </w:div>
    <w:div w:id="790972353">
      <w:bodyDiv w:val="1"/>
      <w:marLeft w:val="0"/>
      <w:marRight w:val="0"/>
      <w:marTop w:val="0"/>
      <w:marBottom w:val="0"/>
      <w:divBdr>
        <w:top w:val="none" w:sz="0" w:space="0" w:color="auto"/>
        <w:left w:val="none" w:sz="0" w:space="0" w:color="auto"/>
        <w:bottom w:val="none" w:sz="0" w:space="0" w:color="auto"/>
        <w:right w:val="none" w:sz="0" w:space="0" w:color="auto"/>
      </w:divBdr>
    </w:div>
    <w:div w:id="854734107">
      <w:bodyDiv w:val="1"/>
      <w:marLeft w:val="0"/>
      <w:marRight w:val="0"/>
      <w:marTop w:val="0"/>
      <w:marBottom w:val="0"/>
      <w:divBdr>
        <w:top w:val="none" w:sz="0" w:space="0" w:color="auto"/>
        <w:left w:val="none" w:sz="0" w:space="0" w:color="auto"/>
        <w:bottom w:val="none" w:sz="0" w:space="0" w:color="auto"/>
        <w:right w:val="none" w:sz="0" w:space="0" w:color="auto"/>
      </w:divBdr>
      <w:divsChild>
        <w:div w:id="1837455214">
          <w:marLeft w:val="0"/>
          <w:marRight w:val="0"/>
          <w:marTop w:val="0"/>
          <w:marBottom w:val="0"/>
          <w:divBdr>
            <w:top w:val="none" w:sz="0" w:space="0" w:color="auto"/>
            <w:left w:val="none" w:sz="0" w:space="0" w:color="auto"/>
            <w:bottom w:val="none" w:sz="0" w:space="0" w:color="auto"/>
            <w:right w:val="none" w:sz="0" w:space="0" w:color="auto"/>
          </w:divBdr>
          <w:divsChild>
            <w:div w:id="212267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901006">
      <w:bodyDiv w:val="1"/>
      <w:marLeft w:val="0"/>
      <w:marRight w:val="0"/>
      <w:marTop w:val="0"/>
      <w:marBottom w:val="0"/>
      <w:divBdr>
        <w:top w:val="none" w:sz="0" w:space="0" w:color="auto"/>
        <w:left w:val="none" w:sz="0" w:space="0" w:color="auto"/>
        <w:bottom w:val="none" w:sz="0" w:space="0" w:color="auto"/>
        <w:right w:val="none" w:sz="0" w:space="0" w:color="auto"/>
      </w:divBdr>
    </w:div>
    <w:div w:id="995845432">
      <w:bodyDiv w:val="1"/>
      <w:marLeft w:val="0"/>
      <w:marRight w:val="0"/>
      <w:marTop w:val="0"/>
      <w:marBottom w:val="0"/>
      <w:divBdr>
        <w:top w:val="none" w:sz="0" w:space="0" w:color="auto"/>
        <w:left w:val="none" w:sz="0" w:space="0" w:color="auto"/>
        <w:bottom w:val="none" w:sz="0" w:space="0" w:color="auto"/>
        <w:right w:val="none" w:sz="0" w:space="0" w:color="auto"/>
      </w:divBdr>
      <w:divsChild>
        <w:div w:id="1787699838">
          <w:marLeft w:val="-150"/>
          <w:marRight w:val="0"/>
          <w:marTop w:val="0"/>
          <w:marBottom w:val="90"/>
          <w:divBdr>
            <w:top w:val="none" w:sz="0" w:space="0" w:color="auto"/>
            <w:left w:val="none" w:sz="0" w:space="0" w:color="auto"/>
            <w:bottom w:val="none" w:sz="0" w:space="0" w:color="auto"/>
            <w:right w:val="none" w:sz="0" w:space="0" w:color="auto"/>
          </w:divBdr>
          <w:divsChild>
            <w:div w:id="55863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432320">
      <w:bodyDiv w:val="1"/>
      <w:marLeft w:val="0"/>
      <w:marRight w:val="0"/>
      <w:marTop w:val="0"/>
      <w:marBottom w:val="0"/>
      <w:divBdr>
        <w:top w:val="none" w:sz="0" w:space="0" w:color="auto"/>
        <w:left w:val="none" w:sz="0" w:space="0" w:color="auto"/>
        <w:bottom w:val="none" w:sz="0" w:space="0" w:color="auto"/>
        <w:right w:val="none" w:sz="0" w:space="0" w:color="auto"/>
      </w:divBdr>
    </w:div>
    <w:div w:id="1056051296">
      <w:bodyDiv w:val="1"/>
      <w:marLeft w:val="0"/>
      <w:marRight w:val="0"/>
      <w:marTop w:val="0"/>
      <w:marBottom w:val="0"/>
      <w:divBdr>
        <w:top w:val="none" w:sz="0" w:space="0" w:color="auto"/>
        <w:left w:val="none" w:sz="0" w:space="0" w:color="auto"/>
        <w:bottom w:val="none" w:sz="0" w:space="0" w:color="auto"/>
        <w:right w:val="none" w:sz="0" w:space="0" w:color="auto"/>
      </w:divBdr>
    </w:div>
    <w:div w:id="1056969086">
      <w:bodyDiv w:val="1"/>
      <w:marLeft w:val="0"/>
      <w:marRight w:val="0"/>
      <w:marTop w:val="0"/>
      <w:marBottom w:val="0"/>
      <w:divBdr>
        <w:top w:val="none" w:sz="0" w:space="0" w:color="auto"/>
        <w:left w:val="none" w:sz="0" w:space="0" w:color="auto"/>
        <w:bottom w:val="none" w:sz="0" w:space="0" w:color="auto"/>
        <w:right w:val="none" w:sz="0" w:space="0" w:color="auto"/>
      </w:divBdr>
    </w:div>
    <w:div w:id="1068839810">
      <w:bodyDiv w:val="1"/>
      <w:marLeft w:val="0"/>
      <w:marRight w:val="0"/>
      <w:marTop w:val="0"/>
      <w:marBottom w:val="0"/>
      <w:divBdr>
        <w:top w:val="none" w:sz="0" w:space="0" w:color="auto"/>
        <w:left w:val="none" w:sz="0" w:space="0" w:color="auto"/>
        <w:bottom w:val="none" w:sz="0" w:space="0" w:color="auto"/>
        <w:right w:val="none" w:sz="0" w:space="0" w:color="auto"/>
      </w:divBdr>
    </w:div>
    <w:div w:id="1079979806">
      <w:bodyDiv w:val="1"/>
      <w:marLeft w:val="0"/>
      <w:marRight w:val="0"/>
      <w:marTop w:val="0"/>
      <w:marBottom w:val="0"/>
      <w:divBdr>
        <w:top w:val="none" w:sz="0" w:space="0" w:color="auto"/>
        <w:left w:val="none" w:sz="0" w:space="0" w:color="auto"/>
        <w:bottom w:val="none" w:sz="0" w:space="0" w:color="auto"/>
        <w:right w:val="none" w:sz="0" w:space="0" w:color="auto"/>
      </w:divBdr>
    </w:div>
    <w:div w:id="1150092952">
      <w:bodyDiv w:val="1"/>
      <w:marLeft w:val="0"/>
      <w:marRight w:val="0"/>
      <w:marTop w:val="0"/>
      <w:marBottom w:val="0"/>
      <w:divBdr>
        <w:top w:val="none" w:sz="0" w:space="0" w:color="auto"/>
        <w:left w:val="none" w:sz="0" w:space="0" w:color="auto"/>
        <w:bottom w:val="none" w:sz="0" w:space="0" w:color="auto"/>
        <w:right w:val="none" w:sz="0" w:space="0" w:color="auto"/>
      </w:divBdr>
    </w:div>
    <w:div w:id="1153451192">
      <w:bodyDiv w:val="1"/>
      <w:marLeft w:val="0"/>
      <w:marRight w:val="0"/>
      <w:marTop w:val="0"/>
      <w:marBottom w:val="0"/>
      <w:divBdr>
        <w:top w:val="none" w:sz="0" w:space="0" w:color="auto"/>
        <w:left w:val="none" w:sz="0" w:space="0" w:color="auto"/>
        <w:bottom w:val="none" w:sz="0" w:space="0" w:color="auto"/>
        <w:right w:val="none" w:sz="0" w:space="0" w:color="auto"/>
      </w:divBdr>
    </w:div>
    <w:div w:id="1333530466">
      <w:bodyDiv w:val="1"/>
      <w:marLeft w:val="0"/>
      <w:marRight w:val="0"/>
      <w:marTop w:val="0"/>
      <w:marBottom w:val="0"/>
      <w:divBdr>
        <w:top w:val="none" w:sz="0" w:space="0" w:color="auto"/>
        <w:left w:val="none" w:sz="0" w:space="0" w:color="auto"/>
        <w:bottom w:val="none" w:sz="0" w:space="0" w:color="auto"/>
        <w:right w:val="none" w:sz="0" w:space="0" w:color="auto"/>
      </w:divBdr>
    </w:div>
    <w:div w:id="1350329225">
      <w:bodyDiv w:val="1"/>
      <w:marLeft w:val="0"/>
      <w:marRight w:val="0"/>
      <w:marTop w:val="0"/>
      <w:marBottom w:val="0"/>
      <w:divBdr>
        <w:top w:val="none" w:sz="0" w:space="0" w:color="auto"/>
        <w:left w:val="none" w:sz="0" w:space="0" w:color="auto"/>
        <w:bottom w:val="none" w:sz="0" w:space="0" w:color="auto"/>
        <w:right w:val="none" w:sz="0" w:space="0" w:color="auto"/>
      </w:divBdr>
    </w:div>
    <w:div w:id="1506431086">
      <w:bodyDiv w:val="1"/>
      <w:marLeft w:val="0"/>
      <w:marRight w:val="0"/>
      <w:marTop w:val="0"/>
      <w:marBottom w:val="0"/>
      <w:divBdr>
        <w:top w:val="none" w:sz="0" w:space="0" w:color="auto"/>
        <w:left w:val="none" w:sz="0" w:space="0" w:color="auto"/>
        <w:bottom w:val="none" w:sz="0" w:space="0" w:color="auto"/>
        <w:right w:val="none" w:sz="0" w:space="0" w:color="auto"/>
      </w:divBdr>
    </w:div>
    <w:div w:id="1634367056">
      <w:bodyDiv w:val="1"/>
      <w:marLeft w:val="0"/>
      <w:marRight w:val="0"/>
      <w:marTop w:val="0"/>
      <w:marBottom w:val="0"/>
      <w:divBdr>
        <w:top w:val="none" w:sz="0" w:space="0" w:color="auto"/>
        <w:left w:val="none" w:sz="0" w:space="0" w:color="auto"/>
        <w:bottom w:val="none" w:sz="0" w:space="0" w:color="auto"/>
        <w:right w:val="none" w:sz="0" w:space="0" w:color="auto"/>
      </w:divBdr>
    </w:div>
    <w:div w:id="1646081336">
      <w:bodyDiv w:val="1"/>
      <w:marLeft w:val="0"/>
      <w:marRight w:val="0"/>
      <w:marTop w:val="0"/>
      <w:marBottom w:val="0"/>
      <w:divBdr>
        <w:top w:val="none" w:sz="0" w:space="0" w:color="auto"/>
        <w:left w:val="none" w:sz="0" w:space="0" w:color="auto"/>
        <w:bottom w:val="none" w:sz="0" w:space="0" w:color="auto"/>
        <w:right w:val="none" w:sz="0" w:space="0" w:color="auto"/>
      </w:divBdr>
    </w:div>
    <w:div w:id="1666128944">
      <w:bodyDiv w:val="1"/>
      <w:marLeft w:val="0"/>
      <w:marRight w:val="0"/>
      <w:marTop w:val="0"/>
      <w:marBottom w:val="0"/>
      <w:divBdr>
        <w:top w:val="none" w:sz="0" w:space="0" w:color="auto"/>
        <w:left w:val="none" w:sz="0" w:space="0" w:color="auto"/>
        <w:bottom w:val="none" w:sz="0" w:space="0" w:color="auto"/>
        <w:right w:val="none" w:sz="0" w:space="0" w:color="auto"/>
      </w:divBdr>
    </w:div>
    <w:div w:id="1768501717">
      <w:bodyDiv w:val="1"/>
      <w:marLeft w:val="0"/>
      <w:marRight w:val="0"/>
      <w:marTop w:val="0"/>
      <w:marBottom w:val="0"/>
      <w:divBdr>
        <w:top w:val="none" w:sz="0" w:space="0" w:color="auto"/>
        <w:left w:val="none" w:sz="0" w:space="0" w:color="auto"/>
        <w:bottom w:val="none" w:sz="0" w:space="0" w:color="auto"/>
        <w:right w:val="none" w:sz="0" w:space="0" w:color="auto"/>
      </w:divBdr>
    </w:div>
    <w:div w:id="1859808981">
      <w:bodyDiv w:val="1"/>
      <w:marLeft w:val="0"/>
      <w:marRight w:val="0"/>
      <w:marTop w:val="0"/>
      <w:marBottom w:val="0"/>
      <w:divBdr>
        <w:top w:val="none" w:sz="0" w:space="0" w:color="auto"/>
        <w:left w:val="none" w:sz="0" w:space="0" w:color="auto"/>
        <w:bottom w:val="none" w:sz="0" w:space="0" w:color="auto"/>
        <w:right w:val="none" w:sz="0" w:space="0" w:color="auto"/>
      </w:divBdr>
    </w:div>
    <w:div w:id="1865442290">
      <w:bodyDiv w:val="1"/>
      <w:marLeft w:val="0"/>
      <w:marRight w:val="0"/>
      <w:marTop w:val="0"/>
      <w:marBottom w:val="0"/>
      <w:divBdr>
        <w:top w:val="none" w:sz="0" w:space="0" w:color="auto"/>
        <w:left w:val="none" w:sz="0" w:space="0" w:color="auto"/>
        <w:bottom w:val="none" w:sz="0" w:space="0" w:color="auto"/>
        <w:right w:val="none" w:sz="0" w:space="0" w:color="auto"/>
      </w:divBdr>
    </w:div>
    <w:div w:id="1983582847">
      <w:bodyDiv w:val="1"/>
      <w:marLeft w:val="0"/>
      <w:marRight w:val="0"/>
      <w:marTop w:val="0"/>
      <w:marBottom w:val="0"/>
      <w:divBdr>
        <w:top w:val="none" w:sz="0" w:space="0" w:color="auto"/>
        <w:left w:val="none" w:sz="0" w:space="0" w:color="auto"/>
        <w:bottom w:val="none" w:sz="0" w:space="0" w:color="auto"/>
        <w:right w:val="none" w:sz="0" w:space="0" w:color="auto"/>
      </w:divBdr>
    </w:div>
    <w:div w:id="2066946888">
      <w:bodyDiv w:val="1"/>
      <w:marLeft w:val="0"/>
      <w:marRight w:val="0"/>
      <w:marTop w:val="0"/>
      <w:marBottom w:val="0"/>
      <w:divBdr>
        <w:top w:val="none" w:sz="0" w:space="0" w:color="auto"/>
        <w:left w:val="none" w:sz="0" w:space="0" w:color="auto"/>
        <w:bottom w:val="none" w:sz="0" w:space="0" w:color="auto"/>
        <w:right w:val="none" w:sz="0" w:space="0" w:color="auto"/>
      </w:divBdr>
    </w:div>
    <w:div w:id="207100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natlex.ilo.org/dyn/natlex2/r/natlex/fe/details?cs=1URlh_6T9KBhhhUwCxXmH-gQCFKs-oSQ-y6ngHjmMckNPsn2nJ3a9fXAW1fgUH8Em7mBkeMSG1_BWHWmcyLm3fQ&amp;p3_isn=106463&amp;utm_" TargetMode="External"/><Relationship Id="rId18" Type="http://schemas.openxmlformats.org/officeDocument/2006/relationships/hyperlink" Target="http://www.femmes.gov.tn/ar/2023/11/24" TargetMode="External"/><Relationship Id="rId26" Type="http://schemas.openxmlformats.org/officeDocument/2006/relationships/hyperlink" Target="https://latunisiemedicale.com/pdf/12.pdf" TargetMode="External"/><Relationship Id="rId21" Type="http://schemas.openxmlformats.org/officeDocument/2006/relationships/hyperlink" Target="http://www.femmes.gov.tn/wp-content/uploads/2022/10/guide-des-centres-vectoris%C3%A9-red.pdf" TargetMode="External"/><Relationship Id="rId34" Type="http://schemas.openxmlformats.org/officeDocument/2006/relationships/hyperlink" Target="https://www.tunisie-actualite.com/le-retard-du-diagnostic-des-cancers/Articles_18300_758068_23_1.html?utm" TargetMode="External"/><Relationship Id="rId7" Type="http://schemas.openxmlformats.org/officeDocument/2006/relationships/hyperlink" Target="https://documents.un.org/doc/undoc/gen/n18/229/04/pdf/n1822904.pdf?OpenElement" TargetMode="External"/><Relationship Id="rId12" Type="http://schemas.openxmlformats.org/officeDocument/2006/relationships/hyperlink" Target="https://www.leral.net/Plus-de-90-des-travailleurs-domestiques-ne-disposent-pas-d-une-couverture-sociale-complete-selon-l-OIT_a332826.html?utm_source=chatgpt.com" TargetMode="External"/><Relationship Id="rId17" Type="http://schemas.openxmlformats.org/officeDocument/2006/relationships/hyperlink" Target="https://www.unwomen.org/fr/articles/faits-et-chiffres/faits-et-chiffres-mettre-fin-a-la-violence-a-legard-des-femmes" TargetMode="External"/><Relationship Id="rId25" Type="http://schemas.openxmlformats.org/officeDocument/2006/relationships/hyperlink" Target="https://www.albawsala.com/files/2022/11/Laust%C3%A9rit%C3%A9-une-maladie-chronique-de-la-sant%C3%A9-publique-AR-f.pdf" TargetMode="External"/><Relationship Id="rId33" Type="http://schemas.openxmlformats.org/officeDocument/2006/relationships/hyperlink" Target="https://fr.scribd.com/document/544037451/Rapport-Sante-1-Final-2021?utm" TargetMode="External"/><Relationship Id="rId2" Type="http://schemas.openxmlformats.org/officeDocument/2006/relationships/hyperlink" Target="https://www.ins.tn/ar/publication/mwshrat-altshghyl-walbtalt-llthlathy-althany-mn-snt-2024" TargetMode="External"/><Relationship Id="rId16" Type="http://schemas.openxmlformats.org/officeDocument/2006/relationships/hyperlink" Target="http://www.femmes.gov.tn/ar/2024/03/08/15503/" TargetMode="External"/><Relationship Id="rId20" Type="http://schemas.openxmlformats.org/officeDocument/2006/relationships/hyperlink" Target="http://www.aswatnissa.org/wp-content/uploads/2024/05/rapport2web.pdf" TargetMode="External"/><Relationship Id="rId29" Type="http://schemas.openxmlformats.org/officeDocument/2006/relationships/hyperlink" Target="https://www.webdo.tn/fr/actualite/national/amen-social-plus-de-850-mille-familles-demunies-ont-recu-laide-de-300-dinars/135485/" TargetMode="External"/><Relationship Id="rId1" Type="http://schemas.openxmlformats.org/officeDocument/2006/relationships/hyperlink" Target="https://www.weforum.org/publications/global-gender-gap-report-2024/" TargetMode="External"/><Relationship Id="rId6" Type="http://schemas.openxmlformats.org/officeDocument/2006/relationships/hyperlink" Target="https://www.webmanagercenter.com/2020/08/31/455220/kairouan-58-des-ouvrieres-agricoles-en-tunisie-recoivent-un-salaire-net-quotidien-compris-entre-10-et-15-dinars-etude/?utm_source=chatgpt.com" TargetMode="External"/><Relationship Id="rId11" Type="http://schemas.openxmlformats.org/officeDocument/2006/relationships/hyperlink" Target="https://www.ilo.org/fr/resource/news/seuls-six-pour-cent-des-travailleurs-domestiques-disposent-d%E2%80%99une-couverture" TargetMode="External"/><Relationship Id="rId24" Type="http://schemas.openxmlformats.org/officeDocument/2006/relationships/hyperlink" Target="https://www.theguardian.com/global-development/2015/mar/30/rural-women-rights-tunisia-world-social-forum" TargetMode="External"/><Relationship Id="rId32" Type="http://schemas.openxmlformats.org/officeDocument/2006/relationships/hyperlink" Target="https://nawaat.org/2024/06/07/sante-en-tunisie-les-chiffres-de-la-debacle/?utm_" TargetMode="External"/><Relationship Id="rId37" Type="http://schemas.openxmlformats.org/officeDocument/2006/relationships/hyperlink" Target="https://www.ins.tn/sites/default/files/publication/pdf/RGPH%202014-V4.pdf" TargetMode="External"/><Relationship Id="rId5" Type="http://schemas.openxmlformats.org/officeDocument/2006/relationships/hyperlink" Target="http://www.iort.gov.tn/WD120AWP/WD120Awp.exe/CTX_6704-10-nGuFLlDVIT/RechercheTexte/SYNC_1835503525" TargetMode="External"/><Relationship Id="rId15" Type="http://schemas.openxmlformats.org/officeDocument/2006/relationships/hyperlink" Target="http://www.femmes.gov.tn/ar/2024/01/30/%D8%A8%D8%B1%D9%86%D8%A7%D9%85%D8%AC-%D8%B5%D8%A7%D9%85%D8%AF%D8%A9-%D9%84%D9%84%D8%AA%D9%85%D9%83%D9%8A%D9%86-%D8%A7%D9%84%D8%A7%D9%82%D8%AA%D8%B5%D8%A7%D8%AF%D9%8A-%D9%84%D9%84%D9%86%D8%B3%D8%A7/" TargetMode="External"/><Relationship Id="rId23" Type="http://schemas.openxmlformats.org/officeDocument/2006/relationships/hyperlink" Target="https://tunisia.unfpa.org/sites/default/files/pub-pdf/les_violences_qui_migrent_avec_les_femmes.pdf" TargetMode="External"/><Relationship Id="rId28" Type="http://schemas.openxmlformats.org/officeDocument/2006/relationships/hyperlink" Target="https://inkyfada.com/fr/2022/06/13/avortement-tunisie-loi-pionniere-droit-non-garanti/" TargetMode="External"/><Relationship Id="rId36" Type="http://schemas.openxmlformats.org/officeDocument/2006/relationships/hyperlink" Target="https://www.jeuneafrique.com/1545401/societe/en-tunisie-le-douloureux-probleme-de-lanalphabetisme-feminin/" TargetMode="External"/><Relationship Id="rId10" Type="http://schemas.openxmlformats.org/officeDocument/2006/relationships/hyperlink" Target="https://tunisia.unfpa.org/sites/default/files/pub-pdf/Etude%20archives%20ATFD.pdf" TargetMode="External"/><Relationship Id="rId19" Type="http://schemas.openxmlformats.org/officeDocument/2006/relationships/hyperlink" Target="https://www.aswatnissa.org/wp-content/uploads/2025/05/final.pdf" TargetMode="External"/><Relationship Id="rId31" Type="http://schemas.openxmlformats.org/officeDocument/2006/relationships/hyperlink" Target="https://alqatiba.com/2024/10/15/%D8%A7%D9%84%D9%85%D8%B5%D8%AD%D9%91%D8%A7%D8%AA-%D8%A7%D9%84%D8%AE%D8%A7%D8%B5%D9%91%D8%A9-%D9%81%D9%8A-%D8%AA%D9%88%D9%86%D8%B3-%D8%AC%D8%B4%D8%B9%D9%8C-%D9%85%D9%85%D9%86%D9%87%D8%AC-%D9%8A%D9%82/?utm_source" TargetMode="External"/><Relationship Id="rId4" Type="http://schemas.openxmlformats.org/officeDocument/2006/relationships/hyperlink" Target="file:///C:/Users/user/Downloads/D2024_0004-A2024_129.pdf" TargetMode="External"/><Relationship Id="rId9" Type="http://schemas.openxmlformats.org/officeDocument/2006/relationships/hyperlink" Target="https://www.cawtarclearinghouse.org/storage/4915/L%E2%80%99inclusion-financi%C3%A8re-des-jeunes-et-des-femmes-entrepreneurs-en-Tunisie.pdf" TargetMode="External"/><Relationship Id="rId14" Type="http://schemas.openxmlformats.org/officeDocument/2006/relationships/hyperlink" Target="https://l.facebook.com/l.php?u=http%3A%2F%2Fwww.raidet.tn%2F%3Ffbclid%3DIwAR0ob3312c5UPzpAOBng8wfdVDngPuOB8M5BNNA5ScnxlfU0zOJB6P2W8xc&amp;h=AT0HeaqOzlDtd0fEdJfskHBfSafzTLIfh6RiqNplmJa9SLY2AyDaqxr92_Aw75Qhj5GTULH8NC69ziD6nUag6AZa8JnL9w5hP5v8uTAbnee0dz0o0JniEQq8qAJQvundsXti&amp;__tn__=-UK-R&amp;c%5b0%5d=AT3ZRP47HoM-VLfdcdusHz7BSgnW3kHA_MwRZg93VfvbRMM427IWFESxlC1sryPJqdxkoPWME0Vm5ZE07D8X194G4dg19h061Dy85p3pjqitGcT0N9eMMbETkh9NPMh8CSjXKrf7xe1w2lPK3NKhyARtimXostU3oWpsuyt6QDHTyGIM3rrcJ-Xvb0aNjzGLTXGwbT8NfqhWFCQpujfu-w" TargetMode="External"/><Relationship Id="rId22" Type="http://schemas.openxmlformats.org/officeDocument/2006/relationships/hyperlink" Target="https://tunisia.unfpa.org/sites/default/files/pub-pdf/etude_feminicide_-_a4_v3.pdf" TargetMode="External"/><Relationship Id="rId27" Type="http://schemas.openxmlformats.org/officeDocument/2006/relationships/hyperlink" Target="https://inkyfada.com/fr/2016/07/17/avortement-pression-tunisie-droit-femmes-tunisie/" TargetMode="External"/><Relationship Id="rId30" Type="http://schemas.openxmlformats.org/officeDocument/2006/relationships/hyperlink" Target="https://nawaat.org/2020/10/08/covid-19-les-damnes-de-la-tunisie/?utm" TargetMode="External"/><Relationship Id="rId35" Type="http://schemas.openxmlformats.org/officeDocument/2006/relationships/hyperlink" Target="https://nawaat.org/2023/12/15/tunisie-la-pilule-doree-du-droit-a-la-sante/" TargetMode="External"/><Relationship Id="rId8" Type="http://schemas.openxmlformats.org/officeDocument/2006/relationships/hyperlink" Target="https://www.rfi.fr/fr/afrique/20231107-tunisie-des-travailleuses-agricoles-victimes-de-nombreux-accidents-de-la-route-souvent-mortels?utm_source=chatgpt.com" TargetMode="External"/><Relationship Id="rId3" Type="http://schemas.openxmlformats.org/officeDocument/2006/relationships/hyperlink" Target="https://blogs.worldbank.org/en/arabvoices/how-rising-inflation-mena-impacts-poverty?u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A6ED71-474B-4DB1-B0CB-881A527B5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3490</Words>
  <Characters>19198</Characters>
  <Application>Microsoft Office Word</Application>
  <DocSecurity>0</DocSecurity>
  <Lines>159</Lines>
  <Paragraphs>45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Mkaddem</dc:creator>
  <cp:keywords/>
  <dc:description/>
  <cp:lastModifiedBy>Ahmed Mkaddem</cp:lastModifiedBy>
  <cp:revision>3</cp:revision>
  <dcterms:created xsi:type="dcterms:W3CDTF">2025-06-25T11:44:00Z</dcterms:created>
  <dcterms:modified xsi:type="dcterms:W3CDTF">2025-06-25T14:27:00Z</dcterms:modified>
</cp:coreProperties>
</file>