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86A35A" w14:textId="67B398C9" w:rsidR="009324E4" w:rsidRDefault="009324E4" w:rsidP="009324E4">
      <w:pPr>
        <w:rPr>
          <w:b/>
          <w:bCs/>
          <w:sz w:val="28"/>
          <w:szCs w:val="28"/>
          <w:lang w:val="en-GB"/>
        </w:rPr>
      </w:pPr>
      <w:bookmarkStart w:id="0" w:name="_GoBack"/>
      <w:bookmarkEnd w:id="0"/>
      <w:r>
        <w:rPr>
          <w:noProof/>
          <w:lang w:val="en-GB" w:eastAsia="en-GB"/>
        </w:rPr>
        <w:drawing>
          <wp:anchor distT="0" distB="0" distL="114300" distR="114300" simplePos="0" relativeHeight="251661312" behindDoc="0" locked="0" layoutInCell="1" allowOverlap="1" wp14:anchorId="080F16BA" wp14:editId="54E60D0E">
            <wp:simplePos x="0" y="0"/>
            <wp:positionH relativeFrom="column">
              <wp:posOffset>4029710</wp:posOffset>
            </wp:positionH>
            <wp:positionV relativeFrom="paragraph">
              <wp:posOffset>150287</wp:posOffset>
            </wp:positionV>
            <wp:extent cx="2412443" cy="895074"/>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ILPF_Logo_Full.png"/>
                    <pic:cNvPicPr/>
                  </pic:nvPicPr>
                  <pic:blipFill>
                    <a:blip r:embed="rId8"/>
                    <a:stretch>
                      <a:fillRect/>
                    </a:stretch>
                  </pic:blipFill>
                  <pic:spPr>
                    <a:xfrm>
                      <a:off x="0" y="0"/>
                      <a:ext cx="2412443" cy="895074"/>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59264" behindDoc="0" locked="0" layoutInCell="1" hidden="0" allowOverlap="1" wp14:anchorId="5AB01F3A" wp14:editId="77A23660">
            <wp:simplePos x="0" y="0"/>
            <wp:positionH relativeFrom="column">
              <wp:posOffset>59299</wp:posOffset>
            </wp:positionH>
            <wp:positionV relativeFrom="paragraph">
              <wp:posOffset>349885</wp:posOffset>
            </wp:positionV>
            <wp:extent cx="3554730" cy="570865"/>
            <wp:effectExtent l="0" t="0" r="1270" b="635"/>
            <wp:wrapSquare wrapText="bothSides" distT="0" distB="0" distL="114300" distR="114300"/>
            <wp:docPr id="2" name="image4.jpg" descr="Une image contenant text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4.jpg" descr="Une image contenant texte&#10;&#10;Description générée automatiquement"/>
                    <pic:cNvPicPr preferRelativeResize="0"/>
                  </pic:nvPicPr>
                  <pic:blipFill>
                    <a:blip r:embed="rId9"/>
                    <a:srcRect/>
                    <a:stretch>
                      <a:fillRect/>
                    </a:stretch>
                  </pic:blipFill>
                  <pic:spPr>
                    <a:xfrm>
                      <a:off x="0" y="0"/>
                      <a:ext cx="3554730" cy="570865"/>
                    </a:xfrm>
                    <a:prstGeom prst="rect">
                      <a:avLst/>
                    </a:prstGeom>
                    <a:ln/>
                  </pic:spPr>
                </pic:pic>
              </a:graphicData>
            </a:graphic>
            <wp14:sizeRelH relativeFrom="margin">
              <wp14:pctWidth>0</wp14:pctWidth>
            </wp14:sizeRelH>
            <wp14:sizeRelV relativeFrom="margin">
              <wp14:pctHeight>0</wp14:pctHeight>
            </wp14:sizeRelV>
          </wp:anchor>
        </w:drawing>
      </w:r>
    </w:p>
    <w:p w14:paraId="1810979E" w14:textId="2B089EDD" w:rsidR="009324E4" w:rsidRDefault="009324E4" w:rsidP="00A36DBA">
      <w:pPr>
        <w:jc w:val="center"/>
        <w:rPr>
          <w:b/>
          <w:bCs/>
          <w:sz w:val="28"/>
          <w:szCs w:val="28"/>
          <w:lang w:val="en-GB"/>
        </w:rPr>
      </w:pPr>
    </w:p>
    <w:p w14:paraId="13DA8438" w14:textId="410F272B" w:rsidR="009324E4" w:rsidRDefault="009324E4" w:rsidP="009324E4">
      <w:pPr>
        <w:rPr>
          <w:b/>
          <w:bCs/>
          <w:sz w:val="28"/>
          <w:szCs w:val="28"/>
          <w:lang w:val="en-GB"/>
        </w:rPr>
      </w:pPr>
    </w:p>
    <w:p w14:paraId="2698E0DD" w14:textId="6FF94BC1" w:rsidR="009324E4" w:rsidRPr="009324E4" w:rsidRDefault="009324E4" w:rsidP="009324E4">
      <w:pPr>
        <w:jc w:val="right"/>
        <w:rPr>
          <w:lang w:val="en-GB"/>
        </w:rPr>
      </w:pPr>
      <w:r w:rsidRPr="009324E4">
        <w:rPr>
          <w:lang w:val="en-GB"/>
        </w:rPr>
        <w:t>29 August 2022</w:t>
      </w:r>
    </w:p>
    <w:p w14:paraId="082B9E4C" w14:textId="77777777" w:rsidR="009324E4" w:rsidRDefault="009324E4" w:rsidP="00A36DBA">
      <w:pPr>
        <w:jc w:val="center"/>
        <w:rPr>
          <w:b/>
          <w:bCs/>
          <w:sz w:val="28"/>
          <w:szCs w:val="28"/>
          <w:lang w:val="en-GB"/>
        </w:rPr>
      </w:pPr>
    </w:p>
    <w:p w14:paraId="6895B625" w14:textId="1F38FDCD" w:rsidR="00A36DBA" w:rsidRPr="009324E4" w:rsidRDefault="00E64AD5" w:rsidP="00A36DBA">
      <w:pPr>
        <w:jc w:val="center"/>
        <w:rPr>
          <w:b/>
          <w:bCs/>
          <w:sz w:val="30"/>
          <w:szCs w:val="30"/>
          <w:lang w:val="en-GB"/>
        </w:rPr>
      </w:pPr>
      <w:r w:rsidRPr="009324E4">
        <w:rPr>
          <w:b/>
          <w:bCs/>
          <w:sz w:val="30"/>
          <w:szCs w:val="30"/>
          <w:lang w:val="en-GB"/>
        </w:rPr>
        <w:t xml:space="preserve">Joint </w:t>
      </w:r>
      <w:r w:rsidR="00A36DBA" w:rsidRPr="009324E4">
        <w:rPr>
          <w:b/>
          <w:bCs/>
          <w:sz w:val="30"/>
          <w:szCs w:val="30"/>
          <w:lang w:val="en-GB"/>
        </w:rPr>
        <w:t>submission to the Committee on Economic, Social and Cultural Rights</w:t>
      </w:r>
    </w:p>
    <w:p w14:paraId="31876FE0" w14:textId="2EDE8BE1" w:rsidR="003A7A79" w:rsidRPr="009324E4" w:rsidRDefault="00A36DBA" w:rsidP="00A36DBA">
      <w:pPr>
        <w:jc w:val="center"/>
        <w:rPr>
          <w:b/>
          <w:bCs/>
          <w:sz w:val="30"/>
          <w:szCs w:val="30"/>
          <w:lang w:val="en-GB"/>
        </w:rPr>
      </w:pPr>
      <w:r w:rsidRPr="009324E4">
        <w:rPr>
          <w:b/>
          <w:bCs/>
          <w:sz w:val="30"/>
          <w:szCs w:val="30"/>
          <w:lang w:val="en-GB"/>
        </w:rPr>
        <w:t>72</w:t>
      </w:r>
      <w:r w:rsidRPr="009324E4">
        <w:rPr>
          <w:b/>
          <w:bCs/>
          <w:sz w:val="30"/>
          <w:szCs w:val="30"/>
          <w:vertAlign w:val="superscript"/>
          <w:lang w:val="en-GB"/>
        </w:rPr>
        <w:t>nd</w:t>
      </w:r>
      <w:r w:rsidRPr="009324E4">
        <w:rPr>
          <w:b/>
          <w:bCs/>
          <w:sz w:val="30"/>
          <w:szCs w:val="30"/>
          <w:lang w:val="en-GB"/>
        </w:rPr>
        <w:t xml:space="preserve"> Session (26 September 2022 - 14 October 2022)</w:t>
      </w:r>
    </w:p>
    <w:p w14:paraId="2AA8F9CD" w14:textId="77777777" w:rsidR="009324E4" w:rsidRDefault="009324E4" w:rsidP="00A36DBA">
      <w:pPr>
        <w:jc w:val="center"/>
        <w:rPr>
          <w:b/>
          <w:bCs/>
          <w:sz w:val="32"/>
          <w:szCs w:val="32"/>
          <w:lang w:val="en-GB"/>
        </w:rPr>
      </w:pPr>
    </w:p>
    <w:p w14:paraId="319DFE05" w14:textId="24BEA0E0" w:rsidR="009324E4" w:rsidRDefault="009324E4" w:rsidP="00A36DBA">
      <w:pPr>
        <w:jc w:val="center"/>
        <w:rPr>
          <w:b/>
          <w:bCs/>
          <w:sz w:val="32"/>
          <w:szCs w:val="32"/>
          <w:lang w:val="en-GB"/>
        </w:rPr>
      </w:pPr>
      <w:r>
        <w:rPr>
          <w:b/>
          <w:bCs/>
          <w:sz w:val="32"/>
          <w:szCs w:val="32"/>
          <w:lang w:val="en-GB"/>
        </w:rPr>
        <w:t>REVIEW OF ITALY</w:t>
      </w:r>
    </w:p>
    <w:p w14:paraId="402E7F87" w14:textId="520AF330" w:rsidR="006E5881" w:rsidRDefault="006E5881" w:rsidP="00A36DBA">
      <w:pPr>
        <w:jc w:val="center"/>
        <w:rPr>
          <w:b/>
          <w:bCs/>
          <w:sz w:val="32"/>
          <w:szCs w:val="32"/>
          <w:lang w:val="en-GB"/>
        </w:rPr>
      </w:pPr>
    </w:p>
    <w:p w14:paraId="09206982" w14:textId="77777777" w:rsidR="006E5881" w:rsidRDefault="006E5881" w:rsidP="00A36DBA">
      <w:pPr>
        <w:jc w:val="center"/>
        <w:rPr>
          <w:b/>
          <w:bCs/>
          <w:sz w:val="32"/>
          <w:szCs w:val="32"/>
          <w:lang w:val="en-GB"/>
        </w:rPr>
      </w:pPr>
    </w:p>
    <w:p w14:paraId="5547EF1D" w14:textId="400B6631" w:rsidR="006E5881" w:rsidRPr="00FB1DF4" w:rsidRDefault="00FB1DF4" w:rsidP="00A36DBA">
      <w:pPr>
        <w:jc w:val="center"/>
        <w:rPr>
          <w:i/>
          <w:iCs/>
          <w:sz w:val="32"/>
          <w:szCs w:val="32"/>
          <w:lang w:val="en-GB"/>
        </w:rPr>
      </w:pPr>
      <w:r w:rsidRPr="00FB1DF4">
        <w:rPr>
          <w:i/>
          <w:iCs/>
          <w:sz w:val="32"/>
          <w:szCs w:val="32"/>
          <w:lang w:val="en-GB"/>
        </w:rPr>
        <w:t>Concerns relating to</w:t>
      </w:r>
      <w:r w:rsidR="006E5881" w:rsidRPr="00FB1DF4">
        <w:rPr>
          <w:i/>
          <w:iCs/>
          <w:sz w:val="32"/>
          <w:szCs w:val="32"/>
          <w:lang w:val="en-GB"/>
        </w:rPr>
        <w:t xml:space="preserve"> Italy’s arms transfers </w:t>
      </w:r>
    </w:p>
    <w:p w14:paraId="11E6979F" w14:textId="5C0ED92B" w:rsidR="009324E4" w:rsidRDefault="009324E4" w:rsidP="009324E4">
      <w:pPr>
        <w:rPr>
          <w:b/>
          <w:bCs/>
          <w:sz w:val="32"/>
          <w:szCs w:val="32"/>
          <w:lang w:val="en-GB"/>
        </w:rPr>
      </w:pPr>
      <w:r>
        <w:rPr>
          <w:b/>
          <w:bCs/>
          <w:sz w:val="32"/>
          <w:szCs w:val="32"/>
          <w:lang w:val="en-GB"/>
        </w:rPr>
        <w:br w:type="page"/>
      </w:r>
    </w:p>
    <w:p w14:paraId="0B87F345" w14:textId="77777777" w:rsidR="009324E4" w:rsidRPr="00A36DBA" w:rsidRDefault="009324E4" w:rsidP="00A36DBA">
      <w:pPr>
        <w:jc w:val="center"/>
        <w:rPr>
          <w:b/>
          <w:bCs/>
          <w:sz w:val="32"/>
          <w:szCs w:val="32"/>
          <w:lang w:val="en-GB"/>
        </w:rPr>
      </w:pPr>
    </w:p>
    <w:p w14:paraId="7D1493BC" w14:textId="6B3389D7" w:rsidR="005E3ACB" w:rsidRDefault="005E3ACB" w:rsidP="003A7A79">
      <w:pPr>
        <w:rPr>
          <w:lang w:val="en-GB"/>
        </w:rPr>
      </w:pPr>
    </w:p>
    <w:p w14:paraId="333BE5DB" w14:textId="32811E3C" w:rsidR="009324E4" w:rsidRPr="002F39AA" w:rsidRDefault="009324E4" w:rsidP="009324E4">
      <w:pPr>
        <w:jc w:val="center"/>
        <w:rPr>
          <w:b/>
          <w:bCs/>
          <w:lang w:val="en-GB"/>
        </w:rPr>
      </w:pPr>
      <w:r w:rsidRPr="002F39AA">
        <w:rPr>
          <w:b/>
          <w:bCs/>
          <w:lang w:val="en-GB"/>
        </w:rPr>
        <w:t>Contents</w:t>
      </w:r>
    </w:p>
    <w:p w14:paraId="283D07F8" w14:textId="77777777" w:rsidR="005E3ACB" w:rsidRPr="006B749F" w:rsidRDefault="005E3ACB" w:rsidP="003A7A79">
      <w:pPr>
        <w:rPr>
          <w:lang w:val="en-GB"/>
        </w:rPr>
      </w:pPr>
    </w:p>
    <w:p w14:paraId="76258EB6" w14:textId="225FC57E" w:rsidR="006E5881" w:rsidRDefault="006B749F">
      <w:pPr>
        <w:pStyle w:val="TOC1"/>
        <w:tabs>
          <w:tab w:val="left" w:pos="480"/>
          <w:tab w:val="right" w:leader="dot" w:pos="9350"/>
        </w:tabs>
        <w:rPr>
          <w:rFonts w:eastAsiaTheme="minorEastAsia" w:cstheme="minorBidi"/>
          <w:noProof/>
        </w:rPr>
      </w:pPr>
      <w:r w:rsidRPr="006B749F">
        <w:rPr>
          <w:rFonts w:ascii="Times New Roman" w:hAnsi="Times New Roman"/>
          <w:lang w:val="en-GB"/>
        </w:rPr>
        <w:fldChar w:fldCharType="begin"/>
      </w:r>
      <w:r w:rsidRPr="006B749F">
        <w:rPr>
          <w:lang w:val="en-GB"/>
        </w:rPr>
        <w:instrText xml:space="preserve"> TOC \o "1-3" \h \z \u </w:instrText>
      </w:r>
      <w:r w:rsidRPr="006B749F">
        <w:rPr>
          <w:rFonts w:ascii="Times New Roman" w:hAnsi="Times New Roman"/>
          <w:lang w:val="en-GB"/>
        </w:rPr>
        <w:fldChar w:fldCharType="separate"/>
      </w:r>
      <w:hyperlink w:anchor="_Toc112675945" w:history="1">
        <w:r w:rsidR="006E5881" w:rsidRPr="00F62BCA">
          <w:rPr>
            <w:rStyle w:val="Hyperlink"/>
            <w:noProof/>
          </w:rPr>
          <w:t>I.</w:t>
        </w:r>
        <w:r w:rsidR="006E5881">
          <w:rPr>
            <w:rFonts w:eastAsiaTheme="minorEastAsia" w:cstheme="minorBidi"/>
            <w:noProof/>
          </w:rPr>
          <w:tab/>
        </w:r>
        <w:r w:rsidR="006E5881" w:rsidRPr="00F62BCA">
          <w:rPr>
            <w:rStyle w:val="Hyperlink"/>
            <w:noProof/>
          </w:rPr>
          <w:t xml:space="preserve"> Introduction</w:t>
        </w:r>
        <w:r w:rsidR="006E5881">
          <w:rPr>
            <w:noProof/>
            <w:webHidden/>
          </w:rPr>
          <w:tab/>
        </w:r>
        <w:r w:rsidR="006E5881">
          <w:rPr>
            <w:noProof/>
            <w:webHidden/>
          </w:rPr>
          <w:fldChar w:fldCharType="begin"/>
        </w:r>
        <w:r w:rsidR="006E5881">
          <w:rPr>
            <w:noProof/>
            <w:webHidden/>
          </w:rPr>
          <w:instrText xml:space="preserve"> PAGEREF _Toc112675945 \h </w:instrText>
        </w:r>
        <w:r w:rsidR="006E5881">
          <w:rPr>
            <w:noProof/>
            <w:webHidden/>
          </w:rPr>
        </w:r>
        <w:r w:rsidR="006E5881">
          <w:rPr>
            <w:noProof/>
            <w:webHidden/>
          </w:rPr>
          <w:fldChar w:fldCharType="separate"/>
        </w:r>
        <w:r w:rsidR="006E5881">
          <w:rPr>
            <w:noProof/>
            <w:webHidden/>
          </w:rPr>
          <w:t>2</w:t>
        </w:r>
        <w:r w:rsidR="006E5881">
          <w:rPr>
            <w:noProof/>
            <w:webHidden/>
          </w:rPr>
          <w:fldChar w:fldCharType="end"/>
        </w:r>
      </w:hyperlink>
    </w:p>
    <w:p w14:paraId="19E0D8A7" w14:textId="7EEAB85A" w:rsidR="006E5881" w:rsidRDefault="00832D65">
      <w:pPr>
        <w:pStyle w:val="TOC1"/>
        <w:tabs>
          <w:tab w:val="left" w:pos="480"/>
          <w:tab w:val="right" w:leader="dot" w:pos="9350"/>
        </w:tabs>
        <w:rPr>
          <w:rFonts w:eastAsiaTheme="minorEastAsia" w:cstheme="minorBidi"/>
          <w:noProof/>
        </w:rPr>
      </w:pPr>
      <w:hyperlink w:anchor="_Toc112675946" w:history="1">
        <w:r w:rsidR="006E5881" w:rsidRPr="00F62BCA">
          <w:rPr>
            <w:rStyle w:val="Hyperlink"/>
            <w:noProof/>
          </w:rPr>
          <w:t>II.</w:t>
        </w:r>
        <w:r w:rsidR="006E5881">
          <w:rPr>
            <w:rFonts w:eastAsiaTheme="minorEastAsia" w:cstheme="minorBidi"/>
            <w:noProof/>
          </w:rPr>
          <w:tab/>
        </w:r>
        <w:r w:rsidR="006E5881" w:rsidRPr="00F62BCA">
          <w:rPr>
            <w:rStyle w:val="Hyperlink"/>
            <w:noProof/>
          </w:rPr>
          <w:t>Persistent concerns regarding arms transfers</w:t>
        </w:r>
        <w:r w:rsidR="006E5881">
          <w:rPr>
            <w:noProof/>
            <w:webHidden/>
          </w:rPr>
          <w:tab/>
        </w:r>
        <w:r w:rsidR="006E5881">
          <w:rPr>
            <w:noProof/>
            <w:webHidden/>
          </w:rPr>
          <w:fldChar w:fldCharType="begin"/>
        </w:r>
        <w:r w:rsidR="006E5881">
          <w:rPr>
            <w:noProof/>
            <w:webHidden/>
          </w:rPr>
          <w:instrText xml:space="preserve"> PAGEREF _Toc112675946 \h </w:instrText>
        </w:r>
        <w:r w:rsidR="006E5881">
          <w:rPr>
            <w:noProof/>
            <w:webHidden/>
          </w:rPr>
        </w:r>
        <w:r w:rsidR="006E5881">
          <w:rPr>
            <w:noProof/>
            <w:webHidden/>
          </w:rPr>
          <w:fldChar w:fldCharType="separate"/>
        </w:r>
        <w:r w:rsidR="006E5881">
          <w:rPr>
            <w:noProof/>
            <w:webHidden/>
          </w:rPr>
          <w:t>4</w:t>
        </w:r>
        <w:r w:rsidR="006E5881">
          <w:rPr>
            <w:noProof/>
            <w:webHidden/>
          </w:rPr>
          <w:fldChar w:fldCharType="end"/>
        </w:r>
      </w:hyperlink>
    </w:p>
    <w:p w14:paraId="61E42DF2" w14:textId="3C8516F6" w:rsidR="006E5881" w:rsidRDefault="00832D65">
      <w:pPr>
        <w:pStyle w:val="TOC1"/>
        <w:tabs>
          <w:tab w:val="left" w:pos="720"/>
          <w:tab w:val="right" w:leader="dot" w:pos="9350"/>
        </w:tabs>
        <w:rPr>
          <w:rFonts w:eastAsiaTheme="minorEastAsia" w:cstheme="minorBidi"/>
          <w:noProof/>
        </w:rPr>
      </w:pPr>
      <w:hyperlink w:anchor="_Toc112675947" w:history="1">
        <w:r w:rsidR="006E5881" w:rsidRPr="00F62BCA">
          <w:rPr>
            <w:rStyle w:val="Hyperlink"/>
            <w:noProof/>
          </w:rPr>
          <w:t>III.</w:t>
        </w:r>
        <w:r w:rsidR="006E5881">
          <w:rPr>
            <w:rFonts w:eastAsiaTheme="minorEastAsia" w:cstheme="minorBidi"/>
            <w:noProof/>
          </w:rPr>
          <w:tab/>
        </w:r>
        <w:r w:rsidR="006E5881" w:rsidRPr="00F62BCA">
          <w:rPr>
            <w:rStyle w:val="Hyperlink"/>
            <w:noProof/>
          </w:rPr>
          <w:t xml:space="preserve"> Examples of Italy’s arms transfers</w:t>
        </w:r>
        <w:r w:rsidR="006E5881">
          <w:rPr>
            <w:noProof/>
            <w:webHidden/>
          </w:rPr>
          <w:tab/>
        </w:r>
        <w:r w:rsidR="006E5881">
          <w:rPr>
            <w:noProof/>
            <w:webHidden/>
          </w:rPr>
          <w:fldChar w:fldCharType="begin"/>
        </w:r>
        <w:r w:rsidR="006E5881">
          <w:rPr>
            <w:noProof/>
            <w:webHidden/>
          </w:rPr>
          <w:instrText xml:space="preserve"> PAGEREF _Toc112675947 \h </w:instrText>
        </w:r>
        <w:r w:rsidR="006E5881">
          <w:rPr>
            <w:noProof/>
            <w:webHidden/>
          </w:rPr>
        </w:r>
        <w:r w:rsidR="006E5881">
          <w:rPr>
            <w:noProof/>
            <w:webHidden/>
          </w:rPr>
          <w:fldChar w:fldCharType="separate"/>
        </w:r>
        <w:r w:rsidR="006E5881">
          <w:rPr>
            <w:noProof/>
            <w:webHidden/>
          </w:rPr>
          <w:t>5</w:t>
        </w:r>
        <w:r w:rsidR="006E5881">
          <w:rPr>
            <w:noProof/>
            <w:webHidden/>
          </w:rPr>
          <w:fldChar w:fldCharType="end"/>
        </w:r>
      </w:hyperlink>
    </w:p>
    <w:p w14:paraId="09C38E5C" w14:textId="5EABE7F5" w:rsidR="006E5881" w:rsidRDefault="00832D65">
      <w:pPr>
        <w:pStyle w:val="TOC1"/>
        <w:tabs>
          <w:tab w:val="left" w:pos="720"/>
          <w:tab w:val="right" w:leader="dot" w:pos="9350"/>
        </w:tabs>
        <w:rPr>
          <w:rFonts w:eastAsiaTheme="minorEastAsia" w:cstheme="minorBidi"/>
          <w:noProof/>
        </w:rPr>
      </w:pPr>
      <w:hyperlink w:anchor="_Toc112675948" w:history="1">
        <w:r w:rsidR="006E5881" w:rsidRPr="00F62BCA">
          <w:rPr>
            <w:rStyle w:val="Hyperlink"/>
            <w:noProof/>
          </w:rPr>
          <w:t>IV.</w:t>
        </w:r>
        <w:r w:rsidR="006E5881">
          <w:rPr>
            <w:rFonts w:eastAsiaTheme="minorEastAsia" w:cstheme="minorBidi"/>
            <w:noProof/>
          </w:rPr>
          <w:tab/>
        </w:r>
        <w:r w:rsidR="006E5881" w:rsidRPr="00F62BCA">
          <w:rPr>
            <w:rStyle w:val="Hyperlink"/>
            <w:noProof/>
          </w:rPr>
          <w:t xml:space="preserve"> Update 2022 on Criminal proceedings in Italy and the ICC for the export of Italian weapons used in the war in Yemen</w:t>
        </w:r>
        <w:r w:rsidR="006E5881">
          <w:rPr>
            <w:noProof/>
            <w:webHidden/>
          </w:rPr>
          <w:tab/>
        </w:r>
        <w:r w:rsidR="006E5881">
          <w:rPr>
            <w:noProof/>
            <w:webHidden/>
          </w:rPr>
          <w:fldChar w:fldCharType="begin"/>
        </w:r>
        <w:r w:rsidR="006E5881">
          <w:rPr>
            <w:noProof/>
            <w:webHidden/>
          </w:rPr>
          <w:instrText xml:space="preserve"> PAGEREF _Toc112675948 \h </w:instrText>
        </w:r>
        <w:r w:rsidR="006E5881">
          <w:rPr>
            <w:noProof/>
            <w:webHidden/>
          </w:rPr>
        </w:r>
        <w:r w:rsidR="006E5881">
          <w:rPr>
            <w:noProof/>
            <w:webHidden/>
          </w:rPr>
          <w:fldChar w:fldCharType="separate"/>
        </w:r>
        <w:r w:rsidR="006E5881">
          <w:rPr>
            <w:noProof/>
            <w:webHidden/>
          </w:rPr>
          <w:t>10</w:t>
        </w:r>
        <w:r w:rsidR="006E5881">
          <w:rPr>
            <w:noProof/>
            <w:webHidden/>
          </w:rPr>
          <w:fldChar w:fldCharType="end"/>
        </w:r>
      </w:hyperlink>
    </w:p>
    <w:p w14:paraId="2E39130D" w14:textId="4CE9776C" w:rsidR="006E5881" w:rsidRDefault="00832D65">
      <w:pPr>
        <w:pStyle w:val="TOC1"/>
        <w:tabs>
          <w:tab w:val="left" w:pos="480"/>
          <w:tab w:val="right" w:leader="dot" w:pos="9350"/>
        </w:tabs>
        <w:rPr>
          <w:rFonts w:eastAsiaTheme="minorEastAsia" w:cstheme="minorBidi"/>
          <w:noProof/>
        </w:rPr>
      </w:pPr>
      <w:hyperlink w:anchor="_Toc112675949" w:history="1">
        <w:r w:rsidR="006E5881" w:rsidRPr="00F62BCA">
          <w:rPr>
            <w:rStyle w:val="Hyperlink"/>
            <w:noProof/>
          </w:rPr>
          <w:t>V.</w:t>
        </w:r>
        <w:r w:rsidR="006E5881">
          <w:rPr>
            <w:rFonts w:eastAsiaTheme="minorEastAsia" w:cstheme="minorBidi"/>
            <w:noProof/>
          </w:rPr>
          <w:tab/>
        </w:r>
        <w:r w:rsidR="006E5881" w:rsidRPr="00F62BCA">
          <w:rPr>
            <w:rStyle w:val="Hyperlink"/>
            <w:noProof/>
          </w:rPr>
          <w:t xml:space="preserve"> Concerns regarding the transparency of licensing decisions</w:t>
        </w:r>
        <w:r w:rsidR="006E5881">
          <w:rPr>
            <w:noProof/>
            <w:webHidden/>
          </w:rPr>
          <w:tab/>
        </w:r>
        <w:r w:rsidR="006E5881">
          <w:rPr>
            <w:noProof/>
            <w:webHidden/>
          </w:rPr>
          <w:fldChar w:fldCharType="begin"/>
        </w:r>
        <w:r w:rsidR="006E5881">
          <w:rPr>
            <w:noProof/>
            <w:webHidden/>
          </w:rPr>
          <w:instrText xml:space="preserve"> PAGEREF _Toc112675949 \h </w:instrText>
        </w:r>
        <w:r w:rsidR="006E5881">
          <w:rPr>
            <w:noProof/>
            <w:webHidden/>
          </w:rPr>
        </w:r>
        <w:r w:rsidR="006E5881">
          <w:rPr>
            <w:noProof/>
            <w:webHidden/>
          </w:rPr>
          <w:fldChar w:fldCharType="separate"/>
        </w:r>
        <w:r w:rsidR="006E5881">
          <w:rPr>
            <w:noProof/>
            <w:webHidden/>
          </w:rPr>
          <w:t>11</w:t>
        </w:r>
        <w:r w:rsidR="006E5881">
          <w:rPr>
            <w:noProof/>
            <w:webHidden/>
          </w:rPr>
          <w:fldChar w:fldCharType="end"/>
        </w:r>
      </w:hyperlink>
    </w:p>
    <w:p w14:paraId="57FA9234" w14:textId="5E9C92F7" w:rsidR="00382E97" w:rsidRDefault="006B749F" w:rsidP="009324E4">
      <w:pPr>
        <w:pStyle w:val="Heading1"/>
        <w:ind w:left="0" w:firstLine="0"/>
        <w:rPr>
          <w:rFonts w:asciiTheme="majorBidi" w:hAnsiTheme="majorBidi"/>
        </w:rPr>
      </w:pPr>
      <w:r w:rsidRPr="006B749F">
        <w:rPr>
          <w:rFonts w:asciiTheme="majorBidi" w:hAnsiTheme="majorBidi"/>
        </w:rPr>
        <w:fldChar w:fldCharType="end"/>
      </w:r>
    </w:p>
    <w:p w14:paraId="4310AE86" w14:textId="720424F7" w:rsidR="002F39AA" w:rsidRDefault="002F39AA" w:rsidP="002F39AA">
      <w:pPr>
        <w:rPr>
          <w:lang w:val="en-GB"/>
        </w:rPr>
      </w:pPr>
    </w:p>
    <w:p w14:paraId="240B1337" w14:textId="77777777" w:rsidR="002F39AA" w:rsidRPr="002F39AA" w:rsidRDefault="002F39AA" w:rsidP="002F39AA">
      <w:pPr>
        <w:rPr>
          <w:lang w:val="en-GB"/>
        </w:rPr>
      </w:pPr>
    </w:p>
    <w:p w14:paraId="0C8DDEA7" w14:textId="6A6E3F4E" w:rsidR="003A7A79" w:rsidRPr="00E64AD5" w:rsidRDefault="005F0474" w:rsidP="003A7A79">
      <w:pPr>
        <w:pStyle w:val="Heading1"/>
        <w:rPr>
          <w:szCs w:val="32"/>
        </w:rPr>
      </w:pPr>
      <w:bookmarkStart w:id="1" w:name="_Toc112675945"/>
      <w:r>
        <w:rPr>
          <w:szCs w:val="32"/>
        </w:rPr>
        <w:t>I.</w:t>
      </w:r>
      <w:r>
        <w:rPr>
          <w:szCs w:val="32"/>
        </w:rPr>
        <w:tab/>
      </w:r>
      <w:r>
        <w:rPr>
          <w:szCs w:val="32"/>
        </w:rPr>
        <w:tab/>
      </w:r>
      <w:r w:rsidR="003A7A79" w:rsidRPr="00E64AD5">
        <w:rPr>
          <w:szCs w:val="32"/>
        </w:rPr>
        <w:t>Introduction</w:t>
      </w:r>
      <w:bookmarkEnd w:id="1"/>
      <w:r w:rsidR="003A7A79" w:rsidRPr="00E64AD5">
        <w:rPr>
          <w:szCs w:val="32"/>
        </w:rPr>
        <w:t xml:space="preserve"> </w:t>
      </w:r>
    </w:p>
    <w:p w14:paraId="39A361B8" w14:textId="08C1A1C4" w:rsidR="003A7A79" w:rsidRPr="00EF1F5B" w:rsidRDefault="00EF1F5B" w:rsidP="00EF1F5B">
      <w:pPr>
        <w:rPr>
          <w:lang w:val="en-GB"/>
        </w:rPr>
      </w:pPr>
      <w:r>
        <w:rPr>
          <w:lang w:val="en-GB"/>
        </w:rPr>
        <w:t xml:space="preserve">1.  </w:t>
      </w:r>
      <w:r w:rsidR="003A7A79" w:rsidRPr="00EF1F5B">
        <w:rPr>
          <w:lang w:val="en-GB"/>
        </w:rPr>
        <w:t>In March 2020, at the 66</w:t>
      </w:r>
      <w:r w:rsidR="003A7A79" w:rsidRPr="00EF1F5B">
        <w:rPr>
          <w:vertAlign w:val="superscript"/>
          <w:lang w:val="en-GB"/>
        </w:rPr>
        <w:t>th</w:t>
      </w:r>
      <w:r w:rsidR="003A7A79" w:rsidRPr="00EF1F5B">
        <w:rPr>
          <w:lang w:val="en-GB"/>
        </w:rPr>
        <w:t xml:space="preserve"> session of the Pre-sessional Working Group</w:t>
      </w:r>
      <w:r w:rsidR="00A36DBA" w:rsidRPr="00EF1F5B">
        <w:rPr>
          <w:lang w:val="en-GB"/>
        </w:rPr>
        <w:t xml:space="preserve"> (hereinafter, CESCR 66</w:t>
      </w:r>
      <w:r w:rsidR="00A36DBA" w:rsidRPr="00EF1F5B">
        <w:rPr>
          <w:vertAlign w:val="superscript"/>
          <w:lang w:val="en-GB"/>
        </w:rPr>
        <w:t>th</w:t>
      </w:r>
      <w:r w:rsidR="00A36DBA" w:rsidRPr="00EF1F5B">
        <w:rPr>
          <w:lang w:val="en-GB"/>
        </w:rPr>
        <w:t xml:space="preserve"> pre-session)</w:t>
      </w:r>
      <w:r w:rsidR="003A7A79" w:rsidRPr="00EF1F5B">
        <w:rPr>
          <w:lang w:val="en-GB"/>
        </w:rPr>
        <w:t>, several organisations, including the Women’s International League for Peace and Freedom (WILPF)</w:t>
      </w:r>
      <w:r w:rsidR="00344A30" w:rsidRPr="00EF1F5B">
        <w:rPr>
          <w:lang w:val="en-GB"/>
        </w:rPr>
        <w:t xml:space="preserve"> and the European Center for Constitutional and Human Rights (ECCHR)</w:t>
      </w:r>
      <w:r w:rsidR="003A7A79" w:rsidRPr="00EF1F5B">
        <w:rPr>
          <w:lang w:val="en-GB"/>
        </w:rPr>
        <w:t>, brought to the attention of the Committee on Economic, Social and Cultural Rights (CESCR) deep concerns regarding the negative impact on human rights of Italy’s arms transfers. This is a concern shared by many organisations, including Italian women’s rights organisations who have raised it in the context of the Universal Periodic Review (UPR)</w:t>
      </w:r>
      <w:r w:rsidR="003A7A79" w:rsidRPr="003A7A79">
        <w:rPr>
          <w:vertAlign w:val="superscript"/>
          <w:lang w:val="en-GB"/>
        </w:rPr>
        <w:footnoteReference w:id="1"/>
      </w:r>
      <w:r w:rsidR="003A7A79" w:rsidRPr="00EF1F5B">
        <w:rPr>
          <w:lang w:val="en-GB"/>
        </w:rPr>
        <w:t xml:space="preserve"> and in a joint submission on women’s rights to the CESCR 66</w:t>
      </w:r>
      <w:r w:rsidR="003A7A79" w:rsidRPr="00EF1F5B">
        <w:rPr>
          <w:vertAlign w:val="superscript"/>
          <w:lang w:val="en-GB"/>
        </w:rPr>
        <w:t>th</w:t>
      </w:r>
      <w:r w:rsidR="003A7A79" w:rsidRPr="00EF1F5B">
        <w:rPr>
          <w:lang w:val="en-GB"/>
        </w:rPr>
        <w:t xml:space="preserve"> pre-session.</w:t>
      </w:r>
      <w:r w:rsidR="003A7A79" w:rsidRPr="003A7A79">
        <w:rPr>
          <w:vertAlign w:val="superscript"/>
          <w:lang w:val="en-GB"/>
        </w:rPr>
        <w:footnoteReference w:id="2"/>
      </w:r>
      <w:r w:rsidR="003A7A79" w:rsidRPr="00EF1F5B">
        <w:rPr>
          <w:lang w:val="en-GB"/>
        </w:rPr>
        <w:t xml:space="preserve">  </w:t>
      </w:r>
    </w:p>
    <w:p w14:paraId="12F165A6" w14:textId="77777777" w:rsidR="003A7A79" w:rsidRPr="006B749F" w:rsidRDefault="003A7A79" w:rsidP="003A7A79">
      <w:pPr>
        <w:rPr>
          <w:lang w:val="en-GB"/>
        </w:rPr>
      </w:pPr>
    </w:p>
    <w:p w14:paraId="0BF60A54" w14:textId="4FBC1452" w:rsidR="009550C3" w:rsidRDefault="00EF1F5B" w:rsidP="00E64AD5">
      <w:pPr>
        <w:rPr>
          <w:lang w:val="en-GB"/>
        </w:rPr>
      </w:pPr>
      <w:r>
        <w:rPr>
          <w:lang w:val="en-GB"/>
        </w:rPr>
        <w:t xml:space="preserve">2.  </w:t>
      </w:r>
      <w:r w:rsidR="003A57A9">
        <w:rPr>
          <w:lang w:val="en-GB"/>
        </w:rPr>
        <w:t xml:space="preserve">The </w:t>
      </w:r>
      <w:r w:rsidR="00EC1C24">
        <w:rPr>
          <w:lang w:val="en-GB"/>
        </w:rPr>
        <w:t>ECCHR’s submission</w:t>
      </w:r>
      <w:r w:rsidR="003A7A79" w:rsidRPr="003A7A79">
        <w:rPr>
          <w:lang w:val="en-GB"/>
        </w:rPr>
        <w:t xml:space="preserve"> to the CESCR </w:t>
      </w:r>
      <w:r w:rsidR="00A36DBA">
        <w:rPr>
          <w:lang w:val="en-GB"/>
        </w:rPr>
        <w:t>66</w:t>
      </w:r>
      <w:r w:rsidR="00A36DBA" w:rsidRPr="00A36DBA">
        <w:rPr>
          <w:vertAlign w:val="superscript"/>
          <w:lang w:val="en-GB"/>
        </w:rPr>
        <w:t>th</w:t>
      </w:r>
      <w:r w:rsidR="00A36DBA">
        <w:rPr>
          <w:lang w:val="en-GB"/>
        </w:rPr>
        <w:t xml:space="preserve"> </w:t>
      </w:r>
      <w:r w:rsidR="003A7A79" w:rsidRPr="003A7A79">
        <w:rPr>
          <w:lang w:val="en-GB"/>
        </w:rPr>
        <w:t>pre-session</w:t>
      </w:r>
      <w:r w:rsidR="00EC1C24">
        <w:rPr>
          <w:lang w:val="en-GB"/>
        </w:rPr>
        <w:t xml:space="preserve">, specifically addressed </w:t>
      </w:r>
      <w:r w:rsidR="003A7A79" w:rsidRPr="003A7A79">
        <w:rPr>
          <w:lang w:val="en-GB"/>
        </w:rPr>
        <w:t xml:space="preserve">the issue of Italy’s arms transfers and </w:t>
      </w:r>
      <w:r w:rsidR="00A36DBA">
        <w:rPr>
          <w:lang w:val="en-GB"/>
        </w:rPr>
        <w:t>its</w:t>
      </w:r>
      <w:r w:rsidR="003A7A79" w:rsidRPr="003A7A79">
        <w:rPr>
          <w:lang w:val="en-GB"/>
        </w:rPr>
        <w:t xml:space="preserve"> extraterritorial obligations under the Covenant.</w:t>
      </w:r>
      <w:r w:rsidR="003A7A79" w:rsidRPr="003A7A79">
        <w:rPr>
          <w:vertAlign w:val="superscript"/>
          <w:lang w:val="en-GB"/>
        </w:rPr>
        <w:t xml:space="preserve"> </w:t>
      </w:r>
      <w:r w:rsidR="003A7A79" w:rsidRPr="003A7A79">
        <w:rPr>
          <w:vertAlign w:val="superscript"/>
          <w:lang w:val="en-GB"/>
        </w:rPr>
        <w:footnoteReference w:id="3"/>
      </w:r>
      <w:r w:rsidR="003A7A79" w:rsidRPr="003A7A79">
        <w:rPr>
          <w:lang w:val="en-GB"/>
        </w:rPr>
        <w:t xml:space="preserve"> The </w:t>
      </w:r>
      <w:r w:rsidR="00EC1C24" w:rsidRPr="003A7A79">
        <w:rPr>
          <w:lang w:val="en-GB"/>
        </w:rPr>
        <w:t>submission</w:t>
      </w:r>
      <w:r w:rsidR="00EC1C24">
        <w:rPr>
          <w:lang w:val="en-GB"/>
        </w:rPr>
        <w:t xml:space="preserve"> focused </w:t>
      </w:r>
      <w:r w:rsidR="003A7A79" w:rsidRPr="003A7A79">
        <w:rPr>
          <w:lang w:val="en-GB"/>
        </w:rPr>
        <w:t>on violations arising from Italian arms transfers to third countries and pointed to Italy’s obligation to protect, particularly in relation to Italian businesses operating in the arms industry. It emphasised that arms transfers can have a profound impact on economic, social, and cultural rights as they can lead</w:t>
      </w:r>
      <w:r w:rsidR="00A36DBA">
        <w:rPr>
          <w:lang w:val="en-GB"/>
        </w:rPr>
        <w:t>,</w:t>
      </w:r>
      <w:r w:rsidR="003A7A79" w:rsidRPr="003A7A79">
        <w:rPr>
          <w:lang w:val="en-GB"/>
        </w:rPr>
        <w:t xml:space="preserve"> among others</w:t>
      </w:r>
      <w:r w:rsidR="00A36DBA">
        <w:rPr>
          <w:lang w:val="en-GB"/>
        </w:rPr>
        <w:t>,</w:t>
      </w:r>
      <w:r w:rsidR="003A7A79" w:rsidRPr="003A7A79">
        <w:rPr>
          <w:lang w:val="en-GB"/>
        </w:rPr>
        <w:t xml:space="preserve"> to damage and destruction of civilian infrastructure, schools, hospitals, housing and water and sanitation infrastructure, directly </w:t>
      </w:r>
      <w:r w:rsidR="003A7A79" w:rsidRPr="003A7A79">
        <w:rPr>
          <w:lang w:val="en-GB"/>
        </w:rPr>
        <w:lastRenderedPageBreak/>
        <w:t>impacting the population’s enjoyment of their economic, social and cultural rights, such as the righ</w:t>
      </w:r>
      <w:r w:rsidR="00A36DBA">
        <w:rPr>
          <w:lang w:val="en-GB"/>
        </w:rPr>
        <w:t>ts</w:t>
      </w:r>
      <w:r w:rsidR="003A7A79" w:rsidRPr="003A7A79">
        <w:rPr>
          <w:lang w:val="en-GB"/>
        </w:rPr>
        <w:t xml:space="preserve"> to health, water, education, food and housing.</w:t>
      </w:r>
      <w:r w:rsidR="00A07872">
        <w:rPr>
          <w:lang w:val="en-GB"/>
        </w:rPr>
        <w:t xml:space="preserve"> </w:t>
      </w:r>
      <w:r w:rsidR="00A07872" w:rsidRPr="0078413F">
        <w:rPr>
          <w:lang w:val="en-GB"/>
        </w:rPr>
        <w:t xml:space="preserve">Moreover, the </w:t>
      </w:r>
      <w:r w:rsidR="00A07872" w:rsidRPr="00A07872">
        <w:rPr>
          <w:lang w:val="en-GB"/>
        </w:rPr>
        <w:t xml:space="preserve">submission highlighted </w:t>
      </w:r>
      <w:r w:rsidR="00A07872" w:rsidRPr="00EF1F5B">
        <w:rPr>
          <w:lang w:val="en-GB"/>
        </w:rPr>
        <w:t>the devastating impact of European/Italian produced and exported arms in the ongoing war in Yemen</w:t>
      </w:r>
      <w:r w:rsidR="00A07872" w:rsidRPr="0078413F">
        <w:rPr>
          <w:lang w:val="en-GB"/>
        </w:rPr>
        <w:t xml:space="preserve">, as established in numerous </w:t>
      </w:r>
      <w:r w:rsidR="00A07872" w:rsidRPr="00EF1F5B">
        <w:rPr>
          <w:lang w:val="en-GB"/>
        </w:rPr>
        <w:t>instances</w:t>
      </w:r>
      <w:r w:rsidR="00A07872" w:rsidRPr="0078413F">
        <w:rPr>
          <w:lang w:val="en-GB"/>
        </w:rPr>
        <w:t xml:space="preserve"> by </w:t>
      </w:r>
      <w:r w:rsidR="00A07872" w:rsidRPr="0078413F">
        <w:t>UN reports, European Parliament resolutions and international and natio</w:t>
      </w:r>
      <w:r w:rsidR="00A07872" w:rsidRPr="00A07872">
        <w:t>nal NGOs</w:t>
      </w:r>
      <w:r w:rsidR="00A07872" w:rsidRPr="00EF1F5B">
        <w:rPr>
          <w:lang w:val="en-GB"/>
        </w:rPr>
        <w:t>’ reports.</w:t>
      </w:r>
      <w:r w:rsidR="00A07872">
        <w:rPr>
          <w:rStyle w:val="FootnoteReference"/>
          <w:lang w:val="en-GB"/>
        </w:rPr>
        <w:footnoteReference w:id="4"/>
      </w:r>
    </w:p>
    <w:p w14:paraId="01B4D260" w14:textId="73D10E0E" w:rsidR="00320AA6" w:rsidRDefault="00EF1F5B" w:rsidP="00EF1F5B">
      <w:pPr>
        <w:pStyle w:val="NormalWeb"/>
        <w:jc w:val="both"/>
        <w:rPr>
          <w:lang w:val="en-GB"/>
        </w:rPr>
      </w:pPr>
      <w:r>
        <w:rPr>
          <w:lang w:val="en-GB"/>
        </w:rPr>
        <w:t xml:space="preserve">3.  </w:t>
      </w:r>
      <w:r w:rsidR="00A07872">
        <w:rPr>
          <w:lang w:val="en-GB"/>
        </w:rPr>
        <w:t>In addition to the above</w:t>
      </w:r>
      <w:r w:rsidR="00630F65">
        <w:rPr>
          <w:lang w:val="en-GB"/>
        </w:rPr>
        <w:t xml:space="preserve">, </w:t>
      </w:r>
      <w:r w:rsidR="00A07872">
        <w:rPr>
          <w:lang w:val="en-GB"/>
        </w:rPr>
        <w:t>E</w:t>
      </w:r>
      <w:r w:rsidR="00EC1C24">
        <w:rPr>
          <w:lang w:val="en-GB"/>
        </w:rPr>
        <w:t xml:space="preserve">CCHR’s submission </w:t>
      </w:r>
      <w:r w:rsidR="00630F65">
        <w:rPr>
          <w:lang w:val="en-GB"/>
        </w:rPr>
        <w:t xml:space="preserve">provided an overview of the legal interventions it has launched, together with the Yemeni organisation Mwatana for Human Rights and the Italian NGO </w:t>
      </w:r>
      <w:r w:rsidR="00630F65" w:rsidRPr="00EF1F5B">
        <w:rPr>
          <w:i/>
          <w:iCs/>
          <w:lang w:val="en-GB"/>
        </w:rPr>
        <w:t>Rete Italiana Pace e Disarmo</w:t>
      </w:r>
      <w:r w:rsidR="006F307E">
        <w:rPr>
          <w:i/>
          <w:iCs/>
          <w:lang w:val="en-GB"/>
        </w:rPr>
        <w:t xml:space="preserve"> </w:t>
      </w:r>
      <w:r w:rsidR="006F307E" w:rsidRPr="003B1C95">
        <w:rPr>
          <w:lang w:val="en-GB"/>
        </w:rPr>
        <w:t>(Italian</w:t>
      </w:r>
      <w:r w:rsidR="006F307E">
        <w:rPr>
          <w:lang w:val="en-GB"/>
        </w:rPr>
        <w:t xml:space="preserve"> Network for Peace and Disarmament</w:t>
      </w:r>
      <w:r w:rsidR="00E64AD5">
        <w:rPr>
          <w:lang w:val="en-GB"/>
        </w:rPr>
        <w:t>), concerning</w:t>
      </w:r>
      <w:r w:rsidR="00630F65">
        <w:rPr>
          <w:lang w:val="en-GB"/>
        </w:rPr>
        <w:t xml:space="preserve"> the criminal responsibility of Italian licensing authorities and arms manufacturers for their contribution to potential war crimes in Yemen, through the export of wea</w:t>
      </w:r>
      <w:r w:rsidR="00320AA6">
        <w:rPr>
          <w:lang w:val="en-GB"/>
        </w:rPr>
        <w:t xml:space="preserve">pons to the </w:t>
      </w:r>
      <w:r w:rsidR="00CF1FF4">
        <w:rPr>
          <w:lang w:val="en-GB"/>
        </w:rPr>
        <w:t>Saudi/UAE led Coalitio</w:t>
      </w:r>
      <w:r w:rsidR="00E82590">
        <w:rPr>
          <w:lang w:val="en-GB"/>
        </w:rPr>
        <w:t>n</w:t>
      </w:r>
      <w:r w:rsidR="006F307E">
        <w:rPr>
          <w:lang w:val="en-GB"/>
        </w:rPr>
        <w:t xml:space="preserve">. These legal interventions </w:t>
      </w:r>
      <w:r w:rsidR="00E82590">
        <w:rPr>
          <w:lang w:val="en-GB"/>
        </w:rPr>
        <w:t xml:space="preserve">are </w:t>
      </w:r>
      <w:r w:rsidR="00320AA6">
        <w:rPr>
          <w:lang w:val="en-GB"/>
        </w:rPr>
        <w:t>as follows:</w:t>
      </w:r>
    </w:p>
    <w:p w14:paraId="6CFB5B05" w14:textId="7813EAF0" w:rsidR="00320AA6" w:rsidRDefault="00EB27C6" w:rsidP="00D074B0">
      <w:pPr>
        <w:pStyle w:val="ListParagraph"/>
        <w:numPr>
          <w:ilvl w:val="0"/>
          <w:numId w:val="9"/>
        </w:numPr>
        <w:ind w:left="360"/>
        <w:rPr>
          <w:lang w:val="en-GB"/>
        </w:rPr>
      </w:pPr>
      <w:r>
        <w:rPr>
          <w:lang w:val="en-GB"/>
        </w:rPr>
        <w:t xml:space="preserve">In </w:t>
      </w:r>
      <w:r w:rsidR="00320AA6">
        <w:rPr>
          <w:lang w:val="en-GB"/>
        </w:rPr>
        <w:t xml:space="preserve">April 2018, </w:t>
      </w:r>
      <w:r w:rsidR="00320AA6" w:rsidRPr="00320AA6">
        <w:rPr>
          <w:lang w:val="en-GB"/>
        </w:rPr>
        <w:t xml:space="preserve">a </w:t>
      </w:r>
      <w:r w:rsidR="003A7A79" w:rsidRPr="00320AA6">
        <w:rPr>
          <w:lang w:val="en-GB"/>
        </w:rPr>
        <w:t xml:space="preserve">criminal complaint with the </w:t>
      </w:r>
      <w:r w:rsidR="00320AA6" w:rsidRPr="00320AA6">
        <w:rPr>
          <w:lang w:val="en-GB"/>
        </w:rPr>
        <w:t>P</w:t>
      </w:r>
      <w:r w:rsidR="003A7A79" w:rsidRPr="00320AA6">
        <w:rPr>
          <w:lang w:val="en-GB"/>
        </w:rPr>
        <w:t xml:space="preserve">ublic </w:t>
      </w:r>
      <w:r w:rsidR="00320AA6" w:rsidRPr="00320AA6">
        <w:rPr>
          <w:lang w:val="en-GB"/>
        </w:rPr>
        <w:t>P</w:t>
      </w:r>
      <w:r w:rsidR="003A7A79" w:rsidRPr="00320AA6">
        <w:rPr>
          <w:lang w:val="en-GB"/>
        </w:rPr>
        <w:t xml:space="preserve">rosecutor </w:t>
      </w:r>
      <w:r w:rsidR="00320AA6" w:rsidRPr="00320AA6">
        <w:rPr>
          <w:lang w:val="en-GB"/>
        </w:rPr>
        <w:t>in</w:t>
      </w:r>
      <w:r w:rsidR="003A7A79" w:rsidRPr="00320AA6">
        <w:rPr>
          <w:lang w:val="en-GB"/>
        </w:rPr>
        <w:t xml:space="preserve"> Rome, requesting to investigate the criminal liability of senior</w:t>
      </w:r>
      <w:r w:rsidR="009550C3">
        <w:rPr>
          <w:lang w:val="en-GB"/>
        </w:rPr>
        <w:t xml:space="preserve"> government</w:t>
      </w:r>
      <w:r w:rsidR="003A7A79" w:rsidRPr="0078413F">
        <w:rPr>
          <w:lang w:val="en-GB"/>
        </w:rPr>
        <w:t xml:space="preserve"> officials within Italy’s </w:t>
      </w:r>
      <w:r w:rsidR="000A6479" w:rsidRPr="0078413F">
        <w:rPr>
          <w:lang w:val="en-GB"/>
        </w:rPr>
        <w:t>licensing authority</w:t>
      </w:r>
      <w:r w:rsidR="00550010">
        <w:rPr>
          <w:lang w:val="en-GB"/>
        </w:rPr>
        <w:t xml:space="preserve"> </w:t>
      </w:r>
      <w:r w:rsidR="00EB47A0" w:rsidRPr="003A7A79">
        <w:rPr>
          <w:lang w:val="en-GB"/>
        </w:rPr>
        <w:t>(</w:t>
      </w:r>
      <w:r w:rsidR="00EB47A0" w:rsidRPr="00E64AD5">
        <w:rPr>
          <w:i/>
          <w:iCs/>
        </w:rPr>
        <w:t>Unità per le autorizzazioni dei materiali di armamento</w:t>
      </w:r>
      <w:r w:rsidR="00EB47A0" w:rsidRPr="009324E4">
        <w:rPr>
          <w:lang w:val="en-US"/>
        </w:rPr>
        <w:t xml:space="preserve">, </w:t>
      </w:r>
      <w:r w:rsidR="00EB47A0" w:rsidRPr="003A7A79">
        <w:rPr>
          <w:lang w:val="en-GB"/>
        </w:rPr>
        <w:t>National Authority on Armament Export</w:t>
      </w:r>
      <w:r w:rsidR="00EB47A0">
        <w:rPr>
          <w:lang w:val="en-GB"/>
        </w:rPr>
        <w:t xml:space="preserve"> - </w:t>
      </w:r>
      <w:r w:rsidR="00EB47A0" w:rsidRPr="003A7A79">
        <w:rPr>
          <w:lang w:val="en-GB"/>
        </w:rPr>
        <w:t>Italian acronym</w:t>
      </w:r>
      <w:r w:rsidR="00EB47A0">
        <w:rPr>
          <w:lang w:val="en-GB"/>
        </w:rPr>
        <w:t>:</w:t>
      </w:r>
      <w:r w:rsidR="00EB47A0" w:rsidRPr="003A7A79">
        <w:rPr>
          <w:lang w:val="en-GB"/>
        </w:rPr>
        <w:t xml:space="preserve"> UAMA)</w:t>
      </w:r>
      <w:r w:rsidR="00EB47A0">
        <w:rPr>
          <w:lang w:val="en-GB"/>
        </w:rPr>
        <w:t xml:space="preserve"> </w:t>
      </w:r>
      <w:r w:rsidR="000A6479" w:rsidRPr="0078413F">
        <w:rPr>
          <w:lang w:val="en-GB"/>
        </w:rPr>
        <w:t xml:space="preserve"> and of</w:t>
      </w:r>
      <w:r w:rsidR="003A7A79" w:rsidRPr="00320AA6">
        <w:rPr>
          <w:lang w:val="en-GB"/>
        </w:rPr>
        <w:t xml:space="preserve"> managers of the </w:t>
      </w:r>
      <w:r w:rsidR="009550C3">
        <w:rPr>
          <w:lang w:val="en-GB"/>
        </w:rPr>
        <w:t xml:space="preserve">company </w:t>
      </w:r>
      <w:r w:rsidR="003A7A79" w:rsidRPr="0078413F">
        <w:rPr>
          <w:lang w:val="en-GB"/>
        </w:rPr>
        <w:t xml:space="preserve">RWM Italia S.p.A.; and </w:t>
      </w:r>
    </w:p>
    <w:p w14:paraId="71ED60F2" w14:textId="77777777" w:rsidR="00D074B0" w:rsidRDefault="00D074B0" w:rsidP="00D074B0">
      <w:pPr>
        <w:pStyle w:val="ListParagraph"/>
        <w:ind w:left="360"/>
        <w:rPr>
          <w:lang w:val="en-GB"/>
        </w:rPr>
      </w:pPr>
    </w:p>
    <w:p w14:paraId="4BE89A66" w14:textId="57A2A65F" w:rsidR="003A7A79" w:rsidRDefault="00320AA6" w:rsidP="00D074B0">
      <w:pPr>
        <w:pStyle w:val="ListParagraph"/>
        <w:numPr>
          <w:ilvl w:val="0"/>
          <w:numId w:val="8"/>
        </w:numPr>
        <w:ind w:left="360"/>
        <w:rPr>
          <w:lang w:val="en-GB"/>
        </w:rPr>
      </w:pPr>
      <w:r>
        <w:rPr>
          <w:lang w:val="en-GB"/>
        </w:rPr>
        <w:t xml:space="preserve">In December 2019, </w:t>
      </w:r>
      <w:r w:rsidR="003A7A79" w:rsidRPr="0078413F">
        <w:rPr>
          <w:lang w:val="en-GB"/>
        </w:rPr>
        <w:t xml:space="preserve">a Communication to the </w:t>
      </w:r>
      <w:r>
        <w:rPr>
          <w:lang w:val="en-GB"/>
        </w:rPr>
        <w:t xml:space="preserve">Office of the </w:t>
      </w:r>
      <w:r w:rsidR="003A7A79" w:rsidRPr="0078413F">
        <w:rPr>
          <w:lang w:val="en-GB"/>
        </w:rPr>
        <w:t xml:space="preserve">Prosecutor of the International Criminal Court calling for an investigation </w:t>
      </w:r>
      <w:r>
        <w:rPr>
          <w:lang w:val="en-GB"/>
        </w:rPr>
        <w:t>on the criminal responsibility of</w:t>
      </w:r>
      <w:r w:rsidR="003A7A79" w:rsidRPr="0078413F">
        <w:rPr>
          <w:lang w:val="en-GB"/>
        </w:rPr>
        <w:t xml:space="preserve"> high-ranking </w:t>
      </w:r>
      <w:r>
        <w:rPr>
          <w:lang w:val="en-GB"/>
        </w:rPr>
        <w:t xml:space="preserve">government </w:t>
      </w:r>
      <w:r w:rsidR="003A7A79" w:rsidRPr="0078413F">
        <w:rPr>
          <w:lang w:val="en-GB"/>
        </w:rPr>
        <w:t>officials</w:t>
      </w:r>
      <w:r>
        <w:rPr>
          <w:lang w:val="en-GB"/>
        </w:rPr>
        <w:t xml:space="preserve"> and managers of arms companies from </w:t>
      </w:r>
      <w:r w:rsidRPr="00320AA6">
        <w:rPr>
          <w:lang w:val="en-GB"/>
        </w:rPr>
        <w:t>UK, Germany, Italy, Spain, France and Germany</w:t>
      </w:r>
      <w:r w:rsidR="003A7A79" w:rsidRPr="0078413F">
        <w:rPr>
          <w:lang w:val="en-GB"/>
        </w:rPr>
        <w:t xml:space="preserve"> </w:t>
      </w:r>
      <w:r w:rsidR="003A7A79" w:rsidRPr="00320AA6">
        <w:rPr>
          <w:lang w:val="en-GB"/>
        </w:rPr>
        <w:t xml:space="preserve">for </w:t>
      </w:r>
      <w:r>
        <w:rPr>
          <w:lang w:val="en-GB"/>
        </w:rPr>
        <w:t>the supply of weapons</w:t>
      </w:r>
      <w:r w:rsidR="003A7A79" w:rsidRPr="0078413F">
        <w:rPr>
          <w:lang w:val="en-GB"/>
        </w:rPr>
        <w:t xml:space="preserve"> </w:t>
      </w:r>
      <w:r>
        <w:rPr>
          <w:lang w:val="en-GB"/>
        </w:rPr>
        <w:t>to</w:t>
      </w:r>
      <w:r w:rsidR="003A7A79" w:rsidRPr="0078413F">
        <w:rPr>
          <w:lang w:val="en-GB"/>
        </w:rPr>
        <w:t xml:space="preserve"> the </w:t>
      </w:r>
      <w:r w:rsidR="00CF1FF4">
        <w:rPr>
          <w:lang w:val="en-GB"/>
        </w:rPr>
        <w:t>Saudi/UAE led Coalition</w:t>
      </w:r>
      <w:r w:rsidR="00CF1FF4" w:rsidRPr="0078413F" w:rsidDel="00CF1FF4">
        <w:rPr>
          <w:lang w:val="en-GB"/>
        </w:rPr>
        <w:t xml:space="preserve"> </w:t>
      </w:r>
      <w:r>
        <w:rPr>
          <w:lang w:val="en-GB"/>
        </w:rPr>
        <w:t xml:space="preserve">used in the commission of </w:t>
      </w:r>
      <w:r w:rsidR="003A7A79" w:rsidRPr="0078413F">
        <w:rPr>
          <w:lang w:val="en-GB"/>
        </w:rPr>
        <w:t>potential war crimes in Yemen.</w:t>
      </w:r>
    </w:p>
    <w:p w14:paraId="41496C18" w14:textId="77777777" w:rsidR="00EB27C6" w:rsidRDefault="00EB27C6" w:rsidP="00EF1F5B">
      <w:pPr>
        <w:pStyle w:val="ListParagraph"/>
        <w:ind w:left="1080"/>
        <w:rPr>
          <w:lang w:val="en-GB"/>
        </w:rPr>
      </w:pPr>
    </w:p>
    <w:p w14:paraId="452526FE" w14:textId="30BA7555" w:rsidR="00EB27C6" w:rsidRPr="00D85315" w:rsidRDefault="00EB27C6" w:rsidP="0078413F">
      <w:pPr>
        <w:rPr>
          <w:lang w:val="en-GB"/>
        </w:rPr>
      </w:pPr>
      <w:r w:rsidRPr="00D85315">
        <w:rPr>
          <w:lang w:val="en-GB"/>
        </w:rPr>
        <w:t xml:space="preserve">An update </w:t>
      </w:r>
      <w:r w:rsidR="00C20941" w:rsidRPr="00D85315">
        <w:rPr>
          <w:lang w:val="en-GB"/>
        </w:rPr>
        <w:t>o</w:t>
      </w:r>
      <w:r w:rsidR="00550010" w:rsidRPr="00D85315">
        <w:rPr>
          <w:lang w:val="en-GB"/>
        </w:rPr>
        <w:t>n</w:t>
      </w:r>
      <w:r w:rsidRPr="00D85315">
        <w:rPr>
          <w:lang w:val="en-GB"/>
        </w:rPr>
        <w:t xml:space="preserve"> the </w:t>
      </w:r>
      <w:r w:rsidR="00A72101" w:rsidRPr="00D85315">
        <w:rPr>
          <w:lang w:val="en-GB"/>
        </w:rPr>
        <w:t>status</w:t>
      </w:r>
      <w:r w:rsidR="00020ADA">
        <w:rPr>
          <w:lang w:val="en-GB"/>
        </w:rPr>
        <w:t xml:space="preserve"> </w:t>
      </w:r>
      <w:r w:rsidRPr="00D85315">
        <w:rPr>
          <w:lang w:val="en-GB"/>
        </w:rPr>
        <w:t xml:space="preserve">of these proceedings can be found </w:t>
      </w:r>
      <w:r w:rsidR="00D85315">
        <w:rPr>
          <w:lang w:val="en-GB"/>
        </w:rPr>
        <w:t xml:space="preserve">later in the text, </w:t>
      </w:r>
      <w:r w:rsidR="00EF1F5B" w:rsidRPr="00D85315">
        <w:rPr>
          <w:lang w:val="en-GB"/>
        </w:rPr>
        <w:t>in paragraphs</w:t>
      </w:r>
      <w:r w:rsidR="00D85315" w:rsidRPr="00D85315">
        <w:rPr>
          <w:lang w:val="en-GB"/>
        </w:rPr>
        <w:t xml:space="preserve"> 18 -21. </w:t>
      </w:r>
      <w:r w:rsidR="00EF1F5B" w:rsidRPr="00D85315">
        <w:rPr>
          <w:lang w:val="en-GB"/>
        </w:rPr>
        <w:t xml:space="preserve"> </w:t>
      </w:r>
    </w:p>
    <w:p w14:paraId="4B9E484A" w14:textId="77777777" w:rsidR="00320AA6" w:rsidRPr="006B749F" w:rsidRDefault="00320AA6" w:rsidP="003A7A79">
      <w:pPr>
        <w:rPr>
          <w:lang w:val="en-GB"/>
        </w:rPr>
      </w:pPr>
    </w:p>
    <w:p w14:paraId="35780AA1" w14:textId="17E0EDA3" w:rsidR="003A7A79" w:rsidRPr="003A7A79" w:rsidRDefault="00EF1F5B" w:rsidP="003A7A79">
      <w:pPr>
        <w:rPr>
          <w:lang w:val="en-GB"/>
        </w:rPr>
      </w:pPr>
      <w:r>
        <w:rPr>
          <w:lang w:val="en-GB"/>
        </w:rPr>
        <w:t xml:space="preserve">4.  </w:t>
      </w:r>
      <w:r w:rsidR="003A7A79" w:rsidRPr="003A7A79">
        <w:rPr>
          <w:lang w:val="en-GB"/>
        </w:rPr>
        <w:t>In 2017, the CEDAW Committee expressed concerns about Italy’s arms exports, including to conflict zones, and the absence of a specific mechanism for gender-based violence risk assessments and made specific recommendations in this regard.</w:t>
      </w:r>
      <w:r w:rsidR="003A7A79" w:rsidRPr="003A7A79">
        <w:rPr>
          <w:vertAlign w:val="superscript"/>
          <w:lang w:val="en-GB"/>
        </w:rPr>
        <w:footnoteReference w:id="5"/>
      </w:r>
      <w:r w:rsidR="003A7A79" w:rsidRPr="003A7A79">
        <w:rPr>
          <w:lang w:val="en-GB"/>
        </w:rPr>
        <w:t xml:space="preserve"> In 2019, Italy received three UPR recommendations relating to regulation of arms transfers but accepted only two.</w:t>
      </w:r>
      <w:r w:rsidR="003A7A79" w:rsidRPr="003A7A79">
        <w:rPr>
          <w:vertAlign w:val="superscript"/>
          <w:lang w:val="en-GB"/>
        </w:rPr>
        <w:footnoteReference w:id="6"/>
      </w:r>
      <w:r w:rsidR="003A7A79" w:rsidRPr="003A7A79">
        <w:rPr>
          <w:lang w:val="en-GB"/>
        </w:rPr>
        <w:t xml:space="preserve"> </w:t>
      </w:r>
    </w:p>
    <w:p w14:paraId="41B674F8" w14:textId="77777777" w:rsidR="006B749F" w:rsidRPr="006B749F" w:rsidRDefault="006B749F" w:rsidP="003A7A79">
      <w:pPr>
        <w:rPr>
          <w:lang w:val="en-GB"/>
        </w:rPr>
      </w:pPr>
    </w:p>
    <w:p w14:paraId="593C9894" w14:textId="42996A6E" w:rsidR="003A7A79" w:rsidRDefault="00EF1F5B" w:rsidP="003A7A79">
      <w:pPr>
        <w:rPr>
          <w:lang w:val="en-GB"/>
        </w:rPr>
      </w:pPr>
      <w:r>
        <w:rPr>
          <w:lang w:val="en-GB"/>
        </w:rPr>
        <w:t xml:space="preserve">5.  </w:t>
      </w:r>
      <w:r w:rsidR="003A7A79" w:rsidRPr="003A7A79">
        <w:rPr>
          <w:lang w:val="en-GB"/>
        </w:rPr>
        <w:t xml:space="preserve">In its </w:t>
      </w:r>
      <w:r w:rsidR="00550010">
        <w:rPr>
          <w:lang w:val="en-GB"/>
        </w:rPr>
        <w:t xml:space="preserve">2020 </w:t>
      </w:r>
      <w:r w:rsidR="000A6479">
        <w:rPr>
          <w:lang w:val="en-GB"/>
        </w:rPr>
        <w:t>L</w:t>
      </w:r>
      <w:r w:rsidR="003A7A79" w:rsidRPr="003A7A79">
        <w:rPr>
          <w:lang w:val="en-GB"/>
        </w:rPr>
        <w:t>ist of issues</w:t>
      </w:r>
      <w:r w:rsidR="000A6479">
        <w:rPr>
          <w:lang w:val="en-GB"/>
        </w:rPr>
        <w:t xml:space="preserve"> for Italy</w:t>
      </w:r>
      <w:r w:rsidR="00550010">
        <w:rPr>
          <w:lang w:val="en-GB"/>
        </w:rPr>
        <w:t>,</w:t>
      </w:r>
      <w:r w:rsidR="003A7A79" w:rsidRPr="003A7A79">
        <w:rPr>
          <w:lang w:val="en-GB"/>
        </w:rPr>
        <w:t xml:space="preserve"> </w:t>
      </w:r>
      <w:r w:rsidR="000A6479">
        <w:rPr>
          <w:lang w:val="en-GB"/>
        </w:rPr>
        <w:t>CESCR</w:t>
      </w:r>
      <w:r w:rsidR="003A7A79" w:rsidRPr="003A7A79">
        <w:rPr>
          <w:lang w:val="en-GB"/>
        </w:rPr>
        <w:t xml:space="preserve"> asked questions regarding the regulation of arms transfers.</w:t>
      </w:r>
      <w:r w:rsidR="003A7A79" w:rsidRPr="003A7A79">
        <w:rPr>
          <w:vertAlign w:val="superscript"/>
          <w:lang w:val="en-GB"/>
        </w:rPr>
        <w:footnoteReference w:id="7"/>
      </w:r>
      <w:r w:rsidR="003A7A79" w:rsidRPr="003A7A79">
        <w:rPr>
          <w:lang w:val="en-GB"/>
        </w:rPr>
        <w:t xml:space="preserve"> </w:t>
      </w:r>
      <w:r w:rsidR="000A6479">
        <w:rPr>
          <w:lang w:val="en-GB"/>
        </w:rPr>
        <w:t xml:space="preserve">Given the persistent concerns </w:t>
      </w:r>
      <w:r w:rsidR="000A6479" w:rsidRPr="000A6479">
        <w:rPr>
          <w:lang w:val="en-GB"/>
        </w:rPr>
        <w:t xml:space="preserve">regarding </w:t>
      </w:r>
      <w:r w:rsidR="000A6479">
        <w:rPr>
          <w:lang w:val="en-GB"/>
        </w:rPr>
        <w:t xml:space="preserve">the harmful impact on economic, social and cultural rights of Italy’s </w:t>
      </w:r>
      <w:r w:rsidR="000A6479" w:rsidRPr="000A6479">
        <w:rPr>
          <w:lang w:val="en-GB"/>
        </w:rPr>
        <w:t>arms transfers</w:t>
      </w:r>
      <w:r w:rsidR="000A6479">
        <w:rPr>
          <w:lang w:val="en-GB"/>
        </w:rPr>
        <w:t xml:space="preserve">, we strongly encourage the Committee to raise these concerns again in the upcoming review of Italy’s periodic report. </w:t>
      </w:r>
    </w:p>
    <w:p w14:paraId="3D2F2B50" w14:textId="77777777" w:rsidR="00440C42" w:rsidRPr="003A7A79" w:rsidRDefault="00440C42" w:rsidP="003A7A79">
      <w:pPr>
        <w:rPr>
          <w:lang w:val="en-GB"/>
        </w:rPr>
      </w:pPr>
    </w:p>
    <w:p w14:paraId="04B65AA8" w14:textId="0B0DD97F" w:rsidR="003A7A79" w:rsidRPr="00EF1F5B" w:rsidRDefault="005F0474" w:rsidP="00E64AD5">
      <w:pPr>
        <w:pStyle w:val="Heading1"/>
      </w:pPr>
      <w:bookmarkStart w:id="2" w:name="_Toc112675946"/>
      <w:r>
        <w:t>II.</w:t>
      </w:r>
      <w:r>
        <w:tab/>
      </w:r>
      <w:r w:rsidR="003A7A79" w:rsidRPr="00E64AD5">
        <w:t>Persistent</w:t>
      </w:r>
      <w:r w:rsidR="003A7A79" w:rsidRPr="00EF1F5B">
        <w:t xml:space="preserve"> concerns regarding arms transfers</w:t>
      </w:r>
      <w:bookmarkEnd w:id="2"/>
      <w:r w:rsidR="003A7A79" w:rsidRPr="00EF1F5B">
        <w:t xml:space="preserve"> </w:t>
      </w:r>
    </w:p>
    <w:p w14:paraId="62C0A04B" w14:textId="454F8EFB" w:rsidR="003A7A79" w:rsidRPr="003A7A79" w:rsidRDefault="00EF1F5B" w:rsidP="003A7A79">
      <w:pPr>
        <w:rPr>
          <w:lang w:val="en-GB"/>
        </w:rPr>
      </w:pPr>
      <w:r>
        <w:rPr>
          <w:lang w:val="en-GB"/>
        </w:rPr>
        <w:t xml:space="preserve">6.  </w:t>
      </w:r>
      <w:r w:rsidR="003A7A79" w:rsidRPr="003A7A79">
        <w:rPr>
          <w:lang w:val="en-GB"/>
        </w:rPr>
        <w:t>Italy is a State Party to the Arms Trade Treaty, the Firearms Protocol</w:t>
      </w:r>
      <w:r w:rsidR="003A7A79" w:rsidRPr="003A7A79">
        <w:rPr>
          <w:vertAlign w:val="superscript"/>
          <w:lang w:val="en-GB"/>
        </w:rPr>
        <w:footnoteReference w:id="8"/>
      </w:r>
      <w:r w:rsidR="003A7A79" w:rsidRPr="003A7A79">
        <w:rPr>
          <w:lang w:val="en-GB"/>
        </w:rPr>
        <w:t xml:space="preserve"> and is further bound by the EU’s Common Position 2008/944/CFSP. It also has obligations relating to arms transfers stemming from human rights treaties it is party to, including the I</w:t>
      </w:r>
      <w:r w:rsidR="00EB27C6">
        <w:rPr>
          <w:lang w:val="en-GB"/>
        </w:rPr>
        <w:t>C</w:t>
      </w:r>
      <w:r w:rsidR="003A7A79" w:rsidRPr="003A7A79">
        <w:rPr>
          <w:lang w:val="en-GB"/>
        </w:rPr>
        <w:t>ESCR and CEDAW. Italy’s arms export control is based on Law 9 July 1990, n. 185 (Law 185/90), as updated by Legislative Decree 105 of 2012.</w:t>
      </w:r>
      <w:r w:rsidR="003A7A79" w:rsidRPr="003A7A79">
        <w:rPr>
          <w:vertAlign w:val="superscript"/>
          <w:lang w:val="en-GB"/>
        </w:rPr>
        <w:footnoteReference w:id="9"/>
      </w:r>
      <w:r w:rsidR="003A7A79" w:rsidRPr="003A7A79">
        <w:rPr>
          <w:lang w:val="en-GB"/>
        </w:rPr>
        <w:t xml:space="preserve"> Despite Italy being bound by legal obligations that provide that exports should be denied if there is a clear risk that arms might be used in the commission of serious violations of International Humanitarian Law</w:t>
      </w:r>
      <w:r w:rsidR="00D33349">
        <w:rPr>
          <w:lang w:val="en-GB"/>
        </w:rPr>
        <w:t xml:space="preserve"> (</w:t>
      </w:r>
      <w:r w:rsidR="00D33349" w:rsidRPr="00E47709">
        <w:rPr>
          <w:lang w:val="en-GB"/>
        </w:rPr>
        <w:t>IHL</w:t>
      </w:r>
      <w:r w:rsidR="00D33349">
        <w:rPr>
          <w:lang w:val="en-GB"/>
        </w:rPr>
        <w:t>)</w:t>
      </w:r>
      <w:r w:rsidR="003A7A79" w:rsidRPr="003A7A79">
        <w:rPr>
          <w:lang w:val="en-GB"/>
        </w:rPr>
        <w:t xml:space="preserve">, or international human rights law, including acts of gender-based violence, arms transfers from Italy to countries with poor human rights records, high rates of gender-based violence and/or involvement in armed conflicts continue.  </w:t>
      </w:r>
    </w:p>
    <w:p w14:paraId="4B8A87AB" w14:textId="77777777" w:rsidR="000A6479" w:rsidRDefault="000A6479" w:rsidP="003A7A79">
      <w:pPr>
        <w:rPr>
          <w:lang w:val="en-GB"/>
        </w:rPr>
      </w:pPr>
    </w:p>
    <w:p w14:paraId="12D23F1B" w14:textId="2F28EAC8" w:rsidR="003A7A79" w:rsidRPr="003A7A79" w:rsidRDefault="00EF1F5B" w:rsidP="003A7A79">
      <w:pPr>
        <w:rPr>
          <w:lang w:val="en-GB"/>
        </w:rPr>
      </w:pPr>
      <w:r>
        <w:rPr>
          <w:lang w:val="en-GB"/>
        </w:rPr>
        <w:t xml:space="preserve">7.  </w:t>
      </w:r>
      <w:r w:rsidR="003A7A79" w:rsidRPr="003A7A79">
        <w:rPr>
          <w:lang w:val="en-GB"/>
        </w:rPr>
        <w:t xml:space="preserve">Moreover, there continue to be concerns regarding the transparency around licensing decisions by the </w:t>
      </w:r>
      <w:r w:rsidR="00EB27C6">
        <w:rPr>
          <w:lang w:val="en-GB"/>
        </w:rPr>
        <w:t>competent authority</w:t>
      </w:r>
      <w:r w:rsidR="003A7A79" w:rsidRPr="003A7A79">
        <w:rPr>
          <w:lang w:val="en-GB"/>
        </w:rPr>
        <w:t xml:space="preserve"> (UAMA); for example, due to the insufficient information UAMA provides to the Parliament, which is supposed to exercise a supervisory role. </w:t>
      </w:r>
    </w:p>
    <w:p w14:paraId="5A0D6612" w14:textId="77777777" w:rsidR="006B749F" w:rsidRPr="006B749F" w:rsidRDefault="006B749F" w:rsidP="003A7A79">
      <w:pPr>
        <w:rPr>
          <w:lang w:val="en-GB"/>
        </w:rPr>
      </w:pPr>
    </w:p>
    <w:p w14:paraId="15FA0A25" w14:textId="71686E96" w:rsidR="000A3DF9" w:rsidRPr="003A7A79" w:rsidRDefault="00EF1F5B" w:rsidP="000A3DF9">
      <w:pPr>
        <w:rPr>
          <w:lang w:val="en-GB"/>
        </w:rPr>
      </w:pPr>
      <w:r>
        <w:rPr>
          <w:lang w:val="en-GB"/>
        </w:rPr>
        <w:t xml:space="preserve">8.  </w:t>
      </w:r>
      <w:r w:rsidR="003A7A79" w:rsidRPr="003A7A79">
        <w:rPr>
          <w:lang w:val="en-GB"/>
        </w:rPr>
        <w:t>During the COVID-19 lockdown in the spring of 2020, arms production was allowed to continue</w:t>
      </w:r>
      <w:r w:rsidR="000A6479">
        <w:rPr>
          <w:lang w:val="en-GB"/>
        </w:rPr>
        <w:t xml:space="preserve"> in Italy</w:t>
      </w:r>
      <w:r w:rsidR="003A7A79" w:rsidRPr="003A7A79">
        <w:rPr>
          <w:lang w:val="en-GB"/>
        </w:rPr>
        <w:t>, subject to additional authorisation from local prefects.</w:t>
      </w:r>
      <w:r w:rsidR="003A7A79" w:rsidRPr="003A7A79">
        <w:rPr>
          <w:vertAlign w:val="superscript"/>
          <w:lang w:val="en-GB"/>
        </w:rPr>
        <w:footnoteReference w:id="10"/>
      </w:r>
      <w:r w:rsidR="003A7A79" w:rsidRPr="003A7A79">
        <w:rPr>
          <w:lang w:val="en-GB"/>
        </w:rPr>
        <w:t xml:space="preserve"> This included the production of F-35 Joint Strike Fighters in a Lockheed Martin-run factory in northern Italy.</w:t>
      </w:r>
      <w:r w:rsidR="003A7A79" w:rsidRPr="003A7A79">
        <w:rPr>
          <w:vertAlign w:val="superscript"/>
          <w:lang w:val="en-GB"/>
        </w:rPr>
        <w:footnoteReference w:id="11"/>
      </w:r>
      <w:r w:rsidR="003A7A79" w:rsidRPr="003A7A79">
        <w:rPr>
          <w:lang w:val="en-GB"/>
        </w:rPr>
        <w:t xml:space="preserve"> </w:t>
      </w:r>
      <w:r w:rsidR="003A7A79" w:rsidRPr="003A7A79">
        <w:rPr>
          <w:lang w:val="en-GB"/>
        </w:rPr>
        <w:lastRenderedPageBreak/>
        <w:t>It was also reported that workers in Italy’s arms factories were working without health protections and masks and that at least one factory (</w:t>
      </w:r>
      <w:r w:rsidR="003A7A79" w:rsidRPr="003A7A79">
        <w:rPr>
          <w:i/>
          <w:iCs/>
          <w:lang w:val="en-GB"/>
        </w:rPr>
        <w:t>RWM Domusnovas</w:t>
      </w:r>
      <w:r w:rsidR="003A7A79" w:rsidRPr="003A7A79">
        <w:rPr>
          <w:lang w:val="en-GB"/>
        </w:rPr>
        <w:t>) decided to temporarily suspend production on the request of the factory trade union representatives.</w:t>
      </w:r>
      <w:r w:rsidR="003A7A79" w:rsidRPr="003A7A79">
        <w:rPr>
          <w:vertAlign w:val="superscript"/>
          <w:lang w:val="en-GB"/>
        </w:rPr>
        <w:footnoteReference w:id="12"/>
      </w:r>
      <w:r w:rsidR="003A7A79" w:rsidRPr="003A7A79">
        <w:rPr>
          <w:lang w:val="en-GB"/>
        </w:rPr>
        <w:t xml:space="preserve"> </w:t>
      </w:r>
      <w:r w:rsidR="000A3DF9" w:rsidRPr="003A7A79">
        <w:rPr>
          <w:lang w:val="en-GB"/>
        </w:rPr>
        <w:t xml:space="preserve">In April 2021, </w:t>
      </w:r>
      <w:r w:rsidR="000A3DF9">
        <w:rPr>
          <w:lang w:val="en-GB"/>
        </w:rPr>
        <w:t xml:space="preserve">while </w:t>
      </w:r>
      <w:r w:rsidR="000A3DF9" w:rsidRPr="003A7A79">
        <w:rPr>
          <w:lang w:val="en-GB"/>
        </w:rPr>
        <w:t xml:space="preserve">publishing preliminary data from the Italian government’s annual report to Parliament on arms exports, the </w:t>
      </w:r>
      <w:r w:rsidR="000A3DF9" w:rsidRPr="003A7A79">
        <w:rPr>
          <w:i/>
          <w:iCs/>
          <w:lang w:val="en-GB"/>
        </w:rPr>
        <w:t xml:space="preserve">Rete Italiana Pace e Disarmo </w:t>
      </w:r>
      <w:r w:rsidR="000A3DF9" w:rsidRPr="003A7A79">
        <w:rPr>
          <w:lang w:val="en-GB"/>
        </w:rPr>
        <w:t>reported that “This preliminary data confirms that Italian military production is not geared to the defence and security of Italy and the European Union, but is increasingly geared to the profit motive of arms manufacturers, especially state-controlled companies.”</w:t>
      </w:r>
      <w:r w:rsidR="000A3DF9" w:rsidRPr="003A7A79">
        <w:rPr>
          <w:vertAlign w:val="superscript"/>
          <w:lang w:val="en-GB"/>
        </w:rPr>
        <w:footnoteReference w:id="13"/>
      </w:r>
      <w:r w:rsidR="000A3DF9" w:rsidRPr="003A7A79">
        <w:rPr>
          <w:lang w:val="en-GB"/>
        </w:rPr>
        <w:t> </w:t>
      </w:r>
    </w:p>
    <w:p w14:paraId="3E8DC633" w14:textId="77777777" w:rsidR="006B749F" w:rsidRPr="006B749F" w:rsidRDefault="006B749F" w:rsidP="003A7A79">
      <w:pPr>
        <w:rPr>
          <w:lang w:val="en-GB"/>
        </w:rPr>
      </w:pPr>
    </w:p>
    <w:p w14:paraId="6E654D72" w14:textId="61385779" w:rsidR="003A7A79" w:rsidRPr="003A7A79" w:rsidRDefault="00EF1F5B" w:rsidP="000A3DF9">
      <w:pPr>
        <w:rPr>
          <w:b/>
          <w:bCs/>
          <w:lang w:val="en-GB"/>
        </w:rPr>
      </w:pPr>
      <w:r>
        <w:rPr>
          <w:lang w:val="en-GB"/>
        </w:rPr>
        <w:t xml:space="preserve">9.  </w:t>
      </w:r>
      <w:r w:rsidR="003A7A79" w:rsidRPr="003A7A79">
        <w:rPr>
          <w:lang w:val="en-GB"/>
        </w:rPr>
        <w:t>Italy’s legislation on the licensing of arms transfers envisages for the government to arrange “measures capable of supporting the gradual differentiation of production and the conversion of defence industries to civilian use.”</w:t>
      </w:r>
      <w:r w:rsidR="003A7A79" w:rsidRPr="003A7A79">
        <w:rPr>
          <w:vertAlign w:val="superscript"/>
          <w:lang w:val="en-GB"/>
        </w:rPr>
        <w:t xml:space="preserve"> </w:t>
      </w:r>
      <w:r w:rsidR="003A7A79" w:rsidRPr="003A7A79">
        <w:rPr>
          <w:vertAlign w:val="superscript"/>
          <w:lang w:val="en-GB"/>
        </w:rPr>
        <w:footnoteReference w:id="14"/>
      </w:r>
      <w:r w:rsidR="003A7A79" w:rsidRPr="003A7A79">
        <w:rPr>
          <w:lang w:val="en-GB"/>
        </w:rPr>
        <w:t xml:space="preserve"> The Parliament has referred to the need for initiatives to encourage and support the conversion into civilian production of the activities of arms producers, including through the establishment of an ad hoc fund and the financial incentives.</w:t>
      </w:r>
      <w:r w:rsidR="003A7A79" w:rsidRPr="003A7A79">
        <w:rPr>
          <w:vertAlign w:val="superscript"/>
          <w:lang w:val="en-GB"/>
        </w:rPr>
        <w:footnoteReference w:id="15"/>
      </w:r>
      <w:r w:rsidR="003A7A79" w:rsidRPr="003A7A79">
        <w:rPr>
          <w:lang w:val="en-GB"/>
        </w:rPr>
        <w:t xml:space="preserve"> Activists, including WILPF Italy, </w:t>
      </w:r>
      <w:r w:rsidR="003A7A79" w:rsidRPr="003A7A79">
        <w:rPr>
          <w:i/>
          <w:lang w:val="en-GB"/>
        </w:rPr>
        <w:t>Sardegna Pulita</w:t>
      </w:r>
      <w:r w:rsidR="003A7A79" w:rsidRPr="003A7A79">
        <w:rPr>
          <w:lang w:val="en-GB"/>
        </w:rPr>
        <w:t xml:space="preserve"> (Clean Sardinia), </w:t>
      </w:r>
      <w:r w:rsidR="003A7A79" w:rsidRPr="003A7A79">
        <w:rPr>
          <w:i/>
          <w:lang w:val="en-GB"/>
        </w:rPr>
        <w:t>Donne Ambiente Sardegna (</w:t>
      </w:r>
      <w:r w:rsidR="003A7A79" w:rsidRPr="003A7A79">
        <w:rPr>
          <w:lang w:val="en-GB"/>
        </w:rPr>
        <w:t>Women Environment Sardinia), have been promoting initiatives to convert arms factories into alternative economic activities.</w:t>
      </w:r>
      <w:r w:rsidR="003A7A79" w:rsidRPr="003A7A79">
        <w:rPr>
          <w:vertAlign w:val="superscript"/>
          <w:lang w:val="en-GB"/>
        </w:rPr>
        <w:footnoteReference w:id="16"/>
      </w:r>
      <w:r w:rsidR="003A7A79" w:rsidRPr="003A7A79">
        <w:rPr>
          <w:lang w:val="en-GB"/>
        </w:rPr>
        <w:t xml:space="preserve"> </w:t>
      </w:r>
      <w:r w:rsidR="000A3DF9">
        <w:rPr>
          <w:lang w:val="en-GB"/>
        </w:rPr>
        <w:t xml:space="preserve">However, there have been no apparent from Italian governments to give effect to the above-mentioned provision of </w:t>
      </w:r>
      <w:r w:rsidR="000A3DF9" w:rsidRPr="003A7A79">
        <w:rPr>
          <w:lang w:val="en-GB"/>
        </w:rPr>
        <w:t>Italy’s legislation on the licensing of arms transfers</w:t>
      </w:r>
      <w:r w:rsidR="000A3DF9">
        <w:rPr>
          <w:lang w:val="en-GB"/>
        </w:rPr>
        <w:t xml:space="preserve">.  </w:t>
      </w:r>
    </w:p>
    <w:p w14:paraId="7BE7E489" w14:textId="77777777" w:rsidR="006B749F" w:rsidRPr="006B749F" w:rsidRDefault="006B749F" w:rsidP="003A7A79">
      <w:pPr>
        <w:rPr>
          <w:b/>
          <w:bCs/>
          <w:lang w:val="en-GB"/>
        </w:rPr>
      </w:pPr>
    </w:p>
    <w:p w14:paraId="3F5904BA" w14:textId="0593ACA9" w:rsidR="003A7A79" w:rsidRPr="00EF1F5B" w:rsidRDefault="005F0474" w:rsidP="00E64AD5">
      <w:pPr>
        <w:pStyle w:val="Heading1"/>
      </w:pPr>
      <w:bookmarkStart w:id="3" w:name="_Toc112675947"/>
      <w:r>
        <w:t>III.</w:t>
      </w:r>
      <w:r>
        <w:tab/>
      </w:r>
      <w:r>
        <w:tab/>
      </w:r>
      <w:r w:rsidR="00E64AD5">
        <w:t xml:space="preserve">Examples of </w:t>
      </w:r>
      <w:r w:rsidR="003A7A79" w:rsidRPr="00EF1F5B">
        <w:t xml:space="preserve">Italy’s arms </w:t>
      </w:r>
      <w:r w:rsidR="003A7A79" w:rsidRPr="00E64AD5">
        <w:t>transfers</w:t>
      </w:r>
      <w:bookmarkEnd w:id="3"/>
      <w:r w:rsidR="003A7A79" w:rsidRPr="00EF1F5B">
        <w:t xml:space="preserve">  </w:t>
      </w:r>
    </w:p>
    <w:p w14:paraId="55172637" w14:textId="76030996" w:rsidR="003A7A79" w:rsidRPr="006B749F" w:rsidRDefault="00EF1F5B" w:rsidP="003A7A79">
      <w:pPr>
        <w:rPr>
          <w:lang w:val="en-GB"/>
        </w:rPr>
      </w:pPr>
      <w:r>
        <w:rPr>
          <w:lang w:val="en-GB"/>
        </w:rPr>
        <w:t xml:space="preserve">10.  </w:t>
      </w:r>
      <w:r w:rsidR="003A7A79" w:rsidRPr="003A7A79">
        <w:rPr>
          <w:lang w:val="en-GB"/>
        </w:rPr>
        <w:t>According to the Stockholm International Peace Research Institute (SIPRI), Italy was the 9</w:t>
      </w:r>
      <w:r w:rsidR="003A7A79" w:rsidRPr="003A7A79">
        <w:rPr>
          <w:vertAlign w:val="superscript"/>
          <w:lang w:val="en-GB"/>
        </w:rPr>
        <w:t>th</w:t>
      </w:r>
      <w:r w:rsidR="003A7A79" w:rsidRPr="003A7A79">
        <w:rPr>
          <w:lang w:val="en-GB"/>
        </w:rPr>
        <w:t xml:space="preserve"> largest arms exporter for the period 2014-2019.</w:t>
      </w:r>
      <w:r w:rsidR="003A7A79" w:rsidRPr="003A7A79">
        <w:rPr>
          <w:vertAlign w:val="superscript"/>
          <w:lang w:val="en-GB"/>
        </w:rPr>
        <w:footnoteReference w:id="17"/>
      </w:r>
      <w:r w:rsidR="003A7A79" w:rsidRPr="003A7A79">
        <w:rPr>
          <w:lang w:val="en-GB"/>
        </w:rPr>
        <w:t xml:space="preserve"> During that period Italy authorised arms transfers to several countries, including Turkey, Pakistan, Saudi Arabia, Turkmenistan, the UAE, Brazil, Mexico and Niger. It did so despite well-known human rights concerns in these countries, including in relation to gender-based violence, and the involvement of some of these countries </w:t>
      </w:r>
      <w:r w:rsidR="003A7A79" w:rsidRPr="003A7A79">
        <w:rPr>
          <w:lang w:val="en-GB"/>
        </w:rPr>
        <w:lastRenderedPageBreak/>
        <w:t>in armed conflicts. In 2022, SIPRI reported that Italy was the 6</w:t>
      </w:r>
      <w:r w:rsidR="003A7A79" w:rsidRPr="003A7A79">
        <w:rPr>
          <w:vertAlign w:val="superscript"/>
          <w:lang w:val="en-GB"/>
        </w:rPr>
        <w:t>th</w:t>
      </w:r>
      <w:r w:rsidR="003A7A79" w:rsidRPr="003A7A79">
        <w:rPr>
          <w:lang w:val="en-GB"/>
        </w:rPr>
        <w:t xml:space="preserve"> largest exporter of major arms for the period 2017–21, with Egypt, Turkey and Qatar being the three top recipients. SIPRI also reported that Italy’s arms exports in 2017–21 were 16 per cent higher than in 2012–16 and 33 per cent higher than in 2007–11. SIPRI noted that a total of 63 per cent of Italian arms exports went to the Middle East.</w:t>
      </w:r>
      <w:r w:rsidR="003A7A79" w:rsidRPr="003A7A79">
        <w:rPr>
          <w:vertAlign w:val="superscript"/>
          <w:lang w:val="en-GB"/>
        </w:rPr>
        <w:footnoteReference w:id="18"/>
      </w:r>
      <w:r w:rsidR="003A7A79" w:rsidRPr="003A7A79">
        <w:rPr>
          <w:lang w:val="en-GB"/>
        </w:rPr>
        <w:t xml:space="preserve"> </w:t>
      </w:r>
    </w:p>
    <w:p w14:paraId="40592D92" w14:textId="77777777" w:rsidR="003A7A79" w:rsidRPr="003A7A79" w:rsidRDefault="003A7A79" w:rsidP="003A7A79">
      <w:pPr>
        <w:rPr>
          <w:lang w:val="en-GB"/>
        </w:rPr>
      </w:pPr>
    </w:p>
    <w:p w14:paraId="7421F33B" w14:textId="72225AB8" w:rsidR="003A7A79" w:rsidRPr="006B749F" w:rsidRDefault="00EF1F5B" w:rsidP="003A7A79">
      <w:pPr>
        <w:rPr>
          <w:lang w:val="en-GB"/>
        </w:rPr>
      </w:pPr>
      <w:r>
        <w:rPr>
          <w:lang w:val="en-GB"/>
        </w:rPr>
        <w:t xml:space="preserve">11.  </w:t>
      </w:r>
      <w:r w:rsidR="003A7A79" w:rsidRPr="003A7A79">
        <w:rPr>
          <w:lang w:val="en-GB"/>
        </w:rPr>
        <w:t xml:space="preserve">In May 2022, the </w:t>
      </w:r>
      <w:r w:rsidR="003A7A79" w:rsidRPr="003A7A79">
        <w:rPr>
          <w:i/>
          <w:iCs/>
          <w:lang w:val="en-GB"/>
        </w:rPr>
        <w:t xml:space="preserve">Rete Italiana Pace e Disarmo </w:t>
      </w:r>
      <w:r w:rsidR="003A7A79" w:rsidRPr="003A7A79">
        <w:rPr>
          <w:lang w:val="en-GB"/>
        </w:rPr>
        <w:t>reported that “in 2021, a year largely marked by the Covid-19 pandemic, Italian military companies worked at full capacity exporting armaments to the world for a countervalue that is an all-time record: almost 4.8 billion euro;”</w:t>
      </w:r>
      <w:r w:rsidR="003A7A79" w:rsidRPr="003A7A79">
        <w:rPr>
          <w:vertAlign w:val="superscript"/>
          <w:lang w:val="en-GB"/>
        </w:rPr>
        <w:t xml:space="preserve"> </w:t>
      </w:r>
      <w:r w:rsidR="003A7A79" w:rsidRPr="003A7A79">
        <w:rPr>
          <w:vertAlign w:val="superscript"/>
          <w:lang w:val="en-GB"/>
        </w:rPr>
        <w:footnoteReference w:id="19"/>
      </w:r>
      <w:r w:rsidR="003A7A79" w:rsidRPr="003A7A79">
        <w:rPr>
          <w:lang w:val="en-GB"/>
        </w:rPr>
        <w:t xml:space="preserve"> adding that “among the largest recipients of ‘made in Italy’ military systems are” Qatar, Kuwait, Egypt and Turkmenistan. </w:t>
      </w:r>
    </w:p>
    <w:p w14:paraId="055E55FB" w14:textId="77777777" w:rsidR="000160F9" w:rsidRDefault="000160F9" w:rsidP="002162A6">
      <w:pPr>
        <w:rPr>
          <w:lang w:val="en-GB"/>
        </w:rPr>
      </w:pPr>
    </w:p>
    <w:p w14:paraId="557D03D0" w14:textId="0B163658" w:rsidR="003A7A79" w:rsidRPr="003A7A79" w:rsidRDefault="00EF1F5B" w:rsidP="000160F9">
      <w:pPr>
        <w:rPr>
          <w:lang w:val="en-GB"/>
        </w:rPr>
      </w:pPr>
      <w:r w:rsidRPr="00EF1F5B">
        <w:rPr>
          <w:lang w:val="en-US"/>
        </w:rPr>
        <w:t>12.</w:t>
      </w:r>
      <w:r>
        <w:rPr>
          <w:lang w:val="en-US"/>
        </w:rPr>
        <w:t xml:space="preserve">  </w:t>
      </w:r>
      <w:r w:rsidR="002162A6">
        <w:t xml:space="preserve">In 2014, it was reported that Italy went ahead with supplying with conventional weapons to </w:t>
      </w:r>
      <w:r w:rsidR="002162A6" w:rsidRPr="000160F9">
        <w:rPr>
          <w:b/>
          <w:bCs/>
        </w:rPr>
        <w:t>Egypt</w:t>
      </w:r>
      <w:r w:rsidR="002162A6">
        <w:t xml:space="preserve"> disregarding the agreement in the EU Foreign Affairs Council “to suspend export licenses to Egypt of any equipment which might be used for internal repression and to reassess export licences of equipment covered by Common Position 2008/944/CFSP and review their security assistance with Egypt,” decision adopted following the </w:t>
      </w:r>
      <w:r w:rsidR="002162A6" w:rsidRPr="00EF1F5B">
        <w:rPr>
          <w:i/>
          <w:iCs/>
        </w:rPr>
        <w:t>Rab’a</w:t>
      </w:r>
      <w:r w:rsidR="002162A6">
        <w:t xml:space="preserve"> Massacre in 2013, in which Egyptian security forces killed at least 1,150 demonstrators.</w:t>
      </w:r>
      <w:r w:rsidR="002162A6">
        <w:rPr>
          <w:vertAlign w:val="superscript"/>
        </w:rPr>
        <w:footnoteReference w:id="20"/>
      </w:r>
      <w:r w:rsidR="002162A6">
        <w:t xml:space="preserve"> </w:t>
      </w:r>
      <w:r w:rsidR="000160F9">
        <w:rPr>
          <w:lang w:val="en-GB"/>
        </w:rPr>
        <w:t xml:space="preserve">Despite the </w:t>
      </w:r>
      <w:r w:rsidR="000160F9">
        <w:t>Egyptian government’s continuing crackdown on dissent</w:t>
      </w:r>
      <w:r w:rsidR="000160F9">
        <w:rPr>
          <w:lang w:val="en-US"/>
        </w:rPr>
        <w:t>,</w:t>
      </w:r>
      <w:r w:rsidR="000160F9">
        <w:rPr>
          <w:vertAlign w:val="superscript"/>
        </w:rPr>
        <w:footnoteReference w:id="21"/>
      </w:r>
      <w:r w:rsidR="000160F9">
        <w:rPr>
          <w:lang w:val="en-US"/>
        </w:rPr>
        <w:t xml:space="preserve"> licenses for arms transfers to Egypt have continued. </w:t>
      </w:r>
      <w:r w:rsidR="002162A6">
        <w:t>In 2020, it was reported that Italy had licensed</w:t>
      </w:r>
      <w:r w:rsidR="000160F9" w:rsidRPr="000160F9">
        <w:rPr>
          <w:lang w:val="en-US"/>
        </w:rPr>
        <w:t xml:space="preserve"> </w:t>
      </w:r>
      <w:r w:rsidR="000160F9">
        <w:t xml:space="preserve">in 2019 </w:t>
      </w:r>
      <w:r w:rsidR="002162A6">
        <w:t xml:space="preserve"> the transfers of 5</w:t>
      </w:r>
      <w:r w:rsidR="0056528C" w:rsidRPr="0056528C">
        <w:rPr>
          <w:lang w:val="en-US"/>
        </w:rPr>
        <w:t>.</w:t>
      </w:r>
      <w:r w:rsidR="002162A6">
        <w:t>17 billion euros of weapons and that “Egypt leads the list of licenses, with 872 million euros.”</w:t>
      </w:r>
      <w:r w:rsidR="002162A6">
        <w:rPr>
          <w:vertAlign w:val="superscript"/>
        </w:rPr>
        <w:footnoteReference w:id="22"/>
      </w:r>
      <w:r w:rsidR="002162A6">
        <w:t xml:space="preserve"> In June 2020, details of a potentially large Egyptian-Italian weapons deal (known as the ‘order of the century’</w:t>
      </w:r>
      <w:r w:rsidR="002162A6">
        <w:rPr>
          <w:vertAlign w:val="superscript"/>
        </w:rPr>
        <w:footnoteReference w:id="23"/>
      </w:r>
      <w:r w:rsidR="002162A6">
        <w:t xml:space="preserve">) emerged. </w:t>
      </w:r>
      <w:r w:rsidR="00E04FDA">
        <w:rPr>
          <w:lang w:val="en-US"/>
        </w:rPr>
        <w:t>In</w:t>
      </w:r>
      <w:r w:rsidR="003A7A79" w:rsidRPr="003A7A79">
        <w:rPr>
          <w:lang w:val="en-GB"/>
        </w:rPr>
        <w:t xml:space="preserve"> December 2020, despite strong condemnation by human rights </w:t>
      </w:r>
      <w:r w:rsidR="003A7A79" w:rsidRPr="003A7A79">
        <w:rPr>
          <w:lang w:val="en-GB"/>
        </w:rPr>
        <w:lastRenderedPageBreak/>
        <w:t>groups,</w:t>
      </w:r>
      <w:r w:rsidR="003A7A79" w:rsidRPr="003A7A79">
        <w:rPr>
          <w:vertAlign w:val="superscript"/>
          <w:lang w:val="en-GB"/>
        </w:rPr>
        <w:footnoteReference w:id="24"/>
      </w:r>
      <w:r w:rsidR="003A7A79" w:rsidRPr="003A7A79">
        <w:rPr>
          <w:lang w:val="en-GB"/>
        </w:rPr>
        <w:t xml:space="preserve"> a first instalment of </w:t>
      </w:r>
      <w:r w:rsidR="000160F9">
        <w:rPr>
          <w:lang w:val="en-GB"/>
        </w:rPr>
        <w:t xml:space="preserve">the </w:t>
      </w:r>
      <w:r w:rsidR="003A7A79" w:rsidRPr="003A7A79">
        <w:rPr>
          <w:lang w:val="en-GB"/>
        </w:rPr>
        <w:t>‘order of the century’</w:t>
      </w:r>
      <w:r w:rsidR="003A7A79" w:rsidRPr="003A7A79">
        <w:rPr>
          <w:vertAlign w:val="superscript"/>
          <w:lang w:val="en-GB"/>
        </w:rPr>
        <w:footnoteReference w:id="25"/>
      </w:r>
      <w:r w:rsidR="000160F9">
        <w:rPr>
          <w:lang w:val="en-GB"/>
        </w:rPr>
        <w:t xml:space="preserve"> went ahead </w:t>
      </w:r>
      <w:r w:rsidR="000160F9">
        <w:t xml:space="preserve">without any official communication to Parliament, thus, </w:t>
      </w:r>
      <w:r w:rsidR="003A7A79" w:rsidRPr="003A7A79">
        <w:rPr>
          <w:lang w:val="en-GB"/>
        </w:rPr>
        <w:t xml:space="preserve">preventing it from exercising the oversight role required by Law 185 of 1990. In April 2021, the </w:t>
      </w:r>
      <w:r w:rsidR="003A7A79" w:rsidRPr="003A7A79">
        <w:rPr>
          <w:i/>
          <w:iCs/>
          <w:lang w:val="en-GB"/>
        </w:rPr>
        <w:t>Rete Italiana Pace e Disarmo</w:t>
      </w:r>
      <w:r w:rsidR="003A7A79" w:rsidRPr="003A7A79">
        <w:rPr>
          <w:lang w:val="en-GB"/>
        </w:rPr>
        <w:t xml:space="preserve"> confirmed that “for the second year in a row Egypt is the main buyer of weapons systems exported by Italian military companies.”</w:t>
      </w:r>
      <w:r w:rsidR="003A7A79" w:rsidRPr="003A7A79">
        <w:rPr>
          <w:vertAlign w:val="superscript"/>
          <w:lang w:val="en-GB"/>
        </w:rPr>
        <w:t xml:space="preserve"> </w:t>
      </w:r>
      <w:r w:rsidR="003A7A79" w:rsidRPr="003A7A79">
        <w:rPr>
          <w:vertAlign w:val="superscript"/>
          <w:lang w:val="en-GB"/>
        </w:rPr>
        <w:footnoteReference w:id="26"/>
      </w:r>
      <w:r w:rsidR="003A7A79" w:rsidRPr="003A7A79">
        <w:rPr>
          <w:lang w:val="en-GB"/>
        </w:rPr>
        <w:t> </w:t>
      </w:r>
    </w:p>
    <w:p w14:paraId="38081343" w14:textId="77777777" w:rsidR="003A7A79" w:rsidRPr="003A7A79" w:rsidRDefault="003A7A79" w:rsidP="003A7A79">
      <w:pPr>
        <w:rPr>
          <w:lang w:val="en-GB"/>
        </w:rPr>
      </w:pPr>
    </w:p>
    <w:p w14:paraId="28D7BCDF" w14:textId="0F2A8DA7" w:rsidR="003A7A79" w:rsidRPr="003A7A79" w:rsidRDefault="00EF1F5B" w:rsidP="003A7A79">
      <w:pPr>
        <w:rPr>
          <w:lang w:val="en-GB"/>
        </w:rPr>
      </w:pPr>
      <w:r>
        <w:rPr>
          <w:lang w:val="en-GB"/>
        </w:rPr>
        <w:t xml:space="preserve">13.  </w:t>
      </w:r>
      <w:r w:rsidR="003A7A79" w:rsidRPr="003A7A79">
        <w:rPr>
          <w:lang w:val="en-GB"/>
        </w:rPr>
        <w:t xml:space="preserve">A 2020 report on </w:t>
      </w:r>
      <w:r w:rsidR="003A7A79" w:rsidRPr="003A7A79">
        <w:rPr>
          <w:b/>
          <w:bCs/>
          <w:lang w:val="en-GB"/>
        </w:rPr>
        <w:t>Mexico</w:t>
      </w:r>
      <w:r w:rsidR="003A7A79" w:rsidRPr="003A7A79">
        <w:rPr>
          <w:lang w:val="en-GB"/>
        </w:rPr>
        <w:t xml:space="preserve"> highlighted that one third of the 238,000 weapons sold from 2006 to 2018 to the Mexican police were exported from Italy. The report recalls Italian weapons “have been used by police in several Mexican states in multiple serious human rights violations. These include the forced disappearance of 43 student teachers from the Ayotzinapa Normal School in September 2014.”</w:t>
      </w:r>
      <w:r w:rsidR="003A7A79" w:rsidRPr="003A7A79">
        <w:rPr>
          <w:vertAlign w:val="superscript"/>
          <w:lang w:val="en-GB"/>
        </w:rPr>
        <w:t xml:space="preserve"> </w:t>
      </w:r>
      <w:r w:rsidR="003A7A79" w:rsidRPr="003A7A79">
        <w:rPr>
          <w:vertAlign w:val="superscript"/>
          <w:lang w:val="en-GB"/>
        </w:rPr>
        <w:footnoteReference w:id="27"/>
      </w:r>
      <w:r w:rsidR="003A7A79" w:rsidRPr="003A7A79">
        <w:rPr>
          <w:lang w:val="en-GB"/>
        </w:rPr>
        <w:t xml:space="preserve"> It highlights that “Weapons that are manufactured in Italy and are destined for the civilian market – including police agencies – don’t need specific authorization, and can be shipped from Italy with simple administrative documentation which does not include any end-user certification.” </w:t>
      </w:r>
      <w:r w:rsidR="003A7A79" w:rsidRPr="003A7A79">
        <w:rPr>
          <w:vertAlign w:val="superscript"/>
          <w:lang w:val="en-GB"/>
        </w:rPr>
        <w:footnoteReference w:id="28"/>
      </w:r>
    </w:p>
    <w:p w14:paraId="77756E15" w14:textId="77777777" w:rsidR="003A7A79" w:rsidRPr="003A7A79" w:rsidRDefault="003A7A79" w:rsidP="003A7A79">
      <w:pPr>
        <w:rPr>
          <w:lang w:val="en-GB"/>
        </w:rPr>
      </w:pPr>
    </w:p>
    <w:p w14:paraId="7F8CF845" w14:textId="3A1C1D89" w:rsidR="00382E97" w:rsidRPr="003A7A79" w:rsidRDefault="00EF1F5B">
      <w:pPr>
        <w:rPr>
          <w:lang w:val="en-GB"/>
        </w:rPr>
      </w:pPr>
      <w:r>
        <w:rPr>
          <w:lang w:val="en-GB"/>
        </w:rPr>
        <w:t xml:space="preserve">14.  </w:t>
      </w:r>
      <w:r w:rsidR="003A7A79" w:rsidRPr="003A7A79">
        <w:rPr>
          <w:lang w:val="en-GB"/>
        </w:rPr>
        <w:t xml:space="preserve">A 2017 agreement between Italy and </w:t>
      </w:r>
      <w:r w:rsidR="003A7A79" w:rsidRPr="003A7A79">
        <w:rPr>
          <w:b/>
          <w:bCs/>
          <w:lang w:val="en-GB"/>
        </w:rPr>
        <w:t>Niger</w:t>
      </w:r>
      <w:r w:rsidR="003A7A79" w:rsidRPr="003A7A79">
        <w:rPr>
          <w:lang w:val="en-GB"/>
        </w:rPr>
        <w:t>, supposedly to strengthen cooperation between the two countries on migrant flow management, defence and security,</w:t>
      </w:r>
      <w:r w:rsidR="003A7A79" w:rsidRPr="003A7A79">
        <w:rPr>
          <w:vertAlign w:val="superscript"/>
          <w:lang w:val="en-GB"/>
        </w:rPr>
        <w:footnoteReference w:id="29"/>
      </w:r>
      <w:r w:rsidR="003A7A79" w:rsidRPr="003A7A79">
        <w:rPr>
          <w:lang w:val="en-GB"/>
        </w:rPr>
        <w:t xml:space="preserve"> opens the door to simplified exports of arms and defence equipment. It allows the transfer of military equipment from Italy and allows private individuals to export military equipment, circumventing arms trade rules. The agreement makes Niger a contracting country, which </w:t>
      </w:r>
      <w:r w:rsidR="003A7A79" w:rsidRPr="003A7A79">
        <w:rPr>
          <w:lang w:val="en-GB"/>
        </w:rPr>
        <w:lastRenderedPageBreak/>
        <w:t>reduces arms export controls.</w:t>
      </w:r>
      <w:r w:rsidR="003A7A79" w:rsidRPr="003A7A79">
        <w:rPr>
          <w:vertAlign w:val="superscript"/>
          <w:lang w:val="en-GB"/>
        </w:rPr>
        <w:footnoteReference w:id="30"/>
      </w:r>
      <w:r w:rsidR="003A7A79" w:rsidRPr="003A7A79">
        <w:rPr>
          <w:lang w:val="en-GB"/>
        </w:rPr>
        <w:t xml:space="preserve"> The agreement was not submitted to the Italian Parliament for ratification, despite a requirement to do so contained in Article 80 of the Italian Constitution, </w:t>
      </w:r>
      <w:r w:rsidR="000A3DF9">
        <w:rPr>
          <w:lang w:val="en-GB"/>
        </w:rPr>
        <w:t>nor was</w:t>
      </w:r>
      <w:r w:rsidR="003A7A79" w:rsidRPr="003A7A79">
        <w:rPr>
          <w:lang w:val="en-GB"/>
        </w:rPr>
        <w:t xml:space="preserve"> it published in the Official Gazette.</w:t>
      </w:r>
      <w:r w:rsidR="003A7A79" w:rsidRPr="003A7A79">
        <w:rPr>
          <w:vertAlign w:val="superscript"/>
          <w:lang w:val="en-GB"/>
        </w:rPr>
        <w:footnoteReference w:id="31"/>
      </w:r>
      <w:r w:rsidR="003A7A79" w:rsidRPr="003A7A79">
        <w:rPr>
          <w:lang w:val="en-GB"/>
        </w:rPr>
        <w:t xml:space="preserve"> </w:t>
      </w:r>
      <w:r w:rsidR="00B323AE" w:rsidRPr="00B323AE">
        <w:rPr>
          <w:lang w:val="en-GB"/>
        </w:rPr>
        <w:t xml:space="preserve">Using the Freedom of Information Act, Italian CSOs requested access to the content of the agreement. In February 2019, they succeeded in their bid to be granted access despite opposition from the Italian government, which was invoking security concerns and risks of detriment to international relations, and they published the contents of the agreement. However, it appears that the Lazio Regional Administrative Court did not order the disclosure of the contents of the letters that constitute the real legal basis for cooperation between Italy and Niger, which means that neither civil society nor </w:t>
      </w:r>
      <w:r w:rsidR="00D33349">
        <w:rPr>
          <w:lang w:val="en-GB"/>
        </w:rPr>
        <w:t xml:space="preserve">Members of Parliament </w:t>
      </w:r>
      <w:r w:rsidR="00B323AE" w:rsidRPr="00B323AE">
        <w:rPr>
          <w:lang w:val="en-GB"/>
        </w:rPr>
        <w:t>know what is in them</w:t>
      </w:r>
      <w:r w:rsidR="00B323AE">
        <w:rPr>
          <w:lang w:val="en-GB"/>
        </w:rPr>
        <w:t xml:space="preserve">. </w:t>
      </w:r>
      <w:r w:rsidR="003A7A79" w:rsidRPr="003A7A79">
        <w:rPr>
          <w:lang w:val="en-GB"/>
        </w:rPr>
        <w:t xml:space="preserve">The lack of transparency in this agreement contradicts Italy’s obligations as a state party to the Arms Trade Treaty. </w:t>
      </w:r>
    </w:p>
    <w:p w14:paraId="12579E23" w14:textId="0EAAC733" w:rsidR="00382E97" w:rsidRDefault="00382E97" w:rsidP="00EF1F5B"/>
    <w:p w14:paraId="05B8F7C0" w14:textId="4CCBCEB3" w:rsidR="00382E97" w:rsidRPr="00EF1F5B" w:rsidRDefault="00EF1F5B" w:rsidP="00EF1F5B">
      <w:pPr>
        <w:rPr>
          <w:lang w:val="en-GB"/>
        </w:rPr>
      </w:pPr>
      <w:r>
        <w:rPr>
          <w:lang w:val="en-GB"/>
        </w:rPr>
        <w:t xml:space="preserve">15.  </w:t>
      </w:r>
      <w:r w:rsidR="00382E97" w:rsidRPr="003A7A79">
        <w:rPr>
          <w:lang w:val="en-GB"/>
        </w:rPr>
        <w:t xml:space="preserve">Civil society organisations have been campaigning to stop Italy’s arms transfers to countries involved in the conflict in </w:t>
      </w:r>
      <w:r w:rsidR="00382E97" w:rsidRPr="003A7A79">
        <w:rPr>
          <w:b/>
          <w:bCs/>
          <w:lang w:val="en-GB"/>
        </w:rPr>
        <w:t>Yemen</w:t>
      </w:r>
      <w:r w:rsidR="00382E97" w:rsidRPr="003A7A79">
        <w:rPr>
          <w:lang w:val="en-GB"/>
        </w:rPr>
        <w:t xml:space="preserve">. </w:t>
      </w:r>
      <w:r w:rsidR="00382E97">
        <w:rPr>
          <w:lang w:val="en-GB"/>
        </w:rPr>
        <w:t xml:space="preserve">The UN and several international organisations have continued to report the dire effects of the war on the </w:t>
      </w:r>
      <w:r w:rsidR="00D33349">
        <w:rPr>
          <w:lang w:val="en-GB"/>
        </w:rPr>
        <w:t xml:space="preserve">economic, social and cultural </w:t>
      </w:r>
      <w:r w:rsidR="00382E97">
        <w:rPr>
          <w:lang w:val="en-GB"/>
        </w:rPr>
        <w:t>rights of the Yemeni population</w:t>
      </w:r>
      <w:r w:rsidR="00382E97">
        <w:rPr>
          <w:rStyle w:val="FootnoteReference"/>
          <w:lang w:val="en-GB"/>
        </w:rPr>
        <w:footnoteReference w:id="32"/>
      </w:r>
      <w:r w:rsidR="00382E97">
        <w:rPr>
          <w:lang w:val="en-GB"/>
        </w:rPr>
        <w:t xml:space="preserve"> a</w:t>
      </w:r>
      <w:r w:rsidR="00382E97" w:rsidRPr="00E47709">
        <w:rPr>
          <w:lang w:val="en-GB"/>
        </w:rPr>
        <w:t xml:space="preserve">s well as on the grave violations of IHL caused by the disproportionate and indiscriminate attacks </w:t>
      </w:r>
      <w:r w:rsidR="00382E97">
        <w:rPr>
          <w:lang w:val="en-GB"/>
        </w:rPr>
        <w:t>by the Saudi-UAE-led coalition against the</w:t>
      </w:r>
      <w:r w:rsidR="00382E97" w:rsidRPr="00E47709">
        <w:rPr>
          <w:lang w:val="en-GB"/>
        </w:rPr>
        <w:t xml:space="preserve"> civilian population.</w:t>
      </w:r>
      <w:r w:rsidR="00382E97">
        <w:rPr>
          <w:lang w:val="en-GB"/>
        </w:rPr>
        <w:t xml:space="preserve"> In relation to the latter, i</w:t>
      </w:r>
      <w:r w:rsidR="00382E97" w:rsidRPr="0047734A">
        <w:rPr>
          <w:lang w:val="en-GB"/>
        </w:rPr>
        <w:t xml:space="preserve">n September 2021, the </w:t>
      </w:r>
      <w:r w:rsidR="00D33349">
        <w:rPr>
          <w:lang w:val="en-GB"/>
        </w:rPr>
        <w:t xml:space="preserve">UN </w:t>
      </w:r>
      <w:r w:rsidR="00382E97" w:rsidRPr="0047734A">
        <w:rPr>
          <w:lang w:val="en-GB"/>
        </w:rPr>
        <w:t xml:space="preserve">Group of Eminent </w:t>
      </w:r>
      <w:r w:rsidR="00D33349" w:rsidRPr="003A7A79">
        <w:rPr>
          <w:lang w:val="en-GB"/>
        </w:rPr>
        <w:t xml:space="preserve">International and Regional Experts </w:t>
      </w:r>
      <w:r w:rsidR="00382E97" w:rsidRPr="0047734A">
        <w:rPr>
          <w:lang w:val="en-GB"/>
        </w:rPr>
        <w:t>on Yemen</w:t>
      </w:r>
      <w:r w:rsidR="003D4C74">
        <w:rPr>
          <w:lang w:val="en-GB"/>
        </w:rPr>
        <w:t xml:space="preserve"> (the Group of Eminent Experts on Yemen)</w:t>
      </w:r>
      <w:r w:rsidR="00382E97" w:rsidRPr="0047734A">
        <w:rPr>
          <w:lang w:val="en-GB"/>
        </w:rPr>
        <w:t xml:space="preserve"> recommended that other states, including Italy, and regional and international organizations take all reasonable measures to ensure respect for </w:t>
      </w:r>
      <w:r w:rsidR="00D33349" w:rsidRPr="00E47709">
        <w:rPr>
          <w:lang w:val="en-GB"/>
        </w:rPr>
        <w:t>IHL</w:t>
      </w:r>
      <w:r w:rsidR="00D33349" w:rsidRPr="0047734A" w:rsidDel="00D33349">
        <w:rPr>
          <w:lang w:val="en-GB"/>
        </w:rPr>
        <w:t xml:space="preserve"> </w:t>
      </w:r>
      <w:r w:rsidR="00382E97" w:rsidRPr="0047734A">
        <w:rPr>
          <w:lang w:val="en-GB"/>
        </w:rPr>
        <w:t>and international human rights law by all parties to the conflict, in particular, by ceasing to provide arms and military support to the parties:</w:t>
      </w:r>
      <w:r w:rsidR="00D33349">
        <w:rPr>
          <w:lang w:val="en-GB"/>
        </w:rPr>
        <w:t xml:space="preserve"> </w:t>
      </w:r>
      <w:r>
        <w:rPr>
          <w:lang w:val="en-GB"/>
        </w:rPr>
        <w:t xml:space="preserve"> </w:t>
      </w:r>
      <w:r w:rsidR="00B453D8">
        <w:rPr>
          <w:lang w:val="en-US"/>
        </w:rPr>
        <w:t>“ ‘</w:t>
      </w:r>
      <w:r w:rsidR="00382E97" w:rsidRPr="00EF1F5B">
        <w:rPr>
          <w:lang w:val="en-US"/>
        </w:rPr>
        <w:t>The Group of Eminent Experts expresses concern about the failure of third States to stop transfers of arms or the provision of other military support to the parties of the conflict</w:t>
      </w:r>
      <w:r w:rsidR="00B453D8">
        <w:rPr>
          <w:lang w:val="en-US"/>
        </w:rPr>
        <w:t xml:space="preserve">.’ </w:t>
      </w:r>
      <w:r w:rsidR="00382E97" w:rsidRPr="0047734A">
        <w:rPr>
          <w:lang w:val="en-US"/>
        </w:rPr>
        <w:t xml:space="preserve">Chairperson Kamel Jendoubi stated: </w:t>
      </w:r>
      <w:r w:rsidR="00B453D8">
        <w:rPr>
          <w:lang w:val="en-US"/>
        </w:rPr>
        <w:t>‘</w:t>
      </w:r>
      <w:r w:rsidR="00382E97" w:rsidRPr="00EF1F5B">
        <w:rPr>
          <w:lang w:val="en-US"/>
        </w:rPr>
        <w:t>Given the horrific toll the war continues to take on the people of Yemen, it does not stand to reason that third States continue to supply the parties to the conflict with the tools of war. The flow of arms must stop now</w:t>
      </w:r>
      <w:r w:rsidR="00382E97" w:rsidRPr="00D33349">
        <w:rPr>
          <w:lang w:val="en-US"/>
        </w:rPr>
        <w:t>.</w:t>
      </w:r>
      <w:r w:rsidR="00B453D8">
        <w:rPr>
          <w:lang w:val="en-US"/>
        </w:rPr>
        <w:t xml:space="preserve">’ </w:t>
      </w:r>
      <w:r w:rsidR="00382E97" w:rsidRPr="00D33349">
        <w:rPr>
          <w:lang w:val="en-US"/>
        </w:rPr>
        <w:t>”</w:t>
      </w:r>
      <w:r w:rsidR="00382E97" w:rsidRPr="00D33349">
        <w:rPr>
          <w:rStyle w:val="FootnoteReference"/>
          <w:rFonts w:eastAsia="Libre Franklin"/>
          <w:lang w:val="en-US"/>
        </w:rPr>
        <w:footnoteReference w:id="33"/>
      </w:r>
    </w:p>
    <w:p w14:paraId="63F882F8" w14:textId="77777777" w:rsidR="00382E97" w:rsidRDefault="00382E97" w:rsidP="00EF1F5B">
      <w:pPr>
        <w:rPr>
          <w:sz w:val="22"/>
          <w:szCs w:val="22"/>
          <w:lang w:val="en-US"/>
        </w:rPr>
      </w:pPr>
    </w:p>
    <w:p w14:paraId="503304CE" w14:textId="4AC714F2" w:rsidR="003A7A79" w:rsidRPr="003A7A79" w:rsidRDefault="00EF1F5B" w:rsidP="003A7A79">
      <w:pPr>
        <w:rPr>
          <w:lang w:val="en-GB"/>
        </w:rPr>
      </w:pPr>
      <w:r>
        <w:rPr>
          <w:lang w:val="en-GB"/>
        </w:rPr>
        <w:t xml:space="preserve">16.  </w:t>
      </w:r>
      <w:r w:rsidR="003A7A79" w:rsidRPr="003A7A79">
        <w:rPr>
          <w:lang w:val="en-GB"/>
        </w:rPr>
        <w:t xml:space="preserve">In June 2019, the Italian Parliament approved a motion that committed the government to adopting the necessary acts to suspend the export of aircraft bombs, missiles and their components to </w:t>
      </w:r>
      <w:r w:rsidR="003A7A79" w:rsidRPr="003A7A79">
        <w:rPr>
          <w:b/>
          <w:bCs/>
          <w:lang w:val="en-GB"/>
        </w:rPr>
        <w:t xml:space="preserve">Saudi Arabia </w:t>
      </w:r>
      <w:r w:rsidR="003A7A79" w:rsidRPr="003A7A79">
        <w:rPr>
          <w:lang w:val="en-GB"/>
        </w:rPr>
        <w:t>and the</w:t>
      </w:r>
      <w:r w:rsidR="003A7A79" w:rsidRPr="003A7A79">
        <w:rPr>
          <w:b/>
          <w:bCs/>
          <w:lang w:val="en-GB"/>
        </w:rPr>
        <w:t xml:space="preserve"> UAE </w:t>
      </w:r>
      <w:r w:rsidR="003A7A79" w:rsidRPr="003A7A79">
        <w:rPr>
          <w:lang w:val="en-GB"/>
        </w:rPr>
        <w:t>that may be used against civilians in Yemen. In December 2020, the Parliament asked that the exports licences be revoked; civil society organisations called on the government to swiftly implement the Parliament’s requests. On 29 January 2021, the government finally announced the decision to revoke those licences.</w:t>
      </w:r>
      <w:r w:rsidR="003A7A79" w:rsidRPr="003A7A79">
        <w:rPr>
          <w:vertAlign w:val="superscript"/>
          <w:lang w:val="en-GB"/>
        </w:rPr>
        <w:footnoteReference w:id="34"/>
      </w:r>
      <w:r w:rsidR="003A7A79" w:rsidRPr="003A7A79">
        <w:rPr>
          <w:lang w:val="en-GB"/>
        </w:rPr>
        <w:t xml:space="preserve"> This </w:t>
      </w:r>
      <w:r w:rsidR="003A7A79" w:rsidRPr="003A7A79">
        <w:rPr>
          <w:lang w:val="en-GB"/>
        </w:rPr>
        <w:lastRenderedPageBreak/>
        <w:t xml:space="preserve">was a huge victory for those who had campaigned relentlessly for a halt to those arms transfers; and while this was an important step in the right direction, the many actions needed to achieve that decision demonstrate the government’s reluctance to fulfil Italy’s human rights obligations. Moreover, it is important to emphasise that the revocation only applied to licences for export of missiles and aerial bombs; it did not apply to licences for other weapon systems still ongoing. </w:t>
      </w:r>
    </w:p>
    <w:p w14:paraId="437ABFB7" w14:textId="77777777" w:rsidR="006B749F" w:rsidRPr="006B749F" w:rsidRDefault="006B749F" w:rsidP="006B749F">
      <w:pPr>
        <w:rPr>
          <w:lang w:val="en-GB"/>
        </w:rPr>
      </w:pPr>
    </w:p>
    <w:p w14:paraId="192C0E8D" w14:textId="1E693741" w:rsidR="002F39AA" w:rsidRDefault="00EF1F5B" w:rsidP="006B749F">
      <w:pPr>
        <w:rPr>
          <w:lang w:val="en-GB"/>
        </w:rPr>
      </w:pPr>
      <w:r>
        <w:rPr>
          <w:lang w:val="en-GB"/>
        </w:rPr>
        <w:t xml:space="preserve">17.  </w:t>
      </w:r>
      <w:r w:rsidR="003A7A79" w:rsidRPr="003A7A79">
        <w:rPr>
          <w:lang w:val="en-GB"/>
        </w:rPr>
        <w:t xml:space="preserve">In its </w:t>
      </w:r>
      <w:r w:rsidR="00903EA4">
        <w:rPr>
          <w:lang w:val="en-GB"/>
        </w:rPr>
        <w:t xml:space="preserve">July 2021 </w:t>
      </w:r>
      <w:r w:rsidR="003A7A79" w:rsidRPr="003A7A79">
        <w:rPr>
          <w:lang w:val="en-GB"/>
        </w:rPr>
        <w:t xml:space="preserve">reply to the CESCR’s List of issues, Italy </w:t>
      </w:r>
      <w:r w:rsidR="00427CDF">
        <w:rPr>
          <w:lang w:val="en-GB"/>
        </w:rPr>
        <w:t xml:space="preserve">recalls </w:t>
      </w:r>
      <w:r w:rsidR="003A7A79" w:rsidRPr="003A7A79">
        <w:rPr>
          <w:lang w:val="en-GB"/>
        </w:rPr>
        <w:t>the</w:t>
      </w:r>
      <w:r w:rsidR="0056528C">
        <w:rPr>
          <w:lang w:val="en-GB"/>
        </w:rPr>
        <w:t xml:space="preserve"> above-mentioned</w:t>
      </w:r>
      <w:r w:rsidR="003A7A79" w:rsidRPr="003A7A79">
        <w:rPr>
          <w:lang w:val="en-GB"/>
        </w:rPr>
        <w:t xml:space="preserve"> June 2019 and the 2020 December resolutions from the Italian Parliament </w:t>
      </w:r>
      <w:r w:rsidR="0056528C">
        <w:rPr>
          <w:lang w:val="en-GB"/>
        </w:rPr>
        <w:t>noting</w:t>
      </w:r>
      <w:r w:rsidR="003A7A79" w:rsidRPr="003A7A79">
        <w:rPr>
          <w:lang w:val="en-GB"/>
        </w:rPr>
        <w:t xml:space="preserve"> that “As a consequence, no new export licences for such items [aircraft bombs and missiles and their components] have been issued since. Requests of export towards the same Countries of other military items are sharply scrutinized, depending on their lethality and the risk of being used against civilian population.”</w:t>
      </w:r>
      <w:r w:rsidR="003A7A79" w:rsidRPr="003A7A79">
        <w:rPr>
          <w:vertAlign w:val="superscript"/>
          <w:lang w:val="en-GB"/>
        </w:rPr>
        <w:t xml:space="preserve"> </w:t>
      </w:r>
      <w:r w:rsidR="003A7A79" w:rsidRPr="003A7A79">
        <w:rPr>
          <w:vertAlign w:val="superscript"/>
          <w:lang w:val="en-GB"/>
        </w:rPr>
        <w:footnoteReference w:id="35"/>
      </w:r>
      <w:r w:rsidR="003A7A79" w:rsidRPr="003A7A79">
        <w:rPr>
          <w:lang w:val="en-GB"/>
        </w:rPr>
        <w:t xml:space="preserve"> In September 2021, the Group of Eminent Experts on Yemen reported to the </w:t>
      </w:r>
      <w:r w:rsidR="0056528C">
        <w:rPr>
          <w:lang w:val="en-GB"/>
        </w:rPr>
        <w:t xml:space="preserve">UN </w:t>
      </w:r>
      <w:r w:rsidR="003A7A79" w:rsidRPr="003A7A79">
        <w:rPr>
          <w:lang w:val="en-GB"/>
        </w:rPr>
        <w:t>Human Rights Council that “Italy, having in January 2021 revoked licenses for the export of missiles to Saudi Arabia and the United Arab Emirates, more recently announced a loosening of other restrictions on arms and equipment sales.”</w:t>
      </w:r>
      <w:r w:rsidR="003A7A79" w:rsidRPr="003A7A79">
        <w:rPr>
          <w:vertAlign w:val="superscript"/>
          <w:lang w:val="en-GB"/>
        </w:rPr>
        <w:footnoteReference w:id="36"/>
      </w:r>
      <w:r w:rsidR="003A7A79" w:rsidRPr="003A7A79">
        <w:rPr>
          <w:lang w:val="en-GB"/>
        </w:rPr>
        <w:t xml:space="preserve"> In May 2022, analysing the Italian’s government </w:t>
      </w:r>
      <w:r w:rsidR="00427CDF">
        <w:rPr>
          <w:lang w:val="en-GB"/>
        </w:rPr>
        <w:t>a</w:t>
      </w:r>
      <w:r w:rsidR="003A7A79" w:rsidRPr="003A7A79">
        <w:rPr>
          <w:lang w:val="en-GB"/>
        </w:rPr>
        <w:t xml:space="preserve">nnual </w:t>
      </w:r>
      <w:r w:rsidR="00427CDF">
        <w:rPr>
          <w:lang w:val="en-GB"/>
        </w:rPr>
        <w:t>r</w:t>
      </w:r>
      <w:r w:rsidR="003A7A79" w:rsidRPr="003A7A79">
        <w:rPr>
          <w:lang w:val="en-GB"/>
        </w:rPr>
        <w:t>eport to Parliament on arms exports</w:t>
      </w:r>
      <w:r w:rsidR="006B097E">
        <w:rPr>
          <w:lang w:val="en-GB"/>
        </w:rPr>
        <w:t xml:space="preserve"> (relating to the year 2021)</w:t>
      </w:r>
      <w:r w:rsidR="003A7A79" w:rsidRPr="003A7A79">
        <w:rPr>
          <w:lang w:val="en-GB"/>
        </w:rPr>
        <w:t xml:space="preserve">, the </w:t>
      </w:r>
      <w:r w:rsidR="003A7A79" w:rsidRPr="003A7A79">
        <w:rPr>
          <w:i/>
          <w:iCs/>
          <w:lang w:val="en-GB"/>
        </w:rPr>
        <w:t xml:space="preserve">Rete Italiana Pace e Disarmo </w:t>
      </w:r>
      <w:r w:rsidR="003A7A79" w:rsidRPr="003A7A79">
        <w:rPr>
          <w:lang w:val="en-GB"/>
        </w:rPr>
        <w:t xml:space="preserve">reported that while licences to Saudi Arabia and the UAE </w:t>
      </w:r>
      <w:r w:rsidR="0056528C">
        <w:rPr>
          <w:lang w:val="en-GB"/>
        </w:rPr>
        <w:t>had been</w:t>
      </w:r>
      <w:r w:rsidR="003A7A79" w:rsidRPr="003A7A79">
        <w:rPr>
          <w:lang w:val="en-GB"/>
        </w:rPr>
        <w:t xml:space="preserve"> revoked new ones </w:t>
      </w:r>
      <w:r w:rsidR="0056528C">
        <w:rPr>
          <w:lang w:val="en-GB"/>
        </w:rPr>
        <w:t>had been</w:t>
      </w:r>
      <w:r w:rsidR="003A7A79" w:rsidRPr="003A7A79">
        <w:rPr>
          <w:lang w:val="en-GB"/>
        </w:rPr>
        <w:t xml:space="preserve"> issued. It noted, </w:t>
      </w:r>
      <w:r w:rsidR="003A7A79" w:rsidRPr="003A7A79">
        <w:rPr>
          <w:i/>
          <w:iCs/>
          <w:lang w:val="en-GB"/>
        </w:rPr>
        <w:t>inter alia,</w:t>
      </w:r>
      <w:r w:rsidR="003A7A79" w:rsidRPr="003A7A79">
        <w:rPr>
          <w:lang w:val="en-GB"/>
        </w:rPr>
        <w:t xml:space="preserve"> that the Annual Report “shows almost 45.9 million euro of new authorisations for military materials destined for Saudi Arabia, including those in the ‘M 004’ category, </w:t>
      </w:r>
      <w:r w:rsidR="00F03CC2" w:rsidRPr="003A7A79">
        <w:rPr>
          <w:lang w:val="en-GB"/>
        </w:rPr>
        <w:t>i.e.</w:t>
      </w:r>
      <w:r w:rsidR="00F03CC2">
        <w:rPr>
          <w:lang w:val="en-GB"/>
        </w:rPr>
        <w:t xml:space="preserve"> </w:t>
      </w:r>
      <w:r w:rsidR="003A7A79" w:rsidRPr="003A7A79">
        <w:rPr>
          <w:lang w:val="en-GB"/>
        </w:rPr>
        <w:t xml:space="preserve">precisely ‘bombs, torpedoes, rockets, missiles and accessories’: although the various data are cross-referenced, it is not possible to know the type of bombs and the company that received the </w:t>
      </w:r>
      <w:r w:rsidR="00382E97" w:rsidRPr="003A7A79">
        <w:rPr>
          <w:lang w:val="en-GB"/>
        </w:rPr>
        <w:t>authorisation</w:t>
      </w:r>
      <w:r w:rsidR="003A7A79" w:rsidRPr="003A7A79">
        <w:rPr>
          <w:lang w:val="en-GB"/>
        </w:rPr>
        <w:t>.”</w:t>
      </w:r>
      <w:r w:rsidR="003A7A79" w:rsidRPr="003A7A79">
        <w:rPr>
          <w:vertAlign w:val="superscript"/>
          <w:lang w:val="en-GB"/>
        </w:rPr>
        <w:footnoteReference w:id="37"/>
      </w:r>
    </w:p>
    <w:p w14:paraId="09CF6447" w14:textId="6ECD6FFD" w:rsidR="00382E97" w:rsidRDefault="002F39AA" w:rsidP="002F39AA">
      <w:pPr>
        <w:rPr>
          <w:lang w:val="en-GB"/>
        </w:rPr>
      </w:pPr>
      <w:r>
        <w:rPr>
          <w:lang w:val="en-GB"/>
        </w:rPr>
        <w:br w:type="page"/>
      </w:r>
    </w:p>
    <w:p w14:paraId="548FF9F9" w14:textId="5A277C55" w:rsidR="00382E97" w:rsidRDefault="005F0474" w:rsidP="00E64AD5">
      <w:pPr>
        <w:pStyle w:val="Heading1"/>
      </w:pPr>
      <w:bookmarkStart w:id="4" w:name="_Toc112675948"/>
      <w:r>
        <w:lastRenderedPageBreak/>
        <w:t>IV.</w:t>
      </w:r>
      <w:r>
        <w:tab/>
      </w:r>
      <w:r>
        <w:tab/>
      </w:r>
      <w:r w:rsidR="009324E4">
        <w:t xml:space="preserve">Update 2022 on </w:t>
      </w:r>
      <w:r w:rsidR="00382E97" w:rsidRPr="00E64AD5">
        <w:t>Criminal</w:t>
      </w:r>
      <w:r w:rsidR="00382E97" w:rsidRPr="00EF1F5B">
        <w:t xml:space="preserve"> proceedings in Italy and the </w:t>
      </w:r>
      <w:r w:rsidR="00E64AD5">
        <w:t>ICC</w:t>
      </w:r>
      <w:r w:rsidR="00382E97" w:rsidRPr="00EF1F5B">
        <w:t xml:space="preserve"> for the export of Italian weapons used in the war in Yemen</w:t>
      </w:r>
      <w:bookmarkEnd w:id="4"/>
    </w:p>
    <w:p w14:paraId="120E8270" w14:textId="77777777" w:rsidR="003043A1" w:rsidRPr="00EF1F5B" w:rsidRDefault="003043A1" w:rsidP="003043A1">
      <w:pPr>
        <w:pStyle w:val="NormalWeb"/>
        <w:numPr>
          <w:ilvl w:val="0"/>
          <w:numId w:val="10"/>
        </w:numPr>
        <w:jc w:val="both"/>
        <w:rPr>
          <w:i/>
          <w:iCs/>
          <w:szCs w:val="22"/>
          <w:lang w:val="en-GB"/>
        </w:rPr>
      </w:pPr>
      <w:r w:rsidRPr="00EF1F5B">
        <w:rPr>
          <w:i/>
          <w:iCs/>
          <w:szCs w:val="22"/>
          <w:lang w:val="en-GB"/>
        </w:rPr>
        <w:t>Criminal proceedings no. 80418/18 R.G.N.R. – ongoing</w:t>
      </w:r>
    </w:p>
    <w:p w14:paraId="3275A48B" w14:textId="497C723D" w:rsidR="00382E97" w:rsidRDefault="00EF1F5B" w:rsidP="00382E97">
      <w:pPr>
        <w:rPr>
          <w:lang w:val="en-GB"/>
        </w:rPr>
      </w:pPr>
      <w:r>
        <w:rPr>
          <w:lang w:val="en-GB"/>
        </w:rPr>
        <w:t xml:space="preserve">18.  </w:t>
      </w:r>
      <w:r w:rsidR="00382E97" w:rsidRPr="0047734A">
        <w:rPr>
          <w:lang w:val="en-GB"/>
        </w:rPr>
        <w:t xml:space="preserve">In April 2018, a criminal notification was filed by ECCHR, </w:t>
      </w:r>
      <w:r w:rsidR="006B097E">
        <w:rPr>
          <w:lang w:val="en-GB"/>
        </w:rPr>
        <w:t>and the Yemeni organization Mwatana</w:t>
      </w:r>
      <w:r w:rsidR="00382E97" w:rsidRPr="0047734A">
        <w:rPr>
          <w:lang w:val="en-GB"/>
        </w:rPr>
        <w:t xml:space="preserve"> for Human Rights and </w:t>
      </w:r>
      <w:r w:rsidR="00382E97" w:rsidRPr="00EF1F5B">
        <w:rPr>
          <w:i/>
          <w:iCs/>
          <w:lang w:val="en-GB"/>
        </w:rPr>
        <w:t>Rete Italiana Pace e Disarmo</w:t>
      </w:r>
      <w:r w:rsidR="00382E97" w:rsidRPr="0047734A">
        <w:rPr>
          <w:lang w:val="en-GB"/>
        </w:rPr>
        <w:t xml:space="preserve"> with the Italian Prosecutor’s office in Rome. The complainants requested an investigation on the criminal liability of RWM Italia S.p.A. executives and Italian government officials (</w:t>
      </w:r>
      <w:r w:rsidR="00D13700">
        <w:rPr>
          <w:lang w:val="en-GB"/>
        </w:rPr>
        <w:t xml:space="preserve">from </w:t>
      </w:r>
      <w:r w:rsidR="00382E97" w:rsidRPr="0047734A">
        <w:rPr>
          <w:lang w:val="en-GB"/>
        </w:rPr>
        <w:t>UAMA) for Italian arms exports to Saudi Arabia and the U.A.E. The case focused on a remnant found at the site of an airstrike that targeted a family of six in the village of Deir Al-Hajari.</w:t>
      </w:r>
      <w:r w:rsidR="00382E97" w:rsidRPr="00156CDE">
        <w:rPr>
          <w:vertAlign w:val="superscript"/>
          <w:lang w:val="en-GB"/>
        </w:rPr>
        <w:t xml:space="preserve"> </w:t>
      </w:r>
      <w:r w:rsidR="00382E97" w:rsidRPr="003A7A79">
        <w:rPr>
          <w:vertAlign w:val="superscript"/>
          <w:lang w:val="en-GB"/>
        </w:rPr>
        <w:footnoteReference w:id="38"/>
      </w:r>
      <w:r w:rsidR="00382E97" w:rsidRPr="003A7A79">
        <w:rPr>
          <w:lang w:val="en-GB"/>
        </w:rPr>
        <w:t xml:space="preserve">  </w:t>
      </w:r>
    </w:p>
    <w:p w14:paraId="026183C8" w14:textId="77777777" w:rsidR="00382E97" w:rsidRDefault="00382E97" w:rsidP="00382E97">
      <w:pPr>
        <w:rPr>
          <w:lang w:val="en-GB"/>
        </w:rPr>
      </w:pPr>
    </w:p>
    <w:p w14:paraId="796EA646" w14:textId="6B42B7C9" w:rsidR="00382E97" w:rsidRPr="00E64AD5" w:rsidRDefault="00EF1F5B" w:rsidP="00E64AD5">
      <w:r>
        <w:rPr>
          <w:lang w:val="en-GB"/>
        </w:rPr>
        <w:t xml:space="preserve">19.  </w:t>
      </w:r>
      <w:r w:rsidR="00382E97" w:rsidRPr="00EF1F5B">
        <w:rPr>
          <w:lang w:val="en-GB"/>
        </w:rPr>
        <w:t xml:space="preserve">Police investigations within the proceedings showed that the suspension lung found at the site of the airstrike was part of a batch shipped to Saudi Arabia and the </w:t>
      </w:r>
      <w:r w:rsidR="006B097E">
        <w:rPr>
          <w:lang w:val="en-GB"/>
        </w:rPr>
        <w:t xml:space="preserve">UAE </w:t>
      </w:r>
      <w:r w:rsidR="00382E97" w:rsidRPr="00EF1F5B">
        <w:rPr>
          <w:lang w:val="en-GB"/>
        </w:rPr>
        <w:t xml:space="preserve">between </w:t>
      </w:r>
      <w:r w:rsidR="006B097E">
        <w:rPr>
          <w:lang w:val="en-GB"/>
        </w:rPr>
        <w:t xml:space="preserve">9 </w:t>
      </w:r>
      <w:r w:rsidR="00382E97" w:rsidRPr="00EF1F5B">
        <w:rPr>
          <w:lang w:val="en-GB"/>
        </w:rPr>
        <w:t xml:space="preserve">April and </w:t>
      </w:r>
      <w:r w:rsidR="006B097E">
        <w:rPr>
          <w:lang w:val="en-GB"/>
        </w:rPr>
        <w:t xml:space="preserve">15 </w:t>
      </w:r>
      <w:r w:rsidR="00382E97" w:rsidRPr="00EF1F5B">
        <w:rPr>
          <w:lang w:val="en-GB"/>
        </w:rPr>
        <w:t xml:space="preserve">November 2015. Nevertheless, on 18 September 2019 the Italian prosecutor requested a dismissal of the case. The complainants appealed this decision </w:t>
      </w:r>
      <w:r w:rsidR="00382E97">
        <w:rPr>
          <w:lang w:val="en-GB"/>
        </w:rPr>
        <w:t xml:space="preserve">and </w:t>
      </w:r>
      <w:r w:rsidR="003043A1">
        <w:rPr>
          <w:lang w:val="en-GB"/>
        </w:rPr>
        <w:t xml:space="preserve">in February 2021 </w:t>
      </w:r>
      <w:r w:rsidR="00382E97">
        <w:rPr>
          <w:lang w:val="en-GB"/>
        </w:rPr>
        <w:t xml:space="preserve">the </w:t>
      </w:r>
      <w:r w:rsidR="00382E97" w:rsidRPr="00EF1F5B">
        <w:rPr>
          <w:lang w:val="en-GB"/>
        </w:rPr>
        <w:t>Judge for Preliminary Investigations in Rome (</w:t>
      </w:r>
      <w:r w:rsidR="00382E97" w:rsidRPr="00EF1F5B">
        <w:rPr>
          <w:i/>
          <w:iCs/>
          <w:lang w:val="en-GB"/>
        </w:rPr>
        <w:t>Giudice per le Indagini Preliminari</w:t>
      </w:r>
      <w:r w:rsidR="00703400">
        <w:rPr>
          <w:lang w:val="en-GB"/>
        </w:rPr>
        <w:t>,</w:t>
      </w:r>
      <w:r w:rsidR="00382E97" w:rsidRPr="00EF1F5B">
        <w:rPr>
          <w:lang w:val="en-GB"/>
        </w:rPr>
        <w:t xml:space="preserve"> GIP), </w:t>
      </w:r>
      <w:r w:rsidR="00382E97">
        <w:rPr>
          <w:lang w:val="en-GB"/>
        </w:rPr>
        <w:t xml:space="preserve">ordered the </w:t>
      </w:r>
      <w:r w:rsidR="003043A1">
        <w:rPr>
          <w:lang w:val="en-GB"/>
        </w:rPr>
        <w:t>Prosecutor to continue the investigations</w:t>
      </w:r>
      <w:r w:rsidR="00382E97">
        <w:rPr>
          <w:lang w:val="en-GB"/>
        </w:rPr>
        <w:t xml:space="preserve">. </w:t>
      </w:r>
      <w:r w:rsidR="003043A1">
        <w:rPr>
          <w:lang w:val="en-GB"/>
        </w:rPr>
        <w:t xml:space="preserve">Despite this decision the Prosecutor decided to request for the dismissal of the case </w:t>
      </w:r>
      <w:r w:rsidR="003043A1" w:rsidRPr="0078413F">
        <w:rPr>
          <w:lang w:val="en-GB"/>
        </w:rPr>
        <w:t xml:space="preserve">again, based on the exact same grounds already </w:t>
      </w:r>
      <w:r w:rsidR="003043A1">
        <w:rPr>
          <w:lang w:val="en-GB"/>
        </w:rPr>
        <w:t xml:space="preserve">dismissed by the GIP in February 2021. In March 2022, the complainants appealed the Prosecutor’s decision and are </w:t>
      </w:r>
      <w:r w:rsidR="00C20941">
        <w:rPr>
          <w:lang w:val="en-GB"/>
        </w:rPr>
        <w:t>a</w:t>
      </w:r>
      <w:r w:rsidR="003043A1">
        <w:rPr>
          <w:lang w:val="en-GB"/>
        </w:rPr>
        <w:t>waiting a hearing to be schedule</w:t>
      </w:r>
      <w:r w:rsidR="00C20941">
        <w:rPr>
          <w:lang w:val="en-GB"/>
        </w:rPr>
        <w:t>d</w:t>
      </w:r>
      <w:r w:rsidR="003043A1">
        <w:rPr>
          <w:lang w:val="en-GB"/>
        </w:rPr>
        <w:t xml:space="preserve"> in the upcoming months.</w:t>
      </w:r>
    </w:p>
    <w:p w14:paraId="35F1220B" w14:textId="38A95756" w:rsidR="003043A1" w:rsidRPr="0047734A" w:rsidRDefault="003043A1" w:rsidP="003043A1">
      <w:pPr>
        <w:pStyle w:val="NormalWeb"/>
        <w:numPr>
          <w:ilvl w:val="0"/>
          <w:numId w:val="10"/>
        </w:numPr>
        <w:jc w:val="both"/>
        <w:rPr>
          <w:i/>
          <w:iCs/>
          <w:szCs w:val="22"/>
          <w:lang w:val="en-GB"/>
        </w:rPr>
      </w:pPr>
      <w:r w:rsidRPr="0047734A">
        <w:rPr>
          <w:i/>
          <w:iCs/>
          <w:szCs w:val="22"/>
          <w:lang w:val="en-GB"/>
        </w:rPr>
        <w:t>C</w:t>
      </w:r>
      <w:r>
        <w:rPr>
          <w:i/>
          <w:iCs/>
          <w:szCs w:val="22"/>
          <w:lang w:val="en-GB"/>
        </w:rPr>
        <w:t>o</w:t>
      </w:r>
      <w:r w:rsidR="00C20941">
        <w:rPr>
          <w:i/>
          <w:iCs/>
          <w:szCs w:val="22"/>
          <w:lang w:val="en-GB"/>
        </w:rPr>
        <w:t>mmunication</w:t>
      </w:r>
      <w:r>
        <w:rPr>
          <w:i/>
          <w:iCs/>
          <w:szCs w:val="22"/>
          <w:lang w:val="en-GB"/>
        </w:rPr>
        <w:t xml:space="preserve"> to the International Criminal Court -</w:t>
      </w:r>
      <w:r w:rsidRPr="0047734A">
        <w:rPr>
          <w:i/>
          <w:iCs/>
          <w:szCs w:val="22"/>
          <w:lang w:val="en-GB"/>
        </w:rPr>
        <w:t xml:space="preserve"> ongoing</w:t>
      </w:r>
    </w:p>
    <w:p w14:paraId="53DCA33C" w14:textId="72369723" w:rsidR="00C20941" w:rsidRDefault="00EF1F5B" w:rsidP="00C20941">
      <w:pPr>
        <w:rPr>
          <w:lang w:val="en-GB"/>
        </w:rPr>
      </w:pPr>
      <w:r>
        <w:rPr>
          <w:lang w:val="en-GB"/>
        </w:rPr>
        <w:t xml:space="preserve">20.  </w:t>
      </w:r>
      <w:r w:rsidR="00382E97" w:rsidRPr="003A7A79">
        <w:rPr>
          <w:lang w:val="en-GB"/>
        </w:rPr>
        <w:t>In December 2019, ECCHR</w:t>
      </w:r>
      <w:r w:rsidR="00C20941">
        <w:rPr>
          <w:lang w:val="en-GB"/>
        </w:rPr>
        <w:t xml:space="preserve"> and the Yemeni organization</w:t>
      </w:r>
      <w:r w:rsidR="006B097E">
        <w:rPr>
          <w:lang w:val="en-GB"/>
        </w:rPr>
        <w:t xml:space="preserve"> </w:t>
      </w:r>
      <w:r w:rsidR="00382E97" w:rsidRPr="003A7A79">
        <w:rPr>
          <w:lang w:val="en-GB"/>
        </w:rPr>
        <w:t xml:space="preserve">Mwatana for Human Rights, </w:t>
      </w:r>
      <w:r w:rsidR="00C20941">
        <w:rPr>
          <w:lang w:val="en-GB"/>
        </w:rPr>
        <w:t xml:space="preserve">together with </w:t>
      </w:r>
      <w:r w:rsidR="00382E97" w:rsidRPr="003A7A79">
        <w:rPr>
          <w:lang w:val="en-GB"/>
        </w:rPr>
        <w:t xml:space="preserve">Amnesty International, the Campaign Against Arms Trade, Centre Delàs and the </w:t>
      </w:r>
      <w:r w:rsidR="00382E97" w:rsidRPr="003B1C95">
        <w:rPr>
          <w:i/>
          <w:lang w:val="en-GB"/>
        </w:rPr>
        <w:t>Rete Italiana Pace e Disarmo</w:t>
      </w:r>
      <w:r w:rsidR="00382E97" w:rsidRPr="003A7A79">
        <w:rPr>
          <w:i/>
          <w:iCs/>
          <w:lang w:val="en-GB"/>
        </w:rPr>
        <w:t>,</w:t>
      </w:r>
      <w:r w:rsidR="00382E97" w:rsidRPr="003A7A79">
        <w:rPr>
          <w:lang w:val="en-GB"/>
        </w:rPr>
        <w:t xml:space="preserve"> submitted a 350-page Communication to the </w:t>
      </w:r>
      <w:r w:rsidR="00264036">
        <w:rPr>
          <w:lang w:val="en-GB"/>
        </w:rPr>
        <w:t xml:space="preserve">Office of the </w:t>
      </w:r>
      <w:r w:rsidR="00382E97" w:rsidRPr="003A7A79">
        <w:rPr>
          <w:lang w:val="en-GB"/>
        </w:rPr>
        <w:t xml:space="preserve">Prosecutor </w:t>
      </w:r>
      <w:r w:rsidR="00264036">
        <w:rPr>
          <w:lang w:val="en-GB"/>
        </w:rPr>
        <w:t xml:space="preserve">(OTP) </w:t>
      </w:r>
      <w:r w:rsidR="00382E97" w:rsidRPr="003A7A79">
        <w:rPr>
          <w:lang w:val="en-GB"/>
        </w:rPr>
        <w:t xml:space="preserve">of the International Criminal Court calling for an investigation into whether high-ranking officials, from both European companies and governments, including Italy, could bear criminal responsibility for supplying arms used by members of the Saudi Arabia/UAE-led </w:t>
      </w:r>
      <w:r w:rsidR="00382E97" w:rsidRPr="003A7A79">
        <w:rPr>
          <w:lang w:val="en-GB"/>
        </w:rPr>
        <w:lastRenderedPageBreak/>
        <w:t xml:space="preserve">Coalition in potential </w:t>
      </w:r>
      <w:r w:rsidR="00C20941" w:rsidRPr="003A7A79">
        <w:rPr>
          <w:lang w:val="en-GB"/>
        </w:rPr>
        <w:t xml:space="preserve">26 airstrikes </w:t>
      </w:r>
      <w:r w:rsidR="00C20941">
        <w:rPr>
          <w:lang w:val="en-GB"/>
        </w:rPr>
        <w:t>in Yemen which killed and injured civilians, destroyed</w:t>
      </w:r>
      <w:r w:rsidR="00C20941" w:rsidRPr="003A7A79">
        <w:rPr>
          <w:lang w:val="en-GB"/>
        </w:rPr>
        <w:t xml:space="preserve"> schools, hospitals and other protected objects</w:t>
      </w:r>
      <w:r w:rsidR="00C20941">
        <w:rPr>
          <w:lang w:val="en-GB"/>
        </w:rPr>
        <w:t xml:space="preserve"> and as such could constitute war crimes</w:t>
      </w:r>
      <w:r w:rsidR="00C20941" w:rsidRPr="003A7A79">
        <w:rPr>
          <w:lang w:val="en-GB"/>
        </w:rPr>
        <w:t>.</w:t>
      </w:r>
      <w:r w:rsidR="00C20941" w:rsidRPr="003A7A79">
        <w:rPr>
          <w:vertAlign w:val="superscript"/>
          <w:lang w:val="en-GB"/>
        </w:rPr>
        <w:footnoteReference w:id="39"/>
      </w:r>
    </w:p>
    <w:p w14:paraId="387064E4" w14:textId="77777777" w:rsidR="00264036" w:rsidRDefault="00264036" w:rsidP="00382E97">
      <w:pPr>
        <w:rPr>
          <w:lang w:val="en-GB"/>
        </w:rPr>
      </w:pPr>
    </w:p>
    <w:p w14:paraId="1B4CFAF3" w14:textId="5DEEBCF7" w:rsidR="00D3764E" w:rsidRDefault="00EF1F5B" w:rsidP="006B749F">
      <w:pPr>
        <w:rPr>
          <w:lang w:val="en-GB"/>
        </w:rPr>
      </w:pPr>
      <w:r>
        <w:rPr>
          <w:lang w:val="en-GB"/>
        </w:rPr>
        <w:t xml:space="preserve">21.  </w:t>
      </w:r>
      <w:r w:rsidR="00561005">
        <w:rPr>
          <w:lang w:val="en-GB"/>
        </w:rPr>
        <w:t>T</w:t>
      </w:r>
      <w:r w:rsidR="00264036" w:rsidRPr="00264036">
        <w:rPr>
          <w:lang w:val="en-GB"/>
        </w:rPr>
        <w:t xml:space="preserve">he Office of the Prosecutor has </w:t>
      </w:r>
      <w:r w:rsidR="00C20941">
        <w:rPr>
          <w:lang w:val="en-GB"/>
        </w:rPr>
        <w:t>opened</w:t>
      </w:r>
      <w:r w:rsidR="00264036" w:rsidRPr="00264036">
        <w:rPr>
          <w:lang w:val="en-GB"/>
        </w:rPr>
        <w:t xml:space="preserve"> </w:t>
      </w:r>
      <w:r w:rsidR="00703400">
        <w:rPr>
          <w:lang w:val="en-GB"/>
        </w:rPr>
        <w:t xml:space="preserve">a </w:t>
      </w:r>
      <w:r w:rsidR="00264036" w:rsidRPr="00264036">
        <w:rPr>
          <w:lang w:val="en-GB"/>
        </w:rPr>
        <w:t>preliminary examination</w:t>
      </w:r>
      <w:r w:rsidR="00C20941">
        <w:rPr>
          <w:rStyle w:val="FootnoteReference"/>
          <w:lang w:val="en-GB"/>
        </w:rPr>
        <w:footnoteReference w:id="40"/>
      </w:r>
      <w:r w:rsidR="00264036" w:rsidRPr="00264036">
        <w:rPr>
          <w:lang w:val="en-GB"/>
        </w:rPr>
        <w:t xml:space="preserve"> of this Communication, after which it will decide whether to </w:t>
      </w:r>
      <w:r w:rsidR="00C20941">
        <w:rPr>
          <w:lang w:val="en-GB"/>
        </w:rPr>
        <w:t xml:space="preserve">open </w:t>
      </w:r>
      <w:r w:rsidR="00264036" w:rsidRPr="00264036">
        <w:rPr>
          <w:lang w:val="en-GB"/>
        </w:rPr>
        <w:t>of a</w:t>
      </w:r>
      <w:r w:rsidR="00703400">
        <w:rPr>
          <w:lang w:val="en-GB"/>
        </w:rPr>
        <w:t>n</w:t>
      </w:r>
      <w:r w:rsidR="00264036" w:rsidRPr="00264036">
        <w:rPr>
          <w:lang w:val="en-GB"/>
        </w:rPr>
        <w:t xml:space="preserve"> investigation. </w:t>
      </w:r>
      <w:r w:rsidR="00561005">
        <w:rPr>
          <w:lang w:val="en-GB"/>
        </w:rPr>
        <w:t xml:space="preserve">On the basis of the principle of positive complementarity the </w:t>
      </w:r>
      <w:r w:rsidR="00703400" w:rsidRPr="00264036">
        <w:rPr>
          <w:lang w:val="en-GB"/>
        </w:rPr>
        <w:t>Office of the Prosecutor</w:t>
      </w:r>
      <w:r w:rsidR="00561005">
        <w:rPr>
          <w:lang w:val="en-GB"/>
        </w:rPr>
        <w:t xml:space="preserve"> could also intervene in </w:t>
      </w:r>
      <w:r w:rsidR="00D3764E">
        <w:rPr>
          <w:lang w:val="en-GB"/>
        </w:rPr>
        <w:t xml:space="preserve">the </w:t>
      </w:r>
      <w:r w:rsidR="00561005">
        <w:rPr>
          <w:lang w:val="en-GB"/>
        </w:rPr>
        <w:t>national criminal proceedings</w:t>
      </w:r>
      <w:r w:rsidR="00D3764E">
        <w:rPr>
          <w:lang w:val="en-GB"/>
        </w:rPr>
        <w:t xml:space="preserve"> against </w:t>
      </w:r>
      <w:r w:rsidR="00D3764E" w:rsidRPr="0047734A">
        <w:rPr>
          <w:lang w:val="en-GB"/>
        </w:rPr>
        <w:t xml:space="preserve">RWM Italia S.p.A. executives and </w:t>
      </w:r>
      <w:r w:rsidR="004B0FAE">
        <w:rPr>
          <w:lang w:val="en-GB"/>
        </w:rPr>
        <w:t xml:space="preserve">UAMA officials </w:t>
      </w:r>
      <w:r w:rsidR="00D3764E">
        <w:rPr>
          <w:lang w:val="en-GB"/>
        </w:rPr>
        <w:t xml:space="preserve">by, for instance, requesting information on </w:t>
      </w:r>
      <w:r w:rsidR="00416C67">
        <w:rPr>
          <w:lang w:val="en-GB"/>
        </w:rPr>
        <w:t>the proceeding</w:t>
      </w:r>
      <w:r w:rsidR="00D3764E">
        <w:rPr>
          <w:lang w:val="en-GB"/>
        </w:rPr>
        <w:t>s, carrying out consultations with national authorities or send</w:t>
      </w:r>
      <w:r w:rsidR="004B0FAE">
        <w:rPr>
          <w:lang w:val="en-GB"/>
        </w:rPr>
        <w:t>ing</w:t>
      </w:r>
      <w:r w:rsidR="00D3764E">
        <w:rPr>
          <w:lang w:val="en-GB"/>
        </w:rPr>
        <w:t xml:space="preserve"> in country mission</w:t>
      </w:r>
      <w:r w:rsidR="004B0FAE">
        <w:rPr>
          <w:lang w:val="en-GB"/>
        </w:rPr>
        <w:t>s</w:t>
      </w:r>
      <w:r w:rsidR="00D3764E">
        <w:rPr>
          <w:lang w:val="en-GB"/>
        </w:rPr>
        <w:t xml:space="preserve"> to Italy</w:t>
      </w:r>
      <w:r w:rsidR="004B0FAE">
        <w:rPr>
          <w:lang w:val="en-GB"/>
        </w:rPr>
        <w:t>.</w:t>
      </w:r>
      <w:r w:rsidR="00D3764E">
        <w:rPr>
          <w:rStyle w:val="FootnoteReference"/>
          <w:rFonts w:eastAsia="Libre Franklin"/>
        </w:rPr>
        <w:footnoteReference w:id="41"/>
      </w:r>
      <w:r w:rsidR="00D3764E">
        <w:rPr>
          <w:lang w:val="en-GB"/>
        </w:rPr>
        <w:t xml:space="preserve"> </w:t>
      </w:r>
    </w:p>
    <w:p w14:paraId="0C9316B5" w14:textId="77777777" w:rsidR="003A7A79" w:rsidRPr="003A7A79" w:rsidRDefault="003A7A79" w:rsidP="006B749F">
      <w:pPr>
        <w:rPr>
          <w:lang w:val="en-GB"/>
        </w:rPr>
      </w:pPr>
    </w:p>
    <w:p w14:paraId="4A36FC88" w14:textId="28C537D5" w:rsidR="003A7A79" w:rsidRPr="006B749F" w:rsidRDefault="005F0474" w:rsidP="006B749F">
      <w:pPr>
        <w:pStyle w:val="Heading1"/>
        <w:rPr>
          <w:vertAlign w:val="superscript"/>
        </w:rPr>
      </w:pPr>
      <w:bookmarkStart w:id="5" w:name="_Toc112675949"/>
      <w:r>
        <w:t>V.</w:t>
      </w:r>
      <w:r>
        <w:tab/>
      </w:r>
      <w:r>
        <w:tab/>
      </w:r>
      <w:r w:rsidR="003A7A79" w:rsidRPr="006B749F">
        <w:t>Concerns regarding the transparency of licensing decisions</w:t>
      </w:r>
      <w:bookmarkEnd w:id="5"/>
      <w:r w:rsidR="003A7A79" w:rsidRPr="006B749F">
        <w:t xml:space="preserve">  </w:t>
      </w:r>
    </w:p>
    <w:p w14:paraId="4A5101B6" w14:textId="77777777" w:rsidR="00D13700" w:rsidRDefault="00EF1F5B" w:rsidP="00D13700">
      <w:pPr>
        <w:rPr>
          <w:lang w:val="en-GB"/>
        </w:rPr>
      </w:pPr>
      <w:r>
        <w:rPr>
          <w:lang w:val="en-GB"/>
        </w:rPr>
        <w:t>22.</w:t>
      </w:r>
      <w:r w:rsidR="002F556D">
        <w:rPr>
          <w:lang w:val="en-GB"/>
        </w:rPr>
        <w:t xml:space="preserve">  </w:t>
      </w:r>
      <w:r w:rsidR="003A7A79" w:rsidRPr="003A7A79">
        <w:rPr>
          <w:lang w:val="en-GB"/>
        </w:rPr>
        <w:t>Experts have highlighted that Italy is one of the least transparent countries in the European Union in relation to fulfilling the reporting requirements under the Arms Trade Treaty.</w:t>
      </w:r>
      <w:r w:rsidR="003A7A79" w:rsidRPr="003A7A79">
        <w:rPr>
          <w:vertAlign w:val="superscript"/>
          <w:lang w:val="en-GB"/>
        </w:rPr>
        <w:footnoteReference w:id="42"/>
      </w:r>
      <w:r w:rsidR="003A7A79" w:rsidRPr="003A7A79">
        <w:rPr>
          <w:lang w:val="en-GB"/>
        </w:rPr>
        <w:t xml:space="preserve"> The report to the Parliament does not include essential information needed to ensure that the Parliament can exercise its supervisory role and ascertain whether the authorisations issued by Italy’s arms</w:t>
      </w:r>
      <w:r w:rsidR="0056528C">
        <w:rPr>
          <w:lang w:val="en-GB"/>
        </w:rPr>
        <w:t xml:space="preserve"> transfers</w:t>
      </w:r>
      <w:r w:rsidR="003A7A79" w:rsidRPr="003A7A79">
        <w:rPr>
          <w:lang w:val="en-GB"/>
        </w:rPr>
        <w:t xml:space="preserve"> licensing authority (UAMA) are in line with the prohibitions laid down in Italy’s own legislation.</w:t>
      </w:r>
      <w:r w:rsidR="003A7A79" w:rsidRPr="003A7A79">
        <w:rPr>
          <w:vertAlign w:val="superscript"/>
          <w:lang w:val="en-GB"/>
        </w:rPr>
        <w:footnoteReference w:id="43"/>
      </w:r>
      <w:r w:rsidR="003A7A79" w:rsidRPr="003A7A79">
        <w:rPr>
          <w:lang w:val="en-GB"/>
        </w:rPr>
        <w:t xml:space="preserve"> For example, it does not the list of countries subject to arms embargoes, nor does it include a list of “countries whose governments are responsible for serious violations of international human rights conventions, ascertained by the competent bodies of the United Nations, the EU or the Council of Europe” or a list of countries in a situation of armed conflict. </w:t>
      </w:r>
      <w:r w:rsidR="00D13700">
        <w:rPr>
          <w:lang w:val="en-GB"/>
        </w:rPr>
        <w:t xml:space="preserve"> </w:t>
      </w:r>
    </w:p>
    <w:p w14:paraId="5256E474" w14:textId="77777777" w:rsidR="00D13700" w:rsidRDefault="00D13700" w:rsidP="00D13700">
      <w:pPr>
        <w:rPr>
          <w:lang w:val="en-GB"/>
        </w:rPr>
      </w:pPr>
    </w:p>
    <w:p w14:paraId="0440532B" w14:textId="330EB954" w:rsidR="003A7A79" w:rsidRPr="003A7A79" w:rsidRDefault="00D13700" w:rsidP="00D13700">
      <w:pPr>
        <w:rPr>
          <w:lang w:val="en-GB"/>
        </w:rPr>
      </w:pPr>
      <w:r>
        <w:rPr>
          <w:lang w:val="en-GB"/>
        </w:rPr>
        <w:t xml:space="preserve">23.  </w:t>
      </w:r>
      <w:r w:rsidR="003A7A79" w:rsidRPr="003A7A79">
        <w:rPr>
          <w:lang w:val="en-GB"/>
        </w:rPr>
        <w:t>Civil society organisations</w:t>
      </w:r>
      <w:r w:rsidR="003A7A79" w:rsidRPr="003A7A79">
        <w:rPr>
          <w:i/>
          <w:lang w:val="en-GB"/>
        </w:rPr>
        <w:t xml:space="preserve"> </w:t>
      </w:r>
      <w:r w:rsidR="003A7A79" w:rsidRPr="003A7A79">
        <w:rPr>
          <w:lang w:val="en-GB"/>
        </w:rPr>
        <w:t>have been urging greater and more thorough parliamentary scrutiny of both the government’s annual report and arms transfers authorised by the government. This includes ensuring greater transparency in the government’s annual report</w:t>
      </w:r>
      <w:r w:rsidR="00906579">
        <w:rPr>
          <w:lang w:val="en-GB"/>
        </w:rPr>
        <w:t>s</w:t>
      </w:r>
      <w:r w:rsidR="003A7A79" w:rsidRPr="003A7A79">
        <w:rPr>
          <w:lang w:val="en-GB"/>
        </w:rPr>
        <w:t xml:space="preserve"> to </w:t>
      </w:r>
      <w:r w:rsidR="003A7A79" w:rsidRPr="003A7A79">
        <w:rPr>
          <w:lang w:val="en-GB"/>
        </w:rPr>
        <w:lastRenderedPageBreak/>
        <w:t>Parliament on arms exports.</w:t>
      </w:r>
      <w:r w:rsidR="003A7A79" w:rsidRPr="003A7A79">
        <w:rPr>
          <w:vertAlign w:val="superscript"/>
          <w:lang w:val="en-GB"/>
        </w:rPr>
        <w:footnoteReference w:id="44"/>
      </w:r>
      <w:r w:rsidR="003A7A79" w:rsidRPr="003A7A79">
        <w:rPr>
          <w:lang w:val="en-GB"/>
        </w:rPr>
        <w:t xml:space="preserve">  In July 2022, the </w:t>
      </w:r>
      <w:r w:rsidR="003A7A79" w:rsidRPr="003A7A79">
        <w:rPr>
          <w:i/>
          <w:iCs/>
          <w:lang w:val="en-GB"/>
        </w:rPr>
        <w:t>Rete Italiana Pace e Disarmo</w:t>
      </w:r>
      <w:r w:rsidR="00440C42">
        <w:rPr>
          <w:i/>
          <w:iCs/>
          <w:lang w:val="en-GB"/>
        </w:rPr>
        <w:t xml:space="preserve"> </w:t>
      </w:r>
      <w:r w:rsidR="00440C42">
        <w:rPr>
          <w:lang w:val="en-GB"/>
        </w:rPr>
        <w:t xml:space="preserve">(Italian Network for Peace and Disarmament, referred to only as “Network” in the press release cited </w:t>
      </w:r>
      <w:r w:rsidR="003B1C95">
        <w:rPr>
          <w:lang w:val="en-GB"/>
        </w:rPr>
        <w:t>in this paragraph</w:t>
      </w:r>
      <w:r w:rsidR="00440C42">
        <w:rPr>
          <w:lang w:val="en-GB"/>
        </w:rPr>
        <w:t xml:space="preserve">) </w:t>
      </w:r>
      <w:r w:rsidR="003A7A79" w:rsidRPr="003A7A79">
        <w:rPr>
          <w:i/>
          <w:iCs/>
          <w:lang w:val="en-GB"/>
        </w:rPr>
        <w:t xml:space="preserve"> </w:t>
      </w:r>
      <w:r w:rsidR="003A7A79" w:rsidRPr="003A7A79">
        <w:rPr>
          <w:lang w:val="en-GB"/>
        </w:rPr>
        <w:t>renewed its call on the Parliament to exercise its supervisory role in the way envisaged by the Law 185/90 on arms export control.</w:t>
      </w:r>
      <w:r w:rsidR="003A7A79" w:rsidRPr="003A7A79">
        <w:rPr>
          <w:vertAlign w:val="superscript"/>
          <w:lang w:val="en-GB"/>
        </w:rPr>
        <w:footnoteReference w:id="45"/>
      </w:r>
      <w:r w:rsidR="003A7A79" w:rsidRPr="003A7A79">
        <w:rPr>
          <w:lang w:val="en-GB"/>
        </w:rPr>
        <w:t xml:space="preserve"> It noted that Law 185/90 is based on the principle that arms sales cannot be considered a mere business but must be linked to foreign policy, respect for human rights and the peace-making role of Italy enshrined in Article 11 of the Constitution</w:t>
      </w:r>
      <w:r w:rsidR="00906579">
        <w:rPr>
          <w:lang w:val="en-GB"/>
        </w:rPr>
        <w:t xml:space="preserve">. It also noted that </w:t>
      </w:r>
      <w:r w:rsidR="003A7A79" w:rsidRPr="003A7A79">
        <w:rPr>
          <w:lang w:val="en-GB"/>
        </w:rPr>
        <w:t xml:space="preserve">another important element of Law 185/90 is transparency, in particular through the </w:t>
      </w:r>
      <w:r w:rsidR="00906579">
        <w:rPr>
          <w:lang w:val="en-GB"/>
        </w:rPr>
        <w:t>annual re</w:t>
      </w:r>
      <w:r w:rsidR="003A7A79" w:rsidRPr="003A7A79">
        <w:rPr>
          <w:lang w:val="en-GB"/>
        </w:rPr>
        <w:t>port</w:t>
      </w:r>
      <w:r w:rsidR="00906579">
        <w:rPr>
          <w:lang w:val="en-GB"/>
        </w:rPr>
        <w:t>s</w:t>
      </w:r>
      <w:r w:rsidR="003A7A79" w:rsidRPr="003A7A79">
        <w:rPr>
          <w:lang w:val="en-GB"/>
        </w:rPr>
        <w:t xml:space="preserve"> that the government must send </w:t>
      </w:r>
      <w:r w:rsidR="003B1C95">
        <w:rPr>
          <w:lang w:val="en-GB"/>
        </w:rPr>
        <w:t xml:space="preserve">to </w:t>
      </w:r>
      <w:r w:rsidR="003A7A79" w:rsidRPr="003A7A79">
        <w:rPr>
          <w:lang w:val="en-GB"/>
        </w:rPr>
        <w:t xml:space="preserve">Parliament with all the data on arms exports. The </w:t>
      </w:r>
      <w:r w:rsidR="003A7A79" w:rsidRPr="003A7A79">
        <w:rPr>
          <w:i/>
          <w:iCs/>
          <w:lang w:val="en-GB"/>
        </w:rPr>
        <w:t xml:space="preserve">Rete Italiana Pace e Disarmo </w:t>
      </w:r>
      <w:r w:rsidR="00906579">
        <w:rPr>
          <w:lang w:val="en-GB"/>
        </w:rPr>
        <w:t>raise</w:t>
      </w:r>
      <w:r w:rsidR="00440C42">
        <w:rPr>
          <w:lang w:val="en-GB"/>
        </w:rPr>
        <w:t>d</w:t>
      </w:r>
      <w:r w:rsidR="00906579">
        <w:rPr>
          <w:lang w:val="en-GB"/>
        </w:rPr>
        <w:t xml:space="preserve"> concerns, among others, </w:t>
      </w:r>
      <w:r w:rsidR="003A7A79" w:rsidRPr="003A7A79">
        <w:rPr>
          <w:lang w:val="en-GB"/>
        </w:rPr>
        <w:t>that “An important role of control is instead assigned to Parliament, but in recent legislatures the Chamber and Senate are not exercising it as they should, favouring the pressures of those who would like to give the military industry a ‘free hand’. We note with regret, for example, that when the 2022 Report was published, there was no adequate reaction from deputies and senators to the serious error in the first version of the document sent to Parliament, which was only corrected (quietly) after our Network’s warnings. For many years, the Annual Report under Law 185/90 was not even discussed in the competent parliamentary committees, despite the pressure to do so from civil society and the direct and important comparisons that used to take place on a regular basis even with the government. Only in recent years have a few parliamentary sessions been devoted to analysing the Report (in some cases hearing the Network and civil society), but in the last two years it has only been the Defence Commissions that have dealt with it.”</w:t>
      </w:r>
      <w:r w:rsidR="003A7A79" w:rsidRPr="003A7A79">
        <w:rPr>
          <w:vertAlign w:val="superscript"/>
          <w:lang w:val="en-GB"/>
        </w:rPr>
        <w:footnoteReference w:id="46"/>
      </w:r>
    </w:p>
    <w:sectPr w:rsidR="003A7A79" w:rsidRPr="003A7A79" w:rsidSect="002F39AA">
      <w:footerReference w:type="even" r:id="rId10"/>
      <w:footerReference w:type="default" r:id="rId11"/>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0261FD" w14:textId="77777777" w:rsidR="00D26621" w:rsidRDefault="00D26621" w:rsidP="00577BD9">
      <w:r>
        <w:separator/>
      </w:r>
    </w:p>
  </w:endnote>
  <w:endnote w:type="continuationSeparator" w:id="0">
    <w:p w14:paraId="4388C618" w14:textId="77777777" w:rsidR="00D26621" w:rsidRDefault="00D26621" w:rsidP="00577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re Franklin">
    <w:altName w:val="Arial"/>
    <w:charset w:val="4D"/>
    <w:family w:val="auto"/>
    <w:pitch w:val="variable"/>
    <w:sig w:usb0="00000001" w:usb1="4000205B" w:usb2="00000000" w:usb3="00000000" w:csb0="00000193"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mnesty Trade Gothic">
    <w:altName w:val="Calibri"/>
    <w:charset w:val="00"/>
    <w:family w:val="swiss"/>
    <w:pitch w:val="variable"/>
    <w:sig w:usb0="00000001"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971164236"/>
      <w:docPartObj>
        <w:docPartGallery w:val="Page Numbers (Bottom of Page)"/>
        <w:docPartUnique/>
      </w:docPartObj>
    </w:sdtPr>
    <w:sdtEndPr>
      <w:rPr>
        <w:rStyle w:val="PageNumber"/>
      </w:rPr>
    </w:sdtEndPr>
    <w:sdtContent>
      <w:p w14:paraId="5619E260" w14:textId="539FF676" w:rsidR="002F39AA" w:rsidRDefault="002F39AA" w:rsidP="002F39A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516EF1" w14:textId="77777777" w:rsidR="002F39AA" w:rsidRDefault="002F39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33890615"/>
      <w:docPartObj>
        <w:docPartGallery w:val="Page Numbers (Bottom of Page)"/>
        <w:docPartUnique/>
      </w:docPartObj>
    </w:sdtPr>
    <w:sdtEndPr>
      <w:rPr>
        <w:rStyle w:val="PageNumber"/>
      </w:rPr>
    </w:sdtEndPr>
    <w:sdtContent>
      <w:p w14:paraId="065236EB" w14:textId="1CC8C824" w:rsidR="002F39AA" w:rsidRDefault="002F39AA" w:rsidP="002F39A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832D65">
          <w:rPr>
            <w:rStyle w:val="PageNumber"/>
            <w:noProof/>
          </w:rPr>
          <w:t>12</w:t>
        </w:r>
        <w:r>
          <w:rPr>
            <w:rStyle w:val="PageNumber"/>
          </w:rPr>
          <w:fldChar w:fldCharType="end"/>
        </w:r>
      </w:p>
    </w:sdtContent>
  </w:sdt>
  <w:p w14:paraId="7D46204D" w14:textId="77777777" w:rsidR="002F39AA" w:rsidRDefault="002F39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6BAC40" w14:textId="77777777" w:rsidR="00D26621" w:rsidRDefault="00D26621" w:rsidP="00577BD9">
      <w:r>
        <w:separator/>
      </w:r>
    </w:p>
  </w:footnote>
  <w:footnote w:type="continuationSeparator" w:id="0">
    <w:p w14:paraId="6275292F" w14:textId="77777777" w:rsidR="00D26621" w:rsidRDefault="00D26621" w:rsidP="00577BD9">
      <w:r>
        <w:continuationSeparator/>
      </w:r>
    </w:p>
  </w:footnote>
  <w:footnote w:id="1">
    <w:p w14:paraId="663088A1" w14:textId="5DB00417" w:rsidR="003A7A79" w:rsidRPr="00975097" w:rsidRDefault="003A7A79" w:rsidP="00B323AE">
      <w:pPr>
        <w:pStyle w:val="FootnoteText"/>
        <w:rPr>
          <w:lang w:val="en-US"/>
        </w:rPr>
      </w:pPr>
      <w:r>
        <w:rPr>
          <w:rStyle w:val="FootnoteReference"/>
        </w:rPr>
        <w:footnoteRef/>
      </w:r>
      <w:r>
        <w:t xml:space="preserve"> </w:t>
      </w:r>
      <w:r w:rsidRPr="00975097">
        <w:t xml:space="preserve">See list of NGOs that </w:t>
      </w:r>
      <w:r w:rsidRPr="00ED6C9B">
        <w:t>endorsed</w:t>
      </w:r>
      <w:r w:rsidRPr="00975097">
        <w:t xml:space="preserve"> a joint UPR advocacy brief of October 2019</w:t>
      </w:r>
      <w:r w:rsidR="003A57A9">
        <w:t xml:space="preserve">, </w:t>
      </w:r>
      <w:r w:rsidRPr="00975097">
        <w:t>available at</w:t>
      </w:r>
      <w:r w:rsidR="003A57A9">
        <w:t xml:space="preserve">: </w:t>
      </w:r>
      <w:hyperlink r:id="rId1" w:history="1">
        <w:r w:rsidR="003A57A9" w:rsidRPr="003A57A9">
          <w:rPr>
            <w:rStyle w:val="Hyperlink"/>
          </w:rPr>
          <w:t>https://www.wilpf.org/wp-content/uploads/2019/11/UPR-2019_Italy_Analysis-and-Recommendations-_english-version.pdf</w:t>
        </w:r>
      </w:hyperlink>
      <w:r>
        <w:t xml:space="preserve">. </w:t>
      </w:r>
    </w:p>
  </w:footnote>
  <w:footnote w:id="2">
    <w:p w14:paraId="6EF67C40" w14:textId="67B34B28" w:rsidR="003A7A79" w:rsidRPr="00975097" w:rsidRDefault="003A7A79" w:rsidP="00B323AE">
      <w:pPr>
        <w:pStyle w:val="FootnoteText"/>
      </w:pPr>
      <w:r>
        <w:rPr>
          <w:rStyle w:val="FootnoteReference"/>
        </w:rPr>
        <w:footnoteRef/>
      </w:r>
      <w:r>
        <w:t xml:space="preserve"> See Joint submission </w:t>
      </w:r>
      <w:r w:rsidRPr="00ED6C9B">
        <w:t>by</w:t>
      </w:r>
      <w:r>
        <w:t xml:space="preserve"> </w:t>
      </w:r>
      <w:r w:rsidRPr="00975097">
        <w:t xml:space="preserve">Fondazione Pangea </w:t>
      </w:r>
      <w:r w:rsidRPr="00975097">
        <w:rPr>
          <w:i/>
          <w:iCs/>
        </w:rPr>
        <w:t>et al</w:t>
      </w:r>
      <w:r w:rsidR="003A57A9">
        <w:rPr>
          <w:i/>
          <w:iCs/>
        </w:rPr>
        <w:t xml:space="preserve">, </w:t>
      </w:r>
      <w:r w:rsidRPr="00975097">
        <w:rPr>
          <w:i/>
          <w:iCs/>
        </w:rPr>
        <w:t xml:space="preserve"> </w:t>
      </w:r>
      <w:r w:rsidRPr="00975097">
        <w:t xml:space="preserve">available at: </w:t>
      </w:r>
      <w:hyperlink r:id="rId2" w:history="1">
        <w:r w:rsidRPr="00975097">
          <w:rPr>
            <w:rStyle w:val="Hyperlink"/>
          </w:rPr>
          <w:t>https://tbinternet.ohchr.org/_layouts/15/treatybodyexternal/Download.aspx?symbolno=INT%2fCESCR%2fICS%2fITA%2f41172&amp;Lang=en</w:t>
        </w:r>
      </w:hyperlink>
      <w:r>
        <w:t xml:space="preserve">. </w:t>
      </w:r>
    </w:p>
  </w:footnote>
  <w:footnote w:id="3">
    <w:p w14:paraId="538037D2" w14:textId="6B6A7424" w:rsidR="003A57A9" w:rsidRPr="003A57A9" w:rsidRDefault="003A7A79" w:rsidP="00E64AD5">
      <w:pPr>
        <w:pStyle w:val="FootnoteText"/>
        <w:rPr>
          <w:lang w:val="en-US"/>
        </w:rPr>
      </w:pPr>
      <w:r>
        <w:rPr>
          <w:rStyle w:val="FootnoteReference"/>
        </w:rPr>
        <w:footnoteRef/>
      </w:r>
      <w:r w:rsidRPr="00906495">
        <w:t xml:space="preserve"> </w:t>
      </w:r>
      <w:r w:rsidR="003A57A9" w:rsidRPr="003A57A9">
        <w:rPr>
          <w:lang/>
        </w:rPr>
        <w:t>The Impact of Italy's Arms Transfers on Economic, Social and Cultural Rights</w:t>
      </w:r>
      <w:r w:rsidR="003A57A9" w:rsidRPr="003A57A9">
        <w:rPr>
          <w:lang w:val="en-US"/>
        </w:rPr>
        <w:t xml:space="preserve">, </w:t>
      </w:r>
      <w:r w:rsidR="003A57A9" w:rsidRPr="003A57A9">
        <w:rPr>
          <w:lang/>
        </w:rPr>
        <w:t>Submission to the Committee on Economic, Social and Cultural Rights (CESCR) 66th Pre-sessional Working Group (03 March 2020- 13 March 2020)</w:t>
      </w:r>
      <w:r w:rsidR="003A57A9" w:rsidRPr="003A57A9">
        <w:rPr>
          <w:lang w:val="en-US"/>
        </w:rPr>
        <w:t xml:space="preserve">, </w:t>
      </w:r>
      <w:r w:rsidR="003A57A9" w:rsidRPr="003A57A9">
        <w:rPr>
          <w:lang/>
        </w:rPr>
        <w:t>List of issues prior to reporting by Italy</w:t>
      </w:r>
      <w:r w:rsidR="003A57A9" w:rsidRPr="003A57A9">
        <w:rPr>
          <w:lang w:val="en-US"/>
        </w:rPr>
        <w:t xml:space="preserve"> available at: </w:t>
      </w:r>
    </w:p>
    <w:p w14:paraId="01099572" w14:textId="78EA4376" w:rsidR="003A7A79" w:rsidRPr="00906495" w:rsidRDefault="003A7A79" w:rsidP="00B323AE">
      <w:pPr>
        <w:pStyle w:val="FootnoteText"/>
      </w:pPr>
      <w:r w:rsidRPr="00906495">
        <w:t>https://www.ecchr.eu/fileadmin/Juristische_Dokumente/ECCHR_CESCR_SUBMISSION_ITALY_MAR2020.pdf</w:t>
      </w:r>
    </w:p>
  </w:footnote>
  <w:footnote w:id="4">
    <w:p w14:paraId="7E6A4885" w14:textId="67F380D1" w:rsidR="00A07872" w:rsidRPr="0078413F" w:rsidRDefault="00A07872">
      <w:pPr>
        <w:pStyle w:val="FootnoteText"/>
      </w:pPr>
      <w:r>
        <w:rPr>
          <w:rStyle w:val="FootnoteReference"/>
        </w:rPr>
        <w:footnoteRef/>
      </w:r>
      <w:r w:rsidRPr="00E64AD5">
        <w:rPr>
          <w:i/>
          <w:iCs/>
        </w:rPr>
        <w:t xml:space="preserve"> Ibid</w:t>
      </w:r>
      <w:r>
        <w:t>, at p</w:t>
      </w:r>
      <w:r w:rsidR="003A57A9">
        <w:t>age</w:t>
      </w:r>
      <w:r w:rsidR="00E64AD5">
        <w:t xml:space="preserve">s </w:t>
      </w:r>
      <w:r>
        <w:t>2-3.</w:t>
      </w:r>
    </w:p>
  </w:footnote>
  <w:footnote w:id="5">
    <w:p w14:paraId="67B6E2FF" w14:textId="5E5FD6EE" w:rsidR="003A7A79" w:rsidRPr="00EF1F5B" w:rsidRDefault="003A7A79" w:rsidP="00E64AD5">
      <w:pPr>
        <w:pStyle w:val="FootnoteText"/>
        <w:rPr>
          <w:noProof/>
          <w:lang/>
        </w:rPr>
      </w:pPr>
      <w:r>
        <w:rPr>
          <w:rStyle w:val="FootnoteReference"/>
          <w:noProof/>
        </w:rPr>
        <w:footnoteRef/>
      </w:r>
      <w:r w:rsidRPr="00577BD9">
        <w:rPr>
          <w:noProof/>
          <w:lang w:val="en-US"/>
        </w:rPr>
        <w:t xml:space="preserve"> 25 “The Committee recommends that legislation regulating arms export control be harmonized with article 7 (4) of the Arms Trade Treaty and with Council Common Position 2008/944/CFSP of the Council of the European Union defining common rules governing control of exports of military technology and equipment. It also recommends that the State party </w:t>
      </w:r>
      <w:r w:rsidRPr="00E64AD5">
        <w:t>integrate</w:t>
      </w:r>
      <w:r w:rsidRPr="00577BD9">
        <w:rPr>
          <w:noProof/>
          <w:lang w:val="en-US"/>
        </w:rPr>
        <w:t xml:space="preserve"> a gender dimension into its strategic dialogues with countries purchasing Italian arms and that, before export licences are granted, comprehensive and transparent assessments be conducted of the impact that the misuse of small arms and light weapons has on women, including those living in conflict zones”. </w:t>
      </w:r>
      <w:r w:rsidR="00440C42">
        <w:rPr>
          <w:noProof/>
          <w:lang w:val="en-US"/>
        </w:rPr>
        <w:t xml:space="preserve"> </w:t>
      </w:r>
      <w:r w:rsidR="00440C42" w:rsidRPr="00440C42">
        <w:rPr>
          <w:noProof/>
          <w:lang w:val="en-US"/>
        </w:rPr>
        <w:t>Concluding observations on the seventh periodic report of Italy</w:t>
      </w:r>
      <w:r w:rsidR="00440C42">
        <w:rPr>
          <w:noProof/>
          <w:lang w:val="en-US"/>
        </w:rPr>
        <w:t xml:space="preserve">, CEDAW Committee, </w:t>
      </w:r>
      <w:r w:rsidRPr="00577BD9">
        <w:rPr>
          <w:noProof/>
          <w:lang w:val="en-US"/>
        </w:rPr>
        <w:t>CEDAW/C/ITA/CO/7</w:t>
      </w:r>
      <w:r w:rsidR="00440C42">
        <w:rPr>
          <w:noProof/>
          <w:lang w:val="en-US"/>
        </w:rPr>
        <w:t xml:space="preserve">, </w:t>
      </w:r>
      <w:r w:rsidR="00440C42" w:rsidRPr="00440C42">
        <w:rPr>
          <w:rFonts w:ascii="Franklin Gothic Book" w:hAnsi="Franklin Gothic Book"/>
          <w:noProof/>
          <w:lang/>
        </w:rPr>
        <w:t>24 July 2017</w:t>
      </w:r>
      <w:r w:rsidR="00440C42" w:rsidRPr="00EF1F5B">
        <w:rPr>
          <w:noProof/>
          <w:lang w:val="en-US"/>
        </w:rPr>
        <w:t>.</w:t>
      </w:r>
    </w:p>
  </w:footnote>
  <w:footnote w:id="6">
    <w:p w14:paraId="22ED826A" w14:textId="1DC55E07" w:rsidR="003A7A79" w:rsidRPr="00577BD9" w:rsidRDefault="003A7A79" w:rsidP="00B323AE">
      <w:pPr>
        <w:pStyle w:val="FootnoteText"/>
        <w:rPr>
          <w:rFonts w:ascii="Libre Franklin" w:hAnsi="Libre Franklin"/>
          <w:noProof/>
          <w:color w:val="595959"/>
          <w:szCs w:val="20"/>
          <w:lang w:val="en-US"/>
        </w:rPr>
      </w:pPr>
      <w:r>
        <w:rPr>
          <w:rStyle w:val="FootnoteReference"/>
          <w:noProof/>
        </w:rPr>
        <w:footnoteRef/>
      </w:r>
      <w:r>
        <w:rPr>
          <w:noProof/>
        </w:rPr>
        <w:t xml:space="preserve"> Accepted recommendations: </w:t>
      </w:r>
      <w:r w:rsidRPr="00E837D8">
        <w:rPr>
          <w:noProof/>
          <w:lang w:val="en-US"/>
        </w:rPr>
        <w:t xml:space="preserve">148.232 Take more measures to prevent arms transfers that may facilitate human rights violations, including gender-based violence, and that negatively impact women (Namibia); </w:t>
      </w:r>
      <w:r>
        <w:rPr>
          <w:noProof/>
          <w:lang w:val="en-US"/>
        </w:rPr>
        <w:t xml:space="preserve">and </w:t>
      </w:r>
      <w:r w:rsidRPr="00E837D8">
        <w:rPr>
          <w:noProof/>
        </w:rPr>
        <w:t xml:space="preserve">148.15 </w:t>
      </w:r>
      <w:r w:rsidRPr="00B323AE">
        <w:t>Ensure</w:t>
      </w:r>
      <w:r w:rsidRPr="00E837D8">
        <w:rPr>
          <w:noProof/>
        </w:rPr>
        <w:t xml:space="preserve"> that all arms transfers and exports comply with Italy’s obligations under the Arms Trade Treaty (Iceland)</w:t>
      </w:r>
      <w:r>
        <w:rPr>
          <w:noProof/>
        </w:rPr>
        <w:t xml:space="preserve">.  Recommendation not accepted: </w:t>
      </w:r>
      <w:r w:rsidRPr="00E837D8">
        <w:rPr>
          <w:noProof/>
        </w:rPr>
        <w:t>148.7 Sign and ratify the Treaty on the Prohibition of Nuclear Weapons, and integrate a human rights impact assessment into its arms export control mechanisms (Ecuador)</w:t>
      </w:r>
      <w:r>
        <w:rPr>
          <w:noProof/>
        </w:rPr>
        <w:t xml:space="preserve">. For the source of Italy’s positions on these recommendations, see: </w:t>
      </w:r>
      <w:r w:rsidRPr="00942D82">
        <w:rPr>
          <w:noProof/>
          <w:lang w:val="en-US"/>
        </w:rPr>
        <w:t>Report of the Working Group on the Universal Periodic Review</w:t>
      </w:r>
      <w:r>
        <w:rPr>
          <w:noProof/>
          <w:lang w:val="en-US"/>
        </w:rPr>
        <w:t xml:space="preserve">, </w:t>
      </w:r>
      <w:r w:rsidRPr="00942D82">
        <w:rPr>
          <w:noProof/>
          <w:lang w:val="en-US"/>
        </w:rPr>
        <w:t>Italy</w:t>
      </w:r>
      <w:r>
        <w:rPr>
          <w:noProof/>
          <w:lang w:val="en-US"/>
        </w:rPr>
        <w:t xml:space="preserve">. </w:t>
      </w:r>
      <w:r w:rsidRPr="00942D82">
        <w:rPr>
          <w:noProof/>
          <w:lang w:val="en-US"/>
        </w:rPr>
        <w:t>Addendum</w:t>
      </w:r>
      <w:r>
        <w:rPr>
          <w:noProof/>
          <w:lang w:val="en-US"/>
        </w:rPr>
        <w:t xml:space="preserve">. </w:t>
      </w:r>
      <w:r w:rsidRPr="00942D82">
        <w:rPr>
          <w:noProof/>
          <w:lang w:val="en-US"/>
        </w:rPr>
        <w:t>Views on conclusions and/or recommendations, voluntary commitments and replies presented by the State under review</w:t>
      </w:r>
      <w:r>
        <w:rPr>
          <w:noProof/>
          <w:lang w:val="en-US"/>
        </w:rPr>
        <w:t xml:space="preserve">, </w:t>
      </w:r>
      <w:r w:rsidRPr="00942D82">
        <w:rPr>
          <w:noProof/>
          <w:lang w:val="en-US"/>
        </w:rPr>
        <w:t>A/HRC/43/4/Add.1</w:t>
      </w:r>
      <w:r>
        <w:rPr>
          <w:noProof/>
          <w:lang w:val="en-US"/>
        </w:rPr>
        <w:t xml:space="preserve">, 19 February 2020, </w:t>
      </w:r>
      <w:r>
        <w:rPr>
          <w:noProof/>
        </w:rPr>
        <w:t xml:space="preserve">see paragraphs 4 and 8.  </w:t>
      </w:r>
    </w:p>
  </w:footnote>
  <w:footnote w:id="7">
    <w:p w14:paraId="0CB0E6C4" w14:textId="4D9D213C" w:rsidR="003A7A79" w:rsidRPr="00EF1F5B" w:rsidRDefault="003A7A79" w:rsidP="00E64AD5">
      <w:pPr>
        <w:pStyle w:val="FootnoteText"/>
      </w:pPr>
      <w:r>
        <w:rPr>
          <w:rStyle w:val="FootnoteReference"/>
        </w:rPr>
        <w:footnoteRef/>
      </w:r>
      <w:r>
        <w:t xml:space="preserve"> “</w:t>
      </w:r>
      <w:r w:rsidRPr="00B6309E">
        <w:t>10.Please provide information on the mechanisms or procedures put in place to ensure that human rights risk assessments are carried out before the unit for authorizations of armament materials (</w:t>
      </w:r>
      <w:r w:rsidRPr="00E64AD5">
        <w:rPr>
          <w:i/>
          <w:iCs/>
        </w:rPr>
        <w:t>Unità per le autorizzazioni dei materiali di armamento</w:t>
      </w:r>
      <w:r w:rsidRPr="00B6309E">
        <w:t xml:space="preserve">) grants licences for arms </w:t>
      </w:r>
      <w:r w:rsidRPr="00E64AD5">
        <w:t>exports</w:t>
      </w:r>
      <w:r w:rsidRPr="00B6309E">
        <w:t xml:space="preserve">, and on the assessments carried out and responses to such assessments to date. In particular, please provide information on any specific measures taken to ensure that </w:t>
      </w:r>
      <w:r w:rsidRPr="00B323AE">
        <w:t>business</w:t>
      </w:r>
      <w:r w:rsidRPr="00B6309E">
        <w:t xml:space="preserve"> entities in the arms industry carry out human rights due diligence. Please also provide information on the implementation of the motion approved by the parliament in June 2019 in relation to arms export to Saudi Arabia and to the United Arab Emirates.</w:t>
      </w:r>
      <w:r>
        <w:t>”</w:t>
      </w:r>
      <w:r w:rsidR="00550010">
        <w:t xml:space="preserve"> </w:t>
      </w:r>
      <w:r w:rsidR="00486976">
        <w:t xml:space="preserve">List of issues prior to submission of the sixth periodic report  of Italy, CESCR, </w:t>
      </w:r>
      <w:r w:rsidR="00550010" w:rsidRPr="003A7A79">
        <w:t>E/C.12/ITA/QPR/6</w:t>
      </w:r>
      <w:r w:rsidR="00440C42">
        <w:t xml:space="preserve">, </w:t>
      </w:r>
      <w:r w:rsidR="00550010" w:rsidRPr="003A7A79">
        <w:t>16 April 2020</w:t>
      </w:r>
      <w:r w:rsidR="00440C42">
        <w:t xml:space="preserve">. </w:t>
      </w:r>
    </w:p>
  </w:footnote>
  <w:footnote w:id="8">
    <w:p w14:paraId="7991A0E7" w14:textId="77777777" w:rsidR="003A7A79" w:rsidRPr="00577BD9" w:rsidRDefault="003A7A79" w:rsidP="00E64AD5">
      <w:pPr>
        <w:pStyle w:val="FootnoteText"/>
        <w:rPr>
          <w:noProof/>
          <w:szCs w:val="20"/>
          <w:lang w:val="en-US"/>
        </w:rPr>
      </w:pPr>
      <w:r>
        <w:rPr>
          <w:rStyle w:val="FootnoteReference"/>
          <w:noProof/>
        </w:rPr>
        <w:footnoteRef/>
      </w:r>
      <w:r w:rsidRPr="00577BD9">
        <w:rPr>
          <w:noProof/>
          <w:szCs w:val="20"/>
          <w:lang w:val="en-US"/>
        </w:rPr>
        <w:t xml:space="preserve"> </w:t>
      </w:r>
      <w:r w:rsidRPr="00E837D8">
        <w:rPr>
          <w:rStyle w:val="FootnoteTextChar"/>
          <w:noProof/>
        </w:rPr>
        <w:t xml:space="preserve">Protocol against the Illicit </w:t>
      </w:r>
      <w:r w:rsidRPr="00E64AD5">
        <w:rPr>
          <w:rStyle w:val="FootnoteTextChar"/>
        </w:rPr>
        <w:t>Manufacturing</w:t>
      </w:r>
      <w:r w:rsidRPr="00E837D8">
        <w:rPr>
          <w:rStyle w:val="FootnoteTextChar"/>
          <w:noProof/>
        </w:rPr>
        <w:t xml:space="preserve"> of and Trafficking in Firearms, Their Parts and Components and Ammunition (Known as the Firearms Protocol)</w:t>
      </w:r>
      <w:r w:rsidRPr="00577BD9">
        <w:rPr>
          <w:rFonts w:ascii="Calibri" w:eastAsia="Calibri" w:hAnsi="Calibri" w:cs="Calibri"/>
          <w:noProof/>
          <w:sz w:val="24"/>
          <w:lang w:val="en-US"/>
        </w:rPr>
        <w:t xml:space="preserve">. </w:t>
      </w:r>
    </w:p>
  </w:footnote>
  <w:footnote w:id="9">
    <w:p w14:paraId="62D6A47E" w14:textId="77777777" w:rsidR="003A7A79" w:rsidRPr="00EF1F5B" w:rsidRDefault="003A7A79" w:rsidP="00E64AD5">
      <w:pPr>
        <w:pStyle w:val="FootnoteText"/>
        <w:rPr>
          <w:noProof/>
          <w:lang w:val="it-IT"/>
        </w:rPr>
      </w:pPr>
      <w:r>
        <w:rPr>
          <w:rStyle w:val="FootnoteReference"/>
          <w:noProof/>
        </w:rPr>
        <w:footnoteRef/>
      </w:r>
      <w:r w:rsidRPr="00EF1F5B">
        <w:rPr>
          <w:noProof/>
          <w:lang w:val="it-IT"/>
        </w:rPr>
        <w:t xml:space="preserve"> </w:t>
      </w:r>
      <w:r w:rsidRPr="00E64AD5">
        <w:rPr>
          <w:i/>
          <w:iCs/>
          <w:noProof/>
          <w:lang w:val="it-IT"/>
        </w:rPr>
        <w:t xml:space="preserve">Nuove norme sul </w:t>
      </w:r>
      <w:r w:rsidRPr="00E64AD5">
        <w:rPr>
          <w:i/>
          <w:iCs/>
          <w:lang w:val="it-IT"/>
        </w:rPr>
        <w:t>controllo</w:t>
      </w:r>
      <w:r w:rsidRPr="00E64AD5">
        <w:rPr>
          <w:i/>
          <w:iCs/>
          <w:noProof/>
          <w:lang w:val="it-IT"/>
        </w:rPr>
        <w:t xml:space="preserve"> </w:t>
      </w:r>
      <w:r w:rsidRPr="00E64AD5">
        <w:rPr>
          <w:i/>
          <w:iCs/>
        </w:rPr>
        <w:t>dell'esportazione</w:t>
      </w:r>
      <w:r w:rsidRPr="00E64AD5">
        <w:rPr>
          <w:i/>
          <w:iCs/>
          <w:noProof/>
          <w:lang w:val="it-IT"/>
        </w:rPr>
        <w:t>, importazione e transito dei materiali di armamento (1) (2) (3), Legge 9 luglio 1990 n.185,</w:t>
      </w:r>
      <w:r w:rsidRPr="00EF1F5B">
        <w:rPr>
          <w:noProof/>
          <w:lang w:val="it-IT"/>
        </w:rPr>
        <w:t xml:space="preserve"> http://www.difesa.it/Legislazione/Norme_in_rete/Pagine/urn_nir_parlamento_legge_1990-07- 09_185_28_02_200501_06_2011_15_07_28.aspx. </w:t>
      </w:r>
    </w:p>
  </w:footnote>
  <w:footnote w:id="10">
    <w:p w14:paraId="1BF09704" w14:textId="77777777" w:rsidR="003A7A79" w:rsidRPr="00EF1F5B" w:rsidRDefault="003A7A79" w:rsidP="00B323AE">
      <w:pPr>
        <w:pStyle w:val="FootnoteText"/>
        <w:rPr>
          <w:noProof/>
          <w:color w:val="595959"/>
          <w:szCs w:val="20"/>
        </w:rPr>
      </w:pPr>
      <w:r>
        <w:rPr>
          <w:rStyle w:val="FootnoteReference"/>
          <w:noProof/>
        </w:rPr>
        <w:footnoteRef/>
      </w:r>
      <w:r w:rsidRPr="00EF1F5B">
        <w:rPr>
          <w:noProof/>
          <w:color w:val="595959"/>
          <w:szCs w:val="20"/>
        </w:rPr>
        <w:t xml:space="preserve"> </w:t>
      </w:r>
      <w:r w:rsidRPr="00EF1F5B">
        <w:rPr>
          <w:rStyle w:val="FootnoteTextChar"/>
          <w:i/>
          <w:iCs/>
          <w:noProof/>
        </w:rPr>
        <w:t>Decreto del Presidente del Consiglio dei Ministri, 22 marzo 2020</w:t>
      </w:r>
      <w:r w:rsidRPr="00EF1F5B">
        <w:rPr>
          <w:rStyle w:val="FootnoteTextChar"/>
          <w:noProof/>
        </w:rPr>
        <w:t xml:space="preserve"> (Decree of the President of the Council of Ministers, 22 March 2020) </w:t>
      </w:r>
      <w:hyperlink r:id="rId3" w:history="1">
        <w:r w:rsidRPr="00EF1F5B">
          <w:rPr>
            <w:rStyle w:val="FootnoteTextChar"/>
            <w:noProof/>
          </w:rPr>
          <w:t>https://www.gazzettaufficiale.it/eli/id/2020/03/22/20A01807/sg</w:t>
        </w:r>
      </w:hyperlink>
      <w:r w:rsidRPr="00EF1F5B">
        <w:rPr>
          <w:rStyle w:val="FootnoteTextChar"/>
          <w:noProof/>
        </w:rPr>
        <w:t xml:space="preserve"> .</w:t>
      </w:r>
      <w:r w:rsidRPr="00EF1F5B">
        <w:rPr>
          <w:noProof/>
          <w:color w:val="595959"/>
          <w:szCs w:val="20"/>
        </w:rPr>
        <w:t xml:space="preserve"> </w:t>
      </w:r>
    </w:p>
  </w:footnote>
  <w:footnote w:id="11">
    <w:p w14:paraId="77DE3111" w14:textId="77777777" w:rsidR="003A7A79" w:rsidRPr="00577BD9" w:rsidRDefault="003A7A79" w:rsidP="00B323AE">
      <w:pPr>
        <w:pStyle w:val="FootnoteText"/>
        <w:rPr>
          <w:noProof/>
          <w:color w:val="595959"/>
          <w:szCs w:val="20"/>
          <w:lang w:val="en-US"/>
        </w:rPr>
      </w:pPr>
      <w:r>
        <w:rPr>
          <w:rStyle w:val="FootnoteReference"/>
          <w:noProof/>
        </w:rPr>
        <w:footnoteRef/>
      </w:r>
      <w:r w:rsidRPr="00577BD9">
        <w:rPr>
          <w:noProof/>
          <w:color w:val="595959"/>
          <w:szCs w:val="20"/>
          <w:lang w:val="en-US"/>
        </w:rPr>
        <w:t xml:space="preserve"> </w:t>
      </w:r>
      <w:r w:rsidRPr="00531D82">
        <w:rPr>
          <w:rStyle w:val="FootnoteTextChar"/>
          <w:noProof/>
        </w:rPr>
        <w:t xml:space="preserve">See, for example, F-35 work continues in Italy despite coronavirus lockdown, </w:t>
      </w:r>
      <w:hyperlink r:id="rId4">
        <w:r w:rsidRPr="00531D82">
          <w:rPr>
            <w:rStyle w:val="FootnoteTextChar"/>
            <w:noProof/>
          </w:rPr>
          <w:t>https://www.defensenews.com/congress/2020/03/10/f-35-work-goes-on-in-italy-despite-coronavirus-lockdown/</w:t>
        </w:r>
      </w:hyperlink>
      <w:r w:rsidRPr="00531D82">
        <w:rPr>
          <w:rStyle w:val="FootnoteTextChar"/>
          <w:noProof/>
        </w:rPr>
        <w:t xml:space="preserve">; see also: COVID-19: From Ceasefire to Divestment and Disarmament,  WILPF, </w:t>
      </w:r>
      <w:hyperlink r:id="rId5" w:history="1">
        <w:r w:rsidRPr="00531D82">
          <w:rPr>
            <w:rStyle w:val="FootnoteTextChar"/>
            <w:noProof/>
          </w:rPr>
          <w:t>https://www.wilpf.org/from-ceasefire-to-divestment-and-disarmament/</w:t>
        </w:r>
      </w:hyperlink>
      <w:r w:rsidRPr="00577BD9">
        <w:rPr>
          <w:noProof/>
          <w:color w:val="595959"/>
          <w:szCs w:val="20"/>
          <w:lang w:val="en-US"/>
        </w:rPr>
        <w:t xml:space="preserve"> </w:t>
      </w:r>
    </w:p>
  </w:footnote>
  <w:footnote w:id="12">
    <w:p w14:paraId="220D575B" w14:textId="77777777" w:rsidR="003A7A79" w:rsidRPr="003A7A79" w:rsidRDefault="003A7A79" w:rsidP="00B323AE">
      <w:pPr>
        <w:pStyle w:val="FootnoteText"/>
        <w:rPr>
          <w:noProof/>
          <w:color w:val="595959"/>
          <w:szCs w:val="20"/>
          <w:lang w:val="fr-CH"/>
        </w:rPr>
      </w:pPr>
      <w:r>
        <w:rPr>
          <w:rStyle w:val="FootnoteReference"/>
          <w:noProof/>
        </w:rPr>
        <w:footnoteRef/>
      </w:r>
      <w:r w:rsidRPr="003A7A79">
        <w:rPr>
          <w:noProof/>
          <w:color w:val="595959"/>
          <w:szCs w:val="20"/>
          <w:lang w:val="fr-CH"/>
        </w:rPr>
        <w:t xml:space="preserve"> </w:t>
      </w:r>
      <w:r w:rsidRPr="00531D82">
        <w:rPr>
          <w:i/>
          <w:iCs/>
          <w:noProof/>
          <w:color w:val="595959"/>
          <w:szCs w:val="20"/>
          <w:lang w:val="it-IT"/>
        </w:rPr>
        <w:t>Coronavirus, Rwm ferma la produzione</w:t>
      </w:r>
      <w:r>
        <w:rPr>
          <w:i/>
          <w:iCs/>
          <w:noProof/>
          <w:color w:val="595959"/>
          <w:szCs w:val="20"/>
          <w:lang w:val="it-IT"/>
        </w:rPr>
        <w:t xml:space="preserve"> </w:t>
      </w:r>
      <w:r w:rsidRPr="00E64AD5">
        <w:rPr>
          <w:noProof/>
          <w:color w:val="595959"/>
          <w:szCs w:val="20"/>
          <w:lang w:val="it-IT"/>
        </w:rPr>
        <w:t>(Coronavirus, RWM suspends production)</w:t>
      </w:r>
      <w:r>
        <w:rPr>
          <w:i/>
          <w:iCs/>
          <w:noProof/>
          <w:color w:val="595959"/>
          <w:szCs w:val="20"/>
          <w:lang w:val="it-IT"/>
        </w:rPr>
        <w:t xml:space="preserve"> </w:t>
      </w:r>
      <w:r w:rsidRPr="003A7A79">
        <w:rPr>
          <w:noProof/>
          <w:color w:val="595959"/>
          <w:szCs w:val="20"/>
          <w:lang w:val="fr-CH"/>
        </w:rPr>
        <w:t xml:space="preserve"> (</w:t>
      </w:r>
      <w:hyperlink r:id="rId6" w:history="1">
        <w:r w:rsidRPr="003A7A79">
          <w:rPr>
            <w:rStyle w:val="Hyperlink"/>
            <w:noProof/>
            <w:lang w:val="fr-CH"/>
          </w:rPr>
          <w:t>https://www.sardiniapost.it/cronaca/coronaviurs-rwm-ferma-la-produzione-ridurre-ulteriori-rischi-per-il-territorio/</w:t>
        </w:r>
      </w:hyperlink>
      <w:r w:rsidRPr="003A7A79">
        <w:rPr>
          <w:noProof/>
          <w:color w:val="595959"/>
          <w:szCs w:val="20"/>
          <w:lang w:val="fr-CH"/>
        </w:rPr>
        <w:t xml:space="preserve"> </w:t>
      </w:r>
    </w:p>
  </w:footnote>
  <w:footnote w:id="13">
    <w:p w14:paraId="2EE28B3F" w14:textId="055295B7" w:rsidR="000A3DF9" w:rsidRPr="00E01C5B" w:rsidRDefault="000A3DF9" w:rsidP="000A3DF9">
      <w:pPr>
        <w:pStyle w:val="FootnoteText"/>
        <w:rPr>
          <w:b/>
          <w:bCs/>
        </w:rPr>
      </w:pPr>
      <w:r>
        <w:rPr>
          <w:rStyle w:val="FootnoteReference"/>
        </w:rPr>
        <w:footnoteRef/>
      </w:r>
      <w:r>
        <w:t xml:space="preserve"> </w:t>
      </w:r>
      <w:r w:rsidR="00486976" w:rsidRPr="00E64AD5">
        <w:t>“</w:t>
      </w:r>
      <w:r w:rsidRPr="00E64AD5">
        <w:t>The majority of Italian arms destined for non-EU and non-NATO countries: Qatar, Turkmenistan and Saudi Arabia are also among the top ten purchasers,</w:t>
      </w:r>
      <w:r w:rsidR="00486976" w:rsidRPr="00E64AD5">
        <w:t>”</w:t>
      </w:r>
      <w:r>
        <w:rPr>
          <w:i/>
          <w:iCs/>
        </w:rPr>
        <w:t xml:space="preserve"> </w:t>
      </w:r>
      <w:r>
        <w:t>Rete Italiana Pace e Disarmo (</w:t>
      </w:r>
      <w:r w:rsidRPr="00C233EA">
        <w:t>Italian Network for Peace and Disarmament</w:t>
      </w:r>
      <w:r w:rsidRPr="00C233EA">
        <w:rPr>
          <w:lang w:val="en-US"/>
        </w:rPr>
        <w:t>)</w:t>
      </w:r>
      <w:r>
        <w:rPr>
          <w:lang w:val="en-US"/>
        </w:rPr>
        <w:t xml:space="preserve">, </w:t>
      </w:r>
      <w:hyperlink r:id="rId7" w:history="1">
        <w:r w:rsidRPr="00E01C5B">
          <w:rPr>
            <w:rStyle w:val="Hyperlink"/>
          </w:rPr>
          <w:t>https://retepacedisarmo.org/english/2021/italian-arms-exports-almost-4-billion-authorised-in-2020-egypt-the-leading-buyer/</w:t>
        </w:r>
      </w:hyperlink>
      <w:r w:rsidRPr="00E01C5B">
        <w:t xml:space="preserve">; version in Italian </w:t>
      </w:r>
    </w:p>
    <w:p w14:paraId="0673D97B" w14:textId="5DDDE50C" w:rsidR="000A3DF9" w:rsidRPr="00E01C5B" w:rsidRDefault="00832D65" w:rsidP="00E64AD5">
      <w:pPr>
        <w:pStyle w:val="FootnoteText"/>
      </w:pPr>
      <w:hyperlink r:id="rId8" w:history="1">
        <w:r w:rsidR="000A3DF9" w:rsidRPr="00E01C5B">
          <w:rPr>
            <w:rStyle w:val="Hyperlink"/>
          </w:rPr>
          <w:t>https://retepacedisarmo.org/2022/armi-italiane-nel-2021-record-storico-di-esportazioni-effettive-per-un-controvalore-di-quasi-48-miliardi/</w:t>
        </w:r>
      </w:hyperlink>
      <w:r w:rsidR="000A3DF9" w:rsidRPr="00E01C5B">
        <w:t xml:space="preserve">. </w:t>
      </w:r>
    </w:p>
  </w:footnote>
  <w:footnote w:id="14">
    <w:p w14:paraId="74DD1366" w14:textId="4A8799CA" w:rsidR="003A7A79" w:rsidRPr="00577BD9" w:rsidRDefault="003A7A79" w:rsidP="00B323AE">
      <w:pPr>
        <w:pStyle w:val="FootnoteText"/>
        <w:rPr>
          <w:rFonts w:ascii="Libre Franklin" w:hAnsi="Libre Franklin"/>
          <w:noProof/>
          <w:color w:val="595959"/>
          <w:szCs w:val="20"/>
          <w:lang w:val="en-US"/>
        </w:rPr>
      </w:pPr>
      <w:r>
        <w:rPr>
          <w:rStyle w:val="FootnoteReference"/>
          <w:noProof/>
        </w:rPr>
        <w:footnoteRef/>
      </w:r>
      <w:r w:rsidRPr="00577BD9">
        <w:rPr>
          <w:rFonts w:ascii="Libre Franklin" w:hAnsi="Libre Franklin"/>
          <w:noProof/>
          <w:color w:val="595959"/>
          <w:szCs w:val="20"/>
          <w:lang w:val="en-US"/>
        </w:rPr>
        <w:t xml:space="preserve"> </w:t>
      </w:r>
      <w:r w:rsidRPr="00531D82">
        <w:rPr>
          <w:rStyle w:val="FootnoteTextChar"/>
          <w:noProof/>
        </w:rPr>
        <w:t xml:space="preserve">See Art. 1 (3), Law No. 185 of 9 July 1990, New provisions on controlling the export, import and transit of military  goods (COURTESY </w:t>
      </w:r>
      <w:r w:rsidRPr="00B323AE">
        <w:rPr>
          <w:rStyle w:val="FootnoteTextChar"/>
        </w:rPr>
        <w:t>TRANSLATION</w:t>
      </w:r>
      <w:r w:rsidRPr="00531D82">
        <w:rPr>
          <w:rStyle w:val="FootnoteTextChar"/>
          <w:noProof/>
        </w:rPr>
        <w:t xml:space="preserve">), </w:t>
      </w:r>
      <w:hyperlink r:id="rId9" w:history="1">
        <w:r w:rsidRPr="00577BD9">
          <w:rPr>
            <w:rStyle w:val="Hyperlink"/>
            <w:noProof/>
            <w:lang w:val="en-US"/>
          </w:rPr>
          <w:t>https://www.esteri.it/mae/resource/doc/2017/06/legge_09_07_1990_n185.pdf</w:t>
        </w:r>
      </w:hyperlink>
      <w:r w:rsidR="00E64AD5">
        <w:rPr>
          <w:noProof/>
          <w:lang w:val="en-US"/>
        </w:rPr>
        <w:t xml:space="preserve">. </w:t>
      </w:r>
    </w:p>
  </w:footnote>
  <w:footnote w:id="15">
    <w:p w14:paraId="603E2BFC" w14:textId="77777777" w:rsidR="003A7A79" w:rsidRPr="00577BD9" w:rsidRDefault="003A7A79" w:rsidP="00B323AE">
      <w:pPr>
        <w:pStyle w:val="FootnoteText"/>
        <w:rPr>
          <w:noProof/>
          <w:szCs w:val="20"/>
          <w:lang w:val="en-US"/>
        </w:rPr>
      </w:pPr>
      <w:r>
        <w:rPr>
          <w:rStyle w:val="FootnoteReference"/>
          <w:noProof/>
        </w:rPr>
        <w:footnoteRef/>
      </w:r>
      <w:r w:rsidRPr="00577BD9">
        <w:rPr>
          <w:noProof/>
          <w:szCs w:val="20"/>
          <w:lang w:val="en-US"/>
        </w:rPr>
        <w:t xml:space="preserve"> </w:t>
      </w:r>
      <w:hyperlink r:id="rId10">
        <w:r w:rsidRPr="00E64AD5">
          <w:t>http://documenti.camera.it/leg18/odg/assemblea/xhtml/2019/06/26/20190626.html</w:t>
        </w:r>
      </w:hyperlink>
      <w:r w:rsidRPr="00577BD9">
        <w:rPr>
          <w:noProof/>
          <w:szCs w:val="20"/>
          <w:lang w:val="en-US"/>
        </w:rPr>
        <w:t xml:space="preserve"> </w:t>
      </w:r>
    </w:p>
  </w:footnote>
  <w:footnote w:id="16">
    <w:p w14:paraId="4C2A4D2B" w14:textId="1DC8EDCC" w:rsidR="003A7A79" w:rsidRPr="00577BD9" w:rsidRDefault="003A7A79" w:rsidP="00B323AE">
      <w:pPr>
        <w:pStyle w:val="FootnoteText"/>
        <w:rPr>
          <w:lang w:val="en-US"/>
        </w:rPr>
      </w:pPr>
      <w:r>
        <w:rPr>
          <w:rStyle w:val="FootnoteReference"/>
        </w:rPr>
        <w:footnoteRef/>
      </w:r>
      <w:r>
        <w:t xml:space="preserve"> </w:t>
      </w:r>
      <w:r w:rsidRPr="00B37190">
        <w:t xml:space="preserve">See, for example, </w:t>
      </w:r>
      <w:r w:rsidR="00486976" w:rsidRPr="00EF1F5B">
        <w:rPr>
          <w:i/>
          <w:iCs/>
        </w:rPr>
        <w:t>“</w:t>
      </w:r>
      <w:r w:rsidRPr="00486976">
        <w:rPr>
          <w:i/>
          <w:iCs/>
        </w:rPr>
        <w:t>WILPF Italy Demands: Make Cheese, Not War!</w:t>
      </w:r>
      <w:r w:rsidR="00486976" w:rsidRPr="00486976">
        <w:rPr>
          <w:i/>
          <w:iCs/>
        </w:rPr>
        <w:t>”</w:t>
      </w:r>
      <w:r w:rsidRPr="00486976">
        <w:rPr>
          <w:i/>
          <w:iCs/>
        </w:rPr>
        <w:t>,</w:t>
      </w:r>
      <w:r>
        <w:t xml:space="preserve"> </w:t>
      </w:r>
      <w:r w:rsidRPr="004F151E">
        <w:t>https://www.wilpf.org/wilpf-italy-demands-make-cheese-not-war/</w:t>
      </w:r>
      <w:r>
        <w:t xml:space="preserve"> ; and </w:t>
      </w:r>
      <w:r w:rsidRPr="00344A30">
        <w:rPr>
          <w:i/>
          <w:iCs/>
        </w:rPr>
        <w:t xml:space="preserve">Sardegna: un progetto per la riconversione della fabbrica bombe RWM </w:t>
      </w:r>
      <w:r w:rsidRPr="00B37190">
        <w:t>(Sardinia: a project for the reconversion of the RWM bomb factory)</w:t>
      </w:r>
      <w:r w:rsidRPr="00344A30">
        <w:rPr>
          <w:i/>
          <w:iCs/>
        </w:rPr>
        <w:t xml:space="preserve">  </w:t>
      </w:r>
      <w:hyperlink r:id="rId11" w:history="1">
        <w:r w:rsidRPr="00B37190">
          <w:rPr>
            <w:rStyle w:val="Hyperlink"/>
          </w:rPr>
          <w:t>https://www.adista.it/articolo/64577</w:t>
        </w:r>
      </w:hyperlink>
      <w:r w:rsidRPr="00577BD9">
        <w:rPr>
          <w:lang w:val="en-US"/>
        </w:rPr>
        <w:t xml:space="preserve"> </w:t>
      </w:r>
    </w:p>
  </w:footnote>
  <w:footnote w:id="17">
    <w:p w14:paraId="0DDF56AC" w14:textId="77777777" w:rsidR="003A7A79" w:rsidRPr="000308D6" w:rsidRDefault="003A7A79" w:rsidP="00B323AE">
      <w:pPr>
        <w:pStyle w:val="FootnoteText"/>
        <w:rPr>
          <w:noProof/>
          <w:szCs w:val="20"/>
        </w:rPr>
      </w:pPr>
      <w:r>
        <w:rPr>
          <w:rStyle w:val="FootnoteReference"/>
          <w:noProof/>
        </w:rPr>
        <w:footnoteRef/>
      </w:r>
      <w:r w:rsidRPr="000308D6">
        <w:rPr>
          <w:noProof/>
          <w:szCs w:val="20"/>
        </w:rPr>
        <w:t xml:space="preserve">  </w:t>
      </w:r>
      <w:hyperlink r:id="rId12">
        <w:r w:rsidRPr="00E64AD5">
          <w:t>https://www.sipri.org/sites/default/files/2020-03/fs_2003_at_2019.pdf</w:t>
        </w:r>
      </w:hyperlink>
      <w:r w:rsidRPr="000308D6">
        <w:rPr>
          <w:noProof/>
          <w:szCs w:val="20"/>
        </w:rPr>
        <w:t xml:space="preserve"> </w:t>
      </w:r>
    </w:p>
  </w:footnote>
  <w:footnote w:id="18">
    <w:p w14:paraId="4C0CB51D" w14:textId="77777777" w:rsidR="003A7A79" w:rsidRPr="00314BE2" w:rsidRDefault="003A7A79" w:rsidP="00B323AE">
      <w:pPr>
        <w:pStyle w:val="FootnoteText"/>
      </w:pPr>
      <w:r>
        <w:rPr>
          <w:rStyle w:val="FootnoteReference"/>
        </w:rPr>
        <w:footnoteRef/>
      </w:r>
      <w:r w:rsidRPr="00314BE2">
        <w:t xml:space="preserve"> </w:t>
      </w:r>
      <w:hyperlink r:id="rId13" w:history="1">
        <w:r w:rsidRPr="008E3A79">
          <w:rPr>
            <w:rStyle w:val="Hyperlink"/>
          </w:rPr>
          <w:t>https://sipri.org/sites/default/files/2022-03/fs_2203_at_2021.pdf</w:t>
        </w:r>
      </w:hyperlink>
    </w:p>
  </w:footnote>
  <w:footnote w:id="19">
    <w:p w14:paraId="1E8CEEF5" w14:textId="6D065E24" w:rsidR="003A7A79" w:rsidRPr="00E01C5B" w:rsidRDefault="003A7A79" w:rsidP="00B323AE">
      <w:pPr>
        <w:pStyle w:val="FootnoteText"/>
      </w:pPr>
      <w:r>
        <w:rPr>
          <w:rStyle w:val="FootnoteReference"/>
        </w:rPr>
        <w:footnoteRef/>
      </w:r>
      <w:r>
        <w:t xml:space="preserve"> </w:t>
      </w:r>
      <w:r w:rsidR="00486976" w:rsidRPr="00486976">
        <w:t>“</w:t>
      </w:r>
      <w:r w:rsidRPr="00EF1F5B">
        <w:t>Italian arms: in 2021 a historical record of actual exports worth almost 4.8 billion</w:t>
      </w:r>
      <w:r w:rsidR="00486976" w:rsidRPr="00EF1F5B">
        <w:t>”</w:t>
      </w:r>
      <w:r w:rsidRPr="00486976">
        <w:t xml:space="preserve"> </w:t>
      </w:r>
      <w:hyperlink r:id="rId14" w:history="1">
        <w:r w:rsidRPr="008E3A79">
          <w:rPr>
            <w:rStyle w:val="Hyperlink"/>
            <w:lang w:val="en-US"/>
          </w:rPr>
          <w:t>https://retepacedisarmo.org/english/2022/italian-arms-in-2021-a-historical-record-of-actual-exports-worth-almost-4-8-billion/</w:t>
        </w:r>
      </w:hyperlink>
      <w:r w:rsidRPr="00B2664D">
        <w:rPr>
          <w:lang w:val="en-US"/>
        </w:rPr>
        <w:t xml:space="preserve">; </w:t>
      </w:r>
      <w:r w:rsidRPr="00E01C5B">
        <w:t xml:space="preserve">version in Italian </w:t>
      </w:r>
    </w:p>
    <w:p w14:paraId="6C931BB3" w14:textId="5F3809C9" w:rsidR="003A7A79" w:rsidRPr="00E01C5B" w:rsidRDefault="00832D65" w:rsidP="00B323AE">
      <w:pPr>
        <w:pStyle w:val="FootnoteText"/>
      </w:pPr>
      <w:hyperlink r:id="rId15" w:history="1">
        <w:r w:rsidR="003A7A79" w:rsidRPr="00E01C5B">
          <w:rPr>
            <w:rStyle w:val="Hyperlink"/>
          </w:rPr>
          <w:t>https://retepacedisarmo.org/2022/armi-italiane-nel-2021-record-storico-di-esportazioni-effettive-per-un-controvalore-di-quasi-48-miliardi/</w:t>
        </w:r>
      </w:hyperlink>
      <w:r w:rsidR="003A7A79" w:rsidRPr="00E01C5B">
        <w:t xml:space="preserve">. </w:t>
      </w:r>
    </w:p>
  </w:footnote>
  <w:footnote w:id="20">
    <w:p w14:paraId="524302AC" w14:textId="77777777" w:rsidR="002162A6" w:rsidRDefault="002162A6" w:rsidP="002162A6">
      <w:pPr>
        <w:pStyle w:val="FootnoteText"/>
        <w:rPr>
          <w:noProof/>
        </w:rPr>
      </w:pPr>
      <w:r>
        <w:rPr>
          <w:rStyle w:val="FootnoteReference"/>
          <w:noProof/>
        </w:rPr>
        <w:footnoteRef/>
      </w:r>
      <w:r w:rsidRPr="00EF1F5B">
        <w:rPr>
          <w:noProof/>
          <w:lang w:val="it-IT"/>
        </w:rPr>
        <w:t xml:space="preserve"> </w:t>
      </w:r>
      <w:r w:rsidRPr="00BE328F">
        <w:rPr>
          <w:i/>
          <w:iCs/>
          <w:noProof/>
          <w:lang w:val="it-IT"/>
        </w:rPr>
        <w:t>30mila pistole italiane per l’Egitto.</w:t>
      </w:r>
      <w:r w:rsidRPr="00BE328F">
        <w:rPr>
          <w:noProof/>
          <w:lang w:val="it-IT"/>
        </w:rPr>
        <w:t xml:space="preserve"> </w:t>
      </w:r>
      <w:r w:rsidRPr="00EF1F5B">
        <w:rPr>
          <w:i/>
          <w:iCs/>
          <w:noProof/>
        </w:rPr>
        <w:t>In barba all’UE</w:t>
      </w:r>
      <w:r w:rsidRPr="00BE328F">
        <w:rPr>
          <w:noProof/>
        </w:rPr>
        <w:t xml:space="preserve"> (30,000 Italian guns for Egypt. In defiance of the EU): </w:t>
      </w:r>
      <w:hyperlink r:id="rId16">
        <w:r w:rsidRPr="00BE328F">
          <w:rPr>
            <w:noProof/>
          </w:rPr>
          <w:t>https://www.unimondo.org/Notizie/30mila-pistole-italiane-per-l-Egitto.-In-barba-all-UE-149541</w:t>
        </w:r>
      </w:hyperlink>
      <w:r w:rsidRPr="00BE328F">
        <w:rPr>
          <w:noProof/>
        </w:rPr>
        <w:t>.</w:t>
      </w:r>
    </w:p>
  </w:footnote>
  <w:footnote w:id="21">
    <w:p w14:paraId="52C5671E" w14:textId="056CAE68" w:rsidR="000160F9" w:rsidRPr="00871A9C" w:rsidRDefault="000160F9" w:rsidP="000160F9">
      <w:pPr>
        <w:pStyle w:val="FootnoteText"/>
        <w:rPr>
          <w:noProof/>
          <w:color w:val="auto"/>
          <w:sz w:val="22"/>
          <w:szCs w:val="22"/>
        </w:rPr>
      </w:pPr>
      <w:r>
        <w:rPr>
          <w:rStyle w:val="FootnoteReference"/>
          <w:noProof/>
        </w:rPr>
        <w:footnoteRef/>
      </w:r>
      <w:r>
        <w:rPr>
          <w:noProof/>
          <w:color w:val="595959"/>
        </w:rPr>
        <w:t xml:space="preserve"> </w:t>
      </w:r>
      <w:r w:rsidRPr="00BE328F">
        <w:rPr>
          <w:noProof/>
        </w:rPr>
        <w:t xml:space="preserve">See, for example, </w:t>
      </w:r>
      <w:r w:rsidR="00486976">
        <w:rPr>
          <w:noProof/>
        </w:rPr>
        <w:t>“</w:t>
      </w:r>
      <w:r w:rsidRPr="00BE328F">
        <w:rPr>
          <w:noProof/>
        </w:rPr>
        <w:t>Egypt: Largest wave of mass arrests since President Abdel Fattah al-Sisi came to power</w:t>
      </w:r>
      <w:r w:rsidR="00486976">
        <w:rPr>
          <w:noProof/>
        </w:rPr>
        <w:t>”</w:t>
      </w:r>
      <w:r w:rsidRPr="00BE328F">
        <w:rPr>
          <w:noProof/>
        </w:rPr>
        <w:t xml:space="preserve">, Amnesty International, 2 October 2019: </w:t>
      </w:r>
      <w:hyperlink r:id="rId17" w:history="1">
        <w:r w:rsidRPr="00BE328F">
          <w:rPr>
            <w:noProof/>
          </w:rPr>
          <w:t>https://www.amnesty.org/en/latest/news/2019/10/egypt-largest-wave-of-mass-arrests-since-president-abdel-fattah-al-sisi-came-to-power/</w:t>
        </w:r>
      </w:hyperlink>
      <w:r w:rsidRPr="00BE328F">
        <w:rPr>
          <w:noProof/>
        </w:rPr>
        <w:t xml:space="preserve">; Human Rights Watch Submission to the Committee on the Elimination of Discrimination against Women on Egypt, 79th pre-session, 13 October 2020: </w:t>
      </w:r>
      <w:hyperlink r:id="rId18" w:history="1">
        <w:r w:rsidRPr="00BE328F">
          <w:rPr>
            <w:noProof/>
          </w:rPr>
          <w:t>https://www.hrw.org/news/2020/10/13/human-rights-watch-submission-committee-elimination-discrimination-against-women</w:t>
        </w:r>
      </w:hyperlink>
      <w:r w:rsidRPr="00BE328F">
        <w:rPr>
          <w:noProof/>
        </w:rPr>
        <w:t>.</w:t>
      </w:r>
      <w:r>
        <w:rPr>
          <w:noProof/>
          <w:color w:val="595959"/>
        </w:rPr>
        <w:t xml:space="preserve"> </w:t>
      </w:r>
    </w:p>
  </w:footnote>
  <w:footnote w:id="22">
    <w:p w14:paraId="6FCA6F4D" w14:textId="379F11F1" w:rsidR="002162A6" w:rsidRPr="00BE328F" w:rsidRDefault="002162A6" w:rsidP="002162A6">
      <w:pPr>
        <w:pStyle w:val="FootnoteText"/>
        <w:rPr>
          <w:noProof/>
        </w:rPr>
      </w:pPr>
      <w:r>
        <w:rPr>
          <w:rStyle w:val="FootnoteReference"/>
          <w:noProof/>
        </w:rPr>
        <w:footnoteRef/>
      </w:r>
      <w:r>
        <w:rPr>
          <w:noProof/>
        </w:rPr>
        <w:t xml:space="preserve"> </w:t>
      </w:r>
      <w:r w:rsidR="00486976">
        <w:rPr>
          <w:noProof/>
        </w:rPr>
        <w:t>“</w:t>
      </w:r>
      <w:r w:rsidRPr="00BE328F">
        <w:rPr>
          <w:noProof/>
        </w:rPr>
        <w:t>Italian arms exports: in 2019 licensed 5,17 billion euros of weapons,</w:t>
      </w:r>
      <w:r w:rsidR="00486976">
        <w:rPr>
          <w:noProof/>
        </w:rPr>
        <w:t>”</w:t>
      </w:r>
      <w:r w:rsidRPr="00BE328F">
        <w:rPr>
          <w:noProof/>
        </w:rPr>
        <w:t xml:space="preserve"> 29 May 2020</w:t>
      </w:r>
    </w:p>
    <w:p w14:paraId="441CCF9D" w14:textId="77777777" w:rsidR="002162A6" w:rsidRDefault="00832D65" w:rsidP="002162A6">
      <w:pPr>
        <w:pStyle w:val="FootnoteText"/>
        <w:rPr>
          <w:noProof/>
        </w:rPr>
      </w:pPr>
      <w:hyperlink r:id="rId19">
        <w:r w:rsidR="002162A6" w:rsidRPr="00BE328F">
          <w:rPr>
            <w:noProof/>
          </w:rPr>
          <w:t>https://www.disarmo.org/rete/a/47716.html</w:t>
        </w:r>
      </w:hyperlink>
      <w:r w:rsidR="002162A6">
        <w:rPr>
          <w:noProof/>
        </w:rPr>
        <w:t xml:space="preserve">. </w:t>
      </w:r>
    </w:p>
  </w:footnote>
  <w:footnote w:id="23">
    <w:p w14:paraId="20559094" w14:textId="77777777" w:rsidR="002162A6" w:rsidRPr="00BE328F" w:rsidRDefault="002162A6" w:rsidP="002162A6">
      <w:pPr>
        <w:pStyle w:val="FootnoteText"/>
        <w:rPr>
          <w:noProof/>
        </w:rPr>
      </w:pPr>
      <w:r>
        <w:rPr>
          <w:rStyle w:val="FootnoteReference"/>
          <w:noProof/>
        </w:rPr>
        <w:footnoteRef/>
      </w:r>
      <w:r>
        <w:rPr>
          <w:noProof/>
        </w:rPr>
        <w:t xml:space="preserve"> </w:t>
      </w:r>
      <w:r w:rsidRPr="00EF1F5B">
        <w:rPr>
          <w:i/>
          <w:iCs/>
          <w:noProof/>
        </w:rPr>
        <w:t>L’affare del secolo con l’Egitto</w:t>
      </w:r>
      <w:r w:rsidRPr="00BE328F">
        <w:rPr>
          <w:noProof/>
        </w:rPr>
        <w:t xml:space="preserve"> (The deal of the century with Egypt), 9 January 2021, </w:t>
      </w:r>
    </w:p>
    <w:p w14:paraId="0D984FBE" w14:textId="77777777" w:rsidR="002162A6" w:rsidRPr="00871A9C" w:rsidRDefault="00832D65" w:rsidP="002162A6">
      <w:pPr>
        <w:pStyle w:val="FootnoteText"/>
        <w:rPr>
          <w:noProof/>
          <w:color w:val="954F72"/>
          <w:u w:val="single"/>
        </w:rPr>
      </w:pPr>
      <w:hyperlink r:id="rId20">
        <w:r w:rsidR="002162A6" w:rsidRPr="00BE328F">
          <w:rPr>
            <w:noProof/>
          </w:rPr>
          <w:t>https://comune-info.net/perche-continuiamo-ad-armarli/</w:t>
        </w:r>
      </w:hyperlink>
      <w:r w:rsidR="002162A6">
        <w:rPr>
          <w:noProof/>
        </w:rPr>
        <w:t xml:space="preserve">. </w:t>
      </w:r>
    </w:p>
  </w:footnote>
  <w:footnote w:id="24">
    <w:p w14:paraId="629A8083" w14:textId="0C969A22" w:rsidR="003A7A79" w:rsidRPr="003945BA" w:rsidRDefault="003A7A79" w:rsidP="00B323AE">
      <w:pPr>
        <w:pStyle w:val="FootnoteText"/>
        <w:rPr>
          <w:noProof/>
        </w:rPr>
      </w:pPr>
      <w:r>
        <w:rPr>
          <w:rStyle w:val="FootnoteReference"/>
          <w:noProof/>
        </w:rPr>
        <w:footnoteRef/>
      </w:r>
      <w:r>
        <w:rPr>
          <w:noProof/>
        </w:rPr>
        <w:t xml:space="preserve"> </w:t>
      </w:r>
      <w:r w:rsidRPr="003945BA">
        <w:rPr>
          <w:noProof/>
        </w:rPr>
        <w:t xml:space="preserve">See also: </w:t>
      </w:r>
      <w:r w:rsidR="00486976">
        <w:rPr>
          <w:noProof/>
        </w:rPr>
        <w:t>"</w:t>
      </w:r>
      <w:r w:rsidRPr="003945BA">
        <w:rPr>
          <w:noProof/>
        </w:rPr>
        <w:t>Italy Should Stop Arms Transfer to Egypt, Deal Contravenes EU Pledge, Risks Facilitating Further Abuses,</w:t>
      </w:r>
      <w:r w:rsidR="00486976">
        <w:rPr>
          <w:noProof/>
        </w:rPr>
        <w:t>"</w:t>
      </w:r>
      <w:r w:rsidRPr="003945BA">
        <w:rPr>
          <w:noProof/>
        </w:rPr>
        <w:t xml:space="preserve"> </w:t>
      </w:r>
      <w:r w:rsidR="00486976" w:rsidRPr="003945BA">
        <w:rPr>
          <w:noProof/>
        </w:rPr>
        <w:t xml:space="preserve">Human Rights Watch, </w:t>
      </w:r>
      <w:r w:rsidRPr="003945BA">
        <w:rPr>
          <w:noProof/>
        </w:rPr>
        <w:t>June 2020</w:t>
      </w:r>
      <w:r>
        <w:rPr>
          <w:noProof/>
        </w:rPr>
        <w:t xml:space="preserve"> </w:t>
      </w:r>
      <w:hyperlink r:id="rId21" w:history="1">
        <w:r w:rsidRPr="003945BA">
          <w:rPr>
            <w:rStyle w:val="Hyperlink"/>
            <w:noProof/>
          </w:rPr>
          <w:t>https://www.hrw.org/news/2020/06/16/italy-should-stop-arms-transfer-egypt</w:t>
        </w:r>
      </w:hyperlink>
      <w:r w:rsidR="00486976">
        <w:rPr>
          <w:noProof/>
        </w:rPr>
        <w:t xml:space="preserve">; </w:t>
      </w:r>
      <w:r w:rsidRPr="003945BA">
        <w:rPr>
          <w:noProof/>
        </w:rPr>
        <w:t xml:space="preserve">and Italy </w:t>
      </w:r>
      <w:r w:rsidR="00486976">
        <w:rPr>
          <w:noProof/>
        </w:rPr>
        <w:t>“</w:t>
      </w:r>
      <w:r w:rsidRPr="003945BA">
        <w:rPr>
          <w:noProof/>
        </w:rPr>
        <w:t xml:space="preserve">Charges </w:t>
      </w:r>
      <w:r w:rsidRPr="00BE328F">
        <w:rPr>
          <w:noProof/>
        </w:rPr>
        <w:t>Egyptian</w:t>
      </w:r>
      <w:r w:rsidRPr="003945BA">
        <w:rPr>
          <w:noProof/>
        </w:rPr>
        <w:t xml:space="preserve"> Security Forces in Giulio Regeni’s Murder. EU, International Pressure Necessary to Break Cycle of Impunity</w:t>
      </w:r>
      <w:r w:rsidR="00486976">
        <w:rPr>
          <w:noProof/>
        </w:rPr>
        <w:t xml:space="preserve">,” </w:t>
      </w:r>
      <w:r w:rsidR="00486976" w:rsidRPr="003945BA">
        <w:rPr>
          <w:noProof/>
        </w:rPr>
        <w:t xml:space="preserve">Human Rights Watch, </w:t>
      </w:r>
      <w:r w:rsidRPr="003945BA">
        <w:rPr>
          <w:noProof/>
        </w:rPr>
        <w:t xml:space="preserve"> December 2020 </w:t>
      </w:r>
      <w:hyperlink r:id="rId22">
        <w:r w:rsidRPr="003945BA">
          <w:rPr>
            <w:noProof/>
          </w:rPr>
          <w:t>https://www.hrw.org/news/2020/12/11/italy-charges-egyptian-security-forces-giulio-regenis-murder</w:t>
        </w:r>
      </w:hyperlink>
      <w:r w:rsidRPr="003945BA">
        <w:rPr>
          <w:noProof/>
        </w:rPr>
        <w:t xml:space="preserve">; and the campaign #StopArmiEgitto  </w:t>
      </w:r>
      <w:hyperlink r:id="rId23">
        <w:r w:rsidRPr="003945BA">
          <w:rPr>
            <w:noProof/>
          </w:rPr>
          <w:t>https://www.amnesty.it/stoparmiegitto-fermiamo-linvio-di-armamenti/</w:t>
        </w:r>
      </w:hyperlink>
      <w:r w:rsidRPr="003945BA">
        <w:rPr>
          <w:noProof/>
        </w:rPr>
        <w:t xml:space="preserve">  and </w:t>
      </w:r>
      <w:hyperlink r:id="rId24">
        <w:r w:rsidRPr="003945BA">
          <w:rPr>
            <w:noProof/>
          </w:rPr>
          <w:t>https://www.disarmo.org/rete/a/47776.html</w:t>
        </w:r>
      </w:hyperlink>
    </w:p>
  </w:footnote>
  <w:footnote w:id="25">
    <w:p w14:paraId="5C40FD60" w14:textId="77777777" w:rsidR="003A7A79" w:rsidRPr="00BE328F" w:rsidRDefault="003A7A79" w:rsidP="00B323AE">
      <w:pPr>
        <w:pStyle w:val="FootnoteText"/>
        <w:rPr>
          <w:noProof/>
        </w:rPr>
      </w:pPr>
      <w:r>
        <w:rPr>
          <w:rStyle w:val="FootnoteReference"/>
          <w:noProof/>
        </w:rPr>
        <w:footnoteRef/>
      </w:r>
      <w:r>
        <w:rPr>
          <w:noProof/>
        </w:rPr>
        <w:t xml:space="preserve"> </w:t>
      </w:r>
      <w:r w:rsidRPr="00EF1F5B">
        <w:rPr>
          <w:i/>
          <w:iCs/>
          <w:noProof/>
        </w:rPr>
        <w:t>L’affare del secolo con l’Egitto</w:t>
      </w:r>
      <w:r w:rsidRPr="00BE328F">
        <w:rPr>
          <w:noProof/>
        </w:rPr>
        <w:t xml:space="preserve"> (The deal of the century with Egypt), 9 January 2021, </w:t>
      </w:r>
    </w:p>
    <w:p w14:paraId="44453945" w14:textId="77777777" w:rsidR="003A7A79" w:rsidRPr="00871A9C" w:rsidRDefault="00832D65" w:rsidP="00B323AE">
      <w:pPr>
        <w:pStyle w:val="FootnoteText"/>
        <w:rPr>
          <w:noProof/>
          <w:color w:val="954F72"/>
          <w:u w:val="single"/>
        </w:rPr>
      </w:pPr>
      <w:hyperlink r:id="rId25">
        <w:r w:rsidR="003A7A79" w:rsidRPr="00BE328F">
          <w:rPr>
            <w:noProof/>
          </w:rPr>
          <w:t>https://comune-info.net/perche-continuiamo-ad-armarli/</w:t>
        </w:r>
      </w:hyperlink>
      <w:r w:rsidR="003A7A79">
        <w:rPr>
          <w:noProof/>
        </w:rPr>
        <w:t xml:space="preserve">. </w:t>
      </w:r>
    </w:p>
  </w:footnote>
  <w:footnote w:id="26">
    <w:p w14:paraId="2EB2ED66" w14:textId="0BF3CAEB" w:rsidR="003A7A79" w:rsidRPr="00E01C5B" w:rsidRDefault="003A7A79" w:rsidP="00B323AE">
      <w:pPr>
        <w:pStyle w:val="FootnoteText"/>
        <w:rPr>
          <w:b/>
          <w:bCs/>
        </w:rPr>
      </w:pPr>
      <w:r>
        <w:rPr>
          <w:rStyle w:val="FootnoteReference"/>
        </w:rPr>
        <w:footnoteRef/>
      </w:r>
      <w:r>
        <w:t xml:space="preserve"> </w:t>
      </w:r>
      <w:r w:rsidR="00486976" w:rsidRPr="00486976">
        <w:t>“</w:t>
      </w:r>
      <w:r w:rsidRPr="00EF1F5B">
        <w:t>The majority of Italian arms destined for non-EU and non-NATO countries: Qatar, Turkmenistan and Saudi Arabia are also among the top ten purchasers,</w:t>
      </w:r>
      <w:r w:rsidR="00486976" w:rsidRPr="00EF1F5B">
        <w:t>”</w:t>
      </w:r>
      <w:r>
        <w:rPr>
          <w:i/>
          <w:iCs/>
        </w:rPr>
        <w:t xml:space="preserve"> </w:t>
      </w:r>
      <w:r w:rsidRPr="00EF1F5B">
        <w:rPr>
          <w:i/>
          <w:iCs/>
        </w:rPr>
        <w:t>Rete Italiana Pace e Disarmo</w:t>
      </w:r>
      <w:r>
        <w:rPr>
          <w:lang w:val="en-US"/>
        </w:rPr>
        <w:t xml:space="preserve">, </w:t>
      </w:r>
      <w:hyperlink r:id="rId26" w:history="1">
        <w:r w:rsidRPr="00E01C5B">
          <w:rPr>
            <w:rStyle w:val="Hyperlink"/>
          </w:rPr>
          <w:t>https://retepacedisarmo.org/english/2021/italian-arms-exports-almost-4-billion-authorised-in-2020-egypt-the-leading-buyer/</w:t>
        </w:r>
      </w:hyperlink>
      <w:r w:rsidRPr="00E01C5B">
        <w:t xml:space="preserve">; version in Italian </w:t>
      </w:r>
    </w:p>
    <w:p w14:paraId="37A0B519" w14:textId="2638501C" w:rsidR="003A7A79" w:rsidRPr="00E01C5B" w:rsidRDefault="00832D65" w:rsidP="00E64AD5">
      <w:pPr>
        <w:pStyle w:val="FootnoteText"/>
      </w:pPr>
      <w:hyperlink r:id="rId27" w:history="1">
        <w:r w:rsidR="003A7A79" w:rsidRPr="00E01C5B">
          <w:rPr>
            <w:rStyle w:val="Hyperlink"/>
          </w:rPr>
          <w:t>https://retepacedisarmo.org/2022/armi-italiane-nel-2021-record-storico-di-esportazioni-effettive-per-un-controvalore-di-quasi-48-miliardi/</w:t>
        </w:r>
      </w:hyperlink>
      <w:r w:rsidR="003A7A79" w:rsidRPr="00E01C5B">
        <w:t xml:space="preserve">. </w:t>
      </w:r>
    </w:p>
  </w:footnote>
  <w:footnote w:id="27">
    <w:p w14:paraId="2B504D69" w14:textId="77777777" w:rsidR="003A7A79" w:rsidRPr="003945BA" w:rsidRDefault="003A7A79" w:rsidP="00E64AD5">
      <w:pPr>
        <w:pStyle w:val="FootnoteText"/>
        <w:rPr>
          <w:noProof/>
        </w:rPr>
      </w:pPr>
      <w:r>
        <w:rPr>
          <w:rStyle w:val="FootnoteReference"/>
          <w:noProof/>
        </w:rPr>
        <w:footnoteRef/>
      </w:r>
      <w:r>
        <w:rPr>
          <w:noProof/>
        </w:rPr>
        <w:t xml:space="preserve"> </w:t>
      </w:r>
      <w:r w:rsidRPr="00486976">
        <w:rPr>
          <w:noProof/>
        </w:rPr>
        <w:t>“</w:t>
      </w:r>
      <w:r w:rsidRPr="00EF1F5B">
        <w:rPr>
          <w:noProof/>
        </w:rPr>
        <w:t>Deadly Trade, How European and Israeli arms exports are accelerating violence in Mexico</w:t>
      </w:r>
      <w:r w:rsidRPr="00486976">
        <w:rPr>
          <w:noProof/>
        </w:rPr>
        <w:t>,”</w:t>
      </w:r>
      <w:r w:rsidRPr="00BE328F">
        <w:rPr>
          <w:noProof/>
        </w:rPr>
        <w:t xml:space="preserve"> December 2020. A report by Global Exchange (US), OPAL (Italy), American Friends Service Committee (Israel), Ohne Ru</w:t>
      </w:r>
      <w:r w:rsidRPr="00BE328F">
        <w:rPr>
          <w:rFonts w:ascii="Arial" w:hAnsi="Arial" w:cs="Arial"/>
          <w:noProof/>
        </w:rPr>
        <w:t>̈</w:t>
      </w:r>
      <w:r w:rsidRPr="00BE328F">
        <w:rPr>
          <w:noProof/>
        </w:rPr>
        <w:t xml:space="preserve">stung Leben (Germany), NESEHNUTÍ (Czech </w:t>
      </w:r>
      <w:r w:rsidRPr="00E64AD5">
        <w:t>Republic</w:t>
      </w:r>
      <w:r w:rsidRPr="00BE328F">
        <w:rPr>
          <w:noProof/>
        </w:rPr>
        <w:t xml:space="preserve">), Vredesactie (Belgium), Agir Pour la Paix (Belgium), Comisión Mexicana de Defensa y Promoción de los Derechos Humanos, and the Centro de Estudios Ecuménicos (Mexico), page 9. Report available at: </w:t>
      </w:r>
      <w:hyperlink r:id="rId28">
        <w:r w:rsidRPr="00BE328F">
          <w:rPr>
            <w:noProof/>
          </w:rPr>
          <w:t>https://stopusarmstomexico.org/wp-content/uploads/2020/12/Deadly-Trade_final.pdf</w:t>
        </w:r>
      </w:hyperlink>
    </w:p>
  </w:footnote>
  <w:footnote w:id="28">
    <w:p w14:paraId="42B67A01" w14:textId="77777777" w:rsidR="003A7A79" w:rsidRPr="00BE328F" w:rsidRDefault="003A7A79" w:rsidP="00B323AE">
      <w:pPr>
        <w:pStyle w:val="FootnoteText"/>
        <w:rPr>
          <w:noProof/>
        </w:rPr>
      </w:pPr>
      <w:r>
        <w:rPr>
          <w:rStyle w:val="FootnoteReference"/>
          <w:noProof/>
        </w:rPr>
        <w:footnoteRef/>
      </w:r>
      <w:r>
        <w:rPr>
          <w:noProof/>
        </w:rPr>
        <w:t xml:space="preserve"> </w:t>
      </w:r>
      <w:r>
        <w:rPr>
          <w:i/>
          <w:iCs/>
          <w:noProof/>
        </w:rPr>
        <w:t xml:space="preserve">Ibid. </w:t>
      </w:r>
      <w:r>
        <w:rPr>
          <w:noProof/>
        </w:rPr>
        <w:t xml:space="preserve">, page 10. </w:t>
      </w:r>
    </w:p>
  </w:footnote>
  <w:footnote w:id="29">
    <w:p w14:paraId="51AF2DD2" w14:textId="3287F217" w:rsidR="003A7A79" w:rsidRPr="00577BD9" w:rsidRDefault="003A7A79" w:rsidP="00B323AE">
      <w:pPr>
        <w:pStyle w:val="FootnoteText"/>
        <w:rPr>
          <w:lang w:val="en-US"/>
        </w:rPr>
      </w:pPr>
      <w:r>
        <w:rPr>
          <w:rStyle w:val="FootnoteReference"/>
          <w:noProof/>
        </w:rPr>
        <w:footnoteRef/>
      </w:r>
      <w:r w:rsidRPr="00577BD9">
        <w:rPr>
          <w:rFonts w:ascii="Libre Franklin" w:hAnsi="Libre Franklin"/>
          <w:noProof/>
          <w:color w:val="595959"/>
          <w:szCs w:val="20"/>
          <w:lang w:val="en-US"/>
        </w:rPr>
        <w:t xml:space="preserve"> </w:t>
      </w:r>
      <w:r w:rsidRPr="00577BD9">
        <w:rPr>
          <w:noProof/>
          <w:lang w:val="en-US"/>
        </w:rPr>
        <w:t xml:space="preserve">See for </w:t>
      </w:r>
      <w:r w:rsidRPr="00B323AE">
        <w:t>example</w:t>
      </w:r>
      <w:r w:rsidRPr="00577BD9">
        <w:rPr>
          <w:noProof/>
          <w:lang w:val="en-US"/>
        </w:rPr>
        <w:t>,</w:t>
      </w:r>
      <w:r w:rsidRPr="00577BD9">
        <w:rPr>
          <w:i/>
          <w:noProof/>
          <w:lang w:val="en-US"/>
        </w:rPr>
        <w:t xml:space="preserve"> </w:t>
      </w:r>
      <w:r w:rsidRPr="00EF1F5B">
        <w:rPr>
          <w:i/>
          <w:noProof/>
        </w:rPr>
        <w:t xml:space="preserve">Commercio d'armi. </w:t>
      </w:r>
      <w:r w:rsidRPr="003945BA">
        <w:rPr>
          <w:i/>
          <w:noProof/>
          <w:lang w:val="it-IT"/>
        </w:rPr>
        <w:t>Svelato il trattato Italia-Niger: apre un nuovo mercato bellico</w:t>
      </w:r>
      <w:r w:rsidRPr="00EF1F5B">
        <w:rPr>
          <w:noProof/>
          <w:lang w:val="it-IT"/>
        </w:rPr>
        <w:t xml:space="preserve"> (Arms trade. </w:t>
      </w:r>
      <w:r w:rsidRPr="00577BD9">
        <w:rPr>
          <w:noProof/>
          <w:lang w:val="en-US"/>
        </w:rPr>
        <w:t xml:space="preserve">Italy-Niger treaty unveiled: opening up a new market for arms) </w:t>
      </w:r>
      <w:hyperlink r:id="rId29">
        <w:r w:rsidRPr="00577BD9">
          <w:rPr>
            <w:noProof/>
            <w:color w:val="1155CC"/>
            <w:u w:val="single"/>
            <w:lang w:val="en-US"/>
          </w:rPr>
          <w:t>https://www.avvenire.it/attualita/pagine/africa-il-trattato-segreto-tra-italia-e-niger-per-aprire-un-muovo-mercato-di-armi</w:t>
        </w:r>
      </w:hyperlink>
      <w:r w:rsidRPr="00577BD9">
        <w:rPr>
          <w:noProof/>
          <w:lang w:val="en-US"/>
        </w:rPr>
        <w:t xml:space="preserve"> and  </w:t>
      </w:r>
      <w:r w:rsidRPr="00577BD9">
        <w:rPr>
          <w:i/>
          <w:noProof/>
          <w:lang w:val="en-US"/>
        </w:rPr>
        <w:t xml:space="preserve">Italia-Niger, </w:t>
      </w:r>
      <w:r w:rsidRPr="00EF1F5B">
        <w:rPr>
          <w:i/>
          <w:noProof/>
        </w:rPr>
        <w:t>Asgi svela il trattato secretato</w:t>
      </w:r>
      <w:r w:rsidRPr="00EF1F5B">
        <w:rPr>
          <w:noProof/>
        </w:rPr>
        <w:t xml:space="preserve"> </w:t>
      </w:r>
      <w:r w:rsidRPr="00577BD9">
        <w:rPr>
          <w:noProof/>
          <w:lang w:val="en-US"/>
        </w:rPr>
        <w:t xml:space="preserve">(ASGI reveals the secret treaty) </w:t>
      </w:r>
      <w:hyperlink r:id="rId30">
        <w:r w:rsidRPr="00577BD9">
          <w:rPr>
            <w:noProof/>
            <w:color w:val="1155CC"/>
            <w:u w:val="single"/>
            <w:lang w:val="en-US"/>
          </w:rPr>
          <w:t>https://www.ilfattoquotidiano.it/2019/02/06/italia-niger-asgi-svela-il-trattato-secretato-e-copia-e-incolla-previste-navi-ma-non-ce-mare-il-governo-pubblichi-lettere/4952433/</w:t>
        </w:r>
      </w:hyperlink>
      <w:r w:rsidRPr="00577BD9">
        <w:rPr>
          <w:noProof/>
          <w:lang w:val="en-US"/>
        </w:rPr>
        <w:t xml:space="preserve">  </w:t>
      </w:r>
    </w:p>
  </w:footnote>
  <w:footnote w:id="30">
    <w:p w14:paraId="487DBF0F" w14:textId="0589DAB1" w:rsidR="003A7A79" w:rsidRDefault="003A7A79" w:rsidP="00B323AE">
      <w:pPr>
        <w:pStyle w:val="FootnoteText"/>
        <w:rPr>
          <w:noProof/>
        </w:rPr>
      </w:pPr>
      <w:r>
        <w:rPr>
          <w:rStyle w:val="FootnoteReference"/>
          <w:noProof/>
        </w:rPr>
        <w:footnoteRef/>
      </w:r>
      <w:r>
        <w:rPr>
          <w:noProof/>
        </w:rPr>
        <w:t xml:space="preserve"> </w:t>
      </w:r>
      <w:r w:rsidRPr="006C2028">
        <w:rPr>
          <w:noProof/>
        </w:rPr>
        <w:t xml:space="preserve">See for example, </w:t>
      </w:r>
      <w:r w:rsidRPr="00EF1F5B">
        <w:rPr>
          <w:i/>
          <w:iCs/>
          <w:noProof/>
        </w:rPr>
        <w:t xml:space="preserve">Commercio d’armi. </w:t>
      </w:r>
      <w:r w:rsidRPr="006C2028">
        <w:rPr>
          <w:i/>
          <w:iCs/>
          <w:noProof/>
          <w:lang w:val="it-IT"/>
        </w:rPr>
        <w:t>Svelato il trattato Italia-Niger: apre un nuovo mercato bellico</w:t>
      </w:r>
      <w:r w:rsidRPr="00EF1F5B">
        <w:rPr>
          <w:i/>
          <w:iCs/>
          <w:noProof/>
          <w:lang w:val="it-IT"/>
        </w:rPr>
        <w:t xml:space="preserve"> </w:t>
      </w:r>
      <w:r w:rsidRPr="00EF1F5B">
        <w:rPr>
          <w:noProof/>
          <w:lang w:val="it-IT"/>
        </w:rPr>
        <w:t xml:space="preserve">(Arms trade. </w:t>
      </w:r>
      <w:r w:rsidRPr="006C2028">
        <w:rPr>
          <w:noProof/>
        </w:rPr>
        <w:t xml:space="preserve">Italy-Niger treaty unveiled: opening up a new market for arms) </w:t>
      </w:r>
      <w:hyperlink r:id="rId31">
        <w:r w:rsidRPr="006C2028">
          <w:rPr>
            <w:noProof/>
          </w:rPr>
          <w:t>https://www.avvenire.it/attualita/pagine/africa-il-trattato-segreto-tra-italia-e-niger-per-aprire-un-muovo-mercato-di-armi</w:t>
        </w:r>
      </w:hyperlink>
      <w:r w:rsidR="00486976">
        <w:rPr>
          <w:noProof/>
        </w:rPr>
        <w:t>;</w:t>
      </w:r>
      <w:r w:rsidRPr="006C2028">
        <w:rPr>
          <w:noProof/>
        </w:rPr>
        <w:t xml:space="preserve"> and </w:t>
      </w:r>
      <w:r w:rsidRPr="00EF1F5B">
        <w:rPr>
          <w:i/>
          <w:iCs/>
          <w:noProof/>
        </w:rPr>
        <w:t>Italia-Niger, Asgi svela il trattato secretato</w:t>
      </w:r>
      <w:r w:rsidRPr="006C2028">
        <w:rPr>
          <w:noProof/>
        </w:rPr>
        <w:t xml:space="preserve"> (ASGI reveals the secret treaty) </w:t>
      </w:r>
      <w:hyperlink r:id="rId32">
        <w:r w:rsidRPr="006C2028">
          <w:rPr>
            <w:noProof/>
          </w:rPr>
          <w:t>https://www.ilfattoquotidiano.it/2019/02/06/italia-niger-asgi-svela-il-trattato-secretato-e-copia-e-incolla-previste-navi-ma-non-ce-mare-il-governo-pubblichi-lettere/4952433/</w:t>
        </w:r>
      </w:hyperlink>
      <w:r>
        <w:rPr>
          <w:noProof/>
        </w:rPr>
        <w:t xml:space="preserve">  </w:t>
      </w:r>
    </w:p>
  </w:footnote>
  <w:footnote w:id="31">
    <w:p w14:paraId="1B178043" w14:textId="77777777" w:rsidR="003A7A79" w:rsidRPr="00577BD9" w:rsidRDefault="003A7A79" w:rsidP="00B323AE">
      <w:pPr>
        <w:pStyle w:val="FootnoteText"/>
        <w:rPr>
          <w:rFonts w:ascii="Libre Franklin" w:hAnsi="Libre Franklin"/>
          <w:noProof/>
          <w:color w:val="595959"/>
          <w:szCs w:val="20"/>
        </w:rPr>
      </w:pPr>
      <w:r>
        <w:rPr>
          <w:rStyle w:val="FootnoteReference"/>
          <w:noProof/>
        </w:rPr>
        <w:footnoteRef/>
      </w:r>
      <w:r w:rsidRPr="00577BD9">
        <w:rPr>
          <w:rFonts w:ascii="Libre Franklin" w:hAnsi="Libre Franklin"/>
          <w:noProof/>
          <w:color w:val="595959"/>
          <w:szCs w:val="20"/>
        </w:rPr>
        <w:t xml:space="preserve"> </w:t>
      </w:r>
      <w:r w:rsidRPr="00E64AD5">
        <w:t>https://www.liberties.eu/en/news/civic-access-italy-niger-agreement/16975</w:t>
      </w:r>
      <w:r w:rsidRPr="00577BD9">
        <w:rPr>
          <w:rFonts w:ascii="Libre Franklin" w:hAnsi="Libre Franklin"/>
          <w:noProof/>
          <w:color w:val="595959"/>
          <w:szCs w:val="20"/>
        </w:rPr>
        <w:t xml:space="preserve"> </w:t>
      </w:r>
    </w:p>
  </w:footnote>
  <w:footnote w:id="32">
    <w:p w14:paraId="2405374D" w14:textId="77777777" w:rsidR="00382E97" w:rsidRPr="00EF1F5B" w:rsidRDefault="00382E97" w:rsidP="00382E97">
      <w:pPr>
        <w:pStyle w:val="FootnoteText"/>
      </w:pPr>
      <w:r>
        <w:rPr>
          <w:rStyle w:val="FootnoteReference"/>
        </w:rPr>
        <w:footnoteRef/>
      </w:r>
      <w:r w:rsidRPr="00EF1F5B">
        <w:t xml:space="preserve"> https://mwatana.org/en/starvation-makers/</w:t>
      </w:r>
    </w:p>
  </w:footnote>
  <w:footnote w:id="33">
    <w:p w14:paraId="77274170" w14:textId="22BC4E46" w:rsidR="00382E97" w:rsidRPr="009C4FC2" w:rsidRDefault="00382E97" w:rsidP="00E64AD5">
      <w:pPr>
        <w:pStyle w:val="FootnoteText"/>
        <w:rPr>
          <w:sz w:val="18"/>
          <w:szCs w:val="18"/>
          <w:lang w:val="en-US"/>
        </w:rPr>
      </w:pPr>
      <w:r w:rsidRPr="007E26A6">
        <w:rPr>
          <w:rStyle w:val="FootnoteReference"/>
          <w:rFonts w:ascii="Times New Roman" w:hAnsi="Times New Roman"/>
          <w:sz w:val="18"/>
          <w:szCs w:val="18"/>
        </w:rPr>
        <w:footnoteRef/>
      </w:r>
      <w:r w:rsidRPr="00101844">
        <w:rPr>
          <w:rStyle w:val="FootnoteReference"/>
          <w:rFonts w:ascii="Times New Roman" w:hAnsi="Times New Roman"/>
          <w:sz w:val="18"/>
          <w:szCs w:val="18"/>
        </w:rPr>
        <w:t xml:space="preserve"> </w:t>
      </w:r>
      <w:r w:rsidR="00486976">
        <w:rPr>
          <w:sz w:val="18"/>
          <w:szCs w:val="18"/>
        </w:rPr>
        <w:t>“</w:t>
      </w:r>
      <w:r w:rsidR="00B453D8" w:rsidRPr="00E64AD5">
        <w:t>UN Group of Eminent International and Regional Experts on Yemen releases its fourth report,</w:t>
      </w:r>
      <w:r w:rsidR="00486976" w:rsidRPr="00E64AD5">
        <w:t>”</w:t>
      </w:r>
      <w:r w:rsidR="00B453D8" w:rsidRPr="00E64AD5">
        <w:t xml:space="preserve"> </w:t>
      </w:r>
      <w:r w:rsidRPr="00E64AD5">
        <w:t xml:space="preserve">14 September 2021, </w:t>
      </w:r>
      <w:hyperlink r:id="rId33" w:history="1">
        <w:r w:rsidRPr="00E64AD5">
          <w:t>https://www.ohchr.org/EN/HRBodies/HRC/Pages/NewsDetail.aspx?NewsID=27458&amp;LangID=E</w:t>
        </w:r>
      </w:hyperlink>
      <w:r>
        <w:rPr>
          <w:sz w:val="18"/>
          <w:szCs w:val="18"/>
          <w:lang w:val="en-US"/>
        </w:rPr>
        <w:t xml:space="preserve"> </w:t>
      </w:r>
      <w:r w:rsidRPr="009C4FC2">
        <w:rPr>
          <w:sz w:val="18"/>
          <w:szCs w:val="18"/>
          <w:lang w:val="en-US"/>
        </w:rPr>
        <w:t xml:space="preserve"> </w:t>
      </w:r>
    </w:p>
  </w:footnote>
  <w:footnote w:id="34">
    <w:p w14:paraId="4E8713F1" w14:textId="7BC534EF" w:rsidR="003A7A79" w:rsidRPr="001154DA" w:rsidRDefault="003A7A79" w:rsidP="00B323AE">
      <w:pPr>
        <w:pStyle w:val="FootnoteText"/>
        <w:rPr>
          <w:i/>
          <w:iCs/>
          <w:noProof/>
        </w:rPr>
      </w:pPr>
      <w:r>
        <w:rPr>
          <w:rStyle w:val="FootnoteReference"/>
          <w:noProof/>
        </w:rPr>
        <w:footnoteRef/>
      </w:r>
      <w:r>
        <w:rPr>
          <w:noProof/>
        </w:rPr>
        <w:t xml:space="preserve"> </w:t>
      </w:r>
      <w:r w:rsidRPr="00E64AD5">
        <w:t xml:space="preserve">See, for example, </w:t>
      </w:r>
      <w:r w:rsidR="00486976" w:rsidRPr="00E64AD5">
        <w:t>“</w:t>
      </w:r>
      <w:r w:rsidRPr="00E64AD5">
        <w:t>The Italian government revokes bomb export licenses to Saudi Arabia and the United Arab Emirates,</w:t>
      </w:r>
      <w:r w:rsidR="00486976" w:rsidRPr="00E64AD5">
        <w:t>”</w:t>
      </w:r>
    </w:p>
    <w:p w14:paraId="2F14E37C" w14:textId="042D700E" w:rsidR="003A7A79" w:rsidRPr="00EF1F5B" w:rsidRDefault="00832D65" w:rsidP="00B323AE">
      <w:pPr>
        <w:pStyle w:val="FootnoteText"/>
        <w:rPr>
          <w:noProof/>
          <w:lang w:val="it-IT"/>
        </w:rPr>
      </w:pPr>
      <w:hyperlink r:id="rId34">
        <w:r w:rsidR="003A7A79" w:rsidRPr="00EF1F5B">
          <w:rPr>
            <w:rStyle w:val="Hyperlink"/>
            <w:noProof/>
            <w:color w:val="595959" w:themeColor="text1" w:themeTint="A6"/>
            <w:lang w:val="it-IT"/>
          </w:rPr>
          <w:t>https://www.ecchr.eu/en/press-release/the-italian-government-revokes-bomb-export-licenses-to-saudi-arabia-and-the-united-arab-emirates/</w:t>
        </w:r>
      </w:hyperlink>
      <w:r w:rsidR="00E64AD5">
        <w:rPr>
          <w:noProof/>
        </w:rPr>
        <w:t xml:space="preserve">; </w:t>
      </w:r>
      <w:r w:rsidR="003A7A79" w:rsidRPr="00EF1F5B">
        <w:rPr>
          <w:noProof/>
          <w:lang w:val="it-IT"/>
        </w:rPr>
        <w:t xml:space="preserve">and </w:t>
      </w:r>
      <w:r w:rsidR="003A7A79" w:rsidRPr="00BE328F">
        <w:rPr>
          <w:i/>
          <w:iCs/>
          <w:noProof/>
          <w:lang w:val="it-IT"/>
        </w:rPr>
        <w:t xml:space="preserve">Il Governo revoca l’export di bombe verso Arabia Saudita ed Emirati Arabi </w:t>
      </w:r>
      <w:hyperlink r:id="rId35">
        <w:r w:rsidR="003A7A79" w:rsidRPr="00EF1F5B">
          <w:rPr>
            <w:rStyle w:val="Hyperlink"/>
            <w:noProof/>
            <w:color w:val="595959" w:themeColor="text1" w:themeTint="A6"/>
            <w:lang w:val="it-IT"/>
          </w:rPr>
          <w:t>https://retepacedisarmo.org/2021/il-governo-revoca-lexport-di-bombe-verso-arabia-saudita-ed-emirati-arabi-soddisfazione-delle-organizzazioni-della-societa-civile/</w:t>
        </w:r>
      </w:hyperlink>
    </w:p>
  </w:footnote>
  <w:footnote w:id="35">
    <w:p w14:paraId="4F67EB35" w14:textId="74833E86" w:rsidR="003A7A79" w:rsidRPr="008D50C5" w:rsidRDefault="003A7A79" w:rsidP="00E64AD5">
      <w:pPr>
        <w:pStyle w:val="FootnoteText"/>
      </w:pPr>
      <w:r>
        <w:rPr>
          <w:rStyle w:val="FootnoteReference"/>
        </w:rPr>
        <w:footnoteRef/>
      </w:r>
      <w:r>
        <w:t xml:space="preserve"> See </w:t>
      </w:r>
      <w:r w:rsidR="00486976" w:rsidRPr="00486976">
        <w:t>“</w:t>
      </w:r>
      <w:r w:rsidRPr="00EF1F5B">
        <w:t>Sixth periodic report submitted by Italy under articles 16 and 17 of the Covenant, due in 2021,</w:t>
      </w:r>
      <w:r w:rsidR="00486976" w:rsidRPr="00EF1F5B">
        <w:t>”</w:t>
      </w:r>
      <w:r>
        <w:t xml:space="preserve"> </w:t>
      </w:r>
      <w:r w:rsidRPr="008D50C5">
        <w:t>E/C.12/ITA/6</w:t>
      </w:r>
      <w:r>
        <w:t xml:space="preserve">, </w:t>
      </w:r>
      <w:r w:rsidRPr="008D50C5">
        <w:t>26 August 2021</w:t>
      </w:r>
      <w:r>
        <w:t>, paragraph 62</w:t>
      </w:r>
      <w:r w:rsidR="00427CDF">
        <w:t xml:space="preserve">, available at </w:t>
      </w:r>
      <w:hyperlink r:id="rId36" w:history="1">
        <w:r w:rsidR="00427CDF" w:rsidRPr="008E3A79">
          <w:rPr>
            <w:rStyle w:val="Hyperlink"/>
          </w:rPr>
          <w:t>https://tbinternet.ohchr.org/_layouts/15/treatybodyexternal/Download.aspx?symbolno=E%2fC.12%2fITA%2f6&amp;Lang=en</w:t>
        </w:r>
      </w:hyperlink>
      <w:r w:rsidR="00427CDF">
        <w:t xml:space="preserve"> . </w:t>
      </w:r>
    </w:p>
  </w:footnote>
  <w:footnote w:id="36">
    <w:p w14:paraId="60B71DF4" w14:textId="783E0B51" w:rsidR="003A7A79" w:rsidRPr="0044652F" w:rsidRDefault="003A7A79" w:rsidP="00B323AE">
      <w:pPr>
        <w:pStyle w:val="FootnoteText"/>
      </w:pPr>
      <w:r>
        <w:rPr>
          <w:rStyle w:val="FootnoteReference"/>
        </w:rPr>
        <w:footnoteRef/>
      </w:r>
      <w:r>
        <w:t xml:space="preserve"> </w:t>
      </w:r>
      <w:r w:rsidR="00486976" w:rsidRPr="00486976">
        <w:t>“</w:t>
      </w:r>
      <w:r w:rsidRPr="00EF1F5B">
        <w:t>Accountability update</w:t>
      </w:r>
      <w:r w:rsidRPr="00486976">
        <w:t>,</w:t>
      </w:r>
      <w:r w:rsidR="00486976" w:rsidRPr="00486976">
        <w:t>”</w:t>
      </w:r>
      <w:r>
        <w:t xml:space="preserve"> Group of Eminent International and Regional Experts on Yemen, </w:t>
      </w:r>
      <w:r w:rsidRPr="00DE0802">
        <w:t>A/HRC/48/CRP.4</w:t>
      </w:r>
      <w:r>
        <w:t xml:space="preserve">, 14 September 2021, paragraph 58. See also, </w:t>
      </w:r>
      <w:r w:rsidRPr="0044652F">
        <w:rPr>
          <w:i/>
          <w:iCs/>
        </w:rPr>
        <w:t>Italy eases curbs on arms sales to Saudi Arabia and UAE,</w:t>
      </w:r>
      <w:r>
        <w:t xml:space="preserve">  Reuters, </w:t>
      </w:r>
      <w:hyperlink r:id="rId37" w:history="1">
        <w:r w:rsidRPr="008E3A79">
          <w:rPr>
            <w:rStyle w:val="Hyperlink"/>
          </w:rPr>
          <w:t>https://www.reuters.com/article/us-italy-arms-saudi-emirates/italy-eases-curbs-on-arms-sales-to-saudi-arabia-and-uae-idUSKCN2EC25L</w:t>
        </w:r>
      </w:hyperlink>
      <w:r>
        <w:t xml:space="preserve"> </w:t>
      </w:r>
    </w:p>
  </w:footnote>
  <w:footnote w:id="37">
    <w:p w14:paraId="6C050157" w14:textId="05545E18" w:rsidR="003A7A79" w:rsidRPr="00701718" w:rsidRDefault="003A7A79" w:rsidP="00B323AE">
      <w:pPr>
        <w:pStyle w:val="FootnoteText"/>
      </w:pPr>
      <w:r>
        <w:rPr>
          <w:rStyle w:val="FootnoteReference"/>
        </w:rPr>
        <w:footnoteRef/>
      </w:r>
      <w:r>
        <w:rPr>
          <w:i/>
          <w:iCs/>
        </w:rPr>
        <w:t xml:space="preserve"> </w:t>
      </w:r>
      <w:r w:rsidR="00486976" w:rsidRPr="00EF1F5B">
        <w:t>“</w:t>
      </w:r>
      <w:r w:rsidRPr="00EF1F5B">
        <w:t>Italian arms: in 2021 a historical record of actual exports worth almost 4.8 billion</w:t>
      </w:r>
      <w:r w:rsidR="00486976" w:rsidRPr="00EF1F5B">
        <w:t>”</w:t>
      </w:r>
      <w:r w:rsidRPr="00701718">
        <w:rPr>
          <w:i/>
          <w:iCs/>
        </w:rPr>
        <w:t xml:space="preserve"> </w:t>
      </w:r>
      <w:hyperlink r:id="rId38" w:history="1">
        <w:r w:rsidRPr="008E3A79">
          <w:rPr>
            <w:rStyle w:val="Hyperlink"/>
          </w:rPr>
          <w:t>https://retepacedisarmo.org/english/2022/italian-arms-in-2021-a-historical-record-of-actual-exports-worth-almost-4-8-billion/</w:t>
        </w:r>
      </w:hyperlink>
      <w:r>
        <w:t xml:space="preserve"> ; in Italian </w:t>
      </w:r>
      <w:hyperlink r:id="rId39" w:history="1">
        <w:r w:rsidRPr="008E3A79">
          <w:rPr>
            <w:rStyle w:val="Hyperlink"/>
          </w:rPr>
          <w:t>https://retepacedisarmo.org/export-armi/2022/05/armi-italiane-nel-2021-record-storico-di-esportazioni-effettive-per-un-controvalore-di-quasi-48-miliardi/</w:t>
        </w:r>
      </w:hyperlink>
      <w:r>
        <w:t xml:space="preserve"> </w:t>
      </w:r>
    </w:p>
  </w:footnote>
  <w:footnote w:id="38">
    <w:p w14:paraId="24E8C15A" w14:textId="71E52833" w:rsidR="00382E97" w:rsidRPr="00A06937" w:rsidRDefault="00382E97" w:rsidP="00E64AD5">
      <w:pPr>
        <w:pStyle w:val="FootnoteText"/>
        <w:rPr>
          <w:noProof/>
          <w:lang w:val="en-US"/>
        </w:rPr>
      </w:pPr>
      <w:r>
        <w:rPr>
          <w:rStyle w:val="FootnoteReference"/>
          <w:noProof/>
        </w:rPr>
        <w:footnoteRef/>
      </w:r>
      <w:r>
        <w:rPr>
          <w:noProof/>
        </w:rPr>
        <w:t xml:space="preserve"> Complaint submitted in </w:t>
      </w:r>
      <w:r w:rsidRPr="00E64AD5">
        <w:t>April</w:t>
      </w:r>
      <w:r w:rsidRPr="004E0500">
        <w:rPr>
          <w:noProof/>
        </w:rPr>
        <w:t xml:space="preserve"> 2018 by Mwatana for Human Rights (Yemen), </w:t>
      </w:r>
      <w:r w:rsidRPr="003B1C95">
        <w:rPr>
          <w:i/>
          <w:iCs/>
          <w:noProof/>
        </w:rPr>
        <w:t>Rete Pace e Disarmo</w:t>
      </w:r>
      <w:r w:rsidRPr="004E0500">
        <w:rPr>
          <w:noProof/>
        </w:rPr>
        <w:t xml:space="preserve"> (Italy) and the European Center for Constitutional and Human Rights </w:t>
      </w:r>
      <w:r w:rsidR="003B1C95">
        <w:rPr>
          <w:noProof/>
        </w:rPr>
        <w:t>(</w:t>
      </w:r>
      <w:r w:rsidRPr="004E0500">
        <w:rPr>
          <w:noProof/>
        </w:rPr>
        <w:t>ECCHR</w:t>
      </w:r>
      <w:r w:rsidR="003B1C95">
        <w:rPr>
          <w:noProof/>
        </w:rPr>
        <w:t>)</w:t>
      </w:r>
      <w:r>
        <w:rPr>
          <w:noProof/>
        </w:rPr>
        <w:t xml:space="preserve">. </w:t>
      </w:r>
      <w:r w:rsidRPr="003945BA">
        <w:rPr>
          <w:rStyle w:val="FootnoteTextChar"/>
          <w:noProof/>
        </w:rPr>
        <w:t xml:space="preserve">For more information, see: Hearing on UAMA and RWM Italia's role in deadly airstrike: Court must ensure that investigations continue, available at  </w:t>
      </w:r>
      <w:hyperlink r:id="rId40" w:history="1">
        <w:r w:rsidRPr="008E3A79">
          <w:rPr>
            <w:rStyle w:val="Hyperlink"/>
            <w:noProof/>
          </w:rPr>
          <w:t>https://retepacedisarmo.org/english/2021/hearing-on-uama-and-rwm-italias-role-in-deadly-airstrike-court-must-ensure-that-investigations-continue/</w:t>
        </w:r>
      </w:hyperlink>
      <w:r>
        <w:rPr>
          <w:rStyle w:val="FootnoteTextChar"/>
          <w:noProof/>
        </w:rPr>
        <w:t xml:space="preserve">; </w:t>
      </w:r>
      <w:r w:rsidRPr="00A06937">
        <w:rPr>
          <w:rStyle w:val="FootnoteTextChar"/>
          <w:i/>
          <w:iCs/>
          <w:noProof/>
        </w:rPr>
        <w:t>European responsibility for war crimes in Yemen – Complicity of RWM Italia and Italian arms export authority?</w:t>
      </w:r>
      <w:r w:rsidRPr="00A06937">
        <w:rPr>
          <w:rStyle w:val="FootnoteTextChar"/>
          <w:noProof/>
        </w:rPr>
        <w:t xml:space="preserve"> https://www.ecchr.eu/fileadmin/Fallbeschreibungen/CaseReport_RWMItalia_Dec2020.pdf</w:t>
      </w:r>
      <w:r>
        <w:rPr>
          <w:rStyle w:val="FootnoteTextChar"/>
          <w:noProof/>
        </w:rPr>
        <w:t xml:space="preserve">  and </w:t>
      </w:r>
      <w:hyperlink r:id="rId41" w:history="1">
        <w:r w:rsidRPr="008E3A79">
          <w:rPr>
            <w:rStyle w:val="Hyperlink"/>
            <w:noProof/>
          </w:rPr>
          <w:t>https://www.ecchr.eu/en/case/european-responsibility-for-war-crimes-in-yemen/</w:t>
        </w:r>
      </w:hyperlink>
      <w:r w:rsidRPr="00A06937">
        <w:rPr>
          <w:rStyle w:val="FootnoteTextChar"/>
          <w:noProof/>
          <w:lang w:val="en-US"/>
        </w:rPr>
        <w:t xml:space="preserve">; </w:t>
      </w:r>
      <w:r w:rsidRPr="003945BA">
        <w:rPr>
          <w:rStyle w:val="FootnoteTextChar"/>
          <w:noProof/>
        </w:rPr>
        <w:t xml:space="preserve">“Legal challenges to EU member states’ arms exports to Saudi Arabia: Current status and potential implications”, 28 June 2019, </w:t>
      </w:r>
      <w:hyperlink r:id="rId42">
        <w:r w:rsidRPr="003945BA">
          <w:rPr>
            <w:rStyle w:val="FootnoteTextChar"/>
            <w:noProof/>
          </w:rPr>
          <w:t>https://www.sipri.org/commentary/topical-backgrounder/2019/legal-challenges-eu-member-states-arms-exports-saudi-arabia-current-status-and-potential</w:t>
        </w:r>
      </w:hyperlink>
      <w:r>
        <w:rPr>
          <w:rStyle w:val="FootnoteTextChar"/>
          <w:noProof/>
        </w:rPr>
        <w:t xml:space="preserve">; </w:t>
      </w:r>
      <w:r w:rsidRPr="001154DA">
        <w:rPr>
          <w:rStyle w:val="FootnoteTextChar"/>
          <w:noProof/>
        </w:rPr>
        <w:t>Groundbreaking decision for victims of Italian weapon airstrikes in Yemen</w:t>
      </w:r>
      <w:r>
        <w:rPr>
          <w:rStyle w:val="FootnoteTextChar"/>
          <w:noProof/>
        </w:rPr>
        <w:t xml:space="preserve">, </w:t>
      </w:r>
      <w:hyperlink r:id="rId43" w:history="1">
        <w:r w:rsidRPr="008E3A79">
          <w:rPr>
            <w:rStyle w:val="Hyperlink"/>
            <w:noProof/>
          </w:rPr>
          <w:t>https://www.ecchr.eu/en/press-release/groundbreaking-decision-for-victims-of-italian-weapon-airstrikes-in-yemen/</w:t>
        </w:r>
      </w:hyperlink>
      <w:r>
        <w:rPr>
          <w:rStyle w:val="FootnoteTextChar"/>
          <w:noProof/>
        </w:rPr>
        <w:t xml:space="preserve">; </w:t>
      </w:r>
    </w:p>
  </w:footnote>
  <w:footnote w:id="39">
    <w:p w14:paraId="0A7FEA28" w14:textId="502F93E1" w:rsidR="00C20941" w:rsidRPr="003F0834" w:rsidRDefault="00C20941" w:rsidP="00C20941">
      <w:pPr>
        <w:pStyle w:val="FootnoteText"/>
        <w:rPr>
          <w:rFonts w:ascii="Libre Franklin" w:hAnsi="Libre Franklin"/>
          <w:noProof/>
          <w:color w:val="595959"/>
          <w:szCs w:val="20"/>
        </w:rPr>
      </w:pPr>
      <w:r>
        <w:rPr>
          <w:rStyle w:val="FootnoteReference"/>
          <w:noProof/>
        </w:rPr>
        <w:footnoteRef/>
      </w:r>
      <w:r>
        <w:rPr>
          <w:rFonts w:ascii="Libre Franklin" w:hAnsi="Libre Franklin"/>
          <w:noProof/>
          <w:color w:val="595959"/>
          <w:szCs w:val="20"/>
        </w:rPr>
        <w:t xml:space="preserve"> </w:t>
      </w:r>
      <w:r w:rsidR="00C33B43" w:rsidRPr="00E64AD5">
        <w:t>“</w:t>
      </w:r>
      <w:r w:rsidRPr="00E64AD5">
        <w:t>Made in Europe, Bombed in Yemen.  ICC must investigate European responsibility in alleged war crimes in Yemen</w:t>
      </w:r>
      <w:r w:rsidR="00C33B43" w:rsidRPr="00E64AD5">
        <w:t>”</w:t>
      </w:r>
      <w:r w:rsidRPr="00E64AD5">
        <w:t xml:space="preserve"> </w:t>
      </w:r>
      <w:hyperlink r:id="rId44">
        <w:r w:rsidRPr="00E64AD5">
          <w:t>https://www.ecchr.eu/en/case/made-in-europe-bombed-in-yemen/</w:t>
        </w:r>
      </w:hyperlink>
      <w:r w:rsidRPr="00E64AD5">
        <w:t xml:space="preserve">; and </w:t>
      </w:r>
      <w:r w:rsidR="00E64AD5">
        <w:t>“</w:t>
      </w:r>
      <w:r w:rsidRPr="00E64AD5">
        <w:t>ICC must investigate arms company executives linked to Yemen war crimes allegations</w:t>
      </w:r>
      <w:r w:rsidR="00E64AD5">
        <w:t>”</w:t>
      </w:r>
      <w:r w:rsidRPr="00E64AD5">
        <w:t xml:space="preserve"> </w:t>
      </w:r>
      <w:hyperlink r:id="rId45" w:history="1">
        <w:r w:rsidRPr="00E64AD5">
          <w:t>https://www.amnesty.org/en/latest/press-release/2019/12/icc-investigate-arms-companies-yemen-war-crimes-allegations/</w:t>
        </w:r>
      </w:hyperlink>
      <w:r>
        <w:rPr>
          <w:rFonts w:ascii="Libre Franklin" w:hAnsi="Libre Franklin"/>
          <w:noProof/>
          <w:color w:val="595959"/>
          <w:szCs w:val="20"/>
        </w:rPr>
        <w:t xml:space="preserve"> </w:t>
      </w:r>
    </w:p>
  </w:footnote>
  <w:footnote w:id="40">
    <w:p w14:paraId="480CB076" w14:textId="6C68EE0F" w:rsidR="00C20941" w:rsidRPr="00C20941" w:rsidRDefault="00C20941">
      <w:pPr>
        <w:pStyle w:val="FootnoteText"/>
      </w:pPr>
      <w:r>
        <w:rPr>
          <w:rStyle w:val="FootnoteReference"/>
        </w:rPr>
        <w:footnoteRef/>
      </w:r>
      <w:r>
        <w:t xml:space="preserve"> </w:t>
      </w:r>
      <w:r w:rsidR="00C33B43" w:rsidRPr="00E64AD5">
        <w:t>Office of the Prosecutor (</w:t>
      </w:r>
      <w:r w:rsidRPr="00E64AD5">
        <w:t>OTP</w:t>
      </w:r>
      <w:r w:rsidR="00C33B43" w:rsidRPr="00E64AD5">
        <w:t>)</w:t>
      </w:r>
      <w:r w:rsidRPr="00E64AD5">
        <w:t xml:space="preserve"> Policy Paper on Preliminary Examinations (2020), </w:t>
      </w:r>
      <w:hyperlink r:id="rId46" w:history="1">
        <w:r w:rsidRPr="00E64AD5">
          <w:t>https://www.google.com/url?sa=t&amp;rct=j&amp;q=&amp;esrc=s&amp;source=web&amp;cd=&amp;ved=2ahUKEwixwru3weT5AhWJHuwKHeTKDTAQFnoECA0QAQ&amp;url=https%3A%2F%2Fwww.icc-cpi.int%2Fsites%2Fdefault%2Ffiles%2FitemsDocuments%2F2020-PE%2F2020-pe-report-eng.pdf&amp;usg=AOvVaw0FaAIqOb5Kf35ucUqiDAI at_</w:t>
        </w:r>
      </w:hyperlink>
      <w:r w:rsidRPr="00E64AD5">
        <w:t xml:space="preserve"> para 35.</w:t>
      </w:r>
      <w:r w:rsidRPr="00C20941">
        <w:rPr>
          <w:rStyle w:val="Hyperlink"/>
          <w:rFonts w:ascii="Times New Roman" w:hAnsi="Times New Roman"/>
          <w:szCs w:val="20"/>
        </w:rPr>
        <w:t xml:space="preserve">  </w:t>
      </w:r>
    </w:p>
  </w:footnote>
  <w:footnote w:id="41">
    <w:p w14:paraId="76F9EE6A" w14:textId="43C7D515" w:rsidR="00D3764E" w:rsidRPr="0078413F" w:rsidRDefault="00D3764E" w:rsidP="00D3764E">
      <w:pPr>
        <w:pStyle w:val="FootnoteText"/>
        <w:jc w:val="both"/>
        <w:rPr>
          <w:rFonts w:ascii="Amnesty Trade Gothic" w:hAnsi="Amnesty Trade Gothic" w:cs="Times New Roman"/>
        </w:rPr>
      </w:pPr>
      <w:r>
        <w:rPr>
          <w:rStyle w:val="FootnoteReference"/>
          <w:rFonts w:ascii="Amnesty Trade Gothic" w:hAnsi="Amnesty Trade Gothic"/>
        </w:rPr>
        <w:footnoteRef/>
      </w:r>
      <w:r w:rsidRPr="0078413F">
        <w:t xml:space="preserve"> </w:t>
      </w:r>
      <w:r w:rsidR="00C33B43" w:rsidRPr="00264036">
        <w:t xml:space="preserve">Office of the Prosecutor </w:t>
      </w:r>
      <w:r w:rsidR="00C33B43">
        <w:t>(</w:t>
      </w:r>
      <w:r w:rsidRPr="00EF1F5B">
        <w:rPr>
          <w:rStyle w:val="FootnoteTextChar"/>
          <w:noProof/>
        </w:rPr>
        <w:t>OTP</w:t>
      </w:r>
      <w:r w:rsidR="00C33B43">
        <w:rPr>
          <w:rStyle w:val="FootnoteTextChar"/>
          <w:noProof/>
        </w:rPr>
        <w:t>)</w:t>
      </w:r>
      <w:r w:rsidRPr="00EF1F5B">
        <w:rPr>
          <w:rStyle w:val="FootnoteTextChar"/>
          <w:noProof/>
        </w:rPr>
        <w:t xml:space="preserve"> Policy Paper on Preliminary Examinations (2013),</w:t>
      </w:r>
      <w:r w:rsidRPr="00E64AD5">
        <w:t xml:space="preserve"> </w:t>
      </w:r>
      <w:hyperlink r:id="rId47" w:history="1">
        <w:r w:rsidRPr="00E64AD5">
          <w:t>https://www.icc-cpi.int/iccdocs/otp/OTP-Policy_Paper_Preliminary_Examinations_2013-ENG.pdf</w:t>
        </w:r>
      </w:hyperlink>
      <w:r w:rsidR="00E64AD5">
        <w:t xml:space="preserve">. </w:t>
      </w:r>
      <w:r w:rsidRPr="00E64AD5">
        <w:t xml:space="preserve"> </w:t>
      </w:r>
    </w:p>
  </w:footnote>
  <w:footnote w:id="42">
    <w:p w14:paraId="0E210D4D" w14:textId="64466DE1" w:rsidR="003A7A79" w:rsidRPr="00E64AD5" w:rsidRDefault="003A7A79" w:rsidP="00E64AD5">
      <w:pPr>
        <w:pStyle w:val="FootnoteText"/>
      </w:pPr>
      <w:r>
        <w:rPr>
          <w:rStyle w:val="FootnoteReference"/>
          <w:noProof/>
        </w:rPr>
        <w:footnoteRef/>
      </w:r>
      <w:r w:rsidRPr="00EF1F5B">
        <w:rPr>
          <w:noProof/>
          <w:szCs w:val="20"/>
          <w:lang w:val="it-IT"/>
        </w:rPr>
        <w:t xml:space="preserve"> </w:t>
      </w:r>
      <w:r w:rsidRPr="00E64AD5">
        <w:rPr>
          <w:i/>
          <w:iCs/>
        </w:rPr>
        <w:t>Export di armi, l’Italia tra i meno trasparenti in Ue. Da quattro anni non comunica all’Onu i Paesi a cui vende armamenti e mezzi militari</w:t>
      </w:r>
      <w:r w:rsidRPr="00E64AD5">
        <w:t xml:space="preserve"> (Arms exports, Italy among the least transparent in the EU. For four years it has failed to inform the United Nations of the countries to which it sells arms and military equipment)  </w:t>
      </w:r>
      <w:hyperlink r:id="rId48" w:history="1">
        <w:r w:rsidRPr="00E64AD5">
          <w:t>https://www.ilfattoquotidiano.it/2020/07/31/export-di-armi-litalia-tra-i-meno-trasparenti-in-ue-da-quattro-anni-non-comunica-allonu-i-paesi-a-cui-vende-armamenti-e-mezzi-militari/5885177/</w:t>
        </w:r>
      </w:hyperlink>
      <w:r w:rsidR="00E64AD5">
        <w:rPr>
          <w:lang w:val="en-US"/>
        </w:rPr>
        <w:t xml:space="preserve"> </w:t>
      </w:r>
      <w:r w:rsidRPr="00E64AD5">
        <w:t xml:space="preserve">. </w:t>
      </w:r>
    </w:p>
  </w:footnote>
  <w:footnote w:id="43">
    <w:p w14:paraId="2507EA63" w14:textId="232AF0BE" w:rsidR="003A7A79" w:rsidRDefault="003A7A79" w:rsidP="00B323AE">
      <w:pPr>
        <w:pStyle w:val="FootnoteText"/>
        <w:rPr>
          <w:noProof/>
        </w:rPr>
      </w:pPr>
      <w:r>
        <w:rPr>
          <w:rStyle w:val="FootnoteReference"/>
          <w:noProof/>
        </w:rPr>
        <w:footnoteRef/>
      </w:r>
      <w:r w:rsidRPr="003B1C95">
        <w:rPr>
          <w:noProof/>
          <w:lang w:val="en-US"/>
        </w:rPr>
        <w:t xml:space="preserve"> </w:t>
      </w:r>
      <w:r w:rsidR="00703400" w:rsidRPr="003B1C95">
        <w:rPr>
          <w:noProof/>
          <w:lang w:val="en-US"/>
        </w:rPr>
        <w:t xml:space="preserve">See, for example, </w:t>
      </w:r>
      <w:r w:rsidRPr="006C2028">
        <w:rPr>
          <w:i/>
          <w:iCs/>
          <w:noProof/>
          <w:lang w:val="it-IT"/>
        </w:rPr>
        <w:t>Export di armamenti: tutto quello che il Governo non dice</w:t>
      </w:r>
      <w:r w:rsidRPr="006C2028">
        <w:rPr>
          <w:noProof/>
          <w:lang w:val="it-IT"/>
        </w:rPr>
        <w:t>.</w:t>
      </w:r>
      <w:r w:rsidRPr="003B1C95">
        <w:rPr>
          <w:noProof/>
          <w:lang w:val="en-US"/>
        </w:rPr>
        <w:t xml:space="preserve"> </w:t>
      </w:r>
      <w:r>
        <w:rPr>
          <w:noProof/>
        </w:rPr>
        <w:t>(</w:t>
      </w:r>
      <w:r w:rsidRPr="006C2028">
        <w:rPr>
          <w:noProof/>
        </w:rPr>
        <w:t>Arms exports: everything the government doesn't say</w:t>
      </w:r>
      <w:r>
        <w:rPr>
          <w:noProof/>
        </w:rPr>
        <w:t>) https://www.unimondo.org/Notizie/Export-di-armamenti-tutto-quello-che-il-Governo-non-dice-196608</w:t>
      </w:r>
    </w:p>
  </w:footnote>
  <w:footnote w:id="44">
    <w:p w14:paraId="3BB7A045" w14:textId="77777777" w:rsidR="003A7A79" w:rsidRPr="00E64AD5" w:rsidRDefault="003A7A79" w:rsidP="00E64AD5">
      <w:pPr>
        <w:pStyle w:val="FootnoteText"/>
      </w:pPr>
      <w:r>
        <w:rPr>
          <w:rStyle w:val="FootnoteReference"/>
          <w:noProof/>
        </w:rPr>
        <w:footnoteRef/>
      </w:r>
      <w:r w:rsidRPr="00577BD9">
        <w:rPr>
          <w:noProof/>
          <w:lang w:val="en-US"/>
        </w:rPr>
        <w:t xml:space="preserve"> </w:t>
      </w:r>
      <w:r w:rsidRPr="00E64AD5">
        <w:rPr>
          <w:i/>
          <w:iCs/>
        </w:rPr>
        <w:t xml:space="preserve">30 anni di export militare: quasi 100 miliardi di vendite, la maggioranza fuori da UE e NATO </w:t>
      </w:r>
      <w:r w:rsidRPr="00E64AD5">
        <w:t xml:space="preserve">(30 years of military exports: almost 100 billion in sales, the majority outside the EU and NATO), 9 July 2020 </w:t>
      </w:r>
      <w:hyperlink r:id="rId49" w:history="1">
        <w:r w:rsidRPr="00E64AD5">
          <w:t>https://www.disarmo.org/rete/a/47835.html</w:t>
        </w:r>
      </w:hyperlink>
      <w:r w:rsidRPr="00E64AD5">
        <w:t xml:space="preserve"> </w:t>
      </w:r>
    </w:p>
    <w:p w14:paraId="0E8C5BC6" w14:textId="77777777" w:rsidR="003A7A79" w:rsidRDefault="003A7A79" w:rsidP="00E64AD5">
      <w:pPr>
        <w:pStyle w:val="FootnoteText"/>
        <w:rPr>
          <w:noProof/>
        </w:rPr>
      </w:pPr>
      <w:r w:rsidRPr="00E64AD5">
        <w:t xml:space="preserve">For the text of the legislation, see Law No. 185 of 9 July 1990, New provisions on controlling the export, import and transit of military goods ((COURTESY TRANSLATION)) </w:t>
      </w:r>
      <w:hyperlink r:id="rId50" w:history="1">
        <w:r w:rsidRPr="00E64AD5">
          <w:rPr>
            <w:rStyle w:val="Hyperlink"/>
            <w:color w:val="595959" w:themeColor="text1" w:themeTint="A6"/>
            <w:u w:val="none"/>
          </w:rPr>
          <w:t>https://www.esteri.it/mae/resource/doc/2017/06/legge_09_07_1990_n185.pdf</w:t>
        </w:r>
      </w:hyperlink>
      <w:r>
        <w:rPr>
          <w:noProof/>
        </w:rPr>
        <w:t xml:space="preserve"> </w:t>
      </w:r>
    </w:p>
  </w:footnote>
  <w:footnote w:id="45">
    <w:p w14:paraId="39A97334" w14:textId="6A817FC8" w:rsidR="003A7A79" w:rsidRPr="00DD639C" w:rsidRDefault="003A7A79" w:rsidP="00B323AE">
      <w:pPr>
        <w:pStyle w:val="FootnoteText"/>
      </w:pPr>
      <w:r>
        <w:rPr>
          <w:rStyle w:val="FootnoteReference"/>
        </w:rPr>
        <w:footnoteRef/>
      </w:r>
      <w:r>
        <w:t xml:space="preserve"> </w:t>
      </w:r>
      <w:r w:rsidR="00C33B43" w:rsidRPr="00E64AD5">
        <w:t>“</w:t>
      </w:r>
      <w:r w:rsidRPr="00E64AD5">
        <w:t>Anniversary of Law 185/90: Parliament must exercise more control over arms exports</w:t>
      </w:r>
      <w:r w:rsidR="00C33B43" w:rsidRPr="00E64AD5">
        <w:t>”</w:t>
      </w:r>
      <w:r w:rsidRPr="00E64AD5">
        <w:t xml:space="preserve"> </w:t>
      </w:r>
      <w:hyperlink r:id="rId51" w:history="1">
        <w:r w:rsidRPr="00E64AD5">
          <w:t>https://retepacedisarmo.org/2022/anniversary-of-law-185-90-parliament-must-exercise-more-control-over-arms-exports/</w:t>
        </w:r>
      </w:hyperlink>
      <w:r>
        <w:t xml:space="preserve"> </w:t>
      </w:r>
    </w:p>
  </w:footnote>
  <w:footnote w:id="46">
    <w:p w14:paraId="34B5552D" w14:textId="217A1E56" w:rsidR="003A7A79" w:rsidRDefault="003A7A79" w:rsidP="00B323AE">
      <w:pPr>
        <w:pStyle w:val="FootnoteText"/>
      </w:pPr>
      <w:r>
        <w:rPr>
          <w:rStyle w:val="FootnoteReference"/>
        </w:rPr>
        <w:footnoteRef/>
      </w:r>
      <w:r>
        <w:t xml:space="preserve"> </w:t>
      </w:r>
      <w:r w:rsidR="00C33B43" w:rsidRPr="00E64AD5">
        <w:rPr>
          <w:i/>
          <w:iCs/>
        </w:rPr>
        <w:t>I</w:t>
      </w:r>
      <w:r w:rsidR="00E64AD5" w:rsidRPr="00E64AD5">
        <w:rPr>
          <w:i/>
          <w:iCs/>
        </w:rPr>
        <w:t>b</w:t>
      </w:r>
      <w:r w:rsidR="00C33B43" w:rsidRPr="00E64AD5">
        <w:rPr>
          <w:i/>
          <w:iCs/>
        </w:rPr>
        <w:t>id.</w:t>
      </w:r>
      <w:r w:rsidRPr="00E64AD5">
        <w:t xml:space="preserve"> See also, </w:t>
      </w:r>
      <w:r w:rsidR="00C33B43" w:rsidRPr="00E64AD5">
        <w:t>“</w:t>
      </w:r>
      <w:r w:rsidRPr="00E64AD5">
        <w:t>Italian arms: in 2021 a historical record of actual exports worth almost 4.8 billion,</w:t>
      </w:r>
      <w:r w:rsidR="00C33B43" w:rsidRPr="00E64AD5">
        <w:t>”</w:t>
      </w:r>
      <w:r w:rsidRPr="00E64AD5">
        <w:t xml:space="preserve">  </w:t>
      </w:r>
      <w:hyperlink r:id="rId52" w:history="1">
        <w:r w:rsidRPr="00E64AD5">
          <w:t>https://retepacedisarmo.org/english/2022/italian-arms-in-2021-a-historical-record-of-actual-exports-worth-almost-4-8-billion/</w:t>
        </w:r>
      </w:hyperlink>
      <w:r w:rsidRPr="00E64AD5">
        <w:t>, in which the Rete reports that  “Following public reports by the analysts of the Italian Peace and Disarmament Network, a new and corrected version of the Annual Report to Parliament on arms exports has been published in recent days – without much evidence.</w:t>
      </w:r>
      <w:r w:rsidR="00C33B43" w:rsidRPr="00E64AD5">
        <w:t xml:space="preserve"> </w:t>
      </w:r>
      <w:r w:rsidRPr="00E64AD5">
        <w:t>Only thanks to the updated document is it possible to know how in 2021 there was a historical record of actual and definitive exports of military materials (over 4.7 billion euros) while new authorisations remain high (for a total of 4.6 billion euros).”</w:t>
      </w:r>
    </w:p>
    <w:p w14:paraId="2B917D89" w14:textId="77777777" w:rsidR="003A7A79" w:rsidRPr="00201653" w:rsidRDefault="003A7A79" w:rsidP="00B323AE">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E6F40"/>
    <w:multiLevelType w:val="hybridMultilevel"/>
    <w:tmpl w:val="88349A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9121960"/>
    <w:multiLevelType w:val="hybridMultilevel"/>
    <w:tmpl w:val="5CF45E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07F1171"/>
    <w:multiLevelType w:val="hybridMultilevel"/>
    <w:tmpl w:val="4B1A7F6C"/>
    <w:lvl w:ilvl="0" w:tplc="3EA0E8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0B792E"/>
    <w:multiLevelType w:val="hybridMultilevel"/>
    <w:tmpl w:val="F04C2414"/>
    <w:lvl w:ilvl="0" w:tplc="C7A0FF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6F3B9F"/>
    <w:multiLevelType w:val="hybridMultilevel"/>
    <w:tmpl w:val="EBE68824"/>
    <w:lvl w:ilvl="0" w:tplc="4C607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5E0ED8"/>
    <w:multiLevelType w:val="hybridMultilevel"/>
    <w:tmpl w:val="A878A626"/>
    <w:lvl w:ilvl="0" w:tplc="76CA88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871005"/>
    <w:multiLevelType w:val="hybridMultilevel"/>
    <w:tmpl w:val="BFE8A912"/>
    <w:lvl w:ilvl="0" w:tplc="E63C2C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330738A"/>
    <w:multiLevelType w:val="hybridMultilevel"/>
    <w:tmpl w:val="CDB64D7A"/>
    <w:lvl w:ilvl="0" w:tplc="79786C4A">
      <w:numFmt w:val="bullet"/>
      <w:lvlText w:val="-"/>
      <w:lvlJc w:val="left"/>
      <w:pPr>
        <w:ind w:left="1080" w:hanging="360"/>
      </w:pPr>
      <w:rPr>
        <w:rFonts w:ascii="Times New Roman" w:eastAsia="Times New Roman" w:hAnsi="Times New Roman"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8" w15:restartNumberingAfterBreak="0">
    <w:nsid w:val="66D41ED2"/>
    <w:multiLevelType w:val="hybridMultilevel"/>
    <w:tmpl w:val="F28C9006"/>
    <w:lvl w:ilvl="0" w:tplc="32BCC160">
      <w:numFmt w:val="bullet"/>
      <w:lvlText w:val="-"/>
      <w:lvlJc w:val="left"/>
      <w:pPr>
        <w:ind w:left="1080" w:hanging="360"/>
      </w:pPr>
      <w:rPr>
        <w:rFonts w:ascii="Times New Roman" w:eastAsia="Times New Roman" w:hAnsi="Times New Roman"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9" w15:restartNumberingAfterBreak="0">
    <w:nsid w:val="67AE4599"/>
    <w:multiLevelType w:val="hybridMultilevel"/>
    <w:tmpl w:val="DD1E894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682B08A9"/>
    <w:multiLevelType w:val="hybridMultilevel"/>
    <w:tmpl w:val="F480665C"/>
    <w:lvl w:ilvl="0" w:tplc="3C8AF75A">
      <w:numFmt w:val="bullet"/>
      <w:lvlText w:val="-"/>
      <w:lvlJc w:val="left"/>
      <w:pPr>
        <w:ind w:left="1080" w:hanging="360"/>
      </w:pPr>
      <w:rPr>
        <w:rFonts w:ascii="Times New Roman" w:eastAsia="Times New Roman" w:hAnsi="Times New Roman"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1" w15:restartNumberingAfterBreak="0">
    <w:nsid w:val="70106A55"/>
    <w:multiLevelType w:val="hybridMultilevel"/>
    <w:tmpl w:val="170EDD1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87B4980"/>
    <w:multiLevelType w:val="hybridMultilevel"/>
    <w:tmpl w:val="848207EC"/>
    <w:lvl w:ilvl="0" w:tplc="60AAE4AE">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7DEF0779"/>
    <w:multiLevelType w:val="multilevel"/>
    <w:tmpl w:val="EB8AA82C"/>
    <w:lvl w:ilvl="0">
      <w:start w:val="1"/>
      <w:numFmt w:val="decimal"/>
      <w:lvlText w:val="%1."/>
      <w:lvlJc w:val="left"/>
      <w:pPr>
        <w:ind w:left="360" w:hanging="360"/>
      </w:pPr>
      <w:rPr>
        <w:b/>
        <w:bCs/>
        <w:i w:val="0"/>
        <w:i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EA022AA"/>
    <w:multiLevelType w:val="hybridMultilevel"/>
    <w:tmpl w:val="F94452C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1"/>
  </w:num>
  <w:num w:numId="4">
    <w:abstractNumId w:val="11"/>
  </w:num>
  <w:num w:numId="5">
    <w:abstractNumId w:val="14"/>
  </w:num>
  <w:num w:numId="6">
    <w:abstractNumId w:val="7"/>
  </w:num>
  <w:num w:numId="7">
    <w:abstractNumId w:val="12"/>
  </w:num>
  <w:num w:numId="8">
    <w:abstractNumId w:val="8"/>
  </w:num>
  <w:num w:numId="9">
    <w:abstractNumId w:val="10"/>
  </w:num>
  <w:num w:numId="10">
    <w:abstractNumId w:val="9"/>
  </w:num>
  <w:num w:numId="11">
    <w:abstractNumId w:val="5"/>
  </w:num>
  <w:num w:numId="12">
    <w:abstractNumId w:val="2"/>
  </w:num>
  <w:num w:numId="13">
    <w:abstractNumId w:val="4"/>
  </w:num>
  <w:num w:numId="14">
    <w:abstractNumId w:val="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removePersonalInformation/>
  <w:removeDateAndTime/>
  <w:activeWritingStyle w:appName="MSWord" w:lang="it-IT"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it-IT" w:vendorID="64" w:dllVersion="0" w:nlCheck="1" w:checkStyle="0"/>
  <w:activeWritingStyle w:appName="MSWord" w:lang="fr-CH" w:vendorID="64" w:dllVersion="0" w:nlCheck="1" w:checkStyle="0"/>
  <w:activeWritingStyle w:appName="MSWord" w:lang="en-GB" w:vendorID="64" w:dllVersion="131078" w:nlCheck="1" w:checkStyle="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FE5"/>
    <w:rsid w:val="000160F9"/>
    <w:rsid w:val="00020ADA"/>
    <w:rsid w:val="000308D6"/>
    <w:rsid w:val="00040279"/>
    <w:rsid w:val="0004247D"/>
    <w:rsid w:val="00057A18"/>
    <w:rsid w:val="000A3DF9"/>
    <w:rsid w:val="000A6479"/>
    <w:rsid w:val="000C7D9E"/>
    <w:rsid w:val="001154DA"/>
    <w:rsid w:val="001430AB"/>
    <w:rsid w:val="00154AA2"/>
    <w:rsid w:val="00156CDE"/>
    <w:rsid w:val="0016071D"/>
    <w:rsid w:val="0018585D"/>
    <w:rsid w:val="001B3A32"/>
    <w:rsid w:val="001E4652"/>
    <w:rsid w:val="001F5246"/>
    <w:rsid w:val="00201653"/>
    <w:rsid w:val="002121D8"/>
    <w:rsid w:val="002162A6"/>
    <w:rsid w:val="00220DB9"/>
    <w:rsid w:val="002620C0"/>
    <w:rsid w:val="00264036"/>
    <w:rsid w:val="00284C2E"/>
    <w:rsid w:val="002F39AA"/>
    <w:rsid w:val="002F556D"/>
    <w:rsid w:val="00301C16"/>
    <w:rsid w:val="003043A1"/>
    <w:rsid w:val="00314BE2"/>
    <w:rsid w:val="00320AA6"/>
    <w:rsid w:val="003269FF"/>
    <w:rsid w:val="00344A30"/>
    <w:rsid w:val="003634EC"/>
    <w:rsid w:val="00367F8B"/>
    <w:rsid w:val="00382E97"/>
    <w:rsid w:val="0039305E"/>
    <w:rsid w:val="003A57A9"/>
    <w:rsid w:val="003A7A79"/>
    <w:rsid w:val="003B1C95"/>
    <w:rsid w:val="003C317C"/>
    <w:rsid w:val="003D4C74"/>
    <w:rsid w:val="003F0834"/>
    <w:rsid w:val="003F7B1C"/>
    <w:rsid w:val="00416C67"/>
    <w:rsid w:val="00420A77"/>
    <w:rsid w:val="00427CDF"/>
    <w:rsid w:val="00440C42"/>
    <w:rsid w:val="0044652F"/>
    <w:rsid w:val="004648F2"/>
    <w:rsid w:val="00471B54"/>
    <w:rsid w:val="00486976"/>
    <w:rsid w:val="004B0FAE"/>
    <w:rsid w:val="004E0500"/>
    <w:rsid w:val="004F151E"/>
    <w:rsid w:val="00550010"/>
    <w:rsid w:val="00561005"/>
    <w:rsid w:val="0056528C"/>
    <w:rsid w:val="00577BD9"/>
    <w:rsid w:val="005E3ACB"/>
    <w:rsid w:val="005E7A3D"/>
    <w:rsid w:val="005F0474"/>
    <w:rsid w:val="005F796D"/>
    <w:rsid w:val="00630F65"/>
    <w:rsid w:val="00694E1C"/>
    <w:rsid w:val="006B097E"/>
    <w:rsid w:val="006B309A"/>
    <w:rsid w:val="006B749F"/>
    <w:rsid w:val="006E5881"/>
    <w:rsid w:val="006F307E"/>
    <w:rsid w:val="00701718"/>
    <w:rsid w:val="00703400"/>
    <w:rsid w:val="00716079"/>
    <w:rsid w:val="00765DFE"/>
    <w:rsid w:val="007744B7"/>
    <w:rsid w:val="0078413F"/>
    <w:rsid w:val="00785493"/>
    <w:rsid w:val="007A6F32"/>
    <w:rsid w:val="00832D65"/>
    <w:rsid w:val="00853BC1"/>
    <w:rsid w:val="008A17BF"/>
    <w:rsid w:val="008D50C5"/>
    <w:rsid w:val="008E4F91"/>
    <w:rsid w:val="00903EA4"/>
    <w:rsid w:val="00906495"/>
    <w:rsid w:val="00906579"/>
    <w:rsid w:val="00921545"/>
    <w:rsid w:val="00931D88"/>
    <w:rsid w:val="009324E4"/>
    <w:rsid w:val="009550C3"/>
    <w:rsid w:val="00955CEE"/>
    <w:rsid w:val="00975097"/>
    <w:rsid w:val="009D26F1"/>
    <w:rsid w:val="00A06937"/>
    <w:rsid w:val="00A07872"/>
    <w:rsid w:val="00A256ED"/>
    <w:rsid w:val="00A30940"/>
    <w:rsid w:val="00A36DBA"/>
    <w:rsid w:val="00A72101"/>
    <w:rsid w:val="00A74486"/>
    <w:rsid w:val="00A91B6E"/>
    <w:rsid w:val="00AA665F"/>
    <w:rsid w:val="00AB7536"/>
    <w:rsid w:val="00B175A5"/>
    <w:rsid w:val="00B2664D"/>
    <w:rsid w:val="00B31901"/>
    <w:rsid w:val="00B323AE"/>
    <w:rsid w:val="00B453D8"/>
    <w:rsid w:val="00B6309E"/>
    <w:rsid w:val="00BC00B8"/>
    <w:rsid w:val="00C20941"/>
    <w:rsid w:val="00C233EA"/>
    <w:rsid w:val="00C33B43"/>
    <w:rsid w:val="00CD3362"/>
    <w:rsid w:val="00CF1FF4"/>
    <w:rsid w:val="00D074B0"/>
    <w:rsid w:val="00D13700"/>
    <w:rsid w:val="00D26621"/>
    <w:rsid w:val="00D33349"/>
    <w:rsid w:val="00D3764E"/>
    <w:rsid w:val="00D77D7B"/>
    <w:rsid w:val="00D85315"/>
    <w:rsid w:val="00D86D56"/>
    <w:rsid w:val="00DD639C"/>
    <w:rsid w:val="00DE0802"/>
    <w:rsid w:val="00DE54FA"/>
    <w:rsid w:val="00E01C5B"/>
    <w:rsid w:val="00E04FDA"/>
    <w:rsid w:val="00E23BD0"/>
    <w:rsid w:val="00E44FE5"/>
    <w:rsid w:val="00E47709"/>
    <w:rsid w:val="00E64AD5"/>
    <w:rsid w:val="00E82590"/>
    <w:rsid w:val="00EA1261"/>
    <w:rsid w:val="00EB27C6"/>
    <w:rsid w:val="00EB3716"/>
    <w:rsid w:val="00EB47A0"/>
    <w:rsid w:val="00EC1C24"/>
    <w:rsid w:val="00ED6C9B"/>
    <w:rsid w:val="00EF1F5B"/>
    <w:rsid w:val="00F03CC2"/>
    <w:rsid w:val="00F05E63"/>
    <w:rsid w:val="00F45A18"/>
    <w:rsid w:val="00F96232"/>
    <w:rsid w:val="00FB1DF4"/>
    <w:rsid w:val="00FD551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EC7A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4AD5"/>
    <w:rPr>
      <w:rFonts w:eastAsia="Times New Roman" w:cs="Times New Roman"/>
    </w:rPr>
  </w:style>
  <w:style w:type="paragraph" w:styleId="Heading1">
    <w:name w:val="heading 1"/>
    <w:basedOn w:val="Normal"/>
    <w:next w:val="Normal"/>
    <w:link w:val="Heading1Char"/>
    <w:uiPriority w:val="9"/>
    <w:qFormat/>
    <w:rsid w:val="00E64AD5"/>
    <w:pPr>
      <w:keepNext/>
      <w:keepLines/>
      <w:pBdr>
        <w:top w:val="nil"/>
        <w:left w:val="nil"/>
        <w:bottom w:val="nil"/>
        <w:right w:val="nil"/>
        <w:between w:val="nil"/>
      </w:pBdr>
      <w:tabs>
        <w:tab w:val="left" w:pos="426"/>
      </w:tabs>
      <w:spacing w:after="280"/>
      <w:ind w:left="567" w:hanging="567"/>
      <w:jc w:val="both"/>
      <w:outlineLvl w:val="0"/>
    </w:pPr>
    <w:rPr>
      <w:rFonts w:eastAsia="Libre Franklin" w:cs="Libre Franklin"/>
      <w:b/>
      <w:color w:val="323E4F" w:themeColor="text2" w:themeShade="BF"/>
      <w:sz w:val="32"/>
      <w:szCs w:val="40"/>
      <w:lang w:val="en-GB"/>
    </w:rPr>
  </w:style>
  <w:style w:type="paragraph" w:styleId="Heading2">
    <w:name w:val="heading 2"/>
    <w:basedOn w:val="Normal"/>
    <w:next w:val="Normal"/>
    <w:link w:val="Heading2Char"/>
    <w:uiPriority w:val="9"/>
    <w:unhideWhenUsed/>
    <w:qFormat/>
    <w:rsid w:val="00577BD9"/>
    <w:pPr>
      <w:keepNext/>
      <w:keepLines/>
      <w:pBdr>
        <w:top w:val="nil"/>
        <w:left w:val="nil"/>
        <w:bottom w:val="nil"/>
        <w:right w:val="nil"/>
        <w:between w:val="nil"/>
      </w:pBdr>
      <w:tabs>
        <w:tab w:val="left" w:pos="426"/>
      </w:tabs>
      <w:spacing w:after="120"/>
      <w:ind w:left="426" w:hanging="426"/>
      <w:jc w:val="both"/>
      <w:outlineLvl w:val="1"/>
    </w:pPr>
    <w:rPr>
      <w:rFonts w:ascii="Franklin Gothic Medium" w:eastAsia="Libre Franklin" w:hAnsi="Franklin Gothic Medium" w:cs="Libre Franklin"/>
      <w:color w:val="323E4F" w:themeColor="text2" w:themeShade="BF"/>
      <w:sz w:val="28"/>
      <w:szCs w:val="28"/>
      <w:lang w:val="en-GB"/>
    </w:rPr>
  </w:style>
  <w:style w:type="paragraph" w:styleId="Heading3">
    <w:name w:val="heading 3"/>
    <w:basedOn w:val="Normal"/>
    <w:next w:val="Normal"/>
    <w:link w:val="Heading3Char"/>
    <w:uiPriority w:val="9"/>
    <w:unhideWhenUsed/>
    <w:qFormat/>
    <w:rsid w:val="00853BC1"/>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7A6F3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licepardfaut1">
    <w:name w:val="Police par défaut1"/>
    <w:rsid w:val="00E44FE5"/>
  </w:style>
  <w:style w:type="paragraph" w:styleId="BodyText">
    <w:name w:val="Body Text"/>
    <w:basedOn w:val="Normal"/>
    <w:link w:val="BodyTextChar"/>
    <w:rsid w:val="00E44FE5"/>
    <w:pPr>
      <w:widowControl w:val="0"/>
      <w:suppressAutoHyphens/>
      <w:spacing w:after="120" w:line="100" w:lineRule="atLeast"/>
      <w:textAlignment w:val="baseline"/>
    </w:pPr>
    <w:rPr>
      <w:rFonts w:eastAsia="Arial Unicode MS" w:cs="Arial Unicode MS"/>
      <w:kern w:val="1"/>
      <w:lang w:val="de-DE" w:eastAsia="hi-IN" w:bidi="hi-IN"/>
    </w:rPr>
  </w:style>
  <w:style w:type="character" w:customStyle="1" w:styleId="BodyTextChar">
    <w:name w:val="Body Text Char"/>
    <w:basedOn w:val="DefaultParagraphFont"/>
    <w:link w:val="BodyText"/>
    <w:rsid w:val="00E44FE5"/>
    <w:rPr>
      <w:rFonts w:ascii="Times New Roman" w:eastAsia="Arial Unicode MS" w:hAnsi="Times New Roman" w:cs="Arial Unicode MS"/>
      <w:kern w:val="1"/>
      <w:lang w:val="de-DE" w:eastAsia="hi-IN" w:bidi="hi-IN"/>
    </w:rPr>
  </w:style>
  <w:style w:type="character" w:customStyle="1" w:styleId="Heading1Char">
    <w:name w:val="Heading 1 Char"/>
    <w:basedOn w:val="DefaultParagraphFont"/>
    <w:link w:val="Heading1"/>
    <w:uiPriority w:val="9"/>
    <w:rsid w:val="00E64AD5"/>
    <w:rPr>
      <w:rFonts w:eastAsia="Libre Franklin" w:cs="Libre Franklin"/>
      <w:b/>
      <w:color w:val="323E4F" w:themeColor="text2" w:themeShade="BF"/>
      <w:sz w:val="32"/>
      <w:szCs w:val="40"/>
      <w:lang w:val="en-GB"/>
    </w:rPr>
  </w:style>
  <w:style w:type="character" w:customStyle="1" w:styleId="Heading2Char">
    <w:name w:val="Heading 2 Char"/>
    <w:basedOn w:val="DefaultParagraphFont"/>
    <w:link w:val="Heading2"/>
    <w:uiPriority w:val="9"/>
    <w:rsid w:val="00577BD9"/>
    <w:rPr>
      <w:rFonts w:ascii="Franklin Gothic Medium" w:eastAsia="Libre Franklin" w:hAnsi="Franklin Gothic Medium" w:cs="Libre Franklin"/>
      <w:color w:val="323E4F" w:themeColor="text2" w:themeShade="BF"/>
      <w:sz w:val="28"/>
      <w:szCs w:val="28"/>
      <w:lang w:val="en-GB"/>
    </w:rPr>
  </w:style>
  <w:style w:type="character" w:styleId="Hyperlink">
    <w:name w:val="Hyperlink"/>
    <w:basedOn w:val="DefaultParagraphFont"/>
    <w:uiPriority w:val="99"/>
    <w:unhideWhenUsed/>
    <w:rsid w:val="00577BD9"/>
    <w:rPr>
      <w:color w:val="7F7F7F" w:themeColor="text1" w:themeTint="80"/>
      <w:u w:val="single"/>
    </w:rPr>
  </w:style>
  <w:style w:type="paragraph" w:styleId="FootnoteText">
    <w:name w:val="footnote text"/>
    <w:basedOn w:val="Normal"/>
    <w:link w:val="FootnoteTextChar"/>
    <w:unhideWhenUsed/>
    <w:rsid w:val="00E64AD5"/>
    <w:rPr>
      <w:rFonts w:eastAsia="Libre Franklin" w:cs="Libre Franklin"/>
      <w:color w:val="595959" w:themeColor="text1" w:themeTint="A6"/>
      <w:sz w:val="20"/>
      <w:lang w:val="en-GB"/>
    </w:rPr>
  </w:style>
  <w:style w:type="character" w:customStyle="1" w:styleId="FootnoteTextChar">
    <w:name w:val="Footnote Text Char"/>
    <w:basedOn w:val="DefaultParagraphFont"/>
    <w:link w:val="FootnoteText"/>
    <w:rsid w:val="00E64AD5"/>
    <w:rPr>
      <w:rFonts w:eastAsia="Libre Franklin" w:cs="Libre Franklin"/>
      <w:color w:val="595959" w:themeColor="text1" w:themeTint="A6"/>
      <w:sz w:val="20"/>
      <w:lang w:val="en-GB"/>
    </w:rPr>
  </w:style>
  <w:style w:type="character" w:styleId="FootnoteReference">
    <w:name w:val="footnote reference"/>
    <w:aliases w:val="4_G,ftref,Footnote Reference1,Char Char,Footnote Reference1 Char,ftref Char,Char Char Char,Footnote Text Char2 Char,Footnote Text Char1 Char Char,Footnote Text Char Char Char Char,single space Char1 Char,ft Char1 Char,fr,16 Point,[0]"/>
    <w:basedOn w:val="DefaultParagraphFont"/>
    <w:uiPriority w:val="99"/>
    <w:unhideWhenUsed/>
    <w:qFormat/>
    <w:rsid w:val="00577BD9"/>
    <w:rPr>
      <w:vertAlign w:val="superscript"/>
    </w:rPr>
  </w:style>
  <w:style w:type="character" w:customStyle="1" w:styleId="UnresolvedMention1">
    <w:name w:val="Unresolved Mention1"/>
    <w:basedOn w:val="DefaultParagraphFont"/>
    <w:uiPriority w:val="99"/>
    <w:semiHidden/>
    <w:unhideWhenUsed/>
    <w:rsid w:val="00577BD9"/>
    <w:rPr>
      <w:color w:val="605E5C"/>
      <w:shd w:val="clear" w:color="auto" w:fill="E1DFDD"/>
    </w:rPr>
  </w:style>
  <w:style w:type="character" w:customStyle="1" w:styleId="Heading3Char">
    <w:name w:val="Heading 3 Char"/>
    <w:basedOn w:val="DefaultParagraphFont"/>
    <w:link w:val="Heading3"/>
    <w:uiPriority w:val="9"/>
    <w:rsid w:val="00853BC1"/>
    <w:rPr>
      <w:rFonts w:asciiTheme="majorHAnsi" w:eastAsiaTheme="majorEastAsia" w:hAnsiTheme="majorHAnsi" w:cstheme="majorBidi"/>
      <w:color w:val="1F3763" w:themeColor="accent1" w:themeShade="7F"/>
      <w:lang w:val="fr-CH"/>
    </w:rPr>
  </w:style>
  <w:style w:type="paragraph" w:styleId="NormalWeb">
    <w:name w:val="Normal (Web)"/>
    <w:basedOn w:val="Normal"/>
    <w:uiPriority w:val="99"/>
    <w:unhideWhenUsed/>
    <w:rsid w:val="00853BC1"/>
    <w:pPr>
      <w:spacing w:before="100" w:beforeAutospacing="1" w:after="100" w:afterAutospacing="1"/>
    </w:pPr>
  </w:style>
  <w:style w:type="character" w:customStyle="1" w:styleId="apple-converted-space">
    <w:name w:val="apple-converted-space"/>
    <w:basedOn w:val="DefaultParagraphFont"/>
    <w:rsid w:val="00853BC1"/>
  </w:style>
  <w:style w:type="character" w:styleId="FollowedHyperlink">
    <w:name w:val="FollowedHyperlink"/>
    <w:basedOn w:val="DefaultParagraphFont"/>
    <w:uiPriority w:val="99"/>
    <w:semiHidden/>
    <w:unhideWhenUsed/>
    <w:rsid w:val="00D86D56"/>
    <w:rPr>
      <w:color w:val="954F72" w:themeColor="followedHyperlink"/>
      <w:u w:val="single"/>
    </w:rPr>
  </w:style>
  <w:style w:type="character" w:styleId="Strong">
    <w:name w:val="Strong"/>
    <w:basedOn w:val="DefaultParagraphFont"/>
    <w:uiPriority w:val="22"/>
    <w:qFormat/>
    <w:rsid w:val="009D26F1"/>
    <w:rPr>
      <w:b/>
      <w:bCs/>
    </w:rPr>
  </w:style>
  <w:style w:type="character" w:customStyle="1" w:styleId="Heading4Char">
    <w:name w:val="Heading 4 Char"/>
    <w:basedOn w:val="DefaultParagraphFont"/>
    <w:link w:val="Heading4"/>
    <w:uiPriority w:val="9"/>
    <w:rsid w:val="007A6F32"/>
    <w:rPr>
      <w:rFonts w:asciiTheme="majorHAnsi" w:eastAsiaTheme="majorEastAsia" w:hAnsiTheme="majorHAnsi" w:cstheme="majorBidi"/>
      <w:i/>
      <w:iCs/>
      <w:color w:val="2F5496" w:themeColor="accent1" w:themeShade="BF"/>
      <w:lang w:val="fr-CH"/>
    </w:rPr>
  </w:style>
  <w:style w:type="paragraph" w:styleId="TOC1">
    <w:name w:val="toc 1"/>
    <w:basedOn w:val="Normal"/>
    <w:next w:val="Normal"/>
    <w:autoRedefine/>
    <w:uiPriority w:val="39"/>
    <w:unhideWhenUsed/>
    <w:rsid w:val="006B749F"/>
    <w:pPr>
      <w:spacing w:after="100"/>
    </w:pPr>
  </w:style>
  <w:style w:type="paragraph" w:styleId="BalloonText">
    <w:name w:val="Balloon Text"/>
    <w:basedOn w:val="Normal"/>
    <w:link w:val="BalloonTextChar"/>
    <w:uiPriority w:val="99"/>
    <w:semiHidden/>
    <w:unhideWhenUsed/>
    <w:rsid w:val="00EC1C2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1C24"/>
    <w:rPr>
      <w:rFonts w:ascii="Segoe UI" w:eastAsia="Times New Roman" w:hAnsi="Segoe UI" w:cs="Segoe UI"/>
      <w:sz w:val="18"/>
      <w:szCs w:val="18"/>
    </w:rPr>
  </w:style>
  <w:style w:type="paragraph" w:styleId="ListParagraph">
    <w:name w:val="List Paragraph"/>
    <w:basedOn w:val="Normal"/>
    <w:uiPriority w:val="34"/>
    <w:qFormat/>
    <w:rsid w:val="00320AA6"/>
    <w:pPr>
      <w:ind w:left="720"/>
      <w:contextualSpacing/>
    </w:pPr>
  </w:style>
  <w:style w:type="paragraph" w:customStyle="1" w:styleId="Default">
    <w:name w:val="Default"/>
    <w:rsid w:val="00EB27C6"/>
    <w:pPr>
      <w:autoSpaceDE w:val="0"/>
      <w:autoSpaceDN w:val="0"/>
      <w:adjustRightInd w:val="0"/>
    </w:pPr>
    <w:rPr>
      <w:rFonts w:ascii="Times New Roman" w:hAnsi="Times New Roman" w:cs="Times New Roman"/>
      <w:color w:val="000000"/>
      <w:lang w:val="de-DE"/>
    </w:rPr>
  </w:style>
  <w:style w:type="character" w:styleId="CommentReference">
    <w:name w:val="annotation reference"/>
    <w:basedOn w:val="DefaultParagraphFont"/>
    <w:uiPriority w:val="99"/>
    <w:semiHidden/>
    <w:unhideWhenUsed/>
    <w:rsid w:val="00EB27C6"/>
    <w:rPr>
      <w:sz w:val="16"/>
      <w:szCs w:val="16"/>
    </w:rPr>
  </w:style>
  <w:style w:type="paragraph" w:styleId="CommentText">
    <w:name w:val="annotation text"/>
    <w:basedOn w:val="Normal"/>
    <w:link w:val="CommentTextChar"/>
    <w:uiPriority w:val="99"/>
    <w:semiHidden/>
    <w:unhideWhenUsed/>
    <w:rsid w:val="00EB27C6"/>
    <w:rPr>
      <w:sz w:val="20"/>
      <w:szCs w:val="20"/>
    </w:rPr>
  </w:style>
  <w:style w:type="character" w:customStyle="1" w:styleId="CommentTextChar">
    <w:name w:val="Comment Text Char"/>
    <w:basedOn w:val="DefaultParagraphFont"/>
    <w:link w:val="CommentText"/>
    <w:uiPriority w:val="99"/>
    <w:semiHidden/>
    <w:rsid w:val="00EB27C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B27C6"/>
    <w:rPr>
      <w:b/>
      <w:bCs/>
    </w:rPr>
  </w:style>
  <w:style w:type="character" w:customStyle="1" w:styleId="CommentSubjectChar">
    <w:name w:val="Comment Subject Char"/>
    <w:basedOn w:val="CommentTextChar"/>
    <w:link w:val="CommentSubject"/>
    <w:uiPriority w:val="99"/>
    <w:semiHidden/>
    <w:rsid w:val="00EB27C6"/>
    <w:rPr>
      <w:rFonts w:ascii="Times New Roman" w:eastAsia="Times New Roman" w:hAnsi="Times New Roman" w:cs="Times New Roman"/>
      <w:b/>
      <w:bCs/>
      <w:sz w:val="20"/>
      <w:szCs w:val="20"/>
    </w:rPr>
  </w:style>
  <w:style w:type="paragraph" w:styleId="Revision">
    <w:name w:val="Revision"/>
    <w:hidden/>
    <w:uiPriority w:val="99"/>
    <w:semiHidden/>
    <w:rsid w:val="0018585D"/>
    <w:rPr>
      <w:rFonts w:ascii="Times New Roman" w:eastAsia="Times New Roman" w:hAnsi="Times New Roman" w:cs="Times New Roman"/>
    </w:rPr>
  </w:style>
  <w:style w:type="character" w:customStyle="1" w:styleId="UnresolvedMention">
    <w:name w:val="Unresolved Mention"/>
    <w:basedOn w:val="DefaultParagraphFont"/>
    <w:uiPriority w:val="99"/>
    <w:semiHidden/>
    <w:unhideWhenUsed/>
    <w:rsid w:val="003A57A9"/>
    <w:rPr>
      <w:color w:val="605E5C"/>
      <w:shd w:val="clear" w:color="auto" w:fill="E1DFDD"/>
    </w:rPr>
  </w:style>
  <w:style w:type="paragraph" w:styleId="Footer">
    <w:name w:val="footer"/>
    <w:basedOn w:val="Normal"/>
    <w:link w:val="FooterChar"/>
    <w:uiPriority w:val="99"/>
    <w:unhideWhenUsed/>
    <w:rsid w:val="002F39AA"/>
    <w:pPr>
      <w:tabs>
        <w:tab w:val="center" w:pos="4680"/>
        <w:tab w:val="right" w:pos="9360"/>
      </w:tabs>
    </w:pPr>
  </w:style>
  <w:style w:type="character" w:customStyle="1" w:styleId="FooterChar">
    <w:name w:val="Footer Char"/>
    <w:basedOn w:val="DefaultParagraphFont"/>
    <w:link w:val="Footer"/>
    <w:uiPriority w:val="99"/>
    <w:rsid w:val="002F39AA"/>
    <w:rPr>
      <w:rFonts w:eastAsia="Times New Roman" w:cs="Times New Roman"/>
    </w:rPr>
  </w:style>
  <w:style w:type="character" w:styleId="PageNumber">
    <w:name w:val="page number"/>
    <w:basedOn w:val="DefaultParagraphFont"/>
    <w:uiPriority w:val="99"/>
    <w:semiHidden/>
    <w:unhideWhenUsed/>
    <w:rsid w:val="002F39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1857">
      <w:bodyDiv w:val="1"/>
      <w:marLeft w:val="0"/>
      <w:marRight w:val="0"/>
      <w:marTop w:val="0"/>
      <w:marBottom w:val="0"/>
      <w:divBdr>
        <w:top w:val="none" w:sz="0" w:space="0" w:color="auto"/>
        <w:left w:val="none" w:sz="0" w:space="0" w:color="auto"/>
        <w:bottom w:val="none" w:sz="0" w:space="0" w:color="auto"/>
        <w:right w:val="none" w:sz="0" w:space="0" w:color="auto"/>
      </w:divBdr>
    </w:div>
    <w:div w:id="25563420">
      <w:bodyDiv w:val="1"/>
      <w:marLeft w:val="0"/>
      <w:marRight w:val="0"/>
      <w:marTop w:val="0"/>
      <w:marBottom w:val="0"/>
      <w:divBdr>
        <w:top w:val="none" w:sz="0" w:space="0" w:color="auto"/>
        <w:left w:val="none" w:sz="0" w:space="0" w:color="auto"/>
        <w:bottom w:val="none" w:sz="0" w:space="0" w:color="auto"/>
        <w:right w:val="none" w:sz="0" w:space="0" w:color="auto"/>
      </w:divBdr>
      <w:divsChild>
        <w:div w:id="72822927">
          <w:marLeft w:val="0"/>
          <w:marRight w:val="0"/>
          <w:marTop w:val="0"/>
          <w:marBottom w:val="0"/>
          <w:divBdr>
            <w:top w:val="none" w:sz="0" w:space="0" w:color="auto"/>
            <w:left w:val="none" w:sz="0" w:space="0" w:color="auto"/>
            <w:bottom w:val="none" w:sz="0" w:space="0" w:color="auto"/>
            <w:right w:val="none" w:sz="0" w:space="0" w:color="auto"/>
          </w:divBdr>
          <w:divsChild>
            <w:div w:id="573513757">
              <w:marLeft w:val="0"/>
              <w:marRight w:val="0"/>
              <w:marTop w:val="0"/>
              <w:marBottom w:val="0"/>
              <w:divBdr>
                <w:top w:val="none" w:sz="0" w:space="0" w:color="auto"/>
                <w:left w:val="none" w:sz="0" w:space="0" w:color="auto"/>
                <w:bottom w:val="none" w:sz="0" w:space="0" w:color="auto"/>
                <w:right w:val="none" w:sz="0" w:space="0" w:color="auto"/>
              </w:divBdr>
              <w:divsChild>
                <w:div w:id="172755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61481">
      <w:bodyDiv w:val="1"/>
      <w:marLeft w:val="0"/>
      <w:marRight w:val="0"/>
      <w:marTop w:val="0"/>
      <w:marBottom w:val="0"/>
      <w:divBdr>
        <w:top w:val="none" w:sz="0" w:space="0" w:color="auto"/>
        <w:left w:val="none" w:sz="0" w:space="0" w:color="auto"/>
        <w:bottom w:val="none" w:sz="0" w:space="0" w:color="auto"/>
        <w:right w:val="none" w:sz="0" w:space="0" w:color="auto"/>
      </w:divBdr>
    </w:div>
    <w:div w:id="55393907">
      <w:bodyDiv w:val="1"/>
      <w:marLeft w:val="0"/>
      <w:marRight w:val="0"/>
      <w:marTop w:val="0"/>
      <w:marBottom w:val="0"/>
      <w:divBdr>
        <w:top w:val="none" w:sz="0" w:space="0" w:color="auto"/>
        <w:left w:val="none" w:sz="0" w:space="0" w:color="auto"/>
        <w:bottom w:val="none" w:sz="0" w:space="0" w:color="auto"/>
        <w:right w:val="none" w:sz="0" w:space="0" w:color="auto"/>
      </w:divBdr>
    </w:div>
    <w:div w:id="87965245">
      <w:bodyDiv w:val="1"/>
      <w:marLeft w:val="0"/>
      <w:marRight w:val="0"/>
      <w:marTop w:val="0"/>
      <w:marBottom w:val="0"/>
      <w:divBdr>
        <w:top w:val="none" w:sz="0" w:space="0" w:color="auto"/>
        <w:left w:val="none" w:sz="0" w:space="0" w:color="auto"/>
        <w:bottom w:val="none" w:sz="0" w:space="0" w:color="auto"/>
        <w:right w:val="none" w:sz="0" w:space="0" w:color="auto"/>
      </w:divBdr>
      <w:divsChild>
        <w:div w:id="2101442702">
          <w:marLeft w:val="0"/>
          <w:marRight w:val="0"/>
          <w:marTop w:val="0"/>
          <w:marBottom w:val="0"/>
          <w:divBdr>
            <w:top w:val="none" w:sz="0" w:space="0" w:color="auto"/>
            <w:left w:val="none" w:sz="0" w:space="0" w:color="auto"/>
            <w:bottom w:val="none" w:sz="0" w:space="0" w:color="auto"/>
            <w:right w:val="none" w:sz="0" w:space="0" w:color="auto"/>
          </w:divBdr>
          <w:divsChild>
            <w:div w:id="542249318">
              <w:marLeft w:val="0"/>
              <w:marRight w:val="0"/>
              <w:marTop w:val="0"/>
              <w:marBottom w:val="0"/>
              <w:divBdr>
                <w:top w:val="none" w:sz="0" w:space="0" w:color="auto"/>
                <w:left w:val="none" w:sz="0" w:space="0" w:color="auto"/>
                <w:bottom w:val="none" w:sz="0" w:space="0" w:color="auto"/>
                <w:right w:val="none" w:sz="0" w:space="0" w:color="auto"/>
              </w:divBdr>
              <w:divsChild>
                <w:div w:id="153919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14094">
      <w:bodyDiv w:val="1"/>
      <w:marLeft w:val="0"/>
      <w:marRight w:val="0"/>
      <w:marTop w:val="0"/>
      <w:marBottom w:val="0"/>
      <w:divBdr>
        <w:top w:val="none" w:sz="0" w:space="0" w:color="auto"/>
        <w:left w:val="none" w:sz="0" w:space="0" w:color="auto"/>
        <w:bottom w:val="none" w:sz="0" w:space="0" w:color="auto"/>
        <w:right w:val="none" w:sz="0" w:space="0" w:color="auto"/>
      </w:divBdr>
    </w:div>
    <w:div w:id="220870665">
      <w:bodyDiv w:val="1"/>
      <w:marLeft w:val="0"/>
      <w:marRight w:val="0"/>
      <w:marTop w:val="0"/>
      <w:marBottom w:val="0"/>
      <w:divBdr>
        <w:top w:val="none" w:sz="0" w:space="0" w:color="auto"/>
        <w:left w:val="none" w:sz="0" w:space="0" w:color="auto"/>
        <w:bottom w:val="none" w:sz="0" w:space="0" w:color="auto"/>
        <w:right w:val="none" w:sz="0" w:space="0" w:color="auto"/>
      </w:divBdr>
    </w:div>
    <w:div w:id="243953580">
      <w:bodyDiv w:val="1"/>
      <w:marLeft w:val="0"/>
      <w:marRight w:val="0"/>
      <w:marTop w:val="0"/>
      <w:marBottom w:val="0"/>
      <w:divBdr>
        <w:top w:val="none" w:sz="0" w:space="0" w:color="auto"/>
        <w:left w:val="none" w:sz="0" w:space="0" w:color="auto"/>
        <w:bottom w:val="none" w:sz="0" w:space="0" w:color="auto"/>
        <w:right w:val="none" w:sz="0" w:space="0" w:color="auto"/>
      </w:divBdr>
    </w:div>
    <w:div w:id="256596019">
      <w:bodyDiv w:val="1"/>
      <w:marLeft w:val="0"/>
      <w:marRight w:val="0"/>
      <w:marTop w:val="0"/>
      <w:marBottom w:val="0"/>
      <w:divBdr>
        <w:top w:val="none" w:sz="0" w:space="0" w:color="auto"/>
        <w:left w:val="none" w:sz="0" w:space="0" w:color="auto"/>
        <w:bottom w:val="none" w:sz="0" w:space="0" w:color="auto"/>
        <w:right w:val="none" w:sz="0" w:space="0" w:color="auto"/>
      </w:divBdr>
    </w:div>
    <w:div w:id="272979330">
      <w:bodyDiv w:val="1"/>
      <w:marLeft w:val="0"/>
      <w:marRight w:val="0"/>
      <w:marTop w:val="0"/>
      <w:marBottom w:val="0"/>
      <w:divBdr>
        <w:top w:val="none" w:sz="0" w:space="0" w:color="auto"/>
        <w:left w:val="none" w:sz="0" w:space="0" w:color="auto"/>
        <w:bottom w:val="none" w:sz="0" w:space="0" w:color="auto"/>
        <w:right w:val="none" w:sz="0" w:space="0" w:color="auto"/>
      </w:divBdr>
    </w:div>
    <w:div w:id="291399223">
      <w:bodyDiv w:val="1"/>
      <w:marLeft w:val="0"/>
      <w:marRight w:val="0"/>
      <w:marTop w:val="0"/>
      <w:marBottom w:val="0"/>
      <w:divBdr>
        <w:top w:val="none" w:sz="0" w:space="0" w:color="auto"/>
        <w:left w:val="none" w:sz="0" w:space="0" w:color="auto"/>
        <w:bottom w:val="none" w:sz="0" w:space="0" w:color="auto"/>
        <w:right w:val="none" w:sz="0" w:space="0" w:color="auto"/>
      </w:divBdr>
    </w:div>
    <w:div w:id="305865312">
      <w:bodyDiv w:val="1"/>
      <w:marLeft w:val="0"/>
      <w:marRight w:val="0"/>
      <w:marTop w:val="0"/>
      <w:marBottom w:val="0"/>
      <w:divBdr>
        <w:top w:val="none" w:sz="0" w:space="0" w:color="auto"/>
        <w:left w:val="none" w:sz="0" w:space="0" w:color="auto"/>
        <w:bottom w:val="none" w:sz="0" w:space="0" w:color="auto"/>
        <w:right w:val="none" w:sz="0" w:space="0" w:color="auto"/>
      </w:divBdr>
    </w:div>
    <w:div w:id="404381562">
      <w:bodyDiv w:val="1"/>
      <w:marLeft w:val="0"/>
      <w:marRight w:val="0"/>
      <w:marTop w:val="0"/>
      <w:marBottom w:val="0"/>
      <w:divBdr>
        <w:top w:val="none" w:sz="0" w:space="0" w:color="auto"/>
        <w:left w:val="none" w:sz="0" w:space="0" w:color="auto"/>
        <w:bottom w:val="none" w:sz="0" w:space="0" w:color="auto"/>
        <w:right w:val="none" w:sz="0" w:space="0" w:color="auto"/>
      </w:divBdr>
    </w:div>
    <w:div w:id="423957451">
      <w:bodyDiv w:val="1"/>
      <w:marLeft w:val="0"/>
      <w:marRight w:val="0"/>
      <w:marTop w:val="0"/>
      <w:marBottom w:val="0"/>
      <w:divBdr>
        <w:top w:val="none" w:sz="0" w:space="0" w:color="auto"/>
        <w:left w:val="none" w:sz="0" w:space="0" w:color="auto"/>
        <w:bottom w:val="none" w:sz="0" w:space="0" w:color="auto"/>
        <w:right w:val="none" w:sz="0" w:space="0" w:color="auto"/>
      </w:divBdr>
      <w:divsChild>
        <w:div w:id="1908954442">
          <w:marLeft w:val="0"/>
          <w:marRight w:val="0"/>
          <w:marTop w:val="0"/>
          <w:marBottom w:val="0"/>
          <w:divBdr>
            <w:top w:val="none" w:sz="0" w:space="0" w:color="auto"/>
            <w:left w:val="none" w:sz="0" w:space="0" w:color="auto"/>
            <w:bottom w:val="none" w:sz="0" w:space="0" w:color="auto"/>
            <w:right w:val="none" w:sz="0" w:space="0" w:color="auto"/>
          </w:divBdr>
          <w:divsChild>
            <w:div w:id="2145661375">
              <w:marLeft w:val="0"/>
              <w:marRight w:val="0"/>
              <w:marTop w:val="0"/>
              <w:marBottom w:val="0"/>
              <w:divBdr>
                <w:top w:val="none" w:sz="0" w:space="0" w:color="auto"/>
                <w:left w:val="none" w:sz="0" w:space="0" w:color="auto"/>
                <w:bottom w:val="none" w:sz="0" w:space="0" w:color="auto"/>
                <w:right w:val="none" w:sz="0" w:space="0" w:color="auto"/>
              </w:divBdr>
              <w:divsChild>
                <w:div w:id="189264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130179">
      <w:bodyDiv w:val="1"/>
      <w:marLeft w:val="0"/>
      <w:marRight w:val="0"/>
      <w:marTop w:val="0"/>
      <w:marBottom w:val="0"/>
      <w:divBdr>
        <w:top w:val="none" w:sz="0" w:space="0" w:color="auto"/>
        <w:left w:val="none" w:sz="0" w:space="0" w:color="auto"/>
        <w:bottom w:val="none" w:sz="0" w:space="0" w:color="auto"/>
        <w:right w:val="none" w:sz="0" w:space="0" w:color="auto"/>
      </w:divBdr>
    </w:div>
    <w:div w:id="520315482">
      <w:bodyDiv w:val="1"/>
      <w:marLeft w:val="0"/>
      <w:marRight w:val="0"/>
      <w:marTop w:val="0"/>
      <w:marBottom w:val="0"/>
      <w:divBdr>
        <w:top w:val="none" w:sz="0" w:space="0" w:color="auto"/>
        <w:left w:val="none" w:sz="0" w:space="0" w:color="auto"/>
        <w:bottom w:val="none" w:sz="0" w:space="0" w:color="auto"/>
        <w:right w:val="none" w:sz="0" w:space="0" w:color="auto"/>
      </w:divBdr>
    </w:div>
    <w:div w:id="557783069">
      <w:bodyDiv w:val="1"/>
      <w:marLeft w:val="0"/>
      <w:marRight w:val="0"/>
      <w:marTop w:val="0"/>
      <w:marBottom w:val="0"/>
      <w:divBdr>
        <w:top w:val="none" w:sz="0" w:space="0" w:color="auto"/>
        <w:left w:val="none" w:sz="0" w:space="0" w:color="auto"/>
        <w:bottom w:val="none" w:sz="0" w:space="0" w:color="auto"/>
        <w:right w:val="none" w:sz="0" w:space="0" w:color="auto"/>
      </w:divBdr>
    </w:div>
    <w:div w:id="565147279">
      <w:bodyDiv w:val="1"/>
      <w:marLeft w:val="0"/>
      <w:marRight w:val="0"/>
      <w:marTop w:val="0"/>
      <w:marBottom w:val="0"/>
      <w:divBdr>
        <w:top w:val="none" w:sz="0" w:space="0" w:color="auto"/>
        <w:left w:val="none" w:sz="0" w:space="0" w:color="auto"/>
        <w:bottom w:val="none" w:sz="0" w:space="0" w:color="auto"/>
        <w:right w:val="none" w:sz="0" w:space="0" w:color="auto"/>
      </w:divBdr>
    </w:div>
    <w:div w:id="669989078">
      <w:bodyDiv w:val="1"/>
      <w:marLeft w:val="0"/>
      <w:marRight w:val="0"/>
      <w:marTop w:val="0"/>
      <w:marBottom w:val="0"/>
      <w:divBdr>
        <w:top w:val="none" w:sz="0" w:space="0" w:color="auto"/>
        <w:left w:val="none" w:sz="0" w:space="0" w:color="auto"/>
        <w:bottom w:val="none" w:sz="0" w:space="0" w:color="auto"/>
        <w:right w:val="none" w:sz="0" w:space="0" w:color="auto"/>
      </w:divBdr>
    </w:div>
    <w:div w:id="697898971">
      <w:bodyDiv w:val="1"/>
      <w:marLeft w:val="0"/>
      <w:marRight w:val="0"/>
      <w:marTop w:val="0"/>
      <w:marBottom w:val="0"/>
      <w:divBdr>
        <w:top w:val="none" w:sz="0" w:space="0" w:color="auto"/>
        <w:left w:val="none" w:sz="0" w:space="0" w:color="auto"/>
        <w:bottom w:val="none" w:sz="0" w:space="0" w:color="auto"/>
        <w:right w:val="none" w:sz="0" w:space="0" w:color="auto"/>
      </w:divBdr>
    </w:div>
    <w:div w:id="752119795">
      <w:bodyDiv w:val="1"/>
      <w:marLeft w:val="0"/>
      <w:marRight w:val="0"/>
      <w:marTop w:val="0"/>
      <w:marBottom w:val="0"/>
      <w:divBdr>
        <w:top w:val="none" w:sz="0" w:space="0" w:color="auto"/>
        <w:left w:val="none" w:sz="0" w:space="0" w:color="auto"/>
        <w:bottom w:val="none" w:sz="0" w:space="0" w:color="auto"/>
        <w:right w:val="none" w:sz="0" w:space="0" w:color="auto"/>
      </w:divBdr>
    </w:div>
    <w:div w:id="754665484">
      <w:bodyDiv w:val="1"/>
      <w:marLeft w:val="0"/>
      <w:marRight w:val="0"/>
      <w:marTop w:val="0"/>
      <w:marBottom w:val="0"/>
      <w:divBdr>
        <w:top w:val="none" w:sz="0" w:space="0" w:color="auto"/>
        <w:left w:val="none" w:sz="0" w:space="0" w:color="auto"/>
        <w:bottom w:val="none" w:sz="0" w:space="0" w:color="auto"/>
        <w:right w:val="none" w:sz="0" w:space="0" w:color="auto"/>
      </w:divBdr>
      <w:divsChild>
        <w:div w:id="233510147">
          <w:marLeft w:val="0"/>
          <w:marRight w:val="0"/>
          <w:marTop w:val="0"/>
          <w:marBottom w:val="0"/>
          <w:divBdr>
            <w:top w:val="none" w:sz="0" w:space="0" w:color="auto"/>
            <w:left w:val="none" w:sz="0" w:space="0" w:color="auto"/>
            <w:bottom w:val="none" w:sz="0" w:space="0" w:color="auto"/>
            <w:right w:val="none" w:sz="0" w:space="0" w:color="auto"/>
          </w:divBdr>
          <w:divsChild>
            <w:div w:id="2036611059">
              <w:marLeft w:val="0"/>
              <w:marRight w:val="0"/>
              <w:marTop w:val="0"/>
              <w:marBottom w:val="0"/>
              <w:divBdr>
                <w:top w:val="none" w:sz="0" w:space="0" w:color="auto"/>
                <w:left w:val="none" w:sz="0" w:space="0" w:color="auto"/>
                <w:bottom w:val="none" w:sz="0" w:space="0" w:color="auto"/>
                <w:right w:val="none" w:sz="0" w:space="0" w:color="auto"/>
              </w:divBdr>
              <w:divsChild>
                <w:div w:id="192869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211025">
      <w:bodyDiv w:val="1"/>
      <w:marLeft w:val="0"/>
      <w:marRight w:val="0"/>
      <w:marTop w:val="0"/>
      <w:marBottom w:val="0"/>
      <w:divBdr>
        <w:top w:val="none" w:sz="0" w:space="0" w:color="auto"/>
        <w:left w:val="none" w:sz="0" w:space="0" w:color="auto"/>
        <w:bottom w:val="none" w:sz="0" w:space="0" w:color="auto"/>
        <w:right w:val="none" w:sz="0" w:space="0" w:color="auto"/>
      </w:divBdr>
    </w:div>
    <w:div w:id="904880126">
      <w:bodyDiv w:val="1"/>
      <w:marLeft w:val="0"/>
      <w:marRight w:val="0"/>
      <w:marTop w:val="0"/>
      <w:marBottom w:val="0"/>
      <w:divBdr>
        <w:top w:val="none" w:sz="0" w:space="0" w:color="auto"/>
        <w:left w:val="none" w:sz="0" w:space="0" w:color="auto"/>
        <w:bottom w:val="none" w:sz="0" w:space="0" w:color="auto"/>
        <w:right w:val="none" w:sz="0" w:space="0" w:color="auto"/>
      </w:divBdr>
    </w:div>
    <w:div w:id="910307538">
      <w:bodyDiv w:val="1"/>
      <w:marLeft w:val="0"/>
      <w:marRight w:val="0"/>
      <w:marTop w:val="0"/>
      <w:marBottom w:val="0"/>
      <w:divBdr>
        <w:top w:val="none" w:sz="0" w:space="0" w:color="auto"/>
        <w:left w:val="none" w:sz="0" w:space="0" w:color="auto"/>
        <w:bottom w:val="none" w:sz="0" w:space="0" w:color="auto"/>
        <w:right w:val="none" w:sz="0" w:space="0" w:color="auto"/>
      </w:divBdr>
    </w:div>
    <w:div w:id="918490219">
      <w:bodyDiv w:val="1"/>
      <w:marLeft w:val="0"/>
      <w:marRight w:val="0"/>
      <w:marTop w:val="0"/>
      <w:marBottom w:val="0"/>
      <w:divBdr>
        <w:top w:val="none" w:sz="0" w:space="0" w:color="auto"/>
        <w:left w:val="none" w:sz="0" w:space="0" w:color="auto"/>
        <w:bottom w:val="none" w:sz="0" w:space="0" w:color="auto"/>
        <w:right w:val="none" w:sz="0" w:space="0" w:color="auto"/>
      </w:divBdr>
    </w:div>
    <w:div w:id="974136878">
      <w:bodyDiv w:val="1"/>
      <w:marLeft w:val="0"/>
      <w:marRight w:val="0"/>
      <w:marTop w:val="0"/>
      <w:marBottom w:val="0"/>
      <w:divBdr>
        <w:top w:val="none" w:sz="0" w:space="0" w:color="auto"/>
        <w:left w:val="none" w:sz="0" w:space="0" w:color="auto"/>
        <w:bottom w:val="none" w:sz="0" w:space="0" w:color="auto"/>
        <w:right w:val="none" w:sz="0" w:space="0" w:color="auto"/>
      </w:divBdr>
    </w:div>
    <w:div w:id="982276535">
      <w:bodyDiv w:val="1"/>
      <w:marLeft w:val="0"/>
      <w:marRight w:val="0"/>
      <w:marTop w:val="0"/>
      <w:marBottom w:val="0"/>
      <w:divBdr>
        <w:top w:val="none" w:sz="0" w:space="0" w:color="auto"/>
        <w:left w:val="none" w:sz="0" w:space="0" w:color="auto"/>
        <w:bottom w:val="none" w:sz="0" w:space="0" w:color="auto"/>
        <w:right w:val="none" w:sz="0" w:space="0" w:color="auto"/>
      </w:divBdr>
      <w:divsChild>
        <w:div w:id="1039863053">
          <w:marLeft w:val="0"/>
          <w:marRight w:val="0"/>
          <w:marTop w:val="0"/>
          <w:marBottom w:val="0"/>
          <w:divBdr>
            <w:top w:val="none" w:sz="0" w:space="0" w:color="auto"/>
            <w:left w:val="none" w:sz="0" w:space="0" w:color="auto"/>
            <w:bottom w:val="none" w:sz="0" w:space="0" w:color="auto"/>
            <w:right w:val="none" w:sz="0" w:space="0" w:color="auto"/>
          </w:divBdr>
          <w:divsChild>
            <w:div w:id="1828208276">
              <w:marLeft w:val="0"/>
              <w:marRight w:val="0"/>
              <w:marTop w:val="0"/>
              <w:marBottom w:val="0"/>
              <w:divBdr>
                <w:top w:val="none" w:sz="0" w:space="0" w:color="auto"/>
                <w:left w:val="none" w:sz="0" w:space="0" w:color="auto"/>
                <w:bottom w:val="none" w:sz="0" w:space="0" w:color="auto"/>
                <w:right w:val="none" w:sz="0" w:space="0" w:color="auto"/>
              </w:divBdr>
              <w:divsChild>
                <w:div w:id="41386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627405">
      <w:bodyDiv w:val="1"/>
      <w:marLeft w:val="0"/>
      <w:marRight w:val="0"/>
      <w:marTop w:val="0"/>
      <w:marBottom w:val="0"/>
      <w:divBdr>
        <w:top w:val="none" w:sz="0" w:space="0" w:color="auto"/>
        <w:left w:val="none" w:sz="0" w:space="0" w:color="auto"/>
        <w:bottom w:val="none" w:sz="0" w:space="0" w:color="auto"/>
        <w:right w:val="none" w:sz="0" w:space="0" w:color="auto"/>
      </w:divBdr>
    </w:div>
    <w:div w:id="1064795675">
      <w:bodyDiv w:val="1"/>
      <w:marLeft w:val="0"/>
      <w:marRight w:val="0"/>
      <w:marTop w:val="0"/>
      <w:marBottom w:val="0"/>
      <w:divBdr>
        <w:top w:val="none" w:sz="0" w:space="0" w:color="auto"/>
        <w:left w:val="none" w:sz="0" w:space="0" w:color="auto"/>
        <w:bottom w:val="none" w:sz="0" w:space="0" w:color="auto"/>
        <w:right w:val="none" w:sz="0" w:space="0" w:color="auto"/>
      </w:divBdr>
    </w:div>
    <w:div w:id="1076517092">
      <w:bodyDiv w:val="1"/>
      <w:marLeft w:val="0"/>
      <w:marRight w:val="0"/>
      <w:marTop w:val="0"/>
      <w:marBottom w:val="0"/>
      <w:divBdr>
        <w:top w:val="none" w:sz="0" w:space="0" w:color="auto"/>
        <w:left w:val="none" w:sz="0" w:space="0" w:color="auto"/>
        <w:bottom w:val="none" w:sz="0" w:space="0" w:color="auto"/>
        <w:right w:val="none" w:sz="0" w:space="0" w:color="auto"/>
      </w:divBdr>
    </w:div>
    <w:div w:id="1191838728">
      <w:bodyDiv w:val="1"/>
      <w:marLeft w:val="0"/>
      <w:marRight w:val="0"/>
      <w:marTop w:val="0"/>
      <w:marBottom w:val="0"/>
      <w:divBdr>
        <w:top w:val="none" w:sz="0" w:space="0" w:color="auto"/>
        <w:left w:val="none" w:sz="0" w:space="0" w:color="auto"/>
        <w:bottom w:val="none" w:sz="0" w:space="0" w:color="auto"/>
        <w:right w:val="none" w:sz="0" w:space="0" w:color="auto"/>
      </w:divBdr>
      <w:divsChild>
        <w:div w:id="1691951442">
          <w:marLeft w:val="0"/>
          <w:marRight w:val="0"/>
          <w:marTop w:val="0"/>
          <w:marBottom w:val="0"/>
          <w:divBdr>
            <w:top w:val="none" w:sz="0" w:space="0" w:color="auto"/>
            <w:left w:val="none" w:sz="0" w:space="0" w:color="auto"/>
            <w:bottom w:val="none" w:sz="0" w:space="0" w:color="auto"/>
            <w:right w:val="none" w:sz="0" w:space="0" w:color="auto"/>
          </w:divBdr>
          <w:divsChild>
            <w:div w:id="1596012500">
              <w:marLeft w:val="0"/>
              <w:marRight w:val="0"/>
              <w:marTop w:val="0"/>
              <w:marBottom w:val="0"/>
              <w:divBdr>
                <w:top w:val="none" w:sz="0" w:space="0" w:color="auto"/>
                <w:left w:val="none" w:sz="0" w:space="0" w:color="auto"/>
                <w:bottom w:val="none" w:sz="0" w:space="0" w:color="auto"/>
                <w:right w:val="none" w:sz="0" w:space="0" w:color="auto"/>
              </w:divBdr>
              <w:divsChild>
                <w:div w:id="139620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155453">
      <w:bodyDiv w:val="1"/>
      <w:marLeft w:val="0"/>
      <w:marRight w:val="0"/>
      <w:marTop w:val="0"/>
      <w:marBottom w:val="0"/>
      <w:divBdr>
        <w:top w:val="none" w:sz="0" w:space="0" w:color="auto"/>
        <w:left w:val="none" w:sz="0" w:space="0" w:color="auto"/>
        <w:bottom w:val="none" w:sz="0" w:space="0" w:color="auto"/>
        <w:right w:val="none" w:sz="0" w:space="0" w:color="auto"/>
      </w:divBdr>
    </w:div>
    <w:div w:id="1226643047">
      <w:bodyDiv w:val="1"/>
      <w:marLeft w:val="0"/>
      <w:marRight w:val="0"/>
      <w:marTop w:val="0"/>
      <w:marBottom w:val="0"/>
      <w:divBdr>
        <w:top w:val="none" w:sz="0" w:space="0" w:color="auto"/>
        <w:left w:val="none" w:sz="0" w:space="0" w:color="auto"/>
        <w:bottom w:val="none" w:sz="0" w:space="0" w:color="auto"/>
        <w:right w:val="none" w:sz="0" w:space="0" w:color="auto"/>
      </w:divBdr>
    </w:div>
    <w:div w:id="1296445565">
      <w:bodyDiv w:val="1"/>
      <w:marLeft w:val="0"/>
      <w:marRight w:val="0"/>
      <w:marTop w:val="0"/>
      <w:marBottom w:val="0"/>
      <w:divBdr>
        <w:top w:val="none" w:sz="0" w:space="0" w:color="auto"/>
        <w:left w:val="none" w:sz="0" w:space="0" w:color="auto"/>
        <w:bottom w:val="none" w:sz="0" w:space="0" w:color="auto"/>
        <w:right w:val="none" w:sz="0" w:space="0" w:color="auto"/>
      </w:divBdr>
      <w:divsChild>
        <w:div w:id="467741504">
          <w:marLeft w:val="0"/>
          <w:marRight w:val="0"/>
          <w:marTop w:val="0"/>
          <w:marBottom w:val="0"/>
          <w:divBdr>
            <w:top w:val="none" w:sz="0" w:space="0" w:color="auto"/>
            <w:left w:val="none" w:sz="0" w:space="0" w:color="auto"/>
            <w:bottom w:val="none" w:sz="0" w:space="0" w:color="auto"/>
            <w:right w:val="none" w:sz="0" w:space="0" w:color="auto"/>
          </w:divBdr>
          <w:divsChild>
            <w:div w:id="1210268003">
              <w:marLeft w:val="0"/>
              <w:marRight w:val="0"/>
              <w:marTop w:val="0"/>
              <w:marBottom w:val="0"/>
              <w:divBdr>
                <w:top w:val="none" w:sz="0" w:space="0" w:color="auto"/>
                <w:left w:val="none" w:sz="0" w:space="0" w:color="auto"/>
                <w:bottom w:val="none" w:sz="0" w:space="0" w:color="auto"/>
                <w:right w:val="none" w:sz="0" w:space="0" w:color="auto"/>
              </w:divBdr>
              <w:divsChild>
                <w:div w:id="77405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073285">
      <w:bodyDiv w:val="1"/>
      <w:marLeft w:val="0"/>
      <w:marRight w:val="0"/>
      <w:marTop w:val="0"/>
      <w:marBottom w:val="0"/>
      <w:divBdr>
        <w:top w:val="none" w:sz="0" w:space="0" w:color="auto"/>
        <w:left w:val="none" w:sz="0" w:space="0" w:color="auto"/>
        <w:bottom w:val="none" w:sz="0" w:space="0" w:color="auto"/>
        <w:right w:val="none" w:sz="0" w:space="0" w:color="auto"/>
      </w:divBdr>
    </w:div>
    <w:div w:id="1319455466">
      <w:bodyDiv w:val="1"/>
      <w:marLeft w:val="0"/>
      <w:marRight w:val="0"/>
      <w:marTop w:val="0"/>
      <w:marBottom w:val="0"/>
      <w:divBdr>
        <w:top w:val="none" w:sz="0" w:space="0" w:color="auto"/>
        <w:left w:val="none" w:sz="0" w:space="0" w:color="auto"/>
        <w:bottom w:val="none" w:sz="0" w:space="0" w:color="auto"/>
        <w:right w:val="none" w:sz="0" w:space="0" w:color="auto"/>
      </w:divBdr>
      <w:divsChild>
        <w:div w:id="1708334554">
          <w:marLeft w:val="0"/>
          <w:marRight w:val="0"/>
          <w:marTop w:val="0"/>
          <w:marBottom w:val="0"/>
          <w:divBdr>
            <w:top w:val="none" w:sz="0" w:space="0" w:color="auto"/>
            <w:left w:val="none" w:sz="0" w:space="0" w:color="auto"/>
            <w:bottom w:val="none" w:sz="0" w:space="0" w:color="auto"/>
            <w:right w:val="none" w:sz="0" w:space="0" w:color="auto"/>
          </w:divBdr>
          <w:divsChild>
            <w:div w:id="634411937">
              <w:marLeft w:val="0"/>
              <w:marRight w:val="0"/>
              <w:marTop w:val="0"/>
              <w:marBottom w:val="0"/>
              <w:divBdr>
                <w:top w:val="none" w:sz="0" w:space="0" w:color="auto"/>
                <w:left w:val="none" w:sz="0" w:space="0" w:color="auto"/>
                <w:bottom w:val="none" w:sz="0" w:space="0" w:color="auto"/>
                <w:right w:val="none" w:sz="0" w:space="0" w:color="auto"/>
              </w:divBdr>
              <w:divsChild>
                <w:div w:id="76500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800674">
      <w:bodyDiv w:val="1"/>
      <w:marLeft w:val="0"/>
      <w:marRight w:val="0"/>
      <w:marTop w:val="0"/>
      <w:marBottom w:val="0"/>
      <w:divBdr>
        <w:top w:val="none" w:sz="0" w:space="0" w:color="auto"/>
        <w:left w:val="none" w:sz="0" w:space="0" w:color="auto"/>
        <w:bottom w:val="none" w:sz="0" w:space="0" w:color="auto"/>
        <w:right w:val="none" w:sz="0" w:space="0" w:color="auto"/>
      </w:divBdr>
      <w:divsChild>
        <w:div w:id="1697270501">
          <w:marLeft w:val="0"/>
          <w:marRight w:val="0"/>
          <w:marTop w:val="0"/>
          <w:marBottom w:val="0"/>
          <w:divBdr>
            <w:top w:val="none" w:sz="0" w:space="0" w:color="auto"/>
            <w:left w:val="none" w:sz="0" w:space="0" w:color="auto"/>
            <w:bottom w:val="none" w:sz="0" w:space="0" w:color="auto"/>
            <w:right w:val="none" w:sz="0" w:space="0" w:color="auto"/>
          </w:divBdr>
          <w:divsChild>
            <w:div w:id="1776365340">
              <w:marLeft w:val="0"/>
              <w:marRight w:val="0"/>
              <w:marTop w:val="0"/>
              <w:marBottom w:val="0"/>
              <w:divBdr>
                <w:top w:val="none" w:sz="0" w:space="0" w:color="auto"/>
                <w:left w:val="none" w:sz="0" w:space="0" w:color="auto"/>
                <w:bottom w:val="none" w:sz="0" w:space="0" w:color="auto"/>
                <w:right w:val="none" w:sz="0" w:space="0" w:color="auto"/>
              </w:divBdr>
              <w:divsChild>
                <w:div w:id="17022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605082">
      <w:bodyDiv w:val="1"/>
      <w:marLeft w:val="0"/>
      <w:marRight w:val="0"/>
      <w:marTop w:val="0"/>
      <w:marBottom w:val="0"/>
      <w:divBdr>
        <w:top w:val="none" w:sz="0" w:space="0" w:color="auto"/>
        <w:left w:val="none" w:sz="0" w:space="0" w:color="auto"/>
        <w:bottom w:val="none" w:sz="0" w:space="0" w:color="auto"/>
        <w:right w:val="none" w:sz="0" w:space="0" w:color="auto"/>
      </w:divBdr>
      <w:divsChild>
        <w:div w:id="1134520756">
          <w:marLeft w:val="0"/>
          <w:marRight w:val="0"/>
          <w:marTop w:val="0"/>
          <w:marBottom w:val="0"/>
          <w:divBdr>
            <w:top w:val="none" w:sz="0" w:space="0" w:color="auto"/>
            <w:left w:val="none" w:sz="0" w:space="0" w:color="auto"/>
            <w:bottom w:val="none" w:sz="0" w:space="0" w:color="auto"/>
            <w:right w:val="none" w:sz="0" w:space="0" w:color="auto"/>
          </w:divBdr>
          <w:divsChild>
            <w:div w:id="1570310617">
              <w:marLeft w:val="0"/>
              <w:marRight w:val="0"/>
              <w:marTop w:val="0"/>
              <w:marBottom w:val="0"/>
              <w:divBdr>
                <w:top w:val="none" w:sz="0" w:space="0" w:color="auto"/>
                <w:left w:val="none" w:sz="0" w:space="0" w:color="auto"/>
                <w:bottom w:val="none" w:sz="0" w:space="0" w:color="auto"/>
                <w:right w:val="none" w:sz="0" w:space="0" w:color="auto"/>
              </w:divBdr>
              <w:divsChild>
                <w:div w:id="152890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591349">
      <w:bodyDiv w:val="1"/>
      <w:marLeft w:val="0"/>
      <w:marRight w:val="0"/>
      <w:marTop w:val="0"/>
      <w:marBottom w:val="0"/>
      <w:divBdr>
        <w:top w:val="none" w:sz="0" w:space="0" w:color="auto"/>
        <w:left w:val="none" w:sz="0" w:space="0" w:color="auto"/>
        <w:bottom w:val="none" w:sz="0" w:space="0" w:color="auto"/>
        <w:right w:val="none" w:sz="0" w:space="0" w:color="auto"/>
      </w:divBdr>
    </w:div>
    <w:div w:id="1363748813">
      <w:bodyDiv w:val="1"/>
      <w:marLeft w:val="0"/>
      <w:marRight w:val="0"/>
      <w:marTop w:val="0"/>
      <w:marBottom w:val="0"/>
      <w:divBdr>
        <w:top w:val="none" w:sz="0" w:space="0" w:color="auto"/>
        <w:left w:val="none" w:sz="0" w:space="0" w:color="auto"/>
        <w:bottom w:val="none" w:sz="0" w:space="0" w:color="auto"/>
        <w:right w:val="none" w:sz="0" w:space="0" w:color="auto"/>
      </w:divBdr>
      <w:divsChild>
        <w:div w:id="1835609193">
          <w:marLeft w:val="0"/>
          <w:marRight w:val="0"/>
          <w:marTop w:val="0"/>
          <w:marBottom w:val="0"/>
          <w:divBdr>
            <w:top w:val="none" w:sz="0" w:space="0" w:color="auto"/>
            <w:left w:val="none" w:sz="0" w:space="0" w:color="auto"/>
            <w:bottom w:val="none" w:sz="0" w:space="0" w:color="auto"/>
            <w:right w:val="none" w:sz="0" w:space="0" w:color="auto"/>
          </w:divBdr>
          <w:divsChild>
            <w:div w:id="796684782">
              <w:marLeft w:val="0"/>
              <w:marRight w:val="0"/>
              <w:marTop w:val="0"/>
              <w:marBottom w:val="0"/>
              <w:divBdr>
                <w:top w:val="none" w:sz="0" w:space="0" w:color="auto"/>
                <w:left w:val="none" w:sz="0" w:space="0" w:color="auto"/>
                <w:bottom w:val="none" w:sz="0" w:space="0" w:color="auto"/>
                <w:right w:val="none" w:sz="0" w:space="0" w:color="auto"/>
              </w:divBdr>
              <w:divsChild>
                <w:div w:id="193916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428928">
      <w:bodyDiv w:val="1"/>
      <w:marLeft w:val="0"/>
      <w:marRight w:val="0"/>
      <w:marTop w:val="0"/>
      <w:marBottom w:val="0"/>
      <w:divBdr>
        <w:top w:val="none" w:sz="0" w:space="0" w:color="auto"/>
        <w:left w:val="none" w:sz="0" w:space="0" w:color="auto"/>
        <w:bottom w:val="none" w:sz="0" w:space="0" w:color="auto"/>
        <w:right w:val="none" w:sz="0" w:space="0" w:color="auto"/>
      </w:divBdr>
      <w:divsChild>
        <w:div w:id="355933762">
          <w:marLeft w:val="0"/>
          <w:marRight w:val="0"/>
          <w:marTop w:val="0"/>
          <w:marBottom w:val="0"/>
          <w:divBdr>
            <w:top w:val="none" w:sz="0" w:space="0" w:color="auto"/>
            <w:left w:val="none" w:sz="0" w:space="0" w:color="auto"/>
            <w:bottom w:val="none" w:sz="0" w:space="0" w:color="auto"/>
            <w:right w:val="none" w:sz="0" w:space="0" w:color="auto"/>
          </w:divBdr>
          <w:divsChild>
            <w:div w:id="375084475">
              <w:marLeft w:val="0"/>
              <w:marRight w:val="0"/>
              <w:marTop w:val="0"/>
              <w:marBottom w:val="0"/>
              <w:divBdr>
                <w:top w:val="none" w:sz="0" w:space="0" w:color="auto"/>
                <w:left w:val="none" w:sz="0" w:space="0" w:color="auto"/>
                <w:bottom w:val="none" w:sz="0" w:space="0" w:color="auto"/>
                <w:right w:val="none" w:sz="0" w:space="0" w:color="auto"/>
              </w:divBdr>
              <w:divsChild>
                <w:div w:id="29938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820931">
      <w:bodyDiv w:val="1"/>
      <w:marLeft w:val="0"/>
      <w:marRight w:val="0"/>
      <w:marTop w:val="0"/>
      <w:marBottom w:val="0"/>
      <w:divBdr>
        <w:top w:val="none" w:sz="0" w:space="0" w:color="auto"/>
        <w:left w:val="none" w:sz="0" w:space="0" w:color="auto"/>
        <w:bottom w:val="none" w:sz="0" w:space="0" w:color="auto"/>
        <w:right w:val="none" w:sz="0" w:space="0" w:color="auto"/>
      </w:divBdr>
    </w:div>
    <w:div w:id="1486631702">
      <w:bodyDiv w:val="1"/>
      <w:marLeft w:val="0"/>
      <w:marRight w:val="0"/>
      <w:marTop w:val="0"/>
      <w:marBottom w:val="0"/>
      <w:divBdr>
        <w:top w:val="none" w:sz="0" w:space="0" w:color="auto"/>
        <w:left w:val="none" w:sz="0" w:space="0" w:color="auto"/>
        <w:bottom w:val="none" w:sz="0" w:space="0" w:color="auto"/>
        <w:right w:val="none" w:sz="0" w:space="0" w:color="auto"/>
      </w:divBdr>
    </w:div>
    <w:div w:id="1511993812">
      <w:bodyDiv w:val="1"/>
      <w:marLeft w:val="0"/>
      <w:marRight w:val="0"/>
      <w:marTop w:val="0"/>
      <w:marBottom w:val="0"/>
      <w:divBdr>
        <w:top w:val="none" w:sz="0" w:space="0" w:color="auto"/>
        <w:left w:val="none" w:sz="0" w:space="0" w:color="auto"/>
        <w:bottom w:val="none" w:sz="0" w:space="0" w:color="auto"/>
        <w:right w:val="none" w:sz="0" w:space="0" w:color="auto"/>
      </w:divBdr>
    </w:div>
    <w:div w:id="1576626853">
      <w:bodyDiv w:val="1"/>
      <w:marLeft w:val="0"/>
      <w:marRight w:val="0"/>
      <w:marTop w:val="0"/>
      <w:marBottom w:val="0"/>
      <w:divBdr>
        <w:top w:val="none" w:sz="0" w:space="0" w:color="auto"/>
        <w:left w:val="none" w:sz="0" w:space="0" w:color="auto"/>
        <w:bottom w:val="none" w:sz="0" w:space="0" w:color="auto"/>
        <w:right w:val="none" w:sz="0" w:space="0" w:color="auto"/>
      </w:divBdr>
      <w:divsChild>
        <w:div w:id="1205798198">
          <w:marLeft w:val="0"/>
          <w:marRight w:val="0"/>
          <w:marTop w:val="0"/>
          <w:marBottom w:val="0"/>
          <w:divBdr>
            <w:top w:val="none" w:sz="0" w:space="0" w:color="auto"/>
            <w:left w:val="none" w:sz="0" w:space="0" w:color="auto"/>
            <w:bottom w:val="none" w:sz="0" w:space="0" w:color="auto"/>
            <w:right w:val="none" w:sz="0" w:space="0" w:color="auto"/>
          </w:divBdr>
        </w:div>
        <w:div w:id="1812595291">
          <w:marLeft w:val="0"/>
          <w:marRight w:val="0"/>
          <w:marTop w:val="0"/>
          <w:marBottom w:val="0"/>
          <w:divBdr>
            <w:top w:val="none" w:sz="0" w:space="0" w:color="auto"/>
            <w:left w:val="none" w:sz="0" w:space="0" w:color="auto"/>
            <w:bottom w:val="none" w:sz="0" w:space="0" w:color="auto"/>
            <w:right w:val="none" w:sz="0" w:space="0" w:color="auto"/>
          </w:divBdr>
        </w:div>
      </w:divsChild>
    </w:div>
    <w:div w:id="1612735524">
      <w:bodyDiv w:val="1"/>
      <w:marLeft w:val="0"/>
      <w:marRight w:val="0"/>
      <w:marTop w:val="0"/>
      <w:marBottom w:val="0"/>
      <w:divBdr>
        <w:top w:val="none" w:sz="0" w:space="0" w:color="auto"/>
        <w:left w:val="none" w:sz="0" w:space="0" w:color="auto"/>
        <w:bottom w:val="none" w:sz="0" w:space="0" w:color="auto"/>
        <w:right w:val="none" w:sz="0" w:space="0" w:color="auto"/>
      </w:divBdr>
    </w:div>
    <w:div w:id="1619723950">
      <w:bodyDiv w:val="1"/>
      <w:marLeft w:val="0"/>
      <w:marRight w:val="0"/>
      <w:marTop w:val="0"/>
      <w:marBottom w:val="0"/>
      <w:divBdr>
        <w:top w:val="none" w:sz="0" w:space="0" w:color="auto"/>
        <w:left w:val="none" w:sz="0" w:space="0" w:color="auto"/>
        <w:bottom w:val="none" w:sz="0" w:space="0" w:color="auto"/>
        <w:right w:val="none" w:sz="0" w:space="0" w:color="auto"/>
      </w:divBdr>
    </w:div>
    <w:div w:id="1620867699">
      <w:bodyDiv w:val="1"/>
      <w:marLeft w:val="0"/>
      <w:marRight w:val="0"/>
      <w:marTop w:val="0"/>
      <w:marBottom w:val="0"/>
      <w:divBdr>
        <w:top w:val="none" w:sz="0" w:space="0" w:color="auto"/>
        <w:left w:val="none" w:sz="0" w:space="0" w:color="auto"/>
        <w:bottom w:val="none" w:sz="0" w:space="0" w:color="auto"/>
        <w:right w:val="none" w:sz="0" w:space="0" w:color="auto"/>
      </w:divBdr>
    </w:div>
    <w:div w:id="1622108112">
      <w:bodyDiv w:val="1"/>
      <w:marLeft w:val="0"/>
      <w:marRight w:val="0"/>
      <w:marTop w:val="0"/>
      <w:marBottom w:val="0"/>
      <w:divBdr>
        <w:top w:val="none" w:sz="0" w:space="0" w:color="auto"/>
        <w:left w:val="none" w:sz="0" w:space="0" w:color="auto"/>
        <w:bottom w:val="none" w:sz="0" w:space="0" w:color="auto"/>
        <w:right w:val="none" w:sz="0" w:space="0" w:color="auto"/>
      </w:divBdr>
    </w:div>
    <w:div w:id="1646350419">
      <w:bodyDiv w:val="1"/>
      <w:marLeft w:val="0"/>
      <w:marRight w:val="0"/>
      <w:marTop w:val="0"/>
      <w:marBottom w:val="0"/>
      <w:divBdr>
        <w:top w:val="none" w:sz="0" w:space="0" w:color="auto"/>
        <w:left w:val="none" w:sz="0" w:space="0" w:color="auto"/>
        <w:bottom w:val="none" w:sz="0" w:space="0" w:color="auto"/>
        <w:right w:val="none" w:sz="0" w:space="0" w:color="auto"/>
      </w:divBdr>
    </w:div>
    <w:div w:id="1667438055">
      <w:bodyDiv w:val="1"/>
      <w:marLeft w:val="0"/>
      <w:marRight w:val="0"/>
      <w:marTop w:val="0"/>
      <w:marBottom w:val="0"/>
      <w:divBdr>
        <w:top w:val="none" w:sz="0" w:space="0" w:color="auto"/>
        <w:left w:val="none" w:sz="0" w:space="0" w:color="auto"/>
        <w:bottom w:val="none" w:sz="0" w:space="0" w:color="auto"/>
        <w:right w:val="none" w:sz="0" w:space="0" w:color="auto"/>
      </w:divBdr>
    </w:div>
    <w:div w:id="1670478070">
      <w:bodyDiv w:val="1"/>
      <w:marLeft w:val="0"/>
      <w:marRight w:val="0"/>
      <w:marTop w:val="0"/>
      <w:marBottom w:val="0"/>
      <w:divBdr>
        <w:top w:val="none" w:sz="0" w:space="0" w:color="auto"/>
        <w:left w:val="none" w:sz="0" w:space="0" w:color="auto"/>
        <w:bottom w:val="none" w:sz="0" w:space="0" w:color="auto"/>
        <w:right w:val="none" w:sz="0" w:space="0" w:color="auto"/>
      </w:divBdr>
      <w:divsChild>
        <w:div w:id="46343770">
          <w:marLeft w:val="0"/>
          <w:marRight w:val="0"/>
          <w:marTop w:val="0"/>
          <w:marBottom w:val="0"/>
          <w:divBdr>
            <w:top w:val="none" w:sz="0" w:space="0" w:color="auto"/>
            <w:left w:val="none" w:sz="0" w:space="0" w:color="auto"/>
            <w:bottom w:val="none" w:sz="0" w:space="0" w:color="auto"/>
            <w:right w:val="none" w:sz="0" w:space="0" w:color="auto"/>
          </w:divBdr>
          <w:divsChild>
            <w:div w:id="603347120">
              <w:marLeft w:val="0"/>
              <w:marRight w:val="0"/>
              <w:marTop w:val="0"/>
              <w:marBottom w:val="0"/>
              <w:divBdr>
                <w:top w:val="none" w:sz="0" w:space="0" w:color="auto"/>
                <w:left w:val="none" w:sz="0" w:space="0" w:color="auto"/>
                <w:bottom w:val="none" w:sz="0" w:space="0" w:color="auto"/>
                <w:right w:val="none" w:sz="0" w:space="0" w:color="auto"/>
              </w:divBdr>
              <w:divsChild>
                <w:div w:id="211543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293938">
      <w:bodyDiv w:val="1"/>
      <w:marLeft w:val="0"/>
      <w:marRight w:val="0"/>
      <w:marTop w:val="0"/>
      <w:marBottom w:val="0"/>
      <w:divBdr>
        <w:top w:val="none" w:sz="0" w:space="0" w:color="auto"/>
        <w:left w:val="none" w:sz="0" w:space="0" w:color="auto"/>
        <w:bottom w:val="none" w:sz="0" w:space="0" w:color="auto"/>
        <w:right w:val="none" w:sz="0" w:space="0" w:color="auto"/>
      </w:divBdr>
      <w:divsChild>
        <w:div w:id="114833218">
          <w:marLeft w:val="0"/>
          <w:marRight w:val="0"/>
          <w:marTop w:val="0"/>
          <w:marBottom w:val="0"/>
          <w:divBdr>
            <w:top w:val="none" w:sz="0" w:space="0" w:color="auto"/>
            <w:left w:val="none" w:sz="0" w:space="0" w:color="auto"/>
            <w:bottom w:val="none" w:sz="0" w:space="0" w:color="auto"/>
            <w:right w:val="none" w:sz="0" w:space="0" w:color="auto"/>
          </w:divBdr>
          <w:divsChild>
            <w:div w:id="2008316349">
              <w:marLeft w:val="0"/>
              <w:marRight w:val="0"/>
              <w:marTop w:val="0"/>
              <w:marBottom w:val="0"/>
              <w:divBdr>
                <w:top w:val="none" w:sz="0" w:space="0" w:color="auto"/>
                <w:left w:val="none" w:sz="0" w:space="0" w:color="auto"/>
                <w:bottom w:val="none" w:sz="0" w:space="0" w:color="auto"/>
                <w:right w:val="none" w:sz="0" w:space="0" w:color="auto"/>
              </w:divBdr>
              <w:divsChild>
                <w:div w:id="52016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909812">
      <w:bodyDiv w:val="1"/>
      <w:marLeft w:val="0"/>
      <w:marRight w:val="0"/>
      <w:marTop w:val="0"/>
      <w:marBottom w:val="0"/>
      <w:divBdr>
        <w:top w:val="none" w:sz="0" w:space="0" w:color="auto"/>
        <w:left w:val="none" w:sz="0" w:space="0" w:color="auto"/>
        <w:bottom w:val="none" w:sz="0" w:space="0" w:color="auto"/>
        <w:right w:val="none" w:sz="0" w:space="0" w:color="auto"/>
      </w:divBdr>
    </w:div>
    <w:div w:id="1802452929">
      <w:bodyDiv w:val="1"/>
      <w:marLeft w:val="0"/>
      <w:marRight w:val="0"/>
      <w:marTop w:val="0"/>
      <w:marBottom w:val="0"/>
      <w:divBdr>
        <w:top w:val="none" w:sz="0" w:space="0" w:color="auto"/>
        <w:left w:val="none" w:sz="0" w:space="0" w:color="auto"/>
        <w:bottom w:val="none" w:sz="0" w:space="0" w:color="auto"/>
        <w:right w:val="none" w:sz="0" w:space="0" w:color="auto"/>
      </w:divBdr>
    </w:div>
    <w:div w:id="1815953329">
      <w:bodyDiv w:val="1"/>
      <w:marLeft w:val="0"/>
      <w:marRight w:val="0"/>
      <w:marTop w:val="0"/>
      <w:marBottom w:val="0"/>
      <w:divBdr>
        <w:top w:val="none" w:sz="0" w:space="0" w:color="auto"/>
        <w:left w:val="none" w:sz="0" w:space="0" w:color="auto"/>
        <w:bottom w:val="none" w:sz="0" w:space="0" w:color="auto"/>
        <w:right w:val="none" w:sz="0" w:space="0" w:color="auto"/>
      </w:divBdr>
      <w:divsChild>
        <w:div w:id="1624771594">
          <w:marLeft w:val="0"/>
          <w:marRight w:val="0"/>
          <w:marTop w:val="0"/>
          <w:marBottom w:val="0"/>
          <w:divBdr>
            <w:top w:val="none" w:sz="0" w:space="0" w:color="auto"/>
            <w:left w:val="none" w:sz="0" w:space="0" w:color="auto"/>
            <w:bottom w:val="none" w:sz="0" w:space="0" w:color="auto"/>
            <w:right w:val="none" w:sz="0" w:space="0" w:color="auto"/>
          </w:divBdr>
          <w:divsChild>
            <w:div w:id="1389919150">
              <w:marLeft w:val="0"/>
              <w:marRight w:val="0"/>
              <w:marTop w:val="0"/>
              <w:marBottom w:val="0"/>
              <w:divBdr>
                <w:top w:val="none" w:sz="0" w:space="0" w:color="auto"/>
                <w:left w:val="none" w:sz="0" w:space="0" w:color="auto"/>
                <w:bottom w:val="none" w:sz="0" w:space="0" w:color="auto"/>
                <w:right w:val="none" w:sz="0" w:space="0" w:color="auto"/>
              </w:divBdr>
              <w:divsChild>
                <w:div w:id="8450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730871">
      <w:bodyDiv w:val="1"/>
      <w:marLeft w:val="0"/>
      <w:marRight w:val="0"/>
      <w:marTop w:val="0"/>
      <w:marBottom w:val="0"/>
      <w:divBdr>
        <w:top w:val="none" w:sz="0" w:space="0" w:color="auto"/>
        <w:left w:val="none" w:sz="0" w:space="0" w:color="auto"/>
        <w:bottom w:val="none" w:sz="0" w:space="0" w:color="auto"/>
        <w:right w:val="none" w:sz="0" w:space="0" w:color="auto"/>
      </w:divBdr>
    </w:div>
    <w:div w:id="1864828451">
      <w:bodyDiv w:val="1"/>
      <w:marLeft w:val="0"/>
      <w:marRight w:val="0"/>
      <w:marTop w:val="0"/>
      <w:marBottom w:val="0"/>
      <w:divBdr>
        <w:top w:val="none" w:sz="0" w:space="0" w:color="auto"/>
        <w:left w:val="none" w:sz="0" w:space="0" w:color="auto"/>
        <w:bottom w:val="none" w:sz="0" w:space="0" w:color="auto"/>
        <w:right w:val="none" w:sz="0" w:space="0" w:color="auto"/>
      </w:divBdr>
    </w:div>
    <w:div w:id="1874609185">
      <w:bodyDiv w:val="1"/>
      <w:marLeft w:val="0"/>
      <w:marRight w:val="0"/>
      <w:marTop w:val="0"/>
      <w:marBottom w:val="0"/>
      <w:divBdr>
        <w:top w:val="none" w:sz="0" w:space="0" w:color="auto"/>
        <w:left w:val="none" w:sz="0" w:space="0" w:color="auto"/>
        <w:bottom w:val="none" w:sz="0" w:space="0" w:color="auto"/>
        <w:right w:val="none" w:sz="0" w:space="0" w:color="auto"/>
      </w:divBdr>
    </w:div>
    <w:div w:id="1928684935">
      <w:bodyDiv w:val="1"/>
      <w:marLeft w:val="0"/>
      <w:marRight w:val="0"/>
      <w:marTop w:val="0"/>
      <w:marBottom w:val="0"/>
      <w:divBdr>
        <w:top w:val="none" w:sz="0" w:space="0" w:color="auto"/>
        <w:left w:val="none" w:sz="0" w:space="0" w:color="auto"/>
        <w:bottom w:val="none" w:sz="0" w:space="0" w:color="auto"/>
        <w:right w:val="none" w:sz="0" w:space="0" w:color="auto"/>
      </w:divBdr>
    </w:div>
    <w:div w:id="1941139326">
      <w:bodyDiv w:val="1"/>
      <w:marLeft w:val="0"/>
      <w:marRight w:val="0"/>
      <w:marTop w:val="0"/>
      <w:marBottom w:val="0"/>
      <w:divBdr>
        <w:top w:val="none" w:sz="0" w:space="0" w:color="auto"/>
        <w:left w:val="none" w:sz="0" w:space="0" w:color="auto"/>
        <w:bottom w:val="none" w:sz="0" w:space="0" w:color="auto"/>
        <w:right w:val="none" w:sz="0" w:space="0" w:color="auto"/>
      </w:divBdr>
    </w:div>
    <w:div w:id="1979919657">
      <w:bodyDiv w:val="1"/>
      <w:marLeft w:val="0"/>
      <w:marRight w:val="0"/>
      <w:marTop w:val="0"/>
      <w:marBottom w:val="0"/>
      <w:divBdr>
        <w:top w:val="none" w:sz="0" w:space="0" w:color="auto"/>
        <w:left w:val="none" w:sz="0" w:space="0" w:color="auto"/>
        <w:bottom w:val="none" w:sz="0" w:space="0" w:color="auto"/>
        <w:right w:val="none" w:sz="0" w:space="0" w:color="auto"/>
      </w:divBdr>
    </w:div>
    <w:div w:id="1989480903">
      <w:bodyDiv w:val="1"/>
      <w:marLeft w:val="0"/>
      <w:marRight w:val="0"/>
      <w:marTop w:val="0"/>
      <w:marBottom w:val="0"/>
      <w:divBdr>
        <w:top w:val="none" w:sz="0" w:space="0" w:color="auto"/>
        <w:left w:val="none" w:sz="0" w:space="0" w:color="auto"/>
        <w:bottom w:val="none" w:sz="0" w:space="0" w:color="auto"/>
        <w:right w:val="none" w:sz="0" w:space="0" w:color="auto"/>
      </w:divBdr>
    </w:div>
    <w:div w:id="2022780567">
      <w:bodyDiv w:val="1"/>
      <w:marLeft w:val="0"/>
      <w:marRight w:val="0"/>
      <w:marTop w:val="0"/>
      <w:marBottom w:val="0"/>
      <w:divBdr>
        <w:top w:val="none" w:sz="0" w:space="0" w:color="auto"/>
        <w:left w:val="none" w:sz="0" w:space="0" w:color="auto"/>
        <w:bottom w:val="none" w:sz="0" w:space="0" w:color="auto"/>
        <w:right w:val="none" w:sz="0" w:space="0" w:color="auto"/>
      </w:divBdr>
    </w:div>
    <w:div w:id="2034113748">
      <w:bodyDiv w:val="1"/>
      <w:marLeft w:val="0"/>
      <w:marRight w:val="0"/>
      <w:marTop w:val="0"/>
      <w:marBottom w:val="0"/>
      <w:divBdr>
        <w:top w:val="none" w:sz="0" w:space="0" w:color="auto"/>
        <w:left w:val="none" w:sz="0" w:space="0" w:color="auto"/>
        <w:bottom w:val="none" w:sz="0" w:space="0" w:color="auto"/>
        <w:right w:val="none" w:sz="0" w:space="0" w:color="auto"/>
      </w:divBdr>
    </w:div>
    <w:div w:id="2039886247">
      <w:bodyDiv w:val="1"/>
      <w:marLeft w:val="0"/>
      <w:marRight w:val="0"/>
      <w:marTop w:val="0"/>
      <w:marBottom w:val="0"/>
      <w:divBdr>
        <w:top w:val="none" w:sz="0" w:space="0" w:color="auto"/>
        <w:left w:val="none" w:sz="0" w:space="0" w:color="auto"/>
        <w:bottom w:val="none" w:sz="0" w:space="0" w:color="auto"/>
        <w:right w:val="none" w:sz="0" w:space="0" w:color="auto"/>
      </w:divBdr>
      <w:divsChild>
        <w:div w:id="756705170">
          <w:marLeft w:val="0"/>
          <w:marRight w:val="0"/>
          <w:marTop w:val="0"/>
          <w:marBottom w:val="0"/>
          <w:divBdr>
            <w:top w:val="none" w:sz="0" w:space="0" w:color="auto"/>
            <w:left w:val="none" w:sz="0" w:space="0" w:color="auto"/>
            <w:bottom w:val="none" w:sz="0" w:space="0" w:color="auto"/>
            <w:right w:val="none" w:sz="0" w:space="0" w:color="auto"/>
          </w:divBdr>
          <w:divsChild>
            <w:div w:id="771167478">
              <w:marLeft w:val="0"/>
              <w:marRight w:val="0"/>
              <w:marTop w:val="0"/>
              <w:marBottom w:val="0"/>
              <w:divBdr>
                <w:top w:val="none" w:sz="0" w:space="0" w:color="auto"/>
                <w:left w:val="none" w:sz="0" w:space="0" w:color="auto"/>
                <w:bottom w:val="none" w:sz="0" w:space="0" w:color="auto"/>
                <w:right w:val="none" w:sz="0" w:space="0" w:color="auto"/>
              </w:divBdr>
              <w:divsChild>
                <w:div w:id="58790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160327">
      <w:bodyDiv w:val="1"/>
      <w:marLeft w:val="0"/>
      <w:marRight w:val="0"/>
      <w:marTop w:val="0"/>
      <w:marBottom w:val="0"/>
      <w:divBdr>
        <w:top w:val="none" w:sz="0" w:space="0" w:color="auto"/>
        <w:left w:val="none" w:sz="0" w:space="0" w:color="auto"/>
        <w:bottom w:val="none" w:sz="0" w:space="0" w:color="auto"/>
        <w:right w:val="none" w:sz="0" w:space="0" w:color="auto"/>
      </w:divBdr>
    </w:div>
    <w:div w:id="2077315377">
      <w:bodyDiv w:val="1"/>
      <w:marLeft w:val="0"/>
      <w:marRight w:val="0"/>
      <w:marTop w:val="0"/>
      <w:marBottom w:val="0"/>
      <w:divBdr>
        <w:top w:val="none" w:sz="0" w:space="0" w:color="auto"/>
        <w:left w:val="none" w:sz="0" w:space="0" w:color="auto"/>
        <w:bottom w:val="none" w:sz="0" w:space="0" w:color="auto"/>
        <w:right w:val="none" w:sz="0" w:space="0" w:color="auto"/>
      </w:divBdr>
      <w:divsChild>
        <w:div w:id="168252904">
          <w:marLeft w:val="0"/>
          <w:marRight w:val="0"/>
          <w:marTop w:val="0"/>
          <w:marBottom w:val="0"/>
          <w:divBdr>
            <w:top w:val="none" w:sz="0" w:space="0" w:color="auto"/>
            <w:left w:val="none" w:sz="0" w:space="0" w:color="auto"/>
            <w:bottom w:val="none" w:sz="0" w:space="0" w:color="auto"/>
            <w:right w:val="none" w:sz="0" w:space="0" w:color="auto"/>
          </w:divBdr>
          <w:divsChild>
            <w:div w:id="477384796">
              <w:marLeft w:val="0"/>
              <w:marRight w:val="0"/>
              <w:marTop w:val="0"/>
              <w:marBottom w:val="0"/>
              <w:divBdr>
                <w:top w:val="none" w:sz="0" w:space="0" w:color="auto"/>
                <w:left w:val="none" w:sz="0" w:space="0" w:color="auto"/>
                <w:bottom w:val="none" w:sz="0" w:space="0" w:color="auto"/>
                <w:right w:val="none" w:sz="0" w:space="0" w:color="auto"/>
              </w:divBdr>
              <w:divsChild>
                <w:div w:id="1581258134">
                  <w:marLeft w:val="0"/>
                  <w:marRight w:val="0"/>
                  <w:marTop w:val="0"/>
                  <w:marBottom w:val="0"/>
                  <w:divBdr>
                    <w:top w:val="none" w:sz="0" w:space="0" w:color="auto"/>
                    <w:left w:val="none" w:sz="0" w:space="0" w:color="auto"/>
                    <w:bottom w:val="none" w:sz="0" w:space="0" w:color="auto"/>
                    <w:right w:val="none" w:sz="0" w:space="0" w:color="auto"/>
                  </w:divBdr>
                  <w:divsChild>
                    <w:div w:id="214361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907000">
              <w:marLeft w:val="0"/>
              <w:marRight w:val="0"/>
              <w:marTop w:val="0"/>
              <w:marBottom w:val="0"/>
              <w:divBdr>
                <w:top w:val="none" w:sz="0" w:space="0" w:color="auto"/>
                <w:left w:val="none" w:sz="0" w:space="0" w:color="auto"/>
                <w:bottom w:val="none" w:sz="0" w:space="0" w:color="auto"/>
                <w:right w:val="none" w:sz="0" w:space="0" w:color="auto"/>
              </w:divBdr>
              <w:divsChild>
                <w:div w:id="212993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140466">
          <w:marLeft w:val="0"/>
          <w:marRight w:val="0"/>
          <w:marTop w:val="0"/>
          <w:marBottom w:val="0"/>
          <w:divBdr>
            <w:top w:val="none" w:sz="0" w:space="0" w:color="auto"/>
            <w:left w:val="none" w:sz="0" w:space="0" w:color="auto"/>
            <w:bottom w:val="none" w:sz="0" w:space="0" w:color="auto"/>
            <w:right w:val="none" w:sz="0" w:space="0" w:color="auto"/>
          </w:divBdr>
          <w:divsChild>
            <w:div w:id="1519928520">
              <w:marLeft w:val="0"/>
              <w:marRight w:val="0"/>
              <w:marTop w:val="0"/>
              <w:marBottom w:val="0"/>
              <w:divBdr>
                <w:top w:val="none" w:sz="0" w:space="0" w:color="auto"/>
                <w:left w:val="none" w:sz="0" w:space="0" w:color="auto"/>
                <w:bottom w:val="none" w:sz="0" w:space="0" w:color="auto"/>
                <w:right w:val="none" w:sz="0" w:space="0" w:color="auto"/>
              </w:divBdr>
              <w:divsChild>
                <w:div w:id="1735077717">
                  <w:marLeft w:val="0"/>
                  <w:marRight w:val="0"/>
                  <w:marTop w:val="0"/>
                  <w:marBottom w:val="0"/>
                  <w:divBdr>
                    <w:top w:val="none" w:sz="0" w:space="0" w:color="auto"/>
                    <w:left w:val="none" w:sz="0" w:space="0" w:color="auto"/>
                    <w:bottom w:val="none" w:sz="0" w:space="0" w:color="auto"/>
                    <w:right w:val="none" w:sz="0" w:space="0" w:color="auto"/>
                  </w:divBdr>
                  <w:divsChild>
                    <w:div w:id="92638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20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s://sipri.org/sites/default/files/2022-03/fs_2203_at_2021.pdf" TargetMode="External"/><Relationship Id="rId18" Type="http://schemas.openxmlformats.org/officeDocument/2006/relationships/hyperlink" Target="https://www.hrw.org/news/2020/10/13/human-rights-watch-submission-committee-elimination-discrimination-against-women" TargetMode="External"/><Relationship Id="rId26" Type="http://schemas.openxmlformats.org/officeDocument/2006/relationships/hyperlink" Target="https://retepacedisarmo.org/english/2021/italian-arms-exports-almost-4-billion-authorised-in-2020-egypt-the-leading-buyer/" TargetMode="External"/><Relationship Id="rId39" Type="http://schemas.openxmlformats.org/officeDocument/2006/relationships/hyperlink" Target="https://retepacedisarmo.org/export-armi/2022/05/armi-italiane-nel-2021-record-storico-di-esportazioni-effettive-per-un-controvalore-di-quasi-48-miliardi/" TargetMode="External"/><Relationship Id="rId3" Type="http://schemas.openxmlformats.org/officeDocument/2006/relationships/hyperlink" Target="https://www.gazzettaufficiale.it/eli/id/2020/03/22/20A01807/sg" TargetMode="External"/><Relationship Id="rId21" Type="http://schemas.openxmlformats.org/officeDocument/2006/relationships/hyperlink" Target="https://www.hrw.org/news/2020/06/16/italy-should-stop-arms-transfer-egypt" TargetMode="External"/><Relationship Id="rId34" Type="http://schemas.openxmlformats.org/officeDocument/2006/relationships/hyperlink" Target="https://www.ecchr.eu/en/press-release/the-italian-government-revokes-bomb-export-licenses-to-saudi-arabia-and-the-united-arab-emirates/" TargetMode="External"/><Relationship Id="rId42" Type="http://schemas.openxmlformats.org/officeDocument/2006/relationships/hyperlink" Target="https://www.sipri.org/commentary/topical-backgrounder/2019/legal-challenges-eu-member-states-arms-exports-saudi-arabia-current-status-and-potential" TargetMode="External"/><Relationship Id="rId47" Type="http://schemas.openxmlformats.org/officeDocument/2006/relationships/hyperlink" Target="https://www.icc-cpi.int/iccdocs/otp/OTP-Policy_Paper_Preliminary_Examinations_2013-ENG.pdf" TargetMode="External"/><Relationship Id="rId50" Type="http://schemas.openxmlformats.org/officeDocument/2006/relationships/hyperlink" Target="https://www.esteri.it/mae/resource/doc/2017/06/legge_09_07_1990_n185.pdf" TargetMode="External"/><Relationship Id="rId7" Type="http://schemas.openxmlformats.org/officeDocument/2006/relationships/hyperlink" Target="https://retepacedisarmo.org/english/2021/italian-arms-exports-almost-4-billion-authorised-in-2020-egypt-the-leading-buyer/" TargetMode="External"/><Relationship Id="rId12" Type="http://schemas.openxmlformats.org/officeDocument/2006/relationships/hyperlink" Target="https://www.sipri.org/sites/default/files/2020-03/fs_2003_at_2019.pdf" TargetMode="External"/><Relationship Id="rId17" Type="http://schemas.openxmlformats.org/officeDocument/2006/relationships/hyperlink" Target="https://www.amnesty.org/en/latest/news/2019/10/egypt-largest-wave-of-mass-arrests-since-president-abdel-fattah-al-sisi-came-to-power/" TargetMode="External"/><Relationship Id="rId25" Type="http://schemas.openxmlformats.org/officeDocument/2006/relationships/hyperlink" Target="https://comune-info.net/perche-continuiamo-ad-armarli/" TargetMode="External"/><Relationship Id="rId33" Type="http://schemas.openxmlformats.org/officeDocument/2006/relationships/hyperlink" Target="https://www.ohchr.org/EN/HRBodies/HRC/Pages/NewsDetail.aspx?NewsID=27458&amp;LangID=E" TargetMode="External"/><Relationship Id="rId38" Type="http://schemas.openxmlformats.org/officeDocument/2006/relationships/hyperlink" Target="https://retepacedisarmo.org/english/2022/italian-arms-in-2021-a-historical-record-of-actual-exports-worth-almost-4-8-billion/" TargetMode="External"/><Relationship Id="rId46" Type="http://schemas.openxmlformats.org/officeDocument/2006/relationships/hyperlink" Target="https://www.google.com/url?sa=t&amp;rct=j&amp;q=&amp;esrc=s&amp;source=web&amp;cd=&amp;ved=2ahUKEwixwru3weT5AhWJHuwKHeTKDTAQFnoECA0QAQ&amp;url=https%3A%2F%2Fwww.icc-cpi.int%2Fsites%2Fdefault%2Ffiles%2FitemsDocuments%2F2020-PE%2F2020-pe-report-eng.pdf&amp;usg=AOvVaw0FaAIqOb5Kf35ucUqiDAI%20at_" TargetMode="External"/><Relationship Id="rId2" Type="http://schemas.openxmlformats.org/officeDocument/2006/relationships/hyperlink" Target="https://tbinternet.ohchr.org/_layouts/15/treatybodyexternal/Download.aspx?symbolno=INT%2fCESCR%2fICS%2fITA%2f41172&amp;Lang=en" TargetMode="External"/><Relationship Id="rId16" Type="http://schemas.openxmlformats.org/officeDocument/2006/relationships/hyperlink" Target="https://www.unimondo.org/Notizie/30mila-pistole-italiane-per-l-Egitto.-In-barba-all-UE-149541" TargetMode="External"/><Relationship Id="rId20" Type="http://schemas.openxmlformats.org/officeDocument/2006/relationships/hyperlink" Target="https://comune-info.net/perche-continuiamo-ad-armarli/" TargetMode="External"/><Relationship Id="rId29" Type="http://schemas.openxmlformats.org/officeDocument/2006/relationships/hyperlink" Target="https://www.avvenire.it/attualita/pagine/africa-il-trattato-segreto-tra-italia-e-niger-per-aprire-un-muovo-mercato-di-armi" TargetMode="External"/><Relationship Id="rId41" Type="http://schemas.openxmlformats.org/officeDocument/2006/relationships/hyperlink" Target="https://www.ecchr.eu/en/case/european-responsibility-for-war-crimes-in-yemen/" TargetMode="External"/><Relationship Id="rId1" Type="http://schemas.openxmlformats.org/officeDocument/2006/relationships/hyperlink" Target="https://www.wilpf.org/wp-content/uploads/2019/11/UPR-2019_Italy_Analysis-and-Recommendations-_english-version.pdf" TargetMode="External"/><Relationship Id="rId6" Type="http://schemas.openxmlformats.org/officeDocument/2006/relationships/hyperlink" Target="https://www.sardiniapost.it/cronaca/coronaviurs-rwm-ferma-la-produzione-ridurre-ulteriori-rischi-per-il-territorio/" TargetMode="External"/><Relationship Id="rId11" Type="http://schemas.openxmlformats.org/officeDocument/2006/relationships/hyperlink" Target="https://www.adista.it/articolo/64577" TargetMode="External"/><Relationship Id="rId24" Type="http://schemas.openxmlformats.org/officeDocument/2006/relationships/hyperlink" Target="https://www.disarmo.org/rete/a/47776.html" TargetMode="External"/><Relationship Id="rId32" Type="http://schemas.openxmlformats.org/officeDocument/2006/relationships/hyperlink" Target="https://www.ilfattoquotidiano.it/2019/02/06/italia-niger-asgi-svela-il-trattato-secretato-e-copia-e-incolla-previste-navi-ma-non-ce-mare-il-governo-pubblichi-lettere/4952433/" TargetMode="External"/><Relationship Id="rId37" Type="http://schemas.openxmlformats.org/officeDocument/2006/relationships/hyperlink" Target="https://www.reuters.com/article/us-italy-arms-saudi-emirates/italy-eases-curbs-on-arms-sales-to-saudi-arabia-and-uae-idUSKCN2EC25L" TargetMode="External"/><Relationship Id="rId40" Type="http://schemas.openxmlformats.org/officeDocument/2006/relationships/hyperlink" Target="https://retepacedisarmo.org/english/2021/hearing-on-uama-and-rwm-italias-role-in-deadly-airstrike-court-must-ensure-that-investigations-continue/" TargetMode="External"/><Relationship Id="rId45" Type="http://schemas.openxmlformats.org/officeDocument/2006/relationships/hyperlink" Target="https://www.amnesty.org/en/latest/press-release/2019/12/icc-investigate-arms-companies-yemen-war-crimes-allegations/" TargetMode="External"/><Relationship Id="rId5" Type="http://schemas.openxmlformats.org/officeDocument/2006/relationships/hyperlink" Target="https://www.wilpf.org/from-ceasefire-to-divestment-and-disarmament/" TargetMode="External"/><Relationship Id="rId15" Type="http://schemas.openxmlformats.org/officeDocument/2006/relationships/hyperlink" Target="https://retepacedisarmo.org/2022/armi-italiane-nel-2021-record-storico-di-esportazioni-effettive-per-un-controvalore-di-quasi-48-miliardi/" TargetMode="External"/><Relationship Id="rId23" Type="http://schemas.openxmlformats.org/officeDocument/2006/relationships/hyperlink" Target="https://www.amnesty.it/stoparmiegitto-fermiamo-linvio-di-armamenti/" TargetMode="External"/><Relationship Id="rId28" Type="http://schemas.openxmlformats.org/officeDocument/2006/relationships/hyperlink" Target="https://stopusarmstomexico.org/wp-content/uploads/2020/12/Deadly-Trade_final.pdf" TargetMode="External"/><Relationship Id="rId36" Type="http://schemas.openxmlformats.org/officeDocument/2006/relationships/hyperlink" Target="https://tbinternet.ohchr.org/_layouts/15/treatybodyexternal/Download.aspx?symbolno=E%2fC.12%2fITA%2f6&amp;Lang=en" TargetMode="External"/><Relationship Id="rId49" Type="http://schemas.openxmlformats.org/officeDocument/2006/relationships/hyperlink" Target="https://www.disarmo.org/rete/a/47835.html" TargetMode="External"/><Relationship Id="rId10" Type="http://schemas.openxmlformats.org/officeDocument/2006/relationships/hyperlink" Target="http://documenti.camera.it/leg18/odg/assemblea/xhtml/2019/06/26/20190626.html" TargetMode="External"/><Relationship Id="rId19" Type="http://schemas.openxmlformats.org/officeDocument/2006/relationships/hyperlink" Target="https://www.disarmo.org/rete/a/47716.html" TargetMode="External"/><Relationship Id="rId31" Type="http://schemas.openxmlformats.org/officeDocument/2006/relationships/hyperlink" Target="https://www.avvenire.it/attualita/pagine/africa-il-trattato-segreto-tra-italia-e-niger-per-aprire-un-muovo-mercato-di-armi" TargetMode="External"/><Relationship Id="rId44" Type="http://schemas.openxmlformats.org/officeDocument/2006/relationships/hyperlink" Target="https://www.ecchr.eu/en/case/made-in-europe-bombed-in-yemen/" TargetMode="External"/><Relationship Id="rId52" Type="http://schemas.openxmlformats.org/officeDocument/2006/relationships/hyperlink" Target="https://retepacedisarmo.org/english/2022/italian-arms-in-2021-a-historical-record-of-actual-exports-worth-almost-4-8-billion/" TargetMode="External"/><Relationship Id="rId4" Type="http://schemas.openxmlformats.org/officeDocument/2006/relationships/hyperlink" Target="https://www.defensenews.com/congress/2020/03/10/f-35-work-goes-on-in-italy-despite-coronavirus-lockdown/" TargetMode="External"/><Relationship Id="rId9" Type="http://schemas.openxmlformats.org/officeDocument/2006/relationships/hyperlink" Target="https://www.esteri.it/mae/resource/doc/2017/06/legge_09_07_1990_n185.pdf" TargetMode="External"/><Relationship Id="rId14" Type="http://schemas.openxmlformats.org/officeDocument/2006/relationships/hyperlink" Target="https://retepacedisarmo.org/english/2022/italian-arms-in-2021-a-historical-record-of-actual-exports-worth-almost-4-8-billion/" TargetMode="External"/><Relationship Id="rId22" Type="http://schemas.openxmlformats.org/officeDocument/2006/relationships/hyperlink" Target="https://www.hrw.org/news/2020/12/11/italy-charges-egyptian-security-forces-giulio-regenis-murder" TargetMode="External"/><Relationship Id="rId27" Type="http://schemas.openxmlformats.org/officeDocument/2006/relationships/hyperlink" Target="https://retepacedisarmo.org/2022/armi-italiane-nel-2021-record-storico-di-esportazioni-effettive-per-un-controvalore-di-quasi-48-miliardi/" TargetMode="External"/><Relationship Id="rId30" Type="http://schemas.openxmlformats.org/officeDocument/2006/relationships/hyperlink" Target="https://www.ilfattoquotidiano.it/2019/02/06/italia-niger-asgi-svela-il-trattato-secretato-e-copia-e-incolla-previste-navi-ma-non-ce-mare-il-governo-pubblichi-lettere/4952433/" TargetMode="External"/><Relationship Id="rId35" Type="http://schemas.openxmlformats.org/officeDocument/2006/relationships/hyperlink" Target="https://retepacedisarmo.org/2021/il-governo-revoca-lexport-di-bombe-verso-arabia-saudita-ed-emirati-arabi-soddisfazione-delle-organizzazioni-della-societa-civile/" TargetMode="External"/><Relationship Id="rId43" Type="http://schemas.openxmlformats.org/officeDocument/2006/relationships/hyperlink" Target="https://www.ecchr.eu/en/press-release/groundbreaking-decision-for-victims-of-italian-weapon-airstrikes-in-yemen/" TargetMode="External"/><Relationship Id="rId48" Type="http://schemas.openxmlformats.org/officeDocument/2006/relationships/hyperlink" Target="https://www.ilfattoquotidiano.it/2020/07/31/export-di-armi-litalia-tra-i-meno-trasparenti-in-ue-da-quattro-anni-non-comunica-allonu-i-paesi-a-cui-vende-armamenti-e-mezzi-militari/5885177/" TargetMode="External"/><Relationship Id="rId8" Type="http://schemas.openxmlformats.org/officeDocument/2006/relationships/hyperlink" Target="https://retepacedisarmo.org/2022/armi-italiane-nel-2021-record-storico-di-esportazioni-effettive-per-un-controvalore-di-quasi-48-miliardi/" TargetMode="External"/><Relationship Id="rId51" Type="http://schemas.openxmlformats.org/officeDocument/2006/relationships/hyperlink" Target="https://retepacedisarmo.org/2022/anniversary-of-law-185-90-parliament-must-exercise-more-control-over-arms-expo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35303B-B31F-48AB-8805-F039BE96406E}">
  <ds:schemaRefs>
    <ds:schemaRef ds:uri="http://schemas.openxmlformats.org/officeDocument/2006/bibliography"/>
  </ds:schemaRefs>
</ds:datastoreItem>
</file>

<file path=customXml/itemProps2.xml><?xml version="1.0" encoding="utf-8"?>
<ds:datastoreItem xmlns:ds="http://schemas.openxmlformats.org/officeDocument/2006/customXml" ds:itemID="{AB0CEF5F-FF44-4868-A648-2A8959BB3CF3}"/>
</file>

<file path=customXml/itemProps3.xml><?xml version="1.0" encoding="utf-8"?>
<ds:datastoreItem xmlns:ds="http://schemas.openxmlformats.org/officeDocument/2006/customXml" ds:itemID="{A27C097A-423B-4C08-B191-46134B7E19BB}"/>
</file>

<file path=customXml/itemProps4.xml><?xml version="1.0" encoding="utf-8"?>
<ds:datastoreItem xmlns:ds="http://schemas.openxmlformats.org/officeDocument/2006/customXml" ds:itemID="{56D21EF3-641E-490F-B782-A8256DB64CC8}"/>
</file>

<file path=docProps/app.xml><?xml version="1.0" encoding="utf-8"?>
<Properties xmlns="http://schemas.openxmlformats.org/officeDocument/2006/extended-properties" xmlns:vt="http://schemas.openxmlformats.org/officeDocument/2006/docPropsVTypes">
  <Template>Normal.dotm</Template>
  <TotalTime>0</TotalTime>
  <Pages>12</Pages>
  <Words>3341</Words>
  <Characters>19049</Characters>
  <Application>Microsoft Office Word</Application>
  <DocSecurity>0</DocSecurity>
  <Lines>158</Lines>
  <Paragraphs>44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2022-08-24T18:47:00Z</cp:lastPrinted>
  <dcterms:created xsi:type="dcterms:W3CDTF">2022-08-30T13:24:00Z</dcterms:created>
  <dcterms:modified xsi:type="dcterms:W3CDTF">2022-08-30T13:24:00Z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