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39E5DF" w14:textId="67AC15C8" w:rsidR="00126F6D" w:rsidRDefault="00C803F0" w:rsidP="00C803F0">
      <w:pPr>
        <w:tabs>
          <w:tab w:val="left" w:pos="90"/>
          <w:tab w:val="left" w:pos="540"/>
        </w:tabs>
        <w:spacing w:after="0" w:line="360" w:lineRule="auto"/>
        <w:jc w:val="center"/>
        <w:rPr>
          <w:rFonts w:ascii="Times New Roman" w:eastAsia="Calibri" w:hAnsi="Times New Roman" w:cs="Times New Roman"/>
          <w:b/>
          <w:color w:val="000000"/>
          <w:sz w:val="24"/>
          <w:szCs w:val="24"/>
        </w:rPr>
      </w:pPr>
      <w:bookmarkStart w:id="0" w:name="_GoBack"/>
      <w:bookmarkEnd w:id="0"/>
      <w:r>
        <w:rPr>
          <w:rFonts w:ascii="Times New Roman" w:eastAsia="Calibri" w:hAnsi="Times New Roman" w:cs="Times New Roman"/>
          <w:b/>
          <w:color w:val="000000"/>
          <w:sz w:val="24"/>
          <w:szCs w:val="24"/>
        </w:rPr>
        <w:t>Statement of the Republic of Moldova</w:t>
      </w:r>
    </w:p>
    <w:p w14:paraId="3E65EFC4" w14:textId="3CABDFBE" w:rsidR="00C803F0" w:rsidRDefault="00C803F0" w:rsidP="00C803F0">
      <w:pPr>
        <w:tabs>
          <w:tab w:val="left" w:pos="90"/>
          <w:tab w:val="left" w:pos="540"/>
        </w:tabs>
        <w:spacing w:after="0" w:line="360" w:lineRule="auto"/>
        <w:jc w:val="center"/>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at the 75</w:t>
      </w:r>
      <w:r w:rsidRPr="00C803F0">
        <w:rPr>
          <w:rFonts w:ascii="Times New Roman" w:eastAsia="Calibri" w:hAnsi="Times New Roman" w:cs="Times New Roman"/>
          <w:b/>
          <w:color w:val="000000"/>
          <w:sz w:val="24"/>
          <w:szCs w:val="24"/>
          <w:vertAlign w:val="superscript"/>
        </w:rPr>
        <w:t>th</w:t>
      </w:r>
      <w:r>
        <w:rPr>
          <w:rFonts w:ascii="Times New Roman" w:eastAsia="Calibri" w:hAnsi="Times New Roman" w:cs="Times New Roman"/>
          <w:b/>
          <w:color w:val="000000"/>
          <w:sz w:val="24"/>
          <w:szCs w:val="24"/>
        </w:rPr>
        <w:t xml:space="preserve"> session of the Commission on the Elimination of Discrimination against Women</w:t>
      </w:r>
    </w:p>
    <w:p w14:paraId="61DE6A65" w14:textId="77777777" w:rsidR="00C803F0" w:rsidRDefault="00C803F0" w:rsidP="00126F6D">
      <w:pPr>
        <w:tabs>
          <w:tab w:val="left" w:pos="90"/>
          <w:tab w:val="left" w:pos="540"/>
        </w:tabs>
        <w:spacing w:after="0" w:line="360" w:lineRule="auto"/>
        <w:jc w:val="both"/>
        <w:rPr>
          <w:rFonts w:ascii="Times New Roman" w:eastAsia="Calibri" w:hAnsi="Times New Roman" w:cs="Times New Roman"/>
          <w:b/>
          <w:color w:val="000000"/>
          <w:sz w:val="24"/>
          <w:szCs w:val="24"/>
        </w:rPr>
      </w:pPr>
    </w:p>
    <w:p w14:paraId="2CA483ED" w14:textId="77777777" w:rsidR="00C803F0" w:rsidRPr="009E25D9" w:rsidRDefault="00C803F0" w:rsidP="00126F6D">
      <w:pPr>
        <w:tabs>
          <w:tab w:val="left" w:pos="90"/>
          <w:tab w:val="left" w:pos="540"/>
        </w:tabs>
        <w:spacing w:after="0" w:line="360" w:lineRule="auto"/>
        <w:jc w:val="both"/>
        <w:rPr>
          <w:rFonts w:ascii="Times New Roman" w:eastAsia="Calibri" w:hAnsi="Times New Roman" w:cs="Times New Roman"/>
          <w:b/>
          <w:color w:val="000000"/>
          <w:sz w:val="24"/>
          <w:szCs w:val="24"/>
        </w:rPr>
      </w:pPr>
    </w:p>
    <w:p w14:paraId="773485F5" w14:textId="77777777" w:rsidR="00126F6D" w:rsidRPr="00C803F0" w:rsidRDefault="00126F6D" w:rsidP="00C803F0">
      <w:pPr>
        <w:tabs>
          <w:tab w:val="left" w:pos="90"/>
          <w:tab w:val="left" w:pos="540"/>
        </w:tabs>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 xml:space="preserve">During the reporting period, the Republic of Moldova has undertaken numerous efforts to ensure the implementation of the Convention on the Elimination of All Forms of Discrimination Against Women and the Recommendations of the CEDAW Committee. </w:t>
      </w:r>
    </w:p>
    <w:p w14:paraId="35040237" w14:textId="05372351" w:rsidR="00126F6D" w:rsidRPr="00C803F0" w:rsidRDefault="00491A58" w:rsidP="00C803F0">
      <w:pPr>
        <w:tabs>
          <w:tab w:val="left" w:pos="90"/>
          <w:tab w:val="left" w:pos="540"/>
        </w:tabs>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Note that the State pays special attention to fulfilling the commitments made by joining international human rights treaties, which is confirmed by having the equality principle guaranteed by a number of organic and ordinary laws. The national legislation has been amended by introducing several provisions, which stipulate the principle of equal rights and opportunities for women and men in all areas.</w:t>
      </w:r>
    </w:p>
    <w:p w14:paraId="75D5B558" w14:textId="27E70B6C" w:rsidR="006649F4" w:rsidRPr="00C803F0" w:rsidRDefault="00491A58" w:rsidP="00C803F0">
      <w:pPr>
        <w:tabs>
          <w:tab w:val="left" w:pos="90"/>
          <w:tab w:val="left" w:pos="540"/>
        </w:tabs>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 xml:space="preserve">Signing the Istanbul Convention in 2017 and initiating its ratification was an important step to align the Republic of Moldova to the international norms related to the rights of women. </w:t>
      </w:r>
    </w:p>
    <w:p w14:paraId="229AE81B" w14:textId="5AC5C822" w:rsidR="000A350A" w:rsidRPr="00C803F0" w:rsidRDefault="006C304E" w:rsidP="00C803F0">
      <w:pPr>
        <w:tabs>
          <w:tab w:val="left" w:pos="90"/>
          <w:tab w:val="left" w:pos="540"/>
        </w:tabs>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National progress has been also made with the existence of an institutional gender equality mechanism structured by levels - central and local (</w:t>
      </w:r>
      <w:r w:rsidRPr="00C803F0">
        <w:rPr>
          <w:rFonts w:ascii="Times New Roman" w:eastAsia="Calibri" w:hAnsi="Times New Roman" w:cs="Times New Roman"/>
          <w:i/>
          <w:iCs/>
          <w:color w:val="000000"/>
          <w:sz w:val="24"/>
          <w:szCs w:val="24"/>
        </w:rPr>
        <w:t>Government Commission on Gender Equality, Division for Gender Equality Policies/MHLSP, gender units/gender coordinating groups in ministries and other central public authorities, gender units in local public authorities</w:t>
      </w:r>
      <w:r w:rsidRPr="00C803F0">
        <w:rPr>
          <w:rFonts w:ascii="Times New Roman" w:eastAsia="Calibri" w:hAnsi="Times New Roman" w:cs="Times New Roman"/>
          <w:color w:val="000000"/>
          <w:sz w:val="24"/>
          <w:szCs w:val="24"/>
        </w:rPr>
        <w:t xml:space="preserve">), which indicates positive developments in promoting fundamental human rights and democratizing the society. </w:t>
      </w:r>
    </w:p>
    <w:p w14:paraId="2BC72675" w14:textId="1C601C82" w:rsidR="000A350A" w:rsidRPr="00C803F0" w:rsidRDefault="000A350A" w:rsidP="00C803F0">
      <w:pPr>
        <w:tabs>
          <w:tab w:val="left" w:pos="90"/>
          <w:tab w:val="left" w:pos="540"/>
        </w:tabs>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Certain legislative progresses were made with the view to implement the UN Committee’s recommendations on increasing the number of women in decision-making positions: adopted affirmative actions (quota of 40%) and the mechanism for implementing and monitoring the quota.</w:t>
      </w:r>
    </w:p>
    <w:p w14:paraId="121B1765" w14:textId="61B3C4AD" w:rsidR="00126F6D" w:rsidRPr="00C803F0" w:rsidRDefault="00126F6D" w:rsidP="00C803F0">
      <w:pPr>
        <w:tabs>
          <w:tab w:val="left" w:pos="90"/>
          <w:tab w:val="left" w:pos="540"/>
        </w:tabs>
        <w:spacing w:after="0" w:line="360" w:lineRule="auto"/>
        <w:ind w:left="360"/>
        <w:jc w:val="both"/>
        <w:rPr>
          <w:rFonts w:ascii="Times New Roman" w:eastAsia="Calibri" w:hAnsi="Times New Roman" w:cs="Times New Roman"/>
          <w:b/>
          <w:color w:val="000000"/>
          <w:sz w:val="24"/>
          <w:szCs w:val="24"/>
        </w:rPr>
      </w:pPr>
      <w:r w:rsidRPr="00C803F0">
        <w:rPr>
          <w:rFonts w:ascii="Times New Roman" w:eastAsia="Calibri" w:hAnsi="Times New Roman" w:cs="Times New Roman"/>
          <w:color w:val="000000"/>
          <w:sz w:val="24"/>
          <w:szCs w:val="24"/>
        </w:rPr>
        <w:lastRenderedPageBreak/>
        <w:t xml:space="preserve">In order to implement the Committee's Recommendations on eliminating discrimination against women, the Republic of Moldova adopted three key strategies in this area: </w:t>
      </w:r>
      <w:r w:rsidRPr="00C803F0">
        <w:rPr>
          <w:rFonts w:ascii="Times New Roman" w:eastAsia="Calibri" w:hAnsi="Times New Roman" w:cs="Times New Roman"/>
          <w:b/>
          <w:bCs/>
          <w:i/>
          <w:iCs/>
          <w:color w:val="000000"/>
          <w:sz w:val="24"/>
          <w:szCs w:val="24"/>
        </w:rPr>
        <w:t>2017-2021 Gender Equality Strategy, 2018-2023 National Strategy on Preventing and Combating Violence against Women and Domestic Violence</w:t>
      </w:r>
      <w:r w:rsidRPr="00C803F0">
        <w:rPr>
          <w:rFonts w:ascii="Times New Roman" w:eastAsia="Calibri" w:hAnsi="Times New Roman" w:cs="Times New Roman"/>
          <w:color w:val="000000"/>
          <w:sz w:val="24"/>
          <w:szCs w:val="24"/>
        </w:rPr>
        <w:t xml:space="preserve"> and </w:t>
      </w:r>
      <w:r w:rsidRPr="00C803F0">
        <w:rPr>
          <w:rFonts w:ascii="Times New Roman" w:eastAsia="Calibri" w:hAnsi="Times New Roman" w:cs="Times New Roman"/>
          <w:b/>
          <w:bCs/>
          <w:i/>
          <w:iCs/>
          <w:color w:val="000000"/>
          <w:sz w:val="24"/>
          <w:szCs w:val="24"/>
        </w:rPr>
        <w:t>2018-2023 National Strategy for Preventing and Combating Trafficking in Human Beings.</w:t>
      </w:r>
      <w:r w:rsidRPr="00C803F0">
        <w:rPr>
          <w:rFonts w:ascii="Times New Roman" w:eastAsia="Calibri" w:hAnsi="Times New Roman" w:cs="Times New Roman"/>
          <w:color w:val="000000"/>
          <w:sz w:val="24"/>
          <w:szCs w:val="24"/>
        </w:rPr>
        <w:t xml:space="preserve">  The regulatory framework was improved by relevant amendments and addenda on ensuring gender equality, preventing and combating domestic violence, and trafficking in human beings in order to adjust the local law to the international standards: </w:t>
      </w:r>
      <w:r w:rsidRPr="00C803F0">
        <w:rPr>
          <w:rFonts w:ascii="Times New Roman" w:eastAsia="Calibri" w:hAnsi="Times New Roman" w:cs="Times New Roman"/>
          <w:b/>
          <w:bCs/>
          <w:color w:val="000000"/>
          <w:sz w:val="24"/>
          <w:szCs w:val="24"/>
        </w:rPr>
        <w:t xml:space="preserve">Law No 71/2016, Law No 196/2016 and Law No 32/2018. </w:t>
      </w:r>
      <w:r w:rsidRPr="00C803F0">
        <w:rPr>
          <w:rFonts w:ascii="Times New Roman" w:eastAsia="Calibri" w:hAnsi="Times New Roman" w:cs="Times New Roman"/>
          <w:color w:val="000000"/>
          <w:sz w:val="24"/>
          <w:szCs w:val="24"/>
        </w:rPr>
        <w:t>The implemented policies were monitored, the gender-sensitive statistics system was developed, etc.</w:t>
      </w:r>
      <w:r w:rsidRPr="00C803F0">
        <w:rPr>
          <w:rFonts w:ascii="Times New Roman" w:eastAsia="Calibri" w:hAnsi="Times New Roman" w:cs="Times New Roman"/>
          <w:b/>
          <w:bCs/>
          <w:color w:val="000000"/>
          <w:sz w:val="24"/>
          <w:szCs w:val="24"/>
        </w:rPr>
        <w:t xml:space="preserve">  </w:t>
      </w:r>
    </w:p>
    <w:p w14:paraId="4400B037" w14:textId="7F96DC15" w:rsidR="00BA1537" w:rsidRPr="00C803F0" w:rsidRDefault="00BA1537" w:rsidP="00C803F0">
      <w:pPr>
        <w:tabs>
          <w:tab w:val="left" w:pos="90"/>
          <w:tab w:val="left" w:pos="540"/>
        </w:tabs>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Several reforms were launched with the view to improve public human rights protection systems, its legislation and enforcement mechanisms, some of which having direct impact on gender equality and empowerment of women:</w:t>
      </w:r>
    </w:p>
    <w:p w14:paraId="69751694" w14:textId="4483FC1F" w:rsidR="00BA1537" w:rsidRPr="00C803F0" w:rsidRDefault="00BA1537" w:rsidP="00C803F0">
      <w:pPr>
        <w:pStyle w:val="ListParagraph"/>
        <w:numPr>
          <w:ilvl w:val="0"/>
          <w:numId w:val="5"/>
        </w:numPr>
        <w:tabs>
          <w:tab w:val="left" w:pos="90"/>
          <w:tab w:val="left" w:pos="540"/>
        </w:tabs>
        <w:spacing w:after="0" w:line="360" w:lineRule="auto"/>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pension system reform;</w:t>
      </w:r>
    </w:p>
    <w:p w14:paraId="4BF01B7C" w14:textId="0545419F" w:rsidR="00BA1537" w:rsidRPr="00C803F0" w:rsidRDefault="00BA1537" w:rsidP="00C803F0">
      <w:pPr>
        <w:pStyle w:val="ListParagraph"/>
        <w:numPr>
          <w:ilvl w:val="0"/>
          <w:numId w:val="5"/>
        </w:numPr>
        <w:tabs>
          <w:tab w:val="left" w:pos="90"/>
          <w:tab w:val="left" w:pos="540"/>
        </w:tabs>
        <w:spacing w:after="0" w:line="360" w:lineRule="auto"/>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reform of the salary system in the budgetary sector;</w:t>
      </w:r>
    </w:p>
    <w:p w14:paraId="555B3737" w14:textId="4CF31D7E" w:rsidR="00BA1537" w:rsidRPr="00C803F0" w:rsidRDefault="00BA1537" w:rsidP="00C803F0">
      <w:pPr>
        <w:pStyle w:val="ListParagraph"/>
        <w:numPr>
          <w:ilvl w:val="0"/>
          <w:numId w:val="5"/>
        </w:numPr>
        <w:tabs>
          <w:tab w:val="left" w:pos="90"/>
          <w:tab w:val="left" w:pos="540"/>
        </w:tabs>
        <w:spacing w:after="0" w:line="360" w:lineRule="auto"/>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employment reforming;</w:t>
      </w:r>
    </w:p>
    <w:p w14:paraId="27622AA6" w14:textId="25BF5579" w:rsidR="00BA1537" w:rsidRPr="00C803F0" w:rsidRDefault="00BA1537" w:rsidP="00C803F0">
      <w:pPr>
        <w:pStyle w:val="ListParagraph"/>
        <w:numPr>
          <w:ilvl w:val="0"/>
          <w:numId w:val="5"/>
        </w:numPr>
        <w:tabs>
          <w:tab w:val="left" w:pos="90"/>
          <w:tab w:val="left" w:pos="540"/>
        </w:tabs>
        <w:spacing w:after="0" w:line="360" w:lineRule="auto"/>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reform in the system of protecting persons with disabilities.</w:t>
      </w:r>
    </w:p>
    <w:p w14:paraId="2E6DE92B" w14:textId="383ECF9C" w:rsidR="00BA1537" w:rsidRPr="00C803F0" w:rsidRDefault="00BA1537" w:rsidP="00C803F0">
      <w:pPr>
        <w:tabs>
          <w:tab w:val="left" w:pos="90"/>
          <w:tab w:val="left" w:pos="540"/>
        </w:tabs>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According to the new amendments, the retirement age and the contribution period for men and women are going to be gradually matched. Thus, the retirement age for men will increase to 63 years until 1 January 2019 (4 months a year). The same retirement was set for women, which will be reached on 1 July 2028 (6 months a year). Similarly, there will be the same contribution period required for women and men (34 years). The cumulative compulsory contribution period for men was set from 1 July 2018, while for women it will be set from 1 July 2024.</w:t>
      </w:r>
    </w:p>
    <w:p w14:paraId="345D3CB5" w14:textId="724924EE" w:rsidR="00126F6D" w:rsidRPr="00C803F0" w:rsidRDefault="00126F6D" w:rsidP="00C803F0">
      <w:pPr>
        <w:tabs>
          <w:tab w:val="left" w:pos="90"/>
          <w:tab w:val="left" w:pos="540"/>
        </w:tabs>
        <w:spacing w:after="0" w:line="360" w:lineRule="auto"/>
        <w:ind w:left="360"/>
        <w:jc w:val="both"/>
        <w:rPr>
          <w:rFonts w:ascii="Times New Roman" w:eastAsia="Calibri" w:hAnsi="Times New Roman" w:cs="Times New Roman"/>
          <w:bCs/>
          <w:color w:val="000000"/>
          <w:sz w:val="24"/>
          <w:szCs w:val="24"/>
        </w:rPr>
      </w:pPr>
      <w:r w:rsidRPr="00C803F0">
        <w:rPr>
          <w:rFonts w:ascii="Times New Roman" w:eastAsia="Calibri" w:hAnsi="Times New Roman" w:cs="Times New Roman"/>
          <w:color w:val="000000"/>
          <w:sz w:val="24"/>
          <w:szCs w:val="24"/>
        </w:rPr>
        <w:t xml:space="preserve">Efforts to promote gender equality were focused on solving concrete issues related to policy implementation and exclusion of discriminatory actions based on gender, especially on the labour market. The following main results were </w:t>
      </w:r>
      <w:r w:rsidRPr="00C803F0">
        <w:rPr>
          <w:rFonts w:ascii="Times New Roman" w:eastAsia="Calibri" w:hAnsi="Times New Roman" w:cs="Times New Roman"/>
          <w:color w:val="000000"/>
          <w:sz w:val="24"/>
          <w:szCs w:val="24"/>
        </w:rPr>
        <w:lastRenderedPageBreak/>
        <w:t>achieved: developed the new Law on Employment, approved the 2017-2022 Employment Strategy, established the position of labour market observer, created sectoral committees for professional training in 4 economic sectors: agriculture and food industry, light industry and trade, hotels and restaurants.</w:t>
      </w:r>
    </w:p>
    <w:p w14:paraId="7F8BF90C" w14:textId="0AC54E2F" w:rsidR="00C75FE5" w:rsidRPr="00C803F0" w:rsidRDefault="00C75FE5" w:rsidP="00C803F0">
      <w:pPr>
        <w:tabs>
          <w:tab w:val="left" w:pos="90"/>
          <w:tab w:val="left" w:pos="540"/>
        </w:tabs>
        <w:spacing w:after="0" w:line="360" w:lineRule="auto"/>
        <w:ind w:left="360"/>
        <w:jc w:val="both"/>
        <w:rPr>
          <w:rFonts w:ascii="Times New Roman" w:eastAsia="Calibri" w:hAnsi="Times New Roman" w:cs="Times New Roman"/>
          <w:bCs/>
          <w:color w:val="000000"/>
          <w:sz w:val="24"/>
          <w:szCs w:val="24"/>
        </w:rPr>
      </w:pPr>
      <w:r w:rsidRPr="00C803F0">
        <w:rPr>
          <w:rFonts w:ascii="Times New Roman" w:eastAsia="Calibri" w:hAnsi="Times New Roman" w:cs="Times New Roman"/>
          <w:color w:val="000000"/>
          <w:sz w:val="24"/>
          <w:szCs w:val="24"/>
        </w:rPr>
        <w:t>To reform the system of protecting the rights of persons with disabilities, a new institutional and regulatory framework was adopted in line with the UN Convention on the Rights of Persons with Disabilities: The 2017-2022 National Program for Social Inclusion of Persons with Disabilities, as well as the 2018-2026 National Program on Deinstitutionalization of Persons with Intellectual and Physical Disabilities from Residential Institutions, which re-conceptualized the institutionalization system and laid the foundations of the alternative one, developing community-based and family-type social services.</w:t>
      </w:r>
    </w:p>
    <w:p w14:paraId="49AEC800" w14:textId="77777777" w:rsidR="006F56AD" w:rsidRPr="00C803F0" w:rsidRDefault="006F56AD" w:rsidP="00C803F0">
      <w:pPr>
        <w:tabs>
          <w:tab w:val="left" w:pos="90"/>
          <w:tab w:val="left" w:pos="540"/>
        </w:tabs>
        <w:spacing w:after="0" w:line="360" w:lineRule="auto"/>
        <w:ind w:left="360"/>
        <w:jc w:val="both"/>
        <w:rPr>
          <w:rFonts w:ascii="Times New Roman" w:eastAsia="Calibri" w:hAnsi="Times New Roman" w:cs="Times New Roman"/>
          <w:bCs/>
          <w:color w:val="000000"/>
          <w:sz w:val="24"/>
          <w:szCs w:val="24"/>
        </w:rPr>
      </w:pPr>
      <w:r w:rsidRPr="00C803F0">
        <w:rPr>
          <w:rFonts w:ascii="Times New Roman" w:eastAsia="Calibri" w:hAnsi="Times New Roman" w:cs="Times New Roman"/>
          <w:bCs/>
          <w:color w:val="000000"/>
          <w:sz w:val="24"/>
          <w:szCs w:val="24"/>
        </w:rPr>
        <w:t xml:space="preserve">In the policies referring to protection of families with children were made some important legislative amendments to ensure reconciliation between work and family life of parents. As of July 1, 2019, if the mother or father whom were granted the childcare leave up to the age of 3 years, decide either to come back to the workplace or release before the expiration of the leave, they are allowed by law to keep a monthly childcare allowance up to the end of period. </w:t>
      </w:r>
    </w:p>
    <w:p w14:paraId="513B78FF" w14:textId="77777777" w:rsidR="006F56AD" w:rsidRPr="00C803F0" w:rsidRDefault="006F56AD" w:rsidP="00C803F0">
      <w:pPr>
        <w:tabs>
          <w:tab w:val="left" w:pos="90"/>
          <w:tab w:val="left" w:pos="540"/>
        </w:tabs>
        <w:spacing w:after="0" w:line="360" w:lineRule="auto"/>
        <w:ind w:left="360"/>
        <w:jc w:val="both"/>
        <w:rPr>
          <w:rFonts w:ascii="Times New Roman" w:eastAsia="Calibri" w:hAnsi="Times New Roman" w:cs="Times New Roman"/>
          <w:bCs/>
          <w:color w:val="000000"/>
          <w:sz w:val="24"/>
          <w:szCs w:val="24"/>
        </w:rPr>
      </w:pPr>
      <w:r w:rsidRPr="00C803F0">
        <w:rPr>
          <w:rFonts w:ascii="Times New Roman" w:eastAsia="Calibri" w:hAnsi="Times New Roman" w:cs="Times New Roman"/>
          <w:bCs/>
          <w:color w:val="000000"/>
          <w:sz w:val="24"/>
          <w:szCs w:val="24"/>
        </w:rPr>
        <w:t xml:space="preserve">Moreover, parents requesting the childcare leaves for a period of three years are entitled to choose the monthly allowances payments among several options. </w:t>
      </w:r>
    </w:p>
    <w:p w14:paraId="719DB609" w14:textId="65143CFB" w:rsidR="006F56AD" w:rsidRPr="00C803F0" w:rsidRDefault="006F56AD" w:rsidP="00C803F0">
      <w:pPr>
        <w:pStyle w:val="ListParagraph"/>
        <w:numPr>
          <w:ilvl w:val="0"/>
          <w:numId w:val="4"/>
        </w:numPr>
        <w:tabs>
          <w:tab w:val="left" w:pos="90"/>
          <w:tab w:val="left" w:pos="540"/>
        </w:tabs>
        <w:spacing w:after="0" w:line="360" w:lineRule="auto"/>
        <w:jc w:val="both"/>
        <w:rPr>
          <w:rFonts w:ascii="Times New Roman" w:eastAsia="Calibri" w:hAnsi="Times New Roman" w:cs="Times New Roman"/>
          <w:bCs/>
          <w:color w:val="000000"/>
          <w:sz w:val="24"/>
          <w:szCs w:val="24"/>
        </w:rPr>
      </w:pPr>
      <w:r w:rsidRPr="00C803F0">
        <w:rPr>
          <w:rFonts w:ascii="Times New Roman" w:eastAsia="Calibri" w:hAnsi="Times New Roman" w:cs="Times New Roman"/>
          <w:bCs/>
          <w:color w:val="000000"/>
          <w:sz w:val="24"/>
          <w:szCs w:val="24"/>
        </w:rPr>
        <w:t xml:space="preserve">from the date of granting childcare leave and up to the age of 3, to be maintained the current scheme for granting and paying the child-raising allowance </w:t>
      </w:r>
    </w:p>
    <w:p w14:paraId="4A5D6A95" w14:textId="0DB665C8" w:rsidR="006F56AD" w:rsidRPr="00C803F0" w:rsidRDefault="006F56AD" w:rsidP="00C803F0">
      <w:pPr>
        <w:pStyle w:val="ListParagraph"/>
        <w:numPr>
          <w:ilvl w:val="0"/>
          <w:numId w:val="4"/>
        </w:numPr>
        <w:tabs>
          <w:tab w:val="left" w:pos="90"/>
          <w:tab w:val="left" w:pos="540"/>
        </w:tabs>
        <w:spacing w:after="0" w:line="360" w:lineRule="auto"/>
        <w:jc w:val="both"/>
        <w:rPr>
          <w:rFonts w:ascii="Times New Roman" w:eastAsia="Calibri" w:hAnsi="Times New Roman" w:cs="Times New Roman"/>
          <w:bCs/>
          <w:color w:val="000000"/>
          <w:sz w:val="24"/>
          <w:szCs w:val="24"/>
        </w:rPr>
      </w:pPr>
      <w:r w:rsidRPr="00C803F0">
        <w:rPr>
          <w:rFonts w:ascii="Times New Roman" w:eastAsia="Calibri" w:hAnsi="Times New Roman" w:cs="Times New Roman"/>
          <w:bCs/>
          <w:color w:val="000000"/>
          <w:sz w:val="24"/>
          <w:szCs w:val="24"/>
        </w:rPr>
        <w:t>in the amount of 30% of the calculation basis established for each year, for 3 years;</w:t>
      </w:r>
    </w:p>
    <w:p w14:paraId="32509175" w14:textId="68003678" w:rsidR="00B3228F" w:rsidRPr="00C803F0" w:rsidRDefault="006F56AD" w:rsidP="00C803F0">
      <w:pPr>
        <w:pStyle w:val="ListParagraph"/>
        <w:numPr>
          <w:ilvl w:val="0"/>
          <w:numId w:val="4"/>
        </w:numPr>
        <w:tabs>
          <w:tab w:val="left" w:pos="90"/>
          <w:tab w:val="left" w:pos="540"/>
        </w:tabs>
        <w:spacing w:after="0" w:line="360" w:lineRule="auto"/>
        <w:jc w:val="both"/>
        <w:rPr>
          <w:rFonts w:ascii="Times New Roman" w:eastAsia="Calibri" w:hAnsi="Times New Roman" w:cs="Times New Roman"/>
          <w:bCs/>
          <w:color w:val="000000"/>
          <w:sz w:val="24"/>
          <w:szCs w:val="24"/>
        </w:rPr>
      </w:pPr>
      <w:r w:rsidRPr="00C803F0">
        <w:rPr>
          <w:rFonts w:ascii="Times New Roman" w:eastAsia="Calibri" w:hAnsi="Times New Roman" w:cs="Times New Roman"/>
          <w:bCs/>
          <w:color w:val="000000"/>
          <w:sz w:val="24"/>
          <w:szCs w:val="24"/>
        </w:rPr>
        <w:t>from the date of granting the childcare leave up to the date the child is reaching the age of 2 years and 2 months, in the amount of 60% - for the first year and in the amount of 30% for the second year, from the calculation basis established for each year.</w:t>
      </w:r>
    </w:p>
    <w:p w14:paraId="77EEBC60" w14:textId="77777777" w:rsidR="00126F6D" w:rsidRPr="00C803F0" w:rsidRDefault="00126F6D" w:rsidP="00C803F0">
      <w:pPr>
        <w:tabs>
          <w:tab w:val="left" w:pos="90"/>
          <w:tab w:val="left" w:pos="540"/>
        </w:tabs>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lastRenderedPageBreak/>
        <w:t xml:space="preserve">The measures taken by the state bodies in the healthcare sector with the support of international projects resulted in lower maternal and infant mortality rates and higher access of girls and women with disabilities to reproductive health services. </w:t>
      </w:r>
    </w:p>
    <w:p w14:paraId="1CBD99CD" w14:textId="451810DA" w:rsidR="00126F6D" w:rsidRPr="00C803F0" w:rsidRDefault="00126F6D" w:rsidP="00C803F0">
      <w:pPr>
        <w:tabs>
          <w:tab w:val="left" w:pos="90"/>
          <w:tab w:val="left" w:pos="540"/>
        </w:tabs>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The Government’s actions in education promoted gender equality in Science, Technology, Engineering and Mathematics (STEM).</w:t>
      </w:r>
    </w:p>
    <w:p w14:paraId="30C208BE" w14:textId="77777777" w:rsidR="00126F6D" w:rsidRPr="00C803F0" w:rsidRDefault="00126F6D" w:rsidP="00C803F0">
      <w:pPr>
        <w:tabs>
          <w:tab w:val="left" w:pos="90"/>
          <w:tab w:val="left" w:pos="540"/>
        </w:tabs>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 xml:space="preserve">The dialogue between state structures and civil society organisations in this area has improved during the past years, with the latter participating directly in developing policy documents and in concrete activities at society/community level. </w:t>
      </w:r>
    </w:p>
    <w:p w14:paraId="1ED62E80" w14:textId="32C76C63" w:rsidR="00126F6D" w:rsidRPr="00C803F0" w:rsidRDefault="00126F6D" w:rsidP="00C803F0">
      <w:pPr>
        <w:tabs>
          <w:tab w:val="left" w:pos="90"/>
          <w:tab w:val="left" w:pos="540"/>
        </w:tabs>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 xml:space="preserve">With the support of international partners, several studies have been carried out from a gender equality perspective in healthcare, social protection, labor market, human trafficking, domestic violence, etc., which contributed to an in-depth understanding of the phenomena addressed, and identified the problems and needs of women and men in the mentioned segments. Some of the conclusions and recommendations were taken into account when drawing up public policies and sectoral documents. </w:t>
      </w:r>
    </w:p>
    <w:p w14:paraId="19C2B74C" w14:textId="1A047138" w:rsidR="00126F6D" w:rsidRPr="00C803F0" w:rsidRDefault="00126F6D" w:rsidP="00C803F0">
      <w:pPr>
        <w:tabs>
          <w:tab w:val="left" w:pos="90"/>
          <w:tab w:val="left" w:pos="540"/>
        </w:tabs>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 xml:space="preserve">Considerable efforts were made to promote the principle of gender equality in the security and defense sector, such as: conducted studies, analyzes through the gender equality prism, developed teaching materials and information resources for subject-matter professionals, approved the 2018-2021 National Program Implementing the United Nations Security Council Resolution 1325 on Women, Peace and Security and the Action Plan implementing it. </w:t>
      </w:r>
    </w:p>
    <w:p w14:paraId="5DFEAD6F" w14:textId="72D27F1F" w:rsidR="00126F6D" w:rsidRPr="00C803F0" w:rsidRDefault="00126F6D" w:rsidP="00C803F0">
      <w:pPr>
        <w:tabs>
          <w:tab w:val="left" w:pos="90"/>
          <w:tab w:val="left" w:pos="540"/>
        </w:tabs>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In close connection with development partners, the Government carried out multiple capacity building activities on gender issues, prevention and combating of violence and trafficking in human beings for policy-makers, professionals from different fields, representatives of civil society, women from under-represented groups, such as Roma women, women with disabilities, women affected by HIV/AIDS, women survivors of violence, etc.</w:t>
      </w:r>
    </w:p>
    <w:p w14:paraId="0E505877" w14:textId="68B5737B" w:rsidR="00126F6D" w:rsidRPr="00C803F0" w:rsidRDefault="00126F6D" w:rsidP="00C803F0">
      <w:pPr>
        <w:tabs>
          <w:tab w:val="left" w:pos="90"/>
          <w:tab w:val="left" w:pos="540"/>
        </w:tabs>
        <w:spacing w:after="0" w:line="360" w:lineRule="auto"/>
        <w:ind w:left="360"/>
        <w:jc w:val="both"/>
        <w:rPr>
          <w:rFonts w:ascii="Times New Roman" w:eastAsia="Calibri" w:hAnsi="Times New Roman" w:cs="Times New Roman"/>
          <w:b/>
          <w:bCs/>
          <w:color w:val="000000"/>
          <w:sz w:val="24"/>
          <w:szCs w:val="24"/>
        </w:rPr>
      </w:pPr>
      <w:r w:rsidRPr="00C803F0">
        <w:rPr>
          <w:rFonts w:ascii="Times New Roman" w:eastAsia="Calibri" w:hAnsi="Times New Roman" w:cs="Times New Roman"/>
          <w:b/>
          <w:bCs/>
          <w:color w:val="000000"/>
          <w:sz w:val="24"/>
          <w:szCs w:val="24"/>
        </w:rPr>
        <w:lastRenderedPageBreak/>
        <w:t>Barriers and Limitations</w:t>
      </w:r>
    </w:p>
    <w:p w14:paraId="3B5E783D" w14:textId="77777777" w:rsidR="000A350A" w:rsidRPr="00C803F0" w:rsidRDefault="00126F6D" w:rsidP="00C803F0">
      <w:pPr>
        <w:tabs>
          <w:tab w:val="left" w:pos="90"/>
          <w:tab w:val="left" w:pos="540"/>
        </w:tabs>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Despite the poverty reduction trends, the average income available per family member covers only 92% of the subsistence minimum. The exodus of the working population in search of attractive jobs outside the country has a negative impact on the demographic security of the population.</w:t>
      </w:r>
    </w:p>
    <w:p w14:paraId="3237A00A" w14:textId="1063B18A" w:rsidR="000A350A" w:rsidRPr="00C803F0" w:rsidRDefault="00126F6D" w:rsidP="00C803F0">
      <w:pPr>
        <w:tabs>
          <w:tab w:val="left" w:pos="90"/>
          <w:tab w:val="left" w:pos="540"/>
        </w:tabs>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The women's situation is contradictory. Having the same professional qualifications as men, and even higher in some segments, women are more often employed in jobs that require low qualifications, having on average lower wages than men. The division of professions as specific male and specific female still persists in the labour market. On the other hand, the shortage of pre-school education services prevents women with young children from integrating into the labour market.</w:t>
      </w:r>
    </w:p>
    <w:p w14:paraId="1B037E58" w14:textId="77777777" w:rsidR="00957843" w:rsidRPr="00C803F0" w:rsidRDefault="00126F6D" w:rsidP="00C803F0">
      <w:pPr>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Beyond the positive trend of the increasing number of women in decision-making positions, they are still under-represented in higher hierarchical positions. The dynamics of their representation during the reporting period in the decision-making and political process also experienced ascension and descent periods.  In the Parliament, the number of women in decision-making positions was constant, maintaining an average of the quota of women’s representation of 21%.</w:t>
      </w:r>
    </w:p>
    <w:p w14:paraId="7012C038" w14:textId="36CE81E8" w:rsidR="00957843" w:rsidRPr="00C803F0" w:rsidRDefault="00957843" w:rsidP="00C803F0">
      <w:pPr>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As a result of the latest local elections, of 2019, the representation of women increased, with the share of women candidates for the mayoral position accounting for 18.9% at the 2011 elections and 27.1% - at the elections of 20 October 2019.</w:t>
      </w:r>
    </w:p>
    <w:p w14:paraId="1A6524C6" w14:textId="77777777" w:rsidR="00957843" w:rsidRPr="00C803F0" w:rsidRDefault="00957843" w:rsidP="00C803F0">
      <w:pPr>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 xml:space="preserve">In the Central Government, the number of women in the cabinet of ministers increased from 25.0% in 2016 to 38.5% in 2017, as a result of the central public administration reform, whereby institutional powers were reviewed and the number of ministries was cut from 16 down to 9. </w:t>
      </w:r>
    </w:p>
    <w:p w14:paraId="3540804B" w14:textId="6AE1A86B" w:rsidR="00957843" w:rsidRPr="00C803F0" w:rsidRDefault="00957843" w:rsidP="00C803F0">
      <w:pPr>
        <w:tabs>
          <w:tab w:val="left" w:pos="360"/>
        </w:tabs>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lastRenderedPageBreak/>
        <w:t>Note that during 2018-2019, there were 3 Governments in the leadership and the number of women in the cabinet of ministers varied: 6, 7 and currently 2 women.</w:t>
      </w:r>
    </w:p>
    <w:p w14:paraId="06869836" w14:textId="5B9EC217" w:rsidR="00E603DC" w:rsidRPr="00C803F0" w:rsidRDefault="00126F6D" w:rsidP="00C803F0">
      <w:pPr>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 xml:space="preserve">Violence against women, domestic violence, and trafficking in human beings continue to be considerable challenges to the rule of law and democracy in our country. It is necessary to adjust the enforcement mechanisms of the existing legal-regulatory framework, create a coordinated multidisciplinary response by all relevant authorities to these phenomena, allocate adequate resources in the field, carry out educational/informative programs for the population, develop adequate services, train specialists. </w:t>
      </w:r>
    </w:p>
    <w:p w14:paraId="748A16B9" w14:textId="0E506B70" w:rsidR="00E603DC" w:rsidRPr="00C803F0" w:rsidRDefault="00126F6D" w:rsidP="00C803F0">
      <w:pPr>
        <w:tabs>
          <w:tab w:val="left" w:pos="90"/>
          <w:tab w:val="left" w:pos="540"/>
        </w:tabs>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The population is still insufficiently informed about gender equality, their rights and possibilities of claiming them. It is necessary to actively involve the media in educating society in the gender equality spirit by eliminating sexism from speeches and advertising, avoiding gender stereotypes, etc.</w:t>
      </w:r>
    </w:p>
    <w:p w14:paraId="70969F81" w14:textId="77777777" w:rsidR="00E603DC" w:rsidRPr="00C803F0" w:rsidRDefault="00126F6D" w:rsidP="00C803F0">
      <w:pPr>
        <w:tabs>
          <w:tab w:val="left" w:pos="90"/>
          <w:tab w:val="left" w:pos="540"/>
        </w:tabs>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 xml:space="preserve">There are limited opportunities and possibilities to start up a business in rural areas, in the context of economic migration and demographic problems. Developing and supporting entrepreneurship programs, especially for women, young and older people, would improve the deplorable socio-economic situation, diminish the migration flows, mitigate the negative consequences of population ageing.  </w:t>
      </w:r>
    </w:p>
    <w:p w14:paraId="5D721212" w14:textId="55A5F251" w:rsidR="00E603DC" w:rsidRPr="00C803F0" w:rsidRDefault="00126F6D" w:rsidP="00C803F0">
      <w:pPr>
        <w:tabs>
          <w:tab w:val="left" w:pos="90"/>
          <w:tab w:val="left" w:pos="540"/>
        </w:tabs>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The social protection system is not linked sufficiently to demographic trends and major social problems, and in addition is not gender-sensitive, requiring adjustme</w:t>
      </w:r>
      <w:r w:rsidR="009E25D9" w:rsidRPr="00C803F0">
        <w:rPr>
          <w:rFonts w:ascii="Times New Roman" w:eastAsia="Calibri" w:hAnsi="Times New Roman" w:cs="Times New Roman"/>
          <w:color w:val="000000"/>
          <w:sz w:val="24"/>
          <w:szCs w:val="24"/>
        </w:rPr>
        <w:t>nt on the mentioned dimensions.</w:t>
      </w:r>
    </w:p>
    <w:p w14:paraId="7C2C2044" w14:textId="77777777" w:rsidR="00E603DC" w:rsidRPr="00C803F0" w:rsidRDefault="00126F6D" w:rsidP="00C803F0">
      <w:pPr>
        <w:tabs>
          <w:tab w:val="left" w:pos="90"/>
          <w:tab w:val="left" w:pos="540"/>
        </w:tabs>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Low applicability of law enforcement mechanisms, its non-compliance with international standards, including EU Directives. The lack of institutionalized programs of initial and continuous training of civil servants on the gender issues has limited their efficiency.</w:t>
      </w:r>
    </w:p>
    <w:p w14:paraId="43DEC7D7" w14:textId="66DAF6F0" w:rsidR="00E603DC" w:rsidRPr="00C803F0" w:rsidRDefault="00126F6D" w:rsidP="00C803F0">
      <w:pPr>
        <w:tabs>
          <w:tab w:val="left" w:pos="90"/>
          <w:tab w:val="left" w:pos="540"/>
        </w:tabs>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t>The authorities' reluctance to gender mainstreaming in sectoral policy documents and gender-responsive budgeting.</w:t>
      </w:r>
    </w:p>
    <w:p w14:paraId="54A555C0" w14:textId="77777777" w:rsidR="00126F6D" w:rsidRDefault="00126F6D" w:rsidP="00C803F0">
      <w:pPr>
        <w:tabs>
          <w:tab w:val="left" w:pos="90"/>
          <w:tab w:val="left" w:pos="540"/>
        </w:tabs>
        <w:spacing w:after="0" w:line="360" w:lineRule="auto"/>
        <w:ind w:left="360"/>
        <w:jc w:val="both"/>
        <w:rPr>
          <w:rFonts w:ascii="Times New Roman" w:eastAsia="Calibri" w:hAnsi="Times New Roman" w:cs="Times New Roman"/>
          <w:color w:val="000000"/>
          <w:sz w:val="24"/>
          <w:szCs w:val="24"/>
        </w:rPr>
      </w:pPr>
      <w:r w:rsidRPr="00C803F0">
        <w:rPr>
          <w:rFonts w:ascii="Times New Roman" w:eastAsia="Calibri" w:hAnsi="Times New Roman" w:cs="Times New Roman"/>
          <w:color w:val="000000"/>
          <w:sz w:val="24"/>
          <w:szCs w:val="24"/>
        </w:rPr>
        <w:lastRenderedPageBreak/>
        <w:t>At the same time, there is a need to adjust donor assistance programs to the needs of the country, by including the gender dimension, and to coordinate more efficiently the existing resources.</w:t>
      </w:r>
    </w:p>
    <w:p w14:paraId="0EA9CAD9" w14:textId="03203D51" w:rsidR="00645B5C" w:rsidRPr="009E25D9" w:rsidRDefault="00C803F0" w:rsidP="00C803F0">
      <w:pPr>
        <w:tabs>
          <w:tab w:val="left" w:pos="90"/>
          <w:tab w:val="left" w:pos="540"/>
        </w:tabs>
        <w:spacing w:after="0" w:line="360" w:lineRule="auto"/>
        <w:ind w:left="360"/>
        <w:jc w:val="both"/>
      </w:pPr>
      <w:r>
        <w:rPr>
          <w:rFonts w:ascii="Times New Roman" w:eastAsia="Calibri" w:hAnsi="Times New Roman" w:cs="Times New Roman"/>
          <w:color w:val="000000"/>
          <w:sz w:val="24"/>
          <w:szCs w:val="24"/>
        </w:rPr>
        <w:t xml:space="preserve">I thank you. </w:t>
      </w:r>
    </w:p>
    <w:sectPr w:rsidR="00645B5C" w:rsidRPr="009E25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5413EE" w14:textId="77777777" w:rsidR="00887F5E" w:rsidRDefault="00887F5E" w:rsidP="00491A58">
      <w:pPr>
        <w:spacing w:after="0" w:line="240" w:lineRule="auto"/>
      </w:pPr>
      <w:r>
        <w:separator/>
      </w:r>
    </w:p>
  </w:endnote>
  <w:endnote w:type="continuationSeparator" w:id="0">
    <w:p w14:paraId="71B3D92A" w14:textId="77777777" w:rsidR="00887F5E" w:rsidRDefault="00887F5E" w:rsidP="00491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7396B5" w14:textId="77777777" w:rsidR="00887F5E" w:rsidRDefault="00887F5E" w:rsidP="00491A58">
      <w:pPr>
        <w:spacing w:after="0" w:line="240" w:lineRule="auto"/>
      </w:pPr>
      <w:r>
        <w:separator/>
      </w:r>
    </w:p>
  </w:footnote>
  <w:footnote w:type="continuationSeparator" w:id="0">
    <w:p w14:paraId="0CB3FB36" w14:textId="77777777" w:rsidR="00887F5E" w:rsidRDefault="00887F5E" w:rsidP="00491A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D23C8"/>
    <w:multiLevelType w:val="hybridMultilevel"/>
    <w:tmpl w:val="6FD84D6E"/>
    <w:lvl w:ilvl="0" w:tplc="ED3EEDCA">
      <w:start w:val="164"/>
      <w:numFmt w:val="decimal"/>
      <w:lvlText w:val="%1."/>
      <w:lvlJc w:val="left"/>
      <w:pPr>
        <w:ind w:left="420" w:hanging="420"/>
      </w:pPr>
      <w:rPr>
        <w:rFonts w:hint="default"/>
        <w:b w:val="0"/>
        <w:i w:val="0"/>
        <w:color w:val="auto"/>
        <w:sz w:val="24"/>
        <w:szCs w:val="24"/>
        <w:vertAlign w:val="baseline"/>
      </w:rPr>
    </w:lvl>
    <w:lvl w:ilvl="1" w:tplc="04090019" w:tentative="1">
      <w:start w:val="1"/>
      <w:numFmt w:val="lowerLetter"/>
      <w:lvlText w:val="%2."/>
      <w:lvlJc w:val="left"/>
      <w:pPr>
        <w:ind w:left="1028" w:hanging="360"/>
      </w:pPr>
    </w:lvl>
    <w:lvl w:ilvl="2" w:tplc="0409001B" w:tentative="1">
      <w:start w:val="1"/>
      <w:numFmt w:val="lowerRoman"/>
      <w:lvlText w:val="%3."/>
      <w:lvlJc w:val="right"/>
      <w:pPr>
        <w:ind w:left="1748" w:hanging="180"/>
      </w:pPr>
    </w:lvl>
    <w:lvl w:ilvl="3" w:tplc="0409000F" w:tentative="1">
      <w:start w:val="1"/>
      <w:numFmt w:val="decimal"/>
      <w:lvlText w:val="%4."/>
      <w:lvlJc w:val="left"/>
      <w:pPr>
        <w:ind w:left="2468" w:hanging="360"/>
      </w:pPr>
    </w:lvl>
    <w:lvl w:ilvl="4" w:tplc="04090019" w:tentative="1">
      <w:start w:val="1"/>
      <w:numFmt w:val="lowerLetter"/>
      <w:lvlText w:val="%5."/>
      <w:lvlJc w:val="left"/>
      <w:pPr>
        <w:ind w:left="3188" w:hanging="360"/>
      </w:pPr>
    </w:lvl>
    <w:lvl w:ilvl="5" w:tplc="0409001B" w:tentative="1">
      <w:start w:val="1"/>
      <w:numFmt w:val="lowerRoman"/>
      <w:lvlText w:val="%6."/>
      <w:lvlJc w:val="right"/>
      <w:pPr>
        <w:ind w:left="3908" w:hanging="180"/>
      </w:pPr>
    </w:lvl>
    <w:lvl w:ilvl="6" w:tplc="0409000F" w:tentative="1">
      <w:start w:val="1"/>
      <w:numFmt w:val="decimal"/>
      <w:lvlText w:val="%7."/>
      <w:lvlJc w:val="left"/>
      <w:pPr>
        <w:ind w:left="4628" w:hanging="360"/>
      </w:pPr>
    </w:lvl>
    <w:lvl w:ilvl="7" w:tplc="04090019" w:tentative="1">
      <w:start w:val="1"/>
      <w:numFmt w:val="lowerLetter"/>
      <w:lvlText w:val="%8."/>
      <w:lvlJc w:val="left"/>
      <w:pPr>
        <w:ind w:left="5348" w:hanging="360"/>
      </w:pPr>
    </w:lvl>
    <w:lvl w:ilvl="8" w:tplc="0409001B" w:tentative="1">
      <w:start w:val="1"/>
      <w:numFmt w:val="lowerRoman"/>
      <w:lvlText w:val="%9."/>
      <w:lvlJc w:val="right"/>
      <w:pPr>
        <w:ind w:left="6068" w:hanging="180"/>
      </w:pPr>
    </w:lvl>
  </w:abstractNum>
  <w:abstractNum w:abstractNumId="1" w15:restartNumberingAfterBreak="0">
    <w:nsid w:val="0F3878B9"/>
    <w:multiLevelType w:val="hybridMultilevel"/>
    <w:tmpl w:val="2CD68E06"/>
    <w:lvl w:ilvl="0" w:tplc="08090001">
      <w:start w:val="1"/>
      <w:numFmt w:val="bullet"/>
      <w:lvlText w:val=""/>
      <w:lvlJc w:val="left"/>
      <w:pPr>
        <w:ind w:left="720" w:hanging="360"/>
      </w:pPr>
      <w:rPr>
        <w:rFonts w:ascii="Symbol" w:hAnsi="Symbol" w:hint="default"/>
      </w:rPr>
    </w:lvl>
    <w:lvl w:ilvl="1" w:tplc="CE423874">
      <w:numFmt w:val="bullet"/>
      <w:lvlText w:val="•"/>
      <w:lvlJc w:val="left"/>
      <w:pPr>
        <w:ind w:left="1440" w:hanging="360"/>
      </w:pPr>
      <w:rPr>
        <w:rFonts w:ascii="Times New Roman" w:eastAsia="Calibri" w:hAnsi="Times New Roman" w:cs="Times New Roman" w:hint="default"/>
        <w:b/>
      </w:rPr>
    </w:lvl>
    <w:lvl w:ilvl="2" w:tplc="22EE612A">
      <w:numFmt w:val="bullet"/>
      <w:lvlText w:val="-"/>
      <w:lvlJc w:val="left"/>
      <w:pPr>
        <w:ind w:left="2160" w:hanging="360"/>
      </w:pPr>
      <w:rPr>
        <w:rFonts w:ascii="Times New Roman" w:eastAsia="Calibri" w:hAnsi="Times New Roman" w:cs="Times New Roman"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3472AF"/>
    <w:multiLevelType w:val="hybridMultilevel"/>
    <w:tmpl w:val="0F021866"/>
    <w:lvl w:ilvl="0" w:tplc="68F6FEC0">
      <w:start w:val="1"/>
      <w:numFmt w:val="bullet"/>
      <w:lvlText w:val=""/>
      <w:lvlJc w:val="left"/>
      <w:pPr>
        <w:ind w:left="81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D33D11"/>
    <w:multiLevelType w:val="hybridMultilevel"/>
    <w:tmpl w:val="E42610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FA05E9F"/>
    <w:multiLevelType w:val="hybridMultilevel"/>
    <w:tmpl w:val="9A14A1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D34"/>
    <w:rsid w:val="0001031E"/>
    <w:rsid w:val="000A350A"/>
    <w:rsid w:val="00126F6D"/>
    <w:rsid w:val="00151329"/>
    <w:rsid w:val="0016229B"/>
    <w:rsid w:val="003224E1"/>
    <w:rsid w:val="00372D32"/>
    <w:rsid w:val="00491A58"/>
    <w:rsid w:val="0053240D"/>
    <w:rsid w:val="005335ED"/>
    <w:rsid w:val="005A5F68"/>
    <w:rsid w:val="00645B5C"/>
    <w:rsid w:val="006649F4"/>
    <w:rsid w:val="006774F8"/>
    <w:rsid w:val="006C304E"/>
    <w:rsid w:val="006F56AD"/>
    <w:rsid w:val="007F5084"/>
    <w:rsid w:val="00850D34"/>
    <w:rsid w:val="00887F5E"/>
    <w:rsid w:val="00900E37"/>
    <w:rsid w:val="00957843"/>
    <w:rsid w:val="009862F3"/>
    <w:rsid w:val="009D3A13"/>
    <w:rsid w:val="009E25D9"/>
    <w:rsid w:val="00AD1BB7"/>
    <w:rsid w:val="00B3228F"/>
    <w:rsid w:val="00B93621"/>
    <w:rsid w:val="00BA1537"/>
    <w:rsid w:val="00C75FE5"/>
    <w:rsid w:val="00C803F0"/>
    <w:rsid w:val="00D15FD2"/>
    <w:rsid w:val="00D65372"/>
    <w:rsid w:val="00E603DC"/>
    <w:rsid w:val="00EC4F9B"/>
    <w:rsid w:val="00FC57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D1E97"/>
  <w15:docId w15:val="{23168C39-4C8A-4804-AADD-75AA3CB8C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6F6D"/>
    <w:pPr>
      <w:ind w:left="720"/>
      <w:contextualSpacing/>
    </w:pPr>
  </w:style>
  <w:style w:type="paragraph" w:styleId="BalloonText">
    <w:name w:val="Balloon Text"/>
    <w:basedOn w:val="Normal"/>
    <w:link w:val="BalloonTextChar"/>
    <w:uiPriority w:val="99"/>
    <w:semiHidden/>
    <w:unhideWhenUsed/>
    <w:rsid w:val="00491A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1A58"/>
    <w:rPr>
      <w:rFonts w:ascii="Segoe UI" w:hAnsi="Segoe UI" w:cs="Segoe UI"/>
      <w:sz w:val="18"/>
      <w:szCs w:val="18"/>
    </w:rPr>
  </w:style>
  <w:style w:type="paragraph" w:styleId="Header">
    <w:name w:val="header"/>
    <w:basedOn w:val="Normal"/>
    <w:link w:val="HeaderChar"/>
    <w:uiPriority w:val="99"/>
    <w:unhideWhenUsed/>
    <w:rsid w:val="00491A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1A58"/>
  </w:style>
  <w:style w:type="paragraph" w:styleId="Footer">
    <w:name w:val="footer"/>
    <w:basedOn w:val="Normal"/>
    <w:link w:val="FooterChar"/>
    <w:uiPriority w:val="99"/>
    <w:unhideWhenUsed/>
    <w:rsid w:val="00491A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1A58"/>
  </w:style>
  <w:style w:type="character" w:styleId="CommentReference">
    <w:name w:val="annotation reference"/>
    <w:basedOn w:val="DefaultParagraphFont"/>
    <w:uiPriority w:val="99"/>
    <w:semiHidden/>
    <w:unhideWhenUsed/>
    <w:rsid w:val="006C304E"/>
    <w:rPr>
      <w:sz w:val="16"/>
      <w:szCs w:val="16"/>
    </w:rPr>
  </w:style>
  <w:style w:type="paragraph" w:styleId="CommentText">
    <w:name w:val="annotation text"/>
    <w:basedOn w:val="Normal"/>
    <w:link w:val="CommentTextChar"/>
    <w:uiPriority w:val="99"/>
    <w:semiHidden/>
    <w:unhideWhenUsed/>
    <w:rsid w:val="006C304E"/>
    <w:pPr>
      <w:spacing w:line="240" w:lineRule="auto"/>
    </w:pPr>
    <w:rPr>
      <w:sz w:val="20"/>
      <w:szCs w:val="20"/>
    </w:rPr>
  </w:style>
  <w:style w:type="character" w:customStyle="1" w:styleId="CommentTextChar">
    <w:name w:val="Comment Text Char"/>
    <w:basedOn w:val="DefaultParagraphFont"/>
    <w:link w:val="CommentText"/>
    <w:uiPriority w:val="99"/>
    <w:semiHidden/>
    <w:rsid w:val="006C304E"/>
    <w:rPr>
      <w:sz w:val="20"/>
      <w:szCs w:val="20"/>
    </w:rPr>
  </w:style>
  <w:style w:type="paragraph" w:styleId="CommentSubject">
    <w:name w:val="annotation subject"/>
    <w:basedOn w:val="CommentText"/>
    <w:next w:val="CommentText"/>
    <w:link w:val="CommentSubjectChar"/>
    <w:uiPriority w:val="99"/>
    <w:semiHidden/>
    <w:unhideWhenUsed/>
    <w:rsid w:val="006C304E"/>
    <w:rPr>
      <w:b/>
      <w:bCs/>
    </w:rPr>
  </w:style>
  <w:style w:type="character" w:customStyle="1" w:styleId="CommentSubjectChar">
    <w:name w:val="Comment Subject Char"/>
    <w:basedOn w:val="CommentTextChar"/>
    <w:link w:val="CommentSubject"/>
    <w:uiPriority w:val="99"/>
    <w:semiHidden/>
    <w:rsid w:val="006C304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688195-B3B5-4BCB-908D-404D61EA9386}">
  <ds:schemaRefs>
    <ds:schemaRef ds:uri="5404361f-e70f-4c2f-a32d-cd850dd944f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a17376a-e57d-4f7d-a86c-246ecf1f0959"/>
    <ds:schemaRef ds:uri="http://www.w3.org/XML/1998/namespace"/>
    <ds:schemaRef ds:uri="http://purl.org/dc/dcmitype/"/>
  </ds:schemaRefs>
</ds:datastoreItem>
</file>

<file path=customXml/itemProps2.xml><?xml version="1.0" encoding="utf-8"?>
<ds:datastoreItem xmlns:ds="http://schemas.openxmlformats.org/officeDocument/2006/customXml" ds:itemID="{CE6ADDE0-CF19-4F88-8CDB-33688FFD4906}">
  <ds:schemaRefs>
    <ds:schemaRef ds:uri="http://schemas.microsoft.com/sharepoint/v3/contenttype/forms"/>
  </ds:schemaRefs>
</ds:datastoreItem>
</file>

<file path=customXml/itemProps3.xml><?xml version="1.0" encoding="utf-8"?>
<ds:datastoreItem xmlns:ds="http://schemas.openxmlformats.org/officeDocument/2006/customXml" ds:itemID="{CB00340A-A82E-4190-968D-13B93B3DD2C5}"/>
</file>

<file path=docProps/app.xml><?xml version="1.0" encoding="utf-8"?>
<Properties xmlns="http://schemas.openxmlformats.org/officeDocument/2006/extended-properties" xmlns:vt="http://schemas.openxmlformats.org/officeDocument/2006/docPropsVTypes">
  <Template>Normal.dotm</Template>
  <TotalTime>1</TotalTime>
  <Pages>5</Pages>
  <Words>1732</Words>
  <Characters>9873</Characters>
  <Application>Microsoft Office Word</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MD Mission Geneva</Company>
  <LinksUpToDate>false</LinksUpToDate>
  <CharactersWithSpaces>11582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SERIDJ Youcef</cp:lastModifiedBy>
  <cp:revision>2</cp:revision>
  <dcterms:created xsi:type="dcterms:W3CDTF">2020-02-19T09:38:00Z</dcterms:created>
  <dcterms:modified xsi:type="dcterms:W3CDTF">2020-02-19T09:38:00Z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