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00C66C5A" w:rsidR="00EA4D3D" w:rsidRDefault="00296A74">
      <w:pPr>
        <w:jc w:val="right"/>
        <w:rPr>
          <w:b/>
        </w:rPr>
      </w:pPr>
      <w:r w:rsidRPr="007E588B">
        <w:rPr>
          <w:b/>
        </w:rPr>
        <w:t xml:space="preserve">Buenos Aires, </w:t>
      </w:r>
      <w:r w:rsidR="00B7017D">
        <w:rPr>
          <w:b/>
        </w:rPr>
        <w:t>13</w:t>
      </w:r>
      <w:r w:rsidRPr="007E588B">
        <w:rPr>
          <w:b/>
        </w:rPr>
        <w:t xml:space="preserve"> de agosto de 2019</w:t>
      </w:r>
      <w:r>
        <w:rPr>
          <w:b/>
        </w:rPr>
        <w:t xml:space="preserve">    </w:t>
      </w:r>
    </w:p>
    <w:p w14:paraId="00000002" w14:textId="77777777" w:rsidR="00EA4D3D" w:rsidRDefault="00EA4D3D">
      <w:pPr>
        <w:jc w:val="both"/>
        <w:rPr>
          <w:b/>
        </w:rPr>
      </w:pPr>
    </w:p>
    <w:p w14:paraId="00000003" w14:textId="77777777" w:rsidR="00EA4D3D" w:rsidRDefault="00296A74">
      <w:pPr>
        <w:jc w:val="both"/>
        <w:rPr>
          <w:b/>
        </w:rPr>
      </w:pPr>
      <w:r>
        <w:rPr>
          <w:b/>
        </w:rPr>
        <w:t xml:space="preserve">A las/os expertas/os del Comité de Protección de los Derechos de Todos los Trabajadores Migratorios y de sus Familiares </w:t>
      </w:r>
    </w:p>
    <w:p w14:paraId="00000004" w14:textId="73FC82B2" w:rsidR="00EA4D3D" w:rsidRDefault="00296A74" w:rsidP="000F298D">
      <w:pPr>
        <w:jc w:val="both"/>
        <w:rPr>
          <w:b/>
        </w:rPr>
      </w:pPr>
      <w:r>
        <w:rPr>
          <w:b/>
        </w:rPr>
        <w:t xml:space="preserve">Ref.:  </w:t>
      </w:r>
      <w:r w:rsidR="000F298D">
        <w:rPr>
          <w:b/>
        </w:rPr>
        <w:t xml:space="preserve">Examen del </w:t>
      </w:r>
      <w:r w:rsidR="000F298D" w:rsidRPr="000F298D">
        <w:rPr>
          <w:b/>
        </w:rPr>
        <w:t>segundo informe periódico de la</w:t>
      </w:r>
      <w:r w:rsidR="000F298D">
        <w:rPr>
          <w:b/>
        </w:rPr>
        <w:t xml:space="preserve"> Argentina </w:t>
      </w:r>
      <w:r>
        <w:rPr>
          <w:b/>
        </w:rPr>
        <w:t xml:space="preserve">–    </w:t>
      </w:r>
      <w:r w:rsidR="007E588B">
        <w:rPr>
          <w:b/>
        </w:rPr>
        <w:t>31</w:t>
      </w:r>
      <w:r>
        <w:rPr>
          <w:b/>
        </w:rPr>
        <w:t xml:space="preserve">º    Período    de    Sesiones      </w:t>
      </w:r>
    </w:p>
    <w:p w14:paraId="00000005" w14:textId="77777777" w:rsidR="00EA4D3D" w:rsidRDefault="00296A74">
      <w:pPr>
        <w:jc w:val="both"/>
      </w:pPr>
      <w:r>
        <w:t xml:space="preserve">De nuestra mayor consideración, </w:t>
      </w:r>
    </w:p>
    <w:p w14:paraId="00000006" w14:textId="0DBABC47" w:rsidR="00EA4D3D" w:rsidRDefault="00296A74">
      <w:pPr>
        <w:jc w:val="both"/>
      </w:pPr>
      <w:r>
        <w:t xml:space="preserve">Nos dirigimos a Uds.  </w:t>
      </w:r>
      <w:r w:rsidR="007E588B">
        <w:t>en representación de un grupo de organizaciones sociales para presentar información sobre la situación de los</w:t>
      </w:r>
      <w:r>
        <w:t xml:space="preserve"> derechos de las personas migrantes en la Argentina con relación a la vigencia de la Convención Internacional sobre la Protección de los Derechos de Todos los Trabajadores Migratorios y de sus Familiares (en adelante Convención). </w:t>
      </w:r>
    </w:p>
    <w:p w14:paraId="00000007" w14:textId="445A71C4" w:rsidR="00EA4D3D" w:rsidRDefault="00296A74">
      <w:pPr>
        <w:jc w:val="both"/>
      </w:pPr>
      <w:r>
        <w:t>Teniendo en cuenta las Observaciones Finales a</w:t>
      </w:r>
      <w:r w:rsidR="001F4D15">
        <w:t xml:space="preserve"> la</w:t>
      </w:r>
      <w:r>
        <w:t xml:space="preserve"> Argentina luego del examen celebrado en el 15° periodo de sesiones en el año 2011 y la lista de cuestiones de 2018, les remitimos aportes para su consideración en la elaboración de las observaciones finales. </w:t>
      </w:r>
    </w:p>
    <w:p w14:paraId="00000008" w14:textId="0335A1A6" w:rsidR="00EA4D3D" w:rsidRDefault="00296A74">
      <w:pPr>
        <w:jc w:val="both"/>
      </w:pPr>
      <w:r>
        <w:t>El informe se centra en cuatro temas principales: 1) los cambios normativos y en las prácticas estatales introducidos por el DNU 70/2017 en materia de expulsión y criminalización de las personas migrantes, que están resultando en la separación de familias; 2) los cambios introducidos en los procedimientos de regularización y los desafíos históricos de las interpretaciones restrictivas de la Ley 25.871; 3) la persecución y estigmatización de las personas migrantes y 4) los nuevos y viejos obstáculos en el acceso a los derechos económicos, sociales y culturales por las personas migrantes</w:t>
      </w:r>
      <w:r w:rsidR="009C402E">
        <w:t xml:space="preserve"> en la Argentina</w:t>
      </w:r>
      <w:r>
        <w:t xml:space="preserve">.   </w:t>
      </w:r>
    </w:p>
    <w:p w14:paraId="7F805163" w14:textId="77777777" w:rsidR="007E588B" w:rsidRDefault="00296A74">
      <w:pPr>
        <w:jc w:val="both"/>
      </w:pPr>
      <w:r>
        <w:t xml:space="preserve">Quedamos a vuestra disposición para ampliar o aclarar lo que estimen necesario. </w:t>
      </w:r>
    </w:p>
    <w:p w14:paraId="00000009" w14:textId="5E29AA8A" w:rsidR="00EA4D3D" w:rsidRDefault="00296A74">
      <w:pPr>
        <w:jc w:val="both"/>
      </w:pPr>
      <w:r>
        <w:t xml:space="preserve">Atentamente, </w:t>
      </w:r>
    </w:p>
    <w:p w14:paraId="6AFDB398" w14:textId="77777777" w:rsidR="007E588B" w:rsidRDefault="007E588B" w:rsidP="0066715D">
      <w:pPr>
        <w:spacing w:after="60"/>
        <w:jc w:val="both"/>
        <w:rPr>
          <w:b/>
        </w:rPr>
      </w:pPr>
      <w:r>
        <w:rPr>
          <w:b/>
        </w:rPr>
        <w:t>Abogados y abogadas del NOA en Derechos Humanos y Estudios Sociales (ANDHES)</w:t>
      </w:r>
    </w:p>
    <w:p w14:paraId="21DFCCA0" w14:textId="493791B6" w:rsidR="007E588B" w:rsidRDefault="007E588B" w:rsidP="0066715D">
      <w:pPr>
        <w:spacing w:after="60"/>
        <w:jc w:val="both"/>
        <w:rPr>
          <w:b/>
        </w:rPr>
      </w:pPr>
      <w:r>
        <w:rPr>
          <w:b/>
        </w:rPr>
        <w:t xml:space="preserve">Agrupación AFRO XANGO/Comisión 8 de </w:t>
      </w:r>
      <w:proofErr w:type="gramStart"/>
      <w:r>
        <w:rPr>
          <w:b/>
        </w:rPr>
        <w:t>Noviembre</w:t>
      </w:r>
      <w:proofErr w:type="gramEnd"/>
      <w:r>
        <w:rPr>
          <w:b/>
        </w:rPr>
        <w:t xml:space="preserve"> “Día Nacional de las/os </w:t>
      </w:r>
      <w:proofErr w:type="spellStart"/>
      <w:r>
        <w:rPr>
          <w:b/>
        </w:rPr>
        <w:t>Afroargentinas</w:t>
      </w:r>
      <w:proofErr w:type="spellEnd"/>
      <w:r>
        <w:rPr>
          <w:b/>
        </w:rPr>
        <w:t>/os y de la Cultura Afro”</w:t>
      </w:r>
    </w:p>
    <w:p w14:paraId="21B9DA16" w14:textId="1A2FC7FB" w:rsidR="007E588B" w:rsidRDefault="007E588B" w:rsidP="0066715D">
      <w:pPr>
        <w:spacing w:after="60"/>
        <w:rPr>
          <w:b/>
        </w:rPr>
      </w:pPr>
      <w:r w:rsidRPr="00B4653E">
        <w:rPr>
          <w:b/>
        </w:rPr>
        <w:t xml:space="preserve">Asociación </w:t>
      </w:r>
      <w:proofErr w:type="spellStart"/>
      <w:r w:rsidRPr="00B4653E">
        <w:rPr>
          <w:b/>
        </w:rPr>
        <w:t>Yanapacuna</w:t>
      </w:r>
      <w:proofErr w:type="spellEnd"/>
    </w:p>
    <w:p w14:paraId="36179E5C" w14:textId="600B926E" w:rsidR="00FF55B3" w:rsidRDefault="00FF55B3" w:rsidP="0066715D">
      <w:pPr>
        <w:spacing w:after="60"/>
        <w:rPr>
          <w:b/>
        </w:rPr>
      </w:pPr>
      <w:r w:rsidRPr="00FF55B3">
        <w:rPr>
          <w:b/>
        </w:rPr>
        <w:t>ATE Capital</w:t>
      </w:r>
    </w:p>
    <w:p w14:paraId="71F04E2A" w14:textId="2EF9E996" w:rsidR="007E588B" w:rsidRDefault="007E588B" w:rsidP="0066715D">
      <w:pPr>
        <w:spacing w:after="60"/>
        <w:jc w:val="both"/>
        <w:rPr>
          <w:b/>
        </w:rPr>
      </w:pPr>
      <w:r>
        <w:rPr>
          <w:b/>
        </w:rPr>
        <w:t xml:space="preserve">Centro de Estudios Legales y Sociales (CELS)      </w:t>
      </w:r>
    </w:p>
    <w:p w14:paraId="2AF388BC" w14:textId="77777777" w:rsidR="007E588B" w:rsidRDefault="007E588B" w:rsidP="0066715D">
      <w:pPr>
        <w:spacing w:after="60"/>
        <w:rPr>
          <w:b/>
        </w:rPr>
      </w:pPr>
      <w:r>
        <w:rPr>
          <w:b/>
        </w:rPr>
        <w:t>Centro por la Justicia y el Derecho Internacional (CEJIL)</w:t>
      </w:r>
    </w:p>
    <w:p w14:paraId="5BD1684A" w14:textId="77777777" w:rsidR="007E588B" w:rsidRDefault="007E588B" w:rsidP="0066715D">
      <w:pPr>
        <w:spacing w:after="60"/>
        <w:rPr>
          <w:b/>
        </w:rPr>
      </w:pPr>
      <w:proofErr w:type="spellStart"/>
      <w:r>
        <w:rPr>
          <w:b/>
        </w:rPr>
        <w:t>CineMigrante</w:t>
      </w:r>
      <w:proofErr w:type="spellEnd"/>
    </w:p>
    <w:p w14:paraId="0B9AD07A" w14:textId="77777777" w:rsidR="007E588B" w:rsidRDefault="007E588B" w:rsidP="0066715D">
      <w:pPr>
        <w:spacing w:after="60"/>
        <w:rPr>
          <w:b/>
        </w:rPr>
      </w:pPr>
      <w:r w:rsidRPr="00B4653E">
        <w:rPr>
          <w:b/>
        </w:rPr>
        <w:t>Colectivo para la Diversidad (COPADI)</w:t>
      </w:r>
    </w:p>
    <w:p w14:paraId="4D3C99E2" w14:textId="77777777" w:rsidR="007E588B" w:rsidRDefault="007E588B" w:rsidP="0066715D">
      <w:pPr>
        <w:spacing w:after="60"/>
        <w:jc w:val="both"/>
        <w:rPr>
          <w:b/>
        </w:rPr>
      </w:pPr>
      <w:r>
        <w:rPr>
          <w:b/>
        </w:rPr>
        <w:t xml:space="preserve">Comisión Argentina para Refugiados y Migrantes (CAREF);       </w:t>
      </w:r>
    </w:p>
    <w:p w14:paraId="28E84A78" w14:textId="79260AF3" w:rsidR="007E588B" w:rsidRDefault="007E588B" w:rsidP="0066715D">
      <w:pPr>
        <w:spacing w:after="60"/>
        <w:rPr>
          <w:b/>
        </w:rPr>
      </w:pPr>
      <w:r w:rsidRPr="007E588B">
        <w:rPr>
          <w:b/>
        </w:rPr>
        <w:t>Estudiantes Migrantes Univers</w:t>
      </w:r>
      <w:r>
        <w:rPr>
          <w:b/>
        </w:rPr>
        <w:t xml:space="preserve">idad de </w:t>
      </w:r>
      <w:r w:rsidR="001F4D15">
        <w:rPr>
          <w:b/>
        </w:rPr>
        <w:t>Buenos Aires</w:t>
      </w:r>
      <w:r>
        <w:rPr>
          <w:b/>
        </w:rPr>
        <w:t xml:space="preserve"> (</w:t>
      </w:r>
      <w:proofErr w:type="spellStart"/>
      <w:r>
        <w:rPr>
          <w:b/>
        </w:rPr>
        <w:t>EsMiUBA</w:t>
      </w:r>
      <w:proofErr w:type="spellEnd"/>
      <w:r>
        <w:rPr>
          <w:b/>
        </w:rPr>
        <w:t>)</w:t>
      </w:r>
    </w:p>
    <w:p w14:paraId="73FEC094" w14:textId="1BF48735" w:rsidR="00414662" w:rsidRDefault="00414662" w:rsidP="0066715D">
      <w:pPr>
        <w:spacing w:after="60"/>
        <w:rPr>
          <w:b/>
        </w:rPr>
      </w:pPr>
      <w:r w:rsidRPr="00414662">
        <w:rPr>
          <w:b/>
        </w:rPr>
        <w:t>Facultad de Ciencias Sociales de la UBA</w:t>
      </w:r>
    </w:p>
    <w:p w14:paraId="727DAF7D" w14:textId="6BC80899" w:rsidR="007E588B" w:rsidRDefault="007E588B" w:rsidP="0066715D">
      <w:pPr>
        <w:spacing w:after="60"/>
        <w:rPr>
          <w:b/>
        </w:rPr>
      </w:pPr>
      <w:r w:rsidRPr="007C24EF">
        <w:rPr>
          <w:b/>
        </w:rPr>
        <w:t>Instituto Argentino para la Igualdad, Diversidad e Integración (IARPIDI)</w:t>
      </w:r>
    </w:p>
    <w:p w14:paraId="5AC23CB4" w14:textId="39D4CC4B" w:rsidR="007E588B" w:rsidRPr="00B4653E" w:rsidRDefault="007E588B" w:rsidP="0066715D">
      <w:pPr>
        <w:spacing w:after="60"/>
        <w:rPr>
          <w:b/>
        </w:rPr>
      </w:pPr>
      <w:r w:rsidRPr="00B4653E">
        <w:rPr>
          <w:b/>
        </w:rPr>
        <w:t>Instituto de Justicia y Derechos Humanos</w:t>
      </w:r>
      <w:r>
        <w:rPr>
          <w:b/>
        </w:rPr>
        <w:t xml:space="preserve"> (</w:t>
      </w:r>
      <w:proofErr w:type="spellStart"/>
      <w:r>
        <w:rPr>
          <w:b/>
        </w:rPr>
        <w:t>UNLa</w:t>
      </w:r>
      <w:proofErr w:type="spellEnd"/>
      <w:r>
        <w:rPr>
          <w:b/>
        </w:rPr>
        <w:t>)</w:t>
      </w:r>
    </w:p>
    <w:p w14:paraId="4E146E70" w14:textId="648695DA" w:rsidR="00FF55B3" w:rsidRDefault="00FF55B3" w:rsidP="0066715D">
      <w:pPr>
        <w:spacing w:after="60"/>
        <w:rPr>
          <w:b/>
        </w:rPr>
      </w:pPr>
      <w:r w:rsidRPr="00FF55B3">
        <w:rPr>
          <w:b/>
        </w:rPr>
        <w:t>Migrantes x Migrantes</w:t>
      </w:r>
    </w:p>
    <w:p w14:paraId="689FAD9D" w14:textId="7C57C458" w:rsidR="007E588B" w:rsidRDefault="007E588B" w:rsidP="0066715D">
      <w:pPr>
        <w:spacing w:after="60"/>
        <w:rPr>
          <w:b/>
        </w:rPr>
      </w:pPr>
      <w:r>
        <w:rPr>
          <w:b/>
        </w:rPr>
        <w:t>Migrar No es Delito</w:t>
      </w:r>
    </w:p>
    <w:p w14:paraId="50D45346" w14:textId="1896C69F" w:rsidR="007E588B" w:rsidRDefault="007E588B" w:rsidP="0066715D">
      <w:pPr>
        <w:spacing w:after="60"/>
        <w:rPr>
          <w:b/>
        </w:rPr>
      </w:pPr>
      <w:bookmarkStart w:id="0" w:name="_GoBack"/>
      <w:bookmarkEnd w:id="0"/>
      <w:permStart w:id="537422809" w:edGrp="everyone"/>
      <w:permEnd w:id="537422809"/>
      <w:r>
        <w:rPr>
          <w:b/>
        </w:rPr>
        <w:t xml:space="preserve">Red de Migrantes y </w:t>
      </w:r>
      <w:proofErr w:type="spellStart"/>
      <w:r>
        <w:rPr>
          <w:b/>
        </w:rPr>
        <w:t>Refugiadx</w:t>
      </w:r>
      <w:r w:rsidRPr="00B4653E">
        <w:rPr>
          <w:b/>
        </w:rPr>
        <w:t>s</w:t>
      </w:r>
      <w:proofErr w:type="spellEnd"/>
    </w:p>
    <w:p w14:paraId="00000016" w14:textId="7AF3670E" w:rsidR="00EA4D3D" w:rsidRPr="00AF3DEE" w:rsidRDefault="00296A74">
      <w:pPr>
        <w:rPr>
          <w:rStyle w:val="IntenseReference"/>
          <w:color w:val="auto"/>
          <w:sz w:val="26"/>
          <w:szCs w:val="26"/>
        </w:rPr>
      </w:pPr>
      <w:r w:rsidRPr="00AF3DEE">
        <w:rPr>
          <w:rStyle w:val="IntenseReference"/>
          <w:color w:val="auto"/>
          <w:sz w:val="26"/>
          <w:szCs w:val="26"/>
        </w:rPr>
        <w:lastRenderedPageBreak/>
        <w:t xml:space="preserve">RESUMEN EJECUTIVO </w:t>
      </w:r>
    </w:p>
    <w:p w14:paraId="00000017" w14:textId="1BD44300" w:rsidR="00EA4D3D" w:rsidRDefault="00296A74" w:rsidP="003A0C1F">
      <w:pPr>
        <w:spacing w:after="120"/>
        <w:jc w:val="both"/>
      </w:pPr>
      <w:r>
        <w:t>Como es de conocimiento de este Comité, desde el 30 de enero de 2017 está vigente</w:t>
      </w:r>
      <w:r w:rsidR="00326FEB">
        <w:t xml:space="preserve"> en la Argentina</w:t>
      </w:r>
      <w:r>
        <w:t xml:space="preserve"> el Decreto de Necesidad y Urgencia 70/2017 que modificó aspectos esenciales de la Ley de Migraciones</w:t>
      </w:r>
      <w:r>
        <w:rPr>
          <w:vertAlign w:val="superscript"/>
        </w:rPr>
        <w:footnoteReference w:id="1"/>
      </w:r>
      <w:r>
        <w:t xml:space="preserve"> - celebrada por este Comité en sus observaciones finales anteriores</w:t>
      </w:r>
      <w:r w:rsidR="00326FEB">
        <w:t>. El DNU 70/2017</w:t>
      </w:r>
      <w:r>
        <w:t xml:space="preserve"> puso en marcha una política migratoria regresiva en materia de derechos. Entre sus graves consecuencias están la separación de familias y las expulsiones que violan el debido proceso y el derecho a la defensa, agravadas por significativas fallas en el control judicial de la</w:t>
      </w:r>
      <w:r w:rsidR="00326FEB">
        <w:t>s</w:t>
      </w:r>
      <w:r>
        <w:t xml:space="preserve"> decisi</w:t>
      </w:r>
      <w:r w:rsidR="00326FEB">
        <w:t xml:space="preserve">ones </w:t>
      </w:r>
      <w:r>
        <w:t xml:space="preserve">de la administración. </w:t>
      </w:r>
    </w:p>
    <w:p w14:paraId="00000018" w14:textId="27E8EE7C" w:rsidR="00EA4D3D" w:rsidRDefault="00296A74" w:rsidP="003A0C1F">
      <w:pPr>
        <w:spacing w:after="120"/>
        <w:jc w:val="both"/>
      </w:pPr>
      <w:r>
        <w:t xml:space="preserve">Como veremos, casos como el de Vanessa Gómez Cueva muestran la lógica vigente en la política migratoria </w:t>
      </w:r>
      <w:r w:rsidR="00B178FC">
        <w:t>a</w:t>
      </w:r>
      <w:r>
        <w:t xml:space="preserve">rgentina desde la adopción del DNU 70/2017. </w:t>
      </w:r>
      <w:r w:rsidR="009C402E">
        <w:t>Vanessa es</w:t>
      </w:r>
      <w:r w:rsidR="005E42D9">
        <w:t xml:space="preserve"> </w:t>
      </w:r>
      <w:r w:rsidR="009C402E">
        <w:t>p</w:t>
      </w:r>
      <w:r>
        <w:t xml:space="preserve">eruana, madre de tres hijos argentinos, vivió en el país por más de 15 años, cumplió su condena en el 2014 y aun así fue expulsada con su hijo menor y sin poder despedirse de los otros dos. En octubre de 2018, la </w:t>
      </w:r>
      <w:r w:rsidR="00A0424F">
        <w:t>Dirección Nacional de Migraciones</w:t>
      </w:r>
      <w:r>
        <w:t xml:space="preserve">, tras haber quedado firme su expulsión, solicitó a la justicia la retención de Vanessa pese a que no había sido debidamente notificada ni tenía defensor designado. El 1 de febrero de 2019 la fueron a buscar a su casa, y, sin más explicaciones, la trasladaron </w:t>
      </w:r>
      <w:r w:rsidR="00B178FC">
        <w:t xml:space="preserve">primero </w:t>
      </w:r>
      <w:r>
        <w:t xml:space="preserve">a una comisaría y luego al aeropuerto con su hijo menor, donde quedaron detenidos. Tres días después, fue coaccionada a subir con su hijo al avión que la llevó a Perú. La justicia, aunque </w:t>
      </w:r>
      <w:r w:rsidR="00B178FC">
        <w:t xml:space="preserve">reconoció </w:t>
      </w:r>
      <w:r>
        <w:t xml:space="preserve">que se debería haber considerado la existencia de los hijos, omitió evaluar los derechos en juego y afirmó que la dispensa por unidad familiar es un acto discrecional de la administración. </w:t>
      </w:r>
    </w:p>
    <w:p w14:paraId="00000019" w14:textId="5E706891" w:rsidR="00EA4D3D" w:rsidRDefault="00B178FC" w:rsidP="003A0C1F">
      <w:pPr>
        <w:spacing w:after="120"/>
        <w:jc w:val="both"/>
      </w:pPr>
      <w:r>
        <w:t xml:space="preserve">Otro </w:t>
      </w:r>
      <w:r w:rsidR="00A6002F">
        <w:t>aspecto</w:t>
      </w:r>
      <w:r>
        <w:t xml:space="preserve"> preocupante es la </w:t>
      </w:r>
      <w:r w:rsidR="00296A74">
        <w:t>implementa</w:t>
      </w:r>
      <w:r>
        <w:t xml:space="preserve">ción de </w:t>
      </w:r>
      <w:r w:rsidR="00296A74">
        <w:t>medidas que dificultan la regularización migratoria: aument</w:t>
      </w:r>
      <w:r>
        <w:t xml:space="preserve">o de </w:t>
      </w:r>
      <w:r w:rsidR="00296A74">
        <w:t>las tasas a un 1000%, c</w:t>
      </w:r>
      <w:r>
        <w:t>i</w:t>
      </w:r>
      <w:r w:rsidR="00296A74">
        <w:t>err</w:t>
      </w:r>
      <w:r>
        <w:t>e</w:t>
      </w:r>
      <w:r w:rsidR="00296A74">
        <w:t xml:space="preserve"> </w:t>
      </w:r>
      <w:r>
        <w:t xml:space="preserve">de </w:t>
      </w:r>
      <w:r w:rsidR="00296A74">
        <w:t xml:space="preserve">los programas de abordaje territorial y </w:t>
      </w:r>
      <w:r>
        <w:t xml:space="preserve">puesta en marcha de </w:t>
      </w:r>
      <w:r w:rsidR="00296A74">
        <w:t xml:space="preserve">un nuevo y complejo sistema informático de regularización que dificulta el acceso a las personas migrantes de bajos recursos simbólicos y económicos, conocido como </w:t>
      </w:r>
      <w:proofErr w:type="spellStart"/>
      <w:r w:rsidR="00296A74">
        <w:t>Ra.D.Ex</w:t>
      </w:r>
      <w:proofErr w:type="spellEnd"/>
      <w:r w:rsidR="00296A74">
        <w:t xml:space="preserve">. </w:t>
      </w:r>
    </w:p>
    <w:p w14:paraId="0000001A" w14:textId="4271CD73" w:rsidR="00EA4D3D" w:rsidRDefault="00296A74" w:rsidP="003A0C1F">
      <w:pPr>
        <w:spacing w:after="120"/>
        <w:jc w:val="both"/>
      </w:pPr>
      <w:r>
        <w:t xml:space="preserve">Por otra parte, </w:t>
      </w:r>
      <w:r w:rsidR="00B178FC">
        <w:t xml:space="preserve">algunas </w:t>
      </w:r>
      <w:r>
        <w:t xml:space="preserve">autoridades nacionales y provinciales </w:t>
      </w:r>
      <w:r w:rsidR="00B178FC">
        <w:t xml:space="preserve">vienen </w:t>
      </w:r>
      <w:r>
        <w:t>cuestionan</w:t>
      </w:r>
      <w:r w:rsidR="00B178FC">
        <w:t>do</w:t>
      </w:r>
      <w:r>
        <w:t xml:space="preserve"> la igualdad en el acceso a los servicios públicos para las personas migrantes, especialmente en materia de salud y educación. El 6 de febrero del 2019 la provincia de Jujuy fue la primera en aprobar una legislación para cobrar los servicios médicos que reciban las y los migrantes en la provincia. El Ministro del Interior de la Nación, Rogelio Frigerio, declaró su apoyo a la Ley aprobada en Jujuy y a nivel nacional tramitan proyectos de ley con </w:t>
      </w:r>
      <w:r w:rsidR="00B178FC">
        <w:t>este objetivo</w:t>
      </w:r>
      <w:r>
        <w:t>.</w:t>
      </w:r>
    </w:p>
    <w:p w14:paraId="0000001B" w14:textId="4A8EC5C3" w:rsidR="00EA4D3D" w:rsidRDefault="00296A74" w:rsidP="003A0C1F">
      <w:pPr>
        <w:spacing w:after="120"/>
        <w:jc w:val="both"/>
      </w:pPr>
      <w:r>
        <w:t>Este giro en la política migratoria argentina fue, además, justificado y habilitado en un contexto de discursos de autoridades y funcionarios públicos que vinculan la migración con el delito, alimentando la discriminación</w:t>
      </w:r>
      <w:r w:rsidR="00A6002F">
        <w:t xml:space="preserve">, </w:t>
      </w:r>
      <w:r>
        <w:t>la xenofobia</w:t>
      </w:r>
      <w:r w:rsidR="00A6002F">
        <w:t xml:space="preserve"> y la estigmatización de las personas migrantes</w:t>
      </w:r>
      <w:r>
        <w:t xml:space="preserve">. De hecho, el gobierno </w:t>
      </w:r>
      <w:r w:rsidR="00B178FC">
        <w:t xml:space="preserve">nacional </w:t>
      </w:r>
      <w:r>
        <w:t xml:space="preserve">anunció la adopción del DNU 70/2017 como parte de sus políticas de seguridad. En </w:t>
      </w:r>
      <w:r w:rsidR="00B178FC">
        <w:t xml:space="preserve">esta misma línea, </w:t>
      </w:r>
      <w:r w:rsidR="00A6002F">
        <w:t xml:space="preserve">en </w:t>
      </w:r>
      <w:r>
        <w:t xml:space="preserve">la provincia de Chubut el gobierno ha adoptado </w:t>
      </w:r>
      <w:r w:rsidR="00B178FC">
        <w:t xml:space="preserve">en febrero de 2019 </w:t>
      </w:r>
      <w:r>
        <w:t>un Decreto que prevé la expulsión de todas las personas migrantes que tengan antecedentes penales.</w:t>
      </w:r>
    </w:p>
    <w:p w14:paraId="0000001C" w14:textId="0EE87A9B" w:rsidR="00EA4D3D" w:rsidRDefault="00296A74" w:rsidP="003A0C1F">
      <w:pPr>
        <w:spacing w:after="120"/>
        <w:jc w:val="both"/>
      </w:pPr>
      <w:r>
        <w:lastRenderedPageBreak/>
        <w:t xml:space="preserve">En este marco, se </w:t>
      </w:r>
      <w:r w:rsidR="00B178FC">
        <w:t xml:space="preserve">ha </w:t>
      </w:r>
      <w:r>
        <w:t>intensifica</w:t>
      </w:r>
      <w:r w:rsidR="00B178FC">
        <w:t>do</w:t>
      </w:r>
      <w:r>
        <w:t xml:space="preserve"> la criminalización de las personas migrantes. En el barrio de Flores </w:t>
      </w:r>
      <w:r w:rsidR="00A15C6B">
        <w:t xml:space="preserve">y Once </w:t>
      </w:r>
      <w:r>
        <w:t xml:space="preserve">de la Ciudad de Buenos Aires se está llevando adelante una política de persecución </w:t>
      </w:r>
      <w:r w:rsidR="00A15C6B">
        <w:t xml:space="preserve">y represión </w:t>
      </w:r>
      <w:r>
        <w:t>a los migrantes senegaleses, que en su mayoría se dedican a la venta ambulante. La policía secuestra su mercadería</w:t>
      </w:r>
      <w:r w:rsidR="00B178FC">
        <w:t xml:space="preserve"> de manera violenta – mismo si no</w:t>
      </w:r>
      <w:r w:rsidR="005E42D9">
        <w:t xml:space="preserve"> </w:t>
      </w:r>
      <w:r>
        <w:t>la están vendiendo</w:t>
      </w:r>
      <w:r w:rsidR="00B178FC">
        <w:t xml:space="preserve"> -</w:t>
      </w:r>
      <w:r>
        <w:t xml:space="preserve"> e inicia actuaciones penales en las cuales con frecuencia son golpeados y privados de su libertad. Algo similar sucede en el barrio de Constitución con las personas </w:t>
      </w:r>
      <w:r w:rsidR="00B178FC">
        <w:t>migrantes del colectivo LG</w:t>
      </w:r>
      <w:r w:rsidR="00DA34C8">
        <w:t>B</w:t>
      </w:r>
      <w:r w:rsidR="00B178FC">
        <w:t xml:space="preserve">TTIQ+ </w:t>
      </w:r>
      <w:r>
        <w:t xml:space="preserve"> que son acusadas de narcotráfico. </w:t>
      </w:r>
    </w:p>
    <w:p w14:paraId="0000001D" w14:textId="520EB707" w:rsidR="00EA4D3D" w:rsidRDefault="00296A74" w:rsidP="003A0C1F">
      <w:pPr>
        <w:spacing w:after="120"/>
        <w:jc w:val="both"/>
      </w:pPr>
      <w:r>
        <w:t>En este contexto, el Comité contra la Tortura, en sus observaciones finales de mayo de 2017</w:t>
      </w:r>
      <w:r w:rsidR="009D4A8C">
        <w:rPr>
          <w:rStyle w:val="FootnoteReference"/>
        </w:rPr>
        <w:footnoteReference w:id="2"/>
      </w:r>
      <w:r>
        <w:t xml:space="preserve"> y el Comité sobre los derechos del Niño en sus observaciones finales de mayo de 2018, solicitaron al Estado argentino que derogue el DNU 70/2017</w:t>
      </w:r>
      <w:r w:rsidR="009D4A8C">
        <w:rPr>
          <w:rStyle w:val="FootnoteReference"/>
        </w:rPr>
        <w:footnoteReference w:id="3"/>
      </w:r>
      <w:r>
        <w:t>.</w:t>
      </w:r>
      <w:r w:rsidR="009D4A8C">
        <w:t xml:space="preserve"> Asimismo, el Comité </w:t>
      </w:r>
      <w:r w:rsidR="009D4A8C" w:rsidRPr="009D4A8C">
        <w:t>sobre los Derechos Sociales, Económicos y Culturales</w:t>
      </w:r>
      <w:r w:rsidR="009D4A8C">
        <w:t xml:space="preserve"> ha instado al Estado Argentino a eliminar las barreras de acceso a los DESC y facilitar la regularización migratoria de la población migrante.</w:t>
      </w:r>
      <w:r w:rsidR="009D4A8C">
        <w:rPr>
          <w:rStyle w:val="FootnoteReference"/>
        </w:rPr>
        <w:footnoteReference w:id="4"/>
      </w:r>
    </w:p>
    <w:p w14:paraId="0000001E" w14:textId="16006E54" w:rsidR="00EA4D3D" w:rsidRDefault="00296A74" w:rsidP="003A0C1F">
      <w:pPr>
        <w:spacing w:after="120"/>
        <w:jc w:val="both"/>
      </w:pPr>
      <w:r>
        <w:t>Es por esta sumatoria de cuestiones que resulta necesario que este Comité realice una evaluación pormenorizada y detallada sobre el impacto del DNU 70/2017</w:t>
      </w:r>
      <w:r w:rsidR="00A0424F">
        <w:t xml:space="preserve"> tanto</w:t>
      </w:r>
      <w:r>
        <w:t xml:space="preserve"> en el plano normativo </w:t>
      </w:r>
      <w:r w:rsidR="00433A54">
        <w:t>como en</w:t>
      </w:r>
      <w:r>
        <w:t xml:space="preserve"> la</w:t>
      </w:r>
      <w:r w:rsidR="00B178FC">
        <w:t>s</w:t>
      </w:r>
      <w:r>
        <w:t xml:space="preserve"> práctica</w:t>
      </w:r>
      <w:r w:rsidR="00B178FC">
        <w:t>s</w:t>
      </w:r>
      <w:r>
        <w:t xml:space="preserve"> estatal</w:t>
      </w:r>
      <w:r w:rsidR="00B178FC">
        <w:t>es</w:t>
      </w:r>
      <w:r>
        <w:t xml:space="preserve"> e inste al Estado </w:t>
      </w:r>
      <w:r w:rsidR="00B178FC">
        <w:t xml:space="preserve">argentino </w:t>
      </w:r>
      <w:r>
        <w:t xml:space="preserve">a derogarlo y abstenerse de realizar expulsiones de personas migrantes </w:t>
      </w:r>
      <w:r w:rsidR="00B178FC">
        <w:t xml:space="preserve">violando </w:t>
      </w:r>
      <w:r>
        <w:t>el derecho a la unidad familiar</w:t>
      </w:r>
      <w:r w:rsidR="00EA5330">
        <w:t xml:space="preserve">, </w:t>
      </w:r>
      <w:r>
        <w:t>el interés superior del niño</w:t>
      </w:r>
      <w:r w:rsidR="00EA5330">
        <w:t>, el debido proceso, el derecho a la defensa y el acceso a la justicia</w:t>
      </w:r>
      <w:r>
        <w:t xml:space="preserve">. Asimismo, </w:t>
      </w:r>
      <w:r w:rsidR="00A6002F">
        <w:t xml:space="preserve">es central que </w:t>
      </w:r>
      <w:r>
        <w:t xml:space="preserve">el Comité </w:t>
      </w:r>
      <w:r w:rsidR="00A6002F">
        <w:t>solicite</w:t>
      </w:r>
      <w:r>
        <w:t xml:space="preserve"> al Estado que revise su nueva política de regularización que resulta discriminatoria, que cese la </w:t>
      </w:r>
      <w:r w:rsidR="00A15C6B">
        <w:t>persecución y represión</w:t>
      </w:r>
      <w:r>
        <w:t xml:space="preserve"> a las personas migrantes y no lleve a cabo reformas legislativas que discriminen a la población migrante en el acceso a los derechos económicos, sociales y culturales. </w:t>
      </w:r>
    </w:p>
    <w:p w14:paraId="213DA6E2" w14:textId="58CDFBEA" w:rsidR="00A6002F" w:rsidRDefault="00A6002F">
      <w:pPr>
        <w:jc w:val="both"/>
      </w:pPr>
    </w:p>
    <w:p w14:paraId="71463651" w14:textId="2D9EBA5D" w:rsidR="003A0C1F" w:rsidRDefault="003A0C1F">
      <w:pPr>
        <w:jc w:val="both"/>
      </w:pPr>
    </w:p>
    <w:p w14:paraId="3D603BDB" w14:textId="77777777" w:rsidR="003A0C1F" w:rsidRDefault="003A0C1F">
      <w:pPr>
        <w:jc w:val="both"/>
      </w:pPr>
    </w:p>
    <w:p w14:paraId="5453B6BF" w14:textId="77777777" w:rsidR="00B32E74" w:rsidRDefault="00B32E74">
      <w:pPr>
        <w:jc w:val="both"/>
      </w:pPr>
    </w:p>
    <w:p w14:paraId="0000001F" w14:textId="2F09311B" w:rsidR="00EA4D3D" w:rsidRPr="0080752B" w:rsidRDefault="00296A74" w:rsidP="00CC6123">
      <w:pPr>
        <w:numPr>
          <w:ilvl w:val="0"/>
          <w:numId w:val="5"/>
        </w:numPr>
        <w:pBdr>
          <w:top w:val="nil"/>
          <w:left w:val="nil"/>
          <w:bottom w:val="nil"/>
          <w:right w:val="nil"/>
          <w:between w:val="nil"/>
        </w:pBdr>
        <w:jc w:val="both"/>
        <w:rPr>
          <w:b/>
          <w:smallCaps/>
          <w:color w:val="000000"/>
        </w:rPr>
      </w:pPr>
      <w:r>
        <w:rPr>
          <w:b/>
          <w:smallCaps/>
          <w:color w:val="000000"/>
          <w:sz w:val="26"/>
          <w:szCs w:val="26"/>
        </w:rPr>
        <w:t xml:space="preserve">Criminalización, expulsiones arbitrarias y la separación de familias </w:t>
      </w:r>
      <w:r w:rsidR="006177A6" w:rsidRPr="0080752B">
        <w:rPr>
          <w:b/>
          <w:smallCaps/>
          <w:color w:val="000000"/>
        </w:rPr>
        <w:t>(Artículos</w:t>
      </w:r>
      <w:r w:rsidR="00CC6123" w:rsidRPr="0080752B">
        <w:rPr>
          <w:b/>
          <w:smallCaps/>
          <w:color w:val="000000"/>
        </w:rPr>
        <w:t xml:space="preserve"> </w:t>
      </w:r>
      <w:r w:rsidR="002A7837" w:rsidRPr="0080752B">
        <w:rPr>
          <w:b/>
          <w:smallCaps/>
          <w:color w:val="000000"/>
        </w:rPr>
        <w:t xml:space="preserve">7, 10, </w:t>
      </w:r>
      <w:r w:rsidR="00CC6123" w:rsidRPr="0080752B">
        <w:rPr>
          <w:b/>
          <w:smallCaps/>
          <w:color w:val="000000"/>
        </w:rPr>
        <w:t xml:space="preserve">14, 18, 20, 22, </w:t>
      </w:r>
      <w:r w:rsidR="00676D12" w:rsidRPr="0080752B">
        <w:rPr>
          <w:b/>
          <w:smallCaps/>
          <w:color w:val="000000"/>
        </w:rPr>
        <w:t xml:space="preserve">23, </w:t>
      </w:r>
      <w:r w:rsidR="00CC6123" w:rsidRPr="0080752B">
        <w:rPr>
          <w:b/>
          <w:smallCaps/>
          <w:color w:val="000000"/>
        </w:rPr>
        <w:t xml:space="preserve">44 Y 56 </w:t>
      </w:r>
      <w:r w:rsidR="008B65CB">
        <w:rPr>
          <w:b/>
          <w:smallCaps/>
          <w:color w:val="000000"/>
        </w:rPr>
        <w:t>de la</w:t>
      </w:r>
      <w:r w:rsidR="00CC6123" w:rsidRPr="0080752B">
        <w:rPr>
          <w:b/>
          <w:smallCaps/>
          <w:color w:val="000000"/>
        </w:rPr>
        <w:t xml:space="preserve"> </w:t>
      </w:r>
      <w:r w:rsidR="002A7837" w:rsidRPr="0080752B">
        <w:rPr>
          <w:b/>
          <w:smallCaps/>
          <w:color w:val="000000"/>
        </w:rPr>
        <w:t>Convención</w:t>
      </w:r>
      <w:r w:rsidR="00CC6123" w:rsidRPr="0080752B">
        <w:rPr>
          <w:b/>
          <w:smallCaps/>
          <w:color w:val="000000"/>
        </w:rPr>
        <w:t>)</w:t>
      </w:r>
    </w:p>
    <w:p w14:paraId="00000020" w14:textId="245992A6"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El Decreto de Necesidad y Urgencia 70/2017, fue aprobado bajo una decisión política del gobierno nacional de vincular migración con delito. En el discurso oficial, el objetivo del DNU </w:t>
      </w:r>
      <w:r w:rsidR="00DB7984" w:rsidRPr="001E4A77">
        <w:rPr>
          <w:rFonts w:asciiTheme="majorHAnsi" w:hAnsiTheme="majorHAnsi" w:cstheme="majorHAnsi"/>
        </w:rPr>
        <w:t xml:space="preserve">es </w:t>
      </w:r>
      <w:r w:rsidRPr="001E4A77">
        <w:rPr>
          <w:rFonts w:asciiTheme="majorHAnsi" w:hAnsiTheme="majorHAnsi" w:cstheme="majorHAnsi"/>
        </w:rPr>
        <w:t xml:space="preserve">expulsar a las y los migrantes con antecedentes penales como parte de la política de seguridad, especialmente de la lucha contra el narcotráfico. El 17 de enero de 2017, el presidente Mauricio </w:t>
      </w:r>
      <w:proofErr w:type="spellStart"/>
      <w:r w:rsidRPr="001E4A77">
        <w:rPr>
          <w:rFonts w:asciiTheme="majorHAnsi" w:hAnsiTheme="majorHAnsi" w:cstheme="majorHAnsi"/>
        </w:rPr>
        <w:t>Macri</w:t>
      </w:r>
      <w:proofErr w:type="spellEnd"/>
      <w:r w:rsidRPr="001E4A77">
        <w:rPr>
          <w:rFonts w:asciiTheme="majorHAnsi" w:hAnsiTheme="majorHAnsi" w:cstheme="majorHAnsi"/>
        </w:rPr>
        <w:t xml:space="preserve"> afirmó, por ejemplo, que “por falta de acción no podemos permitir que el crimen siga eligiendo a la Argentina como un lugar para venir a delinquir".</w:t>
      </w:r>
    </w:p>
    <w:p w14:paraId="00000021" w14:textId="1FF41DCE"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El análisis del DNU y de los cambios en las prácticas estatales evidencia que estas supuestas razones de seguridad no son el objetivo real del Decreto. Esta reforma tiene por objeto ampliar y endurecer el control de la población migrante en la Argentina.  El alcance y el impacto del DNU van más allá: modifican los procedimientos migratorios en general, se aplican también a migrantes que hayan cometido infracciones administrativas y, en el caso de migrantes con antecedentes penales, no </w:t>
      </w:r>
      <w:r w:rsidR="00DB7984" w:rsidRPr="001E4A77">
        <w:rPr>
          <w:rFonts w:asciiTheme="majorHAnsi" w:hAnsiTheme="majorHAnsi" w:cstheme="majorHAnsi"/>
        </w:rPr>
        <w:t>se evalúa</w:t>
      </w:r>
      <w:r w:rsidRPr="001E4A77">
        <w:rPr>
          <w:rFonts w:asciiTheme="majorHAnsi" w:hAnsiTheme="majorHAnsi" w:cstheme="majorHAnsi"/>
        </w:rPr>
        <w:t xml:space="preserve"> la gravedad del delito o </w:t>
      </w:r>
      <w:r w:rsidR="00A0424F" w:rsidRPr="001E4A77">
        <w:rPr>
          <w:rFonts w:asciiTheme="majorHAnsi" w:hAnsiTheme="majorHAnsi" w:cstheme="majorHAnsi"/>
        </w:rPr>
        <w:t>el cumplimiento de la pena</w:t>
      </w:r>
      <w:r w:rsidR="00DB7984" w:rsidRPr="001E4A77">
        <w:rPr>
          <w:rFonts w:asciiTheme="majorHAnsi" w:hAnsiTheme="majorHAnsi" w:cstheme="majorHAnsi"/>
        </w:rPr>
        <w:t>, así como tampoco</w:t>
      </w:r>
      <w:r w:rsidR="00046729" w:rsidRPr="001E4A77">
        <w:rPr>
          <w:rFonts w:asciiTheme="majorHAnsi" w:hAnsiTheme="majorHAnsi" w:cstheme="majorHAnsi"/>
        </w:rPr>
        <w:t xml:space="preserve"> </w:t>
      </w:r>
      <w:r w:rsidR="00F04890" w:rsidRPr="001E4A77">
        <w:rPr>
          <w:rFonts w:asciiTheme="majorHAnsi" w:hAnsiTheme="majorHAnsi" w:cstheme="majorHAnsi"/>
        </w:rPr>
        <w:t>cuestiones vinculadas a la unidad familiar</w:t>
      </w:r>
      <w:r w:rsidRPr="001E4A77">
        <w:rPr>
          <w:rFonts w:asciiTheme="majorHAnsi" w:hAnsiTheme="majorHAnsi" w:cstheme="majorHAnsi"/>
        </w:rPr>
        <w:t>. En definitiva, se expulsa migrantes que están hace muchos años en la Argentina, que cometieron delitos de menor potencial ofensivo</w:t>
      </w:r>
      <w:r w:rsidR="00DB7984" w:rsidRPr="001E4A77">
        <w:rPr>
          <w:rFonts w:asciiTheme="majorHAnsi" w:hAnsiTheme="majorHAnsi" w:cstheme="majorHAnsi"/>
        </w:rPr>
        <w:t>,</w:t>
      </w:r>
      <w:r w:rsidRPr="001E4A77">
        <w:rPr>
          <w:rFonts w:asciiTheme="majorHAnsi" w:hAnsiTheme="majorHAnsi" w:cstheme="majorHAnsi"/>
        </w:rPr>
        <w:t xml:space="preserve"> que cumplieron sus penas y que, aún más grave, tienen hijas, hijos y familia en la Argentina. </w:t>
      </w:r>
    </w:p>
    <w:p w14:paraId="00000022" w14:textId="08D66797" w:rsidR="00EA4D3D"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Debido a </w:t>
      </w:r>
      <w:r w:rsidR="000356AF">
        <w:rPr>
          <w:rFonts w:asciiTheme="majorHAnsi" w:hAnsiTheme="majorHAnsi" w:cstheme="majorHAnsi"/>
        </w:rPr>
        <w:t>los cambios normativos</w:t>
      </w:r>
      <w:r w:rsidRPr="001E4A77">
        <w:rPr>
          <w:rFonts w:asciiTheme="majorHAnsi" w:hAnsiTheme="majorHAnsi" w:cstheme="majorHAnsi"/>
        </w:rPr>
        <w:t xml:space="preserve">, el 8 de febrero de 2017, el Centro de Estudios Legales y Sociales (CELS), la Comisión Argentina para los Refugiados y Migrantes (CAREF) y el Colectivo por la Diversidad (COPADI), presentaron un amparo colectivo contra el Decreto 70/2017 solicitando que se declare la nulidad, ilegalidad </w:t>
      </w:r>
      <w:proofErr w:type="spellStart"/>
      <w:r w:rsidRPr="001E4A77">
        <w:rPr>
          <w:rFonts w:asciiTheme="majorHAnsi" w:hAnsiTheme="majorHAnsi" w:cstheme="majorHAnsi"/>
        </w:rPr>
        <w:t>e</w:t>
      </w:r>
      <w:proofErr w:type="spellEnd"/>
      <w:r w:rsidRPr="001E4A77">
        <w:rPr>
          <w:rFonts w:asciiTheme="majorHAnsi" w:hAnsiTheme="majorHAnsi" w:cstheme="majorHAnsi"/>
        </w:rPr>
        <w:t xml:space="preserve"> inconstitucionalidad del DNU. El 23 de marzo de 2018, la Sala V de la Cámara Contencioso Administrativo Federal declaró la “invalidez constitucional del decreto 70/2017”. Esta decisión fue recurrida por el Estado y aguarda decisión de la Corte Suprema de Justicia de la Nación.</w:t>
      </w:r>
    </w:p>
    <w:p w14:paraId="10E7D882" w14:textId="77777777" w:rsidR="000356AF" w:rsidRPr="001E4A77" w:rsidRDefault="000356AF" w:rsidP="001E4A77">
      <w:pPr>
        <w:spacing w:after="120"/>
        <w:jc w:val="both"/>
        <w:rPr>
          <w:rFonts w:asciiTheme="majorHAnsi" w:hAnsiTheme="majorHAnsi" w:cstheme="majorHAnsi"/>
        </w:rPr>
      </w:pPr>
    </w:p>
    <w:p w14:paraId="00000023" w14:textId="77777777" w:rsidR="00EA4D3D" w:rsidRPr="001E4A77" w:rsidRDefault="00296A74" w:rsidP="001E4A77">
      <w:pPr>
        <w:spacing w:after="120"/>
        <w:jc w:val="both"/>
        <w:rPr>
          <w:rFonts w:asciiTheme="majorHAnsi" w:hAnsiTheme="majorHAnsi" w:cstheme="majorHAnsi"/>
          <w:b/>
        </w:rPr>
      </w:pPr>
      <w:r w:rsidRPr="001E4A77">
        <w:rPr>
          <w:rFonts w:asciiTheme="majorHAnsi" w:hAnsiTheme="majorHAnsi" w:cstheme="majorHAnsi"/>
          <w:b/>
        </w:rPr>
        <w:t xml:space="preserve">Antecedentes penales como criterio único y absoluto. Violación al derecho a la unidad familiar y al interés superior del niño.   </w:t>
      </w:r>
    </w:p>
    <w:p w14:paraId="00000024" w14:textId="77777777"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El DNU 70/2017 amplía las causales de impedimento de ingreso, permanencia y de cancelación de residencia para migrantes con antecedentes penales, al mismo tiempo que limita las posibilidades de análisis de los derechos en juego en los procedimientos de expulsión, como la unidad familiar y razones humanitarias.  </w:t>
      </w:r>
    </w:p>
    <w:p w14:paraId="00000025" w14:textId="62B4A24C"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La redacción original de la Ley 25.871 establece los mecanismos para expulsar a aquellos migrantes que contaran con antecedentes penales por delitos graves, con pena privativa de libertad superior a 3 años. </w:t>
      </w:r>
      <w:r w:rsidRPr="000356AF">
        <w:rPr>
          <w:rFonts w:asciiTheme="majorHAnsi" w:hAnsiTheme="majorHAnsi" w:cstheme="majorHAnsi"/>
        </w:rPr>
        <w:t xml:space="preserve">La reforma introducida por el DNU elimina el piso mínimo establecido por la ley y de esta manera </w:t>
      </w:r>
      <w:r w:rsidRPr="00C44F39">
        <w:rPr>
          <w:rFonts w:asciiTheme="majorHAnsi" w:hAnsiTheme="majorHAnsi" w:cstheme="majorHAnsi"/>
          <w:b/>
        </w:rPr>
        <w:t xml:space="preserve">amplía las causales de impedimento y expulsión para migrantes que tengan antecedentes penales con pena privativa de libertad, sin importar el monto de la </w:t>
      </w:r>
      <w:r w:rsidR="00CE5C92" w:rsidRPr="00C44F39">
        <w:rPr>
          <w:rFonts w:asciiTheme="majorHAnsi" w:hAnsiTheme="majorHAnsi" w:cstheme="majorHAnsi"/>
          <w:b/>
        </w:rPr>
        <w:t>pena</w:t>
      </w:r>
      <w:r w:rsidRPr="001E4A77">
        <w:rPr>
          <w:rFonts w:asciiTheme="majorHAnsi" w:hAnsiTheme="majorHAnsi" w:cstheme="majorHAnsi"/>
          <w:b/>
        </w:rPr>
        <w:t>.</w:t>
      </w:r>
      <w:r w:rsidRPr="001E4A77">
        <w:rPr>
          <w:rFonts w:asciiTheme="majorHAnsi" w:hAnsiTheme="majorHAnsi" w:cstheme="majorHAnsi"/>
        </w:rPr>
        <w:t xml:space="preserve"> Esta ampliación afecta mayormente a las y los migrantes que se dedican a la venta callejera. Como explicaremos en el apartado 3, el aumento del control policial de la vía pública tiene especial impacto para las personas migrantes vendedoras ambulantes, que tienen procesamientos por delitos como resistencia a la autoridad o por la llamada ley de marcas, que prevén pena privativa de libertad.   </w:t>
      </w:r>
    </w:p>
    <w:p w14:paraId="00000026" w14:textId="03312AC8"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La misma ley 25.871 prevé situaciones en las cuales el Estado podría autorizar la permanencia pese a la existencia de antecedentes penales, autorización conocida como “dispensa”. Para estos casos, </w:t>
      </w:r>
      <w:r w:rsidRPr="00B52F7A">
        <w:rPr>
          <w:rFonts w:asciiTheme="majorHAnsi" w:hAnsiTheme="majorHAnsi" w:cstheme="majorHAnsi"/>
        </w:rPr>
        <w:t>el DNU establec</w:t>
      </w:r>
      <w:r w:rsidR="00B178FC" w:rsidRPr="00B52F7A">
        <w:rPr>
          <w:rFonts w:asciiTheme="majorHAnsi" w:hAnsiTheme="majorHAnsi" w:cstheme="majorHAnsi"/>
        </w:rPr>
        <w:t>e</w:t>
      </w:r>
      <w:r w:rsidRPr="00B52F7A">
        <w:rPr>
          <w:rFonts w:asciiTheme="majorHAnsi" w:hAnsiTheme="majorHAnsi" w:cstheme="majorHAnsi"/>
        </w:rPr>
        <w:t xml:space="preserve"> graves limitaciones para la aplicación del criterio de unidad y reunificación familiar</w:t>
      </w:r>
      <w:r w:rsidRPr="001E4A77">
        <w:rPr>
          <w:rFonts w:asciiTheme="majorHAnsi" w:hAnsiTheme="majorHAnsi" w:cstheme="majorHAnsi"/>
        </w:rPr>
        <w:t xml:space="preserve">. </w:t>
      </w:r>
      <w:r w:rsidRPr="004E10D4">
        <w:rPr>
          <w:rFonts w:asciiTheme="majorHAnsi" w:hAnsiTheme="majorHAnsi" w:cstheme="majorHAnsi"/>
        </w:rPr>
        <w:t xml:space="preserve">La evaluación de la solicitud de dispensa por unidad familiar pasó a ser una competencia exclusiva de la Dirección Nacional de Migraciones (DNM) que no puede ser revisada por el Poder Judicial. </w:t>
      </w:r>
      <w:r w:rsidRPr="001E4A77">
        <w:rPr>
          <w:rFonts w:asciiTheme="majorHAnsi" w:hAnsiTheme="majorHAnsi" w:cstheme="majorHAnsi"/>
        </w:rPr>
        <w:t xml:space="preserve">Además, </w:t>
      </w:r>
      <w:r w:rsidRPr="00B52F7A">
        <w:rPr>
          <w:rFonts w:asciiTheme="majorHAnsi" w:hAnsiTheme="majorHAnsi" w:cstheme="majorHAnsi"/>
          <w:b/>
        </w:rPr>
        <w:t>se eliminó totalmente la posibilidad de aplicar la dispensa para quienes tengan antecedentes penales por penas privativas de la libertad superiores a tres años.</w:t>
      </w:r>
      <w:r w:rsidRPr="001E4A77">
        <w:rPr>
          <w:rFonts w:asciiTheme="majorHAnsi" w:hAnsiTheme="majorHAnsi" w:cstheme="majorHAnsi"/>
        </w:rPr>
        <w:t xml:space="preserve"> En los pocos supuestos que se permite la alegación de unidad familiar, el DNU pasa a exigir la acreditación ante la autoridad administrativa de la convivencia del grupo familiar, excluyendo a quien se hubiera desinteresado afectiva o económicamente.</w:t>
      </w:r>
    </w:p>
    <w:p w14:paraId="00000027" w14:textId="34440F10" w:rsidR="00EA4D3D" w:rsidRPr="001E4A77" w:rsidRDefault="00680CCA" w:rsidP="001E4A77">
      <w:pPr>
        <w:spacing w:after="120"/>
        <w:jc w:val="both"/>
        <w:rPr>
          <w:rFonts w:asciiTheme="majorHAnsi" w:hAnsiTheme="majorHAnsi" w:cstheme="majorHAnsi"/>
        </w:rPr>
      </w:pPr>
      <w:r>
        <w:rPr>
          <w:rFonts w:asciiTheme="majorHAnsi" w:hAnsiTheme="majorHAnsi" w:cstheme="majorHAnsi"/>
        </w:rPr>
        <w:t>En síntesis</w:t>
      </w:r>
      <w:r w:rsidR="00296A74" w:rsidRPr="001E4A77">
        <w:rPr>
          <w:rFonts w:asciiTheme="majorHAnsi" w:hAnsiTheme="majorHAnsi" w:cstheme="majorHAnsi"/>
        </w:rPr>
        <w:t xml:space="preserve">, </w:t>
      </w:r>
      <w:r w:rsidR="00296A74" w:rsidRPr="00B52F7A">
        <w:rPr>
          <w:rFonts w:asciiTheme="majorHAnsi" w:hAnsiTheme="majorHAnsi" w:cstheme="majorHAnsi"/>
        </w:rPr>
        <w:t>el análisis de derechos de tal magnitud, como el derecho a la unidad familiar y los derechos a la integridad personal, a la identidad, a la protección de la familia, y de los niños, niñas y adolescentes,</w:t>
      </w:r>
      <w:r w:rsidR="00296A74" w:rsidRPr="00F02020">
        <w:rPr>
          <w:rFonts w:asciiTheme="majorHAnsi" w:hAnsiTheme="majorHAnsi" w:cstheme="majorHAnsi"/>
          <w:b/>
        </w:rPr>
        <w:t xml:space="preserve"> pasa a ser competencia exclusiva y discrecional del Poder Ejecutivo </w:t>
      </w:r>
      <w:r w:rsidR="004E10D4" w:rsidRPr="00F02020">
        <w:rPr>
          <w:rFonts w:asciiTheme="majorHAnsi" w:hAnsiTheme="majorHAnsi" w:cstheme="majorHAnsi"/>
          <w:b/>
        </w:rPr>
        <w:t>que</w:t>
      </w:r>
      <w:r w:rsidR="00296A74" w:rsidRPr="00F02020">
        <w:rPr>
          <w:rFonts w:asciiTheme="majorHAnsi" w:hAnsiTheme="majorHAnsi" w:cstheme="majorHAnsi"/>
          <w:b/>
        </w:rPr>
        <w:t xml:space="preserve"> culmina en la medida más gravosa para las y los migrantes, la expulsión del territorio</w:t>
      </w:r>
      <w:r w:rsidR="00296A74" w:rsidRPr="001E4A77">
        <w:rPr>
          <w:rFonts w:asciiTheme="majorHAnsi" w:hAnsiTheme="majorHAnsi" w:cstheme="majorHAnsi"/>
        </w:rPr>
        <w:t xml:space="preserve">. Es aún más grave que el DNU también haya restringido el control judicial de las decisiones administrativas.  </w:t>
      </w:r>
    </w:p>
    <w:p w14:paraId="00000028" w14:textId="77777777"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Es importante destacar que, sin embargo, sigue vigente el artículo 10 de la Ley 25.871 que establece: </w:t>
      </w:r>
      <w:r w:rsidRPr="001E4A77">
        <w:rPr>
          <w:rFonts w:asciiTheme="majorHAnsi" w:hAnsiTheme="majorHAnsi" w:cstheme="majorHAnsi"/>
          <w:i/>
        </w:rPr>
        <w:t>“El Estado garantizará el derecho de reunificación familiar de los inmigrantes con sus padres, cónyuges, hijos solteros menores o hijos mayores con capacidades diferentes”. Y el artículo 3 que determina como objetivo de la política migratoria argentina “garantizar el ejercicio del derecho a la reunificación familiar”.</w:t>
      </w:r>
    </w:p>
    <w:p w14:paraId="00000029" w14:textId="77777777"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Respecto a estos cambios normativos el Comité de los Derechos del Niño se ha pronunciado en la evaluación periódica del Estado argentino en 2018 y dispuso que: </w:t>
      </w:r>
      <w:r w:rsidRPr="001E4A77">
        <w:rPr>
          <w:rFonts w:asciiTheme="majorHAnsi" w:hAnsiTheme="majorHAnsi" w:cstheme="majorHAnsi"/>
          <w:i/>
        </w:rPr>
        <w:t>“El Comité considera preocupante que continúe aplicándose el Decreto de Necesidad y Urgencia núm. 70/2017, pese a ser considerado inconstitucional, así como sus posibles efectos negativos sobre la unidad familiar y el interés superior de los niños migrantes. El Comité insta al Estado parte a que derogue el Decreto núm. 70/2017, a fin de que, en los casos de migración, se respete el derecho del niño a que su interés superior sea una consideración primordial, y se preserve la unidad familiar.”</w:t>
      </w:r>
    </w:p>
    <w:p w14:paraId="00000031" w14:textId="77777777" w:rsidR="00EA4D3D" w:rsidRPr="001E4A77" w:rsidRDefault="00EA4D3D" w:rsidP="001E4A77">
      <w:pPr>
        <w:spacing w:after="120"/>
        <w:jc w:val="both"/>
        <w:rPr>
          <w:rFonts w:asciiTheme="majorHAnsi" w:eastAsia="Arial" w:hAnsiTheme="majorHAnsi" w:cstheme="majorHAnsi"/>
          <w:i/>
        </w:rPr>
      </w:pPr>
    </w:p>
    <w:p w14:paraId="00000032" w14:textId="77777777" w:rsidR="00EA4D3D" w:rsidRPr="001E4A77" w:rsidRDefault="00296A74" w:rsidP="001E4A77">
      <w:pPr>
        <w:spacing w:after="120"/>
        <w:jc w:val="both"/>
        <w:rPr>
          <w:rFonts w:asciiTheme="majorHAnsi" w:hAnsiTheme="majorHAnsi" w:cstheme="majorHAnsi"/>
          <w:b/>
        </w:rPr>
      </w:pPr>
      <w:r w:rsidRPr="001E4A77">
        <w:rPr>
          <w:rFonts w:asciiTheme="majorHAnsi" w:hAnsiTheme="majorHAnsi" w:cstheme="majorHAnsi"/>
          <w:b/>
        </w:rPr>
        <w:t>Debido proceso, derecho a la defensa y acceso a la justicia</w:t>
      </w:r>
    </w:p>
    <w:p w14:paraId="00000033" w14:textId="77777777"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El DNU 70/2017 crea un </w:t>
      </w:r>
      <w:r w:rsidRPr="00680CCA">
        <w:rPr>
          <w:rFonts w:asciiTheme="majorHAnsi" w:hAnsiTheme="majorHAnsi" w:cstheme="majorHAnsi"/>
          <w:b/>
        </w:rPr>
        <w:t>nuevo mecanismo sumarísimo para la expulsión</w:t>
      </w:r>
      <w:r w:rsidRPr="001E4A77">
        <w:rPr>
          <w:rFonts w:asciiTheme="majorHAnsi" w:hAnsiTheme="majorHAnsi" w:cstheme="majorHAnsi"/>
        </w:rPr>
        <w:t xml:space="preserve"> de personas migrantes y altera las reglas de los procedimientos migratorios en general. Al mismo tiempo, cambia el régimen de recursos administrativos y el sistema de notificaciones, limita la revisión judicial y el derecho a la defensa ante un orden de expulsión. </w:t>
      </w:r>
    </w:p>
    <w:p w14:paraId="00000034" w14:textId="3F992341"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En síntesis, a partir del DNU, en el procedimiento sumarísimo, </w:t>
      </w:r>
      <w:r w:rsidRPr="00680CCA">
        <w:rPr>
          <w:rFonts w:asciiTheme="majorHAnsi" w:hAnsiTheme="majorHAnsi" w:cstheme="majorHAnsi"/>
          <w:b/>
        </w:rPr>
        <w:t>la persona migrante pasa a tener solamente una vía de recurso administrativo</w:t>
      </w:r>
      <w:r w:rsidRPr="001E4A77">
        <w:rPr>
          <w:rFonts w:asciiTheme="majorHAnsi" w:hAnsiTheme="majorHAnsi" w:cstheme="majorHAnsi"/>
        </w:rPr>
        <w:t xml:space="preserve"> – cuando el procedimiento ordinario prevé tres instancias recursivas – y </w:t>
      </w:r>
      <w:r w:rsidRPr="00680CCA">
        <w:rPr>
          <w:rFonts w:asciiTheme="majorHAnsi" w:hAnsiTheme="majorHAnsi" w:cstheme="majorHAnsi"/>
          <w:b/>
        </w:rPr>
        <w:t>el plazo para interponer</w:t>
      </w:r>
      <w:r w:rsidR="00A0424F" w:rsidRPr="00680CCA">
        <w:rPr>
          <w:rFonts w:asciiTheme="majorHAnsi" w:hAnsiTheme="majorHAnsi" w:cstheme="majorHAnsi"/>
          <w:b/>
        </w:rPr>
        <w:t>lo</w:t>
      </w:r>
      <w:r w:rsidRPr="00680CCA">
        <w:rPr>
          <w:rFonts w:asciiTheme="majorHAnsi" w:hAnsiTheme="majorHAnsi" w:cstheme="majorHAnsi"/>
          <w:b/>
        </w:rPr>
        <w:t xml:space="preserve"> será de tres días</w:t>
      </w:r>
      <w:r w:rsidRPr="001E4A77">
        <w:rPr>
          <w:rFonts w:asciiTheme="majorHAnsi" w:hAnsiTheme="majorHAnsi" w:cstheme="majorHAnsi"/>
        </w:rPr>
        <w:t xml:space="preserve">– cuando originalmente se preveía 15 -, e iguales 3 días </w:t>
      </w:r>
      <w:r w:rsidR="00A0424F" w:rsidRPr="001E4A77">
        <w:rPr>
          <w:rFonts w:asciiTheme="majorHAnsi" w:hAnsiTheme="majorHAnsi" w:cstheme="majorHAnsi"/>
        </w:rPr>
        <w:t xml:space="preserve">se prevén </w:t>
      </w:r>
      <w:r w:rsidRPr="001E4A77">
        <w:rPr>
          <w:rFonts w:asciiTheme="majorHAnsi" w:hAnsiTheme="majorHAnsi" w:cstheme="majorHAnsi"/>
        </w:rPr>
        <w:t xml:space="preserve">para impugnar en sede judicial la resolución que rechace </w:t>
      </w:r>
      <w:r w:rsidR="00A0424F" w:rsidRPr="001E4A77">
        <w:rPr>
          <w:rFonts w:asciiTheme="majorHAnsi" w:hAnsiTheme="majorHAnsi" w:cstheme="majorHAnsi"/>
        </w:rPr>
        <w:t xml:space="preserve">el recurso </w:t>
      </w:r>
      <w:r w:rsidR="00680CCA" w:rsidRPr="001E4A77">
        <w:rPr>
          <w:rFonts w:asciiTheme="majorHAnsi" w:hAnsiTheme="majorHAnsi" w:cstheme="majorHAnsi"/>
        </w:rPr>
        <w:t>administrativo</w:t>
      </w:r>
      <w:r w:rsidR="00A0424F" w:rsidRPr="001E4A77">
        <w:rPr>
          <w:rFonts w:asciiTheme="majorHAnsi" w:hAnsiTheme="majorHAnsi" w:cstheme="majorHAnsi"/>
        </w:rPr>
        <w:t>, recortando así e</w:t>
      </w:r>
      <w:r w:rsidRPr="001E4A77">
        <w:rPr>
          <w:rFonts w:asciiTheme="majorHAnsi" w:hAnsiTheme="majorHAnsi" w:cstheme="majorHAnsi"/>
        </w:rPr>
        <w:t xml:space="preserve">l plazo de 30 días previsto en el procedimiento ordinario. </w:t>
      </w:r>
    </w:p>
    <w:p w14:paraId="00000035" w14:textId="77777777" w:rsidR="00EA4D3D" w:rsidRPr="001E4A77" w:rsidRDefault="00296A74" w:rsidP="001E4A77">
      <w:pPr>
        <w:spacing w:after="120"/>
        <w:jc w:val="both"/>
        <w:rPr>
          <w:rFonts w:asciiTheme="majorHAnsi" w:hAnsiTheme="majorHAnsi" w:cstheme="majorHAnsi"/>
        </w:rPr>
      </w:pPr>
      <w:r w:rsidRPr="00680CCA">
        <w:rPr>
          <w:rFonts w:asciiTheme="majorHAnsi" w:hAnsiTheme="majorHAnsi" w:cstheme="majorHAnsi"/>
          <w:b/>
        </w:rPr>
        <w:t>En definitiva, el DNU 70/2017 introdujo un sistema de control judicial de la administración pública ilusorio e inefectivo.</w:t>
      </w:r>
      <w:r w:rsidRPr="001E4A77">
        <w:rPr>
          <w:rFonts w:asciiTheme="majorHAnsi" w:hAnsiTheme="majorHAnsi" w:cstheme="majorHAnsi"/>
        </w:rPr>
        <w:t xml:space="preserve"> La reducción de los plazos para recurrir a nivel administrativo y judicial en un supuesto tan gravoso como la expulsión del territorio, impacta sobre las capacidades efectivas para realizar una defensa adecuada durante ese plazo. Justamente, el acceso a la justicia, en condiciones de igualdad, de las personas migrantes alcanzadas por el procedimiento sumarísimo migratorio se encuentra sumamente comprometido.  </w:t>
      </w:r>
    </w:p>
    <w:p w14:paraId="00000036" w14:textId="77777777"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Es importante destacar que el procedimiento sumarísimo se le aplica a migrantes con antecedentes penales (sin importar la condena y la gravedad del delito) y también a migrantes que hayan cometido infracciones administrativas, como el “ingreso por paso no habilitado” (ingreso irregular) o no haber informado a la autoridad migratoria sobre la existencia de antecedentes de “requerimientos de fuerzas de seguridad”. También se sumaron los casos que representen una “gravedad institucional”, cuestión que el DNU no define, aclara o explica.</w:t>
      </w:r>
    </w:p>
    <w:p w14:paraId="00000037" w14:textId="77777777"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El DNU también derogó uno de los remedios que diseñó el Poder legislativo para controlar las decisiones de la autoridad migratoria. El remedio derogado constituía una herramienta de protección muy significativa en tanto habilitaba la revisión de decisiones de la autoridad administrativa cuando hubiesen existido supuestos de </w:t>
      </w:r>
      <w:r w:rsidRPr="001E4A77">
        <w:rPr>
          <w:rFonts w:asciiTheme="majorHAnsi" w:hAnsiTheme="majorHAnsi" w:cstheme="majorHAnsi"/>
          <w:i/>
        </w:rPr>
        <w:t>“error, omisión o arbitrariedad manifiesta, violaciones al debido proceso, o cuando hechos nuevos de suficiente entidad justifiquen dicha medida”.</w:t>
      </w:r>
    </w:p>
    <w:p w14:paraId="00000038" w14:textId="358BFD2F"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Además, </w:t>
      </w:r>
      <w:r w:rsidRPr="00680CCA">
        <w:rPr>
          <w:rFonts w:asciiTheme="majorHAnsi" w:hAnsiTheme="majorHAnsi" w:cstheme="majorHAnsi"/>
          <w:b/>
        </w:rPr>
        <w:t>el DNU establec</w:t>
      </w:r>
      <w:r w:rsidR="00B178FC" w:rsidRPr="00680CCA">
        <w:rPr>
          <w:rFonts w:asciiTheme="majorHAnsi" w:hAnsiTheme="majorHAnsi" w:cstheme="majorHAnsi"/>
          <w:b/>
        </w:rPr>
        <w:t>e</w:t>
      </w:r>
      <w:r w:rsidRPr="00680CCA">
        <w:rPr>
          <w:rFonts w:asciiTheme="majorHAnsi" w:hAnsiTheme="majorHAnsi" w:cstheme="majorHAnsi"/>
          <w:b/>
        </w:rPr>
        <w:t xml:space="preserve"> que la autoridad migratoria </w:t>
      </w:r>
      <w:r w:rsidR="00B178FC" w:rsidRPr="00680CCA">
        <w:rPr>
          <w:rFonts w:asciiTheme="majorHAnsi" w:hAnsiTheme="majorHAnsi" w:cstheme="majorHAnsi"/>
          <w:b/>
        </w:rPr>
        <w:t>cuente</w:t>
      </w:r>
      <w:r w:rsidRPr="00680CCA">
        <w:rPr>
          <w:rFonts w:asciiTheme="majorHAnsi" w:hAnsiTheme="majorHAnsi" w:cstheme="majorHAnsi"/>
          <w:b/>
        </w:rPr>
        <w:t xml:space="preserve"> como válidas las notificaciones efectuadas de pleno derecho</w:t>
      </w:r>
      <w:r w:rsidR="004820B7" w:rsidRPr="00680CCA">
        <w:rPr>
          <w:rFonts w:asciiTheme="majorHAnsi" w:hAnsiTheme="majorHAnsi" w:cstheme="majorHAnsi"/>
          <w:b/>
        </w:rPr>
        <w:t xml:space="preserve">, </w:t>
      </w:r>
      <w:r w:rsidR="004820B7" w:rsidRPr="001E4A77">
        <w:rPr>
          <w:rFonts w:asciiTheme="majorHAnsi" w:hAnsiTheme="majorHAnsi" w:cstheme="majorHAnsi"/>
        </w:rPr>
        <w:t>es decir en el último domicilio registrado o en el correo electrónico declarado sin la necesidad de la firma de la persona</w:t>
      </w:r>
      <w:r w:rsidRPr="001E4A77">
        <w:rPr>
          <w:rFonts w:asciiTheme="majorHAnsi" w:hAnsiTheme="majorHAnsi" w:cstheme="majorHAnsi"/>
        </w:rPr>
        <w:t xml:space="preserve">. Lo que se traduce en que las personas migrantes no tienen que ser notificadas de manera fehaciente.  </w:t>
      </w:r>
    </w:p>
    <w:p w14:paraId="00000039" w14:textId="4C8A81F8"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En materia de derecho a la defensa, bajo el criterio establecido en la ley anterior, si el extranjero sujeto al trámite de expulsión necesitaba asistencia jurídica gratuita el Estado tenía la obligación de dar intervención a la Defensoría General de la Nación y se suspendían los plazos hasta que el abogado asumiera la defensa. Con el DNU la persona migrante es la que debe solicitar la asistencia jurídica gratuita y acreditar la carencia de medios económicos a la autoridad migratoria, a la vez que el texto del DNU no ofrece ninguna indicación acerca de cómo se prueba la carencia de recursos económicos. Es decir, </w:t>
      </w:r>
      <w:r w:rsidRPr="00680CCA">
        <w:rPr>
          <w:rFonts w:asciiTheme="majorHAnsi" w:hAnsiTheme="majorHAnsi" w:cstheme="majorHAnsi"/>
          <w:b/>
        </w:rPr>
        <w:t xml:space="preserve">si la persona migrante no solicita </w:t>
      </w:r>
      <w:r w:rsidR="00680CCA" w:rsidRPr="00680CCA">
        <w:rPr>
          <w:rFonts w:asciiTheme="majorHAnsi" w:hAnsiTheme="majorHAnsi" w:cstheme="majorHAnsi"/>
          <w:b/>
        </w:rPr>
        <w:t xml:space="preserve">expresamente </w:t>
      </w:r>
      <w:r w:rsidRPr="00680CCA">
        <w:rPr>
          <w:rFonts w:asciiTheme="majorHAnsi" w:hAnsiTheme="majorHAnsi" w:cstheme="majorHAnsi"/>
          <w:b/>
        </w:rPr>
        <w:t xml:space="preserve">el acceso a la asistencia jurídica gratuita o no acredita de manera fehaciente la carencia de recursos económicos, el trámite – </w:t>
      </w:r>
      <w:proofErr w:type="gramStart"/>
      <w:r w:rsidRPr="00680CCA">
        <w:rPr>
          <w:rFonts w:asciiTheme="majorHAnsi" w:hAnsiTheme="majorHAnsi" w:cstheme="majorHAnsi"/>
          <w:b/>
        </w:rPr>
        <w:t>que</w:t>
      </w:r>
      <w:proofErr w:type="gramEnd"/>
      <w:r w:rsidRPr="00680CCA">
        <w:rPr>
          <w:rFonts w:asciiTheme="majorHAnsi" w:hAnsiTheme="majorHAnsi" w:cstheme="majorHAnsi"/>
          <w:b/>
        </w:rPr>
        <w:t xml:space="preserve"> en materia de expulsiones, en general incluye la retención- continúa sin ningún tipo de asistencia jurídica provista por el Estado</w:t>
      </w:r>
      <w:r w:rsidRPr="001E4A77">
        <w:rPr>
          <w:rFonts w:asciiTheme="majorHAnsi" w:hAnsiTheme="majorHAnsi" w:cstheme="majorHAnsi"/>
        </w:rPr>
        <w:t>.</w:t>
      </w:r>
    </w:p>
    <w:p w14:paraId="0000003A" w14:textId="78A8EB1F" w:rsidR="00EA4D3D" w:rsidRDefault="00296A74" w:rsidP="001E4A77">
      <w:pPr>
        <w:spacing w:after="120"/>
        <w:jc w:val="both"/>
        <w:rPr>
          <w:rFonts w:asciiTheme="majorHAnsi" w:hAnsiTheme="majorHAnsi" w:cstheme="majorHAnsi"/>
        </w:rPr>
      </w:pPr>
      <w:r w:rsidRPr="001E4A77">
        <w:rPr>
          <w:rFonts w:asciiTheme="majorHAnsi" w:hAnsiTheme="majorHAnsi" w:cstheme="majorHAnsi"/>
        </w:rPr>
        <w:t>Así, el DNU 70/2017 introdujo cambios en todos los procedimientos migratorios, impactando sobre las posibilidades reales de las personas migrantes de ejercer las garantías mínimas de debido proceso legal y el derecho a la tutela judicial efectiva, especialmente en el marco del procedimiento especial sumarísimo con plazos acotados.</w:t>
      </w:r>
    </w:p>
    <w:p w14:paraId="0350F0E9" w14:textId="77777777" w:rsidR="00680CCA" w:rsidRPr="001E4A77" w:rsidRDefault="00680CCA" w:rsidP="001E4A77">
      <w:pPr>
        <w:spacing w:after="120"/>
        <w:jc w:val="both"/>
        <w:rPr>
          <w:rFonts w:asciiTheme="majorHAnsi" w:hAnsiTheme="majorHAnsi" w:cstheme="majorHAnsi"/>
        </w:rPr>
      </w:pPr>
    </w:p>
    <w:p w14:paraId="0000003B" w14:textId="115EEE41" w:rsidR="00EA4D3D" w:rsidRPr="001E4A77" w:rsidRDefault="007F5236" w:rsidP="001E4A77">
      <w:pPr>
        <w:shd w:val="clear" w:color="auto" w:fill="FFFFFF"/>
        <w:spacing w:after="120"/>
        <w:rPr>
          <w:rFonts w:asciiTheme="majorHAnsi" w:hAnsiTheme="majorHAnsi" w:cstheme="majorHAnsi"/>
          <w:b/>
        </w:rPr>
      </w:pPr>
      <w:r w:rsidRPr="001E4A77">
        <w:rPr>
          <w:rFonts w:asciiTheme="majorHAnsi" w:hAnsiTheme="majorHAnsi" w:cstheme="majorHAnsi"/>
          <w:b/>
        </w:rPr>
        <w:t>Privación de la libertad</w:t>
      </w:r>
      <w:r w:rsidR="00296A74" w:rsidRPr="001E4A77">
        <w:rPr>
          <w:rFonts w:asciiTheme="majorHAnsi" w:hAnsiTheme="majorHAnsi" w:cstheme="majorHAnsi"/>
          <w:b/>
        </w:rPr>
        <w:t xml:space="preserve"> por razones migratorias </w:t>
      </w:r>
    </w:p>
    <w:p w14:paraId="0000003C" w14:textId="2F811D2B"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En la misma lógica de la reducción de las garantías judiciales y procesales, el DNU 70/2017 introdujo modificaciones que tienen un impacto concreto sobre la libertad ambulatoria de las personas migrantes sometidas a un procedimiento de expulsión, en tanto</w:t>
      </w:r>
      <w:r w:rsidR="007F5236" w:rsidRPr="001E4A77">
        <w:rPr>
          <w:rFonts w:asciiTheme="majorHAnsi" w:hAnsiTheme="majorHAnsi" w:cstheme="majorHAnsi"/>
        </w:rPr>
        <w:t xml:space="preserve"> habilitan nuevos supuestos de “r</w:t>
      </w:r>
      <w:r w:rsidRPr="001E4A77">
        <w:rPr>
          <w:rFonts w:asciiTheme="majorHAnsi" w:hAnsiTheme="majorHAnsi" w:cstheme="majorHAnsi"/>
        </w:rPr>
        <w:t>etención</w:t>
      </w:r>
      <w:r w:rsidR="007F5236" w:rsidRPr="001E4A77">
        <w:rPr>
          <w:rFonts w:asciiTheme="majorHAnsi" w:hAnsiTheme="majorHAnsi" w:cstheme="majorHAnsi"/>
        </w:rPr>
        <w:t>”</w:t>
      </w:r>
      <w:r w:rsidR="00D868E3" w:rsidRPr="001E4A77">
        <w:rPr>
          <w:rStyle w:val="FootnoteReference"/>
          <w:rFonts w:asciiTheme="majorHAnsi" w:hAnsiTheme="majorHAnsi" w:cstheme="majorHAnsi"/>
        </w:rPr>
        <w:footnoteReference w:id="5"/>
      </w:r>
      <w:r w:rsidRPr="001E4A77">
        <w:rPr>
          <w:rFonts w:asciiTheme="majorHAnsi" w:hAnsiTheme="majorHAnsi" w:cstheme="majorHAnsi"/>
        </w:rPr>
        <w:t xml:space="preserve"> por razones migratorias, por plazos más largos y bajo parámetros y procedimientos más laxos para la Administración. </w:t>
      </w:r>
    </w:p>
    <w:p w14:paraId="0000003D" w14:textId="0ED5E098"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Por un lado, el artículo 70 de la ley 25.871 solamente habilitaba la </w:t>
      </w:r>
      <w:r w:rsidR="007F5236" w:rsidRPr="001E4A77">
        <w:rPr>
          <w:rFonts w:asciiTheme="majorHAnsi" w:hAnsiTheme="majorHAnsi" w:cstheme="majorHAnsi"/>
        </w:rPr>
        <w:t>privación de la libertad</w:t>
      </w:r>
      <w:r w:rsidRPr="001E4A77">
        <w:rPr>
          <w:rFonts w:asciiTheme="majorHAnsi" w:hAnsiTheme="majorHAnsi" w:cstheme="majorHAnsi"/>
        </w:rPr>
        <w:t xml:space="preserve"> </w:t>
      </w:r>
      <w:r w:rsidR="001B54A8">
        <w:rPr>
          <w:rFonts w:asciiTheme="majorHAnsi" w:hAnsiTheme="majorHAnsi" w:cstheme="majorHAnsi"/>
        </w:rPr>
        <w:t xml:space="preserve">de manera excepcional </w:t>
      </w:r>
      <w:r w:rsidRPr="001E4A77">
        <w:rPr>
          <w:rFonts w:asciiTheme="majorHAnsi" w:hAnsiTheme="majorHAnsi" w:cstheme="majorHAnsi"/>
        </w:rPr>
        <w:t>cuando una orden de expulsión estuviese firme y consentida</w:t>
      </w:r>
      <w:r w:rsidR="007F5236" w:rsidRPr="001E4A77">
        <w:rPr>
          <w:rFonts w:asciiTheme="majorHAnsi" w:hAnsiTheme="majorHAnsi" w:cstheme="majorHAnsi"/>
        </w:rPr>
        <w:t xml:space="preserve">, a los fines exclusivos de </w:t>
      </w:r>
      <w:r w:rsidRPr="001E4A77">
        <w:rPr>
          <w:rFonts w:asciiTheme="majorHAnsi" w:hAnsiTheme="majorHAnsi" w:cstheme="majorHAnsi"/>
        </w:rPr>
        <w:t xml:space="preserve">asegurar el cumplimiento de una orden de expulsión dictada, aunque no firme. El DNU, por el contrario, </w:t>
      </w:r>
      <w:r w:rsidRPr="00AA1AD4">
        <w:rPr>
          <w:rFonts w:asciiTheme="majorHAnsi" w:hAnsiTheme="majorHAnsi" w:cstheme="majorHAnsi"/>
          <w:b/>
        </w:rPr>
        <w:t xml:space="preserve">permite la </w:t>
      </w:r>
      <w:r w:rsidR="007F5236" w:rsidRPr="00AA1AD4">
        <w:rPr>
          <w:rFonts w:asciiTheme="majorHAnsi" w:hAnsiTheme="majorHAnsi" w:cstheme="majorHAnsi"/>
          <w:b/>
        </w:rPr>
        <w:t>retención</w:t>
      </w:r>
      <w:r w:rsidRPr="00AA1AD4">
        <w:rPr>
          <w:rFonts w:asciiTheme="majorHAnsi" w:hAnsiTheme="majorHAnsi" w:cstheme="majorHAnsi"/>
          <w:b/>
        </w:rPr>
        <w:t xml:space="preserve"> desde el inicio del procedimiento sumarísimo en carácter “preventivo”, sin exigencias de “excepcionalidad”</w:t>
      </w:r>
      <w:r w:rsidRPr="001E4A77">
        <w:rPr>
          <w:rFonts w:asciiTheme="majorHAnsi" w:hAnsiTheme="majorHAnsi" w:cstheme="majorHAnsi"/>
        </w:rPr>
        <w:t xml:space="preserve"> e incluso sin dictarse la orden de expulsión. </w:t>
      </w:r>
      <w:r w:rsidR="007F5236" w:rsidRPr="001E4A77">
        <w:rPr>
          <w:rFonts w:asciiTheme="majorHAnsi" w:hAnsiTheme="majorHAnsi" w:cstheme="majorHAnsi"/>
        </w:rPr>
        <w:t>Incluso, el artículo 70 del DNU</w:t>
      </w:r>
      <w:r w:rsidRPr="001E4A77">
        <w:rPr>
          <w:rFonts w:asciiTheme="majorHAnsi" w:hAnsiTheme="majorHAnsi" w:cstheme="majorHAnsi"/>
        </w:rPr>
        <w:t xml:space="preserve"> prevé una cl</w:t>
      </w:r>
      <w:r w:rsidR="007F5236" w:rsidRPr="001E4A77">
        <w:rPr>
          <w:rFonts w:asciiTheme="majorHAnsi" w:hAnsiTheme="majorHAnsi" w:cstheme="majorHAnsi"/>
        </w:rPr>
        <w:t>áusula abierta que autoriza la r</w:t>
      </w:r>
      <w:r w:rsidRPr="001E4A77">
        <w:rPr>
          <w:rFonts w:asciiTheme="majorHAnsi" w:hAnsiTheme="majorHAnsi" w:cstheme="majorHAnsi"/>
        </w:rPr>
        <w:t>etención en aquellos casos que la DNM califique de “gravedad institucional”.</w:t>
      </w:r>
    </w:p>
    <w:p w14:paraId="0000003E" w14:textId="3724D690"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Además, el mismo artículo 70 del DNU 70/2017 </w:t>
      </w:r>
      <w:r w:rsidR="00A0424F" w:rsidRPr="001E4A77">
        <w:rPr>
          <w:rFonts w:asciiTheme="majorHAnsi" w:hAnsiTheme="majorHAnsi" w:cstheme="majorHAnsi"/>
        </w:rPr>
        <w:t xml:space="preserve">establece </w:t>
      </w:r>
      <w:r w:rsidRPr="001E4A77">
        <w:rPr>
          <w:rFonts w:asciiTheme="majorHAnsi" w:hAnsiTheme="majorHAnsi" w:cstheme="majorHAnsi"/>
        </w:rPr>
        <w:t xml:space="preserve">que, ante medidas expulsivas firmes, el plazo de retención será de 30 días corridos prorrogables por disposición judicial por otros 30 días, el doble que disponía la Ley de Migraciones. Y, por si no fuera suficiente, </w:t>
      </w:r>
      <w:r w:rsidRPr="001B54A8">
        <w:rPr>
          <w:rFonts w:asciiTheme="majorHAnsi" w:hAnsiTheme="majorHAnsi" w:cstheme="majorHAnsi"/>
          <w:b/>
        </w:rPr>
        <w:t>el DNU habilita la posibilidad de extenderse el plazo de manera indefinido ante la interposición de los recursos</w:t>
      </w:r>
      <w:r w:rsidRPr="001E4A77">
        <w:rPr>
          <w:rFonts w:asciiTheme="majorHAnsi" w:hAnsiTheme="majorHAnsi" w:cstheme="majorHAnsi"/>
        </w:rPr>
        <w:t>, por lo que</w:t>
      </w:r>
      <w:r w:rsidR="00A0424F" w:rsidRPr="001E4A77">
        <w:rPr>
          <w:rFonts w:asciiTheme="majorHAnsi" w:hAnsiTheme="majorHAnsi" w:cstheme="majorHAnsi"/>
        </w:rPr>
        <w:t>,</w:t>
      </w:r>
      <w:r w:rsidRPr="001E4A77">
        <w:rPr>
          <w:rFonts w:asciiTheme="majorHAnsi" w:hAnsiTheme="majorHAnsi" w:cstheme="majorHAnsi"/>
        </w:rPr>
        <w:t xml:space="preserve"> </w:t>
      </w:r>
      <w:r w:rsidR="001B54A8">
        <w:rPr>
          <w:rFonts w:asciiTheme="majorHAnsi" w:hAnsiTheme="majorHAnsi" w:cstheme="majorHAnsi"/>
        </w:rPr>
        <w:t>si el migrante quier</w:t>
      </w:r>
      <w:r w:rsidR="00A0424F" w:rsidRPr="001E4A77">
        <w:rPr>
          <w:rFonts w:asciiTheme="majorHAnsi" w:hAnsiTheme="majorHAnsi" w:cstheme="majorHAnsi"/>
        </w:rPr>
        <w:t xml:space="preserve">e </w:t>
      </w:r>
      <w:r w:rsidRPr="001E4A77">
        <w:rPr>
          <w:rFonts w:asciiTheme="majorHAnsi" w:hAnsiTheme="majorHAnsi" w:cstheme="majorHAnsi"/>
        </w:rPr>
        <w:t xml:space="preserve">hacer uso de su derecho de apelar la decisión, implicará </w:t>
      </w:r>
      <w:r w:rsidR="00A0424F" w:rsidRPr="001E4A77">
        <w:rPr>
          <w:rFonts w:asciiTheme="majorHAnsi" w:hAnsiTheme="majorHAnsi" w:cstheme="majorHAnsi"/>
        </w:rPr>
        <w:t xml:space="preserve">que puede </w:t>
      </w:r>
      <w:r w:rsidRPr="001E4A77">
        <w:rPr>
          <w:rFonts w:asciiTheme="majorHAnsi" w:hAnsiTheme="majorHAnsi" w:cstheme="majorHAnsi"/>
        </w:rPr>
        <w:t>permanecer privado de su libertad indefinidamente.</w:t>
      </w:r>
    </w:p>
    <w:p w14:paraId="0000003F" w14:textId="6B0386FB"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Por otro lado, el control judicial de </w:t>
      </w:r>
      <w:r w:rsidR="007F5236" w:rsidRPr="001E4A77">
        <w:rPr>
          <w:rFonts w:asciiTheme="majorHAnsi" w:hAnsiTheme="majorHAnsi" w:cstheme="majorHAnsi"/>
        </w:rPr>
        <w:t>la privación de libertad</w:t>
      </w:r>
      <w:r w:rsidRPr="001E4A77">
        <w:rPr>
          <w:rFonts w:asciiTheme="majorHAnsi" w:hAnsiTheme="majorHAnsi" w:cstheme="majorHAnsi"/>
        </w:rPr>
        <w:t xml:space="preserve"> se ve fuertemente comprometido. El DNU no establece ningún elemento que deberá aportar la autoridad migratoria para q</w:t>
      </w:r>
      <w:r w:rsidR="007F5236" w:rsidRPr="001E4A77">
        <w:rPr>
          <w:rFonts w:asciiTheme="majorHAnsi" w:hAnsiTheme="majorHAnsi" w:cstheme="majorHAnsi"/>
        </w:rPr>
        <w:t>ue el juez evalúe el pedido de r</w:t>
      </w:r>
      <w:r w:rsidRPr="001E4A77">
        <w:rPr>
          <w:rFonts w:asciiTheme="majorHAnsi" w:hAnsiTheme="majorHAnsi" w:cstheme="majorHAnsi"/>
        </w:rPr>
        <w:t xml:space="preserve">etención o qué margen tiene el juez para rechazar el pedido. De acuerdo a la regulación de la </w:t>
      </w:r>
      <w:r w:rsidR="007F5236" w:rsidRPr="001E4A77">
        <w:rPr>
          <w:rFonts w:asciiTheme="majorHAnsi" w:hAnsiTheme="majorHAnsi" w:cstheme="majorHAnsi"/>
        </w:rPr>
        <w:t>r</w:t>
      </w:r>
      <w:r w:rsidRPr="001E4A77">
        <w:rPr>
          <w:rFonts w:asciiTheme="majorHAnsi" w:hAnsiTheme="majorHAnsi" w:cstheme="majorHAnsi"/>
        </w:rPr>
        <w:t xml:space="preserve">etención que introdujo el DNU 70/2017, </w:t>
      </w:r>
      <w:r w:rsidRPr="007A2E82">
        <w:rPr>
          <w:rFonts w:asciiTheme="majorHAnsi" w:hAnsiTheme="majorHAnsi" w:cstheme="majorHAnsi"/>
          <w:b/>
        </w:rPr>
        <w:t xml:space="preserve">la actuación judicial ante </w:t>
      </w:r>
      <w:r w:rsidR="007F5236" w:rsidRPr="007A2E82">
        <w:rPr>
          <w:rFonts w:asciiTheme="majorHAnsi" w:hAnsiTheme="majorHAnsi" w:cstheme="majorHAnsi"/>
          <w:b/>
        </w:rPr>
        <w:t>estos pedidos</w:t>
      </w:r>
      <w:r w:rsidRPr="007A2E82">
        <w:rPr>
          <w:rFonts w:asciiTheme="majorHAnsi" w:hAnsiTheme="majorHAnsi" w:cstheme="majorHAnsi"/>
          <w:b/>
        </w:rPr>
        <w:t xml:space="preserve"> parece reducirse a un procedimiento de forma, lo que tiene especial impacto en los casos de unidad familiar</w:t>
      </w:r>
      <w:r w:rsidRPr="001E4A77">
        <w:rPr>
          <w:rFonts w:asciiTheme="majorHAnsi" w:hAnsiTheme="majorHAnsi" w:cstheme="majorHAnsi"/>
        </w:rPr>
        <w:t>. La Ley 25.871 y su Decreto Reglamentario disponían que, ante una solicitud de retención, el juez debería suspender la retención una vez acreditado el vínculo familiar con un argentino y determinar que se habilitar</w:t>
      </w:r>
      <w:r w:rsidR="00FA0CFE">
        <w:rPr>
          <w:rFonts w:asciiTheme="majorHAnsi" w:hAnsiTheme="majorHAnsi" w:cstheme="majorHAnsi"/>
        </w:rPr>
        <w:t>a</w:t>
      </w:r>
      <w:r w:rsidRPr="001E4A77">
        <w:rPr>
          <w:rFonts w:asciiTheme="majorHAnsi" w:hAnsiTheme="majorHAnsi" w:cstheme="majorHAnsi"/>
        </w:rPr>
        <w:t xml:space="preserve"> la regularización migratoria. El DNU eliminó esta precisión legal y sólo habilita la revisión por unidad familiar si es un hecho nuevo no analizado por la administración y si se relaciona con hijo menor de edad o con discapacidad.</w:t>
      </w:r>
      <w:r w:rsidRPr="001E4A77">
        <w:rPr>
          <w:rFonts w:asciiTheme="majorHAnsi" w:hAnsiTheme="majorHAnsi" w:cstheme="majorHAnsi"/>
          <w:vertAlign w:val="superscript"/>
        </w:rPr>
        <w:footnoteReference w:id="6"/>
      </w:r>
      <w:r w:rsidR="00FA0CFE">
        <w:rPr>
          <w:rFonts w:asciiTheme="majorHAnsi" w:hAnsiTheme="majorHAnsi" w:cstheme="majorHAnsi"/>
        </w:rPr>
        <w:t xml:space="preserve"> Este cambio impacta sobre todo a las personas migrantes que no pudieron recurrir la decisión de expulsión a nivel administrativo y/o judicial por fallas en su notificación. En estos casos el único ámbito de revisión judicial y análisis de los derechos en juego es el orden de retención.  </w:t>
      </w:r>
      <w:r w:rsidRPr="001E4A77">
        <w:rPr>
          <w:rFonts w:asciiTheme="majorHAnsi" w:hAnsiTheme="majorHAnsi" w:cstheme="majorHAnsi"/>
        </w:rPr>
        <w:t xml:space="preserve"> </w:t>
      </w:r>
    </w:p>
    <w:p w14:paraId="00000040" w14:textId="5FE69B36"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En este sentido, cumple destacar, además, que en agosto de 2016 el Gobierno Nacional incluyó en la página de la Dirección Nacional de Migraciones la noticia de que construiría y habilitaría un centro para la detención de migrantes, como herramienta para </w:t>
      </w:r>
      <w:r w:rsidRPr="001E4A77">
        <w:rPr>
          <w:rFonts w:asciiTheme="majorHAnsi" w:hAnsiTheme="majorHAnsi" w:cstheme="majorHAnsi"/>
          <w:i/>
        </w:rPr>
        <w:t>"combatir la irregularidad migratoria”.</w:t>
      </w:r>
      <w:r w:rsidRPr="001E4A77">
        <w:rPr>
          <w:rFonts w:asciiTheme="majorHAnsi" w:hAnsiTheme="majorHAnsi" w:cstheme="majorHAnsi"/>
        </w:rPr>
        <w:t xml:space="preserve"> Frente a la reacción de los actores sociales este comunicado se modificó en tres oportunidades. Una tercera versión, que finalmente se retiró de la web, decía que se construiría un centro de detención para alojar a: </w:t>
      </w:r>
      <w:r w:rsidRPr="001E4A77">
        <w:rPr>
          <w:rFonts w:asciiTheme="majorHAnsi" w:hAnsiTheme="majorHAnsi" w:cstheme="majorHAnsi"/>
          <w:i/>
        </w:rPr>
        <w:t>“extranjeros con antecedentes penales o ingreso ilegal al país (…) que tienen pedido de expulsión en firme y se encuentran en situación de “retenidos” mediante resolución judicial fundada”</w:t>
      </w:r>
      <w:r w:rsidRPr="001E4A77">
        <w:rPr>
          <w:rFonts w:asciiTheme="majorHAnsi" w:hAnsiTheme="majorHAnsi" w:cstheme="majorHAnsi"/>
        </w:rPr>
        <w:t xml:space="preserve">. La DNM firmó un convenio con la Ciudad de Buenos Aires, que proveyó un inmueble para la instalación de este centro. Actualmente, </w:t>
      </w:r>
      <w:r w:rsidR="007A2E82">
        <w:rPr>
          <w:rFonts w:asciiTheme="majorHAnsi" w:hAnsiTheme="majorHAnsi" w:cstheme="majorHAnsi"/>
        </w:rPr>
        <w:t>se estarían realiza</w:t>
      </w:r>
      <w:r w:rsidRPr="001E4A77">
        <w:rPr>
          <w:rFonts w:asciiTheme="majorHAnsi" w:hAnsiTheme="majorHAnsi" w:cstheme="majorHAnsi"/>
        </w:rPr>
        <w:t>ndo las reformas</w:t>
      </w:r>
      <w:r w:rsidR="007A2E82">
        <w:rPr>
          <w:rFonts w:asciiTheme="majorHAnsi" w:hAnsiTheme="majorHAnsi" w:cstheme="majorHAnsi"/>
        </w:rPr>
        <w:t xml:space="preserve"> correspondientes</w:t>
      </w:r>
      <w:r w:rsidRPr="001E4A77">
        <w:rPr>
          <w:rFonts w:asciiTheme="majorHAnsi" w:hAnsiTheme="majorHAnsi" w:cstheme="majorHAnsi"/>
        </w:rPr>
        <w:t>.</w:t>
      </w:r>
    </w:p>
    <w:p w14:paraId="00000041" w14:textId="2CDD5194" w:rsidR="00EA4D3D"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Una de las razones que ha expresado la administración actual para la creación del centro de detención para migrantes es que algunos de ellos están siendo detenidos en comisarías o en unidades penitenciarias, pero sin explicar a qué situaciones en concreto se refiere. La existencia de un centro de detención sumada a la ampliación de las causales de expulsión y retención, la limitación de las garantías de debido proceso y del derecho a la defensa y la reducción del control judicial y del acceso a la justicia de las personas migrantes, pone en evidencia que el uso de la </w:t>
      </w:r>
      <w:r w:rsidR="009339CB" w:rsidRPr="001E4A77">
        <w:rPr>
          <w:rFonts w:asciiTheme="majorHAnsi" w:hAnsiTheme="majorHAnsi" w:cstheme="majorHAnsi"/>
        </w:rPr>
        <w:t>privación de libertad</w:t>
      </w:r>
      <w:r w:rsidRPr="001E4A77">
        <w:rPr>
          <w:rFonts w:asciiTheme="majorHAnsi" w:hAnsiTheme="majorHAnsi" w:cstheme="majorHAnsi"/>
        </w:rPr>
        <w:t xml:space="preserve"> por razones migratorias </w:t>
      </w:r>
      <w:r w:rsidR="00CA6D46" w:rsidRPr="001E4A77">
        <w:rPr>
          <w:rFonts w:asciiTheme="majorHAnsi" w:hAnsiTheme="majorHAnsi" w:cstheme="majorHAnsi"/>
        </w:rPr>
        <w:t xml:space="preserve">puede </w:t>
      </w:r>
      <w:r w:rsidRPr="001E4A77">
        <w:rPr>
          <w:rFonts w:asciiTheme="majorHAnsi" w:hAnsiTheme="majorHAnsi" w:cstheme="majorHAnsi"/>
        </w:rPr>
        <w:t>volver</w:t>
      </w:r>
      <w:r w:rsidR="00CA6D46" w:rsidRPr="001E4A77">
        <w:rPr>
          <w:rFonts w:asciiTheme="majorHAnsi" w:hAnsiTheme="majorHAnsi" w:cstheme="majorHAnsi"/>
        </w:rPr>
        <w:t>se</w:t>
      </w:r>
      <w:r w:rsidRPr="001E4A77">
        <w:rPr>
          <w:rFonts w:asciiTheme="majorHAnsi" w:hAnsiTheme="majorHAnsi" w:cstheme="majorHAnsi"/>
        </w:rPr>
        <w:t xml:space="preserve"> mucho más frecuente y sistemático. </w:t>
      </w:r>
    </w:p>
    <w:p w14:paraId="418F6C96" w14:textId="77777777" w:rsidR="007A2E82" w:rsidRPr="001E4A77" w:rsidRDefault="007A2E82" w:rsidP="001E4A77">
      <w:pPr>
        <w:spacing w:after="120"/>
        <w:jc w:val="both"/>
        <w:rPr>
          <w:rFonts w:asciiTheme="majorHAnsi" w:hAnsiTheme="majorHAnsi" w:cstheme="majorHAnsi"/>
        </w:rPr>
      </w:pPr>
    </w:p>
    <w:p w14:paraId="00000042" w14:textId="77777777" w:rsidR="00EA4D3D" w:rsidRPr="001E4A77" w:rsidRDefault="00296A74" w:rsidP="001E4A77">
      <w:pPr>
        <w:spacing w:after="120"/>
        <w:jc w:val="both"/>
        <w:rPr>
          <w:rFonts w:asciiTheme="majorHAnsi" w:hAnsiTheme="majorHAnsi" w:cstheme="majorHAnsi"/>
          <w:b/>
        </w:rPr>
      </w:pPr>
      <w:r w:rsidRPr="001E4A77">
        <w:rPr>
          <w:rFonts w:asciiTheme="majorHAnsi" w:hAnsiTheme="majorHAnsi" w:cstheme="majorHAnsi"/>
          <w:b/>
        </w:rPr>
        <w:t xml:space="preserve">Aumento de las expulsiones y la práctica en los procedimientos de expulsión </w:t>
      </w:r>
    </w:p>
    <w:p w14:paraId="00000043" w14:textId="24373C3F"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Según informó la DNM a un pedido de acceso a la información de la Universidad Nacional de Lanús, en 2014 se dictaron 1760 órdenes de expulsión y en 2015 se dictaron 1908. A partir de la nueva gestión el número anual más que se duplica. En 2016 se dictaron 4565, en 2017 fueron 4336 y a septiembre de 2018 el total estaba en 4026 órdenes de expulsión.  A su vez, las expulsiones efectivas en 2014 y 2015 sumaban un total de 26, en un promedio anual de 13 expulsiones. Entre 2016 y 2018, este número llegaba a un total de 258 – con un promedio 6 veces mayor, siendo que sólo a octubre de 2018 las expulsiones llegaron a 150 anual</w:t>
      </w:r>
      <w:r w:rsidRPr="001E4A77">
        <w:rPr>
          <w:rFonts w:asciiTheme="majorHAnsi" w:hAnsiTheme="majorHAnsi" w:cstheme="majorHAnsi"/>
          <w:vertAlign w:val="superscript"/>
        </w:rPr>
        <w:footnoteReference w:id="7"/>
      </w:r>
      <w:r w:rsidRPr="001E4A77">
        <w:rPr>
          <w:rFonts w:asciiTheme="majorHAnsi" w:hAnsiTheme="majorHAnsi" w:cstheme="majorHAnsi"/>
        </w:rPr>
        <w:t xml:space="preserve">. </w:t>
      </w:r>
    </w:p>
    <w:p w14:paraId="00000044" w14:textId="72FE285E"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Más allá del alarmante aumento de las expulsiones, las características de los casos muestran un patrón preocupante en los procedimientos de expulsión, basados en la lógica introducida por el DNU 70/2017 </w:t>
      </w:r>
      <w:r w:rsidR="00500175">
        <w:rPr>
          <w:rFonts w:asciiTheme="majorHAnsi" w:hAnsiTheme="majorHAnsi" w:cstheme="majorHAnsi"/>
        </w:rPr>
        <w:t>que viola</w:t>
      </w:r>
      <w:r w:rsidRPr="001E4A77">
        <w:rPr>
          <w:rFonts w:asciiTheme="majorHAnsi" w:hAnsiTheme="majorHAnsi" w:cstheme="majorHAnsi"/>
        </w:rPr>
        <w:t xml:space="preserve"> los derechos de las personas migrantes.</w:t>
      </w:r>
    </w:p>
    <w:p w14:paraId="00000045" w14:textId="4B9E5570"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En los casos en que la orden de expulsión queda firme en sede administrativa, muchas veces esto sucede sin que la persona haya tomado conocimiento de su existencia ya que se procede a fijar la notificación en el último domicilio declarado y no se requiere que la misma sea fehaciente. De esta manera, la notificación de una decisión de tal magnitud como la orden de expulsión puede ser tenida como válida sin contar con la firma de la persona afectada</w:t>
      </w:r>
      <w:r w:rsidRPr="001E4A77">
        <w:rPr>
          <w:rFonts w:asciiTheme="majorHAnsi" w:hAnsiTheme="majorHAnsi" w:cstheme="majorHAnsi"/>
          <w:vertAlign w:val="superscript"/>
        </w:rPr>
        <w:footnoteReference w:id="8"/>
      </w:r>
      <w:r w:rsidRPr="001E4A77">
        <w:rPr>
          <w:rFonts w:asciiTheme="majorHAnsi" w:hAnsiTheme="majorHAnsi" w:cstheme="majorHAnsi"/>
        </w:rPr>
        <w:t>. En estos casos, el Estado suele proceder con la expulsión solicitando la retención de la persona migrante aun cuando no cuenta con defensor y sin haberle dado intervención a la defensa pública</w:t>
      </w:r>
      <w:r w:rsidRPr="001E4A77">
        <w:rPr>
          <w:rFonts w:asciiTheme="majorHAnsi" w:hAnsiTheme="majorHAnsi" w:cstheme="majorHAnsi"/>
          <w:vertAlign w:val="superscript"/>
        </w:rPr>
        <w:footnoteReference w:id="9"/>
      </w:r>
      <w:r w:rsidRPr="001E4A77">
        <w:rPr>
          <w:rFonts w:asciiTheme="majorHAnsi" w:hAnsiTheme="majorHAnsi" w:cstheme="majorHAnsi"/>
        </w:rPr>
        <w:t xml:space="preserve">.  </w:t>
      </w:r>
      <w:r w:rsidR="00500175">
        <w:rPr>
          <w:rFonts w:asciiTheme="majorHAnsi" w:hAnsiTheme="majorHAnsi" w:cstheme="majorHAnsi"/>
        </w:rPr>
        <w:t>L</w:t>
      </w:r>
      <w:r w:rsidRPr="001E4A77">
        <w:rPr>
          <w:rFonts w:asciiTheme="majorHAnsi" w:hAnsiTheme="majorHAnsi" w:cstheme="majorHAnsi"/>
        </w:rPr>
        <w:t xml:space="preserve">a intervención judicial se limita al control de los requisitos formales </w:t>
      </w:r>
      <w:r w:rsidR="002248AA">
        <w:rPr>
          <w:rFonts w:asciiTheme="majorHAnsi" w:hAnsiTheme="majorHAnsi" w:cstheme="majorHAnsi"/>
        </w:rPr>
        <w:t xml:space="preserve">para la retención </w:t>
      </w:r>
      <w:r w:rsidRPr="001E4A77">
        <w:rPr>
          <w:rFonts w:asciiTheme="majorHAnsi" w:hAnsiTheme="majorHAnsi" w:cstheme="majorHAnsi"/>
        </w:rPr>
        <w:t>y avala la decisión administrativa sin hacer un análisis de los derechos en juego.</w:t>
      </w:r>
      <w:r w:rsidRPr="001E4A77">
        <w:rPr>
          <w:rFonts w:asciiTheme="majorHAnsi" w:hAnsiTheme="majorHAnsi" w:cstheme="majorHAnsi"/>
          <w:vertAlign w:val="superscript"/>
        </w:rPr>
        <w:footnoteReference w:id="10"/>
      </w:r>
      <w:r w:rsidRPr="001E4A77">
        <w:rPr>
          <w:rFonts w:asciiTheme="majorHAnsi" w:hAnsiTheme="majorHAnsi" w:cstheme="majorHAnsi"/>
        </w:rPr>
        <w:t xml:space="preserve"> </w:t>
      </w:r>
    </w:p>
    <w:p w14:paraId="3AD26371" w14:textId="77777777" w:rsidR="00BF30B1"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En los casos en que las personas migrantes apelaron y avanzaron a la instancia judicial, una cantidad importante de los casos muestra que el poder judicial </w:t>
      </w:r>
      <w:r w:rsidR="00BF30B1">
        <w:rPr>
          <w:rFonts w:asciiTheme="majorHAnsi" w:hAnsiTheme="majorHAnsi" w:cstheme="majorHAnsi"/>
        </w:rPr>
        <w:t xml:space="preserve">tampoco en estos casos </w:t>
      </w:r>
      <w:r w:rsidRPr="001E4A77">
        <w:rPr>
          <w:rFonts w:asciiTheme="majorHAnsi" w:hAnsiTheme="majorHAnsi" w:cstheme="majorHAnsi"/>
        </w:rPr>
        <w:t xml:space="preserve">ha analizado el derecho a la unidad familiar </w:t>
      </w:r>
      <w:r w:rsidR="00BF30B1">
        <w:rPr>
          <w:rFonts w:asciiTheme="majorHAnsi" w:hAnsiTheme="majorHAnsi" w:cstheme="majorHAnsi"/>
        </w:rPr>
        <w:t xml:space="preserve">y </w:t>
      </w:r>
      <w:r w:rsidRPr="001E4A77">
        <w:rPr>
          <w:rFonts w:asciiTheme="majorHAnsi" w:hAnsiTheme="majorHAnsi" w:cstheme="majorHAnsi"/>
        </w:rPr>
        <w:t xml:space="preserve">el interés superior del niño, avalando la discrecionalidad de la administración en la materia. </w:t>
      </w:r>
    </w:p>
    <w:p w14:paraId="00000046" w14:textId="2AFD528D" w:rsidR="00EA4D3D" w:rsidRPr="001E4A77" w:rsidRDefault="00BF30B1" w:rsidP="001E4A77">
      <w:pPr>
        <w:spacing w:after="120"/>
        <w:jc w:val="both"/>
        <w:rPr>
          <w:rFonts w:asciiTheme="majorHAnsi" w:hAnsiTheme="majorHAnsi" w:cstheme="majorHAnsi"/>
        </w:rPr>
      </w:pPr>
      <w:r>
        <w:rPr>
          <w:rFonts w:asciiTheme="majorHAnsi" w:hAnsiTheme="majorHAnsi" w:cstheme="majorHAnsi"/>
        </w:rPr>
        <w:t>Además, e</w:t>
      </w:r>
      <w:r w:rsidR="00296A74" w:rsidRPr="001E4A77">
        <w:rPr>
          <w:rFonts w:asciiTheme="majorHAnsi" w:hAnsiTheme="majorHAnsi" w:cstheme="majorHAnsi"/>
        </w:rPr>
        <w:t xml:space="preserve">n ningún caso se escucha a las niñas, niños o adolescentes que serían separados de sus madres o padres. En este sentido, el Ministerio del Interior y Obras Públicas y Viviendas, organismo superior jerárquico de la Dirección Nacional de Migraciones, ante las preguntas realizadas por el Congreso de la Nación </w:t>
      </w:r>
      <w:r>
        <w:rPr>
          <w:rFonts w:asciiTheme="majorHAnsi" w:hAnsiTheme="majorHAnsi" w:cstheme="majorHAnsi"/>
        </w:rPr>
        <w:t xml:space="preserve">sobre la temática, ha apoyado esta conducta: </w:t>
      </w:r>
      <w:r w:rsidR="00296A74" w:rsidRPr="001E4A77">
        <w:rPr>
          <w:rFonts w:asciiTheme="majorHAnsi" w:hAnsiTheme="majorHAnsi" w:cstheme="majorHAnsi"/>
          <w:i/>
        </w:rPr>
        <w:t>“La jurisprudencia nacional ha seguido, sin perjuicio de matices y diferencias propias de cada caso, una solución análoga con respecto a la intervención de los hijos de los extranjeros que impugnan la situación migratoria dada por la autoridad de aplicación. Recuérdese, en este sentido, que la Sala IV de esta Cámara de Apelaciones tuvo ocasión de señalar que el marco normativo aplicable no prevé la intervención del Ministerio Pupilar en orden a tutelar los derechos de los hijos menores del expulsado, quienes no tienen una pretensión autónoma para oponerse a ella ni, por ende, revisten el carácter de parte en los procesos de esta naturaleza, no resultando suficiente, a tal efecto, la mera invocación del interés superior del niño</w:t>
      </w:r>
      <w:r w:rsidR="00296A74" w:rsidRPr="001E4A77">
        <w:rPr>
          <w:rFonts w:asciiTheme="majorHAnsi" w:hAnsiTheme="majorHAnsi" w:cstheme="majorHAnsi"/>
        </w:rPr>
        <w:t>”</w:t>
      </w:r>
      <w:r w:rsidR="00296A74" w:rsidRPr="001E4A77">
        <w:rPr>
          <w:rFonts w:asciiTheme="majorHAnsi" w:hAnsiTheme="majorHAnsi" w:cstheme="majorHAnsi"/>
          <w:vertAlign w:val="superscript"/>
        </w:rPr>
        <w:footnoteReference w:id="11"/>
      </w:r>
      <w:r w:rsidR="00296A74" w:rsidRPr="001E4A77">
        <w:rPr>
          <w:rFonts w:asciiTheme="majorHAnsi" w:hAnsiTheme="majorHAnsi" w:cstheme="majorHAnsi"/>
        </w:rPr>
        <w:t xml:space="preserve">. </w:t>
      </w:r>
    </w:p>
    <w:p w14:paraId="3FD5F92A" w14:textId="3F5C599F" w:rsidR="002D5DC4" w:rsidRPr="002D5DC4" w:rsidRDefault="00296A74" w:rsidP="002D5DC4">
      <w:pPr>
        <w:spacing w:after="120"/>
        <w:jc w:val="both"/>
        <w:rPr>
          <w:rFonts w:asciiTheme="majorHAnsi" w:hAnsiTheme="majorHAnsi" w:cstheme="majorHAnsi"/>
        </w:rPr>
      </w:pPr>
      <w:r w:rsidRPr="001E4A77">
        <w:rPr>
          <w:rFonts w:asciiTheme="majorHAnsi" w:hAnsiTheme="majorHAnsi" w:cstheme="majorHAnsi"/>
        </w:rPr>
        <w:t>En el mencionado pedido de información del Congreso de la Nación, la DNM ha dejado clara su posición respecto de la discrecionalidad de la administración en aplicar o no el derecho a la unidad familiar, distorsionando lo que dice la jurisprudencia internacional en la materia: “A mayor abundamiento, en relación a la separación de padres e hijos con motivos de una expulsión del progenitor, en la Opinión Consultiva OC 21/14 se dispuso que el derecho a la vida familiar de la niña o del niño per se no supera la facultad de los Estados de implementar sus propias políticas migratorias en consonancia con los derechos humanos, en el marco de los procedimientos relativos a una expulsión de uno o ambos progenitores. (OC 21/14, considerandos 274 y 275).”.</w:t>
      </w:r>
      <w:r w:rsidRPr="001E4A77">
        <w:rPr>
          <w:rFonts w:asciiTheme="majorHAnsi" w:hAnsiTheme="majorHAnsi" w:cstheme="majorHAnsi"/>
          <w:vertAlign w:val="superscript"/>
        </w:rPr>
        <w:footnoteReference w:id="12"/>
      </w:r>
      <w:r w:rsidR="002D5DC4">
        <w:rPr>
          <w:rFonts w:asciiTheme="majorHAnsi" w:hAnsiTheme="majorHAnsi" w:cstheme="majorHAnsi"/>
        </w:rPr>
        <w:t xml:space="preserve"> Esto cuando e</w:t>
      </w:r>
      <w:r w:rsidR="002D5DC4" w:rsidRPr="002D5DC4">
        <w:rPr>
          <w:rFonts w:asciiTheme="majorHAnsi" w:hAnsiTheme="majorHAnsi" w:cstheme="majorHAnsi"/>
        </w:rPr>
        <w:t>l Comité de los Derechos del Niño ha reconocido el interés superior del niño como una limitación, una obligación</w:t>
      </w:r>
      <w:r w:rsidR="002D5DC4">
        <w:rPr>
          <w:rFonts w:asciiTheme="majorHAnsi" w:hAnsiTheme="majorHAnsi" w:cstheme="majorHAnsi"/>
        </w:rPr>
        <w:t xml:space="preserve"> y</w:t>
      </w:r>
      <w:r w:rsidR="002D5DC4" w:rsidRPr="002D5DC4">
        <w:rPr>
          <w:rFonts w:asciiTheme="majorHAnsi" w:hAnsiTheme="majorHAnsi" w:cstheme="majorHAnsi"/>
        </w:rPr>
        <w:t xml:space="preserve"> una prescripción de carácter imperativo hacia las autoridades.</w:t>
      </w:r>
    </w:p>
    <w:p w14:paraId="00000048" w14:textId="246CEDC8"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En ambas situaciones y tanto en sede administrativa como en sede judicial, la mera existencia de antecedentes penales es suficiente para proceder a la expulsión. No se tienen en cuenta ni los largos años de residencia en el país</w:t>
      </w:r>
      <w:r w:rsidR="00DB7984" w:rsidRPr="001E4A77">
        <w:rPr>
          <w:rFonts w:asciiTheme="majorHAnsi" w:hAnsiTheme="majorHAnsi" w:cstheme="majorHAnsi"/>
        </w:rPr>
        <w:t xml:space="preserve"> (el arraigo)</w:t>
      </w:r>
      <w:r w:rsidRPr="001E4A77">
        <w:rPr>
          <w:rFonts w:asciiTheme="majorHAnsi" w:hAnsiTheme="majorHAnsi" w:cstheme="majorHAnsi"/>
        </w:rPr>
        <w:t xml:space="preserve">, ni la situación familiar, ni el interés superior de los niños. Ello así, prevalece el criterio discrecional de la administración sin el debido control judicial, lo que obsta también en la práctica el acceso a la justicia de las personas migrantes en el procedimiento migratorio, que se vuelve ilusorio. </w:t>
      </w:r>
    </w:p>
    <w:p w14:paraId="00000049" w14:textId="13BC4919"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Asimismo, el artículo 63 de la Ley de Migraciones determina que la expulsión lleva implícito una prohibición de reingreso no inferior a 5 años que se graduará según la importancia de la causa que la </w:t>
      </w:r>
      <w:proofErr w:type="gramStart"/>
      <w:r w:rsidRPr="001E4A77">
        <w:rPr>
          <w:rFonts w:asciiTheme="majorHAnsi" w:hAnsiTheme="majorHAnsi" w:cstheme="majorHAnsi"/>
        </w:rPr>
        <w:t>motivara</w:t>
      </w:r>
      <w:proofErr w:type="gramEnd"/>
      <w:r w:rsidRPr="001E4A77">
        <w:rPr>
          <w:rFonts w:asciiTheme="majorHAnsi" w:hAnsiTheme="majorHAnsi" w:cstheme="majorHAnsi"/>
        </w:rPr>
        <w:t xml:space="preserve">, pudiendo llegar a permanente. Sin embargo, el Poder Ejecutivo viene determinando en </w:t>
      </w:r>
      <w:r w:rsidR="002248AA">
        <w:rPr>
          <w:rFonts w:asciiTheme="majorHAnsi" w:hAnsiTheme="majorHAnsi" w:cstheme="majorHAnsi"/>
        </w:rPr>
        <w:t xml:space="preserve">casi </w:t>
      </w:r>
      <w:r w:rsidRPr="001E4A77">
        <w:rPr>
          <w:rFonts w:asciiTheme="majorHAnsi" w:hAnsiTheme="majorHAnsi" w:cstheme="majorHAnsi"/>
        </w:rPr>
        <w:t>todos los casos la prohibición de reingreso permanente, sin importar la situación individual.</w:t>
      </w:r>
    </w:p>
    <w:p w14:paraId="0000004A" w14:textId="3478FA8D"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Además, el momento de ejecución de la orden de expulsión involucra el engaño. Las detenciones se llevan a cabo en días complejos para presentar demandas judiciales, como los días viernes, y se ejecutan en tiempo récord con escasa posibilidad de intervención judicial efectiva, así como de despedidas y organización de la vida familiar para afrontar esta ausencia. </w:t>
      </w:r>
    </w:p>
    <w:p w14:paraId="0000004B" w14:textId="588F3BC8" w:rsidR="00EA4D3D" w:rsidRDefault="00296A74" w:rsidP="001E4A77">
      <w:pPr>
        <w:spacing w:after="120"/>
        <w:jc w:val="both"/>
        <w:rPr>
          <w:rFonts w:asciiTheme="majorHAnsi" w:hAnsiTheme="majorHAnsi" w:cstheme="majorHAnsi"/>
        </w:rPr>
      </w:pPr>
      <w:r w:rsidRPr="001E4A77">
        <w:rPr>
          <w:rFonts w:asciiTheme="majorHAnsi" w:hAnsiTheme="majorHAnsi" w:cstheme="majorHAnsi"/>
        </w:rPr>
        <w:t>Los casos que se describirán a continuación no son exhaustivos, pero ejemplifican de manera dramática este grave escenario de expulsiones de migrantes c</w:t>
      </w:r>
      <w:r w:rsidR="002248AA">
        <w:rPr>
          <w:rFonts w:asciiTheme="majorHAnsi" w:hAnsiTheme="majorHAnsi" w:cstheme="majorHAnsi"/>
        </w:rPr>
        <w:t>on larga trayectoria en el país y</w:t>
      </w:r>
      <w:r w:rsidRPr="001E4A77">
        <w:rPr>
          <w:rFonts w:asciiTheme="majorHAnsi" w:hAnsiTheme="majorHAnsi" w:cstheme="majorHAnsi"/>
        </w:rPr>
        <w:t xml:space="preserve"> con situaciones de extrema gr</w:t>
      </w:r>
      <w:r w:rsidR="00CB18E9">
        <w:rPr>
          <w:rFonts w:asciiTheme="majorHAnsi" w:hAnsiTheme="majorHAnsi" w:cstheme="majorHAnsi"/>
        </w:rPr>
        <w:t>avedad de separación de familia</w:t>
      </w:r>
      <w:r w:rsidRPr="001E4A77">
        <w:rPr>
          <w:rFonts w:asciiTheme="majorHAnsi" w:hAnsiTheme="majorHAnsi" w:cstheme="majorHAnsi"/>
        </w:rPr>
        <w:t xml:space="preserve">. En resumen, evidencian un patrón: la notificación de las decisiones administrativas no es fehaciente; se procede a la expulsión sin defensor constituido; tanto la administración como el poder judicial no analizan el arraigo, la unidad familiar o el interés superior del niño; las y los niños no son oídos; y el criterio único y absoluto es la existencia de antecedentes penales. </w:t>
      </w:r>
    </w:p>
    <w:p w14:paraId="7F400F37" w14:textId="77777777" w:rsidR="002248AA" w:rsidRDefault="002248AA" w:rsidP="001E4A77">
      <w:pPr>
        <w:spacing w:after="120"/>
        <w:jc w:val="both"/>
        <w:rPr>
          <w:rFonts w:asciiTheme="majorHAnsi" w:hAnsiTheme="majorHAnsi" w:cstheme="majorHAnsi"/>
          <w:b/>
        </w:rPr>
      </w:pPr>
    </w:p>
    <w:p w14:paraId="0000004C" w14:textId="242D7722"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b/>
        </w:rPr>
        <w:t>Efectos de los cambios normativos y en las prácticas estatales. Ejemplos de casos.</w:t>
      </w:r>
    </w:p>
    <w:p w14:paraId="0000004D" w14:textId="77777777" w:rsidR="00EA4D3D" w:rsidRPr="001E4A77" w:rsidRDefault="00296A74" w:rsidP="001E4A77">
      <w:pPr>
        <w:spacing w:after="120"/>
        <w:jc w:val="both"/>
        <w:rPr>
          <w:rFonts w:asciiTheme="majorHAnsi" w:hAnsiTheme="majorHAnsi" w:cstheme="majorHAnsi"/>
          <w:b/>
        </w:rPr>
      </w:pPr>
      <w:r w:rsidRPr="001E4A77">
        <w:rPr>
          <w:rFonts w:asciiTheme="majorHAnsi" w:hAnsiTheme="majorHAnsi" w:cstheme="majorHAnsi"/>
          <w:b/>
        </w:rPr>
        <w:t xml:space="preserve">VANESSA GÓMEZ CUEVA </w:t>
      </w:r>
    </w:p>
    <w:p w14:paraId="0000004F" w14:textId="77777777"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Vanessa tiene 33 años, nació en Perú y ha residido en Argentina desde el año 2003 junto a toda su familia. En 2011 fue detenida y en 2013 la condenaron en un juicio abreviado a cuatro años de prisión por comercio de estupefacientes. Vanessa cumplió su condena y, tras recuperar su libertad en 2014, cursó y finalizó satisfactoriamente una Tecnicatura Superior en Enfermería además de diversos cursos de especialización en el área. Vanessa, madre soltera, rearmó su vida alrededor de la crianza de sus hijos nacidos en Argentina y, a partir del conocimiento adquirido, se dedicó al cuidado de pacientes adultos mayores. </w:t>
      </w:r>
    </w:p>
    <w:p w14:paraId="00000050" w14:textId="77777777"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En el año 2015, tras acercarse Vanessa a renovar su documentación, la DNM le inició de oficio un procedimiento y dispuso su expulsión por tener antecedentes penales. Ante la decisión de expulsión, Vanessa presentó un recurso administrativo con la asistencia jurídica de la Comisión del Migrante de la Defensoría General de la Nación solicitando la dispensa de la expulsión dada su calidad de madre de tres hijos argentinos y su probado arraigo fruto de su permanencia ininterrumpida durante quince años en el territorio nacional. En septiembre de 2016 ese recurso fue rechazado. </w:t>
      </w:r>
    </w:p>
    <w:p w14:paraId="00000051" w14:textId="70B820CD"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Transcurrido más de un año sin ningún tipo de novedad respecto de su situación migratoria, Vanessa decidió renunciar al patrocinio de la Comisión del Migrante para tramitar su expediente con un letrado particular. Vanessa no constituyó un nuevo domicilio procesal ni designó un nuevo letrado </w:t>
      </w:r>
      <w:proofErr w:type="spellStart"/>
      <w:r w:rsidRPr="001E4A77">
        <w:rPr>
          <w:rFonts w:asciiTheme="majorHAnsi" w:hAnsiTheme="majorHAnsi" w:cstheme="majorHAnsi"/>
        </w:rPr>
        <w:t>patrocinante</w:t>
      </w:r>
      <w:proofErr w:type="spellEnd"/>
      <w:r w:rsidRPr="001E4A77">
        <w:rPr>
          <w:rFonts w:asciiTheme="majorHAnsi" w:hAnsiTheme="majorHAnsi" w:cstheme="majorHAnsi"/>
        </w:rPr>
        <w:t xml:space="preserve">. A pesar de ello, el proceso continuó sin que Vanessa ni sus hijos cuenten con defensa oficial ni particular. La DNM envió una notificación -dando cuenta del rechazo del recurso interpuesto contra la orden de expulsión- al primer domicilio registrado por Vanessa al ingresar al país en el año 2003, domicilio en el cual ya no residía hacía varios años. </w:t>
      </w:r>
    </w:p>
    <w:p w14:paraId="00000052" w14:textId="77777777"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Sin perjuicio de ello, en octubre de 2018, la DNM consideró a Vanessa debidamente notificada y solicitó a la justicia la retención a los fines de expulsión. La justicia en lo contencioso administrativo federal, se limitó a constatar la existencia de la orden de expulsión, sin considerar la situación particular de Vanessa, y habilitó su retención. </w:t>
      </w:r>
    </w:p>
    <w:p w14:paraId="5EDE0B8A" w14:textId="77777777" w:rsidR="00D868E3" w:rsidRPr="001E4A77" w:rsidRDefault="00D868E3" w:rsidP="001E4A77">
      <w:pPr>
        <w:spacing w:after="120"/>
        <w:jc w:val="both"/>
        <w:rPr>
          <w:rFonts w:asciiTheme="majorHAnsi" w:hAnsiTheme="majorHAnsi" w:cstheme="majorHAnsi"/>
        </w:rPr>
      </w:pPr>
      <w:r w:rsidRPr="001E4A77">
        <w:rPr>
          <w:rFonts w:asciiTheme="majorHAnsi" w:hAnsiTheme="majorHAnsi" w:cstheme="majorHAnsi"/>
        </w:rPr>
        <w:t xml:space="preserve">El 1 de febrero de 2019, la policía se presentó en el domicilio de Vanessa Gómez Cueva y le informó que debía acompañarlos a "firmar una notificación". Los agentes de la policía le dijeron que el trámite era un proceso sencillo y rápido, razón por la cual Vanessa llevó a su hijo menor de 2 años y dejó a los otros dos hijos en casa, de 6 y 14 años. Engañada, Vanessa y su bebé fueron alojados en una celda sin luz ni agua por algunas horas, y de ahí directo al Aeropuerto Internacional de </w:t>
      </w:r>
      <w:proofErr w:type="spellStart"/>
      <w:r w:rsidRPr="001E4A77">
        <w:rPr>
          <w:rFonts w:asciiTheme="majorHAnsi" w:hAnsiTheme="majorHAnsi" w:cstheme="majorHAnsi"/>
        </w:rPr>
        <w:t>Ezeiza</w:t>
      </w:r>
      <w:proofErr w:type="spellEnd"/>
      <w:r w:rsidRPr="001E4A77">
        <w:rPr>
          <w:rFonts w:asciiTheme="majorHAnsi" w:hAnsiTheme="majorHAnsi" w:cstheme="majorHAnsi"/>
        </w:rPr>
        <w:t xml:space="preserve"> donde continuaron retenidos por autoridades de migraciones, alojados en condiciones similares a las anteriores. El 4 de febrero de 2019 fue expulsada del país junto a su hijo menor lactante sin haber podido despedirse de sus otros dos hijos argentinos, quienes quedaron al cuidado de otros familiares. </w:t>
      </w:r>
    </w:p>
    <w:p w14:paraId="00000053" w14:textId="22E38494"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El 1 de febrero de 2019 Vanessa fue retenida y tres días después se concretó su expulsión junto a su hijo menor lactante. En el transcurso entre su retención y su expulsión, Vanessa tomó contacto con un abogado particular -Dr. Juan Martín Villanueva, T°130 F°900 CPACF- quien, al constatar personalmente las condiciones inhumanas de encierro en las que se encontraban Vanessa y su bebé lactante, interpuso una acción de habeas corpus. En virtud de que la orden de expulsión estaba dictada por un juez, entendían que ya había un juez interviniendo por lo cual el habeas corpus fue rechazado, motivo por el cual el abogado interpuso un recurso de apelación. Este último también fue rechazado, motivo por el cual el abogado interpuso un recurso de casación, que fue declarado inadmisible. A raíz de esta decisión, se interpuso un Recurso Extraordinario Federal ante la Corte Suprema de Justicia de la Nación (CSJN), el cual fue declarado improcedente por mayoría. Contra tal decisión, el letrado presentó Recurso de Queja Directa ante la CSJN. </w:t>
      </w:r>
    </w:p>
    <w:p w14:paraId="00000054" w14:textId="77777777"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Además, el abogado de Vanessa interpuso un recurso de apelación contra la sentencia del Juzgado en lo Contencioso Administrativo Federal que autorizó la retención y un recurso de amparo en representación de Vanessa, sus dos hijos y su hija -todos ellos ciudadanos argentinos menores de edad- solicitando se garantice su derecho a la unidad familiar con especial atención al interés superior del niño, el cual fue rechazado con fecha 30 de mayo del corriente. Contra tal rechazo, el Dr. Villanueva interpuso Recurso de Apelación, el cual fue declarado inadmisible por la Cámara el día 13 de junio pasado. </w:t>
      </w:r>
    </w:p>
    <w:p w14:paraId="00000055" w14:textId="0D61E667"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Por último, también se encuentra pendiente de resolución un recurso administrativo de reconsideración interpuesto ante la DNM contra la decisión administrativa que ordenó la expulsión y prohibición perpetua de reingreso al territorio argentino de Vanessa. </w:t>
      </w:r>
    </w:p>
    <w:p w14:paraId="00000056" w14:textId="250C9465"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Aun cuando la propia legislación argentina contempla que la unificación familiar es un criterio que puede exc</w:t>
      </w:r>
      <w:r w:rsidR="009946E6" w:rsidRPr="001E4A77">
        <w:rPr>
          <w:rFonts w:asciiTheme="majorHAnsi" w:hAnsiTheme="majorHAnsi" w:cstheme="majorHAnsi"/>
        </w:rPr>
        <w:t>eptuar</w:t>
      </w:r>
      <w:r w:rsidRPr="001E4A77">
        <w:rPr>
          <w:rFonts w:asciiTheme="majorHAnsi" w:hAnsiTheme="majorHAnsi" w:cstheme="majorHAnsi"/>
        </w:rPr>
        <w:t xml:space="preserve"> a las personas de ser expulsadas, y que como se ha constatado en los diversos recursos y procesos iniciados el caso de Vanessa y sus hijos atienden a esta excepcionalidad, hasta ahora las respuestas estatales –tanto judiciales como administrativas– no han tenido consideración adecuada de esta situación, ni han valorado el daño irreparable sobre Vanessa ni las afectaciones que esto causa a los niños menores de edad. </w:t>
      </w:r>
    </w:p>
    <w:p w14:paraId="00000057" w14:textId="310C88E7" w:rsidR="00EA4D3D" w:rsidRDefault="00D868E3" w:rsidP="001E4A77">
      <w:pPr>
        <w:spacing w:after="120"/>
        <w:jc w:val="both"/>
        <w:rPr>
          <w:rFonts w:asciiTheme="majorHAnsi" w:hAnsiTheme="majorHAnsi" w:cstheme="majorHAnsi"/>
        </w:rPr>
      </w:pPr>
      <w:r w:rsidRPr="001E4A77">
        <w:rPr>
          <w:rFonts w:asciiTheme="majorHAnsi" w:hAnsiTheme="majorHAnsi" w:cstheme="majorHAnsi"/>
        </w:rPr>
        <w:t xml:space="preserve">En el mes de mayo </w:t>
      </w:r>
      <w:r w:rsidR="00BE7BB4">
        <w:rPr>
          <w:rFonts w:asciiTheme="majorHAnsi" w:hAnsiTheme="majorHAnsi" w:cstheme="majorHAnsi"/>
        </w:rPr>
        <w:t>de 2019</w:t>
      </w:r>
      <w:r w:rsidRPr="001E4A77">
        <w:rPr>
          <w:rFonts w:asciiTheme="majorHAnsi" w:hAnsiTheme="majorHAnsi" w:cstheme="majorHAnsi"/>
        </w:rPr>
        <w:t xml:space="preserve">, las organizaciones de </w:t>
      </w:r>
      <w:r w:rsidR="00BE7BB4">
        <w:rPr>
          <w:rFonts w:asciiTheme="majorHAnsi" w:hAnsiTheme="majorHAnsi" w:cstheme="majorHAnsi"/>
        </w:rPr>
        <w:t>d</w:t>
      </w:r>
      <w:r w:rsidRPr="001E4A77">
        <w:rPr>
          <w:rFonts w:asciiTheme="majorHAnsi" w:hAnsiTheme="majorHAnsi" w:cstheme="majorHAnsi"/>
        </w:rPr>
        <w:t xml:space="preserve">erechos </w:t>
      </w:r>
      <w:r w:rsidR="00BE7BB4">
        <w:rPr>
          <w:rFonts w:asciiTheme="majorHAnsi" w:hAnsiTheme="majorHAnsi" w:cstheme="majorHAnsi"/>
        </w:rPr>
        <w:t>h</w:t>
      </w:r>
      <w:r w:rsidRPr="001E4A77">
        <w:rPr>
          <w:rFonts w:asciiTheme="majorHAnsi" w:hAnsiTheme="majorHAnsi" w:cstheme="majorHAnsi"/>
        </w:rPr>
        <w:t xml:space="preserve">umanos </w:t>
      </w:r>
      <w:r w:rsidR="00296A74" w:rsidRPr="001E4A77">
        <w:rPr>
          <w:rFonts w:asciiTheme="majorHAnsi" w:hAnsiTheme="majorHAnsi" w:cstheme="majorHAnsi"/>
        </w:rPr>
        <w:t>Amnistía Internacional, CELS, CAREF y CEJIL</w:t>
      </w:r>
      <w:r w:rsidRPr="001E4A77">
        <w:rPr>
          <w:rFonts w:asciiTheme="majorHAnsi" w:hAnsiTheme="majorHAnsi" w:cstheme="majorHAnsi"/>
        </w:rPr>
        <w:t xml:space="preserve"> junto con el abogado de Vanessa </w:t>
      </w:r>
      <w:r w:rsidR="009946E6" w:rsidRPr="001E4A77">
        <w:rPr>
          <w:rFonts w:asciiTheme="majorHAnsi" w:hAnsiTheme="majorHAnsi" w:cstheme="majorHAnsi"/>
        </w:rPr>
        <w:t>Gómez</w:t>
      </w:r>
      <w:r w:rsidRPr="001E4A77">
        <w:rPr>
          <w:rFonts w:asciiTheme="majorHAnsi" w:hAnsiTheme="majorHAnsi" w:cstheme="majorHAnsi"/>
        </w:rPr>
        <w:t xml:space="preserve"> Cueva presentaron una solicitud de medida cautelar ante la Comisión Interamericana de Derechos Humanos</w:t>
      </w:r>
      <w:r w:rsidR="00C86A21" w:rsidRPr="001E4A77">
        <w:rPr>
          <w:rFonts w:asciiTheme="majorHAnsi" w:hAnsiTheme="majorHAnsi" w:cstheme="majorHAnsi"/>
        </w:rPr>
        <w:t xml:space="preserve"> solicitando</w:t>
      </w:r>
      <w:r w:rsidR="00296A74" w:rsidRPr="001E4A77">
        <w:rPr>
          <w:rFonts w:asciiTheme="majorHAnsi" w:hAnsiTheme="majorHAnsi" w:cstheme="majorHAnsi"/>
        </w:rPr>
        <w:t xml:space="preserve"> que ordene al Estado levantar la prohibición de reingreso para que Vanessa pueda regresar al país con su familia.</w:t>
      </w:r>
      <w:r w:rsidR="00C86A21" w:rsidRPr="001E4A77">
        <w:rPr>
          <w:rFonts w:asciiTheme="majorHAnsi" w:hAnsiTheme="majorHAnsi" w:cstheme="majorHAnsi"/>
        </w:rPr>
        <w:t xml:space="preserve"> Esta medida se basa en el grave perjuicio que están sufriendo los hijos de Vanessa que quedaron en el país sin su mamá y la afectación que esta separación representa para la propia Vanessa y su bebé. En este proceso se presentó la Procuración Penitenciaria de la Nación como </w:t>
      </w:r>
      <w:proofErr w:type="spellStart"/>
      <w:r w:rsidR="00C86A21" w:rsidRPr="001E4A77">
        <w:rPr>
          <w:rFonts w:asciiTheme="majorHAnsi" w:hAnsiTheme="majorHAnsi" w:cstheme="majorHAnsi"/>
        </w:rPr>
        <w:t>Amicus</w:t>
      </w:r>
      <w:proofErr w:type="spellEnd"/>
      <w:r w:rsidR="00C86A21" w:rsidRPr="001E4A77">
        <w:rPr>
          <w:rFonts w:asciiTheme="majorHAnsi" w:hAnsiTheme="majorHAnsi" w:cstheme="majorHAnsi"/>
        </w:rPr>
        <w:t xml:space="preserve"> </w:t>
      </w:r>
      <w:proofErr w:type="spellStart"/>
      <w:r w:rsidR="00C86A21" w:rsidRPr="001E4A77">
        <w:rPr>
          <w:rFonts w:asciiTheme="majorHAnsi" w:hAnsiTheme="majorHAnsi" w:cstheme="majorHAnsi"/>
        </w:rPr>
        <w:t>Curiae</w:t>
      </w:r>
      <w:proofErr w:type="spellEnd"/>
      <w:r w:rsidR="00C86A21" w:rsidRPr="001E4A77">
        <w:rPr>
          <w:rFonts w:asciiTheme="majorHAnsi" w:hAnsiTheme="majorHAnsi" w:cstheme="majorHAnsi"/>
        </w:rPr>
        <w:t xml:space="preserve"> apoyando los argumentos desarrollados por las organizaciones. Pese al evidente daño a los derechos de toda la familia en el caso, la CIDH no dio lugar a la medida, pero habilitó un procedimiento especial de informes para conocer en profundidad la situación y emitir su opinión.</w:t>
      </w:r>
      <w:r w:rsidR="00296A74" w:rsidRPr="001E4A77">
        <w:rPr>
          <w:rFonts w:asciiTheme="majorHAnsi" w:hAnsiTheme="majorHAnsi" w:cstheme="majorHAnsi"/>
        </w:rPr>
        <w:t xml:space="preserve"> </w:t>
      </w:r>
    </w:p>
    <w:p w14:paraId="48ECC0F6" w14:textId="77777777" w:rsidR="00F45968" w:rsidRPr="001E4A77" w:rsidRDefault="00F45968" w:rsidP="001E4A77">
      <w:pPr>
        <w:spacing w:after="120"/>
        <w:jc w:val="both"/>
        <w:rPr>
          <w:rFonts w:asciiTheme="majorHAnsi" w:hAnsiTheme="majorHAnsi" w:cstheme="majorHAnsi"/>
        </w:rPr>
      </w:pPr>
    </w:p>
    <w:p w14:paraId="00000058" w14:textId="77777777" w:rsidR="00EA4D3D" w:rsidRPr="001E4A77" w:rsidRDefault="00296A74" w:rsidP="001E4A77">
      <w:pPr>
        <w:spacing w:after="120"/>
        <w:jc w:val="both"/>
        <w:rPr>
          <w:rFonts w:asciiTheme="majorHAnsi" w:hAnsiTheme="majorHAnsi" w:cstheme="majorHAnsi"/>
          <w:b/>
        </w:rPr>
      </w:pPr>
      <w:r w:rsidRPr="001E4A77">
        <w:rPr>
          <w:rFonts w:asciiTheme="majorHAnsi" w:hAnsiTheme="majorHAnsi" w:cstheme="majorHAnsi"/>
          <w:b/>
        </w:rPr>
        <w:t xml:space="preserve">J.H.B. </w:t>
      </w:r>
    </w:p>
    <w:p w14:paraId="00000059" w14:textId="1C785C07"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El Sr </w:t>
      </w:r>
      <w:r w:rsidR="00BE7BB4">
        <w:rPr>
          <w:rFonts w:asciiTheme="majorHAnsi" w:hAnsiTheme="majorHAnsi" w:cstheme="majorHAnsi"/>
        </w:rPr>
        <w:t>J.H.B</w:t>
      </w:r>
      <w:r w:rsidRPr="001E4A77">
        <w:rPr>
          <w:rFonts w:asciiTheme="majorHAnsi" w:hAnsiTheme="majorHAnsi" w:cstheme="majorHAnsi"/>
        </w:rPr>
        <w:t xml:space="preserve"> fue arbitrariamente detenido y expulsado de la República Argentina por la DNM el día 20 de enero de 2017 rumbo a su país natal, Perú. La expulsión se fundó en una condena penal que el Sr </w:t>
      </w:r>
      <w:r w:rsidR="00BE7BB4">
        <w:rPr>
          <w:rFonts w:asciiTheme="majorHAnsi" w:hAnsiTheme="majorHAnsi" w:cstheme="majorHAnsi"/>
        </w:rPr>
        <w:t>J.H.B</w:t>
      </w:r>
      <w:r w:rsidR="00BE7BB4" w:rsidRPr="001E4A77">
        <w:rPr>
          <w:rFonts w:asciiTheme="majorHAnsi" w:hAnsiTheme="majorHAnsi" w:cstheme="majorHAnsi"/>
        </w:rPr>
        <w:t xml:space="preserve"> </w:t>
      </w:r>
      <w:r w:rsidRPr="001E4A77">
        <w:rPr>
          <w:rFonts w:asciiTheme="majorHAnsi" w:hAnsiTheme="majorHAnsi" w:cstheme="majorHAnsi"/>
        </w:rPr>
        <w:t xml:space="preserve">recibió el 19 de febrero de 2004 con motivo de considerarlo autor penalmente responsable del delito de tenencia de estupefacientes con fines de comercialización. </w:t>
      </w:r>
      <w:r w:rsidR="00BE7BB4">
        <w:rPr>
          <w:rFonts w:asciiTheme="majorHAnsi" w:hAnsiTheme="majorHAnsi" w:cstheme="majorHAnsi"/>
        </w:rPr>
        <w:t>L</w:t>
      </w:r>
      <w:r w:rsidRPr="001E4A77">
        <w:rPr>
          <w:rFonts w:asciiTheme="majorHAnsi" w:hAnsiTheme="majorHAnsi" w:cstheme="majorHAnsi"/>
        </w:rPr>
        <w:t xml:space="preserve">a pena impuesta al mencionado venció el día 8 de enero de 2006, operando la caducidad registral el día 8 de enero de 2016. Es </w:t>
      </w:r>
      <w:r w:rsidR="00BE7BB4" w:rsidRPr="001E4A77">
        <w:rPr>
          <w:rFonts w:asciiTheme="majorHAnsi" w:hAnsiTheme="majorHAnsi" w:cstheme="majorHAnsi"/>
        </w:rPr>
        <w:t>decir,</w:t>
      </w:r>
      <w:r w:rsidR="00BE7BB4">
        <w:rPr>
          <w:rFonts w:asciiTheme="majorHAnsi" w:hAnsiTheme="majorHAnsi" w:cstheme="majorHAnsi"/>
        </w:rPr>
        <w:t xml:space="preserve"> </w:t>
      </w:r>
      <w:r w:rsidRPr="001E4A77">
        <w:rPr>
          <w:rFonts w:asciiTheme="majorHAnsi" w:hAnsiTheme="majorHAnsi" w:cstheme="majorHAnsi"/>
        </w:rPr>
        <w:t xml:space="preserve">el registro de antecedentes penales cesó a los 10 años de cumplida la condena. Así, la orden de expulsión que recaía sobre el Sr </w:t>
      </w:r>
      <w:r w:rsidR="00BE7BB4">
        <w:rPr>
          <w:rFonts w:asciiTheme="majorHAnsi" w:hAnsiTheme="majorHAnsi" w:cstheme="majorHAnsi"/>
        </w:rPr>
        <w:t>J.H.B</w:t>
      </w:r>
      <w:r w:rsidR="00BE7BB4" w:rsidRPr="001E4A77">
        <w:rPr>
          <w:rFonts w:asciiTheme="majorHAnsi" w:hAnsiTheme="majorHAnsi" w:cstheme="majorHAnsi"/>
        </w:rPr>
        <w:t xml:space="preserve"> </w:t>
      </w:r>
      <w:r w:rsidRPr="001E4A77">
        <w:rPr>
          <w:rFonts w:asciiTheme="majorHAnsi" w:hAnsiTheme="majorHAnsi" w:cstheme="majorHAnsi"/>
        </w:rPr>
        <w:t>fue efectivizada ignorando la inexistencia del antecedente penal al momento de la retención y posterior expulsión. A la vez, también se ignoró el hecho de que su familia</w:t>
      </w:r>
      <w:r w:rsidR="00BE7BB4">
        <w:rPr>
          <w:rFonts w:asciiTheme="majorHAnsi" w:hAnsiTheme="majorHAnsi" w:cstheme="majorHAnsi"/>
        </w:rPr>
        <w:t xml:space="preserve">, incluso sus </w:t>
      </w:r>
      <w:r w:rsidR="00F971F1">
        <w:rPr>
          <w:rFonts w:asciiTheme="majorHAnsi" w:hAnsiTheme="majorHAnsi" w:cstheme="majorHAnsi"/>
        </w:rPr>
        <w:t>cuatro</w:t>
      </w:r>
      <w:r w:rsidR="00E15EC1">
        <w:rPr>
          <w:rFonts w:asciiTheme="majorHAnsi" w:hAnsiTheme="majorHAnsi" w:cstheme="majorHAnsi"/>
        </w:rPr>
        <w:t xml:space="preserve"> hijos (</w:t>
      </w:r>
      <w:r w:rsidR="00F971F1">
        <w:rPr>
          <w:rFonts w:asciiTheme="majorHAnsi" w:hAnsiTheme="majorHAnsi" w:cstheme="majorHAnsi"/>
        </w:rPr>
        <w:t>tres</w:t>
      </w:r>
      <w:r w:rsidR="00E15EC1">
        <w:rPr>
          <w:rFonts w:asciiTheme="majorHAnsi" w:hAnsiTheme="majorHAnsi" w:cstheme="majorHAnsi"/>
        </w:rPr>
        <w:t xml:space="preserve"> de los cuales son argentinos) </w:t>
      </w:r>
      <w:r w:rsidRPr="001E4A77">
        <w:rPr>
          <w:rFonts w:asciiTheme="majorHAnsi" w:hAnsiTheme="majorHAnsi" w:cstheme="majorHAnsi"/>
        </w:rPr>
        <w:t>reside</w:t>
      </w:r>
      <w:r w:rsidR="00BE7BB4">
        <w:rPr>
          <w:rFonts w:asciiTheme="majorHAnsi" w:hAnsiTheme="majorHAnsi" w:cstheme="majorHAnsi"/>
        </w:rPr>
        <w:t>n</w:t>
      </w:r>
      <w:r w:rsidRPr="001E4A77">
        <w:rPr>
          <w:rFonts w:asciiTheme="majorHAnsi" w:hAnsiTheme="majorHAnsi" w:cstheme="majorHAnsi"/>
        </w:rPr>
        <w:t xml:space="preserve"> de forma permanente en Argentina.</w:t>
      </w:r>
    </w:p>
    <w:p w14:paraId="0000005A" w14:textId="77777777"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Ante esta situación su abogado presentó un habeas corpus y un amparo solicitando que la DNM cesara su accionar amparándose en los criterios de unidad y reunificación familiar presentes en la ley 25.871. </w:t>
      </w:r>
    </w:p>
    <w:p w14:paraId="0000005B" w14:textId="37267989" w:rsidR="00EA4D3D"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El juzgado en primera y segunda instancia rechazaron las presentaciones. La Cámara de Casación, sin embargo, entendió que se debería tener en cuenta el hecho de que el Sr </w:t>
      </w:r>
      <w:r w:rsidR="00BE7BB4">
        <w:rPr>
          <w:rFonts w:asciiTheme="majorHAnsi" w:hAnsiTheme="majorHAnsi" w:cstheme="majorHAnsi"/>
        </w:rPr>
        <w:t>J.H.B</w:t>
      </w:r>
      <w:r w:rsidR="00BE7BB4" w:rsidRPr="001E4A77">
        <w:rPr>
          <w:rFonts w:asciiTheme="majorHAnsi" w:hAnsiTheme="majorHAnsi" w:cstheme="majorHAnsi"/>
        </w:rPr>
        <w:t xml:space="preserve"> </w:t>
      </w:r>
      <w:r w:rsidRPr="001E4A77">
        <w:rPr>
          <w:rFonts w:asciiTheme="majorHAnsi" w:hAnsiTheme="majorHAnsi" w:cstheme="majorHAnsi"/>
        </w:rPr>
        <w:t xml:space="preserve">tenía hijos por lo cual ordenaría a la DNM suspender la expulsión. No obstante, para entonces la expulsión ya se había realizado por lo que el fallo de Cámara devino abstracto. La Cámara ordenó a la DNM explicar si tuvo en consideración la situación familiar del Sr </w:t>
      </w:r>
      <w:r w:rsidR="00BE7BB4">
        <w:rPr>
          <w:rFonts w:asciiTheme="majorHAnsi" w:hAnsiTheme="majorHAnsi" w:cstheme="majorHAnsi"/>
        </w:rPr>
        <w:t>J.</w:t>
      </w:r>
      <w:r w:rsidRPr="001E4A77">
        <w:rPr>
          <w:rFonts w:asciiTheme="majorHAnsi" w:hAnsiTheme="majorHAnsi" w:cstheme="majorHAnsi"/>
        </w:rPr>
        <w:t>H.</w:t>
      </w:r>
      <w:r w:rsidR="00BE7BB4">
        <w:rPr>
          <w:rFonts w:asciiTheme="majorHAnsi" w:hAnsiTheme="majorHAnsi" w:cstheme="majorHAnsi"/>
        </w:rPr>
        <w:t>B</w:t>
      </w:r>
      <w:r w:rsidRPr="001E4A77">
        <w:rPr>
          <w:rFonts w:asciiTheme="majorHAnsi" w:hAnsiTheme="majorHAnsi" w:cstheme="majorHAnsi"/>
        </w:rPr>
        <w:t xml:space="preserve"> y la DNM alegó que se consideró su situación familiar, pero señaló que eso no obliga a la dirección a dispensar al migrante del orden de expulsión. Finalmente se vuelve a rechazar el habeas corpus.</w:t>
      </w:r>
    </w:p>
    <w:p w14:paraId="3FC3F486" w14:textId="77777777" w:rsidR="00BE7BB4" w:rsidRPr="001E4A77" w:rsidRDefault="00BE7BB4" w:rsidP="001E4A77">
      <w:pPr>
        <w:spacing w:after="120"/>
        <w:jc w:val="both"/>
        <w:rPr>
          <w:rFonts w:asciiTheme="majorHAnsi" w:hAnsiTheme="majorHAnsi" w:cstheme="majorHAnsi"/>
        </w:rPr>
      </w:pPr>
    </w:p>
    <w:p w14:paraId="0000005C" w14:textId="77777777"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b/>
        </w:rPr>
        <w:t>JOHNNY QUIRÓZ</w:t>
      </w:r>
      <w:r w:rsidRPr="001E4A77">
        <w:rPr>
          <w:rFonts w:asciiTheme="majorHAnsi" w:hAnsiTheme="majorHAnsi" w:cstheme="majorHAnsi"/>
        </w:rPr>
        <w:t xml:space="preserve"> </w:t>
      </w:r>
    </w:p>
    <w:p w14:paraId="0000005D" w14:textId="5CC5F5A9"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Johnny </w:t>
      </w:r>
      <w:proofErr w:type="spellStart"/>
      <w:r w:rsidRPr="001E4A77">
        <w:rPr>
          <w:rFonts w:asciiTheme="majorHAnsi" w:hAnsiTheme="majorHAnsi" w:cstheme="majorHAnsi"/>
        </w:rPr>
        <w:t>Quiróz</w:t>
      </w:r>
      <w:proofErr w:type="spellEnd"/>
      <w:r w:rsidRPr="001E4A77">
        <w:rPr>
          <w:rFonts w:asciiTheme="majorHAnsi" w:hAnsiTheme="majorHAnsi" w:cstheme="majorHAnsi"/>
        </w:rPr>
        <w:t xml:space="preserve">, ciudadano boliviano, ha residido en Argentina desde el año 2000. Johnny vivía en el barrio de Flores, trabajaba como herrero y es padre de un hijo </w:t>
      </w:r>
      <w:r w:rsidR="00561E8D">
        <w:rPr>
          <w:rFonts w:asciiTheme="majorHAnsi" w:hAnsiTheme="majorHAnsi" w:cstheme="majorHAnsi"/>
        </w:rPr>
        <w:t xml:space="preserve">argentino </w:t>
      </w:r>
      <w:r w:rsidRPr="001E4A77">
        <w:rPr>
          <w:rFonts w:asciiTheme="majorHAnsi" w:hAnsiTheme="majorHAnsi" w:cstheme="majorHAnsi"/>
        </w:rPr>
        <w:t xml:space="preserve">de 12 años. El 4 de abril del 2019 fue detenido arbitrariamente mientras participaba de una marcha junto a la Unión Obrera de la Construcción de la República Argentina (UOCRA). Tras la detención y al comprobarse que pesaba sobre él un pedido de expulsión firme de la DNM, fue expulsado a Bolivia dos días después de haber sido detenido. </w:t>
      </w:r>
    </w:p>
    <w:p w14:paraId="0000005E" w14:textId="2079DBCA"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En 2015, Johnny recibió una condena de tres años en suspenso por coacción agravada, resistencia a la autoridad </w:t>
      </w:r>
      <w:r w:rsidR="00561E8D">
        <w:rPr>
          <w:rFonts w:asciiTheme="majorHAnsi" w:hAnsiTheme="majorHAnsi" w:cstheme="majorHAnsi"/>
        </w:rPr>
        <w:t>y lesiones leves, la cual motivó</w:t>
      </w:r>
      <w:r w:rsidRPr="001E4A77">
        <w:rPr>
          <w:rFonts w:asciiTheme="majorHAnsi" w:hAnsiTheme="majorHAnsi" w:cstheme="majorHAnsi"/>
        </w:rPr>
        <w:t xml:space="preserve"> su orden de expulsión. La DNM envió la notificación de esta orden al último domicilio de Johnny, pero dado que este ya no vivía allí, no fue notificado de esta decisión ni tuvo oportunidad de recurrirla, en evidente violación a sus derechos de defensa en juicio y debido proceso. </w:t>
      </w:r>
    </w:p>
    <w:p w14:paraId="0000005F" w14:textId="77777777"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Habiendo considerado a Johnny notificado, la DNM procedió a solicitar la retención a la justicia a los fines de expulsión. La misma fue ordenada por la justicia en lo contencioso administrativo y Johnny fue trasladado por agentes policiales a la Comisaría Vecinal 1C de la Ciudad de Buenos Aires. Habiendo tomado conocimiento de esta situación, la Dra. Zulma Montero interpuso un pedido de habeas corpus ante el juzgado de turno. Tras su rechazo, la abogada interpuso un recurso de apelación que aún está pendiente de resolución. </w:t>
      </w:r>
    </w:p>
    <w:p w14:paraId="00000060" w14:textId="0B3452B6" w:rsidR="00EA4D3D" w:rsidRPr="001E4A77"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Tanto la DNM como la jueza en lo contencioso administrativo que ordenaron y dieron curso a la retención a los fines de expulsión, tuvieron por válido un proceso en donde se ha violado </w:t>
      </w:r>
      <w:r w:rsidR="00561E8D">
        <w:rPr>
          <w:rFonts w:asciiTheme="majorHAnsi" w:hAnsiTheme="majorHAnsi" w:cstheme="majorHAnsi"/>
        </w:rPr>
        <w:t xml:space="preserve">el debido proceso, </w:t>
      </w:r>
      <w:r w:rsidRPr="001E4A77">
        <w:rPr>
          <w:rFonts w:asciiTheme="majorHAnsi" w:hAnsiTheme="majorHAnsi" w:cstheme="majorHAnsi"/>
        </w:rPr>
        <w:t xml:space="preserve">el derecho </w:t>
      </w:r>
      <w:r w:rsidR="00561E8D">
        <w:rPr>
          <w:rFonts w:asciiTheme="majorHAnsi" w:hAnsiTheme="majorHAnsi" w:cstheme="majorHAnsi"/>
        </w:rPr>
        <w:t xml:space="preserve">a la defensa y el acceso a la justicia. </w:t>
      </w:r>
      <w:r w:rsidRPr="001E4A77">
        <w:rPr>
          <w:rFonts w:asciiTheme="majorHAnsi" w:hAnsiTheme="majorHAnsi" w:cstheme="majorHAnsi"/>
        </w:rPr>
        <w:t xml:space="preserve"> </w:t>
      </w:r>
    </w:p>
    <w:p w14:paraId="29B47522" w14:textId="77777777" w:rsidR="00F45968" w:rsidRDefault="00F45968" w:rsidP="001E4A77">
      <w:pPr>
        <w:spacing w:after="120"/>
        <w:jc w:val="both"/>
        <w:rPr>
          <w:rFonts w:asciiTheme="majorHAnsi" w:hAnsiTheme="majorHAnsi" w:cstheme="majorHAnsi"/>
          <w:b/>
        </w:rPr>
      </w:pPr>
    </w:p>
    <w:p w14:paraId="00000061" w14:textId="3DB37C4D" w:rsidR="00EA4D3D" w:rsidRPr="001E4A77" w:rsidRDefault="00561E8D" w:rsidP="001E4A77">
      <w:pPr>
        <w:spacing w:after="120"/>
        <w:jc w:val="both"/>
        <w:rPr>
          <w:rFonts w:asciiTheme="majorHAnsi" w:hAnsiTheme="majorHAnsi" w:cstheme="majorHAnsi"/>
          <w:b/>
        </w:rPr>
      </w:pPr>
      <w:r w:rsidRPr="001E4A77">
        <w:rPr>
          <w:rFonts w:asciiTheme="majorHAnsi" w:hAnsiTheme="majorHAnsi" w:cstheme="majorHAnsi"/>
          <w:b/>
        </w:rPr>
        <w:t xml:space="preserve">ANTOLINA FRANCO </w:t>
      </w:r>
    </w:p>
    <w:p w14:paraId="00000062" w14:textId="2D684F16" w:rsidR="00EA4D3D" w:rsidRDefault="00296A74" w:rsidP="001E4A77">
      <w:pPr>
        <w:spacing w:after="120"/>
        <w:jc w:val="both"/>
        <w:rPr>
          <w:rFonts w:asciiTheme="majorHAnsi" w:hAnsiTheme="majorHAnsi" w:cstheme="majorHAnsi"/>
        </w:rPr>
      </w:pPr>
      <w:proofErr w:type="spellStart"/>
      <w:r w:rsidRPr="001E4A77">
        <w:rPr>
          <w:rFonts w:asciiTheme="majorHAnsi" w:hAnsiTheme="majorHAnsi" w:cstheme="majorHAnsi"/>
        </w:rPr>
        <w:t>A</w:t>
      </w:r>
      <w:r w:rsidR="009946E6" w:rsidRPr="001E4A77">
        <w:rPr>
          <w:rFonts w:asciiTheme="majorHAnsi" w:hAnsiTheme="majorHAnsi" w:cstheme="majorHAnsi"/>
        </w:rPr>
        <w:t>ntolina</w:t>
      </w:r>
      <w:proofErr w:type="spellEnd"/>
      <w:r w:rsidR="009946E6" w:rsidRPr="001E4A77">
        <w:rPr>
          <w:rFonts w:asciiTheme="majorHAnsi" w:hAnsiTheme="majorHAnsi" w:cstheme="majorHAnsi"/>
        </w:rPr>
        <w:t xml:space="preserve"> Franco,</w:t>
      </w:r>
      <w:r w:rsidRPr="001E4A77">
        <w:rPr>
          <w:rFonts w:asciiTheme="majorHAnsi" w:hAnsiTheme="majorHAnsi" w:cstheme="majorHAnsi"/>
        </w:rPr>
        <w:t xml:space="preserve"> ciudadana paraguaya, residió en la Argentina desde el año 1990. </w:t>
      </w:r>
      <w:proofErr w:type="spellStart"/>
      <w:proofErr w:type="gramStart"/>
      <w:r w:rsidRPr="001E4A77">
        <w:rPr>
          <w:rFonts w:asciiTheme="majorHAnsi" w:hAnsiTheme="majorHAnsi" w:cstheme="majorHAnsi"/>
        </w:rPr>
        <w:t>A</w:t>
      </w:r>
      <w:r w:rsidR="009946E6" w:rsidRPr="001E4A77">
        <w:rPr>
          <w:rFonts w:asciiTheme="majorHAnsi" w:hAnsiTheme="majorHAnsi" w:cstheme="majorHAnsi"/>
        </w:rPr>
        <w:t>ntolina</w:t>
      </w:r>
      <w:proofErr w:type="spellEnd"/>
      <w:r w:rsidR="009946E6" w:rsidRPr="001E4A77">
        <w:rPr>
          <w:rFonts w:asciiTheme="majorHAnsi" w:hAnsiTheme="majorHAnsi" w:cstheme="majorHAnsi"/>
        </w:rPr>
        <w:t xml:space="preserve"> </w:t>
      </w:r>
      <w:r w:rsidRPr="001E4A77">
        <w:rPr>
          <w:rFonts w:asciiTheme="majorHAnsi" w:hAnsiTheme="majorHAnsi" w:cstheme="majorHAnsi"/>
        </w:rPr>
        <w:t xml:space="preserve"> estaba</w:t>
      </w:r>
      <w:proofErr w:type="gramEnd"/>
      <w:r w:rsidRPr="001E4A77">
        <w:rPr>
          <w:rFonts w:asciiTheme="majorHAnsi" w:hAnsiTheme="majorHAnsi" w:cstheme="majorHAnsi"/>
        </w:rPr>
        <w:t xml:space="preserve"> cumpliendo una condena, pero tras ser diagnosticada con cáncer de mama en 2017, le fue concedido el beneficio de la prisión domiciliaria. Era madre de tres hijos argentinos, la más pequeña de 7 siete años de edad. Pese a su delicada situación de salud y al hecho de tener hijos nacionales argentinos, el 30 de enero de 2019 fue notificada en su domicilio de una orden de expulsión en su contra dictada por la DNM, lo que provocó que fuera internada en un hospital de la Ciudad de Buenos Aires por el fuerte impacto de la posibilidad de ser expulsada y separada de su familia. Tras tomar conocimiento de ello, la Procuración Penitenciaria de la Nación asesoró a los familiares para la presentación del recurso administrativo y por una nota dirigida al Director Nacional de Migraciones solicitó un análisis particular del caso a los fines de revertir la orden de expulsión. </w:t>
      </w:r>
      <w:proofErr w:type="spellStart"/>
      <w:r w:rsidRPr="001E4A77">
        <w:rPr>
          <w:rFonts w:asciiTheme="majorHAnsi" w:hAnsiTheme="majorHAnsi" w:cstheme="majorHAnsi"/>
        </w:rPr>
        <w:t>A</w:t>
      </w:r>
      <w:r w:rsidR="00561E8D">
        <w:rPr>
          <w:rFonts w:asciiTheme="majorHAnsi" w:hAnsiTheme="majorHAnsi" w:cstheme="majorHAnsi"/>
        </w:rPr>
        <w:t>ntolina</w:t>
      </w:r>
      <w:proofErr w:type="spellEnd"/>
      <w:r w:rsidR="00561E8D">
        <w:rPr>
          <w:rFonts w:asciiTheme="majorHAnsi" w:hAnsiTheme="majorHAnsi" w:cstheme="majorHAnsi"/>
        </w:rPr>
        <w:t xml:space="preserve"> </w:t>
      </w:r>
      <w:r w:rsidRPr="001E4A77">
        <w:rPr>
          <w:rFonts w:asciiTheme="majorHAnsi" w:hAnsiTheme="majorHAnsi" w:cstheme="majorHAnsi"/>
        </w:rPr>
        <w:t xml:space="preserve">falleció cuando aún se encontraba pendiente de resolución el recurso y la respuesta al pedido de la PPN. </w:t>
      </w:r>
    </w:p>
    <w:p w14:paraId="15AEC07C" w14:textId="6C1AFF14" w:rsidR="00561E8D" w:rsidRDefault="00561E8D" w:rsidP="001E4A77">
      <w:pPr>
        <w:spacing w:after="120"/>
        <w:jc w:val="both"/>
        <w:rPr>
          <w:rFonts w:asciiTheme="majorHAnsi" w:hAnsiTheme="majorHAnsi" w:cstheme="majorHAnsi"/>
        </w:rPr>
      </w:pPr>
    </w:p>
    <w:p w14:paraId="00000063" w14:textId="77777777" w:rsidR="00EA4D3D" w:rsidRPr="001E4A77" w:rsidRDefault="00296A74" w:rsidP="001E4A77">
      <w:pPr>
        <w:spacing w:after="120"/>
        <w:jc w:val="both"/>
        <w:rPr>
          <w:rFonts w:asciiTheme="majorHAnsi" w:hAnsiTheme="majorHAnsi" w:cstheme="majorHAnsi"/>
          <w:b/>
        </w:rPr>
      </w:pPr>
      <w:r w:rsidRPr="001E4A77">
        <w:rPr>
          <w:rFonts w:asciiTheme="majorHAnsi" w:hAnsiTheme="majorHAnsi" w:cstheme="majorHAnsi"/>
          <w:b/>
        </w:rPr>
        <w:t xml:space="preserve">LIZ MORETA </w:t>
      </w:r>
    </w:p>
    <w:p w14:paraId="678376A4" w14:textId="77777777" w:rsidR="00697B63"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Liz </w:t>
      </w:r>
      <w:proofErr w:type="spellStart"/>
      <w:r w:rsidRPr="001E4A77">
        <w:rPr>
          <w:rFonts w:asciiTheme="majorHAnsi" w:hAnsiTheme="majorHAnsi" w:cstheme="majorHAnsi"/>
        </w:rPr>
        <w:t>Moreta</w:t>
      </w:r>
      <w:proofErr w:type="spellEnd"/>
      <w:r w:rsidRPr="001E4A77">
        <w:rPr>
          <w:rFonts w:asciiTheme="majorHAnsi" w:hAnsiTheme="majorHAnsi" w:cstheme="majorHAnsi"/>
        </w:rPr>
        <w:t xml:space="preserve">, ciudadana dominicana, llegó a Argentina en 2005 y tras ser detenida en el aeropuerto internacional de </w:t>
      </w:r>
      <w:proofErr w:type="spellStart"/>
      <w:r w:rsidRPr="001E4A77">
        <w:rPr>
          <w:rFonts w:asciiTheme="majorHAnsi" w:hAnsiTheme="majorHAnsi" w:cstheme="majorHAnsi"/>
        </w:rPr>
        <w:t>Ezeiza</w:t>
      </w:r>
      <w:proofErr w:type="spellEnd"/>
      <w:r w:rsidRPr="001E4A77">
        <w:rPr>
          <w:rFonts w:asciiTheme="majorHAnsi" w:hAnsiTheme="majorHAnsi" w:cstheme="majorHAnsi"/>
        </w:rPr>
        <w:t xml:space="preserve"> fue alojada en la Unidad Penitenciaria N° 31. En noviembre de 2006, el Tribunal Oral en lo Penal Económico N° 3 de Capital Federal la condenó a la pena de 4 años y 6 meses de prisión por considerarla autora del delito de contrabando agravado por comercio de estupefacientes. </w:t>
      </w:r>
    </w:p>
    <w:p w14:paraId="32652DE5" w14:textId="77777777" w:rsidR="00697B63"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En agosto de 2007, la DNM declaró irregular su permanencia en el país, ordenó su expulsión del territorio nacional y prohibió su reingreso al país por 8 años, en virtud del art. 29 inc. c) de la Ley 25.871 (Disposición SDX N° 39466/07, </w:t>
      </w:r>
      <w:proofErr w:type="spellStart"/>
      <w:r w:rsidRPr="001E4A77">
        <w:rPr>
          <w:rFonts w:asciiTheme="majorHAnsi" w:hAnsiTheme="majorHAnsi" w:cstheme="majorHAnsi"/>
        </w:rPr>
        <w:t>Expte</w:t>
      </w:r>
      <w:proofErr w:type="spellEnd"/>
      <w:r w:rsidRPr="001E4A77">
        <w:rPr>
          <w:rFonts w:asciiTheme="majorHAnsi" w:hAnsiTheme="majorHAnsi" w:cstheme="majorHAnsi"/>
        </w:rPr>
        <w:t xml:space="preserve">. administrativo N° 806768/05). Con la representación del Ministerio Público de la Defensa, Liz interpuso recurso de reconsideración contra esa decisión, invocando </w:t>
      </w:r>
      <w:r w:rsidR="00697B63">
        <w:rPr>
          <w:rFonts w:asciiTheme="majorHAnsi" w:hAnsiTheme="majorHAnsi" w:cstheme="majorHAnsi"/>
        </w:rPr>
        <w:t xml:space="preserve">el </w:t>
      </w:r>
      <w:r w:rsidRPr="001E4A77">
        <w:rPr>
          <w:rFonts w:asciiTheme="majorHAnsi" w:hAnsiTheme="majorHAnsi" w:cstheme="majorHAnsi"/>
        </w:rPr>
        <w:t xml:space="preserve">derecho a la vida familiar y el interés superior del niño. </w:t>
      </w:r>
    </w:p>
    <w:p w14:paraId="4FC674E6" w14:textId="77777777" w:rsidR="00697B63"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Tras cumplir con su condena en 2008, recuperó su libertad quedando bajo supervisión del Patronato de Liberados. En 2013 contrajo matrimonio con Fabián Rivero, ciudadano argentino, con quien tuvo dos hijos: </w:t>
      </w:r>
      <w:proofErr w:type="spellStart"/>
      <w:r w:rsidRPr="001E4A77">
        <w:rPr>
          <w:rFonts w:asciiTheme="majorHAnsi" w:hAnsiTheme="majorHAnsi" w:cstheme="majorHAnsi"/>
        </w:rPr>
        <w:t>Ania</w:t>
      </w:r>
      <w:proofErr w:type="spellEnd"/>
      <w:r w:rsidRPr="001E4A77">
        <w:rPr>
          <w:rFonts w:asciiTheme="majorHAnsi" w:hAnsiTheme="majorHAnsi" w:cstheme="majorHAnsi"/>
        </w:rPr>
        <w:t xml:space="preserve"> en 2010 y Ángelo en 2013. </w:t>
      </w:r>
    </w:p>
    <w:p w14:paraId="36BE5339" w14:textId="77777777" w:rsidR="00697B63"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En 2016, mediante Disposición N° 77822/16, la DNM rechazó el recurso de reconsideración interpuesto en 2007. Ya con la representación de la Comisión del Migrante, Liz interpuso recurso de alzada contra aquel rechazo. A comienzos de 2018, la DNM le otorgó una residencia temporaria por 90 días (del 07/02 al 08/05) en virtud del art. 20 bis del Decreto 70/2017. En abril de ese mismo año, el Secretario del Interior desestimó el recurso de alzada mediante Resolución Ministerial RESOL-2018-527-APN-SECI#MI; oportunidad en la que se valoró que, si bien la peticionaria es madre de hijos argentinos, no corresponde otorgar la dispensa solicitada en atención a la gravedad y naturaleza del delito por el que fue condenada. </w:t>
      </w:r>
    </w:p>
    <w:p w14:paraId="00000064" w14:textId="3E8B7D4F" w:rsidR="00EA4D3D"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Agotada la vía administrativa, y con la representación de la Comisión del Migrante, Liz presentó un recurso ante la Justicia Nacional en lo Contencioso Administrativo Federal (Juzgado CAF N° 5 a cargo de la Jueza María Alejandra </w:t>
      </w:r>
      <w:proofErr w:type="spellStart"/>
      <w:r w:rsidRPr="001E4A77">
        <w:rPr>
          <w:rFonts w:asciiTheme="majorHAnsi" w:hAnsiTheme="majorHAnsi" w:cstheme="majorHAnsi"/>
        </w:rPr>
        <w:t>Biotti</w:t>
      </w:r>
      <w:proofErr w:type="spellEnd"/>
      <w:r w:rsidRPr="001E4A77">
        <w:rPr>
          <w:rFonts w:asciiTheme="majorHAnsi" w:hAnsiTheme="majorHAnsi" w:cstheme="majorHAnsi"/>
        </w:rPr>
        <w:t xml:space="preserve">). El 8 de marzo del corriente, la Jueza rechazó el recurso interpuesto, confirmó las Disposiciones SDX N° 39466/07 y 77822/16 y la Resolución Ministerial dictadas en el expediente administrativo, y sostuvo que la dispensa solicitada es una facultad discrecional y privativa otorgada a la DNM, imponiendo costas a la parte vencida por no existir razones para su dispensa. Contra esta sentencia, se interpuso recurso de apelación y el 30 de abril -tan solo 1 mes y 22 días después- la Sala III de la Cámara Contencioso Administrativo Federal desestimó las apelaciones y confirmó la sentencia de primera instancia. Recientemente la Comisión del Migrante ha presentado el Recurso Extraordinario Federal. La Sala III de la Cámara Federal en lo Contencioso Administrativo aún no ha concedido el Recurso, y se encuentra en plazos de emplazamientos y traslados para las partes. La PPN ha presentado su opinión en calidad de Amigo del Tribunal. </w:t>
      </w:r>
    </w:p>
    <w:p w14:paraId="0853241B" w14:textId="77777777" w:rsidR="00697B63" w:rsidRPr="001E4A77" w:rsidRDefault="00697B63" w:rsidP="001E4A77">
      <w:pPr>
        <w:spacing w:after="120"/>
        <w:jc w:val="both"/>
        <w:rPr>
          <w:rFonts w:asciiTheme="majorHAnsi" w:hAnsiTheme="majorHAnsi" w:cstheme="majorHAnsi"/>
        </w:rPr>
      </w:pPr>
    </w:p>
    <w:p w14:paraId="00000065" w14:textId="77777777" w:rsidR="00EA4D3D" w:rsidRPr="001E4A77" w:rsidRDefault="00296A74" w:rsidP="001E4A77">
      <w:pPr>
        <w:spacing w:after="120"/>
        <w:jc w:val="both"/>
        <w:rPr>
          <w:rFonts w:asciiTheme="majorHAnsi" w:hAnsiTheme="majorHAnsi" w:cstheme="majorHAnsi"/>
          <w:b/>
        </w:rPr>
      </w:pPr>
      <w:r w:rsidRPr="001E4A77">
        <w:rPr>
          <w:rFonts w:asciiTheme="majorHAnsi" w:hAnsiTheme="majorHAnsi" w:cstheme="majorHAnsi"/>
          <w:b/>
        </w:rPr>
        <w:t xml:space="preserve">R.A.S.O. </w:t>
      </w:r>
    </w:p>
    <w:p w14:paraId="0E691CE9" w14:textId="77777777" w:rsidR="0086684E"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El 3 de julio de 2001, la Sra. R.A.S.O., de nacionalidad peruana, fue condenada por el Tribunal Oral en lo Criminal Federal de Jujuy a la pena de 4 años y 6 meses de prisión por la comisión de un delito asociado al tráfico de estupefacientes. En razón de ello, fue privada de su libertad primero en la Ex Unidad N°3 del Servicio Penitenciario Federal y luego en la Unidad N°31, donde permaneció hasta que en 2003 egresó en libertad condicional. </w:t>
      </w:r>
    </w:p>
    <w:p w14:paraId="4682DC8D" w14:textId="77777777" w:rsidR="0086684E"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El 30 de diciembre de 2003, la DNM emitió la Disposición N° 10712 declarando irregular su permanencia en el país y ordenando la expulsión del territorio nacional. En diciembre de 2004, la DNM emitió una nueva Disposición de expulsión que revoca la anterior y adicionalmente fija 8 años como plazo de prohibición de reingreso. </w:t>
      </w:r>
    </w:p>
    <w:p w14:paraId="1E0DCB69" w14:textId="77777777" w:rsidR="0086684E"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En junio de 2005, la Sra. R.A.S.O. interpuso un recurso de reconsideración, el que fue rechazado por la DNM y dio lugar al consecuente recurso jerárquico. En paralelo a la sustanciación de esta etapa administrativa, la Sra. R.A.S.O. y su marido tuvieron dos hijas, nacidas en 2008 y 2009. En abril de 2009 la Sra. R.A.S.O. interpuso recurso de alzada, el que fue rechazado en noviembre de 2010 por Resolución del Ministerio del Interior, habilitando así la instancia judicial. </w:t>
      </w:r>
    </w:p>
    <w:p w14:paraId="00000066" w14:textId="12413DFC" w:rsidR="00EA4D3D"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En marzo de 2011, la defensa oficial dio inicio a las actuaciones en el Juzgado Federal de primera instancia CAF N°7 y en junio de 2015 el Juzgado confirmó la Disposición de la DNM. Ante ello, la Comisión del Migrante interpuso Recurso Extraordinario Federal, el que fue acompañado por la PPN en calidad de Amigo del Tribunal. </w:t>
      </w:r>
    </w:p>
    <w:p w14:paraId="6BF3A0EB" w14:textId="77777777" w:rsidR="0086684E" w:rsidRPr="001E4A77" w:rsidRDefault="0086684E" w:rsidP="001E4A77">
      <w:pPr>
        <w:spacing w:after="120"/>
        <w:jc w:val="both"/>
        <w:rPr>
          <w:rFonts w:asciiTheme="majorHAnsi" w:hAnsiTheme="majorHAnsi" w:cstheme="majorHAnsi"/>
        </w:rPr>
      </w:pPr>
    </w:p>
    <w:p w14:paraId="00000067" w14:textId="77777777" w:rsidR="00EA4D3D" w:rsidRPr="001E4A77" w:rsidRDefault="00296A74" w:rsidP="001E4A77">
      <w:pPr>
        <w:spacing w:after="120"/>
        <w:jc w:val="both"/>
        <w:rPr>
          <w:rFonts w:asciiTheme="majorHAnsi" w:hAnsiTheme="majorHAnsi" w:cstheme="majorHAnsi"/>
          <w:b/>
        </w:rPr>
      </w:pPr>
      <w:r w:rsidRPr="001E4A77">
        <w:rPr>
          <w:rFonts w:asciiTheme="majorHAnsi" w:hAnsiTheme="majorHAnsi" w:cstheme="majorHAnsi"/>
          <w:b/>
        </w:rPr>
        <w:t xml:space="preserve">“EVANGELINA” </w:t>
      </w:r>
    </w:p>
    <w:p w14:paraId="2308966D" w14:textId="77777777" w:rsidR="0086684E"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Evangelina (nombre ficticio), nacida en Paraguay, vive en Argentina hace 14 años. Aquí tuvo una hija, que hoy tiene 12 años y luego, tras formar pareja con un ciudadano argentino, tuvo a sus dos hijos más pequeños de 5 y 3 años. Fue condenada por tráfico de estupefacientes a 4 años de prisión, condena que cumplió en el año 2010 y desde entonces no ha tenido conflictos con la ley penal. </w:t>
      </w:r>
    </w:p>
    <w:p w14:paraId="077629AE" w14:textId="77777777" w:rsidR="0086684E" w:rsidRDefault="00296A74" w:rsidP="001E4A77">
      <w:pPr>
        <w:spacing w:after="120"/>
        <w:jc w:val="both"/>
        <w:rPr>
          <w:rFonts w:asciiTheme="majorHAnsi" w:hAnsiTheme="majorHAnsi" w:cstheme="majorHAnsi"/>
        </w:rPr>
      </w:pPr>
      <w:r w:rsidRPr="001E4A77">
        <w:rPr>
          <w:rFonts w:asciiTheme="majorHAnsi" w:hAnsiTheme="majorHAnsi" w:cstheme="majorHAnsi"/>
        </w:rPr>
        <w:t>En un intento por regularizar su situación migratoria, la DNM tomó conocimiento de la existencia de su antecedente penal y dictó la orden de expulsión. Ella apeló esta decisión y recibió el asesoramiento de la Comisión del Migrante de la Defensoría General de la Nación. Pese a haber contado con patrocinio especializado durante todo el trámite, todas las instancias del Poder Judicial confirmaron la decisión de Migraciones sin dar lugar a los planteos acerca de la afectación a los derechos de sus hijos ni el extenso arraigo de Evangelina en el país.</w:t>
      </w:r>
    </w:p>
    <w:p w14:paraId="00000068" w14:textId="5B29AFBB" w:rsidR="00EA4D3D" w:rsidRDefault="00296A74" w:rsidP="001E4A77">
      <w:pPr>
        <w:spacing w:after="120"/>
        <w:jc w:val="both"/>
        <w:rPr>
          <w:rFonts w:asciiTheme="majorHAnsi" w:hAnsiTheme="majorHAnsi" w:cstheme="majorHAnsi"/>
        </w:rPr>
      </w:pPr>
      <w:r w:rsidRPr="001E4A77">
        <w:rPr>
          <w:rFonts w:asciiTheme="majorHAnsi" w:hAnsiTheme="majorHAnsi" w:cstheme="majorHAnsi"/>
        </w:rPr>
        <w:t xml:space="preserve"> Recientemente la Corte Suprema rechazó el último recurso mediante la figura del rechazo “in </w:t>
      </w:r>
      <w:proofErr w:type="spellStart"/>
      <w:r w:rsidRPr="001E4A77">
        <w:rPr>
          <w:rFonts w:asciiTheme="majorHAnsi" w:hAnsiTheme="majorHAnsi" w:cstheme="majorHAnsi"/>
        </w:rPr>
        <w:t>limine</w:t>
      </w:r>
      <w:proofErr w:type="spellEnd"/>
      <w:r w:rsidRPr="001E4A77">
        <w:rPr>
          <w:rFonts w:asciiTheme="majorHAnsi" w:hAnsiTheme="majorHAnsi" w:cstheme="majorHAnsi"/>
        </w:rPr>
        <w:t>”, es decir, sin analizar el fondo de la situación, dejando a la familia de Evangelina sin alternativas y en la incertidumbre de cómo resolverán la ausencia. El padre de los niños tiene un trabajo estable hace más de 10 años y para ellos no es viable trasladar la vida familiar a Paraguay donde no cuentan ni con redes ni con recursos económicos para subsistir. Por el contrario, lo que aparece como horizonte es el desmembramiento de la familia, alejando a los niños de su padre, separando a la pareja y alejando a la joven adolescente de 12 años de su lugar de pertenencia e identidad, como una forma de seguir conviviendo con su madre.</w:t>
      </w:r>
    </w:p>
    <w:p w14:paraId="694789A0" w14:textId="77777777" w:rsidR="0086684E" w:rsidRPr="001E4A77" w:rsidRDefault="0086684E" w:rsidP="001E4A77">
      <w:pPr>
        <w:spacing w:after="120"/>
        <w:jc w:val="both"/>
        <w:rPr>
          <w:rFonts w:asciiTheme="majorHAnsi" w:hAnsiTheme="majorHAnsi" w:cstheme="majorHAnsi"/>
        </w:rPr>
      </w:pPr>
    </w:p>
    <w:p w14:paraId="1A5C13EE" w14:textId="4FCE1FFD" w:rsidR="00206A4F" w:rsidRPr="001E4A77" w:rsidRDefault="00D13EBE" w:rsidP="001E4A77">
      <w:pPr>
        <w:spacing w:after="120"/>
        <w:jc w:val="both"/>
        <w:rPr>
          <w:rFonts w:asciiTheme="majorHAnsi" w:hAnsiTheme="majorHAnsi" w:cstheme="majorHAnsi"/>
          <w:b/>
        </w:rPr>
      </w:pPr>
      <w:r>
        <w:rPr>
          <w:rFonts w:asciiTheme="majorHAnsi" w:hAnsiTheme="majorHAnsi" w:cstheme="majorHAnsi"/>
          <w:b/>
        </w:rPr>
        <w:t xml:space="preserve">WILFREDO </w:t>
      </w:r>
      <w:r w:rsidR="0043230B" w:rsidRPr="0086684E">
        <w:rPr>
          <w:rFonts w:asciiTheme="majorHAnsi" w:hAnsiTheme="majorHAnsi" w:cstheme="majorHAnsi"/>
          <w:b/>
        </w:rPr>
        <w:t>ACUÑA ROSPILLOSO</w:t>
      </w:r>
      <w:r w:rsidR="00777276" w:rsidRPr="0086684E">
        <w:rPr>
          <w:rFonts w:asciiTheme="majorHAnsi" w:hAnsiTheme="majorHAnsi" w:cstheme="majorHAnsi"/>
          <w:b/>
        </w:rPr>
        <w:t xml:space="preserve"> y MARÍA TORREZ</w:t>
      </w:r>
    </w:p>
    <w:p w14:paraId="39E3E365" w14:textId="055AB777" w:rsidR="00C86A21" w:rsidRPr="001E4A77" w:rsidRDefault="00C86A21" w:rsidP="001E4A77">
      <w:pPr>
        <w:spacing w:after="120"/>
        <w:jc w:val="both"/>
        <w:rPr>
          <w:rFonts w:asciiTheme="majorHAnsi" w:hAnsiTheme="majorHAnsi" w:cstheme="majorHAnsi"/>
        </w:rPr>
      </w:pPr>
      <w:r w:rsidRPr="001E4A77">
        <w:rPr>
          <w:rFonts w:asciiTheme="majorHAnsi" w:hAnsiTheme="majorHAnsi" w:cstheme="majorHAnsi"/>
        </w:rPr>
        <w:t xml:space="preserve">Wilfredo Acuña </w:t>
      </w:r>
      <w:proofErr w:type="spellStart"/>
      <w:r w:rsidRPr="001E4A77">
        <w:rPr>
          <w:rFonts w:asciiTheme="majorHAnsi" w:hAnsiTheme="majorHAnsi" w:cstheme="majorHAnsi"/>
        </w:rPr>
        <w:t>Rospilloso</w:t>
      </w:r>
      <w:proofErr w:type="spellEnd"/>
      <w:r w:rsidRPr="001E4A77">
        <w:rPr>
          <w:rFonts w:asciiTheme="majorHAnsi" w:hAnsiTheme="majorHAnsi" w:cstheme="majorHAnsi"/>
        </w:rPr>
        <w:t xml:space="preserve"> y María Torrez viven en Argentina hace más de 20 años. Wilfredo tiene un empleo estable, la pareja tiene tres hijos nacidos en Argentina</w:t>
      </w:r>
      <w:r w:rsidR="0086684E">
        <w:rPr>
          <w:rFonts w:asciiTheme="majorHAnsi" w:hAnsiTheme="majorHAnsi" w:cstheme="majorHAnsi"/>
        </w:rPr>
        <w:t>:</w:t>
      </w:r>
      <w:r w:rsidRPr="001E4A77">
        <w:rPr>
          <w:rFonts w:asciiTheme="majorHAnsi" w:hAnsiTheme="majorHAnsi" w:cstheme="majorHAnsi"/>
        </w:rPr>
        <w:t xml:space="preserve"> </w:t>
      </w:r>
      <w:proofErr w:type="spellStart"/>
      <w:r w:rsidRPr="001E4A77">
        <w:rPr>
          <w:rFonts w:asciiTheme="majorHAnsi" w:hAnsiTheme="majorHAnsi" w:cstheme="majorHAnsi"/>
        </w:rPr>
        <w:t>Jhon</w:t>
      </w:r>
      <w:proofErr w:type="spellEnd"/>
      <w:r w:rsidRPr="001E4A77">
        <w:rPr>
          <w:rFonts w:asciiTheme="majorHAnsi" w:hAnsiTheme="majorHAnsi" w:cstheme="majorHAnsi"/>
        </w:rPr>
        <w:t xml:space="preserve"> </w:t>
      </w:r>
      <w:proofErr w:type="spellStart"/>
      <w:r w:rsidRPr="001E4A77">
        <w:rPr>
          <w:rFonts w:asciiTheme="majorHAnsi" w:hAnsiTheme="majorHAnsi" w:cstheme="majorHAnsi"/>
        </w:rPr>
        <w:t>Amilcar</w:t>
      </w:r>
      <w:proofErr w:type="spellEnd"/>
      <w:r w:rsidRPr="001E4A77">
        <w:rPr>
          <w:rFonts w:asciiTheme="majorHAnsi" w:hAnsiTheme="majorHAnsi" w:cstheme="majorHAnsi"/>
        </w:rPr>
        <w:t xml:space="preserve"> de 20 años, estudiante univ</w:t>
      </w:r>
      <w:r w:rsidR="0086684E">
        <w:rPr>
          <w:rFonts w:asciiTheme="majorHAnsi" w:hAnsiTheme="majorHAnsi" w:cstheme="majorHAnsi"/>
        </w:rPr>
        <w:t xml:space="preserve">ersitario, Brian </w:t>
      </w:r>
      <w:proofErr w:type="spellStart"/>
      <w:r w:rsidR="0086684E">
        <w:rPr>
          <w:rFonts w:asciiTheme="majorHAnsi" w:hAnsiTheme="majorHAnsi" w:cstheme="majorHAnsi"/>
        </w:rPr>
        <w:t>Yamil</w:t>
      </w:r>
      <w:proofErr w:type="spellEnd"/>
      <w:r w:rsidRPr="001E4A77">
        <w:rPr>
          <w:rFonts w:asciiTheme="majorHAnsi" w:hAnsiTheme="majorHAnsi" w:cstheme="majorHAnsi"/>
        </w:rPr>
        <w:t xml:space="preserve"> de 13 años y </w:t>
      </w:r>
      <w:proofErr w:type="spellStart"/>
      <w:r w:rsidRPr="001E4A77">
        <w:rPr>
          <w:rFonts w:asciiTheme="majorHAnsi" w:hAnsiTheme="majorHAnsi" w:cstheme="majorHAnsi"/>
        </w:rPr>
        <w:t>Ambar</w:t>
      </w:r>
      <w:proofErr w:type="spellEnd"/>
      <w:r w:rsidRPr="001E4A77">
        <w:rPr>
          <w:rFonts w:asciiTheme="majorHAnsi" w:hAnsiTheme="majorHAnsi" w:cstheme="majorHAnsi"/>
        </w:rPr>
        <w:t xml:space="preserve"> Milagros de 7 años de edad.</w:t>
      </w:r>
    </w:p>
    <w:p w14:paraId="61E36A8D" w14:textId="1D2665EF" w:rsidR="0043230B" w:rsidRPr="001E4A77" w:rsidRDefault="00206A4F" w:rsidP="001E4A77">
      <w:pPr>
        <w:spacing w:after="120"/>
        <w:jc w:val="both"/>
        <w:rPr>
          <w:rFonts w:asciiTheme="majorHAnsi" w:hAnsiTheme="majorHAnsi" w:cstheme="majorHAnsi"/>
        </w:rPr>
      </w:pPr>
      <w:r w:rsidRPr="001E4A77">
        <w:rPr>
          <w:rFonts w:asciiTheme="majorHAnsi" w:hAnsiTheme="majorHAnsi" w:cstheme="majorHAnsi"/>
        </w:rPr>
        <w:t xml:space="preserve">Wilfredo se presentó el </w:t>
      </w:r>
      <w:r w:rsidR="0043230B" w:rsidRPr="001E4A77">
        <w:rPr>
          <w:rFonts w:asciiTheme="majorHAnsi" w:hAnsiTheme="majorHAnsi" w:cstheme="majorHAnsi"/>
        </w:rPr>
        <w:t>31 de julio de</w:t>
      </w:r>
      <w:r w:rsidRPr="001E4A77">
        <w:rPr>
          <w:rFonts w:asciiTheme="majorHAnsi" w:hAnsiTheme="majorHAnsi" w:cstheme="majorHAnsi"/>
        </w:rPr>
        <w:t xml:space="preserve"> </w:t>
      </w:r>
      <w:r w:rsidR="0043230B" w:rsidRPr="001E4A77">
        <w:rPr>
          <w:rFonts w:asciiTheme="majorHAnsi" w:hAnsiTheme="majorHAnsi" w:cstheme="majorHAnsi"/>
        </w:rPr>
        <w:t xml:space="preserve">2017 </w:t>
      </w:r>
      <w:r w:rsidRPr="001E4A77">
        <w:rPr>
          <w:rFonts w:asciiTheme="majorHAnsi" w:hAnsiTheme="majorHAnsi" w:cstheme="majorHAnsi"/>
        </w:rPr>
        <w:t xml:space="preserve">al </w:t>
      </w:r>
      <w:r w:rsidR="0043230B" w:rsidRPr="001E4A77">
        <w:rPr>
          <w:rFonts w:asciiTheme="majorHAnsi" w:hAnsiTheme="majorHAnsi" w:cstheme="majorHAnsi"/>
        </w:rPr>
        <w:t xml:space="preserve">control migratorio </w:t>
      </w:r>
      <w:r w:rsidR="00117470" w:rsidRPr="001E4A77">
        <w:rPr>
          <w:rFonts w:asciiTheme="majorHAnsi" w:hAnsiTheme="majorHAnsi" w:cstheme="majorHAnsi"/>
        </w:rPr>
        <w:t>en el paso fronterizo La</w:t>
      </w:r>
      <w:r w:rsidRPr="001E4A77">
        <w:rPr>
          <w:rFonts w:asciiTheme="majorHAnsi" w:hAnsiTheme="majorHAnsi" w:cstheme="majorHAnsi"/>
        </w:rPr>
        <w:t xml:space="preserve"> </w:t>
      </w:r>
      <w:r w:rsidR="0043230B" w:rsidRPr="001E4A77">
        <w:rPr>
          <w:rFonts w:asciiTheme="majorHAnsi" w:hAnsiTheme="majorHAnsi" w:cstheme="majorHAnsi"/>
        </w:rPr>
        <w:t>Quiaca-</w:t>
      </w:r>
      <w:proofErr w:type="spellStart"/>
      <w:r w:rsidR="0043230B" w:rsidRPr="001E4A77">
        <w:rPr>
          <w:rFonts w:asciiTheme="majorHAnsi" w:hAnsiTheme="majorHAnsi" w:cstheme="majorHAnsi"/>
        </w:rPr>
        <w:t>Villazón</w:t>
      </w:r>
      <w:proofErr w:type="spellEnd"/>
      <w:r w:rsidR="0043230B" w:rsidRPr="001E4A77">
        <w:rPr>
          <w:rFonts w:asciiTheme="majorHAnsi" w:hAnsiTheme="majorHAnsi" w:cstheme="majorHAnsi"/>
        </w:rPr>
        <w:t xml:space="preserve"> de la República Argentina </w:t>
      </w:r>
      <w:r w:rsidRPr="001E4A77">
        <w:rPr>
          <w:rFonts w:asciiTheme="majorHAnsi" w:hAnsiTheme="majorHAnsi" w:cstheme="majorHAnsi"/>
        </w:rPr>
        <w:t>para ingresar al país</w:t>
      </w:r>
      <w:r w:rsidR="00117470" w:rsidRPr="001E4A77">
        <w:rPr>
          <w:rFonts w:asciiTheme="majorHAnsi" w:hAnsiTheme="majorHAnsi" w:cstheme="majorHAnsi"/>
        </w:rPr>
        <w:t xml:space="preserve"> desde Bolivia</w:t>
      </w:r>
      <w:r w:rsidRPr="001E4A77">
        <w:rPr>
          <w:rFonts w:asciiTheme="majorHAnsi" w:hAnsiTheme="majorHAnsi" w:cstheme="majorHAnsi"/>
        </w:rPr>
        <w:t>. En este momento las autoridades argentinas le notifica</w:t>
      </w:r>
      <w:r w:rsidR="00C86A21" w:rsidRPr="001E4A77">
        <w:rPr>
          <w:rFonts w:asciiTheme="majorHAnsi" w:hAnsiTheme="majorHAnsi" w:cstheme="majorHAnsi"/>
        </w:rPr>
        <w:t>ron que a partir de la Disposición Nº 80461</w:t>
      </w:r>
      <w:r w:rsidRPr="001E4A77">
        <w:rPr>
          <w:rFonts w:asciiTheme="majorHAnsi" w:hAnsiTheme="majorHAnsi" w:cstheme="majorHAnsi"/>
        </w:rPr>
        <w:t xml:space="preserve"> </w:t>
      </w:r>
      <w:r w:rsidR="00C86A21" w:rsidRPr="001E4A77">
        <w:rPr>
          <w:rFonts w:asciiTheme="majorHAnsi" w:hAnsiTheme="majorHAnsi" w:cstheme="majorHAnsi"/>
        </w:rPr>
        <w:t xml:space="preserve">el 27 de abril de 2017 </w:t>
      </w:r>
      <w:r w:rsidRPr="001E4A77">
        <w:rPr>
          <w:rFonts w:asciiTheme="majorHAnsi" w:hAnsiTheme="majorHAnsi" w:cstheme="majorHAnsi"/>
        </w:rPr>
        <w:t xml:space="preserve">se </w:t>
      </w:r>
      <w:r w:rsidR="00C86A21" w:rsidRPr="001E4A77">
        <w:rPr>
          <w:rFonts w:asciiTheme="majorHAnsi" w:hAnsiTheme="majorHAnsi" w:cstheme="majorHAnsi"/>
        </w:rPr>
        <w:t>canceló</w:t>
      </w:r>
      <w:r w:rsidRPr="001E4A77">
        <w:rPr>
          <w:rFonts w:asciiTheme="majorHAnsi" w:hAnsiTheme="majorHAnsi" w:cstheme="majorHAnsi"/>
        </w:rPr>
        <w:t xml:space="preserve"> su DNI</w:t>
      </w:r>
      <w:r w:rsidR="00117470" w:rsidRPr="001E4A77">
        <w:rPr>
          <w:rFonts w:asciiTheme="majorHAnsi" w:hAnsiTheme="majorHAnsi" w:cstheme="majorHAnsi"/>
        </w:rPr>
        <w:t>,</w:t>
      </w:r>
      <w:r w:rsidRPr="001E4A77">
        <w:rPr>
          <w:rFonts w:asciiTheme="majorHAnsi" w:hAnsiTheme="majorHAnsi" w:cstheme="majorHAnsi"/>
        </w:rPr>
        <w:t xml:space="preserve"> </w:t>
      </w:r>
      <w:r w:rsidR="00C86A21" w:rsidRPr="001E4A77">
        <w:rPr>
          <w:rFonts w:asciiTheme="majorHAnsi" w:hAnsiTheme="majorHAnsi" w:cstheme="majorHAnsi"/>
        </w:rPr>
        <w:t>se resolvió su expulsión del país y se le impuso</w:t>
      </w:r>
      <w:r w:rsidRPr="001E4A77">
        <w:rPr>
          <w:rFonts w:asciiTheme="majorHAnsi" w:hAnsiTheme="majorHAnsi" w:cstheme="majorHAnsi"/>
        </w:rPr>
        <w:t xml:space="preserve"> </w:t>
      </w:r>
      <w:r w:rsidR="0043230B" w:rsidRPr="001E4A77">
        <w:rPr>
          <w:rFonts w:asciiTheme="majorHAnsi" w:hAnsiTheme="majorHAnsi" w:cstheme="majorHAnsi"/>
        </w:rPr>
        <w:t xml:space="preserve">prohibición de reingreso permanente. </w:t>
      </w:r>
      <w:r w:rsidR="00C86A21" w:rsidRPr="001E4A77">
        <w:rPr>
          <w:rFonts w:asciiTheme="majorHAnsi" w:hAnsiTheme="majorHAnsi" w:cstheme="majorHAnsi"/>
        </w:rPr>
        <w:t>En el paso fronterizo, s</w:t>
      </w:r>
      <w:r w:rsidR="0043230B" w:rsidRPr="001E4A77">
        <w:rPr>
          <w:rFonts w:asciiTheme="majorHAnsi" w:hAnsiTheme="majorHAnsi" w:cstheme="majorHAnsi"/>
        </w:rPr>
        <w:t>e le h</w:t>
      </w:r>
      <w:r w:rsidR="00117470" w:rsidRPr="001E4A77">
        <w:rPr>
          <w:rFonts w:asciiTheme="majorHAnsi" w:hAnsiTheme="majorHAnsi" w:cstheme="majorHAnsi"/>
        </w:rPr>
        <w:t>izo</w:t>
      </w:r>
      <w:r w:rsidR="0043230B" w:rsidRPr="001E4A77">
        <w:rPr>
          <w:rFonts w:asciiTheme="majorHAnsi" w:hAnsiTheme="majorHAnsi" w:cstheme="majorHAnsi"/>
        </w:rPr>
        <w:t xml:space="preserve"> saber que contra esta medida podr</w:t>
      </w:r>
      <w:r w:rsidRPr="001E4A77">
        <w:rPr>
          <w:rFonts w:asciiTheme="majorHAnsi" w:hAnsiTheme="majorHAnsi" w:cstheme="majorHAnsi"/>
        </w:rPr>
        <w:t xml:space="preserve">ía </w:t>
      </w:r>
      <w:r w:rsidR="0086684E">
        <w:rPr>
          <w:rFonts w:asciiTheme="majorHAnsi" w:hAnsiTheme="majorHAnsi" w:cstheme="majorHAnsi"/>
        </w:rPr>
        <w:t>interponer</w:t>
      </w:r>
      <w:r w:rsidR="0043230B" w:rsidRPr="001E4A77">
        <w:rPr>
          <w:rFonts w:asciiTheme="majorHAnsi" w:hAnsiTheme="majorHAnsi" w:cstheme="majorHAnsi"/>
        </w:rPr>
        <w:t xml:space="preserve"> recurso en el plazo de 15 días ante la autoridad Consular Argentina en el exterior.</w:t>
      </w:r>
    </w:p>
    <w:p w14:paraId="157E73B2" w14:textId="377188B7" w:rsidR="0043230B" w:rsidRPr="001E4A77" w:rsidRDefault="00777276" w:rsidP="001E4A77">
      <w:pPr>
        <w:spacing w:after="120"/>
        <w:jc w:val="both"/>
        <w:rPr>
          <w:rFonts w:asciiTheme="majorHAnsi" w:hAnsiTheme="majorHAnsi" w:cstheme="majorHAnsi"/>
        </w:rPr>
      </w:pPr>
      <w:r w:rsidRPr="001E4A77">
        <w:rPr>
          <w:rFonts w:asciiTheme="majorHAnsi" w:hAnsiTheme="majorHAnsi" w:cstheme="majorHAnsi"/>
        </w:rPr>
        <w:t>Desconociendo sus circunstancias personales, se le notificó</w:t>
      </w:r>
      <w:r w:rsidR="0043230B" w:rsidRPr="001E4A77">
        <w:rPr>
          <w:rFonts w:asciiTheme="majorHAnsi" w:hAnsiTheme="majorHAnsi" w:cstheme="majorHAnsi"/>
        </w:rPr>
        <w:t xml:space="preserve"> </w:t>
      </w:r>
      <w:r w:rsidRPr="001E4A77">
        <w:rPr>
          <w:rFonts w:asciiTheme="majorHAnsi" w:hAnsiTheme="majorHAnsi" w:cstheme="majorHAnsi"/>
        </w:rPr>
        <w:t xml:space="preserve">de su orden de expulsión </w:t>
      </w:r>
      <w:r w:rsidR="00117470" w:rsidRPr="001E4A77">
        <w:rPr>
          <w:rFonts w:asciiTheme="majorHAnsi" w:hAnsiTheme="majorHAnsi" w:cstheme="majorHAnsi"/>
        </w:rPr>
        <w:t>en la frontera de L</w:t>
      </w:r>
      <w:r w:rsidR="0043230B" w:rsidRPr="001E4A77">
        <w:rPr>
          <w:rFonts w:asciiTheme="majorHAnsi" w:hAnsiTheme="majorHAnsi" w:cstheme="majorHAnsi"/>
        </w:rPr>
        <w:t xml:space="preserve">a Quiaca, </w:t>
      </w:r>
      <w:r w:rsidR="00C86A21" w:rsidRPr="001E4A77">
        <w:rPr>
          <w:rFonts w:asciiTheme="majorHAnsi" w:hAnsiTheme="majorHAnsi" w:cstheme="majorHAnsi"/>
        </w:rPr>
        <w:t>se impidió el ingreso y se obstaculizó su derecho a presentar los correspondientes recursos ante las autoridades locales.</w:t>
      </w:r>
      <w:r w:rsidR="0043230B" w:rsidRPr="001E4A77">
        <w:rPr>
          <w:rFonts w:asciiTheme="majorHAnsi" w:hAnsiTheme="majorHAnsi" w:cstheme="majorHAnsi"/>
        </w:rPr>
        <w:t xml:space="preserve"> </w:t>
      </w:r>
    </w:p>
    <w:p w14:paraId="2F292AD0" w14:textId="41A7F41F" w:rsidR="0043230B" w:rsidRPr="001E4A77" w:rsidRDefault="00C86A21" w:rsidP="001E4A77">
      <w:pPr>
        <w:spacing w:after="120"/>
        <w:jc w:val="both"/>
        <w:rPr>
          <w:rFonts w:asciiTheme="majorHAnsi" w:hAnsiTheme="majorHAnsi" w:cstheme="majorHAnsi"/>
        </w:rPr>
      </w:pPr>
      <w:r w:rsidRPr="001E4A77">
        <w:rPr>
          <w:rFonts w:asciiTheme="majorHAnsi" w:hAnsiTheme="majorHAnsi" w:cstheme="majorHAnsi"/>
        </w:rPr>
        <w:t xml:space="preserve">Su esposa María Torrez fue notificada el 1 de julio de 2019 </w:t>
      </w:r>
      <w:r w:rsidR="00A0086E" w:rsidRPr="001E4A77">
        <w:rPr>
          <w:rFonts w:asciiTheme="majorHAnsi" w:hAnsiTheme="majorHAnsi" w:cstheme="majorHAnsi"/>
        </w:rPr>
        <w:t xml:space="preserve">de su expulsión </w:t>
      </w:r>
      <w:r w:rsidRPr="001E4A77">
        <w:rPr>
          <w:rFonts w:asciiTheme="majorHAnsi" w:hAnsiTheme="majorHAnsi" w:cstheme="majorHAnsi"/>
        </w:rPr>
        <w:t>resuelta en la</w:t>
      </w:r>
      <w:r w:rsidR="00A0086E" w:rsidRPr="001E4A77">
        <w:rPr>
          <w:rFonts w:asciiTheme="majorHAnsi" w:hAnsiTheme="majorHAnsi" w:cstheme="majorHAnsi"/>
        </w:rPr>
        <w:t xml:space="preserve"> Disposición Nº 068257.</w:t>
      </w:r>
    </w:p>
    <w:p w14:paraId="595C3B69" w14:textId="5374E38F" w:rsidR="0043230B" w:rsidRPr="001E4A77" w:rsidRDefault="0086684E" w:rsidP="001E4A77">
      <w:pPr>
        <w:spacing w:after="120"/>
        <w:jc w:val="both"/>
        <w:rPr>
          <w:rFonts w:asciiTheme="majorHAnsi" w:hAnsiTheme="majorHAnsi" w:cstheme="majorHAnsi"/>
        </w:rPr>
      </w:pPr>
      <w:r>
        <w:rPr>
          <w:rFonts w:asciiTheme="majorHAnsi" w:hAnsiTheme="majorHAnsi" w:cstheme="majorHAnsi"/>
        </w:rPr>
        <w:t xml:space="preserve">Ambos fueron condenados </w:t>
      </w:r>
      <w:r w:rsidR="0043230B" w:rsidRPr="001E4A77">
        <w:rPr>
          <w:rFonts w:asciiTheme="majorHAnsi" w:hAnsiTheme="majorHAnsi" w:cstheme="majorHAnsi"/>
        </w:rPr>
        <w:t xml:space="preserve">por el Tribunal Oral Criminal Federal de San Salvador de Jujuy </w:t>
      </w:r>
      <w:r w:rsidR="008548FD" w:rsidRPr="001E4A77">
        <w:rPr>
          <w:rFonts w:asciiTheme="majorHAnsi" w:hAnsiTheme="majorHAnsi" w:cstheme="majorHAnsi"/>
        </w:rPr>
        <w:t xml:space="preserve">el 3 de enero 2012 </w:t>
      </w:r>
      <w:r w:rsidR="0043230B" w:rsidRPr="001E4A77">
        <w:rPr>
          <w:rFonts w:asciiTheme="majorHAnsi" w:hAnsiTheme="majorHAnsi" w:cstheme="majorHAnsi"/>
        </w:rPr>
        <w:t xml:space="preserve">a la pena de 2 años </w:t>
      </w:r>
      <w:r w:rsidR="00A70CE1" w:rsidRPr="001E4A77">
        <w:rPr>
          <w:rFonts w:asciiTheme="majorHAnsi" w:hAnsiTheme="majorHAnsi" w:cstheme="majorHAnsi"/>
        </w:rPr>
        <w:t xml:space="preserve">de prisión </w:t>
      </w:r>
      <w:r w:rsidR="0043230B" w:rsidRPr="001E4A77">
        <w:rPr>
          <w:rFonts w:asciiTheme="majorHAnsi" w:hAnsiTheme="majorHAnsi" w:cstheme="majorHAnsi"/>
        </w:rPr>
        <w:t xml:space="preserve">por el delito de </w:t>
      </w:r>
      <w:r w:rsidR="00FC38FF">
        <w:rPr>
          <w:rFonts w:asciiTheme="majorHAnsi" w:hAnsiTheme="majorHAnsi" w:cstheme="majorHAnsi"/>
        </w:rPr>
        <w:t>f</w:t>
      </w:r>
      <w:r w:rsidR="0043230B" w:rsidRPr="001E4A77">
        <w:rPr>
          <w:rFonts w:asciiTheme="majorHAnsi" w:hAnsiTheme="majorHAnsi" w:cstheme="majorHAnsi"/>
        </w:rPr>
        <w:t>acilitación del tráfico ilegal de personas con destino a la República Argentina, en calidad de coautores</w:t>
      </w:r>
      <w:r w:rsidR="00A0086E" w:rsidRPr="001E4A77">
        <w:rPr>
          <w:rFonts w:asciiTheme="majorHAnsi" w:hAnsiTheme="majorHAnsi" w:cstheme="majorHAnsi"/>
        </w:rPr>
        <w:t>. F</w:t>
      </w:r>
      <w:r w:rsidR="0043230B" w:rsidRPr="001E4A77">
        <w:rPr>
          <w:rFonts w:asciiTheme="majorHAnsi" w:hAnsiTheme="majorHAnsi" w:cstheme="majorHAnsi"/>
        </w:rPr>
        <w:t>ueron condenados a dos años de prisión, cumpliendo un año de condena efectiva y recobraron la libertad</w:t>
      </w:r>
      <w:r w:rsidR="00A0086E" w:rsidRPr="001E4A77">
        <w:rPr>
          <w:rFonts w:asciiTheme="majorHAnsi" w:hAnsiTheme="majorHAnsi" w:cstheme="majorHAnsi"/>
        </w:rPr>
        <w:t>.</w:t>
      </w:r>
      <w:r w:rsidR="00722853">
        <w:rPr>
          <w:rFonts w:asciiTheme="majorHAnsi" w:hAnsiTheme="majorHAnsi" w:cstheme="majorHAnsi"/>
        </w:rPr>
        <w:t xml:space="preserve"> Más allá del delito a lo que fueron condenados, su derecho al debido proceso y el derecho a la defensa, así como el derecho a la unidad familiar y el interés superior de los niños no fueron debidamente garantizados. Especialmente con una notificación en la frontera sin posibilidad de presentar recursos en el país. </w:t>
      </w:r>
    </w:p>
    <w:p w14:paraId="1386A955" w14:textId="77777777" w:rsidR="0086684E" w:rsidRPr="001E4A77" w:rsidRDefault="0086684E" w:rsidP="001E4A77">
      <w:pPr>
        <w:spacing w:after="120"/>
        <w:jc w:val="both"/>
        <w:rPr>
          <w:rFonts w:asciiTheme="majorHAnsi" w:hAnsiTheme="majorHAnsi" w:cstheme="majorHAnsi"/>
        </w:rPr>
      </w:pPr>
    </w:p>
    <w:p w14:paraId="3C95DF4B" w14:textId="77777777" w:rsidR="00C238D4" w:rsidRPr="001E4A77" w:rsidRDefault="00C238D4" w:rsidP="001E4A77">
      <w:pPr>
        <w:spacing w:after="120"/>
        <w:jc w:val="both"/>
        <w:rPr>
          <w:rFonts w:asciiTheme="majorHAnsi" w:hAnsiTheme="majorHAnsi" w:cstheme="majorHAnsi"/>
          <w:b/>
        </w:rPr>
      </w:pPr>
      <w:r w:rsidRPr="001E4A77">
        <w:rPr>
          <w:rFonts w:asciiTheme="majorHAnsi" w:hAnsiTheme="majorHAnsi" w:cstheme="majorHAnsi"/>
          <w:b/>
        </w:rPr>
        <w:t>PAOLA A. LOPEZ ALEGRE</w:t>
      </w:r>
    </w:p>
    <w:p w14:paraId="033F06E5" w14:textId="77777777" w:rsidR="00D4096A" w:rsidRDefault="00C238D4" w:rsidP="001E4A77">
      <w:pPr>
        <w:spacing w:after="120"/>
        <w:jc w:val="both"/>
        <w:rPr>
          <w:rFonts w:asciiTheme="majorHAnsi" w:hAnsiTheme="majorHAnsi" w:cstheme="majorHAnsi"/>
        </w:rPr>
      </w:pPr>
      <w:r w:rsidRPr="001E4A77">
        <w:rPr>
          <w:rFonts w:asciiTheme="majorHAnsi" w:hAnsiTheme="majorHAnsi" w:cstheme="majorHAnsi"/>
        </w:rPr>
        <w:t>Los padres de Paola —de nacionalidad argentina— migraron a Brasil por razones laborales, donde nacieron dos de sus hijas. Al poco tiempo (1985) regresaron a la Argentina, ingresando junto a ellos Paola, quien contab</w:t>
      </w:r>
      <w:r w:rsidR="009231BD" w:rsidRPr="001E4A77">
        <w:rPr>
          <w:rFonts w:asciiTheme="majorHAnsi" w:hAnsiTheme="majorHAnsi" w:cstheme="majorHAnsi"/>
        </w:rPr>
        <w:t>a con apenas dos años de edad. N</w:t>
      </w:r>
      <w:r w:rsidRPr="001E4A77">
        <w:rPr>
          <w:rFonts w:asciiTheme="majorHAnsi" w:hAnsiTheme="majorHAnsi" w:cstheme="majorHAnsi"/>
        </w:rPr>
        <w:t xml:space="preserve">unca ha regresado </w:t>
      </w:r>
      <w:r w:rsidR="009231BD" w:rsidRPr="001E4A77">
        <w:rPr>
          <w:rFonts w:asciiTheme="majorHAnsi" w:hAnsiTheme="majorHAnsi" w:cstheme="majorHAnsi"/>
        </w:rPr>
        <w:t xml:space="preserve">a Brasil </w:t>
      </w:r>
      <w:r w:rsidRPr="001E4A77">
        <w:rPr>
          <w:rFonts w:asciiTheme="majorHAnsi" w:hAnsiTheme="majorHAnsi" w:cstheme="majorHAnsi"/>
        </w:rPr>
        <w:t xml:space="preserve">y siquiera tiene </w:t>
      </w:r>
      <w:r w:rsidR="009231BD" w:rsidRPr="001E4A77">
        <w:rPr>
          <w:rFonts w:asciiTheme="majorHAnsi" w:hAnsiTheme="majorHAnsi" w:cstheme="majorHAnsi"/>
        </w:rPr>
        <w:t xml:space="preserve">el registro nacional </w:t>
      </w:r>
      <w:r w:rsidRPr="001E4A77">
        <w:rPr>
          <w:rFonts w:asciiTheme="majorHAnsi" w:hAnsiTheme="majorHAnsi" w:cstheme="majorHAnsi"/>
        </w:rPr>
        <w:t xml:space="preserve">de identidad o </w:t>
      </w:r>
      <w:r w:rsidR="00D4096A">
        <w:rPr>
          <w:rFonts w:asciiTheme="majorHAnsi" w:hAnsiTheme="majorHAnsi" w:cstheme="majorHAnsi"/>
        </w:rPr>
        <w:t>p</w:t>
      </w:r>
      <w:r w:rsidRPr="001E4A77">
        <w:rPr>
          <w:rFonts w:asciiTheme="majorHAnsi" w:hAnsiTheme="majorHAnsi" w:cstheme="majorHAnsi"/>
        </w:rPr>
        <w:t>asaporte de</w:t>
      </w:r>
      <w:r w:rsidR="009231BD" w:rsidRPr="001E4A77">
        <w:rPr>
          <w:rFonts w:asciiTheme="majorHAnsi" w:hAnsiTheme="majorHAnsi" w:cstheme="majorHAnsi"/>
        </w:rPr>
        <w:t xml:space="preserve"> </w:t>
      </w:r>
      <w:r w:rsidRPr="001E4A77">
        <w:rPr>
          <w:rFonts w:asciiTheme="majorHAnsi" w:hAnsiTheme="majorHAnsi" w:cstheme="majorHAnsi"/>
        </w:rPr>
        <w:t xml:space="preserve">aquél país. Paola desarrolló toda su vida en </w:t>
      </w:r>
      <w:r w:rsidR="009231BD" w:rsidRPr="001E4A77">
        <w:rPr>
          <w:rFonts w:asciiTheme="majorHAnsi" w:hAnsiTheme="majorHAnsi" w:cstheme="majorHAnsi"/>
        </w:rPr>
        <w:t xml:space="preserve">la </w:t>
      </w:r>
      <w:r w:rsidRPr="001E4A77">
        <w:rPr>
          <w:rFonts w:asciiTheme="majorHAnsi" w:hAnsiTheme="majorHAnsi" w:cstheme="majorHAnsi"/>
        </w:rPr>
        <w:t>Argentina</w:t>
      </w:r>
      <w:r w:rsidR="00D4096A">
        <w:rPr>
          <w:rFonts w:asciiTheme="majorHAnsi" w:hAnsiTheme="majorHAnsi" w:cstheme="majorHAnsi"/>
        </w:rPr>
        <w:t>.</w:t>
      </w:r>
    </w:p>
    <w:p w14:paraId="0F5F0E7B" w14:textId="6B0E0E18" w:rsidR="009231BD" w:rsidRPr="001E4A77" w:rsidRDefault="00D4096A" w:rsidP="001E4A77">
      <w:pPr>
        <w:spacing w:after="120"/>
        <w:jc w:val="both"/>
        <w:rPr>
          <w:rFonts w:asciiTheme="majorHAnsi" w:hAnsiTheme="majorHAnsi" w:cstheme="majorHAnsi"/>
        </w:rPr>
      </w:pPr>
      <w:r w:rsidRPr="001E4A77">
        <w:rPr>
          <w:rFonts w:asciiTheme="majorHAnsi" w:hAnsiTheme="majorHAnsi" w:cstheme="majorHAnsi"/>
        </w:rPr>
        <w:t>Con motivo del allanamiento en su domicilio es detenida el 5 de marzo de 2009.</w:t>
      </w:r>
      <w:r>
        <w:rPr>
          <w:rFonts w:asciiTheme="majorHAnsi" w:hAnsiTheme="majorHAnsi" w:cstheme="majorHAnsi"/>
        </w:rPr>
        <w:t xml:space="preserve"> </w:t>
      </w:r>
      <w:r w:rsidR="00DF1C98" w:rsidRPr="001E4A77">
        <w:rPr>
          <w:rFonts w:asciiTheme="majorHAnsi" w:hAnsiTheme="majorHAnsi" w:cstheme="majorHAnsi"/>
        </w:rPr>
        <w:t xml:space="preserve">Fue condenada a cuatro </w:t>
      </w:r>
      <w:proofErr w:type="spellStart"/>
      <w:r w:rsidR="00DF1C98" w:rsidRPr="001E4A77">
        <w:rPr>
          <w:rFonts w:asciiTheme="majorHAnsi" w:hAnsiTheme="majorHAnsi" w:cstheme="majorHAnsi"/>
        </w:rPr>
        <w:t>años</w:t>
      </w:r>
      <w:proofErr w:type="spellEnd"/>
      <w:r w:rsidR="00DF1C98" w:rsidRPr="001E4A77">
        <w:rPr>
          <w:rFonts w:asciiTheme="majorHAnsi" w:hAnsiTheme="majorHAnsi" w:cstheme="majorHAnsi"/>
        </w:rPr>
        <w:t xml:space="preserve"> de </w:t>
      </w:r>
      <w:proofErr w:type="spellStart"/>
      <w:r w:rsidR="00DF1C98" w:rsidRPr="001E4A77">
        <w:rPr>
          <w:rFonts w:asciiTheme="majorHAnsi" w:hAnsiTheme="majorHAnsi" w:cstheme="majorHAnsi"/>
        </w:rPr>
        <w:t>prisión</w:t>
      </w:r>
      <w:proofErr w:type="spellEnd"/>
      <w:r w:rsidR="00DF1C98" w:rsidRPr="001E4A77">
        <w:rPr>
          <w:rFonts w:asciiTheme="majorHAnsi" w:hAnsiTheme="majorHAnsi" w:cstheme="majorHAnsi"/>
        </w:rPr>
        <w:t xml:space="preserve"> por el Tribunal Oral en lo Criminal No 8 de Lomas de Zamora, el 16 de septiembre de 2010, por resultar coautora penalmente responsable del delito de tenencia de estupefacientes con fines de </w:t>
      </w:r>
      <w:proofErr w:type="spellStart"/>
      <w:r w:rsidR="00DF1C98" w:rsidRPr="001E4A77">
        <w:rPr>
          <w:rFonts w:asciiTheme="majorHAnsi" w:hAnsiTheme="majorHAnsi" w:cstheme="majorHAnsi"/>
        </w:rPr>
        <w:t>comercialización</w:t>
      </w:r>
      <w:proofErr w:type="spellEnd"/>
      <w:r>
        <w:rPr>
          <w:rFonts w:asciiTheme="majorHAnsi" w:hAnsiTheme="majorHAnsi" w:cstheme="majorHAnsi"/>
        </w:rPr>
        <w:t>.</w:t>
      </w:r>
      <w:r w:rsidR="00DF1C98" w:rsidRPr="001E4A77">
        <w:rPr>
          <w:rFonts w:asciiTheme="majorHAnsi" w:hAnsiTheme="majorHAnsi" w:cstheme="majorHAnsi"/>
        </w:rPr>
        <w:t xml:space="preserve"> La mayor parte de la pena la cumplió con arresto domiciliario por el avanzado estado de embarazo y por la maternidad. En fecha 17 de mayo de 2011 se le concede la excarcelación en términos de libertad asistida.  </w:t>
      </w:r>
      <w:r>
        <w:rPr>
          <w:rFonts w:asciiTheme="majorHAnsi" w:hAnsiTheme="majorHAnsi" w:cstheme="majorHAnsi"/>
        </w:rPr>
        <w:t>E</w:t>
      </w:r>
      <w:r w:rsidR="00DF1C98" w:rsidRPr="001E4A77">
        <w:rPr>
          <w:rFonts w:asciiTheme="majorHAnsi" w:hAnsiTheme="majorHAnsi" w:cstheme="majorHAnsi"/>
        </w:rPr>
        <w:t xml:space="preserve">l vencimiento de su condena </w:t>
      </w:r>
      <w:r>
        <w:rPr>
          <w:rFonts w:asciiTheme="majorHAnsi" w:hAnsiTheme="majorHAnsi" w:cstheme="majorHAnsi"/>
        </w:rPr>
        <w:t xml:space="preserve">operó </w:t>
      </w:r>
      <w:r w:rsidR="00DF1C98" w:rsidRPr="001E4A77">
        <w:rPr>
          <w:rFonts w:asciiTheme="majorHAnsi" w:hAnsiTheme="majorHAnsi" w:cstheme="majorHAnsi"/>
        </w:rPr>
        <w:t>el 4 de marzo de 2013.</w:t>
      </w:r>
      <w:r w:rsidR="00C238D4" w:rsidRPr="001E4A77">
        <w:rPr>
          <w:rFonts w:asciiTheme="majorHAnsi" w:hAnsiTheme="majorHAnsi" w:cstheme="majorHAnsi"/>
        </w:rPr>
        <w:t xml:space="preserve"> </w:t>
      </w:r>
    </w:p>
    <w:p w14:paraId="5CA41450" w14:textId="1E5153ED" w:rsidR="00C238D4" w:rsidRPr="001E4A77" w:rsidRDefault="00C238D4" w:rsidP="001E4A77">
      <w:pPr>
        <w:spacing w:after="120"/>
        <w:jc w:val="both"/>
        <w:rPr>
          <w:rFonts w:asciiTheme="majorHAnsi" w:hAnsiTheme="majorHAnsi" w:cstheme="majorHAnsi"/>
        </w:rPr>
      </w:pPr>
      <w:r w:rsidRPr="001E4A77">
        <w:rPr>
          <w:rFonts w:asciiTheme="majorHAnsi" w:hAnsiTheme="majorHAnsi" w:cstheme="majorHAnsi"/>
        </w:rPr>
        <w:t xml:space="preserve">Hoy es sostén económico y afectivo del hogar familiar que conforma con sus cinco hijos, todos de nacionalidad argentina, </w:t>
      </w:r>
      <w:r w:rsidR="009231BD" w:rsidRPr="001E4A77">
        <w:rPr>
          <w:rFonts w:asciiTheme="majorHAnsi" w:hAnsiTheme="majorHAnsi" w:cstheme="majorHAnsi"/>
        </w:rPr>
        <w:t>siendo dos menores de edad</w:t>
      </w:r>
      <w:r w:rsidRPr="001E4A77">
        <w:rPr>
          <w:rFonts w:asciiTheme="majorHAnsi" w:hAnsiTheme="majorHAnsi" w:cstheme="majorHAnsi"/>
        </w:rPr>
        <w:t xml:space="preserve">. A una de sus hijas menores de edad se le diagnosticó artritis </w:t>
      </w:r>
      <w:proofErr w:type="spellStart"/>
      <w:r w:rsidRPr="001E4A77">
        <w:rPr>
          <w:rFonts w:asciiTheme="majorHAnsi" w:hAnsiTheme="majorHAnsi" w:cstheme="majorHAnsi"/>
        </w:rPr>
        <w:t>reumatoidea</w:t>
      </w:r>
      <w:proofErr w:type="spellEnd"/>
      <w:r w:rsidRPr="001E4A77">
        <w:rPr>
          <w:rFonts w:asciiTheme="majorHAnsi" w:hAnsiTheme="majorHAnsi" w:cstheme="majorHAnsi"/>
        </w:rPr>
        <w:t xml:space="preserve">, atravesando a raíz de ello un largo tratamiento por tratarse de una enfermedad crónica y degenerativa, mientras se tramita </w:t>
      </w:r>
      <w:r w:rsidR="009231BD" w:rsidRPr="001E4A77">
        <w:rPr>
          <w:rFonts w:asciiTheme="majorHAnsi" w:hAnsiTheme="majorHAnsi" w:cstheme="majorHAnsi"/>
        </w:rPr>
        <w:t xml:space="preserve">su </w:t>
      </w:r>
      <w:r w:rsidRPr="001E4A77">
        <w:rPr>
          <w:rFonts w:asciiTheme="majorHAnsi" w:hAnsiTheme="majorHAnsi" w:cstheme="majorHAnsi"/>
        </w:rPr>
        <w:t>certificado de discapacidad.</w:t>
      </w:r>
    </w:p>
    <w:p w14:paraId="1DAC39A0" w14:textId="7F67DB78" w:rsidR="00C238D4" w:rsidRDefault="00C238D4" w:rsidP="001E4A77">
      <w:pPr>
        <w:spacing w:after="120"/>
        <w:jc w:val="both"/>
        <w:rPr>
          <w:rFonts w:asciiTheme="majorHAnsi" w:hAnsiTheme="majorHAnsi" w:cstheme="majorHAnsi"/>
        </w:rPr>
      </w:pPr>
      <w:r w:rsidRPr="001E4A77">
        <w:rPr>
          <w:rFonts w:asciiTheme="majorHAnsi" w:hAnsiTheme="majorHAnsi" w:cstheme="majorHAnsi"/>
        </w:rPr>
        <w:t xml:space="preserve">Ninguna de estas circunstancias impidió que la </w:t>
      </w:r>
      <w:proofErr w:type="spellStart"/>
      <w:r w:rsidRPr="001E4A77">
        <w:rPr>
          <w:rFonts w:asciiTheme="majorHAnsi" w:hAnsiTheme="majorHAnsi" w:cstheme="majorHAnsi"/>
        </w:rPr>
        <w:t>Direccción</w:t>
      </w:r>
      <w:proofErr w:type="spellEnd"/>
      <w:r w:rsidRPr="001E4A77">
        <w:rPr>
          <w:rFonts w:asciiTheme="majorHAnsi" w:hAnsiTheme="majorHAnsi" w:cstheme="majorHAnsi"/>
        </w:rPr>
        <w:t xml:space="preserve"> Nacional de Migraciones dispusiera la expulsión de Paola (Expediente SDX N° 282105/2012), decidiendo denegar la dispensa por reunificación familiar (</w:t>
      </w:r>
      <w:proofErr w:type="spellStart"/>
      <w:r w:rsidRPr="001E4A77">
        <w:rPr>
          <w:rFonts w:asciiTheme="majorHAnsi" w:hAnsiTheme="majorHAnsi" w:cstheme="majorHAnsi"/>
        </w:rPr>
        <w:t>Disposición</w:t>
      </w:r>
      <w:proofErr w:type="spellEnd"/>
      <w:r w:rsidRPr="001E4A77">
        <w:rPr>
          <w:rFonts w:asciiTheme="majorHAnsi" w:hAnsiTheme="majorHAnsi" w:cstheme="majorHAnsi"/>
        </w:rPr>
        <w:t xml:space="preserve"> SDX N°135445). Esta decisión administrativa, pese a su impugnación judicial, f</w:t>
      </w:r>
      <w:r w:rsidR="009231BD" w:rsidRPr="001E4A77">
        <w:rPr>
          <w:rFonts w:asciiTheme="majorHAnsi" w:hAnsiTheme="majorHAnsi" w:cstheme="majorHAnsi"/>
        </w:rPr>
        <w:t xml:space="preserve">ue ratificada tanto en primera </w:t>
      </w:r>
      <w:r w:rsidRPr="001E4A77">
        <w:rPr>
          <w:rFonts w:asciiTheme="majorHAnsi" w:hAnsiTheme="majorHAnsi" w:cstheme="majorHAnsi"/>
        </w:rPr>
        <w:t xml:space="preserve">instancia por el Juzgado Contencioso Administrativo Federal </w:t>
      </w:r>
      <w:proofErr w:type="spellStart"/>
      <w:r w:rsidRPr="001E4A77">
        <w:rPr>
          <w:rFonts w:asciiTheme="majorHAnsi" w:hAnsiTheme="majorHAnsi" w:cstheme="majorHAnsi"/>
        </w:rPr>
        <w:t>Nro</w:t>
      </w:r>
      <w:proofErr w:type="spellEnd"/>
      <w:r w:rsidRPr="001E4A77">
        <w:rPr>
          <w:rFonts w:asciiTheme="majorHAnsi" w:hAnsiTheme="majorHAnsi" w:cstheme="majorHAnsi"/>
        </w:rPr>
        <w:t xml:space="preserve"> 7 (18/03/2019) como en apelación a la segunda instancia por ante la Sala III de la Cámara Contencioso Administrativo Federal (25-04-2019). Solo resta a </w:t>
      </w:r>
      <w:r w:rsidR="009231BD" w:rsidRPr="001E4A77">
        <w:rPr>
          <w:rFonts w:asciiTheme="majorHAnsi" w:hAnsiTheme="majorHAnsi" w:cstheme="majorHAnsi"/>
        </w:rPr>
        <w:t xml:space="preserve">la Corte Suprema </w:t>
      </w:r>
      <w:r w:rsidRPr="001E4A77">
        <w:rPr>
          <w:rFonts w:asciiTheme="majorHAnsi" w:hAnsiTheme="majorHAnsi" w:cstheme="majorHAnsi"/>
        </w:rPr>
        <w:t>decidir si concede el Recurso Extraordinario interpuesto por Paola. Si se deniega la admisibilidad de este recurso, la Dirección Nacional de Migraciones —fiel a su práctica actual— podrá considerar firme la expulsión y procederá a ejecutarla</w:t>
      </w:r>
      <w:r w:rsidR="009231BD" w:rsidRPr="001E4A77">
        <w:rPr>
          <w:rFonts w:asciiTheme="majorHAnsi" w:hAnsiTheme="majorHAnsi" w:cstheme="majorHAnsi"/>
        </w:rPr>
        <w:t xml:space="preserve"> hacia un Estado del que salió hace 34 años, al cual nunca volvió y al que siquiera recuerda</w:t>
      </w:r>
      <w:r w:rsidRPr="001E4A77">
        <w:rPr>
          <w:rFonts w:asciiTheme="majorHAnsi" w:hAnsiTheme="majorHAnsi" w:cstheme="majorHAnsi"/>
        </w:rPr>
        <w:t>, separando a Paola de su madre, hermanos, hijos e, incluso, colocándola en el dilema de llevar a su hija con discapacidad consigo, implicando esto la interrupción de su tratamiento.</w:t>
      </w:r>
    </w:p>
    <w:p w14:paraId="4E5B9343" w14:textId="77777777" w:rsidR="001E4A77" w:rsidRPr="001E4A77" w:rsidRDefault="001E4A77" w:rsidP="001E4A77">
      <w:pPr>
        <w:spacing w:after="120"/>
        <w:jc w:val="both"/>
        <w:rPr>
          <w:rFonts w:asciiTheme="majorHAnsi" w:hAnsiTheme="majorHAnsi" w:cstheme="majorHAnsi"/>
        </w:rPr>
      </w:pPr>
    </w:p>
    <w:p w14:paraId="00000069" w14:textId="77777777" w:rsidR="00EA4D3D" w:rsidRPr="00D76E2A" w:rsidRDefault="00296A74">
      <w:pPr>
        <w:spacing w:after="120"/>
        <w:rPr>
          <w:b/>
          <w:u w:val="single"/>
        </w:rPr>
      </w:pPr>
      <w:r w:rsidRPr="00D76E2A">
        <w:rPr>
          <w:b/>
          <w:u w:val="single"/>
        </w:rPr>
        <w:t>Preguntas sugeridas al Estado</w:t>
      </w:r>
    </w:p>
    <w:p w14:paraId="0000006A" w14:textId="77777777" w:rsidR="00EA4D3D" w:rsidRDefault="00296A74">
      <w:pPr>
        <w:numPr>
          <w:ilvl w:val="0"/>
          <w:numId w:val="6"/>
        </w:numPr>
        <w:pBdr>
          <w:top w:val="nil"/>
          <w:left w:val="nil"/>
          <w:bottom w:val="nil"/>
          <w:right w:val="nil"/>
          <w:between w:val="nil"/>
        </w:pBdr>
        <w:spacing w:after="0" w:line="240" w:lineRule="auto"/>
        <w:jc w:val="both"/>
      </w:pPr>
      <w:r>
        <w:rPr>
          <w:color w:val="000000"/>
        </w:rPr>
        <w:t xml:space="preserve">¿Qué medidas está tomando el Estado para garantizar efectivamente el debido proceso y el acceso a la justicia en los procedimientos de expulsión, en particular a partir de la sanción del Decreto de Necesidad y Urgencia No. 70/2017? </w:t>
      </w:r>
    </w:p>
    <w:p w14:paraId="0000006B" w14:textId="77777777" w:rsidR="00EA4D3D" w:rsidRDefault="00296A74">
      <w:pPr>
        <w:numPr>
          <w:ilvl w:val="0"/>
          <w:numId w:val="6"/>
        </w:numPr>
        <w:pBdr>
          <w:top w:val="nil"/>
          <w:left w:val="nil"/>
          <w:bottom w:val="nil"/>
          <w:right w:val="nil"/>
          <w:between w:val="nil"/>
        </w:pBdr>
        <w:spacing w:after="0" w:line="240" w:lineRule="auto"/>
        <w:jc w:val="both"/>
      </w:pPr>
      <w:r>
        <w:rPr>
          <w:color w:val="000000"/>
        </w:rPr>
        <w:t xml:space="preserve">¿Cuáles son las razones que justifican que el Estado determine la expulsión de migrantes por el sólo hecho de contar con antecedentes penales aun cuando ya cumplieron la condena, llevan muchos años en la Argentina y tienen hijos e hijas en el país? </w:t>
      </w:r>
    </w:p>
    <w:p w14:paraId="0000006C" w14:textId="77777777" w:rsidR="00EA4D3D" w:rsidRDefault="00296A74">
      <w:pPr>
        <w:numPr>
          <w:ilvl w:val="0"/>
          <w:numId w:val="6"/>
        </w:numPr>
        <w:pBdr>
          <w:top w:val="nil"/>
          <w:left w:val="nil"/>
          <w:bottom w:val="nil"/>
          <w:right w:val="nil"/>
          <w:between w:val="nil"/>
        </w:pBdr>
        <w:spacing w:after="0" w:line="240" w:lineRule="auto"/>
        <w:jc w:val="both"/>
      </w:pPr>
      <w:r>
        <w:rPr>
          <w:color w:val="000000"/>
        </w:rPr>
        <w:t>¿La Dirección Nacional de Migraciones está derivando los casos de expulsión a la Defensa Pública, tal como determina la Ley de Migraciones?</w:t>
      </w:r>
    </w:p>
    <w:p w14:paraId="0000006D" w14:textId="77777777" w:rsidR="00EA4D3D" w:rsidRDefault="00296A74">
      <w:pPr>
        <w:numPr>
          <w:ilvl w:val="0"/>
          <w:numId w:val="6"/>
        </w:numPr>
        <w:pBdr>
          <w:top w:val="nil"/>
          <w:left w:val="nil"/>
          <w:bottom w:val="nil"/>
          <w:right w:val="nil"/>
          <w:between w:val="nil"/>
        </w:pBdr>
        <w:spacing w:after="0" w:line="240" w:lineRule="auto"/>
        <w:jc w:val="both"/>
      </w:pPr>
      <w:r>
        <w:rPr>
          <w:color w:val="000000"/>
        </w:rPr>
        <w:t xml:space="preserve">¿Qué medidas está tomando el Estado para garantizar que el derecho a la unidad familiar y razones humanitarias sean exhaustivamente analizadas en los procedimientos de expulsión? </w:t>
      </w:r>
    </w:p>
    <w:p w14:paraId="0000006E" w14:textId="1A2395DC" w:rsidR="00EA4D3D" w:rsidRDefault="00296A74">
      <w:pPr>
        <w:numPr>
          <w:ilvl w:val="0"/>
          <w:numId w:val="6"/>
        </w:numPr>
        <w:pBdr>
          <w:top w:val="nil"/>
          <w:left w:val="nil"/>
          <w:bottom w:val="nil"/>
          <w:right w:val="nil"/>
          <w:between w:val="nil"/>
        </w:pBdr>
        <w:spacing w:after="0" w:line="240" w:lineRule="auto"/>
        <w:jc w:val="both"/>
      </w:pPr>
      <w:r>
        <w:rPr>
          <w:color w:val="000000"/>
        </w:rPr>
        <w:t xml:space="preserve">¿Qué medidas se están adoptando para garantizar el interés superior de los niños en los procedimientos de expulsión </w:t>
      </w:r>
      <w:r w:rsidR="00065A8D">
        <w:rPr>
          <w:color w:val="000000"/>
        </w:rPr>
        <w:t>d</w:t>
      </w:r>
      <w:r>
        <w:rPr>
          <w:color w:val="000000"/>
        </w:rPr>
        <w:t>e sus padres y madres? ¿Qué medidas se están adoptando para garantizar que sean oídos y se analice</w:t>
      </w:r>
      <w:r w:rsidR="00065A8D">
        <w:rPr>
          <w:color w:val="000000"/>
        </w:rPr>
        <w:t>n</w:t>
      </w:r>
      <w:r>
        <w:rPr>
          <w:color w:val="000000"/>
        </w:rPr>
        <w:t xml:space="preserve"> los riesgos de una separación para su integridad física y mental?</w:t>
      </w:r>
    </w:p>
    <w:p w14:paraId="0000006F" w14:textId="0EDC8491" w:rsidR="00EA4D3D" w:rsidRDefault="00296A74">
      <w:pPr>
        <w:numPr>
          <w:ilvl w:val="0"/>
          <w:numId w:val="6"/>
        </w:numPr>
        <w:pBdr>
          <w:top w:val="nil"/>
          <w:left w:val="nil"/>
          <w:bottom w:val="nil"/>
          <w:right w:val="nil"/>
          <w:between w:val="nil"/>
        </w:pBdr>
        <w:spacing w:after="120" w:line="240" w:lineRule="auto"/>
        <w:jc w:val="both"/>
      </w:pPr>
      <w:r>
        <w:rPr>
          <w:color w:val="000000"/>
        </w:rPr>
        <w:t xml:space="preserve">¿Qué medidas está tomando el Estado Argentino para garantizar la reunión familiar de Vanessa </w:t>
      </w:r>
      <w:r w:rsidR="009946E6">
        <w:rPr>
          <w:color w:val="000000"/>
        </w:rPr>
        <w:t>Gómez</w:t>
      </w:r>
      <w:r>
        <w:rPr>
          <w:color w:val="000000"/>
        </w:rPr>
        <w:t xml:space="preserve"> Cueva, J.</w:t>
      </w:r>
      <w:proofErr w:type="gramStart"/>
      <w:r>
        <w:rPr>
          <w:color w:val="000000"/>
        </w:rPr>
        <w:t>H.B</w:t>
      </w:r>
      <w:proofErr w:type="gramEnd"/>
      <w:r>
        <w:rPr>
          <w:color w:val="000000"/>
        </w:rPr>
        <w:t xml:space="preserve">, </w:t>
      </w:r>
      <w:proofErr w:type="spellStart"/>
      <w:r>
        <w:rPr>
          <w:color w:val="000000"/>
        </w:rPr>
        <w:t>Jhonny</w:t>
      </w:r>
      <w:proofErr w:type="spellEnd"/>
      <w:r>
        <w:rPr>
          <w:color w:val="000000"/>
        </w:rPr>
        <w:t xml:space="preserve"> </w:t>
      </w:r>
      <w:proofErr w:type="spellStart"/>
      <w:r>
        <w:rPr>
          <w:color w:val="000000"/>
        </w:rPr>
        <w:t>Quiróz</w:t>
      </w:r>
      <w:proofErr w:type="spellEnd"/>
      <w:r>
        <w:rPr>
          <w:color w:val="000000"/>
        </w:rPr>
        <w:t xml:space="preserve">, Liz </w:t>
      </w:r>
      <w:proofErr w:type="spellStart"/>
      <w:r>
        <w:rPr>
          <w:color w:val="000000"/>
        </w:rPr>
        <w:t>Moreta</w:t>
      </w:r>
      <w:proofErr w:type="spellEnd"/>
      <w:r>
        <w:rPr>
          <w:color w:val="000000"/>
        </w:rPr>
        <w:t>, R.A.SO</w:t>
      </w:r>
      <w:r w:rsidR="004F66C5">
        <w:rPr>
          <w:color w:val="000000"/>
        </w:rPr>
        <w:t xml:space="preserve">, </w:t>
      </w:r>
      <w:r>
        <w:rPr>
          <w:color w:val="000000"/>
        </w:rPr>
        <w:t>Evangelina</w:t>
      </w:r>
      <w:r w:rsidR="004F66C5">
        <w:rPr>
          <w:color w:val="000000"/>
        </w:rPr>
        <w:t>, Wilfredo, María Torrez y Paola</w:t>
      </w:r>
      <w:r>
        <w:rPr>
          <w:color w:val="000000"/>
        </w:rPr>
        <w:t xml:space="preserve">?  </w:t>
      </w:r>
    </w:p>
    <w:p w14:paraId="00000070" w14:textId="77777777" w:rsidR="00EA4D3D" w:rsidRPr="00D76E2A" w:rsidRDefault="00296A74">
      <w:pPr>
        <w:spacing w:after="120"/>
        <w:rPr>
          <w:b/>
          <w:u w:val="single"/>
        </w:rPr>
      </w:pPr>
      <w:r w:rsidRPr="00D76E2A">
        <w:rPr>
          <w:b/>
          <w:u w:val="single"/>
        </w:rPr>
        <w:t>Recomendaciones Sugeridas al Estado</w:t>
      </w:r>
    </w:p>
    <w:p w14:paraId="00000071" w14:textId="77777777" w:rsidR="00EA4D3D" w:rsidRDefault="00296A74">
      <w:pPr>
        <w:numPr>
          <w:ilvl w:val="0"/>
          <w:numId w:val="7"/>
        </w:numPr>
        <w:pBdr>
          <w:top w:val="nil"/>
          <w:left w:val="nil"/>
          <w:bottom w:val="nil"/>
          <w:right w:val="nil"/>
          <w:between w:val="nil"/>
        </w:pBdr>
        <w:spacing w:after="0" w:line="240" w:lineRule="auto"/>
        <w:jc w:val="both"/>
        <w:rPr>
          <w:color w:val="000000"/>
        </w:rPr>
      </w:pPr>
      <w:r>
        <w:rPr>
          <w:color w:val="000000"/>
        </w:rPr>
        <w:t xml:space="preserve">Derogar el DNU 70/2017, en línea con lo solicitado por el Comité contra la Tortura y el Comité sobre los Derechos del Niño. </w:t>
      </w:r>
    </w:p>
    <w:p w14:paraId="00000072" w14:textId="77777777" w:rsidR="00EA4D3D" w:rsidRDefault="00296A74">
      <w:pPr>
        <w:numPr>
          <w:ilvl w:val="0"/>
          <w:numId w:val="7"/>
        </w:numPr>
        <w:pBdr>
          <w:top w:val="nil"/>
          <w:left w:val="nil"/>
          <w:bottom w:val="nil"/>
          <w:right w:val="nil"/>
          <w:between w:val="nil"/>
        </w:pBdr>
        <w:spacing w:after="0" w:line="240" w:lineRule="auto"/>
        <w:jc w:val="both"/>
      </w:pPr>
      <w:r>
        <w:rPr>
          <w:color w:val="000000"/>
        </w:rPr>
        <w:t>La aplicación de la dispensa por unidad familiar no debe ser una facultad discrecional de la administración, por lo que el Estado debe abstenerse de llevar adelante las expulsiones que separan familias.</w:t>
      </w:r>
    </w:p>
    <w:p w14:paraId="00000073" w14:textId="38A72F7C" w:rsidR="00EA4D3D" w:rsidRPr="002D769C" w:rsidRDefault="00DB7984" w:rsidP="00DB7984">
      <w:pPr>
        <w:numPr>
          <w:ilvl w:val="0"/>
          <w:numId w:val="7"/>
        </w:numPr>
        <w:pBdr>
          <w:top w:val="nil"/>
          <w:left w:val="nil"/>
          <w:bottom w:val="nil"/>
          <w:right w:val="nil"/>
          <w:between w:val="nil"/>
        </w:pBdr>
        <w:spacing w:after="0" w:line="240" w:lineRule="auto"/>
        <w:jc w:val="both"/>
      </w:pPr>
      <w:r>
        <w:rPr>
          <w:color w:val="000000"/>
        </w:rPr>
        <w:t>E</w:t>
      </w:r>
      <w:r w:rsidRPr="00DB7984">
        <w:rPr>
          <w:color w:val="000000"/>
        </w:rPr>
        <w:t>stablecer procedimientos de análisis efectivo de la situación individual de las y los migrantes, considerando los años de residencia en el país, los vínculos familiares y el interés superior del niño</w:t>
      </w:r>
      <w:r>
        <w:rPr>
          <w:color w:val="000000"/>
        </w:rPr>
        <w:t xml:space="preserve">, para el </w:t>
      </w:r>
      <w:r w:rsidRPr="00DB7984">
        <w:rPr>
          <w:color w:val="000000"/>
        </w:rPr>
        <w:t>dictado de órdenes de expulsión</w:t>
      </w:r>
      <w:r>
        <w:rPr>
          <w:color w:val="000000"/>
        </w:rPr>
        <w:t xml:space="preserve"> y su revisión</w:t>
      </w:r>
      <w:r w:rsidRPr="00DB7984">
        <w:rPr>
          <w:color w:val="000000"/>
        </w:rPr>
        <w:t>.</w:t>
      </w:r>
      <w:r w:rsidR="00296A74">
        <w:rPr>
          <w:color w:val="000000"/>
        </w:rPr>
        <w:t xml:space="preserve"> </w:t>
      </w:r>
    </w:p>
    <w:p w14:paraId="5DC16F3A" w14:textId="51805646" w:rsidR="00B91918" w:rsidRDefault="00931E5D" w:rsidP="009946E6">
      <w:pPr>
        <w:pStyle w:val="ListParagraph"/>
        <w:numPr>
          <w:ilvl w:val="0"/>
          <w:numId w:val="7"/>
        </w:numPr>
        <w:spacing w:after="0"/>
      </w:pPr>
      <w:r w:rsidRPr="00931E5D">
        <w:t>Abstenerse de ordenar prohibición de reingreso en las situaciones en que las órdenes de expulsión hayan violado el derecho a la unidad familiar, especialmente cuando la situación involucre a niños, niñas y adolescentes.</w:t>
      </w:r>
      <w:r w:rsidR="009946E6">
        <w:t xml:space="preserve"> </w:t>
      </w:r>
      <w:r w:rsidR="00B91918">
        <w:rPr>
          <w:color w:val="000000"/>
        </w:rPr>
        <w:t>Evaluar en cada caso según las circunstancias particulares y la causa que originó la expulsión si corresponde la sanción accesoria de prohibición de reingreso, evitando su aplicación automática.</w:t>
      </w:r>
    </w:p>
    <w:p w14:paraId="00000075" w14:textId="29377EB4" w:rsidR="00EA4D3D" w:rsidRDefault="00296A74">
      <w:pPr>
        <w:numPr>
          <w:ilvl w:val="0"/>
          <w:numId w:val="7"/>
        </w:numPr>
        <w:pBdr>
          <w:top w:val="nil"/>
          <w:left w:val="nil"/>
          <w:bottom w:val="nil"/>
          <w:right w:val="nil"/>
          <w:between w:val="nil"/>
        </w:pBdr>
        <w:spacing w:after="0" w:line="240" w:lineRule="auto"/>
        <w:jc w:val="both"/>
      </w:pPr>
      <w:r>
        <w:rPr>
          <w:color w:val="000000"/>
        </w:rPr>
        <w:t xml:space="preserve">Tomar las medidas necesarias para garantizar un efectivo acceso a la justicia y control judicial de las decisiones de la administración, entre ellas capacitar a las y los jueces del contencioso administrativo en relación a estas </w:t>
      </w:r>
      <w:r w:rsidR="00D76E2A">
        <w:rPr>
          <w:color w:val="000000"/>
        </w:rPr>
        <w:t>obligaciones</w:t>
      </w:r>
      <w:r>
        <w:rPr>
          <w:color w:val="000000"/>
        </w:rPr>
        <w:t xml:space="preserve">. </w:t>
      </w:r>
    </w:p>
    <w:p w14:paraId="00000076" w14:textId="5B5BFBB1" w:rsidR="00EA4D3D" w:rsidRDefault="00296A74">
      <w:pPr>
        <w:numPr>
          <w:ilvl w:val="0"/>
          <w:numId w:val="7"/>
        </w:numPr>
        <w:pBdr>
          <w:top w:val="nil"/>
          <w:left w:val="nil"/>
          <w:bottom w:val="nil"/>
          <w:right w:val="nil"/>
          <w:between w:val="nil"/>
        </w:pBdr>
        <w:spacing w:after="0" w:line="240" w:lineRule="auto"/>
        <w:jc w:val="both"/>
        <w:rPr>
          <w:color w:val="000000"/>
        </w:rPr>
      </w:pPr>
      <w:r>
        <w:rPr>
          <w:color w:val="000000"/>
        </w:rPr>
        <w:t xml:space="preserve">Garantizar efectivamente la asistencia jurídica gratuita en los trámites de detención migratoria y expulsión por medio de la derivación de los casos </w:t>
      </w:r>
      <w:r w:rsidR="00D76E2A">
        <w:rPr>
          <w:color w:val="000000"/>
        </w:rPr>
        <w:t xml:space="preserve">a la defensa pública </w:t>
      </w:r>
      <w:r>
        <w:rPr>
          <w:color w:val="000000"/>
        </w:rPr>
        <w:t xml:space="preserve">una vez agotada la vía administrativa. </w:t>
      </w:r>
    </w:p>
    <w:p w14:paraId="00000077" w14:textId="03542D9F" w:rsidR="00EA4D3D" w:rsidRDefault="00B91918">
      <w:pPr>
        <w:numPr>
          <w:ilvl w:val="0"/>
          <w:numId w:val="7"/>
        </w:numPr>
        <w:pBdr>
          <w:top w:val="nil"/>
          <w:left w:val="nil"/>
          <w:bottom w:val="nil"/>
          <w:right w:val="nil"/>
          <w:between w:val="nil"/>
        </w:pBdr>
        <w:spacing w:after="0" w:line="240" w:lineRule="auto"/>
        <w:jc w:val="both"/>
      </w:pPr>
      <w:r>
        <w:rPr>
          <w:color w:val="000000"/>
        </w:rPr>
        <w:t>Dejar sin efecto</w:t>
      </w:r>
      <w:r w:rsidR="00296A74">
        <w:rPr>
          <w:color w:val="000000"/>
        </w:rPr>
        <w:t xml:space="preserve"> la prohibición de reingreso en aquellos casos en los que las órdenes de expulsión hayan violado el derecho a la unidad familiar, especialmente cuando la situación involucre a niños, niñas y adolescentes</w:t>
      </w:r>
      <w:r>
        <w:rPr>
          <w:color w:val="000000"/>
        </w:rPr>
        <w:t>, tomando medidas para garantizar el retorno a Argentina.</w:t>
      </w:r>
      <w:r w:rsidR="00296A74">
        <w:rPr>
          <w:color w:val="000000"/>
        </w:rPr>
        <w:t xml:space="preserve"> Específicamente garantice el regreso de Vanessa Gomez Cueva, J.H.B y </w:t>
      </w:r>
      <w:proofErr w:type="spellStart"/>
      <w:r w:rsidR="00296A74">
        <w:rPr>
          <w:color w:val="000000"/>
        </w:rPr>
        <w:t>Jhonny</w:t>
      </w:r>
      <w:proofErr w:type="spellEnd"/>
      <w:r w:rsidR="00296A74">
        <w:rPr>
          <w:color w:val="000000"/>
        </w:rPr>
        <w:t xml:space="preserve"> </w:t>
      </w:r>
      <w:proofErr w:type="spellStart"/>
      <w:r w:rsidR="00296A74">
        <w:rPr>
          <w:color w:val="000000"/>
        </w:rPr>
        <w:t>Quiróz</w:t>
      </w:r>
      <w:proofErr w:type="spellEnd"/>
      <w:r>
        <w:rPr>
          <w:color w:val="000000"/>
        </w:rPr>
        <w:t xml:space="preserve"> </w:t>
      </w:r>
      <w:r>
        <w:t>y todas las situaciones de iguales características</w:t>
      </w:r>
      <w:r w:rsidR="00296A74">
        <w:rPr>
          <w:color w:val="000000"/>
        </w:rPr>
        <w:t xml:space="preserve">. </w:t>
      </w:r>
    </w:p>
    <w:p w14:paraId="00000078" w14:textId="72D3AD1C" w:rsidR="00EA4D3D" w:rsidRDefault="00B91918" w:rsidP="00B91918">
      <w:pPr>
        <w:numPr>
          <w:ilvl w:val="0"/>
          <w:numId w:val="7"/>
        </w:numPr>
        <w:pBdr>
          <w:top w:val="nil"/>
          <w:left w:val="nil"/>
          <w:bottom w:val="nil"/>
          <w:right w:val="nil"/>
          <w:between w:val="nil"/>
        </w:pBdr>
        <w:spacing w:after="0" w:line="240" w:lineRule="auto"/>
        <w:jc w:val="both"/>
      </w:pPr>
      <w:r w:rsidRPr="00B91918">
        <w:rPr>
          <w:color w:val="000000"/>
        </w:rPr>
        <w:t xml:space="preserve">Abstenerse de ejecutar </w:t>
      </w:r>
      <w:r w:rsidR="00296A74">
        <w:rPr>
          <w:color w:val="000000"/>
        </w:rPr>
        <w:t xml:space="preserve">las </w:t>
      </w:r>
      <w:r>
        <w:rPr>
          <w:color w:val="000000"/>
        </w:rPr>
        <w:t xml:space="preserve">órdenes de </w:t>
      </w:r>
      <w:proofErr w:type="gramStart"/>
      <w:r>
        <w:rPr>
          <w:color w:val="000000"/>
        </w:rPr>
        <w:t xml:space="preserve">expulsión </w:t>
      </w:r>
      <w:r w:rsidR="00296A74">
        <w:rPr>
          <w:color w:val="000000"/>
        </w:rPr>
        <w:t xml:space="preserve"> firmes</w:t>
      </w:r>
      <w:proofErr w:type="gramEnd"/>
      <w:r w:rsidR="00296A74">
        <w:rPr>
          <w:color w:val="000000"/>
        </w:rPr>
        <w:t xml:space="preserve"> cuando las y los migrantes tengan hijos e hijas en el país. Específicamente garantice la unidad familiar de Liz </w:t>
      </w:r>
      <w:proofErr w:type="spellStart"/>
      <w:r w:rsidR="00296A74">
        <w:rPr>
          <w:color w:val="000000"/>
        </w:rPr>
        <w:t>Moreta</w:t>
      </w:r>
      <w:proofErr w:type="spellEnd"/>
      <w:r w:rsidR="00296A74">
        <w:rPr>
          <w:color w:val="000000"/>
        </w:rPr>
        <w:t xml:space="preserve">, R.A.S.O y “Evangelina”.   </w:t>
      </w:r>
    </w:p>
    <w:p w14:paraId="00000079" w14:textId="0EB80311" w:rsidR="00EA4D3D" w:rsidRDefault="00296A74">
      <w:pPr>
        <w:numPr>
          <w:ilvl w:val="0"/>
          <w:numId w:val="7"/>
        </w:numPr>
        <w:pBdr>
          <w:top w:val="nil"/>
          <w:left w:val="nil"/>
          <w:bottom w:val="nil"/>
          <w:right w:val="nil"/>
          <w:between w:val="nil"/>
        </w:pBdr>
        <w:spacing w:after="0" w:line="240" w:lineRule="auto"/>
        <w:jc w:val="both"/>
      </w:pPr>
      <w:r>
        <w:rPr>
          <w:color w:val="000000"/>
        </w:rPr>
        <w:t xml:space="preserve">Abstenerse de llevar a cabo reformas normativas que retroceden en el piso mínimo establecido por el marco normativo actual (la Ley 25.871 y su Decreto Reglamentario 616/2010): i) el debido proceso en los procedimientos migratorios y la garantía efectiva de asesoría jurídica gratuita en los procedimientos de expulsión y detención, excluyendo la posibilidad de procedimientos de expulsión sumarísimos; ii) la detención excepcional y únicamente para fines de concretar una expulsión; iii) acceso igualitario de las personas migrantes a los servicios sociales, bienes públicos, salud, educación, justicia, trabajo, empleo y seguridad social; </w:t>
      </w:r>
      <w:r w:rsidR="00D76E2A">
        <w:rPr>
          <w:color w:val="000000"/>
        </w:rPr>
        <w:t xml:space="preserve">y </w:t>
      </w:r>
      <w:r>
        <w:rPr>
          <w:color w:val="000000"/>
        </w:rPr>
        <w:t>iv) el derecho a la unidad familiar;</w:t>
      </w:r>
    </w:p>
    <w:p w14:paraId="0000007A" w14:textId="77777777" w:rsidR="00EA4D3D" w:rsidRDefault="00296A74">
      <w:pPr>
        <w:numPr>
          <w:ilvl w:val="0"/>
          <w:numId w:val="7"/>
        </w:numPr>
        <w:pBdr>
          <w:top w:val="nil"/>
          <w:left w:val="nil"/>
          <w:bottom w:val="nil"/>
          <w:right w:val="nil"/>
          <w:between w:val="nil"/>
        </w:pBdr>
        <w:spacing w:after="0" w:line="240" w:lineRule="auto"/>
        <w:jc w:val="both"/>
      </w:pPr>
      <w:r>
        <w:rPr>
          <w:color w:val="000000"/>
        </w:rPr>
        <w:t xml:space="preserve">Abstenerse de abrir centros de detención para migrantes </w:t>
      </w:r>
    </w:p>
    <w:p w14:paraId="0000007B" w14:textId="77777777" w:rsidR="00EA4D3D" w:rsidRDefault="00EA4D3D">
      <w:pPr>
        <w:pBdr>
          <w:top w:val="nil"/>
          <w:left w:val="nil"/>
          <w:bottom w:val="nil"/>
          <w:right w:val="nil"/>
          <w:between w:val="nil"/>
        </w:pBdr>
        <w:spacing w:after="0" w:line="256" w:lineRule="auto"/>
        <w:ind w:left="720" w:hanging="720"/>
        <w:rPr>
          <w:b/>
          <w:color w:val="000000"/>
        </w:rPr>
      </w:pPr>
    </w:p>
    <w:p w14:paraId="0000007C" w14:textId="1C0D8875" w:rsidR="00EA4D3D" w:rsidRPr="006177A6" w:rsidRDefault="00296A74" w:rsidP="006177A6">
      <w:pPr>
        <w:numPr>
          <w:ilvl w:val="0"/>
          <w:numId w:val="5"/>
        </w:numPr>
        <w:pBdr>
          <w:top w:val="nil"/>
          <w:left w:val="nil"/>
          <w:bottom w:val="nil"/>
          <w:right w:val="nil"/>
          <w:between w:val="nil"/>
        </w:pBdr>
        <w:jc w:val="both"/>
        <w:rPr>
          <w:b/>
          <w:smallCaps/>
          <w:color w:val="000000"/>
          <w:sz w:val="26"/>
          <w:szCs w:val="26"/>
        </w:rPr>
      </w:pPr>
      <w:r w:rsidRPr="006177A6">
        <w:rPr>
          <w:b/>
          <w:smallCaps/>
          <w:color w:val="000000"/>
          <w:sz w:val="26"/>
          <w:szCs w:val="26"/>
        </w:rPr>
        <w:t>O</w:t>
      </w:r>
      <w:r w:rsidR="006177A6">
        <w:rPr>
          <w:b/>
          <w:smallCaps/>
          <w:color w:val="000000"/>
          <w:sz w:val="26"/>
          <w:szCs w:val="26"/>
        </w:rPr>
        <w:t>bst</w:t>
      </w:r>
      <w:r w:rsidR="0072432D">
        <w:rPr>
          <w:b/>
          <w:smallCaps/>
          <w:color w:val="000000"/>
          <w:sz w:val="26"/>
          <w:szCs w:val="26"/>
        </w:rPr>
        <w:t>á</w:t>
      </w:r>
      <w:r w:rsidR="0080752B">
        <w:rPr>
          <w:b/>
          <w:smallCaps/>
          <w:color w:val="000000"/>
          <w:sz w:val="26"/>
          <w:szCs w:val="26"/>
        </w:rPr>
        <w:t>culos a la r</w:t>
      </w:r>
      <w:r w:rsidR="006177A6">
        <w:rPr>
          <w:b/>
          <w:smallCaps/>
          <w:color w:val="000000"/>
          <w:sz w:val="26"/>
          <w:szCs w:val="26"/>
        </w:rPr>
        <w:t xml:space="preserve">egularización </w:t>
      </w:r>
      <w:r w:rsidR="0080752B">
        <w:rPr>
          <w:b/>
          <w:smallCaps/>
          <w:color w:val="000000"/>
          <w:sz w:val="26"/>
          <w:szCs w:val="26"/>
        </w:rPr>
        <w:t>m</w:t>
      </w:r>
      <w:r w:rsidR="006177A6">
        <w:rPr>
          <w:b/>
          <w:smallCaps/>
          <w:color w:val="000000"/>
          <w:sz w:val="26"/>
          <w:szCs w:val="26"/>
        </w:rPr>
        <w:t xml:space="preserve">igratoria </w:t>
      </w:r>
      <w:r w:rsidR="009E6E71" w:rsidRPr="0080752B">
        <w:rPr>
          <w:b/>
          <w:smallCaps/>
          <w:color w:val="000000"/>
        </w:rPr>
        <w:t>(Artículo</w:t>
      </w:r>
      <w:r w:rsidR="006177A6" w:rsidRPr="0080752B">
        <w:rPr>
          <w:b/>
          <w:smallCaps/>
          <w:color w:val="000000"/>
        </w:rPr>
        <w:t>s</w:t>
      </w:r>
      <w:r w:rsidR="009E6E71" w:rsidRPr="0080752B">
        <w:rPr>
          <w:b/>
          <w:smallCaps/>
          <w:color w:val="000000"/>
        </w:rPr>
        <w:t xml:space="preserve"> 18, 24, 25, 33, 37, 42 y 69 de la Convención)</w:t>
      </w:r>
    </w:p>
    <w:p w14:paraId="0000007D" w14:textId="77777777" w:rsidR="00EA4D3D" w:rsidRDefault="00296A74" w:rsidP="00AB1C30">
      <w:pPr>
        <w:spacing w:after="120"/>
        <w:jc w:val="both"/>
      </w:pPr>
      <w:r>
        <w:t>Las estadísticas disponibles revelan un avance significativo de los trámites de regularización migratoria desde la sanción de la Ley de Migraciones y el decreto reglamentario y la evaluación ante este Comité en el 2011.</w:t>
      </w:r>
      <w:r>
        <w:rPr>
          <w:vertAlign w:val="superscript"/>
        </w:rPr>
        <w:footnoteReference w:id="13"/>
      </w:r>
      <w:r>
        <w:t xml:space="preserve"> No obstante, es necesario tener en cuenta nuevas barreras a la regularización migratoria introducidas en los últimos años que tienen un impacto en las capacidades de acceso a las políticas de regularización por la población migrante. En particular, el lanzamiento de un sistema online para los trámites migratorios, el aumento de las tasas y el fin de los programas de abordaje territorial.  </w:t>
      </w:r>
    </w:p>
    <w:p w14:paraId="0000007E" w14:textId="77777777" w:rsidR="00EA4D3D" w:rsidRDefault="00296A74" w:rsidP="00AB1C30">
      <w:pPr>
        <w:spacing w:after="120"/>
        <w:jc w:val="both"/>
      </w:pPr>
      <w:r>
        <w:t>Por otro lado, nos interesa destacar las dificultades que subsisten en la implementación e interpretación de la ley, que limitan el acceso a la radicación en la Argentina y que excluyen de manera específica a determinados grupos de migrantes y a ciertas nacionalidades, especialmente aquellas provenientes de Estados no parte del Mercosur.</w:t>
      </w:r>
    </w:p>
    <w:p w14:paraId="0000007F" w14:textId="770B013B" w:rsidR="00EA4D3D" w:rsidRDefault="00296A74" w:rsidP="00AB1C30">
      <w:pPr>
        <w:spacing w:after="120"/>
        <w:jc w:val="both"/>
      </w:pPr>
      <w:r>
        <w:t>Cumple recordar que en el artículo 17 de la Ley de Migraciones y su decreto reglamentario, el legislador previó la obligación del Estado de promover la regularización de las personas migrantes en el territorio nacional. Esta finalidad sólo puede ser alcanzada mediante procesos simples y claros, con un acompañamiento adecuado, sensibles a las diferencias culturales y de idiomas, con especial consideración de la edad de las personas, así como su grado alfabetización, tanto tradicional como digital.</w:t>
      </w:r>
    </w:p>
    <w:p w14:paraId="7C3B32FC" w14:textId="77777777" w:rsidR="00114443" w:rsidRDefault="00114443" w:rsidP="00AB1C30">
      <w:pPr>
        <w:spacing w:after="120"/>
        <w:jc w:val="both"/>
      </w:pPr>
    </w:p>
    <w:p w14:paraId="00000080" w14:textId="77777777" w:rsidR="00EA4D3D" w:rsidRDefault="00296A74" w:rsidP="00AB1C30">
      <w:pPr>
        <w:spacing w:after="120"/>
        <w:rPr>
          <w:b/>
        </w:rPr>
      </w:pPr>
      <w:r>
        <w:rPr>
          <w:b/>
        </w:rPr>
        <w:t xml:space="preserve">Módulo de Radicación a Distancia de Extranjeros – </w:t>
      </w:r>
      <w:proofErr w:type="spellStart"/>
      <w:r>
        <w:rPr>
          <w:b/>
        </w:rPr>
        <w:t>Ra.</w:t>
      </w:r>
      <w:proofErr w:type="gramStart"/>
      <w:r>
        <w:rPr>
          <w:b/>
        </w:rPr>
        <w:t>D.Ex</w:t>
      </w:r>
      <w:proofErr w:type="spellEnd"/>
      <w:proofErr w:type="gramEnd"/>
    </w:p>
    <w:p w14:paraId="00000081" w14:textId="77777777" w:rsidR="00EA4D3D" w:rsidRDefault="00296A74" w:rsidP="00AB1C30">
      <w:pPr>
        <w:spacing w:after="120"/>
        <w:jc w:val="both"/>
      </w:pPr>
      <w:r>
        <w:t xml:space="preserve">El </w:t>
      </w:r>
      <w:proofErr w:type="spellStart"/>
      <w:r>
        <w:t>Ra.D.Ex</w:t>
      </w:r>
      <w:proofErr w:type="spellEnd"/>
      <w:r>
        <w:t xml:space="preserve">., sistema de radicación a distancia de extranjeros de la Dirección Nacional de Migraciones (DNM), fue lanzado a fines de 2018 bajo la consigna de buscar agilizar las solicitudes y trámites migratorios. Su instauración se dio sin consulta previa y sin participación de la sociedad civil, incluyendo organizaciones y colectivos de migrantes. </w:t>
      </w:r>
    </w:p>
    <w:p w14:paraId="00000082" w14:textId="77777777" w:rsidR="00EA4D3D" w:rsidRDefault="00296A74" w:rsidP="00AB1C30">
      <w:pPr>
        <w:spacing w:after="120"/>
        <w:jc w:val="both"/>
      </w:pPr>
      <w:r>
        <w:t xml:space="preserve">El nuevo sistema en línea pretende sustituir por completo el sistema de trámites presenciales. En el sistema anterior, para iniciar su trámite de radicación las y los migrantes deberían entrar en la página web de la DNM y solicitar un turno presencial. Entonces deberían concurrir con la documentación requerida y pagar las tasas correspondientes en el día asignado. Si el migrante no disponía de medios para pagar las tasas debería llevar un certificado de la condición de vulnerabilidad el mismo día del turno. Todo lo demás, especialmente respecto del criterio de radicación y posible documentación faltante, se le asesoraba al migrante en esta misma oportunidad. Entregada toda la documentación, el migrante recibía un certificado de residencia precaria, comprobante de trámite en curso que le permite trabajar en forma regular. Un problema verificado sobre todo durante el 2017 fue una dilación significativa de los turnos, otorgados con una demora de seis meses a un año, especialmente en la sede de Ciudad de Buenos Aires.   </w:t>
      </w:r>
    </w:p>
    <w:p w14:paraId="65B0BDD9" w14:textId="2BCAE713" w:rsidR="00876C77" w:rsidRDefault="00296A74" w:rsidP="00AB1C30">
      <w:pPr>
        <w:spacing w:after="120"/>
        <w:jc w:val="both"/>
      </w:pPr>
      <w:r>
        <w:t xml:space="preserve">Actualmente, con el </w:t>
      </w:r>
      <w:proofErr w:type="spellStart"/>
      <w:r>
        <w:t>Ra.</w:t>
      </w:r>
      <w:proofErr w:type="gramStart"/>
      <w:r>
        <w:t>D.Ex</w:t>
      </w:r>
      <w:proofErr w:type="spellEnd"/>
      <w:proofErr w:type="gramEnd"/>
      <w:r>
        <w:t xml:space="preserve"> muchos aspectos del trámite, incluida la demora, ganan complejidad</w:t>
      </w:r>
      <w:r w:rsidR="00876C77">
        <w:t xml:space="preserve"> y generan graves problemas de accesibilidad para la mayoría de la población migrante</w:t>
      </w:r>
      <w:r>
        <w:t xml:space="preserve">. Toda la solicitud y la carga de la documentación requerida se hace online. Para iniciar el trámite es necesario tener un mail y </w:t>
      </w:r>
      <w:r w:rsidR="00876C77">
        <w:t xml:space="preserve">sólo se inicia el trámite tras el </w:t>
      </w:r>
      <w:r>
        <w:t>pag</w:t>
      </w:r>
      <w:r w:rsidR="00876C77">
        <w:t>o de</w:t>
      </w:r>
      <w:r>
        <w:t xml:space="preserve"> la tasa migratoria. A partir de eso se le corre el plazo de 30 días al migrante para obtener y cargar toda la documentación requerida. Si el migrante no lo hace dentro de este plazo pierde la tasa ya pagada y debe reiniciar el trámite. </w:t>
      </w:r>
      <w:r w:rsidR="00876C77">
        <w:t>Después de cargada toda la documentación</w:t>
      </w:r>
      <w:r>
        <w:t xml:space="preserve"> no se recibe ningún comprobante de inicio de trámite online. </w:t>
      </w:r>
    </w:p>
    <w:p w14:paraId="6EA43D83" w14:textId="77777777" w:rsidR="00876C77" w:rsidRDefault="00876C77" w:rsidP="00AB1C30">
      <w:pPr>
        <w:spacing w:after="120"/>
        <w:jc w:val="both"/>
      </w:pPr>
      <w:r>
        <w:t>L</w:t>
      </w:r>
      <w:r w:rsidR="00CE2556">
        <w:t>os</w:t>
      </w:r>
      <w:r w:rsidR="00296A74">
        <w:t xml:space="preserve"> funcionarios de la DNM </w:t>
      </w:r>
      <w:r w:rsidR="00CE2556">
        <w:t xml:space="preserve">que </w:t>
      </w:r>
      <w:r w:rsidR="00296A74">
        <w:t xml:space="preserve">están asignados para revisar y aprobar la documentación cargada en todos los trámites tienen un plazo de 90 días para hacerlo. Si Migraciones no lo hace en este plazo el migrante puede dirigirse a la DNM de manera presencial, pero sin ningún turno asignado. </w:t>
      </w:r>
      <w:r w:rsidR="00C74D9A">
        <w:t xml:space="preserve">Una vez que la documentación está </w:t>
      </w:r>
      <w:r>
        <w:t>revisada</w:t>
      </w:r>
      <w:r w:rsidR="00C74D9A">
        <w:t xml:space="preserve"> el migrante recibe por correo electrónico un documento previo al certificado de residencia precaria (una “p</w:t>
      </w:r>
      <w:r>
        <w:t xml:space="preserve">re-precaria”) con dudoso valor. </w:t>
      </w:r>
      <w:r w:rsidR="00C74D9A">
        <w:t xml:space="preserve">Así, </w:t>
      </w:r>
      <w:r w:rsidR="00296A74">
        <w:t>durante este período la persona no cuenta con ningún documento que acredite su trámite pendiente y por lo tanto queda en situación irregular.</w:t>
      </w:r>
      <w:r w:rsidR="00C74D9A">
        <w:t xml:space="preserve"> </w:t>
      </w:r>
    </w:p>
    <w:p w14:paraId="3656D723" w14:textId="29A8ED1F" w:rsidR="00C74D9A" w:rsidRDefault="00296A74" w:rsidP="00AB1C30">
      <w:pPr>
        <w:spacing w:after="120"/>
        <w:jc w:val="both"/>
      </w:pPr>
      <w:r>
        <w:t xml:space="preserve">Si falta alguna documentación los funcionarios le hacen llegar una intimación al correo electrónico informado por el migrante, con un plazo generalmente de 30 días para incorporar los documentos faltantes. </w:t>
      </w:r>
      <w:r w:rsidR="00E76198">
        <w:t xml:space="preserve">Por las demoras en el análisis de la documentación, es normal que algunos documentos se hayan vencido al momento de la aprobación, como los antecedentes penales argentinos que tienen validez de 3 meses. Eso hace con que casi todos tengan que </w:t>
      </w:r>
      <w:r w:rsidR="00876C77">
        <w:t xml:space="preserve">ser </w:t>
      </w:r>
      <w:r w:rsidR="00E76198">
        <w:t>actualiza</w:t>
      </w:r>
      <w:r w:rsidR="00876C77">
        <w:t>dos</w:t>
      </w:r>
      <w:r w:rsidR="00E76198">
        <w:t xml:space="preserve">. </w:t>
      </w:r>
    </w:p>
    <w:p w14:paraId="081B60AA" w14:textId="505610F4" w:rsidR="00C74D9A" w:rsidRDefault="00C74D9A" w:rsidP="00AB1C30">
      <w:pPr>
        <w:spacing w:after="120"/>
        <w:jc w:val="both"/>
      </w:pPr>
      <w:r>
        <w:t xml:space="preserve">Los </w:t>
      </w:r>
      <w:r w:rsidR="00296A74">
        <w:t>turno</w:t>
      </w:r>
      <w:r>
        <w:t>s</w:t>
      </w:r>
      <w:r w:rsidR="00296A74">
        <w:t xml:space="preserve"> para concurrir a migraciones para cargar los datos biométricos</w:t>
      </w:r>
      <w:r>
        <w:t xml:space="preserve"> sólo son otorgados una vez aprobada la documentación presentada</w:t>
      </w:r>
      <w:r w:rsidR="00296A74">
        <w:t xml:space="preserve">. </w:t>
      </w:r>
    </w:p>
    <w:p w14:paraId="00000084" w14:textId="1C4F9575" w:rsidR="00EA4D3D" w:rsidRDefault="00296A74" w:rsidP="00AB1C30">
      <w:pPr>
        <w:spacing w:after="120"/>
        <w:jc w:val="both"/>
      </w:pPr>
      <w:r>
        <w:t xml:space="preserve">Finalmente, en el día del turno, que puede ser luego de cerca de 4 meses </w:t>
      </w:r>
      <w:r w:rsidR="00C74D9A">
        <w:t xml:space="preserve">de entregada la documentación (sobre todo en la capital), </w:t>
      </w:r>
      <w:r>
        <w:t xml:space="preserve">el migrante recibe su certificado de residencia precaria, que deberá renovar </w:t>
      </w:r>
      <w:r w:rsidR="00C74D9A">
        <w:t xml:space="preserve">a cada 3 meses </w:t>
      </w:r>
      <w:r>
        <w:t xml:space="preserve">hasta el momento de la resolución </w:t>
      </w:r>
      <w:r w:rsidR="00C74D9A">
        <w:t xml:space="preserve">final </w:t>
      </w:r>
      <w:r>
        <w:t xml:space="preserve">de su trámite para mantener la regularidad migratoria. </w:t>
      </w:r>
    </w:p>
    <w:p w14:paraId="1A2A1E3E" w14:textId="509D89DD" w:rsidR="001948BF" w:rsidRDefault="00296A74" w:rsidP="00AB1C30">
      <w:pPr>
        <w:spacing w:after="120"/>
        <w:jc w:val="both"/>
      </w:pPr>
      <w:r>
        <w:t xml:space="preserve">Si el migrante no puede pagar la tasa no </w:t>
      </w:r>
      <w:r w:rsidR="001948BF">
        <w:t xml:space="preserve">es posible </w:t>
      </w:r>
      <w:r>
        <w:t xml:space="preserve">iniciar el trámite online y por lo tanto debe ir a las oficinas de Migraciones para iniciarlo presencialmente. Se trata de un trámite distinto con escasa organización. </w:t>
      </w:r>
      <w:r w:rsidR="001948BF">
        <w:t>Inicialmente no</w:t>
      </w:r>
      <w:r>
        <w:t xml:space="preserve"> ha</w:t>
      </w:r>
      <w:r w:rsidR="001948BF">
        <w:t>bía</w:t>
      </w:r>
      <w:r w:rsidR="00876C77">
        <w:t xml:space="preserve"> </w:t>
      </w:r>
      <w:r>
        <w:t>un sistema de asignación de turnos, lo que lleva que las y los migrantes pas</w:t>
      </w:r>
      <w:r w:rsidR="001948BF">
        <w:t xml:space="preserve">aran </w:t>
      </w:r>
      <w:r>
        <w:t>horas en largas colas afuera de Migraciones</w:t>
      </w:r>
      <w:r w:rsidR="001948BF">
        <w:t xml:space="preserve"> y sólo se </w:t>
      </w:r>
      <w:r>
        <w:t>recib</w:t>
      </w:r>
      <w:r w:rsidR="001948BF">
        <w:t xml:space="preserve">ía </w:t>
      </w:r>
      <w:r>
        <w:t>a un cupo de 40 personas en estas condiciones.</w:t>
      </w:r>
      <w:r w:rsidR="001948BF">
        <w:t xml:space="preserve"> En las últimas semanas la DNM instituyó un sistema de turnos no formal por mail. A la vez personas en situación de extrema vulnerabilidad podrán asistir presencialmente a las oficinas sin turno asignado. Los criterios para identificar a estas personas son poco claros. </w:t>
      </w:r>
    </w:p>
    <w:p w14:paraId="00000085" w14:textId="191BC7D9" w:rsidR="00EA4D3D" w:rsidRDefault="00296A74" w:rsidP="00AB1C30">
      <w:pPr>
        <w:spacing w:after="120"/>
        <w:jc w:val="both"/>
      </w:pPr>
      <w:r>
        <w:t xml:space="preserve"> A esto se suma una práctica reciente de la autoridad migratoria de rechazar los certificados que acreditan la condición de vulnerabilidad, pese a que estos </w:t>
      </w:r>
      <w:r w:rsidR="00AB1C30">
        <w:t>provienen de profesionales del t</w:t>
      </w:r>
      <w:r>
        <w:t xml:space="preserve">rabajo </w:t>
      </w:r>
      <w:r w:rsidR="00AB1C30">
        <w:t>s</w:t>
      </w:r>
      <w:r>
        <w:t>ocial que se desempeñan en organismos públicos y que evalúan con las herramientas propias de la disciplina, la situación específica de la persona y su grupo familiar. En Ciudad de Buenos Aires, hemos recibido situaciones en las que se rechaza la eximición de la tasa migratoria a personas por haber ingresado en avión, omitiendo la evaluación profesional de los/as trabajadores sociales que daban cuenta de que dicho viaje había implicado el gasto de todos los recursos de las personas y de la condición de vulnerabilidad en que se encontraban al momento de iniciar su trámite migratorio.</w:t>
      </w:r>
    </w:p>
    <w:p w14:paraId="00000086" w14:textId="5408E802" w:rsidR="00EA4D3D" w:rsidRDefault="00296A74" w:rsidP="00AB1C30">
      <w:pPr>
        <w:spacing w:after="120"/>
        <w:jc w:val="both"/>
      </w:pPr>
      <w:r>
        <w:t xml:space="preserve">Asimismo, en las oficinas de la DNM no hay ninguna estructura informática (con computadoras, impresoras y </w:t>
      </w:r>
      <w:proofErr w:type="spellStart"/>
      <w:r>
        <w:t>scanners</w:t>
      </w:r>
      <w:proofErr w:type="spellEnd"/>
      <w:r>
        <w:t xml:space="preserve">) ni de asesoría presencial para acompañar las y los migrantes del inicio al final de sus solicitudes vía </w:t>
      </w:r>
      <w:proofErr w:type="spellStart"/>
      <w:r>
        <w:t>Ra.D.Ex</w:t>
      </w:r>
      <w:proofErr w:type="spellEnd"/>
      <w:r>
        <w:t>. El migrante puede concurrir a Migraciones con dudas puntuales sobre el sistema y será atendido por el personal capacitado a brindar asesoramiento. Sin embargo, no puede realizar allí el trámite con asesoría directa</w:t>
      </w:r>
      <w:r w:rsidR="00AB1C30">
        <w:t xml:space="preserve"> y debe tener los recursos materiales y simbólicos para acceder al sistema online</w:t>
      </w:r>
      <w:r>
        <w:t xml:space="preserve">. </w:t>
      </w:r>
    </w:p>
    <w:p w14:paraId="00000087" w14:textId="77777777" w:rsidR="00EA4D3D" w:rsidRDefault="00296A74" w:rsidP="00AB1C30">
      <w:pPr>
        <w:spacing w:after="120"/>
        <w:jc w:val="both"/>
      </w:pPr>
      <w:r>
        <w:t xml:space="preserve">Así, </w:t>
      </w:r>
      <w:r w:rsidRPr="00AB1C30">
        <w:rPr>
          <w:b/>
        </w:rPr>
        <w:t>el nuevo sistema supone múltiples barreras de acceso que lo hacen discriminatorio y excluyente, especialmente para los solicitantes en situación de vulnerabilidad socio-económica.</w:t>
      </w:r>
      <w:r>
        <w:t xml:space="preserve"> Por un lado, requiere acceso continuado a un dispositivo electrónico para iniciar el trámite de radicación, así como para el avance del mismo. Por otro lado, la persona debe contar con los conocimientos informáticos necesarios para la preparación y carga de la documentación a ser presentada, así como para el seguimiento y notificación de su trámite. </w:t>
      </w:r>
    </w:p>
    <w:p w14:paraId="00000088" w14:textId="77777777" w:rsidR="00EA4D3D" w:rsidRDefault="00296A74" w:rsidP="00AB1C30">
      <w:pPr>
        <w:spacing w:after="120"/>
        <w:jc w:val="both"/>
      </w:pPr>
      <w:r>
        <w:t xml:space="preserve">Si bien los trámites vía web podrían significar una modernización y mayor agilidad de algunos pasos del proceso de radicación, se trata de un sistema complejo, con un lenguaje técnico poco accesible, sólo disponible en español, y que excluye a las personas de bajos recursos. La utilización de tecnologías complejas, sin un adecuado acompañamiento para su utilización, solo traen consigo mayores obstáculos y barreras en su acceso. Hasta que se efectúen ajustes en el sistema formal y las prácticas diarias de la DNM, la implementación del </w:t>
      </w:r>
      <w:proofErr w:type="spellStart"/>
      <w:r>
        <w:t>Ra.D.Ex</w:t>
      </w:r>
      <w:proofErr w:type="spellEnd"/>
      <w:r>
        <w:t xml:space="preserve"> solo reforzará procedimientos de regularización excluyentes y poco accesibles para la población migrante y favorecerá la aparición de figuras como los gestores, cuyo rol histórico ha tendido a socavar los derechos de las personas migrantes y a involucrar a agencias públicas en prácticas de dudosa legalidad. </w:t>
      </w:r>
    </w:p>
    <w:p w14:paraId="00000089" w14:textId="2ED53F61" w:rsidR="00EA4D3D" w:rsidRDefault="00296A74" w:rsidP="004D4830">
      <w:pPr>
        <w:spacing w:after="120"/>
        <w:jc w:val="both"/>
      </w:pPr>
      <w:r>
        <w:t>Asimismo, su capacidad de agilizar los trámites hasta ahora no está comprobada. Un conjun</w:t>
      </w:r>
      <w:r w:rsidR="00AB1C30">
        <w:t>to de organizaciones sociales hemos</w:t>
      </w:r>
      <w:r>
        <w:t xml:space="preserve"> enviado un pedido de información a la DNM consultado el organismo sobre los trámites iniciados desde el comienzo de la implementación del sistema. La DNM informó que, tras 4 meses de implementación del nuevo sistema, se había iniciado 63.500 trámites de radicación, de los cuales solo el 17% fue resuelto. Sobre un 40% la DNM no brindó información alguna sobre el estado del trámite, mientras que el resto se divide entre trámites intimados y otros con residencia precaria.</w:t>
      </w:r>
    </w:p>
    <w:p w14:paraId="2019796D" w14:textId="77777777" w:rsidR="00AB1C30" w:rsidRDefault="00AB1C30" w:rsidP="004D4830">
      <w:pPr>
        <w:spacing w:after="120"/>
        <w:rPr>
          <w:b/>
        </w:rPr>
      </w:pPr>
    </w:p>
    <w:p w14:paraId="0000008A" w14:textId="15D4CF18" w:rsidR="00EA4D3D" w:rsidRPr="00296A74" w:rsidRDefault="00296A74" w:rsidP="004D4830">
      <w:pPr>
        <w:spacing w:after="120"/>
        <w:rPr>
          <w:b/>
        </w:rPr>
      </w:pPr>
      <w:r w:rsidRPr="00296A74">
        <w:rPr>
          <w:b/>
        </w:rPr>
        <w:t>Aumento de las tasas y multas</w:t>
      </w:r>
    </w:p>
    <w:p w14:paraId="0000008B" w14:textId="77777777" w:rsidR="00EA4D3D" w:rsidRDefault="00296A74" w:rsidP="004D4830">
      <w:pPr>
        <w:spacing w:after="120"/>
        <w:jc w:val="both"/>
      </w:pPr>
      <w:r>
        <w:t>Las tasas migratorias han aumentado considerablemente en los últimos dos años, dejando a las personas migrantes más pobres en mayores desventajas para su regularización. En 2016, mediante el Decreto 959/2016, aumentaron entre 200% y 600%</w:t>
      </w:r>
      <w:r>
        <w:rPr>
          <w:vertAlign w:val="superscript"/>
        </w:rPr>
        <w:footnoteReference w:id="14"/>
      </w:r>
      <w:r>
        <w:t>. En mayo de 2018, mediante el Decreto 475/2018</w:t>
      </w:r>
      <w:r>
        <w:rPr>
          <w:vertAlign w:val="superscript"/>
        </w:rPr>
        <w:footnoteReference w:id="15"/>
      </w:r>
      <w:r>
        <w:t>, la DNM volvió a aumentarlas a un 200%. A título de ejemplo, las tasas para iniciar el trámite de radicación cuestan 3000 pesos para los migrantes provenientes de países del Mercosur (cerca de 70 dólares) y 6000 pesos para las y los migrantes de otras partes del mundo (cerca de 140 dólares). El Salario Mínimo Vital y Móvil en la Argentina en 2018 estaba en $10.700 pesos. Así las tasas están respectivamente entre un 28% y un 56% del sueldo base. A la vez, se determinó una tasa para la tramitación urgente de la residencia de $10.000 pesos (que sobrepasa los 200 dólares).</w:t>
      </w:r>
    </w:p>
    <w:p w14:paraId="0000008C" w14:textId="12336F5B" w:rsidR="00EA4D3D" w:rsidRDefault="00296A74" w:rsidP="004D4830">
      <w:pPr>
        <w:spacing w:after="120"/>
        <w:jc w:val="both"/>
      </w:pPr>
      <w:r>
        <w:t xml:space="preserve">Por su parte, </w:t>
      </w:r>
      <w:r w:rsidR="004D4830">
        <w:t xml:space="preserve">como hemos explicado, </w:t>
      </w:r>
      <w:r>
        <w:t xml:space="preserve">algunas agencias del Estado que realizaban las eximiciones de tasa para las personas migrantes más pobres, modificaron su criterio de evaluación siguiendo la línea establecida por la DNM restringiendo cada vez más las excepciones incluidas y perjudicando seriamente a la población en mayor situación de vulnerabilidad. </w:t>
      </w:r>
    </w:p>
    <w:p w14:paraId="0000008D" w14:textId="43AD51C9" w:rsidR="00EA4D3D" w:rsidRDefault="00296A74" w:rsidP="004D4830">
      <w:pPr>
        <w:spacing w:after="120"/>
        <w:jc w:val="both"/>
      </w:pPr>
      <w:r>
        <w:t xml:space="preserve">A la vez, las aplicaciones de las multas vinculadas a la situación de irregularidad se intensificaron en monto y recurrencia (estipuladas actualmente en </w:t>
      </w:r>
      <w:r w:rsidR="004D4830">
        <w:t>$</w:t>
      </w:r>
      <w:r>
        <w:t xml:space="preserve">1500 </w:t>
      </w:r>
      <w:r w:rsidR="004D4830">
        <w:t xml:space="preserve">pesos </w:t>
      </w:r>
      <w:r>
        <w:t>para migrantes Merc</w:t>
      </w:r>
      <w:r w:rsidR="004D4830">
        <w:t>osur y $3000</w:t>
      </w:r>
      <w:r>
        <w:t xml:space="preserve"> </w:t>
      </w:r>
      <w:r w:rsidR="004D4830">
        <w:t xml:space="preserve">pesos </w:t>
      </w:r>
      <w:r>
        <w:t>para migrantes extra Mercosur</w:t>
      </w:r>
      <w:r w:rsidR="0072432D">
        <w:t>, pudiendo alcan</w:t>
      </w:r>
      <w:r w:rsidR="004D4830">
        <w:t>zar en algunos casos hasta $9000</w:t>
      </w:r>
      <w:r>
        <w:t>). Estas multas se aplican, entre otros casos, cuando la persona no renueva su certificado de residencia precaria en tiempo y forma, aun cuando se trate de trámites que no se resuelven por demoras propias de la administración o que las personas realicen las gestiones de renovación</w:t>
      </w:r>
      <w:r w:rsidR="005550C0">
        <w:t xml:space="preserve"> vía </w:t>
      </w:r>
      <w:proofErr w:type="spellStart"/>
      <w:r w:rsidR="005550C0">
        <w:t>Ra.D.Ex</w:t>
      </w:r>
      <w:proofErr w:type="spellEnd"/>
      <w:r>
        <w:t xml:space="preserve"> oportunamente y no obtengan respuesta.</w:t>
      </w:r>
    </w:p>
    <w:p w14:paraId="0000008E" w14:textId="6B276DA6" w:rsidR="00EA4D3D" w:rsidRDefault="00296A74" w:rsidP="004D4830">
      <w:pPr>
        <w:spacing w:after="120"/>
        <w:jc w:val="both"/>
      </w:pPr>
      <w:r>
        <w:t xml:space="preserve">El nuevo sistema de radicación a distancia con sus problemas de accesibilidad, los altos valores de las tasas migratorias, la creación de los llamados turnos exprés con un costo desproporcionado y las dificultades de otorgamiento de las eximiciones de tasa sugieren la prioridad de la radicación para aquellos migrantes que tienen una condición económica elevada y la exclusión de los migrantes en condiciones más vulnerables. </w:t>
      </w:r>
      <w:r>
        <w:rPr>
          <w:b/>
        </w:rPr>
        <w:t>La capacidad financiera de las y los migrantes pareciera haberse transformado en un nuevo criterio para el acceso a la regularización.</w:t>
      </w:r>
      <w:r>
        <w:t xml:space="preserve"> Así, estas medidas violan el acceso igualitario de la población migrante a los procedimientos de regularización, esenciales para el ejercicio de derechos, en tanto empuja a las y los migrantes a la irregularidad.</w:t>
      </w:r>
    </w:p>
    <w:p w14:paraId="62A66D24" w14:textId="77777777" w:rsidR="004D4830" w:rsidRDefault="004D4830" w:rsidP="004D4830">
      <w:pPr>
        <w:spacing w:after="120"/>
        <w:jc w:val="both"/>
      </w:pPr>
    </w:p>
    <w:p w14:paraId="0000008F" w14:textId="77777777" w:rsidR="00EA4D3D" w:rsidRDefault="00296A74" w:rsidP="004D4830">
      <w:pPr>
        <w:spacing w:after="120"/>
        <w:rPr>
          <w:b/>
          <w:color w:val="000000"/>
        </w:rPr>
      </w:pPr>
      <w:r>
        <w:rPr>
          <w:b/>
          <w:color w:val="000000"/>
        </w:rPr>
        <w:t xml:space="preserve">El cierre de programas de regularización y aumento de los operativos de control  </w:t>
      </w:r>
    </w:p>
    <w:p w14:paraId="00000090" w14:textId="77777777" w:rsidR="00EA4D3D" w:rsidRDefault="00296A74" w:rsidP="004D4830">
      <w:pPr>
        <w:spacing w:after="120"/>
        <w:jc w:val="both"/>
      </w:pPr>
      <w:r>
        <w:t xml:space="preserve">A lo largo de los años de vigencia de la Ley de Migraciones, además del procedimiento permanente de regularización migratoria, la DNM desarrolló otros programas destinados a facilitar la regularización tanto de un modo general (programas vinculados al acceso a la información y a la asesoría jurídica), como para comunidades migrantes específicas que enfrentaban dificultades en el acceso a la residencia, especialmente aquellos provenientes de países extra Mercosur. </w:t>
      </w:r>
    </w:p>
    <w:p w14:paraId="00000091" w14:textId="5AC17478" w:rsidR="00EA4D3D" w:rsidRDefault="00296A74" w:rsidP="004D4830">
      <w:pPr>
        <w:spacing w:after="120"/>
        <w:jc w:val="both"/>
      </w:pPr>
      <w:r>
        <w:t>Sin embargo, desde el 2016 se cerraron los llamados programas de abordaje territorial. Iniciados</w:t>
      </w:r>
      <w:r w:rsidR="00254DB9">
        <w:t xml:space="preserve"> en</w:t>
      </w:r>
      <w:r>
        <w:t xml:space="preserve"> el 2013, estaban orientados a llevar operativos satelitales móviles a lugares alejados del país en donde se concentraban proporciones importantes de migrantes con el fin de facilitar los trámites migratorios. Allí las personas migrantes acudían con la documentación que tenían a la mano y eran orientados sobre la documentación faltante. También les otorgaban los turnos para iniciar el trámite en la delegación principal, en una cercana o directamente establecían fechas para subsanar requisitos y que el trámite completo fuera a domicilio por medio de ese equipo móvil.</w:t>
      </w:r>
    </w:p>
    <w:p w14:paraId="00000092" w14:textId="77777777" w:rsidR="00EA4D3D" w:rsidRDefault="00296A74" w:rsidP="004D4830">
      <w:pPr>
        <w:spacing w:after="120"/>
        <w:jc w:val="both"/>
      </w:pPr>
      <w:r>
        <w:t xml:space="preserve">Se sostuvieron exclusivamente los llamados “operativos de control de permanencia” publicitados intensamente en las redes sociales. Estos operativos de control de permanencia exponen una lógica muy distinta a la perseguida por el programa de abordaje territorial. Y aunque estén comunicados bajo la idea de “la lucha contra la trata de personas y el trabajo esclavo” la </w:t>
      </w:r>
      <w:r w:rsidRPr="0065308B">
        <w:rPr>
          <w:b/>
        </w:rPr>
        <w:t xml:space="preserve">lógica preponderante es la de constatar la situación de irregularidad, intimando al migrante a regularizarse sin que el objetivo central esté en asesorarles sobre los procedimientos y requisitos disponibles para su regularización. </w:t>
      </w:r>
      <w:r>
        <w:t xml:space="preserve">Hacer operativos de control de permanencia sin la debida asesoría limita las posibilidades de éxito de la finalización del trámite de regularización. </w:t>
      </w:r>
    </w:p>
    <w:p w14:paraId="00000093" w14:textId="53681DD8" w:rsidR="00EA4D3D" w:rsidRDefault="00296A74" w:rsidP="004D4830">
      <w:pPr>
        <w:spacing w:after="120"/>
        <w:jc w:val="both"/>
      </w:pPr>
      <w:r>
        <w:t>La propia DNM informa en su página web el aumento de los operativos de control: en 2014 la DNM realizó 7.475 operativos de control de la permanencia. En el 2018 este número ya estaba casi 4 veces más alto, llegando a 27.475 operativos.</w:t>
      </w:r>
      <w:r>
        <w:rPr>
          <w:vertAlign w:val="superscript"/>
        </w:rPr>
        <w:footnoteReference w:id="16"/>
      </w:r>
      <w:r>
        <w:t xml:space="preserve"> Los operativos son dirigidos especialmente a lugares con alta concentración de migrantes y en espacios de trabajo como talleres textiles, construcciones, mercados de la comunidad china, ladrilleras; pero también se realizan en la calle y en domicilios particulares. En el 2018, el 22% de los operativos </w:t>
      </w:r>
      <w:r w:rsidR="00254DB9">
        <w:t>se realizaron en supermercados,</w:t>
      </w:r>
      <w:r>
        <w:t xml:space="preserve"> el 7,4% se realizó en domicilios particulares y el 1,35% en la vía pública. En 2017 los operativos en la vía pública sumaron el 4%.</w:t>
      </w:r>
    </w:p>
    <w:p w14:paraId="2E22B333" w14:textId="77777777" w:rsidR="00254DB9" w:rsidRDefault="00254DB9" w:rsidP="004D4830">
      <w:pPr>
        <w:spacing w:after="120"/>
        <w:jc w:val="both"/>
      </w:pPr>
    </w:p>
    <w:p w14:paraId="00000094" w14:textId="77777777" w:rsidR="00EA4D3D" w:rsidRDefault="00296A74" w:rsidP="004D4830">
      <w:pPr>
        <w:spacing w:after="120"/>
        <w:jc w:val="both"/>
        <w:rPr>
          <w:b/>
        </w:rPr>
      </w:pPr>
      <w:r>
        <w:rPr>
          <w:b/>
        </w:rPr>
        <w:t xml:space="preserve">Las fallas en la aplicación de la ley 25.871. Criterios discriminatorios para la regularización migratoria. </w:t>
      </w:r>
    </w:p>
    <w:p w14:paraId="00000095" w14:textId="77777777" w:rsidR="00EA4D3D" w:rsidRDefault="00296A74" w:rsidP="004D4830">
      <w:pPr>
        <w:spacing w:after="120"/>
        <w:jc w:val="both"/>
        <w:rPr>
          <w:i/>
        </w:rPr>
      </w:pPr>
      <w:r>
        <w:rPr>
          <w:i/>
        </w:rPr>
        <w:t>Trabajador autónomo</w:t>
      </w:r>
    </w:p>
    <w:p w14:paraId="00000096" w14:textId="77777777" w:rsidR="00EA4D3D" w:rsidRDefault="00296A74" w:rsidP="004D4830">
      <w:pPr>
        <w:spacing w:after="120"/>
        <w:jc w:val="both"/>
      </w:pPr>
      <w:r>
        <w:t>Es de suma gravedad que continúe la exclusión de las políticas de regularización específicamente a los trabajadores sin contrato de trabajo y trabajadores por cuenta propia. Esta práctica continúa pese a que el Decreto reglamentario 616/10 incorporó en su artículo 23 inc. a) un alcance amplio del concepto de trabajador migrante, tal y como lo establece la Convención internacional sobre la protección de los derechos de todos los trabajadores migratorios y de sus familiares</w:t>
      </w:r>
      <w:r>
        <w:rPr>
          <w:vertAlign w:val="superscript"/>
        </w:rPr>
        <w:footnoteReference w:id="17"/>
      </w:r>
      <w:r>
        <w:t xml:space="preserve">. Está claro que la Convención otorga a la categoría de trabajador migratorio un contenido amplio, que incluye las distintas realidades sociales que podrían determinar flujos migratorios, entre las cuales se sitúa como la matriz, la realización de una actividad remunerada, como ha destacado este Comité en sus observaciones finales del 2011. </w:t>
      </w:r>
      <w:r w:rsidRPr="0065308B">
        <w:t>Sin embargo,</w:t>
      </w:r>
      <w:r w:rsidRPr="0065308B">
        <w:rPr>
          <w:b/>
        </w:rPr>
        <w:t xml:space="preserve"> en la práctica, sigue siendo imposible iniciar un trámite de residencia bajo esta categoría y no existe información al público acerca de esta norma, pues solamente se acepta a aquellas personas empleadas con contracto de formal trabajo – “en relación de dependencia”.</w:t>
      </w:r>
    </w:p>
    <w:p w14:paraId="00000097" w14:textId="77777777" w:rsidR="00EA4D3D" w:rsidRDefault="00296A74" w:rsidP="004D4830">
      <w:pPr>
        <w:spacing w:after="120"/>
        <w:jc w:val="both"/>
      </w:pPr>
      <w:r>
        <w:t>A su vez, debe advertirse que el trabajo por cuenta propia se encuentra legalmente admitido y plenamente regulado en la República Argentina como categoría de trabajador/a, con lo cual resulta irrazonable que la Dirección Nacional de Migraciones desconozca o niegue esa categoría laboral a las personas migrantes.</w:t>
      </w:r>
    </w:p>
    <w:p w14:paraId="00000098" w14:textId="77777777" w:rsidR="00EA4D3D" w:rsidRDefault="00296A74" w:rsidP="004D4830">
      <w:pPr>
        <w:spacing w:after="120"/>
        <w:jc w:val="both"/>
      </w:pPr>
      <w:r>
        <w:t>Sumado a la interpretación restrictiva del criterio de trabajador migrante por la DNM, los requisitos que la administración exige para la radicación bajo relación de dependencia restringen aún más el acceso a la regularización migratoria. Así, muchos empleadores deciden contratar a nacionales por la desconfianza ante la falta de documentos y para evitar todos estos procedimientos y las demoras que conlleva. Así, en la práctica, para acceder a un trabajo formal es necesario contar con Documento Nacional de Identidad (DNI).</w:t>
      </w:r>
    </w:p>
    <w:p w14:paraId="00000099" w14:textId="77777777" w:rsidR="00EA4D3D" w:rsidRDefault="00296A74" w:rsidP="004D4830">
      <w:pPr>
        <w:spacing w:after="120"/>
        <w:jc w:val="both"/>
      </w:pPr>
      <w:r>
        <w:t>Esta especial vulneración la podemos percibir en la actualidad en todos los colectivos de migrantes, pero las personas de origen africano, dominicano, haitiano o chino tienen mayor riesgo de no alcanzar su regularización y son quienes se dedican en su mayoría a la venta callejera o al trabajo por cuenta propia.</w:t>
      </w:r>
    </w:p>
    <w:p w14:paraId="0000009A" w14:textId="77777777" w:rsidR="00EA4D3D" w:rsidRDefault="00296A74" w:rsidP="004D4830">
      <w:pPr>
        <w:spacing w:after="120"/>
        <w:jc w:val="both"/>
      </w:pPr>
      <w:r>
        <w:rPr>
          <w:i/>
        </w:rPr>
        <w:t>Matrimonio</w:t>
      </w:r>
      <w:r>
        <w:t xml:space="preserve"> </w:t>
      </w:r>
    </w:p>
    <w:p w14:paraId="0000009B" w14:textId="43FFFF64" w:rsidR="00EA4D3D" w:rsidRDefault="00296A74" w:rsidP="004D4830">
      <w:pPr>
        <w:spacing w:after="120"/>
        <w:jc w:val="both"/>
      </w:pPr>
      <w:r>
        <w:t>En los últimos años al menos un centenar de personas</w:t>
      </w:r>
      <w:r w:rsidR="00C63043">
        <w:t xml:space="preserve"> </w:t>
      </w:r>
      <w:r>
        <w:t>dominicanas, así como migrantes provenientes de la India, Nigeria, Senegal, China, Bangladesh contrajeron matrimonio con ciudadanos/as argentinos</w:t>
      </w:r>
      <w:r w:rsidR="00367C8A">
        <w:t>/as</w:t>
      </w:r>
      <w:r>
        <w:t xml:space="preserve">.  En muchas de estas situaciones la Dirección Nacional de Migraciones ha rechazado sus peticiones de residencias permanentes fundadas en esos matrimonios. Sin </w:t>
      </w:r>
      <w:proofErr w:type="spellStart"/>
      <w:r w:rsidR="00C63043">
        <w:t>r</w:t>
      </w:r>
      <w:r>
        <w:t>esconocer</w:t>
      </w:r>
      <w:proofErr w:type="spellEnd"/>
      <w:r>
        <w:t xml:space="preserve"> los demás efectos civiles del acto matrimonial, la Dirección Nacional de Migraciones ha argumentado que se trataba de “matrimonios fraudulentos” o “por los papeles”, y declarado su </w:t>
      </w:r>
      <w:proofErr w:type="spellStart"/>
      <w:r>
        <w:t>inoponibilidad</w:t>
      </w:r>
      <w:proofErr w:type="spellEnd"/>
      <w:r>
        <w:t xml:space="preserve"> ante la ley migratoria (que los reconoce como dadores de criterio de residencia – Ley 25.871 art.22, y Decreto 616/2010, art. 22). Estas resoluciones son dictadas por el Poder Ejecutivo, cuando en toda la normativa nacional queda claro que la determinación de que un acto es fraudulento le corresponde únicamente a un juez. En este sentido, </w:t>
      </w:r>
      <w:r w:rsidRPr="00234CF2">
        <w:rPr>
          <w:b/>
        </w:rPr>
        <w:t>la DNM ha utilizado el concepto de “acto inoponible” para eludir el control judicial y desconocer los efectos de un matrimonio que fue celebrado en el marco de la normativa sobre estado civil y que es válido para todos sus demás efectos</w:t>
      </w:r>
      <w:r>
        <w:t xml:space="preserve">. Estas decisiones cuentan con un fuerte componente de discriminación ya que se han dictado principalmente en casos de mujeres dominicanas sobre quienes pesa una sospecha arbitraria desde el inicio de los trámites y sobre quienes se realizan muchas más evaluaciones, con base en esta misma arbitrariedad. </w:t>
      </w:r>
    </w:p>
    <w:p w14:paraId="0000009C" w14:textId="77777777" w:rsidR="00EA4D3D" w:rsidRDefault="00296A74" w:rsidP="004D4830">
      <w:pPr>
        <w:spacing w:after="120"/>
        <w:jc w:val="both"/>
        <w:rPr>
          <w:i/>
        </w:rPr>
      </w:pPr>
      <w:r>
        <w:rPr>
          <w:i/>
        </w:rPr>
        <w:t xml:space="preserve">Migrantes </w:t>
      </w:r>
      <w:proofErr w:type="spellStart"/>
      <w:r>
        <w:rPr>
          <w:i/>
        </w:rPr>
        <w:t>ExtraMERCOSUR</w:t>
      </w:r>
      <w:proofErr w:type="spellEnd"/>
      <w:r>
        <w:rPr>
          <w:i/>
          <w:vertAlign w:val="superscript"/>
        </w:rPr>
        <w:footnoteReference w:id="18"/>
      </w:r>
    </w:p>
    <w:p w14:paraId="0000009D" w14:textId="326F35BC" w:rsidR="00EA4D3D" w:rsidRDefault="00296A74" w:rsidP="004D4830">
      <w:pPr>
        <w:spacing w:after="120"/>
        <w:jc w:val="both"/>
      </w:pPr>
      <w:r>
        <w:t xml:space="preserve">Otra falla en la aplicación de la Ley de Migraciones y su Decreto Reglamentario está vinculada con los casos de Residencias por “Estudios” o por “Trabajo” – criterios de regularización que afectan en especial a las personas migrantes </w:t>
      </w:r>
      <w:proofErr w:type="spellStart"/>
      <w:r>
        <w:t>ExtraMERCOSUR</w:t>
      </w:r>
      <w:proofErr w:type="spellEnd"/>
      <w:r>
        <w:t xml:space="preserve">. En efecto, en todo trámite en el que una persona física o jurídica registrada en la Argentina requiera el ingreso de una persona extranjera </w:t>
      </w:r>
      <w:r w:rsidR="001D7EE3">
        <w:t>aún</w:t>
      </w:r>
      <w:r>
        <w:t xml:space="preserve"> por plazos cortos o por asuntos de negocios- se exigirá encontrarse registrada en el Registro Nacional Único de Requirentes de Extranjero -RENURE</w:t>
      </w:r>
      <w:r>
        <w:rPr>
          <w:vertAlign w:val="superscript"/>
        </w:rPr>
        <w:footnoteReference w:id="19"/>
      </w:r>
      <w:r>
        <w:t>. El registro se hace necesario para establecimientos educativos como requisito previo para que los estudiantes extranjeros puedan acceder a una residencia. De igual modo, el registro es solicitado para empleadores (individuos o empresas) que pretendan contratar a perso</w:t>
      </w:r>
      <w:r w:rsidR="00F84CD4">
        <w:t>nas como "trabajador migrante"</w:t>
      </w:r>
      <w:r>
        <w:t xml:space="preserve">. </w:t>
      </w:r>
    </w:p>
    <w:p w14:paraId="0000009E" w14:textId="7367A01A" w:rsidR="00EA4D3D" w:rsidRDefault="00296A74" w:rsidP="004D4830">
      <w:pPr>
        <w:spacing w:after="120"/>
        <w:jc w:val="both"/>
      </w:pPr>
      <w:r w:rsidRPr="00234CF2">
        <w:rPr>
          <w:b/>
        </w:rPr>
        <w:t>El problema principal radica en las complejidades burocráticas establecidas por el RENURE que pasa a constituirse como un límite claro para el acceso a la regularización migratoria y a los derechos a la educación y al trabajo</w:t>
      </w:r>
      <w:r>
        <w:t>: A) En primer lugar el trámite puede durar un promedio de 3 meses, plazo excesivo que puede hacer perder la motivación original del empleador para contratar a la persona. B) Los requisitos que se exigen suelen ser sobreabundantes, requiriéndose en general cuestiones que ya son exigidas por otros organismos públicos</w:t>
      </w:r>
      <w:r>
        <w:rPr>
          <w:vertAlign w:val="superscript"/>
        </w:rPr>
        <w:footnoteReference w:id="20"/>
      </w:r>
      <w:r>
        <w:t xml:space="preserve">, C) se requiere una renovación anual del registro, lo que hace fácticamente imposible que los establecimientos educativos públicos (que dependen de trámites internos para aprobar la inscripción y la consecuente renovación) y los empleadores renueven el registro. D) Cabe resaltar que carece de fundamento la exigencia del registro a un organismo público educativo, el cual se presume que actúa dentro del marco de la ley. </w:t>
      </w:r>
    </w:p>
    <w:p w14:paraId="0000009F" w14:textId="4058CEAE" w:rsidR="00EA4D3D" w:rsidRDefault="00296A74" w:rsidP="004D4830">
      <w:pPr>
        <w:spacing w:after="120"/>
        <w:jc w:val="both"/>
      </w:pPr>
      <w:r>
        <w:t>Los empleadores individuales (personas que emplean a un migrante por ejemplo en el trabajo dom</w:t>
      </w:r>
      <w:r w:rsidR="00131D0B">
        <w:t>éstico), muy difícilmente quieren</w:t>
      </w:r>
      <w:r>
        <w:t xml:space="preserve"> tomarse la molestia de realizar todo el recorrido burocrático anualmente para sostener una relación laboral, prefiriendo el empleo no registrado o contratando a otro trabajador/a. Toda esta tensión se resuelve siempre en contra de los derechos de la persona, que no puede regularizar su situación migratoria por una supuesta falta que no cometió. </w:t>
      </w:r>
    </w:p>
    <w:p w14:paraId="000000A0" w14:textId="77777777" w:rsidR="00EA4D3D" w:rsidRDefault="00296A74" w:rsidP="004D4830">
      <w:pPr>
        <w:spacing w:after="120"/>
        <w:jc w:val="both"/>
        <w:rPr>
          <w:i/>
        </w:rPr>
      </w:pPr>
      <w:r>
        <w:rPr>
          <w:i/>
        </w:rPr>
        <w:t>Programas especiales de regularización</w:t>
      </w:r>
    </w:p>
    <w:p w14:paraId="000000A1" w14:textId="6A2C6634" w:rsidR="00EA4D3D" w:rsidRDefault="00296A74" w:rsidP="004D4830">
      <w:pPr>
        <w:spacing w:after="120"/>
        <w:jc w:val="both"/>
      </w:pPr>
      <w:r>
        <w:t xml:space="preserve">Dado la inoperatividad de los criterios establecidos en la Ley para una parte significativa de las y los migrantes </w:t>
      </w:r>
      <w:proofErr w:type="spellStart"/>
      <w:r>
        <w:t>extraMercosur</w:t>
      </w:r>
      <w:proofErr w:type="spellEnd"/>
      <w:r>
        <w:t xml:space="preserve">, el Estado a lo largo de los años desarrolló programas especiales de regularización, que, si bien tuvieron buenos resultados, se demostraron limitados. Estos programas especiales lo que hicieron fue ampliar la interpretación de los criterios existentes por un período determinado y para determinados grupos. Así, </w:t>
      </w:r>
      <w:r w:rsidRPr="00234CF2">
        <w:rPr>
          <w:b/>
        </w:rPr>
        <w:t xml:space="preserve">la mejor solución a la situación de irregularidad de estos colectivos es la interpretación amplia </w:t>
      </w:r>
      <w:r w:rsidR="00234CF2" w:rsidRPr="00234CF2">
        <w:rPr>
          <w:b/>
        </w:rPr>
        <w:t xml:space="preserve">y permanente </w:t>
      </w:r>
      <w:r w:rsidRPr="00234CF2">
        <w:rPr>
          <w:b/>
        </w:rPr>
        <w:t>de los criterios existentes, sobretodo el de trabajo</w:t>
      </w:r>
      <w:r>
        <w:t xml:space="preserve">. </w:t>
      </w:r>
    </w:p>
    <w:p w14:paraId="000000A2" w14:textId="77777777" w:rsidR="00EA4D3D" w:rsidRDefault="00296A74" w:rsidP="004D4830">
      <w:pPr>
        <w:spacing w:after="120"/>
        <w:jc w:val="both"/>
      </w:pPr>
      <w:r>
        <w:t>Dos ejemplos son significativos en los últimos años. Por un lado, durante el primer semestre de 2013 la Dirección Nacional de Migraciones puso en marcha dos regímenes especiales de regularización (Disp. 001/2013 y 002/2013): uno de ellos destinado a personas de nacionalidad dominicana</w:t>
      </w:r>
      <w:r>
        <w:rPr>
          <w:vertAlign w:val="superscript"/>
        </w:rPr>
        <w:footnoteReference w:id="21"/>
      </w:r>
      <w:r>
        <w:t xml:space="preserve"> y el otro a personas de nacionalidad senegalesa</w:t>
      </w:r>
      <w:r>
        <w:rPr>
          <w:vertAlign w:val="superscript"/>
        </w:rPr>
        <w:footnoteReference w:id="22"/>
      </w:r>
      <w:r>
        <w:t xml:space="preserve">. Tanto para personas dominicanas como senegalesas, el régimen de regularización   abierto   en   2013   otorgaba   una   residencia   temporaria   que   debería   renovarse   en   dos oportunidades, de modo de sumar los tres años de residencia temporaria regular, que luego permiten solicitar la residencia permanente.  Para solicitar la residencia temporaria en el marco de este régimen especial, las personas debían inscribirse previamente como </w:t>
      </w:r>
      <w:proofErr w:type="spellStart"/>
      <w:r>
        <w:t>monotributistas</w:t>
      </w:r>
      <w:proofErr w:type="spellEnd"/>
      <w:r>
        <w:t>, es decir, como “trabajador autónomo”.</w:t>
      </w:r>
    </w:p>
    <w:p w14:paraId="000000A3" w14:textId="5E4E2D39" w:rsidR="00EA4D3D" w:rsidRDefault="00296A74" w:rsidP="004D4830">
      <w:pPr>
        <w:spacing w:after="120"/>
        <w:jc w:val="both"/>
      </w:pPr>
      <w:r>
        <w:t xml:space="preserve">Vale la pena aclarar que el programa tenía límites considerables, como, por ejemplo, el hecho de que sólo podían </w:t>
      </w:r>
      <w:r w:rsidR="00231C14">
        <w:t>presentarse al</w:t>
      </w:r>
      <w:r>
        <w:t xml:space="preserve"> régim</w:t>
      </w:r>
      <w:r w:rsidR="00231C14">
        <w:t>en especial de regularización quienes</w:t>
      </w:r>
      <w:r>
        <w:t xml:space="preserve"> ya residieran   en el país con anterioridad a la fecha de puesta en marcha del programa y, en el caso de las personas dominicanas, debían demostrar ingreso regular. Sin embargo, su impacto fue significativo.  Según informó oportunamente la Dirección Nacional de Migraciones a través de un pedido de acceso a la información presentado por CAREF, en 2013 casi 2.000 personas dominicanas obtuvieron la residencia temporaria en este marco y más de 1500 personas senegalesas obtuvieron la residencia temporal. El 75% de las personas senegalesas llegaron a la residencia permanente, pero solamente el 30% de las personas dominicanas lo lograron.</w:t>
      </w:r>
      <w:r>
        <w:rPr>
          <w:vertAlign w:val="superscript"/>
        </w:rPr>
        <w:footnoteReference w:id="23"/>
      </w:r>
    </w:p>
    <w:p w14:paraId="2E5EE8E3" w14:textId="77777777" w:rsidR="00296A74" w:rsidRDefault="00296A74" w:rsidP="004D4830">
      <w:pPr>
        <w:spacing w:after="120"/>
        <w:jc w:val="both"/>
      </w:pPr>
      <w:r>
        <w:t>A la  vez,  conviene  saludar  el  programa  de  regularización  para  haitianos</w:t>
      </w:r>
      <w:r>
        <w:rPr>
          <w:vertAlign w:val="superscript"/>
        </w:rPr>
        <w:footnoteReference w:id="24"/>
      </w:r>
      <w:r>
        <w:t xml:space="preserve">  y  las  disposiciones  de facilitación  para ciudadanos  venezolanos  puestos en marcha por la DNM, más allá que estos programas pueden presentar límites para abarcar la problemática que pretenden resolver. En el caso del programa para haitianos, el plazo de vigencia resultó ser muy breve y los requisitos impuestos no permitían el acceso a un número importante de migrantes haitianos.  </w:t>
      </w:r>
    </w:p>
    <w:p w14:paraId="15269DD4" w14:textId="77777777" w:rsidR="00231C14" w:rsidRDefault="00296A74" w:rsidP="004D4830">
      <w:pPr>
        <w:spacing w:after="120"/>
        <w:jc w:val="both"/>
      </w:pPr>
      <w:r>
        <w:t xml:space="preserve">Respecto de los ciudadanos venezolanos, las disposiciones dictadas por la Dirección de Migraciones, representaron una solución para garantizar el ingreso al territorio nacional en condiciones regulares, especialmente para los niños y niñas menores de 9 años que carecen de documentación de identidad. Sin embargo, esta vía sólo habilita al inicio de los trámites de regularización, los cuales, hasta la fecha no se han resuelto por la misma carencia de documentos. Por su parte la disposición que determina la posibilidad de ser eximidos de algunos documentos en la presentación del trámite, también indica que esta eximición quedara sujeta a la evaluación de la DNM y actualmente tampoco se resuelven hasta que no se acompaña la documentación faltante. </w:t>
      </w:r>
    </w:p>
    <w:p w14:paraId="000000A4" w14:textId="49B73986" w:rsidR="00EA4D3D" w:rsidRDefault="00296A74" w:rsidP="004D4830">
      <w:pPr>
        <w:spacing w:after="120"/>
        <w:jc w:val="both"/>
      </w:pPr>
      <w:r>
        <w:t>Estas vías excepcionales y discrecionales implican una inestabilidad que no es recomendable para los trámites de regularización migratoria, especialmente en situaciones de crisis como la de Venezuela.</w:t>
      </w:r>
    </w:p>
    <w:p w14:paraId="000000A5" w14:textId="77777777" w:rsidR="00EA4D3D" w:rsidRPr="00231C14" w:rsidRDefault="00296A74">
      <w:pPr>
        <w:spacing w:after="120"/>
        <w:rPr>
          <w:b/>
          <w:u w:val="single"/>
        </w:rPr>
      </w:pPr>
      <w:r w:rsidRPr="00231C14">
        <w:rPr>
          <w:b/>
          <w:u w:val="single"/>
        </w:rPr>
        <w:t>Preguntas sugeridas al Estado</w:t>
      </w:r>
    </w:p>
    <w:p w14:paraId="000000A6" w14:textId="77777777" w:rsidR="00EA4D3D" w:rsidRDefault="00296A74">
      <w:pPr>
        <w:numPr>
          <w:ilvl w:val="0"/>
          <w:numId w:val="2"/>
        </w:numPr>
        <w:pBdr>
          <w:top w:val="nil"/>
          <w:left w:val="nil"/>
          <w:bottom w:val="nil"/>
          <w:right w:val="nil"/>
          <w:between w:val="nil"/>
        </w:pBdr>
        <w:spacing w:after="0" w:line="240" w:lineRule="auto"/>
        <w:jc w:val="both"/>
      </w:pPr>
      <w:r>
        <w:rPr>
          <w:color w:val="000000"/>
        </w:rPr>
        <w:t xml:space="preserve">¿Qué medidas está tomando el Estado argentino para garantizar la igualdad de acceso de las personas migrantes a las políticas de regularización, especialmente debido a la implementación del sistema </w:t>
      </w:r>
      <w:proofErr w:type="spellStart"/>
      <w:r>
        <w:rPr>
          <w:color w:val="000000"/>
        </w:rPr>
        <w:t>Ra.D.Ex</w:t>
      </w:r>
      <w:proofErr w:type="spellEnd"/>
      <w:r>
        <w:rPr>
          <w:color w:val="000000"/>
        </w:rPr>
        <w:t xml:space="preserve"> y de los cambios en el sistema de carta de pobreza? </w:t>
      </w:r>
    </w:p>
    <w:p w14:paraId="000000A7" w14:textId="77777777" w:rsidR="00EA4D3D" w:rsidRDefault="00296A74">
      <w:pPr>
        <w:numPr>
          <w:ilvl w:val="0"/>
          <w:numId w:val="2"/>
        </w:numPr>
        <w:pBdr>
          <w:top w:val="nil"/>
          <w:left w:val="nil"/>
          <w:bottom w:val="nil"/>
          <w:right w:val="nil"/>
          <w:between w:val="nil"/>
        </w:pBdr>
        <w:spacing w:after="0" w:line="240" w:lineRule="auto"/>
        <w:jc w:val="both"/>
      </w:pPr>
      <w:r>
        <w:rPr>
          <w:color w:val="000000"/>
        </w:rPr>
        <w:t xml:space="preserve">¿Qué medidas está tomando el Estado argentino para implementar un sistema presencial con los recursos materiales y la asesoría adecuada para que las y los migrantes puedan realizar sus trámites por el </w:t>
      </w:r>
      <w:proofErr w:type="spellStart"/>
      <w:r>
        <w:rPr>
          <w:color w:val="000000"/>
        </w:rPr>
        <w:t>Ra.D.Ex</w:t>
      </w:r>
      <w:proofErr w:type="spellEnd"/>
      <w:r>
        <w:rPr>
          <w:color w:val="000000"/>
        </w:rPr>
        <w:t xml:space="preserve"> en las oficinas de Migraciones?</w:t>
      </w:r>
    </w:p>
    <w:p w14:paraId="000000A8" w14:textId="74319982" w:rsidR="00EA4D3D" w:rsidRDefault="00296A74">
      <w:pPr>
        <w:numPr>
          <w:ilvl w:val="0"/>
          <w:numId w:val="2"/>
        </w:numPr>
        <w:pBdr>
          <w:top w:val="nil"/>
          <w:left w:val="nil"/>
          <w:bottom w:val="nil"/>
          <w:right w:val="nil"/>
          <w:between w:val="nil"/>
        </w:pBdr>
        <w:spacing w:after="0" w:line="240" w:lineRule="auto"/>
        <w:jc w:val="both"/>
      </w:pPr>
      <w:r>
        <w:rPr>
          <w:color w:val="000000"/>
        </w:rPr>
        <w:t xml:space="preserve">¿Qué medidas está tomando el Estado argentino para garantizar las tasas migratorias sean </w:t>
      </w:r>
      <w:r w:rsidR="00231C14">
        <w:rPr>
          <w:color w:val="000000"/>
        </w:rPr>
        <w:t>razonables</w:t>
      </w:r>
      <w:r>
        <w:rPr>
          <w:color w:val="000000"/>
        </w:rPr>
        <w:t xml:space="preserve">?  </w:t>
      </w:r>
    </w:p>
    <w:p w14:paraId="000000A9" w14:textId="77777777" w:rsidR="00EA4D3D" w:rsidRDefault="00296A74">
      <w:pPr>
        <w:numPr>
          <w:ilvl w:val="0"/>
          <w:numId w:val="2"/>
        </w:numPr>
        <w:pBdr>
          <w:top w:val="nil"/>
          <w:left w:val="nil"/>
          <w:bottom w:val="nil"/>
          <w:right w:val="nil"/>
          <w:between w:val="nil"/>
        </w:pBdr>
        <w:spacing w:after="0" w:line="240" w:lineRule="auto"/>
        <w:jc w:val="both"/>
      </w:pPr>
      <w:r>
        <w:rPr>
          <w:color w:val="000000"/>
        </w:rPr>
        <w:t>¿Por qué la categoría de trabajador autónomo sigue siendo excluida de los criterios de regularización si es una forma legalmente aceptada por el Estado de trabajar y ya ha sido objeto de las observaciones finales del Comité de Trabajadores Migratorios y sus Familias, en 2011?</w:t>
      </w:r>
    </w:p>
    <w:p w14:paraId="000000AA" w14:textId="2DDAF3E2" w:rsidR="00EA4D3D" w:rsidRDefault="00296A74">
      <w:pPr>
        <w:numPr>
          <w:ilvl w:val="0"/>
          <w:numId w:val="2"/>
        </w:numPr>
        <w:pBdr>
          <w:top w:val="nil"/>
          <w:left w:val="nil"/>
          <w:bottom w:val="nil"/>
          <w:right w:val="nil"/>
          <w:between w:val="nil"/>
        </w:pBdr>
        <w:spacing w:after="0" w:line="240" w:lineRule="auto"/>
        <w:jc w:val="both"/>
      </w:pPr>
      <w:r>
        <w:rPr>
          <w:color w:val="000000"/>
        </w:rPr>
        <w:t xml:space="preserve">¿Qué medidas está tomando el Estado para garantizar la regularización de aquellas personas que residen en el país -especialmente el caso de personas extra MERCOSUR- que desde hace tiempo no han podido acogerse a los planes de regularización que fueron dictados? </w:t>
      </w:r>
    </w:p>
    <w:p w14:paraId="000000AB" w14:textId="77777777" w:rsidR="00EA4D3D" w:rsidRDefault="00296A74">
      <w:pPr>
        <w:numPr>
          <w:ilvl w:val="0"/>
          <w:numId w:val="2"/>
        </w:numPr>
        <w:pBdr>
          <w:top w:val="nil"/>
          <w:left w:val="nil"/>
          <w:bottom w:val="nil"/>
          <w:right w:val="nil"/>
          <w:between w:val="nil"/>
        </w:pBdr>
        <w:spacing w:after="0" w:line="240" w:lineRule="auto"/>
        <w:jc w:val="both"/>
      </w:pPr>
      <w:r>
        <w:rPr>
          <w:color w:val="000000"/>
        </w:rPr>
        <w:t>¿Cuál es la justificación para negar la validez de una partida matrimonial expedida legalmente, si no se presume ni comprueba delito alguno ni causa de nulidad prevista en la legislación penal?</w:t>
      </w:r>
    </w:p>
    <w:p w14:paraId="000000AC" w14:textId="77777777" w:rsidR="00EA4D3D" w:rsidRDefault="00296A74">
      <w:pPr>
        <w:numPr>
          <w:ilvl w:val="0"/>
          <w:numId w:val="2"/>
        </w:numPr>
        <w:pBdr>
          <w:top w:val="nil"/>
          <w:left w:val="nil"/>
          <w:bottom w:val="nil"/>
          <w:right w:val="nil"/>
          <w:between w:val="nil"/>
        </w:pBdr>
        <w:spacing w:after="120" w:line="240" w:lineRule="auto"/>
        <w:jc w:val="both"/>
      </w:pPr>
      <w:r>
        <w:rPr>
          <w:color w:val="000000"/>
        </w:rPr>
        <w:t>¿Cómo se resuelven los trámites de personas venezolanas iniciados en aplicación de las disposiciones 594/2018 y 520/2019?</w:t>
      </w:r>
    </w:p>
    <w:p w14:paraId="000000AD" w14:textId="77777777" w:rsidR="00EA4D3D" w:rsidRPr="00231C14" w:rsidRDefault="00296A74">
      <w:pPr>
        <w:spacing w:after="120"/>
        <w:rPr>
          <w:b/>
          <w:u w:val="single"/>
        </w:rPr>
      </w:pPr>
      <w:r w:rsidRPr="00231C14">
        <w:rPr>
          <w:b/>
          <w:u w:val="single"/>
        </w:rPr>
        <w:t>Recomendaciones Sugeridas al Estado</w:t>
      </w:r>
    </w:p>
    <w:p w14:paraId="74160374" w14:textId="1DBE7D0C" w:rsidR="005550C0" w:rsidRDefault="005550C0" w:rsidP="005550C0">
      <w:pPr>
        <w:numPr>
          <w:ilvl w:val="0"/>
          <w:numId w:val="3"/>
        </w:numPr>
        <w:pBdr>
          <w:top w:val="nil"/>
          <w:left w:val="nil"/>
          <w:bottom w:val="nil"/>
          <w:right w:val="nil"/>
          <w:between w:val="nil"/>
        </w:pBdr>
        <w:spacing w:after="0" w:line="240" w:lineRule="auto"/>
        <w:jc w:val="both"/>
        <w:rPr>
          <w:color w:val="000000"/>
        </w:rPr>
      </w:pPr>
      <w:r w:rsidRPr="005550C0">
        <w:rPr>
          <w:color w:val="000000"/>
        </w:rPr>
        <w:t xml:space="preserve">Habilitar la opción de realizar </w:t>
      </w:r>
      <w:r w:rsidR="00231C14">
        <w:rPr>
          <w:color w:val="000000"/>
        </w:rPr>
        <w:t xml:space="preserve">los </w:t>
      </w:r>
      <w:r>
        <w:rPr>
          <w:color w:val="000000"/>
        </w:rPr>
        <w:t>trámite</w:t>
      </w:r>
      <w:r w:rsidR="00231C14">
        <w:rPr>
          <w:color w:val="000000"/>
        </w:rPr>
        <w:t>s</w:t>
      </w:r>
      <w:r>
        <w:rPr>
          <w:color w:val="000000"/>
        </w:rPr>
        <w:t xml:space="preserve"> </w:t>
      </w:r>
      <w:r w:rsidR="00231C14">
        <w:rPr>
          <w:color w:val="000000"/>
        </w:rPr>
        <w:t xml:space="preserve">de regularización </w:t>
      </w:r>
      <w:r>
        <w:rPr>
          <w:color w:val="000000"/>
        </w:rPr>
        <w:t>en forma presencial en</w:t>
      </w:r>
      <w:r w:rsidR="00296A74">
        <w:rPr>
          <w:color w:val="000000"/>
        </w:rPr>
        <w:t xml:space="preserve"> todas las oficinas de la DNM </w:t>
      </w:r>
      <w:r>
        <w:rPr>
          <w:color w:val="000000"/>
        </w:rPr>
        <w:t xml:space="preserve">disponiendo </w:t>
      </w:r>
      <w:r w:rsidR="00296A74">
        <w:rPr>
          <w:color w:val="000000"/>
        </w:rPr>
        <w:t xml:space="preserve">la estructura necesaria para </w:t>
      </w:r>
      <w:r>
        <w:rPr>
          <w:color w:val="000000"/>
        </w:rPr>
        <w:t>garantizar la adecuada atención a</w:t>
      </w:r>
      <w:r w:rsidR="00642C38">
        <w:rPr>
          <w:color w:val="000000"/>
        </w:rPr>
        <w:t xml:space="preserve"> </w:t>
      </w:r>
      <w:r w:rsidR="00296A74">
        <w:rPr>
          <w:color w:val="000000"/>
        </w:rPr>
        <w:t xml:space="preserve">las y los migrantes </w:t>
      </w:r>
    </w:p>
    <w:p w14:paraId="000000AF" w14:textId="3AEF9CB0" w:rsidR="00EA4D3D" w:rsidRDefault="00296A74">
      <w:pPr>
        <w:numPr>
          <w:ilvl w:val="0"/>
          <w:numId w:val="3"/>
        </w:numPr>
        <w:pBdr>
          <w:top w:val="nil"/>
          <w:left w:val="nil"/>
          <w:bottom w:val="nil"/>
          <w:right w:val="nil"/>
          <w:between w:val="nil"/>
        </w:pBdr>
        <w:spacing w:after="0" w:line="240" w:lineRule="auto"/>
        <w:jc w:val="both"/>
        <w:rPr>
          <w:color w:val="000000"/>
        </w:rPr>
      </w:pPr>
      <w:r>
        <w:rPr>
          <w:color w:val="000000"/>
        </w:rPr>
        <w:t xml:space="preserve">Eliminar del sistema </w:t>
      </w:r>
      <w:proofErr w:type="spellStart"/>
      <w:r>
        <w:rPr>
          <w:color w:val="000000"/>
        </w:rPr>
        <w:t>Ra.</w:t>
      </w:r>
      <w:proofErr w:type="gramStart"/>
      <w:r>
        <w:rPr>
          <w:color w:val="000000"/>
        </w:rPr>
        <w:t>D.Ex</w:t>
      </w:r>
      <w:proofErr w:type="spellEnd"/>
      <w:proofErr w:type="gramEnd"/>
      <w:r>
        <w:rPr>
          <w:color w:val="000000"/>
        </w:rPr>
        <w:t xml:space="preserve"> la necesidad de pagar la tasa migratoria como condición para iniciar el trámite, </w:t>
      </w:r>
      <w:r w:rsidR="0027772B">
        <w:rPr>
          <w:color w:val="000000"/>
        </w:rPr>
        <w:t xml:space="preserve">establecer criterios razonables para </w:t>
      </w:r>
      <w:r w:rsidR="005550C0">
        <w:rPr>
          <w:color w:val="000000"/>
        </w:rPr>
        <w:t>la exención del pago por la condición de vulnerabilidad</w:t>
      </w:r>
      <w:r w:rsidR="0027772B">
        <w:rPr>
          <w:color w:val="000000"/>
        </w:rPr>
        <w:t xml:space="preserve"> y establecer un mecanismo para solicitar vía </w:t>
      </w:r>
      <w:proofErr w:type="spellStart"/>
      <w:r w:rsidR="0027772B">
        <w:rPr>
          <w:color w:val="000000"/>
        </w:rPr>
        <w:t>Ra.D.Ex</w:t>
      </w:r>
      <w:proofErr w:type="spellEnd"/>
      <w:r w:rsidR="0027772B">
        <w:rPr>
          <w:color w:val="000000"/>
        </w:rPr>
        <w:t xml:space="preserve"> esta eximición.  </w:t>
      </w:r>
    </w:p>
    <w:p w14:paraId="05DEFC5B" w14:textId="505E6978" w:rsidR="007A20F9" w:rsidRDefault="007A20F9">
      <w:pPr>
        <w:numPr>
          <w:ilvl w:val="0"/>
          <w:numId w:val="3"/>
        </w:numPr>
        <w:pBdr>
          <w:top w:val="nil"/>
          <w:left w:val="nil"/>
          <w:bottom w:val="nil"/>
          <w:right w:val="nil"/>
          <w:between w:val="nil"/>
        </w:pBdr>
        <w:spacing w:after="0" w:line="240" w:lineRule="auto"/>
        <w:jc w:val="both"/>
        <w:rPr>
          <w:color w:val="000000"/>
        </w:rPr>
      </w:pPr>
      <w:r>
        <w:rPr>
          <w:color w:val="000000"/>
        </w:rPr>
        <w:t>Otorgar los turnos y la residencia precaria una vez cargada toda la documentación requerida, para evitar la perpetuación de la situación de irregularidad por meses y aumentar la previsi</w:t>
      </w:r>
      <w:r w:rsidR="00F45CA8">
        <w:rPr>
          <w:color w:val="000000"/>
        </w:rPr>
        <w:t>bi</w:t>
      </w:r>
      <w:r>
        <w:rPr>
          <w:color w:val="000000"/>
        </w:rPr>
        <w:t xml:space="preserve">lidad de los turnos para las y los migrantes. </w:t>
      </w:r>
    </w:p>
    <w:p w14:paraId="000000B0" w14:textId="35EAA594" w:rsidR="00EA4D3D" w:rsidRDefault="00296A74">
      <w:pPr>
        <w:numPr>
          <w:ilvl w:val="0"/>
          <w:numId w:val="3"/>
        </w:numPr>
        <w:pBdr>
          <w:top w:val="nil"/>
          <w:left w:val="nil"/>
          <w:bottom w:val="nil"/>
          <w:right w:val="nil"/>
          <w:between w:val="nil"/>
        </w:pBdr>
        <w:spacing w:after="0" w:line="240" w:lineRule="auto"/>
        <w:jc w:val="both"/>
        <w:rPr>
          <w:color w:val="000000"/>
        </w:rPr>
      </w:pPr>
      <w:r>
        <w:rPr>
          <w:color w:val="000000"/>
        </w:rPr>
        <w:t xml:space="preserve">Proporcionar el sistema online en diferentes lenguas.   </w:t>
      </w:r>
    </w:p>
    <w:p w14:paraId="000000B1" w14:textId="4A229BC2" w:rsidR="00EA4D3D" w:rsidRDefault="005550C0">
      <w:pPr>
        <w:numPr>
          <w:ilvl w:val="0"/>
          <w:numId w:val="3"/>
        </w:numPr>
        <w:pBdr>
          <w:top w:val="nil"/>
          <w:left w:val="nil"/>
          <w:bottom w:val="nil"/>
          <w:right w:val="nil"/>
          <w:between w:val="nil"/>
        </w:pBdr>
        <w:spacing w:after="0" w:line="240" w:lineRule="auto"/>
        <w:jc w:val="both"/>
        <w:rPr>
          <w:color w:val="000000"/>
        </w:rPr>
      </w:pPr>
      <w:r>
        <w:rPr>
          <w:color w:val="000000"/>
        </w:rPr>
        <w:t xml:space="preserve">Incorporar a la categoría de residencia por “trabajador migratorio” la situación de los </w:t>
      </w:r>
      <w:r w:rsidR="00296A74">
        <w:rPr>
          <w:color w:val="000000"/>
        </w:rPr>
        <w:t>trabajadores migratorios autónomos</w:t>
      </w:r>
      <w:r w:rsidR="007A20F9">
        <w:rPr>
          <w:color w:val="000000"/>
        </w:rPr>
        <w:t>, como recomendó este Comité en el 2011.</w:t>
      </w:r>
      <w:r w:rsidR="00296A74">
        <w:rPr>
          <w:color w:val="000000"/>
        </w:rPr>
        <w:t xml:space="preserve">  </w:t>
      </w:r>
    </w:p>
    <w:p w14:paraId="000000B3" w14:textId="4C8EB188" w:rsidR="00EA4D3D" w:rsidRDefault="00296A74">
      <w:pPr>
        <w:numPr>
          <w:ilvl w:val="0"/>
          <w:numId w:val="3"/>
        </w:numPr>
        <w:pBdr>
          <w:top w:val="nil"/>
          <w:left w:val="nil"/>
          <w:bottom w:val="nil"/>
          <w:right w:val="nil"/>
          <w:between w:val="nil"/>
        </w:pBdr>
        <w:spacing w:after="120" w:line="240" w:lineRule="auto"/>
        <w:jc w:val="both"/>
        <w:rPr>
          <w:color w:val="000000"/>
        </w:rPr>
      </w:pPr>
      <w:r>
        <w:rPr>
          <w:color w:val="000000"/>
        </w:rPr>
        <w:t>Abstenerse de negar la validez de partidas matrimoniales emitidas de forma ajustada a la ley, y por ende abstenerse de negar la residencia por matrimonio en dichos casos.</w:t>
      </w:r>
    </w:p>
    <w:p w14:paraId="193D94C3" w14:textId="77777777" w:rsidR="00DB7EBE" w:rsidRDefault="00DB7EBE" w:rsidP="00DB7EBE">
      <w:pPr>
        <w:pBdr>
          <w:top w:val="nil"/>
          <w:left w:val="nil"/>
          <w:bottom w:val="nil"/>
          <w:right w:val="nil"/>
          <w:between w:val="nil"/>
        </w:pBdr>
        <w:spacing w:after="120" w:line="240" w:lineRule="auto"/>
        <w:ind w:left="720"/>
        <w:jc w:val="both"/>
        <w:rPr>
          <w:color w:val="000000"/>
        </w:rPr>
      </w:pPr>
    </w:p>
    <w:p w14:paraId="0BD6A9E5" w14:textId="05FF044A" w:rsidR="009E6E71" w:rsidRPr="009339CB" w:rsidRDefault="00732D3B" w:rsidP="00732D3B">
      <w:pPr>
        <w:numPr>
          <w:ilvl w:val="0"/>
          <w:numId w:val="5"/>
        </w:numPr>
        <w:pBdr>
          <w:top w:val="nil"/>
          <w:left w:val="nil"/>
          <w:bottom w:val="nil"/>
          <w:right w:val="nil"/>
          <w:between w:val="nil"/>
        </w:pBdr>
        <w:jc w:val="both"/>
        <w:rPr>
          <w:b/>
          <w:smallCaps/>
          <w:color w:val="000000"/>
          <w:sz w:val="26"/>
          <w:szCs w:val="26"/>
        </w:rPr>
      </w:pPr>
      <w:r>
        <w:rPr>
          <w:b/>
          <w:smallCaps/>
          <w:color w:val="000000"/>
          <w:sz w:val="26"/>
          <w:szCs w:val="26"/>
        </w:rPr>
        <w:t>Violencia institucional: persecución policial y d</w:t>
      </w:r>
      <w:r w:rsidR="00296A74" w:rsidRPr="009339CB">
        <w:rPr>
          <w:b/>
          <w:smallCaps/>
          <w:color w:val="000000"/>
          <w:sz w:val="26"/>
          <w:szCs w:val="26"/>
        </w:rPr>
        <w:t xml:space="preserve">iscriminación </w:t>
      </w:r>
      <w:r w:rsidRPr="00732D3B">
        <w:rPr>
          <w:b/>
          <w:smallCaps/>
          <w:color w:val="000000"/>
        </w:rPr>
        <w:t xml:space="preserve">(artículo 7, 10, 13, 15, 16, 17, 19 y 63 de la convención)  </w:t>
      </w:r>
    </w:p>
    <w:p w14:paraId="0C450E6A" w14:textId="4AF6789C" w:rsidR="00DB7EBE" w:rsidRDefault="00DB7EBE" w:rsidP="00123E93">
      <w:pPr>
        <w:spacing w:after="120"/>
        <w:jc w:val="both"/>
      </w:pPr>
      <w:r>
        <w:t>Como dijimos, el DNU 70/2017 consolida un giro en la política migratoria argentina, en la cual las expulsiones y el control de la permanencia vuelven a tener un rol central, en violaciones claras al debido proceso, al derecho a la defensa, el acceso a la justicia y el derecho a la unidad familiar. Además, fue adoptado en un contexto en el cual las autoridades argentinas intentan vincular migración y delito</w:t>
      </w:r>
      <w:r w:rsidR="00670A72">
        <w:t xml:space="preserve"> y estigmatizan a la población migrante</w:t>
      </w:r>
      <w:r>
        <w:t xml:space="preserve">.  Así, el sistema de regulación y protección de las personas migrantes se acerca a la antigua “Ley Videla”, en una lógica de seguridad nacional. Dicha ley generó una situación masiva de irregularidad migratoria, con mecanismos y procedimientos vacíos de garantías, bajo prácticas persecutorias que criminalizaba a la migración mediante la aceptación de praxis de funcionarios públicos, de las fuerzas de seguridad y de operadores de justicia que ponían en práctica acciones aptas para fomentar la discriminación entre migrantes y nacionales. </w:t>
      </w:r>
    </w:p>
    <w:p w14:paraId="5046BB31" w14:textId="77777777" w:rsidR="00DB7EBE" w:rsidRDefault="00DB7EBE" w:rsidP="00123E93">
      <w:pPr>
        <w:spacing w:after="120"/>
        <w:jc w:val="both"/>
      </w:pPr>
      <w:r>
        <w:t xml:space="preserve">A pesar de la vigencia de la Ley Contra Actos Discriminatorios N°23.592 de 1988, que prevé la posibilidad de obtener el cese y la reparación ante actos u omisiones discriminatorios, y de la existencia del Instituto Nacional contra la Discriminación, la Xenofobia y el Racismo (INADI), la política migratoria actualmente vigente afecta profundamente los principios de igualdad y no discriminación acentuando la situación crítica en la que se encuentran las personas migrantes en la Argentina. </w:t>
      </w:r>
    </w:p>
    <w:p w14:paraId="448839F7" w14:textId="0AFE670E" w:rsidR="00DB7EBE" w:rsidRDefault="00DB7EBE" w:rsidP="00123E93">
      <w:pPr>
        <w:spacing w:after="120"/>
        <w:jc w:val="both"/>
      </w:pPr>
      <w:r>
        <w:t xml:space="preserve">Este nuevo marco normativo y práctico, basado en un lenguaje discriminatorio, estigmatizador y excluyente, genera que las y los migrantes sean sometidos a la violencia institucional, actuada sobre todo hacia específicos colectivos, </w:t>
      </w:r>
      <w:r w:rsidR="007B4F35">
        <w:t>como</w:t>
      </w:r>
      <w:r>
        <w:t xml:space="preserve"> los vendedores ambulantes y las personas </w:t>
      </w:r>
      <w:proofErr w:type="spellStart"/>
      <w:r>
        <w:t>trans</w:t>
      </w:r>
      <w:proofErr w:type="spellEnd"/>
      <w:r>
        <w:t xml:space="preserve"> y travestis migrantes. </w:t>
      </w:r>
    </w:p>
    <w:p w14:paraId="5CC4456C" w14:textId="77777777" w:rsidR="00F45968" w:rsidRDefault="00F45968" w:rsidP="00123E93">
      <w:pPr>
        <w:spacing w:after="120"/>
        <w:jc w:val="both"/>
      </w:pPr>
    </w:p>
    <w:p w14:paraId="3924998A" w14:textId="50F52D6C" w:rsidR="00DB7EBE" w:rsidRDefault="00DB7EBE" w:rsidP="00123E93">
      <w:pPr>
        <w:spacing w:after="120"/>
        <w:jc w:val="both"/>
        <w:rPr>
          <w:b/>
        </w:rPr>
      </w:pPr>
      <w:r>
        <w:rPr>
          <w:b/>
        </w:rPr>
        <w:t>Persecución de las y los migrantes por las fuerzas policiales</w:t>
      </w:r>
    </w:p>
    <w:p w14:paraId="4C2310AF" w14:textId="46E36979" w:rsidR="00DB7EBE" w:rsidRDefault="00DB7EBE" w:rsidP="00123E93">
      <w:pPr>
        <w:spacing w:after="120"/>
        <w:jc w:val="both"/>
      </w:pPr>
      <w:r>
        <w:t>Ante la falta de un criterio de regularización para l</w:t>
      </w:r>
      <w:r w:rsidR="00F95255">
        <w:t xml:space="preserve">os trabajadores autónomos </w:t>
      </w:r>
      <w:proofErr w:type="spellStart"/>
      <w:r w:rsidR="00F95255">
        <w:t>extraM</w:t>
      </w:r>
      <w:r>
        <w:t>ercosur</w:t>
      </w:r>
      <w:proofErr w:type="spellEnd"/>
      <w:r>
        <w:t>, y la consiguiente situación</w:t>
      </w:r>
      <w:r w:rsidR="00367C8A">
        <w:t xml:space="preserve"> </w:t>
      </w:r>
      <w:r>
        <w:t>de irregularidad migratoria, las y los migrantes, sobre todo de origen african</w:t>
      </w:r>
      <w:r w:rsidR="00367C8A">
        <w:t>o</w:t>
      </w:r>
      <w:r>
        <w:t>, dominican</w:t>
      </w:r>
      <w:r w:rsidR="00367C8A">
        <w:t>o</w:t>
      </w:r>
      <w:r>
        <w:t>, haitian</w:t>
      </w:r>
      <w:r w:rsidR="00367C8A">
        <w:t>o</w:t>
      </w:r>
      <w:r>
        <w:t xml:space="preserve"> y chin</w:t>
      </w:r>
      <w:r w:rsidR="00367C8A">
        <w:t>o</w:t>
      </w:r>
      <w:r>
        <w:t xml:space="preserve">, se enfrentan con la imposibilidad de acceder a puestos de trabajo formales.  De esta manera las personas migrantes, en particular las de origen senegalés se ven obligados a dedicarse a la venta ambulante u otras actividades informales en el espacio público. Si bien el trabajo por cuenta propia se encuentra legalmente admitido en la Argentina, el desarrollo de este tipo de trabajo conlleva a una mayor vulnerabilidad de las y los migrantes, con mayor exposición a los abusos y violencias, sobretodo de las fuerzas policiales. </w:t>
      </w:r>
    </w:p>
    <w:p w14:paraId="710097F4" w14:textId="55E4F88D" w:rsidR="00AB4C0A" w:rsidRDefault="00AB4C0A" w:rsidP="00AB4C0A">
      <w:pPr>
        <w:spacing w:after="120"/>
        <w:jc w:val="both"/>
      </w:pPr>
      <w:r>
        <w:t xml:space="preserve">En la Ciudad de Buenos Aires, especialmente en los barrios de Flores, Once y Constitución, así como en La Plata </w:t>
      </w:r>
      <w:r>
        <w:rPr>
          <w:rFonts w:cstheme="minorHAnsi"/>
        </w:rPr>
        <w:t xml:space="preserve">(Provincia de Buenos Aires) </w:t>
      </w:r>
      <w:r>
        <w:t xml:space="preserve">y en Córdoba Capital, en los últimos años se ha empezado una suerte de “guerra” contra los vendedores ambulantes </w:t>
      </w:r>
      <w:r>
        <w:rPr>
          <w:rFonts w:cstheme="minorHAnsi"/>
        </w:rPr>
        <w:t>para imposibilitar su actividad en la vía pública en el marco de una política de espacio público regresiva que criminaliza ciertas actividades de subsistencia, recayendo desproporcionadamente sobre personas migrantes</w:t>
      </w:r>
      <w:r>
        <w:t xml:space="preserve">. En estas zonas, con frecuencia semanal, se realizan operativos de “saturación policial” con la presencia del cuerpo de infantería y motos, para impedir que los vendedores se instalen. Adicionalmente, inspectores sin uniforme ni identificación, cada día, intiman a los vendedores a retirarse </w:t>
      </w:r>
      <w:r>
        <w:rPr>
          <w:rFonts w:cstheme="minorHAnsi"/>
        </w:rPr>
        <w:t xml:space="preserve">bajo la amenaza de ser arrestados </w:t>
      </w:r>
      <w:r>
        <w:t xml:space="preserve">en caso de desobediencia. </w:t>
      </w:r>
    </w:p>
    <w:p w14:paraId="72A9D1EE" w14:textId="4C20148F" w:rsidR="00AB4C0A" w:rsidRDefault="00DB7EBE" w:rsidP="00123E93">
      <w:pPr>
        <w:spacing w:after="120"/>
        <w:jc w:val="both"/>
      </w:pPr>
      <w:r>
        <w:t xml:space="preserve">En 2013 se creó en la Fiscalía General de la Ciudad de Buenos Aires, la Unidad Coordinadora de Investigaciones Complejas, que suele intervenir en las investigaciones por organización de la venta callejera, a través de </w:t>
      </w:r>
      <w:r w:rsidRPr="00406ABB">
        <w:rPr>
          <w:b/>
        </w:rPr>
        <w:t xml:space="preserve">violentos </w:t>
      </w:r>
      <w:r w:rsidRPr="00406ABB">
        <w:rPr>
          <w:rFonts w:cstheme="minorHAnsi"/>
          <w:b/>
        </w:rPr>
        <w:t xml:space="preserve">operativos policiales </w:t>
      </w:r>
      <w:r w:rsidRPr="00406ABB">
        <w:rPr>
          <w:b/>
        </w:rPr>
        <w:t>y allanamientos a las viviendas de las y los migrantes</w:t>
      </w:r>
      <w:r w:rsidR="00367C8A" w:rsidRPr="00406ABB">
        <w:rPr>
          <w:b/>
        </w:rPr>
        <w:t xml:space="preserve"> violentando los lugares donde viven y vulnerando su privacidad</w:t>
      </w:r>
      <w:r w:rsidRPr="00406ABB">
        <w:rPr>
          <w:b/>
        </w:rPr>
        <w:t xml:space="preserve">, bajo la excusa de </w:t>
      </w:r>
      <w:r w:rsidR="00367C8A" w:rsidRPr="00406ABB">
        <w:rPr>
          <w:b/>
        </w:rPr>
        <w:t xml:space="preserve">perseguir el ejercicio de </w:t>
      </w:r>
      <w:r w:rsidRPr="00406ABB">
        <w:rPr>
          <w:b/>
        </w:rPr>
        <w:t>“venta ambulante sin autorización”</w:t>
      </w:r>
      <w:r>
        <w:t xml:space="preserve">, secuestrando su mercancía y objetos personales </w:t>
      </w:r>
      <w:r>
        <w:rPr>
          <w:rFonts w:cstheme="minorHAnsi"/>
        </w:rPr>
        <w:t>como celulares, dejándolos incomunicados y dificultando su sostén económico</w:t>
      </w:r>
      <w:r>
        <w:t xml:space="preserve">. Estos procedimientos se caracterizan dramáticamente por su selectividad, violencia y por la indefensión de las víctimas. Además de los allanamientos, las fuerzas de policía suelen desmantelar ferias y puestos callejeros. Esta actuación por lo general no queda registrada en actas.  </w:t>
      </w:r>
    </w:p>
    <w:p w14:paraId="7843E356" w14:textId="61938031" w:rsidR="00DB7EBE" w:rsidRDefault="00DB7EBE" w:rsidP="00123E93">
      <w:pPr>
        <w:spacing w:after="120"/>
        <w:jc w:val="both"/>
      </w:pPr>
      <w:r>
        <w:t xml:space="preserve">Antes de realizar estos allanamientos, en búsqueda de mercadería que luego sería vendida de modo ambulante, se realizan supuestas tareas de inteligencia que se limitan a observar y sacar fotos a personas africanas que hablan entre sí, y seguimientos de las personas hasta su casa, por el solo criterio del color de la piel. </w:t>
      </w:r>
    </w:p>
    <w:p w14:paraId="5080BD3E" w14:textId="74DF4981" w:rsidR="001528BC" w:rsidRDefault="001528BC" w:rsidP="00123E93">
      <w:pPr>
        <w:spacing w:after="120"/>
        <w:jc w:val="both"/>
        <w:rPr>
          <w:rFonts w:cstheme="minorHAnsi"/>
        </w:rPr>
      </w:pPr>
      <w:r>
        <w:rPr>
          <w:rFonts w:cstheme="minorHAnsi"/>
        </w:rPr>
        <w:t xml:space="preserve">Los episodios de confrontación de la policía con las y los migrantes suelen ser escenarios de violencia. </w:t>
      </w:r>
      <w:r>
        <w:t>La Defensoría General de la Ciudad releva los hechos de violencia institucional de los que toma conocimiento a través de sus distintas áreas. Han informado que la mayoría de los supuestos de violencia institucional contra migrantes se da contra las personas de nacionalidad senegalesa. En su informe del año 2018 señala que la policía de la Comisaría 7C del barrio de Flores persigue, hostiga y reprime desproporcionadamente a vendedores ambulantes senegaleses. En el año 2018 manifestaron que, el</w:t>
      </w:r>
      <w:r w:rsidR="00176020">
        <w:t xml:space="preserve"> </w:t>
      </w:r>
      <w:r>
        <w:t xml:space="preserve">80,65% de las causas imputadas a las personas que expusieron haber sufrido violencia institucional, fueron por </w:t>
      </w:r>
      <w:r>
        <w:rPr>
          <w:rFonts w:cstheme="minorHAnsi"/>
        </w:rPr>
        <w:t>las figuras penales de</w:t>
      </w:r>
      <w:r>
        <w:t xml:space="preserve"> “Atentado y Resistencia a la Autoridad”. Asimismo, el 89.88% de quienes expusieron haber sido víctimas de Violencia Institucional, no cuentan con un empleo formal</w:t>
      </w:r>
      <w:r>
        <w:rPr>
          <w:rFonts w:cstheme="minorHAnsi"/>
        </w:rPr>
        <w:t>, ilustrando que la mayor violencia se dirige hacia quienes ocupan la calle para realizar actividades de subsistencia.</w:t>
      </w:r>
    </w:p>
    <w:p w14:paraId="32931703" w14:textId="5AA9E35F" w:rsidR="009F6C31" w:rsidRDefault="00176020" w:rsidP="009F6C31">
      <w:pPr>
        <w:spacing w:after="120"/>
        <w:jc w:val="both"/>
        <w:rPr>
          <w:rFonts w:cstheme="minorHAnsi"/>
        </w:rPr>
      </w:pPr>
      <w:r>
        <w:rPr>
          <w:rFonts w:cstheme="minorHAnsi"/>
        </w:rPr>
        <w:t>Sin embargo, l</w:t>
      </w:r>
      <w:r w:rsidR="009F6C31">
        <w:rPr>
          <w:rFonts w:cstheme="minorHAnsi"/>
        </w:rPr>
        <w:t xml:space="preserve">a información oficial sobre el accionar de las fuerzas de seguridad no permite caracterizar las detenciones sobre las poblaciones migrantes con claridad. En el caso de las fuerzas federales, la información remitida en respuesta a solicitudes de información, sólo informa sobre detenciones que tienen como </w:t>
      </w:r>
      <w:proofErr w:type="gramStart"/>
      <w:r w:rsidR="009F6C31">
        <w:rPr>
          <w:rFonts w:cstheme="minorHAnsi"/>
        </w:rPr>
        <w:t>origen delitos</w:t>
      </w:r>
      <w:proofErr w:type="gramEnd"/>
      <w:r w:rsidR="009F6C31">
        <w:rPr>
          <w:rFonts w:cstheme="minorHAnsi"/>
        </w:rPr>
        <w:t xml:space="preserve"> y no referencia el lugar geográfico de la detención. Por su parte, los datos solicitados a la Secretaría de Seguridad de la Ciudad, no diferencian el origen de las personas extranjeras y sólo señalan detenciones originadas por delitos. </w:t>
      </w:r>
    </w:p>
    <w:p w14:paraId="1E400C57" w14:textId="05C19BE7" w:rsidR="00DB7EBE" w:rsidRDefault="00DB7EBE" w:rsidP="00123E93">
      <w:pPr>
        <w:spacing w:after="120"/>
        <w:jc w:val="both"/>
      </w:pPr>
      <w:r>
        <w:t xml:space="preserve">Otro colectivo afectado por la violencia de la policía es el de las personas </w:t>
      </w:r>
      <w:proofErr w:type="spellStart"/>
      <w:r>
        <w:t>trans</w:t>
      </w:r>
      <w:proofErr w:type="spellEnd"/>
      <w:r>
        <w:t xml:space="preserve"> y travestis migrantes que las fuerzas públicas criminalizan de manera selectiva y desproporcionada. El colectivo, cuando no está cometiendo ningún tipo de contravención punible, es objeto de persecuciones injustificadas bajo el pretexto de figuras como la “detención por averiguación de identidad”, o requisada sin ning</w:t>
      </w:r>
      <w:r w:rsidR="0072432D">
        <w:t>u</w:t>
      </w:r>
      <w:r>
        <w:t xml:space="preserve">na sospecha previa en búsqueda de estupefacientes </w:t>
      </w:r>
      <w:r>
        <w:rPr>
          <w:rFonts w:cstheme="minorHAnsi"/>
        </w:rPr>
        <w:t>u otras figuras contravencionales</w:t>
      </w:r>
      <w:r>
        <w:t>. Esta sobrevigilancia provoca una criminalización desproporcionada.</w:t>
      </w:r>
    </w:p>
    <w:p w14:paraId="1A2630C3" w14:textId="6F869A3F" w:rsidR="00DB7EBE" w:rsidRDefault="00DB7EBE" w:rsidP="00123E93">
      <w:pPr>
        <w:spacing w:after="120"/>
        <w:jc w:val="both"/>
      </w:pPr>
      <w:r>
        <w:t>Estas prácticas han ocasionado, además de las detenciones violentas y arbitrarias que se comentaron, episodios de corridas y forcejeos violentos en las calles que derivan en lesiones para las personas de estos colectivos. Denuncian malos tratos, detención arbit</w:t>
      </w:r>
      <w:r w:rsidR="0072432D">
        <w:t>r</w:t>
      </w:r>
      <w:r>
        <w:t xml:space="preserve">aria, denegación de asistencia médica, ‘’paseos’’ y demoras durante horas en patrulleros, </w:t>
      </w:r>
      <w:r>
        <w:rPr>
          <w:rFonts w:cstheme="minorHAnsi"/>
        </w:rPr>
        <w:t>denegación de información sobre los motivos de detención</w:t>
      </w:r>
      <w:r>
        <w:t xml:space="preserve"> y falta de otras garantías procesales como la disponibilidad de intérpretes en las comisarías</w:t>
      </w:r>
      <w:r>
        <w:rPr>
          <w:vertAlign w:val="superscript"/>
        </w:rPr>
        <w:footnoteReference w:id="25"/>
      </w:r>
      <w:r>
        <w:t xml:space="preserve">. Adicionalmente existen grandes dificultades a la hora de investigar los hechos de violencia institucional, </w:t>
      </w:r>
      <w:r>
        <w:rPr>
          <w:rFonts w:cstheme="minorHAnsi"/>
        </w:rPr>
        <w:t xml:space="preserve">lo que genera la impunidad de los integrantes de las fuerzas de seguridad y mayor vulnerabilidad de las personas migrantes.  </w:t>
      </w:r>
      <w:r>
        <w:t xml:space="preserve">  </w:t>
      </w:r>
    </w:p>
    <w:p w14:paraId="4629636F" w14:textId="77777777" w:rsidR="00DB7EBE" w:rsidRDefault="00DB7EBE" w:rsidP="00123E93">
      <w:pPr>
        <w:spacing w:after="120"/>
        <w:jc w:val="both"/>
        <w:rPr>
          <w:i/>
        </w:rPr>
      </w:pPr>
      <w:r>
        <w:rPr>
          <w:i/>
        </w:rPr>
        <w:t xml:space="preserve">Racismo Institucional </w:t>
      </w:r>
    </w:p>
    <w:p w14:paraId="3CD874D0" w14:textId="09AF71FC" w:rsidR="00DB7EBE" w:rsidRDefault="00DB7EBE" w:rsidP="00123E93">
      <w:pPr>
        <w:spacing w:after="120"/>
        <w:jc w:val="both"/>
      </w:pPr>
      <w:r>
        <w:t>En los últimos tiempos se documenta un aumento de la persecución policial basada en razones raciales</w:t>
      </w:r>
      <w:r w:rsidR="007B241D">
        <w:t xml:space="preserve">, </w:t>
      </w:r>
      <w:proofErr w:type="spellStart"/>
      <w:r>
        <w:t>tran</w:t>
      </w:r>
      <w:r w:rsidR="00367C8A">
        <w:t>s</w:t>
      </w:r>
      <w:r>
        <w:t>fobicas</w:t>
      </w:r>
      <w:proofErr w:type="spellEnd"/>
      <w:r w:rsidR="007B241D">
        <w:t xml:space="preserve"> y xenófobas</w:t>
      </w:r>
      <w:r>
        <w:rPr>
          <w:vertAlign w:val="superscript"/>
        </w:rPr>
        <w:footnoteReference w:id="26"/>
      </w:r>
      <w:r>
        <w:t xml:space="preserve">. Como dijimos, por un lado, la Dirección Nacional de Migraciones publicitó los varios operativos de control de la permanencia desplegados a lugares con alta concentración de migrantes y mayormente ocurren en presencia de policías. La publicidad de estos operativos contribuyen a humillar y denigrar a la población migrante y sobretodo los migrantes pertenecientes a los colectivos más pobres, como los vendedores ambulantes y la comunidad travesti y </w:t>
      </w:r>
      <w:proofErr w:type="spellStart"/>
      <w:r>
        <w:t>trans</w:t>
      </w:r>
      <w:proofErr w:type="spellEnd"/>
      <w:r>
        <w:rPr>
          <w:vertAlign w:val="superscript"/>
        </w:rPr>
        <w:footnoteReference w:id="27"/>
      </w:r>
      <w:r>
        <w:t>. La cobertura discriminatoria por parte de algunos medios de c</w:t>
      </w:r>
      <w:r w:rsidR="00406ABB">
        <w:t>omunicación, también contribuye</w:t>
      </w:r>
      <w:r>
        <w:t xml:space="preserve"> a crear el estereotipo de migrante/delincue</w:t>
      </w:r>
      <w:r w:rsidR="00367C8A">
        <w:t>nte que se impulsa desde la políti</w:t>
      </w:r>
      <w:r>
        <w:t>ca gubernamental.</w:t>
      </w:r>
      <w:r w:rsidR="009F6C31">
        <w:t xml:space="preserve"> </w:t>
      </w:r>
    </w:p>
    <w:p w14:paraId="57062115" w14:textId="1F8856CA" w:rsidR="00DB7EBE" w:rsidRDefault="00DB7EBE" w:rsidP="00123E93">
      <w:pPr>
        <w:spacing w:after="120"/>
        <w:jc w:val="both"/>
        <w:rPr>
          <w:rFonts w:cstheme="minorHAnsi"/>
          <w:b/>
        </w:rPr>
      </w:pPr>
      <w:r w:rsidRPr="003F1AD4">
        <w:rPr>
          <w:b/>
        </w:rPr>
        <w:t>Además, estos colectivos denuncian persecuciones</w:t>
      </w:r>
      <w:r w:rsidR="00367C8A" w:rsidRPr="003F1AD4">
        <w:rPr>
          <w:b/>
        </w:rPr>
        <w:t xml:space="preserve"> discriminatorias y racistas</w:t>
      </w:r>
      <w:r w:rsidRPr="003F1AD4">
        <w:rPr>
          <w:b/>
        </w:rPr>
        <w:t xml:space="preserve"> </w:t>
      </w:r>
      <w:r w:rsidR="00367C8A" w:rsidRPr="003F1AD4">
        <w:rPr>
          <w:b/>
        </w:rPr>
        <w:t xml:space="preserve">que van desde las manifestaciones verbales hasta la violencia física por parte de las autoridades estatales, </w:t>
      </w:r>
      <w:r w:rsidR="00367C8A" w:rsidRPr="003F1AD4">
        <w:rPr>
          <w:rFonts w:cstheme="minorHAnsi"/>
          <w:b/>
        </w:rPr>
        <w:t>en particular durante operativos policial</w:t>
      </w:r>
      <w:r w:rsidRPr="003F1AD4">
        <w:rPr>
          <w:rFonts w:cstheme="minorHAnsi"/>
          <w:b/>
        </w:rPr>
        <w:t xml:space="preserve"> de “control poblacional” (pedidos de documentación), justificados por la estigmatización de ciertas zonas como “conflictivas”</w:t>
      </w:r>
      <w:r w:rsidR="003F1AD4" w:rsidRPr="003F1AD4">
        <w:rPr>
          <w:rFonts w:cstheme="minorHAnsi"/>
          <w:b/>
        </w:rPr>
        <w:t xml:space="preserve"> y durante las represiones y detenciones en contexto de protesta social</w:t>
      </w:r>
      <w:r w:rsidRPr="003F1AD4">
        <w:rPr>
          <w:rFonts w:cstheme="minorHAnsi"/>
          <w:b/>
        </w:rPr>
        <w:t xml:space="preserve">. </w:t>
      </w:r>
    </w:p>
    <w:p w14:paraId="1D0E8F42" w14:textId="4CB59F42" w:rsidR="003F1AD4" w:rsidRPr="003F1AD4" w:rsidRDefault="003F1AD4" w:rsidP="00123E93">
      <w:pPr>
        <w:spacing w:after="120"/>
        <w:jc w:val="both"/>
      </w:pPr>
      <w:r w:rsidRPr="003F1AD4">
        <w:t xml:space="preserve">Respecto a lo último, de modo general, desde las detenciones tras el paro internacional de mujeres del 8 de marzo de 2017 la Policía de la Ciudad efectúa sus operativos de la misma forma: frente a una manifestación en la vía pública -protestas que interrumpen el tránsito, </w:t>
      </w:r>
      <w:proofErr w:type="spellStart"/>
      <w:r w:rsidRPr="003F1AD4">
        <w:t>verdurazos</w:t>
      </w:r>
      <w:proofErr w:type="spellEnd"/>
      <w:r w:rsidRPr="003F1AD4">
        <w:t xml:space="preserve"> que ocupan plazas públicas o feriantes y vendedores/as ambulantes- reprime y detiene en forma arbitraria. La violencia ejercida en los operativos y las detenciones arbitrarias tienen como destinatario a quienes participan de las acciones, a los/as que pasan por allí y a quienes registran imágenes de la represió</w:t>
      </w:r>
      <w:r w:rsidR="0043021D">
        <w:t xml:space="preserve">n. Cuando la detención es de </w:t>
      </w:r>
      <w:r w:rsidRPr="003F1AD4">
        <w:t>migrante</w:t>
      </w:r>
      <w:r w:rsidR="0043021D">
        <w:t>s</w:t>
      </w:r>
      <w:r w:rsidRPr="003F1AD4">
        <w:t>, se le añade luego un mensaje xenófobo que busca unir delincuencia con migración y se exige al poder judicial la expulsión inmediata.</w:t>
      </w:r>
    </w:p>
    <w:p w14:paraId="4C8D2FE2" w14:textId="1DB25911" w:rsidR="00DB7EBE" w:rsidRDefault="00DB7EBE" w:rsidP="00123E93">
      <w:pPr>
        <w:spacing w:after="120"/>
        <w:jc w:val="both"/>
      </w:pPr>
      <w:r>
        <w:t xml:space="preserve">La violencia institucional contra los migrantes </w:t>
      </w:r>
      <w:r>
        <w:rPr>
          <w:rFonts w:cstheme="minorHAnsi"/>
        </w:rPr>
        <w:t>se verifica también en la discriminación</w:t>
      </w:r>
      <w:r w:rsidR="00367C8A">
        <w:rPr>
          <w:rFonts w:cstheme="minorHAnsi"/>
        </w:rPr>
        <w:t xml:space="preserve"> y racismo</w:t>
      </w:r>
      <w:r>
        <w:rPr>
          <w:rFonts w:cstheme="minorHAnsi"/>
        </w:rPr>
        <w:t xml:space="preserve"> </w:t>
      </w:r>
      <w:r>
        <w:t>que sufren los migrantes cuando se presentan ante instituciones públicas. Todas estas formas de marginación violenta, en actos como en palabras, han predispuesto el Comité de Protección de los Derechos de Todos los Trabajadores Migratorios y de sus Familiares a recomendar que la Argentina adopte medidas enérgicas al fin de eliminar las discriminaciones contra los migrantes a través de la adopción de normativas y políticas de sensibilización y, por otro lado, de implementar la capacitación de los funcionarios públicos en los ámbitos federal, provincial y municipal en materia de migración</w:t>
      </w:r>
      <w:r>
        <w:rPr>
          <w:vertAlign w:val="superscript"/>
        </w:rPr>
        <w:footnoteReference w:id="28"/>
      </w:r>
      <w:r>
        <w:t>.</w:t>
      </w:r>
    </w:p>
    <w:p w14:paraId="5F72BC1A" w14:textId="689C64EE" w:rsidR="00DB7EBE" w:rsidRPr="003F1AD4" w:rsidRDefault="00DB7EBE" w:rsidP="00123E93">
      <w:pPr>
        <w:spacing w:after="120"/>
        <w:jc w:val="both"/>
        <w:rPr>
          <w:i/>
        </w:rPr>
      </w:pPr>
      <w:r w:rsidRPr="003F1AD4">
        <w:rPr>
          <w:i/>
        </w:rPr>
        <w:t>Criminalización y acceso a la justicia</w:t>
      </w:r>
    </w:p>
    <w:p w14:paraId="4FA72AD4" w14:textId="5E0FB0AC" w:rsidR="00DB7EBE" w:rsidRDefault="00DB7EBE" w:rsidP="00123E93">
      <w:pPr>
        <w:spacing w:after="120"/>
        <w:jc w:val="both"/>
      </w:pPr>
      <w:r>
        <w:t xml:space="preserve">Si bien el Código Contravencional de la Ciudad de Buenos Aires no considera la venta ambulante como contravención </w:t>
      </w:r>
      <w:r>
        <w:rPr>
          <w:rFonts w:cstheme="minorHAnsi"/>
        </w:rPr>
        <w:t>cuando se realiza con fines de subsistencia, igualmente son perseguidos judicialmente y por</w:t>
      </w:r>
      <w:r>
        <w:t xml:space="preserve">, las fuerzas </w:t>
      </w:r>
      <w:r>
        <w:rPr>
          <w:rFonts w:cstheme="minorHAnsi"/>
        </w:rPr>
        <w:t>policiales, alegando que se produce un ilícito porque la venta</w:t>
      </w:r>
      <w:r>
        <w:t xml:space="preserve"> generaría competencia desleal con los comercios. Actúan entonces contra los vendedores callejeros sin verificación</w:t>
      </w:r>
      <w:r>
        <w:rPr>
          <w:vertAlign w:val="superscript"/>
        </w:rPr>
        <w:footnoteReference w:id="29"/>
      </w:r>
      <w:r>
        <w:t xml:space="preserve">. </w:t>
      </w:r>
      <w:r w:rsidRPr="00E05081">
        <w:rPr>
          <w:b/>
        </w:rPr>
        <w:t>Los mismos agentes encuentran la forma de discriminar</w:t>
      </w:r>
      <w:r w:rsidR="00367C8A" w:rsidRPr="00E05081">
        <w:rPr>
          <w:b/>
        </w:rPr>
        <w:t>, perseguir</w:t>
      </w:r>
      <w:r w:rsidRPr="00E05081">
        <w:rPr>
          <w:b/>
        </w:rPr>
        <w:t xml:space="preserve"> y detener los vendedores ambulantes utilizando figuras penales excesivamente amplias como de “resistencia a la autoridad” o “atentado” a la autoridad</w:t>
      </w:r>
      <w:r>
        <w:t>, que, finalmente, vienen convalidadas por el Ministerio Público Fiscal de la Ciudad sin ningún tipo de control del fundamento de las mismas</w:t>
      </w:r>
      <w:r>
        <w:rPr>
          <w:vertAlign w:val="superscript"/>
        </w:rPr>
        <w:footnoteReference w:id="30"/>
      </w:r>
      <w:r>
        <w:t xml:space="preserve">. </w:t>
      </w:r>
    </w:p>
    <w:p w14:paraId="6B6CDC09" w14:textId="77777777" w:rsidR="001528BC" w:rsidRDefault="00DB7EBE" w:rsidP="00123E93">
      <w:pPr>
        <w:spacing w:after="120"/>
        <w:jc w:val="both"/>
      </w:pPr>
      <w:r>
        <w:t xml:space="preserve">La policía también utiliza </w:t>
      </w:r>
      <w:r>
        <w:rPr>
          <w:rFonts w:cstheme="minorHAnsi"/>
        </w:rPr>
        <w:t xml:space="preserve">para la persecución penal </w:t>
      </w:r>
      <w:r>
        <w:t>la “ley de marcas” 22.362 de 1980 emitida durante la última dictadura militar (año 1980) que</w:t>
      </w:r>
      <w:r w:rsidR="00367C8A">
        <w:t xml:space="preserve"> </w:t>
      </w:r>
      <w:r>
        <w:t xml:space="preserve">establece penas de tres (3) meses a dos (2) años de prisión </w:t>
      </w:r>
      <w:r>
        <w:rPr>
          <w:rFonts w:cstheme="minorHAnsi"/>
        </w:rPr>
        <w:t>por el uso o venta de productos con marcas falsificadas</w:t>
      </w:r>
      <w:r>
        <w:rPr>
          <w:rFonts w:cstheme="minorHAnsi"/>
          <w:vertAlign w:val="superscript"/>
        </w:rPr>
        <w:t>8</w:t>
      </w:r>
      <w:r>
        <w:t xml:space="preserve">. </w:t>
      </w:r>
    </w:p>
    <w:p w14:paraId="65947228" w14:textId="7B154879" w:rsidR="00DB7EBE" w:rsidRDefault="00DB7EBE" w:rsidP="00123E93">
      <w:pPr>
        <w:spacing w:after="120"/>
        <w:jc w:val="both"/>
      </w:pPr>
      <w:r>
        <w:rPr>
          <w:rFonts w:cstheme="minorHAnsi"/>
        </w:rPr>
        <w:t xml:space="preserve">No existe un control judicial efectivo sobre las detenciones que realiza la policía invocando esta ley, las que recién serán revisadas por un juez federal varios días después de la detención. Por lo general, durante la tramitación del expediente los jueces descartan la existencia de delito ya que los compradores no son engañados sobre lo que están adquiriendo. Sin embargo, las causas pueden permanecer abiertas durante mucho tiempo, sin mayores avances. </w:t>
      </w:r>
      <w:r w:rsidR="00D645E0" w:rsidRPr="001D20CC">
        <w:t xml:space="preserve">En todos los casos la violencia institucional y de alta connotación racista que focaliza especialmente en este colectivo de migrantes africanos, involucra una gran cantidad </w:t>
      </w:r>
      <w:r w:rsidR="001528BC">
        <w:t xml:space="preserve">de </w:t>
      </w:r>
      <w:r w:rsidR="00D645E0" w:rsidRPr="001D20CC">
        <w:t xml:space="preserve">agentes policiales en cada uno de los operativos de detención. </w:t>
      </w:r>
      <w:r w:rsidRPr="00E05081">
        <w:rPr>
          <w:b/>
        </w:rPr>
        <w:t>En ningún caso se cumple con el derecho de que las personas detenidas cuenten con intérpretes para asegurar que comprenden los alcances del proceso que los involucra</w:t>
      </w:r>
      <w:r>
        <w:t xml:space="preserve">. </w:t>
      </w:r>
    </w:p>
    <w:p w14:paraId="7A8A509A" w14:textId="0DC2F4A7" w:rsidR="00826B9F" w:rsidRDefault="00826B9F" w:rsidP="00123E93">
      <w:pPr>
        <w:spacing w:after="120"/>
        <w:jc w:val="both"/>
      </w:pPr>
      <w:r>
        <w:t>Respecto de las detenciones en el contexto de protestas, e</w:t>
      </w:r>
      <w:r w:rsidRPr="00826B9F">
        <w:t xml:space="preserve">n la mayoría de los casos el Poder Judicial desestima las causas penales que la Policía arma contra los/as que detiene, e incluso en algunas oportunidades lo ha hecho con fuertes críticas hacia el accionar policial en la ejecución del operativo. Que el Poder Judicial desestime las acusaciones y critique el accionar policial es importante y necesario. Sin embargo, </w:t>
      </w:r>
      <w:r w:rsidRPr="00E05081">
        <w:rPr>
          <w:b/>
        </w:rPr>
        <w:t>este control judicial es posterior a la ejecución de los operativos, por lo que la privación de libertad arbitraria, la violencia indiscriminada y la criminalización del uso de espacio público subsisten</w:t>
      </w:r>
      <w:r w:rsidRPr="00826B9F">
        <w:t xml:space="preserve">. </w:t>
      </w:r>
    </w:p>
    <w:p w14:paraId="0C150B34" w14:textId="1B7E9865" w:rsidR="00DB7EBE" w:rsidRDefault="00DB7EBE" w:rsidP="00123E93">
      <w:pPr>
        <w:spacing w:after="120"/>
        <w:jc w:val="both"/>
      </w:pPr>
      <w:r>
        <w:t xml:space="preserve">Estas medidas, en el contexto donde el DNU 70/2017 amplió las causales de impedimento de ingreso y permanencia para todos los antecedentes penales con pena privativa de libertad, </w:t>
      </w:r>
      <w:r w:rsidRPr="00E05081">
        <w:rPr>
          <w:b/>
        </w:rPr>
        <w:t xml:space="preserve">someten a las personas migrantes </w:t>
      </w:r>
      <w:r w:rsidRPr="00E05081">
        <w:rPr>
          <w:rFonts w:cstheme="minorHAnsi"/>
          <w:b/>
        </w:rPr>
        <w:t xml:space="preserve">la arbitrariedad de </w:t>
      </w:r>
      <w:r w:rsidRPr="00E05081">
        <w:rPr>
          <w:b/>
        </w:rPr>
        <w:t>las fuerzas de seguridad, las criminalizan y las ponen en riesgo de una probable medida de expulsión</w:t>
      </w:r>
      <w:r>
        <w:t>, por medio del procedimiento sumarísimo, que viola sus garantías y derechos. Es decir, la política actual de gestión del espacio público, relacionada con la venta ambulante y sumado al accionar discriminatorio de las fuerzas,</w:t>
      </w:r>
      <w:r w:rsidR="00826B9F">
        <w:t xml:space="preserve"> incluido en</w:t>
      </w:r>
      <w:r>
        <w:t xml:space="preserve"> </w:t>
      </w:r>
      <w:r w:rsidR="00826B9F">
        <w:t xml:space="preserve">contexto de protesta social, </w:t>
      </w:r>
      <w:r>
        <w:t xml:space="preserve">posee un </w:t>
      </w:r>
      <w:r w:rsidRPr="00E05081">
        <w:rPr>
          <w:b/>
        </w:rPr>
        <w:t>impacto directo no sólo en la subsistencia diaria de las y los migrantes sino también en sus posibilidades de permanecer en el territorio argentino.</w:t>
      </w:r>
    </w:p>
    <w:p w14:paraId="1E5B7367" w14:textId="34362A74" w:rsidR="00DB7EBE" w:rsidRDefault="00DB7EBE" w:rsidP="00123E93">
      <w:pPr>
        <w:spacing w:after="120"/>
        <w:jc w:val="both"/>
      </w:pPr>
      <w:r>
        <w:t>Asimismo, por un convenio firmado ent</w:t>
      </w:r>
      <w:r w:rsidR="00826B9F">
        <w:t>r</w:t>
      </w:r>
      <w:r>
        <w:t xml:space="preserve">e la Nación y la Ciudad de Buenos </w:t>
      </w:r>
      <w:r w:rsidR="00826B9F">
        <w:t>Aires en</w:t>
      </w:r>
      <w:r>
        <w:t xml:space="preserve"> mayo de este año, la policía de la Ciudad podrá ejercer funciones de Policía Migratoria, y comprobar el estatus migratorio de las personas extranjeras detenidas, e informar a Migraciones sobre si existe algún impedimento para su libertad. Este Convenio se suma al firmado en 2016 para que la Ciudad proporcione un edificio para que funcione como cárcel de migrantes, donde detener a las personas en infracción con la ley migratoria.</w:t>
      </w:r>
    </w:p>
    <w:p w14:paraId="35670206" w14:textId="77777777" w:rsidR="00DB7EBE" w:rsidRDefault="00DB7EBE" w:rsidP="00123E93">
      <w:pPr>
        <w:spacing w:after="120"/>
        <w:jc w:val="both"/>
      </w:pPr>
      <w:r>
        <w:t xml:space="preserve">Por último, en virtud de un Criterio General firmado por el Fiscal General, si el fiscal del caso decide archivar una causa contra algún migrante en virtud del criterio de oportunidad, podrá hacerlo solo si el imputado acuerda en consentir su expulsión del país. </w:t>
      </w:r>
    </w:p>
    <w:p w14:paraId="7E3C02B5" w14:textId="77777777" w:rsidR="00F45968" w:rsidRDefault="00F45968" w:rsidP="00123E93">
      <w:pPr>
        <w:spacing w:after="120"/>
        <w:jc w:val="both"/>
        <w:rPr>
          <w:b/>
        </w:rPr>
      </w:pPr>
    </w:p>
    <w:p w14:paraId="000000CA" w14:textId="70A8290E" w:rsidR="00EA4D3D" w:rsidRDefault="00296A74" w:rsidP="00123E93">
      <w:pPr>
        <w:spacing w:after="120"/>
        <w:jc w:val="both"/>
        <w:rPr>
          <w:b/>
        </w:rPr>
      </w:pPr>
      <w:r>
        <w:rPr>
          <w:b/>
        </w:rPr>
        <w:t>Ejemplos de casos.</w:t>
      </w:r>
      <w:r w:rsidR="0037386E">
        <w:rPr>
          <w:b/>
        </w:rPr>
        <w:t xml:space="preserve"> </w:t>
      </w:r>
    </w:p>
    <w:p w14:paraId="2845F952" w14:textId="2595239C" w:rsidR="00D64C53" w:rsidRDefault="004A1CE7" w:rsidP="00123E93">
      <w:pPr>
        <w:spacing w:after="120"/>
        <w:jc w:val="both"/>
        <w:rPr>
          <w:b/>
          <w:smallCaps/>
        </w:rPr>
      </w:pPr>
      <w:r>
        <w:rPr>
          <w:b/>
          <w:smallCaps/>
        </w:rPr>
        <w:t xml:space="preserve">Protesta del </w:t>
      </w:r>
      <w:r w:rsidR="00D64C53" w:rsidRPr="00D64C53">
        <w:rPr>
          <w:b/>
          <w:smallCaps/>
        </w:rPr>
        <w:t>24 de octubre de 2018</w:t>
      </w:r>
    </w:p>
    <w:p w14:paraId="6053D80D" w14:textId="77777777" w:rsidR="00D64C53" w:rsidRPr="00D64C53" w:rsidRDefault="00D64C53" w:rsidP="00D64C53">
      <w:pPr>
        <w:spacing w:after="120"/>
        <w:jc w:val="both"/>
      </w:pPr>
      <w:r w:rsidRPr="00D64C53">
        <w:t>El 24 de octubre de 2018, luego de una movilización al Congreso Nacional contra la sanción del presupuesto, la Policía de la Ciudad </w:t>
      </w:r>
      <w:hyperlink r:id="rId8" w:history="1">
        <w:r w:rsidRPr="00D64C53">
          <w:t>detuvo a 17 personas</w:t>
        </w:r>
      </w:hyperlink>
      <w:r w:rsidRPr="00D64C53">
        <w:t>, entre ellas varios referentes sociales.</w:t>
      </w:r>
    </w:p>
    <w:p w14:paraId="0B945726" w14:textId="77777777" w:rsidR="00D64C53" w:rsidRPr="00D64C53" w:rsidRDefault="00D64C53" w:rsidP="00D64C53">
      <w:pPr>
        <w:spacing w:after="120"/>
        <w:jc w:val="both"/>
      </w:pPr>
      <w:r w:rsidRPr="00D64C53">
        <w:t>Cuatro de los detenidos eran migrantes. En ese momento, diversos funcionarios del gobierno nacional y de la Ciudad, así como referentes de otros partidos políticos, desplegaron una campaña comunicacional que pedía que se los expulsara del país, aunque eso implicara no respetar la ley de migraciones. Estos pronunciamientos, basados en versiones policiales, ocurrieron antes de que los hechos fueran investigados, y tuvieron una vasta cobertura en los medios de comunicación.</w:t>
      </w:r>
    </w:p>
    <w:p w14:paraId="54DFF9E9" w14:textId="77777777" w:rsidR="00D64C53" w:rsidRPr="00D64C53" w:rsidRDefault="00D64C53" w:rsidP="00D64C53">
      <w:pPr>
        <w:spacing w:after="120"/>
        <w:jc w:val="both"/>
      </w:pPr>
      <w:r w:rsidRPr="00D64C53">
        <w:t>Cuatro meses después, el 14 de febrero, el fiscal que intervino archivó todas las actuaciones que se habían iniciado contra los 17 detenidos. Luego de revisar toda la prueba que aportó la policía, la fiscalía concluyó que no hay evidencias de que los imputados hayan arrojado piedras y/o resistido a la autoridad. El fiscal desestimó las declaraciones de los policías porque las consideró vagas e imprecisas y ordenó que se investiguen sus posibles responsabilidades penales.</w:t>
      </w:r>
    </w:p>
    <w:p w14:paraId="37384574" w14:textId="6D4A81AB" w:rsidR="00D64C53" w:rsidRPr="00D64C53" w:rsidRDefault="00D64C53" w:rsidP="00123E93">
      <w:pPr>
        <w:spacing w:after="120"/>
        <w:jc w:val="both"/>
      </w:pPr>
      <w:r w:rsidRPr="00D64C53">
        <w:t xml:space="preserve">Luego de la detención, </w:t>
      </w:r>
      <w:proofErr w:type="spellStart"/>
      <w:r w:rsidRPr="00D64C53">
        <w:t>Anil</w:t>
      </w:r>
      <w:proofErr w:type="spellEnd"/>
      <w:r w:rsidRPr="00D64C53">
        <w:t xml:space="preserve"> </w:t>
      </w:r>
      <w:proofErr w:type="spellStart"/>
      <w:r w:rsidRPr="00D64C53">
        <w:t>Baran</w:t>
      </w:r>
      <w:proofErr w:type="spellEnd"/>
      <w:r w:rsidRPr="00D64C53">
        <w:t xml:space="preserve">, de nacionalidad turca, fue objeto de numerosas notas en los medios -incluidos los públicos- en las que se reproducía la amenaza de expulsarlo del país. Con el acompañamiento de la </w:t>
      </w:r>
      <w:proofErr w:type="spellStart"/>
      <w:r w:rsidRPr="00D64C53">
        <w:t>Correpi</w:t>
      </w:r>
      <w:proofErr w:type="spellEnd"/>
      <w:r w:rsidRPr="00D64C53">
        <w:t xml:space="preserve"> y del CELS, </w:t>
      </w:r>
      <w:proofErr w:type="spellStart"/>
      <w:r w:rsidRPr="00D64C53">
        <w:t>Baran</w:t>
      </w:r>
      <w:proofErr w:type="spellEnd"/>
      <w:r w:rsidRPr="00D64C53">
        <w:t xml:space="preserve"> exigió conocer qué información sobre él había sido acopiada por las autoridades y qué había ocurrido en su trámite migratorio. Hasta el día de hoy, el Estado se niega a informarlo.</w:t>
      </w:r>
    </w:p>
    <w:p w14:paraId="5321FE57" w14:textId="77777777" w:rsidR="00F45968" w:rsidRDefault="00F45968" w:rsidP="00123E93">
      <w:pPr>
        <w:spacing w:after="120"/>
        <w:jc w:val="both"/>
        <w:rPr>
          <w:b/>
          <w:smallCaps/>
        </w:rPr>
      </w:pPr>
    </w:p>
    <w:p w14:paraId="2CCF5C2E" w14:textId="77777777" w:rsidR="00F45968" w:rsidRDefault="00F45968" w:rsidP="00123E93">
      <w:pPr>
        <w:spacing w:after="120"/>
        <w:jc w:val="both"/>
        <w:rPr>
          <w:b/>
          <w:smallCaps/>
        </w:rPr>
      </w:pPr>
    </w:p>
    <w:p w14:paraId="000000CD" w14:textId="5A2732A9" w:rsidR="00EA4D3D" w:rsidRPr="00D64C53" w:rsidRDefault="00296A74" w:rsidP="00123E93">
      <w:pPr>
        <w:spacing w:after="120"/>
        <w:jc w:val="both"/>
        <w:rPr>
          <w:b/>
          <w:smallCaps/>
        </w:rPr>
      </w:pPr>
      <w:r w:rsidRPr="00D64C53">
        <w:rPr>
          <w:b/>
          <w:smallCaps/>
        </w:rPr>
        <w:t>Claudia Córdoba</w:t>
      </w:r>
    </w:p>
    <w:p w14:paraId="65212A35" w14:textId="4751A173" w:rsidR="007B7E10" w:rsidRDefault="007B7E10" w:rsidP="00123E93">
      <w:pPr>
        <w:spacing w:after="120"/>
        <w:jc w:val="both"/>
        <w:rPr>
          <w:rFonts w:cstheme="minorHAnsi"/>
        </w:rPr>
      </w:pPr>
      <w:r>
        <w:rPr>
          <w:rFonts w:cstheme="minorHAnsi"/>
        </w:rPr>
        <w:t xml:space="preserve">Claudia Córdoba –mujer </w:t>
      </w:r>
      <w:proofErr w:type="spellStart"/>
      <w:r>
        <w:rPr>
          <w:rFonts w:cstheme="minorHAnsi"/>
        </w:rPr>
        <w:t>trans</w:t>
      </w:r>
      <w:proofErr w:type="spellEnd"/>
      <w:r>
        <w:rPr>
          <w:rFonts w:cstheme="minorHAnsi"/>
        </w:rPr>
        <w:t xml:space="preserve"> de nacionalidad peruana– fue condenada en mayo de 2016 por jueces de la provincia de Buenos Aires, agravando la pena por su condición de migrante. La resolución judicial fue dictada por el Tribunal Oral Criminal Nro. 1 del Departamento Judicial de La Plata. La sentencia convalidó prácticas policiales denigrantes como la desnudez forzada, denunciada como parte de un accionar policial reiterado, violatorio de derechos y que se debieran desestimar como procedimientos válidos. Además, el expediente judicial y la sentencia en todo momento se refieren a Claudia con su nombre de varón y en términos masculinos, sin respetar su identidad de género </w:t>
      </w:r>
      <w:proofErr w:type="spellStart"/>
      <w:r>
        <w:rPr>
          <w:rFonts w:cstheme="minorHAnsi"/>
        </w:rPr>
        <w:t>autopercibida</w:t>
      </w:r>
      <w:proofErr w:type="spellEnd"/>
      <w:r>
        <w:rPr>
          <w:rFonts w:cstheme="minorHAnsi"/>
        </w:rPr>
        <w:t xml:space="preserve"> femenina. </w:t>
      </w:r>
    </w:p>
    <w:p w14:paraId="21AB80EF" w14:textId="77777777" w:rsidR="00845071" w:rsidRDefault="00845071" w:rsidP="00123E93">
      <w:pPr>
        <w:spacing w:after="120"/>
        <w:jc w:val="both"/>
        <w:rPr>
          <w:rFonts w:cstheme="minorHAnsi"/>
        </w:rPr>
      </w:pPr>
    </w:p>
    <w:p w14:paraId="000000CF" w14:textId="77777777" w:rsidR="00EA4D3D" w:rsidRPr="00123E93" w:rsidRDefault="00296A74" w:rsidP="00123E93">
      <w:pPr>
        <w:spacing w:after="120"/>
        <w:jc w:val="both"/>
        <w:rPr>
          <w:b/>
          <w:u w:val="single"/>
        </w:rPr>
      </w:pPr>
      <w:r w:rsidRPr="00123E93">
        <w:rPr>
          <w:b/>
          <w:u w:val="single"/>
        </w:rPr>
        <w:t>Sugerencias de preguntas</w:t>
      </w:r>
    </w:p>
    <w:p w14:paraId="000000D0" w14:textId="3B4770F9" w:rsidR="00EA4D3D" w:rsidRDefault="00296A74" w:rsidP="00123E93">
      <w:pPr>
        <w:pStyle w:val="ListParagraph"/>
        <w:numPr>
          <w:ilvl w:val="3"/>
          <w:numId w:val="3"/>
        </w:numPr>
        <w:spacing w:after="120"/>
        <w:ind w:left="851" w:hanging="425"/>
        <w:jc w:val="both"/>
      </w:pPr>
      <w:r>
        <w:t>¿Qué medidas ha adoptado el Estado para terminar con las detenciones reiteradas, basadas en el perfil racial, y la criminalización de migrantes de origen africano?</w:t>
      </w:r>
    </w:p>
    <w:p w14:paraId="76CFF58C" w14:textId="394A3E98" w:rsidR="001D481D" w:rsidRPr="00123E93" w:rsidRDefault="00123E93" w:rsidP="00123E93">
      <w:pPr>
        <w:pStyle w:val="ListParagraph"/>
        <w:numPr>
          <w:ilvl w:val="3"/>
          <w:numId w:val="3"/>
        </w:numPr>
        <w:spacing w:after="120"/>
        <w:ind w:left="851" w:hanging="425"/>
        <w:jc w:val="both"/>
      </w:pPr>
      <w:r>
        <w:t>¿</w:t>
      </w:r>
      <w:r w:rsidR="001D481D" w:rsidRPr="00123E93">
        <w:t xml:space="preserve">Qué medidas han adoptado el Estado para terminar con las detenciones a personas </w:t>
      </w:r>
      <w:proofErr w:type="spellStart"/>
      <w:r w:rsidR="001D481D" w:rsidRPr="00123E93">
        <w:t>trans</w:t>
      </w:r>
      <w:proofErr w:type="spellEnd"/>
      <w:r w:rsidR="001D481D" w:rsidRPr="00123E93">
        <w:t xml:space="preserve"> en el espacio público?</w:t>
      </w:r>
    </w:p>
    <w:p w14:paraId="000000D1" w14:textId="707FC4AD" w:rsidR="00EA4D3D" w:rsidRDefault="00296A74" w:rsidP="00123E93">
      <w:pPr>
        <w:pStyle w:val="ListParagraph"/>
        <w:numPr>
          <w:ilvl w:val="3"/>
          <w:numId w:val="3"/>
        </w:numPr>
        <w:spacing w:after="120"/>
        <w:ind w:left="851" w:hanging="425"/>
        <w:jc w:val="both"/>
      </w:pPr>
      <w:r>
        <w:t>¿Qué medidas ha adoptado el Estado para que la policía de la Ciudad no realice detenciones de vendedores ambulantes que luego son dejadas sin efecto por la justicia por no considerarlas delitos, como sucede con la ley de marcas?</w:t>
      </w:r>
    </w:p>
    <w:p w14:paraId="61E3A3BB" w14:textId="54DF39C4" w:rsidR="00466257" w:rsidRPr="00123E93" w:rsidRDefault="001D20CC" w:rsidP="00123E93">
      <w:pPr>
        <w:pStyle w:val="ListParagraph"/>
        <w:numPr>
          <w:ilvl w:val="3"/>
          <w:numId w:val="3"/>
        </w:numPr>
        <w:spacing w:after="120"/>
        <w:ind w:left="851" w:hanging="425"/>
        <w:jc w:val="both"/>
      </w:pPr>
      <w:r w:rsidRPr="00123E93">
        <w:t>¿</w:t>
      </w:r>
      <w:r w:rsidR="00466257" w:rsidRPr="00123E93">
        <w:t>Qué medidas se piensan adoptar para desarrollar sistemas de información sobre el accionar de las fuerzas de segurida</w:t>
      </w:r>
      <w:r w:rsidR="00123E93">
        <w:t>d con relación a la</w:t>
      </w:r>
      <w:r w:rsidR="00BF3079" w:rsidRPr="00123E93">
        <w:t xml:space="preserve"> población migrante</w:t>
      </w:r>
      <w:r w:rsidR="00466257" w:rsidRPr="00123E93">
        <w:t>?</w:t>
      </w:r>
    </w:p>
    <w:p w14:paraId="01B2C539" w14:textId="08062503" w:rsidR="001D20CC" w:rsidRPr="00123E93" w:rsidRDefault="001D20CC" w:rsidP="00123E93">
      <w:pPr>
        <w:pStyle w:val="ListParagraph"/>
        <w:numPr>
          <w:ilvl w:val="3"/>
          <w:numId w:val="3"/>
        </w:numPr>
        <w:spacing w:after="120"/>
        <w:ind w:left="851" w:hanging="425"/>
        <w:jc w:val="both"/>
      </w:pPr>
      <w:r w:rsidRPr="00123E93">
        <w:t>¿Qué políticas públicas está llevando a cabo el Estado para la efectiva integración social del colectivo migrante de origen africano?</w:t>
      </w:r>
    </w:p>
    <w:p w14:paraId="000000D2" w14:textId="77777777" w:rsidR="00EA4D3D" w:rsidRPr="00123E93" w:rsidRDefault="00296A74" w:rsidP="00123E93">
      <w:pPr>
        <w:spacing w:after="120"/>
        <w:jc w:val="both"/>
        <w:rPr>
          <w:b/>
          <w:u w:val="single"/>
        </w:rPr>
      </w:pPr>
      <w:r w:rsidRPr="00123E93">
        <w:rPr>
          <w:b/>
          <w:u w:val="single"/>
        </w:rPr>
        <w:t>Sugerencias de recomendaciones</w:t>
      </w:r>
    </w:p>
    <w:p w14:paraId="332D1B36" w14:textId="77777777" w:rsidR="00F27BDD" w:rsidRDefault="00296A74" w:rsidP="00F27BDD">
      <w:pPr>
        <w:pStyle w:val="ListParagraph"/>
        <w:numPr>
          <w:ilvl w:val="3"/>
          <w:numId w:val="14"/>
        </w:numPr>
        <w:spacing w:after="120"/>
        <w:ind w:left="851" w:hanging="425"/>
        <w:jc w:val="both"/>
      </w:pPr>
      <w:r>
        <w:t xml:space="preserve">El Estado nacional y </w:t>
      </w:r>
      <w:r w:rsidR="007B3463">
        <w:t>los gobiernos locales</w:t>
      </w:r>
      <w:r>
        <w:t xml:space="preserve"> deben convocar a un espacio amplio y multisectorial para encontrar una solución a la cuestión de la venta ambulante que excluya el uso de la fuerza policial</w:t>
      </w:r>
      <w:r w:rsidR="007B3463">
        <w:t>.</w:t>
      </w:r>
    </w:p>
    <w:p w14:paraId="5D706C45" w14:textId="77777777" w:rsidR="00F27BDD" w:rsidRDefault="00F27BDD" w:rsidP="00F27BDD">
      <w:pPr>
        <w:pStyle w:val="ListParagraph"/>
        <w:numPr>
          <w:ilvl w:val="3"/>
          <w:numId w:val="14"/>
        </w:numPr>
        <w:spacing w:after="120"/>
        <w:ind w:left="851" w:hanging="425"/>
        <w:jc w:val="both"/>
      </w:pPr>
      <w:r>
        <w:t xml:space="preserve">Respecto de las detenciones de vendedores ambulantes, en particular aquellos de origen africano, el Estado debe garantizar que los operativos no sean arbitrarios y selectivos en base a criterios raciales. </w:t>
      </w:r>
    </w:p>
    <w:p w14:paraId="70E51794" w14:textId="0992BD2F" w:rsidR="00F27BDD" w:rsidRDefault="00F27BDD" w:rsidP="00F27BDD">
      <w:pPr>
        <w:pStyle w:val="ListParagraph"/>
        <w:numPr>
          <w:ilvl w:val="3"/>
          <w:numId w:val="14"/>
        </w:numPr>
        <w:spacing w:after="120"/>
        <w:ind w:left="851" w:hanging="425"/>
        <w:jc w:val="both"/>
      </w:pPr>
      <w:r>
        <w:t>En caso de detener a una persona que no habla el idioma, se debe garantizar la presencia de un traductor desde el primer momento de la detención.</w:t>
      </w:r>
    </w:p>
    <w:p w14:paraId="000000D5" w14:textId="47F29055" w:rsidR="00EA4D3D" w:rsidRDefault="00296A74" w:rsidP="00F27BDD">
      <w:pPr>
        <w:pStyle w:val="ListParagraph"/>
        <w:numPr>
          <w:ilvl w:val="3"/>
          <w:numId w:val="14"/>
        </w:numPr>
        <w:spacing w:after="120"/>
        <w:ind w:left="851" w:hanging="425"/>
        <w:jc w:val="both"/>
      </w:pPr>
      <w:r>
        <w:t xml:space="preserve">Adoptar las medidas necesarias para garantizar que las fuerzas de seguridad, </w:t>
      </w:r>
      <w:r w:rsidR="007B3463">
        <w:t xml:space="preserve">no excedan sus facultades </w:t>
      </w:r>
      <w:r>
        <w:t>en el marco de otras funciones de prevención del delito</w:t>
      </w:r>
      <w:r w:rsidR="007B3463">
        <w:t>.</w:t>
      </w:r>
    </w:p>
    <w:p w14:paraId="475319E1" w14:textId="3CF68367" w:rsidR="001D20CC" w:rsidRDefault="001D20CC" w:rsidP="00123E93">
      <w:pPr>
        <w:pStyle w:val="ListParagraph"/>
        <w:numPr>
          <w:ilvl w:val="0"/>
          <w:numId w:val="4"/>
        </w:numPr>
        <w:spacing w:after="120"/>
        <w:ind w:left="851" w:hanging="425"/>
        <w:jc w:val="both"/>
      </w:pPr>
      <w:r w:rsidRPr="001D20CC">
        <w:t>Implementar medidas de inclusión social y laboral del tipo acciones afirmativas para el colectivo de origen africano</w:t>
      </w:r>
    </w:p>
    <w:p w14:paraId="581BE31A" w14:textId="77777777" w:rsidR="00F27BDD" w:rsidRDefault="00F27BDD" w:rsidP="00F27BDD">
      <w:pPr>
        <w:pStyle w:val="ListParagraph"/>
        <w:spacing w:after="120"/>
        <w:ind w:left="851"/>
        <w:jc w:val="both"/>
      </w:pPr>
    </w:p>
    <w:p w14:paraId="000000D6" w14:textId="7D94A0AA" w:rsidR="00EA4D3D" w:rsidRPr="00340CA3" w:rsidRDefault="008863BD" w:rsidP="008863BD">
      <w:pPr>
        <w:numPr>
          <w:ilvl w:val="0"/>
          <w:numId w:val="5"/>
        </w:numPr>
        <w:pBdr>
          <w:top w:val="nil"/>
          <w:left w:val="nil"/>
          <w:bottom w:val="nil"/>
          <w:right w:val="nil"/>
          <w:between w:val="nil"/>
        </w:pBdr>
        <w:jc w:val="both"/>
        <w:rPr>
          <w:b/>
          <w:smallCaps/>
          <w:color w:val="000000"/>
          <w:sz w:val="26"/>
          <w:szCs w:val="26"/>
        </w:rPr>
      </w:pPr>
      <w:r>
        <w:rPr>
          <w:b/>
          <w:smallCaps/>
          <w:color w:val="000000"/>
          <w:sz w:val="26"/>
          <w:szCs w:val="26"/>
        </w:rPr>
        <w:t>D</w:t>
      </w:r>
      <w:r w:rsidRPr="00340CA3">
        <w:rPr>
          <w:b/>
          <w:smallCaps/>
          <w:color w:val="000000"/>
          <w:sz w:val="26"/>
          <w:szCs w:val="26"/>
        </w:rPr>
        <w:t xml:space="preserve">erechos </w:t>
      </w:r>
      <w:r>
        <w:rPr>
          <w:b/>
          <w:smallCaps/>
          <w:color w:val="000000"/>
          <w:sz w:val="26"/>
          <w:szCs w:val="26"/>
        </w:rPr>
        <w:t>E</w:t>
      </w:r>
      <w:r w:rsidRPr="00340CA3">
        <w:rPr>
          <w:b/>
          <w:smallCaps/>
          <w:color w:val="000000"/>
          <w:sz w:val="26"/>
          <w:szCs w:val="26"/>
        </w:rPr>
        <w:t xml:space="preserve">conómicos, </w:t>
      </w:r>
      <w:r>
        <w:rPr>
          <w:b/>
          <w:smallCaps/>
          <w:color w:val="000000"/>
          <w:sz w:val="26"/>
          <w:szCs w:val="26"/>
        </w:rPr>
        <w:t>S</w:t>
      </w:r>
      <w:r w:rsidRPr="00340CA3">
        <w:rPr>
          <w:b/>
          <w:smallCaps/>
          <w:color w:val="000000"/>
          <w:sz w:val="26"/>
          <w:szCs w:val="26"/>
        </w:rPr>
        <w:t xml:space="preserve">ociales y </w:t>
      </w:r>
      <w:r>
        <w:rPr>
          <w:b/>
          <w:smallCaps/>
          <w:color w:val="000000"/>
          <w:sz w:val="26"/>
          <w:szCs w:val="26"/>
        </w:rPr>
        <w:t>C</w:t>
      </w:r>
      <w:r w:rsidRPr="00340CA3">
        <w:rPr>
          <w:b/>
          <w:smallCaps/>
          <w:color w:val="000000"/>
          <w:sz w:val="26"/>
          <w:szCs w:val="26"/>
        </w:rPr>
        <w:t xml:space="preserve">ulturales </w:t>
      </w:r>
      <w:r w:rsidRPr="008863BD">
        <w:rPr>
          <w:b/>
          <w:smallCaps/>
          <w:color w:val="000000"/>
        </w:rPr>
        <w:t>(artículo 25, 27, 28, 30, 43, 45, 52, 54, 55, 63 y 70 de la convención)</w:t>
      </w:r>
    </w:p>
    <w:p w14:paraId="000000D7" w14:textId="1AEDA4C8"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 xml:space="preserve">En la Argentina es la propia norma fundamental la que garantiza la igualdad al acceso a los derechos sociales para nacionales y extranjeros que se encuentren en su territorio. La Ley de Migraciones 25.871 establece explícitamente en su artículo 6 la igualdad de derechos entre nacionales y migrantes y, específicamente, en el acceso a los derechos económicos, sociales y culturales.  Sin embargo, los cambios políticos, sociales y económicos y, sobretodo, los cambios en la política migratoria, hacen con que los riesgos de retrocesos en la materia estén cada vez más fuertes. </w:t>
      </w:r>
    </w:p>
    <w:p w14:paraId="4561C061" w14:textId="501C4DF9" w:rsidR="00853B2B" w:rsidRPr="006825BE" w:rsidRDefault="00853B2B" w:rsidP="006825BE">
      <w:pPr>
        <w:spacing w:after="120"/>
        <w:jc w:val="both"/>
        <w:rPr>
          <w:rFonts w:asciiTheme="majorHAnsi" w:hAnsiTheme="majorHAnsi" w:cstheme="majorHAnsi"/>
        </w:rPr>
      </w:pPr>
      <w:r w:rsidRPr="006825BE">
        <w:rPr>
          <w:rFonts w:asciiTheme="majorHAnsi" w:hAnsiTheme="majorHAnsi" w:cstheme="majorHAnsi"/>
        </w:rPr>
        <w:t xml:space="preserve">Paralelamente, el gobierno nacional </w:t>
      </w:r>
      <w:r w:rsidR="00765FB9" w:rsidRPr="006825BE">
        <w:rPr>
          <w:rFonts w:asciiTheme="majorHAnsi" w:hAnsiTheme="majorHAnsi" w:cstheme="majorHAnsi"/>
        </w:rPr>
        <w:t>anunció</w:t>
      </w:r>
      <w:r w:rsidRPr="006825BE">
        <w:rPr>
          <w:rFonts w:asciiTheme="majorHAnsi" w:hAnsiTheme="majorHAnsi" w:cstheme="majorHAnsi"/>
        </w:rPr>
        <w:t xml:space="preserve"> en el 2018 la puesta en marcha de una aplicación de celular que permitiría a cualquier funcionario público, incluidos los de la salud y educación, realizar el control de regularidad de las personas migrantes, lo que impacta fuertemente en sus posibilidades de acceso. Este tipo de control migratorio en los espacios de prestación de servicios públicos impactaría fuertemente en el acceso de las personas migrantes, restringiendo así el ejercicio efectivo de sus derechos. </w:t>
      </w:r>
    </w:p>
    <w:p w14:paraId="71398383" w14:textId="77777777" w:rsidR="006825BE" w:rsidRDefault="006825BE" w:rsidP="006825BE">
      <w:pPr>
        <w:spacing w:after="120"/>
        <w:jc w:val="both"/>
        <w:rPr>
          <w:rFonts w:asciiTheme="majorHAnsi" w:hAnsiTheme="majorHAnsi" w:cstheme="majorHAnsi"/>
          <w:b/>
        </w:rPr>
      </w:pPr>
    </w:p>
    <w:p w14:paraId="000000D8" w14:textId="7BBBDDD1" w:rsidR="00EA4D3D" w:rsidRPr="006825BE" w:rsidRDefault="00296A74" w:rsidP="006825BE">
      <w:pPr>
        <w:spacing w:after="120"/>
        <w:jc w:val="both"/>
        <w:rPr>
          <w:rFonts w:asciiTheme="majorHAnsi" w:hAnsiTheme="majorHAnsi" w:cstheme="majorHAnsi"/>
          <w:b/>
        </w:rPr>
      </w:pPr>
      <w:r w:rsidRPr="006825BE">
        <w:rPr>
          <w:rFonts w:asciiTheme="majorHAnsi" w:hAnsiTheme="majorHAnsi" w:cstheme="majorHAnsi"/>
          <w:b/>
        </w:rPr>
        <w:t xml:space="preserve">Acceso a la salud  </w:t>
      </w:r>
    </w:p>
    <w:p w14:paraId="000000D9" w14:textId="77777777"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 xml:space="preserve">Frente a una supuesta sobrecarga del sistema de salud argentino, autoridades nacionales y provinciales vienen colocando en cuestión la gratuidad de estos servicios para las y los migrantes. Ello, aun cuando la Ley de Migraciones establece en su artículo 8 que todos deben recibir atención sanitaria independiente de la situación migratoria.  </w:t>
      </w:r>
    </w:p>
    <w:p w14:paraId="000000DA" w14:textId="77777777"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Concretamente, se vienen realizando propuestas de reforma legislativa que ponen en grave riesgo los principios de no regresividad y no discriminación. Desde 2017 varias provincias, como Salta, Jujuy, Misiones y Neuquén y a nivel nacional, distintas autoridades y miembros del Congreso Nacional presentaron propuestas y proyectos de ley</w:t>
      </w:r>
      <w:r w:rsidRPr="006825BE">
        <w:rPr>
          <w:rFonts w:asciiTheme="majorHAnsi" w:hAnsiTheme="majorHAnsi" w:cstheme="majorHAnsi"/>
          <w:vertAlign w:val="superscript"/>
        </w:rPr>
        <w:footnoteReference w:id="31"/>
      </w:r>
      <w:r w:rsidRPr="006825BE">
        <w:rPr>
          <w:rFonts w:asciiTheme="majorHAnsi" w:hAnsiTheme="majorHAnsi" w:cstheme="majorHAnsi"/>
        </w:rPr>
        <w:t xml:space="preserve"> con el objetivo de </w:t>
      </w:r>
      <w:r w:rsidRPr="006825BE">
        <w:rPr>
          <w:rFonts w:asciiTheme="majorHAnsi" w:hAnsiTheme="majorHAnsi" w:cstheme="majorHAnsi"/>
          <w:b/>
        </w:rPr>
        <w:t>restringir el acceso gratuito a los servicios de educación y salud de migrantes, sobre la base de criterios de reciprocidad</w:t>
      </w:r>
      <w:r w:rsidRPr="006825BE">
        <w:rPr>
          <w:rFonts w:asciiTheme="majorHAnsi" w:hAnsiTheme="majorHAnsi" w:cstheme="majorHAnsi"/>
        </w:rPr>
        <w:t xml:space="preserve"> con el país de origen de las personas migrantes.  </w:t>
      </w:r>
    </w:p>
    <w:p w14:paraId="02EE5FB2" w14:textId="12759DB5" w:rsidR="00376229"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El 6 de febrero del 2019 la provincia de Jujuy fue la primera en aprobar un proyecto con estas características. La legislatura aprobó la Ley 6116 impulsada por el gobernador Gerardo Morales para cobrar por los servicios médicos que reciban los migrantes en la provincia.</w:t>
      </w:r>
      <w:r w:rsidR="00376229" w:rsidRPr="006825BE">
        <w:rPr>
          <w:rFonts w:asciiTheme="majorHAnsi" w:hAnsiTheme="majorHAnsi" w:cstheme="majorHAnsi"/>
        </w:rPr>
        <w:t xml:space="preserve"> Se atribuye la facultad de limitar el acceso a la salud pública en función de la situación de residencia en la provincia, no en el país. Es decir que distingue entre residentes permanentes y temporarios y determina su alcance a personas extranjeras que permanezcan en el territorio de Jujuy en forma transitoria</w:t>
      </w:r>
      <w:r w:rsidR="006B2298" w:rsidRPr="006825BE">
        <w:rPr>
          <w:rFonts w:asciiTheme="majorHAnsi" w:hAnsiTheme="majorHAnsi" w:cstheme="majorHAnsi"/>
        </w:rPr>
        <w:t xml:space="preserve"> - término no definido en la ley</w:t>
      </w:r>
      <w:r w:rsidR="00376229" w:rsidRPr="006825BE">
        <w:rPr>
          <w:rFonts w:asciiTheme="majorHAnsi" w:hAnsiTheme="majorHAnsi" w:cstheme="majorHAnsi"/>
        </w:rPr>
        <w:t xml:space="preserve">. </w:t>
      </w:r>
    </w:p>
    <w:p w14:paraId="000000DB" w14:textId="5B9ACC3B"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 xml:space="preserve"> El jueves 7, el Ministro del Interior de la Nación, Rogelio Frigerio, declaró su apoyo a la Ley aprobada en Jujuy: "Compartimos la iniciativa del gobernador Morales. Hay que diferenciar la atención de las emergencias y los problemas de salud que no son emergencias". </w:t>
      </w:r>
    </w:p>
    <w:p w14:paraId="000000DC" w14:textId="31FDBDF1" w:rsidR="00EA4D3D" w:rsidRDefault="00296A74" w:rsidP="006825BE">
      <w:pPr>
        <w:spacing w:after="120"/>
        <w:jc w:val="both"/>
        <w:rPr>
          <w:rFonts w:asciiTheme="majorHAnsi" w:hAnsiTheme="majorHAnsi" w:cstheme="majorHAnsi"/>
        </w:rPr>
      </w:pPr>
      <w:r w:rsidRPr="006825BE">
        <w:rPr>
          <w:rFonts w:asciiTheme="majorHAnsi" w:hAnsiTheme="majorHAnsi" w:cstheme="majorHAnsi"/>
        </w:rPr>
        <w:t>A la vez, en la provincia de Misiones existe una normativa, vigente desde el año 2000, que ordena que los extranjeros que no poseen residencia regular en el país deberán pagar por las prestaciones de salud en los hospitales públicos. El artículo 2º del Decreto provincial 488/2000, no fue derogado para adecuarse a lo prescrito por la ley de Migraciones. Si bien con anterioridad la normativa había entrado en desuso, en el actual contexto, según recientes testimonios se volvió a usar la figura de este decreto para negar el acceso a la salud a las personas migrantes de esta provincia del país.</w:t>
      </w:r>
    </w:p>
    <w:p w14:paraId="6E6C850A" w14:textId="5438BD34" w:rsidR="006F285D" w:rsidRDefault="006F285D" w:rsidP="006825BE">
      <w:pPr>
        <w:spacing w:after="120"/>
        <w:jc w:val="both"/>
        <w:rPr>
          <w:rFonts w:asciiTheme="majorHAnsi" w:hAnsiTheme="majorHAnsi" w:cstheme="majorHAnsi"/>
        </w:rPr>
      </w:pPr>
    </w:p>
    <w:p w14:paraId="14FED48C" w14:textId="2A1021EF" w:rsidR="006F285D" w:rsidRDefault="006F285D" w:rsidP="006825BE">
      <w:pPr>
        <w:spacing w:after="120"/>
        <w:jc w:val="both"/>
        <w:rPr>
          <w:rFonts w:asciiTheme="majorHAnsi" w:hAnsiTheme="majorHAnsi" w:cstheme="majorHAnsi"/>
        </w:rPr>
      </w:pPr>
    </w:p>
    <w:p w14:paraId="47F2A3C4" w14:textId="77777777" w:rsidR="00F45968" w:rsidRPr="006825BE" w:rsidRDefault="00F45968" w:rsidP="006825BE">
      <w:pPr>
        <w:spacing w:after="120"/>
        <w:jc w:val="both"/>
        <w:rPr>
          <w:rFonts w:asciiTheme="majorHAnsi" w:hAnsiTheme="majorHAnsi" w:cstheme="majorHAnsi"/>
        </w:rPr>
      </w:pPr>
    </w:p>
    <w:p w14:paraId="000000DF" w14:textId="77777777" w:rsidR="00EA4D3D" w:rsidRPr="006825BE" w:rsidRDefault="00296A74" w:rsidP="006825BE">
      <w:pPr>
        <w:spacing w:after="120"/>
        <w:jc w:val="both"/>
        <w:rPr>
          <w:rFonts w:asciiTheme="majorHAnsi" w:hAnsiTheme="majorHAnsi" w:cstheme="majorHAnsi"/>
          <w:b/>
        </w:rPr>
      </w:pPr>
      <w:r w:rsidRPr="006825BE">
        <w:rPr>
          <w:rFonts w:asciiTheme="majorHAnsi" w:hAnsiTheme="majorHAnsi" w:cstheme="majorHAnsi"/>
          <w:b/>
        </w:rPr>
        <w:t>Seguridad social</w:t>
      </w:r>
    </w:p>
    <w:p w14:paraId="000000E0" w14:textId="77777777"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 xml:space="preserve">Pese a las observaciones finales de este Comité en el 2011 y que en el artículo 6 de la Ley de Migraciones se establece que se “asegurará el acceso igualitario a los inmigrantes y sus familias (…) [a la] seguridad social”, en la Argentina </w:t>
      </w:r>
      <w:r w:rsidRPr="006825BE">
        <w:rPr>
          <w:rFonts w:asciiTheme="majorHAnsi" w:hAnsiTheme="majorHAnsi" w:cstheme="majorHAnsi"/>
          <w:b/>
        </w:rPr>
        <w:t>la duración de la residencia sigue siendo un requisito excluyente para el acceso a los servicios de seguridad social</w:t>
      </w:r>
      <w:r w:rsidRPr="006825BE">
        <w:rPr>
          <w:rFonts w:asciiTheme="majorHAnsi" w:hAnsiTheme="majorHAnsi" w:cstheme="majorHAnsi"/>
        </w:rPr>
        <w:t xml:space="preserve">. </w:t>
      </w:r>
    </w:p>
    <w:p w14:paraId="000000E1" w14:textId="72286C60"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En particular, como informamos en la revisión pasada de la Argentina, las personas migrantes experimentan serias dificultades en el acceso a pensiones no contributivas: la pensión por vejez (Ley 13.478) exige 40 años de residencia en el país, la pensión Universal para</w:t>
      </w:r>
      <w:r w:rsidR="00F57AF6" w:rsidRPr="006825BE">
        <w:rPr>
          <w:rFonts w:asciiTheme="majorHAnsi" w:hAnsiTheme="majorHAnsi" w:cstheme="majorHAnsi"/>
        </w:rPr>
        <w:t xml:space="preserve"> el Adulto Mayor (Ley 27.260), </w:t>
      </w:r>
      <w:r w:rsidRPr="006825BE">
        <w:rPr>
          <w:rFonts w:asciiTheme="majorHAnsi" w:hAnsiTheme="majorHAnsi" w:cstheme="majorHAnsi"/>
        </w:rPr>
        <w:t>exige 20 años de residencia, las pensiones por ser madre de más de 7 hijos (Ley 23.746) exigen 15 años y la Asignación Universal por Hijo (Decreto 1602/09 ) exige 3 años de residencia para los padres extranjeros. Asimismo, con respecto a la pensión por invalidez (Decreto 432/97), se exige residencia legal no menor a 20 años. Esta norma excluye expresamente a niños, niñas y adolescentes no nacionales que tienen una discapacidad y claramente repercute en otros derechos tales como la salud.</w:t>
      </w:r>
    </w:p>
    <w:p w14:paraId="000000E2" w14:textId="77777777"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 xml:space="preserve">En relación a la Asignación Universal por Hijo (AUH), además de los tres años de residencia de los padres, los niños no nacidos en la argentina también deben probar igual período de residencia, lo que excluye, por ejemplo, a los niños de hasta 2 años de edad. A la vez, los niños y niñas nacidos en la Argentina dependen de la situación migratoria de sus padres. </w:t>
      </w:r>
    </w:p>
    <w:p w14:paraId="000000E3" w14:textId="77777777"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Asimismo, a la exigencia desproporcionada de años de residencia en la Argentina, se suman los requisitos de prueba de la residencia y las trabas y las demoras de los trámites de regularización, ya que, en muchos casos, los plazos corren a partir de la fecha de la regularización.  Además, en la práctica, el Documento Nacional de Identidad (DNI) es el medio probatorio principal de la residencia, aunque haya posibilidad de recurrir judicialmente.</w:t>
      </w:r>
    </w:p>
    <w:p w14:paraId="000000E4" w14:textId="20919021"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El caso de S.C.N.S. es emblemático en este sentido. De nacionalidad paraguaya con hijo argentino, ingresó al país hace 22 años, pero solamente logró residencia regular hace 2 años. En razón de esto, está enfrentando serias dificultades par</w:t>
      </w:r>
      <w:r w:rsidR="00AF4F31" w:rsidRPr="006825BE">
        <w:rPr>
          <w:rFonts w:asciiTheme="majorHAnsi" w:hAnsiTheme="majorHAnsi" w:cstheme="majorHAnsi"/>
        </w:rPr>
        <w:t>a acceder a la AUH, que exige</w:t>
      </w:r>
      <w:r w:rsidRPr="006825BE">
        <w:rPr>
          <w:rFonts w:asciiTheme="majorHAnsi" w:hAnsiTheme="majorHAnsi" w:cstheme="majorHAnsi"/>
        </w:rPr>
        <w:t xml:space="preserve"> 3 años de residencia. En este mismo sentido están los casos de G.Y.Q y R.M.R.C., que viven en la Argentina hace más de 20 años, pero no logran obtener la pensión no contributiva por invalidez, porque no han podido demostrar que han estado en el país durante este período en los términos exigidos por la administración.</w:t>
      </w:r>
    </w:p>
    <w:p w14:paraId="0B52F997" w14:textId="77777777" w:rsidR="00AF4F31" w:rsidRPr="006825BE" w:rsidRDefault="00AF4F31" w:rsidP="006825BE">
      <w:pPr>
        <w:spacing w:after="120"/>
        <w:jc w:val="both"/>
        <w:rPr>
          <w:rFonts w:asciiTheme="majorHAnsi" w:hAnsiTheme="majorHAnsi" w:cstheme="majorHAnsi"/>
        </w:rPr>
      </w:pPr>
    </w:p>
    <w:p w14:paraId="000000E5" w14:textId="77777777"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b/>
          <w:color w:val="000000"/>
        </w:rPr>
        <w:t>Derecho al trabajo</w:t>
      </w:r>
    </w:p>
    <w:p w14:paraId="000000E6" w14:textId="4F12F0DC"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Como ya hemos mencionado, en la Argentina un gran número de trabajadores y trabajadoras migrantes hacen parte del sector informal de la economía, por lo que cuentan con bajos niveles de registro laboral. Especialmente, se insertan en sectores como la construcción civil, el trabajo textil</w:t>
      </w:r>
      <w:r w:rsidR="00B552E8" w:rsidRPr="006825BE">
        <w:rPr>
          <w:rFonts w:asciiTheme="majorHAnsi" w:hAnsiTheme="majorHAnsi" w:cstheme="majorHAnsi"/>
        </w:rPr>
        <w:t>,</w:t>
      </w:r>
      <w:r w:rsidRPr="006825BE">
        <w:rPr>
          <w:rFonts w:asciiTheme="majorHAnsi" w:hAnsiTheme="majorHAnsi" w:cstheme="majorHAnsi"/>
        </w:rPr>
        <w:t xml:space="preserve"> el trabajo en casas particulares</w:t>
      </w:r>
      <w:r w:rsidR="00B552E8" w:rsidRPr="006825BE">
        <w:rPr>
          <w:rFonts w:asciiTheme="majorHAnsi" w:hAnsiTheme="majorHAnsi" w:cstheme="majorHAnsi"/>
        </w:rPr>
        <w:t xml:space="preserve"> y servicios de reparto y mensajería</w:t>
      </w:r>
      <w:r w:rsidRPr="006825BE">
        <w:rPr>
          <w:rFonts w:asciiTheme="majorHAnsi" w:hAnsiTheme="majorHAnsi" w:cstheme="majorHAnsi"/>
        </w:rPr>
        <w:t xml:space="preserve">. Asimismo, la venta ambulante es también una actividad laboral recurrente. </w:t>
      </w:r>
    </w:p>
    <w:p w14:paraId="000000E8" w14:textId="0356E558"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 xml:space="preserve">Preocupa, por un lado, </w:t>
      </w:r>
      <w:r w:rsidR="00467AAA" w:rsidRPr="006825BE">
        <w:rPr>
          <w:rFonts w:asciiTheme="majorHAnsi" w:hAnsiTheme="majorHAnsi" w:cstheme="majorHAnsi"/>
        </w:rPr>
        <w:t xml:space="preserve">como ya lo hemos mencionado, </w:t>
      </w:r>
      <w:r w:rsidRPr="006825BE">
        <w:rPr>
          <w:rFonts w:asciiTheme="majorHAnsi" w:hAnsiTheme="majorHAnsi" w:cstheme="majorHAnsi"/>
        </w:rPr>
        <w:t xml:space="preserve">que trabajadores y trabajadoras migrantes que se ocupan en el sector textil (especialmente en los talleres familiares) y en la venta ambulante (los conocidos manteros) han denunciado la persecución por parte de las autoridades estatales. </w:t>
      </w:r>
      <w:r w:rsidRPr="004944AC">
        <w:rPr>
          <w:rFonts w:asciiTheme="majorHAnsi" w:hAnsiTheme="majorHAnsi" w:cstheme="majorHAnsi"/>
          <w:b/>
        </w:rPr>
        <w:t>Se han desmantelado ferias y puestos donde muchas personas migrantes desarrollaban sus actividades laborales</w:t>
      </w:r>
      <w:r w:rsidRPr="006825BE">
        <w:rPr>
          <w:rFonts w:asciiTheme="majorHAnsi" w:hAnsiTheme="majorHAnsi" w:cstheme="majorHAnsi"/>
        </w:rPr>
        <w:t xml:space="preserve"> y algunas de estas personas han sido puestas a disposición de la policía por delitos como resistencia a la autoridad.</w:t>
      </w:r>
      <w:r w:rsidR="00467AAA" w:rsidRPr="006825BE">
        <w:rPr>
          <w:rFonts w:asciiTheme="majorHAnsi" w:hAnsiTheme="majorHAnsi" w:cstheme="majorHAnsi"/>
        </w:rPr>
        <w:t xml:space="preserve"> </w:t>
      </w:r>
      <w:r w:rsidRPr="006825BE">
        <w:rPr>
          <w:rFonts w:asciiTheme="majorHAnsi" w:hAnsiTheme="majorHAnsi" w:cstheme="majorHAnsi"/>
        </w:rPr>
        <w:t>Además, preocupa la exclusión de los trabajadores</w:t>
      </w:r>
      <w:r w:rsidR="00B552E8" w:rsidRPr="006825BE">
        <w:rPr>
          <w:rFonts w:asciiTheme="majorHAnsi" w:hAnsiTheme="majorHAnsi" w:cstheme="majorHAnsi"/>
        </w:rPr>
        <w:t xml:space="preserve"> informales,</w:t>
      </w:r>
      <w:r w:rsidRPr="006825BE">
        <w:rPr>
          <w:rFonts w:asciiTheme="majorHAnsi" w:hAnsiTheme="majorHAnsi" w:cstheme="majorHAnsi"/>
        </w:rPr>
        <w:t xml:space="preserve"> sin contrato de trabajo y trabajadores por cuenta propia de las políticas de regularización. </w:t>
      </w:r>
    </w:p>
    <w:p w14:paraId="000000E9" w14:textId="77777777"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 xml:space="preserve">No son pocos los casos que nos llegan que presentan este círculo vicioso: </w:t>
      </w:r>
      <w:r w:rsidRPr="004944AC">
        <w:rPr>
          <w:rFonts w:asciiTheme="majorHAnsi" w:hAnsiTheme="majorHAnsi" w:cstheme="majorHAnsi"/>
          <w:b/>
        </w:rPr>
        <w:t>no poder acceder a un empleo formal por estar en situación migratoria irregular y no poder subsanar su irregularidad por la estrecha interpretación del criterio de “trabajador migrante”</w:t>
      </w:r>
      <w:r w:rsidRPr="006825BE">
        <w:rPr>
          <w:rFonts w:asciiTheme="majorHAnsi" w:hAnsiTheme="majorHAnsi" w:cstheme="majorHAnsi"/>
        </w:rPr>
        <w:t xml:space="preserve">. Esta situación es la que atraviesa, por ejemplo, M.C.P.D de nacionalidad francesa y C.I.O de nacionalidad guatemalteca, que buscaron a la Clínica Jurídica para regularizar su situación migratoria, pero esto no fue posible, aunque las dos trabajen (dando clases de idiomas y vendiendo ropa). </w:t>
      </w:r>
    </w:p>
    <w:p w14:paraId="000000EA" w14:textId="37A90A1B"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En suma, con la exigencia de</w:t>
      </w:r>
      <w:r w:rsidR="00467AAA" w:rsidRPr="006825BE">
        <w:rPr>
          <w:rFonts w:asciiTheme="majorHAnsi" w:hAnsiTheme="majorHAnsi" w:cstheme="majorHAnsi"/>
        </w:rPr>
        <w:t>l</w:t>
      </w:r>
      <w:r w:rsidRPr="006825BE">
        <w:rPr>
          <w:rFonts w:asciiTheme="majorHAnsi" w:hAnsiTheme="majorHAnsi" w:cstheme="majorHAnsi"/>
        </w:rPr>
        <w:t xml:space="preserve"> DNI en la práctica, los inflexibles procedimientos de regularización y una interpretación restrictiva de la categoría de “trabajador migrante”, se prolonga la situación de irregularidad migratoria permanente y se consolida el trabajo informal como la única posibilidad laboral para las y los trabajadores migrantes.</w:t>
      </w:r>
    </w:p>
    <w:p w14:paraId="7CA7BA14" w14:textId="30843C40" w:rsidR="00B565E7" w:rsidRPr="006825BE" w:rsidRDefault="00B264A7" w:rsidP="006825BE">
      <w:pPr>
        <w:spacing w:after="120"/>
        <w:rPr>
          <w:rFonts w:asciiTheme="majorHAnsi" w:hAnsiTheme="majorHAnsi" w:cstheme="majorHAnsi"/>
          <w:i/>
        </w:rPr>
      </w:pPr>
      <w:r w:rsidRPr="006825BE">
        <w:rPr>
          <w:rFonts w:asciiTheme="majorHAnsi" w:hAnsiTheme="majorHAnsi" w:cstheme="majorHAnsi"/>
          <w:i/>
        </w:rPr>
        <w:t>Trabajadores Textiles.</w:t>
      </w:r>
    </w:p>
    <w:p w14:paraId="3731117A" w14:textId="03B9063A" w:rsidR="00B264A7" w:rsidRPr="006825BE" w:rsidRDefault="00B565E7" w:rsidP="006825BE">
      <w:pPr>
        <w:spacing w:after="120"/>
        <w:jc w:val="both"/>
        <w:rPr>
          <w:rFonts w:asciiTheme="majorHAnsi" w:hAnsiTheme="majorHAnsi" w:cstheme="majorHAnsi"/>
        </w:rPr>
      </w:pPr>
      <w:r w:rsidRPr="006825BE">
        <w:rPr>
          <w:rFonts w:asciiTheme="majorHAnsi" w:hAnsiTheme="majorHAnsi" w:cstheme="majorHAnsi"/>
        </w:rPr>
        <w:t>C</w:t>
      </w:r>
      <w:r w:rsidR="00467AAA" w:rsidRPr="006825BE">
        <w:rPr>
          <w:rFonts w:asciiTheme="majorHAnsi" w:hAnsiTheme="majorHAnsi" w:cstheme="majorHAnsi"/>
        </w:rPr>
        <w:t xml:space="preserve">on respecto a los trabajadores </w:t>
      </w:r>
      <w:r w:rsidRPr="006825BE">
        <w:rPr>
          <w:rFonts w:asciiTheme="majorHAnsi" w:hAnsiTheme="majorHAnsi" w:cstheme="majorHAnsi"/>
        </w:rPr>
        <w:t>textiles, existe mayor precarización,</w:t>
      </w:r>
      <w:r w:rsidR="00B264A7" w:rsidRPr="006825BE">
        <w:rPr>
          <w:rFonts w:asciiTheme="majorHAnsi" w:hAnsiTheme="majorHAnsi" w:cstheme="majorHAnsi"/>
        </w:rPr>
        <w:t xml:space="preserve"> ya que</w:t>
      </w:r>
      <w:r w:rsidRPr="006825BE">
        <w:rPr>
          <w:rFonts w:asciiTheme="majorHAnsi" w:hAnsiTheme="majorHAnsi" w:cstheme="majorHAnsi"/>
        </w:rPr>
        <w:t xml:space="preserve"> no se cumple </w:t>
      </w:r>
      <w:r w:rsidR="00467AAA" w:rsidRPr="006825BE">
        <w:rPr>
          <w:rFonts w:asciiTheme="majorHAnsi" w:hAnsiTheme="majorHAnsi" w:cstheme="majorHAnsi"/>
        </w:rPr>
        <w:t xml:space="preserve">la </w:t>
      </w:r>
      <w:r w:rsidRPr="006825BE">
        <w:rPr>
          <w:rFonts w:asciiTheme="majorHAnsi" w:hAnsiTheme="majorHAnsi" w:cstheme="majorHAnsi"/>
        </w:rPr>
        <w:t>Ley 12.713 del trabajo a domicilio</w:t>
      </w:r>
      <w:r w:rsidR="00B264A7" w:rsidRPr="006825BE">
        <w:rPr>
          <w:rFonts w:asciiTheme="majorHAnsi" w:hAnsiTheme="majorHAnsi" w:cstheme="majorHAnsi"/>
        </w:rPr>
        <w:t>. L</w:t>
      </w:r>
      <w:r w:rsidRPr="006825BE">
        <w:rPr>
          <w:rFonts w:asciiTheme="majorHAnsi" w:hAnsiTheme="majorHAnsi" w:cstheme="majorHAnsi"/>
        </w:rPr>
        <w:t>os dadores de trabajo o empresarios, han optado por contratar intermediarios, quienes realizan contratos verbales con talleres textiles no habilitados, donde los trabajadores se encuentran hacinados, sin las condiciones de seguridad e higiene</w:t>
      </w:r>
      <w:r w:rsidR="00B264A7" w:rsidRPr="006825BE">
        <w:rPr>
          <w:rFonts w:asciiTheme="majorHAnsi" w:hAnsiTheme="majorHAnsi" w:cstheme="majorHAnsi"/>
        </w:rPr>
        <w:t xml:space="preserve"> y</w:t>
      </w:r>
      <w:r w:rsidRPr="006825BE">
        <w:rPr>
          <w:rFonts w:asciiTheme="majorHAnsi" w:hAnsiTheme="majorHAnsi" w:cstheme="majorHAnsi"/>
        </w:rPr>
        <w:t xml:space="preserve"> no registrados laboralmente</w:t>
      </w:r>
      <w:r w:rsidR="00B264A7" w:rsidRPr="006825BE">
        <w:rPr>
          <w:rFonts w:asciiTheme="majorHAnsi" w:hAnsiTheme="majorHAnsi" w:cstheme="majorHAnsi"/>
        </w:rPr>
        <w:t>. E</w:t>
      </w:r>
      <w:r w:rsidRPr="006825BE">
        <w:rPr>
          <w:rFonts w:asciiTheme="majorHAnsi" w:hAnsiTheme="majorHAnsi" w:cstheme="majorHAnsi"/>
        </w:rPr>
        <w:t xml:space="preserve">n </w:t>
      </w:r>
      <w:r w:rsidR="00B264A7" w:rsidRPr="006825BE">
        <w:rPr>
          <w:rFonts w:asciiTheme="majorHAnsi" w:hAnsiTheme="majorHAnsi" w:cstheme="majorHAnsi"/>
        </w:rPr>
        <w:t>consecuencia,</w:t>
      </w:r>
      <w:r w:rsidRPr="006825BE">
        <w:rPr>
          <w:rFonts w:asciiTheme="majorHAnsi" w:hAnsiTheme="majorHAnsi" w:cstheme="majorHAnsi"/>
        </w:rPr>
        <w:t xml:space="preserve"> no existe ningún vínculo con el empresario y </w:t>
      </w:r>
      <w:r w:rsidR="00467AAA" w:rsidRPr="006825BE">
        <w:rPr>
          <w:rFonts w:asciiTheme="majorHAnsi" w:hAnsiTheme="majorHAnsi" w:cstheme="majorHAnsi"/>
        </w:rPr>
        <w:t xml:space="preserve">el </w:t>
      </w:r>
      <w:r w:rsidRPr="006825BE">
        <w:rPr>
          <w:rFonts w:asciiTheme="majorHAnsi" w:hAnsiTheme="majorHAnsi" w:cstheme="majorHAnsi"/>
        </w:rPr>
        <w:t>fabricante</w:t>
      </w:r>
      <w:r w:rsidR="00B264A7" w:rsidRPr="006825BE">
        <w:rPr>
          <w:rFonts w:asciiTheme="majorHAnsi" w:hAnsiTheme="majorHAnsi" w:cstheme="majorHAnsi"/>
        </w:rPr>
        <w:t>. L</w:t>
      </w:r>
      <w:r w:rsidRPr="006825BE">
        <w:rPr>
          <w:rFonts w:asciiTheme="majorHAnsi" w:hAnsiTheme="majorHAnsi" w:cstheme="majorHAnsi"/>
        </w:rPr>
        <w:t>as horas de trabajo exceden de las establecidas en la Ley del contrato de Trabajo y los precios por la fabricación de las prendas son establecidos por intermediarios que no guarda relación alguna con el precio de venta final cuya diferencia oscila entre 10 a 14 veces más, del que se le paga al trabajador</w:t>
      </w:r>
      <w:r w:rsidR="00B264A7" w:rsidRPr="006825BE">
        <w:rPr>
          <w:rFonts w:asciiTheme="majorHAnsi" w:hAnsiTheme="majorHAnsi" w:cstheme="majorHAnsi"/>
        </w:rPr>
        <w:t>. N</w:t>
      </w:r>
      <w:r w:rsidRPr="006825BE">
        <w:rPr>
          <w:rFonts w:asciiTheme="majorHAnsi" w:hAnsiTheme="majorHAnsi" w:cstheme="majorHAnsi"/>
        </w:rPr>
        <w:t xml:space="preserve">o </w:t>
      </w:r>
      <w:r w:rsidR="00B264A7" w:rsidRPr="006825BE">
        <w:rPr>
          <w:rFonts w:asciiTheme="majorHAnsi" w:hAnsiTheme="majorHAnsi" w:cstheme="majorHAnsi"/>
        </w:rPr>
        <w:t>se cumple</w:t>
      </w:r>
      <w:r w:rsidRPr="006825BE">
        <w:rPr>
          <w:rFonts w:asciiTheme="majorHAnsi" w:hAnsiTheme="majorHAnsi" w:cstheme="majorHAnsi"/>
        </w:rPr>
        <w:t xml:space="preserve"> con las cargas sociales</w:t>
      </w:r>
      <w:r w:rsidR="00B264A7" w:rsidRPr="006825BE">
        <w:rPr>
          <w:rFonts w:asciiTheme="majorHAnsi" w:hAnsiTheme="majorHAnsi" w:cstheme="majorHAnsi"/>
        </w:rPr>
        <w:t xml:space="preserve">. </w:t>
      </w:r>
    </w:p>
    <w:p w14:paraId="48A9277A" w14:textId="7264A4A2" w:rsidR="00B565E7" w:rsidRPr="006825BE" w:rsidRDefault="009668B0" w:rsidP="006825BE">
      <w:pPr>
        <w:spacing w:after="120"/>
        <w:jc w:val="both"/>
        <w:rPr>
          <w:rFonts w:asciiTheme="majorHAnsi" w:hAnsiTheme="majorHAnsi" w:cstheme="majorHAnsi"/>
        </w:rPr>
      </w:pPr>
      <w:r w:rsidRPr="006825BE">
        <w:rPr>
          <w:rFonts w:asciiTheme="majorHAnsi" w:hAnsiTheme="majorHAnsi" w:cstheme="majorHAnsi"/>
        </w:rPr>
        <w:t xml:space="preserve">Esta modalidad de trabajo es objeto de persecución policial, específicamente los pequeños talleres, que son allanados </w:t>
      </w:r>
      <w:r w:rsidR="00240D0C" w:rsidRPr="006825BE">
        <w:rPr>
          <w:rFonts w:asciiTheme="majorHAnsi" w:hAnsiTheme="majorHAnsi" w:cstheme="majorHAnsi"/>
        </w:rPr>
        <w:t>por las fuerzas de seguridad.</w:t>
      </w:r>
      <w:r w:rsidRPr="006825BE">
        <w:rPr>
          <w:rFonts w:asciiTheme="majorHAnsi" w:hAnsiTheme="majorHAnsi" w:cstheme="majorHAnsi"/>
        </w:rPr>
        <w:t xml:space="preserve"> </w:t>
      </w:r>
      <w:r w:rsidR="00240D0C" w:rsidRPr="006825BE">
        <w:rPr>
          <w:rFonts w:asciiTheme="majorHAnsi" w:hAnsiTheme="majorHAnsi" w:cstheme="majorHAnsi"/>
        </w:rPr>
        <w:t>En estos procedimientos l</w:t>
      </w:r>
      <w:r w:rsidR="00B565E7" w:rsidRPr="006825BE">
        <w:rPr>
          <w:rFonts w:asciiTheme="majorHAnsi" w:hAnsiTheme="majorHAnsi" w:cstheme="majorHAnsi"/>
        </w:rPr>
        <w:t xml:space="preserve">as diferentes brigadas policiales irrumpen con toda violencia contra las viviendas de los trabajadores migrantes, causando temor </w:t>
      </w:r>
      <w:r w:rsidR="00116DF8" w:rsidRPr="006825BE">
        <w:rPr>
          <w:rFonts w:asciiTheme="majorHAnsi" w:hAnsiTheme="majorHAnsi" w:cstheme="majorHAnsi"/>
        </w:rPr>
        <w:t>y angustia en la</w:t>
      </w:r>
      <w:r w:rsidR="00B565E7" w:rsidRPr="006825BE">
        <w:rPr>
          <w:rFonts w:asciiTheme="majorHAnsi" w:hAnsiTheme="majorHAnsi" w:cstheme="majorHAnsi"/>
        </w:rPr>
        <w:t>s mujeres y niños</w:t>
      </w:r>
      <w:r w:rsidR="00116DF8" w:rsidRPr="006825BE">
        <w:rPr>
          <w:rFonts w:asciiTheme="majorHAnsi" w:hAnsiTheme="majorHAnsi" w:cstheme="majorHAnsi"/>
        </w:rPr>
        <w:t xml:space="preserve"> y</w:t>
      </w:r>
      <w:r w:rsidR="00B565E7" w:rsidRPr="006825BE">
        <w:rPr>
          <w:rFonts w:asciiTheme="majorHAnsi" w:hAnsiTheme="majorHAnsi" w:cstheme="majorHAnsi"/>
        </w:rPr>
        <w:t xml:space="preserve"> secuestran mercaderías para ser peritadas</w:t>
      </w:r>
      <w:r w:rsidR="00116DF8" w:rsidRPr="006825BE">
        <w:rPr>
          <w:rFonts w:asciiTheme="majorHAnsi" w:hAnsiTheme="majorHAnsi" w:cstheme="majorHAnsi"/>
        </w:rPr>
        <w:t>. E</w:t>
      </w:r>
      <w:r w:rsidR="00B565E7" w:rsidRPr="006825BE">
        <w:rPr>
          <w:rFonts w:asciiTheme="majorHAnsi" w:hAnsiTheme="majorHAnsi" w:cstheme="majorHAnsi"/>
        </w:rPr>
        <w:t>n</w:t>
      </w:r>
      <w:r w:rsidRPr="006825BE">
        <w:rPr>
          <w:rFonts w:asciiTheme="majorHAnsi" w:hAnsiTheme="majorHAnsi" w:cstheme="majorHAnsi"/>
        </w:rPr>
        <w:t xml:space="preserve"> muchos casos ni siquiera concluyen</w:t>
      </w:r>
      <w:r w:rsidR="00B565E7" w:rsidRPr="006825BE">
        <w:rPr>
          <w:rFonts w:asciiTheme="majorHAnsi" w:hAnsiTheme="majorHAnsi" w:cstheme="majorHAnsi"/>
        </w:rPr>
        <w:t xml:space="preserve"> </w:t>
      </w:r>
      <w:r w:rsidR="00240D0C" w:rsidRPr="006825BE">
        <w:rPr>
          <w:rFonts w:asciiTheme="majorHAnsi" w:hAnsiTheme="majorHAnsi" w:cstheme="majorHAnsi"/>
        </w:rPr>
        <w:t xml:space="preserve">en la apertura de </w:t>
      </w:r>
      <w:r w:rsidR="00B565E7" w:rsidRPr="006825BE">
        <w:rPr>
          <w:rFonts w:asciiTheme="majorHAnsi" w:hAnsiTheme="majorHAnsi" w:cstheme="majorHAnsi"/>
        </w:rPr>
        <w:t xml:space="preserve">causas porque no </w:t>
      </w:r>
      <w:r w:rsidR="00240D0C" w:rsidRPr="006825BE">
        <w:rPr>
          <w:rFonts w:asciiTheme="majorHAnsi" w:hAnsiTheme="majorHAnsi" w:cstheme="majorHAnsi"/>
        </w:rPr>
        <w:t xml:space="preserve">se constata la </w:t>
      </w:r>
      <w:r w:rsidR="00B565E7" w:rsidRPr="006825BE">
        <w:rPr>
          <w:rFonts w:asciiTheme="majorHAnsi" w:hAnsiTheme="majorHAnsi" w:cstheme="majorHAnsi"/>
        </w:rPr>
        <w:t>exi</w:t>
      </w:r>
      <w:r w:rsidR="00116DF8" w:rsidRPr="006825BE">
        <w:rPr>
          <w:rFonts w:asciiTheme="majorHAnsi" w:hAnsiTheme="majorHAnsi" w:cstheme="majorHAnsi"/>
        </w:rPr>
        <w:t>sten</w:t>
      </w:r>
      <w:r w:rsidR="00240D0C" w:rsidRPr="006825BE">
        <w:rPr>
          <w:rFonts w:asciiTheme="majorHAnsi" w:hAnsiTheme="majorHAnsi" w:cstheme="majorHAnsi"/>
        </w:rPr>
        <w:t>cia de</w:t>
      </w:r>
      <w:r w:rsidR="00116DF8" w:rsidRPr="006825BE">
        <w:rPr>
          <w:rFonts w:asciiTheme="majorHAnsi" w:hAnsiTheme="majorHAnsi" w:cstheme="majorHAnsi"/>
        </w:rPr>
        <w:t xml:space="preserve"> ilícitos.</w:t>
      </w:r>
    </w:p>
    <w:p w14:paraId="1C5C54E1" w14:textId="768AC474" w:rsidR="00B565E7" w:rsidRPr="006825BE" w:rsidRDefault="00240D0C" w:rsidP="006825BE">
      <w:pPr>
        <w:spacing w:after="120"/>
        <w:jc w:val="both"/>
        <w:rPr>
          <w:rFonts w:asciiTheme="majorHAnsi" w:hAnsiTheme="majorHAnsi" w:cstheme="majorHAnsi"/>
          <w:i/>
        </w:rPr>
      </w:pPr>
      <w:r w:rsidRPr="006825BE">
        <w:rPr>
          <w:rFonts w:asciiTheme="majorHAnsi" w:hAnsiTheme="majorHAnsi" w:cstheme="majorHAnsi"/>
          <w:i/>
        </w:rPr>
        <w:t>Trabajadores de la Tierra</w:t>
      </w:r>
    </w:p>
    <w:p w14:paraId="1D310240" w14:textId="187184F6" w:rsidR="00B565E7" w:rsidRPr="006825BE" w:rsidRDefault="00B565E7" w:rsidP="006825BE">
      <w:pPr>
        <w:spacing w:after="120"/>
        <w:jc w:val="both"/>
        <w:rPr>
          <w:rFonts w:asciiTheme="majorHAnsi" w:hAnsiTheme="majorHAnsi" w:cstheme="majorHAnsi"/>
        </w:rPr>
      </w:pPr>
      <w:r w:rsidRPr="006825BE">
        <w:rPr>
          <w:rFonts w:asciiTheme="majorHAnsi" w:hAnsiTheme="majorHAnsi" w:cstheme="majorHAnsi"/>
        </w:rPr>
        <w:t xml:space="preserve">Según la </w:t>
      </w:r>
      <w:r w:rsidR="00467AAA" w:rsidRPr="006825BE">
        <w:rPr>
          <w:rFonts w:asciiTheme="majorHAnsi" w:hAnsiTheme="majorHAnsi" w:cstheme="majorHAnsi"/>
        </w:rPr>
        <w:t>Unión de los Trabajadores de la T</w:t>
      </w:r>
      <w:r w:rsidRPr="006825BE">
        <w:rPr>
          <w:rFonts w:asciiTheme="majorHAnsi" w:hAnsiTheme="majorHAnsi" w:cstheme="majorHAnsi"/>
        </w:rPr>
        <w:t>ierra, un 80% son inmigrantes boliviano</w:t>
      </w:r>
      <w:r w:rsidR="00EF4898" w:rsidRPr="006825BE">
        <w:rPr>
          <w:rFonts w:asciiTheme="majorHAnsi" w:hAnsiTheme="majorHAnsi" w:cstheme="majorHAnsi"/>
        </w:rPr>
        <w:t>s que abastecen los mercadores. L</w:t>
      </w:r>
      <w:r w:rsidRPr="006825BE">
        <w:rPr>
          <w:rFonts w:asciiTheme="majorHAnsi" w:hAnsiTheme="majorHAnsi" w:cstheme="majorHAnsi"/>
        </w:rPr>
        <w:t>os intermediarios les pagan precios ínfimos que no cubren el costo de producción, tomando en cuenta que las semillas y fertilizantes están cotizados en dólares, y varios de ellos son locatarios de las tierras</w:t>
      </w:r>
      <w:r w:rsidR="00EF4898" w:rsidRPr="006825BE">
        <w:rPr>
          <w:rFonts w:asciiTheme="majorHAnsi" w:hAnsiTheme="majorHAnsi" w:cstheme="majorHAnsi"/>
        </w:rPr>
        <w:t xml:space="preserve">. </w:t>
      </w:r>
    </w:p>
    <w:p w14:paraId="7CAB3108" w14:textId="77777777" w:rsidR="00F45968" w:rsidRDefault="00F45968" w:rsidP="006825BE">
      <w:pPr>
        <w:spacing w:after="120"/>
        <w:jc w:val="both"/>
        <w:rPr>
          <w:rFonts w:asciiTheme="majorHAnsi" w:hAnsiTheme="majorHAnsi" w:cstheme="majorHAnsi"/>
          <w:b/>
        </w:rPr>
      </w:pPr>
    </w:p>
    <w:p w14:paraId="000000EB" w14:textId="42817D28" w:rsidR="00EA4D3D" w:rsidRPr="006825BE" w:rsidRDefault="00296A74" w:rsidP="006825BE">
      <w:pPr>
        <w:spacing w:after="120"/>
        <w:jc w:val="both"/>
        <w:rPr>
          <w:rFonts w:asciiTheme="majorHAnsi" w:hAnsiTheme="majorHAnsi" w:cstheme="majorHAnsi"/>
          <w:b/>
        </w:rPr>
      </w:pPr>
      <w:r w:rsidRPr="006825BE">
        <w:rPr>
          <w:rFonts w:asciiTheme="majorHAnsi" w:hAnsiTheme="majorHAnsi" w:cstheme="majorHAnsi"/>
          <w:b/>
        </w:rPr>
        <w:t xml:space="preserve">Acceso a la educación.  </w:t>
      </w:r>
    </w:p>
    <w:p w14:paraId="000000EC" w14:textId="6C671F08"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 xml:space="preserve">Niños, niñas y adolescentes migrantes o hijos de migrantes siguen experimentando situaciones de discriminación </w:t>
      </w:r>
      <w:r w:rsidR="00B552E8" w:rsidRPr="006825BE">
        <w:rPr>
          <w:rFonts w:asciiTheme="majorHAnsi" w:hAnsiTheme="majorHAnsi" w:cstheme="majorHAnsi"/>
        </w:rPr>
        <w:t xml:space="preserve">y racismo </w:t>
      </w:r>
      <w:r w:rsidRPr="006825BE">
        <w:rPr>
          <w:rFonts w:asciiTheme="majorHAnsi" w:hAnsiTheme="majorHAnsi" w:cstheme="majorHAnsi"/>
        </w:rPr>
        <w:t xml:space="preserve">en las escuelas y en distintos establecimientos educativos. Seguimos viendo casos de instituciones que rechazan o dificultan el ingreso de las personas migrantes en distintos niveles educativos, ya sea por obstáculos administrativos arbitrarios o por la denominada “discriminación de ventanilla”. </w:t>
      </w:r>
      <w:r w:rsidRPr="004944AC">
        <w:rPr>
          <w:rFonts w:asciiTheme="majorHAnsi" w:hAnsiTheme="majorHAnsi" w:cstheme="majorHAnsi"/>
          <w:b/>
        </w:rPr>
        <w:t xml:space="preserve">Las autoridades de los establecimientos educativos muchas veces traspasan sus facultades y exigen documentación absurda para garantizar la inscripción a los ciclos lectivos. </w:t>
      </w:r>
      <w:r w:rsidRPr="006825BE">
        <w:rPr>
          <w:rFonts w:asciiTheme="majorHAnsi" w:hAnsiTheme="majorHAnsi" w:cstheme="majorHAnsi"/>
        </w:rPr>
        <w:t>Esta actitud es claramente contraria especialmente al artículo 7º de la Ley 25.871, que establece el acceso igualitario a la educación y la admisión en los establecimientos educativos independientemente de la situación migratoria.</w:t>
      </w:r>
    </w:p>
    <w:p w14:paraId="000000ED" w14:textId="77777777"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Un caso que ilustra esta situación común es el de M.A., de nacionalidad boliviana. Su hija no puede acceder al DNI porque su partida de nacimiento se encuentra en proceso de rectificación y en este marco las autoridades del colegio se negaron a inscribir a la niña.</w:t>
      </w:r>
    </w:p>
    <w:p w14:paraId="000000EE" w14:textId="77777777"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 xml:space="preserve">Otro ejemplo, es el de M. P. H. De nacionalidad dominicana, residía en Uruguay antes de venir a la Argentina. Al llegar al país, su ingreso fue registrado con la documentación que le había expedido el gobierno uruguayo, y no con su pasaporte dominicano. La falta de sello de ingreso regular en su pasaporte resultó la excusa en la Universidad de Buenos Aires para impedir su inscripción. </w:t>
      </w:r>
    </w:p>
    <w:p w14:paraId="000000EF" w14:textId="3B31A199"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A la vez, la xenofobia y a la discriminación en las escuelas llegó a un punto máximo de expresión con caso de</w:t>
      </w:r>
      <w:r w:rsidR="008B45B8" w:rsidRPr="006825BE">
        <w:rPr>
          <w:rFonts w:asciiTheme="majorHAnsi" w:hAnsiTheme="majorHAnsi" w:cstheme="majorHAnsi"/>
        </w:rPr>
        <w:t>l</w:t>
      </w:r>
      <w:r w:rsidRPr="006825BE">
        <w:rPr>
          <w:rFonts w:asciiTheme="majorHAnsi" w:hAnsiTheme="majorHAnsi" w:cstheme="majorHAnsi"/>
        </w:rPr>
        <w:t xml:space="preserve"> suicidio de una adolecente boliviana en la localidad de Moreno, provincia de Buenos Aires.  Es necesario que el sistema educativo intervenga en las causas de la xenofobia y la discriminación y que las y los docentes permitan articular una verdadera inclusión de los niños, niñas y adolescentes migrantes.</w:t>
      </w:r>
    </w:p>
    <w:p w14:paraId="000000F0" w14:textId="77777777"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 xml:space="preserve">A la vez, algunos programas educativos exigen tiempo mínimo de residencia. Por ejemplo, el programa PRO.GRE.SAR – becas destinada a jóvenes con la finalidad de que terminen el </w:t>
      </w:r>
      <w:proofErr w:type="gramStart"/>
      <w:r w:rsidRPr="006825BE">
        <w:rPr>
          <w:rFonts w:asciiTheme="majorHAnsi" w:hAnsiTheme="majorHAnsi" w:cstheme="majorHAnsi"/>
        </w:rPr>
        <w:t>secundario  –</w:t>
      </w:r>
      <w:proofErr w:type="gramEnd"/>
      <w:r w:rsidRPr="006825BE">
        <w:rPr>
          <w:rFonts w:asciiTheme="majorHAnsi" w:hAnsiTheme="majorHAnsi" w:cstheme="majorHAnsi"/>
        </w:rPr>
        <w:t xml:space="preserve">  les exige 5 años de residencia para las personas migrantes. </w:t>
      </w:r>
    </w:p>
    <w:p w14:paraId="000000F1" w14:textId="44513559"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Por otra parte, la existencia de enormes burocracias para la convalidación de los títulos académicos sigue siendo un límite concreto para acceder a otras instancias educativas o laborales</w:t>
      </w:r>
      <w:r w:rsidR="00681B2C" w:rsidRPr="006825BE">
        <w:rPr>
          <w:rFonts w:asciiTheme="majorHAnsi" w:hAnsiTheme="majorHAnsi" w:cstheme="majorHAnsi"/>
        </w:rPr>
        <w:t xml:space="preserve"> y tiene efectos negativos en el acceso al empleo</w:t>
      </w:r>
      <w:r w:rsidRPr="006825BE">
        <w:rPr>
          <w:rFonts w:asciiTheme="majorHAnsi" w:hAnsiTheme="majorHAnsi" w:cstheme="majorHAnsi"/>
        </w:rPr>
        <w:t>.</w:t>
      </w:r>
    </w:p>
    <w:p w14:paraId="0F3A2700" w14:textId="4EA5B42A" w:rsidR="00681B2C"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 xml:space="preserve">A nivel </w:t>
      </w:r>
      <w:r w:rsidR="00437913" w:rsidRPr="006825BE">
        <w:rPr>
          <w:rFonts w:asciiTheme="majorHAnsi" w:hAnsiTheme="majorHAnsi" w:cstheme="majorHAnsi"/>
        </w:rPr>
        <w:t>de educación terciaria/u</w:t>
      </w:r>
      <w:r w:rsidRPr="006825BE">
        <w:rPr>
          <w:rFonts w:asciiTheme="majorHAnsi" w:hAnsiTheme="majorHAnsi" w:cstheme="majorHAnsi"/>
        </w:rPr>
        <w:t>niversitaria,</w:t>
      </w:r>
      <w:r w:rsidR="00681B2C" w:rsidRPr="006825BE">
        <w:rPr>
          <w:rFonts w:asciiTheme="majorHAnsi" w:hAnsiTheme="majorHAnsi" w:cstheme="majorHAnsi"/>
        </w:rPr>
        <w:t xml:space="preserve"> </w:t>
      </w:r>
      <w:r w:rsidR="00437913" w:rsidRPr="006825BE">
        <w:rPr>
          <w:rFonts w:asciiTheme="majorHAnsi" w:hAnsiTheme="majorHAnsi" w:cstheme="majorHAnsi"/>
          <w:b/>
        </w:rPr>
        <w:t xml:space="preserve">las universidades públicas recientemente implementaron el requisito obligatorio de español para extranjeros, lo que se constituyó como trabas al acceso al derecho a la educación </w:t>
      </w:r>
      <w:r w:rsidR="005B594E" w:rsidRPr="006825BE">
        <w:rPr>
          <w:rFonts w:asciiTheme="majorHAnsi" w:hAnsiTheme="majorHAnsi" w:cstheme="majorHAnsi"/>
          <w:b/>
        </w:rPr>
        <w:t>debido a los altos costos de los</w:t>
      </w:r>
      <w:r w:rsidR="00437913" w:rsidRPr="006825BE">
        <w:rPr>
          <w:rFonts w:asciiTheme="majorHAnsi" w:hAnsiTheme="majorHAnsi" w:cstheme="majorHAnsi"/>
          <w:b/>
        </w:rPr>
        <w:t xml:space="preserve"> exámenes y cursos</w:t>
      </w:r>
      <w:r w:rsidR="00437913" w:rsidRPr="006825BE">
        <w:rPr>
          <w:rFonts w:asciiTheme="majorHAnsi" w:hAnsiTheme="majorHAnsi" w:cstheme="majorHAnsi"/>
        </w:rPr>
        <w:t xml:space="preserve">. </w:t>
      </w:r>
      <w:r w:rsidR="00681B2C" w:rsidRPr="006825BE">
        <w:rPr>
          <w:rFonts w:asciiTheme="majorHAnsi" w:hAnsiTheme="majorHAnsi" w:cstheme="majorHAnsi"/>
        </w:rPr>
        <w:t xml:space="preserve">Se </w:t>
      </w:r>
      <w:r w:rsidRPr="006825BE">
        <w:rPr>
          <w:rFonts w:asciiTheme="majorHAnsi" w:hAnsiTheme="majorHAnsi" w:cstheme="majorHAnsi"/>
        </w:rPr>
        <w:t>exige un certificado de nivel intermedio de español como requisito para los estudiantes</w:t>
      </w:r>
      <w:r w:rsidR="00681B2C" w:rsidRPr="006825BE">
        <w:rPr>
          <w:rFonts w:asciiTheme="majorHAnsi" w:hAnsiTheme="majorHAnsi" w:cstheme="majorHAnsi"/>
        </w:rPr>
        <w:t xml:space="preserve"> provenientes de países no</w:t>
      </w:r>
      <w:r w:rsidRPr="006825BE">
        <w:rPr>
          <w:rFonts w:asciiTheme="majorHAnsi" w:hAnsiTheme="majorHAnsi" w:cstheme="majorHAnsi"/>
        </w:rPr>
        <w:t xml:space="preserve"> hispanohablante</w:t>
      </w:r>
      <w:r w:rsidR="00681B2C" w:rsidRPr="006825BE">
        <w:rPr>
          <w:rFonts w:asciiTheme="majorHAnsi" w:hAnsiTheme="majorHAnsi" w:cstheme="majorHAnsi"/>
        </w:rPr>
        <w:t>s como condición para ingresar a la Universidad</w:t>
      </w:r>
      <w:r w:rsidRPr="006825BE">
        <w:rPr>
          <w:rFonts w:asciiTheme="majorHAnsi" w:hAnsiTheme="majorHAnsi" w:cstheme="majorHAnsi"/>
        </w:rPr>
        <w:t xml:space="preserve">. </w:t>
      </w:r>
      <w:r w:rsidR="00437913" w:rsidRPr="006825BE">
        <w:rPr>
          <w:rFonts w:asciiTheme="majorHAnsi" w:hAnsiTheme="majorHAnsi" w:cstheme="majorHAnsi"/>
        </w:rPr>
        <w:t>Certificados como el de Español Lengua y Uso (CELU) otorgado por el Consorcio Español Lengua Segunda o Extranjera (ELSE)</w:t>
      </w:r>
      <w:r w:rsidR="00437913" w:rsidRPr="006825BE">
        <w:rPr>
          <w:rStyle w:val="FootnoteReference"/>
          <w:rFonts w:asciiTheme="majorHAnsi" w:hAnsiTheme="majorHAnsi" w:cstheme="majorHAnsi"/>
        </w:rPr>
        <w:footnoteReference w:id="32"/>
      </w:r>
      <w:r w:rsidR="00437913" w:rsidRPr="006825BE">
        <w:rPr>
          <w:rFonts w:asciiTheme="majorHAnsi" w:hAnsiTheme="majorHAnsi" w:cstheme="majorHAnsi"/>
        </w:rPr>
        <w:t xml:space="preserve">, el cual se incorporó formalmente al Consejo Interuniversitario Nacional (CIN) en agosto de 2018. </w:t>
      </w:r>
      <w:r w:rsidRPr="006825BE">
        <w:rPr>
          <w:rFonts w:asciiTheme="majorHAnsi" w:hAnsiTheme="majorHAnsi" w:cstheme="majorHAnsi"/>
        </w:rPr>
        <w:t>El nivel que deben demostrar los ingresantes es el que se conoce técnicamente como B2, del Marco de Referencia Común Europeo (MRCE)</w:t>
      </w:r>
      <w:r w:rsidR="00681B2C" w:rsidRPr="006825BE">
        <w:rPr>
          <w:rStyle w:val="FootnoteReference"/>
          <w:rFonts w:asciiTheme="majorHAnsi" w:hAnsiTheme="majorHAnsi" w:cstheme="majorHAnsi"/>
        </w:rPr>
        <w:footnoteReference w:id="33"/>
      </w:r>
      <w:r w:rsidRPr="006825BE">
        <w:rPr>
          <w:rFonts w:asciiTheme="majorHAnsi" w:hAnsiTheme="majorHAnsi" w:cstheme="majorHAnsi"/>
        </w:rPr>
        <w:t xml:space="preserve">. </w:t>
      </w:r>
    </w:p>
    <w:p w14:paraId="133DF620" w14:textId="125016EA" w:rsidR="00437913" w:rsidRPr="006825BE" w:rsidRDefault="00437913" w:rsidP="006825BE">
      <w:pPr>
        <w:spacing w:after="120"/>
        <w:jc w:val="both"/>
        <w:rPr>
          <w:rFonts w:asciiTheme="majorHAnsi" w:hAnsiTheme="majorHAnsi" w:cstheme="majorHAnsi"/>
        </w:rPr>
      </w:pPr>
      <w:r w:rsidRPr="006825BE">
        <w:rPr>
          <w:rFonts w:asciiTheme="majorHAnsi" w:hAnsiTheme="majorHAnsi" w:cstheme="majorHAnsi"/>
        </w:rPr>
        <w:t xml:space="preserve">El costo de los exámenes es de alrededor de </w:t>
      </w:r>
      <w:r w:rsidR="005B594E" w:rsidRPr="006825BE">
        <w:rPr>
          <w:rFonts w:asciiTheme="majorHAnsi" w:hAnsiTheme="majorHAnsi" w:cstheme="majorHAnsi"/>
        </w:rPr>
        <w:t>$</w:t>
      </w:r>
      <w:r w:rsidRPr="006825BE">
        <w:rPr>
          <w:rFonts w:asciiTheme="majorHAnsi" w:hAnsiTheme="majorHAnsi" w:cstheme="majorHAnsi"/>
        </w:rPr>
        <w:t>2500 pesos argentinos (cerca de U$S 50) y deben presentarse en las fechas predeterminadas. Esta falta de flexibilidad no permite que quienes puedan acceder al examen lo presenten con el tiempo necesario para luego garantizar la inscripción a la institución educativa. Asimismo, las universidades que exigen este nivel de idioma no brindan como alternativa cursos preparatorios sin costo.</w:t>
      </w:r>
    </w:p>
    <w:p w14:paraId="709ECC36" w14:textId="32B11E9D" w:rsidR="00681B2C" w:rsidRPr="006825BE" w:rsidRDefault="00681B2C" w:rsidP="006825BE">
      <w:pPr>
        <w:spacing w:after="120"/>
        <w:jc w:val="both"/>
        <w:rPr>
          <w:rFonts w:asciiTheme="majorHAnsi" w:hAnsiTheme="majorHAnsi" w:cstheme="majorHAnsi"/>
        </w:rPr>
      </w:pPr>
      <w:r w:rsidRPr="006825BE">
        <w:rPr>
          <w:rFonts w:asciiTheme="majorHAnsi" w:hAnsiTheme="majorHAnsi" w:cstheme="majorHAnsi"/>
        </w:rPr>
        <w:t xml:space="preserve">Como consecuencia de esta medida el 60% de los y las estudiantes migrantes no hispanohablantes ingresantes al primer cuatrimestre del 2019 en la </w:t>
      </w:r>
      <w:r w:rsidR="00437913" w:rsidRPr="006825BE">
        <w:rPr>
          <w:rFonts w:asciiTheme="majorHAnsi" w:hAnsiTheme="majorHAnsi" w:cstheme="majorHAnsi"/>
        </w:rPr>
        <w:t>Universidad Nacional de La Plata (UNLP)</w:t>
      </w:r>
      <w:r w:rsidRPr="006825BE">
        <w:rPr>
          <w:rFonts w:asciiTheme="majorHAnsi" w:hAnsiTheme="majorHAnsi" w:cstheme="majorHAnsi"/>
        </w:rPr>
        <w:t xml:space="preserve"> no fueran admitidos. </w:t>
      </w:r>
    </w:p>
    <w:p w14:paraId="4FF03C29" w14:textId="00407008" w:rsidR="00606A09" w:rsidRPr="006825BE" w:rsidRDefault="00606A09" w:rsidP="006825BE">
      <w:pPr>
        <w:spacing w:after="120"/>
        <w:jc w:val="both"/>
        <w:rPr>
          <w:rFonts w:asciiTheme="majorHAnsi" w:hAnsiTheme="majorHAnsi" w:cstheme="majorHAnsi"/>
        </w:rPr>
      </w:pPr>
      <w:r w:rsidRPr="006825BE">
        <w:rPr>
          <w:rFonts w:asciiTheme="majorHAnsi" w:hAnsiTheme="majorHAnsi" w:cstheme="majorHAnsi"/>
        </w:rPr>
        <w:t>Otro ejemplo del problema estuvo en la Universidad Nacional de la Matanza (</w:t>
      </w:r>
      <w:proofErr w:type="spellStart"/>
      <w:r w:rsidRPr="006825BE">
        <w:rPr>
          <w:rFonts w:asciiTheme="majorHAnsi" w:hAnsiTheme="majorHAnsi" w:cstheme="majorHAnsi"/>
        </w:rPr>
        <w:t>UNLaM</w:t>
      </w:r>
      <w:proofErr w:type="spellEnd"/>
      <w:r w:rsidRPr="006825BE">
        <w:rPr>
          <w:rFonts w:asciiTheme="majorHAnsi" w:hAnsiTheme="majorHAnsi" w:cstheme="majorHAnsi"/>
        </w:rPr>
        <w:t xml:space="preserve">) la cual desde el Consejo Superior emitió la resolución 224/18 del 15 de noviembre del 2018. Esta establece que las y los estudiantes egresados de secundario en países no hispanohablantes deben realizar un curso obligatorio de español, </w:t>
      </w:r>
      <w:r w:rsidR="005B594E" w:rsidRPr="006825BE">
        <w:rPr>
          <w:rFonts w:asciiTheme="majorHAnsi" w:hAnsiTheme="majorHAnsi" w:cstheme="majorHAnsi"/>
        </w:rPr>
        <w:t>que</w:t>
      </w:r>
      <w:r w:rsidRPr="006825BE">
        <w:rPr>
          <w:rFonts w:asciiTheme="majorHAnsi" w:hAnsiTheme="majorHAnsi" w:cstheme="majorHAnsi"/>
        </w:rPr>
        <w:t xml:space="preserve"> </w:t>
      </w:r>
      <w:r w:rsidR="005B594E" w:rsidRPr="006825BE">
        <w:rPr>
          <w:rFonts w:asciiTheme="majorHAnsi" w:hAnsiTheme="majorHAnsi" w:cstheme="majorHAnsi"/>
        </w:rPr>
        <w:t>tiene</w:t>
      </w:r>
      <w:r w:rsidRPr="006825BE">
        <w:rPr>
          <w:rFonts w:asciiTheme="majorHAnsi" w:hAnsiTheme="majorHAnsi" w:cstheme="majorHAnsi"/>
        </w:rPr>
        <w:t xml:space="preserve"> un costo inicial de $90.000 </w:t>
      </w:r>
      <w:r w:rsidR="005B594E" w:rsidRPr="006825BE">
        <w:rPr>
          <w:rFonts w:asciiTheme="majorHAnsi" w:hAnsiTheme="majorHAnsi" w:cstheme="majorHAnsi"/>
        </w:rPr>
        <w:t>pesos argentinos</w:t>
      </w:r>
      <w:r w:rsidRPr="006825BE">
        <w:rPr>
          <w:rFonts w:asciiTheme="majorHAnsi" w:hAnsiTheme="majorHAnsi" w:cstheme="majorHAnsi"/>
        </w:rPr>
        <w:t xml:space="preserve">.  Dado que se hizo viral la noticia, causó el repudio de la comunidad estudiantil, y posterior se redujo a $60.000 </w:t>
      </w:r>
      <w:r w:rsidR="005B594E" w:rsidRPr="006825BE">
        <w:rPr>
          <w:rFonts w:asciiTheme="majorHAnsi" w:hAnsiTheme="majorHAnsi" w:cstheme="majorHAnsi"/>
        </w:rPr>
        <w:t>pesos argentinos</w:t>
      </w:r>
      <w:r w:rsidRPr="006825BE">
        <w:rPr>
          <w:rFonts w:asciiTheme="majorHAnsi" w:hAnsiTheme="majorHAnsi" w:cstheme="majorHAnsi"/>
        </w:rPr>
        <w:t xml:space="preserve">. </w:t>
      </w:r>
    </w:p>
    <w:p w14:paraId="71A255F9" w14:textId="6DFAB2C2" w:rsidR="00681B2C" w:rsidRPr="006825BE" w:rsidRDefault="00681B2C" w:rsidP="006825BE">
      <w:pPr>
        <w:spacing w:after="120"/>
        <w:jc w:val="both"/>
        <w:rPr>
          <w:rFonts w:asciiTheme="majorHAnsi" w:hAnsiTheme="majorHAnsi" w:cstheme="majorHAnsi"/>
        </w:rPr>
      </w:pPr>
      <w:r w:rsidRPr="006825BE">
        <w:rPr>
          <w:rFonts w:asciiTheme="majorHAnsi" w:hAnsiTheme="majorHAnsi" w:cstheme="majorHAnsi"/>
        </w:rPr>
        <w:t xml:space="preserve">La Organización Estudiantil </w:t>
      </w:r>
      <w:proofErr w:type="spellStart"/>
      <w:r w:rsidRPr="006825BE">
        <w:rPr>
          <w:rFonts w:asciiTheme="majorHAnsi" w:hAnsiTheme="majorHAnsi" w:cstheme="majorHAnsi"/>
        </w:rPr>
        <w:t>EsMiUBA</w:t>
      </w:r>
      <w:proofErr w:type="spellEnd"/>
      <w:r w:rsidRPr="006825BE">
        <w:rPr>
          <w:rFonts w:asciiTheme="majorHAnsi" w:hAnsiTheme="majorHAnsi" w:cstheme="majorHAnsi"/>
        </w:rPr>
        <w:t xml:space="preserve"> realizó un pedido de informe de la situación, la normativa legal vigente y los impactos de la medida impuesta a los ingresantes </w:t>
      </w:r>
      <w:r w:rsidR="00437913" w:rsidRPr="006825BE">
        <w:rPr>
          <w:rFonts w:asciiTheme="majorHAnsi" w:hAnsiTheme="majorHAnsi" w:cstheme="majorHAnsi"/>
        </w:rPr>
        <w:t>Ciclo Básico Común (</w:t>
      </w:r>
      <w:r w:rsidRPr="006825BE">
        <w:rPr>
          <w:rFonts w:asciiTheme="majorHAnsi" w:hAnsiTheme="majorHAnsi" w:cstheme="majorHAnsi"/>
        </w:rPr>
        <w:t>CBC</w:t>
      </w:r>
      <w:r w:rsidR="00437913" w:rsidRPr="006825BE">
        <w:rPr>
          <w:rFonts w:asciiTheme="majorHAnsi" w:hAnsiTheme="majorHAnsi" w:cstheme="majorHAnsi"/>
        </w:rPr>
        <w:t>)</w:t>
      </w:r>
      <w:r w:rsidRPr="006825BE">
        <w:rPr>
          <w:rStyle w:val="FootnoteReference"/>
          <w:rFonts w:asciiTheme="majorHAnsi" w:hAnsiTheme="majorHAnsi" w:cstheme="majorHAnsi"/>
        </w:rPr>
        <w:footnoteReference w:id="34"/>
      </w:r>
      <w:r w:rsidRPr="006825BE">
        <w:rPr>
          <w:rFonts w:asciiTheme="majorHAnsi" w:hAnsiTheme="majorHAnsi" w:cstheme="majorHAnsi"/>
        </w:rPr>
        <w:t xml:space="preserve">  o estudiantes. Este se emitió el 17 de abril del 2019 al Director del </w:t>
      </w:r>
      <w:r w:rsidR="00437913" w:rsidRPr="006825BE">
        <w:rPr>
          <w:rFonts w:asciiTheme="majorHAnsi" w:hAnsiTheme="majorHAnsi" w:cstheme="majorHAnsi"/>
        </w:rPr>
        <w:t xml:space="preserve">CBC </w:t>
      </w:r>
      <w:r w:rsidRPr="006825BE">
        <w:rPr>
          <w:rFonts w:asciiTheme="majorHAnsi" w:hAnsiTheme="majorHAnsi" w:cstheme="majorHAnsi"/>
        </w:rPr>
        <w:t>de la UBA, bajo el número de mesa de entrada 36673</w:t>
      </w:r>
      <w:r w:rsidR="00437913" w:rsidRPr="006825BE">
        <w:rPr>
          <w:rFonts w:asciiTheme="majorHAnsi" w:hAnsiTheme="majorHAnsi" w:cstheme="majorHAnsi"/>
        </w:rPr>
        <w:t>,</w:t>
      </w:r>
      <w:r w:rsidRPr="006825BE">
        <w:rPr>
          <w:rFonts w:asciiTheme="majorHAnsi" w:hAnsiTheme="majorHAnsi" w:cstheme="majorHAnsi"/>
        </w:rPr>
        <w:t xml:space="preserve"> el cual sigue sin tener respuesta.</w:t>
      </w:r>
    </w:p>
    <w:p w14:paraId="70C385ED" w14:textId="440E93E3" w:rsidR="00606A09" w:rsidRPr="006825BE" w:rsidRDefault="005B594E" w:rsidP="006825BE">
      <w:pPr>
        <w:spacing w:after="120"/>
        <w:jc w:val="both"/>
        <w:rPr>
          <w:rFonts w:asciiTheme="majorHAnsi" w:hAnsiTheme="majorHAnsi" w:cstheme="majorHAnsi"/>
        </w:rPr>
      </w:pPr>
      <w:r w:rsidRPr="006825BE">
        <w:rPr>
          <w:rFonts w:asciiTheme="majorHAnsi" w:hAnsiTheme="majorHAnsi" w:cstheme="majorHAnsi"/>
        </w:rPr>
        <w:t>Asimismo, e</w:t>
      </w:r>
      <w:r w:rsidR="00606A09" w:rsidRPr="006825BE">
        <w:rPr>
          <w:rFonts w:asciiTheme="majorHAnsi" w:hAnsiTheme="majorHAnsi" w:cstheme="majorHAnsi"/>
        </w:rPr>
        <w:t>n la formación de posgrado se ha incrementado los aranceles a estudiantes migrantes en algunas universidades. En algunas facultades de la Universidad de Buenos Aires (UBA), por ejemplo, los aranceles se diferencian cuatro veces más con respecto a un nacional.</w:t>
      </w:r>
    </w:p>
    <w:p w14:paraId="000000F2" w14:textId="2CCEBA9D" w:rsidR="00EA4D3D" w:rsidRPr="006825BE" w:rsidRDefault="00EA4D3D" w:rsidP="006825BE">
      <w:pPr>
        <w:spacing w:after="120"/>
        <w:jc w:val="both"/>
        <w:rPr>
          <w:rFonts w:asciiTheme="majorHAnsi" w:hAnsiTheme="majorHAnsi" w:cstheme="majorHAnsi"/>
        </w:rPr>
      </w:pPr>
    </w:p>
    <w:p w14:paraId="000000F4" w14:textId="25A35FE6"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b/>
          <w:color w:val="000000"/>
        </w:rPr>
        <w:t>Derecho a la vivienda</w:t>
      </w:r>
    </w:p>
    <w:p w14:paraId="0F8CCA57" w14:textId="77777777" w:rsidR="00615A8B"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 xml:space="preserve">En grandes ciudades como la de Buenos Aires, la población migrante habita, en un número significativo, en contextos de segregación urbana. </w:t>
      </w:r>
    </w:p>
    <w:p w14:paraId="000000F7" w14:textId="3417C928" w:rsidR="00EA4D3D" w:rsidRPr="006825BE" w:rsidRDefault="00615A8B" w:rsidP="006825BE">
      <w:pPr>
        <w:spacing w:after="120"/>
        <w:jc w:val="both"/>
        <w:rPr>
          <w:rFonts w:asciiTheme="majorHAnsi" w:hAnsiTheme="majorHAnsi" w:cstheme="majorHAnsi"/>
        </w:rPr>
      </w:pPr>
      <w:r w:rsidRPr="004944AC">
        <w:rPr>
          <w:rFonts w:asciiTheme="majorHAnsi" w:hAnsiTheme="majorHAnsi" w:cstheme="majorHAnsi"/>
          <w:b/>
        </w:rPr>
        <w:t>E</w:t>
      </w:r>
      <w:r w:rsidR="00296A74" w:rsidRPr="004944AC">
        <w:rPr>
          <w:rFonts w:asciiTheme="majorHAnsi" w:hAnsiTheme="majorHAnsi" w:cstheme="majorHAnsi"/>
          <w:b/>
        </w:rPr>
        <w:t>n la Ciudad de Buenos Aires, el subsidio que se otorga a quienes se encuentran en situación de extrema vulnerabilidad habitacional exige que las personas migrantes demuestren 2 años de residencia en la Ciudad.</w:t>
      </w:r>
      <w:r w:rsidR="00296A74" w:rsidRPr="006825BE">
        <w:rPr>
          <w:rFonts w:asciiTheme="majorHAnsi" w:hAnsiTheme="majorHAnsi" w:cstheme="majorHAnsi"/>
        </w:rPr>
        <w:t xml:space="preserve"> Este requisito se demuestra principalmente con la presentación de un DNI, excluyendo de esta forma a quienes no acceden a la regularidad migratoria. Además, se han recibido numerosas consultas relativas a acceso al subsidio habitacional donde el principal obstáculo es la obtención de los turnos de tramitación y las situaciones que fueron derivadas al organismo gubernamental correspondiente que no fueron aceptadas. En la actualidad la única vía para acceder al programa es a través de la derivación de los paradores y hogares del Gobierno de la Ciudad, los cuales son insuficientes para el alojamiento de la población en situación de emergencia habitacional.</w:t>
      </w:r>
    </w:p>
    <w:p w14:paraId="000000F8" w14:textId="77777777" w:rsidR="00EA4D3D" w:rsidRPr="006825BE" w:rsidRDefault="00296A74" w:rsidP="006825BE">
      <w:pPr>
        <w:spacing w:after="120"/>
        <w:jc w:val="both"/>
        <w:rPr>
          <w:rFonts w:asciiTheme="majorHAnsi" w:hAnsiTheme="majorHAnsi" w:cstheme="majorHAnsi"/>
        </w:rPr>
      </w:pPr>
      <w:r w:rsidRPr="006825BE">
        <w:rPr>
          <w:rFonts w:asciiTheme="majorHAnsi" w:hAnsiTheme="majorHAnsi" w:cstheme="majorHAnsi"/>
        </w:rPr>
        <w:t>Asimismo, en los últimos tiempos el costo de vida en la Ciudad de Buenos Aires aumentó notoriamente al igual que los alquileres cuyos montos se vieron, en algunos casos, duplicados. Por eso, es necesario mencionar que las condiciones habitacionales de los hoteles que cumplen los requisitos para la tramitación de dicho subsidio, presentan en su mayoría un gran deterioro de infraestructura y se observa un alto grado de hacinamiento, vinculado a su vez con el elevado costo de las habitaciones que llevan a las familias a compartir los espacios.</w:t>
      </w:r>
    </w:p>
    <w:p w14:paraId="6052FB2C" w14:textId="77777777" w:rsidR="00340CA3" w:rsidRPr="006825BE" w:rsidRDefault="00340CA3" w:rsidP="006825BE">
      <w:pPr>
        <w:spacing w:after="120"/>
        <w:jc w:val="both"/>
        <w:rPr>
          <w:rFonts w:asciiTheme="majorHAnsi" w:hAnsiTheme="majorHAnsi" w:cstheme="majorHAnsi"/>
        </w:rPr>
      </w:pPr>
    </w:p>
    <w:p w14:paraId="008C2CE5" w14:textId="77777777" w:rsidR="00340CA3" w:rsidRPr="006825BE" w:rsidRDefault="00340CA3" w:rsidP="006825BE">
      <w:pPr>
        <w:spacing w:after="120"/>
        <w:jc w:val="both"/>
        <w:rPr>
          <w:rFonts w:asciiTheme="majorHAnsi" w:hAnsiTheme="majorHAnsi" w:cstheme="majorHAnsi"/>
        </w:rPr>
      </w:pPr>
      <w:r w:rsidRPr="006825BE">
        <w:rPr>
          <w:rFonts w:asciiTheme="majorHAnsi" w:hAnsiTheme="majorHAnsi" w:cstheme="majorHAnsi"/>
          <w:b/>
        </w:rPr>
        <w:t>Ejemplos de casos</w:t>
      </w:r>
    </w:p>
    <w:p w14:paraId="23C22F8F" w14:textId="77777777" w:rsidR="006F285D" w:rsidRPr="006825BE" w:rsidRDefault="006F285D" w:rsidP="006F285D">
      <w:pPr>
        <w:spacing w:after="120"/>
        <w:jc w:val="both"/>
        <w:rPr>
          <w:rFonts w:asciiTheme="majorHAnsi" w:hAnsiTheme="majorHAnsi" w:cstheme="majorHAnsi"/>
          <w:i/>
        </w:rPr>
      </w:pPr>
      <w:r w:rsidRPr="006825BE">
        <w:rPr>
          <w:rFonts w:asciiTheme="majorHAnsi" w:hAnsiTheme="majorHAnsi" w:cstheme="majorHAnsi"/>
          <w:i/>
        </w:rPr>
        <w:t>Derecho a la salud</w:t>
      </w:r>
    </w:p>
    <w:p w14:paraId="6BA7414F" w14:textId="77777777" w:rsidR="006F285D" w:rsidRPr="00787840" w:rsidRDefault="006F285D" w:rsidP="006F285D">
      <w:pPr>
        <w:spacing w:after="120"/>
        <w:jc w:val="both"/>
        <w:rPr>
          <w:rFonts w:asciiTheme="majorHAnsi" w:hAnsiTheme="majorHAnsi" w:cstheme="majorHAnsi"/>
          <w:b/>
        </w:rPr>
      </w:pPr>
      <w:r w:rsidRPr="00787840">
        <w:rPr>
          <w:rFonts w:asciiTheme="majorHAnsi" w:hAnsiTheme="majorHAnsi" w:cstheme="majorHAnsi"/>
          <w:b/>
        </w:rPr>
        <w:t>HÉCTOR</w:t>
      </w:r>
    </w:p>
    <w:p w14:paraId="0A817507" w14:textId="77777777" w:rsidR="006F285D" w:rsidRDefault="006F285D" w:rsidP="006F285D">
      <w:pPr>
        <w:spacing w:after="120"/>
        <w:jc w:val="both"/>
        <w:rPr>
          <w:rFonts w:asciiTheme="majorHAnsi" w:hAnsiTheme="majorHAnsi" w:cstheme="majorHAnsi"/>
        </w:rPr>
      </w:pPr>
      <w:r w:rsidRPr="006825BE">
        <w:rPr>
          <w:rFonts w:asciiTheme="majorHAnsi" w:hAnsiTheme="majorHAnsi" w:cstheme="majorHAnsi"/>
        </w:rPr>
        <w:t xml:space="preserve">Héctor es de nacionalidad peruana tiene 61 años se encuentra en el país hace más de 20 años, fue diagnosticado de cáncer de médula por lo cual se solicitó de forma urgente la administración de la medicación requerida para garantizar la realización de su tratamiento. Héctor no tiene DNI argentino ya que tuvo antecedentes penales. Por este motivo no cuenta con obra social ni con recursos económicos para acceder por otros medios a la atención de su salud. En la actualidad se encuentra internado en el hospital </w:t>
      </w:r>
      <w:proofErr w:type="gramStart"/>
      <w:r w:rsidRPr="006825BE">
        <w:rPr>
          <w:rFonts w:asciiTheme="majorHAnsi" w:hAnsiTheme="majorHAnsi" w:cstheme="majorHAnsi"/>
        </w:rPr>
        <w:t>Piñero</w:t>
      </w:r>
      <w:proofErr w:type="gramEnd"/>
      <w:r w:rsidRPr="006825BE">
        <w:rPr>
          <w:rFonts w:asciiTheme="majorHAnsi" w:hAnsiTheme="majorHAnsi" w:cstheme="majorHAnsi"/>
        </w:rPr>
        <w:t xml:space="preserve"> pero la medicación requerida no ha sido suministrada por el hospital por no tener documento de identidad argentino, ya que el Banco Nacional de Drogas Oncológicas requiere la presentación del DNI para la autorización de la medicación. Recientemente se presentó su historia clínica junto con un pedido urgente de suministro de la medicación necesaria ante el Banco Nacional de Drogas Oncológicas.</w:t>
      </w:r>
    </w:p>
    <w:p w14:paraId="561FFE45" w14:textId="77777777" w:rsidR="006F285D" w:rsidRPr="006825BE" w:rsidRDefault="006F285D" w:rsidP="006825BE">
      <w:pPr>
        <w:spacing w:after="120"/>
        <w:rPr>
          <w:rFonts w:asciiTheme="majorHAnsi" w:eastAsia="Times New Roman" w:hAnsiTheme="majorHAnsi" w:cstheme="majorHAnsi"/>
          <w:b/>
          <w:lang w:val="es-ES" w:eastAsia="es-ES"/>
        </w:rPr>
      </w:pPr>
    </w:p>
    <w:p w14:paraId="35A55160" w14:textId="3EC554F4" w:rsidR="0094165B" w:rsidRPr="006825BE" w:rsidRDefault="0094165B" w:rsidP="006825BE">
      <w:pPr>
        <w:spacing w:after="120"/>
        <w:jc w:val="both"/>
        <w:rPr>
          <w:rFonts w:asciiTheme="majorHAnsi" w:hAnsiTheme="majorHAnsi" w:cstheme="majorHAnsi"/>
          <w:i/>
        </w:rPr>
      </w:pPr>
      <w:r w:rsidRPr="006825BE">
        <w:rPr>
          <w:rFonts w:asciiTheme="majorHAnsi" w:hAnsiTheme="majorHAnsi" w:cstheme="majorHAnsi"/>
          <w:i/>
        </w:rPr>
        <w:t>Derecho a la Seguridad Social</w:t>
      </w:r>
    </w:p>
    <w:p w14:paraId="222FA2E6" w14:textId="60C03912" w:rsidR="0094165B" w:rsidRPr="006825BE" w:rsidRDefault="00787840" w:rsidP="006825BE">
      <w:pPr>
        <w:spacing w:after="120"/>
        <w:jc w:val="both"/>
        <w:rPr>
          <w:rFonts w:asciiTheme="majorHAnsi" w:hAnsiTheme="majorHAnsi" w:cstheme="majorHAnsi"/>
          <w:b/>
        </w:rPr>
      </w:pPr>
      <w:r w:rsidRPr="006825BE">
        <w:rPr>
          <w:rFonts w:asciiTheme="majorHAnsi" w:hAnsiTheme="majorHAnsi" w:cstheme="majorHAnsi"/>
          <w:b/>
        </w:rPr>
        <w:t>EDWIN</w:t>
      </w:r>
    </w:p>
    <w:p w14:paraId="18890EEC" w14:textId="77777777" w:rsidR="0094165B" w:rsidRPr="006825BE" w:rsidRDefault="0094165B" w:rsidP="006825BE">
      <w:pPr>
        <w:spacing w:after="120"/>
        <w:jc w:val="both"/>
        <w:rPr>
          <w:rFonts w:asciiTheme="majorHAnsi" w:hAnsiTheme="majorHAnsi" w:cstheme="majorHAnsi"/>
        </w:rPr>
      </w:pPr>
      <w:r w:rsidRPr="006825BE">
        <w:rPr>
          <w:rFonts w:asciiTheme="majorHAnsi" w:hAnsiTheme="majorHAnsi" w:cstheme="majorHAnsi"/>
        </w:rPr>
        <w:t xml:space="preserve">Edwin es de nacionalidad peruana tiene 52 años y tiene una enfermedad neurológica degenerativa llamada mal de Huntington. Ingresó a Argentina por primera vez en el año 1996, y desde la fecha registra aportes ante la ANSES hasta el año 2013. En su último DNI otorgado por la Dirección Nacional de Migraciones en el año 2011 se asentó como fecha de ingreso su último movimiento migratorio 2008. </w:t>
      </w:r>
    </w:p>
    <w:p w14:paraId="5D0E4481" w14:textId="77777777" w:rsidR="0094165B" w:rsidRPr="006825BE" w:rsidRDefault="0094165B" w:rsidP="006825BE">
      <w:pPr>
        <w:spacing w:after="120"/>
        <w:jc w:val="both"/>
        <w:rPr>
          <w:rFonts w:asciiTheme="majorHAnsi" w:hAnsiTheme="majorHAnsi" w:cstheme="majorHAnsi"/>
        </w:rPr>
      </w:pPr>
      <w:r w:rsidRPr="006825BE">
        <w:rPr>
          <w:rFonts w:asciiTheme="majorHAnsi" w:hAnsiTheme="majorHAnsi" w:cstheme="majorHAnsi"/>
        </w:rPr>
        <w:t>Edwin hace ya tiempo que no puede trabajar por su enfermedad y Sonia, su esposa, es el único sostén del hogar. Pero no le es fácil conservar los empleos porque debe ocuparse mucho de su esposo, quien se vale por sí mismo para muy pocas cosas.</w:t>
      </w:r>
    </w:p>
    <w:p w14:paraId="076701BA" w14:textId="3FC5EFD7" w:rsidR="0094165B" w:rsidRDefault="0094165B" w:rsidP="006825BE">
      <w:pPr>
        <w:spacing w:after="120"/>
        <w:jc w:val="both"/>
        <w:rPr>
          <w:rFonts w:asciiTheme="majorHAnsi" w:hAnsiTheme="majorHAnsi" w:cstheme="majorHAnsi"/>
        </w:rPr>
      </w:pPr>
      <w:r w:rsidRPr="006825BE">
        <w:rPr>
          <w:rFonts w:asciiTheme="majorHAnsi" w:hAnsiTheme="majorHAnsi" w:cstheme="majorHAnsi"/>
        </w:rPr>
        <w:t>Edwin y su esposa intentaron solicitar una pensión por discapacidad en el año 2016, pero el organismo les indicó que no contaban con el plazo de permanencia necesario para obtenerla. Volvieron a intentarlo en el año 2018, pero nuevamente los rechazaron. En esta oportunidad les indicaron que no contaban con los 20 años requeridos ya que el dato consignado en el DNI no daba cuenta de su permanencia desde 1996.</w:t>
      </w:r>
    </w:p>
    <w:p w14:paraId="21837FD4" w14:textId="77777777" w:rsidR="00787840" w:rsidRPr="006825BE" w:rsidRDefault="00787840" w:rsidP="006825BE">
      <w:pPr>
        <w:spacing w:after="120"/>
        <w:jc w:val="both"/>
        <w:rPr>
          <w:rFonts w:asciiTheme="majorHAnsi" w:hAnsiTheme="majorHAnsi" w:cstheme="majorHAnsi"/>
        </w:rPr>
      </w:pPr>
    </w:p>
    <w:p w14:paraId="15B9EF86" w14:textId="298A7562" w:rsidR="0094165B" w:rsidRPr="006825BE" w:rsidRDefault="00787840" w:rsidP="006825BE">
      <w:pPr>
        <w:spacing w:after="120"/>
        <w:jc w:val="both"/>
        <w:rPr>
          <w:rFonts w:asciiTheme="majorHAnsi" w:hAnsiTheme="majorHAnsi" w:cstheme="majorHAnsi"/>
        </w:rPr>
      </w:pPr>
      <w:r w:rsidRPr="006825BE">
        <w:rPr>
          <w:rFonts w:asciiTheme="majorHAnsi" w:hAnsiTheme="majorHAnsi" w:cstheme="majorHAnsi"/>
          <w:b/>
        </w:rPr>
        <w:t>GUSTAVO</w:t>
      </w:r>
    </w:p>
    <w:p w14:paraId="1926AEF0" w14:textId="77777777" w:rsidR="0094165B" w:rsidRPr="006825BE" w:rsidRDefault="0094165B" w:rsidP="006825BE">
      <w:pPr>
        <w:spacing w:after="120"/>
        <w:jc w:val="both"/>
        <w:rPr>
          <w:rFonts w:asciiTheme="majorHAnsi" w:hAnsiTheme="majorHAnsi" w:cstheme="majorHAnsi"/>
        </w:rPr>
      </w:pPr>
      <w:r w:rsidRPr="006825BE">
        <w:rPr>
          <w:rFonts w:asciiTheme="majorHAnsi" w:hAnsiTheme="majorHAnsi" w:cstheme="majorHAnsi"/>
        </w:rPr>
        <w:t>Gustavo llegó a la Argentina proveniente de Bolivia en el año 1995. En su primera época en el país se dedicó al trabajo en la construcción. Al poco tiempo de empezar a trabajar, Gustavo fue víctima de un hecho delictivo en la Villa 31 del barrio porteño de Retiro, donde además de sufrir el robo de su sueldo, recibió una fuerte golpiza y luego fue dañado con la punta de una botella. Gustavo resultó gravemente herido y de no ser por la atención médica recibida posteriormente, habría muerto producto de aquel episodio. En el Hospital Santa Lucía, Gustavo debió atravesar una larga recuperación, y someterse a varias operaciones de reconstrucción facial. A causa de todo lo narrado, quedó con serias incapacidades físicas y la pérdida de la visión en un ojo.</w:t>
      </w:r>
    </w:p>
    <w:p w14:paraId="7C11FD0F" w14:textId="3EC76AC1" w:rsidR="0094165B" w:rsidRPr="006825BE" w:rsidRDefault="0094165B" w:rsidP="006825BE">
      <w:pPr>
        <w:spacing w:after="120"/>
        <w:jc w:val="both"/>
        <w:rPr>
          <w:rFonts w:asciiTheme="majorHAnsi" w:hAnsiTheme="majorHAnsi" w:cstheme="majorHAnsi"/>
        </w:rPr>
      </w:pPr>
      <w:r w:rsidRPr="006825BE">
        <w:rPr>
          <w:rFonts w:asciiTheme="majorHAnsi" w:hAnsiTheme="majorHAnsi" w:cstheme="majorHAnsi"/>
        </w:rPr>
        <w:t>Al no poder trabajar más debido a su delicada situación física, su situación se fue deteriorando rápidamente, y surgieron numerosos problemas de salud debido a las condiciones de vida en que se encontraba. Luego de una extensa internación por tuberculosis, Gustavo se encontró sin redes en el país y sin recursos para la subsistencia. Dada la situación de calle que debió enfrentar Gustavo, toda la documentación que tenía fue perdida y/o robada, por lo tanto, a pesar de que permanece efectivamente en el país desde el año 1995, tiene radicación desde el 2006, porque siempre le faltaba documentación. A causa de esto, no puede cumplir, formalmente, con el requisito de los 20 años de permanencia en el país para poder cobrar la Pensión por discapacidad. Lograr aquella pensión significa un ingreso fijo para Gustavo y una forma de cambiar su estilo de vida. Para tal fin, se deben arbitrar los medios necesarios para probar la permanencia en el país durante 20 años de Gustavo. En la búsqueda de documentación para este trámite Gustavo ha sido víctima de grandes barreras institucionales muchas de ellas han configurado verdaderos actos de discriminación por parte de trabajadores de instituciones públicas, especialmente en el área de salud.</w:t>
      </w:r>
    </w:p>
    <w:p w14:paraId="0C86CDB5" w14:textId="77777777" w:rsidR="006F285D" w:rsidRPr="006825BE" w:rsidRDefault="006F285D" w:rsidP="006825BE">
      <w:pPr>
        <w:spacing w:after="120"/>
        <w:jc w:val="both"/>
        <w:rPr>
          <w:rFonts w:asciiTheme="majorHAnsi" w:hAnsiTheme="majorHAnsi" w:cstheme="majorHAnsi"/>
        </w:rPr>
      </w:pPr>
    </w:p>
    <w:p w14:paraId="1FA43DDA" w14:textId="77777777" w:rsidR="006F285D" w:rsidRPr="006825BE" w:rsidRDefault="006F285D" w:rsidP="006F285D">
      <w:pPr>
        <w:spacing w:after="120"/>
        <w:jc w:val="both"/>
        <w:rPr>
          <w:rFonts w:asciiTheme="majorHAnsi" w:hAnsiTheme="majorHAnsi" w:cstheme="majorHAnsi"/>
          <w:i/>
        </w:rPr>
      </w:pPr>
      <w:r w:rsidRPr="006825BE">
        <w:rPr>
          <w:rFonts w:asciiTheme="majorHAnsi" w:hAnsiTheme="majorHAnsi" w:cstheme="majorHAnsi"/>
          <w:i/>
        </w:rPr>
        <w:t>-Derecho al Trabajo</w:t>
      </w:r>
    </w:p>
    <w:p w14:paraId="7AE5A796" w14:textId="77777777" w:rsidR="006F285D" w:rsidRPr="006825BE" w:rsidRDefault="006F285D" w:rsidP="006F285D">
      <w:pPr>
        <w:spacing w:after="120"/>
        <w:rPr>
          <w:rFonts w:asciiTheme="majorHAnsi" w:eastAsia="Times New Roman" w:hAnsiTheme="majorHAnsi" w:cstheme="majorHAnsi"/>
          <w:b/>
          <w:color w:val="000000"/>
          <w:lang w:val="es-ES" w:eastAsia="es-ES"/>
        </w:rPr>
      </w:pPr>
      <w:r w:rsidRPr="006825BE">
        <w:rPr>
          <w:rFonts w:asciiTheme="majorHAnsi" w:eastAsia="Times New Roman" w:hAnsiTheme="majorHAnsi" w:cstheme="majorHAnsi"/>
          <w:b/>
          <w:color w:val="000000"/>
          <w:lang w:val="es-ES" w:eastAsia="es-ES"/>
        </w:rPr>
        <w:t>LOODMIA</w:t>
      </w:r>
    </w:p>
    <w:p w14:paraId="575B2C10" w14:textId="77777777" w:rsidR="006F285D" w:rsidRPr="006825BE" w:rsidRDefault="006F285D" w:rsidP="006F285D">
      <w:pPr>
        <w:spacing w:after="120"/>
        <w:jc w:val="both"/>
        <w:rPr>
          <w:rFonts w:asciiTheme="majorHAnsi" w:eastAsia="Times New Roman" w:hAnsiTheme="majorHAnsi" w:cstheme="majorHAnsi"/>
          <w:lang w:val="es-ES" w:eastAsia="es-ES"/>
        </w:rPr>
      </w:pPr>
      <w:proofErr w:type="spellStart"/>
      <w:r w:rsidRPr="006825BE">
        <w:rPr>
          <w:rFonts w:asciiTheme="majorHAnsi" w:eastAsia="Times New Roman" w:hAnsiTheme="majorHAnsi" w:cstheme="majorHAnsi"/>
          <w:color w:val="000000"/>
          <w:lang w:val="es-ES" w:eastAsia="es-ES"/>
        </w:rPr>
        <w:t>Loodmia</w:t>
      </w:r>
      <w:proofErr w:type="spellEnd"/>
      <w:r w:rsidRPr="006825BE">
        <w:rPr>
          <w:rFonts w:asciiTheme="majorHAnsi" w:eastAsia="Times New Roman" w:hAnsiTheme="majorHAnsi" w:cstheme="majorHAnsi"/>
          <w:color w:val="000000"/>
          <w:lang w:val="es-ES" w:eastAsia="es-ES"/>
        </w:rPr>
        <w:t xml:space="preserve"> es una mujer haitiana que accede a una residencia temporaria por el criterio especial para migración haitiana por razones humanitarias. Al vencimiento de su residencia intenta </w:t>
      </w:r>
      <w:proofErr w:type="gramStart"/>
      <w:r w:rsidRPr="006825BE">
        <w:rPr>
          <w:rFonts w:asciiTheme="majorHAnsi" w:eastAsia="Times New Roman" w:hAnsiTheme="majorHAnsi" w:cstheme="majorHAnsi"/>
          <w:color w:val="000000"/>
          <w:lang w:val="es-ES" w:eastAsia="es-ES"/>
        </w:rPr>
        <w:t>renovarla</w:t>
      </w:r>
      <w:proofErr w:type="gramEnd"/>
      <w:r w:rsidRPr="006825BE">
        <w:rPr>
          <w:rFonts w:asciiTheme="majorHAnsi" w:eastAsia="Times New Roman" w:hAnsiTheme="majorHAnsi" w:cstheme="majorHAnsi"/>
          <w:color w:val="000000"/>
          <w:lang w:val="es-ES" w:eastAsia="es-ES"/>
        </w:rPr>
        <w:t xml:space="preserve"> pero desde la DNM le indican que deberá acreditar otro criterio de los establecidos por la ley. En vista de esta nueva situación decide realizarlo bajo el criterio de “Trabajador Migrante” por lo cual le pide a su empleadora que se registre en el sistema Registro Nacional Único de Requirentes de Extranjero -RENURE. La empleadora accede en un primer momento a </w:t>
      </w:r>
      <w:proofErr w:type="gramStart"/>
      <w:r w:rsidRPr="006825BE">
        <w:rPr>
          <w:rFonts w:asciiTheme="majorHAnsi" w:eastAsia="Times New Roman" w:hAnsiTheme="majorHAnsi" w:cstheme="majorHAnsi"/>
          <w:color w:val="000000"/>
          <w:lang w:val="es-ES" w:eastAsia="es-ES"/>
        </w:rPr>
        <w:t>realizarlo</w:t>
      </w:r>
      <w:proofErr w:type="gramEnd"/>
      <w:r w:rsidRPr="006825BE">
        <w:rPr>
          <w:rFonts w:asciiTheme="majorHAnsi" w:eastAsia="Times New Roman" w:hAnsiTheme="majorHAnsi" w:cstheme="majorHAnsi"/>
          <w:color w:val="000000"/>
          <w:lang w:val="es-ES" w:eastAsia="es-ES"/>
        </w:rPr>
        <w:t xml:space="preserve"> pero cuando comienza a informarse sobre los requisitos exigidos para tal inscripción manifiesta sus dudas sobre un aspecto en particular, el requisito h) donde le exigen presentar escritura de inmueble. Este requisito le resulta excesivo y una intromisión a su privacidad.  </w:t>
      </w:r>
      <w:proofErr w:type="gramStart"/>
      <w:r w:rsidRPr="006825BE">
        <w:rPr>
          <w:rFonts w:asciiTheme="majorHAnsi" w:eastAsia="Times New Roman" w:hAnsiTheme="majorHAnsi" w:cstheme="majorHAnsi"/>
          <w:color w:val="000000"/>
          <w:lang w:val="es-ES" w:eastAsia="es-ES"/>
        </w:rPr>
        <w:t>Finalmente</w:t>
      </w:r>
      <w:proofErr w:type="gramEnd"/>
      <w:r w:rsidRPr="006825BE">
        <w:rPr>
          <w:rFonts w:asciiTheme="majorHAnsi" w:eastAsia="Times New Roman" w:hAnsiTheme="majorHAnsi" w:cstheme="majorHAnsi"/>
          <w:color w:val="000000"/>
          <w:lang w:val="es-ES" w:eastAsia="es-ES"/>
        </w:rPr>
        <w:t xml:space="preserve"> la empleadora decide no inscribirse ya que considera que es información personal, que desconoce la finalidad de ese requisito, teme que pueda ponerla en riesgo y que no desea </w:t>
      </w:r>
      <w:proofErr w:type="spellStart"/>
      <w:r w:rsidRPr="006825BE">
        <w:rPr>
          <w:rFonts w:asciiTheme="majorHAnsi" w:eastAsia="Times New Roman" w:hAnsiTheme="majorHAnsi" w:cstheme="majorHAnsi"/>
          <w:color w:val="000000"/>
          <w:lang w:val="es-ES" w:eastAsia="es-ES"/>
        </w:rPr>
        <w:t>brindarsela</w:t>
      </w:r>
      <w:proofErr w:type="spellEnd"/>
      <w:r w:rsidRPr="006825BE">
        <w:rPr>
          <w:rFonts w:asciiTheme="majorHAnsi" w:eastAsia="Times New Roman" w:hAnsiTheme="majorHAnsi" w:cstheme="majorHAnsi"/>
          <w:color w:val="000000"/>
          <w:lang w:val="es-ES" w:eastAsia="es-ES"/>
        </w:rPr>
        <w:t xml:space="preserve"> a este organismo. La empleadora entiende que no hay relación entre la documentación exhaustiva que le solicitan y el objetivo de la inscripción al registro que es la de otorgar criterio a su empleada, teniendo en cuenta que, hasta ese momento la contratación era regular ya que </w:t>
      </w:r>
      <w:proofErr w:type="spellStart"/>
      <w:r w:rsidRPr="006825BE">
        <w:rPr>
          <w:rFonts w:asciiTheme="majorHAnsi" w:eastAsia="Times New Roman" w:hAnsiTheme="majorHAnsi" w:cstheme="majorHAnsi"/>
          <w:color w:val="000000"/>
          <w:lang w:val="es-ES" w:eastAsia="es-ES"/>
        </w:rPr>
        <w:t>Loodmia</w:t>
      </w:r>
      <w:proofErr w:type="spellEnd"/>
      <w:r w:rsidRPr="006825BE">
        <w:rPr>
          <w:rFonts w:asciiTheme="majorHAnsi" w:eastAsia="Times New Roman" w:hAnsiTheme="majorHAnsi" w:cstheme="majorHAnsi"/>
          <w:color w:val="000000"/>
          <w:lang w:val="es-ES" w:eastAsia="es-ES"/>
        </w:rPr>
        <w:t xml:space="preserve"> contaba con residencia vigente. Esto obliga a </w:t>
      </w:r>
      <w:proofErr w:type="spellStart"/>
      <w:r w:rsidRPr="006825BE">
        <w:rPr>
          <w:rFonts w:asciiTheme="majorHAnsi" w:eastAsia="Times New Roman" w:hAnsiTheme="majorHAnsi" w:cstheme="majorHAnsi"/>
          <w:color w:val="000000"/>
          <w:lang w:val="es-ES" w:eastAsia="es-ES"/>
        </w:rPr>
        <w:t>Loodmia</w:t>
      </w:r>
      <w:proofErr w:type="spellEnd"/>
      <w:r w:rsidRPr="006825BE">
        <w:rPr>
          <w:rFonts w:asciiTheme="majorHAnsi" w:eastAsia="Times New Roman" w:hAnsiTheme="majorHAnsi" w:cstheme="majorHAnsi"/>
          <w:color w:val="000000"/>
          <w:lang w:val="es-ES" w:eastAsia="es-ES"/>
        </w:rPr>
        <w:t xml:space="preserve"> a tener que aceptar esta decisión para no comprometer su relación laboral y a ser obligada a buscar otro criterio para radicarse. </w:t>
      </w:r>
    </w:p>
    <w:p w14:paraId="5FB64457" w14:textId="77777777" w:rsidR="006F285D" w:rsidRPr="006825BE" w:rsidRDefault="006F285D" w:rsidP="006F285D">
      <w:pPr>
        <w:spacing w:after="120"/>
        <w:rPr>
          <w:rFonts w:asciiTheme="majorHAnsi" w:eastAsia="Times New Roman" w:hAnsiTheme="majorHAnsi" w:cstheme="majorHAnsi"/>
          <w:lang w:val="es-ES" w:eastAsia="es-ES"/>
        </w:rPr>
      </w:pPr>
    </w:p>
    <w:p w14:paraId="6E68B856" w14:textId="77777777" w:rsidR="006F285D" w:rsidRPr="006825BE" w:rsidRDefault="006F285D" w:rsidP="006F285D">
      <w:pPr>
        <w:spacing w:after="120"/>
        <w:rPr>
          <w:rFonts w:asciiTheme="majorHAnsi" w:eastAsia="Times New Roman" w:hAnsiTheme="majorHAnsi" w:cstheme="majorHAnsi"/>
          <w:color w:val="000000"/>
          <w:lang w:val="es-ES" w:eastAsia="es-ES"/>
        </w:rPr>
      </w:pPr>
      <w:r w:rsidRPr="006825BE">
        <w:rPr>
          <w:rFonts w:asciiTheme="majorHAnsi" w:eastAsia="Times New Roman" w:hAnsiTheme="majorHAnsi" w:cstheme="majorHAnsi"/>
          <w:b/>
          <w:color w:val="000000"/>
          <w:lang w:val="es-ES" w:eastAsia="es-ES"/>
        </w:rPr>
        <w:t>JUANA</w:t>
      </w:r>
    </w:p>
    <w:p w14:paraId="4274A950" w14:textId="77777777" w:rsidR="006F285D" w:rsidRPr="006825BE" w:rsidRDefault="006F285D" w:rsidP="006F285D">
      <w:pPr>
        <w:spacing w:after="120"/>
        <w:jc w:val="both"/>
        <w:rPr>
          <w:rFonts w:asciiTheme="majorHAnsi" w:eastAsia="Times New Roman" w:hAnsiTheme="majorHAnsi" w:cstheme="majorHAnsi"/>
          <w:lang w:val="es-ES" w:eastAsia="es-ES"/>
        </w:rPr>
      </w:pPr>
      <w:r w:rsidRPr="006825BE">
        <w:rPr>
          <w:rFonts w:asciiTheme="majorHAnsi" w:eastAsia="Times New Roman" w:hAnsiTheme="majorHAnsi" w:cstheme="majorHAnsi"/>
          <w:color w:val="000000"/>
          <w:lang w:val="es-ES" w:eastAsia="es-ES"/>
        </w:rPr>
        <w:t>Juana se acercó a CAREF el 25/9/2017. Trabajaba como mantera en Plaza Once, y se anotó en el registro de manteros. Es parapléjica. Cuando vino tenía 48 años. Entró al país en el año 2011. Tiene residencia permanente, certificado de discapacidad y DNI.</w:t>
      </w:r>
    </w:p>
    <w:p w14:paraId="10903576" w14:textId="77777777" w:rsidR="006F285D" w:rsidRPr="006825BE" w:rsidRDefault="006F285D" w:rsidP="006F285D">
      <w:pPr>
        <w:spacing w:after="120"/>
        <w:jc w:val="both"/>
        <w:rPr>
          <w:rFonts w:asciiTheme="majorHAnsi" w:eastAsia="Times New Roman" w:hAnsiTheme="majorHAnsi" w:cstheme="majorHAnsi"/>
          <w:lang w:val="es-ES" w:eastAsia="es-ES"/>
        </w:rPr>
      </w:pPr>
      <w:r w:rsidRPr="006825BE">
        <w:rPr>
          <w:rFonts w:asciiTheme="majorHAnsi" w:eastAsia="Times New Roman" w:hAnsiTheme="majorHAnsi" w:cstheme="majorHAnsi"/>
          <w:color w:val="000000"/>
          <w:lang w:val="es-ES" w:eastAsia="es-ES"/>
        </w:rPr>
        <w:t>En la primera entrevista, manifestó sus ganas de poder ejercer la venta ambulante sin tener problemas con las autoridades (ella vende productos alimenticios). Luego de asesorarla, logró realizar el curso de manipulación de alimentos que exige el Gobierno de la Ciudad de Buenos Aires. Para la realización de este curso y la inscripción al registro de postulantes en la Dirección de Espacio Público del GCBA es requisito contar con DNI.</w:t>
      </w:r>
    </w:p>
    <w:p w14:paraId="075FA9B7" w14:textId="77777777" w:rsidR="006F285D" w:rsidRPr="006825BE" w:rsidRDefault="006F285D" w:rsidP="006F285D">
      <w:pPr>
        <w:spacing w:after="120"/>
        <w:jc w:val="both"/>
        <w:rPr>
          <w:rFonts w:asciiTheme="majorHAnsi" w:eastAsia="Times New Roman" w:hAnsiTheme="majorHAnsi" w:cstheme="majorHAnsi"/>
          <w:lang w:val="es-ES" w:eastAsia="es-ES"/>
        </w:rPr>
      </w:pPr>
      <w:r w:rsidRPr="006825BE">
        <w:rPr>
          <w:rFonts w:asciiTheme="majorHAnsi" w:eastAsia="Times New Roman" w:hAnsiTheme="majorHAnsi" w:cstheme="majorHAnsi"/>
          <w:color w:val="000000"/>
          <w:lang w:val="es-ES" w:eastAsia="es-ES"/>
        </w:rPr>
        <w:t>En agosto de 2018 tomamos conocimiento de que con el número de disposición 1881 quedó inscripta en el registro de postulantes (quedó en el puesto 1514).</w:t>
      </w:r>
    </w:p>
    <w:p w14:paraId="7BFE8DA5" w14:textId="77777777" w:rsidR="006F285D" w:rsidRPr="006825BE" w:rsidRDefault="006F285D" w:rsidP="006F285D">
      <w:pPr>
        <w:spacing w:after="120"/>
        <w:jc w:val="both"/>
        <w:rPr>
          <w:rFonts w:asciiTheme="majorHAnsi" w:eastAsia="Times New Roman" w:hAnsiTheme="majorHAnsi" w:cstheme="majorHAnsi"/>
          <w:lang w:val="es-ES" w:eastAsia="es-ES"/>
        </w:rPr>
      </w:pPr>
      <w:r w:rsidRPr="006825BE">
        <w:rPr>
          <w:rFonts w:asciiTheme="majorHAnsi" w:eastAsia="Times New Roman" w:hAnsiTheme="majorHAnsi" w:cstheme="majorHAnsi"/>
          <w:color w:val="000000"/>
          <w:lang w:val="es-ES" w:eastAsia="es-ES"/>
        </w:rPr>
        <w:t>El 16/05/2019 acompañamos a Juana a la Dirección de Espacio Público del GCBA para consultar cómo iba su puesto en la lista de postulantes. Nos indicaron que no había vacantes abiertas en el momento y no creían que este año se vuelvan a abrir vacantes. </w:t>
      </w:r>
    </w:p>
    <w:p w14:paraId="1EA0F358" w14:textId="77777777" w:rsidR="006F285D" w:rsidRPr="006825BE" w:rsidRDefault="006F285D" w:rsidP="006825BE">
      <w:pPr>
        <w:spacing w:after="120"/>
        <w:jc w:val="both"/>
        <w:rPr>
          <w:rFonts w:asciiTheme="majorHAnsi" w:hAnsiTheme="majorHAnsi" w:cstheme="majorHAnsi"/>
        </w:rPr>
      </w:pPr>
    </w:p>
    <w:p w14:paraId="6C170676" w14:textId="368435A5" w:rsidR="00340CA3" w:rsidRPr="006825BE" w:rsidRDefault="00340CA3" w:rsidP="006825BE">
      <w:pPr>
        <w:spacing w:after="120"/>
        <w:rPr>
          <w:rFonts w:asciiTheme="majorHAnsi" w:eastAsia="Times New Roman" w:hAnsiTheme="majorHAnsi" w:cstheme="majorHAnsi"/>
          <w:i/>
          <w:lang w:val="es-ES" w:eastAsia="es-ES"/>
        </w:rPr>
      </w:pPr>
      <w:r w:rsidRPr="006825BE">
        <w:rPr>
          <w:rFonts w:asciiTheme="majorHAnsi" w:eastAsia="Times New Roman" w:hAnsiTheme="majorHAnsi" w:cstheme="majorHAnsi"/>
          <w:i/>
          <w:lang w:val="es-ES" w:eastAsia="es-ES"/>
        </w:rPr>
        <w:t>Derecho a la Educación</w:t>
      </w:r>
    </w:p>
    <w:p w14:paraId="4A5FD0B5" w14:textId="3B5DD3D5" w:rsidR="00340CA3" w:rsidRPr="006825BE" w:rsidRDefault="00787840" w:rsidP="006825BE">
      <w:pPr>
        <w:spacing w:after="120"/>
        <w:rPr>
          <w:rFonts w:asciiTheme="majorHAnsi" w:eastAsia="Times New Roman" w:hAnsiTheme="majorHAnsi" w:cstheme="majorHAnsi"/>
          <w:color w:val="000000"/>
          <w:lang w:val="es-ES" w:eastAsia="es-ES"/>
        </w:rPr>
      </w:pPr>
      <w:r w:rsidRPr="006825BE">
        <w:rPr>
          <w:rFonts w:asciiTheme="majorHAnsi" w:eastAsia="Times New Roman" w:hAnsiTheme="majorHAnsi" w:cstheme="majorHAnsi"/>
          <w:b/>
          <w:color w:val="000000"/>
          <w:lang w:val="es-ES" w:eastAsia="es-ES"/>
        </w:rPr>
        <w:t>LOURDES</w:t>
      </w:r>
    </w:p>
    <w:p w14:paraId="58D682B3" w14:textId="71AF935D" w:rsidR="00340CA3" w:rsidRPr="006825BE" w:rsidRDefault="00340CA3" w:rsidP="006825BE">
      <w:pPr>
        <w:spacing w:after="120"/>
        <w:jc w:val="both"/>
        <w:rPr>
          <w:rFonts w:asciiTheme="majorHAnsi" w:eastAsia="Times New Roman" w:hAnsiTheme="majorHAnsi" w:cstheme="majorHAnsi"/>
          <w:lang w:val="es-ES" w:eastAsia="es-ES"/>
        </w:rPr>
      </w:pPr>
      <w:r w:rsidRPr="006825BE">
        <w:rPr>
          <w:rFonts w:asciiTheme="majorHAnsi" w:eastAsia="Times New Roman" w:hAnsiTheme="majorHAnsi" w:cstheme="majorHAnsi"/>
          <w:color w:val="000000"/>
          <w:lang w:val="es-ES" w:eastAsia="es-ES"/>
        </w:rPr>
        <w:t xml:space="preserve">Lourdes es una ciudadana proveniente de Asunción de Paraguay que vino al país a realizar sus estudios de posgrado, debido a que es médica pediatra y la especialidad de </w:t>
      </w:r>
      <w:proofErr w:type="spellStart"/>
      <w:r w:rsidRPr="006825BE">
        <w:rPr>
          <w:rFonts w:asciiTheme="majorHAnsi" w:eastAsia="Times New Roman" w:hAnsiTheme="majorHAnsi" w:cstheme="majorHAnsi"/>
          <w:color w:val="000000"/>
          <w:lang w:val="es-ES" w:eastAsia="es-ES"/>
        </w:rPr>
        <w:t>Neumonología</w:t>
      </w:r>
      <w:proofErr w:type="spellEnd"/>
      <w:r w:rsidRPr="006825BE">
        <w:rPr>
          <w:rFonts w:asciiTheme="majorHAnsi" w:eastAsia="Times New Roman" w:hAnsiTheme="majorHAnsi" w:cstheme="majorHAnsi"/>
          <w:color w:val="000000"/>
          <w:lang w:val="es-ES" w:eastAsia="es-ES"/>
        </w:rPr>
        <w:t xml:space="preserve"> infantil no se desarrolla en Paraguay. Es por ello que decide inscribirse al posgrado de la Universidad de Buenos Aires y luego de un proceso de selección queda elegida por los representantes de la sede formadora del Hospital de Pediatría </w:t>
      </w:r>
      <w:proofErr w:type="spellStart"/>
      <w:proofErr w:type="gramStart"/>
      <w:r w:rsidRPr="006825BE">
        <w:rPr>
          <w:rFonts w:asciiTheme="majorHAnsi" w:eastAsia="Times New Roman" w:hAnsiTheme="majorHAnsi" w:cstheme="majorHAnsi"/>
          <w:color w:val="000000"/>
          <w:lang w:val="es-ES" w:eastAsia="es-ES"/>
        </w:rPr>
        <w:t>Prof.Dr.Juan</w:t>
      </w:r>
      <w:proofErr w:type="spellEnd"/>
      <w:proofErr w:type="gramEnd"/>
      <w:r w:rsidRPr="006825BE">
        <w:rPr>
          <w:rFonts w:asciiTheme="majorHAnsi" w:eastAsia="Times New Roman" w:hAnsiTheme="majorHAnsi" w:cstheme="majorHAnsi"/>
          <w:color w:val="000000"/>
          <w:lang w:val="es-ES" w:eastAsia="es-ES"/>
        </w:rPr>
        <w:t xml:space="preserve"> P. </w:t>
      </w:r>
      <w:proofErr w:type="spellStart"/>
      <w:r w:rsidRPr="006825BE">
        <w:rPr>
          <w:rFonts w:asciiTheme="majorHAnsi" w:eastAsia="Times New Roman" w:hAnsiTheme="majorHAnsi" w:cstheme="majorHAnsi"/>
          <w:color w:val="000000"/>
          <w:lang w:val="es-ES" w:eastAsia="es-ES"/>
        </w:rPr>
        <w:t>Garrahan</w:t>
      </w:r>
      <w:proofErr w:type="spellEnd"/>
      <w:r w:rsidRPr="006825BE">
        <w:rPr>
          <w:rFonts w:asciiTheme="majorHAnsi" w:eastAsia="Times New Roman" w:hAnsiTheme="majorHAnsi" w:cstheme="majorHAnsi"/>
          <w:color w:val="000000"/>
          <w:lang w:val="es-ES" w:eastAsia="es-ES"/>
        </w:rPr>
        <w:t>. A partir de ese momento comienza a realizar la renovación de su residencia temporaria que expiraba el 18/05/2019 previamente a la fecha del inicio del posgrado, con la intención de obtener el Certificado de Residencia Precaria y la cita para continuar la gestión de su documento lo antes posible. Lo cual no ocurrió ya que la cita se la otorgan para el 16/10</w:t>
      </w:r>
      <w:r w:rsidR="00120450" w:rsidRPr="006825BE">
        <w:rPr>
          <w:rFonts w:asciiTheme="majorHAnsi" w:eastAsia="Times New Roman" w:hAnsiTheme="majorHAnsi" w:cstheme="majorHAnsi"/>
          <w:color w:val="000000"/>
          <w:lang w:val="es-ES" w:eastAsia="es-ES"/>
        </w:rPr>
        <w:t>/2019 y las actividades del pos</w:t>
      </w:r>
      <w:r w:rsidRPr="006825BE">
        <w:rPr>
          <w:rFonts w:asciiTheme="majorHAnsi" w:eastAsia="Times New Roman" w:hAnsiTheme="majorHAnsi" w:cstheme="majorHAnsi"/>
          <w:color w:val="000000"/>
          <w:lang w:val="es-ES" w:eastAsia="es-ES"/>
        </w:rPr>
        <w:t xml:space="preserve">grado iniciaban el 03/06/2019, situación que comprometía su Matrícula Nacional de </w:t>
      </w:r>
      <w:r w:rsidR="00120450" w:rsidRPr="006825BE">
        <w:rPr>
          <w:rFonts w:asciiTheme="majorHAnsi" w:eastAsia="Times New Roman" w:hAnsiTheme="majorHAnsi" w:cstheme="majorHAnsi"/>
          <w:color w:val="000000"/>
          <w:lang w:val="es-ES" w:eastAsia="es-ES"/>
        </w:rPr>
        <w:t>Médico,</w:t>
      </w:r>
      <w:r w:rsidRPr="006825BE">
        <w:rPr>
          <w:rFonts w:asciiTheme="majorHAnsi" w:eastAsia="Times New Roman" w:hAnsiTheme="majorHAnsi" w:cstheme="majorHAnsi"/>
          <w:color w:val="000000"/>
          <w:lang w:val="es-ES" w:eastAsia="es-ES"/>
        </w:rPr>
        <w:t xml:space="preserve"> que la habilitaba sólo para la realización del posgrado y la dejaba inhabilitada para desempeñar las tareas que el servicio de </w:t>
      </w:r>
      <w:proofErr w:type="spellStart"/>
      <w:r w:rsidRPr="006825BE">
        <w:rPr>
          <w:rFonts w:asciiTheme="majorHAnsi" w:eastAsia="Times New Roman" w:hAnsiTheme="majorHAnsi" w:cstheme="majorHAnsi"/>
          <w:color w:val="000000"/>
          <w:lang w:val="es-ES" w:eastAsia="es-ES"/>
        </w:rPr>
        <w:t>Neumonología</w:t>
      </w:r>
      <w:proofErr w:type="spellEnd"/>
      <w:r w:rsidRPr="006825BE">
        <w:rPr>
          <w:rFonts w:asciiTheme="majorHAnsi" w:eastAsia="Times New Roman" w:hAnsiTheme="majorHAnsi" w:cstheme="majorHAnsi"/>
          <w:color w:val="000000"/>
          <w:lang w:val="es-ES" w:eastAsia="es-ES"/>
        </w:rPr>
        <w:t xml:space="preserve"> del hospital requería.</w:t>
      </w:r>
      <w:r w:rsidR="00120450" w:rsidRPr="006825BE">
        <w:rPr>
          <w:rFonts w:asciiTheme="majorHAnsi" w:eastAsia="Times New Roman" w:hAnsiTheme="majorHAnsi" w:cstheme="majorHAnsi"/>
          <w:color w:val="000000"/>
          <w:lang w:val="es-ES" w:eastAsia="es-ES"/>
        </w:rPr>
        <w:t xml:space="preserve"> </w:t>
      </w:r>
      <w:r w:rsidRPr="006825BE">
        <w:rPr>
          <w:rFonts w:asciiTheme="majorHAnsi" w:eastAsia="Times New Roman" w:hAnsiTheme="majorHAnsi" w:cstheme="majorHAnsi"/>
          <w:color w:val="000000"/>
          <w:lang w:val="es-ES" w:eastAsia="es-ES"/>
        </w:rPr>
        <w:t xml:space="preserve">Es por ello que realiza varias presentaciones ante la delegación de Migraciones de Pilar solicitando un adelantamiento del turno ya que el tiempo transcurrido hasta la cita comprometía su incorporación para el desarrollo de su carrera, ninguna de sus gestiones tuvo respuesta favorable. Con este panorama se acerca hasta la institución CAREF donde se elabora una nueva nota acompañando documental </w:t>
      </w:r>
      <w:proofErr w:type="spellStart"/>
      <w:r w:rsidRPr="006825BE">
        <w:rPr>
          <w:rFonts w:asciiTheme="majorHAnsi" w:eastAsia="Times New Roman" w:hAnsiTheme="majorHAnsi" w:cstheme="majorHAnsi"/>
          <w:color w:val="000000"/>
          <w:lang w:val="es-ES" w:eastAsia="es-ES"/>
        </w:rPr>
        <w:t>respaldatoria</w:t>
      </w:r>
      <w:proofErr w:type="spellEnd"/>
      <w:r w:rsidRPr="006825BE">
        <w:rPr>
          <w:rFonts w:asciiTheme="majorHAnsi" w:eastAsia="Times New Roman" w:hAnsiTheme="majorHAnsi" w:cstheme="majorHAnsi"/>
          <w:color w:val="000000"/>
          <w:lang w:val="es-ES" w:eastAsia="es-ES"/>
        </w:rPr>
        <w:t xml:space="preserve"> de todo lo sucedido y se presenta ante la delegación en julio de este año la cual a la fecha sigue sin respuesta. </w:t>
      </w:r>
    </w:p>
    <w:p w14:paraId="3A0278EB" w14:textId="77777777" w:rsidR="00984133" w:rsidRPr="006825BE" w:rsidRDefault="00984133" w:rsidP="006825BE">
      <w:pPr>
        <w:spacing w:after="120"/>
        <w:jc w:val="both"/>
        <w:rPr>
          <w:rFonts w:asciiTheme="majorHAnsi" w:hAnsiTheme="majorHAnsi" w:cstheme="majorHAnsi"/>
        </w:rPr>
      </w:pPr>
    </w:p>
    <w:p w14:paraId="79B7E3C0" w14:textId="00A2E20C" w:rsidR="005C6C49" w:rsidRPr="006825BE" w:rsidRDefault="005C6C49" w:rsidP="006825BE">
      <w:pPr>
        <w:spacing w:after="120"/>
        <w:jc w:val="both"/>
        <w:rPr>
          <w:rFonts w:asciiTheme="majorHAnsi" w:hAnsiTheme="majorHAnsi" w:cstheme="majorHAnsi"/>
          <w:i/>
        </w:rPr>
      </w:pPr>
      <w:r w:rsidRPr="006825BE">
        <w:rPr>
          <w:rFonts w:asciiTheme="majorHAnsi" w:hAnsiTheme="majorHAnsi" w:cstheme="majorHAnsi"/>
          <w:i/>
        </w:rPr>
        <w:t>Derecho a la vivienda</w:t>
      </w:r>
    </w:p>
    <w:p w14:paraId="6A7AB55A" w14:textId="3EAAC631" w:rsidR="00340CA3" w:rsidRPr="006825BE" w:rsidRDefault="00787840" w:rsidP="006825BE">
      <w:pPr>
        <w:spacing w:after="120"/>
        <w:jc w:val="both"/>
        <w:rPr>
          <w:rFonts w:asciiTheme="majorHAnsi" w:hAnsiTheme="majorHAnsi" w:cstheme="majorHAnsi"/>
          <w:b/>
        </w:rPr>
      </w:pPr>
      <w:r w:rsidRPr="006825BE">
        <w:rPr>
          <w:rFonts w:asciiTheme="majorHAnsi" w:hAnsiTheme="majorHAnsi" w:cstheme="majorHAnsi"/>
          <w:b/>
        </w:rPr>
        <w:t>MERCEDES</w:t>
      </w:r>
    </w:p>
    <w:p w14:paraId="57DDD6F4" w14:textId="50EAB681" w:rsidR="005C6C49" w:rsidRPr="006825BE" w:rsidRDefault="005C6C49" w:rsidP="006825BE">
      <w:pPr>
        <w:spacing w:after="120"/>
        <w:jc w:val="both"/>
        <w:rPr>
          <w:rFonts w:asciiTheme="majorHAnsi" w:hAnsiTheme="majorHAnsi" w:cstheme="majorHAnsi"/>
        </w:rPr>
      </w:pPr>
      <w:r w:rsidRPr="006825BE">
        <w:rPr>
          <w:rFonts w:asciiTheme="majorHAnsi" w:hAnsiTheme="majorHAnsi" w:cstheme="majorHAnsi"/>
        </w:rPr>
        <w:t>Mercedes es una mujer boliviana que vive en Argentina desde el año 2015 junto a su marido, su hijo de 5 años y su suegro. Actualmente cursa un embarazo de 5 meses. Al momento de llegar a Argentina tramitó su DNI y el de su familia. Luego se encontraron en situación de calle durante más de un año, razón por la cual extraviaron documentación y no les fue posible tramitar la renovación de sus documentos argentinos. Solicitaron ante el G</w:t>
      </w:r>
      <w:r w:rsidR="006825BE" w:rsidRPr="006825BE">
        <w:rPr>
          <w:rFonts w:asciiTheme="majorHAnsi" w:hAnsiTheme="majorHAnsi" w:cstheme="majorHAnsi"/>
        </w:rPr>
        <w:t xml:space="preserve">obierno de la Ciudad de Buenos Aires </w:t>
      </w:r>
      <w:r w:rsidRPr="006825BE">
        <w:rPr>
          <w:rFonts w:asciiTheme="majorHAnsi" w:hAnsiTheme="majorHAnsi" w:cstheme="majorHAnsi"/>
        </w:rPr>
        <w:t xml:space="preserve">un subsidio habitacional para gestionar la </w:t>
      </w:r>
      <w:proofErr w:type="gramStart"/>
      <w:r w:rsidRPr="006825BE">
        <w:rPr>
          <w:rFonts w:asciiTheme="majorHAnsi" w:hAnsiTheme="majorHAnsi" w:cstheme="majorHAnsi"/>
        </w:rPr>
        <w:t>vivienda</w:t>
      </w:r>
      <w:proofErr w:type="gramEnd"/>
      <w:r w:rsidRPr="006825BE">
        <w:rPr>
          <w:rFonts w:asciiTheme="majorHAnsi" w:hAnsiTheme="majorHAnsi" w:cstheme="majorHAnsi"/>
        </w:rPr>
        <w:t xml:space="preserve"> pero rechazaron su trámite. El rechazo se funda en que no pueden acreditar la permanencia durante dos años en la ciudad. Para esto, Mercedes presentó su DNI vencido donde consta su domicilio en Ciudad de Buenos Aires, pero el Ministerio de Desarrollo Humano y Hábitat, no lo reconoce como evidencia ya que no se encuentra vigente. Todo el grupo familiar está tramitando nuevamente su documentación, pero hasta tanto no se resuelva no podrán acceder a este programa.</w:t>
      </w:r>
    </w:p>
    <w:p w14:paraId="52EFB7CF" w14:textId="77777777" w:rsidR="006825BE" w:rsidRDefault="006825BE">
      <w:pPr>
        <w:spacing w:after="120" w:line="240" w:lineRule="auto"/>
        <w:jc w:val="both"/>
      </w:pPr>
    </w:p>
    <w:p w14:paraId="000000F9" w14:textId="77777777" w:rsidR="00EA4D3D" w:rsidRPr="006825BE" w:rsidRDefault="00296A74" w:rsidP="00296A74">
      <w:pPr>
        <w:spacing w:after="120" w:line="240" w:lineRule="auto"/>
        <w:jc w:val="both"/>
        <w:rPr>
          <w:b/>
          <w:color w:val="000000"/>
          <w:u w:val="single"/>
        </w:rPr>
      </w:pPr>
      <w:r w:rsidRPr="006825BE">
        <w:rPr>
          <w:b/>
          <w:color w:val="000000"/>
          <w:u w:val="single"/>
        </w:rPr>
        <w:t>Preguntas sugeridas</w:t>
      </w:r>
    </w:p>
    <w:p w14:paraId="000000FA" w14:textId="05B772DF" w:rsidR="00EA4D3D" w:rsidRPr="00BE7740" w:rsidRDefault="00296A74" w:rsidP="00BE7740">
      <w:pPr>
        <w:numPr>
          <w:ilvl w:val="0"/>
          <w:numId w:val="12"/>
        </w:numPr>
        <w:pBdr>
          <w:top w:val="nil"/>
          <w:left w:val="nil"/>
          <w:bottom w:val="nil"/>
          <w:right w:val="nil"/>
          <w:between w:val="nil"/>
        </w:pBdr>
        <w:spacing w:after="0" w:line="240" w:lineRule="auto"/>
        <w:jc w:val="both"/>
        <w:rPr>
          <w:color w:val="000000"/>
        </w:rPr>
      </w:pPr>
      <w:r w:rsidRPr="00BE7740">
        <w:rPr>
          <w:color w:val="000000"/>
        </w:rPr>
        <w:t xml:space="preserve">¿Qué medidas está adoptando el Estado para impedir las medidas legislativas que retroceden en el acceso igualitario de los DESC entre nacionales y migrantes? </w:t>
      </w:r>
    </w:p>
    <w:p w14:paraId="000000FB" w14:textId="42199BB2" w:rsidR="00EA4D3D" w:rsidRPr="00BE7740" w:rsidRDefault="00296A74" w:rsidP="00BE7740">
      <w:pPr>
        <w:numPr>
          <w:ilvl w:val="0"/>
          <w:numId w:val="12"/>
        </w:numPr>
        <w:pBdr>
          <w:top w:val="nil"/>
          <w:left w:val="nil"/>
          <w:bottom w:val="nil"/>
          <w:right w:val="nil"/>
          <w:between w:val="nil"/>
        </w:pBdr>
        <w:spacing w:after="0" w:line="240" w:lineRule="auto"/>
        <w:jc w:val="both"/>
        <w:rPr>
          <w:color w:val="000000"/>
        </w:rPr>
      </w:pPr>
      <w:r w:rsidRPr="00BE7740">
        <w:rPr>
          <w:color w:val="000000"/>
        </w:rPr>
        <w:t xml:space="preserve">¿Cuál es el fundamento para llevar a cabo procedimientos de control migratorio, por medio de una aplicación de celular, a los centros de salud y educación cuando uno de los efectos de estos mecanismos es impedir el ejercicio de estos derechos por las personas migrantes? En este sentido, ¿qué medidas está tomando el Estado para </w:t>
      </w:r>
      <w:r w:rsidR="00CA21DD">
        <w:rPr>
          <w:color w:val="000000"/>
        </w:rPr>
        <w:t>dejar sin efecto este mecanismo</w:t>
      </w:r>
      <w:r w:rsidRPr="00BE7740">
        <w:rPr>
          <w:color w:val="000000"/>
        </w:rPr>
        <w:t xml:space="preserve">?  </w:t>
      </w:r>
    </w:p>
    <w:p w14:paraId="000000FC" w14:textId="0507F0CC" w:rsidR="00EA4D3D" w:rsidRPr="00BE7740" w:rsidRDefault="00296A74" w:rsidP="00BE7740">
      <w:pPr>
        <w:numPr>
          <w:ilvl w:val="0"/>
          <w:numId w:val="12"/>
        </w:numPr>
        <w:pBdr>
          <w:top w:val="nil"/>
          <w:left w:val="nil"/>
          <w:bottom w:val="nil"/>
          <w:right w:val="nil"/>
          <w:between w:val="nil"/>
        </w:pBdr>
        <w:spacing w:after="0" w:line="240" w:lineRule="auto"/>
        <w:jc w:val="both"/>
        <w:rPr>
          <w:color w:val="000000"/>
        </w:rPr>
      </w:pPr>
      <w:r w:rsidRPr="00BE7740">
        <w:rPr>
          <w:color w:val="000000"/>
        </w:rPr>
        <w:t>¿Qué medidas ha adoptado el Estado para la inserción laboral de las personas migrantes que se han visto perjudicadas por el desmantelamiento de talleres textiles, ferias y puestos callejeros? En este sentido, ¿Por qué el Estado no reconoce el trabajo autónomo como un criterio para acceder al permiso de residencia?</w:t>
      </w:r>
    </w:p>
    <w:p w14:paraId="000000FD" w14:textId="244911DA" w:rsidR="00EA4D3D" w:rsidRPr="00BE7740" w:rsidRDefault="00296A74" w:rsidP="00BE7740">
      <w:pPr>
        <w:numPr>
          <w:ilvl w:val="0"/>
          <w:numId w:val="12"/>
        </w:numPr>
        <w:pBdr>
          <w:top w:val="nil"/>
          <w:left w:val="nil"/>
          <w:bottom w:val="nil"/>
          <w:right w:val="nil"/>
          <w:between w:val="nil"/>
        </w:pBdr>
        <w:spacing w:after="0" w:line="240" w:lineRule="auto"/>
        <w:jc w:val="both"/>
        <w:rPr>
          <w:color w:val="000000"/>
        </w:rPr>
      </w:pPr>
      <w:r w:rsidRPr="00BE7740">
        <w:rPr>
          <w:color w:val="000000"/>
        </w:rPr>
        <w:t xml:space="preserve">¿Qué medidas pretende adoptar el Estado a fin de adecuar su legislación en materia de seguridad social con respecto a los estándares internacionales de no discriminación con motivo de la nacionalidad? </w:t>
      </w:r>
    </w:p>
    <w:p w14:paraId="000000FE" w14:textId="0CD2911F" w:rsidR="00EA4D3D" w:rsidRDefault="00296A74" w:rsidP="00BE7740">
      <w:pPr>
        <w:numPr>
          <w:ilvl w:val="0"/>
          <w:numId w:val="12"/>
        </w:numPr>
        <w:pBdr>
          <w:top w:val="nil"/>
          <w:left w:val="nil"/>
          <w:bottom w:val="nil"/>
          <w:right w:val="nil"/>
          <w:between w:val="nil"/>
        </w:pBdr>
        <w:spacing w:after="0" w:line="240" w:lineRule="auto"/>
        <w:jc w:val="both"/>
        <w:rPr>
          <w:color w:val="000000"/>
        </w:rPr>
      </w:pPr>
      <w:r w:rsidRPr="00BE7740">
        <w:rPr>
          <w:color w:val="000000"/>
        </w:rPr>
        <w:t>¿Qué acciones se están implementando, para que, en todos los centros de salud y las entidades educativas del país, se garantice a todos los migrantes e hijos de migrantes, el acceso a la salud y la educación, sin distinción alguna en razón de su condición migratoria?</w:t>
      </w:r>
    </w:p>
    <w:p w14:paraId="560DC54F" w14:textId="77777777" w:rsidR="00BE7740" w:rsidRPr="00BE7740" w:rsidRDefault="00BE7740" w:rsidP="00BE7740">
      <w:pPr>
        <w:pBdr>
          <w:top w:val="nil"/>
          <w:left w:val="nil"/>
          <w:bottom w:val="nil"/>
          <w:right w:val="nil"/>
          <w:between w:val="nil"/>
        </w:pBdr>
        <w:spacing w:after="0" w:line="240" w:lineRule="auto"/>
        <w:ind w:left="720"/>
        <w:jc w:val="both"/>
        <w:rPr>
          <w:color w:val="000000"/>
        </w:rPr>
      </w:pPr>
    </w:p>
    <w:p w14:paraId="000000FF" w14:textId="77777777" w:rsidR="00EA4D3D" w:rsidRPr="0089185D" w:rsidRDefault="00296A74" w:rsidP="0089185D">
      <w:pPr>
        <w:spacing w:after="120"/>
        <w:jc w:val="both"/>
        <w:rPr>
          <w:b/>
          <w:color w:val="000000"/>
          <w:u w:val="single"/>
        </w:rPr>
      </w:pPr>
      <w:r w:rsidRPr="0089185D">
        <w:rPr>
          <w:b/>
          <w:color w:val="000000"/>
          <w:u w:val="single"/>
        </w:rPr>
        <w:t>Recomendaciones sugeridas</w:t>
      </w:r>
    </w:p>
    <w:p w14:paraId="15F45E9F" w14:textId="43420330" w:rsidR="00376229" w:rsidRPr="00BE7740" w:rsidRDefault="00376229" w:rsidP="002F3CE9">
      <w:pPr>
        <w:numPr>
          <w:ilvl w:val="0"/>
          <w:numId w:val="13"/>
        </w:numPr>
        <w:pBdr>
          <w:top w:val="nil"/>
          <w:left w:val="nil"/>
          <w:bottom w:val="nil"/>
          <w:right w:val="nil"/>
          <w:between w:val="nil"/>
        </w:pBdr>
        <w:spacing w:after="0" w:line="240" w:lineRule="auto"/>
        <w:jc w:val="both"/>
        <w:rPr>
          <w:color w:val="000000"/>
        </w:rPr>
      </w:pPr>
      <w:r w:rsidRPr="00BE7740">
        <w:rPr>
          <w:color w:val="000000"/>
        </w:rPr>
        <w:t xml:space="preserve">Tomar las medidas necesarias para derogar la ley 6116 de la provincia de Jujuy que establece el cobro del acceso a la salud a las y los migrantes transitorios. </w:t>
      </w:r>
      <w:r w:rsidR="00296A74" w:rsidRPr="00BE7740">
        <w:rPr>
          <w:color w:val="000000"/>
        </w:rPr>
        <w:t xml:space="preserve"> </w:t>
      </w:r>
    </w:p>
    <w:p w14:paraId="00000100" w14:textId="7B7E7F5A" w:rsidR="00EA4D3D" w:rsidRPr="00BE7740" w:rsidRDefault="00296A74" w:rsidP="002F3CE9">
      <w:pPr>
        <w:numPr>
          <w:ilvl w:val="0"/>
          <w:numId w:val="13"/>
        </w:numPr>
        <w:pBdr>
          <w:top w:val="nil"/>
          <w:left w:val="nil"/>
          <w:bottom w:val="nil"/>
          <w:right w:val="nil"/>
          <w:between w:val="nil"/>
        </w:pBdr>
        <w:spacing w:after="0" w:line="240" w:lineRule="auto"/>
        <w:jc w:val="both"/>
        <w:rPr>
          <w:color w:val="000000"/>
        </w:rPr>
      </w:pPr>
      <w:r w:rsidRPr="00BE7740">
        <w:rPr>
          <w:color w:val="000000"/>
        </w:rPr>
        <w:t xml:space="preserve">Abstenerse de implementar mecanismos de control migratorio en los establecimientos de servicios públicos, ya que funcionan como una barrera para el ejercicio de los DESC por la población migrante. </w:t>
      </w:r>
    </w:p>
    <w:p w14:paraId="00000101" w14:textId="22E66C25" w:rsidR="00EA4D3D" w:rsidRPr="00BE7740" w:rsidRDefault="00296A74" w:rsidP="002F3CE9">
      <w:pPr>
        <w:numPr>
          <w:ilvl w:val="0"/>
          <w:numId w:val="13"/>
        </w:numPr>
        <w:pBdr>
          <w:top w:val="nil"/>
          <w:left w:val="nil"/>
          <w:bottom w:val="nil"/>
          <w:right w:val="nil"/>
          <w:between w:val="nil"/>
        </w:pBdr>
        <w:spacing w:after="0" w:line="240" w:lineRule="auto"/>
        <w:jc w:val="both"/>
        <w:rPr>
          <w:color w:val="000000"/>
        </w:rPr>
      </w:pPr>
      <w:r w:rsidRPr="00BE7740">
        <w:rPr>
          <w:color w:val="000000"/>
        </w:rPr>
        <w:t>Asegurar que, en todos los centros de salud y las entidades educativas del país, se garantice a todas las persona</w:t>
      </w:r>
      <w:r w:rsidR="00C51955">
        <w:rPr>
          <w:color w:val="000000"/>
        </w:rPr>
        <w:t>s migrantes y sus hijos e hijas</w:t>
      </w:r>
      <w:r w:rsidRPr="00BE7740">
        <w:rPr>
          <w:color w:val="000000"/>
        </w:rPr>
        <w:t xml:space="preserve"> el acceso a la salud y a la educación sin distinción alguna en razón de su condición migratoria. </w:t>
      </w:r>
    </w:p>
    <w:p w14:paraId="00000102" w14:textId="41919D20" w:rsidR="00EA4D3D" w:rsidRPr="00BE7740" w:rsidRDefault="00296A74" w:rsidP="002F3CE9">
      <w:pPr>
        <w:numPr>
          <w:ilvl w:val="0"/>
          <w:numId w:val="13"/>
        </w:numPr>
        <w:pBdr>
          <w:top w:val="nil"/>
          <w:left w:val="nil"/>
          <w:bottom w:val="nil"/>
          <w:right w:val="nil"/>
          <w:between w:val="nil"/>
        </w:pBdr>
        <w:spacing w:after="0" w:line="240" w:lineRule="auto"/>
        <w:jc w:val="both"/>
        <w:rPr>
          <w:color w:val="000000"/>
        </w:rPr>
      </w:pPr>
      <w:r w:rsidRPr="00BE7740">
        <w:rPr>
          <w:color w:val="000000"/>
        </w:rPr>
        <w:t>Adecuar su normativa en materia de pensiones no contributivas y de asignaciones familiares a los estándares internacionales de no discriminación con motivo de la nacionalidad a fin de eliminar las disparidades en el acceso al derecho a la seguridad social.</w:t>
      </w:r>
    </w:p>
    <w:p w14:paraId="05B37129" w14:textId="600F3D15" w:rsidR="00B552E8" w:rsidRPr="00BE7740" w:rsidRDefault="00B552E8" w:rsidP="002F3CE9">
      <w:pPr>
        <w:numPr>
          <w:ilvl w:val="0"/>
          <w:numId w:val="13"/>
        </w:numPr>
        <w:pBdr>
          <w:top w:val="nil"/>
          <w:left w:val="nil"/>
          <w:bottom w:val="nil"/>
          <w:right w:val="nil"/>
          <w:between w:val="nil"/>
        </w:pBdr>
        <w:spacing w:after="0" w:line="240" w:lineRule="auto"/>
        <w:jc w:val="both"/>
        <w:rPr>
          <w:color w:val="000000"/>
        </w:rPr>
      </w:pPr>
      <w:r w:rsidRPr="00BE7740">
        <w:rPr>
          <w:color w:val="000000"/>
        </w:rPr>
        <w:t>Ampliar el alcance de los subsidios habitacionales a la población migrante en condición de vulnerabilidad.</w:t>
      </w:r>
    </w:p>
    <w:p w14:paraId="4CA44B86" w14:textId="41D92CEE" w:rsidR="00140BE0" w:rsidRPr="00BE7740" w:rsidRDefault="00140BE0" w:rsidP="002F3CE9">
      <w:pPr>
        <w:numPr>
          <w:ilvl w:val="0"/>
          <w:numId w:val="13"/>
        </w:numPr>
        <w:pBdr>
          <w:top w:val="nil"/>
          <w:left w:val="nil"/>
          <w:bottom w:val="nil"/>
          <w:right w:val="nil"/>
          <w:between w:val="nil"/>
        </w:pBdr>
        <w:spacing w:after="0" w:line="240" w:lineRule="auto"/>
        <w:jc w:val="both"/>
        <w:rPr>
          <w:color w:val="000000"/>
        </w:rPr>
      </w:pPr>
      <w:r w:rsidRPr="00BE7740">
        <w:rPr>
          <w:color w:val="000000"/>
        </w:rPr>
        <w:t>Tomar medidas para garantizar las condiciones de acceso a la educación pública sin distinción. En particular eliminar los costos de los exámenes de idioma o brindar una alternativa en forma gratuita.</w:t>
      </w:r>
    </w:p>
    <w:p w14:paraId="4961A279" w14:textId="4A10DAEF" w:rsidR="00376229" w:rsidRPr="00BE7740" w:rsidRDefault="00BE7740" w:rsidP="002F3CE9">
      <w:pPr>
        <w:numPr>
          <w:ilvl w:val="0"/>
          <w:numId w:val="13"/>
        </w:numPr>
        <w:pBdr>
          <w:top w:val="nil"/>
          <w:left w:val="nil"/>
          <w:bottom w:val="nil"/>
          <w:right w:val="nil"/>
          <w:between w:val="nil"/>
        </w:pBdr>
        <w:spacing w:after="0" w:line="240" w:lineRule="auto"/>
        <w:jc w:val="both"/>
        <w:rPr>
          <w:color w:val="000000"/>
        </w:rPr>
      </w:pPr>
      <w:r>
        <w:rPr>
          <w:color w:val="000000"/>
        </w:rPr>
        <w:t>T</w:t>
      </w:r>
      <w:r w:rsidR="00376229" w:rsidRPr="00BE7740">
        <w:rPr>
          <w:color w:val="000000"/>
        </w:rPr>
        <w:t>omar las medidas necesarias para la eliminación de prácticas administrativas que resulten un obstáculo o dilación arbitraria para la tramitación de los programas sociales y el ejercicio del derecho a la seguridad social.</w:t>
      </w:r>
    </w:p>
    <w:p w14:paraId="00000106" w14:textId="77777777" w:rsidR="00EA4D3D" w:rsidRPr="005F207F" w:rsidRDefault="00EA4D3D">
      <w:pPr>
        <w:spacing w:after="120" w:line="240" w:lineRule="auto"/>
        <w:jc w:val="both"/>
        <w:rPr>
          <w:rFonts w:asciiTheme="majorHAnsi" w:hAnsiTheme="majorHAnsi" w:cstheme="majorHAnsi"/>
        </w:rPr>
      </w:pPr>
    </w:p>
    <w:p w14:paraId="00000107" w14:textId="77777777" w:rsidR="00EA4D3D" w:rsidRPr="005F207F" w:rsidRDefault="00EA4D3D">
      <w:pPr>
        <w:spacing w:after="120" w:line="240" w:lineRule="auto"/>
        <w:jc w:val="both"/>
        <w:rPr>
          <w:rFonts w:asciiTheme="majorHAnsi" w:hAnsiTheme="majorHAnsi" w:cstheme="majorHAnsi"/>
        </w:rPr>
      </w:pPr>
    </w:p>
    <w:p w14:paraId="00000108" w14:textId="77777777" w:rsidR="00EA4D3D" w:rsidRPr="005F207F" w:rsidRDefault="00EA4D3D">
      <w:pPr>
        <w:spacing w:after="120" w:line="240" w:lineRule="auto"/>
        <w:jc w:val="both"/>
        <w:rPr>
          <w:rFonts w:asciiTheme="majorHAnsi" w:hAnsiTheme="majorHAnsi" w:cstheme="majorHAnsi"/>
        </w:rPr>
      </w:pPr>
    </w:p>
    <w:p w14:paraId="00000109" w14:textId="77777777" w:rsidR="00EA4D3D" w:rsidRDefault="00EA4D3D">
      <w:pPr>
        <w:spacing w:after="120" w:line="240" w:lineRule="auto"/>
        <w:jc w:val="both"/>
      </w:pPr>
    </w:p>
    <w:p w14:paraId="0000010A" w14:textId="77777777" w:rsidR="00EA4D3D" w:rsidRDefault="00EA4D3D">
      <w:pPr>
        <w:jc w:val="both"/>
      </w:pPr>
    </w:p>
    <w:p w14:paraId="0000010B" w14:textId="77777777" w:rsidR="00EA4D3D" w:rsidRDefault="00EA4D3D">
      <w:pPr>
        <w:jc w:val="both"/>
      </w:pPr>
      <w:bookmarkStart w:id="1" w:name="_gjdgxs" w:colFirst="0" w:colLast="0"/>
      <w:bookmarkEnd w:id="1"/>
    </w:p>
    <w:sectPr w:rsidR="00EA4D3D">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B2C0B1" w14:textId="77777777" w:rsidR="003F1AD4" w:rsidRDefault="003F1AD4">
      <w:pPr>
        <w:spacing w:after="0" w:line="240" w:lineRule="auto"/>
      </w:pPr>
      <w:r>
        <w:separator/>
      </w:r>
    </w:p>
  </w:endnote>
  <w:endnote w:type="continuationSeparator" w:id="0">
    <w:p w14:paraId="45E47757" w14:textId="77777777" w:rsidR="003F1AD4" w:rsidRDefault="003F1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7D407F" w14:textId="77777777" w:rsidR="003F1AD4" w:rsidRDefault="003F1AD4">
      <w:pPr>
        <w:spacing w:after="0" w:line="240" w:lineRule="auto"/>
      </w:pPr>
      <w:r>
        <w:separator/>
      </w:r>
    </w:p>
  </w:footnote>
  <w:footnote w:type="continuationSeparator" w:id="0">
    <w:p w14:paraId="0B4C8FFD" w14:textId="77777777" w:rsidR="003F1AD4" w:rsidRDefault="003F1AD4">
      <w:pPr>
        <w:spacing w:after="0" w:line="240" w:lineRule="auto"/>
      </w:pPr>
      <w:r>
        <w:continuationSeparator/>
      </w:r>
    </w:p>
  </w:footnote>
  <w:footnote w:id="1">
    <w:p w14:paraId="0000010C" w14:textId="77777777" w:rsidR="003F1AD4" w:rsidRPr="00433A54" w:rsidRDefault="003F1AD4" w:rsidP="00433A54">
      <w:pPr>
        <w:pBdr>
          <w:top w:val="nil"/>
          <w:left w:val="nil"/>
          <w:bottom w:val="nil"/>
          <w:right w:val="nil"/>
          <w:between w:val="nil"/>
        </w:pBdr>
        <w:spacing w:after="0" w:line="240" w:lineRule="auto"/>
        <w:jc w:val="both"/>
        <w:rPr>
          <w:color w:val="000000"/>
          <w:sz w:val="18"/>
          <w:szCs w:val="18"/>
        </w:rPr>
      </w:pPr>
      <w:r w:rsidRPr="00433A54">
        <w:rPr>
          <w:sz w:val="18"/>
          <w:szCs w:val="18"/>
          <w:vertAlign w:val="superscript"/>
        </w:rPr>
        <w:footnoteRef/>
      </w:r>
      <w:r w:rsidRPr="00433A54">
        <w:rPr>
          <w:color w:val="000000"/>
          <w:sz w:val="18"/>
          <w:szCs w:val="18"/>
        </w:rPr>
        <w:t xml:space="preserve"> La Ley 25.871 y su Decreto Reglamentario 616/2010 establecieron la igualdad de derechos entre nacionales y migrantes, la regularización migratoria como una obligación del Estado y un derecho de la persona migrante, el derecho a la unidad familiar y el debido proceso, el derecho a la defensa y el acceso a la justicia en cualquier trámite migratorio, incluidos los procedimientos de regularización, expulsión o detención. Concretamente, el DNU (a.) Viola el debido proceso y el acceso a la justicia de las personas migrantes al crear un procedimiento de expulsión sumarísimo para determinadas categorías de migrantes; (b.) Viola el carácter excepcional de la detención por razones migratorias al ampliar los supuestos para el dictado de detenciones preventivas y al ampliar los plazos y condiciones para la detención; (c.) Criminaliza a las personas migrantes al vincular migración y delito.</w:t>
      </w:r>
    </w:p>
  </w:footnote>
  <w:footnote w:id="2">
    <w:p w14:paraId="3FDCEF14" w14:textId="2E0B59D5" w:rsidR="003F1AD4" w:rsidRPr="00433A54" w:rsidRDefault="003F1AD4" w:rsidP="00433A54">
      <w:pPr>
        <w:pStyle w:val="FootnoteText"/>
        <w:spacing w:after="0"/>
        <w:jc w:val="both"/>
        <w:rPr>
          <w:sz w:val="18"/>
          <w:szCs w:val="18"/>
        </w:rPr>
      </w:pPr>
      <w:r w:rsidRPr="00433A54">
        <w:rPr>
          <w:rStyle w:val="FootnoteReference"/>
          <w:sz w:val="18"/>
          <w:szCs w:val="18"/>
        </w:rPr>
        <w:footnoteRef/>
      </w:r>
      <w:r w:rsidRPr="00433A54">
        <w:rPr>
          <w:sz w:val="18"/>
          <w:szCs w:val="18"/>
        </w:rPr>
        <w:t xml:space="preserve"> Párr. 34 El Estado debe: “b) Derogar o enmendar las disposiciones del Decreto de Necesidad y Urgencia núm. 70/2017 con el fin de que las personas sujetas a expulsión puedan disponer de tiempo suficiente para recurrir la misma a nivel administrativo y judicial y accedan a asistencia jurídica gratuita inmediata durante el proceso de expulsión en todas las instancias”. (CAT/C/ARG/CO/5-6). Disponible en https://tbinternet.ohchr.org/_layouts/treatybodyexternal/Download.aspx?symbolno=CAT%2fC%2fARG%2fCO%2f5-6&amp;Lang=en</w:t>
      </w:r>
    </w:p>
  </w:footnote>
  <w:footnote w:id="3">
    <w:p w14:paraId="0E2088ED" w14:textId="0B3725EF" w:rsidR="003F1AD4" w:rsidRPr="00433A54" w:rsidRDefault="003F1AD4" w:rsidP="00433A54">
      <w:pPr>
        <w:pStyle w:val="FootnoteText"/>
        <w:spacing w:after="0"/>
        <w:jc w:val="both"/>
        <w:rPr>
          <w:sz w:val="18"/>
          <w:szCs w:val="18"/>
        </w:rPr>
      </w:pPr>
      <w:r w:rsidRPr="00433A54">
        <w:rPr>
          <w:rStyle w:val="FootnoteReference"/>
          <w:sz w:val="18"/>
          <w:szCs w:val="18"/>
        </w:rPr>
        <w:footnoteRef/>
      </w:r>
      <w:r w:rsidRPr="00433A54">
        <w:rPr>
          <w:sz w:val="18"/>
          <w:szCs w:val="18"/>
        </w:rPr>
        <w:t xml:space="preserve"> Párr. 39: “El Comité considera preocupante que continúe aplicándose el Decreto de Necesidad y Urgencia núm. 70/2017, pese a ser considerado inconstitucional, así como sus posibles efectos negativos sobre la unidad familiar y el interés superior de los niños migrantes. El Comité insta al Estado parte a que derogue el Decreto núm. 70/2017, a fin de que, en los casos de migración, se respete el derecho del niño a que su interés superior sea una consideración primordial, y se preserve la unidad familiar.” Disponible en https://tbinternet.ohchr.org/_layouts/treatybodyexternal/Download.aspx?symbolno=CRC%2fC%2fARG%2fCO%2f5-6&amp;Lang=en</w:t>
      </w:r>
    </w:p>
  </w:footnote>
  <w:footnote w:id="4">
    <w:p w14:paraId="19907311" w14:textId="50B3D6C6" w:rsidR="003F1AD4" w:rsidRPr="00433A54" w:rsidRDefault="003F1AD4" w:rsidP="00433A54">
      <w:pPr>
        <w:pStyle w:val="FootnoteText"/>
        <w:spacing w:after="0"/>
        <w:jc w:val="both"/>
        <w:rPr>
          <w:sz w:val="18"/>
          <w:szCs w:val="18"/>
        </w:rPr>
      </w:pPr>
      <w:r w:rsidRPr="00433A54">
        <w:rPr>
          <w:rStyle w:val="FootnoteReference"/>
          <w:sz w:val="18"/>
          <w:szCs w:val="18"/>
        </w:rPr>
        <w:footnoteRef/>
      </w:r>
      <w:r w:rsidRPr="00433A54">
        <w:rPr>
          <w:sz w:val="18"/>
          <w:szCs w:val="18"/>
        </w:rPr>
        <w:t xml:space="preserve"> Párr. 26.: “Preocupan al Comité las barreras a la regularización y el acceso a servicios sociales de los migrantes. Preocupa también al Comité, el impacto negativo del requisito de largo período de residencia legal en el país para el acceso a la protección social, que obstaculiza la integración local de los refugiados y solicitantes de asilo (art. 2, párr. 2).” Y Párr. 27: “El Comité recomienda al Estado parte: a) Eliminar las barreras legales y administrativas que impiden el acceso a las políticas sociales de los migrantes y facilitar su regularización, en particular flexibilizando el requisito de residencia legal para acceder a la Asignación Universal por Hijo. Disponible en https://tbinternet.ohchr.org/_layouts/treatybodyexternal/Download.aspx?symbolno=E%2fC.12%2fARG%2fCO%2f4&amp;Lang=en</w:t>
      </w:r>
    </w:p>
  </w:footnote>
  <w:footnote w:id="5">
    <w:p w14:paraId="4BC50F7F" w14:textId="073F3A02" w:rsidR="003F1AD4" w:rsidRPr="00A25726" w:rsidRDefault="003F1AD4" w:rsidP="00A25726">
      <w:pPr>
        <w:pStyle w:val="FootnoteText"/>
        <w:spacing w:after="0" w:line="240" w:lineRule="auto"/>
        <w:jc w:val="both"/>
        <w:rPr>
          <w:sz w:val="18"/>
          <w:szCs w:val="18"/>
          <w:lang w:val="es-419"/>
        </w:rPr>
      </w:pPr>
      <w:r w:rsidRPr="00A25726">
        <w:rPr>
          <w:rStyle w:val="FootnoteReference"/>
          <w:sz w:val="18"/>
          <w:szCs w:val="18"/>
        </w:rPr>
        <w:footnoteRef/>
      </w:r>
      <w:r w:rsidRPr="00A25726">
        <w:rPr>
          <w:sz w:val="18"/>
          <w:szCs w:val="18"/>
        </w:rPr>
        <w:t xml:space="preserve"> </w:t>
      </w:r>
      <w:r w:rsidRPr="00A25726">
        <w:rPr>
          <w:sz w:val="18"/>
          <w:szCs w:val="18"/>
          <w:lang w:val="es-419"/>
        </w:rPr>
        <w:t xml:space="preserve">La ley de migraciones 25.871 en su artículo 70 introduce el término “retención” para nombrar a la privación de la libertad solicitada por la DNM y autorizada por jueces en lo contencioso administrativo federal. Esta denominación responde a la necesidad de distinguir esta situación de la detención ordenada en el marco de un proceso penal. Sin embargo, los efectos en las personas son los mismos, la “retención” es una modalidad de privación de la libertad en el ámbito administrativo. </w:t>
      </w:r>
    </w:p>
  </w:footnote>
  <w:footnote w:id="6">
    <w:p w14:paraId="0000010D" w14:textId="77777777" w:rsidR="003F1AD4" w:rsidRDefault="003F1AD4" w:rsidP="00A25726">
      <w:pPr>
        <w:pBdr>
          <w:top w:val="nil"/>
          <w:left w:val="nil"/>
          <w:bottom w:val="nil"/>
          <w:right w:val="nil"/>
          <w:between w:val="nil"/>
        </w:pBdr>
        <w:spacing w:after="0" w:line="240" w:lineRule="auto"/>
        <w:jc w:val="both"/>
        <w:rPr>
          <w:color w:val="000000"/>
          <w:sz w:val="20"/>
          <w:szCs w:val="20"/>
        </w:rPr>
      </w:pPr>
      <w:r w:rsidRPr="00A25726">
        <w:rPr>
          <w:sz w:val="18"/>
          <w:szCs w:val="18"/>
          <w:vertAlign w:val="superscript"/>
        </w:rPr>
        <w:footnoteRef/>
      </w:r>
      <w:r w:rsidRPr="00A25726">
        <w:rPr>
          <w:color w:val="000000"/>
          <w:sz w:val="18"/>
          <w:szCs w:val="18"/>
        </w:rPr>
        <w:t xml:space="preserve"> “En el caso en que el extranjero retenido </w:t>
      </w:r>
      <w:proofErr w:type="gramStart"/>
      <w:r w:rsidRPr="00A25726">
        <w:rPr>
          <w:color w:val="000000"/>
          <w:sz w:val="18"/>
          <w:szCs w:val="18"/>
        </w:rPr>
        <w:t>alegara</w:t>
      </w:r>
      <w:proofErr w:type="gramEnd"/>
      <w:r w:rsidRPr="00A25726">
        <w:rPr>
          <w:color w:val="000000"/>
          <w:sz w:val="18"/>
          <w:szCs w:val="18"/>
        </w:rPr>
        <w:t xml:space="preserve"> como hecho nuevo ser progenitor de argentino nativo menor de edad o con discapacidad, la DIRECCIÓN NACIONAL DE MIGRACIONES deberá suspender por DOS (2) días hábiles la ejecución de la medida de expulsión a los fines de constatar la veracidad de los hechos y resolver si se otorgará o no dispensa conforme lo dispuesto por los artículos 29 y 62 de la presente.”</w:t>
      </w:r>
    </w:p>
  </w:footnote>
  <w:footnote w:id="7">
    <w:p w14:paraId="0000010E" w14:textId="58212835" w:rsidR="003F1AD4" w:rsidRPr="00876C77" w:rsidRDefault="003F1AD4" w:rsidP="00500175">
      <w:pPr>
        <w:pBdr>
          <w:top w:val="nil"/>
          <w:left w:val="nil"/>
          <w:bottom w:val="nil"/>
          <w:right w:val="nil"/>
          <w:between w:val="nil"/>
        </w:pBdr>
        <w:spacing w:after="0" w:line="240" w:lineRule="auto"/>
        <w:jc w:val="both"/>
        <w:rPr>
          <w:color w:val="000000"/>
          <w:sz w:val="18"/>
          <w:szCs w:val="18"/>
        </w:rPr>
      </w:pPr>
      <w:r w:rsidRPr="00876C77">
        <w:rPr>
          <w:sz w:val="18"/>
          <w:szCs w:val="18"/>
          <w:vertAlign w:val="superscript"/>
        </w:rPr>
        <w:footnoteRef/>
      </w:r>
      <w:r w:rsidRPr="00876C77">
        <w:rPr>
          <w:color w:val="000000"/>
          <w:sz w:val="18"/>
          <w:szCs w:val="18"/>
        </w:rPr>
        <w:t xml:space="preserve"> En 2014 se efectuaron 22 expulsiones, en 2015 fueron 4, en 2016 33, en 2017 fueron 75 y en 2018 el total llegó, a octubre, en 150. Este número no incluye los extrañamientos, es decir las expulsiones de condenados cumpliendo pena, cuyo promedio se mantuvo más o menos estable, con un aumento alrededor de 30%: en 2014 fueron 318, en 2015 235, en 2016 290, en 2017 414 y en 2018, a octubre, 370. </w:t>
      </w:r>
    </w:p>
  </w:footnote>
  <w:footnote w:id="8">
    <w:p w14:paraId="0000010F" w14:textId="77777777" w:rsidR="003F1AD4" w:rsidRPr="00876C77" w:rsidRDefault="003F1AD4" w:rsidP="00500175">
      <w:pPr>
        <w:pBdr>
          <w:top w:val="nil"/>
          <w:left w:val="nil"/>
          <w:bottom w:val="nil"/>
          <w:right w:val="nil"/>
          <w:between w:val="nil"/>
        </w:pBdr>
        <w:spacing w:after="0" w:line="240" w:lineRule="auto"/>
        <w:jc w:val="both"/>
        <w:rPr>
          <w:color w:val="000000"/>
          <w:sz w:val="18"/>
          <w:szCs w:val="18"/>
        </w:rPr>
      </w:pPr>
      <w:r w:rsidRPr="00876C77">
        <w:rPr>
          <w:sz w:val="18"/>
          <w:szCs w:val="18"/>
          <w:vertAlign w:val="superscript"/>
        </w:rPr>
        <w:footnoteRef/>
      </w:r>
      <w:r w:rsidRPr="00876C77">
        <w:rPr>
          <w:color w:val="000000"/>
          <w:sz w:val="18"/>
          <w:szCs w:val="18"/>
        </w:rPr>
        <w:t xml:space="preserve"> El DNU 70/2017 ha cambiado el carácter fehaciente de la notificación, que podrá ser ahora por</w:t>
      </w:r>
    </w:p>
    <w:p w14:paraId="00000110" w14:textId="77777777" w:rsidR="003F1AD4" w:rsidRPr="00876C77" w:rsidRDefault="003F1AD4" w:rsidP="00500175">
      <w:pPr>
        <w:pBdr>
          <w:top w:val="nil"/>
          <w:left w:val="nil"/>
          <w:bottom w:val="nil"/>
          <w:right w:val="nil"/>
          <w:between w:val="nil"/>
        </w:pBdr>
        <w:spacing w:after="0" w:line="240" w:lineRule="auto"/>
        <w:jc w:val="both"/>
        <w:rPr>
          <w:color w:val="000000"/>
          <w:sz w:val="18"/>
          <w:szCs w:val="18"/>
        </w:rPr>
      </w:pPr>
      <w:r w:rsidRPr="00876C77">
        <w:rPr>
          <w:color w:val="000000"/>
          <w:sz w:val="18"/>
          <w:szCs w:val="18"/>
        </w:rPr>
        <w:t>mesa de entrada o por correo electrónico.</w:t>
      </w:r>
    </w:p>
  </w:footnote>
  <w:footnote w:id="9">
    <w:p w14:paraId="00000111" w14:textId="77777777" w:rsidR="003F1AD4" w:rsidRPr="00876C77" w:rsidRDefault="003F1AD4" w:rsidP="00500175">
      <w:pPr>
        <w:pBdr>
          <w:top w:val="nil"/>
          <w:left w:val="nil"/>
          <w:bottom w:val="nil"/>
          <w:right w:val="nil"/>
          <w:between w:val="nil"/>
        </w:pBdr>
        <w:spacing w:after="0" w:line="240" w:lineRule="auto"/>
        <w:jc w:val="both"/>
        <w:rPr>
          <w:color w:val="000000"/>
          <w:sz w:val="18"/>
          <w:szCs w:val="18"/>
        </w:rPr>
      </w:pPr>
      <w:r w:rsidRPr="00876C77">
        <w:rPr>
          <w:sz w:val="18"/>
          <w:szCs w:val="18"/>
          <w:vertAlign w:val="superscript"/>
        </w:rPr>
        <w:footnoteRef/>
      </w:r>
      <w:r w:rsidRPr="00876C77">
        <w:rPr>
          <w:color w:val="000000"/>
          <w:sz w:val="18"/>
          <w:szCs w:val="18"/>
        </w:rPr>
        <w:t xml:space="preserve"> El DNU 70/2017 ha cambiado el artículo 86 de la Ley de Migraciones que obligaba a la DNM a dar</w:t>
      </w:r>
    </w:p>
    <w:p w14:paraId="00000112" w14:textId="77777777" w:rsidR="003F1AD4" w:rsidRPr="00876C77" w:rsidRDefault="003F1AD4" w:rsidP="00500175">
      <w:pPr>
        <w:pBdr>
          <w:top w:val="nil"/>
          <w:left w:val="nil"/>
          <w:bottom w:val="nil"/>
          <w:right w:val="nil"/>
          <w:between w:val="nil"/>
        </w:pBdr>
        <w:spacing w:after="0" w:line="240" w:lineRule="auto"/>
        <w:jc w:val="both"/>
        <w:rPr>
          <w:color w:val="000000"/>
          <w:sz w:val="18"/>
          <w:szCs w:val="18"/>
        </w:rPr>
      </w:pPr>
      <w:r w:rsidRPr="00876C77">
        <w:rPr>
          <w:color w:val="000000"/>
          <w:sz w:val="18"/>
          <w:szCs w:val="18"/>
        </w:rPr>
        <w:t>intervención a la defensa pública en los casos de expulsión, suspendiendo los plazos hasta que la</w:t>
      </w:r>
    </w:p>
    <w:p w14:paraId="00000113" w14:textId="77777777" w:rsidR="003F1AD4" w:rsidRPr="00876C77" w:rsidRDefault="003F1AD4" w:rsidP="00500175">
      <w:pPr>
        <w:pBdr>
          <w:top w:val="nil"/>
          <w:left w:val="nil"/>
          <w:bottom w:val="nil"/>
          <w:right w:val="nil"/>
          <w:between w:val="nil"/>
        </w:pBdr>
        <w:spacing w:after="0" w:line="240" w:lineRule="auto"/>
        <w:jc w:val="both"/>
        <w:rPr>
          <w:color w:val="000000"/>
          <w:sz w:val="18"/>
          <w:szCs w:val="18"/>
        </w:rPr>
      </w:pPr>
      <w:r w:rsidRPr="00876C77">
        <w:rPr>
          <w:color w:val="000000"/>
          <w:sz w:val="18"/>
          <w:szCs w:val="18"/>
        </w:rPr>
        <w:t>defensa estuviera formalmente constituida. A partir del DNU, esta intervención deja de ser</w:t>
      </w:r>
    </w:p>
    <w:p w14:paraId="00000114" w14:textId="77777777" w:rsidR="003F1AD4" w:rsidRPr="00876C77" w:rsidRDefault="003F1AD4" w:rsidP="00500175">
      <w:pPr>
        <w:pBdr>
          <w:top w:val="nil"/>
          <w:left w:val="nil"/>
          <w:bottom w:val="nil"/>
          <w:right w:val="nil"/>
          <w:between w:val="nil"/>
        </w:pBdr>
        <w:spacing w:after="0" w:line="240" w:lineRule="auto"/>
        <w:jc w:val="both"/>
        <w:rPr>
          <w:color w:val="000000"/>
          <w:sz w:val="18"/>
          <w:szCs w:val="18"/>
        </w:rPr>
      </w:pPr>
      <w:r w:rsidRPr="00876C77">
        <w:rPr>
          <w:color w:val="000000"/>
          <w:sz w:val="18"/>
          <w:szCs w:val="18"/>
        </w:rPr>
        <w:t xml:space="preserve">obligatoria y pasa a ser a pedido de la persona migrante con evaluación discrecional de la DNM. Esto no obsta a que las y los migrantes busquen por su cuenta a la defensa pública. </w:t>
      </w:r>
    </w:p>
  </w:footnote>
  <w:footnote w:id="10">
    <w:p w14:paraId="00000115" w14:textId="77777777" w:rsidR="003F1AD4" w:rsidRDefault="003F1AD4" w:rsidP="00500175">
      <w:pPr>
        <w:pBdr>
          <w:top w:val="nil"/>
          <w:left w:val="nil"/>
          <w:bottom w:val="nil"/>
          <w:right w:val="nil"/>
          <w:between w:val="nil"/>
        </w:pBdr>
        <w:spacing w:after="0" w:line="240" w:lineRule="auto"/>
        <w:jc w:val="both"/>
        <w:rPr>
          <w:color w:val="000000"/>
          <w:sz w:val="20"/>
          <w:szCs w:val="20"/>
        </w:rPr>
      </w:pPr>
      <w:r w:rsidRPr="00876C77">
        <w:rPr>
          <w:sz w:val="18"/>
          <w:szCs w:val="18"/>
          <w:vertAlign w:val="superscript"/>
        </w:rPr>
        <w:footnoteRef/>
      </w:r>
      <w:r w:rsidRPr="00876C77">
        <w:rPr>
          <w:color w:val="000000"/>
          <w:sz w:val="18"/>
          <w:szCs w:val="18"/>
        </w:rPr>
        <w:t xml:space="preserve"> El DNU eliminó la precisión legal de que, ante una solicitud de retención, el juez debería suspenderla una vez acreditado el vínculo familiar con un argentino y determinar que se habilitara la regularización migratoria. El DNU sólo habilita la revisión por unidad familiar si es un hecho nuevo no analizado por la administración y si se relaciona con hijo menor de edad o con discapacidad.</w:t>
      </w:r>
    </w:p>
  </w:footnote>
  <w:footnote w:id="11">
    <w:p w14:paraId="00000116" w14:textId="77777777" w:rsidR="003F1AD4" w:rsidRPr="00876C77" w:rsidRDefault="003F1AD4">
      <w:pPr>
        <w:pBdr>
          <w:top w:val="nil"/>
          <w:left w:val="nil"/>
          <w:bottom w:val="nil"/>
          <w:right w:val="nil"/>
          <w:between w:val="nil"/>
        </w:pBdr>
        <w:spacing w:after="0" w:line="240" w:lineRule="auto"/>
        <w:rPr>
          <w:color w:val="000000"/>
          <w:sz w:val="18"/>
          <w:szCs w:val="18"/>
        </w:rPr>
      </w:pPr>
      <w:r w:rsidRPr="00876C77">
        <w:rPr>
          <w:sz w:val="18"/>
          <w:szCs w:val="18"/>
          <w:vertAlign w:val="superscript"/>
        </w:rPr>
        <w:footnoteRef/>
      </w:r>
      <w:r w:rsidRPr="00876C77">
        <w:rPr>
          <w:color w:val="000000"/>
          <w:sz w:val="18"/>
          <w:szCs w:val="18"/>
        </w:rPr>
        <w:t xml:space="preserve"> Cámara De Apelaciones en lo Contenciosos Administrativo y Federal, Sala IV, “Chávez Ruiz </w:t>
      </w:r>
      <w:proofErr w:type="spellStart"/>
      <w:r w:rsidRPr="00876C77">
        <w:rPr>
          <w:color w:val="000000"/>
          <w:sz w:val="18"/>
          <w:szCs w:val="18"/>
        </w:rPr>
        <w:t>Digmar</w:t>
      </w:r>
      <w:proofErr w:type="spellEnd"/>
      <w:r w:rsidRPr="00876C77">
        <w:rPr>
          <w:color w:val="000000"/>
          <w:sz w:val="18"/>
          <w:szCs w:val="18"/>
        </w:rPr>
        <w:t xml:space="preserve"> Félix c/ EN – Mo Interior – Resol. no 311/12 – DNM – </w:t>
      </w:r>
      <w:proofErr w:type="spellStart"/>
      <w:r w:rsidRPr="00876C77">
        <w:rPr>
          <w:color w:val="000000"/>
          <w:sz w:val="18"/>
          <w:szCs w:val="18"/>
        </w:rPr>
        <w:t>Expte</w:t>
      </w:r>
      <w:proofErr w:type="spellEnd"/>
      <w:r w:rsidRPr="00876C77">
        <w:rPr>
          <w:color w:val="000000"/>
          <w:sz w:val="18"/>
          <w:szCs w:val="18"/>
        </w:rPr>
        <w:t xml:space="preserve">. no 2291578/07 y </w:t>
      </w:r>
      <w:proofErr w:type="spellStart"/>
      <w:r w:rsidRPr="00876C77">
        <w:rPr>
          <w:color w:val="000000"/>
          <w:sz w:val="18"/>
          <w:szCs w:val="18"/>
        </w:rPr>
        <w:t>otro s</w:t>
      </w:r>
      <w:proofErr w:type="spellEnd"/>
      <w:r w:rsidRPr="00876C77">
        <w:rPr>
          <w:color w:val="000000"/>
          <w:sz w:val="18"/>
          <w:szCs w:val="18"/>
        </w:rPr>
        <w:t xml:space="preserve">/Recurso Directo DNM”, causa no 25.164/12, resolución del 01/12/16 y sentencia definitiva del 27/06/17; “Contreras Trujillo Edward Rafael c/ EN – </w:t>
      </w:r>
      <w:proofErr w:type="spellStart"/>
      <w:r w:rsidRPr="00876C77">
        <w:rPr>
          <w:color w:val="000000"/>
          <w:sz w:val="18"/>
          <w:szCs w:val="18"/>
        </w:rPr>
        <w:t>M°</w:t>
      </w:r>
      <w:proofErr w:type="spellEnd"/>
      <w:r w:rsidRPr="00876C77">
        <w:rPr>
          <w:color w:val="000000"/>
          <w:sz w:val="18"/>
          <w:szCs w:val="18"/>
        </w:rPr>
        <w:t xml:space="preserve"> Interior – Resol. n° 1237/11 – DNM – Disp. n° 140.388/09 – </w:t>
      </w:r>
      <w:proofErr w:type="spellStart"/>
      <w:r w:rsidRPr="00876C77">
        <w:rPr>
          <w:color w:val="000000"/>
          <w:sz w:val="18"/>
          <w:szCs w:val="18"/>
        </w:rPr>
        <w:t>Expte</w:t>
      </w:r>
      <w:proofErr w:type="spellEnd"/>
      <w:r w:rsidRPr="00876C77">
        <w:rPr>
          <w:color w:val="000000"/>
          <w:sz w:val="18"/>
          <w:szCs w:val="18"/>
        </w:rPr>
        <w:t>. n°2.412.125 s/ Recurso directo para juzgados”, causa n° 47.748/11, del 04/05/17, y CSJN, “Rodríguez Ricardo s/ Extradición”, del 10/11/15; “Pérez La cuesta Adolfo Alfonso s/ Solicitud de extradición República Oriental del Uruguay”, del 29/12/15; “Villalba Ramírez Claudio Érico s/Extradición”, del 13/09/16; Fallos: 338:342; 339:906; 339:1357.</w:t>
      </w:r>
    </w:p>
  </w:footnote>
  <w:footnote w:id="12">
    <w:p w14:paraId="00000117" w14:textId="77777777" w:rsidR="003F1AD4" w:rsidRDefault="003F1AD4">
      <w:pPr>
        <w:pBdr>
          <w:top w:val="nil"/>
          <w:left w:val="nil"/>
          <w:bottom w:val="nil"/>
          <w:right w:val="nil"/>
          <w:between w:val="nil"/>
        </w:pBdr>
        <w:spacing w:after="0" w:line="240" w:lineRule="auto"/>
        <w:rPr>
          <w:color w:val="000000"/>
          <w:sz w:val="20"/>
          <w:szCs w:val="20"/>
        </w:rPr>
      </w:pPr>
      <w:r w:rsidRPr="00876C77">
        <w:rPr>
          <w:sz w:val="18"/>
          <w:szCs w:val="18"/>
          <w:vertAlign w:val="superscript"/>
        </w:rPr>
        <w:footnoteRef/>
      </w:r>
      <w:r w:rsidRPr="00876C77">
        <w:rPr>
          <w:color w:val="000000"/>
          <w:sz w:val="18"/>
          <w:szCs w:val="18"/>
        </w:rPr>
        <w:t xml:space="preserve"> Disponible en </w:t>
      </w:r>
      <w:hyperlink r:id="rId1">
        <w:r w:rsidRPr="00876C77">
          <w:rPr>
            <w:color w:val="0000FF"/>
            <w:sz w:val="18"/>
            <w:szCs w:val="18"/>
            <w:u w:val="single"/>
          </w:rPr>
          <w:t>https://drive.google.com/file/d/1wwkta6DXZrHuEYimg11R4c_YxBHIn_90/view</w:t>
        </w:r>
      </w:hyperlink>
      <w:r>
        <w:rPr>
          <w:color w:val="000000"/>
          <w:sz w:val="20"/>
          <w:szCs w:val="20"/>
        </w:rPr>
        <w:t xml:space="preserve"> </w:t>
      </w:r>
    </w:p>
  </w:footnote>
  <w:footnote w:id="13">
    <w:p w14:paraId="00000118" w14:textId="77777777" w:rsidR="003F1AD4" w:rsidRPr="00876C77" w:rsidRDefault="003F1AD4">
      <w:pPr>
        <w:pBdr>
          <w:top w:val="nil"/>
          <w:left w:val="nil"/>
          <w:bottom w:val="nil"/>
          <w:right w:val="nil"/>
          <w:between w:val="nil"/>
        </w:pBdr>
        <w:spacing w:after="0" w:line="240" w:lineRule="auto"/>
        <w:jc w:val="both"/>
        <w:rPr>
          <w:color w:val="000000"/>
          <w:sz w:val="18"/>
          <w:szCs w:val="18"/>
        </w:rPr>
      </w:pPr>
      <w:r w:rsidRPr="00876C77">
        <w:rPr>
          <w:sz w:val="18"/>
          <w:szCs w:val="18"/>
          <w:vertAlign w:val="superscript"/>
        </w:rPr>
        <w:footnoteRef/>
      </w:r>
      <w:r w:rsidRPr="00876C77">
        <w:rPr>
          <w:color w:val="000000"/>
          <w:sz w:val="18"/>
          <w:szCs w:val="18"/>
        </w:rPr>
        <w:t xml:space="preserve"> Los programas de regularización migratoria –destacados por este Comité en su último informe sobre la Argentina de 2011 - tuvieron sin duda en los últimos años gran impacto en el número de las resoluciones de residencia permanente y temporaria resueltas y garantizaron una mayor celeridad y transparencia en el proceso.  Las cifras oficiales entre 2004 </w:t>
      </w:r>
      <w:proofErr w:type="gramStart"/>
      <w:r w:rsidRPr="00876C77">
        <w:rPr>
          <w:color w:val="000000"/>
          <w:sz w:val="18"/>
          <w:szCs w:val="18"/>
        </w:rPr>
        <w:t>y  el</w:t>
      </w:r>
      <w:proofErr w:type="gramEnd"/>
      <w:r w:rsidRPr="00876C77">
        <w:rPr>
          <w:color w:val="000000"/>
          <w:sz w:val="18"/>
          <w:szCs w:val="18"/>
        </w:rPr>
        <w:t xml:space="preserve">  primer  semestre  de  2015  indican  que  se  iniciaron  en  total 2.332.389 de solicitudes en las diferentes categorías de residencia de las cuales fueron resueltas un total de 2.158.601  radicaciones  en el país. El 86,7% (1.870.194) de estas radicaciones resueltas se dio durante el período 2008-‐20158, tras la implementación y ajustes de programas y políticas de regularización migratoria – muchos de los cuales fueron solicitados por este Comité.</w:t>
      </w:r>
    </w:p>
  </w:footnote>
  <w:footnote w:id="14">
    <w:p w14:paraId="00000119" w14:textId="77777777" w:rsidR="003F1AD4" w:rsidRDefault="003F1AD4">
      <w:pPr>
        <w:spacing w:after="0" w:line="240" w:lineRule="auto"/>
        <w:jc w:val="both"/>
        <w:rPr>
          <w:color w:val="000000"/>
          <w:sz w:val="18"/>
          <w:szCs w:val="18"/>
        </w:rPr>
      </w:pPr>
      <w:r>
        <w:rPr>
          <w:vertAlign w:val="superscript"/>
        </w:rPr>
        <w:footnoteRef/>
      </w:r>
      <w:r>
        <w:rPr>
          <w:color w:val="000000"/>
          <w:sz w:val="18"/>
          <w:szCs w:val="18"/>
        </w:rPr>
        <w:t xml:space="preserve"> Aumento de tasas migratorias </w:t>
      </w:r>
      <w:hyperlink r:id="rId2">
        <w:r>
          <w:rPr>
            <w:color w:val="0000FF"/>
            <w:sz w:val="18"/>
            <w:szCs w:val="18"/>
            <w:u w:val="single"/>
          </w:rPr>
          <w:t>http://www.choloconche.com.ar/2016/08/25/aumentan-entre-el-200-y-el-600-las-tasas-migratorias-en-argentina/</w:t>
        </w:r>
      </w:hyperlink>
      <w:r>
        <w:rPr>
          <w:color w:val="000000"/>
          <w:sz w:val="18"/>
          <w:szCs w:val="18"/>
        </w:rPr>
        <w:t xml:space="preserve"> </w:t>
      </w:r>
    </w:p>
  </w:footnote>
  <w:footnote w:id="15">
    <w:p w14:paraId="0000011A" w14:textId="77777777" w:rsidR="003F1AD4" w:rsidRDefault="003F1AD4">
      <w:pPr>
        <w:spacing w:after="0" w:line="240" w:lineRule="auto"/>
        <w:jc w:val="both"/>
        <w:rPr>
          <w:sz w:val="18"/>
          <w:szCs w:val="18"/>
        </w:rPr>
      </w:pPr>
      <w:r>
        <w:rPr>
          <w:vertAlign w:val="superscript"/>
        </w:rPr>
        <w:footnoteRef/>
      </w:r>
      <w:r>
        <w:rPr>
          <w:sz w:val="18"/>
          <w:szCs w:val="18"/>
        </w:rPr>
        <w:t xml:space="preserve">Ver  </w:t>
      </w:r>
      <w:hyperlink r:id="rId3">
        <w:r>
          <w:rPr>
            <w:color w:val="0000FF"/>
            <w:sz w:val="18"/>
            <w:szCs w:val="18"/>
            <w:u w:val="single"/>
          </w:rPr>
          <w:t>http://www.migraciones.gov.ar/pdf_varios/tasas/cuadro_tarifario.pdf</w:t>
        </w:r>
      </w:hyperlink>
      <w:r>
        <w:rPr>
          <w:sz w:val="18"/>
          <w:szCs w:val="18"/>
        </w:rPr>
        <w:t xml:space="preserve"> </w:t>
      </w:r>
    </w:p>
  </w:footnote>
  <w:footnote w:id="16">
    <w:p w14:paraId="0000011B" w14:textId="77777777" w:rsidR="003F1AD4" w:rsidRPr="001C3305" w:rsidRDefault="003F1AD4" w:rsidP="001C3305">
      <w:pPr>
        <w:pBdr>
          <w:top w:val="nil"/>
          <w:left w:val="nil"/>
          <w:bottom w:val="nil"/>
          <w:right w:val="nil"/>
          <w:between w:val="nil"/>
        </w:pBdr>
        <w:spacing w:after="0" w:line="240" w:lineRule="auto"/>
        <w:jc w:val="both"/>
        <w:rPr>
          <w:color w:val="000000"/>
          <w:sz w:val="18"/>
          <w:szCs w:val="18"/>
        </w:rPr>
      </w:pPr>
      <w:r w:rsidRPr="001C3305">
        <w:rPr>
          <w:sz w:val="18"/>
          <w:szCs w:val="18"/>
          <w:vertAlign w:val="superscript"/>
        </w:rPr>
        <w:footnoteRef/>
      </w:r>
      <w:r w:rsidRPr="001C3305">
        <w:rPr>
          <w:color w:val="000000"/>
          <w:sz w:val="18"/>
          <w:szCs w:val="18"/>
        </w:rPr>
        <w:t xml:space="preserve"> Ver </w:t>
      </w:r>
      <w:hyperlink r:id="rId4">
        <w:r w:rsidRPr="001C3305">
          <w:rPr>
            <w:color w:val="0000FF"/>
            <w:sz w:val="18"/>
            <w:szCs w:val="18"/>
            <w:u w:val="single"/>
          </w:rPr>
          <w:t>https://www.argentina.gob.ar/interior/migraciones/estadisticas</w:t>
        </w:r>
      </w:hyperlink>
      <w:r w:rsidRPr="001C3305">
        <w:rPr>
          <w:color w:val="000000"/>
          <w:sz w:val="18"/>
          <w:szCs w:val="18"/>
        </w:rPr>
        <w:t xml:space="preserve"> </w:t>
      </w:r>
    </w:p>
  </w:footnote>
  <w:footnote w:id="17">
    <w:p w14:paraId="0000011C" w14:textId="62C033DC" w:rsidR="003F1AD4" w:rsidRDefault="003F1AD4" w:rsidP="001C3305">
      <w:pPr>
        <w:pBdr>
          <w:top w:val="nil"/>
          <w:left w:val="nil"/>
          <w:bottom w:val="nil"/>
          <w:right w:val="nil"/>
          <w:between w:val="nil"/>
        </w:pBdr>
        <w:spacing w:after="0" w:line="240" w:lineRule="auto"/>
        <w:jc w:val="both"/>
        <w:rPr>
          <w:color w:val="000000"/>
          <w:sz w:val="20"/>
          <w:szCs w:val="20"/>
        </w:rPr>
      </w:pPr>
      <w:r w:rsidRPr="001C3305">
        <w:rPr>
          <w:sz w:val="18"/>
          <w:szCs w:val="18"/>
          <w:vertAlign w:val="superscript"/>
        </w:rPr>
        <w:footnoteRef/>
      </w:r>
      <w:r w:rsidRPr="001C3305">
        <w:rPr>
          <w:color w:val="000000"/>
          <w:sz w:val="18"/>
          <w:szCs w:val="18"/>
        </w:rPr>
        <w:t xml:space="preserve"> El artículo 2.1 de la Convención para la protección de los trabajadores migratorios y sus familias, establece que “se entenderá por trabajador migratorio toda persona que vaya a realizar, realice o haya realizado una actividad remunerada en un Estado del que no sea nacional”. El artículo 23 del Decreto 616/2010 prevé que para obtener una residencia como trabajador migrante” se tendrán en cuenta las definiciones de dicha Convención. De hecho, el propio Comité de Trabajadores Migrantes y sus familias resaltó la importancia de incorporar la categoría de trabajador autónomo.</w:t>
      </w:r>
    </w:p>
  </w:footnote>
  <w:footnote w:id="18">
    <w:p w14:paraId="0000011D" w14:textId="77777777" w:rsidR="003F1AD4" w:rsidRPr="00F84CD4" w:rsidRDefault="003F1AD4" w:rsidP="00F84CD4">
      <w:pPr>
        <w:pBdr>
          <w:top w:val="nil"/>
          <w:left w:val="nil"/>
          <w:bottom w:val="nil"/>
          <w:right w:val="nil"/>
          <w:between w:val="nil"/>
        </w:pBdr>
        <w:spacing w:after="0" w:line="240" w:lineRule="auto"/>
        <w:jc w:val="both"/>
        <w:rPr>
          <w:rFonts w:asciiTheme="majorHAnsi" w:hAnsiTheme="majorHAnsi" w:cstheme="majorHAnsi"/>
          <w:color w:val="000000"/>
          <w:sz w:val="18"/>
          <w:szCs w:val="18"/>
        </w:rPr>
      </w:pPr>
      <w:r w:rsidRPr="00F84CD4">
        <w:rPr>
          <w:rFonts w:asciiTheme="majorHAnsi" w:hAnsiTheme="majorHAnsi" w:cstheme="majorHAnsi"/>
          <w:sz w:val="18"/>
          <w:szCs w:val="18"/>
          <w:vertAlign w:val="superscript"/>
        </w:rPr>
        <w:footnoteRef/>
      </w:r>
      <w:r w:rsidRPr="00F84CD4">
        <w:rPr>
          <w:rFonts w:asciiTheme="majorHAnsi" w:hAnsiTheme="majorHAnsi" w:cstheme="majorHAnsi"/>
          <w:color w:val="000000"/>
          <w:sz w:val="18"/>
          <w:szCs w:val="18"/>
        </w:rPr>
        <w:t xml:space="preserve"> La ley 25.871 incorporó como criterio para acceder a la residencia regular la nacionalidad, habilitando a todas las personas nativas de países del Mercosur y Estados Asociados a residir regularmente en el país, incorporando de esta manera a la gran mayoría de migrantes regionales que habitaban en Argentina con un trámite accesible.</w:t>
      </w:r>
    </w:p>
  </w:footnote>
  <w:footnote w:id="19">
    <w:p w14:paraId="0000011E" w14:textId="77777777" w:rsidR="003F1AD4" w:rsidRDefault="003F1AD4" w:rsidP="00F84CD4">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sidRPr="00F84CD4">
        <w:rPr>
          <w:rFonts w:asciiTheme="majorHAnsi" w:hAnsiTheme="majorHAnsi" w:cstheme="majorHAnsi"/>
          <w:sz w:val="18"/>
          <w:szCs w:val="18"/>
          <w:vertAlign w:val="superscript"/>
        </w:rPr>
        <w:footnoteRef/>
      </w:r>
      <w:r w:rsidRPr="00F84CD4">
        <w:rPr>
          <w:rFonts w:asciiTheme="majorHAnsi" w:eastAsia="Arial Narrow" w:hAnsiTheme="majorHAnsi" w:cstheme="majorHAnsi"/>
          <w:color w:val="000000"/>
          <w:sz w:val="18"/>
          <w:szCs w:val="18"/>
        </w:rPr>
        <w:t xml:space="preserve"> Con este registro, de acuerdo a las Disposiciones 56.647/2005 y 54.168/2008, emitidas por la Dirección Nacional de Migraciones se pretende "otorgar celeridad y seguridad a los trámites relativos a permisos de ingreso al país, solicitados por los requirentes de extranjeros".</w:t>
      </w:r>
    </w:p>
  </w:footnote>
  <w:footnote w:id="20">
    <w:p w14:paraId="0000011F" w14:textId="77777777" w:rsidR="003F1AD4" w:rsidRPr="00231C14" w:rsidRDefault="003F1AD4">
      <w:pPr>
        <w:pBdr>
          <w:top w:val="nil"/>
          <w:left w:val="nil"/>
          <w:bottom w:val="nil"/>
          <w:right w:val="nil"/>
          <w:between w:val="nil"/>
        </w:pBdr>
        <w:spacing w:after="0" w:line="240" w:lineRule="auto"/>
        <w:rPr>
          <w:rFonts w:asciiTheme="majorHAnsi" w:eastAsia="Arial Narrow" w:hAnsiTheme="majorHAnsi" w:cstheme="majorHAnsi"/>
          <w:color w:val="000000"/>
          <w:sz w:val="18"/>
          <w:szCs w:val="18"/>
        </w:rPr>
      </w:pPr>
      <w:r w:rsidRPr="00231C14">
        <w:rPr>
          <w:rFonts w:asciiTheme="majorHAnsi" w:hAnsiTheme="majorHAnsi" w:cstheme="majorHAnsi"/>
          <w:sz w:val="18"/>
          <w:szCs w:val="18"/>
          <w:vertAlign w:val="superscript"/>
        </w:rPr>
        <w:footnoteRef/>
      </w:r>
      <w:r w:rsidRPr="00231C14">
        <w:rPr>
          <w:rFonts w:asciiTheme="majorHAnsi" w:eastAsia="Arial Narrow" w:hAnsiTheme="majorHAnsi" w:cstheme="majorHAnsi"/>
          <w:color w:val="000000"/>
          <w:sz w:val="18"/>
          <w:szCs w:val="18"/>
        </w:rPr>
        <w:t xml:space="preserve"> Algunos de los requisitos solicitados son: acreditar la personería jurídica, domicilio legal, domicilio especial, estatuto o contrato social legalmente inscripto, acreditar la última designación de autoridades, constancias de inscripción ante el Sistema Tributario a cargo de la Administración Federal de Ingresos Públicos (A.F.I.P.), impuesto a las ganancias, I.V.A. y Sistema Previsional Nacional, constancia de inscripción en Ingresos Brutos, etc.</w:t>
      </w:r>
    </w:p>
  </w:footnote>
  <w:footnote w:id="21">
    <w:p w14:paraId="00000120" w14:textId="77777777" w:rsidR="003F1AD4" w:rsidRPr="00231C14" w:rsidRDefault="003F1AD4">
      <w:pPr>
        <w:pBdr>
          <w:top w:val="nil"/>
          <w:left w:val="nil"/>
          <w:bottom w:val="nil"/>
          <w:right w:val="nil"/>
          <w:between w:val="nil"/>
        </w:pBdr>
        <w:spacing w:after="0" w:line="240" w:lineRule="auto"/>
        <w:rPr>
          <w:rFonts w:asciiTheme="majorHAnsi" w:hAnsiTheme="majorHAnsi" w:cstheme="majorHAnsi"/>
          <w:color w:val="000000"/>
          <w:sz w:val="18"/>
          <w:szCs w:val="18"/>
        </w:rPr>
      </w:pPr>
      <w:r w:rsidRPr="00231C14">
        <w:rPr>
          <w:rFonts w:asciiTheme="majorHAnsi" w:hAnsiTheme="majorHAnsi" w:cstheme="majorHAnsi"/>
          <w:sz w:val="18"/>
          <w:szCs w:val="18"/>
          <w:vertAlign w:val="superscript"/>
        </w:rPr>
        <w:footnoteRef/>
      </w:r>
      <w:r w:rsidRPr="00231C14">
        <w:rPr>
          <w:rFonts w:asciiTheme="majorHAnsi" w:hAnsiTheme="majorHAnsi" w:cstheme="majorHAnsi"/>
          <w:color w:val="000000"/>
          <w:sz w:val="18"/>
          <w:szCs w:val="18"/>
        </w:rPr>
        <w:t xml:space="preserve"> Ver  </w:t>
      </w:r>
      <w:hyperlink r:id="rId5">
        <w:r w:rsidRPr="00231C14">
          <w:rPr>
            <w:rFonts w:asciiTheme="majorHAnsi" w:hAnsiTheme="majorHAnsi" w:cstheme="majorHAnsi"/>
            <w:color w:val="0000FF"/>
            <w:sz w:val="18"/>
            <w:szCs w:val="18"/>
            <w:u w:val="single"/>
          </w:rPr>
          <w:t>http://www.mpd.gov.ar/uploads/documentos/refugiados/Disposiciopn%20regularizacion%20dominicanas.pdf</w:t>
        </w:r>
      </w:hyperlink>
      <w:r w:rsidRPr="00231C14">
        <w:rPr>
          <w:rFonts w:asciiTheme="majorHAnsi" w:hAnsiTheme="majorHAnsi" w:cstheme="majorHAnsi"/>
          <w:color w:val="000000"/>
          <w:sz w:val="18"/>
          <w:szCs w:val="18"/>
        </w:rPr>
        <w:t xml:space="preserve"> </w:t>
      </w:r>
    </w:p>
  </w:footnote>
  <w:footnote w:id="22">
    <w:p w14:paraId="00000121" w14:textId="77777777" w:rsidR="003F1AD4" w:rsidRDefault="003F1AD4">
      <w:pPr>
        <w:pBdr>
          <w:top w:val="nil"/>
          <w:left w:val="nil"/>
          <w:bottom w:val="nil"/>
          <w:right w:val="nil"/>
          <w:between w:val="nil"/>
        </w:pBdr>
        <w:spacing w:after="0" w:line="240" w:lineRule="auto"/>
        <w:rPr>
          <w:color w:val="000000"/>
          <w:sz w:val="20"/>
          <w:szCs w:val="20"/>
        </w:rPr>
      </w:pPr>
      <w:r w:rsidRPr="00231C14">
        <w:rPr>
          <w:rFonts w:asciiTheme="majorHAnsi" w:hAnsiTheme="majorHAnsi" w:cstheme="majorHAnsi"/>
          <w:sz w:val="18"/>
          <w:szCs w:val="18"/>
          <w:vertAlign w:val="superscript"/>
        </w:rPr>
        <w:footnoteRef/>
      </w:r>
      <w:r w:rsidRPr="00231C14">
        <w:rPr>
          <w:rFonts w:asciiTheme="majorHAnsi" w:hAnsiTheme="majorHAnsi" w:cstheme="majorHAnsi"/>
          <w:color w:val="000000"/>
          <w:sz w:val="18"/>
          <w:szCs w:val="18"/>
        </w:rPr>
        <w:t xml:space="preserve"> Ver  </w:t>
      </w:r>
      <w:hyperlink r:id="rId6">
        <w:r w:rsidRPr="00231C14">
          <w:rPr>
            <w:rFonts w:asciiTheme="majorHAnsi" w:hAnsiTheme="majorHAnsi" w:cstheme="majorHAnsi"/>
            <w:color w:val="0000FF"/>
            <w:sz w:val="18"/>
            <w:szCs w:val="18"/>
            <w:u w:val="single"/>
          </w:rPr>
          <w:t>http://www.mpd.gov.ar/uploads/documentos/refugiados/Disposicion%20regularizacion%20senegaleses.pdf</w:t>
        </w:r>
      </w:hyperlink>
      <w:r>
        <w:rPr>
          <w:color w:val="000000"/>
          <w:sz w:val="20"/>
          <w:szCs w:val="20"/>
        </w:rPr>
        <w:t xml:space="preserve"> </w:t>
      </w:r>
    </w:p>
  </w:footnote>
  <w:footnote w:id="23">
    <w:p w14:paraId="00000122" w14:textId="77777777" w:rsidR="003F1AD4" w:rsidRDefault="003F1AD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Véase Comisión Argentina para los Refugiados y Migrantes (CAREF) y Organización Internacional para las Migraciones (OIM),   La   migración   dominicana   en   la   Argentina.   Trayectorias   en   el   nuevo   siglo   (2000-‐2015),   disponible   en  &lt;argentina.iom.int/</w:t>
      </w:r>
      <w:proofErr w:type="spellStart"/>
      <w:r>
        <w:rPr>
          <w:color w:val="000000"/>
          <w:sz w:val="20"/>
          <w:szCs w:val="20"/>
        </w:rPr>
        <w:t>co</w:t>
      </w:r>
      <w:proofErr w:type="spellEnd"/>
      <w:r>
        <w:rPr>
          <w:color w:val="000000"/>
          <w:sz w:val="20"/>
          <w:szCs w:val="20"/>
        </w:rPr>
        <w:t>/</w:t>
      </w:r>
      <w:proofErr w:type="spellStart"/>
      <w:r>
        <w:rPr>
          <w:color w:val="000000"/>
          <w:sz w:val="20"/>
          <w:szCs w:val="20"/>
        </w:rPr>
        <w:t>sites</w:t>
      </w:r>
      <w:proofErr w:type="spellEnd"/>
      <w:r>
        <w:rPr>
          <w:color w:val="000000"/>
          <w:sz w:val="20"/>
          <w:szCs w:val="20"/>
        </w:rPr>
        <w:t>/default/files/publicaciones/</w:t>
      </w:r>
      <w:proofErr w:type="spellStart"/>
      <w:r>
        <w:rPr>
          <w:color w:val="000000"/>
          <w:sz w:val="20"/>
          <w:szCs w:val="20"/>
        </w:rPr>
        <w:t>Migr</w:t>
      </w:r>
      <w:proofErr w:type="spellEnd"/>
      <w:r>
        <w:rPr>
          <w:color w:val="000000"/>
          <w:sz w:val="20"/>
          <w:szCs w:val="20"/>
        </w:rPr>
        <w:t xml:space="preserve">. Dominicana.web_.pdf&gt; </w:t>
      </w:r>
    </w:p>
  </w:footnote>
  <w:footnote w:id="24">
    <w:p w14:paraId="00000123" w14:textId="77777777" w:rsidR="003F1AD4" w:rsidRDefault="003F1AD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Ver  http://www.mpd.gov.ar/index.php/noticias/3455-‐la-‐direccion-‐nacional-‐de-‐migraciones-‐facilita-‐la-‐regularizacion-‐migratoria-‐para-‐haitianos-‐por-‐razones-‐humanitarias</w:t>
      </w:r>
    </w:p>
  </w:footnote>
  <w:footnote w:id="25">
    <w:p w14:paraId="1EE34AA0" w14:textId="77777777" w:rsidR="003F1AD4" w:rsidRPr="00A51B70" w:rsidRDefault="003F1AD4" w:rsidP="00A51B70">
      <w:pPr>
        <w:spacing w:after="0" w:line="240" w:lineRule="auto"/>
        <w:jc w:val="both"/>
        <w:rPr>
          <w:color w:val="000000"/>
          <w:sz w:val="18"/>
          <w:szCs w:val="18"/>
        </w:rPr>
      </w:pPr>
      <w:r w:rsidRPr="00A51B70">
        <w:rPr>
          <w:sz w:val="18"/>
          <w:szCs w:val="18"/>
          <w:vertAlign w:val="superscript"/>
        </w:rPr>
        <w:footnoteRef/>
      </w:r>
      <w:r w:rsidRPr="00A51B70">
        <w:rPr>
          <w:color w:val="000000"/>
          <w:sz w:val="18"/>
          <w:szCs w:val="18"/>
        </w:rPr>
        <w:t xml:space="preserve"> Aportes para la Visita del Grupo de Trabajo de Expertos sobre Afrodescendientes</w:t>
      </w:r>
    </w:p>
    <w:p w14:paraId="10B291B4" w14:textId="77777777" w:rsidR="003F1AD4" w:rsidRPr="00A51B70" w:rsidRDefault="003F1AD4" w:rsidP="00A51B70">
      <w:pPr>
        <w:spacing w:after="0" w:line="240" w:lineRule="auto"/>
        <w:jc w:val="both"/>
        <w:rPr>
          <w:color w:val="000000"/>
          <w:sz w:val="18"/>
          <w:szCs w:val="18"/>
        </w:rPr>
      </w:pPr>
      <w:r w:rsidRPr="00A51B70">
        <w:rPr>
          <w:color w:val="000000"/>
          <w:sz w:val="18"/>
          <w:szCs w:val="18"/>
        </w:rPr>
        <w:t xml:space="preserve">sobre los derechos de las personas migrantes en la Argentina1, p.2 </w:t>
      </w:r>
    </w:p>
  </w:footnote>
  <w:footnote w:id="26">
    <w:p w14:paraId="1A211F4A" w14:textId="77777777" w:rsidR="003F1AD4" w:rsidRPr="00A51B70" w:rsidRDefault="003F1AD4" w:rsidP="00A51B70">
      <w:pPr>
        <w:spacing w:after="0" w:line="240" w:lineRule="auto"/>
        <w:jc w:val="both"/>
        <w:rPr>
          <w:color w:val="000000"/>
          <w:sz w:val="18"/>
          <w:szCs w:val="18"/>
        </w:rPr>
      </w:pPr>
      <w:r w:rsidRPr="00A51B70">
        <w:rPr>
          <w:sz w:val="18"/>
          <w:szCs w:val="18"/>
          <w:vertAlign w:val="superscript"/>
        </w:rPr>
        <w:footnoteRef/>
      </w:r>
      <w:r w:rsidRPr="00A51B70">
        <w:rPr>
          <w:color w:val="000000"/>
          <w:sz w:val="18"/>
          <w:szCs w:val="18"/>
        </w:rPr>
        <w:t xml:space="preserve"> Evaluación sobre el cumplimiento de la Convención Internacional sobre la Eliminación de todas las formas de Discriminación Racial (CERD) en el marco del xxi-xxiii ciclo de presentación de informes por argentina ante el CERD, Derechos de los Migrantes, 91 período de sesiones noviembre de 2016, p. 14</w:t>
      </w:r>
    </w:p>
  </w:footnote>
  <w:footnote w:id="27">
    <w:p w14:paraId="03BA0FC3" w14:textId="77777777" w:rsidR="003F1AD4" w:rsidRDefault="003F1AD4" w:rsidP="00A51B70">
      <w:pPr>
        <w:spacing w:after="0" w:line="240" w:lineRule="auto"/>
        <w:jc w:val="both"/>
        <w:rPr>
          <w:color w:val="000000"/>
          <w:sz w:val="20"/>
          <w:szCs w:val="20"/>
        </w:rPr>
      </w:pPr>
      <w:r w:rsidRPr="00A51B70">
        <w:rPr>
          <w:sz w:val="18"/>
          <w:szCs w:val="18"/>
          <w:vertAlign w:val="superscript"/>
        </w:rPr>
        <w:footnoteRef/>
      </w:r>
      <w:r w:rsidRPr="00A51B70">
        <w:rPr>
          <w:color w:val="000000"/>
          <w:sz w:val="18"/>
          <w:szCs w:val="18"/>
        </w:rPr>
        <w:t xml:space="preserve"> Ibídem, p. 4</w:t>
      </w:r>
    </w:p>
  </w:footnote>
  <w:footnote w:id="28">
    <w:p w14:paraId="2B37329C" w14:textId="77777777" w:rsidR="003F1AD4" w:rsidRPr="00A51B70" w:rsidRDefault="003F1AD4" w:rsidP="00A51B70">
      <w:pPr>
        <w:spacing w:after="0" w:line="240" w:lineRule="auto"/>
        <w:jc w:val="both"/>
        <w:rPr>
          <w:color w:val="000000"/>
          <w:sz w:val="18"/>
          <w:szCs w:val="18"/>
        </w:rPr>
      </w:pPr>
      <w:r w:rsidRPr="00A51B70">
        <w:rPr>
          <w:sz w:val="18"/>
          <w:szCs w:val="18"/>
          <w:vertAlign w:val="superscript"/>
        </w:rPr>
        <w:footnoteRef/>
      </w:r>
      <w:r w:rsidRPr="00A51B70">
        <w:rPr>
          <w:color w:val="000000"/>
          <w:sz w:val="18"/>
          <w:szCs w:val="18"/>
        </w:rPr>
        <w:t xml:space="preserve"> Comité de Protección de los Derechos de Todos los Trabajadores Migratorios y de sus Familiares</w:t>
      </w:r>
    </w:p>
    <w:p w14:paraId="7F9D64E2" w14:textId="77777777" w:rsidR="003F1AD4" w:rsidRPr="00A51B70" w:rsidRDefault="003F1AD4" w:rsidP="00A51B70">
      <w:pPr>
        <w:spacing w:after="0" w:line="240" w:lineRule="auto"/>
        <w:jc w:val="both"/>
        <w:rPr>
          <w:color w:val="000000"/>
          <w:sz w:val="18"/>
          <w:szCs w:val="18"/>
        </w:rPr>
      </w:pPr>
      <w:r w:rsidRPr="00A51B70">
        <w:rPr>
          <w:color w:val="000000"/>
          <w:sz w:val="18"/>
          <w:szCs w:val="18"/>
        </w:rPr>
        <w:t>15o período de sesiones 12 a 23 de septiembre de 2011 Examen de los informes presentados por los Estados partes de conformidad con el artículo 74 de la Convención Observaciones finales del Comité de Protección de los Derechos de Todos los Trabajadores Migratorios y de sus Familiares Argentina CMW/C/ARG/CO/1 2 de noviembre de 2011</w:t>
      </w:r>
    </w:p>
  </w:footnote>
  <w:footnote w:id="29">
    <w:p w14:paraId="5434269D" w14:textId="77777777" w:rsidR="003F1AD4" w:rsidRPr="00A51B70" w:rsidRDefault="003F1AD4" w:rsidP="00A51B70">
      <w:pPr>
        <w:spacing w:after="0" w:line="240" w:lineRule="auto"/>
        <w:jc w:val="both"/>
        <w:rPr>
          <w:color w:val="000000"/>
          <w:sz w:val="18"/>
          <w:szCs w:val="18"/>
        </w:rPr>
      </w:pPr>
      <w:r w:rsidRPr="00A51B70">
        <w:rPr>
          <w:sz w:val="18"/>
          <w:szCs w:val="18"/>
          <w:vertAlign w:val="superscript"/>
        </w:rPr>
        <w:footnoteRef/>
      </w:r>
      <w:r w:rsidRPr="00A51B70">
        <w:rPr>
          <w:color w:val="000000"/>
          <w:sz w:val="18"/>
          <w:szCs w:val="18"/>
        </w:rPr>
        <w:t xml:space="preserve"> Aportes para la Visita del Grupo de Trabajo de Expertos sobre Afrodescendientes</w:t>
      </w:r>
    </w:p>
    <w:p w14:paraId="6FBA4041" w14:textId="77777777" w:rsidR="003F1AD4" w:rsidRPr="00A51B70" w:rsidRDefault="003F1AD4" w:rsidP="00A51B70">
      <w:pPr>
        <w:spacing w:after="0" w:line="240" w:lineRule="auto"/>
        <w:jc w:val="both"/>
        <w:rPr>
          <w:color w:val="000000"/>
          <w:sz w:val="18"/>
          <w:szCs w:val="18"/>
        </w:rPr>
      </w:pPr>
      <w:r w:rsidRPr="00A51B70">
        <w:rPr>
          <w:color w:val="000000"/>
          <w:sz w:val="18"/>
          <w:szCs w:val="18"/>
        </w:rPr>
        <w:t>sobre los derechos de las personas migrantes en la Argentina, p. 3</w:t>
      </w:r>
    </w:p>
  </w:footnote>
  <w:footnote w:id="30">
    <w:p w14:paraId="573FFB0B" w14:textId="77777777" w:rsidR="003F1AD4" w:rsidRDefault="003F1AD4" w:rsidP="00A51B70">
      <w:pPr>
        <w:spacing w:after="0" w:line="240" w:lineRule="auto"/>
        <w:jc w:val="both"/>
        <w:rPr>
          <w:color w:val="000000"/>
          <w:sz w:val="20"/>
          <w:szCs w:val="20"/>
        </w:rPr>
      </w:pPr>
      <w:r w:rsidRPr="00A51B70">
        <w:rPr>
          <w:sz w:val="18"/>
          <w:szCs w:val="18"/>
          <w:vertAlign w:val="superscript"/>
        </w:rPr>
        <w:footnoteRef/>
      </w:r>
      <w:r w:rsidRPr="00A51B70">
        <w:rPr>
          <w:color w:val="000000"/>
          <w:sz w:val="18"/>
          <w:szCs w:val="18"/>
        </w:rPr>
        <w:t xml:space="preserve"> Ídem</w:t>
      </w:r>
      <w:r>
        <w:rPr>
          <w:color w:val="000000"/>
          <w:sz w:val="20"/>
          <w:szCs w:val="20"/>
        </w:rPr>
        <w:t xml:space="preserve">  </w:t>
      </w:r>
    </w:p>
  </w:footnote>
  <w:footnote w:id="31">
    <w:p w14:paraId="00000133" w14:textId="77777777" w:rsidR="003F1AD4" w:rsidRPr="006F285D" w:rsidRDefault="003F1AD4" w:rsidP="006F285D">
      <w:pPr>
        <w:pBdr>
          <w:top w:val="nil"/>
          <w:left w:val="nil"/>
          <w:bottom w:val="nil"/>
          <w:right w:val="nil"/>
          <w:between w:val="nil"/>
        </w:pBdr>
        <w:spacing w:after="0" w:line="240" w:lineRule="auto"/>
        <w:rPr>
          <w:color w:val="000000"/>
          <w:sz w:val="18"/>
          <w:szCs w:val="18"/>
        </w:rPr>
      </w:pPr>
      <w:r w:rsidRPr="006F285D">
        <w:rPr>
          <w:sz w:val="18"/>
          <w:szCs w:val="18"/>
          <w:vertAlign w:val="superscript"/>
        </w:rPr>
        <w:footnoteRef/>
      </w:r>
      <w:r w:rsidRPr="006F285D">
        <w:rPr>
          <w:color w:val="000000"/>
          <w:sz w:val="18"/>
          <w:szCs w:val="18"/>
        </w:rPr>
        <w:t xml:space="preserve"> Ver: </w:t>
      </w:r>
      <w:hyperlink r:id="rId7">
        <w:r w:rsidRPr="006F285D">
          <w:rPr>
            <w:color w:val="0000FF"/>
            <w:sz w:val="18"/>
            <w:szCs w:val="18"/>
            <w:u w:val="single"/>
          </w:rPr>
          <w:t>https://www.hcdn.gob.ar/proyectos/textoCompleto.jsp?exp=6944-D-2017&amp;tipo=LEY</w:t>
        </w:r>
      </w:hyperlink>
      <w:r w:rsidRPr="006F285D">
        <w:rPr>
          <w:color w:val="000000"/>
          <w:sz w:val="18"/>
          <w:szCs w:val="18"/>
        </w:rPr>
        <w:t xml:space="preserve">, </w:t>
      </w:r>
      <w:hyperlink r:id="rId8">
        <w:r w:rsidRPr="006F285D">
          <w:rPr>
            <w:color w:val="0000FF"/>
            <w:sz w:val="18"/>
            <w:szCs w:val="18"/>
            <w:u w:val="single"/>
          </w:rPr>
          <w:t>https://www.hcdn.gob.ar/proyectos/textoCompleto.jsp?exp=0102-D-2018&amp;tipo=LEY</w:t>
        </w:r>
      </w:hyperlink>
      <w:r w:rsidRPr="006F285D">
        <w:rPr>
          <w:color w:val="FF0000"/>
          <w:sz w:val="18"/>
          <w:szCs w:val="18"/>
        </w:rPr>
        <w:t xml:space="preserve"> </w:t>
      </w:r>
      <w:r w:rsidRPr="006F285D">
        <w:rPr>
          <w:color w:val="000000"/>
          <w:sz w:val="18"/>
          <w:szCs w:val="18"/>
        </w:rPr>
        <w:t xml:space="preserve">y </w:t>
      </w:r>
      <w:hyperlink r:id="rId9">
        <w:r w:rsidRPr="006F285D">
          <w:rPr>
            <w:color w:val="0000FF"/>
            <w:sz w:val="18"/>
            <w:szCs w:val="18"/>
            <w:u w:val="single"/>
          </w:rPr>
          <w:t>https://www.hcdn.gob.ar/proyectos/textoCompleto.jsp?exp=0515-D-2018&amp;tipo=LEY</w:t>
        </w:r>
      </w:hyperlink>
    </w:p>
  </w:footnote>
  <w:footnote w:id="32">
    <w:p w14:paraId="7B9B3594" w14:textId="77777777" w:rsidR="00437913" w:rsidRPr="00615A8B" w:rsidRDefault="00437913" w:rsidP="00615A8B">
      <w:pPr>
        <w:pStyle w:val="FootnoteText"/>
        <w:spacing w:after="0"/>
        <w:jc w:val="both"/>
        <w:rPr>
          <w:sz w:val="18"/>
          <w:szCs w:val="18"/>
          <w:lang w:val="es-419"/>
        </w:rPr>
      </w:pPr>
      <w:r w:rsidRPr="00615A8B">
        <w:rPr>
          <w:rStyle w:val="FootnoteReference"/>
          <w:sz w:val="18"/>
          <w:szCs w:val="18"/>
        </w:rPr>
        <w:footnoteRef/>
      </w:r>
      <w:r w:rsidRPr="00615A8B">
        <w:rPr>
          <w:sz w:val="18"/>
          <w:szCs w:val="18"/>
        </w:rPr>
        <w:t xml:space="preserve"> </w:t>
      </w:r>
      <w:r w:rsidRPr="00615A8B">
        <w:rPr>
          <w:rFonts w:asciiTheme="majorHAnsi" w:hAnsiTheme="majorHAnsi" w:cstheme="majorHAnsi"/>
          <w:sz w:val="18"/>
          <w:szCs w:val="18"/>
        </w:rPr>
        <w:t xml:space="preserve">El Consorcio está conformado por </w:t>
      </w:r>
      <w:r w:rsidRPr="00615A8B">
        <w:rPr>
          <w:rFonts w:asciiTheme="majorHAnsi" w:hAnsiTheme="majorHAnsi" w:cstheme="majorHAnsi"/>
          <w:color w:val="000000"/>
          <w:sz w:val="18"/>
          <w:szCs w:val="18"/>
          <w:shd w:val="clear" w:color="auto" w:fill="FFFFFF"/>
        </w:rPr>
        <w:t>dos tercios de las universidades nacionales argentinas que suman un total de 32 universidades. E</w:t>
      </w:r>
      <w:r w:rsidRPr="00615A8B">
        <w:rPr>
          <w:rFonts w:asciiTheme="majorHAnsi" w:hAnsiTheme="majorHAnsi" w:cstheme="majorHAnsi"/>
          <w:sz w:val="18"/>
          <w:szCs w:val="18"/>
        </w:rPr>
        <w:t>jemplo de ello es la Universidad de Buenos Aires (UBA), La Universidad Nacional de La Plata (UNLP), Universidad Nacional de La Matanza (</w:t>
      </w:r>
      <w:proofErr w:type="spellStart"/>
      <w:r w:rsidRPr="00615A8B">
        <w:rPr>
          <w:rFonts w:asciiTheme="majorHAnsi" w:hAnsiTheme="majorHAnsi" w:cstheme="majorHAnsi"/>
          <w:sz w:val="18"/>
          <w:szCs w:val="18"/>
        </w:rPr>
        <w:t>UNLaM</w:t>
      </w:r>
      <w:proofErr w:type="spellEnd"/>
      <w:r w:rsidRPr="00615A8B">
        <w:rPr>
          <w:rFonts w:asciiTheme="majorHAnsi" w:hAnsiTheme="majorHAnsi" w:cstheme="majorHAnsi"/>
          <w:sz w:val="18"/>
          <w:szCs w:val="18"/>
        </w:rPr>
        <w:t>) entre otras</w:t>
      </w:r>
    </w:p>
  </w:footnote>
  <w:footnote w:id="33">
    <w:p w14:paraId="6455CAD2" w14:textId="71BD1D07" w:rsidR="003F1AD4" w:rsidRPr="00615A8B" w:rsidRDefault="003F1AD4" w:rsidP="00615A8B">
      <w:pPr>
        <w:pStyle w:val="FootnoteText"/>
        <w:spacing w:after="0"/>
        <w:jc w:val="both"/>
        <w:rPr>
          <w:sz w:val="18"/>
          <w:szCs w:val="18"/>
          <w:lang w:val="es-419"/>
        </w:rPr>
      </w:pPr>
      <w:r w:rsidRPr="00615A8B">
        <w:rPr>
          <w:rStyle w:val="FootnoteReference"/>
          <w:sz w:val="18"/>
          <w:szCs w:val="18"/>
        </w:rPr>
        <w:footnoteRef/>
      </w:r>
      <w:r w:rsidRPr="00615A8B">
        <w:rPr>
          <w:sz w:val="18"/>
          <w:szCs w:val="18"/>
        </w:rPr>
        <w:t xml:space="preserve"> Ver: https://www.celu.edu.ar/es/content/validez</w:t>
      </w:r>
    </w:p>
  </w:footnote>
  <w:footnote w:id="34">
    <w:p w14:paraId="70EE6C95" w14:textId="77777777" w:rsidR="003F1AD4" w:rsidRDefault="003F1AD4" w:rsidP="00615A8B">
      <w:pPr>
        <w:pStyle w:val="FootnoteText"/>
        <w:jc w:val="both"/>
      </w:pPr>
      <w:r w:rsidRPr="00615A8B">
        <w:rPr>
          <w:rStyle w:val="FootnoteReference"/>
          <w:sz w:val="18"/>
          <w:szCs w:val="18"/>
        </w:rPr>
        <w:footnoteRef/>
      </w:r>
      <w:r w:rsidRPr="00615A8B">
        <w:rPr>
          <w:sz w:val="18"/>
          <w:szCs w:val="18"/>
        </w:rPr>
        <w:t xml:space="preserve"> No existen datos estadísticos del impacto del examen en la UBA.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26C7C"/>
    <w:multiLevelType w:val="multilevel"/>
    <w:tmpl w:val="3AD686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B3528D"/>
    <w:multiLevelType w:val="multilevel"/>
    <w:tmpl w:val="1E120F30"/>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44356BA"/>
    <w:multiLevelType w:val="hybridMultilevel"/>
    <w:tmpl w:val="EE28048C"/>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3" w15:restartNumberingAfterBreak="0">
    <w:nsid w:val="25F265F0"/>
    <w:multiLevelType w:val="multilevel"/>
    <w:tmpl w:val="FA9A9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AF07E10"/>
    <w:multiLevelType w:val="hybridMultilevel"/>
    <w:tmpl w:val="EA2E8D5C"/>
    <w:lvl w:ilvl="0" w:tplc="A51CBE4C">
      <w:start w:val="4"/>
      <w:numFmt w:val="bullet"/>
      <w:lvlText w:val="-"/>
      <w:lvlJc w:val="left"/>
      <w:pPr>
        <w:ind w:left="720" w:hanging="360"/>
      </w:pPr>
      <w:rPr>
        <w:rFonts w:ascii="Calibri" w:eastAsia="Times New Roman" w:hAnsi="Calibri" w:cs="Calibri"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F4470A5"/>
    <w:multiLevelType w:val="multilevel"/>
    <w:tmpl w:val="FA9A9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3622F0"/>
    <w:multiLevelType w:val="multilevel"/>
    <w:tmpl w:val="FA9A9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A047D36"/>
    <w:multiLevelType w:val="multilevel"/>
    <w:tmpl w:val="AA7013F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C961393"/>
    <w:multiLevelType w:val="hybridMultilevel"/>
    <w:tmpl w:val="2DCA1E22"/>
    <w:lvl w:ilvl="0" w:tplc="0C0A000F">
      <w:start w:val="1"/>
      <w:numFmt w:val="decimal"/>
      <w:lvlText w:val="%1."/>
      <w:lvlJc w:val="left"/>
      <w:pPr>
        <w:ind w:left="295" w:hanging="360"/>
      </w:pPr>
    </w:lvl>
    <w:lvl w:ilvl="1" w:tplc="0C0A0019" w:tentative="1">
      <w:start w:val="1"/>
      <w:numFmt w:val="lowerLetter"/>
      <w:lvlText w:val="%2."/>
      <w:lvlJc w:val="left"/>
      <w:pPr>
        <w:ind w:left="1015" w:hanging="360"/>
      </w:pPr>
    </w:lvl>
    <w:lvl w:ilvl="2" w:tplc="0C0A001B" w:tentative="1">
      <w:start w:val="1"/>
      <w:numFmt w:val="lowerRoman"/>
      <w:lvlText w:val="%3."/>
      <w:lvlJc w:val="right"/>
      <w:pPr>
        <w:ind w:left="1735" w:hanging="180"/>
      </w:pPr>
    </w:lvl>
    <w:lvl w:ilvl="3" w:tplc="0C0A000F" w:tentative="1">
      <w:start w:val="1"/>
      <w:numFmt w:val="decimal"/>
      <w:lvlText w:val="%4."/>
      <w:lvlJc w:val="left"/>
      <w:pPr>
        <w:ind w:left="2455" w:hanging="360"/>
      </w:pPr>
    </w:lvl>
    <w:lvl w:ilvl="4" w:tplc="0C0A0019" w:tentative="1">
      <w:start w:val="1"/>
      <w:numFmt w:val="lowerLetter"/>
      <w:lvlText w:val="%5."/>
      <w:lvlJc w:val="left"/>
      <w:pPr>
        <w:ind w:left="3175" w:hanging="360"/>
      </w:pPr>
    </w:lvl>
    <w:lvl w:ilvl="5" w:tplc="0C0A001B" w:tentative="1">
      <w:start w:val="1"/>
      <w:numFmt w:val="lowerRoman"/>
      <w:lvlText w:val="%6."/>
      <w:lvlJc w:val="right"/>
      <w:pPr>
        <w:ind w:left="3895" w:hanging="180"/>
      </w:pPr>
    </w:lvl>
    <w:lvl w:ilvl="6" w:tplc="0C0A000F" w:tentative="1">
      <w:start w:val="1"/>
      <w:numFmt w:val="decimal"/>
      <w:lvlText w:val="%7."/>
      <w:lvlJc w:val="left"/>
      <w:pPr>
        <w:ind w:left="4615" w:hanging="360"/>
      </w:pPr>
    </w:lvl>
    <w:lvl w:ilvl="7" w:tplc="0C0A0019" w:tentative="1">
      <w:start w:val="1"/>
      <w:numFmt w:val="lowerLetter"/>
      <w:lvlText w:val="%8."/>
      <w:lvlJc w:val="left"/>
      <w:pPr>
        <w:ind w:left="5335" w:hanging="360"/>
      </w:pPr>
    </w:lvl>
    <w:lvl w:ilvl="8" w:tplc="0C0A001B" w:tentative="1">
      <w:start w:val="1"/>
      <w:numFmt w:val="lowerRoman"/>
      <w:lvlText w:val="%9."/>
      <w:lvlJc w:val="right"/>
      <w:pPr>
        <w:ind w:left="6055" w:hanging="180"/>
      </w:pPr>
    </w:lvl>
  </w:abstractNum>
  <w:abstractNum w:abstractNumId="9" w15:restartNumberingAfterBreak="0">
    <w:nsid w:val="42587544"/>
    <w:multiLevelType w:val="multilevel"/>
    <w:tmpl w:val="29C85E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A8D204A"/>
    <w:multiLevelType w:val="multilevel"/>
    <w:tmpl w:val="D3367D2C"/>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DF41894"/>
    <w:multiLevelType w:val="multilevel"/>
    <w:tmpl w:val="FA9A9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35C5BA9"/>
    <w:multiLevelType w:val="multilevel"/>
    <w:tmpl w:val="FA9A9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C6D4556"/>
    <w:multiLevelType w:val="hybridMultilevel"/>
    <w:tmpl w:val="43709CBA"/>
    <w:lvl w:ilvl="0" w:tplc="CE4243BE">
      <w:start w:val="4"/>
      <w:numFmt w:val="bullet"/>
      <w:lvlText w:val="-"/>
      <w:lvlJc w:val="left"/>
      <w:pPr>
        <w:ind w:left="720" w:hanging="360"/>
      </w:pPr>
      <w:rPr>
        <w:rFonts w:ascii="Calibri" w:eastAsia="Times New Roman" w:hAnsi="Calibri" w:cs="Calibri"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E2A52D2"/>
    <w:multiLevelType w:val="multilevel"/>
    <w:tmpl w:val="F4561B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9"/>
  </w:num>
  <w:num w:numId="3">
    <w:abstractNumId w:val="6"/>
  </w:num>
  <w:num w:numId="4">
    <w:abstractNumId w:val="7"/>
  </w:num>
  <w:num w:numId="5">
    <w:abstractNumId w:val="1"/>
  </w:num>
  <w:num w:numId="6">
    <w:abstractNumId w:val="0"/>
  </w:num>
  <w:num w:numId="7">
    <w:abstractNumId w:val="1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3"/>
  </w:num>
  <w:num w:numId="11">
    <w:abstractNumId w:val="4"/>
  </w:num>
  <w:num w:numId="12">
    <w:abstractNumId w:val="3"/>
  </w:num>
  <w:num w:numId="13">
    <w:abstractNumId w:val="12"/>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2mJqt0pKbqEjAoJ0YdmqbL42WclH1L8pjQwB7tz3Q/VmwdvoqXKU/Sh8ugr6gBWEjBMhcdayhB9gfYjb921YcQ==" w:salt="Ekpd9Rv5+jUxjO30kVIBSw=="/>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D3D"/>
    <w:rsid w:val="00016344"/>
    <w:rsid w:val="000356AF"/>
    <w:rsid w:val="00046729"/>
    <w:rsid w:val="00065A8D"/>
    <w:rsid w:val="00067922"/>
    <w:rsid w:val="0008694E"/>
    <w:rsid w:val="00095886"/>
    <w:rsid w:val="000A3EBF"/>
    <w:rsid w:val="000A4609"/>
    <w:rsid w:val="000C5DDF"/>
    <w:rsid w:val="000D2CFE"/>
    <w:rsid w:val="000D4CD0"/>
    <w:rsid w:val="000F298D"/>
    <w:rsid w:val="00114443"/>
    <w:rsid w:val="00116DF8"/>
    <w:rsid w:val="00117470"/>
    <w:rsid w:val="00120450"/>
    <w:rsid w:val="00123E93"/>
    <w:rsid w:val="001250B7"/>
    <w:rsid w:val="00131D0B"/>
    <w:rsid w:val="00140BE0"/>
    <w:rsid w:val="001528BC"/>
    <w:rsid w:val="00176020"/>
    <w:rsid w:val="001948BF"/>
    <w:rsid w:val="001B54A8"/>
    <w:rsid w:val="001C3305"/>
    <w:rsid w:val="001D20CC"/>
    <w:rsid w:val="001D481D"/>
    <w:rsid w:val="001D712C"/>
    <w:rsid w:val="001D7EE3"/>
    <w:rsid w:val="001E4A77"/>
    <w:rsid w:val="001F4D15"/>
    <w:rsid w:val="00206A4F"/>
    <w:rsid w:val="00206BA7"/>
    <w:rsid w:val="002248AA"/>
    <w:rsid w:val="00231C14"/>
    <w:rsid w:val="00234CF2"/>
    <w:rsid w:val="00236196"/>
    <w:rsid w:val="0024055D"/>
    <w:rsid w:val="00240D0C"/>
    <w:rsid w:val="00252E27"/>
    <w:rsid w:val="00254DB9"/>
    <w:rsid w:val="0027772B"/>
    <w:rsid w:val="00296A74"/>
    <w:rsid w:val="002A7837"/>
    <w:rsid w:val="002B6882"/>
    <w:rsid w:val="002C3756"/>
    <w:rsid w:val="002D162B"/>
    <w:rsid w:val="002D5DC4"/>
    <w:rsid w:val="002D769C"/>
    <w:rsid w:val="002F3CE9"/>
    <w:rsid w:val="002F516E"/>
    <w:rsid w:val="00326FEB"/>
    <w:rsid w:val="00340CA3"/>
    <w:rsid w:val="00367C8A"/>
    <w:rsid w:val="0037386E"/>
    <w:rsid w:val="00376229"/>
    <w:rsid w:val="00393A67"/>
    <w:rsid w:val="00397AB6"/>
    <w:rsid w:val="003A0C1F"/>
    <w:rsid w:val="003B76A0"/>
    <w:rsid w:val="003C0477"/>
    <w:rsid w:val="003E6141"/>
    <w:rsid w:val="003E681E"/>
    <w:rsid w:val="003F0FBA"/>
    <w:rsid w:val="003F1AD4"/>
    <w:rsid w:val="00406ABB"/>
    <w:rsid w:val="00414662"/>
    <w:rsid w:val="00414878"/>
    <w:rsid w:val="0043021D"/>
    <w:rsid w:val="0043230B"/>
    <w:rsid w:val="00432738"/>
    <w:rsid w:val="00433A54"/>
    <w:rsid w:val="00437913"/>
    <w:rsid w:val="00446665"/>
    <w:rsid w:val="00465E8C"/>
    <w:rsid w:val="00466257"/>
    <w:rsid w:val="00467AAA"/>
    <w:rsid w:val="004820B7"/>
    <w:rsid w:val="00492E36"/>
    <w:rsid w:val="004944AC"/>
    <w:rsid w:val="004A1CE7"/>
    <w:rsid w:val="004D4830"/>
    <w:rsid w:val="004E10D4"/>
    <w:rsid w:val="004F1189"/>
    <w:rsid w:val="004F66C5"/>
    <w:rsid w:val="00500175"/>
    <w:rsid w:val="005048B8"/>
    <w:rsid w:val="005550C0"/>
    <w:rsid w:val="00561E8D"/>
    <w:rsid w:val="00564B75"/>
    <w:rsid w:val="00574C7D"/>
    <w:rsid w:val="005B594E"/>
    <w:rsid w:val="005C6C49"/>
    <w:rsid w:val="005E42D9"/>
    <w:rsid w:val="005F207F"/>
    <w:rsid w:val="00606A09"/>
    <w:rsid w:val="00615A8B"/>
    <w:rsid w:val="006177A6"/>
    <w:rsid w:val="00642C38"/>
    <w:rsid w:val="0065308B"/>
    <w:rsid w:val="0066715D"/>
    <w:rsid w:val="00670A72"/>
    <w:rsid w:val="00676D12"/>
    <w:rsid w:val="00680CCA"/>
    <w:rsid w:val="00681B2C"/>
    <w:rsid w:val="006825BE"/>
    <w:rsid w:val="0068486D"/>
    <w:rsid w:val="00697B63"/>
    <w:rsid w:val="006B0008"/>
    <w:rsid w:val="006B2298"/>
    <w:rsid w:val="006F285D"/>
    <w:rsid w:val="006F3F7B"/>
    <w:rsid w:val="00722853"/>
    <w:rsid w:val="0072432D"/>
    <w:rsid w:val="00732D3B"/>
    <w:rsid w:val="0073675E"/>
    <w:rsid w:val="00763C0F"/>
    <w:rsid w:val="00765FB9"/>
    <w:rsid w:val="0077382B"/>
    <w:rsid w:val="00777276"/>
    <w:rsid w:val="00787840"/>
    <w:rsid w:val="007A20F9"/>
    <w:rsid w:val="007A2E82"/>
    <w:rsid w:val="007B241D"/>
    <w:rsid w:val="007B3463"/>
    <w:rsid w:val="007B4F35"/>
    <w:rsid w:val="007B7E10"/>
    <w:rsid w:val="007C24EF"/>
    <w:rsid w:val="007E588B"/>
    <w:rsid w:val="007E732D"/>
    <w:rsid w:val="007F5236"/>
    <w:rsid w:val="0080752B"/>
    <w:rsid w:val="00826B9F"/>
    <w:rsid w:val="00845071"/>
    <w:rsid w:val="00853B2B"/>
    <w:rsid w:val="008548FD"/>
    <w:rsid w:val="0086684E"/>
    <w:rsid w:val="00866E8F"/>
    <w:rsid w:val="00876C77"/>
    <w:rsid w:val="008863BD"/>
    <w:rsid w:val="0089185D"/>
    <w:rsid w:val="00892B8E"/>
    <w:rsid w:val="008B45B8"/>
    <w:rsid w:val="008B65CB"/>
    <w:rsid w:val="008D7B9F"/>
    <w:rsid w:val="00920972"/>
    <w:rsid w:val="009231BD"/>
    <w:rsid w:val="00924717"/>
    <w:rsid w:val="00931E5D"/>
    <w:rsid w:val="009339CB"/>
    <w:rsid w:val="00934E6F"/>
    <w:rsid w:val="0094165B"/>
    <w:rsid w:val="0095764B"/>
    <w:rsid w:val="009668B0"/>
    <w:rsid w:val="00984133"/>
    <w:rsid w:val="009946E6"/>
    <w:rsid w:val="009A4F14"/>
    <w:rsid w:val="009C402E"/>
    <w:rsid w:val="009D1261"/>
    <w:rsid w:val="009D378B"/>
    <w:rsid w:val="009D4A8C"/>
    <w:rsid w:val="009E6E71"/>
    <w:rsid w:val="009F6C31"/>
    <w:rsid w:val="00A0086E"/>
    <w:rsid w:val="00A0424F"/>
    <w:rsid w:val="00A15C6B"/>
    <w:rsid w:val="00A25726"/>
    <w:rsid w:val="00A43189"/>
    <w:rsid w:val="00A43724"/>
    <w:rsid w:val="00A51B70"/>
    <w:rsid w:val="00A6002F"/>
    <w:rsid w:val="00A70CE1"/>
    <w:rsid w:val="00A90FE1"/>
    <w:rsid w:val="00A914F4"/>
    <w:rsid w:val="00AA1AD4"/>
    <w:rsid w:val="00AB1C30"/>
    <w:rsid w:val="00AB4C0A"/>
    <w:rsid w:val="00AB5A0E"/>
    <w:rsid w:val="00AC561D"/>
    <w:rsid w:val="00AC5BDA"/>
    <w:rsid w:val="00AF1D06"/>
    <w:rsid w:val="00AF3DEE"/>
    <w:rsid w:val="00AF4F31"/>
    <w:rsid w:val="00B07A78"/>
    <w:rsid w:val="00B178FC"/>
    <w:rsid w:val="00B21A35"/>
    <w:rsid w:val="00B264A7"/>
    <w:rsid w:val="00B32E74"/>
    <w:rsid w:val="00B452DB"/>
    <w:rsid w:val="00B4653E"/>
    <w:rsid w:val="00B52F7A"/>
    <w:rsid w:val="00B54808"/>
    <w:rsid w:val="00B552E8"/>
    <w:rsid w:val="00B565E7"/>
    <w:rsid w:val="00B7017D"/>
    <w:rsid w:val="00B72A62"/>
    <w:rsid w:val="00B91918"/>
    <w:rsid w:val="00B93910"/>
    <w:rsid w:val="00BD3319"/>
    <w:rsid w:val="00BD4053"/>
    <w:rsid w:val="00BD4D8D"/>
    <w:rsid w:val="00BD702D"/>
    <w:rsid w:val="00BE639A"/>
    <w:rsid w:val="00BE7740"/>
    <w:rsid w:val="00BE7BB4"/>
    <w:rsid w:val="00BF3079"/>
    <w:rsid w:val="00BF30B1"/>
    <w:rsid w:val="00C238D4"/>
    <w:rsid w:val="00C44F39"/>
    <w:rsid w:val="00C51955"/>
    <w:rsid w:val="00C63043"/>
    <w:rsid w:val="00C67CF2"/>
    <w:rsid w:val="00C74D9A"/>
    <w:rsid w:val="00C86A21"/>
    <w:rsid w:val="00CA21DD"/>
    <w:rsid w:val="00CA6D46"/>
    <w:rsid w:val="00CB18E9"/>
    <w:rsid w:val="00CC6123"/>
    <w:rsid w:val="00CD4A68"/>
    <w:rsid w:val="00CE2556"/>
    <w:rsid w:val="00CE5C92"/>
    <w:rsid w:val="00CF06F0"/>
    <w:rsid w:val="00D13EBE"/>
    <w:rsid w:val="00D4096A"/>
    <w:rsid w:val="00D6407B"/>
    <w:rsid w:val="00D645E0"/>
    <w:rsid w:val="00D64C53"/>
    <w:rsid w:val="00D76E2A"/>
    <w:rsid w:val="00D76F4D"/>
    <w:rsid w:val="00D80CAC"/>
    <w:rsid w:val="00D837D2"/>
    <w:rsid w:val="00D868E3"/>
    <w:rsid w:val="00DA34C8"/>
    <w:rsid w:val="00DB7984"/>
    <w:rsid w:val="00DB7EBE"/>
    <w:rsid w:val="00DF151F"/>
    <w:rsid w:val="00DF1C98"/>
    <w:rsid w:val="00E05081"/>
    <w:rsid w:val="00E14725"/>
    <w:rsid w:val="00E15EC1"/>
    <w:rsid w:val="00E22B72"/>
    <w:rsid w:val="00E31D9E"/>
    <w:rsid w:val="00E324C6"/>
    <w:rsid w:val="00E40BB7"/>
    <w:rsid w:val="00E600BD"/>
    <w:rsid w:val="00E76198"/>
    <w:rsid w:val="00E821B9"/>
    <w:rsid w:val="00EA4D3D"/>
    <w:rsid w:val="00EA5330"/>
    <w:rsid w:val="00EE0202"/>
    <w:rsid w:val="00EF4898"/>
    <w:rsid w:val="00F02020"/>
    <w:rsid w:val="00F04890"/>
    <w:rsid w:val="00F17613"/>
    <w:rsid w:val="00F17BF4"/>
    <w:rsid w:val="00F27BDD"/>
    <w:rsid w:val="00F355AF"/>
    <w:rsid w:val="00F45968"/>
    <w:rsid w:val="00F45CA8"/>
    <w:rsid w:val="00F57AF6"/>
    <w:rsid w:val="00F84CD4"/>
    <w:rsid w:val="00F95255"/>
    <w:rsid w:val="00F971F1"/>
    <w:rsid w:val="00FA0CFE"/>
    <w:rsid w:val="00FC38FF"/>
    <w:rsid w:val="00FF55B3"/>
    <w:rsid w:val="00FF5B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6C5FD"/>
  <w15:docId w15:val="{CFDC1B5D-B83B-4B60-A565-0385A99C3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AR" w:eastAsia="es-A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3F0FBA"/>
    <w:rPr>
      <w:sz w:val="16"/>
      <w:szCs w:val="16"/>
    </w:rPr>
  </w:style>
  <w:style w:type="paragraph" w:styleId="CommentText">
    <w:name w:val="annotation text"/>
    <w:basedOn w:val="Normal"/>
    <w:link w:val="CommentTextChar"/>
    <w:uiPriority w:val="99"/>
    <w:semiHidden/>
    <w:unhideWhenUsed/>
    <w:rsid w:val="003F0FBA"/>
    <w:pPr>
      <w:spacing w:line="240" w:lineRule="auto"/>
    </w:pPr>
    <w:rPr>
      <w:sz w:val="20"/>
      <w:szCs w:val="20"/>
    </w:rPr>
  </w:style>
  <w:style w:type="character" w:customStyle="1" w:styleId="CommentTextChar">
    <w:name w:val="Comment Text Char"/>
    <w:basedOn w:val="DefaultParagraphFont"/>
    <w:link w:val="CommentText"/>
    <w:uiPriority w:val="99"/>
    <w:semiHidden/>
    <w:rsid w:val="003F0FBA"/>
    <w:rPr>
      <w:sz w:val="20"/>
      <w:szCs w:val="20"/>
    </w:rPr>
  </w:style>
  <w:style w:type="paragraph" w:styleId="CommentSubject">
    <w:name w:val="annotation subject"/>
    <w:basedOn w:val="CommentText"/>
    <w:next w:val="CommentText"/>
    <w:link w:val="CommentSubjectChar"/>
    <w:uiPriority w:val="99"/>
    <w:semiHidden/>
    <w:unhideWhenUsed/>
    <w:rsid w:val="003F0FBA"/>
    <w:rPr>
      <w:b/>
      <w:bCs/>
    </w:rPr>
  </w:style>
  <w:style w:type="character" w:customStyle="1" w:styleId="CommentSubjectChar">
    <w:name w:val="Comment Subject Char"/>
    <w:basedOn w:val="CommentTextChar"/>
    <w:link w:val="CommentSubject"/>
    <w:uiPriority w:val="99"/>
    <w:semiHidden/>
    <w:rsid w:val="003F0FBA"/>
    <w:rPr>
      <w:b/>
      <w:bCs/>
      <w:sz w:val="20"/>
      <w:szCs w:val="20"/>
    </w:rPr>
  </w:style>
  <w:style w:type="paragraph" w:styleId="BalloonText">
    <w:name w:val="Balloon Text"/>
    <w:basedOn w:val="Normal"/>
    <w:link w:val="BalloonTextChar"/>
    <w:uiPriority w:val="99"/>
    <w:semiHidden/>
    <w:unhideWhenUsed/>
    <w:rsid w:val="003F0F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0FBA"/>
    <w:rPr>
      <w:rFonts w:ascii="Segoe UI" w:hAnsi="Segoe UI" w:cs="Segoe UI"/>
      <w:sz w:val="18"/>
      <w:szCs w:val="18"/>
    </w:rPr>
  </w:style>
  <w:style w:type="paragraph" w:styleId="ListParagraph">
    <w:name w:val="List Paragraph"/>
    <w:basedOn w:val="Normal"/>
    <w:uiPriority w:val="34"/>
    <w:qFormat/>
    <w:rsid w:val="00931E5D"/>
    <w:pPr>
      <w:ind w:left="720"/>
      <w:contextualSpacing/>
    </w:pPr>
  </w:style>
  <w:style w:type="paragraph" w:styleId="FootnoteText">
    <w:name w:val="footnote text"/>
    <w:basedOn w:val="Normal"/>
    <w:link w:val="FootnoteTextChar"/>
    <w:uiPriority w:val="99"/>
    <w:semiHidden/>
    <w:unhideWhenUsed/>
    <w:rsid w:val="00AC5BDA"/>
    <w:pPr>
      <w:spacing w:line="256" w:lineRule="auto"/>
    </w:pPr>
    <w:rPr>
      <w:sz w:val="20"/>
      <w:szCs w:val="20"/>
    </w:rPr>
  </w:style>
  <w:style w:type="character" w:customStyle="1" w:styleId="FootnoteTextChar">
    <w:name w:val="Footnote Text Char"/>
    <w:basedOn w:val="DefaultParagraphFont"/>
    <w:link w:val="FootnoteText"/>
    <w:uiPriority w:val="99"/>
    <w:semiHidden/>
    <w:rsid w:val="00AC5BDA"/>
    <w:rPr>
      <w:sz w:val="20"/>
      <w:szCs w:val="20"/>
    </w:rPr>
  </w:style>
  <w:style w:type="character" w:styleId="FootnoteReference">
    <w:name w:val="footnote reference"/>
    <w:uiPriority w:val="99"/>
    <w:semiHidden/>
    <w:unhideWhenUsed/>
    <w:rsid w:val="00AC5BDA"/>
    <w:rPr>
      <w:vertAlign w:val="superscript"/>
    </w:rPr>
  </w:style>
  <w:style w:type="character" w:styleId="Hyperlink">
    <w:name w:val="Hyperlink"/>
    <w:basedOn w:val="DefaultParagraphFont"/>
    <w:uiPriority w:val="99"/>
    <w:semiHidden/>
    <w:unhideWhenUsed/>
    <w:rsid w:val="00AC5BDA"/>
    <w:rPr>
      <w:color w:val="0000FF"/>
      <w:u w:val="single"/>
    </w:rPr>
  </w:style>
  <w:style w:type="paragraph" w:styleId="EndnoteText">
    <w:name w:val="endnote text"/>
    <w:basedOn w:val="Normal"/>
    <w:link w:val="EndnoteTextChar"/>
    <w:uiPriority w:val="99"/>
    <w:semiHidden/>
    <w:unhideWhenUsed/>
    <w:rsid w:val="00681B2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81B2C"/>
    <w:rPr>
      <w:sz w:val="20"/>
      <w:szCs w:val="20"/>
    </w:rPr>
  </w:style>
  <w:style w:type="character" w:styleId="EndnoteReference">
    <w:name w:val="endnote reference"/>
    <w:basedOn w:val="DefaultParagraphFont"/>
    <w:uiPriority w:val="99"/>
    <w:semiHidden/>
    <w:unhideWhenUsed/>
    <w:rsid w:val="00681B2C"/>
    <w:rPr>
      <w:vertAlign w:val="superscript"/>
    </w:rPr>
  </w:style>
  <w:style w:type="paragraph" w:styleId="NormalWeb">
    <w:name w:val="Normal (Web)"/>
    <w:basedOn w:val="Normal"/>
    <w:uiPriority w:val="99"/>
    <w:semiHidden/>
    <w:unhideWhenUsed/>
    <w:rsid w:val="005F207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IntenseReference">
    <w:name w:val="Intense Reference"/>
    <w:basedOn w:val="DefaultParagraphFont"/>
    <w:uiPriority w:val="32"/>
    <w:qFormat/>
    <w:rsid w:val="00AF3DEE"/>
    <w:rPr>
      <w:b/>
      <w:bCs/>
      <w:smallCaps/>
      <w:color w:val="4F81BD" w:themeColor="accent1"/>
      <w:spacing w:val="5"/>
    </w:rPr>
  </w:style>
  <w:style w:type="character" w:styleId="Strong">
    <w:name w:val="Strong"/>
    <w:basedOn w:val="DefaultParagraphFont"/>
    <w:uiPriority w:val="22"/>
    <w:qFormat/>
    <w:rsid w:val="00D64C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834976">
      <w:bodyDiv w:val="1"/>
      <w:marLeft w:val="0"/>
      <w:marRight w:val="0"/>
      <w:marTop w:val="0"/>
      <w:marBottom w:val="0"/>
      <w:divBdr>
        <w:top w:val="none" w:sz="0" w:space="0" w:color="auto"/>
        <w:left w:val="none" w:sz="0" w:space="0" w:color="auto"/>
        <w:bottom w:val="none" w:sz="0" w:space="0" w:color="auto"/>
        <w:right w:val="none" w:sz="0" w:space="0" w:color="auto"/>
      </w:divBdr>
    </w:div>
    <w:div w:id="453017058">
      <w:bodyDiv w:val="1"/>
      <w:marLeft w:val="0"/>
      <w:marRight w:val="0"/>
      <w:marTop w:val="0"/>
      <w:marBottom w:val="0"/>
      <w:divBdr>
        <w:top w:val="none" w:sz="0" w:space="0" w:color="auto"/>
        <w:left w:val="none" w:sz="0" w:space="0" w:color="auto"/>
        <w:bottom w:val="none" w:sz="0" w:space="0" w:color="auto"/>
        <w:right w:val="none" w:sz="0" w:space="0" w:color="auto"/>
      </w:divBdr>
    </w:div>
    <w:div w:id="600532132">
      <w:bodyDiv w:val="1"/>
      <w:marLeft w:val="0"/>
      <w:marRight w:val="0"/>
      <w:marTop w:val="0"/>
      <w:marBottom w:val="0"/>
      <w:divBdr>
        <w:top w:val="none" w:sz="0" w:space="0" w:color="auto"/>
        <w:left w:val="none" w:sz="0" w:space="0" w:color="auto"/>
        <w:bottom w:val="none" w:sz="0" w:space="0" w:color="auto"/>
        <w:right w:val="none" w:sz="0" w:space="0" w:color="auto"/>
      </w:divBdr>
    </w:div>
    <w:div w:id="613756947">
      <w:bodyDiv w:val="1"/>
      <w:marLeft w:val="0"/>
      <w:marRight w:val="0"/>
      <w:marTop w:val="0"/>
      <w:marBottom w:val="0"/>
      <w:divBdr>
        <w:top w:val="none" w:sz="0" w:space="0" w:color="auto"/>
        <w:left w:val="none" w:sz="0" w:space="0" w:color="auto"/>
        <w:bottom w:val="none" w:sz="0" w:space="0" w:color="auto"/>
        <w:right w:val="none" w:sz="0" w:space="0" w:color="auto"/>
      </w:divBdr>
    </w:div>
    <w:div w:id="618026966">
      <w:bodyDiv w:val="1"/>
      <w:marLeft w:val="0"/>
      <w:marRight w:val="0"/>
      <w:marTop w:val="0"/>
      <w:marBottom w:val="0"/>
      <w:divBdr>
        <w:top w:val="none" w:sz="0" w:space="0" w:color="auto"/>
        <w:left w:val="none" w:sz="0" w:space="0" w:color="auto"/>
        <w:bottom w:val="none" w:sz="0" w:space="0" w:color="auto"/>
        <w:right w:val="none" w:sz="0" w:space="0" w:color="auto"/>
      </w:divBdr>
    </w:div>
    <w:div w:id="638152505">
      <w:bodyDiv w:val="1"/>
      <w:marLeft w:val="0"/>
      <w:marRight w:val="0"/>
      <w:marTop w:val="0"/>
      <w:marBottom w:val="0"/>
      <w:divBdr>
        <w:top w:val="none" w:sz="0" w:space="0" w:color="auto"/>
        <w:left w:val="none" w:sz="0" w:space="0" w:color="auto"/>
        <w:bottom w:val="none" w:sz="0" w:space="0" w:color="auto"/>
        <w:right w:val="none" w:sz="0" w:space="0" w:color="auto"/>
      </w:divBdr>
    </w:div>
    <w:div w:id="707536631">
      <w:bodyDiv w:val="1"/>
      <w:marLeft w:val="0"/>
      <w:marRight w:val="0"/>
      <w:marTop w:val="0"/>
      <w:marBottom w:val="0"/>
      <w:divBdr>
        <w:top w:val="none" w:sz="0" w:space="0" w:color="auto"/>
        <w:left w:val="none" w:sz="0" w:space="0" w:color="auto"/>
        <w:bottom w:val="none" w:sz="0" w:space="0" w:color="auto"/>
        <w:right w:val="none" w:sz="0" w:space="0" w:color="auto"/>
      </w:divBdr>
    </w:div>
    <w:div w:id="787894753">
      <w:bodyDiv w:val="1"/>
      <w:marLeft w:val="0"/>
      <w:marRight w:val="0"/>
      <w:marTop w:val="0"/>
      <w:marBottom w:val="0"/>
      <w:divBdr>
        <w:top w:val="none" w:sz="0" w:space="0" w:color="auto"/>
        <w:left w:val="none" w:sz="0" w:space="0" w:color="auto"/>
        <w:bottom w:val="none" w:sz="0" w:space="0" w:color="auto"/>
        <w:right w:val="none" w:sz="0" w:space="0" w:color="auto"/>
      </w:divBdr>
    </w:div>
    <w:div w:id="1178931352">
      <w:bodyDiv w:val="1"/>
      <w:marLeft w:val="0"/>
      <w:marRight w:val="0"/>
      <w:marTop w:val="0"/>
      <w:marBottom w:val="0"/>
      <w:divBdr>
        <w:top w:val="none" w:sz="0" w:space="0" w:color="auto"/>
        <w:left w:val="none" w:sz="0" w:space="0" w:color="auto"/>
        <w:bottom w:val="none" w:sz="0" w:space="0" w:color="auto"/>
        <w:right w:val="none" w:sz="0" w:space="0" w:color="auto"/>
      </w:divBdr>
    </w:div>
    <w:div w:id="1489132378">
      <w:bodyDiv w:val="1"/>
      <w:marLeft w:val="0"/>
      <w:marRight w:val="0"/>
      <w:marTop w:val="0"/>
      <w:marBottom w:val="0"/>
      <w:divBdr>
        <w:top w:val="none" w:sz="0" w:space="0" w:color="auto"/>
        <w:left w:val="none" w:sz="0" w:space="0" w:color="auto"/>
        <w:bottom w:val="none" w:sz="0" w:space="0" w:color="auto"/>
        <w:right w:val="none" w:sz="0" w:space="0" w:color="auto"/>
      </w:divBdr>
    </w:div>
    <w:div w:id="15616715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els.org.ar/web/2018/10/protestas-en-buenos-aires-detenciones-a-militantes-y-persecucion-a-migrantes/"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hcdn.gob.ar/proyectos/textoCompleto.jsp?exp=0102-D-2018&amp;tipo=LEY" TargetMode="External"/><Relationship Id="rId3" Type="http://schemas.openxmlformats.org/officeDocument/2006/relationships/hyperlink" Target="http://www.migraciones.gov.ar/pdf_varios/tasas/cuadro_tarifario.pdf" TargetMode="External"/><Relationship Id="rId7" Type="http://schemas.openxmlformats.org/officeDocument/2006/relationships/hyperlink" Target="https://www.hcdn.gob.ar/proyectos/textoCompleto.jsp?exp=6944-D-2017&amp;tipo=LEY" TargetMode="External"/><Relationship Id="rId2" Type="http://schemas.openxmlformats.org/officeDocument/2006/relationships/hyperlink" Target="http://www.choloconche.com.ar/2016/08/25/aumentan-entre-el-200-y-el-600-las-tasas-migratorias-en-argentina/" TargetMode="External"/><Relationship Id="rId1" Type="http://schemas.openxmlformats.org/officeDocument/2006/relationships/hyperlink" Target="https://drive.google.com/file/d/1wwkta6DXZrHuEYimg11R4c_YxBHIn_90/view" TargetMode="External"/><Relationship Id="rId6" Type="http://schemas.openxmlformats.org/officeDocument/2006/relationships/hyperlink" Target="http://www.mpd.gov.ar/uploads/documentos/refugiados/Disposicion%20regularizacion%20senegaleses.pdf" TargetMode="External"/><Relationship Id="rId5" Type="http://schemas.openxmlformats.org/officeDocument/2006/relationships/hyperlink" Target="http://www.mpd.gov.ar/uploads/documentos/refugiados/Disposiciopn%20regularizacion%20dominicanas.pdf" TargetMode="External"/><Relationship Id="rId4" Type="http://schemas.openxmlformats.org/officeDocument/2006/relationships/hyperlink" Target="https://www.argentina.gob.ar/interior/migraciones/estadisticas" TargetMode="External"/><Relationship Id="rId9" Type="http://schemas.openxmlformats.org/officeDocument/2006/relationships/hyperlink" Target="https://www.hcdn.gob.ar/proyectos/textoCompleto.jsp?exp=0515-D-2018&amp;tipo=L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09E1E3-A408-4638-9B48-55D91C562486}">
  <ds:schemaRefs>
    <ds:schemaRef ds:uri="http://schemas.openxmlformats.org/officeDocument/2006/bibliography"/>
  </ds:schemaRefs>
</ds:datastoreItem>
</file>

<file path=customXml/itemProps2.xml><?xml version="1.0" encoding="utf-8"?>
<ds:datastoreItem xmlns:ds="http://schemas.openxmlformats.org/officeDocument/2006/customXml" ds:itemID="{7DFAD378-43F2-4E23-9DBE-0C9AE49D4C01}"/>
</file>

<file path=customXml/itemProps3.xml><?xml version="1.0" encoding="utf-8"?>
<ds:datastoreItem xmlns:ds="http://schemas.openxmlformats.org/officeDocument/2006/customXml" ds:itemID="{39F21D54-026D-473A-BC80-9BC2B9FDA4CE}"/>
</file>

<file path=customXml/itemProps4.xml><?xml version="1.0" encoding="utf-8"?>
<ds:datastoreItem xmlns:ds="http://schemas.openxmlformats.org/officeDocument/2006/customXml" ds:itemID="{601ADE23-65FC-4C26-833B-C16BA593AF1A}"/>
</file>

<file path=docProps/app.xml><?xml version="1.0" encoding="utf-8"?>
<Properties xmlns="http://schemas.openxmlformats.org/officeDocument/2006/extended-properties" xmlns:vt="http://schemas.openxmlformats.org/officeDocument/2006/docPropsVTypes">
  <Template>Normal.dotm</Template>
  <TotalTime>3</TotalTime>
  <Pages>39</Pages>
  <Words>19109</Words>
  <Characters>108923</Characters>
  <Application>Microsoft Office Word</Application>
  <DocSecurity>8</DocSecurity>
  <Lines>907</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Raisa Cetra</dc:creator>
  <cp:lastModifiedBy>Fleche Isabelle</cp:lastModifiedBy>
  <cp:revision>4</cp:revision>
  <cp:lastPrinted>2019-08-13T17:21:00Z</cp:lastPrinted>
  <dcterms:created xsi:type="dcterms:W3CDTF">2019-08-13T17:21:00Z</dcterms:created>
  <dcterms:modified xsi:type="dcterms:W3CDTF">2019-08-14T15:27:00Z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