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decuadrcula4-nfasis1"/>
        <w:tblW w:w="9493" w:type="dxa"/>
        <w:jc w:val="center"/>
        <w:tblLook w:val="0620" w:firstRow="1" w:lastRow="0" w:firstColumn="0" w:lastColumn="0" w:noHBand="1" w:noVBand="1"/>
      </w:tblPr>
      <w:tblGrid>
        <w:gridCol w:w="704"/>
        <w:gridCol w:w="1701"/>
        <w:gridCol w:w="3544"/>
        <w:gridCol w:w="3544"/>
      </w:tblGrid>
      <w:tr w:rsidR="00E92FD4" w:rsidRPr="00E63651" w:rsidTr="00F724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704" w:type="dxa"/>
            <w:vAlign w:val="center"/>
          </w:tcPr>
          <w:p w:rsidR="00E92FD4" w:rsidRPr="00E63651" w:rsidRDefault="00E92FD4" w:rsidP="00F7241A">
            <w:pPr>
              <w:jc w:val="center"/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  <w:t>N°</w:t>
            </w:r>
          </w:p>
        </w:tc>
        <w:tc>
          <w:tcPr>
            <w:tcW w:w="1701" w:type="dxa"/>
            <w:vAlign w:val="center"/>
          </w:tcPr>
          <w:p w:rsidR="00E92FD4" w:rsidRPr="00E63651" w:rsidRDefault="00E92FD4" w:rsidP="00F7241A">
            <w:pPr>
              <w:jc w:val="center"/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  <w:t>CRITERIOS NORMATIVOS</w:t>
            </w:r>
          </w:p>
        </w:tc>
        <w:tc>
          <w:tcPr>
            <w:tcW w:w="3544" w:type="dxa"/>
            <w:vAlign w:val="center"/>
          </w:tcPr>
          <w:p w:rsidR="00E92FD4" w:rsidRPr="00E63651" w:rsidRDefault="00E92FD4" w:rsidP="00F7241A">
            <w:pPr>
              <w:jc w:val="center"/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  <w:t>AGUA</w:t>
            </w:r>
          </w:p>
        </w:tc>
        <w:tc>
          <w:tcPr>
            <w:tcW w:w="3544" w:type="dxa"/>
            <w:vAlign w:val="center"/>
          </w:tcPr>
          <w:p w:rsidR="00E92FD4" w:rsidRPr="00E63651" w:rsidRDefault="00E92FD4" w:rsidP="00F7241A">
            <w:pPr>
              <w:jc w:val="center"/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 w:val="0"/>
                <w:i/>
                <w:sz w:val="20"/>
                <w:szCs w:val="20"/>
                <w:u w:color="2F5496"/>
              </w:rPr>
              <w:t>SANEAMIENTO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0" w:firstLine="0"/>
              <w:contextualSpacing w:val="0"/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1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Accesibilidad</w:t>
            </w:r>
          </w:p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360"/>
              <w:contextualSpacing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Los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servicios de agua y sus instalaciones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deben estar al alcance físico de todos los poblado</w:t>
            </w:r>
            <w:bookmarkStart w:id="0" w:name="_GoBack"/>
            <w:bookmarkEnd w:id="0"/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res de una comunidad, población o ciudad. </w:t>
            </w:r>
          </w:p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</w:pPr>
          </w:p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sz w:val="20"/>
                <w:szCs w:val="20"/>
              </w:rPr>
              <w:t xml:space="preserve">Los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sz w:val="20"/>
                <w:szCs w:val="20"/>
              </w:rPr>
              <w:t>servicios e instalaciones de saneamiento</w:t>
            </w:r>
            <w:r w:rsidRPr="00E63651">
              <w:rPr>
                <w:rStyle w:val="None"/>
                <w:rFonts w:ascii="Arial" w:hAnsi="Arial" w:cs="Arial"/>
                <w:i/>
                <w:sz w:val="20"/>
                <w:szCs w:val="20"/>
              </w:rPr>
              <w:t xml:space="preserve"> deben ser físicamente accesibles para todas las personas, en el interior o en las inmediaciones de cada hogar, institución educativa o de salud, instituciones y lugares públicos y lugar de trabajo. 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0" w:firstLine="0"/>
              <w:contextualSpacing w:val="0"/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2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Disponibilidad</w:t>
            </w:r>
          </w:p>
          <w:p w:rsidR="00E92FD4" w:rsidRPr="00E63651" w:rsidRDefault="00E92FD4" w:rsidP="00F7241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sz w:val="20"/>
                <w:szCs w:val="20"/>
              </w:rPr>
              <w:t xml:space="preserve">El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abastecimiento de agua a cada persona </w:t>
            </w:r>
            <w:r w:rsidRPr="00E63651">
              <w:rPr>
                <w:rStyle w:val="None"/>
                <w:rFonts w:ascii="Arial" w:hAnsi="Arial" w:cs="Arial"/>
                <w:i/>
                <w:sz w:val="20"/>
                <w:szCs w:val="20"/>
              </w:rPr>
              <w:t xml:space="preserve">debe ser continuo y suficiente para los usos personales y domésticos (el consumo, el saneamiento, el lavado de ropa, la preparación de alimentos, la higiene personal y doméstica). </w:t>
            </w: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El derecho al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saneamiento plantea que debe haber un número suficiente de instalaciones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de saneamiento en el interior o en las inmediaciones de cada hogar, institución educativa o de salud, instituciones y lugares públicos y el lugar de trabajo. 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0" w:firstLine="0"/>
              <w:contextualSpacing w:val="0"/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3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Calidad</w:t>
            </w:r>
          </w:p>
          <w:p w:rsidR="00E92FD4" w:rsidRPr="00E63651" w:rsidRDefault="00E92FD4" w:rsidP="00F7241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El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agua necesaria para cada uso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personal o doméstico debe ser salubre y, por lo tanto, no ha de contener microorganismos o sustancias químicas o radiactivas que 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  <w:t xml:space="preserve">constituyan 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una amenaza para la salud de las personas. </w:t>
            </w: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Los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servicios de saneamiento deben ser seguros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desde el punto de vista de la higiene y debe prevenir eficazmente estar en contacto con excretas humanas o de animales. 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0" w:firstLine="0"/>
              <w:contextualSpacing w:val="0"/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4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Asequibilidad</w:t>
            </w:r>
          </w:p>
          <w:p w:rsidR="00E92FD4" w:rsidRPr="00E63651" w:rsidRDefault="00E92FD4" w:rsidP="00F7241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Los costos y cargos directos e indirectos asociados con el abastecimiento de agua deben ser asequibles (el costo del servicio no debería superar el 3% de los ingresos del hogar) y no deben comprometer ni poner en peligro el ejercicio de otros derechos reconocidos en el Pacto Internacional de Derechos Económicos Sociales y Culturales.</w:t>
            </w: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u w:color="8496B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El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acceso a instalaciones y servicios de saneamiento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debe estar disponible a un precio que sea asequible para todas las personas, sin limitar su capacidad de adquirir otros bienes y servicios básicos, como el agua, los alimentos, la vivienda, la salud y la educación, garantizados por los demás derechos humanos.</w:t>
            </w:r>
          </w:p>
          <w:p w:rsidR="00E92FD4" w:rsidRPr="00E63651" w:rsidRDefault="00E92FD4" w:rsidP="00F7241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es-BO"/>
              </w:rPr>
            </w:pP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Style w:val="Prrafodelista"/>
              <w:pBdr>
                <w:between w:val="nil"/>
                <w:bar w:val="nil"/>
              </w:pBdr>
              <w:spacing w:after="0" w:line="240" w:lineRule="auto"/>
              <w:ind w:left="0" w:firstLine="0"/>
              <w:contextualSpacing w:val="0"/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5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Aceptabilidad</w:t>
            </w:r>
          </w:p>
          <w:p w:rsidR="00E92FD4" w:rsidRPr="00E63651" w:rsidRDefault="00E92FD4" w:rsidP="00F7241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Las soluciones de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acceso al agua deben ser aceptables social y culturalmente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. La aceptabilidad es también pertinente para estimular el uso de fuentes de agua seguras; el color, el olor y el sabor del agua deben ser aceptables.</w:t>
            </w:r>
          </w:p>
          <w:p w:rsidR="00E92FD4" w:rsidRPr="00E63651" w:rsidRDefault="00E92FD4" w:rsidP="00F7241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es-BO"/>
              </w:rPr>
            </w:pPr>
          </w:p>
        </w:tc>
        <w:tc>
          <w:tcPr>
            <w:tcW w:w="3544" w:type="dxa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Las soluciones de </w:t>
            </w: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auto"/>
                <w:sz w:val="20"/>
                <w:szCs w:val="20"/>
                <w:lang w:val="es-ES_tradnl"/>
              </w:rPr>
              <w:t>acceso al saneamiento deben ser aceptables social y culturalmente</w:t>
            </w: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. Se debe tener en cuenta las diferentes opciones tecnológicas de saneamiento, en cuanto al diseño, localización y condiciones de uso de las instalaciones (que garanticen la intimidad, instalaciones separadas para hombres y mujeres, niñas y niños, que permitan la higiene menstrual, prácticas de higiene, lavado de manos y la limpieza anal y genital).</w:t>
            </w:r>
          </w:p>
          <w:p w:rsidR="00E92FD4" w:rsidRPr="00E63651" w:rsidRDefault="00E92FD4" w:rsidP="00F7241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es-BO"/>
              </w:rPr>
            </w:pPr>
          </w:p>
        </w:tc>
      </w:tr>
      <w:tr w:rsidR="00E92FD4" w:rsidRPr="00E63651" w:rsidTr="00F7241A">
        <w:trPr>
          <w:jc w:val="center"/>
        </w:trPr>
        <w:tc>
          <w:tcPr>
            <w:tcW w:w="704" w:type="dxa"/>
            <w:shd w:val="clear" w:color="auto" w:fill="5B9BD5" w:themeFill="accent1"/>
            <w:vAlign w:val="center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  <w:t>N°</w:t>
            </w:r>
          </w:p>
        </w:tc>
        <w:tc>
          <w:tcPr>
            <w:tcW w:w="1701" w:type="dxa"/>
            <w:shd w:val="clear" w:color="auto" w:fill="5B9BD5" w:themeFill="accent1"/>
            <w:vAlign w:val="center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  <w:t>CRITERIOS COMUNES</w:t>
            </w:r>
          </w:p>
        </w:tc>
        <w:tc>
          <w:tcPr>
            <w:tcW w:w="7088" w:type="dxa"/>
            <w:gridSpan w:val="2"/>
            <w:shd w:val="clear" w:color="auto" w:fill="5B9BD5" w:themeFill="accent1"/>
            <w:vAlign w:val="center"/>
          </w:tcPr>
          <w:p w:rsidR="00E92FD4" w:rsidRPr="00E63651" w:rsidRDefault="00E92FD4" w:rsidP="00F7241A">
            <w:pPr>
              <w:jc w:val="center"/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/>
                <w:bCs/>
                <w:i/>
                <w:color w:val="FFFFFF" w:themeColor="background1"/>
                <w:sz w:val="20"/>
                <w:szCs w:val="20"/>
                <w:u w:color="2F5496"/>
              </w:rPr>
              <w:t>AGUA Y SANEAMIENTO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1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No discriminación</w:t>
            </w:r>
          </w:p>
        </w:tc>
        <w:tc>
          <w:tcPr>
            <w:tcW w:w="7088" w:type="dxa"/>
            <w:gridSpan w:val="2"/>
          </w:tcPr>
          <w:p w:rsidR="00E92FD4" w:rsidRPr="00E63651" w:rsidRDefault="00E92FD4" w:rsidP="00F7241A">
            <w:pPr>
              <w:pStyle w:val="Body"/>
              <w:jc w:val="both"/>
              <w:rPr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Obliga a los prestadores de los servicios y a las entidades del Estado vinculadas a eliminar la discriminación formal por todos los motivos prohibidos y obliga a adoptar medidas positivas cuando sea necesario poner fin a la desigualdad de acceso al agua y el saneamiento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</w:rPr>
              <w:t>.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lastRenderedPageBreak/>
              <w:t>2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La Participación</w:t>
            </w:r>
          </w:p>
        </w:tc>
        <w:tc>
          <w:tcPr>
            <w:tcW w:w="7088" w:type="dxa"/>
            <w:gridSpan w:val="2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Los usuarios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</w:rPr>
              <w:t xml:space="preserve"> 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tienen el derecho de participar en las actividades de planificación, ejecución de las obras, 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administració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</w:rPr>
              <w:t xml:space="preserve">n, 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</w:rPr>
              <w:t>operaci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ón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y mantenimiento de los sistemas de agua y saneamiento, no sólo para garantizar que 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fr-FR"/>
              </w:rPr>
              <w:t>é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stos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sean adecuados y accesibles para los grupos a los que vayan dirigidos; sino 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tambi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fr-FR"/>
              </w:rPr>
              <w:t>é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n para asegurar la rendición de cuentas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</w:rPr>
              <w:t xml:space="preserve"> 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y para hacer responsables al gobierno central, a los gobiernos departamentales y municipales, y a otros interesados en caso de incumplir sus obligaciones de suministrar estos servicios esenciales.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3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La Responsabilidad o Rendición de cuentas</w:t>
            </w:r>
          </w:p>
        </w:tc>
        <w:tc>
          <w:tcPr>
            <w:tcW w:w="7088" w:type="dxa"/>
            <w:gridSpan w:val="2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</w:pP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it-IT"/>
              </w:rPr>
              <w:t>La rendici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ón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 xml:space="preserve"> de cuentas constituye una de las ventajas fundamentales de la utilización del marco de derechos humanos para garantizar el acceso universal a los servicios de agua y saneamiento.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4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Sostenibilidad</w:t>
            </w:r>
          </w:p>
        </w:tc>
        <w:tc>
          <w:tcPr>
            <w:tcW w:w="7088" w:type="dxa"/>
            <w:gridSpan w:val="2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Las inversiones que se realicen en el sector, deben ser sostenibles desde el punto de vista t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fr-FR"/>
              </w:rPr>
              <w:t>é</w:t>
            </w:r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it-IT"/>
              </w:rPr>
              <w:t>cnico, econ</w:t>
            </w:r>
            <w:proofErr w:type="spellStart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ómico</w:t>
            </w:r>
            <w:proofErr w:type="spellEnd"/>
            <w:r w:rsidRPr="00E63651">
              <w:rPr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, medio ambiental y social, de manera que las generaciones futuras puedan disfrutar de los derechos al agua y al saneamiento.</w:t>
            </w:r>
          </w:p>
        </w:tc>
      </w:tr>
      <w:tr w:rsidR="00E92FD4" w:rsidRPr="00E63651" w:rsidTr="00F7241A">
        <w:trPr>
          <w:jc w:val="center"/>
        </w:trPr>
        <w:tc>
          <w:tcPr>
            <w:tcW w:w="704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5</w:t>
            </w:r>
          </w:p>
        </w:tc>
        <w:tc>
          <w:tcPr>
            <w:tcW w:w="1701" w:type="dxa"/>
          </w:tcPr>
          <w:p w:rsidR="00E92FD4" w:rsidRPr="00E63651" w:rsidRDefault="00E92FD4" w:rsidP="00F7241A">
            <w:pPr>
              <w:pBdr>
                <w:between w:val="nil"/>
                <w:bar w:val="nil"/>
              </w:pBdr>
              <w:jc w:val="center"/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</w:pPr>
            <w:r w:rsidRPr="00E63651">
              <w:rPr>
                <w:rStyle w:val="None"/>
                <w:rFonts w:ascii="Arial" w:hAnsi="Arial" w:cs="Arial"/>
                <w:bCs/>
                <w:i/>
                <w:sz w:val="20"/>
                <w:szCs w:val="20"/>
                <w:u w:color="2F5496"/>
              </w:rPr>
              <w:t>Efectos de su realización progresiva</w:t>
            </w:r>
          </w:p>
        </w:tc>
        <w:tc>
          <w:tcPr>
            <w:tcW w:w="7088" w:type="dxa"/>
            <w:gridSpan w:val="2"/>
          </w:tcPr>
          <w:p w:rsidR="00E92FD4" w:rsidRPr="00E63651" w:rsidRDefault="00E92FD4" w:rsidP="00F7241A">
            <w:pPr>
              <w:pStyle w:val="Body"/>
              <w:jc w:val="both"/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</w:rPr>
            </w:pPr>
            <w:r w:rsidRPr="00E63651">
              <w:rPr>
                <w:rStyle w:val="None"/>
                <w:rFonts w:ascii="Arial" w:hAnsi="Arial" w:cs="Arial"/>
                <w:i/>
                <w:color w:val="auto"/>
                <w:sz w:val="20"/>
                <w:szCs w:val="20"/>
                <w:lang w:val="es-ES_tradnl"/>
              </w:rPr>
              <w:t>Se deben proporcionar los medios para garantizar el cumplimiento de las obligaciones inmediatas, pero también de las obligaciones progresivas hacia el goce pleno y efectivo del DHAS.</w:t>
            </w:r>
          </w:p>
        </w:tc>
      </w:tr>
    </w:tbl>
    <w:p w:rsidR="00BE26D4" w:rsidRDefault="00BE26D4"/>
    <w:sectPr w:rsidR="00BE26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FD4"/>
    <w:rsid w:val="00BE26D4"/>
    <w:rsid w:val="00E9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C1A292-965A-47F5-A835-89B0C183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FD4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5,Párrafo de lista1,Párrafo,HOJA,Numbered Paragraph,Main numbered paragraph,Bullets,List Paragraph1,VIÑETAS,TITULO A,Bolita,Guión,Viñeta 2,Párrafo de lista3,BOLA,Párrafo de lista21,Titulo 8,Párrafo de lista2,Párrafo de lista31"/>
    <w:basedOn w:val="Normal"/>
    <w:link w:val="PrrafodelistaCar"/>
    <w:qFormat/>
    <w:rsid w:val="00E92FD4"/>
    <w:pPr>
      <w:spacing w:after="200" w:line="276" w:lineRule="auto"/>
      <w:ind w:left="720" w:hanging="1559"/>
      <w:contextualSpacing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5 Car,Párrafo de lista1 Car,Párrafo Car,HOJA Car,Numbered Paragraph Car,Main numbered paragraph Car,Bullets Car,List Paragraph1 Car,VIÑETAS Car,TITULO A Car,Bolita Car,Guión Car,Viñeta 2 Car,Párrafo de lista3 Car,BOLA Car"/>
    <w:basedOn w:val="Fuentedeprrafopredeter"/>
    <w:link w:val="Prrafodelista"/>
    <w:qFormat/>
    <w:rsid w:val="00E92FD4"/>
    <w:rPr>
      <w:rFonts w:ascii="Calibri" w:eastAsia="Calibri" w:hAnsi="Calibri" w:cs="Times New Roman"/>
      <w:lang w:val="es-ES"/>
    </w:rPr>
  </w:style>
  <w:style w:type="paragraph" w:customStyle="1" w:styleId="Body">
    <w:name w:val="Body"/>
    <w:rsid w:val="00E92F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s-BO"/>
    </w:rPr>
  </w:style>
  <w:style w:type="character" w:customStyle="1" w:styleId="None">
    <w:name w:val="None"/>
    <w:rsid w:val="00E92FD4"/>
  </w:style>
  <w:style w:type="table" w:styleId="Tabladecuadrcula4-nfasis1">
    <w:name w:val="Grid Table 4 Accent 1"/>
    <w:basedOn w:val="Tablanormal"/>
    <w:uiPriority w:val="49"/>
    <w:rsid w:val="00E92FD4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CF65D6-D85D-4B26-910C-CE4CD23E766C}"/>
</file>

<file path=customXml/itemProps2.xml><?xml version="1.0" encoding="utf-8"?>
<ds:datastoreItem xmlns:ds="http://schemas.openxmlformats.org/officeDocument/2006/customXml" ds:itemID="{2B11A397-F10B-46F4-BE67-D193BBC5710B}"/>
</file>

<file path=customXml/itemProps3.xml><?xml version="1.0" encoding="utf-8"?>
<ds:datastoreItem xmlns:ds="http://schemas.openxmlformats.org/officeDocument/2006/customXml" ds:itemID="{EACCB0BA-D9D4-40C5-9E70-8A5784D0B2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LIA_MALDONADO</dc:creator>
  <cp:keywords/>
  <dc:description/>
  <cp:lastModifiedBy>LIA_MALDONADO</cp:lastModifiedBy>
  <cp:revision>1</cp:revision>
  <dcterms:created xsi:type="dcterms:W3CDTF">2020-06-25T14:33:00Z</dcterms:created>
  <dcterms:modified xsi:type="dcterms:W3CDTF">2020-06-25T14:34:00Z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