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1325" w14:textId="77777777" w:rsidR="004539A4" w:rsidRDefault="00B176C1">
      <w:pPr>
        <w:jc w:val="right"/>
        <w:rPr>
          <w:rFonts w:ascii="EB Garamond" w:eastAsia="EB Garamond" w:hAnsi="EB Garamond" w:cs="EB Garamond"/>
          <w:b/>
          <w:sz w:val="24"/>
          <w:szCs w:val="24"/>
        </w:rPr>
      </w:pPr>
      <w:r>
        <w:rPr>
          <w:rFonts w:ascii="EB Garamond" w:eastAsia="EB Garamond" w:hAnsi="EB Garamond" w:cs="EB Garamond"/>
          <w:b/>
          <w:sz w:val="24"/>
          <w:szCs w:val="24"/>
        </w:rPr>
        <w:t>Quito, Ecuador</w:t>
      </w:r>
    </w:p>
    <w:p w14:paraId="53772B63" w14:textId="77777777" w:rsidR="004539A4" w:rsidRDefault="004539A4">
      <w:pPr>
        <w:jc w:val="right"/>
        <w:rPr>
          <w:rFonts w:ascii="EB Garamond" w:eastAsia="EB Garamond" w:hAnsi="EB Garamond" w:cs="EB Garamond"/>
          <w:b/>
          <w:sz w:val="24"/>
          <w:szCs w:val="24"/>
        </w:rPr>
      </w:pPr>
    </w:p>
    <w:p w14:paraId="1DC8509B" w14:textId="77777777" w:rsidR="004539A4" w:rsidRDefault="004539A4">
      <w:pPr>
        <w:jc w:val="right"/>
        <w:rPr>
          <w:rFonts w:ascii="EB Garamond" w:eastAsia="EB Garamond" w:hAnsi="EB Garamond" w:cs="EB Garamond"/>
          <w:b/>
          <w:sz w:val="24"/>
          <w:szCs w:val="24"/>
        </w:rPr>
      </w:pPr>
    </w:p>
    <w:p w14:paraId="28C90368" w14:textId="77777777" w:rsidR="004539A4" w:rsidRDefault="004539A4">
      <w:pPr>
        <w:spacing w:line="360" w:lineRule="auto"/>
        <w:jc w:val="center"/>
        <w:rPr>
          <w:rFonts w:ascii="EB Garamond" w:eastAsia="EB Garamond" w:hAnsi="EB Garamond" w:cs="EB Garamond"/>
          <w:b/>
          <w:sz w:val="24"/>
          <w:szCs w:val="24"/>
        </w:rPr>
      </w:pPr>
    </w:p>
    <w:p w14:paraId="42946FFE" w14:textId="77777777" w:rsidR="004539A4" w:rsidRDefault="004539A4">
      <w:pPr>
        <w:spacing w:line="360" w:lineRule="auto"/>
        <w:jc w:val="center"/>
        <w:rPr>
          <w:rFonts w:ascii="EB Garamond" w:eastAsia="EB Garamond" w:hAnsi="EB Garamond" w:cs="EB Garamond"/>
          <w:b/>
          <w:sz w:val="24"/>
          <w:szCs w:val="24"/>
        </w:rPr>
      </w:pPr>
    </w:p>
    <w:p w14:paraId="53993A7D" w14:textId="77777777" w:rsidR="004539A4" w:rsidRDefault="004539A4">
      <w:pPr>
        <w:spacing w:line="360" w:lineRule="auto"/>
        <w:jc w:val="center"/>
        <w:rPr>
          <w:rFonts w:ascii="EB Garamond" w:eastAsia="EB Garamond" w:hAnsi="EB Garamond" w:cs="EB Garamond"/>
          <w:b/>
          <w:sz w:val="24"/>
          <w:szCs w:val="24"/>
        </w:rPr>
      </w:pPr>
    </w:p>
    <w:p w14:paraId="3865B7BC" w14:textId="77777777" w:rsidR="004539A4" w:rsidRDefault="004539A4">
      <w:pPr>
        <w:spacing w:line="360" w:lineRule="auto"/>
        <w:jc w:val="center"/>
        <w:rPr>
          <w:rFonts w:ascii="EB Garamond" w:eastAsia="EB Garamond" w:hAnsi="EB Garamond" w:cs="EB Garamond"/>
          <w:b/>
          <w:sz w:val="24"/>
          <w:szCs w:val="24"/>
        </w:rPr>
      </w:pPr>
    </w:p>
    <w:p w14:paraId="31467779" w14:textId="77777777" w:rsidR="004539A4" w:rsidRDefault="00B176C1">
      <w:pPr>
        <w:spacing w:line="360" w:lineRule="auto"/>
        <w:jc w:val="center"/>
        <w:rPr>
          <w:rFonts w:ascii="EB Garamond" w:eastAsia="EB Garamond" w:hAnsi="EB Garamond" w:cs="EB Garamond"/>
          <w:b/>
          <w:sz w:val="24"/>
          <w:szCs w:val="24"/>
        </w:rPr>
      </w:pPr>
      <w:r>
        <w:rPr>
          <w:rFonts w:ascii="Times New Roman" w:eastAsia="Times New Roman" w:hAnsi="Times New Roman" w:cs="Times New Roman"/>
          <w:b/>
          <w:noProof/>
          <w:sz w:val="24"/>
          <w:szCs w:val="24"/>
        </w:rPr>
        <w:drawing>
          <wp:inline distT="114300" distB="114300" distL="114300" distR="114300" wp14:anchorId="17926365" wp14:editId="65FBCEE3">
            <wp:extent cx="4389600" cy="5533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389600" cy="553374"/>
                    </a:xfrm>
                    <a:prstGeom prst="rect">
                      <a:avLst/>
                    </a:prstGeom>
                    <a:ln/>
                  </pic:spPr>
                </pic:pic>
              </a:graphicData>
            </a:graphic>
          </wp:inline>
        </w:drawing>
      </w:r>
    </w:p>
    <w:p w14:paraId="77621E11" w14:textId="77777777" w:rsidR="004539A4" w:rsidRDefault="004539A4">
      <w:pPr>
        <w:jc w:val="right"/>
        <w:rPr>
          <w:rFonts w:ascii="EB Garamond" w:eastAsia="EB Garamond" w:hAnsi="EB Garamond" w:cs="EB Garamond"/>
          <w:b/>
          <w:sz w:val="24"/>
          <w:szCs w:val="24"/>
        </w:rPr>
      </w:pPr>
    </w:p>
    <w:p w14:paraId="0A286C76" w14:textId="77777777" w:rsidR="004539A4" w:rsidRDefault="004539A4">
      <w:pPr>
        <w:jc w:val="right"/>
        <w:rPr>
          <w:rFonts w:ascii="EB Garamond" w:eastAsia="EB Garamond" w:hAnsi="EB Garamond" w:cs="EB Garamond"/>
          <w:b/>
          <w:sz w:val="24"/>
          <w:szCs w:val="24"/>
        </w:rPr>
      </w:pPr>
    </w:p>
    <w:p w14:paraId="4BD5AF20" w14:textId="77777777" w:rsidR="004539A4" w:rsidRDefault="004539A4">
      <w:pPr>
        <w:jc w:val="right"/>
        <w:rPr>
          <w:rFonts w:ascii="EB Garamond" w:eastAsia="EB Garamond" w:hAnsi="EB Garamond" w:cs="EB Garamond"/>
          <w:b/>
          <w:sz w:val="24"/>
          <w:szCs w:val="24"/>
        </w:rPr>
      </w:pPr>
    </w:p>
    <w:p w14:paraId="5FAC4AAC" w14:textId="77777777" w:rsidR="004539A4" w:rsidRDefault="004539A4">
      <w:pPr>
        <w:jc w:val="right"/>
        <w:rPr>
          <w:rFonts w:ascii="EB Garamond" w:eastAsia="EB Garamond" w:hAnsi="EB Garamond" w:cs="EB Garamond"/>
          <w:b/>
          <w:sz w:val="24"/>
          <w:szCs w:val="24"/>
        </w:rPr>
      </w:pPr>
    </w:p>
    <w:p w14:paraId="6FB97F79" w14:textId="77777777" w:rsidR="004539A4" w:rsidRDefault="004539A4">
      <w:pPr>
        <w:jc w:val="right"/>
        <w:rPr>
          <w:rFonts w:ascii="EB Garamond" w:eastAsia="EB Garamond" w:hAnsi="EB Garamond" w:cs="EB Garamond"/>
          <w:b/>
          <w:sz w:val="24"/>
          <w:szCs w:val="24"/>
        </w:rPr>
      </w:pPr>
    </w:p>
    <w:p w14:paraId="3A5C40BD" w14:textId="77777777" w:rsidR="004539A4" w:rsidRDefault="00B176C1">
      <w:pPr>
        <w:jc w:val="center"/>
        <w:rPr>
          <w:rFonts w:ascii="EB Garamond" w:eastAsia="EB Garamond" w:hAnsi="EB Garamond" w:cs="EB Garamond"/>
          <w:sz w:val="24"/>
          <w:szCs w:val="24"/>
        </w:rPr>
      </w:pPr>
      <w:r>
        <w:rPr>
          <w:rFonts w:ascii="EB Garamond" w:eastAsia="EB Garamond" w:hAnsi="EB Garamond" w:cs="EB Garamond"/>
          <w:sz w:val="24"/>
          <w:szCs w:val="24"/>
        </w:rPr>
        <w:t xml:space="preserve">en respuesta al llamado a presentar </w:t>
      </w:r>
      <w:r>
        <w:rPr>
          <w:rFonts w:ascii="EB Garamond" w:eastAsia="EB Garamond" w:hAnsi="EB Garamond" w:cs="EB Garamond"/>
          <w:b/>
          <w:sz w:val="24"/>
          <w:szCs w:val="24"/>
        </w:rPr>
        <w:t>información escrita para el examen del informe del Estado de Ecuador por el Comité de Derechos Humanos</w:t>
      </w:r>
      <w:r>
        <w:rPr>
          <w:rFonts w:ascii="EB Garamond" w:eastAsia="EB Garamond" w:hAnsi="EB Garamond" w:cs="EB Garamond"/>
          <w:sz w:val="24"/>
          <w:szCs w:val="24"/>
        </w:rPr>
        <w:t>, de cara al 142 periodo de sesiones (14 Oct 2024 - 07 Nov 2024)</w:t>
      </w:r>
    </w:p>
    <w:p w14:paraId="002C6F33" w14:textId="77777777" w:rsidR="004539A4" w:rsidRDefault="004539A4">
      <w:pPr>
        <w:jc w:val="center"/>
        <w:rPr>
          <w:rFonts w:ascii="Avenir" w:eastAsia="Avenir" w:hAnsi="Avenir" w:cs="Avenir"/>
          <w:b/>
          <w:sz w:val="24"/>
          <w:szCs w:val="24"/>
        </w:rPr>
      </w:pPr>
    </w:p>
    <w:p w14:paraId="43B2B784" w14:textId="77777777" w:rsidR="004539A4" w:rsidRDefault="004539A4">
      <w:pPr>
        <w:jc w:val="center"/>
        <w:rPr>
          <w:rFonts w:ascii="Avenir" w:eastAsia="Avenir" w:hAnsi="Avenir" w:cs="Avenir"/>
          <w:b/>
          <w:sz w:val="24"/>
          <w:szCs w:val="24"/>
        </w:rPr>
      </w:pPr>
    </w:p>
    <w:p w14:paraId="3A372171" w14:textId="77777777" w:rsidR="004539A4" w:rsidRDefault="004539A4">
      <w:pPr>
        <w:jc w:val="center"/>
        <w:rPr>
          <w:rFonts w:ascii="Avenir" w:eastAsia="Avenir" w:hAnsi="Avenir" w:cs="Avenir"/>
          <w:b/>
          <w:sz w:val="24"/>
          <w:szCs w:val="24"/>
        </w:rPr>
      </w:pPr>
    </w:p>
    <w:p w14:paraId="700AAFC9" w14:textId="77777777" w:rsidR="004539A4" w:rsidRDefault="004539A4">
      <w:pPr>
        <w:jc w:val="center"/>
        <w:rPr>
          <w:rFonts w:ascii="Avenir" w:eastAsia="Avenir" w:hAnsi="Avenir" w:cs="Avenir"/>
          <w:b/>
          <w:sz w:val="24"/>
          <w:szCs w:val="24"/>
        </w:rPr>
      </w:pPr>
    </w:p>
    <w:p w14:paraId="650693A6" w14:textId="77777777" w:rsidR="004539A4" w:rsidRDefault="004539A4">
      <w:pPr>
        <w:jc w:val="center"/>
        <w:rPr>
          <w:rFonts w:ascii="Avenir" w:eastAsia="Avenir" w:hAnsi="Avenir" w:cs="Avenir"/>
          <w:b/>
          <w:sz w:val="24"/>
          <w:szCs w:val="24"/>
        </w:rPr>
      </w:pPr>
    </w:p>
    <w:p w14:paraId="485B3B38" w14:textId="77777777" w:rsidR="004539A4" w:rsidRDefault="004539A4">
      <w:pPr>
        <w:jc w:val="center"/>
        <w:rPr>
          <w:rFonts w:ascii="Avenir" w:eastAsia="Avenir" w:hAnsi="Avenir" w:cs="Avenir"/>
          <w:b/>
          <w:sz w:val="24"/>
          <w:szCs w:val="24"/>
        </w:rPr>
      </w:pPr>
    </w:p>
    <w:p w14:paraId="6EFBAD1B" w14:textId="77777777" w:rsidR="004539A4" w:rsidRDefault="004539A4">
      <w:pPr>
        <w:jc w:val="center"/>
        <w:rPr>
          <w:rFonts w:ascii="Avenir" w:eastAsia="Avenir" w:hAnsi="Avenir" w:cs="Avenir"/>
          <w:b/>
          <w:sz w:val="24"/>
          <w:szCs w:val="24"/>
        </w:rPr>
      </w:pPr>
    </w:p>
    <w:p w14:paraId="482CD5E0" w14:textId="77777777" w:rsidR="004539A4" w:rsidRDefault="004539A4">
      <w:pPr>
        <w:jc w:val="center"/>
        <w:rPr>
          <w:rFonts w:ascii="Avenir" w:eastAsia="Avenir" w:hAnsi="Avenir" w:cs="Avenir"/>
          <w:b/>
          <w:sz w:val="24"/>
          <w:szCs w:val="24"/>
        </w:rPr>
      </w:pPr>
    </w:p>
    <w:p w14:paraId="7B15CFF5" w14:textId="77777777" w:rsidR="004539A4" w:rsidRDefault="004539A4">
      <w:pPr>
        <w:jc w:val="center"/>
        <w:rPr>
          <w:rFonts w:ascii="Avenir" w:eastAsia="Avenir" w:hAnsi="Avenir" w:cs="Avenir"/>
          <w:b/>
          <w:sz w:val="24"/>
          <w:szCs w:val="24"/>
        </w:rPr>
      </w:pPr>
    </w:p>
    <w:p w14:paraId="0ED7E530" w14:textId="77777777" w:rsidR="004539A4" w:rsidRDefault="004539A4">
      <w:pPr>
        <w:jc w:val="center"/>
        <w:rPr>
          <w:rFonts w:ascii="Avenir" w:eastAsia="Avenir" w:hAnsi="Avenir" w:cs="Avenir"/>
          <w:b/>
          <w:sz w:val="24"/>
          <w:szCs w:val="24"/>
        </w:rPr>
      </w:pPr>
    </w:p>
    <w:p w14:paraId="0B802D98" w14:textId="77777777" w:rsidR="004539A4" w:rsidRDefault="004539A4">
      <w:pPr>
        <w:jc w:val="center"/>
        <w:rPr>
          <w:rFonts w:ascii="Avenir" w:eastAsia="Avenir" w:hAnsi="Avenir" w:cs="Avenir"/>
          <w:b/>
          <w:sz w:val="24"/>
          <w:szCs w:val="24"/>
        </w:rPr>
      </w:pPr>
    </w:p>
    <w:p w14:paraId="4F61DAD0" w14:textId="77777777" w:rsidR="004539A4" w:rsidRDefault="004539A4">
      <w:pPr>
        <w:jc w:val="center"/>
        <w:rPr>
          <w:rFonts w:ascii="Avenir" w:eastAsia="Avenir" w:hAnsi="Avenir" w:cs="Avenir"/>
          <w:b/>
          <w:sz w:val="24"/>
          <w:szCs w:val="24"/>
        </w:rPr>
      </w:pPr>
    </w:p>
    <w:p w14:paraId="7814390C" w14:textId="77777777" w:rsidR="004539A4" w:rsidRDefault="00B176C1">
      <w:pPr>
        <w:jc w:val="center"/>
        <w:rPr>
          <w:rFonts w:ascii="EB Garamond" w:eastAsia="EB Garamond" w:hAnsi="EB Garamond" w:cs="EB Garamond"/>
          <w:b/>
          <w:sz w:val="24"/>
          <w:szCs w:val="24"/>
        </w:rPr>
      </w:pPr>
      <w:r>
        <w:rPr>
          <w:rFonts w:ascii="EB Garamond" w:eastAsia="EB Garamond" w:hAnsi="EB Garamond" w:cs="EB Garamond"/>
          <w:b/>
          <w:sz w:val="24"/>
          <w:szCs w:val="24"/>
        </w:rPr>
        <w:t xml:space="preserve">30 de </w:t>
      </w:r>
      <w:r>
        <w:rPr>
          <w:rFonts w:ascii="EB Garamond" w:eastAsia="EB Garamond" w:hAnsi="EB Garamond" w:cs="EB Garamond"/>
          <w:b/>
          <w:sz w:val="24"/>
          <w:szCs w:val="24"/>
        </w:rPr>
        <w:t>septiembre de 2024</w:t>
      </w:r>
      <w:r>
        <w:br w:type="page"/>
      </w:r>
    </w:p>
    <w:p w14:paraId="3ADD793F" w14:textId="77777777" w:rsidR="00D84508" w:rsidRDefault="00B176C1">
      <w:pPr>
        <w:numPr>
          <w:ilvl w:val="0"/>
          <w:numId w:val="2"/>
        </w:numPr>
        <w:jc w:val="both"/>
        <w:rPr>
          <w:rFonts w:ascii="EB Garamond" w:eastAsia="EB Garamond" w:hAnsi="EB Garamond" w:cs="EB Garamond"/>
          <w:b/>
          <w:sz w:val="24"/>
          <w:szCs w:val="24"/>
        </w:rPr>
      </w:pPr>
      <w:r>
        <w:rPr>
          <w:rFonts w:ascii="EB Garamond" w:eastAsia="EB Garamond" w:hAnsi="EB Garamond" w:cs="EB Garamond"/>
          <w:b/>
          <w:sz w:val="24"/>
          <w:szCs w:val="24"/>
        </w:rPr>
        <w:lastRenderedPageBreak/>
        <w:t>SUMMARY</w:t>
      </w:r>
    </w:p>
    <w:p w14:paraId="5D813157" w14:textId="77777777" w:rsidR="00D84508" w:rsidRDefault="00D84508" w:rsidP="00D84508">
      <w:pPr>
        <w:jc w:val="both"/>
        <w:rPr>
          <w:rFonts w:ascii="EB Garamond" w:eastAsia="EB Garamond" w:hAnsi="EB Garamond" w:cs="EB Garamond"/>
          <w:bCs/>
          <w:sz w:val="24"/>
          <w:szCs w:val="24"/>
          <w:lang w:val="en-CA"/>
        </w:rPr>
      </w:pPr>
      <w:r w:rsidRPr="00D84508">
        <w:rPr>
          <w:rFonts w:ascii="EB Garamond" w:eastAsia="EB Garamond" w:hAnsi="EB Garamond" w:cs="EB Garamond"/>
          <w:bCs/>
          <w:sz w:val="24"/>
          <w:szCs w:val="24"/>
          <w:lang w:val="en-CA"/>
        </w:rPr>
        <w:t>In response to the i</w:t>
      </w:r>
      <w:r>
        <w:rPr>
          <w:rFonts w:ascii="EB Garamond" w:eastAsia="EB Garamond" w:hAnsi="EB Garamond" w:cs="EB Garamond"/>
          <w:bCs/>
          <w:sz w:val="24"/>
          <w:szCs w:val="24"/>
          <w:lang w:val="en-CA"/>
        </w:rPr>
        <w:t xml:space="preserve">nformation provided by Ecuador, we approach this Committee to report </w:t>
      </w:r>
      <w:proofErr w:type="gramStart"/>
      <w:r>
        <w:rPr>
          <w:rFonts w:ascii="EB Garamond" w:eastAsia="EB Garamond" w:hAnsi="EB Garamond" w:cs="EB Garamond"/>
          <w:bCs/>
          <w:sz w:val="24"/>
          <w:szCs w:val="24"/>
          <w:lang w:val="en-CA"/>
        </w:rPr>
        <w:t>on the situation of</w:t>
      </w:r>
      <w:proofErr w:type="gramEnd"/>
      <w:r>
        <w:rPr>
          <w:rFonts w:ascii="EB Garamond" w:eastAsia="EB Garamond" w:hAnsi="EB Garamond" w:cs="EB Garamond"/>
          <w:bCs/>
          <w:sz w:val="24"/>
          <w:szCs w:val="24"/>
          <w:lang w:val="en-CA"/>
        </w:rPr>
        <w:t xml:space="preserve"> the independence of the judiciary in Ecuador, and the adoption of measures to ensure that justice operators can exercise their functions without improper influences, threats or interferences. More specifically, we present four current situations that constitute serious threats for judicial independence and the rule of law in Ecuador; and, thus, require the Committee’s attention. </w:t>
      </w:r>
    </w:p>
    <w:p w14:paraId="404EAD13" w14:textId="77777777" w:rsidR="00D84508" w:rsidRDefault="00D84508" w:rsidP="00D84508">
      <w:pPr>
        <w:jc w:val="both"/>
        <w:rPr>
          <w:rFonts w:ascii="EB Garamond" w:eastAsia="EB Garamond" w:hAnsi="EB Garamond" w:cs="EB Garamond"/>
          <w:bCs/>
          <w:sz w:val="24"/>
          <w:szCs w:val="24"/>
          <w:lang w:val="en-CA"/>
        </w:rPr>
      </w:pPr>
    </w:p>
    <w:p w14:paraId="25527CE8" w14:textId="77777777" w:rsidR="00E56652" w:rsidRDefault="00634EC4" w:rsidP="00D84508">
      <w:pPr>
        <w:jc w:val="both"/>
        <w:rPr>
          <w:rFonts w:ascii="EB Garamond" w:eastAsia="EB Garamond" w:hAnsi="EB Garamond" w:cs="EB Garamond"/>
          <w:bCs/>
          <w:sz w:val="24"/>
          <w:szCs w:val="24"/>
          <w:lang w:val="en-CA"/>
        </w:rPr>
      </w:pPr>
      <w:r>
        <w:rPr>
          <w:rFonts w:ascii="EB Garamond" w:eastAsia="EB Garamond" w:hAnsi="EB Garamond" w:cs="EB Garamond"/>
          <w:bCs/>
          <w:sz w:val="24"/>
          <w:szCs w:val="24"/>
          <w:lang w:val="en-CA"/>
        </w:rPr>
        <w:t>In the first place</w:t>
      </w:r>
      <w:r w:rsidR="00D84508">
        <w:rPr>
          <w:rFonts w:ascii="EB Garamond" w:eastAsia="EB Garamond" w:hAnsi="EB Garamond" w:cs="EB Garamond"/>
          <w:bCs/>
          <w:sz w:val="24"/>
          <w:szCs w:val="24"/>
          <w:lang w:val="en-CA"/>
        </w:rPr>
        <w:t xml:space="preserve">, we address the issue of the increasing threats and attacks against the security, </w:t>
      </w:r>
      <w:proofErr w:type="gramStart"/>
      <w:r w:rsidR="00D84508">
        <w:rPr>
          <w:rFonts w:ascii="EB Garamond" w:eastAsia="EB Garamond" w:hAnsi="EB Garamond" w:cs="EB Garamond"/>
          <w:bCs/>
          <w:sz w:val="24"/>
          <w:szCs w:val="24"/>
          <w:lang w:val="en-CA"/>
        </w:rPr>
        <w:t>integrity</w:t>
      </w:r>
      <w:proofErr w:type="gramEnd"/>
      <w:r w:rsidR="00D84508">
        <w:rPr>
          <w:rFonts w:ascii="EB Garamond" w:eastAsia="EB Garamond" w:hAnsi="EB Garamond" w:cs="EB Garamond"/>
          <w:bCs/>
          <w:sz w:val="24"/>
          <w:szCs w:val="24"/>
          <w:lang w:val="en-CA"/>
        </w:rPr>
        <w:t xml:space="preserve"> and life of justice operators, from organized crime groups operating in the country. Between 2020 and 2024, 11 prosecutors, 4 judi</w:t>
      </w:r>
      <w:r w:rsidR="00E56652">
        <w:rPr>
          <w:rFonts w:ascii="EB Garamond" w:eastAsia="EB Garamond" w:hAnsi="EB Garamond" w:cs="EB Garamond"/>
          <w:bCs/>
          <w:sz w:val="24"/>
          <w:szCs w:val="24"/>
          <w:lang w:val="en-CA"/>
        </w:rPr>
        <w:t>cial officers and one judge have been killed; and four other officials have suffered assassination attempts. Moreover, bomb threats and armed attacks against court premises have also increased in this period. However, Ecuadorian authorities have failed to adopt effective strategies to protect justice operators who are, or may be, threatened by organized crime.</w:t>
      </w:r>
    </w:p>
    <w:p w14:paraId="688EA34D" w14:textId="77777777" w:rsidR="00E56652" w:rsidRDefault="00E56652" w:rsidP="00D84508">
      <w:pPr>
        <w:jc w:val="both"/>
        <w:rPr>
          <w:rFonts w:ascii="EB Garamond" w:eastAsia="EB Garamond" w:hAnsi="EB Garamond" w:cs="EB Garamond"/>
          <w:bCs/>
          <w:sz w:val="24"/>
          <w:szCs w:val="24"/>
          <w:lang w:val="en-CA"/>
        </w:rPr>
      </w:pPr>
    </w:p>
    <w:p w14:paraId="431BA4B4" w14:textId="77777777" w:rsidR="00E56652" w:rsidRDefault="00634EC4" w:rsidP="00D84508">
      <w:pPr>
        <w:jc w:val="both"/>
        <w:rPr>
          <w:rFonts w:ascii="EB Garamond" w:eastAsia="EB Garamond" w:hAnsi="EB Garamond" w:cs="EB Garamond"/>
          <w:bCs/>
          <w:sz w:val="24"/>
          <w:szCs w:val="24"/>
          <w:lang w:val="en-CA"/>
        </w:rPr>
      </w:pPr>
      <w:r>
        <w:rPr>
          <w:rFonts w:ascii="EB Garamond" w:eastAsia="EB Garamond" w:hAnsi="EB Garamond" w:cs="EB Garamond"/>
          <w:bCs/>
          <w:sz w:val="24"/>
          <w:szCs w:val="24"/>
          <w:lang w:val="en-CA"/>
        </w:rPr>
        <w:t>Then,</w:t>
      </w:r>
      <w:r w:rsidR="00E56652">
        <w:rPr>
          <w:rFonts w:ascii="EB Garamond" w:eastAsia="EB Garamond" w:hAnsi="EB Garamond" w:cs="EB Garamond"/>
          <w:bCs/>
          <w:sz w:val="24"/>
          <w:szCs w:val="24"/>
          <w:lang w:val="en-CA"/>
        </w:rPr>
        <w:t xml:space="preserve"> we refer to the infiltration of organized crime groups in the judiciary, which has been demonstrated by three major judicial corruption cases initiated by the General Prosecutor’s Offic</w:t>
      </w:r>
      <w:r w:rsidR="003532B4">
        <w:rPr>
          <w:rFonts w:ascii="EB Garamond" w:eastAsia="EB Garamond" w:hAnsi="EB Garamond" w:cs="EB Garamond"/>
          <w:bCs/>
          <w:sz w:val="24"/>
          <w:szCs w:val="24"/>
          <w:lang w:val="en-CA"/>
        </w:rPr>
        <w:t>e in 2023 and 2024. The “</w:t>
      </w:r>
      <w:proofErr w:type="spellStart"/>
      <w:r w:rsidR="003532B4">
        <w:rPr>
          <w:rFonts w:ascii="EB Garamond" w:eastAsia="EB Garamond" w:hAnsi="EB Garamond" w:cs="EB Garamond"/>
          <w:bCs/>
          <w:sz w:val="24"/>
          <w:szCs w:val="24"/>
          <w:lang w:val="en-CA"/>
        </w:rPr>
        <w:t>Metástasis</w:t>
      </w:r>
      <w:proofErr w:type="spellEnd"/>
      <w:r w:rsidR="003532B4">
        <w:rPr>
          <w:rFonts w:ascii="EB Garamond" w:eastAsia="EB Garamond" w:hAnsi="EB Garamond" w:cs="EB Garamond"/>
          <w:bCs/>
          <w:sz w:val="24"/>
          <w:szCs w:val="24"/>
          <w:lang w:val="en-CA"/>
        </w:rPr>
        <w:t>”, “Purga”, and “</w:t>
      </w:r>
      <w:proofErr w:type="spellStart"/>
      <w:r w:rsidR="003532B4">
        <w:rPr>
          <w:rFonts w:ascii="EB Garamond" w:eastAsia="EB Garamond" w:hAnsi="EB Garamond" w:cs="EB Garamond"/>
          <w:bCs/>
          <w:sz w:val="24"/>
          <w:szCs w:val="24"/>
          <w:lang w:val="en-CA"/>
        </w:rPr>
        <w:t>Plaga</w:t>
      </w:r>
      <w:proofErr w:type="spellEnd"/>
      <w:r w:rsidR="003532B4">
        <w:rPr>
          <w:rFonts w:ascii="EB Garamond" w:eastAsia="EB Garamond" w:hAnsi="EB Garamond" w:cs="EB Garamond"/>
          <w:bCs/>
          <w:sz w:val="24"/>
          <w:szCs w:val="24"/>
          <w:lang w:val="en-CA"/>
        </w:rPr>
        <w:t xml:space="preserve">” cases, investigate illicit structures that have been operating in justice institutions to benefit the interests of organized crime leaders and groups, by “selling” judgments and administrative decisions. This situation has significantly diminished the public confidence towards the justice system; and affects the right to access to justice in fair conditions. Nonetheless, Ecuadorian authorities have not yet initiated the structural measures required to address this crisis. </w:t>
      </w:r>
    </w:p>
    <w:p w14:paraId="168A5E2B" w14:textId="77777777" w:rsidR="003532B4" w:rsidRDefault="003532B4" w:rsidP="00D84508">
      <w:pPr>
        <w:jc w:val="both"/>
        <w:rPr>
          <w:rFonts w:ascii="EB Garamond" w:eastAsia="EB Garamond" w:hAnsi="EB Garamond" w:cs="EB Garamond"/>
          <w:bCs/>
          <w:sz w:val="24"/>
          <w:szCs w:val="24"/>
          <w:lang w:val="en-CA"/>
        </w:rPr>
      </w:pPr>
    </w:p>
    <w:p w14:paraId="554B43C1" w14:textId="77777777" w:rsidR="003532B4" w:rsidRDefault="00634EC4" w:rsidP="00D84508">
      <w:pPr>
        <w:jc w:val="both"/>
        <w:rPr>
          <w:rFonts w:ascii="EB Garamond" w:eastAsia="EB Garamond" w:hAnsi="EB Garamond" w:cs="EB Garamond"/>
          <w:bCs/>
          <w:sz w:val="24"/>
          <w:szCs w:val="24"/>
          <w:lang w:val="en-CA"/>
        </w:rPr>
      </w:pPr>
      <w:r>
        <w:rPr>
          <w:rFonts w:ascii="EB Garamond" w:eastAsia="EB Garamond" w:hAnsi="EB Garamond" w:cs="EB Garamond"/>
          <w:bCs/>
          <w:sz w:val="24"/>
          <w:szCs w:val="24"/>
          <w:lang w:val="en-CA"/>
        </w:rPr>
        <w:t>In third place</w:t>
      </w:r>
      <w:r w:rsidR="003532B4">
        <w:rPr>
          <w:rFonts w:ascii="EB Garamond" w:eastAsia="EB Garamond" w:hAnsi="EB Garamond" w:cs="EB Garamond"/>
          <w:bCs/>
          <w:sz w:val="24"/>
          <w:szCs w:val="24"/>
          <w:lang w:val="en-CA"/>
        </w:rPr>
        <w:t xml:space="preserve">, we explain the risks generated by the stigmatization of justice operators in the </w:t>
      </w:r>
      <w:r w:rsidR="00552D17">
        <w:rPr>
          <w:rFonts w:ascii="EB Garamond" w:eastAsia="EB Garamond" w:hAnsi="EB Garamond" w:cs="EB Garamond"/>
          <w:bCs/>
          <w:sz w:val="24"/>
          <w:szCs w:val="24"/>
          <w:lang w:val="en-CA"/>
        </w:rPr>
        <w:t xml:space="preserve">official narratives of high-level government officials. Between 2022 and 2024, several Executive-branch authorities have publicly questioned the decisions of “corrupt” judges, who they accuse of deliberately benefitting organized crime groups and contributing to violence and insecurity. This trend contravenes Ecuador’s international obligations on the matter of independence of the judiciary; and poses a severe threat to the ability of judges and prosecutors to decide in accordance </w:t>
      </w:r>
      <w:proofErr w:type="gramStart"/>
      <w:r w:rsidR="00552D17">
        <w:rPr>
          <w:rFonts w:ascii="EB Garamond" w:eastAsia="EB Garamond" w:hAnsi="EB Garamond" w:cs="EB Garamond"/>
          <w:bCs/>
          <w:sz w:val="24"/>
          <w:szCs w:val="24"/>
          <w:lang w:val="en-CA"/>
        </w:rPr>
        <w:t>to</w:t>
      </w:r>
      <w:proofErr w:type="gramEnd"/>
      <w:r w:rsidR="00552D17">
        <w:rPr>
          <w:rFonts w:ascii="EB Garamond" w:eastAsia="EB Garamond" w:hAnsi="EB Garamond" w:cs="EB Garamond"/>
          <w:bCs/>
          <w:sz w:val="24"/>
          <w:szCs w:val="24"/>
          <w:lang w:val="en-CA"/>
        </w:rPr>
        <w:t xml:space="preserve"> the law. Moreover, this narrative may be used to legitimize anti-democratic interferences in the justice system. </w:t>
      </w:r>
    </w:p>
    <w:p w14:paraId="43731C6E" w14:textId="77777777" w:rsidR="00552D17" w:rsidRDefault="00552D17" w:rsidP="00D84508">
      <w:pPr>
        <w:jc w:val="both"/>
        <w:rPr>
          <w:rFonts w:ascii="EB Garamond" w:eastAsia="EB Garamond" w:hAnsi="EB Garamond" w:cs="EB Garamond"/>
          <w:bCs/>
          <w:sz w:val="24"/>
          <w:szCs w:val="24"/>
          <w:lang w:val="en-CA"/>
        </w:rPr>
      </w:pPr>
    </w:p>
    <w:p w14:paraId="32166F38" w14:textId="77777777" w:rsidR="00552D17" w:rsidRPr="00D84508" w:rsidRDefault="00552D17" w:rsidP="00D84508">
      <w:pPr>
        <w:jc w:val="both"/>
        <w:rPr>
          <w:rFonts w:ascii="EB Garamond" w:eastAsia="EB Garamond" w:hAnsi="EB Garamond" w:cs="EB Garamond"/>
          <w:bCs/>
          <w:sz w:val="24"/>
          <w:szCs w:val="24"/>
          <w:lang w:val="en-CA"/>
        </w:rPr>
      </w:pPr>
      <w:r>
        <w:rPr>
          <w:rFonts w:ascii="EB Garamond" w:eastAsia="EB Garamond" w:hAnsi="EB Garamond" w:cs="EB Garamond"/>
          <w:bCs/>
          <w:sz w:val="24"/>
          <w:szCs w:val="24"/>
          <w:lang w:val="en-CA"/>
        </w:rPr>
        <w:t>Finally, we express our concern regarding three ongoing selection processes that, in 2024 and 2025, will re-structure the justice administration system. Ecuador’s Supreme Court, Constitutional Court and General Prosecutor’s Office will be renovated in the following months; but the current</w:t>
      </w:r>
      <w:r w:rsidR="005E5F0B">
        <w:rPr>
          <w:rFonts w:ascii="EB Garamond" w:eastAsia="EB Garamond" w:hAnsi="EB Garamond" w:cs="EB Garamond"/>
          <w:bCs/>
          <w:sz w:val="24"/>
          <w:szCs w:val="24"/>
          <w:lang w:val="en-CA"/>
        </w:rPr>
        <w:t xml:space="preserve"> selection processes lack the minimum guarantees of transparency and objectivity to select the most fit candidates and counter the risks of infiltration by organized crime. </w:t>
      </w:r>
    </w:p>
    <w:p w14:paraId="21B58738" w14:textId="77777777" w:rsidR="004539A4" w:rsidRPr="00D84508" w:rsidRDefault="00B176C1" w:rsidP="00D84508">
      <w:pPr>
        <w:jc w:val="both"/>
        <w:rPr>
          <w:rFonts w:ascii="EB Garamond" w:eastAsia="EB Garamond" w:hAnsi="EB Garamond" w:cs="EB Garamond"/>
          <w:b/>
          <w:sz w:val="24"/>
          <w:szCs w:val="24"/>
          <w:lang w:val="en-CA"/>
        </w:rPr>
      </w:pPr>
      <w:r w:rsidRPr="00D84508">
        <w:rPr>
          <w:lang w:val="en-CA"/>
        </w:rPr>
        <w:lastRenderedPageBreak/>
        <w:br w:type="page"/>
      </w:r>
    </w:p>
    <w:p w14:paraId="4C113AF2"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lastRenderedPageBreak/>
        <w:t>El Observatorio de Derechos y Justicia (en adelante, “ODJ”), es una organización de la sociedad civil que, desde hace una década, trabaja en la promoción y protección de los derechos humanos en Ecuador; con enfoque en la justicia y la independencia judicial. En este marco, ODJ se especializa en el monitoreo de la situación de la justicia en el país; el seguimiento de los procesos judiciales de alto interés público; y la realización de veedurías a los procesos de selección y evaluación de los operadores judi</w:t>
      </w:r>
      <w:r>
        <w:rPr>
          <w:rFonts w:ascii="EB Garamond" w:eastAsia="EB Garamond" w:hAnsi="EB Garamond" w:cs="EB Garamond"/>
          <w:sz w:val="24"/>
          <w:szCs w:val="24"/>
        </w:rPr>
        <w:t xml:space="preserve">ciales. Además, el Observatorio promueve iniciativas para fomentar la transparencia, la democratización y el acceso a los sistemas de justicia. </w:t>
      </w:r>
    </w:p>
    <w:p w14:paraId="4C0F3A51" w14:textId="77777777" w:rsidR="004539A4" w:rsidRDefault="004539A4">
      <w:pPr>
        <w:jc w:val="both"/>
        <w:rPr>
          <w:rFonts w:ascii="EB Garamond" w:eastAsia="EB Garamond" w:hAnsi="EB Garamond" w:cs="EB Garamond"/>
          <w:b/>
          <w:sz w:val="24"/>
          <w:szCs w:val="24"/>
        </w:rPr>
      </w:pPr>
    </w:p>
    <w:p w14:paraId="7F3D1E8C" w14:textId="77777777" w:rsidR="004539A4" w:rsidRDefault="00B176C1">
      <w:pPr>
        <w:numPr>
          <w:ilvl w:val="0"/>
          <w:numId w:val="2"/>
        </w:numPr>
        <w:jc w:val="both"/>
        <w:rPr>
          <w:rFonts w:ascii="EB Garamond" w:eastAsia="EB Garamond" w:hAnsi="EB Garamond" w:cs="EB Garamond"/>
          <w:b/>
          <w:sz w:val="24"/>
          <w:szCs w:val="24"/>
        </w:rPr>
      </w:pPr>
      <w:r>
        <w:rPr>
          <w:rFonts w:ascii="EB Garamond" w:eastAsia="EB Garamond" w:hAnsi="EB Garamond" w:cs="EB Garamond"/>
          <w:b/>
          <w:sz w:val="24"/>
          <w:szCs w:val="24"/>
        </w:rPr>
        <w:t>ANTECEDENTES</w:t>
      </w:r>
    </w:p>
    <w:p w14:paraId="66C9DAFE" w14:textId="77777777" w:rsidR="004539A4" w:rsidRDefault="004539A4">
      <w:pPr>
        <w:jc w:val="both"/>
        <w:rPr>
          <w:rFonts w:ascii="EB Garamond" w:eastAsia="EB Garamond" w:hAnsi="EB Garamond" w:cs="EB Garamond"/>
          <w:sz w:val="24"/>
          <w:szCs w:val="24"/>
        </w:rPr>
      </w:pPr>
    </w:p>
    <w:p w14:paraId="68E31F1B"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El presente informe busca poner en conocimiento del Comité, el incumplimiento parcial del Estado ecuatoriano a las recomendaciones hechas sobre el sexto informe periódico del Ecuador (CCPR/C/ECU/6), en sus sesiones 3277 y 3278, celebradas los días 27 y 28 de junio de 2016; con respecto a la independencia judicial. </w:t>
      </w:r>
    </w:p>
    <w:p w14:paraId="6C2D5108" w14:textId="77777777" w:rsidR="004539A4" w:rsidRDefault="004539A4">
      <w:pPr>
        <w:jc w:val="both"/>
        <w:rPr>
          <w:rFonts w:ascii="EB Garamond" w:eastAsia="EB Garamond" w:hAnsi="EB Garamond" w:cs="EB Garamond"/>
          <w:sz w:val="24"/>
          <w:szCs w:val="24"/>
        </w:rPr>
      </w:pPr>
    </w:p>
    <w:p w14:paraId="218A9446" w14:textId="77777777" w:rsidR="004539A4" w:rsidRDefault="00B176C1">
      <w:pPr>
        <w:jc w:val="both"/>
        <w:rPr>
          <w:rFonts w:ascii="EB Garamond" w:eastAsia="EB Garamond" w:hAnsi="EB Garamond" w:cs="EB Garamond"/>
          <w:i/>
          <w:sz w:val="24"/>
          <w:szCs w:val="24"/>
        </w:rPr>
      </w:pPr>
      <w:r>
        <w:rPr>
          <w:rFonts w:ascii="EB Garamond" w:eastAsia="EB Garamond" w:hAnsi="EB Garamond" w:cs="EB Garamond"/>
          <w:sz w:val="24"/>
          <w:szCs w:val="24"/>
        </w:rPr>
        <w:t xml:space="preserve">En su informe, este Comité expresó su preocupación por el inicio de procesos disciplinarios contra jueces bajo la figura amplia del “error inexcusable”; el procesamiento de jueces en relación con el ejercicio de sus funciones; y la utilización del sistema de justicia para sancionar a figuras incómodas para el gobierno de turno. Por ello, recomendó al Ecuador </w:t>
      </w:r>
      <w:r>
        <w:rPr>
          <w:rFonts w:ascii="EB Garamond" w:eastAsia="EB Garamond" w:hAnsi="EB Garamond" w:cs="EB Garamond"/>
          <w:i/>
          <w:sz w:val="24"/>
          <w:szCs w:val="24"/>
        </w:rPr>
        <w:t>“incrementar sus esfuerzos con miras a asegurar y proteger la plena independencia e imparcialidad de la judicatura, garantizando que pueda desempeñar sus funciones judiciales sin ningún tipo de presiones o injerencia. El Estado parte debe asegurar que los jueces no sean destituidos a causa de los contenidos de sus decisiones y garantizar la seguridad en el cargo de los jueces en actividad”.</w:t>
      </w:r>
    </w:p>
    <w:p w14:paraId="5C66F85A" w14:textId="77777777" w:rsidR="004539A4" w:rsidRDefault="004539A4">
      <w:pPr>
        <w:jc w:val="both"/>
        <w:rPr>
          <w:rFonts w:ascii="EB Garamond" w:eastAsia="EB Garamond" w:hAnsi="EB Garamond" w:cs="EB Garamond"/>
          <w:i/>
          <w:sz w:val="24"/>
          <w:szCs w:val="24"/>
        </w:rPr>
      </w:pPr>
    </w:p>
    <w:p w14:paraId="75527400"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Sobre el tema, en la respuesta a la lista de cuestiones previas requeridas por el Comité (CCPR/C/ECU/QPR/7), el  Estado ecuatoriano se refirió a: i) Los canales implementados por la Fiscalía General del Estado y el Consejo de la Judicatura, para recibir quejas y denuncias por corrupción; </w:t>
      </w:r>
      <w:proofErr w:type="spellStart"/>
      <w:r>
        <w:rPr>
          <w:rFonts w:ascii="EB Garamond" w:eastAsia="EB Garamond" w:hAnsi="EB Garamond" w:cs="EB Garamond"/>
          <w:sz w:val="24"/>
          <w:szCs w:val="24"/>
        </w:rPr>
        <w:t>ii</w:t>
      </w:r>
      <w:proofErr w:type="spellEnd"/>
      <w:r>
        <w:rPr>
          <w:rFonts w:ascii="EB Garamond" w:eastAsia="EB Garamond" w:hAnsi="EB Garamond" w:cs="EB Garamond"/>
          <w:sz w:val="24"/>
          <w:szCs w:val="24"/>
        </w:rPr>
        <w:t xml:space="preserve">) La Sentencia No. 3-19-CN/20 de la Corte Constitucional del Ecuador, por la que se delimitó la aplicación de las figuras de dolo, manifiesta negligencia y error inexcusable en procesos disciplinarios contra servidores judiciales; y, </w:t>
      </w:r>
      <w:proofErr w:type="spellStart"/>
      <w:r>
        <w:rPr>
          <w:rFonts w:ascii="EB Garamond" w:eastAsia="EB Garamond" w:hAnsi="EB Garamond" w:cs="EB Garamond"/>
          <w:sz w:val="24"/>
          <w:szCs w:val="24"/>
        </w:rPr>
        <w:t>iii</w:t>
      </w:r>
      <w:proofErr w:type="spellEnd"/>
      <w:r>
        <w:rPr>
          <w:rFonts w:ascii="EB Garamond" w:eastAsia="EB Garamond" w:hAnsi="EB Garamond" w:cs="EB Garamond"/>
          <w:sz w:val="24"/>
          <w:szCs w:val="24"/>
        </w:rPr>
        <w:t>) Las dificultades administrativas para iniciar sumarios disciplinarios contra operadores de justicia, por efecto de sentencias de la Corte Interamericana de Derechos Humanos que declaren la responsabilidad internacional del Estado por errores en la administración de justi</w:t>
      </w:r>
      <w:r>
        <w:rPr>
          <w:rFonts w:ascii="EB Garamond" w:eastAsia="EB Garamond" w:hAnsi="EB Garamond" w:cs="EB Garamond"/>
          <w:sz w:val="24"/>
          <w:szCs w:val="24"/>
        </w:rPr>
        <w:t>cia</w:t>
      </w:r>
      <w:r>
        <w:rPr>
          <w:rFonts w:ascii="EB Garamond" w:eastAsia="EB Garamond" w:hAnsi="EB Garamond" w:cs="EB Garamond"/>
          <w:sz w:val="24"/>
          <w:szCs w:val="24"/>
          <w:vertAlign w:val="superscript"/>
        </w:rPr>
        <w:footnoteReference w:id="1"/>
      </w:r>
      <w:r>
        <w:rPr>
          <w:rFonts w:ascii="EB Garamond" w:eastAsia="EB Garamond" w:hAnsi="EB Garamond" w:cs="EB Garamond"/>
          <w:sz w:val="24"/>
          <w:szCs w:val="24"/>
        </w:rPr>
        <w:t>.</w:t>
      </w:r>
    </w:p>
    <w:p w14:paraId="7ED52B05" w14:textId="77777777" w:rsidR="004539A4" w:rsidRDefault="004539A4">
      <w:pPr>
        <w:jc w:val="both"/>
        <w:rPr>
          <w:rFonts w:ascii="EB Garamond" w:eastAsia="EB Garamond" w:hAnsi="EB Garamond" w:cs="EB Garamond"/>
          <w:sz w:val="24"/>
          <w:szCs w:val="24"/>
        </w:rPr>
      </w:pPr>
    </w:p>
    <w:p w14:paraId="52E05F3E"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lastRenderedPageBreak/>
        <w:t xml:space="preserve">Desde ODJ, se han identificado otras situaciones que caracterizan graves amenazas para la independencia judicial y la vigencia del Estado de Derecho en Ecuador; que nos permitimos poner bajo la consideración del Comité. </w:t>
      </w:r>
    </w:p>
    <w:p w14:paraId="04B2B441" w14:textId="77777777" w:rsidR="004539A4" w:rsidRDefault="004539A4">
      <w:pPr>
        <w:jc w:val="both"/>
        <w:rPr>
          <w:rFonts w:ascii="EB Garamond" w:eastAsia="EB Garamond" w:hAnsi="EB Garamond" w:cs="EB Garamond"/>
          <w:sz w:val="24"/>
          <w:szCs w:val="24"/>
        </w:rPr>
      </w:pPr>
    </w:p>
    <w:p w14:paraId="56B9D636" w14:textId="77777777" w:rsidR="004539A4" w:rsidRDefault="00B176C1">
      <w:pPr>
        <w:numPr>
          <w:ilvl w:val="0"/>
          <w:numId w:val="2"/>
        </w:numPr>
        <w:jc w:val="both"/>
        <w:rPr>
          <w:rFonts w:ascii="EB Garamond" w:eastAsia="EB Garamond" w:hAnsi="EB Garamond" w:cs="EB Garamond"/>
          <w:b/>
          <w:sz w:val="24"/>
          <w:szCs w:val="24"/>
        </w:rPr>
      </w:pPr>
      <w:r>
        <w:rPr>
          <w:rFonts w:ascii="EB Garamond" w:eastAsia="EB Garamond" w:hAnsi="EB Garamond" w:cs="EB Garamond"/>
          <w:b/>
          <w:sz w:val="24"/>
          <w:szCs w:val="24"/>
        </w:rPr>
        <w:t>AMENAZAS PARA LA INDEPENDENCIA JUDICIAL EN ECUADOR</w:t>
      </w:r>
    </w:p>
    <w:p w14:paraId="325BC317" w14:textId="77777777" w:rsidR="004539A4" w:rsidRDefault="004539A4">
      <w:pPr>
        <w:ind w:left="720"/>
        <w:jc w:val="both"/>
        <w:rPr>
          <w:rFonts w:ascii="EB Garamond" w:eastAsia="EB Garamond" w:hAnsi="EB Garamond" w:cs="EB Garamond"/>
          <w:b/>
          <w:sz w:val="24"/>
          <w:szCs w:val="24"/>
        </w:rPr>
      </w:pPr>
    </w:p>
    <w:p w14:paraId="05580B4C"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Ecuador enfrenta una escalada de los niveles de violencia y criminalidad, derivada del aumento en las actividades del crimen organizado; que han posicionado al país como uno de los más peligrosos en el mundo</w:t>
      </w:r>
      <w:r>
        <w:rPr>
          <w:rFonts w:ascii="EB Garamond" w:eastAsia="EB Garamond" w:hAnsi="EB Garamond" w:cs="EB Garamond"/>
          <w:sz w:val="24"/>
          <w:szCs w:val="24"/>
          <w:vertAlign w:val="superscript"/>
        </w:rPr>
        <w:footnoteReference w:id="2"/>
      </w:r>
      <w:r>
        <w:rPr>
          <w:rFonts w:ascii="EB Garamond" w:eastAsia="EB Garamond" w:hAnsi="EB Garamond" w:cs="EB Garamond"/>
          <w:sz w:val="24"/>
          <w:szCs w:val="24"/>
        </w:rPr>
        <w:t xml:space="preserve">. Este contexto, </w:t>
      </w:r>
      <w:r>
        <w:rPr>
          <w:rFonts w:ascii="EB Garamond" w:eastAsia="EB Garamond" w:hAnsi="EB Garamond" w:cs="EB Garamond"/>
          <w:sz w:val="24"/>
          <w:szCs w:val="24"/>
        </w:rPr>
        <w:t>naturalmente, conlleva grandes desafíos para la justicia -con déficits presupuestarios y de personal</w:t>
      </w:r>
      <w:r>
        <w:rPr>
          <w:rFonts w:ascii="EB Garamond" w:eastAsia="EB Garamond" w:hAnsi="EB Garamond" w:cs="EB Garamond"/>
          <w:sz w:val="24"/>
          <w:szCs w:val="24"/>
          <w:vertAlign w:val="superscript"/>
        </w:rPr>
        <w:footnoteReference w:id="3"/>
      </w:r>
      <w:r>
        <w:rPr>
          <w:rFonts w:ascii="EB Garamond" w:eastAsia="EB Garamond" w:hAnsi="EB Garamond" w:cs="EB Garamond"/>
          <w:sz w:val="24"/>
          <w:szCs w:val="24"/>
        </w:rPr>
        <w:t xml:space="preserve">- no estaba preparado para conocer un elevado número de causas relacionadas a la criminalidad organizada y cumplir con la tarea de erradicar la impunidad. A continuación, se exponen los principales riesgos para la independencia del sistema de justicia ecuatoriano, en el marco de la lucha contra el crimen organizado. </w:t>
      </w:r>
    </w:p>
    <w:p w14:paraId="0A830AE6" w14:textId="77777777" w:rsidR="004539A4" w:rsidRDefault="004539A4">
      <w:pPr>
        <w:jc w:val="both"/>
        <w:rPr>
          <w:rFonts w:ascii="EB Garamond" w:eastAsia="EB Garamond" w:hAnsi="EB Garamond" w:cs="EB Garamond"/>
          <w:sz w:val="24"/>
          <w:szCs w:val="24"/>
        </w:rPr>
      </w:pPr>
    </w:p>
    <w:p w14:paraId="6045C9E2" w14:textId="77777777" w:rsidR="004539A4" w:rsidRDefault="00B176C1">
      <w:pPr>
        <w:numPr>
          <w:ilvl w:val="0"/>
          <w:numId w:val="1"/>
        </w:numPr>
        <w:jc w:val="both"/>
        <w:rPr>
          <w:rFonts w:ascii="EB Garamond" w:eastAsia="EB Garamond" w:hAnsi="EB Garamond" w:cs="EB Garamond"/>
          <w:b/>
          <w:sz w:val="24"/>
          <w:szCs w:val="24"/>
        </w:rPr>
      </w:pPr>
      <w:r>
        <w:rPr>
          <w:rFonts w:ascii="EB Garamond" w:eastAsia="EB Garamond" w:hAnsi="EB Garamond" w:cs="EB Garamond"/>
          <w:b/>
          <w:sz w:val="24"/>
          <w:szCs w:val="24"/>
        </w:rPr>
        <w:t>Riesgos para la seguridad, integridad y vida de los operadores judiciales</w:t>
      </w:r>
    </w:p>
    <w:p w14:paraId="705EC302" w14:textId="77777777" w:rsidR="004539A4" w:rsidRDefault="004539A4">
      <w:pPr>
        <w:ind w:left="720"/>
        <w:jc w:val="both"/>
        <w:rPr>
          <w:rFonts w:ascii="EB Garamond" w:eastAsia="EB Garamond" w:hAnsi="EB Garamond" w:cs="EB Garamond"/>
          <w:b/>
          <w:sz w:val="24"/>
          <w:szCs w:val="24"/>
        </w:rPr>
      </w:pPr>
    </w:p>
    <w:p w14:paraId="7E6C10BE"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En los últimos años, el Ecuador ha empezado a experimentar una ola de violencia dirigida específicamente a jueces, fiscales y funcionarios judiciales. Los operadores de justicia no siempre cuentan con resguardo policial, a pesar de estar expuestos a altos niveles de riesgo por la naturaleza de las causas que manejan. Además, son frecuentes las amenazas de bomba contra las dependencias; y las amenazas directas contra la integridad o vida de los operadores de justicia. </w:t>
      </w:r>
    </w:p>
    <w:p w14:paraId="12CB5451" w14:textId="77777777" w:rsidR="004539A4" w:rsidRDefault="004539A4">
      <w:pPr>
        <w:jc w:val="both"/>
        <w:rPr>
          <w:rFonts w:ascii="EB Garamond" w:eastAsia="EB Garamond" w:hAnsi="EB Garamond" w:cs="EB Garamond"/>
          <w:sz w:val="24"/>
          <w:szCs w:val="24"/>
        </w:rPr>
      </w:pPr>
    </w:p>
    <w:p w14:paraId="1D6E74AE"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Entre 2020 y 2022, ocho servidores judiciales fueron asesinados: cinco fiscales, un juez, un asistente fiscal y un técnico de ventanilla</w:t>
      </w:r>
      <w:r>
        <w:rPr>
          <w:rFonts w:ascii="EB Garamond" w:eastAsia="EB Garamond" w:hAnsi="EB Garamond" w:cs="EB Garamond"/>
          <w:sz w:val="24"/>
          <w:szCs w:val="24"/>
          <w:vertAlign w:val="superscript"/>
        </w:rPr>
        <w:footnoteReference w:id="4"/>
      </w:r>
      <w:r>
        <w:rPr>
          <w:rFonts w:ascii="EB Garamond" w:eastAsia="EB Garamond" w:hAnsi="EB Garamond" w:cs="EB Garamond"/>
          <w:sz w:val="24"/>
          <w:szCs w:val="24"/>
        </w:rPr>
        <w:t>. Asimismo, entre 2019 y 2022, se registraron al menos 60 amenazas en contra de funcionarios judiciales y del ministerio público</w:t>
      </w:r>
      <w:r>
        <w:rPr>
          <w:rFonts w:ascii="EB Garamond" w:eastAsia="EB Garamond" w:hAnsi="EB Garamond" w:cs="EB Garamond"/>
          <w:sz w:val="24"/>
          <w:szCs w:val="24"/>
          <w:vertAlign w:val="superscript"/>
        </w:rPr>
        <w:footnoteReference w:id="5"/>
      </w:r>
      <w:r>
        <w:rPr>
          <w:rFonts w:ascii="EB Garamond" w:eastAsia="EB Garamond" w:hAnsi="EB Garamond" w:cs="EB Garamond"/>
          <w:sz w:val="24"/>
          <w:szCs w:val="24"/>
        </w:rPr>
        <w:t>. También, hubo dos intentos de asesinato en modalidad de sicariato en contra de otros dos fiscales, en 2022</w:t>
      </w:r>
      <w:r>
        <w:rPr>
          <w:rFonts w:ascii="EB Garamond" w:eastAsia="EB Garamond" w:hAnsi="EB Garamond" w:cs="EB Garamond"/>
          <w:sz w:val="24"/>
          <w:szCs w:val="24"/>
          <w:vertAlign w:val="superscript"/>
        </w:rPr>
        <w:footnoteReference w:id="6"/>
      </w:r>
      <w:r>
        <w:rPr>
          <w:rFonts w:ascii="EB Garamond" w:eastAsia="EB Garamond" w:hAnsi="EB Garamond" w:cs="EB Garamond"/>
          <w:sz w:val="24"/>
          <w:szCs w:val="24"/>
        </w:rPr>
        <w:t>.</w:t>
      </w:r>
    </w:p>
    <w:p w14:paraId="6E80DD38" w14:textId="77777777" w:rsidR="004539A4" w:rsidRDefault="004539A4">
      <w:pPr>
        <w:jc w:val="both"/>
        <w:rPr>
          <w:rFonts w:ascii="EB Garamond" w:eastAsia="EB Garamond" w:hAnsi="EB Garamond" w:cs="EB Garamond"/>
          <w:sz w:val="24"/>
          <w:szCs w:val="24"/>
        </w:rPr>
      </w:pPr>
    </w:p>
    <w:p w14:paraId="60B3A8AD"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  </w:t>
      </w:r>
    </w:p>
    <w:p w14:paraId="675ACE16" w14:textId="77777777" w:rsidR="004539A4" w:rsidRDefault="004539A4">
      <w:pPr>
        <w:jc w:val="both"/>
        <w:rPr>
          <w:rFonts w:ascii="EB Garamond" w:eastAsia="EB Garamond" w:hAnsi="EB Garamond" w:cs="EB Garamond"/>
          <w:sz w:val="24"/>
          <w:szCs w:val="24"/>
        </w:rPr>
      </w:pPr>
    </w:p>
    <w:p w14:paraId="21A108A5"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lastRenderedPageBreak/>
        <w:t>En 2023, dos fiscales</w:t>
      </w:r>
      <w:r>
        <w:rPr>
          <w:rFonts w:ascii="EB Garamond" w:eastAsia="EB Garamond" w:hAnsi="EB Garamond" w:cs="EB Garamond"/>
          <w:sz w:val="24"/>
          <w:szCs w:val="24"/>
          <w:vertAlign w:val="superscript"/>
        </w:rPr>
        <w:footnoteReference w:id="7"/>
      </w:r>
      <w:r>
        <w:rPr>
          <w:rFonts w:ascii="EB Garamond" w:eastAsia="EB Garamond" w:hAnsi="EB Garamond" w:cs="EB Garamond"/>
          <w:sz w:val="24"/>
          <w:szCs w:val="24"/>
        </w:rPr>
        <w:t>, un asistente fiscal</w:t>
      </w:r>
      <w:r>
        <w:rPr>
          <w:rFonts w:ascii="EB Garamond" w:eastAsia="EB Garamond" w:hAnsi="EB Garamond" w:cs="EB Garamond"/>
          <w:sz w:val="24"/>
          <w:szCs w:val="24"/>
          <w:vertAlign w:val="superscript"/>
        </w:rPr>
        <w:footnoteReference w:id="8"/>
      </w:r>
      <w:r>
        <w:rPr>
          <w:rFonts w:ascii="EB Garamond" w:eastAsia="EB Garamond" w:hAnsi="EB Garamond" w:cs="EB Garamond"/>
          <w:sz w:val="24"/>
          <w:szCs w:val="24"/>
        </w:rPr>
        <w:t xml:space="preserve"> y un funcionario judicial</w:t>
      </w:r>
      <w:r>
        <w:rPr>
          <w:rFonts w:ascii="EB Garamond" w:eastAsia="EB Garamond" w:hAnsi="EB Garamond" w:cs="EB Garamond"/>
          <w:sz w:val="24"/>
          <w:szCs w:val="24"/>
          <w:vertAlign w:val="superscript"/>
        </w:rPr>
        <w:footnoteReference w:id="9"/>
      </w:r>
      <w:r>
        <w:rPr>
          <w:rFonts w:ascii="EB Garamond" w:eastAsia="EB Garamond" w:hAnsi="EB Garamond" w:cs="EB Garamond"/>
          <w:sz w:val="24"/>
          <w:szCs w:val="24"/>
        </w:rPr>
        <w:t xml:space="preserve"> , fueron asesinados mientras se trasladaban desde o hacia sus lugares de trabajo en localidades de la costa ecuatoriana. Durante ese año, también se registraron varios ataques contra las edificaciones de la Función Judicial, incluyendo la detonación de un explosivo en la Unidad Judicial Penal de Portoviejo</w:t>
      </w:r>
      <w:r>
        <w:rPr>
          <w:rFonts w:ascii="EB Garamond" w:eastAsia="EB Garamond" w:hAnsi="EB Garamond" w:cs="EB Garamond"/>
          <w:sz w:val="24"/>
          <w:szCs w:val="24"/>
          <w:vertAlign w:val="superscript"/>
        </w:rPr>
        <w:footnoteReference w:id="10"/>
      </w:r>
      <w:r>
        <w:rPr>
          <w:rFonts w:ascii="EB Garamond" w:eastAsia="EB Garamond" w:hAnsi="EB Garamond" w:cs="EB Garamond"/>
          <w:sz w:val="24"/>
          <w:szCs w:val="24"/>
        </w:rPr>
        <w:t>; una balacera y el lanzamiento de un explosivo en los exteriores de la Unidad de Flagrancia en Quito</w:t>
      </w:r>
      <w:r>
        <w:rPr>
          <w:rFonts w:ascii="EB Garamond" w:eastAsia="EB Garamond" w:hAnsi="EB Garamond" w:cs="EB Garamond"/>
          <w:sz w:val="24"/>
          <w:szCs w:val="24"/>
          <w:vertAlign w:val="superscript"/>
        </w:rPr>
        <w:footnoteReference w:id="11"/>
      </w:r>
      <w:r>
        <w:rPr>
          <w:rFonts w:ascii="EB Garamond" w:eastAsia="EB Garamond" w:hAnsi="EB Garamond" w:cs="EB Garamond"/>
          <w:sz w:val="24"/>
          <w:szCs w:val="24"/>
        </w:rPr>
        <w:t>; y, el incendio de una Unidad Judicial en Esmeraldas</w:t>
      </w:r>
      <w:r>
        <w:rPr>
          <w:rFonts w:ascii="EB Garamond" w:eastAsia="EB Garamond" w:hAnsi="EB Garamond" w:cs="EB Garamond"/>
          <w:sz w:val="24"/>
          <w:szCs w:val="24"/>
          <w:vertAlign w:val="superscript"/>
        </w:rPr>
        <w:footnoteReference w:id="12"/>
      </w:r>
      <w:r>
        <w:rPr>
          <w:rFonts w:ascii="EB Garamond" w:eastAsia="EB Garamond" w:hAnsi="EB Garamond" w:cs="EB Garamond"/>
          <w:sz w:val="24"/>
          <w:szCs w:val="24"/>
        </w:rPr>
        <w:t>. Adicionalmente, ODJ registró al menos 10 amenazas de bomba contra dependencias judiciales de Quito, Guayaquil, Santa Elena, Santo Domingo, Manabí, e Imbabura</w:t>
      </w:r>
      <w:r>
        <w:rPr>
          <w:rFonts w:ascii="EB Garamond" w:eastAsia="EB Garamond" w:hAnsi="EB Garamond" w:cs="EB Garamond"/>
          <w:sz w:val="24"/>
          <w:szCs w:val="24"/>
          <w:vertAlign w:val="superscript"/>
        </w:rPr>
        <w:footnoteReference w:id="13"/>
      </w:r>
      <w:r>
        <w:rPr>
          <w:rFonts w:ascii="EB Garamond" w:eastAsia="EB Garamond" w:hAnsi="EB Garamond" w:cs="EB Garamond"/>
          <w:sz w:val="24"/>
          <w:szCs w:val="24"/>
        </w:rPr>
        <w:t xml:space="preserve">. </w:t>
      </w:r>
    </w:p>
    <w:p w14:paraId="06DF5CD0" w14:textId="77777777" w:rsidR="004539A4" w:rsidRDefault="004539A4">
      <w:pPr>
        <w:jc w:val="both"/>
        <w:rPr>
          <w:rFonts w:ascii="EB Garamond" w:eastAsia="EB Garamond" w:hAnsi="EB Garamond" w:cs="EB Garamond"/>
          <w:sz w:val="24"/>
          <w:szCs w:val="24"/>
        </w:rPr>
      </w:pPr>
    </w:p>
    <w:p w14:paraId="41F85920"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En lo que va de 2024, se han registrado ya cinco asesinatos de servidores judiciales. El primero, fue el fiscal de delincuencia organizada, César Suárez, que investigaba la toma armada del canal TC Televisión en enero de este año y a la esposa del cabecilla de “Los </w:t>
      </w:r>
      <w:proofErr w:type="spellStart"/>
      <w:r>
        <w:rPr>
          <w:rFonts w:ascii="EB Garamond" w:eastAsia="EB Garamond" w:hAnsi="EB Garamond" w:cs="EB Garamond"/>
          <w:sz w:val="24"/>
          <w:szCs w:val="24"/>
        </w:rPr>
        <w:t>Choneros</w:t>
      </w:r>
      <w:proofErr w:type="spellEnd"/>
      <w:r>
        <w:rPr>
          <w:rFonts w:ascii="EB Garamond" w:eastAsia="EB Garamond" w:hAnsi="EB Garamond" w:cs="EB Garamond"/>
          <w:sz w:val="24"/>
          <w:szCs w:val="24"/>
        </w:rPr>
        <w:t>”</w:t>
      </w:r>
      <w:r>
        <w:rPr>
          <w:rFonts w:ascii="EB Garamond" w:eastAsia="EB Garamond" w:hAnsi="EB Garamond" w:cs="EB Garamond"/>
          <w:sz w:val="24"/>
          <w:szCs w:val="24"/>
          <w:vertAlign w:val="superscript"/>
        </w:rPr>
        <w:footnoteReference w:id="14"/>
      </w:r>
      <w:r>
        <w:rPr>
          <w:rFonts w:ascii="EB Garamond" w:eastAsia="EB Garamond" w:hAnsi="EB Garamond" w:cs="EB Garamond"/>
          <w:sz w:val="24"/>
          <w:szCs w:val="24"/>
        </w:rPr>
        <w:t>.  Dos funcionarios de la Fiscalía de Santa Elena fueron asesinados entre mayo y julio</w:t>
      </w:r>
      <w:r>
        <w:rPr>
          <w:rFonts w:ascii="EB Garamond" w:eastAsia="EB Garamond" w:hAnsi="EB Garamond" w:cs="EB Garamond"/>
          <w:sz w:val="24"/>
          <w:szCs w:val="24"/>
          <w:vertAlign w:val="superscript"/>
        </w:rPr>
        <w:footnoteReference w:id="15"/>
      </w:r>
      <w:r>
        <w:rPr>
          <w:rFonts w:ascii="EB Garamond" w:eastAsia="EB Garamond" w:hAnsi="EB Garamond" w:cs="EB Garamond"/>
          <w:sz w:val="24"/>
          <w:szCs w:val="24"/>
        </w:rPr>
        <w:t>; y, en septiembre, un funcionario fue acribillado a las afueras de la Unidad Judicial de Naranjal</w:t>
      </w:r>
      <w:r>
        <w:rPr>
          <w:rFonts w:ascii="EB Garamond" w:eastAsia="EB Garamond" w:hAnsi="EB Garamond" w:cs="EB Garamond"/>
          <w:sz w:val="24"/>
          <w:szCs w:val="24"/>
          <w:vertAlign w:val="superscript"/>
        </w:rPr>
        <w:footnoteReference w:id="16"/>
      </w:r>
      <w:r>
        <w:rPr>
          <w:rFonts w:ascii="EB Garamond" w:eastAsia="EB Garamond" w:hAnsi="EB Garamond" w:cs="EB Garamond"/>
          <w:sz w:val="24"/>
          <w:szCs w:val="24"/>
        </w:rPr>
        <w:t xml:space="preserve">.  Asimismo, se han registrado ataques </w:t>
      </w:r>
      <w:r>
        <w:rPr>
          <w:rFonts w:ascii="EB Garamond" w:eastAsia="EB Garamond" w:hAnsi="EB Garamond" w:cs="EB Garamond"/>
          <w:sz w:val="24"/>
          <w:szCs w:val="24"/>
        </w:rPr>
        <w:lastRenderedPageBreak/>
        <w:t>armados en dependencias judiciales de Manta</w:t>
      </w:r>
      <w:r>
        <w:rPr>
          <w:rFonts w:ascii="EB Garamond" w:eastAsia="EB Garamond" w:hAnsi="EB Garamond" w:cs="EB Garamond"/>
          <w:sz w:val="24"/>
          <w:szCs w:val="24"/>
          <w:vertAlign w:val="superscript"/>
        </w:rPr>
        <w:footnoteReference w:id="17"/>
      </w:r>
      <w:r>
        <w:rPr>
          <w:rFonts w:ascii="EB Garamond" w:eastAsia="EB Garamond" w:hAnsi="EB Garamond" w:cs="EB Garamond"/>
          <w:sz w:val="24"/>
          <w:szCs w:val="24"/>
        </w:rPr>
        <w:t xml:space="preserve"> y Guayaquil</w:t>
      </w:r>
      <w:r>
        <w:rPr>
          <w:rFonts w:ascii="EB Garamond" w:eastAsia="EB Garamond" w:hAnsi="EB Garamond" w:cs="EB Garamond"/>
          <w:sz w:val="24"/>
          <w:szCs w:val="24"/>
          <w:vertAlign w:val="superscript"/>
        </w:rPr>
        <w:footnoteReference w:id="18"/>
      </w:r>
      <w:r>
        <w:rPr>
          <w:rFonts w:ascii="EB Garamond" w:eastAsia="EB Garamond" w:hAnsi="EB Garamond" w:cs="EB Garamond"/>
          <w:sz w:val="24"/>
          <w:szCs w:val="24"/>
        </w:rPr>
        <w:t>; y amenazas de bomba en, al menos, Loja</w:t>
      </w:r>
      <w:r>
        <w:rPr>
          <w:rFonts w:ascii="EB Garamond" w:eastAsia="EB Garamond" w:hAnsi="EB Garamond" w:cs="EB Garamond"/>
          <w:sz w:val="24"/>
          <w:szCs w:val="24"/>
          <w:vertAlign w:val="superscript"/>
        </w:rPr>
        <w:footnoteReference w:id="19"/>
      </w:r>
      <w:r>
        <w:rPr>
          <w:rFonts w:ascii="EB Garamond" w:eastAsia="EB Garamond" w:hAnsi="EB Garamond" w:cs="EB Garamond"/>
          <w:sz w:val="24"/>
          <w:szCs w:val="24"/>
        </w:rPr>
        <w:t>, Quito</w:t>
      </w:r>
      <w:r>
        <w:rPr>
          <w:rFonts w:ascii="EB Garamond" w:eastAsia="EB Garamond" w:hAnsi="EB Garamond" w:cs="EB Garamond"/>
          <w:sz w:val="24"/>
          <w:szCs w:val="24"/>
          <w:vertAlign w:val="superscript"/>
        </w:rPr>
        <w:footnoteReference w:id="20"/>
      </w:r>
      <w:r>
        <w:rPr>
          <w:rFonts w:ascii="EB Garamond" w:eastAsia="EB Garamond" w:hAnsi="EB Garamond" w:cs="EB Garamond"/>
          <w:sz w:val="24"/>
          <w:szCs w:val="24"/>
        </w:rPr>
        <w:t xml:space="preserve"> y Guayaquil</w:t>
      </w:r>
      <w:r>
        <w:rPr>
          <w:rFonts w:ascii="EB Garamond" w:eastAsia="EB Garamond" w:hAnsi="EB Garamond" w:cs="EB Garamond"/>
          <w:sz w:val="24"/>
          <w:szCs w:val="24"/>
          <w:vertAlign w:val="superscript"/>
        </w:rPr>
        <w:footnoteReference w:id="21"/>
      </w:r>
      <w:r>
        <w:rPr>
          <w:rFonts w:ascii="EB Garamond" w:eastAsia="EB Garamond" w:hAnsi="EB Garamond" w:cs="EB Garamond"/>
          <w:sz w:val="24"/>
          <w:szCs w:val="24"/>
        </w:rPr>
        <w:t xml:space="preserve">. </w:t>
      </w:r>
    </w:p>
    <w:p w14:paraId="38E2A5DF" w14:textId="77777777" w:rsidR="004539A4" w:rsidRDefault="004539A4">
      <w:pPr>
        <w:jc w:val="both"/>
        <w:rPr>
          <w:rFonts w:ascii="EB Garamond" w:eastAsia="EB Garamond" w:hAnsi="EB Garamond" w:cs="EB Garamond"/>
          <w:sz w:val="24"/>
          <w:szCs w:val="24"/>
        </w:rPr>
      </w:pPr>
    </w:p>
    <w:tbl>
      <w:tblPr>
        <w:tblStyle w:val="a"/>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1320"/>
        <w:gridCol w:w="1500"/>
        <w:gridCol w:w="1440"/>
        <w:gridCol w:w="1440"/>
        <w:gridCol w:w="975"/>
      </w:tblGrid>
      <w:tr w:rsidR="004539A4" w14:paraId="5E97D45C" w14:textId="77777777">
        <w:tc>
          <w:tcPr>
            <w:tcW w:w="2370" w:type="dxa"/>
            <w:shd w:val="clear" w:color="auto" w:fill="auto"/>
            <w:tcMar>
              <w:top w:w="100" w:type="dxa"/>
              <w:left w:w="100" w:type="dxa"/>
              <w:bottom w:w="100" w:type="dxa"/>
              <w:right w:w="100" w:type="dxa"/>
            </w:tcMar>
          </w:tcPr>
          <w:p w14:paraId="6A023A6B" w14:textId="77777777" w:rsidR="004539A4" w:rsidRDefault="004539A4">
            <w:pPr>
              <w:widowControl w:val="0"/>
              <w:pBdr>
                <w:top w:val="nil"/>
                <w:left w:val="nil"/>
                <w:bottom w:val="nil"/>
                <w:right w:val="nil"/>
                <w:between w:val="nil"/>
              </w:pBdr>
              <w:spacing w:line="240" w:lineRule="auto"/>
              <w:jc w:val="center"/>
              <w:rPr>
                <w:rFonts w:ascii="EB Garamond" w:eastAsia="EB Garamond" w:hAnsi="EB Garamond" w:cs="EB Garamond"/>
                <w:b/>
                <w:sz w:val="24"/>
                <w:szCs w:val="24"/>
              </w:rPr>
            </w:pPr>
          </w:p>
        </w:tc>
        <w:tc>
          <w:tcPr>
            <w:tcW w:w="1320" w:type="dxa"/>
            <w:shd w:val="clear" w:color="auto" w:fill="auto"/>
            <w:tcMar>
              <w:top w:w="100" w:type="dxa"/>
              <w:left w:w="100" w:type="dxa"/>
              <w:bottom w:w="100" w:type="dxa"/>
              <w:right w:w="100" w:type="dxa"/>
            </w:tcMar>
          </w:tcPr>
          <w:p w14:paraId="728815FA"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2020-2021</w:t>
            </w:r>
          </w:p>
        </w:tc>
        <w:tc>
          <w:tcPr>
            <w:tcW w:w="1500" w:type="dxa"/>
            <w:shd w:val="clear" w:color="auto" w:fill="auto"/>
            <w:tcMar>
              <w:top w:w="100" w:type="dxa"/>
              <w:left w:w="100" w:type="dxa"/>
              <w:bottom w:w="100" w:type="dxa"/>
              <w:right w:w="100" w:type="dxa"/>
            </w:tcMar>
          </w:tcPr>
          <w:p w14:paraId="69C0025E"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2022</w:t>
            </w:r>
          </w:p>
        </w:tc>
        <w:tc>
          <w:tcPr>
            <w:tcW w:w="1440" w:type="dxa"/>
            <w:shd w:val="clear" w:color="auto" w:fill="auto"/>
            <w:tcMar>
              <w:top w:w="100" w:type="dxa"/>
              <w:left w:w="100" w:type="dxa"/>
              <w:bottom w:w="100" w:type="dxa"/>
              <w:right w:w="100" w:type="dxa"/>
            </w:tcMar>
          </w:tcPr>
          <w:p w14:paraId="0627B561"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2023</w:t>
            </w:r>
          </w:p>
        </w:tc>
        <w:tc>
          <w:tcPr>
            <w:tcW w:w="1440" w:type="dxa"/>
            <w:shd w:val="clear" w:color="auto" w:fill="auto"/>
            <w:tcMar>
              <w:top w:w="100" w:type="dxa"/>
              <w:left w:w="100" w:type="dxa"/>
              <w:bottom w:w="100" w:type="dxa"/>
              <w:right w:w="100" w:type="dxa"/>
            </w:tcMar>
          </w:tcPr>
          <w:p w14:paraId="3C660CED"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 xml:space="preserve">2024 </w:t>
            </w:r>
          </w:p>
        </w:tc>
        <w:tc>
          <w:tcPr>
            <w:tcW w:w="975" w:type="dxa"/>
            <w:shd w:val="clear" w:color="auto" w:fill="auto"/>
            <w:tcMar>
              <w:top w:w="100" w:type="dxa"/>
              <w:left w:w="100" w:type="dxa"/>
              <w:bottom w:w="100" w:type="dxa"/>
              <w:right w:w="100" w:type="dxa"/>
            </w:tcMar>
          </w:tcPr>
          <w:p w14:paraId="320AACE6"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Total</w:t>
            </w:r>
          </w:p>
        </w:tc>
      </w:tr>
      <w:tr w:rsidR="004539A4" w14:paraId="0F356E0E" w14:textId="77777777">
        <w:tc>
          <w:tcPr>
            <w:tcW w:w="2370" w:type="dxa"/>
            <w:shd w:val="clear" w:color="auto" w:fill="auto"/>
            <w:tcMar>
              <w:top w:w="100" w:type="dxa"/>
              <w:left w:w="100" w:type="dxa"/>
              <w:bottom w:w="100" w:type="dxa"/>
              <w:right w:w="100" w:type="dxa"/>
            </w:tcMar>
          </w:tcPr>
          <w:p w14:paraId="01BAC157"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Asesinatos jueces</w:t>
            </w:r>
          </w:p>
        </w:tc>
        <w:tc>
          <w:tcPr>
            <w:tcW w:w="1320" w:type="dxa"/>
            <w:shd w:val="clear" w:color="auto" w:fill="auto"/>
            <w:tcMar>
              <w:top w:w="100" w:type="dxa"/>
              <w:left w:w="100" w:type="dxa"/>
              <w:bottom w:w="100" w:type="dxa"/>
              <w:right w:w="100" w:type="dxa"/>
            </w:tcMar>
          </w:tcPr>
          <w:p w14:paraId="7497DA01"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w:t>
            </w:r>
          </w:p>
        </w:tc>
        <w:tc>
          <w:tcPr>
            <w:tcW w:w="1500" w:type="dxa"/>
            <w:shd w:val="clear" w:color="auto" w:fill="auto"/>
            <w:tcMar>
              <w:top w:w="100" w:type="dxa"/>
              <w:left w:w="100" w:type="dxa"/>
              <w:bottom w:w="100" w:type="dxa"/>
              <w:right w:w="100" w:type="dxa"/>
            </w:tcMar>
          </w:tcPr>
          <w:p w14:paraId="00934970"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1</w:t>
            </w:r>
          </w:p>
        </w:tc>
        <w:tc>
          <w:tcPr>
            <w:tcW w:w="1440" w:type="dxa"/>
            <w:shd w:val="clear" w:color="auto" w:fill="auto"/>
            <w:tcMar>
              <w:top w:w="100" w:type="dxa"/>
              <w:left w:w="100" w:type="dxa"/>
              <w:bottom w:w="100" w:type="dxa"/>
              <w:right w:w="100" w:type="dxa"/>
            </w:tcMar>
          </w:tcPr>
          <w:p w14:paraId="2D74F57A"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w:t>
            </w:r>
          </w:p>
        </w:tc>
        <w:tc>
          <w:tcPr>
            <w:tcW w:w="1440" w:type="dxa"/>
            <w:shd w:val="clear" w:color="auto" w:fill="auto"/>
            <w:tcMar>
              <w:top w:w="100" w:type="dxa"/>
              <w:left w:w="100" w:type="dxa"/>
              <w:bottom w:w="100" w:type="dxa"/>
              <w:right w:w="100" w:type="dxa"/>
            </w:tcMar>
          </w:tcPr>
          <w:p w14:paraId="7AFA0E1A"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w:t>
            </w:r>
          </w:p>
        </w:tc>
        <w:tc>
          <w:tcPr>
            <w:tcW w:w="975" w:type="dxa"/>
            <w:shd w:val="clear" w:color="auto" w:fill="auto"/>
            <w:tcMar>
              <w:top w:w="100" w:type="dxa"/>
              <w:left w:w="100" w:type="dxa"/>
              <w:bottom w:w="100" w:type="dxa"/>
              <w:right w:w="100" w:type="dxa"/>
            </w:tcMar>
          </w:tcPr>
          <w:p w14:paraId="65FBFD68" w14:textId="77777777" w:rsidR="004539A4" w:rsidRDefault="00D84508">
            <w:pPr>
              <w:widowControl w:val="0"/>
              <w:pBdr>
                <w:top w:val="nil"/>
                <w:left w:val="nil"/>
                <w:bottom w:val="nil"/>
                <w:right w:val="nil"/>
                <w:between w:val="nil"/>
              </w:pBdr>
              <w:spacing w:line="240" w:lineRule="auto"/>
              <w:jc w:val="center"/>
              <w:rPr>
                <w:rFonts w:ascii="EB Garamond" w:eastAsia="EB Garamond" w:hAnsi="EB Garamond" w:cs="EB Garamond"/>
                <w:b/>
                <w:sz w:val="24"/>
                <w:szCs w:val="24"/>
              </w:rPr>
            </w:pPr>
            <w:r>
              <w:rPr>
                <w:rFonts w:ascii="EB Garamond" w:eastAsia="EB Garamond" w:hAnsi="EB Garamond" w:cs="EB Garamond"/>
                <w:b/>
                <w:sz w:val="24"/>
                <w:szCs w:val="24"/>
              </w:rPr>
              <w:t>1</w:t>
            </w:r>
          </w:p>
        </w:tc>
      </w:tr>
      <w:tr w:rsidR="004539A4" w14:paraId="1FF31D59" w14:textId="77777777">
        <w:tc>
          <w:tcPr>
            <w:tcW w:w="2370" w:type="dxa"/>
            <w:shd w:val="clear" w:color="auto" w:fill="auto"/>
            <w:tcMar>
              <w:top w:w="100" w:type="dxa"/>
              <w:left w:w="100" w:type="dxa"/>
              <w:bottom w:w="100" w:type="dxa"/>
              <w:right w:w="100" w:type="dxa"/>
            </w:tcMar>
          </w:tcPr>
          <w:p w14:paraId="0FCBB873"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Asesinatos fiscales</w:t>
            </w:r>
          </w:p>
        </w:tc>
        <w:tc>
          <w:tcPr>
            <w:tcW w:w="1320" w:type="dxa"/>
            <w:shd w:val="clear" w:color="auto" w:fill="auto"/>
            <w:tcMar>
              <w:top w:w="100" w:type="dxa"/>
              <w:left w:w="100" w:type="dxa"/>
              <w:bottom w:w="100" w:type="dxa"/>
              <w:right w:w="100" w:type="dxa"/>
            </w:tcMar>
          </w:tcPr>
          <w:p w14:paraId="156FD172"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3</w:t>
            </w:r>
          </w:p>
        </w:tc>
        <w:tc>
          <w:tcPr>
            <w:tcW w:w="1500" w:type="dxa"/>
            <w:shd w:val="clear" w:color="auto" w:fill="auto"/>
            <w:tcMar>
              <w:top w:w="100" w:type="dxa"/>
              <w:left w:w="100" w:type="dxa"/>
              <w:bottom w:w="100" w:type="dxa"/>
              <w:right w:w="100" w:type="dxa"/>
            </w:tcMar>
          </w:tcPr>
          <w:p w14:paraId="7DC2C8B1"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5</w:t>
            </w:r>
          </w:p>
        </w:tc>
        <w:tc>
          <w:tcPr>
            <w:tcW w:w="1440" w:type="dxa"/>
            <w:shd w:val="clear" w:color="auto" w:fill="auto"/>
            <w:tcMar>
              <w:top w:w="100" w:type="dxa"/>
              <w:left w:w="100" w:type="dxa"/>
              <w:bottom w:w="100" w:type="dxa"/>
              <w:right w:w="100" w:type="dxa"/>
            </w:tcMar>
          </w:tcPr>
          <w:p w14:paraId="349A3D0A"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2</w:t>
            </w:r>
          </w:p>
        </w:tc>
        <w:tc>
          <w:tcPr>
            <w:tcW w:w="1440" w:type="dxa"/>
            <w:shd w:val="clear" w:color="auto" w:fill="auto"/>
            <w:tcMar>
              <w:top w:w="100" w:type="dxa"/>
              <w:left w:w="100" w:type="dxa"/>
              <w:bottom w:w="100" w:type="dxa"/>
              <w:right w:w="100" w:type="dxa"/>
            </w:tcMar>
          </w:tcPr>
          <w:p w14:paraId="1C248386"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1</w:t>
            </w:r>
          </w:p>
        </w:tc>
        <w:tc>
          <w:tcPr>
            <w:tcW w:w="975" w:type="dxa"/>
            <w:shd w:val="clear" w:color="auto" w:fill="auto"/>
            <w:tcMar>
              <w:top w:w="100" w:type="dxa"/>
              <w:left w:w="100" w:type="dxa"/>
              <w:bottom w:w="100" w:type="dxa"/>
              <w:right w:w="100" w:type="dxa"/>
            </w:tcMar>
          </w:tcPr>
          <w:p w14:paraId="3FD66BD2"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4"/>
                <w:szCs w:val="24"/>
              </w:rPr>
            </w:pPr>
            <w:r>
              <w:rPr>
                <w:rFonts w:ascii="EB Garamond" w:eastAsia="EB Garamond" w:hAnsi="EB Garamond" w:cs="EB Garamond"/>
                <w:b/>
                <w:sz w:val="24"/>
                <w:szCs w:val="24"/>
              </w:rPr>
              <w:t>11</w:t>
            </w:r>
          </w:p>
        </w:tc>
      </w:tr>
      <w:tr w:rsidR="004539A4" w14:paraId="76621069" w14:textId="77777777">
        <w:tc>
          <w:tcPr>
            <w:tcW w:w="2370" w:type="dxa"/>
            <w:shd w:val="clear" w:color="auto" w:fill="auto"/>
            <w:tcMar>
              <w:top w:w="100" w:type="dxa"/>
              <w:left w:w="100" w:type="dxa"/>
              <w:bottom w:w="100" w:type="dxa"/>
              <w:right w:w="100" w:type="dxa"/>
            </w:tcMar>
          </w:tcPr>
          <w:p w14:paraId="4CB9B2CD"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Asesinatos funcionarios judiciales</w:t>
            </w:r>
          </w:p>
        </w:tc>
        <w:tc>
          <w:tcPr>
            <w:tcW w:w="1320" w:type="dxa"/>
            <w:shd w:val="clear" w:color="auto" w:fill="auto"/>
            <w:tcMar>
              <w:top w:w="100" w:type="dxa"/>
              <w:left w:w="100" w:type="dxa"/>
              <w:bottom w:w="100" w:type="dxa"/>
              <w:right w:w="100" w:type="dxa"/>
            </w:tcMar>
          </w:tcPr>
          <w:p w14:paraId="0B0D49A7"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w:t>
            </w:r>
          </w:p>
        </w:tc>
        <w:tc>
          <w:tcPr>
            <w:tcW w:w="1500" w:type="dxa"/>
            <w:shd w:val="clear" w:color="auto" w:fill="auto"/>
            <w:tcMar>
              <w:top w:w="100" w:type="dxa"/>
              <w:left w:w="100" w:type="dxa"/>
              <w:bottom w:w="100" w:type="dxa"/>
              <w:right w:w="100" w:type="dxa"/>
            </w:tcMar>
          </w:tcPr>
          <w:p w14:paraId="17CF43B8"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w:t>
            </w:r>
          </w:p>
        </w:tc>
        <w:tc>
          <w:tcPr>
            <w:tcW w:w="1440" w:type="dxa"/>
            <w:shd w:val="clear" w:color="auto" w:fill="auto"/>
            <w:tcMar>
              <w:top w:w="100" w:type="dxa"/>
              <w:left w:w="100" w:type="dxa"/>
              <w:bottom w:w="100" w:type="dxa"/>
              <w:right w:w="100" w:type="dxa"/>
            </w:tcMar>
          </w:tcPr>
          <w:p w14:paraId="0565983A"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1</w:t>
            </w:r>
          </w:p>
        </w:tc>
        <w:tc>
          <w:tcPr>
            <w:tcW w:w="1440" w:type="dxa"/>
            <w:shd w:val="clear" w:color="auto" w:fill="auto"/>
            <w:tcMar>
              <w:top w:w="100" w:type="dxa"/>
              <w:left w:w="100" w:type="dxa"/>
              <w:bottom w:w="100" w:type="dxa"/>
              <w:right w:w="100" w:type="dxa"/>
            </w:tcMar>
          </w:tcPr>
          <w:p w14:paraId="258DAD42"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1</w:t>
            </w:r>
          </w:p>
        </w:tc>
        <w:tc>
          <w:tcPr>
            <w:tcW w:w="975" w:type="dxa"/>
            <w:shd w:val="clear" w:color="auto" w:fill="auto"/>
            <w:tcMar>
              <w:top w:w="100" w:type="dxa"/>
              <w:left w:w="100" w:type="dxa"/>
              <w:bottom w:w="100" w:type="dxa"/>
              <w:right w:w="100" w:type="dxa"/>
            </w:tcMar>
          </w:tcPr>
          <w:p w14:paraId="473C7BB1"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4"/>
                <w:szCs w:val="24"/>
              </w:rPr>
            </w:pPr>
            <w:r>
              <w:rPr>
                <w:rFonts w:ascii="EB Garamond" w:eastAsia="EB Garamond" w:hAnsi="EB Garamond" w:cs="EB Garamond"/>
                <w:b/>
                <w:sz w:val="24"/>
                <w:szCs w:val="24"/>
              </w:rPr>
              <w:t>2</w:t>
            </w:r>
          </w:p>
        </w:tc>
      </w:tr>
      <w:tr w:rsidR="004539A4" w14:paraId="0C52341D" w14:textId="77777777">
        <w:tc>
          <w:tcPr>
            <w:tcW w:w="2370" w:type="dxa"/>
            <w:shd w:val="clear" w:color="auto" w:fill="auto"/>
            <w:tcMar>
              <w:top w:w="100" w:type="dxa"/>
              <w:left w:w="100" w:type="dxa"/>
              <w:bottom w:w="100" w:type="dxa"/>
              <w:right w:w="100" w:type="dxa"/>
            </w:tcMar>
          </w:tcPr>
          <w:p w14:paraId="2B1C878E"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Asesinatos funcionarios de fiscalía</w:t>
            </w:r>
          </w:p>
        </w:tc>
        <w:tc>
          <w:tcPr>
            <w:tcW w:w="1320" w:type="dxa"/>
            <w:shd w:val="clear" w:color="auto" w:fill="auto"/>
            <w:tcMar>
              <w:top w:w="100" w:type="dxa"/>
              <w:left w:w="100" w:type="dxa"/>
              <w:bottom w:w="100" w:type="dxa"/>
              <w:right w:w="100" w:type="dxa"/>
            </w:tcMar>
          </w:tcPr>
          <w:p w14:paraId="00890C5C" w14:textId="77777777" w:rsidR="004539A4" w:rsidRDefault="004539A4">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p>
        </w:tc>
        <w:tc>
          <w:tcPr>
            <w:tcW w:w="1500" w:type="dxa"/>
            <w:shd w:val="clear" w:color="auto" w:fill="auto"/>
            <w:tcMar>
              <w:top w:w="100" w:type="dxa"/>
              <w:left w:w="100" w:type="dxa"/>
              <w:bottom w:w="100" w:type="dxa"/>
              <w:right w:w="100" w:type="dxa"/>
            </w:tcMar>
          </w:tcPr>
          <w:p w14:paraId="24ABDA9F"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1</w:t>
            </w:r>
          </w:p>
        </w:tc>
        <w:tc>
          <w:tcPr>
            <w:tcW w:w="1440" w:type="dxa"/>
            <w:shd w:val="clear" w:color="auto" w:fill="auto"/>
            <w:tcMar>
              <w:top w:w="100" w:type="dxa"/>
              <w:left w:w="100" w:type="dxa"/>
              <w:bottom w:w="100" w:type="dxa"/>
              <w:right w:w="100" w:type="dxa"/>
            </w:tcMar>
          </w:tcPr>
          <w:p w14:paraId="6FEEDE40"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1</w:t>
            </w:r>
          </w:p>
        </w:tc>
        <w:tc>
          <w:tcPr>
            <w:tcW w:w="1440" w:type="dxa"/>
            <w:shd w:val="clear" w:color="auto" w:fill="auto"/>
            <w:tcMar>
              <w:top w:w="100" w:type="dxa"/>
              <w:left w:w="100" w:type="dxa"/>
              <w:bottom w:w="100" w:type="dxa"/>
              <w:right w:w="100" w:type="dxa"/>
            </w:tcMar>
          </w:tcPr>
          <w:p w14:paraId="39D13672"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2</w:t>
            </w:r>
          </w:p>
        </w:tc>
        <w:tc>
          <w:tcPr>
            <w:tcW w:w="975" w:type="dxa"/>
            <w:shd w:val="clear" w:color="auto" w:fill="auto"/>
            <w:tcMar>
              <w:top w:w="100" w:type="dxa"/>
              <w:left w:w="100" w:type="dxa"/>
              <w:bottom w:w="100" w:type="dxa"/>
              <w:right w:w="100" w:type="dxa"/>
            </w:tcMar>
          </w:tcPr>
          <w:p w14:paraId="2A2298F2"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4"/>
                <w:szCs w:val="24"/>
              </w:rPr>
            </w:pPr>
            <w:r>
              <w:rPr>
                <w:rFonts w:ascii="EB Garamond" w:eastAsia="EB Garamond" w:hAnsi="EB Garamond" w:cs="EB Garamond"/>
                <w:b/>
                <w:sz w:val="24"/>
                <w:szCs w:val="24"/>
              </w:rPr>
              <w:t>4</w:t>
            </w:r>
          </w:p>
        </w:tc>
      </w:tr>
      <w:tr w:rsidR="004539A4" w14:paraId="68297AC3" w14:textId="77777777">
        <w:tc>
          <w:tcPr>
            <w:tcW w:w="2370" w:type="dxa"/>
            <w:shd w:val="clear" w:color="auto" w:fill="auto"/>
            <w:tcMar>
              <w:top w:w="100" w:type="dxa"/>
              <w:left w:w="100" w:type="dxa"/>
              <w:bottom w:w="100" w:type="dxa"/>
              <w:right w:w="100" w:type="dxa"/>
            </w:tcMar>
          </w:tcPr>
          <w:p w14:paraId="48A5F8DA"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Intentos de asesinato</w:t>
            </w:r>
          </w:p>
        </w:tc>
        <w:tc>
          <w:tcPr>
            <w:tcW w:w="1320" w:type="dxa"/>
            <w:shd w:val="clear" w:color="auto" w:fill="auto"/>
            <w:tcMar>
              <w:top w:w="100" w:type="dxa"/>
              <w:left w:w="100" w:type="dxa"/>
              <w:bottom w:w="100" w:type="dxa"/>
              <w:right w:w="100" w:type="dxa"/>
            </w:tcMar>
          </w:tcPr>
          <w:p w14:paraId="2248A581"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w:t>
            </w:r>
          </w:p>
        </w:tc>
        <w:tc>
          <w:tcPr>
            <w:tcW w:w="1500" w:type="dxa"/>
            <w:shd w:val="clear" w:color="auto" w:fill="auto"/>
            <w:tcMar>
              <w:top w:w="100" w:type="dxa"/>
              <w:left w:w="100" w:type="dxa"/>
              <w:bottom w:w="100" w:type="dxa"/>
              <w:right w:w="100" w:type="dxa"/>
            </w:tcMar>
          </w:tcPr>
          <w:p w14:paraId="58020554"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3</w:t>
            </w:r>
          </w:p>
        </w:tc>
        <w:tc>
          <w:tcPr>
            <w:tcW w:w="1440" w:type="dxa"/>
            <w:shd w:val="clear" w:color="auto" w:fill="auto"/>
            <w:tcMar>
              <w:top w:w="100" w:type="dxa"/>
              <w:left w:w="100" w:type="dxa"/>
              <w:bottom w:w="100" w:type="dxa"/>
              <w:right w:w="100" w:type="dxa"/>
            </w:tcMar>
          </w:tcPr>
          <w:p w14:paraId="60933B95"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w:t>
            </w:r>
          </w:p>
        </w:tc>
        <w:tc>
          <w:tcPr>
            <w:tcW w:w="1440" w:type="dxa"/>
            <w:shd w:val="clear" w:color="auto" w:fill="auto"/>
            <w:tcMar>
              <w:top w:w="100" w:type="dxa"/>
              <w:left w:w="100" w:type="dxa"/>
              <w:bottom w:w="100" w:type="dxa"/>
              <w:right w:w="100" w:type="dxa"/>
            </w:tcMar>
          </w:tcPr>
          <w:p w14:paraId="0B61BBB1"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1</w:t>
            </w:r>
          </w:p>
        </w:tc>
        <w:tc>
          <w:tcPr>
            <w:tcW w:w="975" w:type="dxa"/>
            <w:shd w:val="clear" w:color="auto" w:fill="auto"/>
            <w:tcMar>
              <w:top w:w="100" w:type="dxa"/>
              <w:left w:w="100" w:type="dxa"/>
              <w:bottom w:w="100" w:type="dxa"/>
              <w:right w:w="100" w:type="dxa"/>
            </w:tcMar>
          </w:tcPr>
          <w:p w14:paraId="3F6A32BE"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4"/>
                <w:szCs w:val="24"/>
              </w:rPr>
            </w:pPr>
            <w:r>
              <w:rPr>
                <w:rFonts w:ascii="EB Garamond" w:eastAsia="EB Garamond" w:hAnsi="EB Garamond" w:cs="EB Garamond"/>
                <w:b/>
                <w:sz w:val="24"/>
                <w:szCs w:val="24"/>
              </w:rPr>
              <w:t>4</w:t>
            </w:r>
          </w:p>
        </w:tc>
      </w:tr>
      <w:tr w:rsidR="004539A4" w14:paraId="50A8B4B0" w14:textId="77777777">
        <w:tc>
          <w:tcPr>
            <w:tcW w:w="2370" w:type="dxa"/>
            <w:shd w:val="clear" w:color="auto" w:fill="auto"/>
            <w:tcMar>
              <w:top w:w="100" w:type="dxa"/>
              <w:left w:w="100" w:type="dxa"/>
              <w:bottom w:w="100" w:type="dxa"/>
              <w:right w:w="100" w:type="dxa"/>
            </w:tcMar>
          </w:tcPr>
          <w:p w14:paraId="1A577F95"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0"/>
                <w:szCs w:val="20"/>
              </w:rPr>
            </w:pPr>
            <w:r>
              <w:rPr>
                <w:rFonts w:ascii="EB Garamond" w:eastAsia="EB Garamond" w:hAnsi="EB Garamond" w:cs="EB Garamond"/>
                <w:b/>
                <w:sz w:val="20"/>
                <w:szCs w:val="20"/>
              </w:rPr>
              <w:t xml:space="preserve">Ataques armados a </w:t>
            </w:r>
            <w:r>
              <w:rPr>
                <w:rFonts w:ascii="EB Garamond" w:eastAsia="EB Garamond" w:hAnsi="EB Garamond" w:cs="EB Garamond"/>
                <w:b/>
                <w:sz w:val="20"/>
                <w:szCs w:val="20"/>
              </w:rPr>
              <w:t>dependencias</w:t>
            </w:r>
          </w:p>
        </w:tc>
        <w:tc>
          <w:tcPr>
            <w:tcW w:w="1320" w:type="dxa"/>
            <w:shd w:val="clear" w:color="auto" w:fill="auto"/>
            <w:tcMar>
              <w:top w:w="100" w:type="dxa"/>
              <w:left w:w="100" w:type="dxa"/>
              <w:bottom w:w="100" w:type="dxa"/>
              <w:right w:w="100" w:type="dxa"/>
            </w:tcMar>
          </w:tcPr>
          <w:p w14:paraId="29C62A75"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w:t>
            </w:r>
          </w:p>
        </w:tc>
        <w:tc>
          <w:tcPr>
            <w:tcW w:w="1500" w:type="dxa"/>
            <w:shd w:val="clear" w:color="auto" w:fill="auto"/>
            <w:tcMar>
              <w:top w:w="100" w:type="dxa"/>
              <w:left w:w="100" w:type="dxa"/>
              <w:bottom w:w="100" w:type="dxa"/>
              <w:right w:w="100" w:type="dxa"/>
            </w:tcMar>
          </w:tcPr>
          <w:p w14:paraId="32578E3E"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w:t>
            </w:r>
          </w:p>
        </w:tc>
        <w:tc>
          <w:tcPr>
            <w:tcW w:w="1440" w:type="dxa"/>
            <w:shd w:val="clear" w:color="auto" w:fill="auto"/>
            <w:tcMar>
              <w:top w:w="100" w:type="dxa"/>
              <w:left w:w="100" w:type="dxa"/>
              <w:bottom w:w="100" w:type="dxa"/>
              <w:right w:w="100" w:type="dxa"/>
            </w:tcMar>
          </w:tcPr>
          <w:p w14:paraId="63F89BCA"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3</w:t>
            </w:r>
          </w:p>
        </w:tc>
        <w:tc>
          <w:tcPr>
            <w:tcW w:w="1440" w:type="dxa"/>
            <w:shd w:val="clear" w:color="auto" w:fill="auto"/>
            <w:tcMar>
              <w:top w:w="100" w:type="dxa"/>
              <w:left w:w="100" w:type="dxa"/>
              <w:bottom w:w="100" w:type="dxa"/>
              <w:right w:w="100" w:type="dxa"/>
            </w:tcMar>
          </w:tcPr>
          <w:p w14:paraId="537D8839"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sz w:val="24"/>
                <w:szCs w:val="24"/>
              </w:rPr>
            </w:pPr>
            <w:r>
              <w:rPr>
                <w:rFonts w:ascii="EB Garamond" w:eastAsia="EB Garamond" w:hAnsi="EB Garamond" w:cs="EB Garamond"/>
                <w:sz w:val="24"/>
                <w:szCs w:val="24"/>
              </w:rPr>
              <w:t>2</w:t>
            </w:r>
          </w:p>
        </w:tc>
        <w:tc>
          <w:tcPr>
            <w:tcW w:w="975" w:type="dxa"/>
            <w:shd w:val="clear" w:color="auto" w:fill="auto"/>
            <w:tcMar>
              <w:top w:w="100" w:type="dxa"/>
              <w:left w:w="100" w:type="dxa"/>
              <w:bottom w:w="100" w:type="dxa"/>
              <w:right w:w="100" w:type="dxa"/>
            </w:tcMar>
          </w:tcPr>
          <w:p w14:paraId="11DFC582" w14:textId="77777777" w:rsidR="004539A4" w:rsidRDefault="00B176C1">
            <w:pPr>
              <w:widowControl w:val="0"/>
              <w:pBdr>
                <w:top w:val="nil"/>
                <w:left w:val="nil"/>
                <w:bottom w:val="nil"/>
                <w:right w:val="nil"/>
                <w:between w:val="nil"/>
              </w:pBdr>
              <w:spacing w:line="240" w:lineRule="auto"/>
              <w:jc w:val="center"/>
              <w:rPr>
                <w:rFonts w:ascii="EB Garamond" w:eastAsia="EB Garamond" w:hAnsi="EB Garamond" w:cs="EB Garamond"/>
                <w:b/>
                <w:sz w:val="24"/>
                <w:szCs w:val="24"/>
              </w:rPr>
            </w:pPr>
            <w:r>
              <w:rPr>
                <w:rFonts w:ascii="EB Garamond" w:eastAsia="EB Garamond" w:hAnsi="EB Garamond" w:cs="EB Garamond"/>
                <w:b/>
                <w:sz w:val="24"/>
                <w:szCs w:val="24"/>
              </w:rPr>
              <w:t>5</w:t>
            </w:r>
          </w:p>
        </w:tc>
      </w:tr>
    </w:tbl>
    <w:p w14:paraId="7328A112" w14:textId="77777777" w:rsidR="004539A4" w:rsidRDefault="00B176C1">
      <w:pPr>
        <w:jc w:val="both"/>
        <w:rPr>
          <w:rFonts w:ascii="EB Garamond" w:eastAsia="EB Garamond" w:hAnsi="EB Garamond" w:cs="EB Garamond"/>
          <w:sz w:val="18"/>
          <w:szCs w:val="18"/>
        </w:rPr>
      </w:pPr>
      <w:r>
        <w:rPr>
          <w:rFonts w:ascii="EB Garamond" w:eastAsia="EB Garamond" w:hAnsi="EB Garamond" w:cs="EB Garamond"/>
          <w:sz w:val="18"/>
          <w:szCs w:val="18"/>
        </w:rPr>
        <w:t>Cuadro 1. Atentados contra la Función Judicial 2022-2024. Elaboración: ODJ Ecuador.</w:t>
      </w:r>
    </w:p>
    <w:p w14:paraId="78B82745" w14:textId="77777777" w:rsidR="004539A4" w:rsidRDefault="004539A4">
      <w:pPr>
        <w:jc w:val="both"/>
        <w:rPr>
          <w:rFonts w:ascii="EB Garamond" w:eastAsia="EB Garamond" w:hAnsi="EB Garamond" w:cs="EB Garamond"/>
          <w:sz w:val="18"/>
          <w:szCs w:val="18"/>
        </w:rPr>
      </w:pPr>
    </w:p>
    <w:p w14:paraId="4BC78C75"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En 2023, la Relatora Especial para la Independencia de Jueces y Abogados, Margaret </w:t>
      </w:r>
      <w:proofErr w:type="spellStart"/>
      <w:r>
        <w:rPr>
          <w:rFonts w:ascii="EB Garamond" w:eastAsia="EB Garamond" w:hAnsi="EB Garamond" w:cs="EB Garamond"/>
          <w:sz w:val="24"/>
          <w:szCs w:val="24"/>
        </w:rPr>
        <w:t>Satterthwaite</w:t>
      </w:r>
      <w:proofErr w:type="spellEnd"/>
      <w:r>
        <w:rPr>
          <w:rFonts w:ascii="EB Garamond" w:eastAsia="EB Garamond" w:hAnsi="EB Garamond" w:cs="EB Garamond"/>
          <w:sz w:val="24"/>
          <w:szCs w:val="24"/>
        </w:rPr>
        <w:t xml:space="preserve">, expresó su preocupación por la </w:t>
      </w:r>
      <w:r>
        <w:rPr>
          <w:rFonts w:ascii="EB Garamond" w:eastAsia="EB Garamond" w:hAnsi="EB Garamond" w:cs="EB Garamond"/>
          <w:sz w:val="24"/>
          <w:szCs w:val="24"/>
        </w:rPr>
        <w:t>vulnerabilidad de los funcionarios judiciales del país; e instó a las autoridades a asegurar que todos los ataques sean investigados y que todos los servidores judiciales estén adecuadamente protegidos</w:t>
      </w:r>
      <w:r>
        <w:rPr>
          <w:rFonts w:ascii="EB Garamond" w:eastAsia="EB Garamond" w:hAnsi="EB Garamond" w:cs="EB Garamond"/>
          <w:sz w:val="24"/>
          <w:szCs w:val="24"/>
          <w:vertAlign w:val="superscript"/>
        </w:rPr>
        <w:footnoteReference w:id="22"/>
      </w:r>
      <w:r>
        <w:rPr>
          <w:rFonts w:ascii="EB Garamond" w:eastAsia="EB Garamond" w:hAnsi="EB Garamond" w:cs="EB Garamond"/>
          <w:sz w:val="24"/>
          <w:szCs w:val="24"/>
        </w:rPr>
        <w:t>. Sobre el tema, los principios 2 y 12 de los Principios Básicos relativos a la independencia de la judicatura, establecen que los Estados deben garantizar que los jueces ejerzan sus funciones sin presiones, amenazas o intromisiones indebidas, de cualesquiera sectores o por cualquier motivo; y deben asegurar condiciones adecuadas de servicio para los jueces</w:t>
      </w:r>
      <w:r>
        <w:rPr>
          <w:rFonts w:ascii="EB Garamond" w:eastAsia="EB Garamond" w:hAnsi="EB Garamond" w:cs="EB Garamond"/>
          <w:sz w:val="24"/>
          <w:szCs w:val="24"/>
          <w:vertAlign w:val="superscript"/>
        </w:rPr>
        <w:footnoteReference w:id="23"/>
      </w:r>
      <w:r>
        <w:rPr>
          <w:rFonts w:ascii="EB Garamond" w:eastAsia="EB Garamond" w:hAnsi="EB Garamond" w:cs="EB Garamond"/>
          <w:sz w:val="24"/>
          <w:szCs w:val="24"/>
        </w:rPr>
        <w:t xml:space="preserve">. El ex Relator Especial sobre la independencia de los magistrados y abogados, Diego García-Sayán, al analizar el impacto del crimen organizado sobre los sistemas de justicia, enfatizó en que los Estados </w:t>
      </w:r>
      <w:r>
        <w:rPr>
          <w:rFonts w:ascii="EB Garamond" w:eastAsia="EB Garamond" w:hAnsi="EB Garamond" w:cs="EB Garamond"/>
          <w:sz w:val="24"/>
          <w:szCs w:val="24"/>
        </w:rPr>
        <w:lastRenderedPageBreak/>
        <w:t>deben proporcionar medidas de seguridad para proteger al poder judicial de influencias, instigaciones, presiones, amenazas o interferencias; como una condición para reforzar la independencia judicial frente a la criminalidad organizada</w:t>
      </w:r>
      <w:r>
        <w:rPr>
          <w:rFonts w:ascii="EB Garamond" w:eastAsia="EB Garamond" w:hAnsi="EB Garamond" w:cs="EB Garamond"/>
          <w:sz w:val="24"/>
          <w:szCs w:val="24"/>
          <w:vertAlign w:val="superscript"/>
        </w:rPr>
        <w:footnoteReference w:id="24"/>
      </w:r>
      <w:r w:rsidR="0014224D">
        <w:rPr>
          <w:rFonts w:ascii="EB Garamond" w:eastAsia="EB Garamond" w:hAnsi="EB Garamond" w:cs="EB Garamond"/>
          <w:sz w:val="24"/>
          <w:szCs w:val="24"/>
        </w:rPr>
        <w:t>.</w:t>
      </w:r>
    </w:p>
    <w:p w14:paraId="2F7E266B" w14:textId="77777777" w:rsidR="004539A4" w:rsidRDefault="004539A4">
      <w:pPr>
        <w:jc w:val="both"/>
        <w:rPr>
          <w:rFonts w:ascii="EB Garamond" w:eastAsia="EB Garamond" w:hAnsi="EB Garamond" w:cs="EB Garamond"/>
          <w:sz w:val="24"/>
          <w:szCs w:val="24"/>
        </w:rPr>
      </w:pPr>
    </w:p>
    <w:p w14:paraId="15949D88"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A pesar de lo anterior, hasta la fecha de envío de este informe, el Ecuador no ha adoptado medidas adecuadas y suficientes para proteger a los jueces, fiscales y funcionarios que estén especialmente expuestos o hayan sufrido amenazas del crimen organizado. En 2023, el Consejo de la Judicatura informó que las solicitudes de seguridad por parte operadores judiciales “incrementó de manera exponencial” entre 2019 y 2023; aunque reconoció que existía un déficit en la atención de los pedidos</w:t>
      </w:r>
      <w:r>
        <w:rPr>
          <w:rFonts w:ascii="EB Garamond" w:eastAsia="EB Garamond" w:hAnsi="EB Garamond" w:cs="EB Garamond"/>
          <w:sz w:val="24"/>
          <w:szCs w:val="24"/>
          <w:vertAlign w:val="superscript"/>
        </w:rPr>
        <w:footnoteReference w:id="25"/>
      </w:r>
      <w:r>
        <w:rPr>
          <w:rFonts w:ascii="EB Garamond" w:eastAsia="EB Garamond" w:hAnsi="EB Garamond" w:cs="EB Garamond"/>
          <w:sz w:val="24"/>
          <w:szCs w:val="24"/>
        </w:rPr>
        <w:t xml:space="preserve">. Sin embargo, no se han adoptado protocolos o estrategias claras para atender esta </w:t>
      </w:r>
      <w:r>
        <w:rPr>
          <w:rFonts w:ascii="EB Garamond" w:eastAsia="EB Garamond" w:hAnsi="EB Garamond" w:cs="EB Garamond"/>
          <w:sz w:val="24"/>
          <w:szCs w:val="24"/>
        </w:rPr>
        <w:t>necesidad. Incluso, la Asociación Ecuatoriana de Magistrados y Jueces presentó una solicitud de medidas cautelares constitucionales, en 2023, ante la falta de respuesta de las autoridades encargadas</w:t>
      </w:r>
      <w:r>
        <w:rPr>
          <w:rFonts w:ascii="EB Garamond" w:eastAsia="EB Garamond" w:hAnsi="EB Garamond" w:cs="EB Garamond"/>
          <w:sz w:val="24"/>
          <w:szCs w:val="24"/>
          <w:vertAlign w:val="superscript"/>
        </w:rPr>
        <w:footnoteReference w:id="26"/>
      </w:r>
      <w:r>
        <w:rPr>
          <w:rFonts w:ascii="EB Garamond" w:eastAsia="EB Garamond" w:hAnsi="EB Garamond" w:cs="EB Garamond"/>
          <w:sz w:val="24"/>
          <w:szCs w:val="24"/>
        </w:rPr>
        <w:t xml:space="preserve">. En algunas ocasiones, la respuesta del Consejo de la Judicatura frente a atentados contra operadores o </w:t>
      </w:r>
      <w:proofErr w:type="gramStart"/>
      <w:r>
        <w:rPr>
          <w:rFonts w:ascii="EB Garamond" w:eastAsia="EB Garamond" w:hAnsi="EB Garamond" w:cs="EB Garamond"/>
          <w:sz w:val="24"/>
          <w:szCs w:val="24"/>
        </w:rPr>
        <w:t>edificaciones,</w:t>
      </w:r>
      <w:proofErr w:type="gramEnd"/>
      <w:r>
        <w:rPr>
          <w:rFonts w:ascii="EB Garamond" w:eastAsia="EB Garamond" w:hAnsi="EB Garamond" w:cs="EB Garamond"/>
          <w:sz w:val="24"/>
          <w:szCs w:val="24"/>
        </w:rPr>
        <w:t xml:space="preserve"> ha sido disponer la modalidad de teletrabajo en los lugares afectados</w:t>
      </w:r>
      <w:r>
        <w:rPr>
          <w:rFonts w:ascii="EB Garamond" w:eastAsia="EB Garamond" w:hAnsi="EB Garamond" w:cs="EB Garamond"/>
          <w:sz w:val="24"/>
          <w:szCs w:val="24"/>
          <w:vertAlign w:val="superscript"/>
        </w:rPr>
        <w:footnoteReference w:id="27"/>
      </w:r>
      <w:r>
        <w:rPr>
          <w:rFonts w:ascii="EB Garamond" w:eastAsia="EB Garamond" w:hAnsi="EB Garamond" w:cs="EB Garamond"/>
          <w:sz w:val="24"/>
          <w:szCs w:val="24"/>
        </w:rPr>
        <w:t xml:space="preserve">; sin embargo, esta ha sido una medida de carácter reactivo, no preventivo, y ha sido insuficiente para precautelar la seguridad de los operadores. </w:t>
      </w:r>
    </w:p>
    <w:p w14:paraId="72BA7A52" w14:textId="77777777" w:rsidR="004539A4" w:rsidRDefault="004539A4">
      <w:pPr>
        <w:jc w:val="both"/>
        <w:rPr>
          <w:rFonts w:ascii="EB Garamond" w:eastAsia="EB Garamond" w:hAnsi="EB Garamond" w:cs="EB Garamond"/>
          <w:sz w:val="24"/>
          <w:szCs w:val="24"/>
        </w:rPr>
      </w:pPr>
    </w:p>
    <w:p w14:paraId="76F389A2" w14:textId="77777777" w:rsidR="004539A4" w:rsidRDefault="00B176C1">
      <w:pPr>
        <w:numPr>
          <w:ilvl w:val="0"/>
          <w:numId w:val="1"/>
        </w:numPr>
        <w:jc w:val="both"/>
        <w:rPr>
          <w:rFonts w:ascii="EB Garamond" w:eastAsia="EB Garamond" w:hAnsi="EB Garamond" w:cs="EB Garamond"/>
          <w:b/>
          <w:sz w:val="24"/>
          <w:szCs w:val="24"/>
        </w:rPr>
      </w:pPr>
      <w:r>
        <w:rPr>
          <w:rFonts w:ascii="EB Garamond" w:eastAsia="EB Garamond" w:hAnsi="EB Garamond" w:cs="EB Garamond"/>
          <w:b/>
          <w:sz w:val="24"/>
          <w:szCs w:val="24"/>
        </w:rPr>
        <w:t>Infiltración del crimen organizado en el sistema de administración de justicia</w:t>
      </w:r>
    </w:p>
    <w:p w14:paraId="77F3F0C7" w14:textId="77777777" w:rsidR="004539A4" w:rsidRDefault="004539A4">
      <w:pPr>
        <w:ind w:left="720"/>
        <w:jc w:val="both"/>
        <w:rPr>
          <w:rFonts w:ascii="EB Garamond" w:eastAsia="EB Garamond" w:hAnsi="EB Garamond" w:cs="EB Garamond"/>
          <w:b/>
          <w:sz w:val="24"/>
          <w:szCs w:val="24"/>
        </w:rPr>
      </w:pPr>
    </w:p>
    <w:p w14:paraId="6468F5E8"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Un segundo desafío crucial para la independencia judicial en </w:t>
      </w:r>
      <w:proofErr w:type="gramStart"/>
      <w:r>
        <w:rPr>
          <w:rFonts w:ascii="EB Garamond" w:eastAsia="EB Garamond" w:hAnsi="EB Garamond" w:cs="EB Garamond"/>
          <w:sz w:val="24"/>
          <w:szCs w:val="24"/>
        </w:rPr>
        <w:t>Ecuador,</w:t>
      </w:r>
      <w:proofErr w:type="gramEnd"/>
      <w:r>
        <w:rPr>
          <w:rFonts w:ascii="EB Garamond" w:eastAsia="EB Garamond" w:hAnsi="EB Garamond" w:cs="EB Garamond"/>
          <w:sz w:val="24"/>
          <w:szCs w:val="24"/>
        </w:rPr>
        <w:t xml:space="preserve"> es la infiltración del crimen organizado en el sistema de administración de justicia. Aquello se ha evidenciado en las tres </w:t>
      </w:r>
      <w:proofErr w:type="spellStart"/>
      <w:r>
        <w:rPr>
          <w:rFonts w:ascii="EB Garamond" w:eastAsia="EB Garamond" w:hAnsi="EB Garamond" w:cs="EB Garamond"/>
          <w:sz w:val="24"/>
          <w:szCs w:val="24"/>
        </w:rPr>
        <w:t>megacausas</w:t>
      </w:r>
      <w:proofErr w:type="spellEnd"/>
      <w:r>
        <w:rPr>
          <w:rFonts w:ascii="EB Garamond" w:eastAsia="EB Garamond" w:hAnsi="EB Garamond" w:cs="EB Garamond"/>
          <w:sz w:val="24"/>
          <w:szCs w:val="24"/>
        </w:rPr>
        <w:t xml:space="preserve"> de corrupción judicial que han iniciado entre 2023 y 2024, denominadas “Caso Metástasis”, “Caso Purga” y “Caso Plaga”. En los tres casos, se procesa a un total de 108 personas -incluyendo a jueces, fiscales, funcionarios judiciales y administrativos, directivos del Consejo de la Judicatura </w:t>
      </w:r>
      <w:proofErr w:type="gramStart"/>
      <w:r>
        <w:rPr>
          <w:rFonts w:ascii="EB Garamond" w:eastAsia="EB Garamond" w:hAnsi="EB Garamond" w:cs="EB Garamond"/>
          <w:sz w:val="24"/>
          <w:szCs w:val="24"/>
        </w:rPr>
        <w:t>y  abogados</w:t>
      </w:r>
      <w:proofErr w:type="gramEnd"/>
      <w:r>
        <w:rPr>
          <w:rFonts w:ascii="EB Garamond" w:eastAsia="EB Garamond" w:hAnsi="EB Garamond" w:cs="EB Garamond"/>
          <w:sz w:val="24"/>
          <w:szCs w:val="24"/>
        </w:rPr>
        <w:t xml:space="preserve"> en libre ejercicio- que operaban redes de delincuencia organizada</w:t>
      </w:r>
      <w:r>
        <w:rPr>
          <w:rFonts w:ascii="EB Garamond" w:eastAsia="EB Garamond" w:hAnsi="EB Garamond" w:cs="EB Garamond"/>
          <w:sz w:val="24"/>
          <w:szCs w:val="24"/>
        </w:rPr>
        <w:t xml:space="preserve"> en el sistema de justicia</w:t>
      </w:r>
      <w:r>
        <w:rPr>
          <w:rFonts w:ascii="EB Garamond" w:eastAsia="EB Garamond" w:hAnsi="EB Garamond" w:cs="EB Garamond"/>
          <w:sz w:val="24"/>
          <w:szCs w:val="24"/>
          <w:vertAlign w:val="superscript"/>
        </w:rPr>
        <w:footnoteReference w:id="28"/>
      </w:r>
      <w:r>
        <w:rPr>
          <w:rFonts w:ascii="EB Garamond" w:eastAsia="EB Garamond" w:hAnsi="EB Garamond" w:cs="EB Garamond"/>
          <w:sz w:val="24"/>
          <w:szCs w:val="24"/>
        </w:rPr>
        <w:t>.</w:t>
      </w:r>
    </w:p>
    <w:p w14:paraId="2CADA7D4" w14:textId="77777777" w:rsidR="004539A4" w:rsidRDefault="004539A4">
      <w:pPr>
        <w:jc w:val="both"/>
        <w:rPr>
          <w:rFonts w:ascii="EB Garamond" w:eastAsia="EB Garamond" w:hAnsi="EB Garamond" w:cs="EB Garamond"/>
          <w:sz w:val="24"/>
          <w:szCs w:val="24"/>
        </w:rPr>
      </w:pPr>
    </w:p>
    <w:p w14:paraId="1D0C47E9"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El “Caso Metástasis”, iniciado en diciembre de 2023, se originó en la información extraída de los teléfonos de un ex capo narcotraficante ecuatoriano, asesinado en un motín carcelario en 2022</w:t>
      </w:r>
      <w:r>
        <w:rPr>
          <w:rFonts w:ascii="EB Garamond" w:eastAsia="EB Garamond" w:hAnsi="EB Garamond" w:cs="EB Garamond"/>
          <w:sz w:val="24"/>
          <w:szCs w:val="24"/>
          <w:vertAlign w:val="superscript"/>
        </w:rPr>
        <w:footnoteReference w:id="29"/>
      </w:r>
      <w:r>
        <w:rPr>
          <w:rFonts w:ascii="EB Garamond" w:eastAsia="EB Garamond" w:hAnsi="EB Garamond" w:cs="EB Garamond"/>
          <w:sz w:val="24"/>
          <w:szCs w:val="24"/>
        </w:rPr>
        <w:t>. A partir de ello, se reveló una estructura criminal que operaba en los distintos niveles de la administración de justicia, para “comprar” resoluciones favorables a los intereses de los miembros de un grupo de delincuencia organizada y obstruir las acciones de la fiscalía y la justicia</w:t>
      </w:r>
      <w:r>
        <w:rPr>
          <w:rFonts w:ascii="EB Garamond" w:eastAsia="EB Garamond" w:hAnsi="EB Garamond" w:cs="EB Garamond"/>
          <w:sz w:val="24"/>
          <w:szCs w:val="24"/>
          <w:vertAlign w:val="superscript"/>
        </w:rPr>
        <w:footnoteReference w:id="30"/>
      </w:r>
      <w:r>
        <w:rPr>
          <w:rFonts w:ascii="EB Garamond" w:eastAsia="EB Garamond" w:hAnsi="EB Garamond" w:cs="EB Garamond"/>
          <w:sz w:val="24"/>
          <w:szCs w:val="24"/>
        </w:rPr>
        <w:t>. En Metástasis se ha procesado a 52 personas, incluido un exjuez de la Corte Nacional y expresidente del Consejo de la Judicatura</w:t>
      </w:r>
      <w:r>
        <w:rPr>
          <w:rFonts w:ascii="EB Garamond" w:eastAsia="EB Garamond" w:hAnsi="EB Garamond" w:cs="EB Garamond"/>
          <w:sz w:val="24"/>
          <w:szCs w:val="24"/>
          <w:vertAlign w:val="superscript"/>
        </w:rPr>
        <w:footnoteReference w:id="31"/>
      </w:r>
      <w:r>
        <w:rPr>
          <w:rFonts w:ascii="EB Garamond" w:eastAsia="EB Garamond" w:hAnsi="EB Garamond" w:cs="EB Garamond"/>
          <w:sz w:val="24"/>
          <w:szCs w:val="24"/>
        </w:rPr>
        <w:t>. Hasta la fecha, doce personas han sido condenadas por procedimiento abreviado</w:t>
      </w:r>
      <w:r>
        <w:rPr>
          <w:rFonts w:ascii="EB Garamond" w:eastAsia="EB Garamond" w:hAnsi="EB Garamond" w:cs="EB Garamond"/>
          <w:sz w:val="24"/>
          <w:szCs w:val="24"/>
          <w:vertAlign w:val="superscript"/>
        </w:rPr>
        <w:footnoteReference w:id="32"/>
      </w:r>
      <w:r>
        <w:rPr>
          <w:rFonts w:ascii="EB Garamond" w:eastAsia="EB Garamond" w:hAnsi="EB Garamond" w:cs="EB Garamond"/>
          <w:sz w:val="24"/>
          <w:szCs w:val="24"/>
        </w:rPr>
        <w:t>; y otras 37 personas esperan ser llamados a juicio</w:t>
      </w:r>
      <w:r>
        <w:rPr>
          <w:rFonts w:ascii="EB Garamond" w:eastAsia="EB Garamond" w:hAnsi="EB Garamond" w:cs="EB Garamond"/>
          <w:sz w:val="24"/>
          <w:szCs w:val="24"/>
          <w:vertAlign w:val="superscript"/>
        </w:rPr>
        <w:footnoteReference w:id="33"/>
      </w:r>
      <w:r>
        <w:rPr>
          <w:rFonts w:ascii="EB Garamond" w:eastAsia="EB Garamond" w:hAnsi="EB Garamond" w:cs="EB Garamond"/>
          <w:sz w:val="24"/>
          <w:szCs w:val="24"/>
        </w:rPr>
        <w:t xml:space="preserve">. </w:t>
      </w:r>
    </w:p>
    <w:p w14:paraId="63FFFAD1" w14:textId="77777777" w:rsidR="004539A4" w:rsidRDefault="004539A4">
      <w:pPr>
        <w:jc w:val="both"/>
        <w:rPr>
          <w:rFonts w:ascii="EB Garamond" w:eastAsia="EB Garamond" w:hAnsi="EB Garamond" w:cs="EB Garamond"/>
          <w:sz w:val="24"/>
          <w:szCs w:val="24"/>
        </w:rPr>
      </w:pPr>
    </w:p>
    <w:p w14:paraId="6E4618BD"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A su vez, el “Caso Purga”, iniciado en marzo de 2024, se derivó de las conversaciones encontradas en el celular de una persona procesada en Metástasis</w:t>
      </w:r>
      <w:r>
        <w:rPr>
          <w:rFonts w:ascii="EB Garamond" w:eastAsia="EB Garamond" w:hAnsi="EB Garamond" w:cs="EB Garamond"/>
          <w:sz w:val="24"/>
          <w:szCs w:val="24"/>
          <w:vertAlign w:val="superscript"/>
        </w:rPr>
        <w:footnoteReference w:id="34"/>
      </w:r>
      <w:r>
        <w:rPr>
          <w:rFonts w:ascii="EB Garamond" w:eastAsia="EB Garamond" w:hAnsi="EB Garamond" w:cs="EB Garamond"/>
          <w:sz w:val="24"/>
          <w:szCs w:val="24"/>
        </w:rPr>
        <w:t xml:space="preserve">. Actualmente, son procesadas 25 personas, incluyendo a un </w:t>
      </w:r>
      <w:proofErr w:type="spellStart"/>
      <w:r>
        <w:rPr>
          <w:rFonts w:ascii="EB Garamond" w:eastAsia="EB Garamond" w:hAnsi="EB Garamond" w:cs="EB Garamond"/>
          <w:sz w:val="24"/>
          <w:szCs w:val="24"/>
        </w:rPr>
        <w:t>exasambleísta</w:t>
      </w:r>
      <w:proofErr w:type="spellEnd"/>
      <w:r>
        <w:rPr>
          <w:rFonts w:ascii="EB Garamond" w:eastAsia="EB Garamond" w:hAnsi="EB Garamond" w:cs="EB Garamond"/>
          <w:sz w:val="24"/>
          <w:szCs w:val="24"/>
        </w:rPr>
        <w:t>, a la expresidenta y varios exjueces de la Corte Provincial y otros jueces de primera instancia y funcionarios del Consejo de la Judicatura de la provincia de Guayas</w:t>
      </w:r>
      <w:r>
        <w:rPr>
          <w:rFonts w:ascii="EB Garamond" w:eastAsia="EB Garamond" w:hAnsi="EB Garamond" w:cs="EB Garamond"/>
          <w:sz w:val="24"/>
          <w:szCs w:val="24"/>
          <w:vertAlign w:val="superscript"/>
        </w:rPr>
        <w:footnoteReference w:id="35"/>
      </w:r>
      <w:r>
        <w:rPr>
          <w:rFonts w:ascii="EB Garamond" w:eastAsia="EB Garamond" w:hAnsi="EB Garamond" w:cs="EB Garamond"/>
          <w:sz w:val="24"/>
          <w:szCs w:val="24"/>
        </w:rPr>
        <w:t>. En este caso, se investiga una estructura criminal liderada por el exlegislador, dedicada a “compraventa” de decisiones judiciales y administrativas, favorables a intereses propios o de terceros</w:t>
      </w:r>
      <w:r>
        <w:rPr>
          <w:rFonts w:ascii="EB Garamond" w:eastAsia="EB Garamond" w:hAnsi="EB Garamond" w:cs="EB Garamond"/>
          <w:sz w:val="24"/>
          <w:szCs w:val="24"/>
          <w:vertAlign w:val="superscript"/>
        </w:rPr>
        <w:footnoteReference w:id="36"/>
      </w:r>
      <w:r>
        <w:rPr>
          <w:rFonts w:ascii="EB Garamond" w:eastAsia="EB Garamond" w:hAnsi="EB Garamond" w:cs="EB Garamond"/>
          <w:sz w:val="24"/>
          <w:szCs w:val="24"/>
        </w:rPr>
        <w:t xml:space="preserve">. Según la Fiscalía, era tan elevado el nivel de influencia del </w:t>
      </w:r>
      <w:proofErr w:type="gramStart"/>
      <w:r>
        <w:rPr>
          <w:rFonts w:ascii="EB Garamond" w:eastAsia="EB Garamond" w:hAnsi="EB Garamond" w:cs="EB Garamond"/>
          <w:sz w:val="24"/>
          <w:szCs w:val="24"/>
        </w:rPr>
        <w:t>asambleísta  que</w:t>
      </w:r>
      <w:proofErr w:type="gramEnd"/>
      <w:r>
        <w:rPr>
          <w:rFonts w:ascii="EB Garamond" w:eastAsia="EB Garamond" w:hAnsi="EB Garamond" w:cs="EB Garamond"/>
          <w:sz w:val="24"/>
          <w:szCs w:val="24"/>
        </w:rPr>
        <w:t xml:space="preserve"> encabezaba la organización criminal, que se lo conocía como “el dueño” de la justicia en la provincia de Guayas</w:t>
      </w:r>
      <w:r>
        <w:rPr>
          <w:rFonts w:ascii="EB Garamond" w:eastAsia="EB Garamond" w:hAnsi="EB Garamond" w:cs="EB Garamond"/>
          <w:sz w:val="24"/>
          <w:szCs w:val="24"/>
          <w:vertAlign w:val="superscript"/>
        </w:rPr>
        <w:footnoteReference w:id="37"/>
      </w:r>
      <w:r>
        <w:rPr>
          <w:rFonts w:ascii="EB Garamond" w:eastAsia="EB Garamond" w:hAnsi="EB Garamond" w:cs="EB Garamond"/>
          <w:sz w:val="24"/>
          <w:szCs w:val="24"/>
        </w:rPr>
        <w:t>.</w:t>
      </w:r>
    </w:p>
    <w:p w14:paraId="70228A2E" w14:textId="77777777" w:rsidR="004539A4" w:rsidRDefault="004539A4">
      <w:pPr>
        <w:jc w:val="both"/>
        <w:rPr>
          <w:rFonts w:ascii="EB Garamond" w:eastAsia="EB Garamond" w:hAnsi="EB Garamond" w:cs="EB Garamond"/>
          <w:sz w:val="24"/>
          <w:szCs w:val="24"/>
        </w:rPr>
      </w:pPr>
    </w:p>
    <w:p w14:paraId="781BF6BA"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lastRenderedPageBreak/>
        <w:t>El “Caso Plaga”, que también se derivó del “Caso Metástasis”, investiga una red de delincuencia organizada entre jueces, abogados y funcionarios del sistema penitenciario, que gestionaba la libertad de personas procesadas o sentenciadas a través de acciones constitucionales fraudulentas, a cambio de dinero o favores</w:t>
      </w:r>
      <w:r>
        <w:rPr>
          <w:rFonts w:ascii="EB Garamond" w:eastAsia="EB Garamond" w:hAnsi="EB Garamond" w:cs="EB Garamond"/>
          <w:sz w:val="24"/>
          <w:szCs w:val="24"/>
          <w:vertAlign w:val="superscript"/>
        </w:rPr>
        <w:footnoteReference w:id="38"/>
      </w:r>
      <w:r>
        <w:rPr>
          <w:rFonts w:ascii="EB Garamond" w:eastAsia="EB Garamond" w:hAnsi="EB Garamond" w:cs="EB Garamond"/>
          <w:sz w:val="24"/>
          <w:szCs w:val="24"/>
        </w:rPr>
        <w:t>. En este caso, se procesa a 31 personas, entre jueces de primer y segundo nivel, secretarios, policías, abogados, funcionarios del sistema penitenciario, entre otros</w:t>
      </w:r>
      <w:r>
        <w:rPr>
          <w:rFonts w:ascii="EB Garamond" w:eastAsia="EB Garamond" w:hAnsi="EB Garamond" w:cs="EB Garamond"/>
          <w:sz w:val="24"/>
          <w:szCs w:val="24"/>
          <w:vertAlign w:val="superscript"/>
        </w:rPr>
        <w:footnoteReference w:id="39"/>
      </w:r>
      <w:r>
        <w:rPr>
          <w:rFonts w:ascii="EB Garamond" w:eastAsia="EB Garamond" w:hAnsi="EB Garamond" w:cs="EB Garamond"/>
          <w:sz w:val="24"/>
          <w:szCs w:val="24"/>
        </w:rPr>
        <w:t xml:space="preserve">. A través de este mecanismo, se liberó a cabecillas y miembros de </w:t>
      </w:r>
      <w:r>
        <w:rPr>
          <w:rFonts w:ascii="EB Garamond" w:eastAsia="EB Garamond" w:hAnsi="EB Garamond" w:cs="EB Garamond"/>
          <w:sz w:val="24"/>
          <w:szCs w:val="24"/>
        </w:rPr>
        <w:t>grupos de delincuencia organizada; personas sentenciadas por violación y tráfico de migrantes, entre otros</w:t>
      </w:r>
      <w:r>
        <w:rPr>
          <w:rFonts w:ascii="EB Garamond" w:eastAsia="EB Garamond" w:hAnsi="EB Garamond" w:cs="EB Garamond"/>
          <w:sz w:val="24"/>
          <w:szCs w:val="24"/>
          <w:vertAlign w:val="superscript"/>
        </w:rPr>
        <w:footnoteReference w:id="40"/>
      </w:r>
      <w:r>
        <w:rPr>
          <w:rFonts w:ascii="EB Garamond" w:eastAsia="EB Garamond" w:hAnsi="EB Garamond" w:cs="EB Garamond"/>
          <w:sz w:val="24"/>
          <w:szCs w:val="24"/>
        </w:rPr>
        <w:t>.</w:t>
      </w:r>
    </w:p>
    <w:p w14:paraId="121B1C21" w14:textId="77777777" w:rsidR="004539A4" w:rsidRDefault="004539A4">
      <w:pPr>
        <w:jc w:val="both"/>
        <w:rPr>
          <w:rFonts w:ascii="EB Garamond" w:eastAsia="EB Garamond" w:hAnsi="EB Garamond" w:cs="EB Garamond"/>
          <w:sz w:val="24"/>
          <w:szCs w:val="24"/>
        </w:rPr>
      </w:pPr>
    </w:p>
    <w:p w14:paraId="3512E76B"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Los casos Metástasis, Purga y Plaga han revelado la </w:t>
      </w:r>
      <w:proofErr w:type="spellStart"/>
      <w:r>
        <w:rPr>
          <w:rFonts w:ascii="EB Garamond" w:eastAsia="EB Garamond" w:hAnsi="EB Garamond" w:cs="EB Garamond"/>
          <w:sz w:val="24"/>
          <w:szCs w:val="24"/>
        </w:rPr>
        <w:t>enquistación</w:t>
      </w:r>
      <w:proofErr w:type="spellEnd"/>
      <w:r>
        <w:rPr>
          <w:rFonts w:ascii="EB Garamond" w:eastAsia="EB Garamond" w:hAnsi="EB Garamond" w:cs="EB Garamond"/>
          <w:sz w:val="24"/>
          <w:szCs w:val="24"/>
        </w:rPr>
        <w:t xml:space="preserve"> del crimen organizado en todos los niveles del aparato judicial; y han mermado la credibilidad del sistema de justicia. Esto es especialmente preocupante considerando que sólo el 12% de la población ecuatoriana confía en el sistema judicial</w:t>
      </w:r>
      <w:r>
        <w:rPr>
          <w:rFonts w:ascii="EB Garamond" w:eastAsia="EB Garamond" w:hAnsi="EB Garamond" w:cs="EB Garamond"/>
          <w:sz w:val="24"/>
          <w:szCs w:val="24"/>
          <w:vertAlign w:val="superscript"/>
        </w:rPr>
        <w:footnoteReference w:id="41"/>
      </w:r>
      <w:r>
        <w:rPr>
          <w:rFonts w:ascii="EB Garamond" w:eastAsia="EB Garamond" w:hAnsi="EB Garamond" w:cs="EB Garamond"/>
          <w:sz w:val="24"/>
          <w:szCs w:val="24"/>
        </w:rPr>
        <w:t xml:space="preserve">. </w:t>
      </w:r>
    </w:p>
    <w:p w14:paraId="37A01046" w14:textId="77777777" w:rsidR="004539A4" w:rsidRDefault="004539A4">
      <w:pPr>
        <w:jc w:val="both"/>
        <w:rPr>
          <w:rFonts w:ascii="EB Garamond" w:eastAsia="EB Garamond" w:hAnsi="EB Garamond" w:cs="EB Garamond"/>
          <w:sz w:val="24"/>
          <w:szCs w:val="24"/>
        </w:rPr>
      </w:pPr>
    </w:p>
    <w:p w14:paraId="129D1657"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Según el ex Relator</w:t>
      </w:r>
      <w:r w:rsidR="00706649">
        <w:rPr>
          <w:rFonts w:ascii="EB Garamond" w:eastAsia="EB Garamond" w:hAnsi="EB Garamond" w:cs="EB Garamond"/>
          <w:sz w:val="24"/>
          <w:szCs w:val="24"/>
        </w:rPr>
        <w:t>, Diego García-Sayán</w:t>
      </w:r>
      <w:r>
        <w:rPr>
          <w:rFonts w:ascii="EB Garamond" w:eastAsia="EB Garamond" w:hAnsi="EB Garamond" w:cs="EB Garamond"/>
          <w:sz w:val="24"/>
          <w:szCs w:val="24"/>
        </w:rPr>
        <w:t xml:space="preserve">, la corrupción judicial vinculada al crimen </w:t>
      </w:r>
      <w:r>
        <w:rPr>
          <w:rFonts w:ascii="EB Garamond" w:eastAsia="EB Garamond" w:hAnsi="EB Garamond" w:cs="EB Garamond"/>
          <w:sz w:val="24"/>
          <w:szCs w:val="24"/>
        </w:rPr>
        <w:t xml:space="preserve">organizado es un fenómeno complejo, cuya erradicación requiere la adopción de medidas para: i) reforzar la integridad e independencia del poder judicial, abordando cuestiones de seguridad personal, seguridad laboral, seguridad financiera, formación y capacitación de los operadores de justicia; y, </w:t>
      </w:r>
      <w:proofErr w:type="spellStart"/>
      <w:r>
        <w:rPr>
          <w:rFonts w:ascii="EB Garamond" w:eastAsia="EB Garamond" w:hAnsi="EB Garamond" w:cs="EB Garamond"/>
          <w:sz w:val="24"/>
          <w:szCs w:val="24"/>
        </w:rPr>
        <w:t>ii</w:t>
      </w:r>
      <w:proofErr w:type="spellEnd"/>
      <w:r>
        <w:rPr>
          <w:rFonts w:ascii="EB Garamond" w:eastAsia="EB Garamond" w:hAnsi="EB Garamond" w:cs="EB Garamond"/>
          <w:sz w:val="24"/>
          <w:szCs w:val="24"/>
        </w:rPr>
        <w:t>) evitar las oportunidades de corrupción entre los miembros del sistema de justicia, incluyendo medidas disciplinarias, responsabilidades penales y la creación de mecanismos para garantizar la reparación efectiva</w:t>
      </w:r>
      <w:r>
        <w:rPr>
          <w:rFonts w:ascii="EB Garamond" w:eastAsia="EB Garamond" w:hAnsi="EB Garamond" w:cs="EB Garamond"/>
          <w:sz w:val="24"/>
          <w:szCs w:val="24"/>
        </w:rPr>
        <w:t xml:space="preserve"> a las víctimas de corrupción</w:t>
      </w:r>
      <w:r>
        <w:rPr>
          <w:rFonts w:ascii="EB Garamond" w:eastAsia="EB Garamond" w:hAnsi="EB Garamond" w:cs="EB Garamond"/>
          <w:sz w:val="24"/>
          <w:szCs w:val="24"/>
          <w:vertAlign w:val="superscript"/>
        </w:rPr>
        <w:footnoteReference w:id="42"/>
      </w:r>
      <w:r>
        <w:rPr>
          <w:rFonts w:ascii="EB Garamond" w:eastAsia="EB Garamond" w:hAnsi="EB Garamond" w:cs="EB Garamond"/>
          <w:sz w:val="24"/>
          <w:szCs w:val="24"/>
        </w:rPr>
        <w:t>. En el mismo sentido, la CIDH ha indicado que los Estados deben adoptar medidas integrales y coordinadas para desmantelar los factores sistémicos que fomentan, permiten y provocan la corrupción en las instituciones; y garantizar los recursos técnicos y humanos necesarios para investigar, juzgar y sancionar estos hechos</w:t>
      </w:r>
      <w:r>
        <w:rPr>
          <w:rFonts w:ascii="EB Garamond" w:eastAsia="EB Garamond" w:hAnsi="EB Garamond" w:cs="EB Garamond"/>
          <w:sz w:val="24"/>
          <w:szCs w:val="24"/>
          <w:vertAlign w:val="superscript"/>
        </w:rPr>
        <w:footnoteReference w:id="43"/>
      </w:r>
      <w:r>
        <w:rPr>
          <w:rFonts w:ascii="EB Garamond" w:eastAsia="EB Garamond" w:hAnsi="EB Garamond" w:cs="EB Garamond"/>
          <w:sz w:val="24"/>
          <w:szCs w:val="24"/>
        </w:rPr>
        <w:t xml:space="preserve">. </w:t>
      </w:r>
    </w:p>
    <w:p w14:paraId="2A6D1A20" w14:textId="77777777" w:rsidR="004539A4" w:rsidRDefault="004539A4">
      <w:pPr>
        <w:jc w:val="both"/>
        <w:rPr>
          <w:rFonts w:ascii="EB Garamond" w:eastAsia="EB Garamond" w:hAnsi="EB Garamond" w:cs="EB Garamond"/>
          <w:sz w:val="24"/>
          <w:szCs w:val="24"/>
        </w:rPr>
      </w:pPr>
    </w:p>
    <w:p w14:paraId="368FFFA3"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Aunque el inicio de los procesos penales antes mencionados ha sido un paso importante para la lucha contra la corrupción judicial y la cooptación por parte del crimen organizado; todavía son necesarias otras medidas que permitan avanzar hacia una depuración y reforma del sistema de justicia para erradicar este fenómeno. </w:t>
      </w:r>
    </w:p>
    <w:p w14:paraId="4D4EEB07" w14:textId="77777777" w:rsidR="004539A4" w:rsidRDefault="004539A4">
      <w:pPr>
        <w:jc w:val="both"/>
        <w:rPr>
          <w:rFonts w:ascii="EB Garamond" w:eastAsia="EB Garamond" w:hAnsi="EB Garamond" w:cs="EB Garamond"/>
          <w:sz w:val="24"/>
          <w:szCs w:val="24"/>
        </w:rPr>
      </w:pPr>
    </w:p>
    <w:p w14:paraId="679B4B13" w14:textId="77777777" w:rsidR="004539A4" w:rsidRDefault="00B176C1">
      <w:pPr>
        <w:numPr>
          <w:ilvl w:val="0"/>
          <w:numId w:val="1"/>
        </w:numPr>
        <w:jc w:val="both"/>
        <w:rPr>
          <w:rFonts w:ascii="EB Garamond" w:eastAsia="EB Garamond" w:hAnsi="EB Garamond" w:cs="EB Garamond"/>
          <w:b/>
          <w:sz w:val="24"/>
          <w:szCs w:val="24"/>
        </w:rPr>
      </w:pPr>
      <w:r>
        <w:rPr>
          <w:rFonts w:ascii="EB Garamond" w:eastAsia="EB Garamond" w:hAnsi="EB Garamond" w:cs="EB Garamond"/>
          <w:b/>
          <w:sz w:val="24"/>
          <w:szCs w:val="24"/>
        </w:rPr>
        <w:lastRenderedPageBreak/>
        <w:t>Estigmatización a operadores de justicia por parte de</w:t>
      </w:r>
      <w:r w:rsidR="00634EC4">
        <w:rPr>
          <w:rFonts w:ascii="EB Garamond" w:eastAsia="EB Garamond" w:hAnsi="EB Garamond" w:cs="EB Garamond"/>
          <w:b/>
          <w:sz w:val="24"/>
          <w:szCs w:val="24"/>
        </w:rPr>
        <w:t xml:space="preserve"> altas autoridades </w:t>
      </w:r>
    </w:p>
    <w:p w14:paraId="4B9C0872" w14:textId="77777777" w:rsidR="004539A4" w:rsidRDefault="004539A4">
      <w:pPr>
        <w:ind w:left="720"/>
        <w:jc w:val="both"/>
        <w:rPr>
          <w:rFonts w:ascii="EB Garamond" w:eastAsia="EB Garamond" w:hAnsi="EB Garamond" w:cs="EB Garamond"/>
          <w:sz w:val="24"/>
          <w:szCs w:val="24"/>
        </w:rPr>
      </w:pPr>
    </w:p>
    <w:p w14:paraId="3BFCD083"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Otra amenaza para la independencia judicial que ha surgido en el contexto de la lucha contra el crimen organizado en Ecuador, es la estigmatización hacia operadores de justicia por parte de altos funcionarios del gobierno</w:t>
      </w:r>
      <w:r w:rsidR="00634EC4">
        <w:rPr>
          <w:rFonts w:ascii="EB Garamond" w:eastAsia="EB Garamond" w:hAnsi="EB Garamond" w:cs="EB Garamond"/>
          <w:sz w:val="24"/>
          <w:szCs w:val="24"/>
        </w:rPr>
        <w:t xml:space="preserve"> y de otras instituciones</w:t>
      </w:r>
      <w:r>
        <w:rPr>
          <w:rFonts w:ascii="EB Garamond" w:eastAsia="EB Garamond" w:hAnsi="EB Garamond" w:cs="EB Garamond"/>
          <w:sz w:val="24"/>
          <w:szCs w:val="24"/>
        </w:rPr>
        <w:t xml:space="preserve">. En los últimos años, se ha posicionado un discurso oficial que pretende responsabilizar a los jueces, en general, por los elevados niveles de violencia y criminalidad que afectan a la población ecuatoriana. En lugar de fortalecer las capacidades del sistema de justicia, con miras a erradicar la impunidad, estas narrativas socavan aún más la confianza ciudadana en la justicia y podrían legitimar graves intromisiones en la independencia judicial. </w:t>
      </w:r>
    </w:p>
    <w:p w14:paraId="6CD7F5EC" w14:textId="77777777" w:rsidR="00706649" w:rsidRDefault="00706649">
      <w:pPr>
        <w:jc w:val="both"/>
        <w:rPr>
          <w:rFonts w:ascii="EB Garamond" w:eastAsia="EB Garamond" w:hAnsi="EB Garamond" w:cs="EB Garamond"/>
          <w:sz w:val="24"/>
          <w:szCs w:val="24"/>
        </w:rPr>
      </w:pPr>
    </w:p>
    <w:p w14:paraId="340251C0"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En las administraciones de Guillermo Lasso y Daniel Noboa, se ha posicionado la narrativa de que “el Gobierno y las fuerzas del orden están luchando contra el crimen organizado, pero son los jueces quienes liberan a los delincuentes”. Por ejemplo, en febrero de 2023, el expresidente Lasso señaló -con nombres y apellidos- a cinco ‘malos jueces que defienden delincuentes’, en una cadena nacional</w:t>
      </w:r>
      <w:r>
        <w:rPr>
          <w:rFonts w:ascii="EB Garamond" w:eastAsia="EB Garamond" w:hAnsi="EB Garamond" w:cs="EB Garamond"/>
          <w:sz w:val="24"/>
          <w:szCs w:val="24"/>
          <w:vertAlign w:val="superscript"/>
        </w:rPr>
        <w:footnoteReference w:id="44"/>
      </w:r>
      <w:r>
        <w:rPr>
          <w:rFonts w:ascii="EB Garamond" w:eastAsia="EB Garamond" w:hAnsi="EB Garamond" w:cs="EB Garamond"/>
          <w:sz w:val="24"/>
          <w:szCs w:val="24"/>
        </w:rPr>
        <w:t>. En dicho mensaje, el expresidente cuestionó el contenido de las decisiones de los ‘malos jueces’ y formuló una ‘advertencia’ para el resto de ‘jueces corruptos’</w:t>
      </w:r>
      <w:r>
        <w:rPr>
          <w:rFonts w:ascii="EB Garamond" w:eastAsia="EB Garamond" w:hAnsi="EB Garamond" w:cs="EB Garamond"/>
          <w:sz w:val="24"/>
          <w:szCs w:val="24"/>
          <w:vertAlign w:val="superscript"/>
        </w:rPr>
        <w:footnoteReference w:id="45"/>
      </w:r>
      <w:r>
        <w:rPr>
          <w:rFonts w:ascii="EB Garamond" w:eastAsia="EB Garamond" w:hAnsi="EB Garamond" w:cs="EB Garamond"/>
          <w:sz w:val="24"/>
          <w:szCs w:val="24"/>
        </w:rPr>
        <w:t xml:space="preserve">. </w:t>
      </w:r>
    </w:p>
    <w:p w14:paraId="5E03DC7D" w14:textId="77777777" w:rsidR="004539A4" w:rsidRDefault="004539A4">
      <w:pPr>
        <w:jc w:val="both"/>
        <w:rPr>
          <w:rFonts w:ascii="EB Garamond" w:eastAsia="EB Garamond" w:hAnsi="EB Garamond" w:cs="EB Garamond"/>
          <w:sz w:val="24"/>
          <w:szCs w:val="24"/>
        </w:rPr>
      </w:pPr>
    </w:p>
    <w:p w14:paraId="552E9FE5"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En enero de 2024, días después de la declaratoria de ‘conflicto armado interno’ contra los grupos de delincuencia organizada, el presidente Noboa aseguró que, en su gobierno, “los jueces y fiscales que apoyen a los grupos </w:t>
      </w:r>
      <w:proofErr w:type="gramStart"/>
      <w:r>
        <w:rPr>
          <w:rFonts w:ascii="EB Garamond" w:eastAsia="EB Garamond" w:hAnsi="EB Garamond" w:cs="EB Garamond"/>
          <w:sz w:val="24"/>
          <w:szCs w:val="24"/>
        </w:rPr>
        <w:t>terroristas,</w:t>
      </w:r>
      <w:proofErr w:type="gramEnd"/>
      <w:r>
        <w:rPr>
          <w:rFonts w:ascii="EB Garamond" w:eastAsia="EB Garamond" w:hAnsi="EB Garamond" w:cs="EB Garamond"/>
          <w:sz w:val="24"/>
          <w:szCs w:val="24"/>
        </w:rPr>
        <w:t xml:space="preserve"> serán considerados como parte de grupos terroristas”</w:t>
      </w:r>
      <w:r>
        <w:rPr>
          <w:rFonts w:ascii="EB Garamond" w:eastAsia="EB Garamond" w:hAnsi="EB Garamond" w:cs="EB Garamond"/>
          <w:sz w:val="24"/>
          <w:szCs w:val="24"/>
          <w:vertAlign w:val="superscript"/>
        </w:rPr>
        <w:footnoteReference w:id="46"/>
      </w:r>
      <w:r>
        <w:rPr>
          <w:rFonts w:ascii="EB Garamond" w:eastAsia="EB Garamond" w:hAnsi="EB Garamond" w:cs="EB Garamond"/>
          <w:sz w:val="24"/>
          <w:szCs w:val="24"/>
        </w:rPr>
        <w:t xml:space="preserve">. En junio, el </w:t>
      </w:r>
      <w:proofErr w:type="gramStart"/>
      <w:r>
        <w:rPr>
          <w:rFonts w:ascii="EB Garamond" w:eastAsia="EB Garamond" w:hAnsi="EB Garamond" w:cs="EB Garamond"/>
          <w:sz w:val="24"/>
          <w:szCs w:val="24"/>
        </w:rPr>
        <w:t>Ministro</w:t>
      </w:r>
      <w:proofErr w:type="gramEnd"/>
      <w:r>
        <w:rPr>
          <w:rFonts w:ascii="EB Garamond" w:eastAsia="EB Garamond" w:hAnsi="EB Garamond" w:cs="EB Garamond"/>
          <w:sz w:val="24"/>
          <w:szCs w:val="24"/>
        </w:rPr>
        <w:t xml:space="preserve"> de Defensa también cuestionó que haya procesados que son liberados pocos días después de su captura, y aseveró que “no es justo que unos se jueguen la vida, mientras otros juegan con la justicia”</w:t>
      </w:r>
      <w:r>
        <w:rPr>
          <w:rFonts w:ascii="EB Garamond" w:eastAsia="EB Garamond" w:hAnsi="EB Garamond" w:cs="EB Garamond"/>
          <w:sz w:val="24"/>
          <w:szCs w:val="24"/>
          <w:vertAlign w:val="superscript"/>
        </w:rPr>
        <w:footnoteReference w:id="47"/>
      </w:r>
      <w:r>
        <w:rPr>
          <w:rFonts w:ascii="EB Garamond" w:eastAsia="EB Garamond" w:hAnsi="EB Garamond" w:cs="EB Garamond"/>
          <w:sz w:val="24"/>
          <w:szCs w:val="24"/>
        </w:rPr>
        <w:t xml:space="preserve">. En similar sentido, la </w:t>
      </w:r>
      <w:proofErr w:type="gramStart"/>
      <w:r>
        <w:rPr>
          <w:rFonts w:ascii="EB Garamond" w:eastAsia="EB Garamond" w:hAnsi="EB Garamond" w:cs="EB Garamond"/>
          <w:sz w:val="24"/>
          <w:szCs w:val="24"/>
        </w:rPr>
        <w:t>Ministra</w:t>
      </w:r>
      <w:proofErr w:type="gramEnd"/>
      <w:r>
        <w:rPr>
          <w:rFonts w:ascii="EB Garamond" w:eastAsia="EB Garamond" w:hAnsi="EB Garamond" w:cs="EB Garamond"/>
          <w:sz w:val="24"/>
          <w:szCs w:val="24"/>
        </w:rPr>
        <w:t xml:space="preserve"> del Interior dio un discurso ‘exhortando a la justicia a que pare de usar argumentos </w:t>
      </w:r>
      <w:proofErr w:type="spellStart"/>
      <w:r>
        <w:rPr>
          <w:rFonts w:ascii="EB Garamond" w:eastAsia="EB Garamond" w:hAnsi="EB Garamond" w:cs="EB Garamond"/>
          <w:sz w:val="24"/>
          <w:szCs w:val="24"/>
        </w:rPr>
        <w:t>seudojurídicos</w:t>
      </w:r>
      <w:proofErr w:type="spellEnd"/>
      <w:r>
        <w:rPr>
          <w:rFonts w:ascii="EB Garamond" w:eastAsia="EB Garamond" w:hAnsi="EB Garamond" w:cs="EB Garamond"/>
          <w:sz w:val="24"/>
          <w:szCs w:val="24"/>
        </w:rPr>
        <w:t>, de tinterillos, para liberar a los delincuentes que detiene la Policía’</w:t>
      </w:r>
      <w:r>
        <w:rPr>
          <w:rFonts w:ascii="EB Garamond" w:eastAsia="EB Garamond" w:hAnsi="EB Garamond" w:cs="EB Garamond"/>
          <w:sz w:val="24"/>
          <w:szCs w:val="24"/>
          <w:vertAlign w:val="superscript"/>
        </w:rPr>
        <w:footnoteReference w:id="48"/>
      </w:r>
      <w:r>
        <w:rPr>
          <w:rFonts w:ascii="EB Garamond" w:eastAsia="EB Garamond" w:hAnsi="EB Garamond" w:cs="EB Garamond"/>
          <w:sz w:val="24"/>
          <w:szCs w:val="24"/>
        </w:rPr>
        <w:t>.</w:t>
      </w:r>
    </w:p>
    <w:p w14:paraId="404A699C" w14:textId="77777777" w:rsidR="00634EC4" w:rsidRDefault="00634EC4">
      <w:pPr>
        <w:jc w:val="both"/>
        <w:rPr>
          <w:rFonts w:ascii="EB Garamond" w:eastAsia="EB Garamond" w:hAnsi="EB Garamond" w:cs="EB Garamond"/>
          <w:sz w:val="24"/>
          <w:szCs w:val="24"/>
        </w:rPr>
      </w:pPr>
    </w:p>
    <w:p w14:paraId="01C255C6" w14:textId="77777777" w:rsidR="00634EC4" w:rsidRPr="00634EC4" w:rsidRDefault="00634EC4">
      <w:pPr>
        <w:jc w:val="both"/>
        <w:rPr>
          <w:rFonts w:ascii="EB Garamond" w:eastAsia="EB Garamond" w:hAnsi="EB Garamond" w:cs="EB Garamond"/>
          <w:sz w:val="24"/>
          <w:szCs w:val="24"/>
        </w:rPr>
      </w:pPr>
      <w:r>
        <w:rPr>
          <w:rFonts w:ascii="EB Garamond" w:eastAsia="EB Garamond" w:hAnsi="EB Garamond" w:cs="EB Garamond"/>
          <w:sz w:val="24"/>
          <w:szCs w:val="24"/>
        </w:rPr>
        <w:t xml:space="preserve">Ahora bien, los actos de hostigamiento y estigmatización hacia operadores de justicia también provienen de autoridades ajenas al Gobierno, como la Fiscalía. Por ejemplo, en agosto de 2024, la Fiscalía allanó las oficinas y domicilios de dos juezas de la Corte Nacional, por haber concedido un hábeas corpus a favor del expresidente del Consejo de la Judicatura, procesado en el “Caso </w:t>
      </w:r>
      <w:r>
        <w:rPr>
          <w:rFonts w:ascii="EB Garamond" w:eastAsia="EB Garamond" w:hAnsi="EB Garamond" w:cs="EB Garamond"/>
          <w:sz w:val="24"/>
          <w:szCs w:val="24"/>
        </w:rPr>
        <w:lastRenderedPageBreak/>
        <w:t>Metástasis”</w:t>
      </w:r>
      <w:r>
        <w:rPr>
          <w:rStyle w:val="FootnoteReference"/>
          <w:rFonts w:ascii="EB Garamond" w:eastAsia="EB Garamond" w:hAnsi="EB Garamond" w:cs="EB Garamond"/>
          <w:sz w:val="24"/>
          <w:szCs w:val="24"/>
        </w:rPr>
        <w:footnoteReference w:id="49"/>
      </w:r>
      <w:r>
        <w:rPr>
          <w:rFonts w:ascii="EB Garamond" w:eastAsia="EB Garamond" w:hAnsi="EB Garamond" w:cs="EB Garamond"/>
          <w:sz w:val="24"/>
          <w:szCs w:val="24"/>
        </w:rPr>
        <w:t xml:space="preserve">. Sin embargo, hasta la fecha el Ministerio Público no ha detallado cuáles fueron los motivos específicos del allanamiento y las razones por las que se presume la existencia de un delito; por lo que, </w:t>
      </w:r>
      <w:r>
        <w:rPr>
          <w:rFonts w:ascii="EB Garamond" w:eastAsia="EB Garamond" w:hAnsi="EB Garamond" w:cs="EB Garamond"/>
          <w:i/>
          <w:iCs/>
          <w:sz w:val="24"/>
          <w:szCs w:val="24"/>
        </w:rPr>
        <w:t xml:space="preserve">prima facie, </w:t>
      </w:r>
      <w:r>
        <w:rPr>
          <w:rFonts w:ascii="EB Garamond" w:eastAsia="EB Garamond" w:hAnsi="EB Garamond" w:cs="EB Garamond"/>
          <w:sz w:val="24"/>
          <w:szCs w:val="24"/>
        </w:rPr>
        <w:t>parecería tratarse de una situación de criminalización a operadores de justicia por el contenido de sus decisiones.</w:t>
      </w:r>
    </w:p>
    <w:p w14:paraId="09F07BF3" w14:textId="77777777" w:rsidR="004539A4" w:rsidRDefault="004539A4">
      <w:pPr>
        <w:jc w:val="both"/>
        <w:rPr>
          <w:rFonts w:ascii="EB Garamond" w:eastAsia="EB Garamond" w:hAnsi="EB Garamond" w:cs="EB Garamond"/>
          <w:sz w:val="24"/>
          <w:szCs w:val="24"/>
        </w:rPr>
      </w:pPr>
    </w:p>
    <w:p w14:paraId="69CFCDCD"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La idea de los “jueces que liberan delincuentes”, pretende responsabilizar a los operadores de justicia por la escalada de violencia y criminalidad que azota al país; cuando, en realidad, es una problemática compleja que debe resolverse con políticas públicas que atiendan las causas y factores que la favorecen. Los operadores de justicia, evidentemente, no son los encargados de generar políticas públicas para atacar los orígenes de la criminalidad. </w:t>
      </w:r>
    </w:p>
    <w:p w14:paraId="641717F9" w14:textId="77777777" w:rsidR="004539A4" w:rsidRDefault="004539A4">
      <w:pPr>
        <w:jc w:val="both"/>
        <w:rPr>
          <w:rFonts w:ascii="EB Garamond" w:eastAsia="EB Garamond" w:hAnsi="EB Garamond" w:cs="EB Garamond"/>
          <w:sz w:val="24"/>
          <w:szCs w:val="24"/>
        </w:rPr>
      </w:pPr>
    </w:p>
    <w:p w14:paraId="64FF97E0"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Sobre este tema, la Relatora Especial sobre la Independencia de Jueces y Magistrados ya ha advertido que la estigmatización de los operadores de justicia por parte del </w:t>
      </w:r>
      <w:proofErr w:type="gramStart"/>
      <w:r>
        <w:rPr>
          <w:rFonts w:ascii="EB Garamond" w:eastAsia="EB Garamond" w:hAnsi="EB Garamond" w:cs="EB Garamond"/>
          <w:sz w:val="24"/>
          <w:szCs w:val="24"/>
        </w:rPr>
        <w:t>Ejecutivo,</w:t>
      </w:r>
      <w:proofErr w:type="gramEnd"/>
      <w:r>
        <w:rPr>
          <w:rFonts w:ascii="EB Garamond" w:eastAsia="EB Garamond" w:hAnsi="EB Garamond" w:cs="EB Garamond"/>
          <w:sz w:val="24"/>
          <w:szCs w:val="24"/>
        </w:rPr>
        <w:t xml:space="preserve"> es particularmente grave porque los altos funcionarios ejercen una influencia significativa sobre la percepción pública del poder judicial</w:t>
      </w:r>
      <w:r>
        <w:rPr>
          <w:rFonts w:ascii="EB Garamond" w:eastAsia="EB Garamond" w:hAnsi="EB Garamond" w:cs="EB Garamond"/>
          <w:sz w:val="24"/>
          <w:szCs w:val="24"/>
          <w:vertAlign w:val="superscript"/>
        </w:rPr>
        <w:footnoteReference w:id="50"/>
      </w:r>
      <w:r>
        <w:rPr>
          <w:rFonts w:ascii="EB Garamond" w:eastAsia="EB Garamond" w:hAnsi="EB Garamond" w:cs="EB Garamond"/>
          <w:sz w:val="24"/>
          <w:szCs w:val="24"/>
        </w:rPr>
        <w:t xml:space="preserve">. Asimismo, esta práctica contraviene el principio fundamental de la independencia judicial de que los jueces no deben ser objeto de amenazas ni correr el riesgo de sufrir daños debido a su trabajo o al contenido de sus sentencias. En el mismo sentido se pronunció la Corte Interamericana de Derechos Humanos en el caso </w:t>
      </w:r>
      <w:proofErr w:type="spellStart"/>
      <w:r>
        <w:rPr>
          <w:rFonts w:ascii="EB Garamond" w:eastAsia="EB Garamond" w:hAnsi="EB Garamond" w:cs="EB Garamond"/>
          <w:sz w:val="24"/>
          <w:szCs w:val="24"/>
        </w:rPr>
        <w:t>Apitz</w:t>
      </w:r>
      <w:proofErr w:type="spellEnd"/>
      <w:r>
        <w:rPr>
          <w:rFonts w:ascii="EB Garamond" w:eastAsia="EB Garamond" w:hAnsi="EB Garamond" w:cs="EB Garamond"/>
          <w:sz w:val="24"/>
          <w:szCs w:val="24"/>
        </w:rPr>
        <w:t xml:space="preserve"> Barbera Vs. Venezuela, al señalar que “los funcionarios públicos, en especial las más altas autoridades de </w:t>
      </w:r>
      <w:proofErr w:type="gramStart"/>
      <w:r>
        <w:rPr>
          <w:rFonts w:ascii="EB Garamond" w:eastAsia="EB Garamond" w:hAnsi="EB Garamond" w:cs="EB Garamond"/>
          <w:sz w:val="24"/>
          <w:szCs w:val="24"/>
        </w:rPr>
        <w:t>Gobierno,</w:t>
      </w:r>
      <w:proofErr w:type="gramEnd"/>
      <w:r>
        <w:rPr>
          <w:rFonts w:ascii="EB Garamond" w:eastAsia="EB Garamond" w:hAnsi="EB Garamond" w:cs="EB Garamond"/>
          <w:sz w:val="24"/>
          <w:szCs w:val="24"/>
        </w:rPr>
        <w:t xml:space="preserve"> deben ser particularmente cuidadosos en orden a que sus declaraciones</w:t>
      </w:r>
      <w:r>
        <w:rPr>
          <w:rFonts w:ascii="EB Garamond" w:eastAsia="EB Garamond" w:hAnsi="EB Garamond" w:cs="EB Garamond"/>
          <w:sz w:val="24"/>
          <w:szCs w:val="24"/>
        </w:rPr>
        <w:t xml:space="preserve"> públicas no constituyan una forma de injerencia o presión lesiva de la independencia judicial”</w:t>
      </w:r>
      <w:r>
        <w:rPr>
          <w:rFonts w:ascii="EB Garamond" w:eastAsia="EB Garamond" w:hAnsi="EB Garamond" w:cs="EB Garamond"/>
          <w:sz w:val="24"/>
          <w:szCs w:val="24"/>
          <w:vertAlign w:val="superscript"/>
        </w:rPr>
        <w:footnoteReference w:id="51"/>
      </w:r>
      <w:r>
        <w:rPr>
          <w:rFonts w:ascii="EB Garamond" w:eastAsia="EB Garamond" w:hAnsi="EB Garamond" w:cs="EB Garamond"/>
          <w:sz w:val="24"/>
          <w:szCs w:val="24"/>
        </w:rPr>
        <w:t xml:space="preserve">. </w:t>
      </w:r>
    </w:p>
    <w:p w14:paraId="0EDFE860" w14:textId="77777777" w:rsidR="004539A4" w:rsidRDefault="004539A4">
      <w:pPr>
        <w:jc w:val="both"/>
        <w:rPr>
          <w:rFonts w:ascii="EB Garamond" w:eastAsia="EB Garamond" w:hAnsi="EB Garamond" w:cs="EB Garamond"/>
          <w:sz w:val="24"/>
          <w:szCs w:val="24"/>
        </w:rPr>
      </w:pPr>
    </w:p>
    <w:p w14:paraId="3EE25942" w14:textId="77777777" w:rsidR="004539A4" w:rsidRDefault="00B176C1">
      <w:pPr>
        <w:numPr>
          <w:ilvl w:val="0"/>
          <w:numId w:val="1"/>
        </w:numPr>
        <w:jc w:val="both"/>
        <w:rPr>
          <w:rFonts w:ascii="EB Garamond" w:eastAsia="EB Garamond" w:hAnsi="EB Garamond" w:cs="EB Garamond"/>
          <w:b/>
          <w:sz w:val="24"/>
          <w:szCs w:val="24"/>
        </w:rPr>
      </w:pPr>
      <w:r>
        <w:rPr>
          <w:rFonts w:ascii="EB Garamond" w:eastAsia="EB Garamond" w:hAnsi="EB Garamond" w:cs="EB Garamond"/>
          <w:b/>
          <w:sz w:val="24"/>
          <w:szCs w:val="24"/>
        </w:rPr>
        <w:t xml:space="preserve">Procesos de selección de altas autoridades del sistema de justicia </w:t>
      </w:r>
    </w:p>
    <w:p w14:paraId="0C86FD2A" w14:textId="77777777" w:rsidR="004539A4" w:rsidRDefault="004539A4">
      <w:pPr>
        <w:ind w:left="720"/>
        <w:jc w:val="both"/>
        <w:rPr>
          <w:rFonts w:ascii="EB Garamond" w:eastAsia="EB Garamond" w:hAnsi="EB Garamond" w:cs="EB Garamond"/>
          <w:b/>
          <w:sz w:val="24"/>
          <w:szCs w:val="24"/>
        </w:rPr>
      </w:pPr>
    </w:p>
    <w:p w14:paraId="31AAF2F9"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Finalmente, es indispensable poner en conocimiento del Comité que, entre 2024 y 2025, se renovarán las máximas autoridades del sistema judicial ecuatoriano: la Corte Nacional, la </w:t>
      </w:r>
      <w:proofErr w:type="gramStart"/>
      <w:r>
        <w:rPr>
          <w:rFonts w:ascii="EB Garamond" w:eastAsia="EB Garamond" w:hAnsi="EB Garamond" w:cs="EB Garamond"/>
          <w:sz w:val="24"/>
          <w:szCs w:val="24"/>
        </w:rPr>
        <w:t>Fiscalía General</w:t>
      </w:r>
      <w:proofErr w:type="gramEnd"/>
      <w:r>
        <w:rPr>
          <w:rFonts w:ascii="EB Garamond" w:eastAsia="EB Garamond" w:hAnsi="EB Garamond" w:cs="EB Garamond"/>
          <w:sz w:val="24"/>
          <w:szCs w:val="24"/>
        </w:rPr>
        <w:t xml:space="preserve"> del Estado, la Corte Constitucional y el Consejo de la Judicatura. Estos procesos de selección de autoridades son especialmente relevantes en el contexto actual por el rol que cumplen estos órganos en la lucha contra el crimen organizado. Pues, como bien indicó el ex Relator</w:t>
      </w:r>
      <w:r w:rsidR="00706649">
        <w:rPr>
          <w:rFonts w:ascii="EB Garamond" w:eastAsia="EB Garamond" w:hAnsi="EB Garamond" w:cs="EB Garamond"/>
          <w:sz w:val="24"/>
          <w:szCs w:val="24"/>
        </w:rPr>
        <w:t xml:space="preserve"> García-Sayán</w:t>
      </w:r>
      <w:r>
        <w:rPr>
          <w:rFonts w:ascii="EB Garamond" w:eastAsia="EB Garamond" w:hAnsi="EB Garamond" w:cs="EB Garamond"/>
          <w:sz w:val="24"/>
          <w:szCs w:val="24"/>
        </w:rPr>
        <w:t>, “el sistema judicial es un eslabón necesario para permitir llevar a buen término las actividades realizadas por el crimen organizado”</w:t>
      </w:r>
      <w:r>
        <w:rPr>
          <w:rFonts w:ascii="EB Garamond" w:eastAsia="EB Garamond" w:hAnsi="EB Garamond" w:cs="EB Garamond"/>
          <w:sz w:val="24"/>
          <w:szCs w:val="24"/>
          <w:vertAlign w:val="superscript"/>
        </w:rPr>
        <w:footnoteReference w:id="52"/>
      </w:r>
      <w:r>
        <w:rPr>
          <w:rFonts w:ascii="EB Garamond" w:eastAsia="EB Garamond" w:hAnsi="EB Garamond" w:cs="EB Garamond"/>
          <w:sz w:val="24"/>
          <w:szCs w:val="24"/>
        </w:rPr>
        <w:t>; y, en algunos casos,</w:t>
      </w:r>
      <w:r w:rsidR="0014224D">
        <w:rPr>
          <w:rFonts w:ascii="EB Garamond" w:eastAsia="EB Garamond" w:hAnsi="EB Garamond" w:cs="EB Garamond"/>
          <w:sz w:val="24"/>
          <w:szCs w:val="24"/>
        </w:rPr>
        <w:t xml:space="preserve"> </w:t>
      </w:r>
      <w:r>
        <w:rPr>
          <w:rFonts w:ascii="EB Garamond" w:eastAsia="EB Garamond" w:hAnsi="EB Garamond" w:cs="EB Garamond"/>
          <w:sz w:val="24"/>
          <w:szCs w:val="24"/>
        </w:rPr>
        <w:t xml:space="preserve">“el crimen organizado no sólo copta </w:t>
      </w:r>
      <w:r>
        <w:rPr>
          <w:rFonts w:ascii="EB Garamond" w:eastAsia="EB Garamond" w:hAnsi="EB Garamond" w:cs="EB Garamond"/>
          <w:sz w:val="24"/>
          <w:szCs w:val="24"/>
        </w:rPr>
        <w:lastRenderedPageBreak/>
        <w:t>individualmente funcionarios del Estado, sino que captura instituciones y las ponen al servicio de sus intereses ilícitos”</w:t>
      </w:r>
      <w:r>
        <w:rPr>
          <w:rFonts w:ascii="EB Garamond" w:eastAsia="EB Garamond" w:hAnsi="EB Garamond" w:cs="EB Garamond"/>
          <w:sz w:val="24"/>
          <w:szCs w:val="24"/>
          <w:vertAlign w:val="superscript"/>
        </w:rPr>
        <w:footnoteReference w:id="53"/>
      </w:r>
      <w:r>
        <w:rPr>
          <w:rFonts w:ascii="EB Garamond" w:eastAsia="EB Garamond" w:hAnsi="EB Garamond" w:cs="EB Garamond"/>
          <w:sz w:val="24"/>
          <w:szCs w:val="24"/>
        </w:rPr>
        <w:t>.</w:t>
      </w:r>
    </w:p>
    <w:p w14:paraId="1239A0B1" w14:textId="77777777" w:rsidR="004539A4" w:rsidRDefault="004539A4">
      <w:pPr>
        <w:jc w:val="both"/>
        <w:rPr>
          <w:rFonts w:ascii="EB Garamond" w:eastAsia="EB Garamond" w:hAnsi="EB Garamond" w:cs="EB Garamond"/>
          <w:sz w:val="24"/>
          <w:szCs w:val="24"/>
        </w:rPr>
      </w:pPr>
    </w:p>
    <w:p w14:paraId="47D65488"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Para la fecha de presentación de este reporte, ya han iniciado los procesos de selección para la Corte Nacional, la Fiscalía y la Corte Constitucional. En el caso de la Corte Nacional, se está desarrollando el segundo concurso de méritos y oposición, luego de que el primero fuera declarado nulo por el Consejo de la Judicatura; debido a las faltas de transparencia y graves irregularidades registradas en el proceso inicial</w:t>
      </w:r>
      <w:r>
        <w:rPr>
          <w:rFonts w:ascii="EB Garamond" w:eastAsia="EB Garamond" w:hAnsi="EB Garamond" w:cs="EB Garamond"/>
          <w:sz w:val="24"/>
          <w:szCs w:val="24"/>
          <w:vertAlign w:val="superscript"/>
        </w:rPr>
        <w:footnoteReference w:id="54"/>
      </w:r>
      <w:r>
        <w:rPr>
          <w:rFonts w:ascii="EB Garamond" w:eastAsia="EB Garamond" w:hAnsi="EB Garamond" w:cs="EB Garamond"/>
          <w:sz w:val="24"/>
          <w:szCs w:val="24"/>
        </w:rPr>
        <w:t xml:space="preserve">. De hecho, la </w:t>
      </w:r>
      <w:proofErr w:type="gramStart"/>
      <w:r>
        <w:rPr>
          <w:rFonts w:ascii="EB Garamond" w:eastAsia="EB Garamond" w:hAnsi="EB Garamond" w:cs="EB Garamond"/>
          <w:sz w:val="24"/>
          <w:szCs w:val="24"/>
        </w:rPr>
        <w:t>Fiscalía General</w:t>
      </w:r>
      <w:proofErr w:type="gramEnd"/>
      <w:r>
        <w:rPr>
          <w:rFonts w:ascii="EB Garamond" w:eastAsia="EB Garamond" w:hAnsi="EB Garamond" w:cs="EB Garamond"/>
          <w:sz w:val="24"/>
          <w:szCs w:val="24"/>
        </w:rPr>
        <w:t xml:space="preserve"> del Estado ha iniciado un proceso penal contra ex altos funcionarios del Consejo de la Judicatura, por presunto tráfico de influencias para beneficiar indebidamente a los postulantes del primer concurso</w:t>
      </w:r>
      <w:r>
        <w:rPr>
          <w:rFonts w:ascii="EB Garamond" w:eastAsia="EB Garamond" w:hAnsi="EB Garamond" w:cs="EB Garamond"/>
          <w:sz w:val="24"/>
          <w:szCs w:val="24"/>
          <w:vertAlign w:val="superscript"/>
        </w:rPr>
        <w:footnoteReference w:id="55"/>
      </w:r>
      <w:r>
        <w:rPr>
          <w:rFonts w:ascii="EB Garamond" w:eastAsia="EB Garamond" w:hAnsi="EB Garamond" w:cs="EB Garamond"/>
          <w:sz w:val="24"/>
          <w:szCs w:val="24"/>
        </w:rPr>
        <w:t xml:space="preserve">. A su vez, el segundo concurso se encuentra en suspenso, luego de que </w:t>
      </w:r>
      <w:r>
        <w:rPr>
          <w:rFonts w:ascii="EB Garamond" w:eastAsia="EB Garamond" w:hAnsi="EB Garamond" w:cs="EB Garamond"/>
          <w:sz w:val="24"/>
          <w:szCs w:val="24"/>
        </w:rPr>
        <w:t>la Judicatura declarara la nulidad parcial del proceso por irregularidades suscitadas en la etapa de “exámenes de confianza”</w:t>
      </w:r>
      <w:r>
        <w:rPr>
          <w:rFonts w:ascii="EB Garamond" w:eastAsia="EB Garamond" w:hAnsi="EB Garamond" w:cs="EB Garamond"/>
          <w:sz w:val="24"/>
          <w:szCs w:val="24"/>
          <w:vertAlign w:val="superscript"/>
        </w:rPr>
        <w:footnoteReference w:id="56"/>
      </w:r>
      <w:r>
        <w:rPr>
          <w:rFonts w:ascii="EB Garamond" w:eastAsia="EB Garamond" w:hAnsi="EB Garamond" w:cs="EB Garamond"/>
          <w:sz w:val="24"/>
          <w:szCs w:val="24"/>
        </w:rPr>
        <w:t>.</w:t>
      </w:r>
    </w:p>
    <w:p w14:paraId="78D7C754" w14:textId="77777777" w:rsidR="004539A4" w:rsidRDefault="004539A4">
      <w:pPr>
        <w:jc w:val="both"/>
        <w:rPr>
          <w:rFonts w:ascii="EB Garamond" w:eastAsia="EB Garamond" w:hAnsi="EB Garamond" w:cs="EB Garamond"/>
          <w:sz w:val="24"/>
          <w:szCs w:val="24"/>
        </w:rPr>
      </w:pPr>
    </w:p>
    <w:p w14:paraId="0906EACA"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Por otra parte, en el caso de la Corte Constitucional, ya se ha conformado la Comisión Calificadora que será la encargada de llevar a cabo la renovación parcial; integrada por seis delegados del Ejecutivo, Legislativo y la Función de Transparencia y Control Social</w:t>
      </w:r>
      <w:r>
        <w:rPr>
          <w:rFonts w:ascii="EB Garamond" w:eastAsia="EB Garamond" w:hAnsi="EB Garamond" w:cs="EB Garamond"/>
          <w:sz w:val="24"/>
          <w:szCs w:val="24"/>
          <w:vertAlign w:val="superscript"/>
        </w:rPr>
        <w:footnoteReference w:id="57"/>
      </w:r>
      <w:r>
        <w:rPr>
          <w:rFonts w:ascii="EB Garamond" w:eastAsia="EB Garamond" w:hAnsi="EB Garamond" w:cs="EB Garamond"/>
          <w:sz w:val="24"/>
          <w:szCs w:val="24"/>
        </w:rPr>
        <w:t>. Sin embargo, la actual conformación de la Comisión ha levantado varios cuestionamientos desde la sociedad civil y otros sectores; pues, ninguno de los integrantes cuenta con trayectoria y experticia reconocidas en Derecho Constitucional, que se requerirían para calificar y seleccionar a la más alta corte del país</w:t>
      </w:r>
      <w:r>
        <w:rPr>
          <w:rFonts w:ascii="EB Garamond" w:eastAsia="EB Garamond" w:hAnsi="EB Garamond" w:cs="EB Garamond"/>
          <w:sz w:val="24"/>
          <w:szCs w:val="24"/>
          <w:vertAlign w:val="superscript"/>
        </w:rPr>
        <w:footnoteReference w:id="58"/>
      </w:r>
      <w:r>
        <w:rPr>
          <w:rFonts w:ascii="EB Garamond" w:eastAsia="EB Garamond" w:hAnsi="EB Garamond" w:cs="EB Garamond"/>
          <w:sz w:val="24"/>
          <w:szCs w:val="24"/>
        </w:rPr>
        <w:t>.</w:t>
      </w:r>
    </w:p>
    <w:p w14:paraId="1D614CBB" w14:textId="77777777" w:rsidR="004539A4" w:rsidRDefault="004539A4">
      <w:pPr>
        <w:jc w:val="both"/>
        <w:rPr>
          <w:rFonts w:ascii="EB Garamond" w:eastAsia="EB Garamond" w:hAnsi="EB Garamond" w:cs="EB Garamond"/>
          <w:sz w:val="24"/>
          <w:szCs w:val="24"/>
        </w:rPr>
      </w:pPr>
    </w:p>
    <w:p w14:paraId="38C96991"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 xml:space="preserve">Finalmente, para el concurso de Fiscal General, el Consejo de Participación Ciudadana y Control Social ha aprobado un reglamento cuyo diseño entorpece, e incluso impide, la postulación de personas que podrían contar con las credenciales para ejercer el cargo -por ejemplo, al excluir a abogados que hubieran patrocinado causas relativas a ciertos delitos-; y, a la vez, facilita que personas </w:t>
      </w:r>
      <w:r>
        <w:rPr>
          <w:rFonts w:ascii="EB Garamond" w:eastAsia="EB Garamond" w:hAnsi="EB Garamond" w:cs="EB Garamond"/>
          <w:sz w:val="24"/>
          <w:szCs w:val="24"/>
        </w:rPr>
        <w:lastRenderedPageBreak/>
        <w:t>con antecedentes cuestionables puedan participar -se permite la postulación de abogados procesados en casos de crimen organizado, mientras no tengan sentencia condenatoria-</w:t>
      </w:r>
      <w:r>
        <w:rPr>
          <w:rFonts w:ascii="EB Garamond" w:eastAsia="EB Garamond" w:hAnsi="EB Garamond" w:cs="EB Garamond"/>
          <w:sz w:val="24"/>
          <w:szCs w:val="24"/>
          <w:vertAlign w:val="superscript"/>
        </w:rPr>
        <w:footnoteReference w:id="59"/>
      </w:r>
      <w:r>
        <w:rPr>
          <w:rFonts w:ascii="EB Garamond" w:eastAsia="EB Garamond" w:hAnsi="EB Garamond" w:cs="EB Garamond"/>
          <w:sz w:val="24"/>
          <w:szCs w:val="24"/>
        </w:rPr>
        <w:t xml:space="preserve">. </w:t>
      </w:r>
    </w:p>
    <w:p w14:paraId="364B65E8" w14:textId="77777777" w:rsidR="004539A4" w:rsidRDefault="004539A4">
      <w:pPr>
        <w:jc w:val="both"/>
        <w:rPr>
          <w:rFonts w:ascii="EB Garamond" w:eastAsia="EB Garamond" w:hAnsi="EB Garamond" w:cs="EB Garamond"/>
          <w:sz w:val="24"/>
          <w:szCs w:val="24"/>
        </w:rPr>
      </w:pPr>
    </w:p>
    <w:p w14:paraId="05913533" w14:textId="77777777" w:rsidR="004539A4" w:rsidRDefault="00B176C1">
      <w:pPr>
        <w:jc w:val="both"/>
        <w:rPr>
          <w:rFonts w:ascii="EB Garamond" w:eastAsia="EB Garamond" w:hAnsi="EB Garamond" w:cs="EB Garamond"/>
          <w:sz w:val="24"/>
          <w:szCs w:val="24"/>
        </w:rPr>
      </w:pPr>
      <w:r>
        <w:rPr>
          <w:rFonts w:ascii="EB Garamond" w:eastAsia="EB Garamond" w:hAnsi="EB Garamond" w:cs="EB Garamond"/>
          <w:sz w:val="24"/>
          <w:szCs w:val="24"/>
        </w:rPr>
        <w:t>En definitiva, ninguno de los procesos en curso ofrece las condiciones de objetividad y transparencia necesarias para elegir a personas más probas y mejor calificadas; y, a la par, limitar las posibilidades de cooptación de las más altas instituciones de la justicia ecuatoriana.</w:t>
      </w:r>
    </w:p>
    <w:p w14:paraId="2EB296AF" w14:textId="77777777" w:rsidR="005E5F0B" w:rsidRDefault="005E5F0B">
      <w:pPr>
        <w:jc w:val="both"/>
        <w:rPr>
          <w:rFonts w:ascii="EB Garamond" w:eastAsia="EB Garamond" w:hAnsi="EB Garamond" w:cs="EB Garamond"/>
          <w:sz w:val="24"/>
          <w:szCs w:val="24"/>
        </w:rPr>
      </w:pPr>
    </w:p>
    <w:p w14:paraId="144B710C" w14:textId="77777777" w:rsidR="005E5F0B" w:rsidRDefault="005E5F0B">
      <w:pPr>
        <w:rPr>
          <w:rFonts w:ascii="EB Garamond" w:eastAsia="EB Garamond" w:hAnsi="EB Garamond" w:cs="EB Garamond"/>
          <w:sz w:val="24"/>
          <w:szCs w:val="24"/>
        </w:rPr>
      </w:pPr>
      <w:r>
        <w:rPr>
          <w:rFonts w:ascii="EB Garamond" w:eastAsia="EB Garamond" w:hAnsi="EB Garamond" w:cs="EB Garamond"/>
          <w:sz w:val="24"/>
          <w:szCs w:val="24"/>
        </w:rPr>
        <w:br w:type="page"/>
      </w:r>
    </w:p>
    <w:p w14:paraId="2D3C990D" w14:textId="77777777" w:rsidR="005E5F0B" w:rsidRDefault="005E5F0B" w:rsidP="005E5F0B">
      <w:pPr>
        <w:pStyle w:val="ListParagraph"/>
        <w:numPr>
          <w:ilvl w:val="0"/>
          <w:numId w:val="2"/>
        </w:numPr>
        <w:jc w:val="both"/>
        <w:rPr>
          <w:rFonts w:ascii="EB Garamond" w:eastAsia="EB Garamond" w:hAnsi="EB Garamond" w:cs="EB Garamond"/>
          <w:b/>
          <w:bCs/>
          <w:sz w:val="24"/>
          <w:szCs w:val="24"/>
        </w:rPr>
      </w:pPr>
      <w:r>
        <w:rPr>
          <w:rFonts w:ascii="EB Garamond" w:eastAsia="EB Garamond" w:hAnsi="EB Garamond" w:cs="EB Garamond"/>
          <w:b/>
          <w:bCs/>
          <w:sz w:val="24"/>
          <w:szCs w:val="24"/>
        </w:rPr>
        <w:lastRenderedPageBreak/>
        <w:t xml:space="preserve">CONCLUSIONES </w:t>
      </w:r>
    </w:p>
    <w:p w14:paraId="08C84A56" w14:textId="77777777" w:rsidR="005E5F0B" w:rsidRDefault="005E5F0B" w:rsidP="005E5F0B">
      <w:pPr>
        <w:jc w:val="both"/>
        <w:rPr>
          <w:rFonts w:ascii="EB Garamond" w:eastAsia="EB Garamond" w:hAnsi="EB Garamond" w:cs="EB Garamond"/>
          <w:sz w:val="24"/>
          <w:szCs w:val="24"/>
        </w:rPr>
      </w:pPr>
    </w:p>
    <w:p w14:paraId="06D88B14" w14:textId="77777777" w:rsidR="005E5F0B" w:rsidRDefault="005E5F0B" w:rsidP="005E5F0B">
      <w:pPr>
        <w:jc w:val="both"/>
        <w:rPr>
          <w:rFonts w:ascii="EB Garamond" w:eastAsia="EB Garamond" w:hAnsi="EB Garamond" w:cs="EB Garamond"/>
          <w:sz w:val="24"/>
          <w:szCs w:val="24"/>
        </w:rPr>
      </w:pPr>
      <w:r>
        <w:rPr>
          <w:rFonts w:ascii="EB Garamond" w:eastAsia="EB Garamond" w:hAnsi="EB Garamond" w:cs="EB Garamond"/>
          <w:sz w:val="24"/>
          <w:szCs w:val="24"/>
        </w:rPr>
        <w:t>A partir de lo expuesto anteriormente, ponemos a consideración del Comité las siguientes conclusiones:</w:t>
      </w:r>
    </w:p>
    <w:p w14:paraId="3C5C3CD5" w14:textId="77777777" w:rsidR="0014224D" w:rsidRDefault="005E5F0B" w:rsidP="0014224D">
      <w:pPr>
        <w:pStyle w:val="ListParagraph"/>
        <w:numPr>
          <w:ilvl w:val="2"/>
          <w:numId w:val="2"/>
        </w:numPr>
        <w:tabs>
          <w:tab w:val="left" w:pos="709"/>
        </w:tabs>
        <w:ind w:left="709"/>
        <w:jc w:val="both"/>
        <w:rPr>
          <w:rFonts w:ascii="EB Garamond" w:eastAsia="EB Garamond" w:hAnsi="EB Garamond" w:cs="EB Garamond"/>
          <w:sz w:val="24"/>
          <w:szCs w:val="24"/>
        </w:rPr>
      </w:pPr>
      <w:r w:rsidRPr="0014224D">
        <w:rPr>
          <w:rFonts w:ascii="EB Garamond" w:eastAsia="EB Garamond" w:hAnsi="EB Garamond" w:cs="EB Garamond"/>
          <w:sz w:val="24"/>
          <w:szCs w:val="24"/>
        </w:rPr>
        <w:t>El crimen organizado representa una grave amenaza para la independencia judicial y la vigencia del Esta</w:t>
      </w:r>
      <w:r w:rsidR="0014224D" w:rsidRPr="0014224D">
        <w:rPr>
          <w:rFonts w:ascii="EB Garamond" w:eastAsia="EB Garamond" w:hAnsi="EB Garamond" w:cs="EB Garamond"/>
          <w:sz w:val="24"/>
          <w:szCs w:val="24"/>
        </w:rPr>
        <w:t>d</w:t>
      </w:r>
      <w:r w:rsidRPr="0014224D">
        <w:rPr>
          <w:rFonts w:ascii="EB Garamond" w:eastAsia="EB Garamond" w:hAnsi="EB Garamond" w:cs="EB Garamond"/>
          <w:sz w:val="24"/>
          <w:szCs w:val="24"/>
        </w:rPr>
        <w:t>o de Derecho en Ecuador. El sistema de justicia ecuatoriano no está preparado para enfrentar este desafío; y carece de recursos suficientes y políticas concretas para llevar a cabo la tarea de juzgar y sancionar a los miembros del crimen organizado y erradicar la impunidad.</w:t>
      </w:r>
    </w:p>
    <w:p w14:paraId="3996848E" w14:textId="77777777" w:rsidR="0014224D" w:rsidRDefault="0014224D" w:rsidP="0014224D">
      <w:pPr>
        <w:pStyle w:val="ListParagraph"/>
        <w:tabs>
          <w:tab w:val="left" w:pos="709"/>
        </w:tabs>
        <w:ind w:left="709"/>
        <w:jc w:val="both"/>
        <w:rPr>
          <w:rFonts w:ascii="EB Garamond" w:eastAsia="EB Garamond" w:hAnsi="EB Garamond" w:cs="EB Garamond"/>
          <w:sz w:val="24"/>
          <w:szCs w:val="24"/>
        </w:rPr>
      </w:pPr>
    </w:p>
    <w:p w14:paraId="5E6818DF" w14:textId="77777777" w:rsidR="0014224D" w:rsidRDefault="005E5F0B" w:rsidP="0014224D">
      <w:pPr>
        <w:pStyle w:val="ListParagraph"/>
        <w:numPr>
          <w:ilvl w:val="2"/>
          <w:numId w:val="2"/>
        </w:numPr>
        <w:tabs>
          <w:tab w:val="left" w:pos="709"/>
        </w:tabs>
        <w:ind w:left="709"/>
        <w:jc w:val="both"/>
        <w:rPr>
          <w:rFonts w:ascii="EB Garamond" w:eastAsia="EB Garamond" w:hAnsi="EB Garamond" w:cs="EB Garamond"/>
          <w:sz w:val="24"/>
          <w:szCs w:val="24"/>
        </w:rPr>
      </w:pPr>
      <w:r w:rsidRPr="0014224D">
        <w:rPr>
          <w:rFonts w:ascii="EB Garamond" w:eastAsia="EB Garamond" w:hAnsi="EB Garamond" w:cs="EB Garamond"/>
          <w:sz w:val="24"/>
          <w:szCs w:val="24"/>
        </w:rPr>
        <w:t xml:space="preserve">Los principales desafíos en este contexto son: i) las amenazas contra la seguridad, integridad y vida de los operadores de justicia; </w:t>
      </w:r>
      <w:proofErr w:type="spellStart"/>
      <w:r w:rsidRPr="0014224D">
        <w:rPr>
          <w:rFonts w:ascii="EB Garamond" w:eastAsia="EB Garamond" w:hAnsi="EB Garamond" w:cs="EB Garamond"/>
          <w:sz w:val="24"/>
          <w:szCs w:val="24"/>
        </w:rPr>
        <w:t>ii</w:t>
      </w:r>
      <w:proofErr w:type="spellEnd"/>
      <w:r w:rsidRPr="0014224D">
        <w:rPr>
          <w:rFonts w:ascii="EB Garamond" w:eastAsia="EB Garamond" w:hAnsi="EB Garamond" w:cs="EB Garamond"/>
          <w:sz w:val="24"/>
          <w:szCs w:val="24"/>
        </w:rPr>
        <w:t xml:space="preserve">) la infiltración del crimen organizado en todos los niveles de las instituciones del sector justicia; </w:t>
      </w:r>
      <w:proofErr w:type="spellStart"/>
      <w:r w:rsidRPr="0014224D">
        <w:rPr>
          <w:rFonts w:ascii="EB Garamond" w:eastAsia="EB Garamond" w:hAnsi="EB Garamond" w:cs="EB Garamond"/>
          <w:sz w:val="24"/>
          <w:szCs w:val="24"/>
        </w:rPr>
        <w:t>iii</w:t>
      </w:r>
      <w:proofErr w:type="spellEnd"/>
      <w:r w:rsidRPr="0014224D">
        <w:rPr>
          <w:rFonts w:ascii="EB Garamond" w:eastAsia="EB Garamond" w:hAnsi="EB Garamond" w:cs="EB Garamond"/>
          <w:sz w:val="24"/>
          <w:szCs w:val="24"/>
        </w:rPr>
        <w:t xml:space="preserve">) la estigmatización hacia operadores judiciales, por parte de las autoridades del Ejecutivo; y, </w:t>
      </w:r>
      <w:proofErr w:type="spellStart"/>
      <w:r w:rsidRPr="0014224D">
        <w:rPr>
          <w:rFonts w:ascii="EB Garamond" w:eastAsia="EB Garamond" w:hAnsi="EB Garamond" w:cs="EB Garamond"/>
          <w:sz w:val="24"/>
          <w:szCs w:val="24"/>
        </w:rPr>
        <w:t>iv</w:t>
      </w:r>
      <w:proofErr w:type="spellEnd"/>
      <w:r w:rsidRPr="0014224D">
        <w:rPr>
          <w:rFonts w:ascii="EB Garamond" w:eastAsia="EB Garamond" w:hAnsi="EB Garamond" w:cs="EB Garamond"/>
          <w:sz w:val="24"/>
          <w:szCs w:val="24"/>
        </w:rPr>
        <w:t xml:space="preserve">) los procesos de renovación de la Corte Nacional, Corte Constitucional y Fiscalía General del Estado, que no cuentan con las garantías necesarias para minimizar los riesgos de cooptación de las instituciones. </w:t>
      </w:r>
    </w:p>
    <w:p w14:paraId="5A8F0252" w14:textId="77777777" w:rsidR="0014224D" w:rsidRPr="0014224D" w:rsidRDefault="0014224D" w:rsidP="0014224D">
      <w:pPr>
        <w:pStyle w:val="ListParagraph"/>
        <w:rPr>
          <w:rFonts w:ascii="EB Garamond" w:eastAsia="EB Garamond" w:hAnsi="EB Garamond" w:cs="EB Garamond"/>
          <w:sz w:val="24"/>
          <w:szCs w:val="24"/>
        </w:rPr>
      </w:pPr>
    </w:p>
    <w:p w14:paraId="3B58DF6D" w14:textId="77777777" w:rsidR="005E5F0B" w:rsidRPr="0014224D" w:rsidRDefault="0075398E" w:rsidP="0014224D">
      <w:pPr>
        <w:pStyle w:val="ListParagraph"/>
        <w:numPr>
          <w:ilvl w:val="2"/>
          <w:numId w:val="2"/>
        </w:numPr>
        <w:tabs>
          <w:tab w:val="left" w:pos="709"/>
        </w:tabs>
        <w:ind w:left="709"/>
        <w:jc w:val="both"/>
        <w:rPr>
          <w:rFonts w:ascii="EB Garamond" w:eastAsia="EB Garamond" w:hAnsi="EB Garamond" w:cs="EB Garamond"/>
          <w:sz w:val="24"/>
          <w:szCs w:val="24"/>
        </w:rPr>
      </w:pPr>
      <w:r w:rsidRPr="0014224D">
        <w:rPr>
          <w:rFonts w:ascii="EB Garamond" w:eastAsia="EB Garamond" w:hAnsi="EB Garamond" w:cs="EB Garamond"/>
          <w:sz w:val="24"/>
          <w:szCs w:val="24"/>
        </w:rPr>
        <w:t>El Estado ecuatoriano debe adoptar medidas urgentes y efectivas para evitar un mayor deterioro del sistema judicial y fortalecer las capacidades en la lucha contra el crimen organizado y la impunidad desde la justicia. La transparencia, la rendición de cuentas, la participación ciudadana y la sujeción a los estándares del Derecho Internacional de los Derechos Humanos deben ser los principios rectores de cualquier reforma que se pretenda realizar en el sistema de justicia. En este contexto, el Comité tiene la oportunidad de exhortar al Estado ecuatoriano a cumplir con sus obligaciones internacionales en materia de independencia judicial</w:t>
      </w:r>
      <w:r w:rsidR="0014224D" w:rsidRPr="0014224D">
        <w:rPr>
          <w:rFonts w:ascii="EB Garamond" w:eastAsia="EB Garamond" w:hAnsi="EB Garamond" w:cs="EB Garamond"/>
          <w:sz w:val="24"/>
          <w:szCs w:val="24"/>
        </w:rPr>
        <w:t xml:space="preserve"> y, específicamente, del artículo 14.1 del Pacto Internacional de Derechos Civiles y Políticos</w:t>
      </w:r>
      <w:r w:rsidRPr="0014224D">
        <w:rPr>
          <w:rFonts w:ascii="EB Garamond" w:eastAsia="EB Garamond" w:hAnsi="EB Garamond" w:cs="EB Garamond"/>
          <w:sz w:val="24"/>
          <w:szCs w:val="24"/>
        </w:rPr>
        <w:t xml:space="preserve">. </w:t>
      </w:r>
    </w:p>
    <w:p w14:paraId="5B80380E" w14:textId="77777777" w:rsidR="0014224D" w:rsidRPr="0014224D" w:rsidRDefault="0014224D" w:rsidP="0014224D">
      <w:pPr>
        <w:pStyle w:val="ListParagraph"/>
        <w:rPr>
          <w:rFonts w:ascii="EB Garamond" w:eastAsia="EB Garamond" w:hAnsi="EB Garamond" w:cs="EB Garamond"/>
          <w:sz w:val="24"/>
          <w:szCs w:val="24"/>
        </w:rPr>
      </w:pPr>
    </w:p>
    <w:p w14:paraId="60F35AA9" w14:textId="77777777" w:rsidR="0014224D" w:rsidRDefault="0014224D" w:rsidP="0014224D">
      <w:pPr>
        <w:pStyle w:val="ListParagraph"/>
        <w:numPr>
          <w:ilvl w:val="0"/>
          <w:numId w:val="2"/>
        </w:numPr>
        <w:jc w:val="both"/>
        <w:rPr>
          <w:rFonts w:ascii="EB Garamond" w:eastAsia="EB Garamond" w:hAnsi="EB Garamond" w:cs="EB Garamond"/>
          <w:b/>
          <w:bCs/>
          <w:sz w:val="24"/>
          <w:szCs w:val="24"/>
        </w:rPr>
      </w:pPr>
      <w:r>
        <w:rPr>
          <w:rFonts w:ascii="EB Garamond" w:eastAsia="EB Garamond" w:hAnsi="EB Garamond" w:cs="EB Garamond"/>
          <w:b/>
          <w:bCs/>
          <w:sz w:val="24"/>
          <w:szCs w:val="24"/>
        </w:rPr>
        <w:t>PETITORIO</w:t>
      </w:r>
    </w:p>
    <w:p w14:paraId="72E9DC9C" w14:textId="77777777" w:rsidR="0014224D" w:rsidRDefault="0014224D" w:rsidP="0014224D">
      <w:pPr>
        <w:pStyle w:val="ListParagraph"/>
        <w:jc w:val="both"/>
        <w:rPr>
          <w:rFonts w:ascii="EB Garamond" w:eastAsia="EB Garamond" w:hAnsi="EB Garamond" w:cs="EB Garamond"/>
          <w:sz w:val="24"/>
          <w:szCs w:val="24"/>
        </w:rPr>
      </w:pPr>
    </w:p>
    <w:p w14:paraId="10C13700" w14:textId="77777777" w:rsidR="0014224D" w:rsidRDefault="0014224D" w:rsidP="0014224D">
      <w:pPr>
        <w:jc w:val="both"/>
        <w:rPr>
          <w:rFonts w:ascii="EB Garamond" w:eastAsia="EB Garamond" w:hAnsi="EB Garamond" w:cs="EB Garamond"/>
          <w:sz w:val="24"/>
          <w:szCs w:val="24"/>
        </w:rPr>
      </w:pPr>
      <w:r>
        <w:rPr>
          <w:rFonts w:ascii="EB Garamond" w:eastAsia="EB Garamond" w:hAnsi="EB Garamond" w:cs="EB Garamond"/>
          <w:sz w:val="24"/>
          <w:szCs w:val="24"/>
        </w:rPr>
        <w:t xml:space="preserve">A partir de las anteriores conclusiones, respetuosamente, nos permitimos solicitar al Comité que: </w:t>
      </w:r>
    </w:p>
    <w:p w14:paraId="5F67A4E2" w14:textId="77777777" w:rsidR="0014224D" w:rsidRDefault="0014224D" w:rsidP="0014224D">
      <w:pPr>
        <w:pStyle w:val="ListParagraph"/>
        <w:numPr>
          <w:ilvl w:val="2"/>
          <w:numId w:val="2"/>
        </w:numPr>
        <w:ind w:left="709"/>
        <w:jc w:val="both"/>
        <w:rPr>
          <w:rFonts w:ascii="EB Garamond" w:eastAsia="EB Garamond" w:hAnsi="EB Garamond" w:cs="EB Garamond"/>
          <w:sz w:val="24"/>
          <w:szCs w:val="24"/>
        </w:rPr>
      </w:pPr>
      <w:r>
        <w:rPr>
          <w:rFonts w:ascii="EB Garamond" w:eastAsia="EB Garamond" w:hAnsi="EB Garamond" w:cs="EB Garamond"/>
          <w:sz w:val="24"/>
          <w:szCs w:val="24"/>
        </w:rPr>
        <w:t>Acoja las observaciones presentadas en este reporte; y solicite al Estado ecuatoriano información sobre:</w:t>
      </w:r>
    </w:p>
    <w:p w14:paraId="262D608C" w14:textId="77777777" w:rsidR="0014224D" w:rsidRDefault="0014224D" w:rsidP="0014224D">
      <w:pPr>
        <w:pStyle w:val="ListParagraph"/>
        <w:numPr>
          <w:ilvl w:val="3"/>
          <w:numId w:val="2"/>
        </w:numPr>
        <w:ind w:left="1276"/>
        <w:jc w:val="both"/>
        <w:rPr>
          <w:rFonts w:ascii="EB Garamond" w:eastAsia="EB Garamond" w:hAnsi="EB Garamond" w:cs="EB Garamond"/>
          <w:sz w:val="24"/>
          <w:szCs w:val="24"/>
        </w:rPr>
      </w:pPr>
      <w:r>
        <w:rPr>
          <w:rFonts w:ascii="EB Garamond" w:eastAsia="EB Garamond" w:hAnsi="EB Garamond" w:cs="EB Garamond"/>
          <w:sz w:val="24"/>
          <w:szCs w:val="24"/>
        </w:rPr>
        <w:t>El número de atentados y amenazas registrados contra jueces, fiscales, funcionarios y edificaciones del sector justicia, entre 2020 y 2024;</w:t>
      </w:r>
    </w:p>
    <w:p w14:paraId="35DDAAA9" w14:textId="77777777" w:rsidR="0014224D" w:rsidRDefault="0014224D" w:rsidP="0014224D">
      <w:pPr>
        <w:pStyle w:val="ListParagraph"/>
        <w:numPr>
          <w:ilvl w:val="3"/>
          <w:numId w:val="2"/>
        </w:numPr>
        <w:ind w:left="1276"/>
        <w:jc w:val="both"/>
        <w:rPr>
          <w:rFonts w:ascii="EB Garamond" w:eastAsia="EB Garamond" w:hAnsi="EB Garamond" w:cs="EB Garamond"/>
          <w:sz w:val="24"/>
          <w:szCs w:val="24"/>
        </w:rPr>
      </w:pPr>
      <w:r>
        <w:rPr>
          <w:rFonts w:ascii="EB Garamond" w:eastAsia="EB Garamond" w:hAnsi="EB Garamond" w:cs="EB Garamond"/>
          <w:sz w:val="24"/>
          <w:szCs w:val="24"/>
        </w:rPr>
        <w:t>Las medidas adoptadas para garantizar la seguridad de los operadores de justicia que conocen y tramitan causas relacionadas al crimen organizado;</w:t>
      </w:r>
    </w:p>
    <w:p w14:paraId="13E8DA08" w14:textId="77777777" w:rsidR="0014224D" w:rsidRDefault="006326B0" w:rsidP="0014224D">
      <w:pPr>
        <w:pStyle w:val="ListParagraph"/>
        <w:numPr>
          <w:ilvl w:val="3"/>
          <w:numId w:val="2"/>
        </w:numPr>
        <w:ind w:left="1276"/>
        <w:jc w:val="both"/>
        <w:rPr>
          <w:rFonts w:ascii="EB Garamond" w:eastAsia="EB Garamond" w:hAnsi="EB Garamond" w:cs="EB Garamond"/>
          <w:sz w:val="24"/>
          <w:szCs w:val="24"/>
        </w:rPr>
      </w:pPr>
      <w:r>
        <w:rPr>
          <w:rFonts w:ascii="EB Garamond" w:eastAsia="EB Garamond" w:hAnsi="EB Garamond" w:cs="EB Garamond"/>
          <w:sz w:val="24"/>
          <w:szCs w:val="24"/>
        </w:rPr>
        <w:lastRenderedPageBreak/>
        <w:t>En general, las estrategias para mitigar los riesgos de cooptación o coerción del sistema de justicia, por parte de los grupos de delincuencia organizada; y, para promover la investigación, juzgamiento y sanción de las actividades del crimen organizado;</w:t>
      </w:r>
    </w:p>
    <w:p w14:paraId="67012711" w14:textId="77777777" w:rsidR="006326B0" w:rsidRDefault="006326B0" w:rsidP="006326B0">
      <w:pPr>
        <w:pStyle w:val="ListParagraph"/>
        <w:ind w:left="1276"/>
        <w:jc w:val="both"/>
        <w:rPr>
          <w:rFonts w:ascii="EB Garamond" w:eastAsia="EB Garamond" w:hAnsi="EB Garamond" w:cs="EB Garamond"/>
          <w:sz w:val="24"/>
          <w:szCs w:val="24"/>
        </w:rPr>
      </w:pPr>
    </w:p>
    <w:p w14:paraId="32449FED" w14:textId="77777777" w:rsidR="006326B0" w:rsidRDefault="006326B0" w:rsidP="006326B0">
      <w:pPr>
        <w:pStyle w:val="ListParagraph"/>
        <w:numPr>
          <w:ilvl w:val="2"/>
          <w:numId w:val="2"/>
        </w:numPr>
        <w:ind w:left="851"/>
        <w:jc w:val="both"/>
        <w:rPr>
          <w:rFonts w:ascii="EB Garamond" w:eastAsia="EB Garamond" w:hAnsi="EB Garamond" w:cs="EB Garamond"/>
          <w:sz w:val="24"/>
          <w:szCs w:val="24"/>
        </w:rPr>
      </w:pPr>
      <w:r>
        <w:rPr>
          <w:rFonts w:ascii="EB Garamond" w:eastAsia="EB Garamond" w:hAnsi="EB Garamond" w:cs="EB Garamond"/>
          <w:sz w:val="24"/>
          <w:szCs w:val="24"/>
        </w:rPr>
        <w:t>Recomiende al Estado ecuatoriano adoptar, de manera urgente, medidas integrales para fortalecer la independencia de las instituciones y los operadores de justicia; en el contexto de la lucha contra el crimen organizado y la inseguridad ciudadana; y,</w:t>
      </w:r>
    </w:p>
    <w:p w14:paraId="0DB81E64" w14:textId="77777777" w:rsidR="006326B0" w:rsidRDefault="006326B0" w:rsidP="006326B0">
      <w:pPr>
        <w:pStyle w:val="ListParagraph"/>
        <w:ind w:left="851"/>
        <w:jc w:val="both"/>
        <w:rPr>
          <w:rFonts w:ascii="EB Garamond" w:eastAsia="EB Garamond" w:hAnsi="EB Garamond" w:cs="EB Garamond"/>
          <w:sz w:val="24"/>
          <w:szCs w:val="24"/>
        </w:rPr>
      </w:pPr>
    </w:p>
    <w:p w14:paraId="6B72AD41" w14:textId="77777777" w:rsidR="006326B0" w:rsidRPr="006326B0" w:rsidRDefault="006326B0" w:rsidP="006326B0">
      <w:pPr>
        <w:pStyle w:val="ListParagraph"/>
        <w:numPr>
          <w:ilvl w:val="2"/>
          <w:numId w:val="2"/>
        </w:numPr>
        <w:ind w:left="851"/>
        <w:jc w:val="both"/>
        <w:rPr>
          <w:rFonts w:ascii="EB Garamond" w:eastAsia="EB Garamond" w:hAnsi="EB Garamond" w:cs="EB Garamond"/>
          <w:sz w:val="24"/>
          <w:szCs w:val="24"/>
        </w:rPr>
      </w:pPr>
      <w:r>
        <w:rPr>
          <w:rFonts w:ascii="EB Garamond" w:eastAsia="EB Garamond" w:hAnsi="EB Garamond" w:cs="EB Garamond"/>
          <w:sz w:val="24"/>
          <w:szCs w:val="24"/>
        </w:rPr>
        <w:t>Considere la posibilidad de desarrollar estándares específicos sobre independencia judicial y crimen organizado, a través de una Observación General.</w:t>
      </w:r>
    </w:p>
    <w:sectPr w:rsidR="006326B0" w:rsidRPr="006326B0">
      <w:head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AF484" w14:textId="77777777" w:rsidR="00041C54" w:rsidRDefault="00041C54">
      <w:pPr>
        <w:spacing w:line="240" w:lineRule="auto"/>
      </w:pPr>
      <w:r>
        <w:separator/>
      </w:r>
    </w:p>
  </w:endnote>
  <w:endnote w:type="continuationSeparator" w:id="0">
    <w:p w14:paraId="2B036E7B" w14:textId="77777777" w:rsidR="00041C54" w:rsidRDefault="00041C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B Garamond">
    <w:charset w:val="00"/>
    <w:family w:val="auto"/>
    <w:pitch w:val="variable"/>
    <w:sig w:usb0="E00002FF" w:usb1="02000413" w:usb2="00000000" w:usb3="00000000" w:csb0="0000019F" w:csb1="00000000"/>
    <w:embedRegular r:id="rId1" w:fontKey="{5F4A5EF6-BBFB-4EEE-85D8-BA2B23C955C9}"/>
    <w:embedBold r:id="rId2" w:fontKey="{36F5368A-37A7-4534-8CD2-E40439B51F5F}"/>
    <w:embedItalic r:id="rId3" w:fontKey="{23C5E28C-6096-4C77-B425-D5E1AE17258A}"/>
  </w:font>
  <w:font w:name="Avenir">
    <w:altName w:val="Calibri"/>
    <w:charset w:val="00"/>
    <w:family w:val="auto"/>
    <w:pitch w:val="default"/>
  </w:font>
  <w:font w:name="Calibri">
    <w:panose1 w:val="020F0502020204030204"/>
    <w:charset w:val="00"/>
    <w:family w:val="swiss"/>
    <w:pitch w:val="variable"/>
    <w:sig w:usb0="E4002EFF" w:usb1="C000247B" w:usb2="00000009" w:usb3="00000000" w:csb0="000001FF" w:csb1="00000000"/>
    <w:embedRegular r:id="rId4" w:fontKey="{591BF2C7-AF8B-4F6B-8651-2984BFB7B543}"/>
  </w:font>
  <w:font w:name="Cambria">
    <w:panose1 w:val="02040503050406030204"/>
    <w:charset w:val="00"/>
    <w:family w:val="roman"/>
    <w:pitch w:val="variable"/>
    <w:sig w:usb0="E00006FF" w:usb1="420024FF" w:usb2="02000000" w:usb3="00000000" w:csb0="0000019F" w:csb1="00000000"/>
    <w:embedRegular r:id="rId5" w:fontKey="{3E942630-3A68-4FAA-934B-C29B3FEC27E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40835" w14:textId="77777777" w:rsidR="00041C54" w:rsidRDefault="00041C54">
      <w:pPr>
        <w:spacing w:line="240" w:lineRule="auto"/>
      </w:pPr>
      <w:r>
        <w:separator/>
      </w:r>
    </w:p>
  </w:footnote>
  <w:footnote w:type="continuationSeparator" w:id="0">
    <w:p w14:paraId="061BBA24" w14:textId="77777777" w:rsidR="00041C54" w:rsidRDefault="00041C54">
      <w:pPr>
        <w:spacing w:line="240" w:lineRule="auto"/>
      </w:pPr>
      <w:r>
        <w:continuationSeparator/>
      </w:r>
    </w:p>
  </w:footnote>
  <w:footnote w:id="1">
    <w:p w14:paraId="70C0A53B"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CCPR. Séptimo informe periódico que el Ecuador debía presentar en 2022 en virtud del artículo 40 del Pacto con arreglo al procedimiento facultativo de presentación de informes. CCPR/C/ECU/QPR/7. 9 de enero de 2023, párr. 74-76.</w:t>
      </w:r>
    </w:p>
  </w:footnote>
  <w:footnote w:id="2">
    <w:p w14:paraId="298FC471"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Global Organized Crime Index. 2023. </w:t>
      </w:r>
      <w:hyperlink r:id="rId1">
        <w:r>
          <w:rPr>
            <w:rFonts w:ascii="EB Garamond" w:eastAsia="EB Garamond" w:hAnsi="EB Garamond" w:cs="EB Garamond"/>
            <w:color w:val="1155CC"/>
            <w:sz w:val="20"/>
            <w:szCs w:val="20"/>
            <w:u w:val="single"/>
          </w:rPr>
          <w:t>https://ocindex.net/country/ecuador</w:t>
        </w:r>
      </w:hyperlink>
      <w:r>
        <w:rPr>
          <w:rFonts w:ascii="EB Garamond" w:eastAsia="EB Garamond" w:hAnsi="EB Garamond" w:cs="EB Garamond"/>
          <w:sz w:val="20"/>
          <w:szCs w:val="20"/>
        </w:rPr>
        <w:t xml:space="preserve">. </w:t>
      </w:r>
    </w:p>
  </w:footnote>
  <w:footnote w:id="3">
    <w:p w14:paraId="0B6FEE35"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Consejo de la Judicatura. Rendición de Cuentas 2022: la Función Judicial atraviesa por una severa crisis por la falta de presupuesto. Mayo, 2023. </w:t>
      </w:r>
      <w:hyperlink r:id="rId2">
        <w:r>
          <w:rPr>
            <w:rFonts w:ascii="EB Garamond" w:eastAsia="EB Garamond" w:hAnsi="EB Garamond" w:cs="EB Garamond"/>
            <w:color w:val="1155CC"/>
            <w:sz w:val="20"/>
            <w:szCs w:val="20"/>
            <w:u w:val="single"/>
          </w:rPr>
          <w:t>https://www.funcionjudicial.gob.ec/rendicion-de-cuentas-2022-la-funcion-judicial-atraviesa-por-una-severa-crisis-por-la-falta-de-presupuesto/</w:t>
        </w:r>
      </w:hyperlink>
      <w:r>
        <w:rPr>
          <w:rFonts w:ascii="EB Garamond" w:eastAsia="EB Garamond" w:hAnsi="EB Garamond" w:cs="EB Garamond"/>
          <w:sz w:val="20"/>
          <w:szCs w:val="20"/>
        </w:rPr>
        <w:t xml:space="preserve"> </w:t>
      </w:r>
    </w:p>
  </w:footnote>
  <w:footnote w:id="4">
    <w:p w14:paraId="601221D9"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Observatorio de Derechos y Justicia. Crisis Judicial. Diciembre 2023. </w:t>
      </w:r>
      <w:hyperlink r:id="rId3">
        <w:r>
          <w:rPr>
            <w:rFonts w:ascii="EB Garamond" w:eastAsia="EB Garamond" w:hAnsi="EB Garamond" w:cs="EB Garamond"/>
            <w:color w:val="1155CC"/>
            <w:sz w:val="20"/>
            <w:szCs w:val="20"/>
            <w:u w:val="single"/>
          </w:rPr>
          <w:t>https://www.google.com/search?q=jueces+fiscales+asesinados+ecuador+2021&amp;oq=juec&amp;gs_lcrp=EgZjaHJvbWUqCAgAEEUYJxg7MggIABBFGCcYOzIGCAEQRRg7MggIAhBFGCcYOzIGCAMQRRg5MgoIBBAuGLEDGIAEMgYIBRBFGDwyBggGEEUYPTIGCAcQRRg80gEIMTAyOGowajeoAgCwAgA&amp;sourceid=chrome&amp;ie=UTF-8</w:t>
        </w:r>
      </w:hyperlink>
      <w:r>
        <w:rPr>
          <w:rFonts w:ascii="EB Garamond" w:eastAsia="EB Garamond" w:hAnsi="EB Garamond" w:cs="EB Garamond"/>
          <w:sz w:val="20"/>
          <w:szCs w:val="20"/>
        </w:rPr>
        <w:t xml:space="preserve"> </w:t>
      </w:r>
    </w:p>
  </w:footnote>
  <w:footnote w:id="5">
    <w:p w14:paraId="32A95D52"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Teleamazonas. Al menos 60 funcionarios judiciales han sido intimidados en Ecuador. Agosto 2022. </w:t>
      </w:r>
      <w:hyperlink r:id="rId4">
        <w:r>
          <w:rPr>
            <w:rFonts w:ascii="EB Garamond" w:eastAsia="EB Garamond" w:hAnsi="EB Garamond" w:cs="EB Garamond"/>
            <w:color w:val="1155CC"/>
            <w:sz w:val="20"/>
            <w:szCs w:val="20"/>
            <w:u w:val="single"/>
          </w:rPr>
          <w:t>https://www.teleamazonas.com/funcionarios-judiciales-intimidados-ecuador/#</w:t>
        </w:r>
      </w:hyperlink>
      <w:r>
        <w:rPr>
          <w:rFonts w:ascii="EB Garamond" w:eastAsia="EB Garamond" w:hAnsi="EB Garamond" w:cs="EB Garamond"/>
          <w:sz w:val="20"/>
          <w:szCs w:val="20"/>
        </w:rPr>
        <w:t xml:space="preserve"> </w:t>
      </w:r>
    </w:p>
  </w:footnote>
  <w:footnote w:id="6">
    <w:p w14:paraId="266DE450"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InSight Crime. Fiscales de Ecuador, nuevos blancos de asesinatos selectivos. Agosto, 2022. </w:t>
      </w:r>
      <w:hyperlink r:id="rId5">
        <w:r>
          <w:rPr>
            <w:rFonts w:ascii="EB Garamond" w:eastAsia="EB Garamond" w:hAnsi="EB Garamond" w:cs="EB Garamond"/>
            <w:color w:val="1155CC"/>
            <w:sz w:val="20"/>
            <w:szCs w:val="20"/>
            <w:u w:val="single"/>
          </w:rPr>
          <w:t>https://insightcrime.org/es/noticias/fiscales-ecuador-blancos-asesinatos-selectivos/</w:t>
        </w:r>
      </w:hyperlink>
      <w:r>
        <w:rPr>
          <w:rFonts w:ascii="EB Garamond" w:eastAsia="EB Garamond" w:hAnsi="EB Garamond" w:cs="EB Garamond"/>
          <w:sz w:val="20"/>
          <w:szCs w:val="20"/>
        </w:rPr>
        <w:t xml:space="preserve"> </w:t>
      </w:r>
    </w:p>
  </w:footnote>
  <w:footnote w:id="7">
    <w:p w14:paraId="60DC9C83"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GK. Estos son los jueces y fiscales asesinados en Ecuador en 2023. Diciembre 2023. </w:t>
      </w:r>
      <w:hyperlink r:id="rId6">
        <w:r>
          <w:rPr>
            <w:rFonts w:ascii="EB Garamond" w:eastAsia="EB Garamond" w:hAnsi="EB Garamond" w:cs="EB Garamond"/>
            <w:color w:val="1155CC"/>
            <w:sz w:val="20"/>
            <w:szCs w:val="20"/>
            <w:u w:val="single"/>
          </w:rPr>
          <w:t>https://gk.city/2023/06/02/estos-son-jueces-fiscales-asesinados-ecuador-2023/</w:t>
        </w:r>
      </w:hyperlink>
      <w:r>
        <w:rPr>
          <w:rFonts w:ascii="EB Garamond" w:eastAsia="EB Garamond" w:hAnsi="EB Garamond" w:cs="EB Garamond"/>
          <w:sz w:val="20"/>
          <w:szCs w:val="20"/>
        </w:rPr>
        <w:t xml:space="preserve"> </w:t>
      </w:r>
    </w:p>
  </w:footnote>
  <w:footnote w:id="8">
    <w:p w14:paraId="0A6D4A6D"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Primicias. Pedernales: funcionario de la Fiscalía fue asesinado mientras conducía. 1 de noviembre de 2023.</w:t>
      </w:r>
      <w:hyperlink r:id="rId7">
        <w:r>
          <w:rPr>
            <w:rFonts w:ascii="EB Garamond" w:eastAsia="EB Garamond" w:hAnsi="EB Garamond" w:cs="EB Garamond"/>
            <w:color w:val="1155CC"/>
            <w:sz w:val="20"/>
            <w:szCs w:val="20"/>
            <w:u w:val="single"/>
          </w:rPr>
          <w:t>https://www.primicias.ec/noticias/sucesos/funcionario-fiscalia-asesinado-pedernales-manabi/</w:t>
        </w:r>
      </w:hyperlink>
      <w:r>
        <w:rPr>
          <w:rFonts w:ascii="EB Garamond" w:eastAsia="EB Garamond" w:hAnsi="EB Garamond" w:cs="EB Garamond"/>
          <w:sz w:val="20"/>
          <w:szCs w:val="20"/>
        </w:rPr>
        <w:t xml:space="preserve"> </w:t>
      </w:r>
    </w:p>
  </w:footnote>
  <w:footnote w:id="9">
    <w:p w14:paraId="1DCCDC3D" w14:textId="77777777" w:rsidR="004539A4" w:rsidRDefault="00B176C1">
      <w:pPr>
        <w:spacing w:line="240" w:lineRule="auto"/>
        <w:rPr>
          <w:rFonts w:ascii="EB Garamond" w:eastAsia="EB Garamond" w:hAnsi="EB Garamond" w:cs="EB Garamond"/>
          <w:sz w:val="20"/>
          <w:szCs w:val="20"/>
        </w:rPr>
      </w:pPr>
      <w:r>
        <w:rPr>
          <w:vertAlign w:val="superscript"/>
        </w:rPr>
        <w:footnoteRef/>
      </w:r>
      <w:r>
        <w:rPr>
          <w:sz w:val="20"/>
          <w:szCs w:val="20"/>
        </w:rPr>
        <w:t xml:space="preserve"> </w:t>
      </w:r>
      <w:r>
        <w:rPr>
          <w:rFonts w:ascii="EB Garamond" w:eastAsia="EB Garamond" w:hAnsi="EB Garamond" w:cs="EB Garamond"/>
          <w:sz w:val="20"/>
          <w:szCs w:val="20"/>
        </w:rPr>
        <w:t xml:space="preserve">El Universo. Funcionario judicial fue asesinado en su vehículo, en Chone. 23 de septiembre de 2023. </w:t>
      </w:r>
      <w:hyperlink r:id="rId8">
        <w:r>
          <w:rPr>
            <w:rFonts w:ascii="EB Garamond" w:eastAsia="EB Garamond" w:hAnsi="EB Garamond" w:cs="EB Garamond"/>
            <w:color w:val="1155CC"/>
            <w:sz w:val="20"/>
            <w:szCs w:val="20"/>
            <w:u w:val="single"/>
          </w:rPr>
          <w:t>https://www.eluniverso.com/noticias/seguridad/funcionario-judicial-fue-asesinado-en-su-vehiculo-en-chone-nota/</w:t>
        </w:r>
      </w:hyperlink>
      <w:r>
        <w:rPr>
          <w:rFonts w:ascii="EB Garamond" w:eastAsia="EB Garamond" w:hAnsi="EB Garamond" w:cs="EB Garamond"/>
          <w:sz w:val="20"/>
          <w:szCs w:val="20"/>
        </w:rPr>
        <w:t xml:space="preserve"> </w:t>
      </w:r>
    </w:p>
  </w:footnote>
  <w:footnote w:id="10">
    <w:p w14:paraId="5729E32E"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Consejo de la Judicatura. Comunicado del Pleno del Consejo de la Judicatura. 8 de julio de 2023. </w:t>
      </w:r>
      <w:hyperlink r:id="rId9">
        <w:r>
          <w:rPr>
            <w:rFonts w:ascii="EB Garamond" w:eastAsia="EB Garamond" w:hAnsi="EB Garamond" w:cs="EB Garamond"/>
            <w:color w:val="1155CC"/>
            <w:sz w:val="20"/>
            <w:szCs w:val="20"/>
            <w:u w:val="single"/>
          </w:rPr>
          <w:t>https://www.funcionjudicial.gob.ec/comunicado-del-pleno-del-consejo-de-la-judicatura/</w:t>
        </w:r>
      </w:hyperlink>
      <w:r>
        <w:rPr>
          <w:rFonts w:ascii="EB Garamond" w:eastAsia="EB Garamond" w:hAnsi="EB Garamond" w:cs="EB Garamond"/>
          <w:sz w:val="20"/>
          <w:szCs w:val="20"/>
        </w:rPr>
        <w:t xml:space="preserve"> </w:t>
      </w:r>
    </w:p>
  </w:footnote>
  <w:footnote w:id="11">
    <w:p w14:paraId="7CFD3F70"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Primicias. Ataque a la Unidad de Flagrancia buscaba matar a cinco detenidos. 15 de julio de 2023. </w:t>
      </w:r>
      <w:hyperlink r:id="rId10">
        <w:r>
          <w:rPr>
            <w:rFonts w:ascii="EB Garamond" w:eastAsia="EB Garamond" w:hAnsi="EB Garamond" w:cs="EB Garamond"/>
            <w:color w:val="1155CC"/>
            <w:sz w:val="20"/>
            <w:szCs w:val="20"/>
            <w:u w:val="single"/>
          </w:rPr>
          <w:t>https://www.primicias.ec/noticias/sucesos/balacera-unidad-flagrancia-fiscalia-quito/</w:t>
        </w:r>
      </w:hyperlink>
      <w:r>
        <w:rPr>
          <w:rFonts w:ascii="EB Garamond" w:eastAsia="EB Garamond" w:hAnsi="EB Garamond" w:cs="EB Garamond"/>
          <w:sz w:val="20"/>
          <w:szCs w:val="20"/>
        </w:rPr>
        <w:t xml:space="preserve"> </w:t>
      </w:r>
    </w:p>
  </w:footnote>
  <w:footnote w:id="12">
    <w:p w14:paraId="1A77A2D3"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Ecuavisa. Un incendio destruye la Unidad Judicial Civil de Esmeraldas. Junio 2023. </w:t>
      </w:r>
      <w:hyperlink r:id="rId11">
        <w:r>
          <w:rPr>
            <w:rFonts w:ascii="EB Garamond" w:eastAsia="EB Garamond" w:hAnsi="EB Garamond" w:cs="EB Garamond"/>
            <w:color w:val="1155CC"/>
            <w:sz w:val="20"/>
            <w:szCs w:val="20"/>
            <w:u w:val="single"/>
          </w:rPr>
          <w:t>https://www.ecuavisa.com/noticias/seguridad/incendio-destruye-la-unidad-judicial-civil-de-esmeraldas-YA5288441</w:t>
        </w:r>
      </w:hyperlink>
      <w:r>
        <w:rPr>
          <w:rFonts w:ascii="EB Garamond" w:eastAsia="EB Garamond" w:hAnsi="EB Garamond" w:cs="EB Garamond"/>
          <w:sz w:val="20"/>
          <w:szCs w:val="20"/>
        </w:rPr>
        <w:t xml:space="preserve"> </w:t>
      </w:r>
    </w:p>
  </w:footnote>
  <w:footnote w:id="13">
    <w:p w14:paraId="7AAE4B4C"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Observatorio de Derechos y Justicia. Atentados contra la Función Judicial en Ecuador. Enero - DIciembre 2023. </w:t>
      </w:r>
      <w:hyperlink r:id="rId12">
        <w:r>
          <w:rPr>
            <w:rFonts w:ascii="EB Garamond" w:eastAsia="EB Garamond" w:hAnsi="EB Garamond" w:cs="EB Garamond"/>
            <w:color w:val="1155CC"/>
            <w:sz w:val="20"/>
            <w:szCs w:val="20"/>
            <w:u w:val="single"/>
          </w:rPr>
          <w:t>https://www.courthousenews.com/wp-content/uploads/2024/04/ecuador-justice-data.pdf</w:t>
        </w:r>
      </w:hyperlink>
      <w:r>
        <w:rPr>
          <w:rFonts w:ascii="EB Garamond" w:eastAsia="EB Garamond" w:hAnsi="EB Garamond" w:cs="EB Garamond"/>
          <w:sz w:val="20"/>
          <w:szCs w:val="20"/>
        </w:rPr>
        <w:t xml:space="preserve"> </w:t>
      </w:r>
    </w:p>
  </w:footnote>
  <w:footnote w:id="14">
    <w:p w14:paraId="0B8B89DD" w14:textId="77777777" w:rsidR="004539A4" w:rsidRDefault="00B176C1">
      <w:pPr>
        <w:spacing w:line="240" w:lineRule="auto"/>
        <w:rPr>
          <w:rFonts w:ascii="EB Garamond" w:eastAsia="EB Garamond" w:hAnsi="EB Garamond" w:cs="EB Garamond"/>
        </w:rPr>
      </w:pPr>
      <w:r>
        <w:rPr>
          <w:vertAlign w:val="superscript"/>
        </w:rPr>
        <w:footnoteRef/>
      </w:r>
      <w:r>
        <w:rPr>
          <w:rFonts w:ascii="EB Garamond" w:eastAsia="EB Garamond" w:hAnsi="EB Garamond" w:cs="EB Garamond"/>
          <w:sz w:val="20"/>
          <w:szCs w:val="20"/>
        </w:rPr>
        <w:t xml:space="preserve">CNN. El fiscal asesinado en Ecuador, César Suárez, no tenía seguridad policial “permanente”, dice comandante. Enero 2024. </w:t>
      </w:r>
      <w:hyperlink r:id="rId13">
        <w:r>
          <w:rPr>
            <w:rFonts w:ascii="EB Garamond" w:eastAsia="EB Garamond" w:hAnsi="EB Garamond" w:cs="EB Garamond"/>
            <w:color w:val="1155CC"/>
            <w:u w:val="single"/>
          </w:rPr>
          <w:t>https://cnnespanol.cnn.com/2024/01/18/fiscal-cesar-suarez-asesinado-ecuador-no-seguridad-permanente-trax</w:t>
        </w:r>
      </w:hyperlink>
      <w:r>
        <w:rPr>
          <w:rFonts w:ascii="EB Garamond" w:eastAsia="EB Garamond" w:hAnsi="EB Garamond" w:cs="EB Garamond"/>
        </w:rPr>
        <w:t xml:space="preserve"> </w:t>
      </w:r>
    </w:p>
  </w:footnote>
  <w:footnote w:id="15">
    <w:p w14:paraId="0334A274"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Ecuavisa. En menos de 40 días, un segundo funcionario de la Fiscalía de Santa Elena es asesinado. Julio 2024. </w:t>
      </w:r>
      <w:hyperlink r:id="rId14">
        <w:r>
          <w:rPr>
            <w:rFonts w:ascii="EB Garamond" w:eastAsia="EB Garamond" w:hAnsi="EB Garamond" w:cs="EB Garamond"/>
            <w:color w:val="1155CC"/>
            <w:sz w:val="20"/>
            <w:szCs w:val="20"/>
            <w:u w:val="single"/>
          </w:rPr>
          <w:t>https://www.ecuavisa.com/noticias/seguridad/2024-07-11-funcionario-fiscalia-santa-elena-JB7650759</w:t>
        </w:r>
      </w:hyperlink>
      <w:r>
        <w:rPr>
          <w:rFonts w:ascii="EB Garamond" w:eastAsia="EB Garamond" w:hAnsi="EB Garamond" w:cs="EB Garamond"/>
          <w:sz w:val="20"/>
          <w:szCs w:val="20"/>
        </w:rPr>
        <w:t xml:space="preserve"> </w:t>
      </w:r>
    </w:p>
  </w:footnote>
  <w:footnote w:id="16">
    <w:p w14:paraId="1548F457" w14:textId="77777777" w:rsidR="004539A4" w:rsidRDefault="00B176C1">
      <w:pPr>
        <w:spacing w:line="240" w:lineRule="auto"/>
        <w:rPr>
          <w:rFonts w:ascii="EB Garamond" w:eastAsia="EB Garamond" w:hAnsi="EB Garamond" w:cs="EB Garamond"/>
          <w:sz w:val="20"/>
          <w:szCs w:val="20"/>
        </w:rPr>
      </w:pPr>
      <w:r>
        <w:rPr>
          <w:vertAlign w:val="superscript"/>
        </w:rPr>
        <w:footnoteRef/>
      </w:r>
      <w:r>
        <w:rPr>
          <w:sz w:val="20"/>
          <w:szCs w:val="20"/>
        </w:rPr>
        <w:t xml:space="preserve"> </w:t>
      </w:r>
      <w:r>
        <w:rPr>
          <w:rFonts w:ascii="EB Garamond" w:eastAsia="EB Garamond" w:hAnsi="EB Garamond" w:cs="EB Garamond"/>
          <w:sz w:val="20"/>
          <w:szCs w:val="20"/>
        </w:rPr>
        <w:t xml:space="preserve">Fiscalía General del Estado. Prisión preventiva para el presunto coautor del asesinato de un funcionario judicial. Boletín de Prensa FGE No. 1023-DC-2024. Septiembre 2024. </w:t>
      </w:r>
      <w:hyperlink r:id="rId15">
        <w:r>
          <w:rPr>
            <w:rFonts w:ascii="EB Garamond" w:eastAsia="EB Garamond" w:hAnsi="EB Garamond" w:cs="EB Garamond"/>
            <w:color w:val="1155CC"/>
            <w:sz w:val="20"/>
            <w:szCs w:val="20"/>
            <w:u w:val="single"/>
          </w:rPr>
          <w:t>https://www.fiscalia.gob.ec/prision-preventiva-para-el-presunto-coautor-del-asesinato-de-un-funcionario-judicial/</w:t>
        </w:r>
      </w:hyperlink>
      <w:r>
        <w:rPr>
          <w:rFonts w:ascii="EB Garamond" w:eastAsia="EB Garamond" w:hAnsi="EB Garamond" w:cs="EB Garamond"/>
          <w:sz w:val="20"/>
          <w:szCs w:val="20"/>
        </w:rPr>
        <w:t xml:space="preserve"> </w:t>
      </w:r>
    </w:p>
  </w:footnote>
  <w:footnote w:id="17">
    <w:p w14:paraId="2AD269ED"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Primicias. Policía confirma un detenido por ataque armado en la Fiscalía de Manta. Enero 2024.</w:t>
      </w:r>
      <w:hyperlink r:id="rId16">
        <w:r>
          <w:rPr>
            <w:rFonts w:ascii="EB Garamond" w:eastAsia="EB Garamond" w:hAnsi="EB Garamond" w:cs="EB Garamond"/>
            <w:color w:val="1155CC"/>
            <w:sz w:val="20"/>
            <w:szCs w:val="20"/>
            <w:u w:val="single"/>
          </w:rPr>
          <w:t>https://www.primicias.ec/noticias/sucesos/disparos-ataque-fiscalia-manta/</w:t>
        </w:r>
      </w:hyperlink>
      <w:r>
        <w:rPr>
          <w:rFonts w:ascii="EB Garamond" w:eastAsia="EB Garamond" w:hAnsi="EB Garamond" w:cs="EB Garamond"/>
          <w:sz w:val="20"/>
          <w:szCs w:val="20"/>
        </w:rPr>
        <w:t xml:space="preserve"> </w:t>
      </w:r>
    </w:p>
  </w:footnote>
  <w:footnote w:id="18">
    <w:p w14:paraId="65367C0B"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Ecuavisa. Sujetos intentaron matar a alias Frenillo fuera de la Unidad Judicial Valdivia en Guayaquil. Abril 2024. </w:t>
      </w:r>
      <w:hyperlink r:id="rId17">
        <w:r>
          <w:rPr>
            <w:rFonts w:ascii="EB Garamond" w:eastAsia="EB Garamond" w:hAnsi="EB Garamond" w:cs="EB Garamond"/>
            <w:color w:val="1155CC"/>
            <w:sz w:val="20"/>
            <w:szCs w:val="20"/>
            <w:u w:val="single"/>
          </w:rPr>
          <w:t>https://www.primicias.ec/noticias/sucesos/disparos-ataque-fiscalia-manta/</w:t>
        </w:r>
      </w:hyperlink>
      <w:r>
        <w:rPr>
          <w:rFonts w:ascii="EB Garamond" w:eastAsia="EB Garamond" w:hAnsi="EB Garamond" w:cs="EB Garamond"/>
          <w:sz w:val="20"/>
          <w:szCs w:val="20"/>
        </w:rPr>
        <w:t xml:space="preserve"> </w:t>
      </w:r>
    </w:p>
  </w:footnote>
  <w:footnote w:id="19">
    <w:p w14:paraId="76418EC1"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Fiscalía General del Estado. Publicación en X del 7 de febrero de 2024. </w:t>
      </w:r>
      <w:hyperlink r:id="rId18">
        <w:r>
          <w:rPr>
            <w:rFonts w:ascii="EB Garamond" w:eastAsia="EB Garamond" w:hAnsi="EB Garamond" w:cs="EB Garamond"/>
            <w:color w:val="1155CC"/>
            <w:sz w:val="20"/>
            <w:szCs w:val="20"/>
            <w:u w:val="single"/>
          </w:rPr>
          <w:t>https://x.com/FiscaliaEcuador/status/1755205200715891144</w:t>
        </w:r>
      </w:hyperlink>
      <w:r>
        <w:rPr>
          <w:rFonts w:ascii="EB Garamond" w:eastAsia="EB Garamond" w:hAnsi="EB Garamond" w:cs="EB Garamond"/>
          <w:sz w:val="20"/>
          <w:szCs w:val="20"/>
        </w:rPr>
        <w:t xml:space="preserve"> </w:t>
      </w:r>
    </w:p>
  </w:footnote>
  <w:footnote w:id="20">
    <w:p w14:paraId="4C0E7D5F" w14:textId="77777777" w:rsidR="004539A4" w:rsidRDefault="00B176C1">
      <w:pPr>
        <w:spacing w:line="240" w:lineRule="auto"/>
        <w:rPr>
          <w:rFonts w:ascii="EB Garamond" w:eastAsia="EB Garamond" w:hAnsi="EB Garamond" w:cs="EB Garamond"/>
        </w:rPr>
      </w:pPr>
      <w:r>
        <w:rPr>
          <w:vertAlign w:val="superscript"/>
        </w:rPr>
        <w:footnoteRef/>
      </w:r>
      <w:r>
        <w:rPr>
          <w:sz w:val="20"/>
          <w:szCs w:val="20"/>
        </w:rPr>
        <w:t xml:space="preserve"> </w:t>
      </w:r>
      <w:r>
        <w:rPr>
          <w:rFonts w:ascii="EB Garamond" w:eastAsia="EB Garamond" w:hAnsi="EB Garamond" w:cs="EB Garamond"/>
          <w:sz w:val="20"/>
          <w:szCs w:val="20"/>
        </w:rPr>
        <w:t>Ecuavisa. Una amenaza de bomba se registró en el Complejo Judicial Norte de Quito. Junio 2024.</w:t>
      </w:r>
      <w:hyperlink r:id="rId19">
        <w:r>
          <w:rPr>
            <w:rFonts w:ascii="EB Garamond" w:eastAsia="EB Garamond" w:hAnsi="EB Garamond" w:cs="EB Garamond"/>
            <w:color w:val="1155CC"/>
            <w:sz w:val="20"/>
            <w:szCs w:val="20"/>
            <w:u w:val="single"/>
          </w:rPr>
          <w:t>https://www.ecuavisa.com/noticias/seguridad/quito-amenaza-bomba-complejo-judicial-norte-EE7503457</w:t>
        </w:r>
      </w:hyperlink>
      <w:r>
        <w:rPr>
          <w:rFonts w:ascii="EB Garamond" w:eastAsia="EB Garamond" w:hAnsi="EB Garamond" w:cs="EB Garamond"/>
        </w:rPr>
        <w:t xml:space="preserve"> </w:t>
      </w:r>
    </w:p>
  </w:footnote>
  <w:footnote w:id="21">
    <w:p w14:paraId="62EC77B5"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Consejo de la Judicatura. Corte Provincial de Justicia del Guayas evacuada por amenaza de bomba. Julio 2024. </w:t>
      </w:r>
      <w:hyperlink r:id="rId20">
        <w:r>
          <w:rPr>
            <w:rFonts w:ascii="EB Garamond" w:eastAsia="EB Garamond" w:hAnsi="EB Garamond" w:cs="EB Garamond"/>
            <w:color w:val="1155CC"/>
            <w:sz w:val="20"/>
            <w:szCs w:val="20"/>
            <w:u w:val="single"/>
          </w:rPr>
          <w:t>https://www.funcionjudicial.gob.ec/corte-provincial-de-justicia-del-guayas-evacuada-por-amenaza-de-bomba/</w:t>
        </w:r>
      </w:hyperlink>
      <w:r>
        <w:rPr>
          <w:rFonts w:ascii="EB Garamond" w:eastAsia="EB Garamond" w:hAnsi="EB Garamond" w:cs="EB Garamond"/>
          <w:sz w:val="20"/>
          <w:szCs w:val="20"/>
        </w:rPr>
        <w:t xml:space="preserve"> </w:t>
      </w:r>
    </w:p>
  </w:footnote>
  <w:footnote w:id="22">
    <w:p w14:paraId="24B93E8F"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Oficina del Alto Comisionado de Naciones Unidas para los Derechos Humanos. Ataques contra el poder judicial de Ecuador amenazan el Estado de Derecho Advierte Experta de la ONU. Agosto 2023. </w:t>
      </w:r>
      <w:hyperlink r:id="rId21">
        <w:r>
          <w:rPr>
            <w:rFonts w:ascii="EB Garamond" w:eastAsia="EB Garamond" w:hAnsi="EB Garamond" w:cs="EB Garamond"/>
            <w:color w:val="1155CC"/>
            <w:sz w:val="20"/>
            <w:szCs w:val="20"/>
            <w:u w:val="single"/>
          </w:rPr>
          <w:t>https://www.ohchr.org/es/press-releases/2023/08/attacks-against-ecuadorian-judiciary-threaten-rule-law-warns-un-expert</w:t>
        </w:r>
      </w:hyperlink>
      <w:r>
        <w:rPr>
          <w:rFonts w:ascii="EB Garamond" w:eastAsia="EB Garamond" w:hAnsi="EB Garamond" w:cs="EB Garamond"/>
          <w:sz w:val="20"/>
          <w:szCs w:val="20"/>
        </w:rPr>
        <w:t xml:space="preserve"> </w:t>
      </w:r>
    </w:p>
  </w:footnote>
  <w:footnote w:id="23">
    <w:p w14:paraId="71A1CBB0"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Principios Básicos de Naciones Unidas relativos a la independencia de la judicatura. 6 de septiembre de 1985. Principio No. 12. </w:t>
      </w:r>
      <w:hyperlink r:id="rId22">
        <w:r>
          <w:rPr>
            <w:rFonts w:ascii="EB Garamond" w:eastAsia="EB Garamond" w:hAnsi="EB Garamond" w:cs="EB Garamond"/>
            <w:color w:val="1155CC"/>
            <w:sz w:val="20"/>
            <w:szCs w:val="20"/>
            <w:u w:val="single"/>
          </w:rPr>
          <w:t>https://www.ohchr.org/es/instruments-mechanisms/instruments/basic-principles-independence-judiciary</w:t>
        </w:r>
      </w:hyperlink>
      <w:r>
        <w:rPr>
          <w:rFonts w:ascii="EB Garamond" w:eastAsia="EB Garamond" w:hAnsi="EB Garamond" w:cs="EB Garamond"/>
          <w:sz w:val="20"/>
          <w:szCs w:val="20"/>
        </w:rPr>
        <w:t xml:space="preserve"> </w:t>
      </w:r>
    </w:p>
  </w:footnote>
  <w:footnote w:id="24">
    <w:p w14:paraId="671013AC"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Informe del Relator Especial sobre la independencia de los magistrados y abogados. A/72/140. 25 de julio de 2017, párr. 81-83.</w:t>
      </w:r>
      <w:hyperlink r:id="rId23">
        <w:r>
          <w:rPr>
            <w:rFonts w:ascii="EB Garamond" w:eastAsia="EB Garamond" w:hAnsi="EB Garamond" w:cs="EB Garamond"/>
            <w:color w:val="1155CC"/>
            <w:sz w:val="20"/>
            <w:szCs w:val="20"/>
            <w:u w:val="single"/>
          </w:rPr>
          <w:t>https://documents.un.org/doc/undoc/gen/n17/216/41/pdf/n1721641.pdf</w:t>
        </w:r>
      </w:hyperlink>
      <w:r>
        <w:rPr>
          <w:rFonts w:ascii="EB Garamond" w:eastAsia="EB Garamond" w:hAnsi="EB Garamond" w:cs="EB Garamond"/>
          <w:sz w:val="20"/>
          <w:szCs w:val="20"/>
        </w:rPr>
        <w:t xml:space="preserve"> </w:t>
      </w:r>
    </w:p>
  </w:footnote>
  <w:footnote w:id="25">
    <w:p w14:paraId="6ECFADAF" w14:textId="77777777" w:rsidR="004539A4" w:rsidRDefault="00B176C1">
      <w:pPr>
        <w:spacing w:line="240" w:lineRule="auto"/>
        <w:rPr>
          <w:rFonts w:ascii="EB Garamond" w:eastAsia="EB Garamond" w:hAnsi="EB Garamond" w:cs="EB Garamond"/>
        </w:rPr>
      </w:pPr>
      <w:r>
        <w:rPr>
          <w:vertAlign w:val="superscript"/>
        </w:rPr>
        <w:footnoteRef/>
      </w:r>
      <w:r>
        <w:rPr>
          <w:rFonts w:ascii="EB Garamond" w:eastAsia="EB Garamond" w:hAnsi="EB Garamond" w:cs="EB Garamond"/>
          <w:sz w:val="20"/>
          <w:szCs w:val="20"/>
        </w:rPr>
        <w:t xml:space="preserve"> La Hora. Judicatura: Hay un incremento exponencial de pedidos de seguridad de jueces y fiscales. Julio 2023. https://www.lahora.com.ec/pais/jueces-fiscales-solicitudes-seguridad/</w:t>
      </w:r>
    </w:p>
  </w:footnote>
  <w:footnote w:id="26">
    <w:p w14:paraId="30470A9C"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Asociación Ecuatoriana de Magistrados y Jueces. Publicación de X del 11 de julio de 2023  las 11:15. </w:t>
      </w:r>
      <w:hyperlink r:id="rId24">
        <w:r>
          <w:rPr>
            <w:rFonts w:ascii="EB Garamond" w:eastAsia="EB Garamond" w:hAnsi="EB Garamond" w:cs="EB Garamond"/>
            <w:color w:val="1155CC"/>
            <w:sz w:val="20"/>
            <w:szCs w:val="20"/>
            <w:u w:val="single"/>
          </w:rPr>
          <w:t>https://x.com/AsoJuecesEc/status/1678800289300717568</w:t>
        </w:r>
      </w:hyperlink>
      <w:r>
        <w:rPr>
          <w:rFonts w:ascii="EB Garamond" w:eastAsia="EB Garamond" w:hAnsi="EB Garamond" w:cs="EB Garamond"/>
          <w:sz w:val="20"/>
          <w:szCs w:val="20"/>
        </w:rPr>
        <w:t xml:space="preserve"> </w:t>
      </w:r>
    </w:p>
  </w:footnote>
  <w:footnote w:id="27">
    <w:p w14:paraId="306EDC36" w14:textId="77777777" w:rsidR="004539A4" w:rsidRDefault="00B176C1">
      <w:pPr>
        <w:spacing w:line="240" w:lineRule="auto"/>
        <w:rPr>
          <w:rFonts w:ascii="EB Garamond" w:eastAsia="EB Garamond" w:hAnsi="EB Garamond" w:cs="EB Garamond"/>
          <w:sz w:val="20"/>
          <w:szCs w:val="20"/>
        </w:rPr>
      </w:pPr>
      <w:r>
        <w:rPr>
          <w:vertAlign w:val="superscript"/>
        </w:rPr>
        <w:footnoteRef/>
      </w:r>
      <w:r>
        <w:rPr>
          <w:sz w:val="20"/>
          <w:szCs w:val="20"/>
        </w:rPr>
        <w:t xml:space="preserve"> </w:t>
      </w:r>
      <w:r>
        <w:rPr>
          <w:rFonts w:ascii="EB Garamond" w:eastAsia="EB Garamond" w:hAnsi="EB Garamond" w:cs="EB Garamond"/>
          <w:sz w:val="20"/>
          <w:szCs w:val="20"/>
        </w:rPr>
        <w:t>Ver, por ejemplo: Ecuavisa. Los funcionarios judiciales de Guayas se acogen al teletrabajo tras el asesinato del fiscal César Suárez. Enero 2024.</w:t>
      </w:r>
      <w:hyperlink r:id="rId25">
        <w:r>
          <w:rPr>
            <w:rFonts w:ascii="EB Garamond" w:eastAsia="EB Garamond" w:hAnsi="EB Garamond" w:cs="EB Garamond"/>
            <w:color w:val="1155CC"/>
            <w:sz w:val="20"/>
            <w:szCs w:val="20"/>
            <w:u w:val="single"/>
          </w:rPr>
          <w:t>https://www.ecuavisa.com/noticias/seguridad/funcionarios-judicatura-teletrabajo-cesar-suarez-IJ6649192</w:t>
        </w:r>
      </w:hyperlink>
      <w:r>
        <w:rPr>
          <w:rFonts w:ascii="EB Garamond" w:eastAsia="EB Garamond" w:hAnsi="EB Garamond" w:cs="EB Garamond"/>
          <w:sz w:val="20"/>
          <w:szCs w:val="20"/>
        </w:rPr>
        <w:t>; El Telégrafo. Esmeraldas: dependencias judiciales se acogen a la modalidad de teletrabajo. Julio 2023.</w:t>
      </w:r>
      <w:hyperlink r:id="rId26">
        <w:r>
          <w:rPr>
            <w:rFonts w:ascii="EB Garamond" w:eastAsia="EB Garamond" w:hAnsi="EB Garamond" w:cs="EB Garamond"/>
            <w:color w:val="1155CC"/>
            <w:sz w:val="20"/>
            <w:szCs w:val="20"/>
            <w:u w:val="single"/>
          </w:rPr>
          <w:t>https://www.eltelegrafo.com.ec/noticias/nacionales/44/esmeraldas-dependencias-judiciales-se-acogen-a-la-modalidad-teletrabajo</w:t>
        </w:r>
      </w:hyperlink>
      <w:r>
        <w:rPr>
          <w:rFonts w:ascii="EB Garamond" w:eastAsia="EB Garamond" w:hAnsi="EB Garamond" w:cs="EB Garamond"/>
          <w:sz w:val="20"/>
          <w:szCs w:val="20"/>
        </w:rPr>
        <w:t>; El Universo. Jueces de Guayaquil, Durán, Daule, Milagro y Playas, en teletrabajo por seguridad. Julio 2023.</w:t>
      </w:r>
      <w:hyperlink r:id="rId27">
        <w:r>
          <w:rPr>
            <w:rFonts w:ascii="EB Garamond" w:eastAsia="EB Garamond" w:hAnsi="EB Garamond" w:cs="EB Garamond"/>
            <w:color w:val="1155CC"/>
            <w:sz w:val="20"/>
            <w:szCs w:val="20"/>
            <w:u w:val="single"/>
          </w:rPr>
          <w:t>https://www.eluniverso.com/noticias/seguridad/jueces-de-guayaquil-duran-daule-milagro-y-playas-en-teletrabajo-por-seguridad-nota/</w:t>
        </w:r>
      </w:hyperlink>
      <w:r>
        <w:rPr>
          <w:rFonts w:ascii="EB Garamond" w:eastAsia="EB Garamond" w:hAnsi="EB Garamond" w:cs="EB Garamond"/>
          <w:sz w:val="20"/>
          <w:szCs w:val="20"/>
        </w:rPr>
        <w:t xml:space="preserve">. </w:t>
      </w:r>
    </w:p>
  </w:footnote>
  <w:footnote w:id="28">
    <w:p w14:paraId="2802DFC8"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El Universo. La descomposición del sistema de justicia revelada por los casos Metástasis, Purga y Plaga, procesos penales que comparten similitudes. Septiembre 2024.</w:t>
      </w:r>
      <w:hyperlink r:id="rId28" w:anchor=":~:text=Pol%C3%ADticaCaso%20Met%C3%A1stasis-,La%20descomposici%C3%B3n%20del%20sistema%20de%20justicia%20revelada%20por%20los%20casos,108%20personas%20por%20delincuencia%20organizada">
        <w:r>
          <w:rPr>
            <w:rFonts w:ascii="EB Garamond" w:eastAsia="EB Garamond" w:hAnsi="EB Garamond" w:cs="EB Garamond"/>
            <w:color w:val="1155CC"/>
            <w:sz w:val="20"/>
            <w:szCs w:val="20"/>
            <w:u w:val="single"/>
          </w:rPr>
          <w:t>https://www.eluniverso.com/noticias/politica/caso-metastasis-caso-plaga-caso-purga-corrupcion-en-el-sistema-de-justicia-wilman-teran-ivan-saquicela-delincuencia-organizada-consejo-de-la-judicatura-jueces-cotopaxi-pichincha-guayas-manabi-leandro-norero-narcotrafico-funcion-judicial-corte-nacional-de-justicia-carceles-diana-salazar-fiscalia-general-del-estado-investigacion-mayra-salazar-daniel-salcedo-xavier-jordan-ronny-aleaga-revolucion-ciudadana-jorge-glas-rafael-correas-alexis-mera-grupos-de-delincuencia</w:t>
        </w:r>
        <w:r>
          <w:rPr>
            <w:rFonts w:ascii="EB Garamond" w:eastAsia="EB Garamond" w:hAnsi="EB Garamond" w:cs="EB Garamond"/>
            <w:color w:val="1155CC"/>
            <w:sz w:val="20"/>
            <w:szCs w:val="20"/>
            <w:u w:val="single"/>
          </w:rPr>
          <w:t>-organizada-nota/#:~:text=Pol%C3%ADticaCaso%20Met%C3%A1stasis-,La%20descomposici%C3%B3n%20del%20sistema%20de%20justicia%20revelada%20por%20los%20casos,108%20personas%20por%20delincuencia%20organizada</w:t>
        </w:r>
      </w:hyperlink>
      <w:r>
        <w:rPr>
          <w:rFonts w:ascii="EB Garamond" w:eastAsia="EB Garamond" w:hAnsi="EB Garamond" w:cs="EB Garamond"/>
          <w:sz w:val="20"/>
          <w:szCs w:val="20"/>
        </w:rPr>
        <w:t xml:space="preserve">. </w:t>
      </w:r>
    </w:p>
  </w:footnote>
  <w:footnote w:id="29">
    <w:p w14:paraId="114FBF2B"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Fiscalía General del Estado. Caso Metástasis. </w:t>
      </w:r>
      <w:hyperlink r:id="rId29">
        <w:r>
          <w:rPr>
            <w:rFonts w:ascii="EB Garamond" w:eastAsia="EB Garamond" w:hAnsi="EB Garamond" w:cs="EB Garamond"/>
            <w:color w:val="1155CC"/>
            <w:sz w:val="20"/>
            <w:szCs w:val="20"/>
            <w:u w:val="single"/>
          </w:rPr>
          <w:t>https://www.fiscalia.gob.ec/caso-metastasis/</w:t>
        </w:r>
      </w:hyperlink>
      <w:r>
        <w:rPr>
          <w:rFonts w:ascii="EB Garamond" w:eastAsia="EB Garamond" w:hAnsi="EB Garamond" w:cs="EB Garamond"/>
          <w:sz w:val="20"/>
          <w:szCs w:val="20"/>
        </w:rPr>
        <w:t xml:space="preserve">. </w:t>
      </w:r>
    </w:p>
  </w:footnote>
  <w:footnote w:id="30">
    <w:p w14:paraId="3B65A159"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InSight Crime. El caso Metástasis destapa el cáncer de la corrupción en Ecuador. Marzo 2024.</w:t>
      </w:r>
      <w:hyperlink r:id="rId30">
        <w:r>
          <w:rPr>
            <w:rFonts w:ascii="EB Garamond" w:eastAsia="EB Garamond" w:hAnsi="EB Garamond" w:cs="EB Garamond"/>
            <w:color w:val="1155CC"/>
            <w:sz w:val="20"/>
            <w:szCs w:val="20"/>
            <w:u w:val="single"/>
          </w:rPr>
          <w:t>https://insightcrime.org/es/noticias/caso-metastasis-destapa-cancer-corrupcion-ecuador/</w:t>
        </w:r>
      </w:hyperlink>
      <w:r>
        <w:rPr>
          <w:rFonts w:ascii="EB Garamond" w:eastAsia="EB Garamond" w:hAnsi="EB Garamond" w:cs="EB Garamond"/>
          <w:sz w:val="20"/>
          <w:szCs w:val="20"/>
        </w:rPr>
        <w:t xml:space="preserve"> </w:t>
      </w:r>
    </w:p>
  </w:footnote>
  <w:footnote w:id="31">
    <w:p w14:paraId="44EBAD2C"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Infobae. Jueces, policías y exfuncionarios: estos son los 52 procesados por el caso Metástasis en Ecuador. Marzo 2024. </w:t>
      </w:r>
      <w:hyperlink r:id="rId31">
        <w:r>
          <w:rPr>
            <w:rFonts w:ascii="EB Garamond" w:eastAsia="EB Garamond" w:hAnsi="EB Garamond" w:cs="EB Garamond"/>
            <w:color w:val="1155CC"/>
            <w:sz w:val="20"/>
            <w:szCs w:val="20"/>
            <w:u w:val="single"/>
          </w:rPr>
          <w:t>https://www.infobae.com/america/america-latina/2024/03/23/jueces-policias-y-ex-funcionarios-estos-son-los-52-procesados-por-el-caso-metastasis-en-ecuador/</w:t>
        </w:r>
      </w:hyperlink>
      <w:r>
        <w:rPr>
          <w:rFonts w:ascii="EB Garamond" w:eastAsia="EB Garamond" w:hAnsi="EB Garamond" w:cs="EB Garamond"/>
          <w:sz w:val="20"/>
          <w:szCs w:val="20"/>
        </w:rPr>
        <w:t xml:space="preserve"> </w:t>
      </w:r>
    </w:p>
  </w:footnote>
  <w:footnote w:id="32">
    <w:p w14:paraId="205F42A9"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Primicias. Caso Metástasis: Estos son los primeros 12 sentenciados y beneficiados con penas reducidas. Agosto 2024.</w:t>
      </w:r>
      <w:hyperlink r:id="rId32">
        <w:r>
          <w:rPr>
            <w:rFonts w:ascii="EB Garamond" w:eastAsia="EB Garamond" w:hAnsi="EB Garamond" w:cs="EB Garamond"/>
            <w:color w:val="1155CC"/>
            <w:sz w:val="20"/>
            <w:szCs w:val="20"/>
            <w:u w:val="single"/>
          </w:rPr>
          <w:t>https://www.primicias.ec/seguridad/caso-metastasis-sentencias-reducidas-mayra-salazar-daniel-salcedo-75871/</w:t>
        </w:r>
      </w:hyperlink>
      <w:r>
        <w:rPr>
          <w:rFonts w:ascii="EB Garamond" w:eastAsia="EB Garamond" w:hAnsi="EB Garamond" w:cs="EB Garamond"/>
          <w:sz w:val="20"/>
          <w:szCs w:val="20"/>
        </w:rPr>
        <w:t xml:space="preserve"> </w:t>
      </w:r>
    </w:p>
  </w:footnote>
  <w:footnote w:id="33">
    <w:p w14:paraId="018D006D" w14:textId="77777777" w:rsidR="004539A4" w:rsidRDefault="00B176C1">
      <w:pPr>
        <w:spacing w:line="240" w:lineRule="auto"/>
        <w:rPr>
          <w:rFonts w:ascii="EB Garamond" w:eastAsia="EB Garamond" w:hAnsi="EB Garamond" w:cs="EB Garamond"/>
        </w:rPr>
      </w:pPr>
      <w:r>
        <w:rPr>
          <w:vertAlign w:val="superscript"/>
        </w:rPr>
        <w:footnoteRef/>
      </w:r>
      <w:r>
        <w:rPr>
          <w:rFonts w:ascii="EB Garamond" w:eastAsia="EB Garamond" w:hAnsi="EB Garamond" w:cs="EB Garamond"/>
          <w:sz w:val="20"/>
          <w:szCs w:val="20"/>
        </w:rPr>
        <w:t xml:space="preserve"> Fiscalía General del Estado. Caso Metástasis: Fiscalía pide que 37 procesados sean llamados a juicio. Boletín de Prensa FGE No. 1030-DC-2024. 16 de septiembre de 2024.https://www.fiscalia.gob.ec/caso-metastasis-fiscalia-pide-que-37-procesados-sean-llamados-a-juicio/</w:t>
      </w:r>
    </w:p>
  </w:footnote>
  <w:footnote w:id="34">
    <w:p w14:paraId="1955FD76"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GK. El caso Purga, explicado. Septiembre 2024.</w:t>
      </w:r>
      <w:hyperlink r:id="rId33">
        <w:r>
          <w:rPr>
            <w:rFonts w:ascii="EB Garamond" w:eastAsia="EB Garamond" w:hAnsi="EB Garamond" w:cs="EB Garamond"/>
            <w:color w:val="1155CC"/>
            <w:sz w:val="20"/>
            <w:szCs w:val="20"/>
            <w:u w:val="single"/>
          </w:rPr>
          <w:t>https://gk.city/2024/03/06/caso-purga-explicado/</w:t>
        </w:r>
      </w:hyperlink>
      <w:r>
        <w:rPr>
          <w:rFonts w:ascii="EB Garamond" w:eastAsia="EB Garamond" w:hAnsi="EB Garamond" w:cs="EB Garamond"/>
          <w:sz w:val="20"/>
          <w:szCs w:val="20"/>
        </w:rPr>
        <w:t xml:space="preserve"> </w:t>
      </w:r>
    </w:p>
  </w:footnote>
  <w:footnote w:id="35">
    <w:p w14:paraId="12E963A0"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El Comercio. Caso Purga: conoce las 25 personas que quiere procesar la Fiscalía General del Estado. Junio 2024.</w:t>
      </w:r>
      <w:hyperlink r:id="rId34">
        <w:r>
          <w:rPr>
            <w:rFonts w:ascii="EB Garamond" w:eastAsia="EB Garamond" w:hAnsi="EB Garamond" w:cs="EB Garamond"/>
            <w:color w:val="1155CC"/>
            <w:sz w:val="20"/>
            <w:szCs w:val="20"/>
            <w:u w:val="single"/>
          </w:rPr>
          <w:t>https://www.elcomercio.com/actualidad/caso-purga-conoce-25-personas-quiere-procesar-fiscalia-general-estado.html</w:t>
        </w:r>
      </w:hyperlink>
      <w:r>
        <w:rPr>
          <w:rFonts w:ascii="EB Garamond" w:eastAsia="EB Garamond" w:hAnsi="EB Garamond" w:cs="EB Garamond"/>
          <w:sz w:val="20"/>
          <w:szCs w:val="20"/>
        </w:rPr>
        <w:t xml:space="preserve"> </w:t>
      </w:r>
    </w:p>
  </w:footnote>
  <w:footnote w:id="36">
    <w:p w14:paraId="1E9FA23E" w14:textId="77777777" w:rsidR="004539A4" w:rsidRDefault="00B176C1">
      <w:pPr>
        <w:spacing w:line="240" w:lineRule="auto"/>
        <w:rPr>
          <w:sz w:val="20"/>
          <w:szCs w:val="20"/>
        </w:rPr>
      </w:pPr>
      <w:r>
        <w:rPr>
          <w:vertAlign w:val="superscript"/>
        </w:rPr>
        <w:footnoteRef/>
      </w:r>
      <w:r>
        <w:rPr>
          <w:rFonts w:ascii="EB Garamond" w:eastAsia="EB Garamond" w:hAnsi="EB Garamond" w:cs="EB Garamond"/>
          <w:sz w:val="20"/>
          <w:szCs w:val="20"/>
        </w:rPr>
        <w:t xml:space="preserve"> GK. El caso Purga, explicado. Septiembre 2024.</w:t>
      </w:r>
      <w:hyperlink r:id="rId35">
        <w:r>
          <w:rPr>
            <w:rFonts w:ascii="EB Garamond" w:eastAsia="EB Garamond" w:hAnsi="EB Garamond" w:cs="EB Garamond"/>
            <w:color w:val="1155CC"/>
            <w:sz w:val="20"/>
            <w:szCs w:val="20"/>
            <w:u w:val="single"/>
          </w:rPr>
          <w:t>https://gk.city/2024/03/06/caso-purga-explicado/</w:t>
        </w:r>
      </w:hyperlink>
      <w:r>
        <w:rPr>
          <w:rFonts w:ascii="EB Garamond" w:eastAsia="EB Garamond" w:hAnsi="EB Garamond" w:cs="EB Garamond"/>
          <w:sz w:val="20"/>
          <w:szCs w:val="20"/>
        </w:rPr>
        <w:t xml:space="preserve"> </w:t>
      </w:r>
    </w:p>
  </w:footnote>
  <w:footnote w:id="37">
    <w:p w14:paraId="6D1FEDB0"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Primicias. Caso Purga: Las nueve revelaciones más impactantes de la trama de corrupción. Junio 2024.https://www.primicias.ec/noticias/politica/caso-purga-revelaciones-trama-corrupcion/</w:t>
      </w:r>
    </w:p>
  </w:footnote>
  <w:footnote w:id="38">
    <w:p w14:paraId="7CEE743B" w14:textId="77777777" w:rsidR="004539A4" w:rsidRDefault="00B176C1">
      <w:pPr>
        <w:spacing w:line="240" w:lineRule="auto"/>
        <w:rPr>
          <w:rFonts w:ascii="EB Garamond" w:eastAsia="EB Garamond" w:hAnsi="EB Garamond" w:cs="EB Garamond"/>
          <w:b/>
          <w:sz w:val="20"/>
          <w:szCs w:val="20"/>
        </w:rPr>
      </w:pPr>
      <w:r>
        <w:rPr>
          <w:vertAlign w:val="superscript"/>
        </w:rPr>
        <w:footnoteRef/>
      </w:r>
      <w:r>
        <w:rPr>
          <w:rFonts w:ascii="EB Garamond" w:eastAsia="EB Garamond" w:hAnsi="EB Garamond" w:cs="EB Garamond"/>
          <w:sz w:val="20"/>
          <w:szCs w:val="20"/>
        </w:rPr>
        <w:t xml:space="preserve"> GK. El caso Plaga, explicado. Julio 2024.</w:t>
      </w:r>
      <w:hyperlink r:id="rId36">
        <w:r>
          <w:rPr>
            <w:rFonts w:ascii="EB Garamond" w:eastAsia="EB Garamond" w:hAnsi="EB Garamond" w:cs="EB Garamond"/>
            <w:color w:val="1155CC"/>
            <w:sz w:val="20"/>
            <w:szCs w:val="20"/>
            <w:u w:val="single"/>
          </w:rPr>
          <w:t>https://gk.city/2024/04/03/caso-plaga-ecuador-explicado/</w:t>
        </w:r>
      </w:hyperlink>
      <w:r>
        <w:rPr>
          <w:rFonts w:ascii="EB Garamond" w:eastAsia="EB Garamond" w:hAnsi="EB Garamond" w:cs="EB Garamond"/>
          <w:sz w:val="20"/>
          <w:szCs w:val="20"/>
        </w:rPr>
        <w:t xml:space="preserve"> </w:t>
      </w:r>
    </w:p>
  </w:footnote>
  <w:footnote w:id="39">
    <w:p w14:paraId="62EDE442"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Fiscalía General del Estado. Procesados caso Plaga.</w:t>
      </w:r>
      <w:hyperlink r:id="rId37">
        <w:r>
          <w:rPr>
            <w:rFonts w:ascii="EB Garamond" w:eastAsia="EB Garamond" w:hAnsi="EB Garamond" w:cs="EB Garamond"/>
            <w:color w:val="1155CC"/>
            <w:sz w:val="20"/>
            <w:szCs w:val="20"/>
            <w:u w:val="single"/>
          </w:rPr>
          <w:t>https://www.fiscalia.gob.ec/procesados-caso-plaga/</w:t>
        </w:r>
      </w:hyperlink>
      <w:r>
        <w:rPr>
          <w:rFonts w:ascii="EB Garamond" w:eastAsia="EB Garamond" w:hAnsi="EB Garamond" w:cs="EB Garamond"/>
          <w:sz w:val="20"/>
          <w:szCs w:val="20"/>
        </w:rPr>
        <w:t xml:space="preserve"> </w:t>
      </w:r>
    </w:p>
  </w:footnote>
  <w:footnote w:id="40">
    <w:p w14:paraId="5B5A964F"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Primicias. ¿Quiénes son los nuevos detenidos en el caso Plaga y a qué criminales favorecieron?. Junio 2024.</w:t>
      </w:r>
      <w:hyperlink r:id="rId38" w:anchor=":~:text=Entre%20los%2017%20nuevos%20vinculados,29%20de%20junio%20de%202024">
        <w:r>
          <w:rPr>
            <w:rFonts w:ascii="EB Garamond" w:eastAsia="EB Garamond" w:hAnsi="EB Garamond" w:cs="EB Garamond"/>
            <w:color w:val="1155CC"/>
            <w:sz w:val="20"/>
            <w:szCs w:val="20"/>
            <w:u w:val="single"/>
          </w:rPr>
          <w:t>https://www.primicias.ec/noticias/seguridad/caso-plaga-detenidos-jueces-sobornos-lobos/#:~:text=Entre%20los%2017%20nuevos%20vinculados,29%20de%20junio%20de%202024</w:t>
        </w:r>
      </w:hyperlink>
      <w:r>
        <w:rPr>
          <w:rFonts w:ascii="EB Garamond" w:eastAsia="EB Garamond" w:hAnsi="EB Garamond" w:cs="EB Garamond"/>
          <w:sz w:val="20"/>
          <w:szCs w:val="20"/>
        </w:rPr>
        <w:t xml:space="preserve">. </w:t>
      </w:r>
    </w:p>
  </w:footnote>
  <w:footnote w:id="41">
    <w:p w14:paraId="3D4548D7"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Ipsos Ecuador. ¿En quiénes confían los ecuatorianos?. 2023.</w:t>
      </w:r>
      <w:hyperlink r:id="rId39">
        <w:r>
          <w:rPr>
            <w:rFonts w:ascii="EB Garamond" w:eastAsia="EB Garamond" w:hAnsi="EB Garamond" w:cs="EB Garamond"/>
            <w:color w:val="1155CC"/>
            <w:sz w:val="20"/>
            <w:szCs w:val="20"/>
            <w:u w:val="single"/>
          </w:rPr>
          <w:t>https://www.ipsos.com/sites/default/files/ct/publication/documents/2023-05/En%20qui%C3%A9nes%20conf%C3%ADan%20los%20ecuatorianos_POV.pdf</w:t>
        </w:r>
      </w:hyperlink>
      <w:r>
        <w:rPr>
          <w:rFonts w:ascii="EB Garamond" w:eastAsia="EB Garamond" w:hAnsi="EB Garamond" w:cs="EB Garamond"/>
          <w:sz w:val="20"/>
          <w:szCs w:val="20"/>
        </w:rPr>
        <w:t xml:space="preserve"> </w:t>
      </w:r>
    </w:p>
  </w:footnote>
  <w:footnote w:id="42">
    <w:p w14:paraId="2608286A" w14:textId="77777777" w:rsidR="004539A4" w:rsidRDefault="00B176C1">
      <w:pPr>
        <w:spacing w:line="240" w:lineRule="auto"/>
        <w:rPr>
          <w:sz w:val="20"/>
          <w:szCs w:val="20"/>
        </w:rPr>
      </w:pPr>
      <w:r>
        <w:rPr>
          <w:vertAlign w:val="superscript"/>
        </w:rPr>
        <w:footnoteRef/>
      </w:r>
      <w:r>
        <w:rPr>
          <w:sz w:val="20"/>
          <w:szCs w:val="20"/>
        </w:rPr>
        <w:t xml:space="preserve"> </w:t>
      </w:r>
      <w:r>
        <w:rPr>
          <w:rFonts w:ascii="EB Garamond" w:eastAsia="EB Garamond" w:hAnsi="EB Garamond" w:cs="EB Garamond"/>
          <w:sz w:val="20"/>
          <w:szCs w:val="20"/>
        </w:rPr>
        <w:t>Informe</w:t>
      </w:r>
      <w:r>
        <w:rPr>
          <w:rFonts w:ascii="EB Garamond" w:eastAsia="EB Garamond" w:hAnsi="EB Garamond" w:cs="EB Garamond"/>
          <w:sz w:val="20"/>
          <w:szCs w:val="20"/>
        </w:rPr>
        <w:t xml:space="preserve"> del Relator Especial sobre la independencia de los magistrados y abogados. A/72/140. 25 de julio de 2017, párr. 74-106.</w:t>
      </w:r>
      <w:hyperlink r:id="rId40">
        <w:r>
          <w:rPr>
            <w:rFonts w:ascii="EB Garamond" w:eastAsia="EB Garamond" w:hAnsi="EB Garamond" w:cs="EB Garamond"/>
            <w:color w:val="1155CC"/>
            <w:sz w:val="20"/>
            <w:szCs w:val="20"/>
            <w:u w:val="single"/>
          </w:rPr>
          <w:t>https://documents.un.org/doc/undoc/gen/n17/216/41/pdf/n1721641.pdf</w:t>
        </w:r>
      </w:hyperlink>
      <w:r>
        <w:rPr>
          <w:rFonts w:ascii="EB Garamond" w:eastAsia="EB Garamond" w:hAnsi="EB Garamond" w:cs="EB Garamond"/>
          <w:sz w:val="20"/>
          <w:szCs w:val="20"/>
        </w:rPr>
        <w:t xml:space="preserve"> </w:t>
      </w:r>
    </w:p>
  </w:footnote>
  <w:footnote w:id="43">
    <w:p w14:paraId="220328DA" w14:textId="77777777" w:rsidR="004539A4" w:rsidRDefault="00B176C1">
      <w:pPr>
        <w:spacing w:line="240" w:lineRule="auto"/>
        <w:rPr>
          <w:sz w:val="20"/>
          <w:szCs w:val="20"/>
        </w:rPr>
      </w:pPr>
      <w:r>
        <w:rPr>
          <w:vertAlign w:val="superscript"/>
        </w:rPr>
        <w:footnoteRef/>
      </w:r>
      <w:r>
        <w:rPr>
          <w:sz w:val="20"/>
          <w:szCs w:val="20"/>
        </w:rPr>
        <w:t xml:space="preserve"> </w:t>
      </w:r>
      <w:r>
        <w:rPr>
          <w:rFonts w:ascii="EB Garamond" w:eastAsia="EB Garamond" w:hAnsi="EB Garamond" w:cs="EB Garamond"/>
          <w:sz w:val="20"/>
          <w:szCs w:val="20"/>
        </w:rPr>
        <w:t xml:space="preserve"> CIDH. Corrupción y derechos humanos: Estándares interamericanos. 6 de diciembre de 2019, párr. 514 y 516. .</w:t>
      </w:r>
      <w:hyperlink r:id="rId41">
        <w:r>
          <w:rPr>
            <w:rFonts w:ascii="EB Garamond" w:eastAsia="EB Garamond" w:hAnsi="EB Garamond" w:cs="EB Garamond"/>
            <w:color w:val="1155CC"/>
            <w:sz w:val="20"/>
            <w:szCs w:val="20"/>
            <w:u w:val="single"/>
          </w:rPr>
          <w:t>https://www.oas.org/es/cidh/informes/pdfs/CorrupcionDDHHES.pdf</w:t>
        </w:r>
      </w:hyperlink>
      <w:r>
        <w:rPr>
          <w:rFonts w:ascii="EB Garamond" w:eastAsia="EB Garamond" w:hAnsi="EB Garamond" w:cs="EB Garamond"/>
          <w:sz w:val="20"/>
          <w:szCs w:val="20"/>
        </w:rPr>
        <w:t xml:space="preserve"> </w:t>
      </w:r>
    </w:p>
  </w:footnote>
  <w:footnote w:id="44">
    <w:p w14:paraId="6E42EB77"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Primicias. El presidente Lasso somete a cinco “malos jueces” al escarnio público. Febrero 2023.</w:t>
      </w:r>
      <w:hyperlink r:id="rId42">
        <w:r>
          <w:rPr>
            <w:rFonts w:ascii="EB Garamond" w:eastAsia="EB Garamond" w:hAnsi="EB Garamond" w:cs="EB Garamond"/>
            <w:color w:val="1155CC"/>
            <w:sz w:val="20"/>
            <w:szCs w:val="20"/>
            <w:u w:val="single"/>
          </w:rPr>
          <w:t>https://www.primicias.ec/noticias/politica/presidente-lasso-malos-jueces-denuncia/</w:t>
        </w:r>
      </w:hyperlink>
      <w:r>
        <w:rPr>
          <w:rFonts w:ascii="EB Garamond" w:eastAsia="EB Garamond" w:hAnsi="EB Garamond" w:cs="EB Garamond"/>
          <w:sz w:val="20"/>
          <w:szCs w:val="20"/>
        </w:rPr>
        <w:t xml:space="preserve"> </w:t>
      </w:r>
    </w:p>
  </w:footnote>
  <w:footnote w:id="45">
    <w:p w14:paraId="18501DE2"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Presidencia del Ecuador. Mensaje a la Nación del martes, 7 de febrero de 2023. </w:t>
      </w:r>
      <w:hyperlink r:id="rId43">
        <w:r>
          <w:rPr>
            <w:rFonts w:ascii="EB Garamond" w:eastAsia="EB Garamond" w:hAnsi="EB Garamond" w:cs="EB Garamond"/>
            <w:color w:val="1155CC"/>
            <w:sz w:val="20"/>
            <w:szCs w:val="20"/>
            <w:u w:val="single"/>
          </w:rPr>
          <w:t>https://youtu.be/iV2XvbVP-88</w:t>
        </w:r>
      </w:hyperlink>
      <w:r>
        <w:rPr>
          <w:rFonts w:ascii="EB Garamond" w:eastAsia="EB Garamond" w:hAnsi="EB Garamond" w:cs="EB Garamond"/>
          <w:sz w:val="20"/>
          <w:szCs w:val="20"/>
        </w:rPr>
        <w:t xml:space="preserve">. </w:t>
      </w:r>
    </w:p>
  </w:footnote>
  <w:footnote w:id="46">
    <w:p w14:paraId="54971F12"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Teleamazonas. Daniel Noboa: Vivimos un momento muy duro; se acabaron los gobiernos tibios. Enero 2024.</w:t>
      </w:r>
      <w:hyperlink r:id="rId44">
        <w:r>
          <w:rPr>
            <w:rFonts w:ascii="EB Garamond" w:eastAsia="EB Garamond" w:hAnsi="EB Garamond" w:cs="EB Garamond"/>
            <w:color w:val="1155CC"/>
            <w:sz w:val="20"/>
            <w:szCs w:val="20"/>
            <w:u w:val="single"/>
          </w:rPr>
          <w:t>https://www.teleamazonas.com/daniel-noboa-conflicto-armado-ecuador/</w:t>
        </w:r>
      </w:hyperlink>
      <w:r>
        <w:rPr>
          <w:rFonts w:ascii="EB Garamond" w:eastAsia="EB Garamond" w:hAnsi="EB Garamond" w:cs="EB Garamond"/>
          <w:sz w:val="20"/>
          <w:szCs w:val="20"/>
        </w:rPr>
        <w:t xml:space="preserve">  </w:t>
      </w:r>
    </w:p>
  </w:footnote>
  <w:footnote w:id="47">
    <w:p w14:paraId="448FE9AE"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Primicias. Ministro de Defensa: “No es justo que unos se jueguen la vida, mientras otros juegan con la justicia”. Junio 2024. </w:t>
      </w:r>
      <w:hyperlink r:id="rId45">
        <w:r>
          <w:rPr>
            <w:rFonts w:ascii="EB Garamond" w:eastAsia="EB Garamond" w:hAnsi="EB Garamond" w:cs="EB Garamond"/>
            <w:color w:val="1155CC"/>
            <w:sz w:val="20"/>
            <w:szCs w:val="20"/>
            <w:u w:val="single"/>
          </w:rPr>
          <w:t>https://www.primicias.ec/noticias/seguridad/ministro-defensa-criticas-justicia-liberacion-delincuentes/</w:t>
        </w:r>
      </w:hyperlink>
      <w:r>
        <w:rPr>
          <w:rFonts w:ascii="EB Garamond" w:eastAsia="EB Garamond" w:hAnsi="EB Garamond" w:cs="EB Garamond"/>
          <w:sz w:val="20"/>
          <w:szCs w:val="20"/>
        </w:rPr>
        <w:t xml:space="preserve"> </w:t>
      </w:r>
    </w:p>
  </w:footnote>
  <w:footnote w:id="48">
    <w:p w14:paraId="60048084"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El Comercio. Mónica Palencia exigió parar excarcelaciones con ‘argumentos de tinterillo’ en la Función Judicial. Agosto 2024.</w:t>
      </w:r>
      <w:hyperlink r:id="rId46">
        <w:r>
          <w:rPr>
            <w:rFonts w:ascii="EB Garamond" w:eastAsia="EB Garamond" w:hAnsi="EB Garamond" w:cs="EB Garamond"/>
            <w:color w:val="1155CC"/>
            <w:sz w:val="20"/>
            <w:szCs w:val="20"/>
            <w:u w:val="single"/>
          </w:rPr>
          <w:t>https://www.elcomercio.com/actualidad/seguridad/monica-palencia-exigio-parar-excarcelaciones-con-argumentos-de-tinterillo-en-la-funcion-judicial.html</w:t>
        </w:r>
      </w:hyperlink>
      <w:r>
        <w:rPr>
          <w:rFonts w:ascii="EB Garamond" w:eastAsia="EB Garamond" w:hAnsi="EB Garamond" w:cs="EB Garamond"/>
          <w:sz w:val="20"/>
          <w:szCs w:val="20"/>
        </w:rPr>
        <w:t xml:space="preserve"> </w:t>
      </w:r>
    </w:p>
  </w:footnote>
  <w:footnote w:id="49">
    <w:p w14:paraId="27C32CA9" w14:textId="77777777" w:rsidR="00634EC4" w:rsidRPr="00634EC4" w:rsidRDefault="00634EC4">
      <w:pPr>
        <w:pStyle w:val="FootnoteText"/>
        <w:rPr>
          <w:rFonts w:ascii="EB Garamond" w:hAnsi="EB Garamond"/>
        </w:rPr>
      </w:pPr>
      <w:r w:rsidRPr="00634EC4">
        <w:rPr>
          <w:rStyle w:val="FootnoteReference"/>
          <w:rFonts w:ascii="EB Garamond" w:hAnsi="EB Garamond"/>
        </w:rPr>
        <w:footnoteRef/>
      </w:r>
      <w:r w:rsidRPr="00634EC4">
        <w:rPr>
          <w:rFonts w:ascii="EB Garamond" w:hAnsi="EB Garamond"/>
        </w:rPr>
        <w:t xml:space="preserve"> Teleamazonas. Caso Confourtable: allanamientos en oficinas de dos juezas de la Corte Nacional de Justicia. Agosto 2024. </w:t>
      </w:r>
      <w:hyperlink r:id="rId47" w:history="1">
        <w:r w:rsidRPr="00634EC4">
          <w:rPr>
            <w:rStyle w:val="Hyperlink"/>
            <w:rFonts w:ascii="EB Garamond" w:hAnsi="EB Garamond"/>
          </w:rPr>
          <w:t>https://www.teleamazonas.com/allanamiento-corte-nacional-justicia-confortable/</w:t>
        </w:r>
      </w:hyperlink>
      <w:r w:rsidRPr="00634EC4">
        <w:rPr>
          <w:rFonts w:ascii="EB Garamond" w:hAnsi="EB Garamond"/>
        </w:rPr>
        <w:t xml:space="preserve"> </w:t>
      </w:r>
    </w:p>
  </w:footnote>
  <w:footnote w:id="50">
    <w:p w14:paraId="059507AB"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Relatora Especial sobre la independencia de magistrados y abogados. Ref. AL MEX 5/2024. 16 de abril de 2024.</w:t>
      </w:r>
      <w:hyperlink r:id="rId48">
        <w:r>
          <w:rPr>
            <w:rFonts w:ascii="EB Garamond" w:eastAsia="EB Garamond" w:hAnsi="EB Garamond" w:cs="EB Garamond"/>
            <w:color w:val="1155CC"/>
            <w:sz w:val="20"/>
            <w:szCs w:val="20"/>
            <w:u w:val="single"/>
          </w:rPr>
          <w:t>https://spcommreports.ohchr.org/TMResultsBase/DownLoadPublicCommunicationFile?gId=28953</w:t>
        </w:r>
      </w:hyperlink>
      <w:r>
        <w:rPr>
          <w:rFonts w:ascii="EB Garamond" w:eastAsia="EB Garamond" w:hAnsi="EB Garamond" w:cs="EB Garamond"/>
          <w:sz w:val="20"/>
          <w:szCs w:val="20"/>
        </w:rPr>
        <w:t xml:space="preserve"> </w:t>
      </w:r>
    </w:p>
  </w:footnote>
  <w:footnote w:id="51">
    <w:p w14:paraId="4153EE68"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Corte IDH. Caso Apitz Barbera y Otros Vs. Venezuela. Sentencia de 5 de agosto de 2008. Serie C No. 182, párr. 131.</w:t>
      </w:r>
      <w:hyperlink r:id="rId49">
        <w:r>
          <w:rPr>
            <w:rFonts w:ascii="EB Garamond" w:eastAsia="EB Garamond" w:hAnsi="EB Garamond" w:cs="EB Garamond"/>
            <w:color w:val="1155CC"/>
            <w:sz w:val="20"/>
            <w:szCs w:val="20"/>
            <w:u w:val="single"/>
          </w:rPr>
          <w:t>https://www.corteidh.or.cr/docs/casos/articulos/seriec_182_esp.pdf</w:t>
        </w:r>
      </w:hyperlink>
      <w:r>
        <w:rPr>
          <w:rFonts w:ascii="EB Garamond" w:eastAsia="EB Garamond" w:hAnsi="EB Garamond" w:cs="EB Garamond"/>
          <w:sz w:val="20"/>
          <w:szCs w:val="20"/>
        </w:rPr>
        <w:t xml:space="preserve"> </w:t>
      </w:r>
    </w:p>
  </w:footnote>
  <w:footnote w:id="52">
    <w:p w14:paraId="4BEDE9F7" w14:textId="77777777" w:rsidR="004539A4" w:rsidRDefault="00B176C1">
      <w:pPr>
        <w:spacing w:line="240" w:lineRule="auto"/>
        <w:rPr>
          <w:sz w:val="20"/>
          <w:szCs w:val="20"/>
        </w:rPr>
      </w:pPr>
      <w:r>
        <w:rPr>
          <w:vertAlign w:val="superscript"/>
        </w:rPr>
        <w:footnoteRef/>
      </w:r>
      <w:r>
        <w:rPr>
          <w:sz w:val="20"/>
          <w:szCs w:val="20"/>
        </w:rPr>
        <w:t xml:space="preserve"> </w:t>
      </w:r>
      <w:r>
        <w:rPr>
          <w:rFonts w:ascii="EB Garamond" w:eastAsia="EB Garamond" w:hAnsi="EB Garamond" w:cs="EB Garamond"/>
          <w:sz w:val="20"/>
          <w:szCs w:val="20"/>
        </w:rPr>
        <w:t xml:space="preserve">Informe del Relator Especial sobre la independencia de los magistrados y abogados. A/72/140. 25 de julio de 2017, párr. 51. </w:t>
      </w:r>
      <w:hyperlink r:id="rId50">
        <w:r>
          <w:rPr>
            <w:rFonts w:ascii="EB Garamond" w:eastAsia="EB Garamond" w:hAnsi="EB Garamond" w:cs="EB Garamond"/>
            <w:color w:val="1155CC"/>
            <w:sz w:val="20"/>
            <w:szCs w:val="20"/>
            <w:u w:val="single"/>
          </w:rPr>
          <w:t>https://documents.un.org/doc/undoc/gen/n17/216/41/pdf/n1721641.pdf</w:t>
        </w:r>
      </w:hyperlink>
      <w:r>
        <w:rPr>
          <w:rFonts w:ascii="EB Garamond" w:eastAsia="EB Garamond" w:hAnsi="EB Garamond" w:cs="EB Garamond"/>
          <w:sz w:val="20"/>
          <w:szCs w:val="20"/>
        </w:rPr>
        <w:t xml:space="preserve"> </w:t>
      </w:r>
    </w:p>
  </w:footnote>
  <w:footnote w:id="53">
    <w:p w14:paraId="01358EF0"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CIDH. Corrupción y derechos humanos: Estándares interamericanos. 6 de diciembre de 2019, párr. 99.</w:t>
      </w:r>
      <w:hyperlink r:id="rId51">
        <w:r>
          <w:rPr>
            <w:rFonts w:ascii="EB Garamond" w:eastAsia="EB Garamond" w:hAnsi="EB Garamond" w:cs="EB Garamond"/>
            <w:color w:val="1155CC"/>
            <w:sz w:val="20"/>
            <w:szCs w:val="20"/>
            <w:u w:val="single"/>
          </w:rPr>
          <w:t>https://www.oas.org/es/cidh/informes/pdfs/CorrupcionDDHHES.pdf</w:t>
        </w:r>
      </w:hyperlink>
      <w:r>
        <w:rPr>
          <w:rFonts w:ascii="EB Garamond" w:eastAsia="EB Garamond" w:hAnsi="EB Garamond" w:cs="EB Garamond"/>
          <w:sz w:val="20"/>
          <w:szCs w:val="20"/>
        </w:rPr>
        <w:t xml:space="preserve"> </w:t>
      </w:r>
    </w:p>
  </w:footnote>
  <w:footnote w:id="54">
    <w:p w14:paraId="7EB9375E"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El Universo. Judicatura declaró la nulidad total del concurso de selección de jueces de la Corte Nacional de Justicia. Enero 2024.</w:t>
      </w:r>
      <w:hyperlink r:id="rId52">
        <w:r>
          <w:rPr>
            <w:rFonts w:ascii="EB Garamond" w:eastAsia="EB Garamond" w:hAnsi="EB Garamond" w:cs="EB Garamond"/>
            <w:color w:val="1155CC"/>
            <w:sz w:val="20"/>
            <w:szCs w:val="20"/>
            <w:u w:val="single"/>
          </w:rPr>
          <w:t>https://www.eluniverso.com/noticias/politica/judicatura-declaro-la-nulidad-total-del-concurso-de-seleccion-de-jueces-de-la-corte-nacional-de-justicia-nota/</w:t>
        </w:r>
      </w:hyperlink>
      <w:r>
        <w:rPr>
          <w:rFonts w:ascii="EB Garamond" w:eastAsia="EB Garamond" w:hAnsi="EB Garamond" w:cs="EB Garamond"/>
          <w:sz w:val="20"/>
          <w:szCs w:val="20"/>
        </w:rPr>
        <w:t xml:space="preserve"> </w:t>
      </w:r>
    </w:p>
  </w:footnote>
  <w:footnote w:id="55">
    <w:p w14:paraId="228E1B78"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Fiscalía General del Estado. Boletín de Prensa FGE No. 1002-DC-2024. Caso Pantalla: Fiscalía formula cargos contra 2 exfuncionarios del Consejo de la Judicatura.Septiembre 2024.</w:t>
      </w:r>
      <w:hyperlink r:id="rId53">
        <w:r>
          <w:rPr>
            <w:rFonts w:ascii="EB Garamond" w:eastAsia="EB Garamond" w:hAnsi="EB Garamond" w:cs="EB Garamond"/>
            <w:color w:val="1155CC"/>
            <w:sz w:val="20"/>
            <w:szCs w:val="20"/>
            <w:u w:val="single"/>
          </w:rPr>
          <w:t>https://www.fiscalia.gob.ec/caso-pantalla-fiscalia-formula-cargos-contra-2-exfuncionarios-del-consejo-de-la-judicatura/</w:t>
        </w:r>
      </w:hyperlink>
      <w:r>
        <w:rPr>
          <w:rFonts w:ascii="EB Garamond" w:eastAsia="EB Garamond" w:hAnsi="EB Garamond" w:cs="EB Garamond"/>
          <w:sz w:val="20"/>
          <w:szCs w:val="20"/>
        </w:rPr>
        <w:t xml:space="preserve"> </w:t>
      </w:r>
    </w:p>
  </w:footnote>
  <w:footnote w:id="56">
    <w:p w14:paraId="40C09573"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Consejo de la Judicatura. El Consejo de la Judicatura declara la nulidad insanable parcial del Concurso para la Selección y Designación de los Jueces y Conjueces de la Corte Nacional de Justicia, desde la fase del examen de confianza. Agosto 2024.</w:t>
      </w:r>
      <w:hyperlink r:id="rId54">
        <w:r>
          <w:rPr>
            <w:rFonts w:ascii="EB Garamond" w:eastAsia="EB Garamond" w:hAnsi="EB Garamond" w:cs="EB Garamond"/>
            <w:color w:val="1155CC"/>
            <w:sz w:val="20"/>
            <w:szCs w:val="20"/>
            <w:u w:val="single"/>
          </w:rPr>
          <w:t>https://www.funcionjudicial.gob.ec/el-consejo-de-la-judicatura-declara-la-nulidad-insanable-parcial-del-concurso-para-la-seleccion-y-designacion-de-los-jueces-y-conjueces-de-la-corte-nacional-de-justicia-desde-la-fase-del-examen-de-co/</w:t>
        </w:r>
      </w:hyperlink>
      <w:r>
        <w:rPr>
          <w:rFonts w:ascii="EB Garamond" w:eastAsia="EB Garamond" w:hAnsi="EB Garamond" w:cs="EB Garamond"/>
          <w:sz w:val="20"/>
          <w:szCs w:val="20"/>
        </w:rPr>
        <w:t xml:space="preserve"> </w:t>
      </w:r>
    </w:p>
  </w:footnote>
  <w:footnote w:id="57">
    <w:p w14:paraId="373221DD"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La Hora. Comisión Calificadora para la renovación parcial de Corte Constitucional, quedó integrada. Septiembre 2024. </w:t>
      </w:r>
      <w:hyperlink r:id="rId55">
        <w:r>
          <w:rPr>
            <w:rFonts w:ascii="EB Garamond" w:eastAsia="EB Garamond" w:hAnsi="EB Garamond" w:cs="EB Garamond"/>
            <w:color w:val="1155CC"/>
            <w:sz w:val="20"/>
            <w:szCs w:val="20"/>
            <w:u w:val="single"/>
          </w:rPr>
          <w:t>https://www.lahora.com.ec/pais/comision-calificadora-renovacion-parcial-corte-constitucional-integrada/</w:t>
        </w:r>
      </w:hyperlink>
      <w:r>
        <w:rPr>
          <w:rFonts w:ascii="EB Garamond" w:eastAsia="EB Garamond" w:hAnsi="EB Garamond" w:cs="EB Garamond"/>
          <w:sz w:val="20"/>
          <w:szCs w:val="20"/>
        </w:rPr>
        <w:t xml:space="preserve"> </w:t>
      </w:r>
    </w:p>
  </w:footnote>
  <w:footnote w:id="58">
    <w:p w14:paraId="1949E0E5"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ODJ Ecuador. Publicación en X del 12 de septiembre de 2024 a las 10:08. </w:t>
      </w:r>
      <w:hyperlink r:id="rId56">
        <w:r>
          <w:rPr>
            <w:rFonts w:ascii="EB Garamond" w:eastAsia="EB Garamond" w:hAnsi="EB Garamond" w:cs="EB Garamond"/>
            <w:color w:val="1155CC"/>
            <w:sz w:val="23"/>
            <w:szCs w:val="23"/>
            <w:highlight w:val="white"/>
            <w:u w:val="single"/>
          </w:rPr>
          <w:t>https://x.com/ODJEcuador/status/1834247713728209065</w:t>
        </w:r>
      </w:hyperlink>
      <w:r>
        <w:rPr>
          <w:rFonts w:ascii="EB Garamond" w:eastAsia="EB Garamond" w:hAnsi="EB Garamond" w:cs="EB Garamond"/>
          <w:sz w:val="23"/>
          <w:szCs w:val="23"/>
          <w:highlight w:val="white"/>
        </w:rPr>
        <w:t xml:space="preserve"> </w:t>
      </w:r>
    </w:p>
  </w:footnote>
  <w:footnote w:id="59">
    <w:p w14:paraId="42458137" w14:textId="77777777" w:rsidR="004539A4" w:rsidRDefault="00B176C1">
      <w:pPr>
        <w:spacing w:line="240" w:lineRule="auto"/>
        <w:rPr>
          <w:rFonts w:ascii="EB Garamond" w:eastAsia="EB Garamond" w:hAnsi="EB Garamond" w:cs="EB Garamond"/>
          <w:sz w:val="20"/>
          <w:szCs w:val="20"/>
        </w:rPr>
      </w:pPr>
      <w:r>
        <w:rPr>
          <w:vertAlign w:val="superscript"/>
        </w:rPr>
        <w:footnoteRef/>
      </w:r>
      <w:r>
        <w:rPr>
          <w:rFonts w:ascii="EB Garamond" w:eastAsia="EB Garamond" w:hAnsi="EB Garamond" w:cs="EB Garamond"/>
          <w:sz w:val="20"/>
          <w:szCs w:val="20"/>
        </w:rPr>
        <w:t xml:space="preserve"> Grupo de Juristas por la Democracia. Carta al Consejo de Participación Ciudadana y Control Social. 19 de septiembre de 2024. </w:t>
      </w:r>
      <w:hyperlink r:id="rId57">
        <w:r>
          <w:rPr>
            <w:rFonts w:ascii="EB Garamond" w:eastAsia="EB Garamond" w:hAnsi="EB Garamond" w:cs="EB Garamond"/>
            <w:color w:val="1155CC"/>
            <w:sz w:val="23"/>
            <w:szCs w:val="23"/>
            <w:highlight w:val="white"/>
            <w:u w:val="single"/>
          </w:rPr>
          <w:t>https://x.com/JurdemEcuador/status/1836656962798342526</w:t>
        </w:r>
      </w:hyperlink>
      <w:r>
        <w:rPr>
          <w:rFonts w:ascii="EB Garamond" w:eastAsia="EB Garamond" w:hAnsi="EB Garamond" w:cs="EB Garamond"/>
          <w:sz w:val="23"/>
          <w:szCs w:val="23"/>
          <w:highlight w:val="whit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CA287" w14:textId="77777777" w:rsidR="004539A4" w:rsidRDefault="00B176C1">
    <w:pPr>
      <w:jc w:val="right"/>
      <w:rPr>
        <w:rFonts w:ascii="EB Garamond" w:eastAsia="EB Garamond" w:hAnsi="EB Garamond" w:cs="EB Garamond"/>
      </w:rPr>
    </w:pPr>
    <w:r>
      <w:rPr>
        <w:rFonts w:ascii="EB Garamond" w:eastAsia="EB Garamond" w:hAnsi="EB Garamond" w:cs="EB Garamond"/>
      </w:rPr>
      <w:fldChar w:fldCharType="begin"/>
    </w:r>
    <w:r>
      <w:rPr>
        <w:rFonts w:ascii="EB Garamond" w:eastAsia="EB Garamond" w:hAnsi="EB Garamond" w:cs="EB Garamond"/>
      </w:rPr>
      <w:instrText>PAGE</w:instrText>
    </w:r>
    <w:r>
      <w:rPr>
        <w:rFonts w:ascii="EB Garamond" w:eastAsia="EB Garamond" w:hAnsi="EB Garamond" w:cs="EB Garamond"/>
      </w:rPr>
      <w:fldChar w:fldCharType="separate"/>
    </w:r>
    <w:r w:rsidR="00D84508">
      <w:rPr>
        <w:rFonts w:ascii="EB Garamond" w:eastAsia="EB Garamond" w:hAnsi="EB Garamond" w:cs="EB Garamond"/>
        <w:noProof/>
      </w:rPr>
      <w:t>1</w:t>
    </w:r>
    <w:r>
      <w:rPr>
        <w:rFonts w:ascii="EB Garamond" w:eastAsia="EB Garamond" w:hAnsi="EB Garamond" w:cs="EB Garamond"/>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6460"/>
    <w:multiLevelType w:val="multilevel"/>
    <w:tmpl w:val="15C0E68E"/>
    <w:lvl w:ilvl="0">
      <w:start w:val="1"/>
      <w:numFmt w:val="upperRoman"/>
      <w:lvlText w:val="%1."/>
      <w:lvlJc w:val="right"/>
      <w:pPr>
        <w:ind w:left="720" w:hanging="360"/>
      </w:pPr>
      <w:rPr>
        <w:rFonts w:hint="default"/>
        <w:u w:val="none"/>
      </w:rPr>
    </w:lvl>
    <w:lvl w:ilvl="1">
      <w:start w:val="1"/>
      <w:numFmt w:val="upperLetter"/>
      <w:lvlText w:val="%2."/>
      <w:lvlJc w:val="left"/>
      <w:pPr>
        <w:ind w:left="1440" w:hanging="360"/>
      </w:pPr>
      <w:rPr>
        <w:rFonts w:hint="default"/>
        <w:u w:val="none"/>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 w15:restartNumberingAfterBreak="0">
    <w:nsid w:val="65EB40FF"/>
    <w:multiLevelType w:val="multilevel"/>
    <w:tmpl w:val="52F637D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7A2779DE"/>
    <w:multiLevelType w:val="multilevel"/>
    <w:tmpl w:val="15C0E68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72847699">
    <w:abstractNumId w:val="1"/>
  </w:num>
  <w:num w:numId="2" w16cid:durableId="492570010">
    <w:abstractNumId w:val="2"/>
  </w:num>
  <w:num w:numId="3" w16cid:durableId="1802262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9A4"/>
    <w:rsid w:val="00041C54"/>
    <w:rsid w:val="0014224D"/>
    <w:rsid w:val="003532B4"/>
    <w:rsid w:val="003E6AD1"/>
    <w:rsid w:val="004332D0"/>
    <w:rsid w:val="004539A4"/>
    <w:rsid w:val="00552D17"/>
    <w:rsid w:val="0058543F"/>
    <w:rsid w:val="005E5F0B"/>
    <w:rsid w:val="006326B0"/>
    <w:rsid w:val="00634EC4"/>
    <w:rsid w:val="00706649"/>
    <w:rsid w:val="0075398E"/>
    <w:rsid w:val="00A7241D"/>
    <w:rsid w:val="00B176C1"/>
    <w:rsid w:val="00D658E6"/>
    <w:rsid w:val="00D84508"/>
    <w:rsid w:val="00E56652"/>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6FC32"/>
  <w15:docId w15:val="{EF8B34D7-7713-4D0B-9E9B-258A245C9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EC"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E5F0B"/>
    <w:pPr>
      <w:ind w:left="720"/>
      <w:contextualSpacing/>
    </w:pPr>
  </w:style>
  <w:style w:type="paragraph" w:styleId="FootnoteText">
    <w:name w:val="footnote text"/>
    <w:basedOn w:val="Normal"/>
    <w:link w:val="FootnoteTextChar"/>
    <w:uiPriority w:val="99"/>
    <w:semiHidden/>
    <w:unhideWhenUsed/>
    <w:rsid w:val="00634EC4"/>
    <w:pPr>
      <w:spacing w:line="240" w:lineRule="auto"/>
    </w:pPr>
    <w:rPr>
      <w:sz w:val="20"/>
      <w:szCs w:val="20"/>
    </w:rPr>
  </w:style>
  <w:style w:type="character" w:customStyle="1" w:styleId="FootnoteTextChar">
    <w:name w:val="Footnote Text Char"/>
    <w:basedOn w:val="DefaultParagraphFont"/>
    <w:link w:val="FootnoteText"/>
    <w:uiPriority w:val="99"/>
    <w:semiHidden/>
    <w:rsid w:val="00634EC4"/>
    <w:rPr>
      <w:sz w:val="20"/>
      <w:szCs w:val="20"/>
    </w:rPr>
  </w:style>
  <w:style w:type="character" w:styleId="FootnoteReference">
    <w:name w:val="footnote reference"/>
    <w:basedOn w:val="DefaultParagraphFont"/>
    <w:uiPriority w:val="99"/>
    <w:semiHidden/>
    <w:unhideWhenUsed/>
    <w:rsid w:val="00634EC4"/>
    <w:rPr>
      <w:vertAlign w:val="superscript"/>
    </w:rPr>
  </w:style>
  <w:style w:type="character" w:styleId="Hyperlink">
    <w:name w:val="Hyperlink"/>
    <w:basedOn w:val="DefaultParagraphFont"/>
    <w:uiPriority w:val="99"/>
    <w:unhideWhenUsed/>
    <w:rsid w:val="00634EC4"/>
    <w:rPr>
      <w:color w:val="0000FF" w:themeColor="hyperlink"/>
      <w:u w:val="single"/>
    </w:rPr>
  </w:style>
  <w:style w:type="character" w:styleId="UnresolvedMention">
    <w:name w:val="Unresolved Mention"/>
    <w:basedOn w:val="DefaultParagraphFont"/>
    <w:uiPriority w:val="99"/>
    <w:semiHidden/>
    <w:unhideWhenUsed/>
    <w:rsid w:val="00634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cnnespanol.cnn.com/2024/01/18/fiscal-cesar-suarez-asesinado-ecuador-no-seguridad-permanente-trax" TargetMode="External"/><Relationship Id="rId18" Type="http://schemas.openxmlformats.org/officeDocument/2006/relationships/hyperlink" Target="https://x.com/FiscaliaEcuador/status/1755205200715891144" TargetMode="External"/><Relationship Id="rId26" Type="http://schemas.openxmlformats.org/officeDocument/2006/relationships/hyperlink" Target="https://www.eltelegrafo.com.ec/noticias/nacionales/44/esmeraldas-dependencias-judiciales-se-acogen-a-la-modalidad-teletrabajo" TargetMode="External"/><Relationship Id="rId39" Type="http://schemas.openxmlformats.org/officeDocument/2006/relationships/hyperlink" Target="https://www.ipsos.com/sites/default/files/ct/publication/documents/2023-05/En%20qui%C3%A9nes%20conf%C3%ADan%20los%20ecuatorianos_POV.pdf" TargetMode="External"/><Relationship Id="rId21" Type="http://schemas.openxmlformats.org/officeDocument/2006/relationships/hyperlink" Target="https://www.ohchr.org/es/press-releases/2023/08/attacks-against-ecuadorian-judiciary-threaten-rule-law-warns-un-expert" TargetMode="External"/><Relationship Id="rId34" Type="http://schemas.openxmlformats.org/officeDocument/2006/relationships/hyperlink" Target="https://www.elcomercio.com/actualidad/caso-purga-conoce-25-personas-quiere-procesar-fiscalia-general-estado.html" TargetMode="External"/><Relationship Id="rId42" Type="http://schemas.openxmlformats.org/officeDocument/2006/relationships/hyperlink" Target="https://www.primicias.ec/noticias/politica/presidente-lasso-malos-jueces-denuncia/" TargetMode="External"/><Relationship Id="rId47" Type="http://schemas.openxmlformats.org/officeDocument/2006/relationships/hyperlink" Target="https://www.teleamazonas.com/allanamiento-corte-nacional-justicia-confortable/" TargetMode="External"/><Relationship Id="rId50" Type="http://schemas.openxmlformats.org/officeDocument/2006/relationships/hyperlink" Target="https://documents.un.org/doc/undoc/gen/n17/216/41/pdf/n1721641.pdf" TargetMode="External"/><Relationship Id="rId55" Type="http://schemas.openxmlformats.org/officeDocument/2006/relationships/hyperlink" Target="https://www.lahora.com.ec/pais/comision-calificadora-renovacion-parcial-corte-constitucional-integrada/" TargetMode="External"/><Relationship Id="rId7" Type="http://schemas.openxmlformats.org/officeDocument/2006/relationships/hyperlink" Target="https://www.primicias.ec/noticias/sucesos/funcionario-fiscalia-asesinado-pedernales-manabi/" TargetMode="External"/><Relationship Id="rId2" Type="http://schemas.openxmlformats.org/officeDocument/2006/relationships/hyperlink" Target="https://www.funcionjudicial.gob.ec/rendicion-de-cuentas-2022-la-funcion-judicial-atraviesa-por-una-severa-crisis-por-la-falta-de-presupuesto/" TargetMode="External"/><Relationship Id="rId16" Type="http://schemas.openxmlformats.org/officeDocument/2006/relationships/hyperlink" Target="https://www.primicias.ec/noticias/sucesos/disparos-ataque-fiscalia-manta/" TargetMode="External"/><Relationship Id="rId29" Type="http://schemas.openxmlformats.org/officeDocument/2006/relationships/hyperlink" Target="https://www.fiscalia.gob.ec/caso-metastasis/" TargetMode="External"/><Relationship Id="rId11" Type="http://schemas.openxmlformats.org/officeDocument/2006/relationships/hyperlink" Target="https://www.ecuavisa.com/noticias/seguridad/incendio-destruye-la-unidad-judicial-civil-de-esmeraldas-YA5288441" TargetMode="External"/><Relationship Id="rId24" Type="http://schemas.openxmlformats.org/officeDocument/2006/relationships/hyperlink" Target="https://x.com/AsoJuecesEc/status/1678800289300717568" TargetMode="External"/><Relationship Id="rId32" Type="http://schemas.openxmlformats.org/officeDocument/2006/relationships/hyperlink" Target="https://www.primicias.ec/seguridad/caso-metastasis-sentencias-reducidas-mayra-salazar-daniel-salcedo-75871/" TargetMode="External"/><Relationship Id="rId37" Type="http://schemas.openxmlformats.org/officeDocument/2006/relationships/hyperlink" Target="https://www.fiscalia.gob.ec/procesados-caso-plaga/" TargetMode="External"/><Relationship Id="rId40" Type="http://schemas.openxmlformats.org/officeDocument/2006/relationships/hyperlink" Target="https://documents.un.org/doc/undoc/gen/n17/216/41/pdf/n1721641.pdf" TargetMode="External"/><Relationship Id="rId45" Type="http://schemas.openxmlformats.org/officeDocument/2006/relationships/hyperlink" Target="https://www.primicias.ec/noticias/seguridad/ministro-defensa-criticas-justicia-liberacion-delincuentes/" TargetMode="External"/><Relationship Id="rId53" Type="http://schemas.openxmlformats.org/officeDocument/2006/relationships/hyperlink" Target="https://www.fiscalia.gob.ec/caso-pantalla-fiscalia-formula-cargos-contra-2-exfuncionarios-del-consejo-de-la-judicatura/" TargetMode="External"/><Relationship Id="rId5" Type="http://schemas.openxmlformats.org/officeDocument/2006/relationships/hyperlink" Target="https://insightcrime.org/es/noticias/fiscales-ecuador-blancos-asesinatos-selectivos/" TargetMode="External"/><Relationship Id="rId19" Type="http://schemas.openxmlformats.org/officeDocument/2006/relationships/hyperlink" Target="https://www.ecuavisa.com/noticias/seguridad/quito-amenaza-bomba-complejo-judicial-norte-EE7503457" TargetMode="External"/><Relationship Id="rId4" Type="http://schemas.openxmlformats.org/officeDocument/2006/relationships/hyperlink" Target="https://www.teleamazonas.com/funcionarios-judiciales-intimidados-ecuador/" TargetMode="External"/><Relationship Id="rId9" Type="http://schemas.openxmlformats.org/officeDocument/2006/relationships/hyperlink" Target="https://www.funcionjudicial.gob.ec/comunicado-del-pleno-del-consejo-de-la-judicatura/" TargetMode="External"/><Relationship Id="rId14" Type="http://schemas.openxmlformats.org/officeDocument/2006/relationships/hyperlink" Target="https://www.ecuavisa.com/noticias/seguridad/2024-07-11-funcionario-fiscalia-santa-elena-JB7650759" TargetMode="External"/><Relationship Id="rId22" Type="http://schemas.openxmlformats.org/officeDocument/2006/relationships/hyperlink" Target="https://www.ohchr.org/es/instruments-mechanisms/instruments/basic-principles-independence-judiciary" TargetMode="External"/><Relationship Id="rId27" Type="http://schemas.openxmlformats.org/officeDocument/2006/relationships/hyperlink" Target="https://www.eluniverso.com/noticias/seguridad/jueces-de-guayaquil-duran-daule-milagro-y-playas-en-teletrabajo-por-seguridad-nota/" TargetMode="External"/><Relationship Id="rId30" Type="http://schemas.openxmlformats.org/officeDocument/2006/relationships/hyperlink" Target="https://insightcrime.org/es/noticias/caso-metastasis-destapa-cancer-corrupcion-ecuador/" TargetMode="External"/><Relationship Id="rId35" Type="http://schemas.openxmlformats.org/officeDocument/2006/relationships/hyperlink" Target="https://gk.city/2024/03/06/caso-purga-explicado/" TargetMode="External"/><Relationship Id="rId43" Type="http://schemas.openxmlformats.org/officeDocument/2006/relationships/hyperlink" Target="https://youtu.be/iV2XvbVP-88" TargetMode="External"/><Relationship Id="rId48" Type="http://schemas.openxmlformats.org/officeDocument/2006/relationships/hyperlink" Target="https://spcommreports.ohchr.org/TMResultsBase/DownLoadPublicCommunicationFile?gId=28953" TargetMode="External"/><Relationship Id="rId56" Type="http://schemas.openxmlformats.org/officeDocument/2006/relationships/hyperlink" Target="https://x.com/ODJEcuador/status/1834247713728209065" TargetMode="External"/><Relationship Id="rId8" Type="http://schemas.openxmlformats.org/officeDocument/2006/relationships/hyperlink" Target="https://www.eluniverso.com/noticias/seguridad/funcionario-judicial-fue-asesinado-en-su-vehiculo-en-chone-nota/" TargetMode="External"/><Relationship Id="rId51" Type="http://schemas.openxmlformats.org/officeDocument/2006/relationships/hyperlink" Target="https://www.oas.org/es/cidh/informes/pdfs/CorrupcionDDHHES.pdf" TargetMode="External"/><Relationship Id="rId3" Type="http://schemas.openxmlformats.org/officeDocument/2006/relationships/hyperlink" Target="https://www.google.com/search?q=jueces+fiscales+asesinados+ecuador+2021&amp;oq=juec&amp;gs_lcrp=EgZjaHJvbWUqCAgAEEUYJxg7MggIABBFGCcYOzIGCAEQRRg7MggIAhBFGCcYOzIGCAMQRRg5MgoIBBAuGLEDGIAEMgYIBRBFGDwyBggGEEUYPTIGCAcQRRg80gEIMTAyOGowajeoAgCwAgA&amp;sourceid=chrome&amp;ie=UTF-8" TargetMode="External"/><Relationship Id="rId12" Type="http://schemas.openxmlformats.org/officeDocument/2006/relationships/hyperlink" Target="https://www.courthousenews.com/wp-content/uploads/2024/04/ecuador-justice-data.pdf" TargetMode="External"/><Relationship Id="rId17" Type="http://schemas.openxmlformats.org/officeDocument/2006/relationships/hyperlink" Target="https://www.primicias.ec/noticias/sucesos/disparos-ataque-fiscalia-manta/" TargetMode="External"/><Relationship Id="rId25" Type="http://schemas.openxmlformats.org/officeDocument/2006/relationships/hyperlink" Target="https://www.ecuavisa.com/noticias/seguridad/funcionarios-judicatura-teletrabajo-cesar-suarez-IJ6649192" TargetMode="External"/><Relationship Id="rId33" Type="http://schemas.openxmlformats.org/officeDocument/2006/relationships/hyperlink" Target="https://gk.city/2024/03/06/caso-purga-explicado/" TargetMode="External"/><Relationship Id="rId38" Type="http://schemas.openxmlformats.org/officeDocument/2006/relationships/hyperlink" Target="https://www.primicias.ec/noticias/seguridad/caso-plaga-detenidos-jueces-sobornos-lobos/" TargetMode="External"/><Relationship Id="rId46" Type="http://schemas.openxmlformats.org/officeDocument/2006/relationships/hyperlink" Target="https://www.elcomercio.com/actualidad/seguridad/monica-palencia-exigio-parar-excarcelaciones-con-argumentos-de-tinterillo-en-la-funcion-judicial.html" TargetMode="External"/><Relationship Id="rId20" Type="http://schemas.openxmlformats.org/officeDocument/2006/relationships/hyperlink" Target="https://www.funcionjudicial.gob.ec/corte-provincial-de-justicia-del-guayas-evacuada-por-amenaza-de-bomba/" TargetMode="External"/><Relationship Id="rId41" Type="http://schemas.openxmlformats.org/officeDocument/2006/relationships/hyperlink" Target="https://www.oas.org/es/cidh/informes/pdfs/CorrupcionDDHHES.pdf" TargetMode="External"/><Relationship Id="rId54" Type="http://schemas.openxmlformats.org/officeDocument/2006/relationships/hyperlink" Target="https://www.funcionjudicial.gob.ec/el-consejo-de-la-judicatura-declara-la-nulidad-insanable-parcial-del-concurso-para-la-seleccion-y-designacion-de-los-jueces-y-conjueces-de-la-corte-nacional-de-justicia-desde-la-fase-del-examen-de-co/" TargetMode="External"/><Relationship Id="rId1" Type="http://schemas.openxmlformats.org/officeDocument/2006/relationships/hyperlink" Target="https://ocindex.net/country/ecuador" TargetMode="External"/><Relationship Id="rId6" Type="http://schemas.openxmlformats.org/officeDocument/2006/relationships/hyperlink" Target="https://gk.city/2023/06/02/estos-son-jueces-fiscales-asesinados-ecuador-2023/" TargetMode="External"/><Relationship Id="rId15" Type="http://schemas.openxmlformats.org/officeDocument/2006/relationships/hyperlink" Target="https://www.fiscalia.gob.ec/prision-preventiva-para-el-presunto-coautor-del-asesinato-de-un-funcionario-judicial/" TargetMode="External"/><Relationship Id="rId23" Type="http://schemas.openxmlformats.org/officeDocument/2006/relationships/hyperlink" Target="https://documents.un.org/doc/undoc/gen/n17/216/41/pdf/n1721641.pdf" TargetMode="External"/><Relationship Id="rId28" Type="http://schemas.openxmlformats.org/officeDocument/2006/relationships/hyperlink" Target="https://www.eluniverso.com/noticias/politica/caso-metastasis-caso-plaga-caso-purga-corrupcion-en-el-sistema-de-justicia-wilman-teran-ivan-saquicela-delincuencia-organizada-consejo-de-la-judicatura-jueces-cotopaxi-pichincha-guayas-manabi-leandro-norero-narcotrafico-funcion-judicial-corte-nacional-de-justicia-carceles-diana-salazar-fiscalia-general-del-estado-investigacion-mayra-salazar-daniel-salcedo-xavier-jordan-ronny-aleaga-revolucion-ciudadana-jorge-glas-rafael-correas-alexis-mera-grupos-de-delincuencia-organizada-nota/" TargetMode="External"/><Relationship Id="rId36" Type="http://schemas.openxmlformats.org/officeDocument/2006/relationships/hyperlink" Target="https://gk.city/2024/04/03/caso-plaga-ecuador-explicado/" TargetMode="External"/><Relationship Id="rId49" Type="http://schemas.openxmlformats.org/officeDocument/2006/relationships/hyperlink" Target="https://www.corteidh.or.cr/docs/casos/articulos/seriec_182_esp.pdf" TargetMode="External"/><Relationship Id="rId57" Type="http://schemas.openxmlformats.org/officeDocument/2006/relationships/hyperlink" Target="https://x.com/JurdemEcuador/status/1836656962798342526" TargetMode="External"/><Relationship Id="rId10" Type="http://schemas.openxmlformats.org/officeDocument/2006/relationships/hyperlink" Target="https://www.primicias.ec/noticias/sucesos/balacera-unidad-flagrancia-fiscalia-quito/" TargetMode="External"/><Relationship Id="rId31" Type="http://schemas.openxmlformats.org/officeDocument/2006/relationships/hyperlink" Target="https://www.infobae.com/america/america-latina/2024/03/23/jueces-policias-y-ex-funcionarios-estos-son-los-52-procesados-por-el-caso-metastasis-en-ecuador/" TargetMode="External"/><Relationship Id="rId44" Type="http://schemas.openxmlformats.org/officeDocument/2006/relationships/hyperlink" Target="https://www.teleamazonas.com/daniel-noboa-conflicto-armado-ecuador/" TargetMode="External"/><Relationship Id="rId52" Type="http://schemas.openxmlformats.org/officeDocument/2006/relationships/hyperlink" Target="https://www.eluniverso.com/noticias/politica/judicatura-declaro-la-nulidad-total-del-concurso-de-seleccion-de-jueces-de-la-corte-nacional-de-justicia-no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3A64A-541C-4282-BB51-C29D4C9CF023}">
  <ds:schemaRefs>
    <ds:schemaRef ds:uri="http://schemas.microsoft.com/sharepoint/v3/contenttype/forms"/>
  </ds:schemaRefs>
</ds:datastoreItem>
</file>

<file path=customXml/itemProps2.xml><?xml version="1.0" encoding="utf-8"?>
<ds:datastoreItem xmlns:ds="http://schemas.openxmlformats.org/officeDocument/2006/customXml" ds:itemID="{AF9FE8B2-624E-41A7-9EC0-5025621A0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27D890-A0EC-4A1E-9136-66BE5F17F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16</Pages>
  <Words>3931</Words>
  <Characters>22408</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Cherry Balmaceda</cp:lastModifiedBy>
  <cp:revision>6</cp:revision>
  <dcterms:created xsi:type="dcterms:W3CDTF">2024-09-30T16:51:00Z</dcterms:created>
  <dcterms:modified xsi:type="dcterms:W3CDTF">2024-10-02T14:49:00Z</dcterms:modified>
</cp:coreProperties>
</file>