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6831245" w:rsidR="00583BA6" w:rsidRDefault="357A91B2" w:rsidP="7A16347B">
      <w:pPr>
        <w:jc w:val="center"/>
      </w:pPr>
      <w:r>
        <w:rPr>
          <w:noProof/>
        </w:rPr>
        <w:drawing>
          <wp:inline distT="0" distB="0" distL="0" distR="0" wp14:anchorId="22159BD0" wp14:editId="2A262983">
            <wp:extent cx="895853" cy="895853"/>
            <wp:effectExtent l="0" t="0" r="0" b="0"/>
            <wp:docPr id="12297552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55218" name=""/>
                    <pic:cNvPicPr/>
                  </pic:nvPicPr>
                  <pic:blipFill>
                    <a:blip r:embed="rId10">
                      <a:extLst>
                        <a:ext uri="{28A0092B-C50C-407E-A947-70E740481C1C}">
                          <a14:useLocalDpi xmlns:a14="http://schemas.microsoft.com/office/drawing/2010/main"/>
                        </a:ext>
                      </a:extLst>
                    </a:blip>
                    <a:stretch>
                      <a:fillRect/>
                    </a:stretch>
                  </pic:blipFill>
                  <pic:spPr>
                    <a:xfrm>
                      <a:off x="0" y="0"/>
                      <a:ext cx="895853" cy="895853"/>
                    </a:xfrm>
                    <a:prstGeom prst="rect">
                      <a:avLst/>
                    </a:prstGeom>
                  </pic:spPr>
                </pic:pic>
              </a:graphicData>
            </a:graphic>
          </wp:inline>
        </w:drawing>
      </w:r>
    </w:p>
    <w:p w14:paraId="27AF9A3E" w14:textId="2545073D" w:rsidR="357A91B2" w:rsidRPr="004E1EA6" w:rsidRDefault="7F506781" w:rsidP="5CA2CEA9">
      <w:pPr>
        <w:spacing w:line="240" w:lineRule="auto"/>
        <w:jc w:val="center"/>
        <w:rPr>
          <w:rFonts w:ascii="Calibri" w:eastAsia="Calibri" w:hAnsi="Calibri" w:cs="Calibri"/>
          <w:b/>
          <w:bCs/>
          <w:i/>
          <w:iCs/>
          <w:sz w:val="22"/>
          <w:szCs w:val="22"/>
        </w:rPr>
      </w:pPr>
      <w:r w:rsidRPr="5CA2CEA9">
        <w:rPr>
          <w:rFonts w:ascii="Calibri" w:eastAsia="Calibri" w:hAnsi="Calibri" w:cs="Calibri"/>
          <w:b/>
          <w:bCs/>
          <w:sz w:val="22"/>
          <w:szCs w:val="22"/>
        </w:rPr>
        <w:t xml:space="preserve">Human Rights Watch submission to the CERD Committee </w:t>
      </w:r>
      <w:r w:rsidR="48B87E14" w:rsidRPr="5CA2CEA9">
        <w:rPr>
          <w:rFonts w:ascii="Calibri" w:eastAsia="Calibri" w:hAnsi="Calibri" w:cs="Calibri"/>
          <w:b/>
          <w:bCs/>
          <w:sz w:val="22"/>
          <w:szCs w:val="22"/>
        </w:rPr>
        <w:t xml:space="preserve">under the follow up procedure </w:t>
      </w:r>
      <w:r w:rsidR="4B44880B" w:rsidRPr="5CA2CEA9">
        <w:rPr>
          <w:rFonts w:ascii="Calibri" w:eastAsia="Calibri" w:hAnsi="Calibri" w:cs="Calibri"/>
          <w:b/>
          <w:bCs/>
          <w:sz w:val="22"/>
          <w:szCs w:val="22"/>
        </w:rPr>
        <w:t>on its Concluding Observations on</w:t>
      </w:r>
      <w:r w:rsidR="48B87E14" w:rsidRPr="5CA2CEA9">
        <w:rPr>
          <w:rFonts w:ascii="Calibri" w:eastAsia="Calibri" w:hAnsi="Calibri" w:cs="Calibri"/>
          <w:b/>
          <w:bCs/>
          <w:sz w:val="22"/>
          <w:szCs w:val="22"/>
        </w:rPr>
        <w:t xml:space="preserve"> the United Kingdom</w:t>
      </w:r>
      <w:r w:rsidR="218F02E9" w:rsidRPr="5CA2CEA9">
        <w:rPr>
          <w:rFonts w:ascii="Calibri" w:eastAsia="Calibri" w:hAnsi="Calibri" w:cs="Calibri"/>
          <w:b/>
          <w:bCs/>
          <w:sz w:val="22"/>
          <w:szCs w:val="22"/>
        </w:rPr>
        <w:t xml:space="preserve">  </w:t>
      </w:r>
    </w:p>
    <w:p w14:paraId="53E56B4A" w14:textId="338C9CC4" w:rsidR="1DFE0A1B" w:rsidRDefault="29DA8814" w:rsidP="6D762E26">
      <w:pPr>
        <w:spacing w:line="240" w:lineRule="auto"/>
        <w:jc w:val="center"/>
        <w:rPr>
          <w:rFonts w:ascii="Calibri" w:eastAsia="Calibri" w:hAnsi="Calibri" w:cs="Calibri"/>
          <w:b/>
          <w:bCs/>
          <w:sz w:val="22"/>
          <w:szCs w:val="22"/>
        </w:rPr>
      </w:pPr>
      <w:r w:rsidRPr="6D762E26">
        <w:rPr>
          <w:rFonts w:ascii="Calibri" w:eastAsia="Calibri" w:hAnsi="Calibri" w:cs="Calibri"/>
          <w:b/>
          <w:bCs/>
          <w:sz w:val="22"/>
          <w:szCs w:val="22"/>
        </w:rPr>
        <w:t>May 2026</w:t>
      </w:r>
    </w:p>
    <w:p w14:paraId="4190F5B8" w14:textId="610B20A1" w:rsidR="2DEFD98B" w:rsidRDefault="4330E924" w:rsidP="7A16347B">
      <w:pPr>
        <w:spacing w:after="0" w:line="240" w:lineRule="auto"/>
        <w:rPr>
          <w:rFonts w:ascii="Calibri" w:eastAsia="Calibri" w:hAnsi="Calibri" w:cs="Calibri"/>
          <w:b/>
          <w:bCs/>
          <w:sz w:val="22"/>
          <w:szCs w:val="22"/>
        </w:rPr>
      </w:pPr>
      <w:r w:rsidRPr="6D762E26">
        <w:rPr>
          <w:rFonts w:ascii="Calibri" w:eastAsia="Calibri" w:hAnsi="Calibri" w:cs="Calibri"/>
          <w:b/>
          <w:bCs/>
          <w:sz w:val="22"/>
          <w:szCs w:val="22"/>
        </w:rPr>
        <w:t xml:space="preserve">Windrush </w:t>
      </w:r>
      <w:r w:rsidR="2BF7EB0E" w:rsidRPr="6D762E26">
        <w:rPr>
          <w:rFonts w:ascii="Calibri" w:eastAsia="Calibri" w:hAnsi="Calibri" w:cs="Calibri"/>
          <w:b/>
          <w:bCs/>
          <w:sz w:val="22"/>
          <w:szCs w:val="22"/>
        </w:rPr>
        <w:t>G</w:t>
      </w:r>
      <w:r w:rsidRPr="6D762E26">
        <w:rPr>
          <w:rFonts w:ascii="Calibri" w:eastAsia="Calibri" w:hAnsi="Calibri" w:cs="Calibri"/>
          <w:b/>
          <w:bCs/>
          <w:sz w:val="22"/>
          <w:szCs w:val="22"/>
        </w:rPr>
        <w:t>eneration</w:t>
      </w:r>
      <w:r w:rsidR="7404209D" w:rsidRPr="6D762E26">
        <w:rPr>
          <w:rFonts w:ascii="Calibri" w:eastAsia="Calibri" w:hAnsi="Calibri" w:cs="Calibri"/>
          <w:b/>
          <w:bCs/>
          <w:sz w:val="22"/>
          <w:szCs w:val="22"/>
        </w:rPr>
        <w:t xml:space="preserve"> (Para 52)</w:t>
      </w:r>
    </w:p>
    <w:p w14:paraId="4B3E36E6" w14:textId="371D597B" w:rsidR="7A16347B" w:rsidRDefault="7A16347B" w:rsidP="7A16347B">
      <w:pPr>
        <w:spacing w:after="0" w:line="240" w:lineRule="auto"/>
        <w:rPr>
          <w:rFonts w:ascii="Calibri" w:eastAsia="Calibri" w:hAnsi="Calibri" w:cs="Calibri"/>
          <w:b/>
          <w:bCs/>
          <w:sz w:val="22"/>
          <w:szCs w:val="22"/>
        </w:rPr>
      </w:pPr>
    </w:p>
    <w:p w14:paraId="436765EB" w14:textId="7C4F47D9" w:rsidR="29F92296" w:rsidRDefault="38C4C6B7" w:rsidP="6D762E26">
      <w:pPr>
        <w:spacing w:after="0" w:line="240" w:lineRule="auto"/>
        <w:rPr>
          <w:rFonts w:ascii="Calibri" w:eastAsia="Calibri" w:hAnsi="Calibri" w:cs="Calibri"/>
          <w:sz w:val="22"/>
          <w:szCs w:val="22"/>
        </w:rPr>
      </w:pPr>
      <w:r w:rsidRPr="6D762E26">
        <w:rPr>
          <w:rFonts w:ascii="Calibri" w:eastAsia="Calibri" w:hAnsi="Calibri" w:cs="Calibri"/>
          <w:sz w:val="22"/>
          <w:szCs w:val="22"/>
        </w:rPr>
        <w:t>During the Committee</w:t>
      </w:r>
      <w:r w:rsidR="64F5EFED" w:rsidRPr="6D762E26">
        <w:rPr>
          <w:rFonts w:ascii="Calibri" w:eastAsia="Calibri" w:hAnsi="Calibri" w:cs="Calibri"/>
          <w:sz w:val="22"/>
          <w:szCs w:val="22"/>
        </w:rPr>
        <w:t xml:space="preserve"> on the Elimination of Racial Discrimination's</w:t>
      </w:r>
      <w:r w:rsidR="3E88654A" w:rsidRPr="6D762E26">
        <w:rPr>
          <w:rFonts w:ascii="Calibri" w:eastAsia="Calibri" w:hAnsi="Calibri" w:cs="Calibri"/>
          <w:sz w:val="22"/>
          <w:szCs w:val="22"/>
        </w:rPr>
        <w:t xml:space="preserve"> </w:t>
      </w:r>
      <w:r w:rsidR="28463396" w:rsidRPr="6D762E26">
        <w:rPr>
          <w:rFonts w:ascii="Calibri" w:eastAsia="Calibri" w:hAnsi="Calibri" w:cs="Calibri"/>
          <w:sz w:val="22"/>
          <w:szCs w:val="22"/>
        </w:rPr>
        <w:t>(</w:t>
      </w:r>
      <w:r w:rsidR="3E88654A" w:rsidRPr="6D762E26">
        <w:rPr>
          <w:rFonts w:ascii="Calibri" w:eastAsia="Calibri" w:hAnsi="Calibri" w:cs="Calibri"/>
          <w:sz w:val="22"/>
          <w:szCs w:val="22"/>
        </w:rPr>
        <w:t>CERD</w:t>
      </w:r>
      <w:r w:rsidR="2FECBD92" w:rsidRPr="6D762E26">
        <w:rPr>
          <w:rFonts w:ascii="Calibri" w:eastAsia="Calibri" w:hAnsi="Calibri" w:cs="Calibri"/>
          <w:sz w:val="22"/>
          <w:szCs w:val="22"/>
        </w:rPr>
        <w:t>)</w:t>
      </w:r>
      <w:r w:rsidR="3A4FEC4B" w:rsidRPr="6D762E26">
        <w:rPr>
          <w:rFonts w:ascii="Calibri" w:eastAsia="Calibri" w:hAnsi="Calibri" w:cs="Calibri"/>
          <w:sz w:val="22"/>
          <w:szCs w:val="22"/>
        </w:rPr>
        <w:t xml:space="preserve"> consideration of the UK </w:t>
      </w:r>
      <w:proofErr w:type="gramStart"/>
      <w:r w:rsidR="3A4FEC4B" w:rsidRPr="6D762E26">
        <w:rPr>
          <w:rFonts w:ascii="Calibri" w:eastAsia="Calibri" w:hAnsi="Calibri" w:cs="Calibri"/>
          <w:sz w:val="22"/>
          <w:szCs w:val="22"/>
        </w:rPr>
        <w:t>combined</w:t>
      </w:r>
      <w:proofErr w:type="gramEnd"/>
      <w:r w:rsidR="3A4FEC4B" w:rsidRPr="6D762E26">
        <w:rPr>
          <w:rFonts w:ascii="Calibri" w:eastAsia="Calibri" w:hAnsi="Calibri" w:cs="Calibri"/>
          <w:sz w:val="22"/>
          <w:szCs w:val="22"/>
        </w:rPr>
        <w:t xml:space="preserve"> twenty-fourth to twenty sixth periodic reports</w:t>
      </w:r>
      <w:r w:rsidR="1DB41470" w:rsidRPr="6D762E26">
        <w:rPr>
          <w:rFonts w:ascii="Calibri" w:eastAsia="Calibri" w:hAnsi="Calibri" w:cs="Calibri"/>
          <w:sz w:val="22"/>
          <w:szCs w:val="22"/>
        </w:rPr>
        <w:t xml:space="preserve"> in August 2024</w:t>
      </w:r>
      <w:r w:rsidR="3E88654A" w:rsidRPr="6D762E26">
        <w:rPr>
          <w:rFonts w:ascii="Calibri" w:eastAsia="Calibri" w:hAnsi="Calibri" w:cs="Calibri"/>
          <w:sz w:val="22"/>
          <w:szCs w:val="22"/>
        </w:rPr>
        <w:t>, the</w:t>
      </w:r>
      <w:r w:rsidR="5A8FC8F1" w:rsidRPr="6D762E26">
        <w:rPr>
          <w:rFonts w:ascii="Calibri" w:eastAsia="Calibri" w:hAnsi="Calibri" w:cs="Calibri"/>
          <w:sz w:val="22"/>
          <w:szCs w:val="22"/>
        </w:rPr>
        <w:t xml:space="preserve"> UK</w:t>
      </w:r>
      <w:r w:rsidR="3E88654A" w:rsidRPr="6D762E26">
        <w:rPr>
          <w:rFonts w:ascii="Calibri" w:eastAsia="Calibri" w:hAnsi="Calibri" w:cs="Calibri"/>
          <w:sz w:val="22"/>
          <w:szCs w:val="22"/>
        </w:rPr>
        <w:t xml:space="preserve"> government committed to "putting right the injustices of the Windrush issue."</w:t>
      </w:r>
      <w:r w:rsidR="29F92296" w:rsidRPr="6D762E26">
        <w:rPr>
          <w:rStyle w:val="FootnoteReference"/>
          <w:rFonts w:ascii="Calibri" w:eastAsia="Calibri" w:hAnsi="Calibri" w:cs="Calibri"/>
          <w:sz w:val="22"/>
          <w:szCs w:val="22"/>
        </w:rPr>
        <w:footnoteReference w:id="1"/>
      </w:r>
      <w:r w:rsidR="3E88654A" w:rsidRPr="6D762E26">
        <w:rPr>
          <w:rFonts w:ascii="Calibri" w:eastAsia="Calibri" w:hAnsi="Calibri" w:cs="Calibri"/>
          <w:sz w:val="22"/>
          <w:szCs w:val="22"/>
        </w:rPr>
        <w:t xml:space="preserve"> Human Rights Watch welcomes this commitment and urges the Committee to hold the </w:t>
      </w:r>
      <w:r w:rsidR="491E5042" w:rsidRPr="6D762E26">
        <w:rPr>
          <w:rFonts w:ascii="Calibri" w:eastAsia="Calibri" w:hAnsi="Calibri" w:cs="Calibri"/>
          <w:sz w:val="22"/>
          <w:szCs w:val="22"/>
        </w:rPr>
        <w:t>s</w:t>
      </w:r>
      <w:r w:rsidR="3E88654A" w:rsidRPr="6D762E26">
        <w:rPr>
          <w:rFonts w:ascii="Calibri" w:eastAsia="Calibri" w:hAnsi="Calibri" w:cs="Calibri"/>
          <w:sz w:val="22"/>
          <w:szCs w:val="22"/>
        </w:rPr>
        <w:t xml:space="preserve">tate party to </w:t>
      </w:r>
      <w:r w:rsidR="585B85FA">
        <w:rPr>
          <w:rFonts w:ascii="Calibri" w:eastAsia="Calibri" w:hAnsi="Calibri" w:cs="Calibri"/>
          <w:sz w:val="22"/>
          <w:szCs w:val="22"/>
        </w:rPr>
        <w:t>it</w:t>
      </w:r>
      <w:r w:rsidR="585B85FA" w:rsidRPr="6D762E26">
        <w:rPr>
          <w:rFonts w:ascii="Calibri" w:eastAsia="Calibri" w:hAnsi="Calibri" w:cs="Calibri"/>
          <w:sz w:val="22"/>
          <w:szCs w:val="22"/>
        </w:rPr>
        <w:t xml:space="preserve"> </w:t>
      </w:r>
      <w:r w:rsidR="3E88654A" w:rsidRPr="6D762E26">
        <w:rPr>
          <w:rFonts w:ascii="Calibri" w:eastAsia="Calibri" w:hAnsi="Calibri" w:cs="Calibri"/>
          <w:sz w:val="22"/>
          <w:szCs w:val="22"/>
        </w:rPr>
        <w:t>in full.</w:t>
      </w:r>
    </w:p>
    <w:p w14:paraId="30FA2EEC" w14:textId="301714AC" w:rsidR="6D762E26" w:rsidRDefault="6D762E26" w:rsidP="6D762E26">
      <w:pPr>
        <w:spacing w:after="0" w:line="240" w:lineRule="auto"/>
        <w:rPr>
          <w:rFonts w:ascii="Calibri" w:eastAsia="Calibri" w:hAnsi="Calibri" w:cs="Calibri"/>
          <w:sz w:val="22"/>
          <w:szCs w:val="22"/>
        </w:rPr>
      </w:pPr>
    </w:p>
    <w:p w14:paraId="6E20CD5E" w14:textId="0859D8DE" w:rsidR="4F96BDC2" w:rsidRDefault="0E21A8CF" w:rsidP="6D762E26">
      <w:pPr>
        <w:spacing w:after="0" w:line="240" w:lineRule="auto"/>
        <w:rPr>
          <w:rFonts w:ascii="Calibri" w:eastAsia="Calibri" w:hAnsi="Calibri" w:cs="Calibri"/>
          <w:sz w:val="22"/>
          <w:szCs w:val="22"/>
        </w:rPr>
      </w:pPr>
      <w:r w:rsidRPr="6D762E26">
        <w:rPr>
          <w:rFonts w:ascii="Calibri" w:eastAsia="Calibri" w:hAnsi="Calibri" w:cs="Calibri"/>
          <w:sz w:val="22"/>
          <w:szCs w:val="22"/>
        </w:rPr>
        <w:t>Human Rights Watch welcomes the UK government’s October 2025 reforms to the compensation scheme, especially that older claimants are prioritized given that many have died before receiving compensation.</w:t>
      </w:r>
      <w:r w:rsidR="4F96BDC2" w:rsidRPr="6D762E26">
        <w:rPr>
          <w:rStyle w:val="FootnoteReference"/>
          <w:rFonts w:ascii="Calibri" w:eastAsia="Calibri" w:hAnsi="Calibri" w:cs="Calibri"/>
          <w:sz w:val="22"/>
          <w:szCs w:val="22"/>
        </w:rPr>
        <w:footnoteReference w:id="2"/>
      </w:r>
      <w:r w:rsidRPr="6D762E26">
        <w:rPr>
          <w:rFonts w:ascii="Calibri" w:eastAsia="Calibri" w:hAnsi="Calibri" w:cs="Calibri"/>
          <w:sz w:val="22"/>
          <w:szCs w:val="22"/>
        </w:rPr>
        <w:t xml:space="preserve"> </w:t>
      </w:r>
      <w:r w:rsidR="15724A72" w:rsidRPr="6D762E26">
        <w:rPr>
          <w:rFonts w:ascii="Calibri" w:eastAsia="Calibri" w:hAnsi="Calibri" w:cs="Calibri"/>
          <w:sz w:val="22"/>
          <w:szCs w:val="22"/>
        </w:rPr>
        <w:t xml:space="preserve">While recent reforms are welcome, the measures adopted to date do not meet the threshold of an effective, adequate, and prompt remedy required under ICERD and the </w:t>
      </w:r>
      <w:r w:rsidR="404BD022" w:rsidRPr="6D762E26">
        <w:rPr>
          <w:rFonts w:ascii="Calibri" w:eastAsia="Calibri" w:hAnsi="Calibri" w:cs="Calibri"/>
          <w:sz w:val="22"/>
          <w:szCs w:val="22"/>
        </w:rPr>
        <w:t>Committee's recommendations</w:t>
      </w:r>
      <w:r w:rsidR="30FF2178" w:rsidRPr="6D762E26">
        <w:rPr>
          <w:rFonts w:ascii="Calibri" w:eastAsia="Calibri" w:hAnsi="Calibri" w:cs="Calibri"/>
          <w:sz w:val="22"/>
          <w:szCs w:val="22"/>
        </w:rPr>
        <w:t xml:space="preserve"> in its 2024 </w:t>
      </w:r>
      <w:hyperlink r:id="rId11" w:history="1">
        <w:r w:rsidR="30FF2178" w:rsidRPr="75BB483C">
          <w:rPr>
            <w:rStyle w:val="Hyperlink"/>
            <w:rFonts w:ascii="Calibri" w:eastAsia="Calibri" w:hAnsi="Calibri" w:cs="Calibri"/>
            <w:sz w:val="22"/>
            <w:szCs w:val="22"/>
          </w:rPr>
          <w:t>Concluding Observations</w:t>
        </w:r>
      </w:hyperlink>
      <w:r w:rsidR="15724A72" w:rsidRPr="6D762E26">
        <w:rPr>
          <w:rFonts w:ascii="Calibri" w:eastAsia="Calibri" w:hAnsi="Calibri" w:cs="Calibri"/>
          <w:sz w:val="22"/>
          <w:szCs w:val="22"/>
        </w:rPr>
        <w:t>.</w:t>
      </w:r>
    </w:p>
    <w:p w14:paraId="4C99203A" w14:textId="5A14BA9C" w:rsidR="4F96BDC2" w:rsidRDefault="4F96BDC2" w:rsidP="6D762E26">
      <w:pPr>
        <w:spacing w:after="0" w:line="240" w:lineRule="auto"/>
        <w:rPr>
          <w:rFonts w:ascii="Calibri" w:eastAsia="Calibri" w:hAnsi="Calibri" w:cs="Calibri"/>
          <w:sz w:val="22"/>
          <w:szCs w:val="22"/>
        </w:rPr>
      </w:pPr>
    </w:p>
    <w:p w14:paraId="081088B4" w14:textId="4D63A1AF" w:rsidR="4F96BDC2" w:rsidRDefault="53776D56" w:rsidP="6D762E26">
      <w:pPr>
        <w:spacing w:after="0" w:line="240" w:lineRule="auto"/>
        <w:rPr>
          <w:rFonts w:ascii="Calibri" w:eastAsia="Calibri" w:hAnsi="Calibri" w:cs="Calibri"/>
          <w:sz w:val="22"/>
          <w:szCs w:val="22"/>
        </w:rPr>
      </w:pPr>
      <w:r w:rsidRPr="6D762E26">
        <w:rPr>
          <w:rFonts w:ascii="Calibri" w:eastAsia="Calibri" w:hAnsi="Calibri" w:cs="Calibri"/>
          <w:sz w:val="22"/>
          <w:szCs w:val="22"/>
        </w:rPr>
        <w:t>The Committee's 2024 recommendation that the State party accept and implement all 30 recommendations of the Windrush Lessons Learned Review 2020 remains substantially unaddressed. Human Rights Watch raised the same concern in its 2024 submission to the UN Human Rights Committee</w:t>
      </w:r>
      <w:r w:rsidR="210F3CB8" w:rsidRPr="6D762E26">
        <w:rPr>
          <w:rFonts w:ascii="Calibri" w:eastAsia="Calibri" w:hAnsi="Calibri" w:cs="Calibri"/>
          <w:sz w:val="22"/>
          <w:szCs w:val="22"/>
        </w:rPr>
        <w:t xml:space="preserve"> regarding the UK’s ICCPR review</w:t>
      </w:r>
      <w:r w:rsidRPr="6D762E26">
        <w:rPr>
          <w:rFonts w:ascii="Calibri" w:eastAsia="Calibri" w:hAnsi="Calibri" w:cs="Calibri"/>
          <w:sz w:val="22"/>
          <w:szCs w:val="22"/>
        </w:rPr>
        <w:t xml:space="preserve">, noting the previous government's failure to </w:t>
      </w:r>
      <w:r w:rsidR="3FCE09D7" w:rsidRPr="6D762E26">
        <w:rPr>
          <w:rFonts w:ascii="Calibri" w:eastAsia="Calibri" w:hAnsi="Calibri" w:cs="Calibri"/>
          <w:sz w:val="22"/>
          <w:szCs w:val="22"/>
        </w:rPr>
        <w:t>honor</w:t>
      </w:r>
      <w:r w:rsidRPr="6D762E26">
        <w:rPr>
          <w:rFonts w:ascii="Calibri" w:eastAsia="Calibri" w:hAnsi="Calibri" w:cs="Calibri"/>
          <w:sz w:val="22"/>
          <w:szCs w:val="22"/>
        </w:rPr>
        <w:t xml:space="preserve"> the Review's recommendations, including on reforming the hostile environment policy and addressing institutional racial bias within the Home Office.</w:t>
      </w:r>
      <w:r w:rsidR="4F96BDC2" w:rsidRPr="6D762E26">
        <w:rPr>
          <w:rStyle w:val="FootnoteReference"/>
          <w:rFonts w:ascii="Calibri" w:eastAsia="Calibri" w:hAnsi="Calibri" w:cs="Calibri"/>
          <w:sz w:val="22"/>
          <w:szCs w:val="22"/>
        </w:rPr>
        <w:footnoteReference w:id="3"/>
      </w:r>
      <w:r w:rsidRPr="6D762E26">
        <w:rPr>
          <w:rFonts w:ascii="Calibri" w:eastAsia="Calibri" w:hAnsi="Calibri" w:cs="Calibri"/>
          <w:sz w:val="22"/>
          <w:szCs w:val="22"/>
        </w:rPr>
        <w:t xml:space="preserve"> </w:t>
      </w:r>
    </w:p>
    <w:p w14:paraId="56BCCC91" w14:textId="543F348E" w:rsidR="4F96BDC2" w:rsidRDefault="4F96BDC2" w:rsidP="6D762E26">
      <w:pPr>
        <w:spacing w:after="0" w:line="240" w:lineRule="auto"/>
        <w:rPr>
          <w:rFonts w:ascii="Calibri" w:eastAsia="Calibri" w:hAnsi="Calibri" w:cs="Calibri"/>
          <w:sz w:val="22"/>
          <w:szCs w:val="22"/>
        </w:rPr>
      </w:pPr>
    </w:p>
    <w:p w14:paraId="2B8FB33F" w14:textId="0D9C9E0B" w:rsidR="4F96BDC2" w:rsidRDefault="6A163A7A" w:rsidP="6D762E26">
      <w:pPr>
        <w:spacing w:after="0" w:line="240" w:lineRule="auto"/>
        <w:rPr>
          <w:rFonts w:ascii="Calibri" w:eastAsia="Calibri" w:hAnsi="Calibri" w:cs="Calibri"/>
          <w:sz w:val="22"/>
          <w:szCs w:val="22"/>
        </w:rPr>
      </w:pPr>
      <w:r w:rsidRPr="6D762E26">
        <w:rPr>
          <w:rFonts w:ascii="Calibri" w:eastAsia="Calibri" w:hAnsi="Calibri" w:cs="Calibri"/>
          <w:sz w:val="22"/>
          <w:szCs w:val="22"/>
        </w:rPr>
        <w:t xml:space="preserve">Additionally, </w:t>
      </w:r>
      <w:r w:rsidR="0E21A8CF" w:rsidRPr="6D762E26">
        <w:rPr>
          <w:rFonts w:ascii="Calibri" w:eastAsia="Calibri" w:hAnsi="Calibri" w:cs="Calibri"/>
          <w:sz w:val="22"/>
          <w:szCs w:val="22"/>
        </w:rPr>
        <w:t>claimants still need access to free legal representation to receive full and fair compensation—and to speed up the compensation process to avoid several years of appeals against arbitrarily low initial compensation offers from the Home Office.</w:t>
      </w:r>
    </w:p>
    <w:p w14:paraId="51E76C92" w14:textId="3A82C327" w:rsidR="7A16347B" w:rsidRDefault="7A16347B" w:rsidP="6D762E26">
      <w:pPr>
        <w:spacing w:after="0" w:line="240" w:lineRule="auto"/>
        <w:rPr>
          <w:rFonts w:ascii="Calibri" w:eastAsia="Calibri" w:hAnsi="Calibri" w:cs="Calibri"/>
          <w:sz w:val="22"/>
          <w:szCs w:val="22"/>
        </w:rPr>
      </w:pPr>
    </w:p>
    <w:p w14:paraId="6B291715" w14:textId="07829562" w:rsidR="6535AB72" w:rsidRDefault="640A83C5" w:rsidP="4917AC6F">
      <w:pPr>
        <w:spacing w:after="0" w:line="240" w:lineRule="auto"/>
        <w:rPr>
          <w:rFonts w:ascii="Calibri" w:eastAsia="Calibri" w:hAnsi="Calibri" w:cs="Calibri"/>
          <w:sz w:val="22"/>
          <w:szCs w:val="22"/>
        </w:rPr>
      </w:pPr>
      <w:r w:rsidRPr="4917AC6F">
        <w:rPr>
          <w:rFonts w:ascii="Calibri" w:eastAsia="Calibri" w:hAnsi="Calibri" w:cs="Calibri"/>
          <w:sz w:val="22"/>
          <w:szCs w:val="22"/>
        </w:rPr>
        <w:lastRenderedPageBreak/>
        <w:t>Contrary to</w:t>
      </w:r>
      <w:r w:rsidR="041338E7" w:rsidRPr="59219708">
        <w:rPr>
          <w:rFonts w:ascii="Segoe UI" w:eastAsia="Segoe UI" w:hAnsi="Segoe UI" w:cs="Segoe UI"/>
          <w:sz w:val="21"/>
          <w:szCs w:val="21"/>
        </w:rPr>
        <w:t xml:space="preserve"> claims made in the state party's follow-up report</w:t>
      </w:r>
      <w:r w:rsidRPr="4917AC6F">
        <w:rPr>
          <w:rFonts w:ascii="Calibri" w:eastAsia="Calibri" w:hAnsi="Calibri" w:cs="Calibri"/>
          <w:sz w:val="22"/>
          <w:szCs w:val="22"/>
        </w:rPr>
        <w:t>,</w:t>
      </w:r>
      <w:r w:rsidR="034A827A" w:rsidRPr="4917AC6F">
        <w:rPr>
          <w:rStyle w:val="FootnoteReference"/>
          <w:rFonts w:ascii="Calibri" w:eastAsia="Calibri" w:hAnsi="Calibri" w:cs="Calibri"/>
          <w:sz w:val="22"/>
          <w:szCs w:val="22"/>
        </w:rPr>
        <w:footnoteReference w:id="4"/>
      </w:r>
      <w:r w:rsidRPr="4917AC6F">
        <w:rPr>
          <w:rFonts w:ascii="Calibri" w:eastAsia="Calibri" w:hAnsi="Calibri" w:cs="Calibri"/>
          <w:sz w:val="22"/>
          <w:szCs w:val="22"/>
        </w:rPr>
        <w:t xml:space="preserve"> t</w:t>
      </w:r>
      <w:r w:rsidR="5BCBE4EC" w:rsidRPr="4917AC6F">
        <w:rPr>
          <w:rFonts w:ascii="Calibri" w:eastAsia="Calibri" w:hAnsi="Calibri" w:cs="Calibri"/>
          <w:sz w:val="22"/>
          <w:szCs w:val="22"/>
        </w:rPr>
        <w:t>he Windrush Compensation Scheme is too complex</w:t>
      </w:r>
      <w:r w:rsidR="1738EF50" w:rsidRPr="4917AC6F">
        <w:rPr>
          <w:rFonts w:ascii="Calibri" w:eastAsia="Calibri" w:hAnsi="Calibri" w:cs="Calibri"/>
          <w:sz w:val="22"/>
          <w:szCs w:val="22"/>
        </w:rPr>
        <w:t xml:space="preserve"> for claimants</w:t>
      </w:r>
      <w:r w:rsidR="5BCBE4EC" w:rsidRPr="4917AC6F">
        <w:rPr>
          <w:rFonts w:ascii="Calibri" w:eastAsia="Calibri" w:hAnsi="Calibri" w:cs="Calibri"/>
          <w:sz w:val="22"/>
          <w:szCs w:val="22"/>
        </w:rPr>
        <w:t xml:space="preserve"> to </w:t>
      </w:r>
      <w:r w:rsidR="1AB0B5CF" w:rsidRPr="4917AC6F">
        <w:rPr>
          <w:rFonts w:ascii="Calibri" w:eastAsia="Calibri" w:hAnsi="Calibri" w:cs="Calibri"/>
          <w:sz w:val="22"/>
          <w:szCs w:val="22"/>
        </w:rPr>
        <w:t>navigate</w:t>
      </w:r>
      <w:r w:rsidR="5BCBE4EC" w:rsidRPr="4917AC6F">
        <w:rPr>
          <w:rFonts w:ascii="Calibri" w:eastAsia="Calibri" w:hAnsi="Calibri" w:cs="Calibri"/>
          <w:sz w:val="22"/>
          <w:szCs w:val="22"/>
        </w:rPr>
        <w:t xml:space="preserve"> without free legal representation. </w:t>
      </w:r>
    </w:p>
    <w:p w14:paraId="5D28AD6A" w14:textId="7181A13C" w:rsidR="7A16347B" w:rsidRDefault="7A16347B" w:rsidP="7A16347B">
      <w:pPr>
        <w:spacing w:after="0" w:line="240" w:lineRule="auto"/>
        <w:rPr>
          <w:rFonts w:ascii="Calibri" w:eastAsia="Calibri" w:hAnsi="Calibri" w:cs="Calibri"/>
          <w:sz w:val="22"/>
          <w:szCs w:val="22"/>
          <w:u w:val="single"/>
        </w:rPr>
      </w:pPr>
    </w:p>
    <w:p w14:paraId="15B6978C" w14:textId="60FC8151" w:rsidR="1E3E998B" w:rsidRDefault="5426C008" w:rsidP="7A16347B">
      <w:pPr>
        <w:spacing w:after="0" w:line="240" w:lineRule="auto"/>
        <w:rPr>
          <w:rFonts w:ascii="Calibri" w:eastAsia="Calibri" w:hAnsi="Calibri" w:cs="Calibri"/>
          <w:sz w:val="22"/>
          <w:szCs w:val="22"/>
        </w:rPr>
      </w:pPr>
      <w:r w:rsidRPr="7A16347B">
        <w:rPr>
          <w:rFonts w:ascii="Calibri" w:eastAsia="Calibri" w:hAnsi="Calibri" w:cs="Calibri"/>
          <w:sz w:val="22"/>
          <w:szCs w:val="22"/>
        </w:rPr>
        <w:t xml:space="preserve">The </w:t>
      </w:r>
      <w:r w:rsidRPr="6D762E26">
        <w:rPr>
          <w:rFonts w:ascii="Calibri" w:eastAsia="Calibri" w:hAnsi="Calibri" w:cs="Calibri"/>
          <w:sz w:val="22"/>
          <w:szCs w:val="22"/>
        </w:rPr>
        <w:t xml:space="preserve">application form for primary applicants is </w:t>
      </w:r>
      <w:r w:rsidR="3958C175" w:rsidRPr="6D762E26">
        <w:rPr>
          <w:rFonts w:ascii="Calibri" w:eastAsia="Calibri" w:hAnsi="Calibri" w:cs="Calibri"/>
          <w:sz w:val="22"/>
          <w:szCs w:val="22"/>
        </w:rPr>
        <w:t>3</w:t>
      </w:r>
      <w:r w:rsidRPr="6D762E26">
        <w:rPr>
          <w:rFonts w:ascii="Calibri" w:eastAsia="Calibri" w:hAnsi="Calibri" w:cs="Calibri"/>
          <w:sz w:val="22"/>
          <w:szCs w:val="22"/>
        </w:rPr>
        <w:t>4 pages long</w:t>
      </w:r>
      <w:r w:rsidRPr="7A16347B">
        <w:rPr>
          <w:rFonts w:ascii="Calibri" w:eastAsia="Calibri" w:hAnsi="Calibri" w:cs="Calibri"/>
          <w:sz w:val="22"/>
          <w:szCs w:val="22"/>
        </w:rPr>
        <w:t xml:space="preserve"> and requires substantive evidence of losses and what it calls “impact on life” that claimants can demonstrate is linked to living without papers showing their lawful status.</w:t>
      </w:r>
      <w:r w:rsidR="1E3E998B" w:rsidRPr="7A16347B">
        <w:rPr>
          <w:rStyle w:val="FootnoteReference"/>
          <w:rFonts w:ascii="Calibri" w:eastAsia="Calibri" w:hAnsi="Calibri" w:cs="Calibri"/>
          <w:sz w:val="22"/>
          <w:szCs w:val="22"/>
        </w:rPr>
        <w:footnoteReference w:id="5"/>
      </w:r>
      <w:r w:rsidRPr="7A16347B">
        <w:rPr>
          <w:rFonts w:ascii="Calibri" w:eastAsia="Calibri" w:hAnsi="Calibri" w:cs="Calibri"/>
          <w:sz w:val="22"/>
          <w:szCs w:val="22"/>
        </w:rPr>
        <w:t xml:space="preserve"> </w:t>
      </w:r>
      <w:r w:rsidR="4F303BFB" w:rsidRPr="6D762E26">
        <w:rPr>
          <w:rFonts w:ascii="Calibri" w:eastAsia="Calibri" w:hAnsi="Calibri" w:cs="Calibri"/>
          <w:sz w:val="22"/>
          <w:szCs w:val="22"/>
        </w:rPr>
        <w:t xml:space="preserve">The amount </w:t>
      </w:r>
      <w:r w:rsidR="3116E8B8">
        <w:rPr>
          <w:rFonts w:ascii="Calibri" w:eastAsia="Calibri" w:hAnsi="Calibri" w:cs="Calibri"/>
          <w:sz w:val="22"/>
          <w:szCs w:val="22"/>
        </w:rPr>
        <w:t xml:space="preserve">and type </w:t>
      </w:r>
      <w:r w:rsidR="4F303BFB" w:rsidRPr="6D762E26">
        <w:rPr>
          <w:rFonts w:ascii="Calibri" w:eastAsia="Calibri" w:hAnsi="Calibri" w:cs="Calibri"/>
          <w:sz w:val="22"/>
          <w:szCs w:val="22"/>
        </w:rPr>
        <w:t>of evidence that is asked from claimants is unmanageable for many claimants</w:t>
      </w:r>
      <w:r w:rsidR="781848D0" w:rsidRPr="6D762E26">
        <w:rPr>
          <w:rFonts w:ascii="Calibri" w:eastAsia="Calibri" w:hAnsi="Calibri" w:cs="Calibri"/>
          <w:sz w:val="22"/>
          <w:szCs w:val="22"/>
        </w:rPr>
        <w:t>.</w:t>
      </w:r>
      <w:r w:rsidR="226D529A" w:rsidRPr="6D762E26">
        <w:rPr>
          <w:rFonts w:ascii="Calibri" w:eastAsia="Calibri" w:hAnsi="Calibri" w:cs="Calibri"/>
          <w:sz w:val="22"/>
          <w:szCs w:val="22"/>
        </w:rPr>
        <w:t xml:space="preserve"> </w:t>
      </w:r>
      <w:r w:rsidR="79A5C024">
        <w:rPr>
          <w:rFonts w:ascii="Calibri" w:eastAsia="Calibri" w:hAnsi="Calibri" w:cs="Calibri"/>
          <w:sz w:val="22"/>
          <w:szCs w:val="22"/>
        </w:rPr>
        <w:t>P</w:t>
      </w:r>
      <w:r w:rsidR="226D529A" w:rsidRPr="6D762E26">
        <w:rPr>
          <w:rFonts w:ascii="Calibri" w:eastAsia="Calibri" w:hAnsi="Calibri" w:cs="Calibri"/>
          <w:sz w:val="22"/>
          <w:szCs w:val="22"/>
        </w:rPr>
        <w:t xml:space="preserve">rimary and close relative claimants </w:t>
      </w:r>
      <w:r w:rsidR="79A5C024" w:rsidRPr="5CA2CEA9">
        <w:rPr>
          <w:rFonts w:ascii="Calibri" w:eastAsia="Calibri" w:hAnsi="Calibri" w:cs="Calibri"/>
          <w:sz w:val="22"/>
          <w:szCs w:val="22"/>
        </w:rPr>
        <w:t>as well as lawyers assisting</w:t>
      </w:r>
      <w:r w:rsidR="79A5C024">
        <w:rPr>
          <w:rFonts w:ascii="Calibri" w:eastAsia="Calibri" w:hAnsi="Calibri" w:cs="Calibri"/>
          <w:sz w:val="22"/>
          <w:szCs w:val="22"/>
        </w:rPr>
        <w:t xml:space="preserve"> Windrush claimants</w:t>
      </w:r>
      <w:r w:rsidR="226D529A" w:rsidRPr="6D762E26">
        <w:rPr>
          <w:rFonts w:ascii="Calibri" w:eastAsia="Calibri" w:hAnsi="Calibri" w:cs="Calibri"/>
          <w:sz w:val="22"/>
          <w:szCs w:val="22"/>
        </w:rPr>
        <w:t xml:space="preserve"> told Human Rights Watch that legal </w:t>
      </w:r>
      <w:r w:rsidR="0919C609">
        <w:rPr>
          <w:rFonts w:ascii="Calibri" w:eastAsia="Calibri" w:hAnsi="Calibri" w:cs="Calibri"/>
          <w:sz w:val="22"/>
          <w:szCs w:val="22"/>
        </w:rPr>
        <w:t>representation</w:t>
      </w:r>
      <w:r w:rsidR="0919C609" w:rsidRPr="6D762E26">
        <w:rPr>
          <w:rFonts w:ascii="Calibri" w:eastAsia="Calibri" w:hAnsi="Calibri" w:cs="Calibri"/>
          <w:sz w:val="22"/>
          <w:szCs w:val="22"/>
        </w:rPr>
        <w:t xml:space="preserve"> </w:t>
      </w:r>
      <w:r w:rsidR="226D529A" w:rsidRPr="6D762E26">
        <w:rPr>
          <w:rFonts w:ascii="Calibri" w:eastAsia="Calibri" w:hAnsi="Calibri" w:cs="Calibri"/>
          <w:sz w:val="22"/>
          <w:szCs w:val="22"/>
        </w:rPr>
        <w:t>was necessary to access the scheme because of the complexity of the application process.</w:t>
      </w:r>
      <w:r w:rsidR="4BA656D6" w:rsidRPr="5CA2CEA9">
        <w:rPr>
          <w:rStyle w:val="FootnoteReference"/>
          <w:rFonts w:ascii="Calibri" w:eastAsia="Calibri" w:hAnsi="Calibri" w:cs="Calibri"/>
          <w:sz w:val="22"/>
          <w:szCs w:val="22"/>
        </w:rPr>
        <w:footnoteReference w:id="6"/>
      </w:r>
      <w:r w:rsidR="226D529A" w:rsidRPr="6D762E26">
        <w:rPr>
          <w:rFonts w:ascii="Calibri" w:eastAsia="Calibri" w:hAnsi="Calibri" w:cs="Calibri"/>
          <w:sz w:val="22"/>
          <w:szCs w:val="22"/>
        </w:rPr>
        <w:t xml:space="preserve"> </w:t>
      </w:r>
    </w:p>
    <w:p w14:paraId="1FE1609F" w14:textId="0ED85D0B" w:rsidR="0074ADFB" w:rsidRDefault="2BE65DB9" w:rsidP="7A16347B">
      <w:pPr>
        <w:spacing w:before="360" w:after="0" w:line="240" w:lineRule="auto"/>
        <w:rPr>
          <w:rFonts w:ascii="Calibri" w:eastAsia="Calibri" w:hAnsi="Calibri" w:cs="Calibri"/>
          <w:sz w:val="22"/>
          <w:szCs w:val="22"/>
        </w:rPr>
      </w:pPr>
      <w:r w:rsidRPr="7A16347B">
        <w:rPr>
          <w:rFonts w:ascii="Calibri" w:eastAsia="Calibri" w:hAnsi="Calibri" w:cs="Calibri"/>
          <w:sz w:val="22"/>
          <w:szCs w:val="22"/>
        </w:rPr>
        <w:t xml:space="preserve">The </w:t>
      </w:r>
      <w:r w:rsidR="5B3A8859" w:rsidRPr="7A16347B">
        <w:rPr>
          <w:rFonts w:ascii="Calibri" w:eastAsia="Calibri" w:hAnsi="Calibri" w:cs="Calibri"/>
          <w:sz w:val="22"/>
          <w:szCs w:val="22"/>
        </w:rPr>
        <w:t>s</w:t>
      </w:r>
      <w:r w:rsidRPr="7A16347B">
        <w:rPr>
          <w:rFonts w:ascii="Calibri" w:eastAsia="Calibri" w:hAnsi="Calibri" w:cs="Calibri"/>
          <w:sz w:val="22"/>
          <w:szCs w:val="22"/>
        </w:rPr>
        <w:t xml:space="preserve">tate party's reference to case law to support its position that claimants are not required to argue complex points of law pertains to </w:t>
      </w:r>
      <w:r w:rsidRPr="75BB483C">
        <w:rPr>
          <w:rFonts w:ascii="Calibri" w:eastAsia="Calibri" w:hAnsi="Calibri" w:cs="Calibri"/>
          <w:i/>
          <w:iCs/>
          <w:sz w:val="22"/>
          <w:szCs w:val="22"/>
        </w:rPr>
        <w:t>Oji, R (On the Application Of) v The Director of Legal Aid Casework</w:t>
      </w:r>
      <w:r w:rsidRPr="7A16347B">
        <w:rPr>
          <w:rFonts w:ascii="Calibri" w:eastAsia="Calibri" w:hAnsi="Calibri" w:cs="Calibri"/>
          <w:sz w:val="22"/>
          <w:szCs w:val="22"/>
        </w:rPr>
        <w:t xml:space="preserve"> [2024] EWHC 1281 (Admin), a decision that is currently under appeal and cannot be treated as settled authority</w:t>
      </w:r>
      <w:r w:rsidRPr="6D762E26">
        <w:rPr>
          <w:rFonts w:ascii="Calibri" w:eastAsia="Calibri" w:hAnsi="Calibri" w:cs="Calibri"/>
          <w:sz w:val="22"/>
          <w:szCs w:val="22"/>
        </w:rPr>
        <w:t>.</w:t>
      </w:r>
      <w:r w:rsidR="0074ADFB" w:rsidRPr="6D762E26">
        <w:rPr>
          <w:rStyle w:val="FootnoteReference"/>
          <w:rFonts w:ascii="Calibri" w:eastAsia="Calibri" w:hAnsi="Calibri" w:cs="Calibri"/>
          <w:sz w:val="22"/>
          <w:szCs w:val="22"/>
        </w:rPr>
        <w:footnoteReference w:id="7"/>
      </w:r>
      <w:r w:rsidRPr="7A16347B">
        <w:rPr>
          <w:rFonts w:ascii="Calibri" w:eastAsia="Calibri" w:hAnsi="Calibri" w:cs="Calibri"/>
          <w:sz w:val="22"/>
          <w:szCs w:val="22"/>
        </w:rPr>
        <w:t xml:space="preserve"> Moreover, the legal complexity of a claim is not the only measure of the need for representation.</w:t>
      </w:r>
    </w:p>
    <w:p w14:paraId="23B6539D" w14:textId="7A76C6E2" w:rsidR="503EBE0A" w:rsidRDefault="13C58795" w:rsidP="6D762E26">
      <w:pPr>
        <w:spacing w:before="360" w:after="0" w:line="240" w:lineRule="auto"/>
        <w:rPr>
          <w:rFonts w:ascii="Calibri" w:eastAsia="Calibri" w:hAnsi="Calibri" w:cs="Calibri"/>
          <w:sz w:val="22"/>
          <w:szCs w:val="22"/>
        </w:rPr>
      </w:pPr>
      <w:r w:rsidRPr="7A16347B">
        <w:rPr>
          <w:rFonts w:ascii="Calibri" w:eastAsia="Calibri" w:hAnsi="Calibri" w:cs="Calibri"/>
          <w:sz w:val="22"/>
          <w:szCs w:val="22"/>
        </w:rPr>
        <w:t xml:space="preserve">The UK Charity </w:t>
      </w:r>
      <w:r w:rsidR="2BE65DB9" w:rsidRPr="7A16347B">
        <w:rPr>
          <w:rFonts w:ascii="Calibri" w:eastAsia="Calibri" w:hAnsi="Calibri" w:cs="Calibri"/>
          <w:sz w:val="22"/>
          <w:szCs w:val="22"/>
        </w:rPr>
        <w:t>JUSTICE's June 2025 review of 17 Windrush compensation cases found that compensation offers increased significantly where claimants had the support of a lawyer.</w:t>
      </w:r>
      <w:r w:rsidR="503EBE0A" w:rsidRPr="6D762E26">
        <w:rPr>
          <w:rStyle w:val="FootnoteReference"/>
          <w:rFonts w:ascii="Calibri" w:eastAsia="Calibri" w:hAnsi="Calibri" w:cs="Calibri"/>
          <w:sz w:val="22"/>
          <w:szCs w:val="22"/>
        </w:rPr>
        <w:footnoteReference w:id="8"/>
      </w:r>
    </w:p>
    <w:p w14:paraId="7FC4AF45" w14:textId="77777777" w:rsidR="002237A0" w:rsidRDefault="2BE65DB9" w:rsidP="6D762E26">
      <w:pPr>
        <w:shd w:val="clear" w:color="auto" w:fill="FFFFFF" w:themeFill="background1"/>
        <w:spacing w:after="0" w:line="240" w:lineRule="auto"/>
        <w:rPr>
          <w:rFonts w:ascii="Calibri" w:eastAsia="Calibri" w:hAnsi="Calibri" w:cs="Calibri"/>
          <w:sz w:val="22"/>
          <w:szCs w:val="22"/>
        </w:rPr>
      </w:pPr>
      <w:r w:rsidRPr="7A16347B">
        <w:rPr>
          <w:rFonts w:ascii="Calibri" w:eastAsia="Calibri" w:hAnsi="Calibri" w:cs="Calibri"/>
          <w:sz w:val="22"/>
          <w:szCs w:val="22"/>
        </w:rPr>
        <w:t xml:space="preserve">Lawyers are helpful not only where required to argue points of law, but also to gather and present evidence effectively, </w:t>
      </w:r>
      <w:r w:rsidRPr="6D762E26">
        <w:rPr>
          <w:rFonts w:ascii="Calibri" w:eastAsia="Calibri" w:hAnsi="Calibri" w:cs="Calibri"/>
          <w:sz w:val="22"/>
          <w:szCs w:val="22"/>
        </w:rPr>
        <w:t xml:space="preserve">and to counter arbitrary decisions from the Home Office, which, as the ombudsman also stated in its decision regarding a complaint from a Windrush family, were not </w:t>
      </w:r>
      <w:r w:rsidRPr="6D762E26">
        <w:rPr>
          <w:rFonts w:ascii="Calibri" w:eastAsia="Calibri" w:hAnsi="Calibri" w:cs="Calibri"/>
          <w:sz w:val="22"/>
          <w:szCs w:val="22"/>
        </w:rPr>
        <w:lastRenderedPageBreak/>
        <w:t>uncommon.</w:t>
      </w:r>
      <w:r w:rsidR="0074ADFB" w:rsidRPr="6D762E26">
        <w:rPr>
          <w:rStyle w:val="FootnoteReference"/>
          <w:rFonts w:ascii="Calibri" w:eastAsia="Calibri" w:hAnsi="Calibri" w:cs="Calibri"/>
          <w:sz w:val="22"/>
          <w:szCs w:val="22"/>
        </w:rPr>
        <w:footnoteReference w:id="9"/>
      </w:r>
      <w:r w:rsidRPr="6D762E26">
        <w:rPr>
          <w:rFonts w:ascii="Calibri" w:eastAsia="Calibri" w:hAnsi="Calibri" w:cs="Calibri"/>
          <w:sz w:val="22"/>
          <w:szCs w:val="22"/>
        </w:rPr>
        <w:t xml:space="preserve"> </w:t>
      </w:r>
      <w:r w:rsidR="64696CD9">
        <w:rPr>
          <w:rFonts w:ascii="Calibri" w:eastAsia="Calibri" w:hAnsi="Calibri" w:cs="Calibri"/>
          <w:sz w:val="22"/>
          <w:szCs w:val="22"/>
        </w:rPr>
        <w:t>Lawyers told Human Rights Watch that free legal representation protected claimants from the</w:t>
      </w:r>
      <w:r w:rsidR="64696CD9" w:rsidRPr="008C6E35">
        <w:rPr>
          <w:rFonts w:ascii="Calibri" w:eastAsia="Calibri" w:hAnsi="Calibri" w:cs="Calibri"/>
          <w:sz w:val="22"/>
          <w:szCs w:val="22"/>
        </w:rPr>
        <w:t xml:space="preserve"> Home Office</w:t>
      </w:r>
      <w:r w:rsidR="64696CD9">
        <w:rPr>
          <w:rFonts w:ascii="Calibri" w:eastAsia="Calibri" w:hAnsi="Calibri" w:cs="Calibri"/>
          <w:sz w:val="22"/>
          <w:szCs w:val="22"/>
        </w:rPr>
        <w:t>’s frequent failures</w:t>
      </w:r>
      <w:r w:rsidR="64696CD9" w:rsidRPr="008C6E35">
        <w:rPr>
          <w:rFonts w:ascii="Calibri" w:eastAsia="Calibri" w:hAnsi="Calibri" w:cs="Calibri"/>
          <w:sz w:val="22"/>
          <w:szCs w:val="22"/>
        </w:rPr>
        <w:t xml:space="preserve"> to apply own guidance or to consider </w:t>
      </w:r>
      <w:r w:rsidR="64696CD9">
        <w:rPr>
          <w:rFonts w:ascii="Calibri" w:eastAsia="Calibri" w:hAnsi="Calibri" w:cs="Calibri"/>
          <w:sz w:val="22"/>
          <w:szCs w:val="22"/>
        </w:rPr>
        <w:t xml:space="preserve">claimants’ </w:t>
      </w:r>
      <w:r w:rsidR="64696CD9" w:rsidRPr="008C6E35">
        <w:rPr>
          <w:rFonts w:ascii="Calibri" w:eastAsia="Calibri" w:hAnsi="Calibri" w:cs="Calibri"/>
          <w:sz w:val="22"/>
          <w:szCs w:val="22"/>
        </w:rPr>
        <w:t>evidence.</w:t>
      </w:r>
      <w:r w:rsidR="00902FE1">
        <w:rPr>
          <w:rStyle w:val="FootnoteReference"/>
          <w:rFonts w:ascii="Calibri" w:eastAsia="Calibri" w:hAnsi="Calibri" w:cs="Calibri"/>
          <w:sz w:val="22"/>
          <w:szCs w:val="22"/>
        </w:rPr>
        <w:footnoteReference w:id="10"/>
      </w:r>
      <w:r w:rsidR="64696CD9">
        <w:rPr>
          <w:rFonts w:ascii="Calibri" w:eastAsia="Calibri" w:hAnsi="Calibri" w:cs="Calibri"/>
          <w:sz w:val="22"/>
          <w:szCs w:val="22"/>
        </w:rPr>
        <w:t xml:space="preserve"> </w:t>
      </w:r>
    </w:p>
    <w:p w14:paraId="431897EE" w14:textId="77777777" w:rsidR="002237A0" w:rsidRDefault="002237A0" w:rsidP="6D762E26">
      <w:pPr>
        <w:shd w:val="clear" w:color="auto" w:fill="FFFFFF" w:themeFill="background1"/>
        <w:spacing w:after="0" w:line="240" w:lineRule="auto"/>
        <w:rPr>
          <w:rFonts w:ascii="Calibri" w:eastAsia="Calibri" w:hAnsi="Calibri" w:cs="Calibri"/>
          <w:sz w:val="22"/>
          <w:szCs w:val="22"/>
        </w:rPr>
      </w:pPr>
    </w:p>
    <w:p w14:paraId="63F09715" w14:textId="291EC803" w:rsidR="0074ADFB" w:rsidRDefault="765BC842" w:rsidP="59219708">
      <w:pPr>
        <w:shd w:val="clear" w:color="auto" w:fill="FFFFFF" w:themeFill="background1"/>
        <w:spacing w:after="0" w:line="240" w:lineRule="auto"/>
        <w:rPr>
          <w:rFonts w:ascii="Calibri" w:eastAsia="Calibri" w:hAnsi="Calibri" w:cs="Calibri"/>
          <w:sz w:val="22"/>
          <w:szCs w:val="22"/>
        </w:rPr>
      </w:pPr>
      <w:r>
        <w:rPr>
          <w:rFonts w:ascii="Calibri" w:eastAsia="Calibri" w:hAnsi="Calibri" w:cs="Calibri"/>
          <w:sz w:val="22"/>
          <w:szCs w:val="22"/>
        </w:rPr>
        <w:t>As it was the</w:t>
      </w:r>
      <w:r w:rsidR="2BE65DB9" w:rsidRPr="6D762E26">
        <w:rPr>
          <w:rFonts w:ascii="Calibri" w:eastAsia="Calibri" w:hAnsi="Calibri" w:cs="Calibri"/>
          <w:sz w:val="22"/>
          <w:szCs w:val="22"/>
        </w:rPr>
        <w:t xml:space="preserve"> Home Office who wronged claimants in the first instance</w:t>
      </w:r>
      <w:r>
        <w:rPr>
          <w:rFonts w:ascii="Calibri" w:eastAsia="Calibri" w:hAnsi="Calibri" w:cs="Calibri"/>
          <w:sz w:val="22"/>
          <w:szCs w:val="22"/>
        </w:rPr>
        <w:t xml:space="preserve">, claimants </w:t>
      </w:r>
      <w:r w:rsidRPr="008C6E35">
        <w:rPr>
          <w:rFonts w:ascii="Calibri" w:eastAsia="Calibri" w:hAnsi="Calibri" w:cs="Calibri"/>
          <w:sz w:val="22"/>
          <w:szCs w:val="22"/>
        </w:rPr>
        <w:t xml:space="preserve">described </w:t>
      </w:r>
      <w:r>
        <w:rPr>
          <w:rFonts w:ascii="Calibri" w:eastAsia="Calibri" w:hAnsi="Calibri" w:cs="Calibri"/>
          <w:sz w:val="22"/>
          <w:szCs w:val="22"/>
        </w:rPr>
        <w:t>accessing the</w:t>
      </w:r>
      <w:r w:rsidRPr="008C6E35">
        <w:rPr>
          <w:rFonts w:ascii="Calibri" w:eastAsia="Calibri" w:hAnsi="Calibri" w:cs="Calibri"/>
          <w:sz w:val="22"/>
          <w:szCs w:val="22"/>
        </w:rPr>
        <w:t xml:space="preserve"> compensation </w:t>
      </w:r>
      <w:proofErr w:type="gramStart"/>
      <w:r w:rsidRPr="008C6E35">
        <w:rPr>
          <w:rFonts w:ascii="Calibri" w:eastAsia="Calibri" w:hAnsi="Calibri" w:cs="Calibri"/>
          <w:sz w:val="22"/>
          <w:szCs w:val="22"/>
        </w:rPr>
        <w:t>scheme</w:t>
      </w:r>
      <w:proofErr w:type="gramEnd"/>
      <w:r w:rsidRPr="008C6E35">
        <w:rPr>
          <w:rFonts w:ascii="Calibri" w:eastAsia="Calibri" w:hAnsi="Calibri" w:cs="Calibri"/>
          <w:sz w:val="22"/>
          <w:szCs w:val="22"/>
        </w:rPr>
        <w:t xml:space="preserve"> a retraumatizing</w:t>
      </w:r>
      <w:r w:rsidR="28B12FB3" w:rsidRPr="5CA2CEA9">
        <w:rPr>
          <w:rFonts w:ascii="Calibri" w:eastAsia="Calibri" w:hAnsi="Calibri" w:cs="Calibri"/>
          <w:sz w:val="22"/>
          <w:szCs w:val="22"/>
        </w:rPr>
        <w:t xml:space="preserve"> </w:t>
      </w:r>
      <w:proofErr w:type="gramStart"/>
      <w:r w:rsidR="28B12FB3">
        <w:rPr>
          <w:rFonts w:ascii="Calibri" w:eastAsia="Calibri" w:hAnsi="Calibri" w:cs="Calibri"/>
          <w:sz w:val="22"/>
          <w:szCs w:val="22"/>
        </w:rPr>
        <w:t>experience</w:t>
      </w:r>
      <w:proofErr w:type="gramEnd"/>
      <w:r w:rsidR="07D04522">
        <w:rPr>
          <w:rFonts w:ascii="Calibri" w:eastAsia="Calibri" w:hAnsi="Calibri" w:cs="Calibri"/>
          <w:sz w:val="22"/>
          <w:szCs w:val="22"/>
        </w:rPr>
        <w:t xml:space="preserve"> </w:t>
      </w:r>
      <w:r w:rsidR="5A56B5D6">
        <w:rPr>
          <w:rFonts w:ascii="Calibri" w:eastAsia="Calibri" w:hAnsi="Calibri" w:cs="Calibri"/>
          <w:sz w:val="22"/>
          <w:szCs w:val="22"/>
        </w:rPr>
        <w:t>but</w:t>
      </w:r>
      <w:r w:rsidR="28B12FB3">
        <w:rPr>
          <w:rFonts w:ascii="Calibri" w:eastAsia="Calibri" w:hAnsi="Calibri" w:cs="Calibri"/>
          <w:sz w:val="22"/>
          <w:szCs w:val="22"/>
        </w:rPr>
        <w:t xml:space="preserve"> free </w:t>
      </w:r>
      <w:r w:rsidR="64B11620">
        <w:rPr>
          <w:rFonts w:ascii="Calibri" w:eastAsia="Calibri" w:hAnsi="Calibri" w:cs="Calibri"/>
          <w:sz w:val="22"/>
          <w:szCs w:val="22"/>
        </w:rPr>
        <w:t>legal representation provided the ne</w:t>
      </w:r>
      <w:r w:rsidR="64B11620" w:rsidRPr="5CA2CEA9">
        <w:rPr>
          <w:rFonts w:ascii="Calibri" w:eastAsia="Calibri" w:hAnsi="Calibri" w:cs="Calibri"/>
          <w:sz w:val="22"/>
          <w:szCs w:val="22"/>
        </w:rPr>
        <w:t xml:space="preserve">cessary support to access their </w:t>
      </w:r>
      <w:proofErr w:type="gramStart"/>
      <w:r w:rsidR="64B11620" w:rsidRPr="5CA2CEA9">
        <w:rPr>
          <w:rFonts w:ascii="Calibri" w:eastAsia="Calibri" w:hAnsi="Calibri" w:cs="Calibri"/>
          <w:sz w:val="22"/>
          <w:szCs w:val="22"/>
        </w:rPr>
        <w:t>right</w:t>
      </w:r>
      <w:proofErr w:type="gramEnd"/>
      <w:r w:rsidR="64B11620" w:rsidRPr="5CA2CEA9">
        <w:rPr>
          <w:rFonts w:ascii="Calibri" w:eastAsia="Calibri" w:hAnsi="Calibri" w:cs="Calibri"/>
          <w:sz w:val="22"/>
          <w:szCs w:val="22"/>
        </w:rPr>
        <w:t xml:space="preserve"> to a </w:t>
      </w:r>
      <w:r w:rsidR="64B11620">
        <w:rPr>
          <w:rFonts w:ascii="Calibri" w:eastAsia="Calibri" w:hAnsi="Calibri" w:cs="Calibri"/>
          <w:sz w:val="22"/>
          <w:szCs w:val="22"/>
        </w:rPr>
        <w:t>remedy.</w:t>
      </w:r>
      <w:r w:rsidR="00AD07D6">
        <w:rPr>
          <w:rStyle w:val="FootnoteReference"/>
          <w:rFonts w:ascii="Calibri" w:eastAsia="Calibri" w:hAnsi="Calibri" w:cs="Calibri"/>
          <w:sz w:val="22"/>
          <w:szCs w:val="22"/>
        </w:rPr>
        <w:footnoteReference w:id="11"/>
      </w:r>
      <w:r w:rsidR="07D04522">
        <w:rPr>
          <w:rFonts w:ascii="Calibri" w:eastAsia="Calibri" w:hAnsi="Calibri" w:cs="Calibri"/>
          <w:sz w:val="22"/>
          <w:szCs w:val="22"/>
        </w:rPr>
        <w:t xml:space="preserve"> </w:t>
      </w:r>
    </w:p>
    <w:p w14:paraId="11D3194A" w14:textId="5E9DE67B" w:rsidR="59219708" w:rsidRDefault="59219708" w:rsidP="59219708">
      <w:pPr>
        <w:shd w:val="clear" w:color="auto" w:fill="FFFFFF" w:themeFill="background1"/>
        <w:spacing w:after="0" w:line="240" w:lineRule="auto"/>
        <w:rPr>
          <w:rFonts w:ascii="Calibri" w:eastAsia="Calibri" w:hAnsi="Calibri" w:cs="Calibri"/>
          <w:sz w:val="22"/>
          <w:szCs w:val="22"/>
        </w:rPr>
      </w:pPr>
    </w:p>
    <w:p w14:paraId="61F96A82" w14:textId="0670AF1A" w:rsidR="17CD3B03" w:rsidRDefault="4A937C41" w:rsidP="7A16347B">
      <w:pPr>
        <w:spacing w:after="0" w:line="240" w:lineRule="auto"/>
        <w:rPr>
          <w:rFonts w:ascii="Calibri" w:eastAsia="Calibri" w:hAnsi="Calibri" w:cs="Calibri"/>
          <w:sz w:val="22"/>
          <w:szCs w:val="22"/>
          <w:u w:val="single"/>
        </w:rPr>
      </w:pPr>
      <w:r w:rsidRPr="75BB483C">
        <w:rPr>
          <w:rFonts w:ascii="Calibri" w:eastAsia="Calibri" w:hAnsi="Calibri" w:cs="Calibri"/>
          <w:sz w:val="22"/>
          <w:szCs w:val="22"/>
          <w:u w:val="single"/>
        </w:rPr>
        <w:t>The advocacy fund and support from the</w:t>
      </w:r>
      <w:r w:rsidR="5226C0E3" w:rsidRPr="75BB483C">
        <w:rPr>
          <w:rFonts w:ascii="Calibri" w:eastAsia="Calibri" w:hAnsi="Calibri" w:cs="Calibri"/>
          <w:sz w:val="22"/>
          <w:szCs w:val="22"/>
          <w:u w:val="single"/>
        </w:rPr>
        <w:t xml:space="preserve"> </w:t>
      </w:r>
      <w:proofErr w:type="gramStart"/>
      <w:r w:rsidR="5226C0E3" w:rsidRPr="75BB483C">
        <w:rPr>
          <w:rFonts w:ascii="Calibri" w:eastAsia="Calibri" w:hAnsi="Calibri" w:cs="Calibri"/>
          <w:sz w:val="22"/>
          <w:szCs w:val="22"/>
          <w:u w:val="single"/>
        </w:rPr>
        <w:t>claims</w:t>
      </w:r>
      <w:proofErr w:type="gramEnd"/>
      <w:r w:rsidR="5226C0E3" w:rsidRPr="75BB483C">
        <w:rPr>
          <w:rFonts w:ascii="Calibri" w:eastAsia="Calibri" w:hAnsi="Calibri" w:cs="Calibri"/>
          <w:sz w:val="22"/>
          <w:szCs w:val="22"/>
          <w:u w:val="single"/>
        </w:rPr>
        <w:t xml:space="preserve"> assistance provider</w:t>
      </w:r>
      <w:r w:rsidRPr="75BB483C">
        <w:rPr>
          <w:rFonts w:ascii="Calibri" w:eastAsia="Calibri" w:hAnsi="Calibri" w:cs="Calibri"/>
          <w:sz w:val="22"/>
          <w:szCs w:val="22"/>
          <w:u w:val="single"/>
        </w:rPr>
        <w:t xml:space="preserve"> </w:t>
      </w:r>
      <w:r w:rsidR="17A6AD89" w:rsidRPr="75BB483C">
        <w:rPr>
          <w:rFonts w:ascii="Calibri" w:eastAsia="Calibri" w:hAnsi="Calibri" w:cs="Calibri"/>
          <w:sz w:val="22"/>
          <w:szCs w:val="22"/>
          <w:u w:val="single"/>
        </w:rPr>
        <w:t>‘</w:t>
      </w:r>
      <w:r w:rsidR="359E0797" w:rsidRPr="75BB483C">
        <w:rPr>
          <w:rFonts w:ascii="Calibri" w:eastAsia="Calibri" w:hAnsi="Calibri" w:cs="Calibri"/>
          <w:sz w:val="22"/>
          <w:szCs w:val="22"/>
          <w:u w:val="single"/>
        </w:rPr>
        <w:t>W</w:t>
      </w:r>
      <w:r w:rsidRPr="75BB483C">
        <w:rPr>
          <w:rFonts w:ascii="Calibri" w:eastAsia="Calibri" w:hAnsi="Calibri" w:cs="Calibri"/>
          <w:sz w:val="22"/>
          <w:szCs w:val="22"/>
          <w:u w:val="single"/>
        </w:rPr>
        <w:t xml:space="preserve">e </w:t>
      </w:r>
      <w:r w:rsidR="376E11F9" w:rsidRPr="75BB483C">
        <w:rPr>
          <w:rFonts w:ascii="Calibri" w:eastAsia="Calibri" w:hAnsi="Calibri" w:cs="Calibri"/>
          <w:sz w:val="22"/>
          <w:szCs w:val="22"/>
          <w:u w:val="single"/>
        </w:rPr>
        <w:t>A</w:t>
      </w:r>
      <w:r w:rsidRPr="75BB483C">
        <w:rPr>
          <w:rFonts w:ascii="Calibri" w:eastAsia="Calibri" w:hAnsi="Calibri" w:cs="Calibri"/>
          <w:sz w:val="22"/>
          <w:szCs w:val="22"/>
          <w:u w:val="single"/>
        </w:rPr>
        <w:t xml:space="preserve">re </w:t>
      </w:r>
      <w:r w:rsidR="43950B92" w:rsidRPr="75BB483C">
        <w:rPr>
          <w:rFonts w:ascii="Calibri" w:eastAsia="Calibri" w:hAnsi="Calibri" w:cs="Calibri"/>
          <w:sz w:val="22"/>
          <w:szCs w:val="22"/>
          <w:u w:val="single"/>
        </w:rPr>
        <w:t>G</w:t>
      </w:r>
      <w:r w:rsidRPr="75BB483C">
        <w:rPr>
          <w:rFonts w:ascii="Calibri" w:eastAsia="Calibri" w:hAnsi="Calibri" w:cs="Calibri"/>
          <w:sz w:val="22"/>
          <w:szCs w:val="22"/>
          <w:u w:val="single"/>
        </w:rPr>
        <w:t>roup</w:t>
      </w:r>
      <w:r w:rsidR="55621B4D" w:rsidRPr="75BB483C">
        <w:rPr>
          <w:rFonts w:ascii="Calibri" w:eastAsia="Calibri" w:hAnsi="Calibri" w:cs="Calibri"/>
          <w:sz w:val="22"/>
          <w:szCs w:val="22"/>
          <w:u w:val="single"/>
        </w:rPr>
        <w:t xml:space="preserve">’ mentioned in the UK’s follow up </w:t>
      </w:r>
      <w:hyperlink r:id="rId12">
        <w:r w:rsidR="55621B4D" w:rsidRPr="75BB483C">
          <w:rPr>
            <w:rStyle w:val="Hyperlink"/>
            <w:rFonts w:ascii="Calibri" w:eastAsia="Calibri" w:hAnsi="Calibri" w:cs="Calibri"/>
            <w:sz w:val="22"/>
            <w:szCs w:val="22"/>
          </w:rPr>
          <w:t>report</w:t>
        </w:r>
      </w:hyperlink>
      <w:r w:rsidR="55621B4D" w:rsidRPr="75BB483C">
        <w:rPr>
          <w:rFonts w:ascii="Calibri" w:eastAsia="Calibri" w:hAnsi="Calibri" w:cs="Calibri"/>
          <w:sz w:val="22"/>
          <w:szCs w:val="22"/>
          <w:u w:val="single"/>
        </w:rPr>
        <w:t xml:space="preserve"> </w:t>
      </w:r>
      <w:r w:rsidRPr="75BB483C">
        <w:rPr>
          <w:rFonts w:ascii="Calibri" w:eastAsia="Calibri" w:hAnsi="Calibri" w:cs="Calibri"/>
          <w:sz w:val="22"/>
          <w:szCs w:val="22"/>
          <w:u w:val="single"/>
        </w:rPr>
        <w:t xml:space="preserve">do not replace free legal </w:t>
      </w:r>
      <w:r w:rsidR="76DE452C" w:rsidRPr="75BB483C">
        <w:rPr>
          <w:rFonts w:ascii="Calibri" w:eastAsia="Calibri" w:hAnsi="Calibri" w:cs="Calibri"/>
          <w:sz w:val="22"/>
          <w:szCs w:val="22"/>
          <w:u w:val="single"/>
        </w:rPr>
        <w:t>representation</w:t>
      </w:r>
      <w:r w:rsidRPr="75BB483C">
        <w:rPr>
          <w:rFonts w:ascii="Calibri" w:eastAsia="Calibri" w:hAnsi="Calibri" w:cs="Calibri"/>
          <w:sz w:val="22"/>
          <w:szCs w:val="22"/>
          <w:u w:val="single"/>
        </w:rPr>
        <w:t xml:space="preserve"> by a lawyer.</w:t>
      </w:r>
    </w:p>
    <w:p w14:paraId="2A96FDFC" w14:textId="73F90FCF" w:rsidR="7A16347B" w:rsidRDefault="7A16347B" w:rsidP="6D762E26">
      <w:pPr>
        <w:shd w:val="clear" w:color="auto" w:fill="FFFFFF" w:themeFill="background1"/>
        <w:spacing w:after="0" w:line="240" w:lineRule="auto"/>
        <w:rPr>
          <w:rFonts w:ascii="Calibri" w:eastAsia="Calibri" w:hAnsi="Calibri" w:cs="Calibri"/>
          <w:sz w:val="22"/>
          <w:szCs w:val="22"/>
          <w:u w:val="single"/>
        </w:rPr>
      </w:pPr>
    </w:p>
    <w:p w14:paraId="22CAC954" w14:textId="3B67DE11" w:rsidR="7988A0F2" w:rsidRDefault="1E7718FC" w:rsidP="6D762E26">
      <w:pPr>
        <w:shd w:val="clear" w:color="auto" w:fill="FFFFFF" w:themeFill="background1"/>
        <w:spacing w:after="0" w:line="240" w:lineRule="auto"/>
        <w:rPr>
          <w:rFonts w:ascii="Calibri" w:eastAsia="Calibri" w:hAnsi="Calibri" w:cs="Calibri"/>
          <w:sz w:val="22"/>
          <w:szCs w:val="22"/>
        </w:rPr>
      </w:pPr>
      <w:r w:rsidRPr="6D762E26">
        <w:rPr>
          <w:rFonts w:ascii="Calibri" w:eastAsia="Calibri" w:hAnsi="Calibri" w:cs="Calibri"/>
          <w:sz w:val="22"/>
          <w:szCs w:val="22"/>
        </w:rPr>
        <w:t>In April 2025, the UK government announced a £1.5 million advocacy fund for community groups to support Windrush claimants in their pursuit for compensation.</w:t>
      </w:r>
      <w:r w:rsidR="7988A0F2" w:rsidRPr="6D762E26">
        <w:rPr>
          <w:rStyle w:val="FootnoteReference"/>
          <w:rFonts w:ascii="Calibri" w:eastAsia="Calibri" w:hAnsi="Calibri" w:cs="Calibri"/>
          <w:sz w:val="22"/>
          <w:szCs w:val="22"/>
        </w:rPr>
        <w:footnoteReference w:id="12"/>
      </w:r>
      <w:r w:rsidRPr="6D762E26">
        <w:rPr>
          <w:rFonts w:ascii="Calibri" w:eastAsia="Calibri" w:hAnsi="Calibri" w:cs="Calibri"/>
          <w:sz w:val="22"/>
          <w:szCs w:val="22"/>
        </w:rPr>
        <w:t xml:space="preserve"> </w:t>
      </w:r>
      <w:r w:rsidR="79A154AF" w:rsidRPr="6D762E26">
        <w:rPr>
          <w:rFonts w:ascii="Calibri" w:eastAsia="Calibri" w:hAnsi="Calibri" w:cs="Calibri"/>
          <w:sz w:val="22"/>
          <w:szCs w:val="22"/>
        </w:rPr>
        <w:t xml:space="preserve">While this support to grassroots groups that support claimants is welcome, this support does not replace free legal </w:t>
      </w:r>
      <w:r w:rsidR="628300C4" w:rsidRPr="6D762E26">
        <w:rPr>
          <w:rFonts w:ascii="Calibri" w:eastAsia="Calibri" w:hAnsi="Calibri" w:cs="Calibri"/>
          <w:sz w:val="22"/>
          <w:szCs w:val="22"/>
        </w:rPr>
        <w:t>representation</w:t>
      </w:r>
      <w:r w:rsidR="79A154AF" w:rsidRPr="6D762E26">
        <w:rPr>
          <w:rFonts w:ascii="Calibri" w:eastAsia="Calibri" w:hAnsi="Calibri" w:cs="Calibri"/>
          <w:sz w:val="22"/>
          <w:szCs w:val="22"/>
        </w:rPr>
        <w:t xml:space="preserve"> by a lawyer. </w:t>
      </w:r>
    </w:p>
    <w:p w14:paraId="256EF315" w14:textId="3A3C28EA" w:rsidR="7A16347B" w:rsidRDefault="7A16347B" w:rsidP="6D762E26">
      <w:pPr>
        <w:shd w:val="clear" w:color="auto" w:fill="FFFFFF" w:themeFill="background1"/>
        <w:spacing w:after="0" w:line="240" w:lineRule="auto"/>
        <w:rPr>
          <w:rFonts w:ascii="Calibri" w:eastAsia="Calibri" w:hAnsi="Calibri" w:cs="Calibri"/>
          <w:sz w:val="22"/>
          <w:szCs w:val="22"/>
        </w:rPr>
      </w:pPr>
    </w:p>
    <w:p w14:paraId="2FC8334A" w14:textId="4CC927FD" w:rsidR="7988A0F2" w:rsidRDefault="1E7718FC" w:rsidP="7A16347B">
      <w:pPr>
        <w:shd w:val="clear" w:color="auto" w:fill="FFFFFF" w:themeFill="background1"/>
        <w:spacing w:after="0" w:line="240" w:lineRule="auto"/>
        <w:rPr>
          <w:rFonts w:ascii="Calibri" w:eastAsia="Calibri" w:hAnsi="Calibri" w:cs="Calibri"/>
          <w:sz w:val="22"/>
          <w:szCs w:val="22"/>
        </w:rPr>
      </w:pPr>
      <w:r w:rsidRPr="6D762E26">
        <w:rPr>
          <w:rFonts w:ascii="Calibri" w:eastAsia="Calibri" w:hAnsi="Calibri" w:cs="Calibri"/>
          <w:sz w:val="22"/>
          <w:szCs w:val="22"/>
        </w:rPr>
        <w:t>This fund falls short of long-standing demands for claimants’ access to free legal representation.</w:t>
      </w:r>
      <w:r w:rsidR="7988A0F2" w:rsidRPr="6D762E26">
        <w:rPr>
          <w:rStyle w:val="FootnoteReference"/>
          <w:rFonts w:ascii="Calibri" w:eastAsia="Calibri" w:hAnsi="Calibri" w:cs="Calibri"/>
          <w:sz w:val="22"/>
          <w:szCs w:val="22"/>
        </w:rPr>
        <w:footnoteReference w:id="13"/>
      </w:r>
      <w:r w:rsidRPr="6D762E26">
        <w:rPr>
          <w:rFonts w:ascii="Calibri" w:eastAsia="Calibri" w:hAnsi="Calibri" w:cs="Calibri"/>
          <w:sz w:val="22"/>
          <w:szCs w:val="22"/>
        </w:rPr>
        <w:t xml:space="preserve"> In </w:t>
      </w:r>
      <w:proofErr w:type="gramStart"/>
      <w:r w:rsidRPr="6D762E26">
        <w:rPr>
          <w:rFonts w:ascii="Calibri" w:eastAsia="Calibri" w:hAnsi="Calibri" w:cs="Calibri"/>
          <w:sz w:val="22"/>
          <w:szCs w:val="22"/>
        </w:rPr>
        <w:t>its response</w:t>
      </w:r>
      <w:proofErr w:type="gramEnd"/>
      <w:r w:rsidRPr="6D762E26">
        <w:rPr>
          <w:rFonts w:ascii="Calibri" w:eastAsia="Calibri" w:hAnsi="Calibri" w:cs="Calibri"/>
          <w:sz w:val="22"/>
          <w:szCs w:val="22"/>
        </w:rPr>
        <w:t xml:space="preserve"> to Human Rights Watch on </w:t>
      </w:r>
      <w:r w:rsidR="343EB170" w:rsidRPr="6D762E26">
        <w:rPr>
          <w:rFonts w:ascii="Calibri" w:eastAsia="Calibri" w:hAnsi="Calibri" w:cs="Calibri"/>
          <w:sz w:val="22"/>
          <w:szCs w:val="22"/>
        </w:rPr>
        <w:t>15 May 2025</w:t>
      </w:r>
      <w:r w:rsidRPr="6D762E26">
        <w:rPr>
          <w:rFonts w:ascii="Calibri" w:eastAsia="Calibri" w:hAnsi="Calibri" w:cs="Calibri"/>
          <w:sz w:val="22"/>
          <w:szCs w:val="22"/>
        </w:rPr>
        <w:t>, the Home Office referred to the advocacy fund and said it had no plans to provide individual legal aid for Windrush claimants.</w:t>
      </w:r>
    </w:p>
    <w:p w14:paraId="0A51C2D9" w14:textId="43E2797C" w:rsidR="7A16347B" w:rsidRDefault="7A16347B" w:rsidP="6D762E26">
      <w:pPr>
        <w:shd w:val="clear" w:color="auto" w:fill="FFFFFF" w:themeFill="background1"/>
        <w:spacing w:after="0" w:line="240" w:lineRule="auto"/>
        <w:rPr>
          <w:rFonts w:ascii="Calibri" w:eastAsia="Calibri" w:hAnsi="Calibri" w:cs="Calibri"/>
          <w:sz w:val="22"/>
          <w:szCs w:val="22"/>
        </w:rPr>
      </w:pPr>
    </w:p>
    <w:p w14:paraId="27AE4CDC" w14:textId="7E086E18" w:rsidR="3C0AD59E" w:rsidRDefault="65A32CBE" w:rsidP="6D762E26">
      <w:pPr>
        <w:shd w:val="clear" w:color="auto" w:fill="FFFFFF" w:themeFill="background1"/>
        <w:spacing w:after="0" w:line="240" w:lineRule="auto"/>
        <w:rPr>
          <w:rFonts w:ascii="Calibri" w:eastAsia="Calibri" w:hAnsi="Calibri" w:cs="Calibri"/>
          <w:sz w:val="22"/>
          <w:szCs w:val="22"/>
        </w:rPr>
      </w:pPr>
      <w:r w:rsidRPr="6D762E26">
        <w:rPr>
          <w:rFonts w:ascii="Calibri" w:eastAsia="Calibri" w:hAnsi="Calibri" w:cs="Calibri"/>
          <w:sz w:val="22"/>
          <w:szCs w:val="22"/>
        </w:rPr>
        <w:t xml:space="preserve">Neither the Home Office-funded We Are Group service nor the Home Office's own Windrush Help Team helpline constitutes a substitute for free legal representation. </w:t>
      </w:r>
      <w:r w:rsidR="7786D912" w:rsidRPr="6D762E26">
        <w:rPr>
          <w:rFonts w:ascii="Calibri" w:eastAsia="Calibri" w:hAnsi="Calibri" w:cs="Calibri"/>
          <w:sz w:val="22"/>
          <w:szCs w:val="22"/>
        </w:rPr>
        <w:t xml:space="preserve">The ‘We Are </w:t>
      </w:r>
      <w:r w:rsidR="2240D115" w:rsidRPr="6D762E26">
        <w:rPr>
          <w:rFonts w:ascii="Calibri" w:eastAsia="Calibri" w:hAnsi="Calibri" w:cs="Calibri"/>
          <w:sz w:val="22"/>
          <w:szCs w:val="22"/>
        </w:rPr>
        <w:t>Group</w:t>
      </w:r>
      <w:r w:rsidR="7786D912" w:rsidRPr="6D762E26">
        <w:rPr>
          <w:rFonts w:ascii="Calibri" w:eastAsia="Calibri" w:hAnsi="Calibri" w:cs="Calibri"/>
          <w:sz w:val="22"/>
          <w:szCs w:val="22"/>
        </w:rPr>
        <w:t>’ service</w:t>
      </w:r>
      <w:r w:rsidR="050FE5E1" w:rsidRPr="6D762E26">
        <w:rPr>
          <w:rFonts w:ascii="Calibri" w:eastAsia="Calibri" w:hAnsi="Calibri" w:cs="Calibri"/>
          <w:sz w:val="22"/>
          <w:szCs w:val="22"/>
        </w:rPr>
        <w:t xml:space="preserve"> funded by the Home Office</w:t>
      </w:r>
      <w:r w:rsidR="7786D912" w:rsidRPr="6D762E26">
        <w:rPr>
          <w:rFonts w:ascii="Calibri" w:eastAsia="Calibri" w:hAnsi="Calibri" w:cs="Calibri"/>
          <w:sz w:val="22"/>
          <w:szCs w:val="22"/>
        </w:rPr>
        <w:t xml:space="preserve"> does not provide the same assistance that a lawyer provides to claimants – including legal advice and being able to tell their story to someone who believes and wants to help them. </w:t>
      </w:r>
      <w:r w:rsidR="2599C14F" w:rsidRPr="6D762E26">
        <w:rPr>
          <w:rFonts w:ascii="Calibri" w:eastAsia="Calibri" w:hAnsi="Calibri" w:cs="Calibri"/>
          <w:sz w:val="22"/>
          <w:szCs w:val="22"/>
        </w:rPr>
        <w:t>The operators of th</w:t>
      </w:r>
      <w:r w:rsidR="5F459C91" w:rsidRPr="6D762E26">
        <w:rPr>
          <w:rFonts w:ascii="Calibri" w:eastAsia="Calibri" w:hAnsi="Calibri" w:cs="Calibri"/>
          <w:sz w:val="22"/>
          <w:szCs w:val="22"/>
        </w:rPr>
        <w:t>ese</w:t>
      </w:r>
      <w:r w:rsidR="2599C14F" w:rsidRPr="6D762E26">
        <w:rPr>
          <w:rFonts w:ascii="Calibri" w:eastAsia="Calibri" w:hAnsi="Calibri" w:cs="Calibri"/>
          <w:sz w:val="22"/>
          <w:szCs w:val="22"/>
        </w:rPr>
        <w:t xml:space="preserve"> service</w:t>
      </w:r>
      <w:r w:rsidR="3990F4A3" w:rsidRPr="6D762E26">
        <w:rPr>
          <w:rFonts w:ascii="Calibri" w:eastAsia="Calibri" w:hAnsi="Calibri" w:cs="Calibri"/>
          <w:sz w:val="22"/>
          <w:szCs w:val="22"/>
        </w:rPr>
        <w:t>s</w:t>
      </w:r>
      <w:r w:rsidR="2599C14F" w:rsidRPr="6D762E26">
        <w:rPr>
          <w:rFonts w:ascii="Calibri" w:eastAsia="Calibri" w:hAnsi="Calibri" w:cs="Calibri"/>
          <w:sz w:val="22"/>
          <w:szCs w:val="22"/>
        </w:rPr>
        <w:t xml:space="preserve"> are not lawyers </w:t>
      </w:r>
      <w:r w:rsidR="72D00B11" w:rsidRPr="6D762E26">
        <w:rPr>
          <w:rFonts w:ascii="Calibri" w:eastAsia="Calibri" w:hAnsi="Calibri" w:cs="Calibri"/>
          <w:sz w:val="22"/>
          <w:szCs w:val="22"/>
        </w:rPr>
        <w:t>and cannot</w:t>
      </w:r>
      <w:r w:rsidR="2599C14F" w:rsidRPr="6D762E26">
        <w:rPr>
          <w:rFonts w:ascii="Calibri" w:eastAsia="Calibri" w:hAnsi="Calibri" w:cs="Calibri"/>
          <w:sz w:val="22"/>
          <w:szCs w:val="22"/>
        </w:rPr>
        <w:t xml:space="preserve"> provide legal advice. They don’t help claimants to gather evidence and provide them with the support that a lawyer does. </w:t>
      </w:r>
      <w:r w:rsidR="2C5AC3E5" w:rsidRPr="6D762E26">
        <w:rPr>
          <w:rFonts w:ascii="Calibri" w:eastAsia="Calibri" w:hAnsi="Calibri" w:cs="Calibri"/>
          <w:sz w:val="22"/>
          <w:szCs w:val="22"/>
        </w:rPr>
        <w:t xml:space="preserve"> </w:t>
      </w:r>
    </w:p>
    <w:p w14:paraId="1A5BF6E0" w14:textId="56369979" w:rsidR="7A16347B" w:rsidRDefault="7A16347B" w:rsidP="6D762E26">
      <w:pPr>
        <w:shd w:val="clear" w:color="auto" w:fill="FFFFFF" w:themeFill="background1"/>
        <w:spacing w:after="0" w:line="240" w:lineRule="auto"/>
        <w:rPr>
          <w:rFonts w:ascii="Calibri" w:eastAsia="Calibri" w:hAnsi="Calibri" w:cs="Calibri"/>
          <w:sz w:val="22"/>
          <w:szCs w:val="22"/>
        </w:rPr>
      </w:pPr>
    </w:p>
    <w:p w14:paraId="7963CE09" w14:textId="085D1794" w:rsidR="6A0FEE76" w:rsidRDefault="5C70B1F7" w:rsidP="7A16347B">
      <w:pPr>
        <w:shd w:val="clear" w:color="auto" w:fill="FFFFFF" w:themeFill="background1"/>
        <w:spacing w:after="0" w:line="240" w:lineRule="auto"/>
        <w:rPr>
          <w:rFonts w:ascii="Calibri" w:eastAsia="Calibri" w:hAnsi="Calibri" w:cs="Calibri"/>
          <w:sz w:val="22"/>
          <w:szCs w:val="22"/>
          <w:u w:val="single"/>
        </w:rPr>
      </w:pPr>
      <w:r w:rsidRPr="6D762E26">
        <w:rPr>
          <w:rFonts w:ascii="Calibri" w:eastAsia="Calibri" w:hAnsi="Calibri" w:cs="Calibri"/>
          <w:sz w:val="22"/>
          <w:szCs w:val="22"/>
          <w:u w:val="single"/>
        </w:rPr>
        <w:t>The Committee should recommend that the government:</w:t>
      </w:r>
    </w:p>
    <w:p w14:paraId="6449678C" w14:textId="5E4A81E4" w:rsidR="7A16347B" w:rsidRDefault="7A16347B" w:rsidP="6D762E26">
      <w:pPr>
        <w:shd w:val="clear" w:color="auto" w:fill="FFFFFF" w:themeFill="background1"/>
        <w:spacing w:after="0" w:line="240" w:lineRule="auto"/>
        <w:rPr>
          <w:rFonts w:ascii="Calibri" w:eastAsia="Calibri" w:hAnsi="Calibri" w:cs="Calibri"/>
          <w:color w:val="444444"/>
          <w:sz w:val="22"/>
          <w:szCs w:val="22"/>
        </w:rPr>
      </w:pPr>
    </w:p>
    <w:p w14:paraId="5F5CF974" w14:textId="29FB685B" w:rsidR="7A16347B" w:rsidRDefault="1F472568" w:rsidP="6D762E26">
      <w:pPr>
        <w:pStyle w:val="ListParagraph"/>
        <w:numPr>
          <w:ilvl w:val="0"/>
          <w:numId w:val="4"/>
        </w:numPr>
        <w:spacing w:line="240" w:lineRule="auto"/>
        <w:rPr>
          <w:rFonts w:ascii="Calibri" w:eastAsia="Calibri" w:hAnsi="Calibri" w:cs="Calibri"/>
          <w:sz w:val="22"/>
          <w:szCs w:val="22"/>
        </w:rPr>
      </w:pPr>
      <w:r w:rsidRPr="5CA2CEA9">
        <w:rPr>
          <w:rFonts w:ascii="Calibri" w:eastAsia="Calibri" w:hAnsi="Calibri" w:cs="Calibri"/>
          <w:sz w:val="22"/>
          <w:szCs w:val="22"/>
        </w:rPr>
        <w:t xml:space="preserve">Given that the government's advocacy fund and We Are Group claims assistance service do not constitute legal representation and cannot substitute for it, </w:t>
      </w:r>
      <w:r w:rsidRPr="5CA2CEA9">
        <w:rPr>
          <w:rFonts w:ascii="Calibri" w:eastAsia="Calibri" w:hAnsi="Calibri" w:cs="Calibri"/>
          <w:b/>
          <w:bCs/>
          <w:sz w:val="22"/>
          <w:szCs w:val="22"/>
        </w:rPr>
        <w:t>p</w:t>
      </w:r>
      <w:r w:rsidR="13FC0D21" w:rsidRPr="5CA2CEA9">
        <w:rPr>
          <w:rFonts w:ascii="Calibri" w:eastAsia="Calibri" w:hAnsi="Calibri" w:cs="Calibri"/>
          <w:b/>
          <w:bCs/>
          <w:sz w:val="22"/>
          <w:szCs w:val="22"/>
        </w:rPr>
        <w:t>rovide free, independent legal representation to all Windrush compensation claimants, in line with the right to a fair, prompt, and effective remedy</w:t>
      </w:r>
      <w:r w:rsidR="0D2A123E" w:rsidRPr="5CA2CEA9">
        <w:rPr>
          <w:rFonts w:ascii="Calibri" w:eastAsia="Calibri" w:hAnsi="Calibri" w:cs="Calibri"/>
          <w:b/>
          <w:bCs/>
          <w:sz w:val="22"/>
          <w:szCs w:val="22"/>
        </w:rPr>
        <w:t>;</w:t>
      </w:r>
      <w:r w:rsidR="13FC0D21" w:rsidRPr="5CA2CEA9">
        <w:rPr>
          <w:rFonts w:ascii="Calibri" w:eastAsia="Calibri" w:hAnsi="Calibri" w:cs="Calibri"/>
          <w:sz w:val="22"/>
          <w:szCs w:val="22"/>
        </w:rPr>
        <w:t xml:space="preserve"> </w:t>
      </w:r>
    </w:p>
    <w:p w14:paraId="76C6A580" w14:textId="067B32A5" w:rsidR="1E562AE9" w:rsidRDefault="13FC0D21" w:rsidP="6D762E26">
      <w:pPr>
        <w:pStyle w:val="ListParagraph"/>
        <w:numPr>
          <w:ilvl w:val="0"/>
          <w:numId w:val="4"/>
        </w:numPr>
        <w:spacing w:line="240" w:lineRule="auto"/>
        <w:rPr>
          <w:rFonts w:ascii="Calibri" w:eastAsia="Calibri" w:hAnsi="Calibri" w:cs="Calibri"/>
          <w:sz w:val="22"/>
          <w:szCs w:val="22"/>
        </w:rPr>
      </w:pPr>
      <w:r w:rsidRPr="5CA2CEA9">
        <w:rPr>
          <w:rFonts w:ascii="Calibri" w:eastAsia="Calibri" w:hAnsi="Calibri" w:cs="Calibri"/>
          <w:b/>
          <w:bCs/>
          <w:sz w:val="22"/>
          <w:szCs w:val="22"/>
        </w:rPr>
        <w:lastRenderedPageBreak/>
        <w:t>Set out a clear, time-bound plan for implementing all 30 recommendations of the Windrush Lessons Learned Review 2020</w:t>
      </w:r>
      <w:r w:rsidRPr="5CA2CEA9">
        <w:rPr>
          <w:rFonts w:ascii="Calibri" w:eastAsia="Calibri" w:hAnsi="Calibri" w:cs="Calibri"/>
          <w:sz w:val="22"/>
          <w:szCs w:val="22"/>
        </w:rPr>
        <w:t xml:space="preserve">, </w:t>
      </w:r>
      <w:proofErr w:type="gramStart"/>
      <w:r w:rsidRPr="5CA2CEA9">
        <w:rPr>
          <w:rFonts w:ascii="Calibri" w:eastAsia="Calibri" w:hAnsi="Calibri" w:cs="Calibri"/>
          <w:sz w:val="22"/>
          <w:szCs w:val="22"/>
        </w:rPr>
        <w:t>including on</w:t>
      </w:r>
      <w:proofErr w:type="gramEnd"/>
      <w:r w:rsidRPr="5CA2CEA9">
        <w:rPr>
          <w:rFonts w:ascii="Calibri" w:eastAsia="Calibri" w:hAnsi="Calibri" w:cs="Calibri"/>
          <w:sz w:val="22"/>
          <w:szCs w:val="22"/>
        </w:rPr>
        <w:t xml:space="preserve"> hostile environment reforms and institutional culture change within the Home Office</w:t>
      </w:r>
      <w:r w:rsidR="241E2620" w:rsidRPr="5CA2CEA9">
        <w:rPr>
          <w:rFonts w:ascii="Calibri" w:eastAsia="Calibri" w:hAnsi="Calibri" w:cs="Calibri"/>
          <w:sz w:val="22"/>
          <w:szCs w:val="22"/>
        </w:rPr>
        <w:t>.</w:t>
      </w:r>
    </w:p>
    <w:p w14:paraId="55DFD8AE" w14:textId="77777777" w:rsidR="00444C84" w:rsidRDefault="00444C84" w:rsidP="6D762E26">
      <w:pPr>
        <w:spacing w:line="240" w:lineRule="auto"/>
        <w:rPr>
          <w:rFonts w:ascii="Calibri" w:eastAsia="Calibri" w:hAnsi="Calibri" w:cs="Calibri"/>
          <w:b/>
          <w:bCs/>
          <w:sz w:val="22"/>
          <w:szCs w:val="22"/>
        </w:rPr>
      </w:pPr>
    </w:p>
    <w:p w14:paraId="48C375B6" w14:textId="0E4092BE" w:rsidR="48967B57" w:rsidRDefault="3E521D0F" w:rsidP="6D762E26">
      <w:pPr>
        <w:spacing w:line="240" w:lineRule="auto"/>
        <w:rPr>
          <w:rFonts w:ascii="Calibri" w:eastAsia="Calibri" w:hAnsi="Calibri" w:cs="Calibri"/>
          <w:b/>
          <w:bCs/>
          <w:sz w:val="22"/>
          <w:szCs w:val="22"/>
        </w:rPr>
      </w:pPr>
      <w:r w:rsidRPr="5CA2CEA9">
        <w:rPr>
          <w:rFonts w:ascii="Calibri" w:eastAsia="Calibri" w:hAnsi="Calibri" w:cs="Calibri"/>
          <w:b/>
          <w:bCs/>
          <w:sz w:val="22"/>
          <w:szCs w:val="22"/>
        </w:rPr>
        <w:t>Right to Freedom of Peaceful Assembly (Paragraph 30)</w:t>
      </w:r>
      <w:r w:rsidR="2FFC19EA" w:rsidRPr="5CA2CEA9">
        <w:rPr>
          <w:rFonts w:ascii="Calibri" w:eastAsia="Calibri" w:hAnsi="Calibri" w:cs="Calibri"/>
          <w:b/>
          <w:bCs/>
          <w:sz w:val="22"/>
          <w:szCs w:val="22"/>
        </w:rPr>
        <w:t xml:space="preserve"> and </w:t>
      </w:r>
      <w:r w:rsidR="06066E33" w:rsidRPr="5CA2CEA9">
        <w:rPr>
          <w:rFonts w:ascii="Calibri" w:eastAsia="Calibri" w:hAnsi="Calibri" w:cs="Calibri"/>
          <w:b/>
          <w:bCs/>
          <w:sz w:val="22"/>
          <w:szCs w:val="22"/>
        </w:rPr>
        <w:t>Counterterrorism (Para 34)</w:t>
      </w:r>
    </w:p>
    <w:p w14:paraId="682C1437" w14:textId="37201813" w:rsidR="0472E8A6" w:rsidRDefault="10036905" w:rsidP="6D762E26">
      <w:pPr>
        <w:spacing w:before="240" w:after="240" w:line="240" w:lineRule="auto"/>
        <w:rPr>
          <w:rFonts w:ascii="Calibri" w:eastAsia="Calibri" w:hAnsi="Calibri" w:cs="Calibri"/>
          <w:sz w:val="22"/>
          <w:szCs w:val="22"/>
        </w:rPr>
      </w:pPr>
      <w:r w:rsidRPr="75BB483C">
        <w:rPr>
          <w:rFonts w:ascii="Calibri" w:eastAsia="Calibri" w:hAnsi="Calibri" w:cs="Calibri"/>
          <w:sz w:val="22"/>
          <w:szCs w:val="22"/>
        </w:rPr>
        <w:t xml:space="preserve">The UK has </w:t>
      </w:r>
      <w:r w:rsidR="1047EC7A" w:rsidRPr="75BB483C">
        <w:rPr>
          <w:rFonts w:ascii="Calibri" w:eastAsia="Calibri" w:hAnsi="Calibri" w:cs="Calibri"/>
          <w:sz w:val="22"/>
          <w:szCs w:val="22"/>
        </w:rPr>
        <w:t>increasingly</w:t>
      </w:r>
      <w:r w:rsidRPr="75BB483C">
        <w:rPr>
          <w:rFonts w:ascii="Calibri" w:eastAsia="Calibri" w:hAnsi="Calibri" w:cs="Calibri"/>
          <w:sz w:val="22"/>
          <w:szCs w:val="22"/>
        </w:rPr>
        <w:t xml:space="preserve"> restricted the right to peaceful assembly over recent years, through the Police, Crime, Sentencing and Courts Act 2022, the Public Order Act 2023, and most recently the Crime and Policing Act 2026. These restrictions may have a disproportionate impact on </w:t>
      </w:r>
      <w:r w:rsidR="27D446C5" w:rsidRPr="75BB483C">
        <w:rPr>
          <w:rFonts w:ascii="Calibri" w:eastAsia="Calibri" w:hAnsi="Calibri" w:cs="Calibri"/>
          <w:sz w:val="22"/>
          <w:szCs w:val="22"/>
        </w:rPr>
        <w:t>racialized</w:t>
      </w:r>
      <w:r w:rsidRPr="75BB483C">
        <w:rPr>
          <w:rFonts w:ascii="Calibri" w:eastAsia="Calibri" w:hAnsi="Calibri" w:cs="Calibri"/>
          <w:sz w:val="22"/>
          <w:szCs w:val="22"/>
        </w:rPr>
        <w:t xml:space="preserve"> communities and risk undermining the right to protest without discrimination, as guaranteed under ICERD and reflected in the Committee's 2024 recommendations. Rather than reversing course following the Committee's </w:t>
      </w:r>
      <w:hyperlink r:id="rId13">
        <w:r w:rsidR="3F8181BD" w:rsidRPr="75BB483C">
          <w:rPr>
            <w:rStyle w:val="Hyperlink"/>
            <w:rFonts w:ascii="Calibri" w:eastAsia="Calibri" w:hAnsi="Calibri" w:cs="Calibri"/>
            <w:sz w:val="22"/>
            <w:szCs w:val="22"/>
          </w:rPr>
          <w:t xml:space="preserve">concluding </w:t>
        </w:r>
        <w:r w:rsidRPr="75BB483C">
          <w:rPr>
            <w:rStyle w:val="Hyperlink"/>
            <w:rFonts w:ascii="Calibri" w:eastAsia="Calibri" w:hAnsi="Calibri" w:cs="Calibri"/>
            <w:sz w:val="22"/>
            <w:szCs w:val="22"/>
          </w:rPr>
          <w:t>observations</w:t>
        </w:r>
      </w:hyperlink>
      <w:r w:rsidRPr="75BB483C">
        <w:rPr>
          <w:rFonts w:ascii="Calibri" w:eastAsia="Calibri" w:hAnsi="Calibri" w:cs="Calibri"/>
          <w:sz w:val="22"/>
          <w:szCs w:val="22"/>
        </w:rPr>
        <w:t>, the government has continued to expand the legislative framework for restricting protest, while senior officials have made public statements threatening further restrictions.</w:t>
      </w:r>
    </w:p>
    <w:p w14:paraId="6F250B84" w14:textId="3C690CD4" w:rsidR="53801EFB" w:rsidRDefault="53801EFB" w:rsidP="6D762E26">
      <w:pPr>
        <w:spacing w:line="240" w:lineRule="auto"/>
        <w:rPr>
          <w:rFonts w:ascii="Calibri" w:eastAsia="Calibri" w:hAnsi="Calibri" w:cs="Calibri"/>
          <w:sz w:val="22"/>
          <w:szCs w:val="22"/>
          <w:u w:val="single"/>
        </w:rPr>
      </w:pPr>
      <w:r w:rsidRPr="59219708">
        <w:rPr>
          <w:rFonts w:ascii="Calibri" w:eastAsia="Calibri" w:hAnsi="Calibri" w:cs="Calibri"/>
          <w:sz w:val="22"/>
          <w:szCs w:val="22"/>
          <w:u w:val="single"/>
        </w:rPr>
        <w:t>T</w:t>
      </w:r>
      <w:r w:rsidR="0DB18BD2" w:rsidRPr="59219708">
        <w:rPr>
          <w:rFonts w:ascii="Calibri" w:eastAsia="Calibri" w:hAnsi="Calibri" w:cs="Calibri"/>
          <w:sz w:val="22"/>
          <w:szCs w:val="22"/>
          <w:u w:val="single"/>
        </w:rPr>
        <w:t>he</w:t>
      </w:r>
      <w:r w:rsidR="591069D1" w:rsidRPr="59219708">
        <w:rPr>
          <w:rFonts w:ascii="Calibri" w:eastAsia="Calibri" w:hAnsi="Calibri" w:cs="Calibri"/>
          <w:sz w:val="22"/>
          <w:szCs w:val="22"/>
          <w:u w:val="single"/>
        </w:rPr>
        <w:t xml:space="preserve"> </w:t>
      </w:r>
      <w:r w:rsidR="3EBF34DB" w:rsidRPr="59219708">
        <w:rPr>
          <w:rFonts w:ascii="Calibri" w:eastAsia="Calibri" w:hAnsi="Calibri" w:cs="Calibri"/>
          <w:sz w:val="22"/>
          <w:szCs w:val="22"/>
          <w:u w:val="single"/>
        </w:rPr>
        <w:t>government's</w:t>
      </w:r>
      <w:r w:rsidR="0DB18BD2" w:rsidRPr="59219708">
        <w:rPr>
          <w:rFonts w:ascii="Calibri" w:eastAsia="Calibri" w:hAnsi="Calibri" w:cs="Calibri"/>
          <w:sz w:val="22"/>
          <w:szCs w:val="22"/>
          <w:u w:val="single"/>
        </w:rPr>
        <w:t xml:space="preserve"> </w:t>
      </w:r>
      <w:r w:rsidR="4BFEB281" w:rsidRPr="59219708">
        <w:rPr>
          <w:rFonts w:ascii="Calibri" w:eastAsia="Calibri" w:hAnsi="Calibri" w:cs="Calibri"/>
          <w:sz w:val="22"/>
          <w:szCs w:val="22"/>
          <w:u w:val="single"/>
        </w:rPr>
        <w:t>Independent Review on Public Order and Hate Crime Legislation</w:t>
      </w:r>
      <w:r w:rsidR="3292D801" w:rsidRPr="59219708">
        <w:rPr>
          <w:rFonts w:ascii="Calibri" w:eastAsia="Calibri" w:hAnsi="Calibri" w:cs="Calibri"/>
          <w:sz w:val="22"/>
          <w:szCs w:val="22"/>
          <w:u w:val="single"/>
        </w:rPr>
        <w:t>, while welcome,</w:t>
      </w:r>
      <w:r w:rsidR="0CE882CC" w:rsidRPr="59219708">
        <w:rPr>
          <w:rFonts w:ascii="Calibri" w:eastAsia="Calibri" w:hAnsi="Calibri" w:cs="Calibri"/>
          <w:sz w:val="22"/>
          <w:szCs w:val="22"/>
          <w:u w:val="single"/>
        </w:rPr>
        <w:t xml:space="preserve"> omits</w:t>
      </w:r>
      <w:r w:rsidR="59B3A7B0" w:rsidRPr="59219708">
        <w:rPr>
          <w:rFonts w:ascii="Calibri" w:eastAsia="Calibri" w:hAnsi="Calibri" w:cs="Calibri"/>
          <w:sz w:val="22"/>
          <w:szCs w:val="22"/>
          <w:u w:val="single"/>
        </w:rPr>
        <w:t xml:space="preserve"> the government’s use of counter-terrorism powers</w:t>
      </w:r>
      <w:r w:rsidR="59C2D23B" w:rsidRPr="59219708">
        <w:rPr>
          <w:rFonts w:ascii="Calibri" w:eastAsia="Calibri" w:hAnsi="Calibri" w:cs="Calibri"/>
          <w:sz w:val="22"/>
          <w:szCs w:val="22"/>
          <w:u w:val="single"/>
        </w:rPr>
        <w:t>, which has been a significant component of its response to recent protests</w:t>
      </w:r>
      <w:r w:rsidR="63068F04" w:rsidRPr="59219708">
        <w:rPr>
          <w:rFonts w:ascii="Calibri" w:eastAsia="Calibri" w:hAnsi="Calibri" w:cs="Calibri"/>
          <w:sz w:val="22"/>
          <w:szCs w:val="22"/>
          <w:u w:val="single"/>
        </w:rPr>
        <w:t>.</w:t>
      </w:r>
      <w:r w:rsidR="59C2D23B" w:rsidRPr="59219708">
        <w:rPr>
          <w:rFonts w:ascii="Calibri" w:eastAsia="Calibri" w:hAnsi="Calibri" w:cs="Calibri"/>
          <w:sz w:val="22"/>
          <w:szCs w:val="22"/>
          <w:u w:val="single"/>
        </w:rPr>
        <w:t xml:space="preserve"> </w:t>
      </w:r>
    </w:p>
    <w:p w14:paraId="6FBC4A09" w14:textId="014DF0FE" w:rsidR="0F2C91C3" w:rsidRDefault="0F2C91C3" w:rsidP="2519247D">
      <w:pPr>
        <w:spacing w:before="240" w:after="240" w:line="240" w:lineRule="auto"/>
      </w:pPr>
      <w:r w:rsidRPr="59219708">
        <w:rPr>
          <w:rFonts w:ascii="Calibri" w:eastAsia="Calibri" w:hAnsi="Calibri" w:cs="Calibri"/>
          <w:sz w:val="22"/>
          <w:szCs w:val="22"/>
        </w:rPr>
        <w:t>The use of counter-terrorism powers against protest groups raises concerns under ICERD Article 5(d)(ix), which protects the right to freedom of peaceful assembly and association without distinction as to race or ethnic origin.</w:t>
      </w:r>
    </w:p>
    <w:p w14:paraId="33287611" w14:textId="31936F9F" w:rsidR="2E7DFEED" w:rsidRDefault="7DDB17D9" w:rsidP="2519247D">
      <w:pPr>
        <w:spacing w:before="240" w:after="240" w:line="240" w:lineRule="auto"/>
        <w:rPr>
          <w:rFonts w:ascii="Calibri" w:eastAsia="Calibri" w:hAnsi="Calibri" w:cs="Calibri"/>
          <w:sz w:val="22"/>
          <w:szCs w:val="22"/>
        </w:rPr>
      </w:pPr>
      <w:r w:rsidRPr="2519247D">
        <w:rPr>
          <w:rFonts w:ascii="Calibri" w:eastAsia="Calibri" w:hAnsi="Calibri" w:cs="Calibri"/>
          <w:sz w:val="22"/>
          <w:szCs w:val="22"/>
        </w:rPr>
        <w:t xml:space="preserve">The government's proscription of Palestine Action under the Terrorism Act 2000 illustrates the misuse of counter-terrorism powers to suppress legitimate protest activity. </w:t>
      </w:r>
      <w:r w:rsidR="0D69255F" w:rsidRPr="2519247D">
        <w:rPr>
          <w:rFonts w:ascii="Calibri" w:eastAsia="Calibri" w:hAnsi="Calibri" w:cs="Calibri"/>
          <w:sz w:val="22"/>
          <w:szCs w:val="22"/>
        </w:rPr>
        <w:t>On 4 February 2026, the UK High Court found th</w:t>
      </w:r>
      <w:r w:rsidR="4CDAEDCD" w:rsidRPr="2519247D">
        <w:rPr>
          <w:rFonts w:ascii="Calibri" w:eastAsia="Calibri" w:hAnsi="Calibri" w:cs="Calibri"/>
          <w:sz w:val="22"/>
          <w:szCs w:val="22"/>
        </w:rPr>
        <w:t>is</w:t>
      </w:r>
      <w:r w:rsidR="0D69255F" w:rsidRPr="2519247D">
        <w:rPr>
          <w:rFonts w:ascii="Calibri" w:eastAsia="Calibri" w:hAnsi="Calibri" w:cs="Calibri"/>
          <w:sz w:val="22"/>
          <w:szCs w:val="22"/>
        </w:rPr>
        <w:t xml:space="preserve"> proscription </w:t>
      </w:r>
      <w:r w:rsidR="34C7E00E" w:rsidRPr="2519247D">
        <w:rPr>
          <w:rFonts w:ascii="Calibri" w:eastAsia="Calibri" w:hAnsi="Calibri" w:cs="Calibri"/>
          <w:sz w:val="22"/>
          <w:szCs w:val="22"/>
        </w:rPr>
        <w:t>un</w:t>
      </w:r>
      <w:r w:rsidR="0D69255F" w:rsidRPr="2519247D">
        <w:rPr>
          <w:rFonts w:ascii="Calibri" w:eastAsia="Calibri" w:hAnsi="Calibri" w:cs="Calibri"/>
          <w:sz w:val="22"/>
          <w:szCs w:val="22"/>
        </w:rPr>
        <w:t>lawful</w:t>
      </w:r>
      <w:r w:rsidR="24E544E8" w:rsidRPr="75BB483C">
        <w:rPr>
          <w:rFonts w:ascii="Calibri" w:eastAsia="Calibri" w:hAnsi="Calibri" w:cs="Calibri"/>
          <w:sz w:val="22"/>
          <w:szCs w:val="22"/>
        </w:rPr>
        <w:t>, and</w:t>
      </w:r>
      <w:r w:rsidR="0D69255F" w:rsidRPr="2519247D">
        <w:rPr>
          <w:rFonts w:ascii="Calibri" w:eastAsia="Calibri" w:hAnsi="Calibri" w:cs="Calibri"/>
          <w:sz w:val="22"/>
          <w:szCs w:val="22"/>
        </w:rPr>
        <w:t xml:space="preserve"> the government has been granted permission to appeal the decision.</w:t>
      </w:r>
      <w:r w:rsidR="2E7DFEED" w:rsidRPr="6D762E26">
        <w:rPr>
          <w:rStyle w:val="FootnoteReference"/>
          <w:rFonts w:ascii="Calibri" w:eastAsia="Calibri" w:hAnsi="Calibri" w:cs="Calibri"/>
          <w:sz w:val="22"/>
          <w:szCs w:val="22"/>
        </w:rPr>
        <w:footnoteReference w:id="14"/>
      </w:r>
      <w:r w:rsidR="0474FBF6" w:rsidRPr="6D762E26">
        <w:rPr>
          <w:rFonts w:ascii="Calibri" w:eastAsia="Calibri" w:hAnsi="Calibri" w:cs="Calibri"/>
          <w:sz w:val="22"/>
          <w:szCs w:val="22"/>
        </w:rPr>
        <w:t xml:space="preserve"> </w:t>
      </w:r>
      <w:r w:rsidR="79397E37" w:rsidRPr="6D762E26">
        <w:rPr>
          <w:rFonts w:ascii="Calibri" w:eastAsia="Calibri" w:hAnsi="Calibri" w:cs="Calibri"/>
          <w:sz w:val="22"/>
          <w:szCs w:val="22"/>
        </w:rPr>
        <w:t>T</w:t>
      </w:r>
      <w:r w:rsidR="0D69255F" w:rsidRPr="6D762E26">
        <w:rPr>
          <w:rFonts w:ascii="Calibri" w:eastAsia="Calibri" w:hAnsi="Calibri" w:cs="Calibri"/>
          <w:sz w:val="22"/>
          <w:szCs w:val="22"/>
        </w:rPr>
        <w:t>he proscription has been critiqued by many, including by a number of UN Special Rapporteurs, as a misuse of counter terrorism laws, and there is growing concern about the over 2,700 peaceful protesters who have been arrested under section 13 of the Terrorism Act 2000, most for peacefully holding signs reading “I oppose genocide, I support Palestine Action.”</w:t>
      </w:r>
      <w:r w:rsidR="2E7DFEED" w:rsidRPr="6D762E26">
        <w:rPr>
          <w:rStyle w:val="FootnoteReference"/>
          <w:rFonts w:ascii="Calibri" w:eastAsia="Calibri" w:hAnsi="Calibri" w:cs="Calibri"/>
          <w:sz w:val="22"/>
          <w:szCs w:val="22"/>
        </w:rPr>
        <w:footnoteReference w:id="15"/>
      </w:r>
      <w:r w:rsidR="4BDE9BC9" w:rsidRPr="75BB483C">
        <w:rPr>
          <w:rFonts w:ascii="Calibri" w:eastAsia="Calibri" w:hAnsi="Calibri" w:cs="Calibri"/>
          <w:sz w:val="22"/>
          <w:szCs w:val="22"/>
        </w:rPr>
        <w:t xml:space="preserve"> </w:t>
      </w:r>
      <w:r w:rsidR="510FB2E9" w:rsidRPr="75BB483C">
        <w:rPr>
          <w:rFonts w:ascii="Calibri" w:eastAsia="Calibri" w:hAnsi="Calibri" w:cs="Calibri"/>
          <w:sz w:val="22"/>
          <w:szCs w:val="22"/>
        </w:rPr>
        <w:t xml:space="preserve">We are concerned that these arrests may have a wider chilling effect on the right to peaceful assembly, disproportionately affecting those who wish to express solidarity with the Palestinian people, </w:t>
      </w:r>
      <w:r w:rsidR="1297CA58" w:rsidRPr="6D762E26">
        <w:rPr>
          <w:rFonts w:ascii="Calibri" w:eastAsia="Calibri" w:hAnsi="Calibri" w:cs="Calibri"/>
          <w:sz w:val="22"/>
          <w:szCs w:val="22"/>
        </w:rPr>
        <w:t xml:space="preserve">many of whom come from Arab, </w:t>
      </w:r>
      <w:r w:rsidR="1297CA58" w:rsidRPr="59219708">
        <w:rPr>
          <w:rFonts w:ascii="Calibri" w:eastAsia="Calibri" w:hAnsi="Calibri" w:cs="Calibri"/>
          <w:sz w:val="22"/>
          <w:szCs w:val="22"/>
        </w:rPr>
        <w:t xml:space="preserve">Muslim and South Asian communities. </w:t>
      </w:r>
      <w:r w:rsidR="0D69255F" w:rsidRPr="59219708">
        <w:rPr>
          <w:rFonts w:ascii="Calibri" w:eastAsia="Calibri" w:hAnsi="Calibri" w:cs="Calibri"/>
          <w:sz w:val="22"/>
          <w:szCs w:val="22"/>
        </w:rPr>
        <w:t xml:space="preserve"> </w:t>
      </w:r>
    </w:p>
    <w:p w14:paraId="440AEF66" w14:textId="6727900B" w:rsidR="2E7DFEED" w:rsidRDefault="67E46C9E" w:rsidP="2519247D">
      <w:pPr>
        <w:spacing w:before="240" w:after="240" w:line="240" w:lineRule="auto"/>
        <w:rPr>
          <w:rFonts w:ascii="Calibri" w:eastAsia="Calibri" w:hAnsi="Calibri" w:cs="Calibri"/>
          <w:sz w:val="22"/>
          <w:szCs w:val="22"/>
        </w:rPr>
      </w:pPr>
      <w:r w:rsidRPr="75BB483C">
        <w:rPr>
          <w:rFonts w:ascii="Calibri" w:eastAsia="Calibri" w:hAnsi="Calibri" w:cs="Calibri"/>
          <w:sz w:val="22"/>
          <w:szCs w:val="22"/>
        </w:rPr>
        <w:t xml:space="preserve">The application of counter-terrorism powers against Palestine Action activists </w:t>
      </w:r>
      <w:r w:rsidR="00C119CF">
        <w:rPr>
          <w:rFonts w:ascii="Calibri" w:eastAsia="Calibri" w:hAnsi="Calibri" w:cs="Calibri"/>
          <w:sz w:val="22"/>
          <w:szCs w:val="22"/>
        </w:rPr>
        <w:t xml:space="preserve">also </w:t>
      </w:r>
      <w:r w:rsidRPr="75BB483C">
        <w:rPr>
          <w:rFonts w:ascii="Calibri" w:eastAsia="Calibri" w:hAnsi="Calibri" w:cs="Calibri"/>
          <w:sz w:val="22"/>
          <w:szCs w:val="22"/>
        </w:rPr>
        <w:t xml:space="preserve">raises concerns regarding the right to liberty and fair trial guarantees under international human rights law. </w:t>
      </w:r>
      <w:r w:rsidR="310E7933" w:rsidRPr="75BB483C">
        <w:rPr>
          <w:rFonts w:ascii="Calibri" w:eastAsia="Calibri" w:hAnsi="Calibri" w:cs="Calibri"/>
          <w:sz w:val="22"/>
          <w:szCs w:val="22"/>
        </w:rPr>
        <w:t>W</w:t>
      </w:r>
      <w:r w:rsidR="0D69255F" w:rsidRPr="75BB483C">
        <w:rPr>
          <w:rFonts w:ascii="Calibri" w:eastAsia="Calibri" w:hAnsi="Calibri" w:cs="Calibri"/>
          <w:sz w:val="22"/>
          <w:szCs w:val="22"/>
        </w:rPr>
        <w:t xml:space="preserve">e note that </w:t>
      </w:r>
      <w:proofErr w:type="gramStart"/>
      <w:r w:rsidR="0D69255F" w:rsidRPr="75BB483C">
        <w:rPr>
          <w:rFonts w:ascii="Calibri" w:eastAsia="Calibri" w:hAnsi="Calibri" w:cs="Calibri"/>
          <w:sz w:val="22"/>
          <w:szCs w:val="22"/>
        </w:rPr>
        <w:t>a number of</w:t>
      </w:r>
      <w:proofErr w:type="gramEnd"/>
      <w:r w:rsidR="0D69255F" w:rsidRPr="75BB483C">
        <w:rPr>
          <w:rFonts w:ascii="Calibri" w:eastAsia="Calibri" w:hAnsi="Calibri" w:cs="Calibri"/>
          <w:sz w:val="22"/>
          <w:szCs w:val="22"/>
        </w:rPr>
        <w:t xml:space="preserve"> Palestine Action activists were</w:t>
      </w:r>
      <w:r w:rsidR="0D69255F" w:rsidRPr="75BB483C">
        <w:rPr>
          <w:rFonts w:ascii="Calibri" w:eastAsia="Calibri" w:hAnsi="Calibri" w:cs="Calibri"/>
          <w:sz w:val="22"/>
          <w:szCs w:val="22"/>
          <w:lang w:val="en-GB"/>
        </w:rPr>
        <w:t xml:space="preserve"> arrested under counterterrorism legislation, and </w:t>
      </w:r>
      <w:r w:rsidR="0D69255F" w:rsidRPr="75BB483C">
        <w:rPr>
          <w:rFonts w:ascii="Calibri" w:eastAsia="Calibri" w:hAnsi="Calibri" w:cs="Calibri"/>
          <w:sz w:val="22"/>
          <w:szCs w:val="22"/>
          <w:lang w:val="en-GB"/>
        </w:rPr>
        <w:lastRenderedPageBreak/>
        <w:t>prosecutors are pursuing an alleged “terrorism connection,” which must be treated as an aggravating factor and </w:t>
      </w:r>
      <w:r w:rsidR="0D69255F" w:rsidRPr="75BB483C">
        <w:rPr>
          <w:rFonts w:ascii="Calibri" w:eastAsia="Calibri" w:hAnsi="Calibri" w:cs="Calibri"/>
          <w:sz w:val="22"/>
          <w:szCs w:val="22"/>
        </w:rPr>
        <w:t>stated in open court.</w:t>
      </w:r>
      <w:r w:rsidR="2E7DFEED" w:rsidRPr="75BB483C">
        <w:rPr>
          <w:rStyle w:val="FootnoteReference"/>
          <w:rFonts w:ascii="Calibri" w:eastAsia="Calibri" w:hAnsi="Calibri" w:cs="Calibri"/>
          <w:sz w:val="22"/>
          <w:szCs w:val="22"/>
        </w:rPr>
        <w:footnoteReference w:id="16"/>
      </w:r>
    </w:p>
    <w:p w14:paraId="30EB9E71" w14:textId="73F09422" w:rsidR="63610392" w:rsidRDefault="63610392" w:rsidP="6D762E26">
      <w:pPr>
        <w:spacing w:before="240" w:after="240" w:line="240" w:lineRule="auto"/>
        <w:rPr>
          <w:rFonts w:ascii="Calibri" w:eastAsia="Calibri" w:hAnsi="Calibri" w:cs="Calibri"/>
          <w:sz w:val="22"/>
          <w:szCs w:val="22"/>
          <w:u w:val="single"/>
        </w:rPr>
      </w:pPr>
      <w:r w:rsidRPr="6D762E26">
        <w:rPr>
          <w:rFonts w:ascii="Calibri" w:eastAsia="Calibri" w:hAnsi="Calibri" w:cs="Calibri"/>
          <w:sz w:val="22"/>
          <w:szCs w:val="22"/>
          <w:u w:val="single"/>
        </w:rPr>
        <w:t>The Crime and Policing Act 2026 further restricts the right to protest</w:t>
      </w:r>
    </w:p>
    <w:p w14:paraId="0E66EA48" w14:textId="588201A6" w:rsidR="3709FFCF" w:rsidRDefault="3709FFCF" w:rsidP="2519247D">
      <w:pPr>
        <w:spacing w:after="0" w:line="240" w:lineRule="auto"/>
        <w:rPr>
          <w:rFonts w:ascii="Calibri" w:eastAsia="Calibri" w:hAnsi="Calibri" w:cs="Calibri"/>
          <w:color w:val="000000" w:themeColor="text1"/>
          <w:sz w:val="22"/>
          <w:szCs w:val="22"/>
          <w:lang w:val="en-GB"/>
        </w:rPr>
      </w:pPr>
      <w:r w:rsidRPr="75BB483C">
        <w:rPr>
          <w:rFonts w:ascii="Calibri" w:eastAsia="Calibri" w:hAnsi="Calibri" w:cs="Calibri"/>
          <w:color w:val="000000" w:themeColor="text1"/>
          <w:sz w:val="22"/>
          <w:szCs w:val="22"/>
        </w:rPr>
        <w:t xml:space="preserve">Rather than change course </w:t>
      </w:r>
      <w:r w:rsidR="023B44BB" w:rsidRPr="75BB483C">
        <w:rPr>
          <w:rFonts w:ascii="Calibri" w:eastAsia="Calibri" w:hAnsi="Calibri" w:cs="Calibri"/>
          <w:color w:val="000000" w:themeColor="text1"/>
          <w:sz w:val="22"/>
          <w:szCs w:val="22"/>
        </w:rPr>
        <w:t>after</w:t>
      </w:r>
      <w:r w:rsidRPr="75BB483C">
        <w:rPr>
          <w:rFonts w:ascii="Calibri" w:eastAsia="Calibri" w:hAnsi="Calibri" w:cs="Calibri"/>
          <w:color w:val="000000" w:themeColor="text1"/>
          <w:sz w:val="22"/>
          <w:szCs w:val="22"/>
        </w:rPr>
        <w:t xml:space="preserve"> the </w:t>
      </w:r>
      <w:r w:rsidR="2DA595F3" w:rsidRPr="75BB483C">
        <w:rPr>
          <w:rFonts w:ascii="Calibri" w:eastAsia="Calibri" w:hAnsi="Calibri" w:cs="Calibri"/>
          <w:color w:val="000000" w:themeColor="text1"/>
          <w:sz w:val="22"/>
          <w:szCs w:val="22"/>
        </w:rPr>
        <w:t>immense criticism</w:t>
      </w:r>
      <w:r w:rsidR="7C24CA06" w:rsidRPr="75BB483C">
        <w:rPr>
          <w:rFonts w:ascii="Calibri" w:eastAsia="Calibri" w:hAnsi="Calibri" w:cs="Calibri"/>
          <w:color w:val="000000" w:themeColor="text1"/>
          <w:sz w:val="22"/>
          <w:szCs w:val="22"/>
        </w:rPr>
        <w:t>, detailed in our report,</w:t>
      </w:r>
      <w:r w:rsidRPr="75BB483C">
        <w:rPr>
          <w:rStyle w:val="FootnoteReference"/>
          <w:rFonts w:ascii="Calibri" w:eastAsia="Calibri" w:hAnsi="Calibri" w:cs="Calibri"/>
          <w:color w:val="000000" w:themeColor="text1"/>
          <w:sz w:val="22"/>
          <w:szCs w:val="22"/>
        </w:rPr>
        <w:footnoteReference w:id="17"/>
      </w:r>
      <w:r w:rsidR="2DA595F3" w:rsidRPr="75BB483C">
        <w:rPr>
          <w:rFonts w:ascii="Calibri" w:eastAsia="Calibri" w:hAnsi="Calibri" w:cs="Calibri"/>
          <w:color w:val="000000" w:themeColor="text1"/>
          <w:sz w:val="22"/>
          <w:szCs w:val="22"/>
        </w:rPr>
        <w:t xml:space="preserve"> in the wake of the </w:t>
      </w:r>
      <w:r w:rsidR="2DA595F3" w:rsidRPr="75BB483C">
        <w:rPr>
          <w:rFonts w:ascii="Calibri" w:eastAsia="Calibri" w:hAnsi="Calibri" w:cs="Calibri"/>
          <w:sz w:val="22"/>
          <w:szCs w:val="22"/>
        </w:rPr>
        <w:t>Police, Crime, Sentencing and Courts Act 2022, the Public Order Act 2023,</w:t>
      </w:r>
      <w:r w:rsidR="3DC50718" w:rsidRPr="75BB483C">
        <w:rPr>
          <w:rFonts w:ascii="Calibri" w:eastAsia="Calibri" w:hAnsi="Calibri" w:cs="Calibri"/>
          <w:sz w:val="22"/>
          <w:szCs w:val="22"/>
        </w:rPr>
        <w:t xml:space="preserve"> some which came from this </w:t>
      </w:r>
      <w:r w:rsidR="2BB98ECC" w:rsidRPr="75BB483C">
        <w:rPr>
          <w:rFonts w:ascii="Calibri" w:eastAsia="Calibri" w:hAnsi="Calibri" w:cs="Calibri"/>
          <w:sz w:val="22"/>
          <w:szCs w:val="22"/>
        </w:rPr>
        <w:t>C</w:t>
      </w:r>
      <w:r w:rsidR="3DC50718" w:rsidRPr="75BB483C">
        <w:rPr>
          <w:rFonts w:ascii="Calibri" w:eastAsia="Calibri" w:hAnsi="Calibri" w:cs="Calibri"/>
          <w:sz w:val="22"/>
          <w:szCs w:val="22"/>
        </w:rPr>
        <w:t>ommittee,</w:t>
      </w:r>
      <w:r w:rsidRPr="75BB483C">
        <w:rPr>
          <w:rFonts w:ascii="Calibri" w:eastAsia="Calibri" w:hAnsi="Calibri" w:cs="Calibri"/>
          <w:color w:val="000000" w:themeColor="text1"/>
          <w:sz w:val="22"/>
          <w:szCs w:val="22"/>
        </w:rPr>
        <w:t xml:space="preserve"> the government has doubled down </w:t>
      </w:r>
      <w:r w:rsidR="65914EDC" w:rsidRPr="75BB483C">
        <w:rPr>
          <w:rFonts w:ascii="Calibri" w:eastAsia="Calibri" w:hAnsi="Calibri" w:cs="Calibri"/>
          <w:color w:val="000000" w:themeColor="text1"/>
          <w:sz w:val="22"/>
          <w:szCs w:val="22"/>
        </w:rPr>
        <w:t>by introducing</w:t>
      </w:r>
      <w:r w:rsidRPr="75BB483C">
        <w:rPr>
          <w:rFonts w:ascii="Calibri" w:eastAsia="Calibri" w:hAnsi="Calibri" w:cs="Calibri"/>
          <w:color w:val="000000" w:themeColor="text1"/>
          <w:sz w:val="22"/>
          <w:szCs w:val="22"/>
        </w:rPr>
        <w:t xml:space="preserve"> further restrictions on protest in the new </w:t>
      </w:r>
      <w:r w:rsidRPr="75BB483C">
        <w:rPr>
          <w:rFonts w:ascii="Calibri" w:eastAsia="Calibri" w:hAnsi="Calibri" w:cs="Calibri"/>
          <w:color w:val="000000" w:themeColor="text1"/>
          <w:sz w:val="22"/>
          <w:szCs w:val="22"/>
          <w:lang w:val="en-GB"/>
        </w:rPr>
        <w:t xml:space="preserve">Crime and Policing </w:t>
      </w:r>
      <w:r w:rsidR="11BDB998" w:rsidRPr="75BB483C">
        <w:rPr>
          <w:rFonts w:ascii="Calibri" w:eastAsia="Calibri" w:hAnsi="Calibri" w:cs="Calibri"/>
          <w:color w:val="000000" w:themeColor="text1"/>
          <w:sz w:val="22"/>
          <w:szCs w:val="22"/>
          <w:lang w:val="en-GB"/>
        </w:rPr>
        <w:t>Act 2026</w:t>
      </w:r>
      <w:r w:rsidRPr="75BB483C">
        <w:rPr>
          <w:rFonts w:ascii="Calibri" w:eastAsia="Calibri" w:hAnsi="Calibri" w:cs="Calibri"/>
          <w:color w:val="000000" w:themeColor="text1"/>
          <w:sz w:val="22"/>
          <w:szCs w:val="22"/>
          <w:lang w:val="en-GB"/>
        </w:rPr>
        <w:t>,</w:t>
      </w:r>
      <w:r w:rsidR="33BB108B" w:rsidRPr="75BB483C">
        <w:rPr>
          <w:rFonts w:ascii="Calibri" w:eastAsia="Calibri" w:hAnsi="Calibri" w:cs="Calibri"/>
          <w:color w:val="000000" w:themeColor="text1"/>
          <w:sz w:val="22"/>
          <w:szCs w:val="22"/>
          <w:lang w:val="en-GB"/>
        </w:rPr>
        <w:t xml:space="preserve"> which recently received royal assent.</w:t>
      </w:r>
      <w:r w:rsidR="29C7CD58" w:rsidRPr="75BB483C">
        <w:rPr>
          <w:rFonts w:ascii="Calibri" w:eastAsia="Calibri" w:hAnsi="Calibri" w:cs="Calibri"/>
          <w:color w:val="000000" w:themeColor="text1"/>
          <w:sz w:val="22"/>
          <w:szCs w:val="22"/>
          <w:lang w:val="en-GB"/>
        </w:rPr>
        <w:t xml:space="preserve"> </w:t>
      </w:r>
      <w:r w:rsidR="29C7CD58" w:rsidRPr="75BB483C">
        <w:rPr>
          <w:rFonts w:ascii="Calibri" w:eastAsia="Calibri" w:hAnsi="Calibri" w:cs="Calibri"/>
          <w:sz w:val="22"/>
          <w:szCs w:val="22"/>
          <w:lang w:val="en-GB"/>
        </w:rPr>
        <w:t xml:space="preserve">Each of the provisions discussed below raises concerns under ICERD Article 5(d)(ix) on the right to peaceful assembly, and where their impact falls disproportionately on racialized communities, engages the </w:t>
      </w:r>
      <w:r w:rsidR="1E32D4F7" w:rsidRPr="75BB483C">
        <w:rPr>
          <w:rFonts w:ascii="Calibri" w:eastAsia="Calibri" w:hAnsi="Calibri" w:cs="Calibri"/>
          <w:sz w:val="22"/>
          <w:szCs w:val="22"/>
          <w:lang w:val="en-GB"/>
        </w:rPr>
        <w:t>s</w:t>
      </w:r>
      <w:r w:rsidR="29C7CD58" w:rsidRPr="75BB483C">
        <w:rPr>
          <w:rFonts w:ascii="Calibri" w:eastAsia="Calibri" w:hAnsi="Calibri" w:cs="Calibri"/>
          <w:sz w:val="22"/>
          <w:szCs w:val="22"/>
          <w:lang w:val="en-GB"/>
        </w:rPr>
        <w:t xml:space="preserve">tate party's obligations under </w:t>
      </w:r>
      <w:r w:rsidR="04EF78E5" w:rsidRPr="75BB483C">
        <w:rPr>
          <w:rFonts w:ascii="Calibri" w:eastAsia="Calibri" w:hAnsi="Calibri" w:cs="Calibri"/>
          <w:sz w:val="22"/>
          <w:szCs w:val="22"/>
          <w:lang w:val="en-GB"/>
        </w:rPr>
        <w:t xml:space="preserve">ICERD </w:t>
      </w:r>
      <w:r w:rsidR="29C7CD58" w:rsidRPr="75BB483C">
        <w:rPr>
          <w:rFonts w:ascii="Calibri" w:eastAsia="Calibri" w:hAnsi="Calibri" w:cs="Calibri"/>
          <w:sz w:val="22"/>
          <w:szCs w:val="22"/>
          <w:lang w:val="en-GB"/>
        </w:rPr>
        <w:t>Articles 2 and 5 to guarantee rights without discrimination.</w:t>
      </w:r>
    </w:p>
    <w:p w14:paraId="00969058" w14:textId="25E47C30" w:rsidR="6D762E26" w:rsidRDefault="6D762E26" w:rsidP="6D762E26">
      <w:pPr>
        <w:spacing w:after="0" w:line="240" w:lineRule="auto"/>
        <w:rPr>
          <w:rFonts w:ascii="Calibri" w:eastAsia="Calibri" w:hAnsi="Calibri" w:cs="Calibri"/>
          <w:color w:val="000000" w:themeColor="text1"/>
          <w:sz w:val="22"/>
          <w:szCs w:val="22"/>
          <w:lang w:val="en-GB"/>
        </w:rPr>
      </w:pPr>
    </w:p>
    <w:p w14:paraId="381E8FA8" w14:textId="053EB5F8" w:rsidR="42CE36F6" w:rsidRDefault="3709FFCF" w:rsidP="5CA2CEA9">
      <w:pPr>
        <w:spacing w:after="0" w:line="240" w:lineRule="auto"/>
        <w:rPr>
          <w:rFonts w:ascii="Calibri" w:eastAsia="Calibri" w:hAnsi="Calibri" w:cs="Calibri"/>
          <w:sz w:val="22"/>
          <w:szCs w:val="22"/>
        </w:rPr>
      </w:pPr>
      <w:r w:rsidRPr="6D762E26">
        <w:rPr>
          <w:rFonts w:ascii="Calibri" w:eastAsia="Calibri" w:hAnsi="Calibri" w:cs="Calibri"/>
          <w:color w:val="000000" w:themeColor="text1"/>
          <w:sz w:val="22"/>
          <w:szCs w:val="22"/>
          <w:lang w:val="en-GB"/>
        </w:rPr>
        <w:t xml:space="preserve">These include measures to </w:t>
      </w:r>
      <w:r w:rsidRPr="6D762E26">
        <w:rPr>
          <w:rFonts w:ascii="Calibri" w:eastAsia="Calibri" w:hAnsi="Calibri" w:cs="Calibri"/>
          <w:color w:val="000000" w:themeColor="text1"/>
          <w:sz w:val="22"/>
          <w:szCs w:val="22"/>
        </w:rPr>
        <w:t>impose a blanket ban on face masks at protests</w:t>
      </w:r>
      <w:r w:rsidR="3E036CAC" w:rsidRPr="6D762E26">
        <w:rPr>
          <w:rFonts w:ascii="Calibri" w:eastAsia="Calibri" w:hAnsi="Calibri" w:cs="Calibri"/>
          <w:color w:val="000000" w:themeColor="text1"/>
          <w:sz w:val="22"/>
          <w:szCs w:val="22"/>
        </w:rPr>
        <w:t>, which includes no exception for individuals fearing transnational repression.</w:t>
      </w:r>
      <w:r w:rsidR="00C119CF">
        <w:rPr>
          <w:rFonts w:ascii="Calibri" w:eastAsia="Calibri" w:hAnsi="Calibri" w:cs="Calibri"/>
          <w:sz w:val="22"/>
          <w:szCs w:val="22"/>
        </w:rPr>
        <w:t xml:space="preserve"> </w:t>
      </w:r>
      <w:r w:rsidR="14C5F065" w:rsidRPr="6D762E26">
        <w:rPr>
          <w:rFonts w:ascii="Calibri" w:eastAsia="Calibri" w:hAnsi="Calibri" w:cs="Calibri"/>
          <w:sz w:val="22"/>
          <w:szCs w:val="22"/>
        </w:rPr>
        <w:t>This concern is compounded by the increasing use of live facial recognition technology by UK police forces at protests and public gatherings, which Human Rights Watch has previously raised in its submission to the UN Human Rights Committee regarding the UK’s ICCPR review.</w:t>
      </w:r>
      <w:r w:rsidR="42CE36F6" w:rsidRPr="6D762E26">
        <w:rPr>
          <w:rStyle w:val="FootnoteReference"/>
          <w:rFonts w:ascii="Calibri" w:eastAsia="Calibri" w:hAnsi="Calibri" w:cs="Calibri"/>
          <w:sz w:val="22"/>
          <w:szCs w:val="22"/>
        </w:rPr>
        <w:footnoteReference w:id="18"/>
      </w:r>
      <w:r w:rsidR="14C5F065" w:rsidRPr="6D762E26">
        <w:rPr>
          <w:rFonts w:ascii="Calibri" w:eastAsia="Calibri" w:hAnsi="Calibri" w:cs="Calibri"/>
          <w:sz w:val="22"/>
          <w:szCs w:val="22"/>
        </w:rPr>
        <w:t xml:space="preserve"> UK police forces are increasingly using live facial recognition technology to monitor peaceful gatherings, from Notting Hill Carnival to the coronation of King Charles III.</w:t>
      </w:r>
      <w:r w:rsidR="42CE36F6" w:rsidRPr="6D762E26">
        <w:rPr>
          <w:rStyle w:val="FootnoteReference"/>
          <w:rFonts w:ascii="Calibri" w:eastAsia="Calibri" w:hAnsi="Calibri" w:cs="Calibri"/>
          <w:sz w:val="22"/>
          <w:szCs w:val="22"/>
        </w:rPr>
        <w:footnoteReference w:id="19"/>
      </w:r>
      <w:r w:rsidR="5B8E915E" w:rsidRPr="6D762E26">
        <w:rPr>
          <w:rFonts w:ascii="Calibri" w:eastAsia="Calibri" w:hAnsi="Calibri" w:cs="Calibri"/>
          <w:sz w:val="22"/>
          <w:szCs w:val="22"/>
        </w:rPr>
        <w:t xml:space="preserve"> </w:t>
      </w:r>
      <w:r w:rsidR="14C5F065" w:rsidRPr="6D762E26">
        <w:rPr>
          <w:rFonts w:ascii="Calibri" w:eastAsia="Calibri" w:hAnsi="Calibri" w:cs="Calibri"/>
          <w:sz w:val="22"/>
          <w:szCs w:val="22"/>
        </w:rPr>
        <w:t>Northamptonshire Police used live facial recognition technology at the 2023 Formula 1 Grand Prix, seemingly in an attempt to deter and monitor environmental protests at the event.</w:t>
      </w:r>
      <w:r w:rsidR="42CE36F6" w:rsidRPr="6D762E26">
        <w:rPr>
          <w:rStyle w:val="FootnoteReference"/>
          <w:rFonts w:ascii="Calibri" w:eastAsia="Calibri" w:hAnsi="Calibri" w:cs="Calibri"/>
          <w:sz w:val="22"/>
          <w:szCs w:val="22"/>
        </w:rPr>
        <w:footnoteReference w:id="20"/>
      </w:r>
      <w:r w:rsidR="278D4D44" w:rsidRPr="5CA2CEA9">
        <w:rPr>
          <w:rFonts w:ascii="Calibri" w:eastAsia="Calibri" w:hAnsi="Calibri" w:cs="Calibri"/>
          <w:sz w:val="22"/>
          <w:szCs w:val="22"/>
        </w:rPr>
        <w:t xml:space="preserve"> </w:t>
      </w:r>
      <w:r w:rsidR="2F2927C1" w:rsidRPr="75BB483C">
        <w:rPr>
          <w:rFonts w:ascii="Calibri" w:eastAsia="Calibri" w:hAnsi="Calibri" w:cs="Calibri"/>
          <w:sz w:val="22"/>
          <w:szCs w:val="22"/>
        </w:rPr>
        <w:t xml:space="preserve">According to </w:t>
      </w:r>
      <w:r w:rsidR="59B703C4" w:rsidRPr="59219708">
        <w:rPr>
          <w:rFonts w:ascii="Calibri" w:eastAsia="Calibri" w:hAnsi="Calibri" w:cs="Calibri"/>
          <w:color w:val="000000" w:themeColor="text1"/>
          <w:sz w:val="22"/>
          <w:szCs w:val="22"/>
        </w:rPr>
        <w:t xml:space="preserve">Home Office </w:t>
      </w:r>
      <w:hyperlink r:id="rId14" w:history="1">
        <w:r w:rsidR="59B703C4" w:rsidRPr="59219708">
          <w:rPr>
            <w:rStyle w:val="Hyperlink"/>
            <w:rFonts w:ascii="Calibri" w:eastAsia="Calibri" w:hAnsi="Calibri" w:cs="Calibri"/>
            <w:sz w:val="22"/>
            <w:szCs w:val="22"/>
          </w:rPr>
          <w:t>commissioned</w:t>
        </w:r>
      </w:hyperlink>
      <w:r w:rsidR="59B703C4" w:rsidRPr="59219708">
        <w:rPr>
          <w:rFonts w:ascii="Calibri" w:eastAsia="Calibri" w:hAnsi="Calibri" w:cs="Calibri"/>
          <w:color w:val="000000" w:themeColor="text1"/>
          <w:sz w:val="22"/>
          <w:szCs w:val="22"/>
        </w:rPr>
        <w:t xml:space="preserve"> research</w:t>
      </w:r>
      <w:r w:rsidR="6FA99C47" w:rsidRPr="59219708">
        <w:rPr>
          <w:rFonts w:ascii="Calibri" w:eastAsia="Calibri" w:hAnsi="Calibri" w:cs="Calibri"/>
          <w:color w:val="000000" w:themeColor="text1"/>
          <w:sz w:val="22"/>
          <w:szCs w:val="22"/>
        </w:rPr>
        <w:t>,</w:t>
      </w:r>
      <w:r w:rsidR="447AFF6E" w:rsidRPr="59219708">
        <w:rPr>
          <w:rFonts w:ascii="Calibri" w:eastAsia="Calibri" w:hAnsi="Calibri" w:cs="Calibri"/>
          <w:color w:val="000000" w:themeColor="text1"/>
          <w:sz w:val="22"/>
          <w:szCs w:val="22"/>
        </w:rPr>
        <w:t xml:space="preserve"> </w:t>
      </w:r>
      <w:r w:rsidR="6FA99C47" w:rsidRPr="59219708">
        <w:rPr>
          <w:rFonts w:ascii="Calibri" w:eastAsia="Calibri" w:hAnsi="Calibri" w:cs="Calibri"/>
          <w:color w:val="000000" w:themeColor="text1"/>
          <w:sz w:val="22"/>
          <w:szCs w:val="22"/>
        </w:rPr>
        <w:t xml:space="preserve">facial </w:t>
      </w:r>
      <w:r w:rsidR="427CB818" w:rsidRPr="59219708">
        <w:rPr>
          <w:rFonts w:ascii="Calibri" w:eastAsia="Calibri" w:hAnsi="Calibri" w:cs="Calibri"/>
          <w:color w:val="000000" w:themeColor="text1"/>
          <w:sz w:val="22"/>
          <w:szCs w:val="22"/>
        </w:rPr>
        <w:t>recognition</w:t>
      </w:r>
      <w:r w:rsidR="59B703C4" w:rsidRPr="59219708">
        <w:rPr>
          <w:rFonts w:ascii="Calibri" w:eastAsia="Calibri" w:hAnsi="Calibri" w:cs="Calibri"/>
          <w:color w:val="000000" w:themeColor="text1"/>
          <w:sz w:val="22"/>
          <w:szCs w:val="22"/>
        </w:rPr>
        <w:t xml:space="preserve"> technology </w:t>
      </w:r>
      <w:r w:rsidR="1489FFA6" w:rsidRPr="59219708">
        <w:rPr>
          <w:rFonts w:ascii="Calibri" w:eastAsia="Calibri" w:hAnsi="Calibri" w:cs="Calibri"/>
          <w:color w:val="000000" w:themeColor="text1"/>
          <w:sz w:val="22"/>
          <w:szCs w:val="22"/>
        </w:rPr>
        <w:t>produces</w:t>
      </w:r>
      <w:r w:rsidR="59B703C4" w:rsidRPr="59219708">
        <w:rPr>
          <w:rFonts w:ascii="Calibri" w:eastAsia="Calibri" w:hAnsi="Calibri" w:cs="Calibri"/>
          <w:color w:val="000000" w:themeColor="text1"/>
          <w:sz w:val="22"/>
          <w:szCs w:val="22"/>
        </w:rPr>
        <w:t xml:space="preserve"> a far higher rate of false positives for black (5.5 %) and Asian (4.0 %) faces than for white faces (0.04 %) at certain settings</w:t>
      </w:r>
      <w:r w:rsidR="749F2E89" w:rsidRPr="59219708">
        <w:rPr>
          <w:rFonts w:ascii="Calibri" w:eastAsia="Calibri" w:hAnsi="Calibri" w:cs="Calibri"/>
          <w:color w:val="000000" w:themeColor="text1"/>
          <w:sz w:val="22"/>
          <w:szCs w:val="22"/>
        </w:rPr>
        <w:t>.</w:t>
      </w:r>
      <w:r w:rsidR="59B703C4" w:rsidRPr="59219708">
        <w:rPr>
          <w:rFonts w:ascii="Calibri" w:eastAsia="Calibri" w:hAnsi="Calibri" w:cs="Calibri"/>
          <w:color w:val="000000" w:themeColor="text1"/>
          <w:sz w:val="22"/>
          <w:szCs w:val="22"/>
        </w:rPr>
        <w:t xml:space="preserve"> The Guardian also </w:t>
      </w:r>
      <w:hyperlink r:id="rId15" w:history="1">
        <w:r w:rsidR="59B703C4" w:rsidRPr="59219708">
          <w:rPr>
            <w:rStyle w:val="Hyperlink"/>
            <w:rFonts w:ascii="Calibri" w:eastAsia="Calibri" w:hAnsi="Calibri" w:cs="Calibri"/>
            <w:sz w:val="22"/>
            <w:szCs w:val="22"/>
          </w:rPr>
          <w:t>reported</w:t>
        </w:r>
      </w:hyperlink>
      <w:r w:rsidR="59B703C4" w:rsidRPr="59219708">
        <w:rPr>
          <w:rFonts w:ascii="Calibri" w:eastAsia="Calibri" w:hAnsi="Calibri" w:cs="Calibri"/>
          <w:color w:val="000000" w:themeColor="text1"/>
          <w:sz w:val="22"/>
          <w:szCs w:val="22"/>
        </w:rPr>
        <w:t xml:space="preserve"> in February 2026 on an </w:t>
      </w:r>
      <w:r w:rsidR="35A78AE4" w:rsidRPr="59219708">
        <w:rPr>
          <w:rFonts w:ascii="Calibri" w:eastAsia="Calibri" w:hAnsi="Calibri" w:cs="Calibri"/>
          <w:color w:val="000000" w:themeColor="text1"/>
          <w:sz w:val="22"/>
          <w:szCs w:val="22"/>
        </w:rPr>
        <w:t>Asian</w:t>
      </w:r>
      <w:r w:rsidR="59B703C4" w:rsidRPr="59219708">
        <w:rPr>
          <w:rFonts w:ascii="Calibri" w:eastAsia="Calibri" w:hAnsi="Calibri" w:cs="Calibri"/>
          <w:color w:val="000000" w:themeColor="text1"/>
          <w:sz w:val="22"/>
          <w:szCs w:val="22"/>
        </w:rPr>
        <w:t xml:space="preserve"> man who was arrested for a robbery in a city he had never visited, after a false positive facial ID made using a mugshot from another </w:t>
      </w:r>
      <w:proofErr w:type="gramStart"/>
      <w:r w:rsidR="59B703C4" w:rsidRPr="59219708">
        <w:rPr>
          <w:rFonts w:ascii="Calibri" w:eastAsia="Calibri" w:hAnsi="Calibri" w:cs="Calibri"/>
          <w:color w:val="000000" w:themeColor="text1"/>
          <w:sz w:val="22"/>
          <w:szCs w:val="22"/>
        </w:rPr>
        <w:t>crime</w:t>
      </w:r>
      <w:proofErr w:type="gramEnd"/>
      <w:r w:rsidR="59B703C4" w:rsidRPr="59219708">
        <w:rPr>
          <w:rFonts w:ascii="Calibri" w:eastAsia="Calibri" w:hAnsi="Calibri" w:cs="Calibri"/>
          <w:color w:val="000000" w:themeColor="text1"/>
          <w:sz w:val="22"/>
          <w:szCs w:val="22"/>
        </w:rPr>
        <w:t xml:space="preserve"> he was falsely arrested for years prior. </w:t>
      </w:r>
      <w:r w:rsidR="59B703C4" w:rsidRPr="75BB483C">
        <w:rPr>
          <w:rFonts w:ascii="Calibri" w:eastAsia="Calibri" w:hAnsi="Calibri" w:cs="Calibri"/>
          <w:sz w:val="22"/>
          <w:szCs w:val="22"/>
        </w:rPr>
        <w:t xml:space="preserve"> </w:t>
      </w:r>
      <w:r w:rsidR="14C5F065" w:rsidRPr="6D762E26">
        <w:rPr>
          <w:rFonts w:ascii="Calibri" w:eastAsia="Calibri" w:hAnsi="Calibri" w:cs="Calibri"/>
          <w:sz w:val="22"/>
          <w:szCs w:val="22"/>
        </w:rPr>
        <w:t xml:space="preserve">Human Rights Watch </w:t>
      </w:r>
      <w:hyperlink r:id="rId16" w:history="1">
        <w:r w:rsidR="14C5F065" w:rsidRPr="59219708">
          <w:rPr>
            <w:rStyle w:val="Hyperlink"/>
          </w:rPr>
          <w:t>calls</w:t>
        </w:r>
      </w:hyperlink>
      <w:r w:rsidR="14C5F065" w:rsidRPr="6D762E26">
        <w:rPr>
          <w:rFonts w:ascii="Calibri" w:eastAsia="Calibri" w:hAnsi="Calibri" w:cs="Calibri"/>
          <w:sz w:val="22"/>
          <w:szCs w:val="22"/>
        </w:rPr>
        <w:t xml:space="preserve"> for a ban on</w:t>
      </w:r>
      <w:r w:rsidR="00033022">
        <w:rPr>
          <w:rFonts w:ascii="Calibri" w:eastAsia="Calibri" w:hAnsi="Calibri" w:cs="Calibri"/>
          <w:sz w:val="22"/>
          <w:szCs w:val="22"/>
        </w:rPr>
        <w:t xml:space="preserve"> the</w:t>
      </w:r>
      <w:r w:rsidR="14C5F065" w:rsidRPr="6D762E26">
        <w:rPr>
          <w:rFonts w:ascii="Calibri" w:eastAsia="Calibri" w:hAnsi="Calibri" w:cs="Calibri"/>
          <w:sz w:val="22"/>
          <w:szCs w:val="22"/>
        </w:rPr>
        <w:t xml:space="preserve"> use</w:t>
      </w:r>
      <w:r w:rsidR="00033022">
        <w:rPr>
          <w:rFonts w:ascii="Calibri" w:eastAsia="Calibri" w:hAnsi="Calibri" w:cs="Calibri"/>
          <w:sz w:val="22"/>
          <w:szCs w:val="22"/>
        </w:rPr>
        <w:t xml:space="preserve"> of facial recognition technology</w:t>
      </w:r>
      <w:r w:rsidR="14C5F065" w:rsidRPr="6D762E26">
        <w:rPr>
          <w:rFonts w:ascii="Calibri" w:eastAsia="Calibri" w:hAnsi="Calibri" w:cs="Calibri"/>
          <w:sz w:val="22"/>
          <w:szCs w:val="22"/>
        </w:rPr>
        <w:t xml:space="preserve"> in public spaces, as it undermines privacy rights, and poses a serious risk to non-discrimination, freedom of expression, </w:t>
      </w:r>
      <w:r w:rsidR="14C5F065" w:rsidRPr="5CA2CEA9">
        <w:rPr>
          <w:rFonts w:ascii="Calibri" w:eastAsia="Calibri" w:hAnsi="Calibri" w:cs="Calibri"/>
          <w:sz w:val="22"/>
          <w:szCs w:val="22"/>
        </w:rPr>
        <w:t>assembly and association rights.</w:t>
      </w:r>
    </w:p>
    <w:p w14:paraId="319957D7" w14:textId="17DD7F87" w:rsidR="6D762E26" w:rsidRDefault="6D762E26" w:rsidP="6D762E26">
      <w:pPr>
        <w:spacing w:after="0" w:line="240" w:lineRule="auto"/>
        <w:rPr>
          <w:rFonts w:ascii="Calibri" w:eastAsia="Calibri" w:hAnsi="Calibri" w:cs="Calibri"/>
          <w:color w:val="000000" w:themeColor="text1"/>
          <w:sz w:val="22"/>
          <w:szCs w:val="22"/>
        </w:rPr>
      </w:pPr>
    </w:p>
    <w:p w14:paraId="5FAF217C" w14:textId="59E22214" w:rsidR="5F2FEBB8" w:rsidRDefault="7FE8457B" w:rsidP="6D762E26">
      <w:pPr>
        <w:spacing w:after="0" w:line="240" w:lineRule="auto"/>
        <w:rPr>
          <w:rFonts w:ascii="Calibri" w:eastAsia="Calibri" w:hAnsi="Calibri" w:cs="Calibri"/>
          <w:color w:val="000000" w:themeColor="text1"/>
          <w:sz w:val="22"/>
          <w:szCs w:val="22"/>
        </w:rPr>
      </w:pPr>
      <w:r w:rsidRPr="59219708">
        <w:rPr>
          <w:rFonts w:ascii="Calibri" w:eastAsia="Calibri" w:hAnsi="Calibri" w:cs="Calibri"/>
          <w:color w:val="000000" w:themeColor="text1"/>
          <w:sz w:val="22"/>
          <w:szCs w:val="22"/>
        </w:rPr>
        <w:t>The Crime and Policing Act 2026</w:t>
      </w:r>
      <w:r w:rsidR="5F2FEBB8" w:rsidRPr="59219708">
        <w:rPr>
          <w:rFonts w:ascii="Calibri" w:eastAsia="Calibri" w:hAnsi="Calibri" w:cs="Calibri"/>
          <w:color w:val="000000" w:themeColor="text1"/>
          <w:sz w:val="22"/>
          <w:szCs w:val="22"/>
        </w:rPr>
        <w:t xml:space="preserve"> also includes a provision </w:t>
      </w:r>
      <w:r w:rsidR="3709FFCF" w:rsidRPr="59219708">
        <w:rPr>
          <w:rFonts w:ascii="Calibri" w:eastAsia="Calibri" w:hAnsi="Calibri" w:cs="Calibri"/>
          <w:color w:val="000000" w:themeColor="text1"/>
          <w:sz w:val="22"/>
          <w:szCs w:val="22"/>
        </w:rPr>
        <w:t xml:space="preserve">to further restrict gatherings in the vicinity of places of worship. While authorities have cited the attack on a synagogue in Manchester in October </w:t>
      </w:r>
      <w:r w:rsidR="3709FFCF" w:rsidRPr="59219708">
        <w:rPr>
          <w:rFonts w:ascii="Calibri" w:eastAsia="Calibri" w:hAnsi="Calibri" w:cs="Calibri"/>
          <w:color w:val="000000" w:themeColor="text1"/>
          <w:sz w:val="22"/>
          <w:szCs w:val="22"/>
        </w:rPr>
        <w:lastRenderedPageBreak/>
        <w:t xml:space="preserve">2025 and attacks on mosques in 2024 and 2025 as context </w:t>
      </w:r>
      <w:r w:rsidR="41AF30E9" w:rsidRPr="59219708">
        <w:rPr>
          <w:rFonts w:ascii="Calibri" w:eastAsia="Calibri" w:hAnsi="Calibri" w:cs="Calibri"/>
          <w:color w:val="000000" w:themeColor="text1"/>
          <w:sz w:val="22"/>
          <w:szCs w:val="22"/>
        </w:rPr>
        <w:t>for this provision</w:t>
      </w:r>
      <w:r w:rsidR="3709FFCF" w:rsidRPr="59219708">
        <w:rPr>
          <w:rFonts w:ascii="Calibri" w:eastAsia="Calibri" w:hAnsi="Calibri" w:cs="Calibri"/>
          <w:color w:val="000000" w:themeColor="text1"/>
          <w:sz w:val="22"/>
          <w:szCs w:val="22"/>
        </w:rPr>
        <w:t>, existing criminal law provides sufficient powers to address both issues while respecting rights.</w:t>
      </w:r>
    </w:p>
    <w:p w14:paraId="53253E86" w14:textId="1F57EEBA" w:rsidR="6D762E26" w:rsidRDefault="6D762E26" w:rsidP="6D762E26">
      <w:pPr>
        <w:spacing w:after="0" w:line="240" w:lineRule="auto"/>
        <w:rPr>
          <w:rFonts w:ascii="Calibri" w:eastAsia="Calibri" w:hAnsi="Calibri" w:cs="Calibri"/>
          <w:color w:val="000000" w:themeColor="text1"/>
          <w:sz w:val="22"/>
          <w:szCs w:val="22"/>
        </w:rPr>
      </w:pPr>
    </w:p>
    <w:p w14:paraId="258B4DF4" w14:textId="2EC39284" w:rsidR="2D45B5AB" w:rsidRDefault="10811463" w:rsidP="6D762E26">
      <w:pPr>
        <w:shd w:val="clear" w:color="auto" w:fill="FFFFFF" w:themeFill="background1"/>
        <w:spacing w:after="0" w:line="240" w:lineRule="auto"/>
        <w:rPr>
          <w:rFonts w:ascii="Calibri" w:eastAsia="Calibri" w:hAnsi="Calibri" w:cs="Calibri"/>
          <w:sz w:val="22"/>
          <w:szCs w:val="22"/>
        </w:rPr>
      </w:pPr>
      <w:r w:rsidRPr="75BB483C">
        <w:rPr>
          <w:rFonts w:ascii="Calibri" w:eastAsia="Calibri" w:hAnsi="Calibri" w:cs="Calibri"/>
          <w:color w:val="000000" w:themeColor="text1"/>
          <w:sz w:val="22"/>
          <w:szCs w:val="22"/>
        </w:rPr>
        <w:t xml:space="preserve">The evidential basis for this provision is undermined by the fact that </w:t>
      </w:r>
      <w:r w:rsidR="31D39181" w:rsidRPr="6D762E26">
        <w:rPr>
          <w:rFonts w:ascii="Calibri" w:eastAsia="Calibri" w:hAnsi="Calibri" w:cs="Calibri"/>
          <w:color w:val="000000" w:themeColor="text1"/>
          <w:sz w:val="22"/>
          <w:szCs w:val="22"/>
        </w:rPr>
        <w:t xml:space="preserve"> the Palestine Solidarity Campaign</w:t>
      </w:r>
      <w:r w:rsidR="11FA1908" w:rsidRPr="75BB483C">
        <w:rPr>
          <w:rFonts w:ascii="Calibri" w:eastAsia="Calibri" w:hAnsi="Calibri" w:cs="Calibri"/>
          <w:color w:val="000000" w:themeColor="text1"/>
          <w:sz w:val="22"/>
          <w:szCs w:val="22"/>
        </w:rPr>
        <w:t xml:space="preserve"> (PSC)</w:t>
      </w:r>
      <w:r w:rsidR="31D39181" w:rsidRPr="6D762E26">
        <w:rPr>
          <w:rFonts w:ascii="Calibri" w:eastAsia="Calibri" w:hAnsi="Calibri" w:cs="Calibri"/>
          <w:color w:val="000000" w:themeColor="text1"/>
          <w:sz w:val="22"/>
          <w:szCs w:val="22"/>
        </w:rPr>
        <w:t xml:space="preserve">, </w:t>
      </w:r>
      <w:r w:rsidR="6B27701D" w:rsidRPr="6D762E26">
        <w:rPr>
          <w:rFonts w:ascii="Calibri" w:eastAsia="Calibri" w:hAnsi="Calibri" w:cs="Calibri"/>
          <w:color w:val="000000" w:themeColor="text1"/>
          <w:sz w:val="22"/>
          <w:szCs w:val="22"/>
        </w:rPr>
        <w:t>organizers</w:t>
      </w:r>
      <w:r w:rsidR="31D39181" w:rsidRPr="6D762E26">
        <w:rPr>
          <w:rFonts w:ascii="Calibri" w:eastAsia="Calibri" w:hAnsi="Calibri" w:cs="Calibri"/>
          <w:color w:val="000000" w:themeColor="text1"/>
          <w:sz w:val="22"/>
          <w:szCs w:val="22"/>
        </w:rPr>
        <w:t xml:space="preserve"> of the largest pro-Palestine protests in the UK, </w:t>
      </w:r>
      <w:r w:rsidR="31D39181" w:rsidRPr="6D762E26">
        <w:rPr>
          <w:rFonts w:ascii="Calibri" w:eastAsia="Calibri" w:hAnsi="Calibri" w:cs="Calibri"/>
          <w:sz w:val="22"/>
          <w:szCs w:val="22"/>
        </w:rPr>
        <w:t>assert</w:t>
      </w:r>
      <w:r w:rsidR="31D39181" w:rsidRPr="6D762E26">
        <w:rPr>
          <w:rFonts w:ascii="Calibri" w:eastAsia="Calibri" w:hAnsi="Calibri" w:cs="Calibri"/>
          <w:color w:val="000000" w:themeColor="text1"/>
          <w:sz w:val="22"/>
          <w:szCs w:val="22"/>
        </w:rPr>
        <w:t>,</w:t>
      </w:r>
      <w:r w:rsidR="2D45B5AB" w:rsidRPr="6D762E26">
        <w:rPr>
          <w:rStyle w:val="FootnoteReference"/>
          <w:rFonts w:ascii="Calibri" w:eastAsia="Calibri" w:hAnsi="Calibri" w:cs="Calibri"/>
          <w:color w:val="000000" w:themeColor="text1"/>
          <w:sz w:val="22"/>
          <w:szCs w:val="22"/>
        </w:rPr>
        <w:footnoteReference w:id="21"/>
      </w:r>
      <w:r w:rsidR="31D39181" w:rsidRPr="6D762E26">
        <w:rPr>
          <w:rFonts w:ascii="Calibri" w:eastAsia="Calibri" w:hAnsi="Calibri" w:cs="Calibri"/>
          <w:color w:val="000000" w:themeColor="text1"/>
          <w:sz w:val="22"/>
          <w:szCs w:val="22"/>
        </w:rPr>
        <w:t xml:space="preserve"> and the government has not contested, that in the 26 months from October 2023 to December 2025, there was no threat to any place of worship linked to their protests. In cases where Jewish communities expressed concern to police, PSC has actively </w:t>
      </w:r>
      <w:r w:rsidR="31D39181" w:rsidRPr="6D762E26">
        <w:rPr>
          <w:rFonts w:ascii="Calibri" w:eastAsia="Calibri" w:hAnsi="Calibri" w:cs="Calibri"/>
          <w:sz w:val="22"/>
          <w:szCs w:val="22"/>
        </w:rPr>
        <w:t>responded</w:t>
      </w:r>
      <w:r w:rsidR="31D39181" w:rsidRPr="6D762E26">
        <w:rPr>
          <w:rFonts w:ascii="Calibri" w:eastAsia="Calibri" w:hAnsi="Calibri" w:cs="Calibri"/>
          <w:color w:val="000000" w:themeColor="text1"/>
          <w:sz w:val="22"/>
          <w:szCs w:val="22"/>
        </w:rPr>
        <w:t xml:space="preserve"> by proposing to reroute marches or move their timing not to coincide with religious services.</w:t>
      </w:r>
      <w:r w:rsidR="2D45B5AB" w:rsidRPr="6D762E26">
        <w:rPr>
          <w:rStyle w:val="FootnoteReference"/>
          <w:rFonts w:ascii="Calibri" w:eastAsia="Calibri" w:hAnsi="Calibri" w:cs="Calibri"/>
          <w:color w:val="000000" w:themeColor="text1"/>
          <w:sz w:val="22"/>
          <w:szCs w:val="22"/>
        </w:rPr>
        <w:footnoteReference w:id="22"/>
      </w:r>
      <w:r w:rsidR="31D39181" w:rsidRPr="6D762E26">
        <w:rPr>
          <w:rFonts w:ascii="Calibri" w:eastAsia="Calibri" w:hAnsi="Calibri" w:cs="Calibri"/>
          <w:color w:val="000000" w:themeColor="text1"/>
          <w:sz w:val="22"/>
          <w:szCs w:val="22"/>
        </w:rPr>
        <w:t xml:space="preserve"> PSC </w:t>
      </w:r>
      <w:r w:rsidR="31D39181" w:rsidRPr="6D762E26">
        <w:rPr>
          <w:rFonts w:ascii="Calibri" w:eastAsia="Calibri" w:hAnsi="Calibri" w:cs="Calibri"/>
          <w:sz w:val="22"/>
          <w:szCs w:val="22"/>
        </w:rPr>
        <w:t>further asserts</w:t>
      </w:r>
      <w:r w:rsidR="31D39181" w:rsidRPr="6D762E26">
        <w:rPr>
          <w:rFonts w:ascii="Calibri" w:eastAsia="Calibri" w:hAnsi="Calibri" w:cs="Calibri"/>
          <w:color w:val="000000" w:themeColor="text1"/>
          <w:sz w:val="22"/>
          <w:szCs w:val="22"/>
        </w:rPr>
        <w:t xml:space="preserve"> th</w:t>
      </w:r>
      <w:r w:rsidR="7645C879" w:rsidRPr="6D762E26">
        <w:rPr>
          <w:rFonts w:ascii="Calibri" w:eastAsia="Calibri" w:hAnsi="Calibri" w:cs="Calibri"/>
          <w:color w:val="000000" w:themeColor="text1"/>
          <w:sz w:val="22"/>
          <w:szCs w:val="22"/>
        </w:rPr>
        <w:t>at none of its marches</w:t>
      </w:r>
      <w:r w:rsidR="31D39181" w:rsidRPr="6D762E26">
        <w:rPr>
          <w:rFonts w:ascii="Calibri" w:eastAsia="Calibri" w:hAnsi="Calibri" w:cs="Calibri"/>
          <w:color w:val="000000" w:themeColor="text1"/>
          <w:sz w:val="22"/>
          <w:szCs w:val="22"/>
        </w:rPr>
        <w:t xml:space="preserve"> or proposed march routes has ever targeted a synagogue or even passed directly by one.</w:t>
      </w:r>
      <w:r w:rsidR="2D45B5AB" w:rsidRPr="6D762E26">
        <w:rPr>
          <w:rStyle w:val="FootnoteReference"/>
          <w:rFonts w:ascii="Calibri" w:eastAsia="Calibri" w:hAnsi="Calibri" w:cs="Calibri"/>
          <w:color w:val="000000" w:themeColor="text1"/>
          <w:sz w:val="22"/>
          <w:szCs w:val="22"/>
        </w:rPr>
        <w:footnoteReference w:id="23"/>
      </w:r>
      <w:r w:rsidR="31D39181" w:rsidRPr="6D762E26">
        <w:rPr>
          <w:rFonts w:ascii="Calibri" w:eastAsia="Calibri" w:hAnsi="Calibri" w:cs="Calibri"/>
          <w:color w:val="000000" w:themeColor="text1"/>
          <w:sz w:val="22"/>
          <w:szCs w:val="22"/>
        </w:rPr>
        <w:t xml:space="preserve"> </w:t>
      </w:r>
      <w:r w:rsidR="31D39181" w:rsidRPr="6D762E26">
        <w:rPr>
          <w:rFonts w:ascii="Calibri" w:eastAsia="Calibri" w:hAnsi="Calibri" w:cs="Calibri"/>
          <w:sz w:val="22"/>
          <w:szCs w:val="22"/>
        </w:rPr>
        <w:t xml:space="preserve"> </w:t>
      </w:r>
    </w:p>
    <w:p w14:paraId="39E98FE6" w14:textId="6D17F569" w:rsidR="6D762E26" w:rsidRDefault="6D762E26" w:rsidP="6D762E26">
      <w:pPr>
        <w:shd w:val="clear" w:color="auto" w:fill="FFFFFF" w:themeFill="background1"/>
        <w:spacing w:after="0" w:line="240" w:lineRule="auto"/>
        <w:rPr>
          <w:rFonts w:ascii="Calibri" w:eastAsia="Calibri" w:hAnsi="Calibri" w:cs="Calibri"/>
          <w:sz w:val="22"/>
          <w:szCs w:val="22"/>
        </w:rPr>
      </w:pPr>
    </w:p>
    <w:p w14:paraId="27CE7699" w14:textId="2EC637F0" w:rsidR="25C62EEA" w:rsidRDefault="584D6A79" w:rsidP="2519247D">
      <w:pPr>
        <w:spacing w:after="0" w:line="240" w:lineRule="auto"/>
        <w:rPr>
          <w:rFonts w:ascii="Calibri" w:eastAsia="Calibri" w:hAnsi="Calibri" w:cs="Calibri"/>
          <w:color w:val="000000" w:themeColor="text1"/>
          <w:sz w:val="22"/>
          <w:szCs w:val="22"/>
        </w:rPr>
      </w:pPr>
      <w:r w:rsidRPr="59219708">
        <w:rPr>
          <w:rFonts w:ascii="Calibri" w:eastAsia="Calibri" w:hAnsi="Calibri" w:cs="Calibri"/>
          <w:color w:val="000000" w:themeColor="text1"/>
          <w:sz w:val="22"/>
          <w:szCs w:val="22"/>
        </w:rPr>
        <w:t>The UK also has an obligation under domestic and international law to protect the right of people to protest. The European Convention on Human Rights (ECHR) which enshrine</w:t>
      </w:r>
      <w:r w:rsidR="00033022">
        <w:rPr>
          <w:rFonts w:ascii="Calibri" w:eastAsia="Calibri" w:hAnsi="Calibri" w:cs="Calibri"/>
          <w:color w:val="000000" w:themeColor="text1"/>
          <w:sz w:val="22"/>
          <w:szCs w:val="22"/>
        </w:rPr>
        <w:t>s</w:t>
      </w:r>
      <w:r w:rsidRPr="59219708">
        <w:rPr>
          <w:rFonts w:ascii="Calibri" w:eastAsia="Calibri" w:hAnsi="Calibri" w:cs="Calibri"/>
          <w:color w:val="000000" w:themeColor="text1"/>
          <w:sz w:val="22"/>
          <w:szCs w:val="22"/>
        </w:rPr>
        <w:t xml:space="preserve"> the right to peaceful assembly–are incorporated into domestic law via the Human Rights Act 1998. Those treaties provide that the UK not only has an obligation to tolerate peaceful protest, but also to facilitate and protect protest. Any restrictions to protest must be narrowly drawn, pursue a legitimate aim, and be necessary and proportionate to that aim. Blanket bans on protests are disproportionate and unjustifiable. </w:t>
      </w:r>
    </w:p>
    <w:p w14:paraId="7FEE4378" w14:textId="28EE902C" w:rsidR="6D762E26" w:rsidRDefault="6D762E26" w:rsidP="59219708">
      <w:pPr>
        <w:shd w:val="clear" w:color="auto" w:fill="FFFFFF" w:themeFill="background1"/>
        <w:spacing w:after="0" w:line="240" w:lineRule="auto"/>
        <w:rPr>
          <w:rFonts w:ascii="Calibri" w:eastAsia="Calibri" w:hAnsi="Calibri" w:cs="Calibri"/>
          <w:color w:val="000000" w:themeColor="text1"/>
          <w:sz w:val="22"/>
          <w:szCs w:val="22"/>
        </w:rPr>
      </w:pPr>
    </w:p>
    <w:p w14:paraId="53EEA4BA" w14:textId="3F238823" w:rsidR="25C62EEA" w:rsidRDefault="321EE7E8" w:rsidP="6D762E26">
      <w:pPr>
        <w:shd w:val="clear" w:color="auto" w:fill="FFFFFF" w:themeFill="background1"/>
        <w:spacing w:after="0" w:line="240" w:lineRule="auto"/>
        <w:rPr>
          <w:rFonts w:ascii="Calibri" w:eastAsia="Calibri" w:hAnsi="Calibri" w:cs="Calibri"/>
          <w:color w:val="000000" w:themeColor="text1"/>
          <w:sz w:val="22"/>
          <w:szCs w:val="22"/>
        </w:rPr>
      </w:pPr>
      <w:r w:rsidRPr="6D762E26">
        <w:rPr>
          <w:rFonts w:ascii="Calibri" w:eastAsia="Calibri" w:hAnsi="Calibri" w:cs="Calibri"/>
          <w:color w:val="000000" w:themeColor="text1"/>
          <w:sz w:val="22"/>
          <w:szCs w:val="22"/>
        </w:rPr>
        <w:t xml:space="preserve">As the Special Rapporteur on protecting human rights while countering terrorism </w:t>
      </w:r>
      <w:r w:rsidRPr="6D762E26">
        <w:rPr>
          <w:rFonts w:ascii="Calibri" w:eastAsia="Calibri" w:hAnsi="Calibri" w:cs="Calibri"/>
          <w:sz w:val="22"/>
          <w:szCs w:val="22"/>
        </w:rPr>
        <w:t>has noted</w:t>
      </w:r>
      <w:r w:rsidRPr="6D762E26">
        <w:rPr>
          <w:rFonts w:ascii="Calibri" w:eastAsia="Calibri" w:hAnsi="Calibri" w:cs="Calibri"/>
          <w:color w:val="000000" w:themeColor="text1"/>
          <w:sz w:val="22"/>
          <w:szCs w:val="22"/>
        </w:rPr>
        <w:t>, the emotive perceptions of a particular group, or members of a particular group, may not always provide a reasonable assessment of the existence of harassment, intimidation, violence, or fear for safety, particularly where disagreeable political criticisms are conflated with attacks on the group rather than the political causes with which they may closely identify.</w:t>
      </w:r>
      <w:r w:rsidR="25C62EEA" w:rsidRPr="6D762E26">
        <w:rPr>
          <w:rStyle w:val="FootnoteReference"/>
          <w:rFonts w:ascii="Calibri" w:eastAsia="Calibri" w:hAnsi="Calibri" w:cs="Calibri"/>
          <w:color w:val="000000" w:themeColor="text1"/>
          <w:sz w:val="22"/>
          <w:szCs w:val="22"/>
        </w:rPr>
        <w:footnoteReference w:id="24"/>
      </w:r>
    </w:p>
    <w:p w14:paraId="04FF15A1" w14:textId="3BC7FEF5" w:rsidR="6D762E26" w:rsidRDefault="6D762E26" w:rsidP="6D762E26">
      <w:pPr>
        <w:shd w:val="clear" w:color="auto" w:fill="FFFFFF" w:themeFill="background1"/>
        <w:spacing w:after="0" w:line="240" w:lineRule="auto"/>
        <w:rPr>
          <w:rFonts w:ascii="Calibri" w:eastAsia="Calibri" w:hAnsi="Calibri" w:cs="Calibri"/>
          <w:sz w:val="22"/>
          <w:szCs w:val="22"/>
        </w:rPr>
      </w:pPr>
    </w:p>
    <w:p w14:paraId="18753FC2" w14:textId="67DDDC5B" w:rsidR="04847719" w:rsidRDefault="04847719" w:rsidP="6D762E26">
      <w:pPr>
        <w:spacing w:after="0" w:line="240" w:lineRule="auto"/>
        <w:rPr>
          <w:rFonts w:ascii="Calibri" w:eastAsia="Calibri" w:hAnsi="Calibri" w:cs="Calibri"/>
          <w:color w:val="000000" w:themeColor="text1"/>
          <w:sz w:val="22"/>
          <w:szCs w:val="22"/>
        </w:rPr>
      </w:pPr>
      <w:r w:rsidRPr="5CA2CEA9">
        <w:rPr>
          <w:rFonts w:ascii="Calibri" w:eastAsia="Calibri" w:hAnsi="Calibri" w:cs="Calibri"/>
          <w:color w:val="000000" w:themeColor="text1"/>
          <w:sz w:val="22"/>
          <w:szCs w:val="22"/>
        </w:rPr>
        <w:t xml:space="preserve">One of the most troubling provisions of this new law, introduced by the government late in the legislative process, is a clause allowing police to restrict protests based on the “cumulative disruption” caused by other protests </w:t>
      </w:r>
      <w:proofErr w:type="gramStart"/>
      <w:r w:rsidRPr="5CA2CEA9">
        <w:rPr>
          <w:rFonts w:ascii="Calibri" w:eastAsia="Calibri" w:hAnsi="Calibri" w:cs="Calibri"/>
          <w:color w:val="000000" w:themeColor="text1"/>
          <w:sz w:val="22"/>
          <w:szCs w:val="22"/>
        </w:rPr>
        <w:t>in a given</w:t>
      </w:r>
      <w:proofErr w:type="gramEnd"/>
      <w:r w:rsidRPr="5CA2CEA9">
        <w:rPr>
          <w:rFonts w:ascii="Calibri" w:eastAsia="Calibri" w:hAnsi="Calibri" w:cs="Calibri"/>
          <w:color w:val="000000" w:themeColor="text1"/>
          <w:sz w:val="22"/>
          <w:szCs w:val="22"/>
        </w:rPr>
        <w:t xml:space="preserve"> area. </w:t>
      </w:r>
      <w:r w:rsidR="6033E429" w:rsidRPr="5CA2CEA9">
        <w:rPr>
          <w:rFonts w:ascii="Calibri" w:eastAsia="Calibri" w:hAnsi="Calibri" w:cs="Calibri"/>
          <w:color w:val="000000" w:themeColor="text1"/>
          <w:sz w:val="22"/>
          <w:szCs w:val="22"/>
        </w:rPr>
        <w:t>T</w:t>
      </w:r>
      <w:r w:rsidRPr="5CA2CEA9">
        <w:rPr>
          <w:rFonts w:ascii="Calibri" w:eastAsia="Calibri" w:hAnsi="Calibri" w:cs="Calibri"/>
          <w:color w:val="000000" w:themeColor="text1"/>
          <w:sz w:val="22"/>
          <w:szCs w:val="22"/>
        </w:rPr>
        <w:t xml:space="preserve">his means that protests don’t need to be connected to be restricted. In theory, a climate protest could be curtailed because of disruption caused by an unrelated anti-war march days earlier. This effectively permits the state to limit people’s rights based on the actions of entirely separate groups and events. Even if protests are linked, decisions to restrict freedom of expression and peaceful assembly should be made on a case-by-case basis. This law leaves the door open for officials to impose arbitrary restrictions on protest without any clear, </w:t>
      </w:r>
      <w:r w:rsidR="00894A20" w:rsidRPr="5CA2CEA9">
        <w:rPr>
          <w:rFonts w:ascii="Calibri" w:eastAsia="Calibri" w:hAnsi="Calibri" w:cs="Calibri"/>
          <w:color w:val="000000" w:themeColor="text1"/>
          <w:sz w:val="22"/>
          <w:szCs w:val="22"/>
        </w:rPr>
        <w:t>individualized</w:t>
      </w:r>
      <w:r w:rsidRPr="5CA2CEA9">
        <w:rPr>
          <w:rFonts w:ascii="Calibri" w:eastAsia="Calibri" w:hAnsi="Calibri" w:cs="Calibri"/>
          <w:color w:val="000000" w:themeColor="text1"/>
          <w:sz w:val="22"/>
          <w:szCs w:val="22"/>
        </w:rPr>
        <w:t xml:space="preserve"> assessment of necessity and proportionality. </w:t>
      </w:r>
    </w:p>
    <w:p w14:paraId="3FFCDCC3" w14:textId="50A1A191" w:rsidR="6D762E26" w:rsidRDefault="6D762E26" w:rsidP="6D762E26">
      <w:pPr>
        <w:spacing w:after="0" w:line="240" w:lineRule="auto"/>
        <w:rPr>
          <w:rFonts w:ascii="Calibri" w:eastAsia="Calibri" w:hAnsi="Calibri" w:cs="Calibri"/>
          <w:color w:val="000000" w:themeColor="text1"/>
          <w:sz w:val="22"/>
          <w:szCs w:val="22"/>
        </w:rPr>
      </w:pPr>
    </w:p>
    <w:p w14:paraId="3B2253CB" w14:textId="123F71DD" w:rsidR="04847719" w:rsidRDefault="04847719" w:rsidP="6D762E26">
      <w:pPr>
        <w:spacing w:after="0" w:line="240" w:lineRule="auto"/>
        <w:rPr>
          <w:rFonts w:ascii="Calibri" w:eastAsia="Calibri" w:hAnsi="Calibri" w:cs="Calibri"/>
          <w:color w:val="000000" w:themeColor="text1"/>
          <w:sz w:val="22"/>
          <w:szCs w:val="22"/>
        </w:rPr>
      </w:pPr>
      <w:r w:rsidRPr="59219708">
        <w:rPr>
          <w:rFonts w:ascii="Calibri" w:eastAsia="Calibri" w:hAnsi="Calibri" w:cs="Calibri"/>
          <w:color w:val="000000" w:themeColor="text1"/>
          <w:sz w:val="22"/>
          <w:szCs w:val="22"/>
        </w:rPr>
        <w:t xml:space="preserve">The new cumulative disruption </w:t>
      </w:r>
      <w:r w:rsidR="28D31ADF" w:rsidRPr="59219708">
        <w:rPr>
          <w:rFonts w:ascii="Calibri" w:eastAsia="Calibri" w:hAnsi="Calibri" w:cs="Calibri"/>
          <w:color w:val="000000" w:themeColor="text1"/>
          <w:sz w:val="22"/>
          <w:szCs w:val="22"/>
        </w:rPr>
        <w:t>provision</w:t>
      </w:r>
      <w:r w:rsidRPr="59219708">
        <w:rPr>
          <w:rFonts w:ascii="Calibri" w:eastAsia="Calibri" w:hAnsi="Calibri" w:cs="Calibri"/>
          <w:color w:val="000000" w:themeColor="text1"/>
          <w:sz w:val="22"/>
          <w:szCs w:val="22"/>
        </w:rPr>
        <w:t xml:space="preserve"> also provides no definition of what constitutes “an area.” In practice, this could allow police to shut down protests across large parts of London or other cities in England and Wales and again </w:t>
      </w:r>
      <w:proofErr w:type="gramStart"/>
      <w:r w:rsidRPr="59219708">
        <w:rPr>
          <w:rFonts w:ascii="Calibri" w:eastAsia="Calibri" w:hAnsi="Calibri" w:cs="Calibri"/>
          <w:color w:val="000000" w:themeColor="text1"/>
          <w:sz w:val="22"/>
          <w:szCs w:val="22"/>
        </w:rPr>
        <w:t>raises</w:t>
      </w:r>
      <w:proofErr w:type="gramEnd"/>
      <w:r w:rsidRPr="59219708">
        <w:rPr>
          <w:rFonts w:ascii="Calibri" w:eastAsia="Calibri" w:hAnsi="Calibri" w:cs="Calibri"/>
          <w:color w:val="000000" w:themeColor="text1"/>
          <w:sz w:val="22"/>
          <w:szCs w:val="22"/>
        </w:rPr>
        <w:t xml:space="preserve"> concerns about arbitrary decision making and discretionary enforcement.</w:t>
      </w:r>
      <w:r w:rsidR="2B865CA0" w:rsidRPr="59219708">
        <w:rPr>
          <w:rFonts w:ascii="Calibri" w:eastAsia="Calibri" w:hAnsi="Calibri" w:cs="Calibri"/>
          <w:color w:val="000000" w:themeColor="text1"/>
          <w:sz w:val="22"/>
          <w:szCs w:val="22"/>
        </w:rPr>
        <w:t xml:space="preserve"> Furthermore, the absence of a definition raises concerns about the requirements of legal certainty and foreseeability under</w:t>
      </w:r>
      <w:r w:rsidR="224C6E38" w:rsidRPr="59219708">
        <w:rPr>
          <w:rFonts w:ascii="Calibri" w:eastAsia="Calibri" w:hAnsi="Calibri" w:cs="Calibri"/>
          <w:color w:val="000000" w:themeColor="text1"/>
          <w:sz w:val="22"/>
          <w:szCs w:val="22"/>
        </w:rPr>
        <w:t xml:space="preserve"> international human rights law</w:t>
      </w:r>
      <w:r w:rsidR="2B865CA0" w:rsidRPr="59219708">
        <w:rPr>
          <w:rFonts w:ascii="Calibri" w:eastAsia="Calibri" w:hAnsi="Calibri" w:cs="Calibri"/>
          <w:color w:val="000000" w:themeColor="text1"/>
          <w:sz w:val="22"/>
          <w:szCs w:val="22"/>
        </w:rPr>
        <w:t>.</w:t>
      </w:r>
    </w:p>
    <w:p w14:paraId="266FAA80" w14:textId="1759AC23" w:rsidR="6D762E26" w:rsidRDefault="6D762E26" w:rsidP="6D762E26">
      <w:pPr>
        <w:spacing w:after="0" w:line="240" w:lineRule="auto"/>
        <w:rPr>
          <w:rFonts w:ascii="Calibri" w:eastAsia="Calibri" w:hAnsi="Calibri" w:cs="Calibri"/>
          <w:color w:val="000000" w:themeColor="text1"/>
          <w:sz w:val="22"/>
          <w:szCs w:val="22"/>
        </w:rPr>
      </w:pPr>
    </w:p>
    <w:p w14:paraId="0F018D49" w14:textId="18CCDA0B" w:rsidR="25D80B4D" w:rsidRDefault="05EF9EA5" w:rsidP="6D762E26">
      <w:pPr>
        <w:spacing w:after="0" w:line="240" w:lineRule="auto"/>
        <w:rPr>
          <w:rFonts w:ascii="Calibri" w:eastAsia="Calibri" w:hAnsi="Calibri" w:cs="Calibri"/>
          <w:color w:val="000000" w:themeColor="text1"/>
          <w:sz w:val="22"/>
          <w:szCs w:val="22"/>
        </w:rPr>
      </w:pPr>
      <w:r w:rsidRPr="6D762E26">
        <w:rPr>
          <w:rFonts w:ascii="Calibri" w:eastAsia="Calibri" w:hAnsi="Calibri" w:cs="Calibri"/>
          <w:color w:val="000000" w:themeColor="text1"/>
          <w:sz w:val="22"/>
          <w:szCs w:val="22"/>
        </w:rPr>
        <w:t xml:space="preserve">The cumulative disruption </w:t>
      </w:r>
      <w:r w:rsidR="52906FE6" w:rsidRPr="6D762E26">
        <w:rPr>
          <w:rFonts w:ascii="Calibri" w:eastAsia="Calibri" w:hAnsi="Calibri" w:cs="Calibri"/>
          <w:color w:val="000000" w:themeColor="text1"/>
          <w:sz w:val="22"/>
          <w:szCs w:val="22"/>
        </w:rPr>
        <w:t xml:space="preserve">provision is further concerning </w:t>
      </w:r>
      <w:proofErr w:type="gramStart"/>
      <w:r w:rsidR="52906FE6" w:rsidRPr="6D762E26">
        <w:rPr>
          <w:rFonts w:ascii="Calibri" w:eastAsia="Calibri" w:hAnsi="Calibri" w:cs="Calibri"/>
          <w:color w:val="000000" w:themeColor="text1"/>
          <w:sz w:val="22"/>
          <w:szCs w:val="22"/>
        </w:rPr>
        <w:t>in light of</w:t>
      </w:r>
      <w:proofErr w:type="gramEnd"/>
      <w:r w:rsidR="52906FE6" w:rsidRPr="6D762E26">
        <w:rPr>
          <w:rFonts w:ascii="Calibri" w:eastAsia="Calibri" w:hAnsi="Calibri" w:cs="Calibri"/>
          <w:color w:val="000000" w:themeColor="text1"/>
          <w:sz w:val="22"/>
          <w:szCs w:val="22"/>
        </w:rPr>
        <w:t xml:space="preserve"> Prime Minister </w:t>
      </w:r>
      <w:r w:rsidR="003E220A">
        <w:rPr>
          <w:rFonts w:ascii="Calibri" w:eastAsia="Calibri" w:hAnsi="Calibri" w:cs="Calibri"/>
          <w:color w:val="000000" w:themeColor="text1"/>
          <w:sz w:val="22"/>
          <w:szCs w:val="22"/>
        </w:rPr>
        <w:t xml:space="preserve">Keir </w:t>
      </w:r>
      <w:r w:rsidR="52906FE6" w:rsidRPr="6D762E26">
        <w:rPr>
          <w:rFonts w:ascii="Calibri" w:eastAsia="Calibri" w:hAnsi="Calibri" w:cs="Calibri"/>
          <w:color w:val="000000" w:themeColor="text1"/>
          <w:sz w:val="22"/>
          <w:szCs w:val="22"/>
        </w:rPr>
        <w:t xml:space="preserve">Starmer’s comments on 3 May that </w:t>
      </w:r>
      <w:r w:rsidR="3C5336A4" w:rsidRPr="6D762E26">
        <w:rPr>
          <w:rFonts w:ascii="Calibri" w:eastAsia="Calibri" w:hAnsi="Calibri" w:cs="Calibri"/>
          <w:color w:val="000000" w:themeColor="text1"/>
          <w:sz w:val="22"/>
          <w:szCs w:val="22"/>
        </w:rPr>
        <w:t>appear</w:t>
      </w:r>
      <w:r w:rsidR="52906FE6" w:rsidRPr="6D762E26">
        <w:rPr>
          <w:rFonts w:ascii="Calibri" w:eastAsia="Calibri" w:hAnsi="Calibri" w:cs="Calibri"/>
          <w:color w:val="000000" w:themeColor="text1"/>
          <w:sz w:val="22"/>
          <w:szCs w:val="22"/>
        </w:rPr>
        <w:t xml:space="preserve"> to </w:t>
      </w:r>
      <w:r w:rsidR="52906FE6" w:rsidRPr="6D762E26">
        <w:rPr>
          <w:rFonts w:ascii="Calibri" w:eastAsia="Calibri" w:hAnsi="Calibri" w:cs="Calibri"/>
          <w:sz w:val="22"/>
          <w:szCs w:val="22"/>
        </w:rPr>
        <w:t>suggest</w:t>
      </w:r>
      <w:r w:rsidR="52906FE6" w:rsidRPr="6D762E26">
        <w:rPr>
          <w:rFonts w:ascii="Calibri" w:eastAsia="Calibri" w:hAnsi="Calibri" w:cs="Calibri"/>
          <w:color w:val="000000" w:themeColor="text1"/>
          <w:sz w:val="22"/>
          <w:szCs w:val="22"/>
        </w:rPr>
        <w:t xml:space="preserve"> this provision should be used to</w:t>
      </w:r>
      <w:r w:rsidR="0CF691D7" w:rsidRPr="6D762E26">
        <w:rPr>
          <w:rFonts w:ascii="Calibri" w:eastAsia="Calibri" w:hAnsi="Calibri" w:cs="Calibri"/>
          <w:color w:val="000000" w:themeColor="text1"/>
          <w:sz w:val="22"/>
          <w:szCs w:val="22"/>
        </w:rPr>
        <w:t xml:space="preserve"> put a blanket</w:t>
      </w:r>
      <w:r w:rsidR="52906FE6" w:rsidRPr="6D762E26">
        <w:rPr>
          <w:rFonts w:ascii="Calibri" w:eastAsia="Calibri" w:hAnsi="Calibri" w:cs="Calibri"/>
          <w:color w:val="000000" w:themeColor="text1"/>
          <w:sz w:val="22"/>
          <w:szCs w:val="22"/>
        </w:rPr>
        <w:t xml:space="preserve"> ban </w:t>
      </w:r>
      <w:r w:rsidR="00894A20">
        <w:rPr>
          <w:rFonts w:ascii="Calibri" w:eastAsia="Calibri" w:hAnsi="Calibri" w:cs="Calibri"/>
          <w:color w:val="000000" w:themeColor="text1"/>
          <w:sz w:val="22"/>
          <w:szCs w:val="22"/>
        </w:rPr>
        <w:t xml:space="preserve">on </w:t>
      </w:r>
      <w:r w:rsidR="52906FE6" w:rsidRPr="6D762E26">
        <w:rPr>
          <w:rFonts w:ascii="Calibri" w:eastAsia="Calibri" w:hAnsi="Calibri" w:cs="Calibri"/>
          <w:color w:val="000000" w:themeColor="text1"/>
          <w:sz w:val="22"/>
          <w:szCs w:val="22"/>
        </w:rPr>
        <w:t xml:space="preserve">certain </w:t>
      </w:r>
      <w:r w:rsidR="09C4A15B" w:rsidRPr="6D762E26">
        <w:rPr>
          <w:rFonts w:ascii="Calibri" w:eastAsia="Calibri" w:hAnsi="Calibri" w:cs="Calibri"/>
          <w:color w:val="000000" w:themeColor="text1"/>
          <w:sz w:val="22"/>
          <w:szCs w:val="22"/>
        </w:rPr>
        <w:t>slogans, and ban certain Pro Palestine protests altogether.</w:t>
      </w:r>
      <w:r w:rsidR="25D80B4D" w:rsidRPr="6D762E26">
        <w:rPr>
          <w:rStyle w:val="FootnoteReference"/>
          <w:rFonts w:ascii="Calibri" w:eastAsia="Calibri" w:hAnsi="Calibri" w:cs="Calibri"/>
          <w:color w:val="000000" w:themeColor="text1"/>
          <w:sz w:val="22"/>
          <w:szCs w:val="22"/>
        </w:rPr>
        <w:footnoteReference w:id="25"/>
      </w:r>
      <w:r w:rsidR="09C4A15B" w:rsidRPr="6D762E26">
        <w:rPr>
          <w:rFonts w:ascii="Calibri" w:eastAsia="Calibri" w:hAnsi="Calibri" w:cs="Calibri"/>
          <w:color w:val="000000" w:themeColor="text1"/>
          <w:sz w:val="22"/>
          <w:szCs w:val="22"/>
        </w:rPr>
        <w:t xml:space="preserve"> </w:t>
      </w:r>
    </w:p>
    <w:p w14:paraId="053EC6BE" w14:textId="69B8CFE0" w:rsidR="6D762E26" w:rsidRDefault="6D762E26" w:rsidP="6D762E26">
      <w:pPr>
        <w:spacing w:after="0" w:line="240" w:lineRule="auto"/>
        <w:rPr>
          <w:rFonts w:ascii="Calibri" w:eastAsia="Calibri" w:hAnsi="Calibri" w:cs="Calibri"/>
          <w:sz w:val="22"/>
          <w:szCs w:val="22"/>
        </w:rPr>
      </w:pPr>
    </w:p>
    <w:p w14:paraId="2F95555D" w14:textId="268B252B" w:rsidR="558FE91E" w:rsidRDefault="506F01B8" w:rsidP="6D762E26">
      <w:pPr>
        <w:spacing w:after="0" w:line="240" w:lineRule="auto"/>
        <w:rPr>
          <w:rFonts w:ascii="Calibri" w:eastAsia="Calibri" w:hAnsi="Calibri" w:cs="Calibri"/>
          <w:sz w:val="22"/>
          <w:szCs w:val="22"/>
        </w:rPr>
      </w:pPr>
      <w:r w:rsidRPr="6D762E26">
        <w:rPr>
          <w:rFonts w:ascii="Calibri" w:eastAsia="Calibri" w:hAnsi="Calibri" w:cs="Calibri"/>
          <w:sz w:val="22"/>
          <w:szCs w:val="22"/>
        </w:rPr>
        <w:t xml:space="preserve">Human Rights Watch notes that a Lords amendment to the Crime and Policing Bill proposed an "Extreme Criminal Protest Group" designation, effectively </w:t>
      </w:r>
      <w:r w:rsidR="00894A20" w:rsidRPr="6D762E26">
        <w:rPr>
          <w:rFonts w:ascii="Calibri" w:eastAsia="Calibri" w:hAnsi="Calibri" w:cs="Calibri"/>
          <w:sz w:val="22"/>
          <w:szCs w:val="22"/>
        </w:rPr>
        <w:t>criminalizing</w:t>
      </w:r>
      <w:r w:rsidRPr="6D762E26">
        <w:rPr>
          <w:rFonts w:ascii="Calibri" w:eastAsia="Calibri" w:hAnsi="Calibri" w:cs="Calibri"/>
          <w:sz w:val="22"/>
          <w:szCs w:val="22"/>
        </w:rPr>
        <w:t xml:space="preserve"> membership and </w:t>
      </w:r>
      <w:r w:rsidR="00894A20" w:rsidRPr="6D762E26">
        <w:rPr>
          <w:rFonts w:ascii="Calibri" w:eastAsia="Calibri" w:hAnsi="Calibri" w:cs="Calibri"/>
          <w:sz w:val="22"/>
          <w:szCs w:val="22"/>
        </w:rPr>
        <w:t>organizing</w:t>
      </w:r>
      <w:r w:rsidRPr="6D762E26">
        <w:rPr>
          <w:rFonts w:ascii="Calibri" w:eastAsia="Calibri" w:hAnsi="Calibri" w:cs="Calibri"/>
          <w:sz w:val="22"/>
          <w:szCs w:val="22"/>
        </w:rPr>
        <w:t xml:space="preserve"> for groups engaging in criminal damage for political ends</w:t>
      </w:r>
      <w:r w:rsidR="4844503E" w:rsidRPr="6D762E26">
        <w:rPr>
          <w:rFonts w:ascii="Calibri" w:eastAsia="Calibri" w:hAnsi="Calibri" w:cs="Calibri"/>
          <w:sz w:val="22"/>
          <w:szCs w:val="22"/>
        </w:rPr>
        <w:t xml:space="preserve">. </w:t>
      </w:r>
      <w:r w:rsidRPr="6D762E26">
        <w:rPr>
          <w:rFonts w:ascii="Calibri" w:eastAsia="Calibri" w:hAnsi="Calibri" w:cs="Calibri"/>
          <w:sz w:val="22"/>
          <w:szCs w:val="22"/>
        </w:rPr>
        <w:t>While the government did not support this amendment at the time, citing the pending independent review,</w:t>
      </w:r>
      <w:r w:rsidR="558FE91E" w:rsidRPr="6D762E26">
        <w:rPr>
          <w:rStyle w:val="FootnoteReference"/>
          <w:rFonts w:ascii="Calibri" w:eastAsia="Calibri" w:hAnsi="Calibri" w:cs="Calibri"/>
          <w:sz w:val="22"/>
          <w:szCs w:val="22"/>
        </w:rPr>
        <w:footnoteReference w:id="26"/>
      </w:r>
      <w:r w:rsidRPr="6D762E26">
        <w:rPr>
          <w:rFonts w:ascii="Calibri" w:eastAsia="Calibri" w:hAnsi="Calibri" w:cs="Calibri"/>
          <w:sz w:val="22"/>
          <w:szCs w:val="22"/>
        </w:rPr>
        <w:t xml:space="preserve"> the Committee should make clear, </w:t>
      </w:r>
      <w:proofErr w:type="gramStart"/>
      <w:r w:rsidRPr="6D762E26">
        <w:rPr>
          <w:rFonts w:ascii="Calibri" w:eastAsia="Calibri" w:hAnsi="Calibri" w:cs="Calibri"/>
          <w:sz w:val="22"/>
          <w:szCs w:val="22"/>
        </w:rPr>
        <w:t>in light of</w:t>
      </w:r>
      <w:proofErr w:type="gramEnd"/>
      <w:r w:rsidRPr="6D762E26">
        <w:rPr>
          <w:rFonts w:ascii="Calibri" w:eastAsia="Calibri" w:hAnsi="Calibri" w:cs="Calibri"/>
          <w:sz w:val="22"/>
          <w:szCs w:val="22"/>
        </w:rPr>
        <w:t xml:space="preserve"> the Prime Minister's recent comments, that introducing any such designation would be incompatible with international human rights standards on the right to peaceful assembly.</w:t>
      </w:r>
    </w:p>
    <w:p w14:paraId="338347CE" w14:textId="02DCC60E" w:rsidR="6D762E26" w:rsidRDefault="6D762E26" w:rsidP="6D762E26">
      <w:pPr>
        <w:spacing w:after="0" w:line="240" w:lineRule="auto"/>
        <w:rPr>
          <w:rFonts w:ascii="Calibri" w:eastAsia="Calibri" w:hAnsi="Calibri" w:cs="Calibri"/>
          <w:color w:val="000000" w:themeColor="text1"/>
          <w:sz w:val="22"/>
          <w:szCs w:val="22"/>
        </w:rPr>
      </w:pPr>
    </w:p>
    <w:p w14:paraId="1A38C108" w14:textId="64A210DB" w:rsidR="6D762E26" w:rsidRDefault="6D762E26" w:rsidP="2519247D">
      <w:pPr>
        <w:spacing w:after="0" w:line="240" w:lineRule="auto"/>
        <w:rPr>
          <w:rFonts w:ascii="Calibri" w:eastAsia="Calibri" w:hAnsi="Calibri" w:cs="Calibri"/>
          <w:color w:val="000000" w:themeColor="text1"/>
          <w:sz w:val="22"/>
          <w:szCs w:val="22"/>
        </w:rPr>
      </w:pPr>
    </w:p>
    <w:p w14:paraId="20C61720" w14:textId="5E724F8E" w:rsidR="6D762E26" w:rsidRDefault="6D762E26" w:rsidP="6D762E26">
      <w:pPr>
        <w:spacing w:after="0" w:line="240" w:lineRule="auto"/>
        <w:rPr>
          <w:rFonts w:ascii="Calibri" w:eastAsia="Calibri" w:hAnsi="Calibri" w:cs="Calibri"/>
          <w:color w:val="000000" w:themeColor="text1"/>
          <w:sz w:val="22"/>
          <w:szCs w:val="22"/>
        </w:rPr>
      </w:pPr>
    </w:p>
    <w:p w14:paraId="47082213" w14:textId="085D1794" w:rsidR="3A606BC7" w:rsidRDefault="3A606BC7" w:rsidP="6D762E26">
      <w:pPr>
        <w:shd w:val="clear" w:color="auto" w:fill="FFFFFF" w:themeFill="background1"/>
        <w:spacing w:after="0" w:line="240" w:lineRule="auto"/>
        <w:rPr>
          <w:rFonts w:ascii="Calibri" w:eastAsia="Calibri" w:hAnsi="Calibri" w:cs="Calibri"/>
          <w:sz w:val="22"/>
          <w:szCs w:val="22"/>
          <w:u w:val="single"/>
        </w:rPr>
      </w:pPr>
      <w:r w:rsidRPr="6D762E26">
        <w:rPr>
          <w:rFonts w:ascii="Calibri" w:eastAsia="Calibri" w:hAnsi="Calibri" w:cs="Calibri"/>
          <w:sz w:val="22"/>
          <w:szCs w:val="22"/>
          <w:u w:val="single"/>
        </w:rPr>
        <w:t>The Committee should recommend that the government:</w:t>
      </w:r>
    </w:p>
    <w:p w14:paraId="5B7CB495" w14:textId="00DD1B86" w:rsidR="3957359C" w:rsidRDefault="3957359C" w:rsidP="5CA2CEA9">
      <w:pPr>
        <w:pStyle w:val="ListParagraph"/>
        <w:numPr>
          <w:ilvl w:val="0"/>
          <w:numId w:val="1"/>
        </w:numPr>
        <w:spacing w:before="240" w:after="240" w:line="240" w:lineRule="auto"/>
        <w:rPr>
          <w:rFonts w:ascii="Calibri" w:eastAsia="Calibri" w:hAnsi="Calibri" w:cs="Calibri"/>
          <w:sz w:val="22"/>
          <w:szCs w:val="22"/>
        </w:rPr>
      </w:pPr>
      <w:r w:rsidRPr="5CA2CEA9">
        <w:rPr>
          <w:rFonts w:ascii="Calibri" w:eastAsia="Calibri" w:hAnsi="Calibri" w:cs="Calibri"/>
          <w:sz w:val="22"/>
          <w:szCs w:val="22"/>
        </w:rPr>
        <w:t xml:space="preserve">Legislation </w:t>
      </w:r>
    </w:p>
    <w:p w14:paraId="6A3AB5ED" w14:textId="0CB981D0" w:rsidR="4FDAE60D" w:rsidRDefault="4FDAE60D" w:rsidP="5CA2CEA9">
      <w:pPr>
        <w:pStyle w:val="ListParagraph"/>
        <w:numPr>
          <w:ilvl w:val="1"/>
          <w:numId w:val="1"/>
        </w:numPr>
        <w:spacing w:before="240" w:after="240" w:line="240" w:lineRule="auto"/>
        <w:rPr>
          <w:rFonts w:ascii="Calibri" w:eastAsia="Calibri" w:hAnsi="Calibri" w:cs="Calibri"/>
          <w:sz w:val="22"/>
          <w:szCs w:val="22"/>
        </w:rPr>
      </w:pPr>
      <w:r w:rsidRPr="5CA2CEA9">
        <w:rPr>
          <w:rFonts w:ascii="Calibri" w:eastAsia="Calibri" w:hAnsi="Calibri" w:cs="Calibri"/>
          <w:sz w:val="22"/>
          <w:szCs w:val="22"/>
        </w:rPr>
        <w:t>Repeal or substantially amend protest-related provisions of the Police, Crime, Sentencing and Courts Act 2022 and the Public Order Act 2023 that unduly restrict peaceful protest, including sections 73 and 74 of the PCSC Act 2022, sections 1 and 2 and sections 20-33 of the Public Order Act 2023, the rationale for which is laid out in detail in our report;</w:t>
      </w:r>
      <w:r w:rsidRPr="5CA2CEA9">
        <w:rPr>
          <w:rStyle w:val="FootnoteReference"/>
          <w:rFonts w:ascii="Calibri" w:eastAsia="Calibri" w:hAnsi="Calibri" w:cs="Calibri"/>
          <w:sz w:val="22"/>
          <w:szCs w:val="22"/>
        </w:rPr>
        <w:footnoteReference w:id="27"/>
      </w:r>
    </w:p>
    <w:p w14:paraId="0ED7FCAD" w14:textId="151D78E4" w:rsidR="4FDAE60D" w:rsidRDefault="4FDAE60D" w:rsidP="5CA2CEA9">
      <w:pPr>
        <w:pStyle w:val="ListParagraph"/>
        <w:numPr>
          <w:ilvl w:val="1"/>
          <w:numId w:val="1"/>
        </w:numPr>
        <w:spacing w:before="240" w:after="240" w:line="240" w:lineRule="auto"/>
        <w:rPr>
          <w:rFonts w:ascii="Calibri" w:eastAsia="Calibri" w:hAnsi="Calibri" w:cs="Calibri"/>
          <w:sz w:val="22"/>
          <w:szCs w:val="22"/>
        </w:rPr>
      </w:pPr>
      <w:r w:rsidRPr="5CA2CEA9">
        <w:rPr>
          <w:rFonts w:ascii="Calibri" w:eastAsia="Calibri" w:hAnsi="Calibri" w:cs="Calibri"/>
          <w:sz w:val="22"/>
          <w:szCs w:val="22"/>
        </w:rPr>
        <w:t>Repeal the face covering, house of worship, and cumulative disruption provisions of the Crime and Policing Act 2026, which are overly broad, lack individualized necessity and proportionality assessments, and risk disproportionate impact on racialized communities;</w:t>
      </w:r>
    </w:p>
    <w:p w14:paraId="0696007E" w14:textId="20E3FC4E" w:rsidR="4FDAE60D" w:rsidRDefault="4FDAE60D" w:rsidP="5CA2CEA9">
      <w:pPr>
        <w:pStyle w:val="ListParagraph"/>
        <w:numPr>
          <w:ilvl w:val="1"/>
          <w:numId w:val="1"/>
        </w:numPr>
        <w:spacing w:before="240" w:after="240" w:line="240" w:lineRule="auto"/>
        <w:rPr>
          <w:rFonts w:ascii="Calibri" w:eastAsia="Calibri" w:hAnsi="Calibri" w:cs="Calibri"/>
          <w:sz w:val="22"/>
          <w:szCs w:val="22"/>
        </w:rPr>
      </w:pPr>
      <w:r w:rsidRPr="5CA2CEA9">
        <w:rPr>
          <w:rFonts w:ascii="Calibri" w:eastAsia="Calibri" w:hAnsi="Calibri" w:cs="Calibri"/>
          <w:sz w:val="22"/>
          <w:szCs w:val="22"/>
        </w:rPr>
        <w:t>Refrain from introducing any further restrictions on peaceful protest, including any "Extreme Criminal Protest Group" designation or equivalent measure;</w:t>
      </w:r>
    </w:p>
    <w:p w14:paraId="2BC52844" w14:textId="1B436574" w:rsidR="3150F049" w:rsidRDefault="3150F049" w:rsidP="5CA2CEA9">
      <w:pPr>
        <w:pStyle w:val="ListParagraph"/>
        <w:numPr>
          <w:ilvl w:val="1"/>
          <w:numId w:val="1"/>
        </w:numPr>
        <w:spacing w:before="240" w:after="240" w:line="240" w:lineRule="auto"/>
        <w:rPr>
          <w:rFonts w:ascii="Calibri" w:eastAsia="Calibri" w:hAnsi="Calibri" w:cs="Calibri"/>
          <w:sz w:val="22"/>
          <w:szCs w:val="22"/>
        </w:rPr>
      </w:pPr>
      <w:r w:rsidRPr="5CA2CEA9">
        <w:rPr>
          <w:rFonts w:ascii="Calibri" w:eastAsia="Calibri" w:hAnsi="Calibri" w:cs="Calibri"/>
          <w:sz w:val="22"/>
          <w:szCs w:val="22"/>
        </w:rPr>
        <w:t xml:space="preserve">Enact a statutory right to </w:t>
      </w:r>
      <w:proofErr w:type="gramStart"/>
      <w:r w:rsidRPr="5CA2CEA9">
        <w:rPr>
          <w:rFonts w:ascii="Calibri" w:eastAsia="Calibri" w:hAnsi="Calibri" w:cs="Calibri"/>
          <w:sz w:val="22"/>
          <w:szCs w:val="22"/>
        </w:rPr>
        <w:t>protest</w:t>
      </w:r>
      <w:proofErr w:type="gramEnd"/>
      <w:r w:rsidRPr="5CA2CEA9">
        <w:rPr>
          <w:rFonts w:ascii="Calibri" w:eastAsia="Calibri" w:hAnsi="Calibri" w:cs="Calibri"/>
          <w:sz w:val="22"/>
          <w:szCs w:val="22"/>
        </w:rPr>
        <w:t xml:space="preserve"> setting out the negative and positive obligations of the State in relation to protest, as recommended by the UK Parliament's Joint Committee on Human Rights;</w:t>
      </w:r>
    </w:p>
    <w:p w14:paraId="1503E63B" w14:textId="2E2EFC6B" w:rsidR="79DF0A50" w:rsidRDefault="79DF0A50" w:rsidP="5CA2CEA9">
      <w:pPr>
        <w:pStyle w:val="ListParagraph"/>
        <w:numPr>
          <w:ilvl w:val="0"/>
          <w:numId w:val="1"/>
        </w:numPr>
        <w:spacing w:before="240" w:after="240" w:line="240" w:lineRule="auto"/>
        <w:rPr>
          <w:rFonts w:ascii="Calibri" w:eastAsia="Calibri" w:hAnsi="Calibri" w:cs="Calibri"/>
          <w:sz w:val="22"/>
          <w:szCs w:val="22"/>
        </w:rPr>
      </w:pPr>
      <w:r w:rsidRPr="5CA2CEA9">
        <w:rPr>
          <w:rFonts w:ascii="Calibri" w:eastAsia="Calibri" w:hAnsi="Calibri" w:cs="Calibri"/>
          <w:sz w:val="22"/>
          <w:szCs w:val="22"/>
        </w:rPr>
        <w:t>Enforcement</w:t>
      </w:r>
    </w:p>
    <w:p w14:paraId="1FBBEA97" w14:textId="7C72C366" w:rsidR="4A22077C" w:rsidRDefault="258249C1" w:rsidP="5CA2CEA9">
      <w:pPr>
        <w:pStyle w:val="ListParagraph"/>
        <w:numPr>
          <w:ilvl w:val="1"/>
          <w:numId w:val="1"/>
        </w:numPr>
        <w:spacing w:before="240" w:after="240" w:line="240" w:lineRule="auto"/>
        <w:rPr>
          <w:rFonts w:ascii="Calibri" w:eastAsia="Calibri" w:hAnsi="Calibri" w:cs="Calibri"/>
          <w:sz w:val="22"/>
          <w:szCs w:val="22"/>
        </w:rPr>
      </w:pPr>
      <w:r w:rsidRPr="5CA2CEA9">
        <w:rPr>
          <w:rFonts w:ascii="Calibri" w:eastAsia="Calibri" w:hAnsi="Calibri" w:cs="Calibri"/>
          <w:sz w:val="22"/>
          <w:szCs w:val="22"/>
        </w:rPr>
        <w:lastRenderedPageBreak/>
        <w:t>Launch an independent review of the Metropolitan Police's conduct in policing protests, with clear findings and recommendations on best practice for policing in a manner that protects freedom of assembly and expression;</w:t>
      </w:r>
    </w:p>
    <w:p w14:paraId="39800AE4" w14:textId="1BA2DC2B" w:rsidR="735CB3AD" w:rsidRDefault="5B7ACB61" w:rsidP="5CA2CEA9">
      <w:pPr>
        <w:pStyle w:val="ListParagraph"/>
        <w:numPr>
          <w:ilvl w:val="1"/>
          <w:numId w:val="1"/>
        </w:numPr>
        <w:spacing w:before="240" w:after="240" w:line="240" w:lineRule="auto"/>
        <w:rPr>
          <w:rFonts w:ascii="Calibri" w:eastAsia="Calibri" w:hAnsi="Calibri" w:cs="Calibri"/>
          <w:sz w:val="22"/>
          <w:szCs w:val="22"/>
        </w:rPr>
      </w:pPr>
      <w:r w:rsidRPr="2519247D">
        <w:rPr>
          <w:rFonts w:ascii="Calibri" w:eastAsia="Calibri" w:hAnsi="Calibri" w:cs="Calibri"/>
          <w:sz w:val="22"/>
          <w:szCs w:val="22"/>
        </w:rPr>
        <w:t xml:space="preserve">Stop the use of facial recognition and other mass surveillance technologies by law enforcement agencies at protests, </w:t>
      </w:r>
      <w:proofErr w:type="gramStart"/>
      <w:r w:rsidRPr="2519247D">
        <w:rPr>
          <w:rFonts w:ascii="Calibri" w:eastAsia="Calibri" w:hAnsi="Calibri" w:cs="Calibri"/>
          <w:sz w:val="22"/>
          <w:szCs w:val="22"/>
        </w:rPr>
        <w:t>in order to</w:t>
      </w:r>
      <w:proofErr w:type="gramEnd"/>
      <w:r w:rsidRPr="2519247D">
        <w:rPr>
          <w:rFonts w:ascii="Calibri" w:eastAsia="Calibri" w:hAnsi="Calibri" w:cs="Calibri"/>
          <w:sz w:val="22"/>
          <w:szCs w:val="22"/>
        </w:rPr>
        <w:t xml:space="preserve"> safeguard privacy, non-discrimination, freedom of expression, association, and assembly rights for protesters.</w:t>
      </w:r>
    </w:p>
    <w:p w14:paraId="0FECD654" w14:textId="2BF50C57" w:rsidR="775E49F4" w:rsidRDefault="775E49F4" w:rsidP="2519247D">
      <w:pPr>
        <w:pStyle w:val="ListParagraph"/>
        <w:numPr>
          <w:ilvl w:val="0"/>
          <w:numId w:val="1"/>
        </w:numPr>
        <w:spacing w:before="240" w:after="240" w:line="240" w:lineRule="auto"/>
        <w:rPr>
          <w:rFonts w:ascii="Calibri" w:eastAsia="Calibri" w:hAnsi="Calibri" w:cs="Calibri"/>
          <w:sz w:val="22"/>
          <w:szCs w:val="22"/>
        </w:rPr>
      </w:pPr>
      <w:r w:rsidRPr="2519247D">
        <w:rPr>
          <w:rFonts w:ascii="Calibri" w:eastAsia="Calibri" w:hAnsi="Calibri" w:cs="Calibri"/>
          <w:sz w:val="22"/>
          <w:szCs w:val="22"/>
        </w:rPr>
        <w:t xml:space="preserve">Review and Oversight </w:t>
      </w:r>
    </w:p>
    <w:p w14:paraId="6FB2EB1E" w14:textId="210AAB58" w:rsidR="1711E680" w:rsidRDefault="73DFA702" w:rsidP="5CA2CEA9">
      <w:pPr>
        <w:pStyle w:val="ListParagraph"/>
        <w:numPr>
          <w:ilvl w:val="1"/>
          <w:numId w:val="1"/>
        </w:numPr>
        <w:spacing w:before="240" w:after="240" w:line="240" w:lineRule="auto"/>
        <w:rPr>
          <w:rFonts w:ascii="Calibri" w:eastAsia="Calibri" w:hAnsi="Calibri" w:cs="Calibri"/>
          <w:sz w:val="22"/>
          <w:szCs w:val="22"/>
        </w:rPr>
      </w:pPr>
      <w:r w:rsidRPr="59219708">
        <w:rPr>
          <w:rFonts w:ascii="Calibri" w:eastAsia="Calibri" w:hAnsi="Calibri" w:cs="Calibri"/>
          <w:sz w:val="22"/>
          <w:szCs w:val="22"/>
        </w:rPr>
        <w:t xml:space="preserve">Accept the country visit requests </w:t>
      </w:r>
      <w:r w:rsidR="675E89CB" w:rsidRPr="59219708">
        <w:rPr>
          <w:rFonts w:ascii="Calibri" w:eastAsia="Calibri" w:hAnsi="Calibri" w:cs="Calibri"/>
          <w:sz w:val="22"/>
          <w:szCs w:val="22"/>
        </w:rPr>
        <w:t xml:space="preserve">submitted </w:t>
      </w:r>
      <w:r w:rsidRPr="59219708">
        <w:rPr>
          <w:rFonts w:ascii="Calibri" w:eastAsia="Calibri" w:hAnsi="Calibri" w:cs="Calibri"/>
          <w:sz w:val="22"/>
          <w:szCs w:val="22"/>
        </w:rPr>
        <w:t>by the</w:t>
      </w:r>
      <w:r w:rsidR="1711E680" w:rsidRPr="59219708">
        <w:rPr>
          <w:rFonts w:ascii="Calibri" w:eastAsia="Calibri" w:hAnsi="Calibri" w:cs="Calibri"/>
          <w:sz w:val="22"/>
          <w:szCs w:val="22"/>
        </w:rPr>
        <w:t xml:space="preserve"> UN Special Rapporteurs on Freedom of Peaceful Assembly and Association,</w:t>
      </w:r>
      <w:r w:rsidR="6E5C805D" w:rsidRPr="59219708">
        <w:rPr>
          <w:rFonts w:ascii="Calibri" w:eastAsia="Calibri" w:hAnsi="Calibri" w:cs="Calibri"/>
          <w:sz w:val="22"/>
          <w:szCs w:val="22"/>
        </w:rPr>
        <w:t xml:space="preserve"> and by the UN Special Rapporteur on Human Rights Defenders; Inv</w:t>
      </w:r>
      <w:r w:rsidR="64B88D49" w:rsidRPr="59219708">
        <w:rPr>
          <w:rFonts w:ascii="Calibri" w:eastAsia="Calibri" w:hAnsi="Calibri" w:cs="Calibri"/>
          <w:sz w:val="22"/>
          <w:szCs w:val="22"/>
        </w:rPr>
        <w:t>ite the UN Special Rapporteur</w:t>
      </w:r>
      <w:r w:rsidR="1711E680" w:rsidRPr="59219708">
        <w:rPr>
          <w:rFonts w:ascii="Calibri" w:eastAsia="Calibri" w:hAnsi="Calibri" w:cs="Calibri"/>
          <w:sz w:val="22"/>
          <w:szCs w:val="22"/>
        </w:rPr>
        <w:t xml:space="preserve"> on the Promotion and Protection of</w:t>
      </w:r>
      <w:r w:rsidR="00C119CF">
        <w:rPr>
          <w:rFonts w:ascii="Calibri" w:eastAsia="Calibri" w:hAnsi="Calibri" w:cs="Calibri"/>
          <w:sz w:val="22"/>
          <w:szCs w:val="22"/>
        </w:rPr>
        <w:t xml:space="preserve"> </w:t>
      </w:r>
      <w:r w:rsidR="1711E680" w:rsidRPr="59219708">
        <w:rPr>
          <w:rFonts w:ascii="Calibri" w:eastAsia="Calibri" w:hAnsi="Calibri" w:cs="Calibri"/>
          <w:sz w:val="22"/>
          <w:szCs w:val="22"/>
        </w:rPr>
        <w:t>the Right to Freedom of Opinion and Expression</w:t>
      </w:r>
      <w:r w:rsidR="5319CD6A" w:rsidRPr="59219708">
        <w:rPr>
          <w:rFonts w:ascii="Calibri" w:eastAsia="Calibri" w:hAnsi="Calibri" w:cs="Calibri"/>
          <w:sz w:val="22"/>
          <w:szCs w:val="22"/>
        </w:rPr>
        <w:t xml:space="preserve"> to conduct a country visit</w:t>
      </w:r>
      <w:r w:rsidR="1711E680" w:rsidRPr="59219708">
        <w:rPr>
          <w:rFonts w:ascii="Calibri" w:eastAsia="Calibri" w:hAnsi="Calibri" w:cs="Calibri"/>
          <w:sz w:val="22"/>
          <w:szCs w:val="22"/>
        </w:rPr>
        <w:t>;</w:t>
      </w:r>
    </w:p>
    <w:p w14:paraId="35B9A4B8" w14:textId="52A832A6" w:rsidR="4917AC6F" w:rsidRDefault="4917AC6F" w:rsidP="59219708">
      <w:pPr>
        <w:spacing w:before="240" w:after="240" w:line="240" w:lineRule="auto"/>
        <w:ind w:left="720"/>
        <w:rPr>
          <w:rFonts w:ascii="Calibri" w:eastAsia="Calibri" w:hAnsi="Calibri" w:cs="Calibri"/>
          <w:sz w:val="22"/>
          <w:szCs w:val="22"/>
        </w:rPr>
      </w:pPr>
    </w:p>
    <w:sectPr w:rsidR="4917AC6F">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ABDF3" w14:textId="77777777" w:rsidR="003E44B5" w:rsidRDefault="003E44B5">
      <w:pPr>
        <w:spacing w:after="0" w:line="240" w:lineRule="auto"/>
      </w:pPr>
      <w:r>
        <w:separator/>
      </w:r>
    </w:p>
  </w:endnote>
  <w:endnote w:type="continuationSeparator" w:id="0">
    <w:p w14:paraId="6B3269C2" w14:textId="77777777" w:rsidR="003E44B5" w:rsidRDefault="003E4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5BB483C" w14:paraId="363C33B2" w14:textId="77777777" w:rsidTr="75BB483C">
      <w:trPr>
        <w:trHeight w:val="300"/>
      </w:trPr>
      <w:tc>
        <w:tcPr>
          <w:tcW w:w="3120" w:type="dxa"/>
        </w:tcPr>
        <w:p w14:paraId="71B4BE8C" w14:textId="1642C436" w:rsidR="75BB483C" w:rsidRDefault="75BB483C" w:rsidP="75BB483C">
          <w:pPr>
            <w:pStyle w:val="Header"/>
            <w:ind w:left="-115"/>
          </w:pPr>
        </w:p>
      </w:tc>
      <w:tc>
        <w:tcPr>
          <w:tcW w:w="3120" w:type="dxa"/>
        </w:tcPr>
        <w:p w14:paraId="22EA5D9F" w14:textId="321C26FA" w:rsidR="75BB483C" w:rsidRDefault="75BB483C" w:rsidP="75BB483C">
          <w:pPr>
            <w:pStyle w:val="Header"/>
            <w:jc w:val="center"/>
          </w:pPr>
        </w:p>
      </w:tc>
      <w:tc>
        <w:tcPr>
          <w:tcW w:w="3120" w:type="dxa"/>
        </w:tcPr>
        <w:p w14:paraId="6C9BA00B" w14:textId="6FE2D7A2" w:rsidR="75BB483C" w:rsidRDefault="75BB483C" w:rsidP="75BB483C">
          <w:pPr>
            <w:pStyle w:val="Header"/>
            <w:ind w:right="-115"/>
            <w:jc w:val="right"/>
          </w:pPr>
        </w:p>
      </w:tc>
    </w:tr>
  </w:tbl>
  <w:p w14:paraId="4BD6AEBD" w14:textId="2FB4F73E" w:rsidR="75BB483C" w:rsidRDefault="75BB48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6716D" w14:textId="77777777" w:rsidR="003E44B5" w:rsidRDefault="003E44B5">
      <w:pPr>
        <w:spacing w:after="0" w:line="240" w:lineRule="auto"/>
      </w:pPr>
      <w:r>
        <w:separator/>
      </w:r>
    </w:p>
  </w:footnote>
  <w:footnote w:type="continuationSeparator" w:id="0">
    <w:p w14:paraId="5CCA56BA" w14:textId="77777777" w:rsidR="003E44B5" w:rsidRDefault="003E44B5">
      <w:pPr>
        <w:spacing w:after="0" w:line="240" w:lineRule="auto"/>
      </w:pPr>
      <w:r>
        <w:continuationSeparator/>
      </w:r>
    </w:p>
  </w:footnote>
  <w:footnote w:id="1">
    <w:p w14:paraId="19C017CA" w14:textId="4F671A48" w:rsidR="6D762E26" w:rsidRPr="005824DB" w:rsidRDefault="6D762E26" w:rsidP="005824DB">
      <w:pPr>
        <w:pStyle w:val="FootnoteText"/>
        <w:rPr>
          <w:rFonts w:ascii="Calibri" w:hAnsi="Calibri" w:cs="Calibri"/>
        </w:rPr>
      </w:pPr>
      <w:r w:rsidRPr="6D762E26">
        <w:rPr>
          <w:rStyle w:val="FootnoteReference"/>
          <w:rFonts w:ascii="Calibri" w:eastAsia="Calibri" w:hAnsi="Calibri" w:cs="Calibri"/>
          <w:sz w:val="24"/>
          <w:szCs w:val="24"/>
        </w:rPr>
        <w:footnoteRef/>
      </w:r>
      <w:r w:rsidRPr="6D762E26">
        <w:rPr>
          <w:rFonts w:ascii="Calibri" w:eastAsia="Calibri" w:hAnsi="Calibri" w:cs="Calibri"/>
          <w:sz w:val="24"/>
          <w:szCs w:val="24"/>
        </w:rPr>
        <w:t xml:space="preserve"> </w:t>
      </w:r>
      <w:r w:rsidRPr="005824DB">
        <w:rPr>
          <w:rFonts w:ascii="Calibri" w:eastAsia="Calibri" w:hAnsi="Calibri" w:cs="Calibri"/>
        </w:rPr>
        <w:t xml:space="preserve">UN Committee on the Elimination of Racial Discrimination, "Experts of the Committee on the Elimination of Racial Discrimination Note Swift Response by the United Kingdom to Investigate Recent Racist Riots, Ask about Compensation for Windrush Scandal Victims and Immigration Law Reform," August 14, 2024, </w:t>
      </w:r>
      <w:hyperlink r:id="rId1">
        <w:r w:rsidRPr="005824DB">
          <w:rPr>
            <w:rStyle w:val="Hyperlink"/>
            <w:rFonts w:ascii="Calibri" w:eastAsia="Calibri" w:hAnsi="Calibri" w:cs="Calibri"/>
            <w:color w:val="auto"/>
          </w:rPr>
          <w:t>https://www.ohchr.org/en/meeting-summaries/2024/08/experts-committee-elimination-racial-discrimination-note-swift-response</w:t>
        </w:r>
      </w:hyperlink>
      <w:r w:rsidRPr="005824DB">
        <w:rPr>
          <w:rFonts w:ascii="Calibri" w:eastAsia="Calibri" w:hAnsi="Calibri" w:cs="Calibri"/>
        </w:rPr>
        <w:t>.</w:t>
      </w:r>
    </w:p>
  </w:footnote>
  <w:footnote w:id="2">
    <w:p w14:paraId="1E3580D4" w14:textId="7798BDE7" w:rsidR="7A16347B" w:rsidRPr="005824DB" w:rsidRDefault="7A16347B" w:rsidP="005824DB">
      <w:pPr>
        <w:pStyle w:val="FootnoteText"/>
        <w:rPr>
          <w:rFonts w:ascii="Calibri" w:hAnsi="Calibri" w:cs="Calibri"/>
        </w:rPr>
      </w:pPr>
      <w:r w:rsidRPr="005824DB">
        <w:rPr>
          <w:rStyle w:val="FootnoteReference"/>
          <w:rFonts w:ascii="Calibri" w:eastAsia="Calibri" w:hAnsi="Calibri" w:cs="Calibri"/>
        </w:rPr>
        <w:footnoteRef/>
      </w:r>
      <w:r w:rsidR="6D762E26" w:rsidRPr="005824DB">
        <w:rPr>
          <w:rFonts w:ascii="Calibri" w:eastAsia="Calibri" w:hAnsi="Calibri" w:cs="Calibri"/>
        </w:rPr>
        <w:t xml:space="preserve"> </w:t>
      </w:r>
      <w:r w:rsidR="6D762E26" w:rsidRPr="005824DB">
        <w:rPr>
          <w:rFonts w:ascii="Calibri" w:eastAsia="Calibri" w:hAnsi="Calibri" w:cs="Calibri"/>
          <w:i/>
          <w:iCs/>
        </w:rPr>
        <w:t>The Guardian</w:t>
      </w:r>
      <w:r w:rsidR="6D762E26" w:rsidRPr="005824DB">
        <w:rPr>
          <w:rFonts w:ascii="Calibri" w:eastAsia="Calibri" w:hAnsi="Calibri" w:cs="Calibri"/>
        </w:rPr>
        <w:t xml:space="preserve">, "Call for urgent Windrush payouts as survivors say Home Office 'waiting for us to die,'" September 5, 2025, </w:t>
      </w:r>
      <w:hyperlink r:id="rId2">
        <w:r w:rsidR="6D762E26" w:rsidRPr="005824DB">
          <w:rPr>
            <w:rStyle w:val="Hyperlink"/>
            <w:rFonts w:ascii="Calibri" w:eastAsia="Calibri" w:hAnsi="Calibri" w:cs="Calibri"/>
            <w:color w:val="auto"/>
          </w:rPr>
          <w:t>https://www.theguardian.com/uk-news/2025/sep/05/windrush-chief-clive-foster-calls-for-urgent-reform-of-payouts-scheme</w:t>
        </w:r>
      </w:hyperlink>
      <w:r w:rsidR="6D762E26" w:rsidRPr="005824DB">
        <w:rPr>
          <w:rFonts w:ascii="Calibri" w:eastAsia="Calibri" w:hAnsi="Calibri" w:cs="Calibri"/>
        </w:rPr>
        <w:t>.</w:t>
      </w:r>
    </w:p>
  </w:footnote>
  <w:footnote w:id="3">
    <w:p w14:paraId="18D6778A" w14:textId="56E7EF4D" w:rsidR="6D762E26" w:rsidRPr="005824DB" w:rsidRDefault="6D762E26" w:rsidP="005824DB">
      <w:pPr>
        <w:pStyle w:val="FootnoteText"/>
        <w:rPr>
          <w:rFonts w:ascii="Calibri" w:hAnsi="Calibri" w:cs="Calibri"/>
        </w:rPr>
      </w:pPr>
      <w:r w:rsidRPr="005824DB">
        <w:rPr>
          <w:rStyle w:val="FootnoteReference"/>
          <w:rFonts w:ascii="Calibri" w:eastAsia="Calibri" w:hAnsi="Calibri" w:cs="Calibri"/>
        </w:rPr>
        <w:footnoteRef/>
      </w:r>
      <w:r w:rsidRPr="005824DB">
        <w:rPr>
          <w:rFonts w:ascii="Calibri" w:eastAsia="Calibri" w:hAnsi="Calibri" w:cs="Calibri"/>
        </w:rPr>
        <w:t xml:space="preserve"> Human Rights Watch, "Human Rights Watch Submission to the UN Human Rights Committee Review of the United Kingdom," February 12, 2024, </w:t>
      </w:r>
      <w:hyperlink r:id="rId3">
        <w:r w:rsidRPr="005824DB">
          <w:rPr>
            <w:rStyle w:val="Hyperlink"/>
            <w:rFonts w:ascii="Calibri" w:eastAsia="Calibri" w:hAnsi="Calibri" w:cs="Calibri"/>
            <w:color w:val="auto"/>
          </w:rPr>
          <w:t>https://www.hrw.org/news/2024/02/12/human-rights-watch-submission-un-human-rights-committee-review-united-kingdom</w:t>
        </w:r>
      </w:hyperlink>
      <w:r w:rsidRPr="005824DB">
        <w:rPr>
          <w:rFonts w:ascii="Calibri" w:eastAsia="Calibri" w:hAnsi="Calibri" w:cs="Calibri"/>
        </w:rPr>
        <w:t>.</w:t>
      </w:r>
    </w:p>
  </w:footnote>
  <w:footnote w:id="4">
    <w:p w14:paraId="03E1CE87" w14:textId="6596DBFC" w:rsidR="5CA2CEA9" w:rsidRDefault="5CA2CEA9" w:rsidP="5CA2CEA9">
      <w:pPr>
        <w:pStyle w:val="FootnoteText"/>
      </w:pPr>
      <w:r w:rsidRPr="5CA2CEA9">
        <w:rPr>
          <w:rStyle w:val="FootnoteReference"/>
        </w:rPr>
        <w:footnoteRef/>
      </w:r>
      <w:r>
        <w:t xml:space="preserve"> </w:t>
      </w:r>
      <w:r w:rsidRPr="5CA2CEA9">
        <w:t xml:space="preserve">UN Committee on the Elimination of Racial Discrimination, "Follow-Up Report Submitted by the United Kingdom of Great Britain and Northern Ireland under Article 9, Paragraph 1, of the Convention," UN Doc. CERD/C/GBR/FCO/24-26, </w:t>
      </w:r>
      <w:hyperlink r:id="rId4">
        <w:r w:rsidRPr="5CA2CEA9">
          <w:rPr>
            <w:rStyle w:val="Hyperlink"/>
          </w:rPr>
          <w:t>https://docstore.ohchr.org/SelfServices/FilesHandler.ashx?enc=gFbouI24HnKMtUDN84zesR1xkHq7tbOwU%2BoNcLo9dohf0EuR274U49Njn9QMCqygtJBvGGE2DE%2BCJiau%2BUcx%2FWcdhTtcYe71Vv4OuK93uAs%3D</w:t>
        </w:r>
      </w:hyperlink>
      <w:r w:rsidRPr="5CA2CEA9">
        <w:t>.</w:t>
      </w:r>
    </w:p>
  </w:footnote>
  <w:footnote w:id="5">
    <w:p w14:paraId="55A342B7" w14:textId="50A01E8D" w:rsidR="7A16347B" w:rsidRPr="005824DB" w:rsidRDefault="7A16347B" w:rsidP="005824DB">
      <w:pPr>
        <w:pStyle w:val="FootnoteText"/>
        <w:rPr>
          <w:rFonts w:ascii="Calibri" w:hAnsi="Calibri" w:cs="Calibri"/>
        </w:rPr>
      </w:pPr>
      <w:r w:rsidRPr="005824DB">
        <w:rPr>
          <w:rStyle w:val="FootnoteReference"/>
          <w:rFonts w:ascii="Calibri" w:eastAsia="Calibri" w:hAnsi="Calibri" w:cs="Calibri"/>
        </w:rPr>
        <w:footnoteRef/>
      </w:r>
      <w:r w:rsidR="6D762E26" w:rsidRPr="005824DB">
        <w:rPr>
          <w:rFonts w:ascii="Calibri" w:eastAsia="Calibri" w:hAnsi="Calibri" w:cs="Calibri"/>
        </w:rPr>
        <w:t xml:space="preserve"> UK Home Office, "Windrush Compensation Scheme Primary Claimant Claim Form," August 2022, </w:t>
      </w:r>
      <w:hyperlink r:id="rId5">
        <w:r w:rsidR="6D762E26" w:rsidRPr="005824DB">
          <w:rPr>
            <w:rStyle w:val="Hyperlink"/>
            <w:rFonts w:ascii="Calibri" w:eastAsia="Calibri" w:hAnsi="Calibri" w:cs="Calibri"/>
            <w:color w:val="auto"/>
          </w:rPr>
          <w:t>https://assets.publishing.service.gov.uk/government/uploads/system/uploads/attachment_data/file/1099215/primary-claim-form-reader-extended-08-22.pdf</w:t>
        </w:r>
      </w:hyperlink>
      <w:r w:rsidR="6D762E26" w:rsidRPr="005824DB">
        <w:rPr>
          <w:rFonts w:ascii="Calibri" w:eastAsia="Calibri" w:hAnsi="Calibri" w:cs="Calibri"/>
        </w:rPr>
        <w:t>.</w:t>
      </w:r>
    </w:p>
  </w:footnote>
  <w:footnote w:id="6">
    <w:p w14:paraId="522DB115" w14:textId="6803F08D" w:rsidR="5CA2CEA9" w:rsidRDefault="5CA2CEA9" w:rsidP="5CA2CEA9">
      <w:pPr>
        <w:pStyle w:val="FootnoteText"/>
      </w:pPr>
      <w:r w:rsidRPr="5CA2CEA9">
        <w:rPr>
          <w:rStyle w:val="FootnoteReference"/>
        </w:rPr>
        <w:footnoteRef/>
      </w:r>
      <w:r>
        <w:t xml:space="preserve"> Human Rights Watch, “UK: “Hostile” Compensation Scheme Fails ‘Windrush’ Victims – Independence, Legal Aid, Appeals Rights Needed to Provide Effective Remedy,” April 2023, https://www.hrw.org/news/2023/04/17/uk-hostile-compensation-scheme-fails-windrush-victims.</w:t>
      </w:r>
    </w:p>
  </w:footnote>
  <w:footnote w:id="7">
    <w:p w14:paraId="526D46B4" w14:textId="0F2F8E28" w:rsidR="7A16347B" w:rsidRPr="005824DB" w:rsidRDefault="7A16347B" w:rsidP="005824DB">
      <w:pPr>
        <w:pStyle w:val="FootnoteText"/>
        <w:rPr>
          <w:rFonts w:ascii="Calibri" w:hAnsi="Calibri" w:cs="Calibri"/>
        </w:rPr>
      </w:pPr>
      <w:r w:rsidRPr="005824DB">
        <w:rPr>
          <w:rStyle w:val="FootnoteReference"/>
          <w:rFonts w:ascii="Calibri" w:eastAsia="Calibri" w:hAnsi="Calibri" w:cs="Calibri"/>
        </w:rPr>
        <w:footnoteRef/>
      </w:r>
      <w:r w:rsidR="6D762E26" w:rsidRPr="005824DB">
        <w:rPr>
          <w:rFonts w:ascii="Calibri" w:eastAsia="Calibri" w:hAnsi="Calibri" w:cs="Calibri"/>
        </w:rPr>
        <w:t xml:space="preserve"> Fiona Bawdon, "</w:t>
      </w:r>
      <w:proofErr w:type="spellStart"/>
      <w:r w:rsidR="6D762E26" w:rsidRPr="005824DB">
        <w:rPr>
          <w:rFonts w:ascii="Calibri" w:eastAsia="Calibri" w:hAnsi="Calibri" w:cs="Calibri"/>
        </w:rPr>
        <w:t>Labour</w:t>
      </w:r>
      <w:proofErr w:type="spellEnd"/>
      <w:r w:rsidR="6D762E26" w:rsidRPr="005824DB">
        <w:rPr>
          <w:rFonts w:ascii="Calibri" w:eastAsia="Calibri" w:hAnsi="Calibri" w:cs="Calibri"/>
        </w:rPr>
        <w:t xml:space="preserve"> Repeating Previous Government's Mistakes over Windrush Compensation Scheme," </w:t>
      </w:r>
      <w:r w:rsidR="6D762E26" w:rsidRPr="005824DB">
        <w:rPr>
          <w:rFonts w:ascii="Calibri" w:eastAsia="Calibri" w:hAnsi="Calibri" w:cs="Calibri"/>
          <w:i/>
          <w:iCs/>
        </w:rPr>
        <w:t>Legal Action Group</w:t>
      </w:r>
      <w:r w:rsidR="6D762E26" w:rsidRPr="005824DB">
        <w:rPr>
          <w:rFonts w:ascii="Calibri" w:eastAsia="Calibri" w:hAnsi="Calibri" w:cs="Calibri"/>
        </w:rPr>
        <w:t xml:space="preserve">, April 30, 2025, </w:t>
      </w:r>
      <w:hyperlink r:id="rId6">
        <w:r w:rsidR="6D762E26" w:rsidRPr="005824DB">
          <w:rPr>
            <w:rStyle w:val="Hyperlink"/>
            <w:rFonts w:ascii="Calibri" w:eastAsia="Calibri" w:hAnsi="Calibri" w:cs="Calibri"/>
            <w:color w:val="auto"/>
          </w:rPr>
          <w:t>https://www.lag.org.uk/article/216842/labour-repeating-previous-government-s-mistakes-over-windrush-compensation-scheme;</w:t>
        </w:r>
      </w:hyperlink>
      <w:r w:rsidR="6D762E26" w:rsidRPr="005824DB">
        <w:rPr>
          <w:rFonts w:ascii="Calibri" w:eastAsia="Calibri" w:hAnsi="Calibri" w:cs="Calibri"/>
        </w:rPr>
        <w:t xml:space="preserve"> </w:t>
      </w:r>
      <w:r w:rsidR="6D762E26" w:rsidRPr="005824DB">
        <w:rPr>
          <w:rFonts w:ascii="Calibri" w:eastAsia="Calibri" w:hAnsi="Calibri" w:cs="Calibri"/>
          <w:i/>
          <w:iCs/>
        </w:rPr>
        <w:t>Oji, R (On the Application Of) v The Director of Legal Aid Casework</w:t>
      </w:r>
      <w:r w:rsidR="6D762E26" w:rsidRPr="005824DB">
        <w:rPr>
          <w:rFonts w:ascii="Calibri" w:eastAsia="Calibri" w:hAnsi="Calibri" w:cs="Calibri"/>
        </w:rPr>
        <w:t xml:space="preserve"> [2024] EWHC 1281 (Admin) (May 24, 2024), </w:t>
      </w:r>
      <w:hyperlink r:id="rId7">
        <w:r w:rsidR="6D762E26" w:rsidRPr="005824DB">
          <w:rPr>
            <w:rStyle w:val="Hyperlink"/>
            <w:rFonts w:ascii="Calibri" w:eastAsia="Calibri" w:hAnsi="Calibri" w:cs="Calibri"/>
            <w:color w:val="auto"/>
          </w:rPr>
          <w:t>https://www.bailii.org/ew/cases/EWHC/Admin/2024/1281.html</w:t>
        </w:r>
      </w:hyperlink>
      <w:r w:rsidR="6D762E26" w:rsidRPr="005824DB">
        <w:rPr>
          <w:rFonts w:ascii="Calibri" w:eastAsia="Calibri" w:hAnsi="Calibri" w:cs="Calibri"/>
        </w:rPr>
        <w:t>.</w:t>
      </w:r>
    </w:p>
  </w:footnote>
  <w:footnote w:id="8">
    <w:p w14:paraId="2F3BAB45" w14:textId="775BEF1B" w:rsidR="7A16347B" w:rsidRPr="005824DB" w:rsidRDefault="7A16347B" w:rsidP="005824DB">
      <w:pPr>
        <w:pStyle w:val="FootnoteText"/>
        <w:rPr>
          <w:rFonts w:ascii="Calibri" w:hAnsi="Calibri" w:cs="Calibri"/>
        </w:rPr>
      </w:pPr>
      <w:r w:rsidRPr="005824DB">
        <w:rPr>
          <w:rStyle w:val="FootnoteReference"/>
          <w:rFonts w:ascii="Calibri" w:eastAsia="Calibri" w:hAnsi="Calibri" w:cs="Calibri"/>
        </w:rPr>
        <w:footnoteRef/>
      </w:r>
      <w:r w:rsidR="6D762E26" w:rsidRPr="005824DB">
        <w:rPr>
          <w:rFonts w:ascii="Calibri" w:eastAsia="Calibri" w:hAnsi="Calibri" w:cs="Calibri"/>
        </w:rPr>
        <w:t xml:space="preserve"> JUSTICE, "People Need Legal Help: The Value of Legal Representation in the Windrush Compensation Scheme," led by Dr. Jo Wilding, June 2025, </w:t>
      </w:r>
      <w:hyperlink r:id="rId8">
        <w:r w:rsidR="6D762E26" w:rsidRPr="005824DB">
          <w:rPr>
            <w:rStyle w:val="Hyperlink"/>
            <w:rFonts w:ascii="Calibri" w:eastAsia="Calibri" w:hAnsi="Calibri" w:cs="Calibri"/>
            <w:color w:val="auto"/>
          </w:rPr>
          <w:t>https://files.justice.org.uk/wp-content/uploads/2025/06/15134343/People-need-legal-help-The-value-of-legal-representation-in-the-Windrush-Compensation-Scheme-June-2025-FINAL-DIGITAL.pdf</w:t>
        </w:r>
      </w:hyperlink>
      <w:r w:rsidR="6D762E26" w:rsidRPr="005824DB">
        <w:rPr>
          <w:rFonts w:ascii="Calibri" w:eastAsia="Calibri" w:hAnsi="Calibri" w:cs="Calibri"/>
        </w:rPr>
        <w:t>.</w:t>
      </w:r>
    </w:p>
  </w:footnote>
  <w:footnote w:id="9">
    <w:p w14:paraId="162872B0" w14:textId="48B73CE9" w:rsidR="7A16347B" w:rsidRPr="005824DB" w:rsidRDefault="7A16347B" w:rsidP="005824DB">
      <w:pPr>
        <w:pStyle w:val="FootnoteText"/>
        <w:rPr>
          <w:rFonts w:ascii="Calibri" w:hAnsi="Calibri" w:cs="Calibri"/>
        </w:rPr>
      </w:pPr>
      <w:r w:rsidRPr="005824DB">
        <w:rPr>
          <w:rStyle w:val="FootnoteReference"/>
          <w:rFonts w:ascii="Calibri" w:eastAsia="Calibri" w:hAnsi="Calibri" w:cs="Calibri"/>
        </w:rPr>
        <w:footnoteRef/>
      </w:r>
      <w:r w:rsidR="6D762E26" w:rsidRPr="005824DB">
        <w:rPr>
          <w:rFonts w:ascii="Calibri" w:eastAsia="Calibri" w:hAnsi="Calibri" w:cs="Calibri"/>
        </w:rPr>
        <w:t xml:space="preserve"> Parliamentary and Health Service Ombudsman, "Windrush Compensation Scheme Improvements Called for after Another Family Impacted by Failings," September 18, 2025, </w:t>
      </w:r>
      <w:hyperlink r:id="rId9">
        <w:r w:rsidR="6D762E26" w:rsidRPr="005824DB">
          <w:rPr>
            <w:rStyle w:val="Hyperlink"/>
            <w:rFonts w:ascii="Calibri" w:eastAsia="Calibri" w:hAnsi="Calibri" w:cs="Calibri"/>
            <w:color w:val="auto"/>
          </w:rPr>
          <w:t>https://www.ombudsman.org.uk/news-and-blog/news/windrush-compensation-scheme-improvements-called-after-another-family-impacted</w:t>
        </w:r>
      </w:hyperlink>
      <w:r w:rsidR="6D762E26" w:rsidRPr="005824DB">
        <w:rPr>
          <w:rFonts w:ascii="Calibri" w:eastAsia="Calibri" w:hAnsi="Calibri" w:cs="Calibri"/>
        </w:rPr>
        <w:t>.</w:t>
      </w:r>
    </w:p>
  </w:footnote>
  <w:footnote w:id="10">
    <w:p w14:paraId="18C2EE6F" w14:textId="77777777" w:rsidR="00902FE1" w:rsidRPr="00405F9F" w:rsidRDefault="00902FE1" w:rsidP="00902FE1">
      <w:pPr>
        <w:pStyle w:val="FootnoteText"/>
      </w:pPr>
      <w:r>
        <w:rPr>
          <w:rStyle w:val="FootnoteReference"/>
        </w:rPr>
        <w:footnoteRef/>
      </w:r>
      <w:r w:rsidR="59219708">
        <w:t xml:space="preserve"> Human Rights Watch, “UK: Ombudsman Finds Flaws in Windrush Compensation Scheme – Authorities Should Compensate Private Pension Losses; Grant Free Legal Representation,” September 2025, </w:t>
      </w:r>
      <w:hyperlink r:id="rId10" w:history="1">
        <w:r w:rsidR="59219708" w:rsidRPr="009F3944">
          <w:rPr>
            <w:rStyle w:val="Hyperlink"/>
          </w:rPr>
          <w:t>https://www.hrw.org/news/2025/09/18/uk-ombudsman-finds-flaws-in-windrush-compensation-scheme</w:t>
        </w:r>
      </w:hyperlink>
      <w:r w:rsidR="59219708">
        <w:t xml:space="preserve">. </w:t>
      </w:r>
    </w:p>
  </w:footnote>
  <w:footnote w:id="11">
    <w:p w14:paraId="4055C4B1" w14:textId="261A20F6" w:rsidR="00AD07D6" w:rsidRPr="00246AC8" w:rsidRDefault="00AD07D6" w:rsidP="00246AC8">
      <w:pPr>
        <w:pStyle w:val="FootnoteText"/>
      </w:pPr>
      <w:r>
        <w:rPr>
          <w:rStyle w:val="FootnoteReference"/>
        </w:rPr>
        <w:footnoteRef/>
      </w:r>
      <w:r w:rsidR="59219708">
        <w:t xml:space="preserve"> Human Rights Watch, “UK: “Hostile” Compensation Scheme Fails ‘Windrush’ Victims – Independence, Legal Aid, Appeals Rights Needed to Provide Effective Remedy,” April 2023, </w:t>
      </w:r>
      <w:r w:rsidR="59219708" w:rsidRPr="00A42E16">
        <w:t>https://www.hrw.org/news/2023/04/17/uk-hostile-compensation-scheme-fails-windrush-victims</w:t>
      </w:r>
      <w:r w:rsidR="59219708">
        <w:t>.</w:t>
      </w:r>
    </w:p>
  </w:footnote>
  <w:footnote w:id="12">
    <w:p w14:paraId="39C19D6E" w14:textId="629B3C7E" w:rsidR="7A16347B" w:rsidRPr="005824DB" w:rsidRDefault="7A16347B" w:rsidP="005824DB">
      <w:pPr>
        <w:pStyle w:val="FootnoteText"/>
        <w:rPr>
          <w:rFonts w:ascii="Calibri" w:hAnsi="Calibri" w:cs="Calibri"/>
        </w:rPr>
      </w:pPr>
      <w:r w:rsidRPr="005824DB">
        <w:rPr>
          <w:rStyle w:val="FootnoteReference"/>
          <w:rFonts w:ascii="Calibri" w:eastAsia="Calibri" w:hAnsi="Calibri" w:cs="Calibri"/>
        </w:rPr>
        <w:footnoteRef/>
      </w:r>
      <w:r w:rsidR="6D762E26" w:rsidRPr="005824DB">
        <w:rPr>
          <w:rFonts w:ascii="Calibri" w:eastAsia="Calibri" w:hAnsi="Calibri" w:cs="Calibri"/>
        </w:rPr>
        <w:t xml:space="preserve"> UK Home Office, "£1.5 </w:t>
      </w:r>
      <w:proofErr w:type="gramStart"/>
      <w:r w:rsidR="6D762E26" w:rsidRPr="005824DB">
        <w:rPr>
          <w:rFonts w:ascii="Calibri" w:eastAsia="Calibri" w:hAnsi="Calibri" w:cs="Calibri"/>
        </w:rPr>
        <w:t>Million</w:t>
      </w:r>
      <w:proofErr w:type="gramEnd"/>
      <w:r w:rsidR="6D762E26" w:rsidRPr="005824DB">
        <w:rPr>
          <w:rFonts w:ascii="Calibri" w:eastAsia="Calibri" w:hAnsi="Calibri" w:cs="Calibri"/>
        </w:rPr>
        <w:t xml:space="preserve"> Fund to Support Windrush Compensation Applicants," April 11, 2025, </w:t>
      </w:r>
      <w:hyperlink r:id="rId11">
        <w:r w:rsidR="6D762E26" w:rsidRPr="005824DB">
          <w:rPr>
            <w:rStyle w:val="Hyperlink"/>
            <w:rFonts w:ascii="Calibri" w:eastAsia="Calibri" w:hAnsi="Calibri" w:cs="Calibri"/>
            <w:color w:val="auto"/>
          </w:rPr>
          <w:t>https://www.gov.uk/government/news/15-million-fund-to-support-windrush-compensation-applicants</w:t>
        </w:r>
      </w:hyperlink>
      <w:r w:rsidR="6D762E26" w:rsidRPr="005824DB">
        <w:rPr>
          <w:rFonts w:ascii="Calibri" w:eastAsia="Calibri" w:hAnsi="Calibri" w:cs="Calibri"/>
        </w:rPr>
        <w:t>.</w:t>
      </w:r>
    </w:p>
  </w:footnote>
  <w:footnote w:id="13">
    <w:p w14:paraId="02E99F80" w14:textId="799A667B" w:rsidR="7A16347B" w:rsidRPr="005824DB" w:rsidRDefault="7A16347B" w:rsidP="005824DB">
      <w:pPr>
        <w:pStyle w:val="FootnoteText"/>
        <w:rPr>
          <w:rFonts w:ascii="Calibri" w:hAnsi="Calibri" w:cs="Calibri"/>
        </w:rPr>
      </w:pPr>
      <w:r w:rsidRPr="005824DB">
        <w:rPr>
          <w:rStyle w:val="FootnoteReference"/>
          <w:rFonts w:ascii="Calibri" w:eastAsia="Calibri" w:hAnsi="Calibri" w:cs="Calibri"/>
        </w:rPr>
        <w:footnoteRef/>
      </w:r>
      <w:r w:rsidR="6D762E26" w:rsidRPr="005824DB">
        <w:rPr>
          <w:rFonts w:ascii="Calibri" w:eastAsia="Calibri" w:hAnsi="Calibri" w:cs="Calibri"/>
        </w:rPr>
        <w:t xml:space="preserve"> JUSTICE, "Reforming the Windrush Compensation Scheme," November 15, 2021, </w:t>
      </w:r>
      <w:hyperlink r:id="rId12">
        <w:r w:rsidR="6D762E26" w:rsidRPr="005824DB">
          <w:rPr>
            <w:rStyle w:val="Hyperlink"/>
            <w:rFonts w:ascii="Calibri" w:eastAsia="Calibri" w:hAnsi="Calibri" w:cs="Calibri"/>
            <w:color w:val="auto"/>
          </w:rPr>
          <w:t>https://justice.org.uk/reports/justice-publishes-report-on-the-windrush-compensation-scheme-for-victims-of-the-windrush-scandal</w:t>
        </w:r>
      </w:hyperlink>
      <w:r w:rsidR="6D762E26" w:rsidRPr="005824DB">
        <w:rPr>
          <w:rFonts w:ascii="Calibri" w:eastAsia="Calibri" w:hAnsi="Calibri" w:cs="Calibri"/>
        </w:rPr>
        <w:t>.</w:t>
      </w:r>
    </w:p>
  </w:footnote>
  <w:footnote w:id="14">
    <w:p w14:paraId="3C0F4BCC" w14:textId="06FFAA28" w:rsidR="6D762E26" w:rsidRPr="005824DB" w:rsidRDefault="6D762E26" w:rsidP="005824DB">
      <w:pPr>
        <w:pStyle w:val="FootnoteText"/>
        <w:rPr>
          <w:rFonts w:ascii="Calibri" w:hAnsi="Calibri" w:cs="Calibri"/>
        </w:rPr>
      </w:pPr>
      <w:r w:rsidRPr="005824DB">
        <w:rPr>
          <w:rStyle w:val="FootnoteReference"/>
          <w:rFonts w:ascii="Calibri" w:hAnsi="Calibri" w:cs="Calibri"/>
        </w:rPr>
        <w:footnoteRef/>
      </w:r>
      <w:r w:rsidRPr="005824DB">
        <w:rPr>
          <w:rFonts w:ascii="Calibri" w:hAnsi="Calibri" w:cs="Calibri"/>
        </w:rPr>
        <w:t xml:space="preserve"> </w:t>
      </w:r>
      <w:r w:rsidRPr="005824DB">
        <w:rPr>
          <w:rFonts w:ascii="Calibri" w:hAnsi="Calibri" w:cs="Calibri"/>
          <w:i/>
          <w:iCs/>
        </w:rPr>
        <w:t>R (Ammori) v Secretary of State for the Home Department</w:t>
      </w:r>
      <w:r w:rsidRPr="005824DB">
        <w:rPr>
          <w:rFonts w:ascii="Calibri" w:hAnsi="Calibri" w:cs="Calibri"/>
        </w:rPr>
        <w:t xml:space="preserve"> [2026] EWHC 292 (Admin) (February 13, 2026), </w:t>
      </w:r>
      <w:hyperlink r:id="rId13">
        <w:r w:rsidRPr="005824DB">
          <w:rPr>
            <w:rStyle w:val="Hyperlink"/>
            <w:rFonts w:ascii="Calibri" w:hAnsi="Calibri" w:cs="Calibri"/>
            <w:color w:val="auto"/>
          </w:rPr>
          <w:t>https://www.judiciary.uk/wp-content/uploads/2026/02/R-Ammori-v-SSHD-OPEN-Judgment-final.pdf;</w:t>
        </w:r>
      </w:hyperlink>
      <w:r w:rsidRPr="005824DB">
        <w:rPr>
          <w:rFonts w:ascii="Calibri" w:hAnsi="Calibri" w:cs="Calibri"/>
        </w:rPr>
        <w:t xml:space="preserve"> </w:t>
      </w:r>
      <w:r w:rsidRPr="005824DB">
        <w:rPr>
          <w:rFonts w:ascii="Calibri" w:hAnsi="Calibri" w:cs="Calibri"/>
          <w:i/>
          <w:iCs/>
        </w:rPr>
        <w:t>The Guardian</w:t>
      </w:r>
      <w:r w:rsidRPr="005824DB">
        <w:rPr>
          <w:rFonts w:ascii="Calibri" w:hAnsi="Calibri" w:cs="Calibri"/>
        </w:rPr>
        <w:t xml:space="preserve">, "Home Secretary Granted Permission to Appeal Ruling on Palestine Action Ban," February 25, 2026, </w:t>
      </w:r>
      <w:hyperlink r:id="rId14">
        <w:r w:rsidRPr="005824DB">
          <w:rPr>
            <w:rStyle w:val="Hyperlink"/>
            <w:rFonts w:ascii="Calibri" w:hAnsi="Calibri" w:cs="Calibri"/>
            <w:color w:val="auto"/>
          </w:rPr>
          <w:t>https://www.theguardian.com/uk-news/2026/feb/25/home-secretary-granted-permission-appeal-ruling-palestine-action-ban</w:t>
        </w:r>
      </w:hyperlink>
      <w:r w:rsidRPr="005824DB">
        <w:rPr>
          <w:rFonts w:ascii="Calibri" w:hAnsi="Calibri" w:cs="Calibri"/>
        </w:rPr>
        <w:t>.</w:t>
      </w:r>
    </w:p>
  </w:footnote>
  <w:footnote w:id="15">
    <w:p w14:paraId="4CEACE3F" w14:textId="61521C40" w:rsidR="6D762E26" w:rsidRPr="005824DB" w:rsidRDefault="6D762E26" w:rsidP="005824DB">
      <w:pPr>
        <w:pStyle w:val="FootnoteText"/>
        <w:rPr>
          <w:rFonts w:ascii="Calibri" w:hAnsi="Calibri" w:cs="Calibri"/>
        </w:rPr>
      </w:pPr>
      <w:r w:rsidRPr="005824DB">
        <w:rPr>
          <w:rStyle w:val="FootnoteReference"/>
          <w:rFonts w:ascii="Calibri" w:hAnsi="Calibri" w:cs="Calibri"/>
        </w:rPr>
        <w:footnoteRef/>
      </w:r>
      <w:r w:rsidRPr="005824DB">
        <w:rPr>
          <w:rFonts w:ascii="Calibri" w:hAnsi="Calibri" w:cs="Calibri"/>
        </w:rPr>
        <w:t xml:space="preserve"> UN Office of the High Commissioner for Human Rights, "UN Experts Urge United Kingdom Not to Misuse Terrorism Laws against Protest Group Palestine Action," July 1, 2025, </w:t>
      </w:r>
      <w:hyperlink r:id="rId15">
        <w:r w:rsidRPr="005824DB">
          <w:rPr>
            <w:rStyle w:val="Hyperlink"/>
            <w:rFonts w:ascii="Calibri" w:hAnsi="Calibri" w:cs="Calibri"/>
            <w:color w:val="auto"/>
          </w:rPr>
          <w:t>https://www.ohchr.org/en/press-releases/2025/07/un-experts-urge-united-kingdom-not-misuse-terrorism-laws-against-protest;</w:t>
        </w:r>
      </w:hyperlink>
      <w:r w:rsidRPr="005824DB">
        <w:rPr>
          <w:rFonts w:ascii="Calibri" w:hAnsi="Calibri" w:cs="Calibri"/>
        </w:rPr>
        <w:t xml:space="preserve"> Amnesty International, "Urgent Action: Over 600 Further Arrests at Peaceful Protests," EUR 45/0540/2025, December 11, 2025, </w:t>
      </w:r>
      <w:hyperlink r:id="rId16">
        <w:r w:rsidRPr="005824DB">
          <w:rPr>
            <w:rStyle w:val="Hyperlink"/>
            <w:rFonts w:ascii="Calibri" w:hAnsi="Calibri" w:cs="Calibri"/>
            <w:color w:val="auto"/>
          </w:rPr>
          <w:t>https://www.amnesty.org/en/wp-content/uploads/2025/12/EUR4505402025ENGLISH.pdf</w:t>
        </w:r>
      </w:hyperlink>
      <w:r w:rsidRPr="005824DB">
        <w:rPr>
          <w:rFonts w:ascii="Calibri" w:hAnsi="Calibri" w:cs="Calibri"/>
        </w:rPr>
        <w:t>.</w:t>
      </w:r>
    </w:p>
  </w:footnote>
  <w:footnote w:id="16">
    <w:p w14:paraId="258C9D8B" w14:textId="128EC149" w:rsidR="75BB483C" w:rsidRDefault="75BB483C" w:rsidP="75BB483C">
      <w:pPr>
        <w:pStyle w:val="FootnoteText"/>
      </w:pPr>
      <w:r w:rsidRPr="75BB483C">
        <w:rPr>
          <w:rStyle w:val="FootnoteReference"/>
        </w:rPr>
        <w:footnoteRef/>
      </w:r>
      <w:r>
        <w:t xml:space="preserve"> </w:t>
      </w:r>
      <w:r w:rsidRPr="75BB483C">
        <w:t>Sentencing Act 2020, s. 69(2)(b) (United Kingdom).</w:t>
      </w:r>
    </w:p>
  </w:footnote>
  <w:footnote w:id="17">
    <w:p w14:paraId="65020D36" w14:textId="3E2E2E03" w:rsidR="75BB483C" w:rsidRDefault="75BB483C" w:rsidP="75BB483C">
      <w:pPr>
        <w:pStyle w:val="FootnoteText"/>
      </w:pPr>
      <w:r w:rsidRPr="75BB483C">
        <w:rPr>
          <w:rStyle w:val="FootnoteReference"/>
        </w:rPr>
        <w:footnoteRef/>
      </w:r>
      <w:r>
        <w:t xml:space="preserve"> </w:t>
      </w:r>
      <w:r w:rsidRPr="75BB483C">
        <w:t xml:space="preserve">Human Rights Watch, "Silencing the Streets: The Right to Protest Under Attack in the United Kingdom," January 8, 2026, </w:t>
      </w:r>
      <w:hyperlink r:id="rId17">
        <w:r w:rsidRPr="75BB483C">
          <w:rPr>
            <w:rStyle w:val="Hyperlink"/>
          </w:rPr>
          <w:t>https://www.hrw.org/report/2026/01/08/silencing-the-streets/the-right-to-protest-under-attack-in-the-united-kingdom</w:t>
        </w:r>
      </w:hyperlink>
      <w:r w:rsidRPr="75BB483C">
        <w:t>.</w:t>
      </w:r>
    </w:p>
  </w:footnote>
  <w:footnote w:id="18">
    <w:p w14:paraId="2A6E2F00" w14:textId="7D62CEC3" w:rsidR="6D762E26" w:rsidRPr="005824DB" w:rsidRDefault="6D762E26" w:rsidP="005824DB">
      <w:pPr>
        <w:pStyle w:val="FootnoteText"/>
        <w:rPr>
          <w:rFonts w:ascii="Calibri" w:hAnsi="Calibri" w:cs="Calibri"/>
        </w:rPr>
      </w:pPr>
      <w:r w:rsidRPr="005824DB">
        <w:rPr>
          <w:rStyle w:val="FootnoteReference"/>
          <w:rFonts w:ascii="Calibri" w:hAnsi="Calibri" w:cs="Calibri"/>
        </w:rPr>
        <w:footnoteRef/>
      </w:r>
      <w:r w:rsidRPr="005824DB">
        <w:rPr>
          <w:rFonts w:ascii="Calibri" w:hAnsi="Calibri" w:cs="Calibri"/>
        </w:rPr>
        <w:t xml:space="preserve"> Human Rights Watch, "Human Rights Watch Submission to the UN Human Rights Committee Review of the United Kingdom," February 12, 2024, </w:t>
      </w:r>
      <w:hyperlink r:id="rId18">
        <w:r w:rsidRPr="005824DB">
          <w:rPr>
            <w:rStyle w:val="Hyperlink"/>
            <w:rFonts w:ascii="Calibri" w:hAnsi="Calibri" w:cs="Calibri"/>
            <w:color w:val="auto"/>
          </w:rPr>
          <w:t>https://www.hrw.org/news/2024/02/12/human-rights-watch-submission-un-human-rights-committee-review-united-kingdom</w:t>
        </w:r>
      </w:hyperlink>
      <w:r w:rsidRPr="005824DB">
        <w:rPr>
          <w:rFonts w:ascii="Calibri" w:hAnsi="Calibri" w:cs="Calibri"/>
        </w:rPr>
        <w:t>.</w:t>
      </w:r>
    </w:p>
  </w:footnote>
  <w:footnote w:id="19">
    <w:p w14:paraId="59E3AFC4" w14:textId="242D1136" w:rsidR="6D762E26" w:rsidRPr="005824DB" w:rsidRDefault="6D762E26" w:rsidP="005824DB">
      <w:pPr>
        <w:pStyle w:val="FootnoteText"/>
        <w:rPr>
          <w:rFonts w:ascii="Calibri" w:eastAsia="Calibri" w:hAnsi="Calibri" w:cs="Calibri"/>
        </w:rPr>
      </w:pPr>
      <w:r w:rsidRPr="005824DB">
        <w:rPr>
          <w:rStyle w:val="FootnoteReference"/>
          <w:rFonts w:ascii="Calibri" w:eastAsia="Calibri" w:hAnsi="Calibri" w:cs="Calibri"/>
        </w:rPr>
        <w:footnoteRef/>
      </w:r>
      <w:r w:rsidRPr="005824DB">
        <w:rPr>
          <w:rFonts w:ascii="Calibri" w:eastAsia="Calibri" w:hAnsi="Calibri" w:cs="Calibri"/>
        </w:rPr>
        <w:t xml:space="preserve"> Metropolitan Police, “Metropolitan Police Service – Live Facial Recognition Trials,” February, 2020, </w:t>
      </w:r>
      <w:hyperlink r:id="rId19">
        <w:r w:rsidRPr="005824DB">
          <w:rPr>
            <w:rStyle w:val="Hyperlink"/>
            <w:rFonts w:ascii="Calibri" w:eastAsia="Calibri" w:hAnsi="Calibri" w:cs="Calibri"/>
            <w:color w:val="auto"/>
            <w:u w:val="none"/>
          </w:rPr>
          <w:t>https://www.met.police.uk/SysSiteAssets/media/downloads/central/services/accessing-information/facial-recognition/met-evaluation-report.pdf</w:t>
        </w:r>
      </w:hyperlink>
      <w:r w:rsidRPr="005824DB">
        <w:rPr>
          <w:rFonts w:ascii="Calibri" w:eastAsia="Calibri" w:hAnsi="Calibri" w:cs="Calibri"/>
          <w:u w:val="single"/>
        </w:rPr>
        <w:t>;</w:t>
      </w:r>
      <w:r w:rsidRPr="005824DB">
        <w:rPr>
          <w:rFonts w:ascii="Calibri" w:eastAsia="Calibri" w:hAnsi="Calibri" w:cs="Calibri"/>
        </w:rPr>
        <w:t xml:space="preserve"> Science, Innovation and Technology Committee, Oral evidence: Governance of artificial intelligence, May 24, 2023, </w:t>
      </w:r>
      <w:hyperlink r:id="rId20">
        <w:r w:rsidRPr="005824DB">
          <w:rPr>
            <w:rStyle w:val="Hyperlink"/>
            <w:rFonts w:ascii="Calibri" w:eastAsia="Calibri" w:hAnsi="Calibri" w:cs="Calibri"/>
            <w:color w:val="auto"/>
            <w:u w:val="none"/>
          </w:rPr>
          <w:t>https://committees.parliament.uk/oralevidence/13201/html/</w:t>
        </w:r>
      </w:hyperlink>
      <w:r w:rsidRPr="005824DB">
        <w:rPr>
          <w:rFonts w:ascii="Calibri" w:eastAsia="Calibri" w:hAnsi="Calibri" w:cs="Calibri"/>
        </w:rPr>
        <w:t>.</w:t>
      </w:r>
    </w:p>
  </w:footnote>
  <w:footnote w:id="20">
    <w:p w14:paraId="5A6649C9" w14:textId="390C85B4" w:rsidR="6D762E26" w:rsidRPr="005824DB" w:rsidRDefault="6D762E26" w:rsidP="005824DB">
      <w:pPr>
        <w:pStyle w:val="FootnoteText"/>
        <w:rPr>
          <w:rFonts w:ascii="Calibri" w:eastAsia="Calibri" w:hAnsi="Calibri" w:cs="Calibri"/>
        </w:rPr>
      </w:pPr>
      <w:r w:rsidRPr="005824DB">
        <w:rPr>
          <w:rStyle w:val="FootnoteReference"/>
          <w:rFonts w:ascii="Calibri" w:eastAsia="Calibri" w:hAnsi="Calibri" w:cs="Calibri"/>
        </w:rPr>
        <w:footnoteRef/>
      </w:r>
      <w:r w:rsidRPr="005824DB">
        <w:rPr>
          <w:rFonts w:ascii="Calibri" w:eastAsia="Calibri" w:hAnsi="Calibri" w:cs="Calibri"/>
        </w:rPr>
        <w:t xml:space="preserve"> BBC, “F1 British Grand Prix: Facial recognition at Silverstone being used,” July 6, 2023, </w:t>
      </w:r>
      <w:hyperlink r:id="rId21">
        <w:r w:rsidRPr="005824DB">
          <w:rPr>
            <w:rStyle w:val="Hyperlink"/>
            <w:rFonts w:ascii="Calibri" w:eastAsia="Calibri" w:hAnsi="Calibri" w:cs="Calibri"/>
            <w:color w:val="auto"/>
            <w:u w:val="none"/>
          </w:rPr>
          <w:t>https://www.bbc.co.uk/news/uk-england-northamptonshire-66120010</w:t>
        </w:r>
      </w:hyperlink>
      <w:r w:rsidRPr="005824DB">
        <w:rPr>
          <w:rFonts w:ascii="Calibri" w:eastAsia="Calibri" w:hAnsi="Calibri" w:cs="Calibri"/>
        </w:rPr>
        <w:t xml:space="preserve">; The Guardian, “Major UK retailers urged to quit ‘authoritarian’ police facial recognition strategy,” October 28, 2023, </w:t>
      </w:r>
      <w:hyperlink r:id="rId22">
        <w:r w:rsidRPr="005824DB">
          <w:rPr>
            <w:rStyle w:val="Hyperlink"/>
            <w:rFonts w:ascii="Calibri" w:eastAsia="Calibri" w:hAnsi="Calibri" w:cs="Calibri"/>
            <w:color w:val="auto"/>
            <w:u w:val="none"/>
          </w:rPr>
          <w:t>https://www.theguardian.com/technology/2023/oct/28/major-uk-retailers-urged-to-quit-authoritarian-police-facial-recognition-strategy</w:t>
        </w:r>
      </w:hyperlink>
      <w:r w:rsidRPr="005824DB">
        <w:rPr>
          <w:rFonts w:ascii="Calibri" w:eastAsia="Calibri" w:hAnsi="Calibri" w:cs="Calibri"/>
        </w:rPr>
        <w:t>.</w:t>
      </w:r>
    </w:p>
  </w:footnote>
  <w:footnote w:id="21">
    <w:p w14:paraId="55223DA4" w14:textId="408B2CF0" w:rsidR="6D762E26" w:rsidRPr="005824DB" w:rsidRDefault="6D762E26" w:rsidP="005824DB">
      <w:pPr>
        <w:pStyle w:val="FootnoteText"/>
        <w:rPr>
          <w:rFonts w:ascii="Calibri" w:hAnsi="Calibri" w:cs="Calibri"/>
        </w:rPr>
      </w:pPr>
      <w:r w:rsidRPr="005824DB">
        <w:rPr>
          <w:rStyle w:val="FootnoteReference"/>
          <w:rFonts w:ascii="Calibri" w:eastAsia="Calibri" w:hAnsi="Calibri" w:cs="Calibri"/>
        </w:rPr>
        <w:footnoteRef/>
      </w:r>
      <w:r w:rsidRPr="005824DB">
        <w:rPr>
          <w:rFonts w:ascii="Calibri" w:eastAsia="Calibri" w:hAnsi="Calibri" w:cs="Calibri"/>
        </w:rPr>
        <w:t xml:space="preserve"> Palestine Solidarity Campaign, "Defend the Right to Protest for Palestine: Why Clause 124 of the Crime and Policing Bill Should Be Opposed," December 2025, </w:t>
      </w:r>
      <w:hyperlink r:id="rId23">
        <w:r w:rsidRPr="005824DB">
          <w:rPr>
            <w:rStyle w:val="Hyperlink"/>
            <w:rFonts w:ascii="Calibri" w:eastAsia="Calibri" w:hAnsi="Calibri" w:cs="Calibri"/>
            <w:color w:val="auto"/>
          </w:rPr>
          <w:t>https://palestinecampaign.org/wp-content/uploads/2026/01/20251208-Updated-Clause-124-Crime-and-Policing-Bill-Briefing-1.pdf</w:t>
        </w:r>
      </w:hyperlink>
      <w:r w:rsidRPr="005824DB">
        <w:rPr>
          <w:rFonts w:ascii="Calibri" w:eastAsia="Calibri" w:hAnsi="Calibri" w:cs="Calibri"/>
        </w:rPr>
        <w:t>.</w:t>
      </w:r>
    </w:p>
  </w:footnote>
  <w:footnote w:id="22">
    <w:p w14:paraId="7E952DE8" w14:textId="5EEEACF9" w:rsidR="6D762E26" w:rsidRPr="005824DB" w:rsidRDefault="6D762E26" w:rsidP="005824DB">
      <w:pPr>
        <w:pStyle w:val="FootnoteText"/>
        <w:rPr>
          <w:rFonts w:ascii="Calibri" w:hAnsi="Calibri" w:cs="Calibri"/>
        </w:rPr>
      </w:pPr>
      <w:r w:rsidRPr="005824DB">
        <w:rPr>
          <w:rStyle w:val="FootnoteReference"/>
          <w:rFonts w:ascii="Calibri" w:eastAsia="Calibri" w:hAnsi="Calibri" w:cs="Calibri"/>
        </w:rPr>
        <w:footnoteRef/>
      </w:r>
      <w:r w:rsidRPr="005824DB">
        <w:rPr>
          <w:rFonts w:ascii="Calibri" w:eastAsia="Calibri" w:hAnsi="Calibri" w:cs="Calibri"/>
        </w:rPr>
        <w:t xml:space="preserve"> Human Rights Watch, "Silencing the Streets: The Right to Protest Under Attack in the United Kingdom," January 8, 2026, </w:t>
      </w:r>
      <w:hyperlink r:id="rId24">
        <w:r w:rsidRPr="005824DB">
          <w:rPr>
            <w:rStyle w:val="Hyperlink"/>
            <w:rFonts w:ascii="Calibri" w:eastAsia="Calibri" w:hAnsi="Calibri" w:cs="Calibri"/>
            <w:color w:val="auto"/>
          </w:rPr>
          <w:t>https://www.hrw.org/report/2026/01/08/silencing-the-streets/the-right-to-protest-under-attack-in-the-united-kingdom</w:t>
        </w:r>
      </w:hyperlink>
      <w:r w:rsidRPr="005824DB">
        <w:rPr>
          <w:rFonts w:ascii="Calibri" w:eastAsia="Calibri" w:hAnsi="Calibri" w:cs="Calibri"/>
        </w:rPr>
        <w:t>.</w:t>
      </w:r>
    </w:p>
  </w:footnote>
  <w:footnote w:id="23">
    <w:p w14:paraId="711D0EE8" w14:textId="3469C378" w:rsidR="6D762E26" w:rsidRPr="005824DB" w:rsidRDefault="6D762E26" w:rsidP="005824DB">
      <w:pPr>
        <w:pStyle w:val="FootnoteText"/>
        <w:rPr>
          <w:rFonts w:ascii="Calibri" w:hAnsi="Calibri" w:cs="Calibri"/>
        </w:rPr>
      </w:pPr>
      <w:r w:rsidRPr="005824DB">
        <w:rPr>
          <w:rStyle w:val="FootnoteReference"/>
          <w:rFonts w:ascii="Calibri" w:eastAsia="Calibri" w:hAnsi="Calibri" w:cs="Calibri"/>
        </w:rPr>
        <w:footnoteRef/>
      </w:r>
      <w:r w:rsidRPr="005824DB">
        <w:rPr>
          <w:rFonts w:ascii="Calibri" w:eastAsia="Calibri" w:hAnsi="Calibri" w:cs="Calibri"/>
        </w:rPr>
        <w:t xml:space="preserve"> </w:t>
      </w:r>
      <w:r w:rsidRPr="005824DB">
        <w:rPr>
          <w:rFonts w:ascii="Calibri" w:eastAsia="Calibri" w:hAnsi="Calibri" w:cs="Calibri"/>
          <w:i/>
          <w:iCs/>
        </w:rPr>
        <w:t>The New Arab</w:t>
      </w:r>
      <w:r w:rsidRPr="005824DB">
        <w:rPr>
          <w:rFonts w:ascii="Calibri" w:eastAsia="Calibri" w:hAnsi="Calibri" w:cs="Calibri"/>
        </w:rPr>
        <w:t xml:space="preserve">, "Campaigners Slam UK Government Threat to Ban Palestine Protests in Wake of Golders Green Attack," May 3, 2026, </w:t>
      </w:r>
      <w:hyperlink r:id="rId25">
        <w:r w:rsidRPr="005824DB">
          <w:rPr>
            <w:rStyle w:val="Hyperlink"/>
            <w:rFonts w:ascii="Calibri" w:eastAsia="Calibri" w:hAnsi="Calibri" w:cs="Calibri"/>
            <w:color w:val="auto"/>
          </w:rPr>
          <w:t>https://www.newarab.com/news/campaigners-slam-uk-government-threat-ban-palestine-protests</w:t>
        </w:r>
      </w:hyperlink>
      <w:r w:rsidRPr="005824DB">
        <w:rPr>
          <w:rFonts w:ascii="Calibri" w:eastAsia="Calibri" w:hAnsi="Calibri" w:cs="Calibri"/>
        </w:rPr>
        <w:t>.</w:t>
      </w:r>
    </w:p>
  </w:footnote>
  <w:footnote w:id="24">
    <w:p w14:paraId="72BD9F62" w14:textId="1D1F8C92" w:rsidR="6D762E26" w:rsidRPr="005824DB" w:rsidRDefault="6D762E26" w:rsidP="005824DB">
      <w:pPr>
        <w:pStyle w:val="FootnoteText"/>
        <w:rPr>
          <w:rFonts w:ascii="Calibri" w:eastAsia="Calibri" w:hAnsi="Calibri" w:cs="Calibri"/>
        </w:rPr>
      </w:pPr>
      <w:r w:rsidRPr="005824DB">
        <w:rPr>
          <w:rStyle w:val="FootnoteReference"/>
          <w:rFonts w:ascii="Calibri" w:eastAsia="Calibri" w:hAnsi="Calibri" w:cs="Calibri"/>
        </w:rPr>
        <w:footnoteRef/>
      </w:r>
      <w:r w:rsidRPr="005824DB">
        <w:rPr>
          <w:rFonts w:ascii="Calibri" w:eastAsia="Calibri" w:hAnsi="Calibri" w:cs="Calibri"/>
        </w:rPr>
        <w:t xml:space="preserve"> Special Rapporteur on the Promotion and Protection of Human Rights and Fundamental Freedoms while Countering Terrorism (Ben Saul), Submission to the Australian Parliamentary Joint Committee on Intelligence and Security: Review of the Exposure Draft Legislation: Combatting Antisemitism, Hate and Extremism Bill 2026, January 15, 2026, </w:t>
      </w:r>
      <w:hyperlink r:id="rId26">
        <w:r w:rsidRPr="005824DB">
          <w:rPr>
            <w:rStyle w:val="Hyperlink"/>
            <w:rFonts w:ascii="Calibri" w:eastAsia="Calibri" w:hAnsi="Calibri" w:cs="Calibri"/>
            <w:color w:val="auto"/>
          </w:rPr>
          <w:t>https://www.ohchr.org/sites/default/files/documents/issues/terrorism/sr/statements/20260115-un-sr-ct-submission-australia-hate-bill.pdf</w:t>
        </w:r>
      </w:hyperlink>
      <w:r w:rsidRPr="005824DB">
        <w:rPr>
          <w:rFonts w:ascii="Calibri" w:eastAsia="Calibri" w:hAnsi="Calibri" w:cs="Calibri"/>
        </w:rPr>
        <w:t>.</w:t>
      </w:r>
    </w:p>
  </w:footnote>
  <w:footnote w:id="25">
    <w:p w14:paraId="12ACFB61" w14:textId="2DACFD07" w:rsidR="6D762E26" w:rsidRPr="005824DB" w:rsidRDefault="6D762E26" w:rsidP="005824DB">
      <w:pPr>
        <w:pStyle w:val="FootnoteText"/>
        <w:rPr>
          <w:rFonts w:ascii="Calibri" w:hAnsi="Calibri" w:cs="Calibri"/>
        </w:rPr>
      </w:pPr>
      <w:r w:rsidRPr="005824DB">
        <w:rPr>
          <w:rStyle w:val="FootnoteReference"/>
          <w:rFonts w:ascii="Calibri" w:hAnsi="Calibri" w:cs="Calibri"/>
        </w:rPr>
        <w:footnoteRef/>
      </w:r>
      <w:r w:rsidRPr="005824DB">
        <w:rPr>
          <w:rFonts w:ascii="Calibri" w:hAnsi="Calibri" w:cs="Calibri"/>
        </w:rPr>
        <w:t xml:space="preserve"> </w:t>
      </w:r>
      <w:r w:rsidRPr="005824DB">
        <w:rPr>
          <w:rFonts w:ascii="Calibri" w:hAnsi="Calibri" w:cs="Calibri"/>
          <w:i/>
          <w:iCs/>
        </w:rPr>
        <w:t>BBC News</w:t>
      </w:r>
      <w:r w:rsidRPr="005824DB">
        <w:rPr>
          <w:rFonts w:ascii="Calibri" w:hAnsi="Calibri" w:cs="Calibri"/>
        </w:rPr>
        <w:t xml:space="preserve">, "Protests May Need to Be Stopped in Some Cases, Keir Starmer Suggests," May 3, 2026, </w:t>
      </w:r>
      <w:hyperlink r:id="rId27">
        <w:r w:rsidRPr="005824DB">
          <w:rPr>
            <w:rStyle w:val="Hyperlink"/>
            <w:rFonts w:ascii="Calibri" w:hAnsi="Calibri" w:cs="Calibri"/>
            <w:color w:val="auto"/>
          </w:rPr>
          <w:t>https://www.bbc.com/news/articles/cj9pn2v7m2wo</w:t>
        </w:r>
      </w:hyperlink>
      <w:r w:rsidRPr="005824DB">
        <w:rPr>
          <w:rFonts w:ascii="Calibri" w:hAnsi="Calibri" w:cs="Calibri"/>
        </w:rPr>
        <w:t>.</w:t>
      </w:r>
    </w:p>
  </w:footnote>
  <w:footnote w:id="26">
    <w:p w14:paraId="31EE1A5D" w14:textId="13E0C030" w:rsidR="6D762E26" w:rsidRPr="005824DB" w:rsidRDefault="6D762E26" w:rsidP="005824DB">
      <w:pPr>
        <w:pStyle w:val="FootnoteText"/>
        <w:rPr>
          <w:rFonts w:ascii="Calibri" w:hAnsi="Calibri" w:cs="Calibri"/>
        </w:rPr>
      </w:pPr>
      <w:r w:rsidRPr="005824DB">
        <w:rPr>
          <w:rStyle w:val="FootnoteReference"/>
          <w:rFonts w:ascii="Calibri" w:hAnsi="Calibri" w:cs="Calibri"/>
        </w:rPr>
        <w:footnoteRef/>
      </w:r>
      <w:r w:rsidRPr="005824DB">
        <w:rPr>
          <w:rFonts w:ascii="Calibri" w:hAnsi="Calibri" w:cs="Calibri"/>
        </w:rPr>
        <w:t xml:space="preserve"> UK Parliament, "Crime and Policing Bill: Commons Disagreement, Amendments in Lieu, Reasons, and Amendments to the Lords Amendments," April 17, 2026, </w:t>
      </w:r>
      <w:hyperlink r:id="rId28">
        <w:r w:rsidRPr="005824DB">
          <w:rPr>
            <w:rStyle w:val="Hyperlink"/>
            <w:rFonts w:ascii="Calibri" w:hAnsi="Calibri" w:cs="Calibri"/>
            <w:color w:val="auto"/>
          </w:rPr>
          <w:t>https://bills.parliament.uk/publications/65802/documents/8138</w:t>
        </w:r>
      </w:hyperlink>
      <w:r w:rsidRPr="005824DB">
        <w:rPr>
          <w:rFonts w:ascii="Calibri" w:hAnsi="Calibri" w:cs="Calibri"/>
        </w:rPr>
        <w:t>.</w:t>
      </w:r>
    </w:p>
  </w:footnote>
  <w:footnote w:id="27">
    <w:p w14:paraId="6F7A35D9" w14:textId="276173AF" w:rsidR="5CA2CEA9" w:rsidRDefault="5CA2CEA9" w:rsidP="5CA2CEA9">
      <w:pPr>
        <w:pStyle w:val="FootnoteText"/>
        <w:rPr>
          <w:rFonts w:ascii="Calibri" w:hAnsi="Calibri" w:cs="Calibri"/>
        </w:rPr>
      </w:pPr>
      <w:r w:rsidRPr="5CA2CEA9">
        <w:rPr>
          <w:rStyle w:val="FootnoteReference"/>
          <w:rFonts w:ascii="Calibri" w:hAnsi="Calibri" w:cs="Calibri"/>
        </w:rPr>
        <w:footnoteRef/>
      </w:r>
      <w:r w:rsidRPr="5CA2CEA9">
        <w:rPr>
          <w:rFonts w:ascii="Calibri" w:hAnsi="Calibri" w:cs="Calibri"/>
        </w:rPr>
        <w:t xml:space="preserve"> Human Rights Watch, "Silencing the Streets: The Right to Protest Under Attack in the United Kingdom," January 8, 2026, </w:t>
      </w:r>
      <w:hyperlink r:id="rId29">
        <w:r w:rsidRPr="5CA2CEA9">
          <w:rPr>
            <w:rStyle w:val="Hyperlink"/>
            <w:rFonts w:ascii="Calibri" w:hAnsi="Calibri" w:cs="Calibri"/>
            <w:color w:val="auto"/>
          </w:rPr>
          <w:t>https://www.hrw.org/report/2026/01/08/silencing-the-streets/the-right-to-protest-under-attack-in-the-united-kingdom</w:t>
        </w:r>
      </w:hyperlink>
      <w:r w:rsidRPr="5CA2CEA9">
        <w:rPr>
          <w:rFonts w:ascii="Calibri" w:hAnsi="Calibri" w:cs="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5BB483C" w14:paraId="2988174A" w14:textId="77777777" w:rsidTr="75BB483C">
      <w:trPr>
        <w:trHeight w:val="300"/>
      </w:trPr>
      <w:tc>
        <w:tcPr>
          <w:tcW w:w="3120" w:type="dxa"/>
        </w:tcPr>
        <w:p w14:paraId="72FDA0C3" w14:textId="260FE6C7" w:rsidR="75BB483C" w:rsidRDefault="75BB483C" w:rsidP="75BB483C">
          <w:pPr>
            <w:pStyle w:val="Header"/>
            <w:ind w:left="-115"/>
          </w:pPr>
        </w:p>
      </w:tc>
      <w:tc>
        <w:tcPr>
          <w:tcW w:w="3120" w:type="dxa"/>
        </w:tcPr>
        <w:p w14:paraId="7FFE0615" w14:textId="3D216E67" w:rsidR="75BB483C" w:rsidRDefault="75BB483C" w:rsidP="75BB483C">
          <w:pPr>
            <w:pStyle w:val="Header"/>
            <w:jc w:val="center"/>
          </w:pPr>
        </w:p>
      </w:tc>
      <w:tc>
        <w:tcPr>
          <w:tcW w:w="3120" w:type="dxa"/>
        </w:tcPr>
        <w:p w14:paraId="080B6A5F" w14:textId="31EEEEC1" w:rsidR="75BB483C" w:rsidRDefault="75BB483C" w:rsidP="75BB483C">
          <w:pPr>
            <w:pStyle w:val="Header"/>
            <w:ind w:right="-115"/>
            <w:jc w:val="right"/>
          </w:pPr>
        </w:p>
      </w:tc>
    </w:tr>
  </w:tbl>
  <w:p w14:paraId="7E636CA0" w14:textId="7B2EFD03" w:rsidR="75BB483C" w:rsidRDefault="75BB483C" w:rsidP="75BB483C">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77839"/>
    <w:multiLevelType w:val="hybridMultilevel"/>
    <w:tmpl w:val="E38AE77E"/>
    <w:lvl w:ilvl="0" w:tplc="49EA0D0C">
      <w:start w:val="1"/>
      <w:numFmt w:val="decimal"/>
      <w:lvlText w:val="%1."/>
      <w:lvlJc w:val="left"/>
      <w:pPr>
        <w:ind w:left="720" w:hanging="360"/>
      </w:pPr>
    </w:lvl>
    <w:lvl w:ilvl="1" w:tplc="C908AE06">
      <w:start w:val="1"/>
      <w:numFmt w:val="lowerLetter"/>
      <w:lvlText w:val="%2."/>
      <w:lvlJc w:val="left"/>
      <w:pPr>
        <w:ind w:left="1440" w:hanging="360"/>
      </w:pPr>
    </w:lvl>
    <w:lvl w:ilvl="2" w:tplc="8B5846C4">
      <w:start w:val="1"/>
      <w:numFmt w:val="lowerRoman"/>
      <w:lvlText w:val="%3."/>
      <w:lvlJc w:val="right"/>
      <w:pPr>
        <w:ind w:left="2160" w:hanging="180"/>
      </w:pPr>
    </w:lvl>
    <w:lvl w:ilvl="3" w:tplc="594050FE">
      <w:start w:val="1"/>
      <w:numFmt w:val="decimal"/>
      <w:lvlText w:val="%4."/>
      <w:lvlJc w:val="left"/>
      <w:pPr>
        <w:ind w:left="2880" w:hanging="360"/>
      </w:pPr>
    </w:lvl>
    <w:lvl w:ilvl="4" w:tplc="A42CA8B6">
      <w:start w:val="1"/>
      <w:numFmt w:val="lowerLetter"/>
      <w:lvlText w:val="%5."/>
      <w:lvlJc w:val="left"/>
      <w:pPr>
        <w:ind w:left="3600" w:hanging="360"/>
      </w:pPr>
    </w:lvl>
    <w:lvl w:ilvl="5" w:tplc="F282F254">
      <w:start w:val="1"/>
      <w:numFmt w:val="lowerRoman"/>
      <w:lvlText w:val="%6."/>
      <w:lvlJc w:val="right"/>
      <w:pPr>
        <w:ind w:left="4320" w:hanging="180"/>
      </w:pPr>
    </w:lvl>
    <w:lvl w:ilvl="6" w:tplc="22649FFA">
      <w:start w:val="1"/>
      <w:numFmt w:val="decimal"/>
      <w:lvlText w:val="%7."/>
      <w:lvlJc w:val="left"/>
      <w:pPr>
        <w:ind w:left="5040" w:hanging="360"/>
      </w:pPr>
    </w:lvl>
    <w:lvl w:ilvl="7" w:tplc="D506FBB8">
      <w:start w:val="1"/>
      <w:numFmt w:val="lowerLetter"/>
      <w:lvlText w:val="%8."/>
      <w:lvlJc w:val="left"/>
      <w:pPr>
        <w:ind w:left="5760" w:hanging="360"/>
      </w:pPr>
    </w:lvl>
    <w:lvl w:ilvl="8" w:tplc="4796B9F6">
      <w:start w:val="1"/>
      <w:numFmt w:val="lowerRoman"/>
      <w:lvlText w:val="%9."/>
      <w:lvlJc w:val="right"/>
      <w:pPr>
        <w:ind w:left="6480" w:hanging="180"/>
      </w:pPr>
    </w:lvl>
  </w:abstractNum>
  <w:abstractNum w:abstractNumId="1" w15:restartNumberingAfterBreak="0">
    <w:nsid w:val="2C377346"/>
    <w:multiLevelType w:val="hybridMultilevel"/>
    <w:tmpl w:val="733A1292"/>
    <w:lvl w:ilvl="0" w:tplc="A9C46F86">
      <w:start w:val="6"/>
      <w:numFmt w:val="decimal"/>
      <w:lvlText w:val="%1."/>
      <w:lvlJc w:val="left"/>
      <w:pPr>
        <w:ind w:left="720" w:hanging="360"/>
      </w:pPr>
      <w:rPr>
        <w:rFonts w:ascii="Calibri" w:hAnsi="Calibri" w:hint="default"/>
      </w:rPr>
    </w:lvl>
    <w:lvl w:ilvl="1" w:tplc="C2608C40">
      <w:start w:val="1"/>
      <w:numFmt w:val="lowerLetter"/>
      <w:lvlText w:val="%2."/>
      <w:lvlJc w:val="left"/>
      <w:pPr>
        <w:ind w:left="1440" w:hanging="360"/>
      </w:pPr>
    </w:lvl>
    <w:lvl w:ilvl="2" w:tplc="FBA21FEA">
      <w:start w:val="1"/>
      <w:numFmt w:val="lowerRoman"/>
      <w:lvlText w:val="%3."/>
      <w:lvlJc w:val="right"/>
      <w:pPr>
        <w:ind w:left="2160" w:hanging="180"/>
      </w:pPr>
    </w:lvl>
    <w:lvl w:ilvl="3" w:tplc="A2C61AC8">
      <w:start w:val="1"/>
      <w:numFmt w:val="decimal"/>
      <w:lvlText w:val="%4."/>
      <w:lvlJc w:val="left"/>
      <w:pPr>
        <w:ind w:left="2880" w:hanging="360"/>
      </w:pPr>
    </w:lvl>
    <w:lvl w:ilvl="4" w:tplc="C832CDC2">
      <w:start w:val="1"/>
      <w:numFmt w:val="lowerLetter"/>
      <w:lvlText w:val="%5."/>
      <w:lvlJc w:val="left"/>
      <w:pPr>
        <w:ind w:left="3600" w:hanging="360"/>
      </w:pPr>
    </w:lvl>
    <w:lvl w:ilvl="5" w:tplc="0D2CC0E0">
      <w:start w:val="1"/>
      <w:numFmt w:val="lowerRoman"/>
      <w:lvlText w:val="%6."/>
      <w:lvlJc w:val="right"/>
      <w:pPr>
        <w:ind w:left="4320" w:hanging="180"/>
      </w:pPr>
    </w:lvl>
    <w:lvl w:ilvl="6" w:tplc="DA7C7E44">
      <w:start w:val="1"/>
      <w:numFmt w:val="decimal"/>
      <w:lvlText w:val="%7."/>
      <w:lvlJc w:val="left"/>
      <w:pPr>
        <w:ind w:left="5040" w:hanging="360"/>
      </w:pPr>
    </w:lvl>
    <w:lvl w:ilvl="7" w:tplc="8D50A8F0">
      <w:start w:val="1"/>
      <w:numFmt w:val="lowerLetter"/>
      <w:lvlText w:val="%8."/>
      <w:lvlJc w:val="left"/>
      <w:pPr>
        <w:ind w:left="5760" w:hanging="360"/>
      </w:pPr>
    </w:lvl>
    <w:lvl w:ilvl="8" w:tplc="83F6F360">
      <w:start w:val="1"/>
      <w:numFmt w:val="lowerRoman"/>
      <w:lvlText w:val="%9."/>
      <w:lvlJc w:val="right"/>
      <w:pPr>
        <w:ind w:left="6480" w:hanging="180"/>
      </w:pPr>
    </w:lvl>
  </w:abstractNum>
  <w:abstractNum w:abstractNumId="2" w15:restartNumberingAfterBreak="0">
    <w:nsid w:val="45E695E1"/>
    <w:multiLevelType w:val="hybridMultilevel"/>
    <w:tmpl w:val="3BD26D4E"/>
    <w:lvl w:ilvl="0" w:tplc="BE0EAB58">
      <w:start w:val="1"/>
      <w:numFmt w:val="bullet"/>
      <w:lvlText w:val=""/>
      <w:lvlJc w:val="left"/>
      <w:pPr>
        <w:ind w:left="720" w:hanging="360"/>
      </w:pPr>
      <w:rPr>
        <w:rFonts w:ascii="Symbol" w:hAnsi="Symbol" w:hint="default"/>
      </w:rPr>
    </w:lvl>
    <w:lvl w:ilvl="1" w:tplc="D7520350">
      <w:start w:val="1"/>
      <w:numFmt w:val="bullet"/>
      <w:lvlText w:val="o"/>
      <w:lvlJc w:val="left"/>
      <w:pPr>
        <w:ind w:left="1440" w:hanging="360"/>
      </w:pPr>
      <w:rPr>
        <w:rFonts w:ascii="Courier New" w:hAnsi="Courier New" w:hint="default"/>
      </w:rPr>
    </w:lvl>
    <w:lvl w:ilvl="2" w:tplc="95BCC74A">
      <w:start w:val="1"/>
      <w:numFmt w:val="bullet"/>
      <w:lvlText w:val=""/>
      <w:lvlJc w:val="left"/>
      <w:pPr>
        <w:ind w:left="2160" w:hanging="360"/>
      </w:pPr>
      <w:rPr>
        <w:rFonts w:ascii="Wingdings" w:hAnsi="Wingdings" w:hint="default"/>
      </w:rPr>
    </w:lvl>
    <w:lvl w:ilvl="3" w:tplc="E738D9E4">
      <w:start w:val="1"/>
      <w:numFmt w:val="bullet"/>
      <w:lvlText w:val=""/>
      <w:lvlJc w:val="left"/>
      <w:pPr>
        <w:ind w:left="2880" w:hanging="360"/>
      </w:pPr>
      <w:rPr>
        <w:rFonts w:ascii="Symbol" w:hAnsi="Symbol" w:hint="default"/>
      </w:rPr>
    </w:lvl>
    <w:lvl w:ilvl="4" w:tplc="BF861FAA">
      <w:start w:val="1"/>
      <w:numFmt w:val="bullet"/>
      <w:lvlText w:val="o"/>
      <w:lvlJc w:val="left"/>
      <w:pPr>
        <w:ind w:left="3600" w:hanging="360"/>
      </w:pPr>
      <w:rPr>
        <w:rFonts w:ascii="Courier New" w:hAnsi="Courier New" w:hint="default"/>
      </w:rPr>
    </w:lvl>
    <w:lvl w:ilvl="5" w:tplc="1EB8FEE8">
      <w:start w:val="1"/>
      <w:numFmt w:val="bullet"/>
      <w:lvlText w:val=""/>
      <w:lvlJc w:val="left"/>
      <w:pPr>
        <w:ind w:left="4320" w:hanging="360"/>
      </w:pPr>
      <w:rPr>
        <w:rFonts w:ascii="Wingdings" w:hAnsi="Wingdings" w:hint="default"/>
      </w:rPr>
    </w:lvl>
    <w:lvl w:ilvl="6" w:tplc="D61227CA">
      <w:start w:val="1"/>
      <w:numFmt w:val="bullet"/>
      <w:lvlText w:val=""/>
      <w:lvlJc w:val="left"/>
      <w:pPr>
        <w:ind w:left="5040" w:hanging="360"/>
      </w:pPr>
      <w:rPr>
        <w:rFonts w:ascii="Symbol" w:hAnsi="Symbol" w:hint="default"/>
      </w:rPr>
    </w:lvl>
    <w:lvl w:ilvl="7" w:tplc="BAA606D6">
      <w:start w:val="1"/>
      <w:numFmt w:val="bullet"/>
      <w:lvlText w:val="o"/>
      <w:lvlJc w:val="left"/>
      <w:pPr>
        <w:ind w:left="5760" w:hanging="360"/>
      </w:pPr>
      <w:rPr>
        <w:rFonts w:ascii="Courier New" w:hAnsi="Courier New" w:hint="default"/>
      </w:rPr>
    </w:lvl>
    <w:lvl w:ilvl="8" w:tplc="AB22B514">
      <w:start w:val="1"/>
      <w:numFmt w:val="bullet"/>
      <w:lvlText w:val=""/>
      <w:lvlJc w:val="left"/>
      <w:pPr>
        <w:ind w:left="6480" w:hanging="360"/>
      </w:pPr>
      <w:rPr>
        <w:rFonts w:ascii="Wingdings" w:hAnsi="Wingdings" w:hint="default"/>
      </w:rPr>
    </w:lvl>
  </w:abstractNum>
  <w:abstractNum w:abstractNumId="3" w15:restartNumberingAfterBreak="0">
    <w:nsid w:val="5D7DF2CA"/>
    <w:multiLevelType w:val="hybridMultilevel"/>
    <w:tmpl w:val="EEB89640"/>
    <w:lvl w:ilvl="0" w:tplc="B57850EC">
      <w:start w:val="1"/>
      <w:numFmt w:val="bullet"/>
      <w:lvlText w:val=""/>
      <w:lvlJc w:val="left"/>
      <w:pPr>
        <w:ind w:left="720" w:hanging="360"/>
      </w:pPr>
      <w:rPr>
        <w:rFonts w:ascii="Symbol" w:hAnsi="Symbol" w:hint="default"/>
      </w:rPr>
    </w:lvl>
    <w:lvl w:ilvl="1" w:tplc="E11C7BF4">
      <w:start w:val="1"/>
      <w:numFmt w:val="bullet"/>
      <w:lvlText w:val="o"/>
      <w:lvlJc w:val="left"/>
      <w:pPr>
        <w:ind w:left="1440" w:hanging="360"/>
      </w:pPr>
      <w:rPr>
        <w:rFonts w:ascii="Courier New" w:hAnsi="Courier New" w:hint="default"/>
      </w:rPr>
    </w:lvl>
    <w:lvl w:ilvl="2" w:tplc="BD364086">
      <w:start w:val="1"/>
      <w:numFmt w:val="bullet"/>
      <w:lvlText w:val=""/>
      <w:lvlJc w:val="left"/>
      <w:pPr>
        <w:ind w:left="2160" w:hanging="360"/>
      </w:pPr>
      <w:rPr>
        <w:rFonts w:ascii="Wingdings" w:hAnsi="Wingdings" w:hint="default"/>
      </w:rPr>
    </w:lvl>
    <w:lvl w:ilvl="3" w:tplc="B4C68496">
      <w:start w:val="1"/>
      <w:numFmt w:val="bullet"/>
      <w:lvlText w:val=""/>
      <w:lvlJc w:val="left"/>
      <w:pPr>
        <w:ind w:left="2880" w:hanging="360"/>
      </w:pPr>
      <w:rPr>
        <w:rFonts w:ascii="Symbol" w:hAnsi="Symbol" w:hint="default"/>
      </w:rPr>
    </w:lvl>
    <w:lvl w:ilvl="4" w:tplc="DCA68376">
      <w:start w:val="1"/>
      <w:numFmt w:val="bullet"/>
      <w:lvlText w:val="o"/>
      <w:lvlJc w:val="left"/>
      <w:pPr>
        <w:ind w:left="3600" w:hanging="360"/>
      </w:pPr>
      <w:rPr>
        <w:rFonts w:ascii="Courier New" w:hAnsi="Courier New" w:hint="default"/>
      </w:rPr>
    </w:lvl>
    <w:lvl w:ilvl="5" w:tplc="D782162C">
      <w:start w:val="1"/>
      <w:numFmt w:val="bullet"/>
      <w:lvlText w:val=""/>
      <w:lvlJc w:val="left"/>
      <w:pPr>
        <w:ind w:left="4320" w:hanging="360"/>
      </w:pPr>
      <w:rPr>
        <w:rFonts w:ascii="Wingdings" w:hAnsi="Wingdings" w:hint="default"/>
      </w:rPr>
    </w:lvl>
    <w:lvl w:ilvl="6" w:tplc="EFB801E8">
      <w:start w:val="1"/>
      <w:numFmt w:val="bullet"/>
      <w:lvlText w:val=""/>
      <w:lvlJc w:val="left"/>
      <w:pPr>
        <w:ind w:left="5040" w:hanging="360"/>
      </w:pPr>
      <w:rPr>
        <w:rFonts w:ascii="Symbol" w:hAnsi="Symbol" w:hint="default"/>
      </w:rPr>
    </w:lvl>
    <w:lvl w:ilvl="7" w:tplc="81ECAF7A">
      <w:start w:val="1"/>
      <w:numFmt w:val="bullet"/>
      <w:lvlText w:val="o"/>
      <w:lvlJc w:val="left"/>
      <w:pPr>
        <w:ind w:left="5760" w:hanging="360"/>
      </w:pPr>
      <w:rPr>
        <w:rFonts w:ascii="Courier New" w:hAnsi="Courier New" w:hint="default"/>
      </w:rPr>
    </w:lvl>
    <w:lvl w:ilvl="8" w:tplc="6A58481A">
      <w:start w:val="1"/>
      <w:numFmt w:val="bullet"/>
      <w:lvlText w:val=""/>
      <w:lvlJc w:val="left"/>
      <w:pPr>
        <w:ind w:left="6480" w:hanging="360"/>
      </w:pPr>
      <w:rPr>
        <w:rFonts w:ascii="Wingdings" w:hAnsi="Wingdings" w:hint="default"/>
      </w:rPr>
    </w:lvl>
  </w:abstractNum>
  <w:abstractNum w:abstractNumId="4" w15:restartNumberingAfterBreak="0">
    <w:nsid w:val="65FFFEBC"/>
    <w:multiLevelType w:val="hybridMultilevel"/>
    <w:tmpl w:val="F8684558"/>
    <w:lvl w:ilvl="0" w:tplc="ACDAC5C0">
      <w:start w:val="1"/>
      <w:numFmt w:val="decimal"/>
      <w:lvlText w:val="%1."/>
      <w:lvlJc w:val="left"/>
      <w:pPr>
        <w:ind w:left="720" w:hanging="360"/>
      </w:pPr>
      <w:rPr>
        <w:rFonts w:ascii="Calibri" w:hAnsi="Calibri" w:hint="default"/>
      </w:rPr>
    </w:lvl>
    <w:lvl w:ilvl="1" w:tplc="13F88B8A">
      <w:start w:val="1"/>
      <w:numFmt w:val="lowerLetter"/>
      <w:lvlText w:val="%2."/>
      <w:lvlJc w:val="left"/>
      <w:pPr>
        <w:ind w:left="1440" w:hanging="360"/>
      </w:pPr>
    </w:lvl>
    <w:lvl w:ilvl="2" w:tplc="AEE658EE">
      <w:start w:val="1"/>
      <w:numFmt w:val="lowerRoman"/>
      <w:lvlText w:val="%3."/>
      <w:lvlJc w:val="right"/>
      <w:pPr>
        <w:ind w:left="2160" w:hanging="180"/>
      </w:pPr>
    </w:lvl>
    <w:lvl w:ilvl="3" w:tplc="FBDA725C">
      <w:start w:val="1"/>
      <w:numFmt w:val="decimal"/>
      <w:lvlText w:val="%4."/>
      <w:lvlJc w:val="left"/>
      <w:pPr>
        <w:ind w:left="2880" w:hanging="360"/>
      </w:pPr>
    </w:lvl>
    <w:lvl w:ilvl="4" w:tplc="967A4BBE">
      <w:start w:val="1"/>
      <w:numFmt w:val="lowerLetter"/>
      <w:lvlText w:val="%5."/>
      <w:lvlJc w:val="left"/>
      <w:pPr>
        <w:ind w:left="3600" w:hanging="360"/>
      </w:pPr>
    </w:lvl>
    <w:lvl w:ilvl="5" w:tplc="10C23970">
      <w:start w:val="1"/>
      <w:numFmt w:val="lowerRoman"/>
      <w:lvlText w:val="%6."/>
      <w:lvlJc w:val="right"/>
      <w:pPr>
        <w:ind w:left="4320" w:hanging="180"/>
      </w:pPr>
    </w:lvl>
    <w:lvl w:ilvl="6" w:tplc="C9C29704">
      <w:start w:val="1"/>
      <w:numFmt w:val="decimal"/>
      <w:lvlText w:val="%7."/>
      <w:lvlJc w:val="left"/>
      <w:pPr>
        <w:ind w:left="5040" w:hanging="360"/>
      </w:pPr>
    </w:lvl>
    <w:lvl w:ilvl="7" w:tplc="F4588E2A">
      <w:start w:val="1"/>
      <w:numFmt w:val="lowerLetter"/>
      <w:lvlText w:val="%8."/>
      <w:lvlJc w:val="left"/>
      <w:pPr>
        <w:ind w:left="5760" w:hanging="360"/>
      </w:pPr>
    </w:lvl>
    <w:lvl w:ilvl="8" w:tplc="59C2DFF6">
      <w:start w:val="1"/>
      <w:numFmt w:val="lowerRoman"/>
      <w:lvlText w:val="%9."/>
      <w:lvlJc w:val="right"/>
      <w:pPr>
        <w:ind w:left="6480" w:hanging="180"/>
      </w:pPr>
    </w:lvl>
  </w:abstractNum>
  <w:abstractNum w:abstractNumId="5" w15:restartNumberingAfterBreak="0">
    <w:nsid w:val="6EA4E000"/>
    <w:multiLevelType w:val="hybridMultilevel"/>
    <w:tmpl w:val="46188AEC"/>
    <w:lvl w:ilvl="0" w:tplc="13C4C712">
      <w:start w:val="1"/>
      <w:numFmt w:val="decimal"/>
      <w:lvlText w:val="%1."/>
      <w:lvlJc w:val="left"/>
      <w:pPr>
        <w:ind w:left="720" w:hanging="360"/>
      </w:pPr>
    </w:lvl>
    <w:lvl w:ilvl="1" w:tplc="8CF4E24C">
      <w:start w:val="1"/>
      <w:numFmt w:val="lowerLetter"/>
      <w:lvlText w:val="%2."/>
      <w:lvlJc w:val="left"/>
      <w:pPr>
        <w:ind w:left="1440" w:hanging="360"/>
      </w:pPr>
    </w:lvl>
    <w:lvl w:ilvl="2" w:tplc="120CA114">
      <w:start w:val="1"/>
      <w:numFmt w:val="lowerRoman"/>
      <w:lvlText w:val="%3."/>
      <w:lvlJc w:val="right"/>
      <w:pPr>
        <w:ind w:left="2160" w:hanging="180"/>
      </w:pPr>
    </w:lvl>
    <w:lvl w:ilvl="3" w:tplc="091A747E">
      <w:start w:val="1"/>
      <w:numFmt w:val="decimal"/>
      <w:lvlText w:val="%4."/>
      <w:lvlJc w:val="left"/>
      <w:pPr>
        <w:ind w:left="2880" w:hanging="360"/>
      </w:pPr>
    </w:lvl>
    <w:lvl w:ilvl="4" w:tplc="9EC4553A">
      <w:start w:val="1"/>
      <w:numFmt w:val="lowerLetter"/>
      <w:lvlText w:val="%5."/>
      <w:lvlJc w:val="left"/>
      <w:pPr>
        <w:ind w:left="3600" w:hanging="360"/>
      </w:pPr>
    </w:lvl>
    <w:lvl w:ilvl="5" w:tplc="06CAF60C">
      <w:start w:val="1"/>
      <w:numFmt w:val="lowerRoman"/>
      <w:lvlText w:val="%6."/>
      <w:lvlJc w:val="right"/>
      <w:pPr>
        <w:ind w:left="4320" w:hanging="180"/>
      </w:pPr>
    </w:lvl>
    <w:lvl w:ilvl="6" w:tplc="E0084E68">
      <w:start w:val="1"/>
      <w:numFmt w:val="decimal"/>
      <w:lvlText w:val="%7."/>
      <w:lvlJc w:val="left"/>
      <w:pPr>
        <w:ind w:left="5040" w:hanging="360"/>
      </w:pPr>
    </w:lvl>
    <w:lvl w:ilvl="7" w:tplc="7EAAA82C">
      <w:start w:val="1"/>
      <w:numFmt w:val="lowerLetter"/>
      <w:lvlText w:val="%8."/>
      <w:lvlJc w:val="left"/>
      <w:pPr>
        <w:ind w:left="5760" w:hanging="360"/>
      </w:pPr>
    </w:lvl>
    <w:lvl w:ilvl="8" w:tplc="4DCE64FE">
      <w:start w:val="1"/>
      <w:numFmt w:val="lowerRoman"/>
      <w:lvlText w:val="%9."/>
      <w:lvlJc w:val="right"/>
      <w:pPr>
        <w:ind w:left="6480" w:hanging="180"/>
      </w:pPr>
    </w:lvl>
  </w:abstractNum>
  <w:num w:numId="1" w16cid:durableId="1580485331">
    <w:abstractNumId w:val="2"/>
  </w:num>
  <w:num w:numId="2" w16cid:durableId="1454444152">
    <w:abstractNumId w:val="1"/>
  </w:num>
  <w:num w:numId="3" w16cid:durableId="731125717">
    <w:abstractNumId w:val="4"/>
  </w:num>
  <w:num w:numId="4" w16cid:durableId="1889221925">
    <w:abstractNumId w:val="3"/>
  </w:num>
  <w:num w:numId="5" w16cid:durableId="1832746661">
    <w:abstractNumId w:val="5"/>
  </w:num>
  <w:num w:numId="6" w16cid:durableId="380443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1449CB"/>
    <w:rsid w:val="00030DD0"/>
    <w:rsid w:val="00033022"/>
    <w:rsid w:val="00075069"/>
    <w:rsid w:val="00095AAA"/>
    <w:rsid w:val="000F2DEB"/>
    <w:rsid w:val="000F59A4"/>
    <w:rsid w:val="0013F54E"/>
    <w:rsid w:val="001B19D9"/>
    <w:rsid w:val="002237A0"/>
    <w:rsid w:val="002437F5"/>
    <w:rsid w:val="00246AC8"/>
    <w:rsid w:val="00247746"/>
    <w:rsid w:val="002630E4"/>
    <w:rsid w:val="00290DEA"/>
    <w:rsid w:val="002C039E"/>
    <w:rsid w:val="002D0262"/>
    <w:rsid w:val="002F2467"/>
    <w:rsid w:val="002F623F"/>
    <w:rsid w:val="00307B29"/>
    <w:rsid w:val="0031B65D"/>
    <w:rsid w:val="00356297"/>
    <w:rsid w:val="003B2B27"/>
    <w:rsid w:val="003B55B0"/>
    <w:rsid w:val="003E0E6F"/>
    <w:rsid w:val="003E220A"/>
    <w:rsid w:val="003E44B5"/>
    <w:rsid w:val="00405F9F"/>
    <w:rsid w:val="00417722"/>
    <w:rsid w:val="00422687"/>
    <w:rsid w:val="00444C84"/>
    <w:rsid w:val="004613D3"/>
    <w:rsid w:val="004C0C9F"/>
    <w:rsid w:val="004E1EA6"/>
    <w:rsid w:val="00533ACA"/>
    <w:rsid w:val="005824DB"/>
    <w:rsid w:val="00583BA6"/>
    <w:rsid w:val="00596D32"/>
    <w:rsid w:val="0065197F"/>
    <w:rsid w:val="0067301F"/>
    <w:rsid w:val="0074ADFB"/>
    <w:rsid w:val="00797F00"/>
    <w:rsid w:val="007A4D97"/>
    <w:rsid w:val="007B6981"/>
    <w:rsid w:val="00815B07"/>
    <w:rsid w:val="00834AF5"/>
    <w:rsid w:val="00857932"/>
    <w:rsid w:val="008779F0"/>
    <w:rsid w:val="00894A20"/>
    <w:rsid w:val="008B1B87"/>
    <w:rsid w:val="008C6E35"/>
    <w:rsid w:val="008D44A4"/>
    <w:rsid w:val="008D4E11"/>
    <w:rsid w:val="00902FE1"/>
    <w:rsid w:val="009C0B13"/>
    <w:rsid w:val="009F5255"/>
    <w:rsid w:val="00A42E16"/>
    <w:rsid w:val="00A61F5E"/>
    <w:rsid w:val="00AD02ED"/>
    <w:rsid w:val="00AD07D6"/>
    <w:rsid w:val="00B40A74"/>
    <w:rsid w:val="00B92DAD"/>
    <w:rsid w:val="00BF6690"/>
    <w:rsid w:val="00C119CF"/>
    <w:rsid w:val="00CB5F27"/>
    <w:rsid w:val="00CF6AD0"/>
    <w:rsid w:val="00D06582"/>
    <w:rsid w:val="00D13919"/>
    <w:rsid w:val="00D20274"/>
    <w:rsid w:val="00D603B2"/>
    <w:rsid w:val="00DB419B"/>
    <w:rsid w:val="00E4403B"/>
    <w:rsid w:val="00EA3313"/>
    <w:rsid w:val="00EF7D08"/>
    <w:rsid w:val="00F3130A"/>
    <w:rsid w:val="00FE206A"/>
    <w:rsid w:val="00FF0876"/>
    <w:rsid w:val="01105E5A"/>
    <w:rsid w:val="0128E9B0"/>
    <w:rsid w:val="01309362"/>
    <w:rsid w:val="014B9740"/>
    <w:rsid w:val="015436BD"/>
    <w:rsid w:val="016760EA"/>
    <w:rsid w:val="017AF393"/>
    <w:rsid w:val="021595DD"/>
    <w:rsid w:val="023B44BB"/>
    <w:rsid w:val="027CDB64"/>
    <w:rsid w:val="02A25E9B"/>
    <w:rsid w:val="0348F82C"/>
    <w:rsid w:val="034A827A"/>
    <w:rsid w:val="037EE72D"/>
    <w:rsid w:val="03B5475E"/>
    <w:rsid w:val="041338E7"/>
    <w:rsid w:val="041449CB"/>
    <w:rsid w:val="0472E8A6"/>
    <w:rsid w:val="0474FBF6"/>
    <w:rsid w:val="04847719"/>
    <w:rsid w:val="04D8CF84"/>
    <w:rsid w:val="04EF78E5"/>
    <w:rsid w:val="050FE5E1"/>
    <w:rsid w:val="05EF9EA5"/>
    <w:rsid w:val="06066E33"/>
    <w:rsid w:val="0628DC85"/>
    <w:rsid w:val="06422F7D"/>
    <w:rsid w:val="06C6589D"/>
    <w:rsid w:val="06D58DC1"/>
    <w:rsid w:val="07497EE3"/>
    <w:rsid w:val="07514CEF"/>
    <w:rsid w:val="0772E99E"/>
    <w:rsid w:val="07746EF2"/>
    <w:rsid w:val="07ADBFD5"/>
    <w:rsid w:val="07D04522"/>
    <w:rsid w:val="081F9189"/>
    <w:rsid w:val="085A9373"/>
    <w:rsid w:val="08D8E631"/>
    <w:rsid w:val="08F273BD"/>
    <w:rsid w:val="08F61F34"/>
    <w:rsid w:val="0919C609"/>
    <w:rsid w:val="09753B96"/>
    <w:rsid w:val="09C4A15B"/>
    <w:rsid w:val="0A1583E3"/>
    <w:rsid w:val="0A35F365"/>
    <w:rsid w:val="0B20C145"/>
    <w:rsid w:val="0BBB9AE0"/>
    <w:rsid w:val="0C1D05E5"/>
    <w:rsid w:val="0C2DAAB9"/>
    <w:rsid w:val="0C61C168"/>
    <w:rsid w:val="0CE882CC"/>
    <w:rsid w:val="0CF691D7"/>
    <w:rsid w:val="0D1453AE"/>
    <w:rsid w:val="0D25D036"/>
    <w:rsid w:val="0D2A123E"/>
    <w:rsid w:val="0D69255F"/>
    <w:rsid w:val="0DB18BD2"/>
    <w:rsid w:val="0E02FB46"/>
    <w:rsid w:val="0E21A8CF"/>
    <w:rsid w:val="0E289986"/>
    <w:rsid w:val="0E599780"/>
    <w:rsid w:val="0E746836"/>
    <w:rsid w:val="0E8D9B0A"/>
    <w:rsid w:val="0EC6817B"/>
    <w:rsid w:val="0F0DFFA2"/>
    <w:rsid w:val="0F2C91C3"/>
    <w:rsid w:val="0F350F7A"/>
    <w:rsid w:val="0FE37C8A"/>
    <w:rsid w:val="10036905"/>
    <w:rsid w:val="1047EC7A"/>
    <w:rsid w:val="107262A2"/>
    <w:rsid w:val="10811463"/>
    <w:rsid w:val="1158ABF6"/>
    <w:rsid w:val="119E41A2"/>
    <w:rsid w:val="11BDB998"/>
    <w:rsid w:val="11C12CD6"/>
    <w:rsid w:val="11F04197"/>
    <w:rsid w:val="11FA1908"/>
    <w:rsid w:val="12172145"/>
    <w:rsid w:val="122128A3"/>
    <w:rsid w:val="123CB3C8"/>
    <w:rsid w:val="1297CA58"/>
    <w:rsid w:val="12B5913B"/>
    <w:rsid w:val="13C58795"/>
    <w:rsid w:val="13FC0D21"/>
    <w:rsid w:val="1489FFA6"/>
    <w:rsid w:val="14B930EF"/>
    <w:rsid w:val="14C5F065"/>
    <w:rsid w:val="15162491"/>
    <w:rsid w:val="15165AF0"/>
    <w:rsid w:val="151BB176"/>
    <w:rsid w:val="15576FBA"/>
    <w:rsid w:val="15724A72"/>
    <w:rsid w:val="15DA0717"/>
    <w:rsid w:val="16206A81"/>
    <w:rsid w:val="1655D65B"/>
    <w:rsid w:val="1682865B"/>
    <w:rsid w:val="168F7FE2"/>
    <w:rsid w:val="16CFBB90"/>
    <w:rsid w:val="16D76833"/>
    <w:rsid w:val="16DE7336"/>
    <w:rsid w:val="1711E680"/>
    <w:rsid w:val="1738EF50"/>
    <w:rsid w:val="176D428A"/>
    <w:rsid w:val="17A6AD89"/>
    <w:rsid w:val="17B49BE4"/>
    <w:rsid w:val="17BEDF86"/>
    <w:rsid w:val="17CD3B03"/>
    <w:rsid w:val="180F898E"/>
    <w:rsid w:val="186FA2C6"/>
    <w:rsid w:val="1951FB60"/>
    <w:rsid w:val="198145C6"/>
    <w:rsid w:val="1988793D"/>
    <w:rsid w:val="1AB0B5CF"/>
    <w:rsid w:val="1B6E97BB"/>
    <w:rsid w:val="1BB1B859"/>
    <w:rsid w:val="1BEE03EF"/>
    <w:rsid w:val="1C89BE9B"/>
    <w:rsid w:val="1CA767EA"/>
    <w:rsid w:val="1CDD8BB3"/>
    <w:rsid w:val="1D6D69C8"/>
    <w:rsid w:val="1DB41470"/>
    <w:rsid w:val="1DDE79B3"/>
    <w:rsid w:val="1DFE0A1B"/>
    <w:rsid w:val="1E32D4F7"/>
    <w:rsid w:val="1E3E998B"/>
    <w:rsid w:val="1E562AE9"/>
    <w:rsid w:val="1E7718FC"/>
    <w:rsid w:val="1F472568"/>
    <w:rsid w:val="1F51DDEE"/>
    <w:rsid w:val="1FEE78CC"/>
    <w:rsid w:val="20265DAE"/>
    <w:rsid w:val="20456113"/>
    <w:rsid w:val="206DEAAF"/>
    <w:rsid w:val="207AF7ED"/>
    <w:rsid w:val="208C1542"/>
    <w:rsid w:val="20D83077"/>
    <w:rsid w:val="20E3CB94"/>
    <w:rsid w:val="210F3CB8"/>
    <w:rsid w:val="218B693B"/>
    <w:rsid w:val="218F02E9"/>
    <w:rsid w:val="2240D115"/>
    <w:rsid w:val="2241D64F"/>
    <w:rsid w:val="224C6E38"/>
    <w:rsid w:val="226D529A"/>
    <w:rsid w:val="22CC22A8"/>
    <w:rsid w:val="23B389E5"/>
    <w:rsid w:val="2414876B"/>
    <w:rsid w:val="241E2620"/>
    <w:rsid w:val="244AA4B8"/>
    <w:rsid w:val="244C4996"/>
    <w:rsid w:val="2453EDA2"/>
    <w:rsid w:val="24A6C3B4"/>
    <w:rsid w:val="24B0FF08"/>
    <w:rsid w:val="24E544E8"/>
    <w:rsid w:val="25009B95"/>
    <w:rsid w:val="2505D7C9"/>
    <w:rsid w:val="250B64FF"/>
    <w:rsid w:val="2519247D"/>
    <w:rsid w:val="253BB230"/>
    <w:rsid w:val="254C8C81"/>
    <w:rsid w:val="258249C1"/>
    <w:rsid w:val="2599C14F"/>
    <w:rsid w:val="25C62EEA"/>
    <w:rsid w:val="25D80B4D"/>
    <w:rsid w:val="25FB2212"/>
    <w:rsid w:val="26027DE7"/>
    <w:rsid w:val="260B741C"/>
    <w:rsid w:val="26A0DC75"/>
    <w:rsid w:val="26D88174"/>
    <w:rsid w:val="271A3021"/>
    <w:rsid w:val="27431099"/>
    <w:rsid w:val="27840963"/>
    <w:rsid w:val="278D4D44"/>
    <w:rsid w:val="27D446C5"/>
    <w:rsid w:val="28463396"/>
    <w:rsid w:val="285FFF3F"/>
    <w:rsid w:val="28A76552"/>
    <w:rsid w:val="28B12FB3"/>
    <w:rsid w:val="28D31ADF"/>
    <w:rsid w:val="29996F95"/>
    <w:rsid w:val="29C7CD58"/>
    <w:rsid w:val="29CDDEC4"/>
    <w:rsid w:val="29DA8814"/>
    <w:rsid w:val="29E37B8B"/>
    <w:rsid w:val="29E55069"/>
    <w:rsid w:val="29F92296"/>
    <w:rsid w:val="2A7CEBB8"/>
    <w:rsid w:val="2B2ECF95"/>
    <w:rsid w:val="2B865CA0"/>
    <w:rsid w:val="2BAF4E05"/>
    <w:rsid w:val="2BB98ECC"/>
    <w:rsid w:val="2BE65DB9"/>
    <w:rsid w:val="2BE9D3C7"/>
    <w:rsid w:val="2BF7EB0E"/>
    <w:rsid w:val="2C0F3669"/>
    <w:rsid w:val="2C59F7E7"/>
    <w:rsid w:val="2C5AC3E5"/>
    <w:rsid w:val="2CE1BA7D"/>
    <w:rsid w:val="2CECC47D"/>
    <w:rsid w:val="2D0D9CFF"/>
    <w:rsid w:val="2D1464D0"/>
    <w:rsid w:val="2D45B5AB"/>
    <w:rsid w:val="2D870D34"/>
    <w:rsid w:val="2D877C86"/>
    <w:rsid w:val="2DA595F3"/>
    <w:rsid w:val="2DEFD98B"/>
    <w:rsid w:val="2E122067"/>
    <w:rsid w:val="2E5C78F8"/>
    <w:rsid w:val="2E7DFEED"/>
    <w:rsid w:val="2ED490D8"/>
    <w:rsid w:val="2F2927C1"/>
    <w:rsid w:val="2F2FECC2"/>
    <w:rsid w:val="2F6FB0EB"/>
    <w:rsid w:val="2F7D1F5B"/>
    <w:rsid w:val="2F9631C2"/>
    <w:rsid w:val="2FECBD92"/>
    <w:rsid w:val="2FF752BF"/>
    <w:rsid w:val="2FFC19EA"/>
    <w:rsid w:val="304EAB85"/>
    <w:rsid w:val="30B1A971"/>
    <w:rsid w:val="30FF2178"/>
    <w:rsid w:val="310E7933"/>
    <w:rsid w:val="3116E8B8"/>
    <w:rsid w:val="31351ED6"/>
    <w:rsid w:val="3150F049"/>
    <w:rsid w:val="31811DA7"/>
    <w:rsid w:val="318FC87A"/>
    <w:rsid w:val="31978CCD"/>
    <w:rsid w:val="31C46F10"/>
    <w:rsid w:val="31CA6C99"/>
    <w:rsid w:val="31D39181"/>
    <w:rsid w:val="32022E1E"/>
    <w:rsid w:val="321EE7E8"/>
    <w:rsid w:val="322D62A5"/>
    <w:rsid w:val="323D2455"/>
    <w:rsid w:val="325C4305"/>
    <w:rsid w:val="32771D05"/>
    <w:rsid w:val="3292D801"/>
    <w:rsid w:val="329D8F4A"/>
    <w:rsid w:val="32EA927B"/>
    <w:rsid w:val="3309F27C"/>
    <w:rsid w:val="330C7479"/>
    <w:rsid w:val="330DFD20"/>
    <w:rsid w:val="3313A255"/>
    <w:rsid w:val="335BDF63"/>
    <w:rsid w:val="33965B42"/>
    <w:rsid w:val="33BB108B"/>
    <w:rsid w:val="33BB1406"/>
    <w:rsid w:val="33C018EE"/>
    <w:rsid w:val="33DE1F7B"/>
    <w:rsid w:val="34251333"/>
    <w:rsid w:val="343EB170"/>
    <w:rsid w:val="34814862"/>
    <w:rsid w:val="34C7E00E"/>
    <w:rsid w:val="356087DF"/>
    <w:rsid w:val="357A91B2"/>
    <w:rsid w:val="35859F24"/>
    <w:rsid w:val="35916820"/>
    <w:rsid w:val="359E0797"/>
    <w:rsid w:val="35A78AE4"/>
    <w:rsid w:val="35AD36A0"/>
    <w:rsid w:val="36382E0C"/>
    <w:rsid w:val="3681DDE0"/>
    <w:rsid w:val="36B828F0"/>
    <w:rsid w:val="3709FFCF"/>
    <w:rsid w:val="3713638A"/>
    <w:rsid w:val="37266AD8"/>
    <w:rsid w:val="375DDBE1"/>
    <w:rsid w:val="3764CB4F"/>
    <w:rsid w:val="376E11F9"/>
    <w:rsid w:val="37B0EA8C"/>
    <w:rsid w:val="382F4A9C"/>
    <w:rsid w:val="383C4A41"/>
    <w:rsid w:val="389E9A12"/>
    <w:rsid w:val="38C4C6B7"/>
    <w:rsid w:val="38EB7790"/>
    <w:rsid w:val="38EC183A"/>
    <w:rsid w:val="3943704B"/>
    <w:rsid w:val="3957359C"/>
    <w:rsid w:val="3958C175"/>
    <w:rsid w:val="39904AE1"/>
    <w:rsid w:val="3990F4A3"/>
    <w:rsid w:val="3A06090B"/>
    <w:rsid w:val="3A370C60"/>
    <w:rsid w:val="3A4FEC4B"/>
    <w:rsid w:val="3A606BC7"/>
    <w:rsid w:val="3AE44363"/>
    <w:rsid w:val="3B8ABAE5"/>
    <w:rsid w:val="3B977A88"/>
    <w:rsid w:val="3C0AD59E"/>
    <w:rsid w:val="3C5336A4"/>
    <w:rsid w:val="3C6F7058"/>
    <w:rsid w:val="3CCC7E34"/>
    <w:rsid w:val="3DC50718"/>
    <w:rsid w:val="3E036CAC"/>
    <w:rsid w:val="3E1182C2"/>
    <w:rsid w:val="3E3E4BCF"/>
    <w:rsid w:val="3E521D0F"/>
    <w:rsid w:val="3E71460D"/>
    <w:rsid w:val="3E88654A"/>
    <w:rsid w:val="3EB780F7"/>
    <w:rsid w:val="3EBF34DB"/>
    <w:rsid w:val="3EDF8A5B"/>
    <w:rsid w:val="3EE849CD"/>
    <w:rsid w:val="3F2C76FD"/>
    <w:rsid w:val="3F8181BD"/>
    <w:rsid w:val="3FCE09D7"/>
    <w:rsid w:val="3FCEE94C"/>
    <w:rsid w:val="401D5FDC"/>
    <w:rsid w:val="404BD022"/>
    <w:rsid w:val="4063B30D"/>
    <w:rsid w:val="40860BA5"/>
    <w:rsid w:val="40D1EA28"/>
    <w:rsid w:val="4118677D"/>
    <w:rsid w:val="41266587"/>
    <w:rsid w:val="41AF30E9"/>
    <w:rsid w:val="41CF0643"/>
    <w:rsid w:val="4225207C"/>
    <w:rsid w:val="424A15A3"/>
    <w:rsid w:val="424BC432"/>
    <w:rsid w:val="426EC59F"/>
    <w:rsid w:val="427CB818"/>
    <w:rsid w:val="4283B834"/>
    <w:rsid w:val="428BAB9C"/>
    <w:rsid w:val="42C6527E"/>
    <w:rsid w:val="42CE36F6"/>
    <w:rsid w:val="4330E924"/>
    <w:rsid w:val="4358A776"/>
    <w:rsid w:val="43950B92"/>
    <w:rsid w:val="43C2A25B"/>
    <w:rsid w:val="43DAA8CA"/>
    <w:rsid w:val="43EE9866"/>
    <w:rsid w:val="446C345E"/>
    <w:rsid w:val="447AFF6E"/>
    <w:rsid w:val="457B5111"/>
    <w:rsid w:val="45AC6F0C"/>
    <w:rsid w:val="45B18EDA"/>
    <w:rsid w:val="45C8D088"/>
    <w:rsid w:val="45DD04EA"/>
    <w:rsid w:val="462195E8"/>
    <w:rsid w:val="46A71BF9"/>
    <w:rsid w:val="472425D8"/>
    <w:rsid w:val="476A6E97"/>
    <w:rsid w:val="476EE1AB"/>
    <w:rsid w:val="47E1F1B0"/>
    <w:rsid w:val="4844503E"/>
    <w:rsid w:val="48967B57"/>
    <w:rsid w:val="48ACCC61"/>
    <w:rsid w:val="48B87E14"/>
    <w:rsid w:val="4917AC6F"/>
    <w:rsid w:val="491E5042"/>
    <w:rsid w:val="498E1138"/>
    <w:rsid w:val="499F7C99"/>
    <w:rsid w:val="49C36150"/>
    <w:rsid w:val="49C714FB"/>
    <w:rsid w:val="49F7A2FB"/>
    <w:rsid w:val="4A22077C"/>
    <w:rsid w:val="4A70AC9A"/>
    <w:rsid w:val="4A781867"/>
    <w:rsid w:val="4A937C41"/>
    <w:rsid w:val="4AA0FB44"/>
    <w:rsid w:val="4B44880B"/>
    <w:rsid w:val="4B7C56F9"/>
    <w:rsid w:val="4BA656D6"/>
    <w:rsid w:val="4BDE45F0"/>
    <w:rsid w:val="4BDE9BC9"/>
    <w:rsid w:val="4BFAAEF8"/>
    <w:rsid w:val="4BFEB281"/>
    <w:rsid w:val="4C4D52A1"/>
    <w:rsid w:val="4CC432AE"/>
    <w:rsid w:val="4CDAEDCD"/>
    <w:rsid w:val="4CE64699"/>
    <w:rsid w:val="4CF7ABBE"/>
    <w:rsid w:val="4D989E89"/>
    <w:rsid w:val="4DC6E1BD"/>
    <w:rsid w:val="4DC8C05B"/>
    <w:rsid w:val="4F07C236"/>
    <w:rsid w:val="4F1C37E5"/>
    <w:rsid w:val="4F27C930"/>
    <w:rsid w:val="4F2B32DF"/>
    <w:rsid w:val="4F303BFB"/>
    <w:rsid w:val="4F916C9F"/>
    <w:rsid w:val="4F96BDC2"/>
    <w:rsid w:val="4FA1F11F"/>
    <w:rsid w:val="4FD82FEA"/>
    <w:rsid w:val="4FDAE60D"/>
    <w:rsid w:val="50269643"/>
    <w:rsid w:val="503EBE0A"/>
    <w:rsid w:val="506F01B8"/>
    <w:rsid w:val="50B9AA61"/>
    <w:rsid w:val="510FB2E9"/>
    <w:rsid w:val="514C12C8"/>
    <w:rsid w:val="51F168F0"/>
    <w:rsid w:val="5226C0E3"/>
    <w:rsid w:val="52319C8A"/>
    <w:rsid w:val="5243A5E7"/>
    <w:rsid w:val="52906FE6"/>
    <w:rsid w:val="52A9400F"/>
    <w:rsid w:val="52EB161F"/>
    <w:rsid w:val="52F5392D"/>
    <w:rsid w:val="5319CD6A"/>
    <w:rsid w:val="53744DA8"/>
    <w:rsid w:val="53776D56"/>
    <w:rsid w:val="53801EFB"/>
    <w:rsid w:val="53B539FB"/>
    <w:rsid w:val="541C4E3F"/>
    <w:rsid w:val="5426C008"/>
    <w:rsid w:val="54636FB9"/>
    <w:rsid w:val="547BF335"/>
    <w:rsid w:val="54812C56"/>
    <w:rsid w:val="54E19C93"/>
    <w:rsid w:val="553B9D08"/>
    <w:rsid w:val="553DA750"/>
    <w:rsid w:val="55567841"/>
    <w:rsid w:val="55621B4D"/>
    <w:rsid w:val="558498EA"/>
    <w:rsid w:val="558FE91E"/>
    <w:rsid w:val="55BC58FB"/>
    <w:rsid w:val="56271890"/>
    <w:rsid w:val="565DD9C8"/>
    <w:rsid w:val="56F4D366"/>
    <w:rsid w:val="57077264"/>
    <w:rsid w:val="5759AA43"/>
    <w:rsid w:val="57ECC1FF"/>
    <w:rsid w:val="58048AD7"/>
    <w:rsid w:val="584D6A79"/>
    <w:rsid w:val="5857830A"/>
    <w:rsid w:val="585B85FA"/>
    <w:rsid w:val="5907BD8D"/>
    <w:rsid w:val="591069D1"/>
    <w:rsid w:val="59219708"/>
    <w:rsid w:val="594711D7"/>
    <w:rsid w:val="594E802A"/>
    <w:rsid w:val="59B3A7B0"/>
    <w:rsid w:val="59B703C4"/>
    <w:rsid w:val="59C2D23B"/>
    <w:rsid w:val="59C7D34D"/>
    <w:rsid w:val="59F44656"/>
    <w:rsid w:val="5A56B5D6"/>
    <w:rsid w:val="5A8FC8F1"/>
    <w:rsid w:val="5AA5ECA0"/>
    <w:rsid w:val="5AACC307"/>
    <w:rsid w:val="5B153D38"/>
    <w:rsid w:val="5B3A8859"/>
    <w:rsid w:val="5B56F71F"/>
    <w:rsid w:val="5B7ACB61"/>
    <w:rsid w:val="5B8E915E"/>
    <w:rsid w:val="5BAEFF2B"/>
    <w:rsid w:val="5BCBE4EC"/>
    <w:rsid w:val="5BD10764"/>
    <w:rsid w:val="5C194471"/>
    <w:rsid w:val="5C24E930"/>
    <w:rsid w:val="5C30455F"/>
    <w:rsid w:val="5C70B1F7"/>
    <w:rsid w:val="5CA2CEA9"/>
    <w:rsid w:val="5D5E2EA6"/>
    <w:rsid w:val="5DFA3F01"/>
    <w:rsid w:val="5E58B0DE"/>
    <w:rsid w:val="5EC0E402"/>
    <w:rsid w:val="5EEA4D60"/>
    <w:rsid w:val="5F1BE1C6"/>
    <w:rsid w:val="5F2FEBB8"/>
    <w:rsid w:val="5F459C91"/>
    <w:rsid w:val="5FCFC7C2"/>
    <w:rsid w:val="6018F504"/>
    <w:rsid w:val="6033E429"/>
    <w:rsid w:val="6112050B"/>
    <w:rsid w:val="614B1C75"/>
    <w:rsid w:val="617F613E"/>
    <w:rsid w:val="62176609"/>
    <w:rsid w:val="62778E94"/>
    <w:rsid w:val="628300C4"/>
    <w:rsid w:val="62A550BD"/>
    <w:rsid w:val="62B5E514"/>
    <w:rsid w:val="62CBA83C"/>
    <w:rsid w:val="63068F04"/>
    <w:rsid w:val="633E26C2"/>
    <w:rsid w:val="63610392"/>
    <w:rsid w:val="638EAC1E"/>
    <w:rsid w:val="639D9CF4"/>
    <w:rsid w:val="63CD3818"/>
    <w:rsid w:val="63F58B7B"/>
    <w:rsid w:val="640A83C5"/>
    <w:rsid w:val="641162CB"/>
    <w:rsid w:val="6411E9A0"/>
    <w:rsid w:val="64236B62"/>
    <w:rsid w:val="64696CD9"/>
    <w:rsid w:val="646C49CB"/>
    <w:rsid w:val="64B11620"/>
    <w:rsid w:val="64B88D49"/>
    <w:rsid w:val="64F5EFED"/>
    <w:rsid w:val="64F760B6"/>
    <w:rsid w:val="6503208C"/>
    <w:rsid w:val="6535AB72"/>
    <w:rsid w:val="655B1950"/>
    <w:rsid w:val="656B23C4"/>
    <w:rsid w:val="65914EDC"/>
    <w:rsid w:val="65A32CBE"/>
    <w:rsid w:val="65BBDDFD"/>
    <w:rsid w:val="6603844B"/>
    <w:rsid w:val="66383708"/>
    <w:rsid w:val="66ABBBBF"/>
    <w:rsid w:val="66B28CC3"/>
    <w:rsid w:val="674AC2C6"/>
    <w:rsid w:val="675E89CB"/>
    <w:rsid w:val="6796B6CD"/>
    <w:rsid w:val="67E46C9E"/>
    <w:rsid w:val="67F7C705"/>
    <w:rsid w:val="682FAF5A"/>
    <w:rsid w:val="685F80D6"/>
    <w:rsid w:val="6884F854"/>
    <w:rsid w:val="68A2277D"/>
    <w:rsid w:val="68F4B185"/>
    <w:rsid w:val="6901293C"/>
    <w:rsid w:val="69224CB6"/>
    <w:rsid w:val="69619E20"/>
    <w:rsid w:val="69774BFA"/>
    <w:rsid w:val="6A0FEE76"/>
    <w:rsid w:val="6A14C117"/>
    <w:rsid w:val="6A163A7A"/>
    <w:rsid w:val="6AF0C68C"/>
    <w:rsid w:val="6AF4884D"/>
    <w:rsid w:val="6B27701D"/>
    <w:rsid w:val="6B420F8E"/>
    <w:rsid w:val="6C10D659"/>
    <w:rsid w:val="6C1ABB35"/>
    <w:rsid w:val="6C50F04E"/>
    <w:rsid w:val="6CF6BD29"/>
    <w:rsid w:val="6D2C07A3"/>
    <w:rsid w:val="6D762E26"/>
    <w:rsid w:val="6E5C805D"/>
    <w:rsid w:val="6E95BBE3"/>
    <w:rsid w:val="6F09E03F"/>
    <w:rsid w:val="6FA99C47"/>
    <w:rsid w:val="6FFA84F6"/>
    <w:rsid w:val="705AEABD"/>
    <w:rsid w:val="70A93F7D"/>
    <w:rsid w:val="70D44414"/>
    <w:rsid w:val="7132D4E2"/>
    <w:rsid w:val="7180BF40"/>
    <w:rsid w:val="71EC93BE"/>
    <w:rsid w:val="72BD7961"/>
    <w:rsid w:val="72D00B11"/>
    <w:rsid w:val="7301D728"/>
    <w:rsid w:val="73082C2A"/>
    <w:rsid w:val="7340AA5E"/>
    <w:rsid w:val="7353FA38"/>
    <w:rsid w:val="73590A55"/>
    <w:rsid w:val="735CB3AD"/>
    <w:rsid w:val="73AEC66A"/>
    <w:rsid w:val="73DFA702"/>
    <w:rsid w:val="73F3FA57"/>
    <w:rsid w:val="73F63F11"/>
    <w:rsid w:val="7404209D"/>
    <w:rsid w:val="7439582B"/>
    <w:rsid w:val="7440F118"/>
    <w:rsid w:val="74598ECB"/>
    <w:rsid w:val="74963BEC"/>
    <w:rsid w:val="749A7140"/>
    <w:rsid w:val="749F2E89"/>
    <w:rsid w:val="74A52153"/>
    <w:rsid w:val="74B90270"/>
    <w:rsid w:val="74C14185"/>
    <w:rsid w:val="74EF769F"/>
    <w:rsid w:val="75901928"/>
    <w:rsid w:val="75BB483C"/>
    <w:rsid w:val="75D5EC16"/>
    <w:rsid w:val="75ECAE4B"/>
    <w:rsid w:val="7625A942"/>
    <w:rsid w:val="7645C879"/>
    <w:rsid w:val="765BC842"/>
    <w:rsid w:val="76D4A3A7"/>
    <w:rsid w:val="76DE452C"/>
    <w:rsid w:val="775E49F4"/>
    <w:rsid w:val="776AF883"/>
    <w:rsid w:val="7786D912"/>
    <w:rsid w:val="779438FE"/>
    <w:rsid w:val="77A6AB64"/>
    <w:rsid w:val="781848D0"/>
    <w:rsid w:val="788DA539"/>
    <w:rsid w:val="78F61388"/>
    <w:rsid w:val="79397E37"/>
    <w:rsid w:val="793F336C"/>
    <w:rsid w:val="79570590"/>
    <w:rsid w:val="79663D8D"/>
    <w:rsid w:val="79664EED"/>
    <w:rsid w:val="7988A0F2"/>
    <w:rsid w:val="79A154AF"/>
    <w:rsid w:val="79A5C024"/>
    <w:rsid w:val="79D377C0"/>
    <w:rsid w:val="79DF0A50"/>
    <w:rsid w:val="79ED3AA3"/>
    <w:rsid w:val="7A16347B"/>
    <w:rsid w:val="7A363A7B"/>
    <w:rsid w:val="7A8A004F"/>
    <w:rsid w:val="7AB0D491"/>
    <w:rsid w:val="7AC09717"/>
    <w:rsid w:val="7AEC80BA"/>
    <w:rsid w:val="7C24CA06"/>
    <w:rsid w:val="7C4E5FFC"/>
    <w:rsid w:val="7C5C7A92"/>
    <w:rsid w:val="7C5F83B7"/>
    <w:rsid w:val="7C8B8C6D"/>
    <w:rsid w:val="7CBC1982"/>
    <w:rsid w:val="7CF0CBBA"/>
    <w:rsid w:val="7D30C271"/>
    <w:rsid w:val="7D8544CB"/>
    <w:rsid w:val="7DDB17D9"/>
    <w:rsid w:val="7E0E4129"/>
    <w:rsid w:val="7E1F2A0C"/>
    <w:rsid w:val="7F4775D9"/>
    <w:rsid w:val="7F506781"/>
    <w:rsid w:val="7F7FBD8F"/>
    <w:rsid w:val="7FA29903"/>
    <w:rsid w:val="7FE8457B"/>
    <w:rsid w:val="7FED6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D35AC"/>
  <w15:chartTrackingRefBased/>
  <w15:docId w15:val="{5DDB8BBF-31B7-4594-8F01-4345F1FD7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A16347B"/>
    <w:pPr>
      <w:ind w:left="720"/>
      <w:contextualSpacing/>
    </w:pPr>
  </w:style>
  <w:style w:type="paragraph" w:styleId="FootnoteText">
    <w:name w:val="footnote text"/>
    <w:basedOn w:val="Normal"/>
    <w:uiPriority w:val="99"/>
    <w:semiHidden/>
    <w:unhideWhenUsed/>
    <w:rsid w:val="7A16347B"/>
    <w:pPr>
      <w:spacing w:after="0" w:line="240" w:lineRule="auto"/>
    </w:pPr>
    <w:rPr>
      <w:sz w:val="20"/>
      <w:szCs w:val="20"/>
    </w:rPr>
  </w:style>
  <w:style w:type="character" w:styleId="FootnoteReference">
    <w:name w:val="footnote reference"/>
    <w:basedOn w:val="DefaultParagraphFont"/>
    <w:uiPriority w:val="99"/>
    <w:semiHidden/>
    <w:unhideWhenUsed/>
    <w:rsid w:val="7A16347B"/>
    <w:rPr>
      <w:vertAlign w:val="superscript"/>
    </w:r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D603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03B2"/>
  </w:style>
  <w:style w:type="paragraph" w:styleId="Footer">
    <w:name w:val="footer"/>
    <w:basedOn w:val="Normal"/>
    <w:link w:val="FooterChar"/>
    <w:uiPriority w:val="99"/>
    <w:semiHidden/>
    <w:unhideWhenUsed/>
    <w:rsid w:val="00D603B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603B2"/>
  </w:style>
  <w:style w:type="paragraph" w:styleId="CommentSubject">
    <w:name w:val="annotation subject"/>
    <w:basedOn w:val="CommentText"/>
    <w:next w:val="CommentText"/>
    <w:link w:val="CommentSubjectChar"/>
    <w:uiPriority w:val="99"/>
    <w:semiHidden/>
    <w:unhideWhenUsed/>
    <w:rsid w:val="002F2467"/>
    <w:rPr>
      <w:b/>
      <w:bCs/>
    </w:rPr>
  </w:style>
  <w:style w:type="character" w:customStyle="1" w:styleId="CommentSubjectChar">
    <w:name w:val="Comment Subject Char"/>
    <w:basedOn w:val="CommentTextChar"/>
    <w:link w:val="CommentSubject"/>
    <w:uiPriority w:val="99"/>
    <w:semiHidden/>
    <w:rsid w:val="002F2467"/>
    <w:rPr>
      <w:b/>
      <w:bCs/>
      <w:sz w:val="20"/>
      <w:szCs w:val="20"/>
    </w:rPr>
  </w:style>
  <w:style w:type="paragraph" w:styleId="Revision">
    <w:name w:val="Revision"/>
    <w:hidden/>
    <w:uiPriority w:val="99"/>
    <w:semiHidden/>
    <w:rsid w:val="000F59A4"/>
    <w:pPr>
      <w:spacing w:after="0" w:line="240" w:lineRule="auto"/>
    </w:pPr>
  </w:style>
  <w:style w:type="character" w:styleId="UnresolvedMention">
    <w:name w:val="Unresolved Mention"/>
    <w:basedOn w:val="DefaultParagraphFont"/>
    <w:uiPriority w:val="99"/>
    <w:semiHidden/>
    <w:unhideWhenUsed/>
    <w:rsid w:val="000F59A4"/>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binternet.ohchr.org/_layouts/15/treatybodyexternal/Download.aspx?symbolno=CERD%2FC%2FGBR%2FCO%2F24-26&amp;Lang=en"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hyperlink" Target="https://tbinternet.ohchr.org/_layouts/15/treatybodyexternal/Download.aspx?symbolno=CERD%2FC%2FGBR%2FFCO%2F24-26&amp;Lang=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w.org/news/2023/09/29/time-ban-facial-recognition-public-spaces-and-bord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Download.aspx?symbolno=CERD%2FC%2FGBR%2FCO%2F24-26&amp;Lang=en" TargetMode="External"/><Relationship Id="rId5" Type="http://schemas.openxmlformats.org/officeDocument/2006/relationships/styles" Target="styles.xml"/><Relationship Id="rId15" Type="http://schemas.openxmlformats.org/officeDocument/2006/relationships/hyperlink" Target="https://www.theguardian.com/technology/2026/feb/25/facial-recognition-error-prompts-police-to-arrest-asian-man-for-burglary-100-miles-away"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693002a4cdec734f4dff4149/1a_Cognitec_NPL_Equitability_Report_October_25.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files.justice.org.uk/wp-content/uploads/2025/06/15134343/People-need-legal-help-The-value-of-legal-representation-in-the-Windrush-Compensation-Scheme-June-2025-FINAL-DIGITAL.pdf" TargetMode="External"/><Relationship Id="rId13" Type="http://schemas.openxmlformats.org/officeDocument/2006/relationships/hyperlink" Target="https://www.judiciary.uk/wp-content/uploads/2026/02/R-Ammori-v-SSHD-OPEN-Judgment-final.pdf" TargetMode="External"/><Relationship Id="rId18" Type="http://schemas.openxmlformats.org/officeDocument/2006/relationships/hyperlink" Target="https://www.hrw.org/news/2024/02/12/human-rights-watch-submission-un-human-rights-committee-review-united-kingdom" TargetMode="External"/><Relationship Id="rId26" Type="http://schemas.openxmlformats.org/officeDocument/2006/relationships/hyperlink" Target="https://www.ohchr.org/sites/default/files/documents/issues/terrorism/sr/statements/20260115-un-sr-ct-submission-australia-hate-bill.pdf" TargetMode="External"/><Relationship Id="rId3" Type="http://schemas.openxmlformats.org/officeDocument/2006/relationships/hyperlink" Target="https://www.hrw.org/news/2024/02/12/human-rights-watch-submission-un-human-rights-committee-review-united-kingdom" TargetMode="External"/><Relationship Id="rId21" Type="http://schemas.openxmlformats.org/officeDocument/2006/relationships/hyperlink" Target="https://www.bbc.co.uk/news/uk-england-northamptonshire-66120010" TargetMode="External"/><Relationship Id="rId7" Type="http://schemas.openxmlformats.org/officeDocument/2006/relationships/hyperlink" Target="https://www.bailii.org/ew/cases/EWHC/Admin/2024/1281.html" TargetMode="External"/><Relationship Id="rId12" Type="http://schemas.openxmlformats.org/officeDocument/2006/relationships/hyperlink" Target="https://justice.org.uk/reports/justice-publishes-report-on-the-windrush-compensation-scheme-for-victims-of-the-windrush-scandal" TargetMode="External"/><Relationship Id="rId17" Type="http://schemas.openxmlformats.org/officeDocument/2006/relationships/hyperlink" Target="https://www.hrw.org/report/2026/01/08/silencing-the-streets/the-right-to-protest-under-attack-in-the-united-kingdom" TargetMode="External"/><Relationship Id="rId25" Type="http://schemas.openxmlformats.org/officeDocument/2006/relationships/hyperlink" Target="https://www.newarab.com/news/campaigners-slam-uk-government-threat-ban-palestine-protests" TargetMode="External"/><Relationship Id="rId2" Type="http://schemas.openxmlformats.org/officeDocument/2006/relationships/hyperlink" Target="https://www.theguardian.com/uk-news/2025/sep/05/windrush-chief-clive-foster-calls-for-urgent-reform-of-payouts-scheme" TargetMode="External"/><Relationship Id="rId16" Type="http://schemas.openxmlformats.org/officeDocument/2006/relationships/hyperlink" Target="https://www.amnesty.org/en/wp-content/uploads/2025/12/EUR4505402025ENGLISH.pdf" TargetMode="External"/><Relationship Id="rId20" Type="http://schemas.openxmlformats.org/officeDocument/2006/relationships/hyperlink" Target="https://committees.parliament.uk/oralevidence/13201/html/" TargetMode="External"/><Relationship Id="rId29" Type="http://schemas.openxmlformats.org/officeDocument/2006/relationships/hyperlink" Target="https://www.hrw.org/report/2026/01/08/silencing-the-streets/the-right-to-protest-under-attack-in-the-united-kingdom" TargetMode="External"/><Relationship Id="rId1" Type="http://schemas.openxmlformats.org/officeDocument/2006/relationships/hyperlink" Target="https://www.ohchr.org/en/meeting-summaries/2024/08/experts-committee-elimination-racial-discrimination-note-swift-response" TargetMode="External"/><Relationship Id="rId6" Type="http://schemas.openxmlformats.org/officeDocument/2006/relationships/hyperlink" Target="https://www.lag.org.uk/article/216842/labour-repeating-previous-government-s-mistakes-over-windrush-compensation-scheme" TargetMode="External"/><Relationship Id="rId11" Type="http://schemas.openxmlformats.org/officeDocument/2006/relationships/hyperlink" Target="https://www.gov.uk/government/news/15-million-fund-to-support-windrush-compensation-applicants" TargetMode="External"/><Relationship Id="rId24" Type="http://schemas.openxmlformats.org/officeDocument/2006/relationships/hyperlink" Target="https://www.hrw.org/report/2026/01/08/silencing-the-streets/the-right-to-protest-under-attack-in-the-united-kingdom" TargetMode="External"/><Relationship Id="rId5" Type="http://schemas.openxmlformats.org/officeDocument/2006/relationships/hyperlink" Target="https://assets.publishing.service.gov.uk/government/uploads/system/uploads/attachment_data/file/1099215/primary-claim-form-reader-extended-08-22.pdf" TargetMode="External"/><Relationship Id="rId15" Type="http://schemas.openxmlformats.org/officeDocument/2006/relationships/hyperlink" Target="https://www.ohchr.org/en/press-releases/2025/07/un-experts-urge-united-kingdom-not-misuse-terrorism-laws-against-protest" TargetMode="External"/><Relationship Id="rId23" Type="http://schemas.openxmlformats.org/officeDocument/2006/relationships/hyperlink" Target="https://palestinecampaign.org/wp-content/uploads/2026/01/20251208-Updated-Clause-124-Crime-and-Policing-Bill-Briefing-1.pdf" TargetMode="External"/><Relationship Id="rId28" Type="http://schemas.openxmlformats.org/officeDocument/2006/relationships/hyperlink" Target="https://bills.parliament.uk/publications/65802/documents/8138" TargetMode="External"/><Relationship Id="rId10" Type="http://schemas.openxmlformats.org/officeDocument/2006/relationships/hyperlink" Target="https://www.hrw.org/news/2025/09/18/uk-ombudsman-finds-flaws-in-windrush-compensation-scheme" TargetMode="External"/><Relationship Id="rId19" Type="http://schemas.openxmlformats.org/officeDocument/2006/relationships/hyperlink" Target="https://www.met.police.uk/SysSiteAssets/media/downloads/central/services/accessing-information/facial-recognition/met-evaluation-report.pdf" TargetMode="External"/><Relationship Id="rId4" Type="http://schemas.openxmlformats.org/officeDocument/2006/relationships/hyperlink" Target="https://docstore.ohchr.org/SelfServices/FilesHandler.ashx?enc=gFbouI24HnKMtUDN84zesR1xkHq7tbOwU%2BoNcLo9dohf0EuR274U49Njn9QMCqygtJBvGGE2DE%2BCJiau%2BUcx%2FWcdhTtcYe71Vv4OuK93uAs%3D" TargetMode="External"/><Relationship Id="rId9" Type="http://schemas.openxmlformats.org/officeDocument/2006/relationships/hyperlink" Target="https://www.ombudsman.org.uk/news-and-blog/news/windrush-compensation-scheme-improvements-called-after-another-family-impacted" TargetMode="External"/><Relationship Id="rId14" Type="http://schemas.openxmlformats.org/officeDocument/2006/relationships/hyperlink" Target="https://www.theguardian.com/uk-news/2026/feb/25/home-secretary-granted-permission-appeal-ruling-palestine-action-ban" TargetMode="External"/><Relationship Id="rId22" Type="http://schemas.openxmlformats.org/officeDocument/2006/relationships/hyperlink" Target="https://www.theguardian.com/technology/2023/oct/28/major-uk-retailers-urged-to-quit-authoritarian-police-facial-recognition-strategy" TargetMode="External"/><Relationship Id="rId27" Type="http://schemas.openxmlformats.org/officeDocument/2006/relationships/hyperlink" Target="https://www.bbc.com/news/articles/cj9pn2v7m2w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1DBDA03EB43740907623DFC47846DC" ma:contentTypeVersion="7" ma:contentTypeDescription="Create a new document." ma:contentTypeScope="" ma:versionID="6bfe3710eecba9d1af26860d4ac35e10">
  <xsd:schema xmlns:xsd="http://www.w3.org/2001/XMLSchema" xmlns:xs="http://www.w3.org/2001/XMLSchema" xmlns:p="http://schemas.microsoft.com/office/2006/metadata/properties" xmlns:ns2="52f15a5c-0824-42ed-8981-4ada24218652" targetNamespace="http://schemas.microsoft.com/office/2006/metadata/properties" ma:root="true" ma:fieldsID="f54c75932098f46ae830a5f6a39776e1" ns2:_="">
    <xsd:import namespace="52f15a5c-0824-42ed-8981-4ada242186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15a5c-0824-42ed-8981-4ada24218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D34C6E-C23D-4411-B682-72E82478E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f15a5c-0824-42ed-8981-4ada24218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C4D866-4C59-46C1-9531-3AA752767E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44A1B8-6FDB-4499-86C9-B3CDBBFA3B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8</Pages>
  <Words>2612</Words>
  <Characters>14892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Saligman</dc:creator>
  <cp:keywords/>
  <dc:description/>
  <cp:lastModifiedBy>Lindsay Saligman</cp:lastModifiedBy>
  <cp:revision>2</cp:revision>
  <dcterms:created xsi:type="dcterms:W3CDTF">2026-05-26T06:53:00Z</dcterms:created>
  <dcterms:modified xsi:type="dcterms:W3CDTF">2026-05-26T06:53:00Z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0x010100211DBDA03EB43740907623DFC47846DC</vt:lpwstr>
  </property>
</Properties>
</file>