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notes.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customXml/itemProps3.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cs="Times New Roman"/>
          <w:b/>
          <w:b/>
          <w:sz w:val="24"/>
          <w:szCs w:val="24"/>
          <w:lang w:val="es-UY"/>
        </w:rPr>
      </w:pPr>
      <w:r>
        <w:rPr/>
        <w:drawing>
          <wp:inline distT="0" distB="0" distL="0" distR="0">
            <wp:extent cx="2124075" cy="1466850"/>
            <wp:effectExtent l="0" t="0" r="0" b="0"/>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a:picLocks noChangeAspect="1" noChangeArrowheads="1"/>
                    </pic:cNvPicPr>
                  </pic:nvPicPr>
                  <pic:blipFill>
                    <a:blip r:embed="rId2"/>
                    <a:stretch>
                      <a:fillRect/>
                    </a:stretch>
                  </pic:blipFill>
                  <pic:spPr bwMode="auto">
                    <a:xfrm>
                      <a:off x="0" y="0"/>
                      <a:ext cx="2124075" cy="1466850"/>
                    </a:xfrm>
                    <a:prstGeom prst="rect">
                      <a:avLst/>
                    </a:prstGeom>
                  </pic:spPr>
                </pic:pic>
              </a:graphicData>
            </a:graphic>
          </wp:inline>
        </w:drawing>
        <mc:AlternateContent>
          <mc:Choice Requires="wps">
            <w:drawing>
              <wp:anchor behindDoc="1" distT="0" distB="0" distL="0" distR="0" simplePos="0" locked="0" layoutInCell="0" allowOverlap="1" relativeHeight="3">
                <wp:simplePos x="0" y="0"/>
                <wp:positionH relativeFrom="column">
                  <wp:posOffset>3232150</wp:posOffset>
                </wp:positionH>
                <wp:positionV relativeFrom="paragraph">
                  <wp:posOffset>1413510</wp:posOffset>
                </wp:positionV>
                <wp:extent cx="3128645" cy="264795"/>
                <wp:effectExtent l="0" t="0" r="0" b="0"/>
                <wp:wrapNone/>
                <wp:docPr id="2" name="Marco1"/>
                <a:graphic xmlns:a="http://schemas.openxmlformats.org/drawingml/2006/main">
                  <a:graphicData uri="http://schemas.microsoft.com/office/word/2010/wordprocessingShape">
                    <wps:wsp>
                      <wps:cNvSpPr/>
                      <wps:spPr>
                        <a:xfrm>
                          <a:off x="0" y="0"/>
                          <a:ext cx="3128040" cy="264240"/>
                        </a:xfrm>
                        <a:prstGeom prst="rect">
                          <a:avLst/>
                        </a:prstGeom>
                        <a:noFill/>
                        <a:ln w="0">
                          <a:noFill/>
                        </a:ln>
                      </wps:spPr>
                      <wps:style>
                        <a:lnRef idx="0"/>
                        <a:fillRef idx="0"/>
                        <a:effectRef idx="0"/>
                        <a:fontRef idx="minor"/>
                      </wps:style>
                      <wps:txbx>
                        <w:txbxContent>
                          <w:p>
                            <w:pPr>
                              <w:pStyle w:val="Msoaddress"/>
                              <w:widowControl w:val="false"/>
                              <w:rPr/>
                            </w:pPr>
                            <w:r>
                              <w:rPr>
                                <w:b/>
                                <w:bCs/>
                                <w:lang w:val="es-ES"/>
                              </w:rPr>
                              <w:t>Comisión del Sitio de Memoria “300 Carlos-Infierno grande”</w:t>
                            </w:r>
                          </w:p>
                        </w:txbxContent>
                      </wps:txbx>
                      <wps:bodyPr lIns="0" rIns="0" tIns="0" bIns="0" anchor="t">
                        <a:noAutofit/>
                      </wps:bodyPr>
                    </wps:wsp>
                  </a:graphicData>
                </a:graphic>
              </wp:anchor>
            </w:drawing>
          </mc:Choice>
          <mc:Fallback>
            <w:pict>
              <v:rect id="shape_0" ID="Marco1" path="m0,0l-2147483645,0l-2147483645,-2147483646l0,-2147483646xe" fillcolor="white" stroked="f" o:allowincell="f" style="position:absolute;margin-left:254.5pt;margin-top:111.3pt;width:246.25pt;height:20.75pt;mso-wrap-style:square;v-text-anchor:top">
                <v:fill o:detectmouseclick="t" type="solid" color2="black" opacity="0"/>
                <v:stroke color="#3465a4" joinstyle="round" endcap="flat"/>
                <v:textbox>
                  <w:txbxContent>
                    <w:p>
                      <w:pPr>
                        <w:pStyle w:val="Msoaddress"/>
                        <w:widowControl w:val="false"/>
                        <w:rPr/>
                      </w:pPr>
                      <w:r>
                        <w:rPr>
                          <w:b/>
                          <w:bCs/>
                          <w:lang w:val="es-ES"/>
                        </w:rPr>
                        <w:t>Comisión del Sitio de Memoria “300 Carlos-Infierno grande”</w:t>
                      </w:r>
                    </w:p>
                  </w:txbxContent>
                </v:textbox>
                <w10:wrap type="none"/>
              </v:rect>
            </w:pict>
          </mc:Fallback>
        </mc:AlternateContent>
        <w:drawing>
          <wp:anchor behindDoc="0" distT="0" distB="0" distL="0" distR="0" simplePos="0" locked="0" layoutInCell="0" allowOverlap="1" relativeHeight="5">
            <wp:simplePos x="0" y="0"/>
            <wp:positionH relativeFrom="column">
              <wp:posOffset>3202305</wp:posOffset>
            </wp:positionH>
            <wp:positionV relativeFrom="paragraph">
              <wp:posOffset>-72390</wp:posOffset>
            </wp:positionV>
            <wp:extent cx="2678430" cy="1384935"/>
            <wp:effectExtent l="0" t="0" r="0" b="0"/>
            <wp:wrapNone/>
            <wp:docPr id="4" name="Imagen 9" descr="IMG-20191012-WA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9" descr="IMG-20191012-WA0017"/>
                    <pic:cNvPicPr>
                      <a:picLocks noChangeAspect="1" noChangeArrowheads="1"/>
                    </pic:cNvPicPr>
                  </pic:nvPicPr>
                  <pic:blipFill>
                    <a:blip r:embed="rId3"/>
                    <a:stretch>
                      <a:fillRect/>
                    </a:stretch>
                  </pic:blipFill>
                  <pic:spPr bwMode="auto">
                    <a:xfrm>
                      <a:off x="0" y="0"/>
                      <a:ext cx="2678430" cy="1384935"/>
                    </a:xfrm>
                    <a:prstGeom prst="rect">
                      <a:avLst/>
                    </a:prstGeom>
                  </pic:spPr>
                </pic:pic>
              </a:graphicData>
            </a:graphic>
          </wp:anchor>
        </w:drawing>
      </w:r>
    </w:p>
    <w:p>
      <w:pPr>
        <w:pStyle w:val="Normal"/>
        <w:rPr>
          <w:rFonts w:ascii="Times New Roman" w:hAnsi="Times New Roman" w:cs="Times New Roman"/>
          <w:b/>
          <w:b/>
          <w:sz w:val="32"/>
          <w:szCs w:val="32"/>
          <w:lang w:val="es-UY"/>
        </w:rPr>
      </w:pPr>
      <w:r>
        <w:rPr>
          <w:rFonts w:cs="Times New Roman" w:ascii="Times New Roman" w:hAnsi="Times New Roman"/>
          <w:b/>
          <w:sz w:val="32"/>
          <w:szCs w:val="32"/>
          <w:lang w:val="es-UY"/>
        </w:rPr>
        <w:tab/>
        <w:tab/>
        <w:tab/>
        <w:tab/>
        <w:tab/>
        <w:tab/>
        <w:tab/>
      </w:r>
    </w:p>
    <w:p>
      <w:pPr>
        <w:pStyle w:val="Normal"/>
        <w:rPr>
          <w:rFonts w:ascii="Times New Roman" w:hAnsi="Times New Roman" w:cs="Times New Roman"/>
          <w:b/>
          <w:b/>
          <w:sz w:val="32"/>
          <w:szCs w:val="32"/>
          <w:lang w:val="es-UY"/>
        </w:rPr>
      </w:pPr>
      <w:r>
        <w:rPr>
          <w:rFonts w:cs="Times New Roman" w:ascii="Times New Roman" w:hAnsi="Times New Roman"/>
          <w:b/>
          <w:sz w:val="32"/>
          <w:szCs w:val="32"/>
          <w:lang w:val="es-UY"/>
        </w:rPr>
        <w:t xml:space="preserve">Comité de Derechos Humanos </w:t>
      </w:r>
    </w:p>
    <w:p>
      <w:pPr>
        <w:pStyle w:val="Normal"/>
        <w:rPr>
          <w:rFonts w:ascii="Times New Roman" w:hAnsi="Times New Roman" w:cs="Times New Roman"/>
          <w:sz w:val="32"/>
          <w:szCs w:val="32"/>
          <w:lang w:val="es-UY"/>
        </w:rPr>
      </w:pPr>
      <w:r>
        <w:rPr>
          <w:rFonts w:cs="Times New Roman" w:ascii="Times New Roman" w:hAnsi="Times New Roman"/>
          <w:sz w:val="32"/>
          <w:szCs w:val="32"/>
          <w:lang w:val="es-UY"/>
        </w:rPr>
        <w:t>135</w:t>
      </w:r>
      <w:r>
        <w:rPr>
          <w:rFonts w:cs="Times New Roman" w:ascii="Times New Roman" w:hAnsi="Times New Roman"/>
          <w:sz w:val="32"/>
          <w:szCs w:val="32"/>
          <w:u w:val="single"/>
          <w:vertAlign w:val="superscript"/>
          <w:lang w:val="es-UY"/>
        </w:rPr>
        <w:t>a</w:t>
      </w:r>
      <w:r>
        <w:rPr>
          <w:rFonts w:cs="Times New Roman" w:ascii="Times New Roman" w:hAnsi="Times New Roman"/>
          <w:sz w:val="32"/>
          <w:szCs w:val="32"/>
          <w:lang w:val="es-UY"/>
        </w:rPr>
        <w:t xml:space="preserve"> Sesión </w:t>
      </w:r>
      <w:r>
        <w:rPr>
          <w:rFonts w:cs="Times New Roman" w:ascii="Times New Roman" w:hAnsi="Times New Roman"/>
          <w:sz w:val="24"/>
          <w:szCs w:val="24"/>
          <w:lang w:val="es-UY"/>
        </w:rPr>
        <w:t>(27 de junio al 29 de julio de 2022)</w:t>
      </w:r>
    </w:p>
    <w:p>
      <w:pPr>
        <w:pStyle w:val="Normal"/>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rPr>
          <w:rFonts w:ascii="Times New Roman" w:hAnsi="Times New Roman" w:cs="Times New Roman"/>
          <w:b/>
          <w:b/>
          <w:sz w:val="28"/>
          <w:szCs w:val="28"/>
          <w:lang w:val="es-UY"/>
        </w:rPr>
      </w:pPr>
      <w:r>
        <w:rPr>
          <w:rFonts w:cs="Times New Roman" w:ascii="Times New Roman" w:hAnsi="Times New Roman"/>
          <w:b/>
          <w:sz w:val="28"/>
          <w:szCs w:val="28"/>
          <w:lang w:val="es-UY"/>
        </w:rPr>
        <w:t xml:space="preserve">Pacto Internacional de Derechos Civiles y Políticos </w:t>
      </w:r>
    </w:p>
    <w:p>
      <w:pPr>
        <w:pStyle w:val="Normal"/>
        <w:pBdr>
          <w:bottom w:val="single" w:sz="12" w:space="1" w:color="000000"/>
        </w:pBdr>
        <w:rPr>
          <w:rFonts w:ascii="Times New Roman" w:hAnsi="Times New Roman" w:cs="Times New Roman"/>
          <w:sz w:val="28"/>
          <w:szCs w:val="28"/>
          <w:lang w:val="es-UY"/>
        </w:rPr>
      </w:pPr>
      <w:r>
        <w:rPr>
          <w:rFonts w:cs="Times New Roman" w:ascii="Times New Roman" w:hAnsi="Times New Roman"/>
          <w:sz w:val="28"/>
          <w:szCs w:val="28"/>
          <w:lang w:val="es-UY"/>
        </w:rPr>
        <w:t>Revisión del Sexto informe periódico de Uruguay</w:t>
      </w:r>
    </w:p>
    <w:p>
      <w:pPr>
        <w:pStyle w:val="Normal"/>
        <w:pBdr>
          <w:bottom w:val="single" w:sz="12" w:space="1" w:color="000000"/>
        </w:pBdr>
        <w:rPr>
          <w:rFonts w:ascii="Times New Roman" w:hAnsi="Times New Roman" w:cs="Times New Roman"/>
          <w:sz w:val="28"/>
          <w:szCs w:val="28"/>
          <w:lang w:val="es-UY"/>
        </w:rPr>
      </w:pPr>
      <w:r>
        <w:rPr>
          <w:rFonts w:cs="Times New Roman" w:ascii="Times New Roman" w:hAnsi="Times New Roman"/>
          <w:sz w:val="28"/>
          <w:szCs w:val="28"/>
          <w:lang w:val="es-UY"/>
        </w:rPr>
      </w:r>
    </w:p>
    <w:p>
      <w:pPr>
        <w:pStyle w:val="Normal"/>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jc w:val="center"/>
        <w:rPr>
          <w:rFonts w:ascii="Times New Roman" w:hAnsi="Times New Roman" w:cs="Times New Roman"/>
          <w:b/>
          <w:b/>
          <w:sz w:val="40"/>
          <w:szCs w:val="40"/>
          <w:lang w:val="es-UY"/>
        </w:rPr>
      </w:pPr>
      <w:r>
        <w:rPr>
          <w:rFonts w:cs="Times New Roman" w:ascii="Times New Roman" w:hAnsi="Times New Roman"/>
          <w:b/>
          <w:sz w:val="40"/>
          <w:szCs w:val="40"/>
          <w:lang w:val="es-UY"/>
        </w:rPr>
        <w:t>Informe de la sociedad civil</w:t>
      </w:r>
    </w:p>
    <w:p>
      <w:pPr>
        <w:pStyle w:val="Normal"/>
        <w:ind w:left="-426" w:right="-563" w:hanging="0"/>
        <w:jc w:val="center"/>
        <w:rPr>
          <w:rFonts w:ascii="Times New Roman" w:hAnsi="Times New Roman" w:cs="Times New Roman"/>
          <w:sz w:val="26"/>
          <w:szCs w:val="26"/>
          <w:lang w:val="es-UY"/>
        </w:rPr>
      </w:pPr>
      <w:r>
        <w:rPr>
          <w:rFonts w:cs="Times New Roman" w:ascii="Times New Roman" w:hAnsi="Times New Roman"/>
          <w:sz w:val="26"/>
          <w:szCs w:val="26"/>
          <w:lang w:val="es-UY"/>
        </w:rPr>
        <w:t>Comisión del Sitio de Memoria “300 Carlos Infierno Grande”  | Comisión por la Memoria de los Fusilados de Soca</w:t>
      </w:r>
    </w:p>
    <w:p>
      <w:pPr>
        <w:pStyle w:val="Normal"/>
        <w:jc w:val="right"/>
        <w:rPr>
          <w:rFonts w:ascii="Times New Roman" w:hAnsi="Times New Roman" w:cs="Times New Roman"/>
          <w:sz w:val="24"/>
          <w:szCs w:val="24"/>
          <w:lang w:val="es-UY"/>
        </w:rPr>
      </w:pPr>
      <w:r>
        <w:rPr>
          <w:rFonts w:cs="Times New Roman" w:ascii="Times New Roman" w:hAnsi="Times New Roman"/>
          <w:sz w:val="24"/>
          <w:szCs w:val="24"/>
          <w:lang w:val="es-UY"/>
        </w:rPr>
        <w:t xml:space="preserve"> </w:t>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jc w:val="right"/>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shd w:val="clear" w:color="auto" w:fill="FFFFFF"/>
        <w:spacing w:lineRule="auto" w:line="240" w:before="0" w:after="0"/>
        <w:rPr>
          <w:rFonts w:ascii="Arial" w:hAnsi="Arial" w:eastAsia="Times New Roman" w:cs="Arial"/>
          <w:u w:val="single"/>
          <w:lang w:val="es-ES" w:eastAsia="es-UY"/>
        </w:rPr>
      </w:pPr>
      <w:r>
        <w:rPr>
          <w:rFonts w:eastAsia="Times New Roman" w:cs="Arial" w:ascii="Arial" w:hAnsi="Arial"/>
          <w:u w:val="single"/>
          <w:lang w:val="es-ES" w:eastAsia="es-UY"/>
        </w:rPr>
        <w:t>Comisión por la Memoria de los Fusilados de Soca.</w:t>
      </w:r>
    </w:p>
    <w:p>
      <w:pPr>
        <w:pStyle w:val="Normal"/>
        <w:shd w:val="clear" w:color="auto" w:fill="FFFFFF"/>
        <w:spacing w:lineRule="auto" w:line="240" w:before="0" w:after="0"/>
        <w:rPr>
          <w:rFonts w:ascii="Arial" w:hAnsi="Arial" w:eastAsia="Times New Roman" w:cs="Arial"/>
          <w:u w:val="single"/>
          <w:lang w:val="es-ES" w:eastAsia="es-UY"/>
        </w:rPr>
      </w:pPr>
      <w:hyperlink r:id="rId4">
        <w:r>
          <w:rPr>
            <w:rStyle w:val="EnlacedeInternet"/>
            <w:rFonts w:eastAsia="Times New Roman" w:cs="Arial" w:ascii="Arial" w:hAnsi="Arial"/>
            <w:lang w:val="es-ES" w:eastAsia="es-UY"/>
          </w:rPr>
          <w:t>com.memoriafusiladosdesoca@gmail.com</w:t>
        </w:r>
      </w:hyperlink>
      <w:r>
        <w:rPr>
          <w:rFonts w:eastAsia="Times New Roman" w:cs="Arial" w:ascii="Arial" w:hAnsi="Arial"/>
          <w:color w:val="222222"/>
          <w:lang w:val="es-ES" w:eastAsia="es-UY"/>
        </w:rPr>
        <w:br/>
        <w:t>Cel: (00598) 099389956 /099626977            </w:t>
      </w:r>
    </w:p>
    <w:p>
      <w:pPr>
        <w:pStyle w:val="Normal"/>
        <w:shd w:val="clear" w:color="auto" w:fill="FFFFFF"/>
        <w:spacing w:lineRule="auto" w:line="240" w:before="0" w:after="0"/>
        <w:rPr>
          <w:rFonts w:ascii="Arial" w:hAnsi="Arial" w:eastAsia="Times New Roman" w:cs="Arial"/>
          <w:u w:val="single"/>
          <w:lang w:val="es-ES" w:eastAsia="es-UY"/>
        </w:rPr>
      </w:pPr>
      <w:r>
        <w:rPr>
          <w:rFonts w:eastAsia="Times New Roman" w:cs="Arial" w:ascii="Arial" w:hAnsi="Arial"/>
          <w:u w:val="single"/>
          <w:lang w:val="es-ES" w:eastAsia="es-UY"/>
        </w:rPr>
      </w:r>
    </w:p>
    <w:p>
      <w:pPr>
        <w:pStyle w:val="Normal"/>
        <w:shd w:val="clear" w:color="auto" w:fill="FFFFFF"/>
        <w:spacing w:lineRule="auto" w:line="240" w:before="0" w:after="0"/>
        <w:rPr>
          <w:rFonts w:ascii="Arial" w:hAnsi="Arial" w:eastAsia="Times New Roman" w:cs="Arial"/>
          <w:u w:val="single"/>
          <w:lang w:val="es-ES" w:eastAsia="es-UY"/>
        </w:rPr>
      </w:pPr>
      <w:r>
        <w:rPr>
          <w:rFonts w:eastAsia="Times New Roman" w:cs="Arial" w:ascii="Arial" w:hAnsi="Arial"/>
          <w:color w:val="222222"/>
          <w:lang w:val="es-ES" w:eastAsia="es-UY"/>
        </w:rPr>
        <w:t xml:space="preserve">Comisión </w:t>
      </w:r>
      <w:r>
        <w:rPr>
          <w:rFonts w:eastAsia="Times New Roman" w:cs="Arial" w:ascii="Arial" w:hAnsi="Arial"/>
          <w:color w:val="222222"/>
          <w:lang w:val="es-ES" w:eastAsia="es-UY"/>
        </w:rPr>
        <w:t xml:space="preserve">del </w:t>
      </w:r>
      <w:r>
        <w:rPr>
          <w:rFonts w:eastAsia="Times New Roman" w:cs="Arial" w:ascii="Arial" w:hAnsi="Arial"/>
          <w:color w:val="222222"/>
          <w:lang w:val="es-ES" w:eastAsia="es-UY"/>
        </w:rPr>
        <w:t>Sitio de Memoria “300 Carlos”</w:t>
      </w:r>
    </w:p>
    <w:p>
      <w:pPr>
        <w:pStyle w:val="Normal"/>
        <w:shd w:val="clear" w:color="auto" w:fill="FFFFFF"/>
        <w:spacing w:lineRule="auto" w:line="240" w:before="0" w:after="0"/>
        <w:rPr>
          <w:rFonts w:ascii="Arial" w:hAnsi="Arial" w:eastAsia="Times New Roman" w:cs="Arial"/>
          <w:u w:val="single"/>
          <w:lang w:val="es-ES" w:eastAsia="es-UY"/>
        </w:rPr>
      </w:pPr>
      <w:r>
        <w:rPr>
          <w:rStyle w:val="EnlacedeInternet"/>
          <w:rFonts w:eastAsia="Times New Roman" w:cs="Arial" w:ascii="Arial" w:hAnsi="Arial"/>
          <w:color w:val="222222"/>
          <w:lang w:val="es-ES" w:eastAsia="es-UY"/>
        </w:rPr>
        <w:t>https://300carlosvirtual.uy/</w:t>
      </w:r>
    </w:p>
    <w:p>
      <w:pPr>
        <w:pStyle w:val="Normal"/>
        <w:shd w:val="clear" w:color="auto" w:fill="FFFFFF"/>
        <w:spacing w:lineRule="auto" w:line="240" w:before="0" w:after="0"/>
        <w:rPr>
          <w:rFonts w:ascii="Arial" w:hAnsi="Arial" w:eastAsia="Times New Roman" w:cs="Arial"/>
          <w:u w:val="single"/>
          <w:lang w:val="es-ES" w:eastAsia="es-UY"/>
        </w:rPr>
      </w:pPr>
      <w:r>
        <w:rPr>
          <w:rFonts w:eastAsia="Times New Roman" w:cs="Arial" w:ascii="Arial" w:hAnsi="Arial"/>
          <w:color w:val="222222"/>
          <w:lang w:val="es-ES" w:eastAsia="es-UY"/>
        </w:rPr>
        <w:t>sitiomemoria300carlos@gmail.com</w:t>
      </w:r>
    </w:p>
    <w:p>
      <w:pPr>
        <w:pStyle w:val="Normal"/>
        <w:shd w:val="clear" w:color="auto" w:fill="FFFFFF"/>
        <w:spacing w:lineRule="auto" w:line="240" w:before="0" w:after="0"/>
        <w:rPr>
          <w:rFonts w:ascii="Arial" w:hAnsi="Arial" w:eastAsia="Times New Roman" w:cs="Arial"/>
          <w:u w:val="single"/>
          <w:lang w:val="es-ES" w:eastAsia="es-UY"/>
        </w:rPr>
      </w:pPr>
      <w:r>
        <w:rPr>
          <w:rFonts w:eastAsia="Times New Roman" w:cs="Arial" w:ascii="Arial" w:hAnsi="Arial"/>
          <w:u w:val="single"/>
          <w:lang w:val="es-ES" w:eastAsia="es-UY"/>
        </w:rPr>
      </w:r>
    </w:p>
    <w:p>
      <w:pPr>
        <w:pStyle w:val="Normal"/>
        <w:rPr>
          <w:rFonts w:ascii="Times New Roman" w:hAnsi="Times New Roman" w:cs="Times New Roman"/>
          <w:lang w:val="es-UY"/>
        </w:rPr>
      </w:pPr>
      <w:r>
        <w:rPr>
          <w:rFonts w:cs="Times New Roman" w:ascii="Times New Roman" w:hAnsi="Times New Roman"/>
          <w:lang w:val="es-UY"/>
        </w:rPr>
      </w:r>
    </w:p>
    <w:p>
      <w:pPr>
        <w:pStyle w:val="Normal"/>
        <w:jc w:val="right"/>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jc w:val="right"/>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jc w:val="right"/>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tabs>
          <w:tab w:val="clear" w:pos="720"/>
          <w:tab w:val="right" w:pos="9360" w:leader="none"/>
        </w:tabs>
        <w:rPr>
          <w:rFonts w:ascii="Times New Roman" w:hAnsi="Times New Roman" w:cs="Times New Roman"/>
          <w:sz w:val="24"/>
          <w:szCs w:val="24"/>
          <w:lang w:val="es-UY"/>
        </w:rPr>
      </w:pPr>
      <w:r>
        <w:rPr>
          <w:rFonts w:cs="Times New Roman" w:ascii="Times New Roman" w:hAnsi="Times New Roman"/>
          <w:sz w:val="24"/>
          <w:szCs w:val="24"/>
          <w:lang w:val="es-UY"/>
        </w:rPr>
        <w:tab/>
        <w:t>30 de mayo de 2022.</w:t>
      </w:r>
    </w:p>
    <w:p>
      <w:pPr>
        <w:pStyle w:val="Normal"/>
        <w:tabs>
          <w:tab w:val="clear" w:pos="720"/>
          <w:tab w:val="right" w:pos="9360" w:leader="none"/>
        </w:tabs>
        <w:rPr>
          <w:rFonts w:ascii="Times New Roman" w:hAnsi="Times New Roman" w:cs="Times New Roman"/>
          <w:sz w:val="24"/>
          <w:szCs w:val="24"/>
          <w:lang w:val="es-UY"/>
        </w:rPr>
      </w:pPr>
      <w:r>
        <w:rPr>
          <w:rFonts w:cs="Times New Roman" w:ascii="Times New Roman" w:hAnsi="Times New Roman"/>
          <w:b/>
          <w:sz w:val="24"/>
          <w:szCs w:val="24"/>
          <w:lang w:val="es-UY"/>
        </w:rPr>
        <w:t xml:space="preserve">Prólogo al Informe </w:t>
      </w:r>
    </w:p>
    <w:p>
      <w:pPr>
        <w:pStyle w:val="Normal"/>
        <w:jc w:val="both"/>
        <w:rPr>
          <w:rFonts w:ascii="Times New Roman" w:hAnsi="Times New Roman" w:cs="Times New Roman"/>
          <w:b/>
          <w:b/>
          <w:sz w:val="24"/>
          <w:szCs w:val="24"/>
          <w:lang w:val="es-UY"/>
        </w:rPr>
      </w:pPr>
      <w:r>
        <w:rPr>
          <w:rFonts w:cs="Times New Roman" w:ascii="Times New Roman" w:hAnsi="Times New Roman"/>
          <w:b/>
          <w:sz w:val="24"/>
          <w:szCs w:val="24"/>
          <w:lang w:val="es-UY"/>
        </w:rPr>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t>1. La Comisión del Sitio de Memoria “300 Carlos Infierno Grande”  y la Comisión por la Memoria de los Fusilados de Soca presentan este informe para la 135.</w:t>
      </w:r>
      <w:r>
        <w:rPr>
          <w:rFonts w:cs="Times New Roman" w:ascii="Times New Roman" w:hAnsi="Times New Roman"/>
          <w:sz w:val="24"/>
          <w:szCs w:val="24"/>
          <w:u w:val="single"/>
          <w:vertAlign w:val="superscript"/>
          <w:lang w:val="es-UY"/>
        </w:rPr>
        <w:t>a</w:t>
      </w:r>
      <w:r>
        <w:rPr>
          <w:rFonts w:cs="Times New Roman" w:ascii="Times New Roman" w:hAnsi="Times New Roman"/>
          <w:sz w:val="24"/>
          <w:szCs w:val="24"/>
          <w:lang w:val="es-UY"/>
        </w:rPr>
        <w:t xml:space="preserve"> Sesión del Comité de Derechos Humanos, ocasión en que se examinará el Sexto Informe Periódico de Uruguay.</w:t>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t>2.</w:t>
      </w:r>
      <w:r>
        <w:rPr>
          <w:rFonts w:cs="Times New Roman" w:ascii="Times New Roman" w:hAnsi="Times New Roman"/>
          <w:sz w:val="24"/>
          <w:szCs w:val="24"/>
          <w:lang w:val="es-ES" w:eastAsia="es-ES"/>
        </w:rPr>
        <w:t xml:space="preserve">  </w:t>
      </w:r>
      <w:r>
        <w:rPr>
          <w:rFonts w:cs="Times New Roman" w:ascii="Times New Roman" w:hAnsi="Times New Roman"/>
          <w:sz w:val="24"/>
          <w:szCs w:val="24"/>
          <w:lang w:val="es-UY" w:eastAsia="es-ES"/>
        </w:rPr>
        <w:t xml:space="preserve"> La Comisión del Sitio de Memoria “300 Carlos Infierno Grande” se ocupa de difundir y promover la memoria sobre  violaciones graves a los Derechos Humanos perpetradas por el estado en el galpon N.º 4 predio del Servicio de Material y Armamento (SMA) y unidades militares vecinas, durante el terrorismo de estado.  En ese lugar,</w:t>
      </w:r>
      <w:r>
        <w:rPr>
          <w:rFonts w:cs="Times New Roman" w:ascii="Times New Roman" w:hAnsi="Times New Roman"/>
          <w:sz w:val="24"/>
          <w:szCs w:val="24"/>
          <w:lang w:val="es-ES" w:eastAsia="es-ES"/>
        </w:rPr>
        <w:t xml:space="preserve"> de modo  encubierto,   se produjo, entre 1975 y 1977 aproximadamente, la detención, tortura y en ocasiones la muerte, de un número de  prisioneros políticos aún no conocido.</w:t>
      </w:r>
      <w:r>
        <w:rPr>
          <w:rFonts w:cs="Times New Roman" w:ascii="Times New Roman" w:hAnsi="Times New Roman"/>
          <w:sz w:val="24"/>
          <w:szCs w:val="24"/>
          <w:lang w:val="es-UY" w:eastAsia="es-ES"/>
        </w:rPr>
        <w:t xml:space="preserve"> La citada Comisión Desarrolla investigaciones con grupos de resistentes y víctimas, así como actividades culturales en los barrios con comunidades afectadas,   en pro de la Verdad, la Justicia y «nunca más terrorismo de estado».</w:t>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t>3. La Comisión por la Memoria de los Fusilados de Soca tiene como objetivo recuperar, guardar y comunicar la memoria, la búsqueda de la verdad y el logro de la justicia por el fusilamiento de cinco personas uruguayas —tres estudiantes y dos obreros—: Floreal García, Mirtha Yolanda Hernández, Graciela Martha Estefanell, María de los Ángeles Corbo y Héctor Daniel Brum. Este asesinato es un ejemplo de los crímenes cometidos durante el Terrorismo de Estado, en Uruguay.</w:t>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t>4. Ambas organizaciones trabajan sobre tres ejes: la verdad, la justicia y la búsqueda de las personas detenidas desaparecidas. Estos ejes son fundamentales para mejorar la convivencia entre los uruguayos y las uruguayas, porque la que existe actualmente, está profundamente surcada por la tristeza, la desesperanza y el sufrimiento ante la impunidad que cubre lo ocurrido. Víctimas, familiares y miles de uruguayos resisten la injusta situación de que se les niegue sistemáticamente la Verdad y la Justicia y se les dificulte la búsqueda de información sobre las personas detenidas desaparecidas.</w:t>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t>5. Este informe es el resultado del proceso de diálogo e intercambio entre organizaciones de la sociedad civil impulsado por la Asociación Nacional de Organizaciones No Gubernamentales Orientadas al Desarrollo (ANONG). Dicho proceso tuvo por objetivo contribuir al fortalecimiento de la sociedad civil a través del desarrollo de capacidades para el seguimiento de las recomendaciones realizadas al Estado en virtud del seguimiento al Pacto, la participación y la articulación de las organizaciones para la producción de informes, la incidencia y el diálogo con el Estado.</w:t>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t xml:space="preserve">6. El objetivo de este informe es contribuir al fortalecimiento del Estado de Derecho y a la protección efectiva de los derechos civiles y políticos en el país y responde, desde la perspectiva de la sociedad civil, a algunas de las consultas realizadas en la Lista de cuestiones (CCPR/C/URY/QPR/6). </w:t>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t>7. Las organizaciones expresan su satisfacción por los logros alcanzados por el Estado en varios aspectos y señalan otros sobre los que aún es necesario avanzar, a efectos de garantizar el pleno ejercicio de los derechos.</w:t>
      </w:r>
    </w:p>
    <w:p>
      <w:pPr>
        <w:pStyle w:val="Normal"/>
        <w:jc w:val="both"/>
        <w:rPr>
          <w:rFonts w:ascii="Times New Roman" w:hAnsi="Times New Roman" w:cs="Times New Roman"/>
          <w:sz w:val="24"/>
          <w:szCs w:val="24"/>
          <w:lang w:val="es-UY"/>
        </w:rPr>
      </w:pPr>
      <w:r>
        <w:rPr>
          <w:rFonts w:cs="Times New Roman" w:ascii="Times New Roman" w:hAnsi="Times New Roman"/>
          <w:sz w:val="24"/>
          <w:szCs w:val="24"/>
          <w:lang w:val="es-UY"/>
        </w:rPr>
      </w:r>
    </w:p>
    <w:p>
      <w:pPr>
        <w:pStyle w:val="Normal"/>
        <w:ind w:right="146" w:hanging="0"/>
        <w:jc w:val="both"/>
        <w:rPr>
          <w:rFonts w:ascii="Times New Roman" w:hAnsi="Times New Roman" w:cs="Times New Roman"/>
          <w:b/>
          <w:b/>
          <w:sz w:val="24"/>
          <w:szCs w:val="24"/>
          <w:lang w:val="es-UY"/>
        </w:rPr>
      </w:pPr>
      <w:r>
        <w:rPr>
          <w:rFonts w:cs="Times New Roman" w:ascii="Times New Roman" w:hAnsi="Times New Roman"/>
          <w:b/>
          <w:sz w:val="24"/>
          <w:szCs w:val="24"/>
          <w:lang w:val="es-UY"/>
        </w:rPr>
        <w:t>B. Información específica sobre la implementación de los artículos 1 a 27 del Pacto, incluyendo en relación a las recomendaciones anteriores del Comité</w:t>
      </w:r>
    </w:p>
    <w:p>
      <w:pPr>
        <w:pStyle w:val="H23G"/>
        <w:ind w:left="0" w:right="146" w:hanging="0"/>
        <w:jc w:val="both"/>
        <w:rPr/>
      </w:pPr>
      <w:r>
        <w:rPr/>
        <w:t>Lucha contra la impunidad y medidas de reparación en relación con las graves violaciones de derechos humanos ocurridas durante la dictadura (arts. 2, 6, 7, 9 y 14)</w:t>
      </w:r>
    </w:p>
    <w:p>
      <w:pPr>
        <w:pStyle w:val="Normal"/>
        <w:ind w:right="146" w:hanging="0"/>
        <w:rPr>
          <w:rFonts w:ascii="Times New Roman" w:hAnsi="Times New Roman" w:cs="Times New Roman"/>
          <w:b/>
          <w:b/>
          <w:i/>
          <w:i/>
          <w:sz w:val="24"/>
          <w:szCs w:val="24"/>
          <w:lang w:val="es-ES" w:eastAsia="es-ES"/>
        </w:rPr>
      </w:pPr>
      <w:r>
        <w:rPr>
          <w:rFonts w:cs="Times New Roman" w:ascii="Times New Roman" w:hAnsi="Times New Roman"/>
          <w:b/>
          <w:i/>
          <w:sz w:val="24"/>
          <w:szCs w:val="24"/>
          <w:lang w:val="es-ES" w:eastAsia="es-ES"/>
        </w:rPr>
        <w:t xml:space="preserve">Respuestas al párrafo 17 de la lista de cuestiones </w:t>
      </w:r>
    </w:p>
    <w:p>
      <w:pPr>
        <w:pStyle w:val="Normal"/>
        <w:ind w:right="146" w:hanging="0"/>
        <w:rPr>
          <w:rFonts w:ascii="Times New Roman" w:hAnsi="Times New Roman" w:cs="Times New Roman"/>
          <w:sz w:val="24"/>
          <w:szCs w:val="24"/>
          <w:lang w:val="es-ES" w:eastAsia="es-ES"/>
        </w:rPr>
      </w:pPr>
      <w:r>
        <w:rPr>
          <w:rFonts w:cs="Times New Roman" w:ascii="Times New Roman" w:hAnsi="Times New Roman"/>
          <w:sz w:val="24"/>
          <w:szCs w:val="24"/>
          <w:lang w:val="es-ES" w:eastAsia="es-ES"/>
        </w:rPr>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8. Uruguay arribó a la reapertura democrática en 1985, tras la dictadura cívico-militar que comenzó con el golpe de Estado de 1973. Con tibios avances en materia de justicia transicional, el Estado ha sido reiteradamente observado por los sistemas internacional y nacional de protección de los derechos humanos, debido al incumplimiento de sus obligaciones en la materia. Esto incluye dos sentencias de la Corte Interamericana de Derechos Humanos (casos </w:t>
      </w:r>
      <w:r>
        <w:rPr>
          <w:rFonts w:cs="Times New Roman" w:ascii="Times New Roman" w:hAnsi="Times New Roman"/>
          <w:i/>
          <w:sz w:val="24"/>
          <w:szCs w:val="24"/>
          <w:lang w:val="es-ES" w:eastAsia="es-ES"/>
        </w:rPr>
        <w:t>Gelman vs Uruguay</w:t>
      </w:r>
      <w:r>
        <w:rPr>
          <w:rFonts w:cs="Times New Roman" w:ascii="Times New Roman" w:hAnsi="Times New Roman"/>
          <w:sz w:val="24"/>
          <w:szCs w:val="24"/>
          <w:lang w:val="es-ES" w:eastAsia="es-ES"/>
        </w:rPr>
        <w:t xml:space="preserve">, con Sentencia de fondo y reparaciones de fecha 24/02/2011 y </w:t>
      </w:r>
      <w:r>
        <w:rPr>
          <w:rFonts w:cs="Times New Roman" w:ascii="Times New Roman" w:hAnsi="Times New Roman"/>
          <w:i/>
          <w:sz w:val="24"/>
          <w:szCs w:val="24"/>
          <w:lang w:val="es-ES" w:eastAsia="es-ES"/>
        </w:rPr>
        <w:t>Maidanik y otros vs Uruguay</w:t>
      </w:r>
      <w:r>
        <w:rPr>
          <w:rFonts w:cs="Times New Roman" w:ascii="Times New Roman" w:hAnsi="Times New Roman"/>
          <w:sz w:val="24"/>
          <w:szCs w:val="24"/>
          <w:lang w:val="es-ES" w:eastAsia="es-ES"/>
        </w:rPr>
        <w:t>, con Sentencia de fondo de 15/11/2021) que condenan al Estado por violaciones a los derechos humanos cometidas durante el terrorismo de Estado y posteriores incumplimientos en las obligaciones de investigar y sancionar a los responsables de dichos crímenes, así como de reparar a sus víctimas. La última de las sentencias es de 2021, lo que refleja que los incumplimientos persisten en la actualidad.</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9. La sentencia de la Corte IDH en el caso </w:t>
      </w:r>
      <w:r>
        <w:rPr>
          <w:rFonts w:cs="Times New Roman" w:ascii="Times New Roman" w:hAnsi="Times New Roman"/>
          <w:i/>
          <w:sz w:val="24"/>
          <w:szCs w:val="24"/>
          <w:lang w:val="es-ES" w:eastAsia="es-ES"/>
        </w:rPr>
        <w:t>Gelman vs. Uruguay</w:t>
      </w:r>
      <w:r>
        <w:rPr>
          <w:rFonts w:cs="Times New Roman" w:ascii="Times New Roman" w:hAnsi="Times New Roman"/>
          <w:sz w:val="24"/>
          <w:szCs w:val="24"/>
          <w:lang w:val="es-ES" w:eastAsia="es-ES"/>
        </w:rPr>
        <w:t xml:space="preserve"> incluye un conjunto de resoluciones referidas a la familia Gelman y otro, más amplio, que obliga al Estado a: i) garantizar que la Ley de Caducidad de la Pretensión Punitiva del Estado no sea —en adelante— un obstáculo para investigar los hechos ocurridos ni para la identificación y, si procediera, la sanción a los responsables (punto resolutivo 11); ii) implementar, con la respectiva asignación presupuestaria, un programa permanente de derechos humanos dirigido a operadores del Ministerio Público y del Poder Judicial (punto resolutivo 15); iii) adoptar, en el plazo de dos años, medidas pertinentes para garantizar el acceso técnico y sistematizado a información acerca de las graves violaciones de derechos humanos ocurridas durante la dictadura, que reposa en archivos estatales (punto resolutivo 16).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10. La Corte IDH emitió, el 19 de noviembre de 2020, la segunda Resolución de Supervisión de Cumplimiento de Sentencia relativa al caso </w:t>
      </w:r>
      <w:r>
        <w:rPr>
          <w:rFonts w:cs="Times New Roman" w:ascii="Times New Roman" w:hAnsi="Times New Roman"/>
          <w:i/>
          <w:sz w:val="24"/>
          <w:szCs w:val="24"/>
          <w:lang w:val="es-ES" w:eastAsia="es-ES"/>
        </w:rPr>
        <w:t xml:space="preserve">Gelman vs. Uruguay, </w:t>
      </w:r>
      <w:r>
        <w:rPr>
          <w:rFonts w:cs="Times New Roman" w:ascii="Times New Roman" w:hAnsi="Times New Roman"/>
          <w:sz w:val="24"/>
          <w:szCs w:val="24"/>
          <w:lang w:val="es-ES" w:eastAsia="es-ES"/>
        </w:rPr>
        <w:t xml:space="preserve">que mantiene observaciones e indica que el Estado solamente ha dado cumplimiento parcial a dichas resoluciones.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11. Resulta especialmente relevante señalar que en la Sentencia de fondo y reparaciones, el  Estado ha sido compelido a presentar «[…] información detallada sobre cómo implementará un plan integral de desclasificación, sistematización y digitalización de archivos, el equipo humano que estará a cargo del mismo y el presupuesto con el que contará, debiendo informar un cronograma que detalle cuáles archivos son los que aún no se encuentran accesibles y en qué tiempo podrán ser incorporados en poder de la institución encargada de administrarlos». Sin embargo, a la fecha persisten las inexactitudes, las dificultades de acceso a la información veraz sobre las violaciones a los derechos humanos perpetradas por militares y policías durante el período comprendido entre 1968 y 1985, porque hasta ahora guardan silencio o proporcionan informaciones falsas, además de que nunca fueron sancionados por ello.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12. Por su parte, diversos órganos de control de los tratados de derechos humanos, así como otros mecanismos extraconvencionales han observado y recomendado reiteradamente que Uruguay debe avanzar en sus políticas de verdad, justicia, reparación y garantías de no repetición, en relación con las violaciones de los derechos humanos cometidas durante la dictadura cívico-militar (Comité contra la Tortura, 2022 y 2014; Examen Periódico Universal, 2019; CEDAW, 2016; Relator Especial sobre la promoción de la verdad, la justicia, la reparación y las garantías de no repetición, 2014; Comité de Derechos Humanos, 2013; Relator Especial sobre la tortura y otros tratos o penas crueles, inhumanos o degradantes, 2010).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13. Floreal García, Mirtha Yolanda Hernández, Graciela Martha Estefanell, María de los Ángeles Corbo y Héctor Daniel Brum fueron víctimas de la violación integral de derechos humanos. Este caso paradigmático es referencia de la impunidad que impera en Uruguay: ocurrió hace 49 años y, como la mayoría de los casos que se encuentran en el ámbito de la Justicia, no ha avanzado en su investigación.</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14. El 8 de noviembre de 1974, represores argentinos y uruguayos les secuestraron de sus casas en Buenos Aires, robaron todas sus pertenencias, destrozaron sus viviendas, les trasladaron y reubicaron en tres centros clandestinos de detención. En ese contexto también se llevaron detenido a Amaral García, un niño de 3 años, hijo de Floreal García y Yolanda Hernández quien vivió, hasta sus 14 años, apropiado por militares argentinos. Fue recuperado y devuelto a su familia uruguaya en 1985.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15. En los tres centros clandestinos de detención en Argentina, estas personas fueron torturadas brutalmente: hay un testigo. Luego, fueron trasladadas a Montevideo donde las mantuvieron en el centro clandestino de detención y tortura conocido como la </w:t>
      </w:r>
      <w:r>
        <w:rPr>
          <w:rFonts w:cs="Times New Roman" w:ascii="Times New Roman" w:hAnsi="Times New Roman"/>
          <w:i/>
          <w:sz w:val="24"/>
          <w:szCs w:val="24"/>
          <w:lang w:val="es-ES" w:eastAsia="es-ES"/>
        </w:rPr>
        <w:t>Casona de Punta Gorda</w:t>
      </w:r>
      <w:r>
        <w:rPr>
          <w:rFonts w:cs="Times New Roman" w:ascii="Times New Roman" w:hAnsi="Times New Roman"/>
          <w:sz w:val="24"/>
          <w:szCs w:val="24"/>
          <w:lang w:val="es-ES" w:eastAsia="es-ES"/>
        </w:rPr>
        <w:t xml:space="preserve"> y, el 20 de diciembre de 1974, fueron fusiladas por la espalda en una cuneta de una ruta secundaria de Capilla Cella, en Canelones. Sus cuerpos destrozados, semidesnudos y quemados por cigarrillos fueron entregados a sus familias en la morgue del cementerio de Soca, en Canelones. El médico presente había redactado el certificado de defunción, donde decía que la causa del deceso era por muerte natural. Los familiares rechazaron el certificado y éste lo corrigió por «herida de bala». No consta que las heridas de bala fueron múltiples. El informe técnico de la Policía dice que encontraron más de un kilo de casquillos de municiones de diferente calibre en el lugar del asesinato.</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16. A pesar de la gravedad de las situaciones denunciadas, en Uruguay a nivel judicial (Suprema Corte de Justicia) se sigue discutiendo, caso a caso, si este actos son o no, crímenes de lesa humanidad o delitos ordinarios, sometidos al régimen común de prescripción.</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17. La causa judicial iniciada en 1974 no tuvo movimiento bajo el gobierno cívico-militar. Posteriormente, a partir de 1986, quedó comprendida en la Ley N° 15.848 de Caducidad de la Pretensión Punitiva del Estado, que impidió la investigación. En el año 2006, cuando se retomó la investigación, el expediente original había desaparecido, por lo que se debió iniciar una nueva investigación</w:t>
      </w:r>
      <w:r>
        <w:rPr>
          <w:rStyle w:val="Ancladenotaalpie"/>
          <w:rFonts w:cs="Times New Roman" w:ascii="Times New Roman" w:hAnsi="Times New Roman"/>
          <w:sz w:val="24"/>
          <w:szCs w:val="24"/>
          <w:lang w:val="es-ES" w:eastAsia="es-ES"/>
        </w:rPr>
        <w:footnoteReference w:id="2"/>
      </w:r>
      <w:r>
        <w:rPr>
          <w:rFonts w:cs="Times New Roman" w:ascii="Times New Roman" w:hAnsi="Times New Roman"/>
          <w:sz w:val="24"/>
          <w:szCs w:val="24"/>
          <w:lang w:val="es-ES" w:eastAsia="es-ES"/>
        </w:rPr>
        <w:t xml:space="preserve">.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18. A lo largo de los años, y en virtud de la inacción estatal, la recolección de evidencia ha estado a cargo de la sociedad civil (Comisión por la Memoria de los Fusilados de Soca).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19. Finalmente, mucho de lo que se sabe de la verdad acerca del crimen fue publicado, por la Comisión por la Memoria de los Fusilados de Soca, en dos libros: uno trasmite las vivencias de un testigo sobreviviente y el otro, un testimonio valiosísimo conseguido durante una investigación, que conforma parte del trabajo permanente de profesionales que eligen dedicar su tiempo a buscar la verdad. Esta investigación, permitió conocer el lugar exacto donde ocurrió el asesinato y se anexa a este informe. </w:t>
      </w:r>
    </w:p>
    <w:p>
      <w:pPr>
        <w:pStyle w:val="Normal"/>
        <w:ind w:right="146" w:hanging="0"/>
        <w:jc w:val="both"/>
        <w:rPr>
          <w:rFonts w:ascii="Times New Roman" w:hAnsi="Times New Roman" w:cs="Times New Roman"/>
          <w:sz w:val="24"/>
          <w:szCs w:val="24"/>
          <w:lang w:val="es-UY" w:eastAsia="es-ES"/>
        </w:rPr>
      </w:pPr>
      <w:r>
        <w:rPr>
          <w:rFonts w:cs="Times New Roman" w:ascii="Times New Roman" w:hAnsi="Times New Roman"/>
          <w:sz w:val="24"/>
          <w:szCs w:val="24"/>
          <w:lang w:val="es-ES" w:eastAsia="es-ES"/>
        </w:rPr>
        <w:t>20. Recientemente, el Comité contra la Tortura, en sus Observaciones finales sobre el cuarto informe periódico de Uruguay (Sesión 1909ª, 12 de mayo de 2022) señaló que el Estado debe: «a) Redoblar sus esfuerzos para investigar todas las denuncias de tortura cometidas en el territorio bajo su jurisdicción durante el período del 13 de junio de 1968 al 28 de febrero de 1985; b) Asegurar que ninguna de las violaciones graves de derechos humanos perpetrada durante este periodo quede impune. En particular, el Estado parte debe velar por que tanto la legislación nacional como las interpretaciones judiciales no permitan que las violaciones graves de derechos humanos, incluidos los actos de tortura y las desapariciones forzadas, estén sujetos a prescripción, amnistía e inmunidades. El Estado parte debe velar por que las penas de prisión impuestas a los autores de las violaciones graves de derechos humanos sean proporcionadas a la gravedad de los hechos y efectivamente cumplidas en los centros penitenciarios; c) Proporcionar reparación adecuada a todas las personas que sufrieron violaciones graves de derechos humanos en el territorio bajo su jurisdicción durante el periodo del 13 de junio de 1968 al 28 de febrero de 1985.»</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21.</w:t>
      </w:r>
      <w:r>
        <w:rPr>
          <w:rFonts w:cs="Times New Roman" w:ascii="Times New Roman" w:hAnsi="Times New Roman"/>
          <w:sz w:val="24"/>
          <w:szCs w:val="24"/>
          <w:lang w:val="es-UY" w:eastAsia="es-ES"/>
        </w:rPr>
        <w:t xml:space="preserve"> </w:t>
      </w:r>
      <w:r>
        <w:rPr>
          <w:rFonts w:cs="Times New Roman" w:ascii="Times New Roman" w:hAnsi="Times New Roman"/>
          <w:sz w:val="24"/>
          <w:szCs w:val="24"/>
          <w:lang w:val="es-ES" w:eastAsia="es-ES"/>
        </w:rPr>
        <w:t>La búsqueda de las 192 personas detenidas desaparecidas en el Uruguay entre 1973 y 1985, lleva más de cuatro décadas. A la fecha se han encontrado e identificado los restos de solo cinco personas: Ubagesner Chávez Sosa, militante comunista, detenido en Montevideo el 28/05/1976, cuyos restos, hallados en una unidad de la Fuerza Aérea, fueron identificados el 24/01/2006; Fernando Miranda, militante comunista, detenido en Montevideo el 30/11/1975, cuyos restos recuperados en el ex Batallón 13 de Infantería, fueron identificados el 01/03/2006; Julio Castro, militante del Grupo de Independientes del Frente Amplio, detenido en Montevideo el 01/08/1977, cuyos restos recuperados en el Batallón 14  de Paracaidistas,  fueron identificados el 01/12/2011; Ricardo Blanco Valiente, militante del Partido Comunista Revolucionario (PCR), detenido en Montevideo el 15/01/1978, cuyos restos recuperados en el Batallón 14 de Paracaidistas,  fueron identificados el 17/04/2012; Eduardo Bleier Horovitz, detenido en Montevideo, en el 19/10/1975, cuyos restos fueron hallados el 28/08/2019 en el Batallón 13 de Infantería. A su vez, en proximidades de los dos hallazgos mencionados en último término,  fueron recuperados —pero no identificados— dos fragmentos óseos humanos aislados.</w:t>
      </w:r>
    </w:p>
    <w:p>
      <w:pPr>
        <w:pStyle w:val="Normal"/>
        <w:ind w:right="146" w:hanging="0"/>
        <w:jc w:val="both"/>
        <w:rPr>
          <w:rFonts w:ascii="Times New Roman" w:hAnsi="Times New Roman" w:cs="Times New Roman"/>
          <w:sz w:val="24"/>
          <w:szCs w:val="24"/>
          <w:lang w:val="es-UY"/>
        </w:rPr>
      </w:pPr>
      <w:r>
        <w:rPr>
          <w:rFonts w:cs="Times New Roman" w:ascii="Times New Roman" w:hAnsi="Times New Roman"/>
          <w:sz w:val="24"/>
          <w:szCs w:val="24"/>
          <w:lang w:val="es-ES" w:eastAsia="es-ES"/>
        </w:rPr>
        <w:t>22. Los hallazgos de Eduardo Bleier y Fernando Miranda están relacionados con el “Centro Clandestino de Detención y Tortura 300 Carlos.    En ese lugar desparecieron  los militantes Carlos Arévalo, Eduardo Bleier, Juan Manuel Brieba, Julio Correa, Julio Escudero, Fernando Miranda, Otermin Montes de Oca y Elena Quinteros.   No se ha verificado ningún avance hacia la verdad y la justicia de lo que ocurrió. Otras investigaciones señalan al entonces Batallón de Infantería Nro. 13 como posible lugar de destino de los restos de las personas referidas, así como de Nebio Melo Cuesta, María Claudia García, Amelia Sanjurjo, Julio Correa Rodríguez, Oscar Tassino, Oscar Baliñas y Luis Eduardo González . El “300 Carlos” es paradigmático, identificado por las víctimas, dentro del SMA, conserva rasgos que reviven la memoria de los sobrevivientes. Formó parte del llamado “circuito OCOA</w:t>
      </w:r>
      <w:r>
        <w:rPr>
          <w:rStyle w:val="Ancladenotaalpie"/>
          <w:rFonts w:cs="Times New Roman" w:ascii="Times New Roman" w:hAnsi="Times New Roman"/>
          <w:sz w:val="24"/>
          <w:szCs w:val="24"/>
          <w:lang w:val="es-ES" w:eastAsia="es-ES"/>
        </w:rPr>
        <w:footnoteReference w:id="3"/>
      </w:r>
      <w:r>
        <w:rPr>
          <w:rFonts w:cs="Times New Roman" w:ascii="Times New Roman" w:hAnsi="Times New Roman"/>
          <w:sz w:val="24"/>
          <w:szCs w:val="24"/>
          <w:lang w:val="es-ES" w:eastAsia="es-ES"/>
        </w:rPr>
        <w:t>” durante el terrorismo de estado, junto a otros centros como “La Tablada”, el 300 Carlos R o “infierno chico” y la llamada “Cárcel del Pueblo</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23. Pasaron 20 años entre la reapertura democrática, y el hallazgo del primer cuerpo. Para los restantes 187 casos la búsqueda sigue el proceso azaroso de pistas confusas —incluso falsas— a lo que se suma el silencio expreso de los militares. Sin embargo, hay retenida información útil a la búsqueda, tanto entre miembros de la oficialidad como del personal subalterno de la época, que el Ministerio de Defensa Nacional no ha investigado ni ha intentado ubicar. Tampoco ha dado acceso irrestricto a sus archivos ni ha dado a conocer la magnitud del repositorio. Esto es claramente un obstáculo en el proceso hacia la verdad, la justicia, la reparación y las garantías de no repetición de los crímenes de lesa humanidad cometidos durante el terrorismo de Estado.</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24. Tanto los restos hallados e identificados, como las pistas sobre posibles enterramientos clandestinos coinciden con su localización en terrenos militares.</w:t>
      </w:r>
    </w:p>
    <w:p>
      <w:pPr>
        <w:pStyle w:val="Normal"/>
        <w:ind w:right="146" w:hanging="0"/>
        <w:jc w:val="both"/>
        <w:rPr>
          <w:rFonts w:ascii="Times New Roman" w:hAnsi="Times New Roman" w:cs="Times New Roman"/>
          <w:sz w:val="24"/>
          <w:szCs w:val="24"/>
          <w:lang w:val="es-UY" w:eastAsia="es-ES"/>
        </w:rPr>
      </w:pPr>
      <w:r>
        <w:rPr>
          <w:rFonts w:cs="Times New Roman" w:ascii="Times New Roman" w:hAnsi="Times New Roman"/>
          <w:sz w:val="24"/>
          <w:szCs w:val="24"/>
          <w:lang w:val="es-ES" w:eastAsia="es-ES"/>
        </w:rPr>
        <w:t>25. Recién en 2005, el Poder Ejecutivo dispuso, el ingreso de un Grupo de Antropología Forense de la Universidad de la República a las distintas unidades militares, donde un conjunto de información suministrada por las Fuerzas Armadas indicaba la existencia de enterramientos clandestinos de la dictadura cívico-militar (1973 – 1985), con el fin de buscar el posible paradero de las personas detenidas desaparecidas.</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26. A la fecha la Justicia ha enjuiciado solo a unos pocos responsables de delitos de lesa humanidad cometidos durante la dictadura cívico-militar. En la mayoría de dichos casos, los crímenes cometidos han sido tipificados como delitos comunes excluyendo su categorización de crímenes contra la humanidad. Además, los responsables que están privados de libertad, lo están en un régimen excepcional respecto del resto de la población penitenciaria (una cárcel ubicada dentro de un cuartel militar). En 2021, comenzó a tratarse una iniciativa parlamentaria presentada por el partido político integrante de la actual coalición de gobierno Cabildo Abierto (cuyo líder es el ex Comandante en Jefe de las Fuerzas Armadas en el período 2015-2019) con el objetivo de sustituir la pena de reclusión carcelaria por la prisión domiciliaria, a personas mayores de 65 años. La referida iniciativa se encuentra claramente dirigida a beneficiar a las personas responsables de delitos de lesa humanidad, actualmente encarceladas. Al respecto, los Relatores de ONU sobre la promoción de la verdad, la justicia, la reparación y las garantías de no repetición, sobre ejecuciones extrajudiciales, sumarias o arbitrarias, especial sobre el derecho de toda persona al disfrute del más alto nivel posible de salud física y mental, especial sobre la tortura y otros tratos penas crueles, inhumanos o degradantes y el Grupo de Trabajo sobre las Desapariciones Forzadas señalaron, en una carta conjunta dirigida al gobierno uruguayo,  que la iniciativa es «incompatible» con «las obligaciones internacionales del Uruguay en materia de derechos humanos» y que los estándares internacionales «prohíben la aplicación de perdones o beneficios de ejecución de la pena a los responsables de violaciones serias a los derechos humanos y graves del derecho internacional humanitario, el crimen de genocidio y los crímenes de lesa humanidad».</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27. La sociedad civil señala que el Estado uruguayo está incumpliendo obligaciones emergentes de las normas internacionales que obligan a esclarecer el destino de las personas detenidas desaparecidas. En ese sentido, el Comité contra la Tortura, en sus Observaciones finales sobre el cuarto informe periódico de Uruguay, capítulo «Violaciones graves de derechos humanos ocurridas durante la dictadura» urgió al Estado a velar contra la impunidad de las desapariciones forzadas.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28. En los 17 años transcurridos desde que se comenzó a investigar el asunto, se percibe la falta de continuidad y articulación en las estrategias desplegadas por el Estado en sus distintos gobiernos. Cada administración ha implementado distintas modalidades de abordaje y ámbitos de trabajo, que no articulan integralmente con los desarrollados en gobiernos anteriores.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29. El gobierno no ha desarrollado ningún sistema de incentivos para obtener información veraz teniente al esclarecimiento de los crímenes de lesa humanidad: no hay mecanismos de recompensa para quienes aporten información, ni de sanción para quienes mantienen el pacto de silencio. Al respecto, los militares enjuiciados como responsables por delitos de lesa humanidad siguen cobrando la jubilación correspondiente a su función militar; no se ha investigado los crímenes económicos para determinar si existió enriquecimiento ilícito ni sobre el destino de los fondos vinculados en tales delitos.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30. Recientemente, la Ley N° 19.822 le asignó a la Institución Nacional de Derechos Humanos y Defensoría del Pueblo (INDDHH) «la búsqueda de las personas detenidas y desaparecidas en el marco de la actuación ilegítima del Estado ocurrida entre el 13 de junio de 1968 al 26 de junio de 1973, así como durante el terrorismo de Estado desplegado entre el 27 de junio de 1973 al 28 de febrero de 1985».</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 xml:space="preserve">31. En las causas judiciales hay información relevante contenida en los voluminosos expedientes. Sin embargo, para su estudio minucioso resulta imprescindible la dotación de personal calificado y rentado específicamente para el desarrollo de tal tarea. Solo de esta forma podrá encontrarse la información pertinente para luego entrecruzarla de forma eficiente, con las otras fuentes, referencias y datos que maneja, por ejemplo, la INDDHH. </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32. Resulta imprescindible reforzar la tarea recientemente encomendada a la INDDHH sobre la búsqueda de las personas detenidas desaparecidas. A casi 20 años de iniciado el proceso de búsqueda por parte del Estado, sus resultados no son proporcionales al número de personas desaparecidas ni al tiempo que se ha dedicado a la investigación. Esto debido a que la información recabada por el Estado, principalmente a través de sus agencias, no ha llegado de modo sistemático, ni es precisa y de calidad.</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t>33. Además del refuerzo presupuestal necesario para la tarea, es imprescindible diseñar líneas estratégicas que faciliten y habiliten el acceso de especialistas a los expedientes judiciales de las causas y a los archivos, con el fin de hallar información relevante a las búsquedas, referencias sobre probables lugares vinculados con enterramientos, así como víctimas y nombres de personas relacionadas.</w:t>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r>
    </w:p>
    <w:p>
      <w:pPr>
        <w:pStyle w:val="Normal"/>
        <w:ind w:right="146" w:hanging="0"/>
        <w:jc w:val="both"/>
        <w:rPr>
          <w:rFonts w:ascii="Times New Roman" w:hAnsi="Times New Roman" w:cs="Times New Roman"/>
          <w:sz w:val="24"/>
          <w:szCs w:val="24"/>
          <w:lang w:val="es-ES" w:eastAsia="es-ES"/>
        </w:rPr>
      </w:pPr>
      <w:r>
        <w:rPr>
          <w:rFonts w:cs="Times New Roman" w:ascii="Times New Roman" w:hAnsi="Times New Roman"/>
          <w:sz w:val="24"/>
          <w:szCs w:val="24"/>
          <w:lang w:val="es-ES" w:eastAsia="es-ES"/>
        </w:rPr>
      </w:r>
    </w:p>
    <w:p>
      <w:pPr>
        <w:pStyle w:val="Normal"/>
        <w:spacing w:before="0" w:after="160"/>
        <w:ind w:right="146" w:hanging="0"/>
        <w:rPr>
          <w:rFonts w:ascii="Times New Roman" w:hAnsi="Times New Roman" w:cs="Times New Roman"/>
          <w:sz w:val="24"/>
          <w:szCs w:val="24"/>
          <w:lang w:val="es-ES" w:eastAsia="es-ES"/>
        </w:rPr>
      </w:pPr>
      <w:r>
        <w:rPr/>
      </w:r>
    </w:p>
    <w:sectPr>
      <w:footerReference w:type="default" r:id="rId5"/>
      <w:footnotePr>
        <w:numFmt w:val="decimal"/>
      </w:footnotePr>
      <w:type w:val="nextPage"/>
      <w:pgSz w:w="12240" w:h="15840"/>
      <w:pgMar w:left="1440" w:right="1440" w:gutter="0" w:header="0" w:top="1440" w:footer="708"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Segoe UI">
    <w:charset w:val="00"/>
    <w:family w:val="roman"/>
    <w:pitch w:val="variable"/>
  </w:font>
  <w:font w:name="Liberation Sans">
    <w:altName w:val="Arial"/>
    <w:charset w:val="00"/>
    <w:family w:val="roman"/>
    <w:pitch w:val="variable"/>
  </w:font>
  <w:font w:name="Lucida Sans">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30107783"/>
    </w:sdtPr>
    <w:sdtContent>
      <w:p>
        <w:pPr>
          <w:pStyle w:val="Piedepgina"/>
          <w:jc w:val="right"/>
          <w:rPr/>
        </w:pPr>
        <w:r>
          <w:rPr/>
          <w:fldChar w:fldCharType="begin"/>
        </w:r>
        <w:r>
          <w:rPr/>
          <w:instrText> PAGE </w:instrText>
        </w:r>
        <w:r>
          <w:rPr/>
          <w:fldChar w:fldCharType="separate"/>
        </w:r>
        <w:r>
          <w:rPr/>
          <w:t>8</w:t>
        </w:r>
        <w:r>
          <w:rPr/>
          <w:fldChar w:fldCharType="end"/>
        </w:r>
      </w:p>
    </w:sdtContent>
  </w:sdt>
  <w:p>
    <w:pPr>
      <w:pStyle w:val="Piedepgina"/>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alpie"/>
        <w:rPr>
          <w:rFonts w:ascii="Times New Roman" w:hAnsi="Times New Roman" w:cs="Times New Roman"/>
          <w:lang w:val="es-UY"/>
        </w:rPr>
      </w:pPr>
      <w:r>
        <w:rPr>
          <w:rStyle w:val="Caracteresdenotaalpie"/>
        </w:rPr>
        <w:footnoteRef/>
      </w:r>
      <w:r>
        <w:rPr>
          <w:rFonts w:cs="Times New Roman" w:ascii="Times New Roman" w:hAnsi="Times New Roman"/>
          <w:lang w:val="es-UY"/>
        </w:rPr>
        <w:t xml:space="preserve"> </w:t>
      </w:r>
      <w:r>
        <w:rPr>
          <w:rFonts w:cs="Times New Roman" w:ascii="Times New Roman" w:hAnsi="Times New Roman"/>
          <w:lang w:val="es-UY"/>
        </w:rPr>
        <w:t xml:space="preserve">Más información sobre la causa puede encontrarse en el Observatorio Luz Ibarburu: </w:t>
      </w:r>
      <w:hyperlink r:id="rId1">
        <w:r>
          <w:rPr>
            <w:rStyle w:val="EnlacedeInternet"/>
            <w:rFonts w:cs="Times New Roman" w:ascii="Times New Roman" w:hAnsi="Times New Roman"/>
            <w:lang w:val="es-UY"/>
          </w:rPr>
          <w:t>https://www.observatorioluzibarburu.org/causas/86</w:t>
        </w:r>
      </w:hyperlink>
      <w:r>
        <w:rPr>
          <w:rFonts w:cs="Times New Roman" w:ascii="Times New Roman" w:hAnsi="Times New Roman"/>
          <w:lang w:val="es-UY"/>
        </w:rPr>
        <w:t xml:space="preserve"> </w:t>
      </w:r>
      <w:hyperlink r:id="rId2">
        <w:r>
          <w:rPr>
            <w:rStyle w:val="EnlacedeInternet"/>
            <w:rFonts w:cs="Times New Roman" w:ascii="Times New Roman" w:hAnsi="Times New Roman"/>
            <w:lang w:val="es-UY"/>
          </w:rPr>
          <w:t>https://www.observatorioluzibarburu.org/causas/269</w:t>
        </w:r>
      </w:hyperlink>
    </w:p>
    <w:p>
      <w:pPr>
        <w:pStyle w:val="Notaalpie"/>
        <w:rPr>
          <w:lang w:val="es-UY"/>
        </w:rPr>
      </w:pPr>
      <w:r>
        <w:rPr/>
      </w:r>
    </w:p>
  </w:footnote>
  <w:footnote w:id="3">
    <w:p>
      <w:pPr>
        <w:pStyle w:val="Notaalpie"/>
        <w:rPr/>
      </w:pPr>
      <w:r>
        <w:rPr>
          <w:rStyle w:val="Caracteresdenotaalpie"/>
        </w:rPr>
        <w:footnoteRef/>
      </w:r>
      <w:r>
        <w:rPr/>
        <w:t xml:space="preserve"> </w:t>
      </w:r>
      <w:r>
        <w:rPr/>
        <w:t xml:space="preserve">Organismo Coordinador de Operaciones Antisubversivas </w:t>
      </w:r>
    </w:p>
  </w:footnote>
</w:footnotes>
</file>

<file path=word/settings.xml><?xml version="1.0" encoding="utf-8"?>
<w:settings xmlns:w="http://schemas.openxmlformats.org/wordprocessingml/2006/main">
  <w:zoom w:percent="120"/>
  <w:defaultTabStop w:val="720"/>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50efd"/>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tulo2">
    <w:name w:val="Heading 2"/>
    <w:basedOn w:val="Ttulo"/>
    <w:next w:val="Cuerpodetexto"/>
    <w:qFormat/>
    <w:pPr>
      <w:spacing w:before="200" w:after="120"/>
      <w:outlineLvl w:val="1"/>
    </w:pPr>
    <w:rPr>
      <w:rFonts w:ascii="Liberation Serif" w:hAnsi="Liberation Serif" w:eastAsia="Segoe UI" w:cs="Tahoma"/>
      <w:b/>
      <w:bCs/>
      <w:sz w:val="36"/>
      <w:szCs w:val="36"/>
    </w:rPr>
  </w:style>
  <w:style w:type="character" w:styleId="DefaultParagraphFont" w:default="1">
    <w:name w:val="Default Paragraph Font"/>
    <w:uiPriority w:val="1"/>
    <w:semiHidden/>
    <w:unhideWhenUsed/>
    <w:qFormat/>
    <w:rPr/>
  </w:style>
  <w:style w:type="character" w:styleId="H23GChar" w:customStyle="1">
    <w:name w:val="_ H_2/3_G Char"/>
    <w:link w:val="H23G"/>
    <w:qFormat/>
    <w:rsid w:val="005509fc"/>
    <w:rPr>
      <w:rFonts w:ascii="Times New Roman" w:hAnsi="Times New Roman" w:eastAsia="Calibri" w:cs="Times New Roman"/>
      <w:b/>
      <w:sz w:val="20"/>
      <w:szCs w:val="20"/>
      <w:lang w:val="es-ES" w:eastAsia="es-ES"/>
    </w:rPr>
  </w:style>
  <w:style w:type="character" w:styleId="EncabezadoCar" w:customStyle="1">
    <w:name w:val="Encabezado Car"/>
    <w:basedOn w:val="DefaultParagraphFont"/>
    <w:link w:val="Encabezado"/>
    <w:uiPriority w:val="99"/>
    <w:qFormat/>
    <w:rsid w:val="003a1024"/>
    <w:rPr/>
  </w:style>
  <w:style w:type="character" w:styleId="PiedepginaCar" w:customStyle="1">
    <w:name w:val="Pie de página Car"/>
    <w:basedOn w:val="DefaultParagraphFont"/>
    <w:link w:val="Piedepgina"/>
    <w:uiPriority w:val="99"/>
    <w:qFormat/>
    <w:rsid w:val="003a1024"/>
    <w:rPr/>
  </w:style>
  <w:style w:type="character" w:styleId="TextodegloboCar" w:customStyle="1">
    <w:name w:val="Texto de globo Car"/>
    <w:basedOn w:val="DefaultParagraphFont"/>
    <w:link w:val="Textodeglobo"/>
    <w:uiPriority w:val="99"/>
    <w:semiHidden/>
    <w:qFormat/>
    <w:rsid w:val="00935690"/>
    <w:rPr>
      <w:rFonts w:ascii="Segoe UI" w:hAnsi="Segoe UI" w:cs="Segoe UI"/>
      <w:sz w:val="18"/>
      <w:szCs w:val="18"/>
    </w:rPr>
  </w:style>
  <w:style w:type="character" w:styleId="TextonotapieCar" w:customStyle="1">
    <w:name w:val="Texto nota pie Car"/>
    <w:basedOn w:val="DefaultParagraphFont"/>
    <w:link w:val="Textonotapie"/>
    <w:uiPriority w:val="99"/>
    <w:semiHidden/>
    <w:qFormat/>
    <w:rsid w:val="001b234b"/>
    <w:rPr>
      <w:sz w:val="20"/>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1b234b"/>
    <w:rPr>
      <w:vertAlign w:val="superscript"/>
    </w:rPr>
  </w:style>
  <w:style w:type="character" w:styleId="EnlacedeInternet">
    <w:name w:val="Enlace de Internet"/>
    <w:basedOn w:val="DefaultParagraphFont"/>
    <w:uiPriority w:val="99"/>
    <w:unhideWhenUsed/>
    <w:rsid w:val="00f82b6c"/>
    <w:rPr>
      <w:color w:val="0563C1" w:themeColor="hyperlink"/>
      <w:u w:val="single"/>
    </w:rPr>
  </w:style>
  <w:style w:type="character" w:styleId="UnresolvedMention">
    <w:name w:val="Unresolved Mention"/>
    <w:basedOn w:val="DefaultParagraphFont"/>
    <w:uiPriority w:val="99"/>
    <w:semiHidden/>
    <w:unhideWhenUsed/>
    <w:qFormat/>
    <w:rsid w:val="006f0b5a"/>
    <w:rPr>
      <w:color w:val="605E5C"/>
      <w:shd w:fill="E1DFDD" w:val="clear"/>
    </w:rPr>
  </w:style>
  <w:style w:type="character" w:styleId="Caracteresdenotaalpie">
    <w:name w:val="Caracteres de nota al pie"/>
    <w:qFormat/>
    <w:rPr/>
  </w:style>
  <w:style w:type="character" w:styleId="Ancladenotafinal">
    <w:name w:val="Ancla de nota final"/>
    <w:rPr>
      <w:vertAlign w:val="superscript"/>
    </w:rPr>
  </w:style>
  <w:style w:type="character" w:styleId="Caracteresdenotafinal">
    <w:name w:val="Caracteres de nota final"/>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istParagraph">
    <w:name w:val="List Paragraph"/>
    <w:basedOn w:val="Normal"/>
    <w:uiPriority w:val="34"/>
    <w:qFormat/>
    <w:rsid w:val="008c376d"/>
    <w:pPr>
      <w:suppressAutoHyphens w:val="true"/>
      <w:spacing w:before="0" w:after="160"/>
      <w:ind w:left="720" w:hanging="0"/>
      <w:contextualSpacing/>
    </w:pPr>
    <w:rPr/>
  </w:style>
  <w:style w:type="paragraph" w:styleId="H23G" w:customStyle="1">
    <w:name w:val="_ H_2/3_G"/>
    <w:basedOn w:val="Normal"/>
    <w:next w:val="Normal"/>
    <w:link w:val="H23GChar"/>
    <w:qFormat/>
    <w:rsid w:val="005509fc"/>
    <w:pPr>
      <w:keepNext w:val="true"/>
      <w:keepLines/>
      <w:tabs>
        <w:tab w:val="clear" w:pos="720"/>
        <w:tab w:val="right" w:pos="851" w:leader="none"/>
      </w:tabs>
      <w:suppressAutoHyphens w:val="true"/>
      <w:spacing w:lineRule="exact" w:line="240" w:before="240" w:after="120"/>
      <w:ind w:left="1134" w:right="1134" w:hanging="1134"/>
    </w:pPr>
    <w:rPr>
      <w:rFonts w:ascii="Times New Roman" w:hAnsi="Times New Roman" w:eastAsia="Calibri" w:cs="Times New Roman"/>
      <w:b/>
      <w:sz w:val="20"/>
      <w:szCs w:val="20"/>
      <w:lang w:val="es-ES" w:eastAsia="es-ES"/>
    </w:rPr>
  </w:style>
  <w:style w:type="paragraph" w:styleId="Cabeceraypie">
    <w:name w:val="Cabecera y pie"/>
    <w:basedOn w:val="Normal"/>
    <w:qFormat/>
    <w:pPr/>
    <w:rPr/>
  </w:style>
  <w:style w:type="paragraph" w:styleId="Cabecera">
    <w:name w:val="Header"/>
    <w:basedOn w:val="Normal"/>
    <w:link w:val="EncabezadoCar"/>
    <w:uiPriority w:val="99"/>
    <w:unhideWhenUsed/>
    <w:rsid w:val="003a1024"/>
    <w:pPr>
      <w:tabs>
        <w:tab w:val="clear" w:pos="720"/>
        <w:tab w:val="center" w:pos="4680" w:leader="none"/>
        <w:tab w:val="right" w:pos="9360" w:leader="none"/>
      </w:tabs>
      <w:spacing w:lineRule="auto" w:line="240" w:before="0" w:after="0"/>
    </w:pPr>
    <w:rPr/>
  </w:style>
  <w:style w:type="paragraph" w:styleId="Piedepgina">
    <w:name w:val="Footer"/>
    <w:basedOn w:val="Normal"/>
    <w:link w:val="PiedepginaCar"/>
    <w:uiPriority w:val="99"/>
    <w:unhideWhenUsed/>
    <w:rsid w:val="003a1024"/>
    <w:pPr>
      <w:tabs>
        <w:tab w:val="clear" w:pos="720"/>
        <w:tab w:val="center" w:pos="4680" w:leader="none"/>
        <w:tab w:val="right" w:pos="9360" w:leader="none"/>
      </w:tabs>
      <w:spacing w:lineRule="auto" w:line="240" w:before="0" w:after="0"/>
    </w:pPr>
    <w:rPr/>
  </w:style>
  <w:style w:type="paragraph" w:styleId="BalloonText">
    <w:name w:val="Balloon Text"/>
    <w:basedOn w:val="Normal"/>
    <w:link w:val="TextodegloboCar"/>
    <w:uiPriority w:val="99"/>
    <w:semiHidden/>
    <w:unhideWhenUsed/>
    <w:qFormat/>
    <w:rsid w:val="00935690"/>
    <w:pPr>
      <w:spacing w:lineRule="auto" w:line="240" w:before="0" w:after="0"/>
    </w:pPr>
    <w:rPr>
      <w:rFonts w:ascii="Segoe UI" w:hAnsi="Segoe UI" w:cs="Segoe UI"/>
      <w:sz w:val="18"/>
      <w:szCs w:val="18"/>
    </w:rPr>
  </w:style>
  <w:style w:type="paragraph" w:styleId="Notaalpie">
    <w:name w:val="Footnote Text"/>
    <w:basedOn w:val="Normal"/>
    <w:link w:val="TextonotapieCar"/>
    <w:uiPriority w:val="99"/>
    <w:semiHidden/>
    <w:unhideWhenUsed/>
    <w:rsid w:val="001b234b"/>
    <w:pPr>
      <w:spacing w:lineRule="auto" w:line="240" w:before="0" w:after="0"/>
    </w:pPr>
    <w:rPr>
      <w:sz w:val="20"/>
      <w:szCs w:val="20"/>
    </w:rPr>
  </w:style>
  <w:style w:type="paragraph" w:styleId="Msoaddress">
    <w:name w:val="msoaddress"/>
    <w:qFormat/>
    <w:pPr>
      <w:widowControl/>
      <w:suppressAutoHyphens w:val="true"/>
      <w:bidi w:val="0"/>
      <w:spacing w:lineRule="auto" w:line="264" w:before="0" w:after="0"/>
      <w:jc w:val="left"/>
    </w:pPr>
    <w:rPr>
      <w:rFonts w:ascii="Lucida Sans" w:hAnsi="Lucida Sans" w:eastAsia="Calibri" w:cs=""/>
      <w:color w:val="000000"/>
      <w:kern w:val="2"/>
      <w:sz w:val="15"/>
      <w:szCs w:val="15"/>
      <w:lang w:val="en-US" w:eastAsia="zh-CN" w:bidi="ar-SA"/>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ustomXml" Target="../customXml/item4.xml"/><Relationship Id="rId3" Type="http://schemas.openxmlformats.org/officeDocument/2006/relationships/image" Target="media/image2.jpeg"/><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image" Target="media/image1.jpeg"/><Relationship Id="rId1"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footer" Target="footer1.xml"/><Relationship Id="rId10" Type="http://schemas.openxmlformats.org/officeDocument/2006/relationships/customXml" Target="../customXml/item1.xml"/><Relationship Id="rId4" Type="http://schemas.openxmlformats.org/officeDocument/2006/relationships/hyperlink" Target="mailto:com.memoriafusiladosdesoca@gmail.com" TargetMode="External"/><Relationship Id="rId9" Type="http://schemas.openxmlformats.org/officeDocument/2006/relationships/theme" Target="theme/theme1.xml"/></Relationships>
</file>

<file path=word/_rels/footnotes.xml.rels><?xml version="1.0" encoding="UTF-8"?>
<Relationships xmlns="http://schemas.openxmlformats.org/package/2006/relationships"><Relationship Id="rId1" Type="http://schemas.openxmlformats.org/officeDocument/2006/relationships/hyperlink" Target="https://www.observatorioluzibarburu.org/causas/86" TargetMode="External"/><Relationship Id="rId2" Type="http://schemas.openxmlformats.org/officeDocument/2006/relationships/hyperlink" Target="https://www.observatorioluzibarburu.org/causas/269"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81081F-71F1-43BC-BCE0-8CFAD60444B9}">
  <ds:schemaRefs>
    <ds:schemaRef ds:uri="http://schemas.openxmlformats.org/officeDocument/2006/bibliography"/>
  </ds:schemaRefs>
</ds:datastoreItem>
</file>

<file path=customXml/itemProps2.xml><?xml version="1.0" encoding="utf-8"?>
<ds:datastoreItem xmlns:ds="http://schemas.openxmlformats.org/officeDocument/2006/customXml" ds:itemID="{7B7B4053-AD9E-48C6-B7F8-39EDA3326F51}"/>
</file>

<file path=customXml/itemProps3.xml><?xml version="1.0" encoding="utf-8"?>
<ds:datastoreItem xmlns:ds="http://schemas.openxmlformats.org/officeDocument/2006/customXml" ds:itemID="{52538EAB-38BE-4571-9E42-8ECC559EF74A}"/>
</file>

<file path=customXml/itemProps4.xml><?xml version="1.0" encoding="utf-8"?>
<ds:datastoreItem xmlns:ds="http://schemas.openxmlformats.org/officeDocument/2006/customXml" ds:itemID="{02401DB8-08BA-40D1-A823-0268DC860B19}"/>
</file>

<file path=docProps/app.xml><?xml version="1.0" encoding="utf-8"?>
<Properties xmlns="http://schemas.openxmlformats.org/officeDocument/2006/extended-properties" xmlns:vt="http://schemas.openxmlformats.org/officeDocument/2006/docPropsVTypes">
  <Template>Normal</Template>
  <TotalTime>912</TotalTime>
  <Application>LibreOffice/7.2.4.1$Windows_X86_64 LibreOffice_project/27d75539669ac387bb498e35313b970b7fe9c4f9</Application>
  <AppVersion>15.0000</AppVersion>
  <Pages>8</Pages>
  <Words>3278</Words>
  <Characters>17985</Characters>
  <CharactersWithSpaces>21275</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Revisor</dc:creator>
  <dc:description/>
  <cp:lastModifiedBy/>
  <cp:revision>12</cp:revision>
  <dcterms:created xsi:type="dcterms:W3CDTF">2022-05-29T02:31:00Z</dcterms:created>
  <dcterms:modified xsi:type="dcterms:W3CDTF">2022-05-30T20:19:57Z</dcterms:modified>
  <dc:language>es-UY</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