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4DA" w:rsidRPr="000474DA" w:rsidRDefault="000474DA" w:rsidP="000474DA">
      <w:pPr>
        <w:spacing w:after="0" w:line="240" w:lineRule="auto"/>
        <w:jc w:val="center"/>
        <w:rPr>
          <w:rFonts w:ascii="Times New Roman" w:eastAsia="Times New Roman" w:hAnsi="Times New Roman" w:cs="Times New Roman"/>
          <w:b/>
          <w:bCs/>
          <w:color w:val="000000"/>
          <w:lang w:val="en-US" w:eastAsia="es-MX"/>
        </w:rPr>
      </w:pPr>
    </w:p>
    <w:p w:rsidR="000474DA" w:rsidRPr="009B0C97" w:rsidRDefault="009B0C97" w:rsidP="009B0C97">
      <w:pPr>
        <w:spacing w:after="0" w:line="240" w:lineRule="auto"/>
        <w:jc w:val="center"/>
        <w:rPr>
          <w:rFonts w:ascii="Times New Roman" w:eastAsia="Times New Roman" w:hAnsi="Times New Roman" w:cs="Times New Roman"/>
          <w:sz w:val="24"/>
          <w:szCs w:val="24"/>
          <w:lang w:eastAsia="es-MX"/>
        </w:rPr>
      </w:pPr>
      <w:r w:rsidRPr="009B0C97">
        <w:rPr>
          <w:rFonts w:ascii="Times New Roman" w:eastAsia="Times New Roman" w:hAnsi="Times New Roman" w:cs="Times New Roman"/>
          <w:b/>
          <w:bCs/>
          <w:color w:val="000000"/>
          <w:lang w:eastAsia="es-MX"/>
        </w:rPr>
        <w:t>RESUMEN EJECUTIVO DEL INFORME ALTERNATIVO CONJUNTO PARA EL EXAMEN DE MÉXICO ANTES DEL COMPROMISO DE LAS NACIONES UNIDAS EN MATERIA DE DERECHOS HUMANOS</w:t>
      </w:r>
    </w:p>
    <w:p w:rsidR="009B0C97" w:rsidRDefault="009B0C97" w:rsidP="009B0C97">
      <w:pPr>
        <w:pStyle w:val="NormalWeb"/>
        <w:spacing w:after="0"/>
        <w:jc w:val="both"/>
        <w:rPr>
          <w:color w:val="000000"/>
          <w:sz w:val="22"/>
          <w:szCs w:val="22"/>
        </w:rPr>
      </w:pPr>
    </w:p>
    <w:p w:rsidR="009B0C97" w:rsidRPr="009B0C97" w:rsidRDefault="009B0C97" w:rsidP="009B0C97">
      <w:pPr>
        <w:pStyle w:val="NormalWeb"/>
        <w:spacing w:after="0"/>
        <w:jc w:val="center"/>
        <w:rPr>
          <w:color w:val="000000"/>
          <w:sz w:val="22"/>
          <w:szCs w:val="22"/>
        </w:rPr>
      </w:pPr>
      <w:r w:rsidRPr="009B0C97">
        <w:rPr>
          <w:color w:val="000000"/>
          <w:sz w:val="22"/>
          <w:szCs w:val="22"/>
        </w:rPr>
        <w:t>Sometido por el Centro de Derechos Humanos Fray Francisco de Vitoria O.P, A.C y la Asociación Dominicans for Justice and Peace (Order of Preachers)*</w:t>
      </w:r>
    </w:p>
    <w:p w:rsidR="009B0C97" w:rsidRPr="009B0C97" w:rsidRDefault="009B0C97" w:rsidP="009B0C97">
      <w:pPr>
        <w:pStyle w:val="NormalWeb"/>
        <w:spacing w:after="0"/>
        <w:jc w:val="center"/>
        <w:rPr>
          <w:color w:val="000000"/>
          <w:sz w:val="22"/>
          <w:szCs w:val="22"/>
        </w:rPr>
      </w:pPr>
    </w:p>
    <w:p w:rsidR="009B0C97" w:rsidRPr="009B0C97" w:rsidRDefault="009B0C97" w:rsidP="009B0C97">
      <w:pPr>
        <w:pStyle w:val="NormalWeb"/>
        <w:spacing w:after="0"/>
        <w:jc w:val="center"/>
        <w:rPr>
          <w:color w:val="000000"/>
          <w:sz w:val="22"/>
          <w:szCs w:val="22"/>
        </w:rPr>
      </w:pPr>
      <w:r w:rsidRPr="009B0C97">
        <w:rPr>
          <w:color w:val="000000"/>
          <w:sz w:val="22"/>
          <w:szCs w:val="22"/>
        </w:rPr>
        <w:t>127 sesión del Comité de Derechos Humanos</w:t>
      </w:r>
    </w:p>
    <w:p w:rsidR="009B0C97" w:rsidRPr="009B0C97" w:rsidRDefault="009B0C97" w:rsidP="009B0C97">
      <w:pPr>
        <w:pStyle w:val="NormalWeb"/>
        <w:spacing w:after="0"/>
        <w:jc w:val="center"/>
        <w:rPr>
          <w:color w:val="000000"/>
          <w:sz w:val="22"/>
          <w:szCs w:val="22"/>
        </w:rPr>
      </w:pPr>
    </w:p>
    <w:p w:rsidR="009B0C97" w:rsidRPr="009B0C97" w:rsidRDefault="009B0C97" w:rsidP="009B0C97">
      <w:pPr>
        <w:pStyle w:val="NormalWeb"/>
        <w:spacing w:before="0" w:beforeAutospacing="0" w:after="0" w:afterAutospacing="0"/>
        <w:jc w:val="center"/>
      </w:pPr>
      <w:r w:rsidRPr="009B0C97">
        <w:rPr>
          <w:color w:val="000000"/>
          <w:sz w:val="22"/>
          <w:szCs w:val="22"/>
        </w:rPr>
        <w:t>Septiembre 2019</w:t>
      </w:r>
    </w:p>
    <w:p w:rsidR="009B0C97" w:rsidRPr="004B2971" w:rsidRDefault="009B0C97" w:rsidP="000474DA">
      <w:pPr>
        <w:spacing w:after="0" w:line="240" w:lineRule="auto"/>
        <w:rPr>
          <w:rFonts w:ascii="Times New Roman" w:eastAsia="Times New Roman" w:hAnsi="Times New Roman" w:cs="Times New Roman"/>
          <w:sz w:val="24"/>
          <w:szCs w:val="24"/>
          <w:lang w:eastAsia="es-MX"/>
        </w:rPr>
      </w:pPr>
    </w:p>
    <w:p w:rsidR="000474DA" w:rsidRDefault="000474DA" w:rsidP="000474DA">
      <w:pPr>
        <w:pStyle w:val="NormalWeb"/>
        <w:spacing w:before="0" w:beforeAutospacing="0" w:after="0" w:afterAutospacing="0"/>
        <w:jc w:val="both"/>
      </w:pPr>
    </w:p>
    <w:p w:rsidR="000474DA" w:rsidRDefault="000474DA" w:rsidP="000474DA">
      <w:pPr>
        <w:pStyle w:val="NormalWeb"/>
        <w:spacing w:before="0" w:beforeAutospacing="0" w:after="0" w:afterAutospacing="0"/>
        <w:jc w:val="both"/>
        <w:rPr>
          <w:color w:val="000000"/>
          <w:sz w:val="22"/>
          <w:szCs w:val="22"/>
        </w:rPr>
      </w:pPr>
      <w:r w:rsidRPr="000474DA">
        <w:br/>
      </w:r>
      <w:r w:rsidRPr="00B863BB">
        <w:rPr>
          <w:color w:val="000000"/>
          <w:sz w:val="22"/>
          <w:szCs w:val="22"/>
        </w:rPr>
        <w:t xml:space="preserve">*Este informe fue escrito por el Centro de Derechos Humanos Fray Francisco de Vitoria O.P, A.C. El Centro es una ONG de la Orden de Predicadores. Provincia de Santiago, México. Es una organización independiente y sin fines de lucro que se caracteriza por mantener una </w:t>
      </w:r>
      <w:r w:rsidR="00941D85" w:rsidRPr="00B863BB">
        <w:rPr>
          <w:color w:val="000000"/>
          <w:sz w:val="22"/>
          <w:szCs w:val="22"/>
        </w:rPr>
        <w:t>visión</w:t>
      </w:r>
      <w:r w:rsidRPr="00B863BB">
        <w:rPr>
          <w:color w:val="000000"/>
          <w:sz w:val="22"/>
          <w:szCs w:val="22"/>
        </w:rPr>
        <w:t xml:space="preserve"> integral de los derechos humanos desde una posiciona crítica, que asume su responsabilidad en la construcción de un Estado plural, diverso, laico y democrático. El Centro tiene como fin defender y promover la integralidad de los derechos humanos, especialmente entre los sectores más vulnerables o discriminado. </w:t>
      </w:r>
    </w:p>
    <w:p w:rsidR="00514EE5" w:rsidRPr="00B863BB" w:rsidRDefault="00514EE5" w:rsidP="000474DA">
      <w:pPr>
        <w:pStyle w:val="NormalWeb"/>
        <w:spacing w:before="0" w:beforeAutospacing="0" w:after="0" w:afterAutospacing="0"/>
        <w:jc w:val="both"/>
      </w:pPr>
    </w:p>
    <w:p w:rsidR="00514EE5" w:rsidRPr="00514EE5" w:rsidRDefault="000474DA" w:rsidP="00514EE5">
      <w:pPr>
        <w:spacing w:after="0" w:line="240" w:lineRule="auto"/>
        <w:jc w:val="both"/>
        <w:rPr>
          <w:rFonts w:ascii="Times New Roman" w:eastAsia="Times New Roman" w:hAnsi="Times New Roman" w:cs="Times New Roman"/>
          <w:sz w:val="24"/>
          <w:szCs w:val="24"/>
        </w:rPr>
      </w:pPr>
      <w:r w:rsidRPr="00514EE5">
        <w:rPr>
          <w:rFonts w:ascii="Times New Roman" w:hAnsi="Times New Roman" w:cs="Times New Roman"/>
          <w:color w:val="000000"/>
          <w:lang w:val="en-US"/>
        </w:rPr>
        <w:t xml:space="preserve">Dominicans for Justice and Peace (Order of Preachers) revisó el informe. </w:t>
      </w:r>
      <w:r w:rsidRPr="00514EE5">
        <w:rPr>
          <w:rFonts w:ascii="Times New Roman" w:hAnsi="Times New Roman" w:cs="Times New Roman"/>
          <w:color w:val="000000"/>
        </w:rPr>
        <w:t xml:space="preserve">Estado asociación de derecho suizo fue creada en 1998 y obtuvo el estatus consultivo ECOSOC en el 2002. </w:t>
      </w:r>
      <w:r w:rsidR="00514EE5" w:rsidRPr="00177EEB">
        <w:rPr>
          <w:rFonts w:ascii="Times New Roman" w:eastAsia="Times New Roman" w:hAnsi="Times New Roman" w:cs="Times New Roman"/>
          <w:color w:val="000000"/>
          <w:lang w:val="pt-BR"/>
        </w:rPr>
        <w:t xml:space="preserve">Es una </w:t>
      </w:r>
      <w:r w:rsidR="00514EE5" w:rsidRPr="00514EE5">
        <w:rPr>
          <w:rFonts w:ascii="Times New Roman" w:eastAsia="Times New Roman" w:hAnsi="Times New Roman" w:cs="Times New Roman"/>
          <w:color w:val="000000"/>
        </w:rPr>
        <w:t>asociación de derecho suizo que fue creada en 1998 y obtuvo el estatus consultivo ECOSOC en el 2002. La asociación tiene su sede en Ginebra y representa la Orden de Predicadores (Dominicos) ante las Naciones Unidas en ese lugar. La asociación trabaja con los mecanismos de las Naciones Unidas para apoyar el trabajo de los Dominicos(as) en el mundo en favor de la protección y de la defensa de los derechos humanos y del medio ambiente. </w:t>
      </w:r>
    </w:p>
    <w:p w:rsidR="000474DA" w:rsidRPr="000474DA" w:rsidRDefault="000474DA" w:rsidP="00514EE5">
      <w:pPr>
        <w:pStyle w:val="NormalWeb"/>
        <w:spacing w:before="240" w:beforeAutospacing="0" w:after="0" w:afterAutospacing="0"/>
        <w:jc w:val="both"/>
      </w:pPr>
    </w:p>
    <w:p w:rsidR="000474DA" w:rsidRPr="00514EE5" w:rsidRDefault="000474DA" w:rsidP="000474DA">
      <w:pPr>
        <w:spacing w:after="0" w:line="240" w:lineRule="auto"/>
        <w:jc w:val="both"/>
        <w:rPr>
          <w:rFonts w:ascii="Times New Roman" w:eastAsia="Times New Roman" w:hAnsi="Times New Roman" w:cs="Times New Roman"/>
          <w:b/>
          <w:sz w:val="24"/>
          <w:szCs w:val="24"/>
          <w:lang w:val="en-US" w:eastAsia="es-MX"/>
        </w:rPr>
      </w:pPr>
      <w:r w:rsidRPr="00514EE5">
        <w:rPr>
          <w:rFonts w:ascii="Times New Roman" w:eastAsia="Times New Roman" w:hAnsi="Times New Roman" w:cs="Times New Roman"/>
          <w:b/>
          <w:color w:val="000000"/>
          <w:lang w:val="en-US" w:eastAsia="es-MX"/>
        </w:rPr>
        <w:t>DOMINICANS FOR JUSTICE AND PEACE </w:t>
      </w:r>
    </w:p>
    <w:p w:rsidR="000474DA" w:rsidRPr="000474DA" w:rsidRDefault="000474DA" w:rsidP="000474DA">
      <w:pPr>
        <w:spacing w:after="0" w:line="240" w:lineRule="auto"/>
        <w:jc w:val="both"/>
        <w:rPr>
          <w:rFonts w:ascii="Times New Roman" w:eastAsia="Times New Roman" w:hAnsi="Times New Roman" w:cs="Times New Roman"/>
          <w:sz w:val="24"/>
          <w:szCs w:val="24"/>
          <w:lang w:val="en-US" w:eastAsia="es-MX"/>
        </w:rPr>
      </w:pPr>
      <w:r w:rsidRPr="000474DA">
        <w:rPr>
          <w:rFonts w:ascii="Times New Roman" w:eastAsia="Times New Roman" w:hAnsi="Times New Roman" w:cs="Times New Roman"/>
          <w:color w:val="000000"/>
          <w:lang w:val="en-US" w:eastAsia="es-MX"/>
        </w:rPr>
        <w:t>37/39 Rue de Vermon</w:t>
      </w:r>
      <w:r w:rsidR="004B2971">
        <w:rPr>
          <w:rFonts w:ascii="Times New Roman" w:eastAsia="Times New Roman" w:hAnsi="Times New Roman" w:cs="Times New Roman"/>
          <w:color w:val="000000"/>
          <w:lang w:val="en-US" w:eastAsia="es-MX"/>
        </w:rPr>
        <w:t>t</w:t>
      </w:r>
    </w:p>
    <w:p w:rsidR="000474DA" w:rsidRPr="000474DA" w:rsidRDefault="000474DA" w:rsidP="000474DA">
      <w:pPr>
        <w:spacing w:after="0" w:line="240" w:lineRule="auto"/>
        <w:jc w:val="both"/>
        <w:rPr>
          <w:rFonts w:ascii="Times New Roman" w:eastAsia="Times New Roman" w:hAnsi="Times New Roman" w:cs="Times New Roman"/>
          <w:sz w:val="24"/>
          <w:szCs w:val="24"/>
          <w:lang w:val="en-US" w:eastAsia="es-MX"/>
        </w:rPr>
      </w:pPr>
      <w:r w:rsidRPr="000474DA">
        <w:rPr>
          <w:rFonts w:ascii="Times New Roman" w:eastAsia="Times New Roman" w:hAnsi="Times New Roman" w:cs="Times New Roman"/>
          <w:color w:val="000000"/>
          <w:lang w:val="en-US" w:eastAsia="es-MX"/>
        </w:rPr>
        <w:t>C.P. 104 1211 Geneva 20, Switzerland</w:t>
      </w:r>
    </w:p>
    <w:p w:rsidR="000474DA" w:rsidRPr="004B2971" w:rsidRDefault="000474DA" w:rsidP="000474DA">
      <w:pPr>
        <w:spacing w:after="0" w:line="240" w:lineRule="auto"/>
        <w:jc w:val="both"/>
        <w:rPr>
          <w:rFonts w:ascii="Times New Roman" w:eastAsia="Times New Roman" w:hAnsi="Times New Roman" w:cs="Times New Roman"/>
          <w:sz w:val="24"/>
          <w:szCs w:val="24"/>
          <w:lang w:val="en-US" w:eastAsia="es-MX"/>
        </w:rPr>
      </w:pPr>
      <w:r w:rsidRPr="004B2971">
        <w:rPr>
          <w:rFonts w:ascii="Times New Roman" w:eastAsia="Times New Roman" w:hAnsi="Times New Roman" w:cs="Times New Roman"/>
          <w:color w:val="000000"/>
          <w:lang w:val="en-US" w:eastAsia="es-MX"/>
        </w:rPr>
        <w:t>+41 (0) 22 779 4010</w:t>
      </w:r>
    </w:p>
    <w:p w:rsidR="000474DA" w:rsidRPr="000474DA" w:rsidRDefault="004B2971" w:rsidP="000474DA">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000000"/>
          <w:lang w:eastAsia="es-MX"/>
        </w:rPr>
        <w:t>www.</w:t>
      </w:r>
      <w:r w:rsidR="000474DA" w:rsidRPr="000474DA">
        <w:rPr>
          <w:rFonts w:ascii="Times New Roman" w:eastAsia="Times New Roman" w:hAnsi="Times New Roman" w:cs="Times New Roman"/>
          <w:color w:val="000000"/>
          <w:lang w:eastAsia="es-MX"/>
        </w:rPr>
        <w:t>un.op.org </w:t>
      </w:r>
    </w:p>
    <w:p w:rsidR="000474DA" w:rsidRPr="000474DA" w:rsidRDefault="000474DA" w:rsidP="000474DA">
      <w:pPr>
        <w:spacing w:after="0" w:line="240" w:lineRule="auto"/>
        <w:rPr>
          <w:rFonts w:ascii="Times New Roman" w:eastAsia="Times New Roman" w:hAnsi="Times New Roman" w:cs="Times New Roman"/>
          <w:sz w:val="24"/>
          <w:szCs w:val="24"/>
          <w:lang w:eastAsia="es-MX"/>
        </w:rPr>
      </w:pPr>
    </w:p>
    <w:p w:rsidR="000474DA" w:rsidRPr="00514EE5" w:rsidRDefault="000474DA" w:rsidP="000474DA">
      <w:pPr>
        <w:spacing w:after="0" w:line="240" w:lineRule="auto"/>
        <w:jc w:val="both"/>
        <w:rPr>
          <w:rFonts w:ascii="Times New Roman" w:eastAsia="Times New Roman" w:hAnsi="Times New Roman" w:cs="Times New Roman"/>
          <w:b/>
          <w:sz w:val="24"/>
          <w:szCs w:val="24"/>
          <w:lang w:eastAsia="es-MX"/>
        </w:rPr>
      </w:pPr>
      <w:r w:rsidRPr="00514EE5">
        <w:rPr>
          <w:rFonts w:ascii="Times New Roman" w:eastAsia="Times New Roman" w:hAnsi="Times New Roman" w:cs="Times New Roman"/>
          <w:b/>
          <w:color w:val="000000"/>
          <w:lang w:eastAsia="es-MX"/>
        </w:rPr>
        <w:t>CENTRO DE DERECHOS HUMANOS “FRAY FRANCISCO DE VITORIA O.P” A.C </w:t>
      </w:r>
    </w:p>
    <w:p w:rsidR="000474DA" w:rsidRPr="000474DA" w:rsidRDefault="000474DA" w:rsidP="000474DA">
      <w:pPr>
        <w:spacing w:after="0" w:line="240" w:lineRule="auto"/>
        <w:jc w:val="both"/>
        <w:rPr>
          <w:rFonts w:ascii="Times New Roman" w:eastAsia="Times New Roman" w:hAnsi="Times New Roman" w:cs="Times New Roman"/>
          <w:sz w:val="24"/>
          <w:szCs w:val="24"/>
          <w:lang w:eastAsia="es-MX"/>
        </w:rPr>
      </w:pPr>
      <w:r w:rsidRPr="000474DA">
        <w:rPr>
          <w:rFonts w:ascii="Times New Roman" w:eastAsia="Times New Roman" w:hAnsi="Times New Roman" w:cs="Times New Roman"/>
          <w:color w:val="000000"/>
          <w:lang w:eastAsia="es-MX"/>
        </w:rPr>
        <w:t>Odontología No. 35 Col. Copilco-Universidad Coyoacán, </w:t>
      </w:r>
    </w:p>
    <w:p w:rsidR="000474DA" w:rsidRPr="000474DA" w:rsidRDefault="000474DA" w:rsidP="000474DA">
      <w:pPr>
        <w:spacing w:after="0" w:line="240" w:lineRule="auto"/>
        <w:jc w:val="both"/>
        <w:rPr>
          <w:rFonts w:ascii="Times New Roman" w:eastAsia="Times New Roman" w:hAnsi="Times New Roman" w:cs="Times New Roman"/>
          <w:sz w:val="24"/>
          <w:szCs w:val="24"/>
          <w:lang w:eastAsia="es-MX"/>
        </w:rPr>
      </w:pPr>
      <w:r w:rsidRPr="000474DA">
        <w:rPr>
          <w:rFonts w:ascii="Times New Roman" w:eastAsia="Times New Roman" w:hAnsi="Times New Roman" w:cs="Times New Roman"/>
          <w:color w:val="000000"/>
          <w:lang w:eastAsia="es-MX"/>
        </w:rPr>
        <w:t>C.P. 04360, Ciudad de México, México</w:t>
      </w:r>
    </w:p>
    <w:p w:rsidR="000474DA" w:rsidRPr="000474DA" w:rsidRDefault="00514EE5" w:rsidP="000474DA">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000000"/>
          <w:lang w:eastAsia="es-MX"/>
        </w:rPr>
        <w:t xml:space="preserve">+52 </w:t>
      </w:r>
      <w:r w:rsidR="000474DA" w:rsidRPr="000474DA">
        <w:rPr>
          <w:rFonts w:ascii="Times New Roman" w:eastAsia="Times New Roman" w:hAnsi="Times New Roman" w:cs="Times New Roman"/>
          <w:color w:val="000000"/>
          <w:lang w:eastAsia="es-MX"/>
        </w:rPr>
        <w:t>56 59 67 97 ext. 227</w:t>
      </w:r>
    </w:p>
    <w:p w:rsidR="000474DA" w:rsidRDefault="000474DA" w:rsidP="000474DA">
      <w:pPr>
        <w:spacing w:after="0" w:line="240" w:lineRule="auto"/>
        <w:jc w:val="both"/>
        <w:rPr>
          <w:rFonts w:ascii="Times New Roman" w:eastAsia="Times New Roman" w:hAnsi="Times New Roman" w:cs="Times New Roman"/>
          <w:color w:val="000000"/>
          <w:lang w:eastAsia="es-MX"/>
        </w:rPr>
      </w:pPr>
      <w:r w:rsidRPr="000474DA">
        <w:rPr>
          <w:rFonts w:ascii="Times New Roman" w:eastAsia="Times New Roman" w:hAnsi="Times New Roman" w:cs="Times New Roman"/>
          <w:color w:val="000000"/>
          <w:lang w:eastAsia="es-MX"/>
        </w:rPr>
        <w:t>derechoshumanos.org.mx </w:t>
      </w:r>
    </w:p>
    <w:p w:rsidR="000474DA" w:rsidRDefault="000474DA" w:rsidP="000474DA">
      <w:pPr>
        <w:spacing w:after="0" w:line="240" w:lineRule="auto"/>
        <w:jc w:val="both"/>
        <w:rPr>
          <w:rFonts w:ascii="Times New Roman" w:eastAsia="Times New Roman" w:hAnsi="Times New Roman" w:cs="Times New Roman"/>
          <w:color w:val="000000"/>
          <w:lang w:eastAsia="es-MX"/>
        </w:rPr>
      </w:pPr>
    </w:p>
    <w:p w:rsidR="00941D85" w:rsidRPr="00941D85" w:rsidRDefault="00941D85" w:rsidP="009B0C97">
      <w:pPr>
        <w:pBdr>
          <w:top w:val="nil"/>
          <w:left w:val="nil"/>
          <w:bottom w:val="nil"/>
          <w:right w:val="nil"/>
          <w:between w:val="nil"/>
        </w:pBdr>
        <w:spacing w:after="0" w:line="276" w:lineRule="auto"/>
        <w:jc w:val="center"/>
        <w:rPr>
          <w:rFonts w:ascii="Times New Roman" w:eastAsia="Times New Roman" w:hAnsi="Times New Roman" w:cs="Times New Roman"/>
          <w:b/>
        </w:rPr>
      </w:pPr>
      <w:r w:rsidRPr="00941D85">
        <w:rPr>
          <w:rFonts w:ascii="Times New Roman" w:eastAsia="Times New Roman" w:hAnsi="Times New Roman" w:cs="Times New Roman"/>
          <w:b/>
        </w:rPr>
        <w:t>LA SITUACIÓN DE LOS DERECHOS CIVILES Y POLÍTICOS EN MÉXICO 2019:</w:t>
      </w:r>
    </w:p>
    <w:p w:rsidR="00941D85" w:rsidRPr="00941D85" w:rsidRDefault="00941D85" w:rsidP="00941D85">
      <w:pPr>
        <w:pBdr>
          <w:top w:val="nil"/>
          <w:left w:val="nil"/>
          <w:bottom w:val="nil"/>
          <w:right w:val="nil"/>
          <w:between w:val="nil"/>
        </w:pBdr>
        <w:spacing w:after="0" w:line="276" w:lineRule="auto"/>
        <w:jc w:val="center"/>
        <w:rPr>
          <w:rFonts w:ascii="Times New Roman" w:eastAsia="Times New Roman" w:hAnsi="Times New Roman" w:cs="Times New Roman"/>
          <w:i/>
        </w:rPr>
      </w:pPr>
      <w:r w:rsidRPr="00941D85">
        <w:rPr>
          <w:rFonts w:ascii="Times New Roman" w:eastAsia="Times New Roman" w:hAnsi="Times New Roman" w:cs="Times New Roman"/>
          <w:b/>
          <w:i/>
        </w:rPr>
        <w:t>DEL SEXENIO PASADO AL CAMBIO DE GOBIERNO</w:t>
      </w:r>
    </w:p>
    <w:p w:rsidR="00941D85" w:rsidRPr="00941D85" w:rsidRDefault="00941D85" w:rsidP="00941D85">
      <w:pPr>
        <w:pBdr>
          <w:top w:val="nil"/>
          <w:left w:val="nil"/>
          <w:bottom w:val="nil"/>
          <w:right w:val="nil"/>
          <w:between w:val="nil"/>
        </w:pBdr>
        <w:spacing w:after="0" w:line="276" w:lineRule="auto"/>
        <w:jc w:val="both"/>
        <w:rPr>
          <w:rFonts w:ascii="Times New Roman" w:hAnsi="Times New Roman" w:cs="Times New Roman"/>
          <w:u w:val="single"/>
        </w:rPr>
      </w:pPr>
    </w:p>
    <w:p w:rsidR="00941D85" w:rsidRPr="004B2971" w:rsidRDefault="00941D85" w:rsidP="004B2971">
      <w:pPr>
        <w:pStyle w:val="ListParagraph"/>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b/>
        </w:rPr>
      </w:pPr>
      <w:r w:rsidRPr="004B2971">
        <w:rPr>
          <w:rFonts w:ascii="Times New Roman" w:eastAsia="Times New Roman" w:hAnsi="Times New Roman" w:cs="Times New Roman"/>
          <w:b/>
        </w:rPr>
        <w:t>INTRODUCCIÓN</w:t>
      </w:r>
    </w:p>
    <w:p w:rsidR="00941D85" w:rsidRPr="00941D85" w:rsidRDefault="00941D85" w:rsidP="00941D85">
      <w:pPr>
        <w:pBdr>
          <w:top w:val="nil"/>
          <w:left w:val="nil"/>
          <w:bottom w:val="nil"/>
          <w:right w:val="nil"/>
          <w:between w:val="nil"/>
        </w:pBdr>
        <w:spacing w:after="0" w:line="276" w:lineRule="auto"/>
        <w:jc w:val="both"/>
        <w:rPr>
          <w:rFonts w:ascii="Times New Roman" w:eastAsia="Times New Roman" w:hAnsi="Times New Roman" w:cs="Times New Roman"/>
        </w:rPr>
      </w:pPr>
    </w:p>
    <w:p w:rsidR="00941D85" w:rsidRPr="00941D85" w:rsidRDefault="00177EEB" w:rsidP="00941D8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00941D85" w:rsidRPr="00941D85">
        <w:rPr>
          <w:rFonts w:ascii="Times New Roman" w:eastAsia="Times New Roman" w:hAnsi="Times New Roman" w:cs="Times New Roman"/>
        </w:rPr>
        <w:t>El presente informe recoge algunos de los principales pendientes y retos para la debida protección y garantía de los derechos reconocidos en el pacto internacional de derechos civiles y políticos ratificado por México en el año 1981. La situación descrita en este documento recoge mayormente la información, hechos e impactos generados en el sexenio anterior (2012-2018), sin embargo, y dado el cambio de gobierno de julio de 2018 el presente informe también aborda los primeros meses de la actual gestión y las acciones de gobierno nuevas, de continuidad o ausentes en materia de derechos humanos.</w:t>
      </w:r>
    </w:p>
    <w:p w:rsidR="00941D85" w:rsidRPr="00941D85" w:rsidRDefault="00941D85" w:rsidP="00941D85">
      <w:pPr>
        <w:pBdr>
          <w:top w:val="nil"/>
          <w:left w:val="nil"/>
          <w:bottom w:val="nil"/>
          <w:right w:val="nil"/>
          <w:between w:val="nil"/>
        </w:pBdr>
        <w:spacing w:after="0" w:line="276" w:lineRule="auto"/>
        <w:jc w:val="both"/>
        <w:rPr>
          <w:rFonts w:ascii="Times New Roman" w:eastAsia="Times New Roman" w:hAnsi="Times New Roman" w:cs="Times New Roman"/>
        </w:rPr>
      </w:pPr>
    </w:p>
    <w:p w:rsidR="00941D85" w:rsidRPr="00941D85" w:rsidRDefault="00177EEB" w:rsidP="00941D8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00941D85" w:rsidRPr="00941D85">
        <w:rPr>
          <w:rFonts w:ascii="Times New Roman" w:eastAsia="Times New Roman" w:hAnsi="Times New Roman" w:cs="Times New Roman"/>
        </w:rPr>
        <w:t xml:space="preserve">México atraviesa todavía por una crisis de derechos humanos que amerita la acción efectiva e inmediata de todo el aparato estatal, para responder y solventar la deuda histórica con las personas, comunidades y grupos que han visto mayormente afectada su dignidad. Tal situación hace necesaria la colaboración y participación de todos los actores interesados en revertir esta crisis, por ello es indudable el aporte y trabajo cotidiano de las personas defensoras de derechos humanos y sus organizaciones sociales. </w:t>
      </w:r>
    </w:p>
    <w:p w:rsidR="00941D85" w:rsidRPr="00941D85" w:rsidRDefault="00941D85" w:rsidP="00941D85">
      <w:pPr>
        <w:spacing w:line="276" w:lineRule="auto"/>
        <w:rPr>
          <w:rFonts w:ascii="Times New Roman" w:hAnsi="Times New Roman" w:cs="Times New Roman"/>
          <w:b/>
        </w:rPr>
      </w:pPr>
    </w:p>
    <w:p w:rsidR="00941D85" w:rsidRDefault="00941D85" w:rsidP="004B2971">
      <w:pPr>
        <w:pStyle w:val="ListParagraph"/>
        <w:numPr>
          <w:ilvl w:val="0"/>
          <w:numId w:val="24"/>
        </w:numPr>
        <w:spacing w:line="276" w:lineRule="auto"/>
        <w:jc w:val="both"/>
        <w:rPr>
          <w:rFonts w:ascii="Times New Roman" w:eastAsia="Times New Roman" w:hAnsi="Times New Roman" w:cs="Times New Roman"/>
          <w:b/>
        </w:rPr>
      </w:pPr>
      <w:r w:rsidRPr="004B2971">
        <w:rPr>
          <w:rFonts w:ascii="Times New Roman" w:eastAsia="Times New Roman" w:hAnsi="Times New Roman" w:cs="Times New Roman"/>
          <w:b/>
        </w:rPr>
        <w:t>ACCESO A LA JUSTICIA PARA LAS VÍCTIMAS Y LUCHA CONTRA LA IMPUNIDAD</w:t>
      </w:r>
    </w:p>
    <w:p w:rsidR="004B2971" w:rsidRPr="008159B0" w:rsidRDefault="004B2971" w:rsidP="004B2971">
      <w:pPr>
        <w:spacing w:after="0" w:line="276" w:lineRule="auto"/>
        <w:jc w:val="both"/>
        <w:rPr>
          <w:rFonts w:ascii="Times New Roman" w:eastAsia="Times New Roman" w:hAnsi="Times New Roman" w:cs="Times New Roman"/>
          <w:b/>
        </w:rPr>
      </w:pPr>
    </w:p>
    <w:p w:rsidR="00941D85" w:rsidRPr="008159B0" w:rsidRDefault="004B2971" w:rsidP="004B2971">
      <w:pPr>
        <w:pStyle w:val="ListParagraph"/>
        <w:numPr>
          <w:ilvl w:val="1"/>
          <w:numId w:val="24"/>
        </w:numPr>
        <w:spacing w:line="276" w:lineRule="auto"/>
        <w:jc w:val="both"/>
        <w:rPr>
          <w:rFonts w:ascii="Times New Roman" w:eastAsia="Times New Roman" w:hAnsi="Times New Roman" w:cs="Times New Roman"/>
          <w:b/>
        </w:rPr>
      </w:pPr>
      <w:r w:rsidRPr="008159B0">
        <w:rPr>
          <w:rFonts w:ascii="Times New Roman" w:hAnsi="Times New Roman" w:cs="Times New Roman"/>
          <w:b/>
          <w:bCs/>
          <w:color w:val="000000"/>
        </w:rPr>
        <w:t xml:space="preserve">Derechos de las víctimas: </w:t>
      </w:r>
      <w:r w:rsidR="00941D85" w:rsidRPr="008159B0">
        <w:rPr>
          <w:rFonts w:ascii="Times New Roman" w:hAnsi="Times New Roman" w:cs="Times New Roman"/>
          <w:b/>
          <w:bCs/>
          <w:color w:val="000000"/>
        </w:rPr>
        <w:t>verdad, justicia, reparación y no repetición</w:t>
      </w:r>
    </w:p>
    <w:p w:rsidR="004B2971" w:rsidRDefault="00177EEB" w:rsidP="004B2971">
      <w:pPr>
        <w:jc w:val="both"/>
        <w:rPr>
          <w:rFonts w:ascii="Times New Roman" w:hAnsi="Times New Roman" w:cs="Times New Roman"/>
        </w:rPr>
      </w:pPr>
      <w:r>
        <w:rPr>
          <w:rFonts w:ascii="Times New Roman" w:eastAsia="Times New Roman" w:hAnsi="Times New Roman" w:cs="Times New Roman"/>
          <w:color w:val="000000"/>
        </w:rPr>
        <w:t xml:space="preserve">3. </w:t>
      </w:r>
      <w:r w:rsidR="004B2971">
        <w:rPr>
          <w:rFonts w:ascii="Times New Roman" w:eastAsia="Times New Roman" w:hAnsi="Times New Roman" w:cs="Times New Roman"/>
          <w:color w:val="000000"/>
        </w:rPr>
        <w:t>La</w:t>
      </w:r>
      <w:r w:rsidR="004B2971" w:rsidRPr="009F1CB9">
        <w:rPr>
          <w:rFonts w:ascii="Times New Roman" w:eastAsia="Times New Roman" w:hAnsi="Times New Roman" w:cs="Times New Roman"/>
          <w:color w:val="000000"/>
        </w:rPr>
        <w:t xml:space="preserve"> crisis de derechos humanos</w:t>
      </w:r>
      <w:r w:rsidR="004B2971">
        <w:rPr>
          <w:rFonts w:ascii="Times New Roman" w:eastAsia="Times New Roman" w:hAnsi="Times New Roman" w:cs="Times New Roman"/>
          <w:color w:val="000000"/>
        </w:rPr>
        <w:t xml:space="preserve"> en México</w:t>
      </w:r>
      <w:r w:rsidR="004B2971" w:rsidRPr="009F1CB9">
        <w:rPr>
          <w:rFonts w:ascii="Times New Roman" w:eastAsia="Times New Roman" w:hAnsi="Times New Roman" w:cs="Times New Roman"/>
          <w:color w:val="000000"/>
        </w:rPr>
        <w:t xml:space="preserve"> </w:t>
      </w:r>
      <w:r w:rsidR="004B2971">
        <w:rPr>
          <w:rFonts w:ascii="Times New Roman" w:eastAsia="Times New Roman" w:hAnsi="Times New Roman" w:cs="Times New Roman"/>
          <w:color w:val="000000"/>
        </w:rPr>
        <w:t>esta en</w:t>
      </w:r>
      <w:r w:rsidR="004B2971" w:rsidRPr="009F1CB9">
        <w:rPr>
          <w:rFonts w:ascii="Times New Roman" w:eastAsia="Times New Roman" w:hAnsi="Times New Roman" w:cs="Times New Roman"/>
          <w:color w:val="000000"/>
        </w:rPr>
        <w:t xml:space="preserve"> constante incremento</w:t>
      </w:r>
      <w:r w:rsidR="004B2971">
        <w:rPr>
          <w:rFonts w:ascii="Times New Roman" w:eastAsia="Times New Roman" w:hAnsi="Times New Roman" w:cs="Times New Roman"/>
          <w:color w:val="000000"/>
        </w:rPr>
        <w:t xml:space="preserve"> y </w:t>
      </w:r>
      <w:r w:rsidR="004B2971" w:rsidRPr="009F1CB9">
        <w:rPr>
          <w:rFonts w:ascii="Times New Roman" w:eastAsia="Times New Roman" w:hAnsi="Times New Roman" w:cs="Times New Roman"/>
          <w:color w:val="000000"/>
        </w:rPr>
        <w:t>se caracteriza por los impactos de un modelo de seguridad militarizado</w:t>
      </w:r>
      <w:r w:rsidR="004B2971">
        <w:rPr>
          <w:rFonts w:ascii="Times New Roman" w:eastAsia="Times New Roman" w:hAnsi="Times New Roman" w:cs="Times New Roman"/>
          <w:color w:val="000000"/>
        </w:rPr>
        <w:t xml:space="preserve"> y</w:t>
      </w:r>
      <w:r w:rsidR="004B2971" w:rsidRPr="009F1CB9">
        <w:rPr>
          <w:rFonts w:ascii="Times New Roman" w:eastAsia="Times New Roman" w:hAnsi="Times New Roman" w:cs="Times New Roman"/>
          <w:color w:val="000000"/>
        </w:rPr>
        <w:t xml:space="preserve"> por la violencia que enfrentan comunidades y personas</w:t>
      </w:r>
      <w:r w:rsidR="004B2971">
        <w:rPr>
          <w:rFonts w:ascii="Times New Roman" w:eastAsia="Times New Roman" w:hAnsi="Times New Roman" w:cs="Times New Roman"/>
          <w:color w:val="000000"/>
        </w:rPr>
        <w:t xml:space="preserve">, </w:t>
      </w:r>
      <w:r w:rsidR="004B2971" w:rsidRPr="00B863BB">
        <w:rPr>
          <w:rFonts w:ascii="Times New Roman" w:hAnsi="Times New Roman" w:cs="Times New Roman"/>
        </w:rPr>
        <w:t>así como por la falta de acceso a la justicia y de una atención integral a las víctimas de violaciones graves a derechos humanos.</w:t>
      </w:r>
    </w:p>
    <w:p w:rsidR="004B2971" w:rsidRDefault="00177EEB" w:rsidP="004B2971">
      <w:pPr>
        <w:jc w:val="both"/>
        <w:rPr>
          <w:rFonts w:ascii="Times New Roman" w:eastAsia="Times New Roman" w:hAnsi="Times New Roman" w:cs="Times New Roman"/>
          <w:color w:val="000000"/>
        </w:rPr>
      </w:pPr>
      <w:r>
        <w:rPr>
          <w:rFonts w:ascii="Times New Roman" w:hAnsi="Times New Roman" w:cs="Times New Roman"/>
        </w:rPr>
        <w:t xml:space="preserve">4. </w:t>
      </w:r>
      <w:r w:rsidR="004B2971" w:rsidRPr="00B863BB">
        <w:rPr>
          <w:rFonts w:ascii="Times New Roman" w:hAnsi="Times New Roman" w:cs="Times New Roman"/>
        </w:rPr>
        <w:t xml:space="preserve">Durante los últimos años se han presentado algunos avances normativos en materia de violaciones graves a derechos humanos (por ejemplo, la Ley General de Atención a Víctimas en 2013), impulsados mayoritariamente por colectivos de víctimas y organizaciones de la sociedad civil </w:t>
      </w:r>
      <w:r w:rsidR="004B2971">
        <w:rPr>
          <w:rFonts w:ascii="Times New Roman" w:hAnsi="Times New Roman" w:cs="Times New Roman"/>
        </w:rPr>
        <w:t xml:space="preserve">-que las acompañan- </w:t>
      </w:r>
      <w:r w:rsidR="004B2971" w:rsidRPr="00B863BB">
        <w:rPr>
          <w:rFonts w:ascii="Times New Roman" w:hAnsi="Times New Roman" w:cs="Times New Roman"/>
        </w:rPr>
        <w:t xml:space="preserve">que </w:t>
      </w:r>
      <w:r w:rsidR="004B2971" w:rsidRPr="001C4DE2">
        <w:rPr>
          <w:rFonts w:ascii="Times New Roman" w:eastAsia="Times New Roman" w:hAnsi="Times New Roman" w:cs="Times New Roman"/>
          <w:color w:val="000000"/>
        </w:rPr>
        <w:t xml:space="preserve">se han organizado y agrupado para impulsar acciones con el objetivo de contar con mecanismos que garanticen su acceso a la justicia. </w:t>
      </w:r>
    </w:p>
    <w:p w:rsidR="004B2971" w:rsidRPr="004B2971" w:rsidRDefault="00177EEB" w:rsidP="004B2971">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sidR="004B2971" w:rsidRPr="001C4DE2">
        <w:rPr>
          <w:rFonts w:ascii="Times New Roman" w:eastAsia="Times New Roman" w:hAnsi="Times New Roman" w:cs="Times New Roman"/>
          <w:color w:val="000000"/>
        </w:rPr>
        <w:t>Existe un marco normativo de atención</w:t>
      </w:r>
      <w:r w:rsidR="004504F5">
        <w:rPr>
          <w:rFonts w:ascii="Times New Roman" w:eastAsia="Times New Roman" w:hAnsi="Times New Roman" w:cs="Times New Roman"/>
          <w:color w:val="000000"/>
        </w:rPr>
        <w:t xml:space="preserve"> (</w:t>
      </w:r>
      <w:r w:rsidR="004504F5" w:rsidRPr="009F1CB9">
        <w:rPr>
          <w:rFonts w:ascii="Times New Roman" w:eastAsia="Times New Roman" w:hAnsi="Times New Roman" w:cs="Times New Roman"/>
          <w:color w:val="000000"/>
        </w:rPr>
        <w:t>Modelo</w:t>
      </w:r>
      <w:r w:rsidR="004504F5">
        <w:rPr>
          <w:rFonts w:ascii="Times New Roman" w:eastAsia="Times New Roman" w:hAnsi="Times New Roman" w:cs="Times New Roman"/>
          <w:color w:val="000000"/>
        </w:rPr>
        <w:t xml:space="preserve"> Integral de Atención a Víctimas (M</w:t>
      </w:r>
      <w:r w:rsidR="004504F5" w:rsidRPr="009F1CB9">
        <w:rPr>
          <w:rFonts w:ascii="Times New Roman" w:eastAsia="Times New Roman" w:hAnsi="Times New Roman" w:cs="Times New Roman"/>
          <w:color w:val="000000"/>
        </w:rPr>
        <w:t>I</w:t>
      </w:r>
      <w:r w:rsidR="004504F5">
        <w:rPr>
          <w:rFonts w:ascii="Times New Roman" w:eastAsia="Times New Roman" w:hAnsi="Times New Roman" w:cs="Times New Roman"/>
          <w:color w:val="000000"/>
        </w:rPr>
        <w:t>A</w:t>
      </w:r>
      <w:r w:rsidR="004504F5" w:rsidRPr="009F1CB9">
        <w:rPr>
          <w:rFonts w:ascii="Times New Roman" w:eastAsia="Times New Roman" w:hAnsi="Times New Roman" w:cs="Times New Roman"/>
          <w:color w:val="000000"/>
        </w:rPr>
        <w:t>V) y el Modelo de Atención Integral en Salud (MAIS)</w:t>
      </w:r>
      <w:r w:rsidR="004504F5">
        <w:rPr>
          <w:rFonts w:ascii="Times New Roman" w:eastAsia="Times New Roman" w:hAnsi="Times New Roman" w:cs="Times New Roman"/>
          <w:color w:val="000000"/>
        </w:rPr>
        <w:t>)</w:t>
      </w:r>
      <w:r w:rsidR="004B2971" w:rsidRPr="001C4DE2">
        <w:rPr>
          <w:rFonts w:ascii="Times New Roman" w:eastAsia="Times New Roman" w:hAnsi="Times New Roman" w:cs="Times New Roman"/>
          <w:color w:val="000000"/>
        </w:rPr>
        <w:t xml:space="preserve">, sin embargo, el sistema a nivel federal y estatal enfrenta diversas problemáticas, entre ellas, la inadecuada operación de la Comisión Ejecutiva de Atención a Víctimas (CEAV), las dificultades a las que se enfrentan las víctimas en el acceso a sus derechos y el no reconocimiento como víctimas de graves violaciones a los derechos humanos, por mencionar algunas. </w:t>
      </w:r>
    </w:p>
    <w:p w:rsidR="004B2971" w:rsidRPr="001C4DE2" w:rsidRDefault="00177EEB" w:rsidP="004B2971">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6. </w:t>
      </w:r>
      <w:r w:rsidR="004B2971" w:rsidRPr="001C4DE2">
        <w:rPr>
          <w:rFonts w:ascii="Times New Roman" w:eastAsia="Times New Roman" w:hAnsi="Times New Roman" w:cs="Times New Roman"/>
          <w:color w:val="000000"/>
        </w:rPr>
        <w:t>Por lo tanto, resulta necesario que el Sistema General de Atención a Víctimas sea un mecanismo integral con visión de Estado, que ayude efectivamente a garantizar los derechos de justicia, verdad, reparación y no repetición de las víctimas que habitan y transitan en México.</w:t>
      </w:r>
    </w:p>
    <w:p w:rsidR="00B863BB" w:rsidRPr="00B863BB" w:rsidRDefault="00177EEB" w:rsidP="00B863BB">
      <w:pPr>
        <w:jc w:val="both"/>
        <w:rPr>
          <w:rFonts w:ascii="Times New Roman" w:hAnsi="Times New Roman" w:cs="Times New Roman"/>
        </w:rPr>
      </w:pPr>
      <w:r>
        <w:rPr>
          <w:rFonts w:ascii="Times New Roman" w:hAnsi="Times New Roman" w:cs="Times New Roman"/>
        </w:rPr>
        <w:t xml:space="preserve">7. </w:t>
      </w:r>
      <w:r w:rsidR="004B2971">
        <w:rPr>
          <w:rFonts w:ascii="Times New Roman" w:hAnsi="Times New Roman" w:cs="Times New Roman"/>
        </w:rPr>
        <w:t>Adiciona</w:t>
      </w:r>
      <w:r w:rsidR="00567BE7">
        <w:rPr>
          <w:rFonts w:ascii="Times New Roman" w:hAnsi="Times New Roman" w:cs="Times New Roman"/>
        </w:rPr>
        <w:t>l</w:t>
      </w:r>
      <w:r w:rsidR="004B2971">
        <w:rPr>
          <w:rFonts w:ascii="Times New Roman" w:hAnsi="Times New Roman" w:cs="Times New Roman"/>
        </w:rPr>
        <w:t xml:space="preserve">mente, el </w:t>
      </w:r>
      <w:r w:rsidR="00B863BB" w:rsidRPr="00B863BB">
        <w:rPr>
          <w:rFonts w:ascii="Times New Roman" w:hAnsi="Times New Roman" w:cs="Times New Roman"/>
        </w:rPr>
        <w:t>Estado ha llevado a cabo medidas legislativas de carácter regresivo, tales como la ampliación del catálogo de delitos que ameritan prisión preventiva.</w:t>
      </w:r>
      <w:r w:rsidR="008159B0">
        <w:rPr>
          <w:rStyle w:val="EndnoteReference"/>
          <w:rFonts w:ascii="Times New Roman" w:hAnsi="Times New Roman" w:cs="Times New Roman"/>
        </w:rPr>
        <w:endnoteReference w:id="1"/>
      </w:r>
      <w:r w:rsidR="00B863BB" w:rsidRPr="00B863BB">
        <w:rPr>
          <w:rFonts w:ascii="Times New Roman" w:hAnsi="Times New Roman" w:cs="Times New Roman"/>
        </w:rPr>
        <w:t xml:space="preserve"> Igualmente, la actual administración inició procesos de verdad y justicia que cada vez están ocupando un lugar menor en la agenda de prioridades, aunado esto a la ausencia de mecanismos de participación de las víctimas para la adopción de medidas efectivas que garanticen la no repetición de violaciones graves a derechos humanos.</w:t>
      </w:r>
    </w:p>
    <w:p w:rsidR="00941D85" w:rsidRPr="00941D85" w:rsidRDefault="00941D85" w:rsidP="00941D85">
      <w:pPr>
        <w:spacing w:after="0" w:line="276" w:lineRule="auto"/>
        <w:jc w:val="both"/>
        <w:rPr>
          <w:rFonts w:ascii="Times New Roman" w:eastAsia="Times New Roman" w:hAnsi="Times New Roman" w:cs="Times New Roman"/>
          <w:b/>
          <w:i/>
        </w:rPr>
      </w:pPr>
      <w:r w:rsidRPr="00941D85">
        <w:rPr>
          <w:rFonts w:ascii="Times New Roman" w:eastAsia="Times New Roman" w:hAnsi="Times New Roman" w:cs="Times New Roman"/>
          <w:b/>
          <w:i/>
          <w:color w:val="000000"/>
        </w:rPr>
        <w:t>Recomendaciones: </w:t>
      </w:r>
    </w:p>
    <w:p w:rsidR="004B2971" w:rsidRPr="009F1CB9" w:rsidRDefault="004B2971" w:rsidP="004B2971">
      <w:pPr>
        <w:numPr>
          <w:ilvl w:val="0"/>
          <w:numId w:val="8"/>
        </w:numPr>
        <w:spacing w:after="0" w:line="276" w:lineRule="auto"/>
        <w:jc w:val="both"/>
        <w:textAlignment w:val="baseline"/>
        <w:rPr>
          <w:rFonts w:ascii="Times New Roman" w:eastAsia="Times New Roman" w:hAnsi="Times New Roman" w:cs="Times New Roman"/>
          <w:color w:val="000000"/>
        </w:rPr>
      </w:pPr>
      <w:r w:rsidRPr="009F1CB9">
        <w:rPr>
          <w:rFonts w:ascii="Times New Roman" w:eastAsia="Times New Roman" w:hAnsi="Times New Roman" w:cs="Times New Roman"/>
          <w:color w:val="000000"/>
        </w:rPr>
        <w:t>Procurar atender la crisis de derechos humanos con una visión de Estado, poniendo al centro la participación efectiva de las víctimas. </w:t>
      </w:r>
    </w:p>
    <w:p w:rsidR="004B2971" w:rsidRDefault="004B2971" w:rsidP="004B2971">
      <w:pPr>
        <w:numPr>
          <w:ilvl w:val="0"/>
          <w:numId w:val="8"/>
        </w:numPr>
        <w:spacing w:after="0" w:line="276" w:lineRule="auto"/>
        <w:jc w:val="both"/>
        <w:textAlignment w:val="baseline"/>
        <w:rPr>
          <w:rFonts w:ascii="Times New Roman" w:eastAsia="Times New Roman" w:hAnsi="Times New Roman" w:cs="Times New Roman"/>
          <w:color w:val="000000"/>
        </w:rPr>
      </w:pPr>
      <w:r w:rsidRPr="009F1CB9">
        <w:rPr>
          <w:rFonts w:ascii="Times New Roman" w:eastAsia="Times New Roman" w:hAnsi="Times New Roman" w:cs="Times New Roman"/>
          <w:color w:val="000000"/>
        </w:rPr>
        <w:t xml:space="preserve">Atender adecuadamente las necesidades expresadas por colectivos de víctimas y organizaciones sociales, referidas a la implementación </w:t>
      </w:r>
      <w:r>
        <w:rPr>
          <w:rFonts w:ascii="Times New Roman" w:eastAsia="Times New Roman" w:hAnsi="Times New Roman" w:cs="Times New Roman"/>
          <w:color w:val="000000"/>
        </w:rPr>
        <w:t xml:space="preserve">o fortalecimiento de procesos </w:t>
      </w:r>
      <w:r w:rsidRPr="009F1CB9">
        <w:rPr>
          <w:rFonts w:ascii="Times New Roman" w:eastAsia="Times New Roman" w:hAnsi="Times New Roman" w:cs="Times New Roman"/>
          <w:color w:val="000000"/>
        </w:rPr>
        <w:t>encaminados a garantizar los derechos de las víctimas. </w:t>
      </w:r>
    </w:p>
    <w:p w:rsidR="004B2971" w:rsidRPr="003105A2" w:rsidRDefault="004B2971" w:rsidP="004B2971">
      <w:pPr>
        <w:numPr>
          <w:ilvl w:val="0"/>
          <w:numId w:val="8"/>
        </w:numPr>
        <w:spacing w:after="0" w:line="276" w:lineRule="auto"/>
        <w:jc w:val="both"/>
        <w:textAlignment w:val="baseline"/>
        <w:rPr>
          <w:rFonts w:ascii="Times New Roman" w:eastAsia="Times New Roman" w:hAnsi="Times New Roman" w:cs="Times New Roman"/>
          <w:color w:val="000000"/>
        </w:rPr>
      </w:pPr>
      <w:r w:rsidRPr="00C238E8">
        <w:rPr>
          <w:rFonts w:ascii="Times New Roman" w:eastAsia="Times New Roman" w:hAnsi="Times New Roman" w:cs="Times New Roman"/>
          <w:color w:val="000000"/>
        </w:rPr>
        <w:t>Generar estrategias de participación efectiva</w:t>
      </w:r>
      <w:r w:rsidR="0083116F">
        <w:rPr>
          <w:rFonts w:ascii="Times New Roman" w:eastAsia="Times New Roman" w:hAnsi="Times New Roman" w:cs="Times New Roman"/>
          <w:color w:val="000000"/>
        </w:rPr>
        <w:t xml:space="preserve"> de victimas</w:t>
      </w:r>
      <w:r w:rsidRPr="00C238E8">
        <w:rPr>
          <w:rFonts w:ascii="Times New Roman" w:eastAsia="Times New Roman" w:hAnsi="Times New Roman" w:cs="Times New Roman"/>
          <w:color w:val="000000"/>
        </w:rPr>
        <w:t xml:space="preserve"> para discutir la pertinencia de mecanismos extraordinarios de justicia y verdad, encaminados a la no repetición de graves violaciones a los derechos. </w:t>
      </w:r>
    </w:p>
    <w:p w:rsidR="004B2971" w:rsidRPr="00795CDF" w:rsidRDefault="004B2971" w:rsidP="004B2971">
      <w:pPr>
        <w:pStyle w:val="ListParagraph"/>
        <w:numPr>
          <w:ilvl w:val="0"/>
          <w:numId w:val="5"/>
        </w:numPr>
        <w:spacing w:after="0" w:line="276" w:lineRule="auto"/>
        <w:jc w:val="both"/>
        <w:rPr>
          <w:rFonts w:ascii="Times New Roman" w:eastAsia="Times New Roman" w:hAnsi="Times New Roman" w:cs="Times New Roman"/>
          <w:b/>
          <w:szCs w:val="24"/>
        </w:rPr>
      </w:pPr>
      <w:r w:rsidRPr="00A61B70">
        <w:rPr>
          <w:rFonts w:ascii="Times New Roman" w:eastAsia="Times New Roman" w:hAnsi="Times New Roman" w:cs="Times New Roman"/>
          <w:color w:val="000000"/>
        </w:rPr>
        <w:t>Adecuar la Ley General de Víctimas en materia de reconocimiento de la calidad de víctima</w:t>
      </w:r>
      <w:r>
        <w:rPr>
          <w:rFonts w:ascii="Times New Roman" w:eastAsia="Times New Roman" w:hAnsi="Times New Roman" w:cs="Times New Roman"/>
          <w:color w:val="000000"/>
        </w:rPr>
        <w:t xml:space="preserve"> con el fin de </w:t>
      </w:r>
      <w:r w:rsidRPr="00A61B70">
        <w:rPr>
          <w:rFonts w:ascii="Times New Roman" w:eastAsia="Times New Roman" w:hAnsi="Times New Roman" w:cs="Times New Roman"/>
          <w:color w:val="000000"/>
        </w:rPr>
        <w:t>asegur</w:t>
      </w:r>
      <w:r>
        <w:rPr>
          <w:rFonts w:ascii="Times New Roman" w:eastAsia="Times New Roman" w:hAnsi="Times New Roman" w:cs="Times New Roman"/>
          <w:color w:val="000000"/>
        </w:rPr>
        <w:t>ar</w:t>
      </w:r>
      <w:r w:rsidRPr="00A61B70">
        <w:rPr>
          <w:rFonts w:ascii="Times New Roman" w:eastAsia="Times New Roman" w:hAnsi="Times New Roman" w:cs="Times New Roman"/>
          <w:color w:val="000000"/>
        </w:rPr>
        <w:t xml:space="preserve"> un trato integral. </w:t>
      </w:r>
    </w:p>
    <w:p w:rsidR="004B2971" w:rsidRPr="00591EEE" w:rsidRDefault="004B2971" w:rsidP="004B2971">
      <w:pPr>
        <w:pStyle w:val="ListParagraph"/>
        <w:numPr>
          <w:ilvl w:val="0"/>
          <w:numId w:val="5"/>
        </w:numPr>
        <w:spacing w:after="0" w:line="276" w:lineRule="auto"/>
        <w:jc w:val="both"/>
        <w:rPr>
          <w:rFonts w:ascii="Times New Roman" w:eastAsia="Times New Roman" w:hAnsi="Times New Roman" w:cs="Times New Roman"/>
          <w:b/>
          <w:szCs w:val="24"/>
        </w:rPr>
      </w:pPr>
      <w:r>
        <w:rPr>
          <w:rFonts w:ascii="Times New Roman" w:eastAsia="Times New Roman" w:hAnsi="Times New Roman" w:cs="Times New Roman"/>
          <w:color w:val="000000"/>
        </w:rPr>
        <w:t>Hacer las modificaciones pertinentes al</w:t>
      </w:r>
      <w:r w:rsidRPr="009F1CB9">
        <w:rPr>
          <w:rFonts w:ascii="Times New Roman" w:eastAsia="Times New Roman" w:hAnsi="Times New Roman" w:cs="Times New Roman"/>
          <w:color w:val="000000"/>
        </w:rPr>
        <w:t xml:space="preserve"> Modelo </w:t>
      </w:r>
      <w:r>
        <w:rPr>
          <w:rFonts w:ascii="Times New Roman" w:eastAsia="Times New Roman" w:hAnsi="Times New Roman" w:cs="Times New Roman"/>
          <w:color w:val="000000"/>
        </w:rPr>
        <w:t>Integral de Atención a Víctimas (M</w:t>
      </w:r>
      <w:r w:rsidRPr="009F1CB9">
        <w:rPr>
          <w:rFonts w:ascii="Times New Roman" w:eastAsia="Times New Roman" w:hAnsi="Times New Roman" w:cs="Times New Roman"/>
          <w:color w:val="000000"/>
        </w:rPr>
        <w:t>I</w:t>
      </w:r>
      <w:r>
        <w:rPr>
          <w:rFonts w:ascii="Times New Roman" w:eastAsia="Times New Roman" w:hAnsi="Times New Roman" w:cs="Times New Roman"/>
          <w:color w:val="000000"/>
        </w:rPr>
        <w:t>A</w:t>
      </w:r>
      <w:r w:rsidRPr="009F1CB9">
        <w:rPr>
          <w:rFonts w:ascii="Times New Roman" w:eastAsia="Times New Roman" w:hAnsi="Times New Roman" w:cs="Times New Roman"/>
          <w:color w:val="000000"/>
        </w:rPr>
        <w:t>V) y el Modelo de Atención Integral en Salud (MAIS)</w:t>
      </w:r>
      <w:r>
        <w:rPr>
          <w:rFonts w:ascii="Times New Roman" w:eastAsia="Times New Roman" w:hAnsi="Times New Roman" w:cs="Times New Roman"/>
          <w:color w:val="000000"/>
        </w:rPr>
        <w:t xml:space="preserve"> para generar procesos de atención integrales, transparentes, asequibles y culturalmente adecuados.</w:t>
      </w:r>
    </w:p>
    <w:p w:rsidR="004B2971" w:rsidRPr="00397B50" w:rsidRDefault="004B2971" w:rsidP="004B2971">
      <w:pPr>
        <w:pStyle w:val="ListParagraph"/>
        <w:numPr>
          <w:ilvl w:val="0"/>
          <w:numId w:val="5"/>
        </w:numPr>
        <w:spacing w:after="0" w:line="276" w:lineRule="auto"/>
        <w:jc w:val="both"/>
        <w:rPr>
          <w:rFonts w:ascii="Times New Roman" w:eastAsia="Times New Roman" w:hAnsi="Times New Roman" w:cs="Times New Roman"/>
          <w:bCs/>
          <w:szCs w:val="24"/>
        </w:rPr>
      </w:pPr>
      <w:r w:rsidRPr="00397B50">
        <w:rPr>
          <w:rFonts w:ascii="Times New Roman" w:eastAsia="Times New Roman" w:hAnsi="Times New Roman" w:cs="Times New Roman"/>
          <w:bCs/>
          <w:szCs w:val="24"/>
        </w:rPr>
        <w:t xml:space="preserve">Generar los protocolos y estructuras necesarias para asegurar la atención a las víctimas con un enfoque basado en los derechos humanos. </w:t>
      </w:r>
    </w:p>
    <w:p w:rsidR="004B2971" w:rsidRPr="004B2971" w:rsidRDefault="004B2971" w:rsidP="004B2971">
      <w:pPr>
        <w:pStyle w:val="ListParagraph"/>
        <w:numPr>
          <w:ilvl w:val="0"/>
          <w:numId w:val="5"/>
        </w:numPr>
        <w:spacing w:after="0" w:line="276" w:lineRule="auto"/>
        <w:jc w:val="both"/>
        <w:rPr>
          <w:rFonts w:ascii="Times New Roman" w:eastAsia="Times New Roman" w:hAnsi="Times New Roman" w:cs="Times New Roman"/>
          <w:b/>
          <w:szCs w:val="24"/>
        </w:rPr>
      </w:pPr>
      <w:r w:rsidRPr="00AF1519">
        <w:rPr>
          <w:rFonts w:ascii="Times New Roman" w:eastAsia="Times New Roman" w:hAnsi="Times New Roman" w:cs="Times New Roman"/>
          <w:color w:val="000000"/>
        </w:rPr>
        <w:t>Eficientar los procesos de acceso al Fondo de Ayuda, Asistencia y Reparación de la Comisión Ejecutiva de Atención a Víctimas.</w:t>
      </w:r>
    </w:p>
    <w:p w:rsidR="001C4DE2" w:rsidRPr="004B2971" w:rsidRDefault="004B2971" w:rsidP="004B2971">
      <w:pPr>
        <w:pStyle w:val="ListParagraph"/>
        <w:numPr>
          <w:ilvl w:val="0"/>
          <w:numId w:val="5"/>
        </w:numPr>
        <w:spacing w:after="0" w:line="276" w:lineRule="auto"/>
        <w:jc w:val="both"/>
        <w:rPr>
          <w:rFonts w:ascii="Times New Roman" w:eastAsia="Times New Roman" w:hAnsi="Times New Roman" w:cs="Times New Roman"/>
          <w:b/>
          <w:szCs w:val="24"/>
        </w:rPr>
      </w:pPr>
      <w:r w:rsidRPr="004B2971">
        <w:rPr>
          <w:rFonts w:ascii="Times New Roman" w:eastAsia="Times New Roman" w:hAnsi="Times New Roman" w:cs="Times New Roman"/>
          <w:color w:val="000000"/>
        </w:rPr>
        <w:t>Fortalecer el enfoque de derechos humanos, interseccional y de género, entre funcionarios encargados de atender a las víctimas.</w:t>
      </w:r>
    </w:p>
    <w:p w:rsidR="004B2971" w:rsidRPr="004B2971" w:rsidRDefault="004B2971" w:rsidP="004B2971">
      <w:pPr>
        <w:pStyle w:val="ListParagraph"/>
        <w:spacing w:after="0" w:line="276" w:lineRule="auto"/>
        <w:jc w:val="both"/>
        <w:rPr>
          <w:rFonts w:ascii="Times New Roman" w:eastAsia="Times New Roman" w:hAnsi="Times New Roman" w:cs="Times New Roman"/>
          <w:b/>
          <w:szCs w:val="24"/>
        </w:rPr>
      </w:pPr>
    </w:p>
    <w:p w:rsidR="00941D85" w:rsidRPr="008159B0" w:rsidRDefault="00941D85" w:rsidP="004B2971">
      <w:pPr>
        <w:pStyle w:val="ListParagraph"/>
        <w:numPr>
          <w:ilvl w:val="1"/>
          <w:numId w:val="24"/>
        </w:numPr>
        <w:spacing w:after="0" w:line="276" w:lineRule="auto"/>
        <w:jc w:val="both"/>
        <w:textAlignment w:val="baseline"/>
        <w:rPr>
          <w:rFonts w:ascii="Times New Roman" w:eastAsia="Times New Roman" w:hAnsi="Times New Roman" w:cs="Times New Roman"/>
          <w:b/>
          <w:bCs/>
          <w:color w:val="000000"/>
        </w:rPr>
      </w:pPr>
      <w:r w:rsidRPr="008159B0">
        <w:rPr>
          <w:rFonts w:ascii="Times New Roman" w:eastAsia="Times New Roman" w:hAnsi="Times New Roman" w:cs="Times New Roman"/>
          <w:b/>
          <w:bCs/>
          <w:color w:val="000000"/>
        </w:rPr>
        <w:t xml:space="preserve">Modelo de seguridad militarizado </w:t>
      </w:r>
    </w:p>
    <w:p w:rsidR="009B0C97" w:rsidRDefault="009B0C97" w:rsidP="009B0C97">
      <w:pPr>
        <w:spacing w:after="0" w:line="276" w:lineRule="auto"/>
        <w:jc w:val="both"/>
        <w:rPr>
          <w:rFonts w:ascii="Times New Roman" w:eastAsia="Times New Roman" w:hAnsi="Times New Roman" w:cs="Times New Roman"/>
          <w:color w:val="000000"/>
        </w:rPr>
      </w:pPr>
    </w:p>
    <w:p w:rsidR="00B863BB" w:rsidRDefault="00177EEB" w:rsidP="009B0C97">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sidR="00B863BB" w:rsidRPr="00B863BB">
        <w:rPr>
          <w:rFonts w:ascii="Times New Roman" w:eastAsia="Times New Roman" w:hAnsi="Times New Roman" w:cs="Times New Roman"/>
          <w:color w:val="000000"/>
        </w:rPr>
        <w:t>La participación de las fuerzas armadas en tareas de seguridad pública y el proceso de militarización ha sido una constante en los últimos sexenios ocasionado graves violaciones a los derechos humanos para las personas que habitan o transitan en México, principalmente por el uso indiscriminado e ilegal de la fuerza por parte de militares en contra de civiles. </w:t>
      </w:r>
    </w:p>
    <w:p w:rsidR="004B2971" w:rsidRPr="00B863BB" w:rsidRDefault="004B2971" w:rsidP="009B0C97">
      <w:pPr>
        <w:spacing w:after="0" w:line="276" w:lineRule="auto"/>
        <w:jc w:val="both"/>
        <w:rPr>
          <w:rFonts w:ascii="Times New Roman" w:eastAsia="Times New Roman" w:hAnsi="Times New Roman" w:cs="Times New Roman"/>
          <w:color w:val="000000"/>
        </w:rPr>
      </w:pPr>
    </w:p>
    <w:p w:rsidR="00B863BB" w:rsidRPr="00B863BB" w:rsidRDefault="00177EEB" w:rsidP="00B863BB">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 </w:t>
      </w:r>
      <w:r w:rsidR="00B863BB" w:rsidRPr="00B863BB">
        <w:rPr>
          <w:rFonts w:ascii="Times New Roman" w:eastAsia="Times New Roman" w:hAnsi="Times New Roman" w:cs="Times New Roman"/>
          <w:color w:val="000000"/>
        </w:rPr>
        <w:t>Por ende, ni el uso de las fuerzas armadas ni el plan de combate a la delincuencia basado únicamente en la confrontación directa, contribuyen a la construcción de paz ni tampoco a la reducción de los casos de violaciones graves a derechos humanos</w:t>
      </w:r>
      <w:r w:rsidR="004B2971">
        <w:rPr>
          <w:rFonts w:ascii="Times New Roman" w:eastAsia="Times New Roman" w:hAnsi="Times New Roman" w:cs="Times New Roman"/>
          <w:color w:val="000000"/>
        </w:rPr>
        <w:t>.</w:t>
      </w:r>
    </w:p>
    <w:p w:rsidR="00941D85" w:rsidRDefault="00177EEB" w:rsidP="00B863BB">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10. </w:t>
      </w:r>
      <w:r w:rsidR="00B863BB" w:rsidRPr="00B863BB">
        <w:rPr>
          <w:rFonts w:ascii="Times New Roman" w:eastAsia="Times New Roman" w:hAnsi="Times New Roman" w:cs="Times New Roman"/>
          <w:color w:val="000000"/>
        </w:rPr>
        <w:t>Este modelo de militarización, como la recién creada Guardia Nacional, impide avanzar hacia un modelo de seguridad ciudadana y humana, y declinan la responsabilidad del Estado en fortalecer los cuerpos de seguridad civil, todo lo cual deriva en la falta de garantía para el pleno respeto y protección de los derechos humanos.</w:t>
      </w:r>
      <w:r w:rsidR="008159B0">
        <w:rPr>
          <w:rStyle w:val="EndnoteReference"/>
          <w:rFonts w:ascii="Times New Roman" w:eastAsia="Times New Roman" w:hAnsi="Times New Roman" w:cs="Times New Roman"/>
          <w:color w:val="000000"/>
        </w:rPr>
        <w:endnoteReference w:id="2"/>
      </w:r>
    </w:p>
    <w:p w:rsidR="004B2971" w:rsidRDefault="00177EEB" w:rsidP="004B2971">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sidR="004B2971">
        <w:rPr>
          <w:rFonts w:ascii="Times New Roman" w:eastAsia="Times New Roman" w:hAnsi="Times New Roman" w:cs="Times New Roman"/>
          <w:color w:val="000000"/>
        </w:rPr>
        <w:t xml:space="preserve">Siendo un resultado de este modelo de militarización el aumento del número de víctimas de graves violaciones a los derechos humanos, la impunidad y falta de acceso a la justicia en los casos de violaciones perpetradas por las fuerzas armadas. Las víctimas deberían tener como medidas de justicia y reparación, también la no repetición, la cual en el marco de este </w:t>
      </w:r>
      <w:r w:rsidR="00877049">
        <w:rPr>
          <w:rFonts w:ascii="Times New Roman" w:eastAsia="Times New Roman" w:hAnsi="Times New Roman" w:cs="Times New Roman"/>
          <w:color w:val="000000"/>
        </w:rPr>
        <w:t xml:space="preserve">modelo </w:t>
      </w:r>
      <w:r w:rsidR="004B2971">
        <w:rPr>
          <w:rFonts w:ascii="Times New Roman" w:eastAsia="Times New Roman" w:hAnsi="Times New Roman" w:cs="Times New Roman"/>
          <w:color w:val="000000"/>
        </w:rPr>
        <w:t xml:space="preserve">indicaría que las fuerzas armadas se retiren paulatinamente de las labores de seguridad pública. </w:t>
      </w:r>
    </w:p>
    <w:p w:rsidR="004B2971" w:rsidRPr="00B863BB" w:rsidRDefault="004B2971" w:rsidP="00B863BB">
      <w:pPr>
        <w:spacing w:line="276" w:lineRule="auto"/>
        <w:jc w:val="both"/>
        <w:rPr>
          <w:rFonts w:ascii="Times New Roman" w:eastAsia="Times New Roman" w:hAnsi="Times New Roman" w:cs="Times New Roman"/>
          <w:color w:val="000000"/>
        </w:rPr>
      </w:pPr>
    </w:p>
    <w:p w:rsidR="00941D85" w:rsidRPr="00941D85" w:rsidRDefault="00941D85" w:rsidP="00941D85">
      <w:pPr>
        <w:spacing w:after="0" w:line="276" w:lineRule="auto"/>
        <w:jc w:val="both"/>
        <w:textAlignment w:val="baseline"/>
        <w:rPr>
          <w:rFonts w:ascii="Times New Roman" w:eastAsia="Times New Roman" w:hAnsi="Times New Roman" w:cs="Times New Roman"/>
          <w:b/>
          <w:i/>
          <w:color w:val="000000"/>
        </w:rPr>
      </w:pPr>
      <w:r w:rsidRPr="00941D85">
        <w:rPr>
          <w:rFonts w:ascii="Times New Roman" w:eastAsia="Times New Roman" w:hAnsi="Times New Roman" w:cs="Times New Roman"/>
          <w:b/>
          <w:i/>
          <w:color w:val="000000"/>
        </w:rPr>
        <w:t>Recomendaciones:</w:t>
      </w:r>
    </w:p>
    <w:p w:rsidR="00877049" w:rsidRPr="00835153" w:rsidRDefault="00877049" w:rsidP="00877049">
      <w:pPr>
        <w:pStyle w:val="ListParagraph"/>
        <w:numPr>
          <w:ilvl w:val="0"/>
          <w:numId w:val="25"/>
        </w:numPr>
        <w:spacing w:after="0" w:line="276" w:lineRule="auto"/>
        <w:ind w:left="714" w:hanging="357"/>
        <w:jc w:val="both"/>
        <w:textAlignment w:val="baseline"/>
        <w:rPr>
          <w:rFonts w:ascii="Times New Roman" w:eastAsia="Times New Roman" w:hAnsi="Times New Roman" w:cs="Times New Roman"/>
          <w:b/>
          <w:color w:val="000000"/>
        </w:rPr>
      </w:pPr>
      <w:r w:rsidRPr="00835153">
        <w:rPr>
          <w:rFonts w:ascii="Times New Roman" w:eastAsia="Times New Roman" w:hAnsi="Times New Roman" w:cs="Times New Roman"/>
          <w:color w:val="000000"/>
        </w:rPr>
        <w:t>Contar con una política pública en materia de seguridad, basada en el fortalecimiento del orden civil y el respeto de los derechos humanos. </w:t>
      </w:r>
    </w:p>
    <w:p w:rsidR="00877049" w:rsidRPr="009F1CB9" w:rsidRDefault="00877049" w:rsidP="00877049">
      <w:pPr>
        <w:numPr>
          <w:ilvl w:val="0"/>
          <w:numId w:val="9"/>
        </w:numPr>
        <w:spacing w:after="0" w:line="276" w:lineRule="auto"/>
        <w:ind w:left="714" w:hanging="357"/>
        <w:jc w:val="both"/>
        <w:textAlignment w:val="baseline"/>
        <w:rPr>
          <w:rFonts w:ascii="Times New Roman" w:eastAsia="Times New Roman" w:hAnsi="Times New Roman" w:cs="Times New Roman"/>
          <w:color w:val="000000"/>
        </w:rPr>
      </w:pPr>
      <w:r w:rsidRPr="009F1CB9">
        <w:rPr>
          <w:rFonts w:ascii="Times New Roman" w:eastAsia="Times New Roman" w:hAnsi="Times New Roman" w:cs="Times New Roman"/>
          <w:color w:val="000000"/>
        </w:rPr>
        <w:t>Garantizar que las acciones y competencias de la Guardia Nacional estén reguladas a través de mecanismos y protocolos sobre el uso de la fuerza, bajo los principios de excepcionalidad, proporcionalidad, absoluta necesidad, y de acuerdo con la respectiva capacidad en la materia.  </w:t>
      </w:r>
    </w:p>
    <w:p w:rsidR="00877049" w:rsidRPr="009F1CB9" w:rsidRDefault="00877049" w:rsidP="00877049">
      <w:pPr>
        <w:numPr>
          <w:ilvl w:val="0"/>
          <w:numId w:val="9"/>
        </w:numPr>
        <w:spacing w:after="0" w:line="276" w:lineRule="auto"/>
        <w:ind w:left="714" w:hanging="357"/>
        <w:jc w:val="both"/>
        <w:textAlignment w:val="baseline"/>
        <w:rPr>
          <w:rFonts w:ascii="Times New Roman" w:eastAsia="Times New Roman" w:hAnsi="Times New Roman" w:cs="Times New Roman"/>
          <w:color w:val="000000"/>
        </w:rPr>
      </w:pPr>
      <w:r w:rsidRPr="009F1CB9">
        <w:rPr>
          <w:rFonts w:ascii="Times New Roman" w:eastAsia="Times New Roman" w:hAnsi="Times New Roman" w:cs="Times New Roman"/>
          <w:color w:val="000000"/>
        </w:rPr>
        <w:t>Garantizar que los posibles delitos y violaciones a los derechos humanos cometidos por fuerzas militares o civiles sean siempre juzgados por la jurisdicción civil. </w:t>
      </w:r>
    </w:p>
    <w:p w:rsidR="00877049" w:rsidRDefault="00877049" w:rsidP="00877049">
      <w:pPr>
        <w:numPr>
          <w:ilvl w:val="0"/>
          <w:numId w:val="9"/>
        </w:numPr>
        <w:spacing w:after="0" w:line="276" w:lineRule="auto"/>
        <w:ind w:left="714" w:hanging="357"/>
        <w:jc w:val="both"/>
        <w:textAlignment w:val="baseline"/>
        <w:rPr>
          <w:rFonts w:ascii="Times New Roman" w:eastAsia="Times New Roman" w:hAnsi="Times New Roman" w:cs="Times New Roman"/>
          <w:color w:val="000000"/>
        </w:rPr>
      </w:pPr>
      <w:r w:rsidRPr="009F1CB9">
        <w:rPr>
          <w:rFonts w:ascii="Times New Roman" w:eastAsia="Times New Roman" w:hAnsi="Times New Roman" w:cs="Times New Roman"/>
          <w:color w:val="000000"/>
        </w:rPr>
        <w:t>Generar un plan de retiro paulatino de las fuerzas armadas en las tareas de seguridad pública, considerando el fortalecimiento y reconfiguración de los cuerpos de seguridad civil. </w:t>
      </w:r>
    </w:p>
    <w:p w:rsidR="00941D85" w:rsidRDefault="00877049" w:rsidP="00877049">
      <w:pPr>
        <w:numPr>
          <w:ilvl w:val="0"/>
          <w:numId w:val="9"/>
        </w:numPr>
        <w:spacing w:after="0" w:line="276" w:lineRule="auto"/>
        <w:ind w:left="714" w:hanging="357"/>
        <w:jc w:val="both"/>
        <w:textAlignment w:val="baseline"/>
        <w:rPr>
          <w:rFonts w:ascii="Times New Roman" w:eastAsia="Times New Roman" w:hAnsi="Times New Roman" w:cs="Times New Roman"/>
          <w:color w:val="000000"/>
        </w:rPr>
      </w:pPr>
      <w:r w:rsidRPr="00877049">
        <w:rPr>
          <w:rFonts w:ascii="Times New Roman" w:eastAsia="Times New Roman" w:hAnsi="Times New Roman" w:cs="Times New Roman"/>
          <w:color w:val="000000"/>
        </w:rPr>
        <w:t>Diseñar una política pública encaminada a la construcción integral de procesos de paz, con estricto apego a los más altos estándares de derechos humanos que garantice el derecho de las víctimas a la no repetición.</w:t>
      </w:r>
    </w:p>
    <w:p w:rsidR="00877049" w:rsidRPr="00877049" w:rsidRDefault="00877049" w:rsidP="00877049">
      <w:pPr>
        <w:spacing w:after="0" w:line="240" w:lineRule="auto"/>
        <w:ind w:left="714"/>
        <w:jc w:val="both"/>
        <w:textAlignment w:val="baseline"/>
        <w:rPr>
          <w:rFonts w:ascii="Times New Roman" w:eastAsia="Times New Roman" w:hAnsi="Times New Roman" w:cs="Times New Roman"/>
          <w:color w:val="000000"/>
        </w:rPr>
      </w:pPr>
    </w:p>
    <w:p w:rsidR="000474DA" w:rsidRPr="008159B0" w:rsidRDefault="000474DA" w:rsidP="00877049">
      <w:pPr>
        <w:pStyle w:val="ListParagraph"/>
        <w:numPr>
          <w:ilvl w:val="1"/>
          <w:numId w:val="24"/>
        </w:numPr>
        <w:spacing w:line="276" w:lineRule="auto"/>
        <w:jc w:val="both"/>
        <w:rPr>
          <w:rFonts w:ascii="Times New Roman" w:hAnsi="Times New Roman" w:cs="Times New Roman"/>
          <w:b/>
        </w:rPr>
      </w:pPr>
      <w:r w:rsidRPr="008159B0">
        <w:rPr>
          <w:rFonts w:ascii="Times New Roman" w:hAnsi="Times New Roman" w:cs="Times New Roman"/>
          <w:b/>
        </w:rPr>
        <w:t>Perspectiva de género en el acceso a la justicia para las mujeres</w:t>
      </w:r>
    </w:p>
    <w:p w:rsidR="00642B58" w:rsidRPr="00877049" w:rsidRDefault="00177EEB" w:rsidP="00941D85">
      <w:pPr>
        <w:spacing w:after="0" w:line="276" w:lineRule="auto"/>
        <w:jc w:val="both"/>
        <w:rPr>
          <w:rFonts w:ascii="Times New Roman" w:eastAsia="Times New Roman" w:hAnsi="Times New Roman" w:cs="Times New Roman"/>
          <w:lang w:eastAsia="es-MX"/>
        </w:rPr>
      </w:pPr>
      <w:r>
        <w:rPr>
          <w:rFonts w:ascii="Times New Roman" w:eastAsia="Times New Roman" w:hAnsi="Times New Roman" w:cs="Times New Roman"/>
          <w:color w:val="000000"/>
        </w:rPr>
        <w:t xml:space="preserve">12. </w:t>
      </w:r>
      <w:r w:rsidR="00642B58" w:rsidRPr="00AF1519">
        <w:rPr>
          <w:rFonts w:ascii="Times New Roman" w:eastAsia="Times New Roman" w:hAnsi="Times New Roman" w:cs="Times New Roman"/>
          <w:color w:val="000000"/>
        </w:rPr>
        <w:t xml:space="preserve">La violencia de género y feminicida es uno de los </w:t>
      </w:r>
      <w:r w:rsidR="00642B58">
        <w:rPr>
          <w:rFonts w:ascii="Times New Roman" w:eastAsia="Times New Roman" w:hAnsi="Times New Roman" w:cs="Times New Roman"/>
          <w:color w:val="000000"/>
        </w:rPr>
        <w:t>problemas más graves en México</w:t>
      </w:r>
      <w:r w:rsidR="000474DA" w:rsidRPr="00941D85">
        <w:rPr>
          <w:rFonts w:ascii="Times New Roman" w:eastAsia="Times New Roman" w:hAnsi="Times New Roman" w:cs="Times New Roman"/>
          <w:color w:val="000000"/>
          <w:lang w:eastAsia="es-MX"/>
        </w:rPr>
        <w:t xml:space="preserve"> porque, desde el sexenio pasado hasta el día de hoy la violencia feminicida se está presentando en niveles radicales y extremos, a tal grado que </w:t>
      </w:r>
      <w:r w:rsidR="00642B58">
        <w:rPr>
          <w:rFonts w:ascii="Times New Roman" w:eastAsia="Times New Roman" w:hAnsi="Times New Roman" w:cs="Times New Roman"/>
          <w:color w:val="000000"/>
          <w:lang w:eastAsia="es-MX"/>
        </w:rPr>
        <w:t xml:space="preserve">se calcula que </w:t>
      </w:r>
      <w:r w:rsidR="000474DA" w:rsidRPr="00941D85">
        <w:rPr>
          <w:rFonts w:ascii="Times New Roman" w:eastAsia="Times New Roman" w:hAnsi="Times New Roman" w:cs="Times New Roman"/>
          <w:color w:val="000000"/>
          <w:lang w:eastAsia="es-MX"/>
        </w:rPr>
        <w:t>en el paí</w:t>
      </w:r>
      <w:r w:rsidR="00642B58">
        <w:rPr>
          <w:rFonts w:ascii="Times New Roman" w:eastAsia="Times New Roman" w:hAnsi="Times New Roman" w:cs="Times New Roman"/>
          <w:color w:val="000000"/>
          <w:lang w:eastAsia="es-MX"/>
        </w:rPr>
        <w:t>s mueren 10 mujeres diariamente.</w:t>
      </w:r>
      <w:r w:rsidR="00877049">
        <w:rPr>
          <w:rStyle w:val="EndnoteReference"/>
          <w:rFonts w:ascii="Times New Roman" w:eastAsia="Times New Roman" w:hAnsi="Times New Roman" w:cs="Times New Roman"/>
          <w:color w:val="000000"/>
          <w:lang w:eastAsia="es-MX"/>
        </w:rPr>
        <w:endnoteReference w:id="3"/>
      </w:r>
      <w:r w:rsidR="00642B58">
        <w:rPr>
          <w:rFonts w:ascii="Times New Roman" w:eastAsia="Times New Roman" w:hAnsi="Times New Roman" w:cs="Times New Roman"/>
          <w:lang w:eastAsia="es-MX"/>
        </w:rPr>
        <w:t xml:space="preserve"> </w:t>
      </w:r>
      <w:r w:rsidR="00877049">
        <w:rPr>
          <w:rFonts w:ascii="Times New Roman" w:eastAsia="Times New Roman" w:hAnsi="Times New Roman" w:cs="Times New Roman"/>
          <w:lang w:eastAsia="es-MX"/>
        </w:rPr>
        <w:t xml:space="preserve">Esta violencia afecta de manera diferenciada  las niñas y a las mujeres jóvenes, </w:t>
      </w:r>
      <w:r w:rsidR="00877049">
        <w:rPr>
          <w:rFonts w:ascii="Times New Roman" w:eastAsia="Times New Roman" w:hAnsi="Times New Roman" w:cs="Times New Roman"/>
          <w:color w:val="000000"/>
        </w:rPr>
        <w:t>264 niñas fueron víctimas de feminicidio entre 2015 y 2018, y 60 mil 463 fueron víctimas de violencia intrafamiliar.</w:t>
      </w:r>
      <w:r w:rsidR="00877049">
        <w:rPr>
          <w:rStyle w:val="EndnoteReference"/>
          <w:rFonts w:ascii="Times New Roman" w:eastAsia="Times New Roman" w:hAnsi="Times New Roman" w:cs="Times New Roman"/>
          <w:color w:val="000000"/>
        </w:rPr>
        <w:endnoteReference w:id="4"/>
      </w:r>
      <w:r w:rsidR="00877049">
        <w:rPr>
          <w:rFonts w:ascii="Times New Roman" w:eastAsia="Times New Roman" w:hAnsi="Times New Roman" w:cs="Times New Roman"/>
          <w:lang w:eastAsia="es-MX"/>
        </w:rPr>
        <w:t xml:space="preserve"> </w:t>
      </w:r>
      <w:r w:rsidR="00223385">
        <w:rPr>
          <w:rFonts w:ascii="Times New Roman" w:eastAsia="Times New Roman" w:hAnsi="Times New Roman" w:cs="Times New Roman"/>
          <w:color w:val="000000"/>
        </w:rPr>
        <w:t>Además, tanto niñas como niños son víctimas indirectas de la violencia de género y feminicida, debido a que muchos de ellos quedan huérfanos de madre, y en los casos donde no se encuentra el tutor la situación se agrava por la falta de medidas efectivas proporcionadas por el Estado que atiendan al interés superior de la niñez.</w:t>
      </w:r>
      <w:r w:rsidR="00DC359E">
        <w:rPr>
          <w:rStyle w:val="EndnoteReference"/>
          <w:rFonts w:ascii="Times New Roman" w:eastAsia="Times New Roman" w:hAnsi="Times New Roman" w:cs="Times New Roman"/>
          <w:color w:val="000000"/>
        </w:rPr>
        <w:endnoteReference w:id="5"/>
      </w:r>
      <w:r w:rsidR="00223385">
        <w:rPr>
          <w:rFonts w:ascii="Times New Roman" w:eastAsia="Times New Roman" w:hAnsi="Times New Roman" w:cs="Times New Roman"/>
          <w:color w:val="000000"/>
        </w:rPr>
        <w:t xml:space="preserve"> </w:t>
      </w:r>
      <w:r w:rsidR="000474DA" w:rsidRPr="00941D85">
        <w:rPr>
          <w:rFonts w:ascii="Times New Roman" w:eastAsia="Times New Roman" w:hAnsi="Times New Roman" w:cs="Times New Roman"/>
          <w:color w:val="000000"/>
          <w:lang w:eastAsia="es-MX"/>
        </w:rPr>
        <w:t>Aunque existen instrumentos jurídicos y avances normativos en la materia, se observa claramente la falta de preocupación del Estado mexicano para prevenir, atender y e</w:t>
      </w:r>
      <w:r w:rsidR="00642B58">
        <w:rPr>
          <w:rFonts w:ascii="Times New Roman" w:eastAsia="Times New Roman" w:hAnsi="Times New Roman" w:cs="Times New Roman"/>
          <w:color w:val="000000"/>
          <w:lang w:eastAsia="es-MX"/>
        </w:rPr>
        <w:t xml:space="preserve">rradicar la violencia de género. </w:t>
      </w:r>
    </w:p>
    <w:p w:rsidR="00642B58" w:rsidRDefault="00642B58" w:rsidP="00941D85">
      <w:pPr>
        <w:spacing w:after="0" w:line="276" w:lineRule="auto"/>
        <w:jc w:val="both"/>
        <w:rPr>
          <w:rFonts w:ascii="Times New Roman" w:eastAsia="Times New Roman" w:hAnsi="Times New Roman" w:cs="Times New Roman"/>
          <w:color w:val="000000"/>
          <w:lang w:eastAsia="es-MX"/>
        </w:rPr>
      </w:pPr>
    </w:p>
    <w:p w:rsidR="00642B58" w:rsidRDefault="00177EEB" w:rsidP="00642B58">
      <w:pPr>
        <w:spacing w:after="0" w:line="276" w:lineRule="auto"/>
        <w:jc w:val="both"/>
        <w:rPr>
          <w:rFonts w:ascii="Times New Roman" w:eastAsia="Times New Roman" w:hAnsi="Times New Roman" w:cs="Times New Roman"/>
          <w:lang w:eastAsia="es-MX"/>
        </w:rPr>
      </w:pPr>
      <w:r>
        <w:rPr>
          <w:rFonts w:ascii="Times New Roman" w:eastAsia="Times New Roman" w:hAnsi="Times New Roman" w:cs="Times New Roman"/>
          <w:color w:val="000000"/>
          <w:lang w:eastAsia="es-MX"/>
        </w:rPr>
        <w:t xml:space="preserve">13. </w:t>
      </w:r>
      <w:r w:rsidR="000474DA" w:rsidRPr="00941D85">
        <w:rPr>
          <w:rFonts w:ascii="Times New Roman" w:eastAsia="Times New Roman" w:hAnsi="Times New Roman" w:cs="Times New Roman"/>
          <w:color w:val="000000"/>
          <w:lang w:eastAsia="es-MX"/>
        </w:rPr>
        <w:t xml:space="preserve">Corroboran esto las múltiples fallas del sistema mexicano de procuración de justicia en relación a la violencia feminicida, porque, </w:t>
      </w:r>
      <w:r w:rsidR="00642B58" w:rsidRPr="00AF1519">
        <w:rPr>
          <w:rFonts w:ascii="Times New Roman" w:eastAsia="Times New Roman" w:hAnsi="Times New Roman" w:cs="Times New Roman"/>
          <w:color w:val="000000"/>
        </w:rPr>
        <w:t>entre otros motivos, las mujeres víctimas, enfrentan</w:t>
      </w:r>
      <w:r w:rsidR="00642B58">
        <w:rPr>
          <w:rFonts w:ascii="Times New Roman" w:eastAsia="Times New Roman" w:hAnsi="Times New Roman" w:cs="Times New Roman"/>
          <w:color w:val="000000"/>
        </w:rPr>
        <w:t xml:space="preserve"> un sistema que</w:t>
      </w:r>
      <w:r w:rsidR="00642B58" w:rsidRPr="00AF1519">
        <w:rPr>
          <w:rFonts w:ascii="Times New Roman" w:eastAsia="Times New Roman" w:hAnsi="Times New Roman" w:cs="Times New Roman"/>
          <w:color w:val="000000"/>
        </w:rPr>
        <w:t xml:space="preserve"> lejos de garantizar el acceso a la justicia</w:t>
      </w:r>
      <w:r w:rsidR="000474DA" w:rsidRPr="00941D85">
        <w:rPr>
          <w:rFonts w:ascii="Times New Roman" w:eastAsia="Times New Roman" w:hAnsi="Times New Roman" w:cs="Times New Roman"/>
          <w:color w:val="000000"/>
          <w:lang w:eastAsia="es-MX"/>
        </w:rPr>
        <w:t xml:space="preserve">, genera procesos de estigmatización, discriminación, </w:t>
      </w:r>
      <w:r w:rsidR="000474DA" w:rsidRPr="00941D85">
        <w:rPr>
          <w:rFonts w:ascii="Times New Roman" w:eastAsia="Times New Roman" w:hAnsi="Times New Roman" w:cs="Times New Roman"/>
          <w:color w:val="000000"/>
          <w:lang w:eastAsia="es-MX"/>
        </w:rPr>
        <w:lastRenderedPageBreak/>
        <w:t xml:space="preserve">criminalización y revictimización </w:t>
      </w:r>
      <w:r w:rsidR="00642B58">
        <w:rPr>
          <w:rFonts w:ascii="Times New Roman" w:eastAsia="Times New Roman" w:hAnsi="Times New Roman" w:cs="Times New Roman"/>
          <w:color w:val="000000"/>
          <w:lang w:eastAsia="es-MX"/>
        </w:rPr>
        <w:t>en su contra</w:t>
      </w:r>
      <w:r w:rsidR="000474DA" w:rsidRPr="00941D85">
        <w:rPr>
          <w:rFonts w:ascii="Times New Roman" w:eastAsia="Times New Roman" w:hAnsi="Times New Roman" w:cs="Times New Roman"/>
          <w:color w:val="000000"/>
          <w:lang w:eastAsia="es-MX"/>
        </w:rPr>
        <w:t>, y ejemplos relevantes de estas graves problemáticas son los casos de Mariana Lima Buendía</w:t>
      </w:r>
      <w:r w:rsidR="00877049">
        <w:rPr>
          <w:rStyle w:val="EndnoteReference"/>
          <w:rFonts w:ascii="Times New Roman" w:eastAsia="Times New Roman" w:hAnsi="Times New Roman" w:cs="Times New Roman"/>
          <w:color w:val="000000"/>
          <w:lang w:eastAsia="es-MX"/>
        </w:rPr>
        <w:endnoteReference w:id="6"/>
      </w:r>
      <w:r w:rsidR="000474DA" w:rsidRPr="00941D85">
        <w:rPr>
          <w:rFonts w:ascii="Times New Roman" w:eastAsia="Times New Roman" w:hAnsi="Times New Roman" w:cs="Times New Roman"/>
          <w:color w:val="000000"/>
          <w:lang w:eastAsia="es-MX"/>
        </w:rPr>
        <w:t xml:space="preserve"> y Lesvy Berlín Rivera Osorio</w:t>
      </w:r>
      <w:r w:rsidR="00877049">
        <w:rPr>
          <w:rStyle w:val="EndnoteReference"/>
          <w:rFonts w:ascii="Times New Roman" w:eastAsia="Times New Roman" w:hAnsi="Times New Roman" w:cs="Times New Roman"/>
          <w:color w:val="000000"/>
          <w:lang w:eastAsia="es-MX"/>
        </w:rPr>
        <w:endnoteReference w:id="7"/>
      </w:r>
      <w:r w:rsidR="000474DA" w:rsidRPr="00941D85">
        <w:rPr>
          <w:rFonts w:ascii="Times New Roman" w:eastAsia="Times New Roman" w:hAnsi="Times New Roman" w:cs="Times New Roman"/>
          <w:color w:val="000000"/>
          <w:lang w:eastAsia="es-MX"/>
        </w:rPr>
        <w:t>.</w:t>
      </w:r>
    </w:p>
    <w:p w:rsidR="00642B58" w:rsidRDefault="00642B58" w:rsidP="00642B58">
      <w:pPr>
        <w:spacing w:after="0" w:line="276" w:lineRule="auto"/>
        <w:jc w:val="both"/>
        <w:rPr>
          <w:rFonts w:ascii="Times New Roman" w:hAnsi="Times New Roman" w:cs="Times New Roman"/>
          <w:b/>
        </w:rPr>
      </w:pPr>
    </w:p>
    <w:p w:rsidR="00941D85" w:rsidRPr="00941D85" w:rsidRDefault="00941D85" w:rsidP="00941D85">
      <w:pPr>
        <w:spacing w:line="276" w:lineRule="auto"/>
        <w:jc w:val="both"/>
        <w:rPr>
          <w:rFonts w:ascii="Times New Roman" w:hAnsi="Times New Roman" w:cs="Times New Roman"/>
          <w:b/>
          <w:i/>
        </w:rPr>
      </w:pPr>
      <w:r w:rsidRPr="00941D85">
        <w:rPr>
          <w:rFonts w:ascii="Times New Roman" w:hAnsi="Times New Roman" w:cs="Times New Roman"/>
          <w:b/>
          <w:i/>
        </w:rPr>
        <w:t>Recomendaciones:</w:t>
      </w:r>
    </w:p>
    <w:p w:rsidR="00877049" w:rsidRPr="006A4642" w:rsidRDefault="00877049" w:rsidP="00877049">
      <w:pPr>
        <w:numPr>
          <w:ilvl w:val="0"/>
          <w:numId w:val="10"/>
        </w:numPr>
        <w:spacing w:after="0" w:line="276" w:lineRule="auto"/>
        <w:jc w:val="both"/>
        <w:textAlignment w:val="baseline"/>
        <w:rPr>
          <w:rFonts w:ascii="Times New Roman" w:eastAsia="Times New Roman" w:hAnsi="Times New Roman" w:cs="Times New Roman"/>
        </w:rPr>
      </w:pPr>
      <w:r w:rsidRPr="006A4642">
        <w:rPr>
          <w:rFonts w:ascii="Times New Roman" w:eastAsia="Times New Roman" w:hAnsi="Times New Roman" w:cs="Times New Roman"/>
        </w:rPr>
        <w:t>Adoptar las medidas necesarias para prevenir, investigar y reparar de forma integral la violencia y la discriminación en contra de las mujeres, adolescentes y niñas, incluido</w:t>
      </w:r>
      <w:r>
        <w:rPr>
          <w:rFonts w:ascii="Times New Roman" w:eastAsia="Times New Roman" w:hAnsi="Times New Roman" w:cs="Times New Roman"/>
        </w:rPr>
        <w:t>s</w:t>
      </w:r>
      <w:r w:rsidRPr="006A4642">
        <w:rPr>
          <w:rFonts w:ascii="Times New Roman" w:eastAsia="Times New Roman" w:hAnsi="Times New Roman" w:cs="Times New Roman"/>
        </w:rPr>
        <w:t xml:space="preserve"> los casos de feminicidios y de desaparición, con apoyo y supervisión de la sociedad civil y organismos internacionales especializados. </w:t>
      </w:r>
    </w:p>
    <w:p w:rsidR="00877049" w:rsidRPr="006A4642" w:rsidRDefault="00877049" w:rsidP="00877049">
      <w:pPr>
        <w:numPr>
          <w:ilvl w:val="0"/>
          <w:numId w:val="10"/>
        </w:numPr>
        <w:spacing w:after="0" w:line="276" w:lineRule="auto"/>
        <w:jc w:val="both"/>
        <w:textAlignment w:val="baseline"/>
        <w:rPr>
          <w:rFonts w:ascii="Times New Roman" w:eastAsia="Times New Roman" w:hAnsi="Times New Roman" w:cs="Times New Roman"/>
        </w:rPr>
      </w:pPr>
      <w:r w:rsidRPr="006A4642">
        <w:rPr>
          <w:rFonts w:ascii="Times New Roman" w:eastAsia="Times New Roman" w:hAnsi="Times New Roman" w:cs="Times New Roman"/>
        </w:rPr>
        <w:t xml:space="preserve">Implementar durante todas las fases de búsqueda e investigación </w:t>
      </w:r>
      <w:r w:rsidR="008A69BD" w:rsidRPr="006A4642">
        <w:rPr>
          <w:rFonts w:ascii="Times New Roman" w:eastAsia="Times New Roman" w:hAnsi="Times New Roman" w:cs="Times New Roman"/>
        </w:rPr>
        <w:t xml:space="preserve">de casos de </w:t>
      </w:r>
      <w:r w:rsidR="008A69BD">
        <w:rPr>
          <w:rFonts w:ascii="Times New Roman" w:eastAsia="Times New Roman" w:hAnsi="Times New Roman" w:cs="Times New Roman"/>
        </w:rPr>
        <w:t xml:space="preserve">asesinatos de </w:t>
      </w:r>
      <w:r w:rsidR="008A69BD" w:rsidRPr="006A4642">
        <w:rPr>
          <w:rFonts w:ascii="Times New Roman" w:eastAsia="Times New Roman" w:hAnsi="Times New Roman" w:cs="Times New Roman"/>
        </w:rPr>
        <w:t xml:space="preserve">mujeres </w:t>
      </w:r>
      <w:r w:rsidR="008A69BD">
        <w:rPr>
          <w:rFonts w:ascii="Times New Roman" w:eastAsia="Times New Roman" w:hAnsi="Times New Roman" w:cs="Times New Roman"/>
        </w:rPr>
        <w:t xml:space="preserve">y de casos de </w:t>
      </w:r>
      <w:r w:rsidR="008A69BD" w:rsidRPr="006A4642">
        <w:rPr>
          <w:rFonts w:ascii="Times New Roman" w:eastAsia="Times New Roman" w:hAnsi="Times New Roman" w:cs="Times New Roman"/>
        </w:rPr>
        <w:t>desapar</w:t>
      </w:r>
      <w:r w:rsidR="008A69BD">
        <w:rPr>
          <w:rFonts w:ascii="Times New Roman" w:eastAsia="Times New Roman" w:hAnsi="Times New Roman" w:cs="Times New Roman"/>
        </w:rPr>
        <w:t>iciones</w:t>
      </w:r>
      <w:r w:rsidRPr="006A4642">
        <w:rPr>
          <w:rFonts w:ascii="Times New Roman" w:eastAsia="Times New Roman" w:hAnsi="Times New Roman" w:cs="Times New Roman"/>
        </w:rPr>
        <w:t xml:space="preserve"> categorías de análisis derivadas de la perspectiva de género, que permitan establecer clara y oportunamente líneas de investigación asociadas con prácticas </w:t>
      </w:r>
      <w:r>
        <w:rPr>
          <w:rFonts w:ascii="Times New Roman" w:eastAsia="Times New Roman" w:hAnsi="Times New Roman" w:cs="Times New Roman"/>
        </w:rPr>
        <w:t>de violencia contra las mujeres y de</w:t>
      </w:r>
      <w:r w:rsidRPr="006A4642">
        <w:rPr>
          <w:rFonts w:ascii="Times New Roman" w:eastAsia="Times New Roman" w:hAnsi="Times New Roman" w:cs="Times New Roman"/>
        </w:rPr>
        <w:t xml:space="preserve"> disc</w:t>
      </w:r>
      <w:r>
        <w:rPr>
          <w:rFonts w:ascii="Times New Roman" w:eastAsia="Times New Roman" w:hAnsi="Times New Roman" w:cs="Times New Roman"/>
        </w:rPr>
        <w:t>riminación por género, considerando</w:t>
      </w:r>
      <w:r w:rsidRPr="006A4642">
        <w:rPr>
          <w:rFonts w:ascii="Times New Roman" w:eastAsia="Times New Roman" w:hAnsi="Times New Roman" w:cs="Times New Roman"/>
        </w:rPr>
        <w:t xml:space="preserve"> la situación de vulnerabilidad de niñas y jóvenes.  </w:t>
      </w:r>
    </w:p>
    <w:p w:rsidR="000D0C6A" w:rsidRDefault="00877049" w:rsidP="00877049">
      <w:pPr>
        <w:numPr>
          <w:ilvl w:val="0"/>
          <w:numId w:val="10"/>
        </w:numPr>
        <w:spacing w:after="0" w:line="276" w:lineRule="auto"/>
        <w:jc w:val="both"/>
        <w:textAlignment w:val="baseline"/>
        <w:rPr>
          <w:rFonts w:ascii="Times New Roman" w:eastAsia="Times New Roman" w:hAnsi="Times New Roman" w:cs="Times New Roman"/>
        </w:rPr>
      </w:pPr>
      <w:r>
        <w:rPr>
          <w:rFonts w:ascii="Times New Roman" w:eastAsia="Times New Roman" w:hAnsi="Times New Roman" w:cs="Times New Roman"/>
        </w:rPr>
        <w:t>Sancionar</w:t>
      </w:r>
      <w:r w:rsidRPr="007156C2">
        <w:rPr>
          <w:rFonts w:ascii="Times New Roman" w:eastAsia="Times New Roman" w:hAnsi="Times New Roman" w:cs="Times New Roman"/>
        </w:rPr>
        <w:t xml:space="preserve"> a </w:t>
      </w:r>
      <w:r>
        <w:rPr>
          <w:rFonts w:ascii="Times New Roman" w:eastAsia="Times New Roman" w:hAnsi="Times New Roman" w:cs="Times New Roman"/>
        </w:rPr>
        <w:t xml:space="preserve">los </w:t>
      </w:r>
      <w:r w:rsidRPr="007156C2">
        <w:rPr>
          <w:rFonts w:ascii="Times New Roman" w:eastAsia="Times New Roman" w:hAnsi="Times New Roman" w:cs="Times New Roman"/>
        </w:rPr>
        <w:t xml:space="preserve">funcionarios que incumplan sus obligaciones en la erradicación de la violencia feminicida. </w:t>
      </w:r>
    </w:p>
    <w:p w:rsidR="00877049" w:rsidRPr="003105A2" w:rsidRDefault="00877049" w:rsidP="00877049">
      <w:pPr>
        <w:numPr>
          <w:ilvl w:val="0"/>
          <w:numId w:val="10"/>
        </w:numPr>
        <w:spacing w:after="0" w:line="276" w:lineRule="auto"/>
        <w:jc w:val="both"/>
        <w:textAlignment w:val="baseline"/>
        <w:rPr>
          <w:rFonts w:ascii="Times New Roman" w:eastAsia="Times New Roman" w:hAnsi="Times New Roman" w:cs="Times New Roman"/>
        </w:rPr>
      </w:pPr>
      <w:r w:rsidRPr="003105A2">
        <w:rPr>
          <w:rFonts w:ascii="Times New Roman" w:eastAsia="Times New Roman" w:hAnsi="Times New Roman" w:cs="Times New Roman"/>
        </w:rPr>
        <w:t>Homologar en todos los estados de la República los criterios para que toda muerte violenta de mujeres sea investigada como feminicidio. </w:t>
      </w:r>
    </w:p>
    <w:p w:rsidR="00877049" w:rsidRDefault="00877049" w:rsidP="00877049">
      <w:pPr>
        <w:numPr>
          <w:ilvl w:val="0"/>
          <w:numId w:val="10"/>
        </w:numPr>
        <w:spacing w:after="0" w:line="276" w:lineRule="auto"/>
        <w:jc w:val="both"/>
        <w:textAlignment w:val="baseline"/>
        <w:rPr>
          <w:rFonts w:ascii="Times New Roman" w:eastAsia="Times New Roman" w:hAnsi="Times New Roman" w:cs="Times New Roman"/>
        </w:rPr>
      </w:pPr>
      <w:r>
        <w:rPr>
          <w:rFonts w:ascii="Times New Roman" w:eastAsia="Times New Roman" w:hAnsi="Times New Roman" w:cs="Times New Roman"/>
        </w:rPr>
        <w:t>Modificar con apoyo y supervisión de la sociedad civil y organismos internacionales, los protocolos encaminados a la atención de casos de muertes violentas de mujeres y posibles feminicidios</w:t>
      </w:r>
      <w:r w:rsidR="00C916DB">
        <w:rPr>
          <w:rFonts w:ascii="Times New Roman" w:eastAsia="Times New Roman" w:hAnsi="Times New Roman" w:cs="Times New Roman"/>
        </w:rPr>
        <w:t xml:space="preserve"> con el fin de evitar la </w:t>
      </w:r>
      <w:r w:rsidR="00C916DB" w:rsidRPr="00CC0327">
        <w:rPr>
          <w:rFonts w:ascii="Times New Roman" w:eastAsia="Times New Roman" w:hAnsi="Times New Roman" w:cs="Times New Roman"/>
        </w:rPr>
        <w:t>revictimización e impunidad</w:t>
      </w:r>
      <w:r>
        <w:rPr>
          <w:rFonts w:ascii="Times New Roman" w:eastAsia="Times New Roman" w:hAnsi="Times New Roman" w:cs="Times New Roman"/>
        </w:rPr>
        <w:t xml:space="preserve">. </w:t>
      </w:r>
    </w:p>
    <w:p w:rsidR="00941D85" w:rsidRDefault="00877049" w:rsidP="00877049">
      <w:pPr>
        <w:numPr>
          <w:ilvl w:val="0"/>
          <w:numId w:val="10"/>
        </w:numPr>
        <w:spacing w:after="0" w:line="276" w:lineRule="auto"/>
        <w:jc w:val="both"/>
        <w:textAlignment w:val="baseline"/>
        <w:rPr>
          <w:rFonts w:ascii="Times New Roman" w:eastAsia="Times New Roman" w:hAnsi="Times New Roman" w:cs="Times New Roman"/>
        </w:rPr>
      </w:pPr>
      <w:r w:rsidRPr="00877049">
        <w:rPr>
          <w:rFonts w:ascii="Times New Roman" w:eastAsia="Times New Roman" w:hAnsi="Times New Roman" w:cs="Times New Roman"/>
        </w:rPr>
        <w:t>Generar y homologar protocolos de acuerdo con los más altos estándares internacionales para el cuidado de las y los menores de edad víctimas indirectas del delito de feminicidio.</w:t>
      </w:r>
    </w:p>
    <w:p w:rsidR="00877049" w:rsidRPr="00877049" w:rsidRDefault="00877049" w:rsidP="00877049">
      <w:pPr>
        <w:spacing w:after="0" w:line="276" w:lineRule="auto"/>
        <w:ind w:left="720"/>
        <w:jc w:val="both"/>
        <w:textAlignment w:val="baseline"/>
        <w:rPr>
          <w:rFonts w:ascii="Times New Roman" w:eastAsia="Times New Roman" w:hAnsi="Times New Roman" w:cs="Times New Roman"/>
        </w:rPr>
      </w:pPr>
    </w:p>
    <w:p w:rsidR="000474DA" w:rsidRPr="008159B0" w:rsidRDefault="000474DA" w:rsidP="00877049">
      <w:pPr>
        <w:pStyle w:val="ListParagraph"/>
        <w:numPr>
          <w:ilvl w:val="1"/>
          <w:numId w:val="24"/>
        </w:numPr>
        <w:spacing w:line="276" w:lineRule="auto"/>
        <w:jc w:val="both"/>
        <w:rPr>
          <w:rFonts w:ascii="Times New Roman" w:hAnsi="Times New Roman" w:cs="Times New Roman"/>
          <w:b/>
        </w:rPr>
      </w:pPr>
      <w:r w:rsidRPr="008159B0">
        <w:rPr>
          <w:rFonts w:ascii="Times New Roman" w:hAnsi="Times New Roman" w:cs="Times New Roman"/>
          <w:b/>
        </w:rPr>
        <w:t>Mecanismo de Alerta de Violencia de Género contra las Mujeres (AVGM)</w:t>
      </w:r>
    </w:p>
    <w:p w:rsidR="003005A5" w:rsidRDefault="00177EEB" w:rsidP="00941D85">
      <w:pPr>
        <w:spacing w:after="0" w:line="276" w:lineRule="auto"/>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14. </w:t>
      </w:r>
      <w:r w:rsidR="000474DA" w:rsidRPr="00941D85">
        <w:rPr>
          <w:rFonts w:ascii="Times New Roman" w:eastAsia="Times New Roman" w:hAnsi="Times New Roman" w:cs="Times New Roman"/>
          <w:color w:val="000000"/>
          <w:lang w:eastAsia="es-MX"/>
        </w:rPr>
        <w:t xml:space="preserve">La Alerta de Violencia de Género contra las Mujeres (AVGM) es una herramienta que plantea acciones gubernamentales urgentes, las cuales tienen como propósito fundamental enfrentar y erradicar integralmente la violencia feminicida en una determinada localidad mexicana. </w:t>
      </w:r>
    </w:p>
    <w:p w:rsidR="003005A5" w:rsidRDefault="003005A5" w:rsidP="00941D85">
      <w:pPr>
        <w:spacing w:after="0" w:line="276" w:lineRule="auto"/>
        <w:jc w:val="both"/>
        <w:rPr>
          <w:rFonts w:ascii="Times New Roman" w:eastAsia="Times New Roman" w:hAnsi="Times New Roman" w:cs="Times New Roman"/>
          <w:color w:val="000000"/>
          <w:lang w:eastAsia="es-MX"/>
        </w:rPr>
      </w:pPr>
    </w:p>
    <w:p w:rsidR="000474DA" w:rsidRPr="003005A5" w:rsidRDefault="00177EEB" w:rsidP="00941D85">
      <w:pPr>
        <w:spacing w:after="0" w:line="276" w:lineRule="auto"/>
        <w:jc w:val="both"/>
        <w:rPr>
          <w:rFonts w:ascii="Times New Roman" w:eastAsia="Times New Roman" w:hAnsi="Times New Roman" w:cs="Times New Roman"/>
          <w:lang w:eastAsia="es-MX"/>
        </w:rPr>
      </w:pPr>
      <w:r>
        <w:rPr>
          <w:rFonts w:ascii="Times New Roman" w:eastAsia="Times New Roman" w:hAnsi="Times New Roman" w:cs="Times New Roman"/>
          <w:color w:val="000000"/>
          <w:lang w:eastAsia="es-MX"/>
        </w:rPr>
        <w:t xml:space="preserve">15. </w:t>
      </w:r>
      <w:r w:rsidR="000474DA" w:rsidRPr="00941D85">
        <w:rPr>
          <w:rFonts w:ascii="Times New Roman" w:eastAsia="Times New Roman" w:hAnsi="Times New Roman" w:cs="Times New Roman"/>
          <w:color w:val="000000"/>
          <w:lang w:eastAsia="es-MX"/>
        </w:rPr>
        <w:t>Sin embargo, diversos órdenes de gobierno del Estado mexicano mantienen serias resistencias para declarar la AVGM y reconocer los impactos favorables que ésta podría traer consigo, ya que, independientemente de su declaración o no, la consideran como un instrumento negativo o la emplean sólo como un medio político que no atiende realmente los intereses de las mujeres que padecen violencia de género.</w:t>
      </w:r>
    </w:p>
    <w:p w:rsidR="00941D85" w:rsidRDefault="00941D85" w:rsidP="00941D85">
      <w:pPr>
        <w:spacing w:after="0" w:line="276" w:lineRule="auto"/>
        <w:jc w:val="both"/>
        <w:rPr>
          <w:rFonts w:ascii="Times New Roman" w:eastAsia="Times New Roman" w:hAnsi="Times New Roman" w:cs="Times New Roman"/>
          <w:color w:val="000000"/>
          <w:lang w:eastAsia="es-MX"/>
        </w:rPr>
      </w:pPr>
    </w:p>
    <w:p w:rsidR="00642B58" w:rsidRPr="00642B58" w:rsidRDefault="00642B58" w:rsidP="00642B58">
      <w:pPr>
        <w:spacing w:after="0" w:line="276" w:lineRule="auto"/>
        <w:jc w:val="both"/>
        <w:textAlignment w:val="baseline"/>
        <w:rPr>
          <w:rFonts w:ascii="Times New Roman" w:eastAsia="Times New Roman" w:hAnsi="Times New Roman" w:cs="Times New Roman"/>
          <w:b/>
          <w:i/>
          <w:color w:val="000000"/>
        </w:rPr>
      </w:pPr>
      <w:r w:rsidRPr="00642B58">
        <w:rPr>
          <w:rFonts w:ascii="Times New Roman" w:eastAsia="Times New Roman" w:hAnsi="Times New Roman" w:cs="Times New Roman"/>
          <w:b/>
          <w:i/>
          <w:color w:val="000000"/>
        </w:rPr>
        <w:t>Recomendaciones:</w:t>
      </w:r>
    </w:p>
    <w:p w:rsidR="00877049" w:rsidRDefault="00877049" w:rsidP="00877049">
      <w:pPr>
        <w:numPr>
          <w:ilvl w:val="0"/>
          <w:numId w:val="11"/>
        </w:numPr>
        <w:spacing w:after="0" w:line="276" w:lineRule="auto"/>
        <w:jc w:val="both"/>
        <w:textAlignment w:val="baseline"/>
        <w:rPr>
          <w:rFonts w:ascii="Times New Roman" w:eastAsia="Times New Roman" w:hAnsi="Times New Roman" w:cs="Times New Roman"/>
          <w:color w:val="000000"/>
        </w:rPr>
      </w:pPr>
      <w:r w:rsidRPr="009F1CB9">
        <w:rPr>
          <w:rFonts w:ascii="Times New Roman" w:eastAsia="Times New Roman" w:hAnsi="Times New Roman" w:cs="Times New Roman"/>
          <w:color w:val="000000"/>
        </w:rPr>
        <w:t xml:space="preserve">Evaluar y </w:t>
      </w:r>
      <w:r>
        <w:rPr>
          <w:rFonts w:ascii="Times New Roman" w:eastAsia="Times New Roman" w:hAnsi="Times New Roman" w:cs="Times New Roman"/>
          <w:color w:val="000000"/>
        </w:rPr>
        <w:t>adoptar</w:t>
      </w:r>
      <w:r w:rsidRPr="009F1CB9">
        <w:rPr>
          <w:rFonts w:ascii="Times New Roman" w:eastAsia="Times New Roman" w:hAnsi="Times New Roman" w:cs="Times New Roman"/>
          <w:color w:val="000000"/>
        </w:rPr>
        <w:t>, con apoyo de la sociedad civil y organismos internacionales, la normatividad</w:t>
      </w:r>
      <w:r>
        <w:rPr>
          <w:rFonts w:ascii="Times New Roman" w:eastAsia="Times New Roman" w:hAnsi="Times New Roman" w:cs="Times New Roman"/>
          <w:color w:val="000000"/>
        </w:rPr>
        <w:t xml:space="preserve"> necesaria y suficiente para impedir el uso discrecional del</w:t>
      </w:r>
      <w:r w:rsidRPr="009F1CB9">
        <w:rPr>
          <w:rFonts w:ascii="Times New Roman" w:eastAsia="Times New Roman" w:hAnsi="Times New Roman" w:cs="Times New Roman"/>
          <w:color w:val="000000"/>
        </w:rPr>
        <w:t xml:space="preserve"> mecanismo de </w:t>
      </w:r>
      <w:r>
        <w:rPr>
          <w:rFonts w:ascii="Times New Roman" w:eastAsia="Times New Roman" w:hAnsi="Times New Roman" w:cs="Times New Roman"/>
          <w:color w:val="000000"/>
        </w:rPr>
        <w:t>AVGM</w:t>
      </w:r>
      <w:r w:rsidRPr="009F1CB9">
        <w:rPr>
          <w:rFonts w:ascii="Times New Roman" w:eastAsia="Times New Roman" w:hAnsi="Times New Roman" w:cs="Times New Roman"/>
          <w:color w:val="000000"/>
        </w:rPr>
        <w:t>.</w:t>
      </w:r>
    </w:p>
    <w:p w:rsidR="00877049" w:rsidRPr="009F1CB9" w:rsidRDefault="00877049" w:rsidP="00877049">
      <w:pPr>
        <w:numPr>
          <w:ilvl w:val="0"/>
          <w:numId w:val="11"/>
        </w:numPr>
        <w:spacing w:after="0" w:line="276"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Generar las condiciones institucionales que permitan lograr el buen funcionamiento de los procesos de AVGM, tales como la participación efectiva de las organizaciones peticionarias en el proceso y la mejora de los procesos de transparencia y rendición de cuentas.  </w:t>
      </w:r>
    </w:p>
    <w:p w:rsidR="00941D85" w:rsidRPr="00941D85" w:rsidRDefault="00941D85" w:rsidP="00941D85">
      <w:pPr>
        <w:spacing w:after="0" w:line="276" w:lineRule="auto"/>
        <w:jc w:val="both"/>
        <w:rPr>
          <w:rFonts w:ascii="Times New Roman" w:eastAsia="Times New Roman" w:hAnsi="Times New Roman" w:cs="Times New Roman"/>
          <w:b/>
          <w:color w:val="000000"/>
        </w:rPr>
      </w:pPr>
    </w:p>
    <w:p w:rsidR="00941D85" w:rsidRPr="00877049" w:rsidRDefault="00941D85" w:rsidP="00877049">
      <w:pPr>
        <w:pStyle w:val="ListParagraph"/>
        <w:numPr>
          <w:ilvl w:val="0"/>
          <w:numId w:val="24"/>
        </w:numPr>
        <w:spacing w:after="0" w:line="276" w:lineRule="auto"/>
        <w:jc w:val="both"/>
        <w:rPr>
          <w:rFonts w:ascii="Times New Roman" w:eastAsia="Times New Roman" w:hAnsi="Times New Roman" w:cs="Times New Roman"/>
          <w:b/>
          <w:color w:val="000000"/>
        </w:rPr>
      </w:pPr>
      <w:r w:rsidRPr="00877049">
        <w:rPr>
          <w:rFonts w:ascii="Times New Roman" w:eastAsia="Times New Roman" w:hAnsi="Times New Roman" w:cs="Times New Roman"/>
          <w:b/>
          <w:color w:val="000000"/>
        </w:rPr>
        <w:lastRenderedPageBreak/>
        <w:t xml:space="preserve">FORTALECIMIENTO DE LA </w:t>
      </w:r>
      <w:r w:rsidRPr="00877049">
        <w:rPr>
          <w:rFonts w:ascii="Times New Roman" w:eastAsia="Times New Roman" w:hAnsi="Times New Roman" w:cs="Times New Roman"/>
          <w:b/>
        </w:rPr>
        <w:t xml:space="preserve">DEMOCRACIA </w:t>
      </w:r>
      <w:r w:rsidRPr="00877049">
        <w:rPr>
          <w:rFonts w:ascii="Times New Roman" w:eastAsia="Times New Roman" w:hAnsi="Times New Roman" w:cs="Times New Roman"/>
          <w:b/>
          <w:color w:val="000000"/>
        </w:rPr>
        <w:t>Y</w:t>
      </w:r>
      <w:r w:rsidRPr="00877049">
        <w:rPr>
          <w:rFonts w:ascii="Times New Roman" w:eastAsia="Times New Roman" w:hAnsi="Times New Roman" w:cs="Times New Roman"/>
          <w:b/>
        </w:rPr>
        <w:t xml:space="preserve"> LA</w:t>
      </w:r>
      <w:r w:rsidRPr="00877049">
        <w:rPr>
          <w:rFonts w:ascii="Times New Roman" w:eastAsia="Times New Roman" w:hAnsi="Times New Roman" w:cs="Times New Roman"/>
          <w:b/>
          <w:color w:val="000000"/>
        </w:rPr>
        <w:t xml:space="preserve"> PARTICIPACIÓN CIUDADANA</w:t>
      </w:r>
    </w:p>
    <w:p w:rsidR="00941D85" w:rsidRPr="008159B0" w:rsidRDefault="00941D85" w:rsidP="00941D85">
      <w:pPr>
        <w:spacing w:after="0" w:line="276" w:lineRule="auto"/>
        <w:jc w:val="both"/>
        <w:rPr>
          <w:rFonts w:ascii="Times New Roman" w:eastAsia="Times New Roman" w:hAnsi="Times New Roman" w:cs="Times New Roman"/>
          <w:b/>
          <w:color w:val="000000"/>
        </w:rPr>
      </w:pPr>
    </w:p>
    <w:p w:rsidR="000474DA" w:rsidRPr="008159B0" w:rsidRDefault="00877049" w:rsidP="00877049">
      <w:pPr>
        <w:pStyle w:val="ListParagraph"/>
        <w:numPr>
          <w:ilvl w:val="1"/>
          <w:numId w:val="24"/>
        </w:numPr>
        <w:spacing w:line="276" w:lineRule="auto"/>
        <w:jc w:val="both"/>
        <w:rPr>
          <w:rFonts w:ascii="Times New Roman" w:hAnsi="Times New Roman" w:cs="Times New Roman"/>
          <w:b/>
        </w:rPr>
      </w:pPr>
      <w:r w:rsidRPr="008159B0">
        <w:rPr>
          <w:rFonts w:ascii="Times New Roman" w:hAnsi="Times New Roman" w:cs="Times New Roman"/>
          <w:b/>
        </w:rPr>
        <w:t>P</w:t>
      </w:r>
      <w:r w:rsidR="000474DA" w:rsidRPr="008159B0">
        <w:rPr>
          <w:rFonts w:ascii="Times New Roman" w:hAnsi="Times New Roman" w:cs="Times New Roman"/>
          <w:b/>
        </w:rPr>
        <w:t>rotesta social</w:t>
      </w:r>
    </w:p>
    <w:p w:rsidR="000474DA" w:rsidRPr="00941D85" w:rsidRDefault="00177EEB" w:rsidP="00941D85">
      <w:pPr>
        <w:spacing w:after="0" w:line="276" w:lineRule="auto"/>
        <w:jc w:val="both"/>
        <w:rPr>
          <w:rFonts w:ascii="Times New Roman" w:eastAsia="Times New Roman" w:hAnsi="Times New Roman" w:cs="Times New Roman"/>
          <w:lang w:eastAsia="es-MX"/>
        </w:rPr>
      </w:pPr>
      <w:r>
        <w:rPr>
          <w:rFonts w:ascii="Times New Roman" w:eastAsia="Times New Roman" w:hAnsi="Times New Roman" w:cs="Times New Roman"/>
          <w:color w:val="000000"/>
        </w:rPr>
        <w:t xml:space="preserve">16. </w:t>
      </w:r>
      <w:r w:rsidR="003005A5" w:rsidRPr="00AF1519">
        <w:rPr>
          <w:rFonts w:ascii="Times New Roman" w:eastAsia="Times New Roman" w:hAnsi="Times New Roman" w:cs="Times New Roman"/>
          <w:color w:val="000000"/>
        </w:rPr>
        <w:t>La protesta social es un derecho</w:t>
      </w:r>
      <w:r w:rsidR="00656301">
        <w:rPr>
          <w:rStyle w:val="EndnoteReference"/>
          <w:rFonts w:ascii="Times New Roman" w:eastAsia="Times New Roman" w:hAnsi="Times New Roman" w:cs="Times New Roman"/>
          <w:color w:val="000000"/>
        </w:rPr>
        <w:endnoteReference w:id="8"/>
      </w:r>
      <w:r w:rsidR="003005A5" w:rsidRPr="00AF1519">
        <w:rPr>
          <w:rFonts w:ascii="Times New Roman" w:eastAsia="Times New Roman" w:hAnsi="Times New Roman" w:cs="Times New Roman"/>
          <w:color w:val="000000"/>
        </w:rPr>
        <w:t xml:space="preserve"> que está íntimamente vinculado con los derechos </w:t>
      </w:r>
      <w:r w:rsidR="003005A5">
        <w:rPr>
          <w:rFonts w:ascii="Times New Roman" w:eastAsia="Times New Roman" w:hAnsi="Times New Roman" w:cs="Times New Roman"/>
          <w:color w:val="000000"/>
        </w:rPr>
        <w:t xml:space="preserve">de </w:t>
      </w:r>
      <w:r w:rsidR="003005A5" w:rsidRPr="00AF1519">
        <w:rPr>
          <w:rFonts w:ascii="Times New Roman" w:eastAsia="Times New Roman" w:hAnsi="Times New Roman" w:cs="Times New Roman"/>
          <w:color w:val="000000"/>
        </w:rPr>
        <w:t xml:space="preserve">libertad de expresión, de reunión </w:t>
      </w:r>
      <w:r w:rsidR="002C40B0">
        <w:rPr>
          <w:rFonts w:ascii="Times New Roman" w:eastAsia="Times New Roman" w:hAnsi="Times New Roman" w:cs="Times New Roman"/>
          <w:bCs/>
          <w:color w:val="000000"/>
        </w:rPr>
        <w:t>pacífica</w:t>
      </w:r>
      <w:r w:rsidR="002C40B0">
        <w:rPr>
          <w:rFonts w:ascii="Times New Roman" w:eastAsia="Times New Roman" w:hAnsi="Times New Roman" w:cs="Times New Roman"/>
          <w:color w:val="000000"/>
        </w:rPr>
        <w:t xml:space="preserve"> </w:t>
      </w:r>
      <w:r w:rsidR="003005A5" w:rsidRPr="00AF1519">
        <w:rPr>
          <w:rFonts w:ascii="Times New Roman" w:eastAsia="Times New Roman" w:hAnsi="Times New Roman" w:cs="Times New Roman"/>
          <w:color w:val="000000"/>
        </w:rPr>
        <w:t>y asociación, de petición y de participación ciudadana, los cuales son reconocidos por la Constitución Política. </w:t>
      </w:r>
      <w:r w:rsidR="000474DA" w:rsidRPr="00941D85">
        <w:rPr>
          <w:rFonts w:ascii="Times New Roman" w:eastAsia="Times New Roman" w:hAnsi="Times New Roman" w:cs="Times New Roman"/>
          <w:color w:val="000000"/>
          <w:lang w:eastAsia="es-MX"/>
        </w:rPr>
        <w:t>El derecho a la protesta social</w:t>
      </w:r>
      <w:r w:rsidR="003005A5">
        <w:rPr>
          <w:rFonts w:ascii="Times New Roman" w:eastAsia="Times New Roman" w:hAnsi="Times New Roman" w:cs="Times New Roman"/>
          <w:color w:val="000000"/>
          <w:lang w:eastAsia="es-MX"/>
        </w:rPr>
        <w:t xml:space="preserve"> </w:t>
      </w:r>
      <w:r w:rsidR="000474DA" w:rsidRPr="00941D85">
        <w:rPr>
          <w:rFonts w:ascii="Times New Roman" w:eastAsia="Times New Roman" w:hAnsi="Times New Roman" w:cs="Times New Roman"/>
          <w:color w:val="000000"/>
          <w:lang w:eastAsia="es-MX"/>
        </w:rPr>
        <w:t>es un mecanismo mediante el que se colocan en el espacio público exigencias o denuncias de grupos o personas afectados por la acción, omisión o consentimiento del Estado mexicano en torno a una problemática legítima que no ha sido debidamente atendida o resuelta por parte de las autoridades.</w:t>
      </w:r>
    </w:p>
    <w:p w:rsidR="000474DA" w:rsidRPr="00941D85" w:rsidRDefault="000474DA" w:rsidP="00941D85">
      <w:pPr>
        <w:pStyle w:val="ListParagraph"/>
        <w:spacing w:after="0" w:line="276" w:lineRule="auto"/>
        <w:rPr>
          <w:rFonts w:ascii="Times New Roman" w:eastAsia="Times New Roman" w:hAnsi="Times New Roman" w:cs="Times New Roman"/>
          <w:lang w:eastAsia="es-MX"/>
        </w:rPr>
      </w:pPr>
    </w:p>
    <w:p w:rsidR="000474DA" w:rsidRPr="00941D85" w:rsidRDefault="00177EEB" w:rsidP="00941D85">
      <w:pPr>
        <w:spacing w:after="0" w:line="276" w:lineRule="auto"/>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17. </w:t>
      </w:r>
      <w:r w:rsidR="000474DA" w:rsidRPr="00941D85">
        <w:rPr>
          <w:rFonts w:ascii="Times New Roman" w:eastAsia="Times New Roman" w:hAnsi="Times New Roman" w:cs="Times New Roman"/>
          <w:color w:val="000000"/>
          <w:lang w:eastAsia="es-MX"/>
        </w:rPr>
        <w:t>No obstante, la administración anterior</w:t>
      </w:r>
      <w:r w:rsidR="008159B0">
        <w:rPr>
          <w:rStyle w:val="EndnoteReference"/>
          <w:rFonts w:ascii="Times New Roman" w:eastAsia="Times New Roman" w:hAnsi="Times New Roman" w:cs="Times New Roman"/>
          <w:color w:val="000000"/>
          <w:lang w:eastAsia="es-MX"/>
        </w:rPr>
        <w:endnoteReference w:id="9"/>
      </w:r>
      <w:r w:rsidR="000474DA" w:rsidRPr="00941D85">
        <w:rPr>
          <w:rFonts w:ascii="Times New Roman" w:eastAsia="Times New Roman" w:hAnsi="Times New Roman" w:cs="Times New Roman"/>
          <w:color w:val="000000"/>
          <w:lang w:eastAsia="es-MX"/>
        </w:rPr>
        <w:t xml:space="preserve"> y la presente</w:t>
      </w:r>
      <w:r w:rsidR="008159B0">
        <w:rPr>
          <w:rStyle w:val="EndnoteReference"/>
          <w:rFonts w:ascii="Times New Roman" w:eastAsia="Times New Roman" w:hAnsi="Times New Roman" w:cs="Times New Roman"/>
          <w:color w:val="000000"/>
          <w:lang w:eastAsia="es-MX"/>
        </w:rPr>
        <w:endnoteReference w:id="10"/>
      </w:r>
      <w:r w:rsidR="000474DA" w:rsidRPr="00941D85">
        <w:rPr>
          <w:rFonts w:ascii="Times New Roman" w:eastAsia="Times New Roman" w:hAnsi="Times New Roman" w:cs="Times New Roman"/>
          <w:color w:val="000000"/>
          <w:lang w:eastAsia="es-MX"/>
        </w:rPr>
        <w:t xml:space="preserve"> han aplicado políticas de represión y criminalización contra el derecho a la protesta social. </w:t>
      </w:r>
      <w:r w:rsidR="00656301" w:rsidRPr="00AF1519">
        <w:rPr>
          <w:rFonts w:ascii="Times New Roman" w:eastAsia="Times New Roman" w:hAnsi="Times New Roman" w:cs="Times New Roman"/>
          <w:color w:val="000000"/>
        </w:rPr>
        <w:t>Un ejemplo de esto es la reciente aprobación (29 de julio de</w:t>
      </w:r>
      <w:r w:rsidR="00656301">
        <w:rPr>
          <w:rFonts w:ascii="Times New Roman" w:eastAsia="Times New Roman" w:hAnsi="Times New Roman" w:cs="Times New Roman"/>
          <w:color w:val="000000"/>
        </w:rPr>
        <w:t xml:space="preserve"> 2019) de una iniciativa en el e</w:t>
      </w:r>
      <w:r w:rsidR="00656301" w:rsidRPr="00AF1519">
        <w:rPr>
          <w:rFonts w:ascii="Times New Roman" w:eastAsia="Times New Roman" w:hAnsi="Times New Roman" w:cs="Times New Roman"/>
          <w:color w:val="000000"/>
        </w:rPr>
        <w:t>stado de Tabasco, identificada como la “ley garrote”, de</w:t>
      </w:r>
      <w:r w:rsidR="00656301">
        <w:rPr>
          <w:rFonts w:ascii="Times New Roman" w:eastAsia="Times New Roman" w:hAnsi="Times New Roman" w:cs="Times New Roman"/>
          <w:color w:val="000000"/>
        </w:rPr>
        <w:t>bido a que su aplicación está</w:t>
      </w:r>
      <w:r w:rsidR="00656301" w:rsidRPr="00AF1519">
        <w:rPr>
          <w:rFonts w:ascii="Times New Roman" w:eastAsia="Times New Roman" w:hAnsi="Times New Roman" w:cs="Times New Roman"/>
          <w:color w:val="000000"/>
        </w:rPr>
        <w:t xml:space="preserve"> desencadenando la criminalización </w:t>
      </w:r>
      <w:r w:rsidR="00656301">
        <w:rPr>
          <w:rFonts w:ascii="Times New Roman" w:eastAsia="Times New Roman" w:hAnsi="Times New Roman" w:cs="Times New Roman"/>
          <w:color w:val="000000"/>
        </w:rPr>
        <w:t>del ejercicio de</w:t>
      </w:r>
      <w:r w:rsidR="00656301" w:rsidRPr="00AF1519">
        <w:rPr>
          <w:rFonts w:ascii="Times New Roman" w:eastAsia="Times New Roman" w:hAnsi="Times New Roman" w:cs="Times New Roman"/>
          <w:color w:val="000000"/>
        </w:rPr>
        <w:t xml:space="preserve"> los derechos</w:t>
      </w:r>
      <w:r w:rsidR="00656301">
        <w:rPr>
          <w:rFonts w:ascii="Times New Roman" w:eastAsia="Times New Roman" w:hAnsi="Times New Roman" w:cs="Times New Roman"/>
          <w:color w:val="000000"/>
        </w:rPr>
        <w:t xml:space="preserve"> a</w:t>
      </w:r>
      <w:r w:rsidR="00656301" w:rsidRPr="00AF1519">
        <w:rPr>
          <w:rFonts w:ascii="Times New Roman" w:eastAsia="Times New Roman" w:hAnsi="Times New Roman" w:cs="Times New Roman"/>
          <w:color w:val="000000"/>
        </w:rPr>
        <w:t xml:space="preserve"> la libertad de expresión, de reunión </w:t>
      </w:r>
      <w:r w:rsidR="00656301">
        <w:rPr>
          <w:rFonts w:ascii="Times New Roman" w:eastAsia="Times New Roman" w:hAnsi="Times New Roman" w:cs="Times New Roman"/>
          <w:bCs/>
          <w:color w:val="000000"/>
        </w:rPr>
        <w:t>pacífica</w:t>
      </w:r>
      <w:r w:rsidR="00656301" w:rsidRPr="00AF1519">
        <w:rPr>
          <w:rFonts w:ascii="Times New Roman" w:eastAsia="Times New Roman" w:hAnsi="Times New Roman" w:cs="Times New Roman"/>
          <w:color w:val="000000"/>
        </w:rPr>
        <w:t xml:space="preserve"> y asociación</w:t>
      </w:r>
      <w:r w:rsidR="00656301">
        <w:rPr>
          <w:rFonts w:ascii="Times New Roman" w:eastAsia="Times New Roman" w:hAnsi="Times New Roman" w:cs="Times New Roman"/>
          <w:color w:val="000000"/>
        </w:rPr>
        <w:t>.</w:t>
      </w:r>
      <w:r w:rsidR="00656301">
        <w:rPr>
          <w:rStyle w:val="EndnoteReference"/>
          <w:rFonts w:ascii="Times New Roman" w:eastAsia="Times New Roman" w:hAnsi="Times New Roman" w:cs="Times New Roman"/>
          <w:color w:val="000000"/>
        </w:rPr>
        <w:endnoteReference w:id="11"/>
      </w:r>
      <w:r w:rsidR="00656301">
        <w:rPr>
          <w:rFonts w:ascii="Times New Roman" w:eastAsia="Times New Roman" w:hAnsi="Times New Roman" w:cs="Times New Roman"/>
          <w:color w:val="000000"/>
        </w:rPr>
        <w:t xml:space="preserve"> </w:t>
      </w:r>
      <w:r w:rsidR="00B66652">
        <w:rPr>
          <w:rFonts w:ascii="Times New Roman" w:eastAsia="Times New Roman" w:hAnsi="Times New Roman" w:cs="Times New Roman"/>
          <w:color w:val="000000"/>
          <w:lang w:eastAsia="es-MX"/>
        </w:rPr>
        <w:t>D</w:t>
      </w:r>
      <w:r w:rsidR="000474DA" w:rsidRPr="00941D85">
        <w:rPr>
          <w:rFonts w:ascii="Times New Roman" w:eastAsia="Times New Roman" w:hAnsi="Times New Roman" w:cs="Times New Roman"/>
          <w:color w:val="000000"/>
          <w:lang w:eastAsia="es-MX"/>
        </w:rPr>
        <w:t>urante los últimos años el Estado mexicano ha perpetrado violaciones graves a derechos humanos en el marco de protestas sociales, tales como agresiones físicas y psicológicas, hostigamiento, estigmatización, uso excesivo de la fuerza, tortura, detenciones y ejecuciones arbitrarias.</w:t>
      </w:r>
      <w:bookmarkStart w:id="0" w:name="_GoBack"/>
      <w:bookmarkEnd w:id="0"/>
    </w:p>
    <w:p w:rsidR="00941D85" w:rsidRPr="00642B58" w:rsidRDefault="00941D85" w:rsidP="00941D85">
      <w:pPr>
        <w:spacing w:after="0" w:line="276" w:lineRule="auto"/>
        <w:jc w:val="both"/>
        <w:rPr>
          <w:rFonts w:ascii="Times New Roman" w:eastAsia="Times New Roman" w:hAnsi="Times New Roman" w:cs="Times New Roman"/>
          <w:i/>
          <w:color w:val="000000"/>
          <w:lang w:eastAsia="es-MX"/>
        </w:rPr>
      </w:pPr>
    </w:p>
    <w:p w:rsidR="00642B58" w:rsidRPr="00642B58" w:rsidRDefault="00642B58" w:rsidP="00642B58">
      <w:pPr>
        <w:spacing w:after="0" w:line="276" w:lineRule="auto"/>
        <w:jc w:val="both"/>
        <w:textAlignment w:val="baseline"/>
        <w:rPr>
          <w:rFonts w:ascii="Times New Roman" w:eastAsia="Times New Roman" w:hAnsi="Times New Roman" w:cs="Times New Roman"/>
          <w:b/>
          <w:bCs/>
          <w:i/>
          <w:color w:val="000000"/>
        </w:rPr>
      </w:pPr>
      <w:r w:rsidRPr="00642B58">
        <w:rPr>
          <w:rFonts w:ascii="Times New Roman" w:eastAsia="Times New Roman" w:hAnsi="Times New Roman" w:cs="Times New Roman"/>
          <w:b/>
          <w:bCs/>
          <w:i/>
          <w:color w:val="000000"/>
        </w:rPr>
        <w:t>Recomendaciones:</w:t>
      </w:r>
    </w:p>
    <w:p w:rsidR="00656301" w:rsidRPr="00877049" w:rsidRDefault="00656301" w:rsidP="00656301">
      <w:pPr>
        <w:numPr>
          <w:ilvl w:val="0"/>
          <w:numId w:val="12"/>
        </w:numPr>
        <w:spacing w:after="0" w:line="276" w:lineRule="auto"/>
        <w:jc w:val="both"/>
        <w:textAlignment w:val="baseline"/>
        <w:rPr>
          <w:rFonts w:ascii="Times New Roman" w:eastAsia="Times New Roman" w:hAnsi="Times New Roman" w:cs="Times New Roman"/>
          <w:bCs/>
          <w:color w:val="000000"/>
        </w:rPr>
      </w:pPr>
      <w:r>
        <w:rPr>
          <w:rFonts w:ascii="Times New Roman" w:eastAsia="Times New Roman" w:hAnsi="Times New Roman" w:cs="Times New Roman"/>
          <w:bCs/>
          <w:color w:val="000000"/>
        </w:rPr>
        <w:t>Derogar normativas que afectan directamente los derechos de la libertad de expresión, de reunión pacífica y de asociación, de petición y de participación ciudadana tal como “la ley garrote”.</w:t>
      </w:r>
    </w:p>
    <w:p w:rsidR="00877049" w:rsidRDefault="00877049" w:rsidP="00877049">
      <w:pPr>
        <w:numPr>
          <w:ilvl w:val="0"/>
          <w:numId w:val="12"/>
        </w:numPr>
        <w:spacing w:after="0" w:line="276" w:lineRule="auto"/>
        <w:jc w:val="both"/>
        <w:textAlignment w:val="baseline"/>
        <w:rPr>
          <w:rFonts w:ascii="Times New Roman" w:eastAsia="Times New Roman" w:hAnsi="Times New Roman" w:cs="Times New Roman"/>
          <w:bCs/>
          <w:color w:val="000000"/>
        </w:rPr>
      </w:pPr>
      <w:r w:rsidRPr="00AF1519">
        <w:rPr>
          <w:rFonts w:ascii="Times New Roman" w:eastAsia="Times New Roman" w:hAnsi="Times New Roman" w:cs="Times New Roman"/>
          <w:bCs/>
          <w:color w:val="000000"/>
        </w:rPr>
        <w:t xml:space="preserve">Armonizar el marco legal conforme a los más altos estándares internacionales de protección de </w:t>
      </w:r>
      <w:r w:rsidRPr="00AF1519">
        <w:rPr>
          <w:rFonts w:ascii="Times New Roman" w:eastAsia="Times New Roman" w:hAnsi="Times New Roman" w:cs="Times New Roman"/>
          <w:color w:val="000000"/>
        </w:rPr>
        <w:t>derechos</w:t>
      </w:r>
      <w:r>
        <w:rPr>
          <w:rFonts w:ascii="Times New Roman" w:eastAsia="Times New Roman" w:hAnsi="Times New Roman" w:cs="Times New Roman"/>
          <w:color w:val="000000"/>
        </w:rPr>
        <w:t xml:space="preserve"> a</w:t>
      </w:r>
      <w:r w:rsidRPr="00AF1519">
        <w:rPr>
          <w:rFonts w:ascii="Times New Roman" w:eastAsia="Times New Roman" w:hAnsi="Times New Roman" w:cs="Times New Roman"/>
          <w:color w:val="000000"/>
        </w:rPr>
        <w:t xml:space="preserve"> la libertad de expresión, de reunión </w:t>
      </w:r>
      <w:r>
        <w:rPr>
          <w:rFonts w:ascii="Times New Roman" w:eastAsia="Times New Roman" w:hAnsi="Times New Roman" w:cs="Times New Roman"/>
          <w:color w:val="000000"/>
        </w:rPr>
        <w:t>pac</w:t>
      </w:r>
      <w:r w:rsidRPr="00177EEB">
        <w:rPr>
          <w:rFonts w:ascii="Times New Roman" w:eastAsia="Times New Roman" w:hAnsi="Times New Roman" w:cs="Times New Roman"/>
          <w:color w:val="000000"/>
          <w:lang w:val="pt-BR"/>
        </w:rPr>
        <w:t>í</w:t>
      </w:r>
      <w:r>
        <w:rPr>
          <w:rFonts w:ascii="Times New Roman" w:eastAsia="Times New Roman" w:hAnsi="Times New Roman" w:cs="Times New Roman"/>
          <w:color w:val="000000"/>
        </w:rPr>
        <w:t xml:space="preserve">fica </w:t>
      </w:r>
      <w:r w:rsidRPr="00AF1519">
        <w:rPr>
          <w:rFonts w:ascii="Times New Roman" w:eastAsia="Times New Roman" w:hAnsi="Times New Roman" w:cs="Times New Roman"/>
          <w:color w:val="000000"/>
        </w:rPr>
        <w:t xml:space="preserve">y </w:t>
      </w:r>
      <w:r>
        <w:rPr>
          <w:rFonts w:ascii="Times New Roman" w:eastAsia="Times New Roman" w:hAnsi="Times New Roman" w:cs="Times New Roman"/>
          <w:color w:val="000000"/>
        </w:rPr>
        <w:t xml:space="preserve">de </w:t>
      </w:r>
      <w:r w:rsidRPr="00AF1519">
        <w:rPr>
          <w:rFonts w:ascii="Times New Roman" w:eastAsia="Times New Roman" w:hAnsi="Times New Roman" w:cs="Times New Roman"/>
          <w:color w:val="000000"/>
        </w:rPr>
        <w:t>asociación, de petición y de participación ciudadana</w:t>
      </w:r>
      <w:r w:rsidRPr="00AF1519">
        <w:rPr>
          <w:rFonts w:ascii="Times New Roman" w:eastAsia="Times New Roman" w:hAnsi="Times New Roman" w:cs="Times New Roman"/>
          <w:bCs/>
          <w:color w:val="000000"/>
        </w:rPr>
        <w:t>. </w:t>
      </w:r>
    </w:p>
    <w:p w:rsidR="00877049" w:rsidRPr="00AF1519" w:rsidRDefault="00877049" w:rsidP="00877049">
      <w:pPr>
        <w:numPr>
          <w:ilvl w:val="0"/>
          <w:numId w:val="12"/>
        </w:numPr>
        <w:spacing w:after="0" w:line="276" w:lineRule="auto"/>
        <w:jc w:val="both"/>
        <w:textAlignment w:val="baseline"/>
        <w:rPr>
          <w:rFonts w:ascii="Times New Roman" w:eastAsia="Times New Roman" w:hAnsi="Times New Roman" w:cs="Times New Roman"/>
          <w:bCs/>
          <w:color w:val="000000"/>
        </w:rPr>
      </w:pPr>
      <w:r w:rsidRPr="00AF1519">
        <w:rPr>
          <w:rFonts w:ascii="Times New Roman" w:eastAsia="Times New Roman" w:hAnsi="Times New Roman" w:cs="Times New Roman"/>
          <w:bCs/>
          <w:color w:val="000000"/>
        </w:rPr>
        <w:t xml:space="preserve">Abstenerse de cualquier </w:t>
      </w:r>
      <w:r>
        <w:rPr>
          <w:rFonts w:ascii="Times New Roman" w:eastAsia="Times New Roman" w:hAnsi="Times New Roman" w:cs="Times New Roman"/>
          <w:bCs/>
          <w:color w:val="000000"/>
        </w:rPr>
        <w:t xml:space="preserve">declaración </w:t>
      </w:r>
      <w:r w:rsidRPr="00AF1519">
        <w:rPr>
          <w:rFonts w:ascii="Times New Roman" w:eastAsia="Times New Roman" w:hAnsi="Times New Roman" w:cs="Times New Roman"/>
          <w:bCs/>
          <w:color w:val="000000"/>
        </w:rPr>
        <w:t>pública que criminalice el ejercicio de derechos en el espacio público. </w:t>
      </w:r>
    </w:p>
    <w:p w:rsidR="00877049" w:rsidRPr="00AF1519" w:rsidRDefault="00877049" w:rsidP="00877049">
      <w:pPr>
        <w:numPr>
          <w:ilvl w:val="0"/>
          <w:numId w:val="12"/>
        </w:numPr>
        <w:spacing w:after="0" w:line="276" w:lineRule="auto"/>
        <w:jc w:val="both"/>
        <w:textAlignment w:val="baseline"/>
        <w:rPr>
          <w:rFonts w:ascii="Times New Roman" w:eastAsia="Times New Roman" w:hAnsi="Times New Roman" w:cs="Times New Roman"/>
          <w:bCs/>
          <w:color w:val="000000"/>
        </w:rPr>
      </w:pPr>
      <w:r w:rsidRPr="00AF1519">
        <w:rPr>
          <w:rFonts w:ascii="Times New Roman" w:eastAsia="Times New Roman" w:hAnsi="Times New Roman" w:cs="Times New Roman"/>
          <w:bCs/>
          <w:color w:val="000000"/>
        </w:rPr>
        <w:t>Asegurarse que el uso de la fuerza pública se apegue al pleno respeto y protección de los derechos de las personas manifestantes.</w:t>
      </w:r>
    </w:p>
    <w:p w:rsidR="00877049" w:rsidRPr="00AF1519" w:rsidRDefault="00877049" w:rsidP="00877049">
      <w:pPr>
        <w:numPr>
          <w:ilvl w:val="0"/>
          <w:numId w:val="12"/>
        </w:numPr>
        <w:spacing w:after="0" w:line="276" w:lineRule="auto"/>
        <w:jc w:val="both"/>
        <w:textAlignment w:val="baseline"/>
        <w:rPr>
          <w:rFonts w:ascii="Times New Roman" w:eastAsia="Times New Roman" w:hAnsi="Times New Roman" w:cs="Times New Roman"/>
          <w:bCs/>
          <w:color w:val="000000"/>
        </w:rPr>
      </w:pPr>
      <w:r w:rsidRPr="00AF1519">
        <w:rPr>
          <w:rFonts w:ascii="Times New Roman" w:eastAsia="Times New Roman" w:hAnsi="Times New Roman" w:cs="Times New Roman"/>
          <w:bCs/>
          <w:color w:val="000000"/>
        </w:rPr>
        <w:t>Garantizar el acceso a la justicia, atención y reparación de las víctimas de violaciones a derechos humanos en contextos de man</w:t>
      </w:r>
      <w:r>
        <w:rPr>
          <w:rFonts w:ascii="Times New Roman" w:eastAsia="Times New Roman" w:hAnsi="Times New Roman" w:cs="Times New Roman"/>
          <w:bCs/>
          <w:color w:val="000000"/>
        </w:rPr>
        <w:t>ifestaciones y protesta social.</w:t>
      </w:r>
    </w:p>
    <w:p w:rsidR="009B0C97" w:rsidRPr="009B0C97" w:rsidRDefault="009B0C97" w:rsidP="009B0C97">
      <w:pPr>
        <w:spacing w:after="0" w:line="276" w:lineRule="auto"/>
        <w:ind w:left="360"/>
        <w:jc w:val="both"/>
        <w:textAlignment w:val="baseline"/>
        <w:rPr>
          <w:rFonts w:ascii="Times New Roman" w:eastAsia="Times New Roman" w:hAnsi="Times New Roman" w:cs="Times New Roman"/>
          <w:bCs/>
          <w:color w:val="000000"/>
        </w:rPr>
      </w:pPr>
    </w:p>
    <w:p w:rsidR="000474DA" w:rsidRPr="008159B0" w:rsidRDefault="000474DA" w:rsidP="00877049">
      <w:pPr>
        <w:pStyle w:val="ListParagraph"/>
        <w:numPr>
          <w:ilvl w:val="1"/>
          <w:numId w:val="24"/>
        </w:numPr>
        <w:spacing w:after="0" w:line="276" w:lineRule="auto"/>
        <w:jc w:val="both"/>
        <w:rPr>
          <w:rFonts w:ascii="Times New Roman" w:hAnsi="Times New Roman" w:cs="Times New Roman"/>
          <w:b/>
        </w:rPr>
      </w:pPr>
      <w:r w:rsidRPr="008159B0">
        <w:rPr>
          <w:rFonts w:ascii="Times New Roman" w:hAnsi="Times New Roman" w:cs="Times New Roman"/>
          <w:b/>
        </w:rPr>
        <w:t>Personas defensoras de derechos humanos y organizaciones de la sociedad civil</w:t>
      </w:r>
    </w:p>
    <w:p w:rsidR="009B0C97" w:rsidRDefault="009B0C97" w:rsidP="009B0C97">
      <w:pPr>
        <w:spacing w:after="0" w:line="276" w:lineRule="auto"/>
        <w:jc w:val="both"/>
        <w:rPr>
          <w:rFonts w:ascii="Times New Roman" w:eastAsia="Times New Roman" w:hAnsi="Times New Roman" w:cs="Times New Roman"/>
          <w:color w:val="000000"/>
        </w:rPr>
      </w:pPr>
    </w:p>
    <w:p w:rsidR="000474DA" w:rsidRPr="00941D85" w:rsidRDefault="00177EEB" w:rsidP="009B0C97">
      <w:pPr>
        <w:spacing w:after="0" w:line="276" w:lineRule="auto"/>
        <w:jc w:val="both"/>
        <w:rPr>
          <w:rFonts w:ascii="Times New Roman" w:eastAsia="Times New Roman" w:hAnsi="Times New Roman" w:cs="Times New Roman"/>
          <w:lang w:eastAsia="es-MX"/>
        </w:rPr>
      </w:pPr>
      <w:r>
        <w:rPr>
          <w:rFonts w:ascii="Times New Roman" w:eastAsia="Times New Roman" w:hAnsi="Times New Roman" w:cs="Times New Roman"/>
          <w:color w:val="000000"/>
        </w:rPr>
        <w:t xml:space="preserve">18. </w:t>
      </w:r>
      <w:r w:rsidR="003005A5" w:rsidRPr="00AF1519">
        <w:rPr>
          <w:rFonts w:ascii="Times New Roman" w:eastAsia="Times New Roman" w:hAnsi="Times New Roman" w:cs="Times New Roman"/>
          <w:color w:val="000000"/>
        </w:rPr>
        <w:t>Las personas defensoras de derechos humanos y las organizaciones de la sociedad civil (OSC) en México tienen un papel fundamental en la construcción y el fortalec</w:t>
      </w:r>
      <w:r w:rsidR="003005A5">
        <w:rPr>
          <w:rFonts w:ascii="Times New Roman" w:eastAsia="Times New Roman" w:hAnsi="Times New Roman" w:cs="Times New Roman"/>
          <w:color w:val="000000"/>
        </w:rPr>
        <w:t xml:space="preserve">imiento del Estado democrático. </w:t>
      </w:r>
      <w:r w:rsidR="000474DA" w:rsidRPr="00941D85">
        <w:rPr>
          <w:rFonts w:ascii="Times New Roman" w:eastAsia="Times New Roman" w:hAnsi="Times New Roman" w:cs="Times New Roman"/>
          <w:color w:val="000000"/>
          <w:lang w:eastAsia="es-MX"/>
        </w:rPr>
        <w:t>A pesar de ello, los contextos a los que se enfrentan cotidianamente en el ejercicio de la defensa y promoción de los derechos humanos son adversos, porque son víctimas de violaciones a derechos humanos. Esto quiere decir que en México no existen las garantías suficientes para que personas defensoras y OSC ejerzan el derecho a defender derechos humanos.</w:t>
      </w:r>
    </w:p>
    <w:p w:rsidR="000474DA" w:rsidRPr="00941D85" w:rsidRDefault="000474DA" w:rsidP="00941D85">
      <w:pPr>
        <w:pStyle w:val="ListParagraph"/>
        <w:spacing w:after="0" w:line="276" w:lineRule="auto"/>
        <w:rPr>
          <w:rFonts w:ascii="Times New Roman" w:eastAsia="Times New Roman" w:hAnsi="Times New Roman" w:cs="Times New Roman"/>
          <w:lang w:eastAsia="es-MX"/>
        </w:rPr>
      </w:pPr>
    </w:p>
    <w:p w:rsidR="000474DA" w:rsidRPr="00877049" w:rsidRDefault="00177EEB" w:rsidP="00877049">
      <w:pPr>
        <w:spacing w:after="0" w:line="276" w:lineRule="auto"/>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19. </w:t>
      </w:r>
      <w:r w:rsidR="000474DA" w:rsidRPr="00941D85">
        <w:rPr>
          <w:rFonts w:ascii="Times New Roman" w:eastAsia="Times New Roman" w:hAnsi="Times New Roman" w:cs="Times New Roman"/>
          <w:color w:val="000000"/>
          <w:lang w:eastAsia="es-MX"/>
        </w:rPr>
        <w:t>Desde el sexenio anterior, es notorio que, con respecto a la violencia que viven las OSC y las personas defensoras de derechos humanos, el Estado mexicano no cuenta con una política pública integral de prevención, investigación y reparación en la que predomine una lógica preventiva, ni tampoco posee mecanismos íntegros de acceso a la justicia que garanticen sus derechos.</w:t>
      </w:r>
      <w:r w:rsidR="008159B0">
        <w:rPr>
          <w:rStyle w:val="EndnoteReference"/>
          <w:rFonts w:ascii="Times New Roman" w:eastAsia="Times New Roman" w:hAnsi="Times New Roman" w:cs="Times New Roman"/>
          <w:color w:val="000000"/>
          <w:lang w:eastAsia="es-MX"/>
        </w:rPr>
        <w:endnoteReference w:id="12"/>
      </w:r>
      <w:r w:rsidR="000474DA" w:rsidRPr="00941D85">
        <w:rPr>
          <w:rFonts w:ascii="Times New Roman" w:eastAsia="Times New Roman" w:hAnsi="Times New Roman" w:cs="Times New Roman"/>
          <w:color w:val="000000"/>
          <w:lang w:eastAsia="es-MX"/>
        </w:rPr>
        <w:t xml:space="preserve"> </w:t>
      </w:r>
      <w:r w:rsidR="003005A5" w:rsidRPr="004F4F27">
        <w:rPr>
          <w:rFonts w:ascii="Times New Roman" w:eastAsia="Times New Roman" w:hAnsi="Times New Roman" w:cs="Times New Roman"/>
          <w:color w:val="000000"/>
        </w:rPr>
        <w:t>En el marco del nuevo gobierno federal se ha generado una narrativa y acciones tendiente</w:t>
      </w:r>
      <w:r w:rsidR="003005A5">
        <w:rPr>
          <w:rFonts w:ascii="Times New Roman" w:eastAsia="Times New Roman" w:hAnsi="Times New Roman" w:cs="Times New Roman"/>
          <w:color w:val="000000"/>
        </w:rPr>
        <w:t>s</w:t>
      </w:r>
      <w:r w:rsidR="003005A5" w:rsidRPr="004F4F27">
        <w:rPr>
          <w:rFonts w:ascii="Times New Roman" w:eastAsia="Times New Roman" w:hAnsi="Times New Roman" w:cs="Times New Roman"/>
          <w:color w:val="000000"/>
        </w:rPr>
        <w:t xml:space="preserve"> a la   deslegitimación de la defensa de los derechos humanos y del trabajo de las OSC</w:t>
      </w:r>
      <w:r w:rsidR="000474DA" w:rsidRPr="00941D85">
        <w:rPr>
          <w:rFonts w:ascii="Times New Roman" w:eastAsia="Times New Roman" w:hAnsi="Times New Roman" w:cs="Times New Roman"/>
          <w:color w:val="000000"/>
          <w:lang w:eastAsia="es-MX"/>
        </w:rPr>
        <w:t>, mediante declaraciones y recortes presupuestales que agravan el contexto actual para las personas defensoras</w:t>
      </w:r>
      <w:r w:rsidR="003005A5">
        <w:rPr>
          <w:rFonts w:ascii="Times New Roman" w:eastAsia="Times New Roman" w:hAnsi="Times New Roman" w:cs="Times New Roman"/>
          <w:color w:val="000000"/>
          <w:lang w:eastAsia="es-MX"/>
        </w:rPr>
        <w:t>.</w:t>
      </w:r>
      <w:r w:rsidR="008159B0">
        <w:rPr>
          <w:rStyle w:val="EndnoteReference"/>
          <w:rFonts w:ascii="Times New Roman" w:eastAsia="Times New Roman" w:hAnsi="Times New Roman" w:cs="Times New Roman"/>
          <w:color w:val="000000"/>
          <w:lang w:eastAsia="es-MX"/>
        </w:rPr>
        <w:endnoteReference w:id="13"/>
      </w:r>
    </w:p>
    <w:p w:rsidR="00177EEB" w:rsidRDefault="00177EEB" w:rsidP="00642B58">
      <w:pPr>
        <w:spacing w:after="0" w:line="276" w:lineRule="auto"/>
        <w:jc w:val="both"/>
        <w:rPr>
          <w:rFonts w:ascii="Times New Roman" w:eastAsia="Times New Roman" w:hAnsi="Times New Roman" w:cs="Times New Roman"/>
          <w:b/>
          <w:bCs/>
          <w:i/>
          <w:color w:val="000000"/>
        </w:rPr>
      </w:pPr>
    </w:p>
    <w:p w:rsidR="00642B58" w:rsidRPr="00642B58" w:rsidRDefault="00642B58" w:rsidP="00642B58">
      <w:pPr>
        <w:spacing w:after="0" w:line="276" w:lineRule="auto"/>
        <w:jc w:val="both"/>
        <w:rPr>
          <w:rFonts w:ascii="Times New Roman" w:eastAsia="Times New Roman" w:hAnsi="Times New Roman" w:cs="Times New Roman"/>
          <w:i/>
        </w:rPr>
      </w:pPr>
      <w:r w:rsidRPr="00642B58">
        <w:rPr>
          <w:rFonts w:ascii="Times New Roman" w:eastAsia="Times New Roman" w:hAnsi="Times New Roman" w:cs="Times New Roman"/>
          <w:b/>
          <w:bCs/>
          <w:i/>
          <w:color w:val="000000"/>
        </w:rPr>
        <w:t>Recomendaciones: </w:t>
      </w:r>
    </w:p>
    <w:p w:rsidR="00877049" w:rsidRPr="004C67DF" w:rsidRDefault="00877049" w:rsidP="00877049">
      <w:pPr>
        <w:numPr>
          <w:ilvl w:val="0"/>
          <w:numId w:val="13"/>
        </w:numPr>
        <w:spacing w:after="0" w:line="276" w:lineRule="auto"/>
        <w:ind w:left="714" w:hanging="357"/>
        <w:jc w:val="both"/>
        <w:textAlignment w:val="baseline"/>
        <w:rPr>
          <w:rFonts w:ascii="Noto Sans Symbols" w:eastAsia="Times New Roman" w:hAnsi="Noto Sans Symbols" w:cs="Times New Roman"/>
          <w:color w:val="000000"/>
        </w:rPr>
      </w:pPr>
      <w:r w:rsidRPr="00E84653">
        <w:rPr>
          <w:rFonts w:ascii="Times New Roman" w:eastAsia="Times New Roman" w:hAnsi="Times New Roman" w:cs="Times New Roman"/>
          <w:color w:val="000000"/>
        </w:rPr>
        <w:t xml:space="preserve">Fortalecer mecanismos de protección </w:t>
      </w:r>
      <w:r>
        <w:rPr>
          <w:rFonts w:ascii="Times New Roman" w:eastAsia="Times New Roman" w:hAnsi="Times New Roman" w:cs="Times New Roman"/>
          <w:color w:val="000000"/>
        </w:rPr>
        <w:t xml:space="preserve">integral </w:t>
      </w:r>
      <w:r w:rsidRPr="00E84653">
        <w:rPr>
          <w:rFonts w:ascii="Times New Roman" w:eastAsia="Times New Roman" w:hAnsi="Times New Roman" w:cs="Times New Roman"/>
          <w:color w:val="000000"/>
        </w:rPr>
        <w:t>para las personas defensoras que se enc</w:t>
      </w:r>
      <w:r>
        <w:rPr>
          <w:rFonts w:ascii="Times New Roman" w:eastAsia="Times New Roman" w:hAnsi="Times New Roman" w:cs="Times New Roman"/>
          <w:color w:val="000000"/>
        </w:rPr>
        <w:t>uentren actualmente en situaciones</w:t>
      </w:r>
      <w:r w:rsidRPr="00E84653">
        <w:rPr>
          <w:rFonts w:ascii="Times New Roman" w:eastAsia="Times New Roman" w:hAnsi="Times New Roman" w:cs="Times New Roman"/>
          <w:color w:val="000000"/>
        </w:rPr>
        <w:t xml:space="preserve"> de riesgo.  </w:t>
      </w:r>
    </w:p>
    <w:p w:rsidR="00877049" w:rsidRPr="00E84653" w:rsidRDefault="00877049" w:rsidP="00877049">
      <w:pPr>
        <w:numPr>
          <w:ilvl w:val="0"/>
          <w:numId w:val="13"/>
        </w:numPr>
        <w:spacing w:after="0" w:line="276" w:lineRule="auto"/>
        <w:ind w:left="714" w:hanging="357"/>
        <w:jc w:val="both"/>
        <w:textAlignment w:val="baseline"/>
        <w:rPr>
          <w:rFonts w:ascii="Noto Sans Symbols" w:eastAsia="Times New Roman" w:hAnsi="Noto Sans Symbols" w:cs="Times New Roman"/>
          <w:color w:val="000000"/>
        </w:rPr>
      </w:pPr>
      <w:r w:rsidRPr="00E84653">
        <w:rPr>
          <w:rFonts w:ascii="Times New Roman" w:eastAsia="Times New Roman" w:hAnsi="Times New Roman" w:cs="Times New Roman"/>
          <w:color w:val="000000"/>
        </w:rPr>
        <w:t>Implementar acciones de reconocimiento de la labor de defensa: resaltar su importancia, su relevancia actual y reconocer sus aportes a la sociedad.</w:t>
      </w:r>
    </w:p>
    <w:p w:rsidR="00877049" w:rsidRPr="00E84653" w:rsidRDefault="00877049" w:rsidP="00877049">
      <w:pPr>
        <w:numPr>
          <w:ilvl w:val="0"/>
          <w:numId w:val="13"/>
        </w:numPr>
        <w:spacing w:after="0" w:line="276" w:lineRule="auto"/>
        <w:ind w:left="714" w:hanging="357"/>
        <w:jc w:val="both"/>
        <w:textAlignment w:val="baseline"/>
        <w:rPr>
          <w:rFonts w:ascii="Noto Sans Symbols" w:eastAsia="Times New Roman" w:hAnsi="Noto Sans Symbols" w:cs="Times New Roman"/>
          <w:color w:val="000000"/>
        </w:rPr>
      </w:pPr>
      <w:r w:rsidRPr="00E84653">
        <w:rPr>
          <w:rFonts w:ascii="Times New Roman" w:eastAsia="Times New Roman" w:hAnsi="Times New Roman" w:cs="Times New Roman"/>
          <w:color w:val="000000"/>
        </w:rPr>
        <w:t>Reforzar y dotar con perspectiva de derechos humanos, de género, con pertinencia cultural, e interseccional a las instituciones judiciales y de protección, con el objetivo de atender los ataques y agresiones contra personas defensoras de comunidades y organizaciones de la sociedad civil.</w:t>
      </w:r>
    </w:p>
    <w:p w:rsidR="00877049" w:rsidRDefault="00877049" w:rsidP="00877049">
      <w:pPr>
        <w:numPr>
          <w:ilvl w:val="0"/>
          <w:numId w:val="13"/>
        </w:numPr>
        <w:spacing w:after="0" w:line="276" w:lineRule="auto"/>
        <w:ind w:left="714" w:hanging="357"/>
        <w:jc w:val="both"/>
        <w:textAlignment w:val="baseline"/>
        <w:rPr>
          <w:rFonts w:ascii="Noto Sans Symbols" w:eastAsia="Times New Roman" w:hAnsi="Noto Sans Symbols" w:cs="Times New Roman"/>
          <w:color w:val="000000"/>
        </w:rPr>
      </w:pPr>
      <w:r w:rsidRPr="00E84653">
        <w:rPr>
          <w:rFonts w:ascii="Times New Roman" w:eastAsia="Times New Roman" w:hAnsi="Times New Roman" w:cs="Times New Roman"/>
          <w:color w:val="000000"/>
        </w:rPr>
        <w:t xml:space="preserve">Garantizar un ambiente propicio para la labor de las </w:t>
      </w:r>
      <w:r>
        <w:rPr>
          <w:rFonts w:ascii="Times New Roman" w:eastAsia="Times New Roman" w:hAnsi="Times New Roman" w:cs="Times New Roman"/>
          <w:color w:val="000000"/>
        </w:rPr>
        <w:t>OSC, asegurándose la destinación de</w:t>
      </w:r>
      <w:r w:rsidRPr="00E84653">
        <w:rPr>
          <w:rFonts w:ascii="Times New Roman" w:eastAsia="Times New Roman" w:hAnsi="Times New Roman" w:cs="Times New Roman"/>
          <w:color w:val="000000"/>
        </w:rPr>
        <w:t xml:space="preserve"> recursos públicos suficientes para el desarrollo y promoción de actividades desde las OSC. </w:t>
      </w:r>
    </w:p>
    <w:p w:rsidR="00642B58" w:rsidRPr="00877049" w:rsidRDefault="00877049" w:rsidP="00877049">
      <w:pPr>
        <w:numPr>
          <w:ilvl w:val="0"/>
          <w:numId w:val="13"/>
        </w:numPr>
        <w:spacing w:after="0" w:line="276" w:lineRule="auto"/>
        <w:ind w:left="714" w:hanging="357"/>
        <w:jc w:val="both"/>
        <w:textAlignment w:val="baseline"/>
        <w:rPr>
          <w:rFonts w:ascii="Noto Sans Symbols" w:eastAsia="Times New Roman" w:hAnsi="Noto Sans Symbols" w:cs="Times New Roman"/>
          <w:color w:val="000000"/>
        </w:rPr>
      </w:pPr>
      <w:r w:rsidRPr="00877049">
        <w:rPr>
          <w:rFonts w:ascii="Times New Roman" w:eastAsia="Times New Roman" w:hAnsi="Times New Roman" w:cs="Times New Roman"/>
          <w:color w:val="000000"/>
        </w:rPr>
        <w:t>Generar diálogos propositivos con las OSC para construir ambientes propicios para la labor de defensa de los derechos humanos. </w:t>
      </w:r>
    </w:p>
    <w:p w:rsidR="00877049" w:rsidRPr="00877049" w:rsidRDefault="00877049" w:rsidP="00877049">
      <w:pPr>
        <w:spacing w:after="0" w:line="276" w:lineRule="auto"/>
        <w:ind w:left="714"/>
        <w:jc w:val="both"/>
        <w:textAlignment w:val="baseline"/>
        <w:rPr>
          <w:rFonts w:ascii="Noto Sans Symbols" w:eastAsia="Times New Roman" w:hAnsi="Noto Sans Symbols" w:cs="Times New Roman"/>
          <w:color w:val="000000"/>
        </w:rPr>
      </w:pPr>
    </w:p>
    <w:p w:rsidR="000474DA" w:rsidRPr="008159B0" w:rsidRDefault="000474DA" w:rsidP="00877049">
      <w:pPr>
        <w:pStyle w:val="ListParagraph"/>
        <w:numPr>
          <w:ilvl w:val="1"/>
          <w:numId w:val="24"/>
        </w:numPr>
        <w:spacing w:line="276" w:lineRule="auto"/>
        <w:jc w:val="both"/>
        <w:rPr>
          <w:rFonts w:ascii="Times New Roman" w:hAnsi="Times New Roman" w:cs="Times New Roman"/>
          <w:b/>
        </w:rPr>
      </w:pPr>
      <w:r w:rsidRPr="008159B0">
        <w:rPr>
          <w:rFonts w:ascii="Times New Roman" w:hAnsi="Times New Roman" w:cs="Times New Roman"/>
          <w:b/>
        </w:rPr>
        <w:t xml:space="preserve">Fortalecimiento del Estado laico </w:t>
      </w:r>
    </w:p>
    <w:p w:rsidR="000474DA" w:rsidRPr="00941D85" w:rsidRDefault="00177EEB" w:rsidP="00941D85">
      <w:pPr>
        <w:spacing w:line="276" w:lineRule="auto"/>
        <w:jc w:val="both"/>
        <w:rPr>
          <w:rFonts w:ascii="Times New Roman" w:hAnsi="Times New Roman" w:cs="Times New Roman"/>
          <w:b/>
        </w:rPr>
      </w:pPr>
      <w:r>
        <w:rPr>
          <w:rFonts w:ascii="Times New Roman" w:eastAsia="Times New Roman" w:hAnsi="Times New Roman" w:cs="Times New Roman"/>
          <w:color w:val="000000"/>
          <w:lang w:eastAsia="es-MX"/>
        </w:rPr>
        <w:t xml:space="preserve">20. </w:t>
      </w:r>
      <w:r w:rsidR="000474DA" w:rsidRPr="00941D85">
        <w:rPr>
          <w:rFonts w:ascii="Times New Roman" w:eastAsia="Times New Roman" w:hAnsi="Times New Roman" w:cs="Times New Roman"/>
          <w:color w:val="000000"/>
          <w:lang w:eastAsia="es-MX"/>
        </w:rPr>
        <w:t>El principio de laicidad, característico de México, tiene su fundamento en instrumentos internacionales y locales como la Constitución Política. Su principal objetivo es buscar el respeto de la independencia y autonomía del Estado frente a la Iglesia y viceversa, así como de los principios de igualdad, no discriminación y libertad de religión. </w:t>
      </w:r>
    </w:p>
    <w:p w:rsidR="000474DA" w:rsidRPr="00941D85" w:rsidRDefault="00177EEB" w:rsidP="00941D85">
      <w:pPr>
        <w:spacing w:after="0" w:line="276" w:lineRule="auto"/>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21. </w:t>
      </w:r>
      <w:r w:rsidR="000474DA" w:rsidRPr="00941D85">
        <w:rPr>
          <w:rFonts w:ascii="Times New Roman" w:eastAsia="Times New Roman" w:hAnsi="Times New Roman" w:cs="Times New Roman"/>
          <w:color w:val="000000"/>
          <w:lang w:eastAsia="es-MX"/>
        </w:rPr>
        <w:t>Sin embargo, diversas acciones gubernamentales realizadas durante los últimos cinco años, desde el sexenio anterior hasta la actual administración, han transgredido el estatus laico del Estado mexicano mediante intentos de reformas a leyes</w:t>
      </w:r>
      <w:r w:rsidR="009411A3">
        <w:rPr>
          <w:rStyle w:val="EndnoteReference"/>
          <w:rFonts w:ascii="Times New Roman" w:eastAsia="Times New Roman" w:hAnsi="Times New Roman" w:cs="Times New Roman"/>
          <w:color w:val="000000"/>
          <w:lang w:eastAsia="es-MX"/>
        </w:rPr>
        <w:endnoteReference w:id="14"/>
      </w:r>
      <w:r w:rsidR="000474DA" w:rsidRPr="00941D85">
        <w:rPr>
          <w:rFonts w:ascii="Times New Roman" w:eastAsia="Times New Roman" w:hAnsi="Times New Roman" w:cs="Times New Roman"/>
          <w:color w:val="000000"/>
          <w:lang w:eastAsia="es-MX"/>
        </w:rPr>
        <w:t xml:space="preserve">, distribución de documentos </w:t>
      </w:r>
      <w:r w:rsidR="001E3834">
        <w:rPr>
          <w:rFonts w:ascii="Times New Roman" w:eastAsia="Times New Roman" w:hAnsi="Times New Roman" w:cs="Times New Roman"/>
          <w:color w:val="000000"/>
          <w:lang w:eastAsia="es-MX"/>
        </w:rPr>
        <w:t xml:space="preserve">educativos </w:t>
      </w:r>
      <w:r w:rsidR="000474DA" w:rsidRPr="00941D85">
        <w:rPr>
          <w:rFonts w:ascii="Times New Roman" w:eastAsia="Times New Roman" w:hAnsi="Times New Roman" w:cs="Times New Roman"/>
          <w:color w:val="000000"/>
          <w:lang w:eastAsia="es-MX"/>
        </w:rPr>
        <w:t>como la Cartilla Moral</w:t>
      </w:r>
      <w:r w:rsidR="008159B0">
        <w:rPr>
          <w:rStyle w:val="EndnoteReference"/>
          <w:rFonts w:ascii="Times New Roman" w:eastAsia="Times New Roman" w:hAnsi="Times New Roman" w:cs="Times New Roman"/>
          <w:color w:val="000000"/>
          <w:lang w:eastAsia="es-MX"/>
        </w:rPr>
        <w:endnoteReference w:id="15"/>
      </w:r>
      <w:r w:rsidR="000474DA" w:rsidRPr="00941D85">
        <w:rPr>
          <w:rFonts w:ascii="Times New Roman" w:eastAsia="Times New Roman" w:hAnsi="Times New Roman" w:cs="Times New Roman"/>
          <w:color w:val="000000"/>
          <w:lang w:eastAsia="es-MX"/>
        </w:rPr>
        <w:t>, la intromisión de iglesias, asociaciones y agrupaciones religiosas en acciones que deberían corresponder únicamente al Estado, por mencionar algunas.</w:t>
      </w:r>
      <w:r w:rsidR="008159B0">
        <w:rPr>
          <w:rStyle w:val="EndnoteReference"/>
          <w:rFonts w:ascii="Times New Roman" w:eastAsia="Times New Roman" w:hAnsi="Times New Roman" w:cs="Times New Roman"/>
          <w:color w:val="000000"/>
          <w:lang w:eastAsia="es-MX"/>
        </w:rPr>
        <w:endnoteReference w:id="16"/>
      </w:r>
    </w:p>
    <w:p w:rsidR="00941D85" w:rsidRPr="00941D85" w:rsidRDefault="00941D85" w:rsidP="00941D85">
      <w:pPr>
        <w:spacing w:after="0" w:line="276" w:lineRule="auto"/>
        <w:jc w:val="both"/>
        <w:rPr>
          <w:rFonts w:ascii="Times New Roman" w:eastAsia="Times New Roman" w:hAnsi="Times New Roman" w:cs="Times New Roman"/>
          <w:color w:val="000000"/>
          <w:lang w:eastAsia="es-MX"/>
        </w:rPr>
      </w:pPr>
    </w:p>
    <w:p w:rsidR="00642B58" w:rsidRPr="00642B58" w:rsidRDefault="00642B58" w:rsidP="00642B58">
      <w:pPr>
        <w:spacing w:after="0" w:line="276" w:lineRule="auto"/>
        <w:jc w:val="both"/>
        <w:textAlignment w:val="baseline"/>
        <w:rPr>
          <w:rFonts w:ascii="Times New Roman" w:eastAsia="Times New Roman" w:hAnsi="Times New Roman" w:cs="Times New Roman"/>
          <w:b/>
          <w:i/>
          <w:color w:val="000000"/>
        </w:rPr>
      </w:pPr>
      <w:r w:rsidRPr="00642B58">
        <w:rPr>
          <w:rFonts w:ascii="Times New Roman" w:eastAsia="Times New Roman" w:hAnsi="Times New Roman" w:cs="Times New Roman"/>
          <w:b/>
          <w:i/>
          <w:color w:val="000000"/>
        </w:rPr>
        <w:t>Recomendaciones:</w:t>
      </w:r>
    </w:p>
    <w:p w:rsidR="00642B58" w:rsidRPr="00941D85" w:rsidRDefault="00642B58" w:rsidP="00642B58">
      <w:pPr>
        <w:pStyle w:val="ListParagraph"/>
        <w:numPr>
          <w:ilvl w:val="0"/>
          <w:numId w:val="5"/>
        </w:numPr>
        <w:spacing w:after="0" w:line="276" w:lineRule="auto"/>
        <w:jc w:val="both"/>
        <w:textAlignment w:val="baseline"/>
        <w:rPr>
          <w:rFonts w:ascii="Times New Roman" w:eastAsia="Times New Roman" w:hAnsi="Times New Roman" w:cs="Times New Roman"/>
          <w:color w:val="000000"/>
        </w:rPr>
      </w:pPr>
      <w:r w:rsidRPr="00941D85">
        <w:rPr>
          <w:rFonts w:ascii="Times New Roman" w:eastAsia="Times New Roman" w:hAnsi="Times New Roman" w:cs="Times New Roman"/>
          <w:color w:val="000000"/>
        </w:rPr>
        <w:t>Garantizar el principio de laicidad y evitar la intervención de iglesias y grupos religiosos en espacios y asuntos públicos.</w:t>
      </w:r>
    </w:p>
    <w:p w:rsidR="00642B58" w:rsidRPr="00941D85" w:rsidRDefault="00642B58" w:rsidP="00642B58">
      <w:pPr>
        <w:numPr>
          <w:ilvl w:val="0"/>
          <w:numId w:val="14"/>
        </w:numPr>
        <w:spacing w:after="0" w:line="276" w:lineRule="auto"/>
        <w:jc w:val="both"/>
        <w:textAlignment w:val="baseline"/>
        <w:rPr>
          <w:rFonts w:ascii="Times New Roman" w:eastAsia="Times New Roman" w:hAnsi="Times New Roman" w:cs="Times New Roman"/>
          <w:color w:val="000000"/>
        </w:rPr>
      </w:pPr>
      <w:r w:rsidRPr="00941D85">
        <w:rPr>
          <w:rFonts w:ascii="Times New Roman" w:eastAsia="Times New Roman" w:hAnsi="Times New Roman" w:cs="Times New Roman"/>
          <w:color w:val="000000"/>
        </w:rPr>
        <w:t>Consolidar un modelo educativo laico, diseñado a partir del conocimiento e información científica y veraz, y que promueva la toma de decisiones libre de creencias religiosas.</w:t>
      </w:r>
    </w:p>
    <w:p w:rsidR="00642B58" w:rsidRPr="00941D85" w:rsidRDefault="00642B58" w:rsidP="00642B58">
      <w:pPr>
        <w:numPr>
          <w:ilvl w:val="0"/>
          <w:numId w:val="14"/>
        </w:numPr>
        <w:spacing w:after="0" w:line="276" w:lineRule="auto"/>
        <w:jc w:val="both"/>
        <w:textAlignment w:val="baseline"/>
        <w:rPr>
          <w:rFonts w:ascii="Times New Roman" w:eastAsia="Times New Roman" w:hAnsi="Times New Roman" w:cs="Times New Roman"/>
          <w:color w:val="000000"/>
        </w:rPr>
      </w:pPr>
      <w:r w:rsidRPr="00941D85">
        <w:rPr>
          <w:rFonts w:ascii="Times New Roman" w:eastAsia="Times New Roman" w:hAnsi="Times New Roman" w:cs="Times New Roman"/>
          <w:color w:val="000000"/>
        </w:rPr>
        <w:t>Respetar la normativa jurídica relativa a las asociaciones religiosas y de culto público, y su separación con las funciones e instituciones del Estado.</w:t>
      </w:r>
    </w:p>
    <w:p w:rsidR="00642B58" w:rsidRPr="00941D85" w:rsidRDefault="00642B58" w:rsidP="00642B58">
      <w:pPr>
        <w:numPr>
          <w:ilvl w:val="0"/>
          <w:numId w:val="14"/>
        </w:numPr>
        <w:spacing w:after="0" w:line="276" w:lineRule="auto"/>
        <w:jc w:val="both"/>
        <w:textAlignment w:val="baseline"/>
        <w:rPr>
          <w:rFonts w:ascii="Times New Roman" w:eastAsia="Times New Roman" w:hAnsi="Times New Roman" w:cs="Times New Roman"/>
          <w:color w:val="000000"/>
        </w:rPr>
      </w:pPr>
      <w:r w:rsidRPr="00941D85">
        <w:rPr>
          <w:rFonts w:ascii="Times New Roman" w:eastAsia="Times New Roman" w:hAnsi="Times New Roman" w:cs="Times New Roman"/>
          <w:color w:val="000000"/>
        </w:rPr>
        <w:lastRenderedPageBreak/>
        <w:t>Garantizar que las y los funcionarios públicos se apeguen a su labor buscando en todo momento que su moral particular, no obstruya las libertades y los derechos de las personas y no se privilegie ningún dogma por sobre otro.</w:t>
      </w:r>
    </w:p>
    <w:p w:rsidR="00642B58" w:rsidRDefault="00642B58" w:rsidP="00642B58">
      <w:pPr>
        <w:numPr>
          <w:ilvl w:val="0"/>
          <w:numId w:val="14"/>
        </w:numPr>
        <w:spacing w:after="0" w:line="276" w:lineRule="auto"/>
        <w:jc w:val="both"/>
        <w:textAlignment w:val="baseline"/>
        <w:rPr>
          <w:rFonts w:ascii="Times New Roman" w:eastAsia="Times New Roman" w:hAnsi="Times New Roman" w:cs="Times New Roman"/>
          <w:color w:val="000000"/>
        </w:rPr>
      </w:pPr>
      <w:r w:rsidRPr="00941D85">
        <w:rPr>
          <w:rFonts w:ascii="Times New Roman" w:eastAsia="Times New Roman" w:hAnsi="Times New Roman" w:cs="Times New Roman"/>
          <w:color w:val="000000"/>
        </w:rPr>
        <w:t>Evitar la promoción de una sola ideología o creencia en particular, que transgreda el principio de laicidad y diversidad religiosa.</w:t>
      </w:r>
    </w:p>
    <w:p w:rsidR="00941D85" w:rsidRPr="00642B58" w:rsidRDefault="00642B58" w:rsidP="00642B58">
      <w:pPr>
        <w:numPr>
          <w:ilvl w:val="0"/>
          <w:numId w:val="14"/>
        </w:numPr>
        <w:spacing w:after="0" w:line="276" w:lineRule="auto"/>
        <w:jc w:val="both"/>
        <w:textAlignment w:val="baseline"/>
        <w:rPr>
          <w:rFonts w:ascii="Times New Roman" w:eastAsia="Times New Roman" w:hAnsi="Times New Roman" w:cs="Times New Roman"/>
          <w:color w:val="000000"/>
        </w:rPr>
      </w:pPr>
      <w:r w:rsidRPr="00642B58">
        <w:rPr>
          <w:rFonts w:ascii="Times New Roman" w:eastAsia="Times New Roman" w:hAnsi="Times New Roman" w:cs="Times New Roman"/>
          <w:color w:val="000000"/>
        </w:rPr>
        <w:t>Evitar cualquier tipo de interferencia doctrinal o moral en la construcción de políticas públicas del Estado encaminadas al ejercicio de derechos humanos.</w:t>
      </w:r>
    </w:p>
    <w:p w:rsidR="000474DA" w:rsidRPr="00941D85" w:rsidRDefault="000474DA" w:rsidP="00941D85">
      <w:pPr>
        <w:pStyle w:val="ListParagraph"/>
        <w:spacing w:after="0" w:line="276" w:lineRule="auto"/>
        <w:jc w:val="both"/>
        <w:rPr>
          <w:rFonts w:ascii="Times New Roman" w:eastAsia="Times New Roman" w:hAnsi="Times New Roman" w:cs="Times New Roman"/>
          <w:lang w:eastAsia="es-MX"/>
        </w:rPr>
      </w:pPr>
    </w:p>
    <w:p w:rsidR="000474DA" w:rsidRPr="008159B0" w:rsidRDefault="000474DA" w:rsidP="00877049">
      <w:pPr>
        <w:pStyle w:val="ListParagraph"/>
        <w:numPr>
          <w:ilvl w:val="1"/>
          <w:numId w:val="24"/>
        </w:numPr>
        <w:spacing w:line="276" w:lineRule="auto"/>
        <w:jc w:val="both"/>
        <w:rPr>
          <w:rFonts w:ascii="Times New Roman" w:hAnsi="Times New Roman" w:cs="Times New Roman"/>
          <w:b/>
        </w:rPr>
      </w:pPr>
      <w:r w:rsidRPr="008159B0">
        <w:rPr>
          <w:rFonts w:ascii="Times New Roman" w:hAnsi="Times New Roman" w:cs="Times New Roman"/>
          <w:b/>
        </w:rPr>
        <w:t>Participación política</w:t>
      </w:r>
      <w:r w:rsidR="00941D85" w:rsidRPr="008159B0">
        <w:rPr>
          <w:rFonts w:ascii="Times New Roman" w:hAnsi="Times New Roman" w:cs="Times New Roman"/>
          <w:b/>
        </w:rPr>
        <w:t xml:space="preserve"> y ciudadana</w:t>
      </w:r>
    </w:p>
    <w:p w:rsidR="000474DA" w:rsidRPr="00941D85" w:rsidRDefault="00177EEB" w:rsidP="00CC65D2">
      <w:pPr>
        <w:spacing w:after="0" w:line="276" w:lineRule="auto"/>
        <w:jc w:val="both"/>
        <w:rPr>
          <w:rFonts w:ascii="Times New Roman" w:eastAsia="Times New Roman" w:hAnsi="Times New Roman" w:cs="Times New Roman"/>
          <w:lang w:eastAsia="es-MX"/>
        </w:rPr>
      </w:pPr>
      <w:r>
        <w:rPr>
          <w:rFonts w:ascii="Times New Roman" w:eastAsia="Times New Roman" w:hAnsi="Times New Roman" w:cs="Times New Roman"/>
          <w:color w:val="000000"/>
        </w:rPr>
        <w:t xml:space="preserve">22. </w:t>
      </w:r>
      <w:r w:rsidR="00CC65D2" w:rsidRPr="004F4F27">
        <w:rPr>
          <w:rFonts w:ascii="Times New Roman" w:eastAsia="Times New Roman" w:hAnsi="Times New Roman" w:cs="Times New Roman"/>
          <w:color w:val="000000"/>
        </w:rPr>
        <w:t>La participación política y ciudadana es una de las características fundamentales para la consolidación democrática porque, entre otros motivos, legítima, fortalece y contribuye a la eficacia de un gobierno; involucra a la ciudadanía en los procesos de toma de decisiones y en l</w:t>
      </w:r>
      <w:r w:rsidR="00CC65D2">
        <w:rPr>
          <w:rFonts w:ascii="Times New Roman" w:eastAsia="Times New Roman" w:hAnsi="Times New Roman" w:cs="Times New Roman"/>
          <w:color w:val="000000"/>
        </w:rPr>
        <w:t>a regulación de la vida pública.</w:t>
      </w:r>
      <w:r w:rsidR="00CC65D2" w:rsidRPr="004F4F27">
        <w:rPr>
          <w:rFonts w:ascii="Times New Roman" w:eastAsia="Times New Roman" w:hAnsi="Times New Roman" w:cs="Times New Roman"/>
          <w:color w:val="000000"/>
        </w:rPr>
        <w:t xml:space="preserve"> </w:t>
      </w:r>
      <w:r w:rsidR="000474DA" w:rsidRPr="00941D85">
        <w:rPr>
          <w:rFonts w:ascii="Times New Roman" w:eastAsia="Times New Roman" w:hAnsi="Times New Roman" w:cs="Times New Roman"/>
          <w:color w:val="000000"/>
          <w:lang w:eastAsia="es-MX"/>
        </w:rPr>
        <w:t>Mediante los mecanismos de participación ciudadana como las iniciativas ciud</w:t>
      </w:r>
      <w:r w:rsidR="00CC65D2">
        <w:rPr>
          <w:rFonts w:ascii="Times New Roman" w:eastAsia="Times New Roman" w:hAnsi="Times New Roman" w:cs="Times New Roman"/>
          <w:color w:val="000000"/>
          <w:lang w:eastAsia="es-MX"/>
        </w:rPr>
        <w:t xml:space="preserve">adanas, la sociedad civil y </w:t>
      </w:r>
      <w:r w:rsidR="000474DA" w:rsidRPr="00941D85">
        <w:rPr>
          <w:rFonts w:ascii="Times New Roman" w:eastAsia="Times New Roman" w:hAnsi="Times New Roman" w:cs="Times New Roman"/>
          <w:color w:val="000000"/>
          <w:lang w:eastAsia="es-MX"/>
        </w:rPr>
        <w:t>las personas defensoras de derechos humanos, en general exigen al Estado mexicano, de diversas maneras, la promoción, la garantía, la protección y el respeto de sus derechos humanos. </w:t>
      </w:r>
    </w:p>
    <w:p w:rsidR="000474DA" w:rsidRPr="00941D85" w:rsidRDefault="000474DA" w:rsidP="00941D85">
      <w:pPr>
        <w:pStyle w:val="ListParagraph"/>
        <w:spacing w:after="0" w:line="276" w:lineRule="auto"/>
        <w:rPr>
          <w:rFonts w:ascii="Times New Roman" w:eastAsia="Times New Roman" w:hAnsi="Times New Roman" w:cs="Times New Roman"/>
          <w:lang w:eastAsia="es-MX"/>
        </w:rPr>
      </w:pPr>
    </w:p>
    <w:p w:rsidR="000474DA" w:rsidRPr="00941D85" w:rsidRDefault="00177EEB" w:rsidP="00941D85">
      <w:pPr>
        <w:spacing w:after="0" w:line="276" w:lineRule="auto"/>
        <w:jc w:val="both"/>
        <w:rPr>
          <w:rFonts w:ascii="Times New Roman" w:eastAsia="Times New Roman" w:hAnsi="Times New Roman" w:cs="Times New Roman"/>
          <w:lang w:eastAsia="es-MX"/>
        </w:rPr>
      </w:pPr>
      <w:r>
        <w:rPr>
          <w:rFonts w:ascii="Times New Roman" w:eastAsia="Times New Roman" w:hAnsi="Times New Roman" w:cs="Times New Roman"/>
          <w:color w:val="000000"/>
          <w:lang w:eastAsia="es-MX"/>
        </w:rPr>
        <w:t xml:space="preserve">23. </w:t>
      </w:r>
      <w:r w:rsidR="000474DA" w:rsidRPr="00941D85">
        <w:rPr>
          <w:rFonts w:ascii="Times New Roman" w:eastAsia="Times New Roman" w:hAnsi="Times New Roman" w:cs="Times New Roman"/>
          <w:color w:val="000000"/>
          <w:lang w:eastAsia="es-MX"/>
        </w:rPr>
        <w:t xml:space="preserve">No obstante, los dos sexenios anteriores han provocado una visión reduccionista de la participación ciudadana al promoverla como algo meramente procedimental y electoral. Por otro lado, autoridades mexicanas muestran resistencias notorias para la implementación de mecanismos de participación como las iniciativas ciudadanas, como es el caso de la no consideración del paquete de iniciativas presentado en abril de 2019 por varias </w:t>
      </w:r>
      <w:r w:rsidR="00CC65D2">
        <w:rPr>
          <w:rFonts w:ascii="Times New Roman" w:eastAsia="Times New Roman" w:hAnsi="Times New Roman" w:cs="Times New Roman"/>
          <w:color w:val="000000"/>
          <w:lang w:eastAsia="es-MX"/>
        </w:rPr>
        <w:t>agrupaciones</w:t>
      </w:r>
      <w:r w:rsidR="000474DA" w:rsidRPr="00941D85">
        <w:rPr>
          <w:rFonts w:ascii="Times New Roman" w:eastAsia="Times New Roman" w:hAnsi="Times New Roman" w:cs="Times New Roman"/>
          <w:color w:val="000000"/>
          <w:lang w:eastAsia="es-MX"/>
        </w:rPr>
        <w:t xml:space="preserve"> como la A</w:t>
      </w:r>
      <w:r w:rsidR="009B0C97">
        <w:rPr>
          <w:rFonts w:ascii="Times New Roman" w:eastAsia="Times New Roman" w:hAnsi="Times New Roman" w:cs="Times New Roman"/>
          <w:color w:val="000000"/>
          <w:lang w:eastAsia="es-MX"/>
        </w:rPr>
        <w:t xml:space="preserve">samblea </w:t>
      </w:r>
      <w:r w:rsidR="000474DA" w:rsidRPr="00941D85">
        <w:rPr>
          <w:rFonts w:ascii="Times New Roman" w:eastAsia="Times New Roman" w:hAnsi="Times New Roman" w:cs="Times New Roman"/>
          <w:color w:val="000000"/>
          <w:lang w:eastAsia="es-MX"/>
        </w:rPr>
        <w:t>N</w:t>
      </w:r>
      <w:r w:rsidR="009B0C97">
        <w:rPr>
          <w:rFonts w:ascii="Times New Roman" w:eastAsia="Times New Roman" w:hAnsi="Times New Roman" w:cs="Times New Roman"/>
          <w:color w:val="000000"/>
          <w:lang w:eastAsia="es-MX"/>
        </w:rPr>
        <w:t xml:space="preserve">acional de </w:t>
      </w:r>
      <w:r w:rsidR="000474DA" w:rsidRPr="00941D85">
        <w:rPr>
          <w:rFonts w:ascii="Times New Roman" w:eastAsia="Times New Roman" w:hAnsi="Times New Roman" w:cs="Times New Roman"/>
          <w:color w:val="000000"/>
          <w:lang w:eastAsia="es-MX"/>
        </w:rPr>
        <w:t>U</w:t>
      </w:r>
      <w:r w:rsidR="009B0C97">
        <w:rPr>
          <w:rFonts w:ascii="Times New Roman" w:eastAsia="Times New Roman" w:hAnsi="Times New Roman" w:cs="Times New Roman"/>
          <w:color w:val="000000"/>
          <w:lang w:eastAsia="es-MX"/>
        </w:rPr>
        <w:t xml:space="preserve">suarios de </w:t>
      </w:r>
      <w:r w:rsidR="000474DA" w:rsidRPr="00941D85">
        <w:rPr>
          <w:rFonts w:ascii="Times New Roman" w:eastAsia="Times New Roman" w:hAnsi="Times New Roman" w:cs="Times New Roman"/>
          <w:color w:val="000000"/>
          <w:lang w:eastAsia="es-MX"/>
        </w:rPr>
        <w:t>E</w:t>
      </w:r>
      <w:r w:rsidR="009B0C97">
        <w:rPr>
          <w:rFonts w:ascii="Times New Roman" w:eastAsia="Times New Roman" w:hAnsi="Times New Roman" w:cs="Times New Roman"/>
          <w:color w:val="000000"/>
          <w:lang w:eastAsia="es-MX"/>
        </w:rPr>
        <w:t xml:space="preserve">nergía </w:t>
      </w:r>
      <w:r w:rsidR="000474DA" w:rsidRPr="00941D85">
        <w:rPr>
          <w:rFonts w:ascii="Times New Roman" w:eastAsia="Times New Roman" w:hAnsi="Times New Roman" w:cs="Times New Roman"/>
          <w:color w:val="000000"/>
          <w:lang w:eastAsia="es-MX"/>
        </w:rPr>
        <w:t>E</w:t>
      </w:r>
      <w:r w:rsidR="009B0C97">
        <w:rPr>
          <w:rFonts w:ascii="Times New Roman" w:eastAsia="Times New Roman" w:hAnsi="Times New Roman" w:cs="Times New Roman"/>
          <w:color w:val="000000"/>
          <w:lang w:eastAsia="es-MX"/>
        </w:rPr>
        <w:t>léctrica</w:t>
      </w:r>
      <w:r w:rsidR="000474DA" w:rsidRPr="00941D85">
        <w:rPr>
          <w:rFonts w:ascii="Times New Roman" w:eastAsia="Times New Roman" w:hAnsi="Times New Roman" w:cs="Times New Roman"/>
          <w:color w:val="000000"/>
          <w:lang w:eastAsia="es-MX"/>
        </w:rPr>
        <w:t>, e</w:t>
      </w:r>
      <w:r w:rsidR="00CC65D2">
        <w:rPr>
          <w:rFonts w:ascii="Times New Roman" w:eastAsia="Times New Roman" w:hAnsi="Times New Roman" w:cs="Times New Roman"/>
          <w:color w:val="000000"/>
          <w:lang w:eastAsia="es-MX"/>
        </w:rPr>
        <w:t>n el que</w:t>
      </w:r>
      <w:r w:rsidR="000474DA" w:rsidRPr="00941D85">
        <w:rPr>
          <w:rFonts w:ascii="Times New Roman" w:eastAsia="Times New Roman" w:hAnsi="Times New Roman" w:cs="Times New Roman"/>
          <w:color w:val="000000"/>
          <w:lang w:eastAsia="es-MX"/>
        </w:rPr>
        <w:t xml:space="preserve"> </w:t>
      </w:r>
      <w:r w:rsidR="00CC65D2">
        <w:rPr>
          <w:rFonts w:ascii="Times New Roman" w:eastAsia="Times New Roman" w:hAnsi="Times New Roman" w:cs="Times New Roman"/>
          <w:color w:val="000000"/>
          <w:lang w:eastAsia="es-MX"/>
        </w:rPr>
        <w:t>cada iniciativa estuvo acompañada</w:t>
      </w:r>
      <w:r w:rsidR="000474DA" w:rsidRPr="00941D85">
        <w:rPr>
          <w:rFonts w:ascii="Times New Roman" w:eastAsia="Times New Roman" w:hAnsi="Times New Roman" w:cs="Times New Roman"/>
          <w:color w:val="000000"/>
          <w:lang w:eastAsia="es-MX"/>
        </w:rPr>
        <w:t xml:space="preserve"> por más de 130 mil firmas de ciudadanos y ciudadanas.</w:t>
      </w:r>
      <w:r w:rsidR="008159B0">
        <w:rPr>
          <w:rStyle w:val="EndnoteReference"/>
          <w:rFonts w:ascii="Times New Roman" w:eastAsia="Times New Roman" w:hAnsi="Times New Roman" w:cs="Times New Roman"/>
          <w:color w:val="000000"/>
          <w:lang w:eastAsia="es-MX"/>
        </w:rPr>
        <w:endnoteReference w:id="17"/>
      </w:r>
    </w:p>
    <w:p w:rsidR="000474DA" w:rsidRDefault="000474DA" w:rsidP="00941D85">
      <w:pPr>
        <w:spacing w:line="276" w:lineRule="auto"/>
        <w:jc w:val="both"/>
        <w:rPr>
          <w:rFonts w:ascii="Times New Roman" w:hAnsi="Times New Roman" w:cs="Times New Roman"/>
          <w:b/>
        </w:rPr>
      </w:pPr>
    </w:p>
    <w:p w:rsidR="00642B58" w:rsidRPr="00642B58" w:rsidRDefault="00642B58" w:rsidP="00642B58">
      <w:pPr>
        <w:spacing w:after="0" w:line="276" w:lineRule="auto"/>
        <w:jc w:val="both"/>
        <w:textAlignment w:val="baseline"/>
        <w:rPr>
          <w:rFonts w:ascii="Times New Roman" w:eastAsia="Times New Roman" w:hAnsi="Times New Roman" w:cs="Times New Roman"/>
          <w:b/>
          <w:i/>
          <w:color w:val="000000"/>
        </w:rPr>
      </w:pPr>
      <w:r w:rsidRPr="00642B58">
        <w:rPr>
          <w:rFonts w:ascii="Times New Roman" w:eastAsia="Times New Roman" w:hAnsi="Times New Roman" w:cs="Times New Roman"/>
          <w:b/>
          <w:i/>
          <w:color w:val="000000"/>
        </w:rPr>
        <w:t>Recomendaciones:</w:t>
      </w:r>
    </w:p>
    <w:p w:rsidR="00642B58" w:rsidRPr="00941D85" w:rsidRDefault="00642B58" w:rsidP="00642B58">
      <w:pPr>
        <w:pStyle w:val="ListParagraph"/>
        <w:numPr>
          <w:ilvl w:val="0"/>
          <w:numId w:val="5"/>
        </w:numPr>
        <w:spacing w:after="0" w:line="276" w:lineRule="auto"/>
        <w:jc w:val="both"/>
        <w:textAlignment w:val="baseline"/>
        <w:rPr>
          <w:rFonts w:ascii="Times New Roman" w:eastAsia="Times New Roman" w:hAnsi="Times New Roman" w:cs="Times New Roman"/>
          <w:color w:val="000000"/>
        </w:rPr>
      </w:pPr>
      <w:r w:rsidRPr="00941D85">
        <w:rPr>
          <w:rFonts w:ascii="Times New Roman" w:eastAsia="Times New Roman" w:hAnsi="Times New Roman" w:cs="Times New Roman"/>
          <w:color w:val="000000"/>
        </w:rPr>
        <w:t>Generar certezas jurídicas y mayores niveles de transparencia en los procesos de participación política y ciudadana reconocidos en la Constitución Política. </w:t>
      </w:r>
    </w:p>
    <w:p w:rsidR="00642B58" w:rsidRDefault="00642B58" w:rsidP="00642B58">
      <w:pPr>
        <w:numPr>
          <w:ilvl w:val="0"/>
          <w:numId w:val="15"/>
        </w:numPr>
        <w:spacing w:after="0" w:line="276" w:lineRule="auto"/>
        <w:jc w:val="both"/>
        <w:textAlignment w:val="baseline"/>
        <w:rPr>
          <w:rFonts w:ascii="Times New Roman" w:eastAsia="Times New Roman" w:hAnsi="Times New Roman" w:cs="Times New Roman"/>
          <w:color w:val="000000"/>
        </w:rPr>
      </w:pPr>
      <w:r w:rsidRPr="00941D85">
        <w:rPr>
          <w:rFonts w:ascii="Times New Roman" w:eastAsia="Times New Roman" w:hAnsi="Times New Roman" w:cs="Times New Roman"/>
          <w:color w:val="000000"/>
        </w:rPr>
        <w:t>Reforzar la promoción de los derechos de participación política y ciudadana más allá de los procesos electorales. </w:t>
      </w:r>
    </w:p>
    <w:p w:rsidR="00642B58" w:rsidRPr="00642B58" w:rsidRDefault="00642B58" w:rsidP="00642B58">
      <w:pPr>
        <w:numPr>
          <w:ilvl w:val="0"/>
          <w:numId w:val="15"/>
        </w:numPr>
        <w:spacing w:after="0" w:line="276" w:lineRule="auto"/>
        <w:jc w:val="both"/>
        <w:textAlignment w:val="baseline"/>
        <w:rPr>
          <w:rFonts w:ascii="Times New Roman" w:eastAsia="Times New Roman" w:hAnsi="Times New Roman" w:cs="Times New Roman"/>
          <w:color w:val="000000"/>
        </w:rPr>
      </w:pPr>
      <w:r w:rsidRPr="00642B58">
        <w:rPr>
          <w:rFonts w:ascii="Times New Roman" w:eastAsia="Times New Roman" w:hAnsi="Times New Roman" w:cs="Times New Roman"/>
          <w:color w:val="000000"/>
        </w:rPr>
        <w:t>Generar mecanismos de participación política que atiendan a la diversidad de condiciones y contextos sociales del país. </w:t>
      </w:r>
    </w:p>
    <w:p w:rsidR="00941D85" w:rsidRPr="00941D85" w:rsidRDefault="00941D85" w:rsidP="00941D85">
      <w:pPr>
        <w:spacing w:line="276" w:lineRule="auto"/>
        <w:jc w:val="both"/>
        <w:rPr>
          <w:rFonts w:ascii="Times New Roman" w:eastAsia="Times New Roman" w:hAnsi="Times New Roman" w:cs="Times New Roman"/>
          <w:b/>
        </w:rPr>
      </w:pPr>
    </w:p>
    <w:p w:rsidR="00877049" w:rsidRDefault="00941D85" w:rsidP="00877049">
      <w:pPr>
        <w:pStyle w:val="ListParagraph"/>
        <w:numPr>
          <w:ilvl w:val="0"/>
          <w:numId w:val="24"/>
        </w:numPr>
        <w:spacing w:after="0" w:line="276" w:lineRule="auto"/>
        <w:ind w:left="714" w:hanging="357"/>
        <w:jc w:val="both"/>
        <w:rPr>
          <w:rFonts w:ascii="Times New Roman" w:eastAsia="Times New Roman" w:hAnsi="Times New Roman" w:cs="Times New Roman"/>
          <w:b/>
        </w:rPr>
      </w:pPr>
      <w:r w:rsidRPr="00877049">
        <w:rPr>
          <w:rFonts w:ascii="Times New Roman" w:eastAsia="Times New Roman" w:hAnsi="Times New Roman" w:cs="Times New Roman"/>
          <w:b/>
        </w:rPr>
        <w:t>DESARROLLO, JUSTICIA SOCIAL Y DERECHOS COLECTIVOS</w:t>
      </w:r>
    </w:p>
    <w:p w:rsidR="00877049" w:rsidRPr="00877049" w:rsidRDefault="00877049" w:rsidP="00877049">
      <w:pPr>
        <w:spacing w:after="0" w:line="276" w:lineRule="auto"/>
        <w:jc w:val="both"/>
        <w:rPr>
          <w:rFonts w:ascii="Times New Roman" w:eastAsia="Times New Roman" w:hAnsi="Times New Roman" w:cs="Times New Roman"/>
          <w:b/>
        </w:rPr>
      </w:pPr>
    </w:p>
    <w:p w:rsidR="00877049" w:rsidRPr="008159B0" w:rsidRDefault="00877049" w:rsidP="00877049">
      <w:pPr>
        <w:pStyle w:val="ListParagraph"/>
        <w:numPr>
          <w:ilvl w:val="1"/>
          <w:numId w:val="24"/>
        </w:numPr>
        <w:spacing w:after="0" w:line="276" w:lineRule="auto"/>
        <w:jc w:val="both"/>
        <w:rPr>
          <w:rFonts w:ascii="Times New Roman" w:eastAsia="Times New Roman" w:hAnsi="Times New Roman" w:cs="Times New Roman"/>
          <w:b/>
          <w:lang w:eastAsia="es-MX"/>
        </w:rPr>
      </w:pPr>
      <w:r w:rsidRPr="008159B0">
        <w:rPr>
          <w:rFonts w:ascii="Times New Roman" w:eastAsia="Times New Roman" w:hAnsi="Times New Roman" w:cs="Times New Roman"/>
          <w:b/>
        </w:rPr>
        <w:t xml:space="preserve">Derechos de las </w:t>
      </w:r>
      <w:r w:rsidRPr="008159B0">
        <w:rPr>
          <w:rFonts w:ascii="Times New Roman" w:eastAsia="Times New Roman" w:hAnsi="Times New Roman" w:cs="Times New Roman"/>
          <w:b/>
          <w:color w:val="000000"/>
        </w:rPr>
        <w:t>comunidades y p</w:t>
      </w:r>
      <w:r w:rsidRPr="008159B0">
        <w:rPr>
          <w:rFonts w:ascii="Times New Roman" w:eastAsia="Times New Roman" w:hAnsi="Times New Roman" w:cs="Times New Roman"/>
          <w:b/>
        </w:rPr>
        <w:t>ueblos</w:t>
      </w:r>
      <w:r w:rsidRPr="008159B0">
        <w:rPr>
          <w:rFonts w:ascii="Times New Roman" w:eastAsia="Times New Roman" w:hAnsi="Times New Roman" w:cs="Times New Roman"/>
          <w:b/>
          <w:color w:val="000000"/>
        </w:rPr>
        <w:t xml:space="preserve"> indígenas y afrome</w:t>
      </w:r>
      <w:r w:rsidRPr="008159B0">
        <w:rPr>
          <w:rFonts w:ascii="Times New Roman" w:eastAsia="Times New Roman" w:hAnsi="Times New Roman" w:cs="Times New Roman"/>
          <w:b/>
        </w:rPr>
        <w:t>xicanos</w:t>
      </w:r>
      <w:r w:rsidRPr="008159B0">
        <w:rPr>
          <w:rFonts w:ascii="Times New Roman" w:eastAsia="Times New Roman" w:hAnsi="Times New Roman" w:cs="Times New Roman"/>
          <w:b/>
          <w:color w:val="000000"/>
          <w:lang w:eastAsia="es-MX"/>
        </w:rPr>
        <w:t xml:space="preserve"> </w:t>
      </w:r>
    </w:p>
    <w:p w:rsidR="00877049" w:rsidRPr="00877049" w:rsidRDefault="00877049" w:rsidP="00877049">
      <w:pPr>
        <w:spacing w:after="0" w:line="276" w:lineRule="auto"/>
        <w:jc w:val="both"/>
        <w:rPr>
          <w:rFonts w:ascii="Times New Roman" w:eastAsia="Times New Roman" w:hAnsi="Times New Roman" w:cs="Times New Roman"/>
          <w:lang w:eastAsia="es-MX"/>
        </w:rPr>
      </w:pPr>
    </w:p>
    <w:p w:rsidR="000474DA" w:rsidRPr="00877049" w:rsidRDefault="00177EEB" w:rsidP="00877049">
      <w:pPr>
        <w:spacing w:after="0" w:line="276" w:lineRule="auto"/>
        <w:jc w:val="both"/>
        <w:rPr>
          <w:rFonts w:ascii="Times New Roman" w:eastAsia="Times New Roman" w:hAnsi="Times New Roman" w:cs="Times New Roman"/>
          <w:lang w:eastAsia="es-MX"/>
        </w:rPr>
      </w:pPr>
      <w:r>
        <w:rPr>
          <w:rFonts w:ascii="Times New Roman" w:eastAsia="Times New Roman" w:hAnsi="Times New Roman" w:cs="Times New Roman"/>
          <w:color w:val="000000"/>
          <w:lang w:eastAsia="es-MX"/>
        </w:rPr>
        <w:t xml:space="preserve">24. </w:t>
      </w:r>
      <w:r w:rsidR="000474DA" w:rsidRPr="00877049">
        <w:rPr>
          <w:rFonts w:ascii="Times New Roman" w:eastAsia="Times New Roman" w:hAnsi="Times New Roman" w:cs="Times New Roman"/>
          <w:color w:val="000000"/>
          <w:lang w:eastAsia="es-MX"/>
        </w:rPr>
        <w:t>México es un país que donde 25.7 millones de personas (21.5% de la población) se reconocen como indígenas, mismas que están pertenecen a 68 pueblos indígenas y afromexicanos distribuidos en 64 mil localidades.</w:t>
      </w:r>
      <w:r w:rsidR="008159B0">
        <w:rPr>
          <w:rStyle w:val="EndnoteReference"/>
          <w:rFonts w:ascii="Times New Roman" w:eastAsia="Times New Roman" w:hAnsi="Times New Roman" w:cs="Times New Roman"/>
          <w:color w:val="000000"/>
          <w:lang w:eastAsia="es-MX"/>
        </w:rPr>
        <w:endnoteReference w:id="18"/>
      </w:r>
      <w:r w:rsidR="000474DA" w:rsidRPr="00877049">
        <w:rPr>
          <w:rFonts w:ascii="Times New Roman" w:eastAsia="Times New Roman" w:hAnsi="Times New Roman" w:cs="Times New Roman"/>
          <w:color w:val="000000"/>
          <w:lang w:eastAsia="es-MX"/>
        </w:rPr>
        <w:t xml:space="preserve"> A pesar de que casi una cuarta parte de las y los mexicanos son indígenas, </w:t>
      </w:r>
      <w:r w:rsidR="000474DA" w:rsidRPr="00877049">
        <w:rPr>
          <w:rFonts w:ascii="Times New Roman" w:eastAsia="Times New Roman" w:hAnsi="Times New Roman" w:cs="Times New Roman"/>
          <w:color w:val="000000"/>
          <w:lang w:eastAsia="es-MX"/>
        </w:rPr>
        <w:lastRenderedPageBreak/>
        <w:t>históricamente estos pueblos y comunidades han sido discriminados y marginados y han sufrido violaciones a sus derechos sistémica y estructuralmente.</w:t>
      </w:r>
    </w:p>
    <w:p w:rsidR="000474DA" w:rsidRPr="00941D85" w:rsidRDefault="000474DA" w:rsidP="00941D85">
      <w:pPr>
        <w:pStyle w:val="ListParagraph"/>
        <w:spacing w:after="0" w:line="276" w:lineRule="auto"/>
        <w:rPr>
          <w:rFonts w:ascii="Times New Roman" w:eastAsia="Times New Roman" w:hAnsi="Times New Roman" w:cs="Times New Roman"/>
          <w:lang w:eastAsia="es-MX"/>
        </w:rPr>
      </w:pPr>
    </w:p>
    <w:p w:rsidR="000474DA" w:rsidRPr="00941D85" w:rsidRDefault="00177EEB" w:rsidP="00941D85">
      <w:pPr>
        <w:spacing w:after="0" w:line="276" w:lineRule="auto"/>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25. </w:t>
      </w:r>
      <w:r w:rsidR="000474DA" w:rsidRPr="00941D85">
        <w:rPr>
          <w:rFonts w:ascii="Times New Roman" w:eastAsia="Times New Roman" w:hAnsi="Times New Roman" w:cs="Times New Roman"/>
          <w:color w:val="000000"/>
          <w:lang w:eastAsia="es-MX"/>
        </w:rPr>
        <w:t xml:space="preserve">La administración </w:t>
      </w:r>
      <w:r w:rsidR="00CC65D2">
        <w:rPr>
          <w:rFonts w:ascii="Times New Roman" w:eastAsia="Times New Roman" w:hAnsi="Times New Roman" w:cs="Times New Roman"/>
          <w:color w:val="000000"/>
          <w:lang w:eastAsia="es-MX"/>
        </w:rPr>
        <w:t>anterior (2012-2018)</w:t>
      </w:r>
      <w:r w:rsidR="000474DA" w:rsidRPr="00941D85">
        <w:rPr>
          <w:rFonts w:ascii="Times New Roman" w:eastAsia="Times New Roman" w:hAnsi="Times New Roman" w:cs="Times New Roman"/>
          <w:color w:val="000000"/>
          <w:lang w:eastAsia="es-MX"/>
        </w:rPr>
        <w:t xml:space="preserve"> implementó una serie de reformas estructurales que afectaron considerablemente y tuvieron impactos negativos sobre diversos pueblos y comunidades indígenas</w:t>
      </w:r>
      <w:r w:rsidR="00CC65D2">
        <w:rPr>
          <w:rFonts w:ascii="Times New Roman" w:eastAsia="Times New Roman" w:hAnsi="Times New Roman" w:cs="Times New Roman"/>
          <w:color w:val="000000"/>
          <w:lang w:eastAsia="es-MX"/>
        </w:rPr>
        <w:t xml:space="preserve"> y afromexicanas, especialmente</w:t>
      </w:r>
      <w:r w:rsidR="000474DA" w:rsidRPr="00941D85">
        <w:rPr>
          <w:rFonts w:ascii="Times New Roman" w:eastAsia="Times New Roman" w:hAnsi="Times New Roman" w:cs="Times New Roman"/>
          <w:color w:val="000000"/>
          <w:lang w:eastAsia="es-MX"/>
        </w:rPr>
        <w:t xml:space="preserve"> la reforma energética. De la misma manera, el gobierno </w:t>
      </w:r>
      <w:r w:rsidR="00CC65D2">
        <w:rPr>
          <w:rFonts w:ascii="Times New Roman" w:eastAsia="Times New Roman" w:hAnsi="Times New Roman" w:cs="Times New Roman"/>
          <w:color w:val="000000"/>
          <w:lang w:eastAsia="es-MX"/>
        </w:rPr>
        <w:t>actual</w:t>
      </w:r>
      <w:r w:rsidR="000474DA" w:rsidRPr="00941D85">
        <w:rPr>
          <w:rFonts w:ascii="Times New Roman" w:eastAsia="Times New Roman" w:hAnsi="Times New Roman" w:cs="Times New Roman"/>
          <w:color w:val="000000"/>
          <w:lang w:eastAsia="es-MX"/>
        </w:rPr>
        <w:t>, mediante los controversiales megaproyectos (conocidos comúnmente como el Tren Maya y el corredor transístmico</w:t>
      </w:r>
      <w:r w:rsidR="008159B0">
        <w:rPr>
          <w:rStyle w:val="EndnoteReference"/>
          <w:rFonts w:ascii="Times New Roman" w:eastAsia="Times New Roman" w:hAnsi="Times New Roman" w:cs="Times New Roman"/>
          <w:color w:val="000000"/>
          <w:lang w:eastAsia="es-MX"/>
        </w:rPr>
        <w:endnoteReference w:id="19"/>
      </w:r>
      <w:r w:rsidR="000474DA" w:rsidRPr="00941D85">
        <w:rPr>
          <w:rFonts w:ascii="Times New Roman" w:eastAsia="Times New Roman" w:hAnsi="Times New Roman" w:cs="Times New Roman"/>
          <w:color w:val="000000"/>
          <w:lang w:eastAsia="es-MX"/>
        </w:rPr>
        <w:t>) está afectando directamente a numerosas comunidades y pueblos indígenas y violentando sus territorios y derechos, tales como su libre autodeterminación y autonomía con respecto al Estado mexicano.</w:t>
      </w:r>
    </w:p>
    <w:p w:rsidR="00941D85" w:rsidRPr="00941D85" w:rsidRDefault="00941D85" w:rsidP="00941D85">
      <w:pPr>
        <w:spacing w:after="0" w:line="276" w:lineRule="auto"/>
        <w:jc w:val="both"/>
        <w:rPr>
          <w:rFonts w:ascii="Times New Roman" w:eastAsia="Times New Roman" w:hAnsi="Times New Roman" w:cs="Times New Roman"/>
          <w:color w:val="000000"/>
          <w:lang w:eastAsia="es-MX"/>
        </w:rPr>
      </w:pPr>
    </w:p>
    <w:p w:rsidR="00642B58" w:rsidRPr="00642B58" w:rsidRDefault="00642B58" w:rsidP="00642B58">
      <w:pPr>
        <w:spacing w:after="0" w:line="276" w:lineRule="auto"/>
        <w:jc w:val="both"/>
        <w:textAlignment w:val="baseline"/>
        <w:rPr>
          <w:rFonts w:ascii="Times New Roman" w:eastAsia="Times New Roman" w:hAnsi="Times New Roman" w:cs="Times New Roman"/>
          <w:b/>
          <w:i/>
          <w:color w:val="000000"/>
        </w:rPr>
      </w:pPr>
      <w:r w:rsidRPr="00642B58">
        <w:rPr>
          <w:rFonts w:ascii="Times New Roman" w:eastAsia="Times New Roman" w:hAnsi="Times New Roman" w:cs="Times New Roman"/>
          <w:b/>
          <w:i/>
          <w:color w:val="000000"/>
        </w:rPr>
        <w:t>Recomendaciones:</w:t>
      </w:r>
    </w:p>
    <w:p w:rsidR="00897574" w:rsidRPr="00897574" w:rsidRDefault="00897574" w:rsidP="00897574">
      <w:pPr>
        <w:pStyle w:val="ListParagraph"/>
        <w:numPr>
          <w:ilvl w:val="0"/>
          <w:numId w:val="16"/>
        </w:numPr>
        <w:rPr>
          <w:rFonts w:ascii="Times New Roman" w:eastAsia="Times New Roman" w:hAnsi="Times New Roman" w:cs="Times New Roman"/>
          <w:color w:val="000000"/>
          <w:lang w:val="es-ES"/>
        </w:rPr>
      </w:pPr>
      <w:r w:rsidRPr="00897574">
        <w:rPr>
          <w:rFonts w:ascii="Times New Roman" w:eastAsia="Times New Roman" w:hAnsi="Times New Roman" w:cs="Times New Roman"/>
          <w:color w:val="000000"/>
          <w:lang w:val="es-ES"/>
        </w:rPr>
        <w:t>Garantizar que los procesos de consulta en materia indígena sean realizados de manera previa, libre, informada y culturalmente adecuada.</w:t>
      </w:r>
    </w:p>
    <w:p w:rsidR="00897574" w:rsidRDefault="00897574" w:rsidP="00897574">
      <w:pPr>
        <w:pStyle w:val="ListParagraph"/>
        <w:numPr>
          <w:ilvl w:val="0"/>
          <w:numId w:val="16"/>
        </w:numPr>
        <w:rPr>
          <w:rFonts w:ascii="Times New Roman" w:eastAsia="Times New Roman" w:hAnsi="Times New Roman" w:cs="Times New Roman"/>
          <w:color w:val="000000"/>
          <w:lang w:val="es-ES"/>
        </w:rPr>
      </w:pPr>
      <w:r w:rsidRPr="00897574">
        <w:rPr>
          <w:rFonts w:ascii="Times New Roman" w:eastAsia="Times New Roman" w:hAnsi="Times New Roman" w:cs="Times New Roman"/>
          <w:color w:val="000000"/>
          <w:lang w:val="es-ES"/>
        </w:rPr>
        <w:t>Asegurar que toda reforma constitucional en materia de pueblos y comunidades indígenas y afromexicanas, en todas sus fases, sea debidamente construida con la participación de los pueblos, tomando en cuenta sus necesidades y exigencias.</w:t>
      </w:r>
    </w:p>
    <w:p w:rsidR="00897574" w:rsidRDefault="00897574" w:rsidP="00897574">
      <w:pPr>
        <w:pStyle w:val="ListParagraph"/>
        <w:numPr>
          <w:ilvl w:val="0"/>
          <w:numId w:val="16"/>
        </w:numPr>
        <w:rPr>
          <w:rFonts w:ascii="Times New Roman" w:eastAsia="Times New Roman" w:hAnsi="Times New Roman" w:cs="Times New Roman"/>
          <w:color w:val="000000"/>
          <w:lang w:val="es-ES"/>
        </w:rPr>
      </w:pPr>
      <w:r w:rsidRPr="00897574">
        <w:rPr>
          <w:rFonts w:ascii="Times New Roman" w:eastAsia="Times New Roman" w:hAnsi="Times New Roman" w:cs="Times New Roman"/>
          <w:color w:val="000000"/>
          <w:lang w:val="es-ES"/>
        </w:rPr>
        <w:t>Establecer mecanismos adecuados para atender la conflictividad que enfrentan los pueblos y comunidades indígenas con el Estado, que tengan pertinencia cultural y que respeten sus sistemas normativos y los estándares internacionales en la materia.</w:t>
      </w:r>
    </w:p>
    <w:p w:rsidR="00897574" w:rsidRPr="00897574" w:rsidRDefault="00897574" w:rsidP="00897574">
      <w:pPr>
        <w:ind w:left="360"/>
        <w:rPr>
          <w:rFonts w:ascii="Times New Roman" w:eastAsia="Times New Roman" w:hAnsi="Times New Roman" w:cs="Times New Roman"/>
          <w:color w:val="000000"/>
          <w:lang w:val="es-ES"/>
        </w:rPr>
      </w:pPr>
    </w:p>
    <w:p w:rsidR="000474DA" w:rsidRPr="008159B0" w:rsidRDefault="000474DA" w:rsidP="008159B0">
      <w:pPr>
        <w:pStyle w:val="ListParagraph"/>
        <w:numPr>
          <w:ilvl w:val="1"/>
          <w:numId w:val="24"/>
        </w:numPr>
        <w:spacing w:line="276" w:lineRule="auto"/>
        <w:jc w:val="both"/>
        <w:rPr>
          <w:rFonts w:ascii="Times New Roman" w:hAnsi="Times New Roman" w:cs="Times New Roman"/>
          <w:b/>
        </w:rPr>
      </w:pPr>
      <w:r w:rsidRPr="008159B0">
        <w:rPr>
          <w:rFonts w:ascii="Times New Roman" w:hAnsi="Times New Roman" w:cs="Times New Roman"/>
          <w:b/>
        </w:rPr>
        <w:t>Tratados comerciales y derechos humanos</w:t>
      </w:r>
    </w:p>
    <w:p w:rsidR="000474DA" w:rsidRPr="00941D85" w:rsidRDefault="00177EEB" w:rsidP="00941D85">
      <w:pPr>
        <w:spacing w:after="0" w:line="276" w:lineRule="auto"/>
        <w:jc w:val="both"/>
        <w:rPr>
          <w:rFonts w:ascii="Times New Roman" w:eastAsia="Times New Roman" w:hAnsi="Times New Roman" w:cs="Times New Roman"/>
          <w:lang w:eastAsia="es-MX"/>
        </w:rPr>
      </w:pPr>
      <w:r>
        <w:rPr>
          <w:rFonts w:ascii="Times New Roman" w:eastAsia="Times New Roman" w:hAnsi="Times New Roman" w:cs="Times New Roman"/>
          <w:color w:val="000000"/>
          <w:lang w:eastAsia="es-MX"/>
        </w:rPr>
        <w:t xml:space="preserve">26. </w:t>
      </w:r>
      <w:r w:rsidR="000474DA" w:rsidRPr="00941D85">
        <w:rPr>
          <w:rFonts w:ascii="Times New Roman" w:eastAsia="Times New Roman" w:hAnsi="Times New Roman" w:cs="Times New Roman"/>
          <w:color w:val="000000"/>
          <w:lang w:eastAsia="es-MX"/>
        </w:rPr>
        <w:t xml:space="preserve">Las cuestiones económicas, comerciales y financieras tienen un impacto directo en los derechos humanos. De ahí que las empresas tienen responsabilidad con respecto a los derechos humanos, al igual que las inversiones y los tratados de libre comercio. Éstos últimos repercuten directamente en </w:t>
      </w:r>
      <w:r w:rsidR="00360FFA">
        <w:rPr>
          <w:rFonts w:ascii="Times New Roman" w:eastAsia="Times New Roman" w:hAnsi="Times New Roman" w:cs="Times New Roman"/>
          <w:color w:val="000000"/>
          <w:lang w:eastAsia="es-MX"/>
        </w:rPr>
        <w:t>los derechos civiles y políticos</w:t>
      </w:r>
      <w:r w:rsidR="000474DA" w:rsidRPr="00941D85">
        <w:rPr>
          <w:rFonts w:ascii="Times New Roman" w:eastAsia="Times New Roman" w:hAnsi="Times New Roman" w:cs="Times New Roman"/>
          <w:color w:val="000000"/>
          <w:lang w:eastAsia="es-MX"/>
        </w:rPr>
        <w:t>, por lo que el Estado mexicano está comprometido a adoptar medidas oportunas para que cualquier marco que impacte en normativa nacional, en este caso un Tratado de Libre Comercio, esté de acuerdo a los principios internacionales en materia de derechos humanos.</w:t>
      </w:r>
    </w:p>
    <w:p w:rsidR="00941D85" w:rsidRPr="00941D85" w:rsidRDefault="00941D85" w:rsidP="00941D85">
      <w:pPr>
        <w:spacing w:after="0" w:line="276" w:lineRule="auto"/>
        <w:jc w:val="both"/>
        <w:rPr>
          <w:rFonts w:ascii="Times New Roman" w:eastAsia="Times New Roman" w:hAnsi="Times New Roman" w:cs="Times New Roman"/>
          <w:lang w:eastAsia="es-MX"/>
        </w:rPr>
      </w:pPr>
    </w:p>
    <w:p w:rsidR="000474DA" w:rsidRPr="00941D85" w:rsidRDefault="00177EEB" w:rsidP="00941D85">
      <w:pPr>
        <w:spacing w:after="0" w:line="276" w:lineRule="auto"/>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27. </w:t>
      </w:r>
      <w:r w:rsidR="000474DA" w:rsidRPr="00941D85">
        <w:rPr>
          <w:rFonts w:ascii="Times New Roman" w:eastAsia="Times New Roman" w:hAnsi="Times New Roman" w:cs="Times New Roman"/>
          <w:color w:val="000000"/>
          <w:lang w:eastAsia="es-MX"/>
        </w:rPr>
        <w:t>Por el contrario, se puede observar claramente que los procesos de apertura comercial de los últimos dos sexenios contravienen los derechos humanos, concretamente el Tratado de Libre Comercio de América del No</w:t>
      </w:r>
      <w:r w:rsidR="00360FFA">
        <w:rPr>
          <w:rFonts w:ascii="Times New Roman" w:eastAsia="Times New Roman" w:hAnsi="Times New Roman" w:cs="Times New Roman"/>
          <w:color w:val="000000"/>
          <w:lang w:eastAsia="es-MX"/>
        </w:rPr>
        <w:t>rte y su reciente actualización</w:t>
      </w:r>
      <w:r w:rsidR="000474DA" w:rsidRPr="00941D85">
        <w:rPr>
          <w:rFonts w:ascii="Times New Roman" w:eastAsia="Times New Roman" w:hAnsi="Times New Roman" w:cs="Times New Roman"/>
          <w:color w:val="000000"/>
          <w:lang w:eastAsia="es-MX"/>
        </w:rPr>
        <w:t>. Éste último probablemente afianzará y acrecentará las consecuencias y problemáticas negativas de primero, especialmente en materia de derechos humanos, por ejemplo, la exclusión social de comunidades indígenas y campesinas, personas trabajadoras y juventudes.</w:t>
      </w:r>
    </w:p>
    <w:p w:rsidR="00941D85" w:rsidRPr="00642B58" w:rsidRDefault="00941D85" w:rsidP="00941D85">
      <w:pPr>
        <w:spacing w:after="0" w:line="276" w:lineRule="auto"/>
        <w:jc w:val="both"/>
        <w:rPr>
          <w:rFonts w:ascii="Times New Roman" w:eastAsia="Times New Roman" w:hAnsi="Times New Roman" w:cs="Times New Roman"/>
          <w:i/>
          <w:color w:val="000000"/>
          <w:lang w:eastAsia="es-MX"/>
        </w:rPr>
      </w:pPr>
    </w:p>
    <w:p w:rsidR="00642B58" w:rsidRPr="00642B58" w:rsidRDefault="00642B58" w:rsidP="00642B58">
      <w:pPr>
        <w:spacing w:after="0" w:line="276" w:lineRule="auto"/>
        <w:jc w:val="both"/>
        <w:rPr>
          <w:rFonts w:ascii="Times New Roman" w:eastAsia="Times New Roman" w:hAnsi="Times New Roman" w:cs="Times New Roman"/>
          <w:b/>
          <w:i/>
          <w:color w:val="000000"/>
        </w:rPr>
      </w:pPr>
      <w:r w:rsidRPr="00642B58">
        <w:rPr>
          <w:rFonts w:ascii="Times New Roman" w:eastAsia="Times New Roman" w:hAnsi="Times New Roman" w:cs="Times New Roman"/>
          <w:b/>
          <w:i/>
          <w:color w:val="000000"/>
        </w:rPr>
        <w:t xml:space="preserve">Recomendaciones: </w:t>
      </w:r>
    </w:p>
    <w:p w:rsidR="00642B58" w:rsidRPr="00941D85" w:rsidRDefault="00642B58" w:rsidP="00642B58">
      <w:pPr>
        <w:numPr>
          <w:ilvl w:val="0"/>
          <w:numId w:val="18"/>
        </w:numPr>
        <w:spacing w:after="0" w:line="276" w:lineRule="auto"/>
        <w:jc w:val="both"/>
        <w:rPr>
          <w:rFonts w:ascii="Times New Roman" w:eastAsia="Times New Roman" w:hAnsi="Times New Roman" w:cs="Times New Roman"/>
          <w:color w:val="000000"/>
        </w:rPr>
      </w:pPr>
      <w:r w:rsidRPr="00941D85">
        <w:rPr>
          <w:rFonts w:ascii="Times New Roman" w:eastAsia="Times New Roman" w:hAnsi="Times New Roman" w:cs="Times New Roman"/>
          <w:color w:val="000000"/>
        </w:rPr>
        <w:t>Hacer públicos los informes, acuerdos y textos en general relacionados con las negociaciones de un tratado comercial</w:t>
      </w:r>
      <w:r w:rsidRPr="00941D85">
        <w:rPr>
          <w:rFonts w:ascii="Times New Roman" w:eastAsia="Times New Roman" w:hAnsi="Times New Roman" w:cs="Times New Roman"/>
        </w:rPr>
        <w:t xml:space="preserve">. </w:t>
      </w:r>
    </w:p>
    <w:p w:rsidR="00897574" w:rsidRDefault="00897574" w:rsidP="00897574">
      <w:pPr>
        <w:numPr>
          <w:ilvl w:val="0"/>
          <w:numId w:val="18"/>
        </w:numPr>
        <w:ind w:left="714" w:hanging="357"/>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Implementar el mecanismo de participación, como el Parlamento Abierto, </w:t>
      </w:r>
      <w:r>
        <w:rPr>
          <w:rFonts w:ascii="Times New Roman" w:eastAsia="Times New Roman" w:hAnsi="Times New Roman" w:cs="Times New Roman"/>
        </w:rPr>
        <w:t>también en casos de aprobación de tratados comerciales, garantizando la debida participación de los grupos directamente afectados.</w:t>
      </w:r>
    </w:p>
    <w:p w:rsidR="00642B58" w:rsidRDefault="00897574" w:rsidP="00897574">
      <w:pPr>
        <w:numPr>
          <w:ilvl w:val="0"/>
          <w:numId w:val="18"/>
        </w:numPr>
        <w:ind w:left="714" w:hanging="357"/>
        <w:contextualSpacing/>
        <w:jc w:val="both"/>
        <w:rPr>
          <w:rFonts w:ascii="Times New Roman" w:eastAsia="Times New Roman" w:hAnsi="Times New Roman" w:cs="Times New Roman"/>
          <w:color w:val="000000"/>
        </w:rPr>
      </w:pPr>
      <w:r w:rsidRPr="00897574">
        <w:rPr>
          <w:rFonts w:ascii="Times New Roman" w:eastAsia="Times New Roman" w:hAnsi="Times New Roman" w:cs="Times New Roman"/>
          <w:color w:val="000000"/>
        </w:rPr>
        <w:lastRenderedPageBreak/>
        <w:t>Asegurarse de que los impactos en los derechos humanos han sido evaluados de manera adecuada antes de la aprobación de cualquier acuerdo internacional, en especial los de carácter comercial.</w:t>
      </w:r>
    </w:p>
    <w:p w:rsidR="00897574" w:rsidRPr="00897574" w:rsidRDefault="00897574" w:rsidP="00897574">
      <w:pPr>
        <w:spacing w:after="0"/>
        <w:ind w:left="357"/>
        <w:contextualSpacing/>
        <w:jc w:val="both"/>
        <w:rPr>
          <w:rFonts w:ascii="Times New Roman" w:eastAsia="Times New Roman" w:hAnsi="Times New Roman" w:cs="Times New Roman"/>
          <w:color w:val="000000"/>
        </w:rPr>
      </w:pPr>
    </w:p>
    <w:p w:rsidR="00B863BB" w:rsidRPr="008159B0" w:rsidRDefault="000474DA" w:rsidP="008159B0">
      <w:pPr>
        <w:pStyle w:val="ListParagraph"/>
        <w:numPr>
          <w:ilvl w:val="1"/>
          <w:numId w:val="24"/>
        </w:numPr>
        <w:spacing w:line="276" w:lineRule="auto"/>
        <w:jc w:val="both"/>
        <w:rPr>
          <w:rFonts w:ascii="Times New Roman" w:hAnsi="Times New Roman" w:cs="Times New Roman"/>
          <w:b/>
        </w:rPr>
      </w:pPr>
      <w:r w:rsidRPr="008159B0">
        <w:rPr>
          <w:rFonts w:ascii="Times New Roman" w:hAnsi="Times New Roman" w:cs="Times New Roman"/>
          <w:b/>
        </w:rPr>
        <w:t xml:space="preserve">Mecanismos de seguimiento a recomendaciones internacionales </w:t>
      </w:r>
    </w:p>
    <w:p w:rsidR="00B863BB" w:rsidRPr="00B863BB" w:rsidRDefault="00177EEB" w:rsidP="00B863BB">
      <w:pPr>
        <w:spacing w:line="276" w:lineRule="auto"/>
        <w:jc w:val="both"/>
        <w:rPr>
          <w:rFonts w:ascii="Times New Roman" w:hAnsi="Times New Roman" w:cs="Times New Roman"/>
          <w:b/>
        </w:rPr>
      </w:pPr>
      <w:r>
        <w:rPr>
          <w:rFonts w:ascii="Times New Roman" w:eastAsia="Times New Roman" w:hAnsi="Times New Roman" w:cs="Times New Roman"/>
          <w:color w:val="000000"/>
        </w:rPr>
        <w:t xml:space="preserve">28. </w:t>
      </w:r>
      <w:r w:rsidR="00B863BB" w:rsidRPr="00B863BB">
        <w:rPr>
          <w:rFonts w:ascii="Times New Roman" w:eastAsia="Times New Roman" w:hAnsi="Times New Roman" w:cs="Times New Roman"/>
          <w:color w:val="000000"/>
        </w:rPr>
        <w:t xml:space="preserve">El Estado mexicano se ha caracterizado por tener una fuerte participación en los mecanismos multilaterales de derechos humanos, estar abierto al escrutinio internacional y aceptar las competencias de los diversos órganos de tratados y visitas de las personas expertas de las Naciones Unidas. </w:t>
      </w:r>
    </w:p>
    <w:p w:rsidR="00B863BB" w:rsidRPr="00B863BB" w:rsidRDefault="00177EEB" w:rsidP="00B863B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29. </w:t>
      </w:r>
      <w:r w:rsidR="00B863BB" w:rsidRPr="00B863BB">
        <w:rPr>
          <w:rFonts w:ascii="Times New Roman" w:eastAsia="Times New Roman" w:hAnsi="Times New Roman" w:cs="Times New Roman"/>
          <w:color w:val="000000"/>
        </w:rPr>
        <w:t>Sin embargo, es evidente la falta del establecimiento de mecanismos de seguimiento,</w:t>
      </w:r>
      <w:r w:rsidR="002507E6">
        <w:rPr>
          <w:rFonts w:ascii="Times New Roman" w:eastAsia="Times New Roman" w:hAnsi="Times New Roman" w:cs="Times New Roman"/>
          <w:color w:val="000000"/>
        </w:rPr>
        <w:t xml:space="preserve"> </w:t>
      </w:r>
      <w:r w:rsidR="00B863BB" w:rsidRPr="00B863BB">
        <w:rPr>
          <w:rFonts w:ascii="Times New Roman" w:eastAsia="Times New Roman" w:hAnsi="Times New Roman" w:cs="Times New Roman"/>
          <w:color w:val="000000"/>
        </w:rPr>
        <w:t>implementación puntual y evaluación integrales y efectivos con respecto a las recomendaciones dirigidas al Estado mexicano en materia de derechos humanos, los cuales no involucran activa y adecuadamente a todas las dependencias gubernamentales, a las organizaciones de la sociedad civil y a personas interesadas y defensoras de derechos humanos.</w:t>
      </w:r>
    </w:p>
    <w:p w:rsidR="00941D85" w:rsidRPr="00941D85" w:rsidRDefault="00941D85" w:rsidP="00941D85">
      <w:pPr>
        <w:spacing w:after="0" w:line="276" w:lineRule="auto"/>
        <w:jc w:val="both"/>
        <w:rPr>
          <w:rFonts w:ascii="Times New Roman" w:eastAsia="Times New Roman" w:hAnsi="Times New Roman" w:cs="Times New Roman"/>
          <w:color w:val="000000"/>
          <w:lang w:eastAsia="es-MX"/>
        </w:rPr>
      </w:pPr>
    </w:p>
    <w:p w:rsidR="00642B58" w:rsidRPr="00941D85" w:rsidRDefault="00642B58" w:rsidP="00642B58">
      <w:pPr>
        <w:spacing w:after="0" w:line="276" w:lineRule="auto"/>
        <w:jc w:val="both"/>
        <w:textAlignment w:val="baseline"/>
        <w:rPr>
          <w:rFonts w:ascii="Times New Roman" w:eastAsia="Times New Roman" w:hAnsi="Times New Roman" w:cs="Times New Roman"/>
          <w:b/>
          <w:bCs/>
          <w:color w:val="000000"/>
        </w:rPr>
      </w:pPr>
      <w:r w:rsidRPr="00941D85">
        <w:rPr>
          <w:rFonts w:ascii="Times New Roman" w:eastAsia="Times New Roman" w:hAnsi="Times New Roman" w:cs="Times New Roman"/>
          <w:b/>
          <w:bCs/>
          <w:color w:val="000000"/>
        </w:rPr>
        <w:t>Recomendaciones:</w:t>
      </w:r>
    </w:p>
    <w:p w:rsidR="00642B58" w:rsidRDefault="00642B58" w:rsidP="00642B58">
      <w:pPr>
        <w:numPr>
          <w:ilvl w:val="0"/>
          <w:numId w:val="19"/>
        </w:numPr>
        <w:spacing w:after="0" w:line="276" w:lineRule="auto"/>
        <w:jc w:val="both"/>
        <w:textAlignment w:val="baseline"/>
        <w:rPr>
          <w:rFonts w:ascii="Times New Roman" w:eastAsia="Times New Roman" w:hAnsi="Times New Roman" w:cs="Times New Roman"/>
          <w:b/>
          <w:bCs/>
          <w:color w:val="000000"/>
        </w:rPr>
      </w:pPr>
      <w:r w:rsidRPr="00941D85">
        <w:rPr>
          <w:rFonts w:ascii="Times New Roman" w:eastAsia="Times New Roman" w:hAnsi="Times New Roman" w:cs="Times New Roman"/>
          <w:color w:val="000000"/>
        </w:rPr>
        <w:t>Establecer mecanismos integrales de seguimiento a las recomendaciones internacionales en materia de derechos humanos, involucrando a todas las dependencias responsables de su implementación, y con la activa participación de las organizaciones de la sociedad civil.</w:t>
      </w:r>
    </w:p>
    <w:p w:rsidR="00941D85" w:rsidRPr="00642B58" w:rsidRDefault="00642B58" w:rsidP="00642B58">
      <w:pPr>
        <w:numPr>
          <w:ilvl w:val="0"/>
          <w:numId w:val="19"/>
        </w:numPr>
        <w:spacing w:after="0" w:line="276" w:lineRule="auto"/>
        <w:jc w:val="both"/>
        <w:textAlignment w:val="baseline"/>
        <w:rPr>
          <w:rFonts w:ascii="Times New Roman" w:eastAsia="Times New Roman" w:hAnsi="Times New Roman" w:cs="Times New Roman"/>
          <w:b/>
          <w:bCs/>
          <w:color w:val="000000"/>
        </w:rPr>
      </w:pPr>
      <w:r w:rsidRPr="00642B58">
        <w:rPr>
          <w:rFonts w:ascii="Times New Roman" w:eastAsia="Times New Roman" w:hAnsi="Times New Roman" w:cs="Times New Roman"/>
          <w:color w:val="000000"/>
        </w:rPr>
        <w:t>Generar una base de datos</w:t>
      </w:r>
      <w:r w:rsidR="00D94680">
        <w:rPr>
          <w:rFonts w:ascii="Times New Roman" w:eastAsia="Times New Roman" w:hAnsi="Times New Roman" w:cs="Times New Roman"/>
          <w:color w:val="000000"/>
        </w:rPr>
        <w:t xml:space="preserve"> desagregados</w:t>
      </w:r>
      <w:r w:rsidRPr="00642B58">
        <w:rPr>
          <w:rFonts w:ascii="Times New Roman" w:eastAsia="Times New Roman" w:hAnsi="Times New Roman" w:cs="Times New Roman"/>
          <w:color w:val="000000"/>
        </w:rPr>
        <w:t xml:space="preserve"> que permita conocer el avance en el cumplimiento de las recomendaciones internacionales en materia de derechos humanos, que contemple indicadores claros y a las dependencias responsables de su implementación, evaluación y seguimiento. </w:t>
      </w:r>
    </w:p>
    <w:p w:rsidR="00223385" w:rsidRDefault="00223385">
      <w:pPr>
        <w:rPr>
          <w:rFonts w:ascii="Times New Roman" w:hAnsi="Times New Roman" w:cs="Times New Roman"/>
          <w:b/>
          <w:bCs/>
        </w:rPr>
      </w:pPr>
      <w:r>
        <w:rPr>
          <w:rFonts w:ascii="Times New Roman" w:hAnsi="Times New Roman" w:cs="Times New Roman"/>
          <w:b/>
          <w:bCs/>
        </w:rPr>
        <w:br w:type="page"/>
      </w:r>
    </w:p>
    <w:p w:rsidR="000474DA" w:rsidRPr="008159B0" w:rsidRDefault="000474DA" w:rsidP="00642B58">
      <w:pPr>
        <w:pStyle w:val="ListParagraph"/>
        <w:spacing w:after="0" w:line="276" w:lineRule="auto"/>
        <w:jc w:val="both"/>
        <w:rPr>
          <w:rFonts w:ascii="Times New Roman" w:hAnsi="Times New Roman" w:cs="Times New Roman"/>
          <w:b/>
          <w:bCs/>
        </w:rPr>
      </w:pPr>
    </w:p>
    <w:p w:rsidR="00BE524E" w:rsidRPr="008159B0" w:rsidRDefault="008159B0" w:rsidP="00941D85">
      <w:pPr>
        <w:spacing w:line="276" w:lineRule="auto"/>
        <w:rPr>
          <w:rFonts w:ascii="Times New Roman" w:hAnsi="Times New Roman" w:cs="Times New Roman"/>
          <w:b/>
          <w:bCs/>
        </w:rPr>
      </w:pPr>
      <w:r w:rsidRPr="008159B0">
        <w:rPr>
          <w:rFonts w:ascii="Times New Roman" w:hAnsi="Times New Roman" w:cs="Times New Roman"/>
          <w:b/>
          <w:bCs/>
        </w:rPr>
        <w:t>NOTAS</w:t>
      </w:r>
    </w:p>
    <w:sectPr w:rsidR="00BE524E" w:rsidRPr="008159B0">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453" w:rsidRDefault="00CE3453" w:rsidP="000474DA">
      <w:pPr>
        <w:spacing w:after="0" w:line="240" w:lineRule="auto"/>
      </w:pPr>
      <w:r>
        <w:separator/>
      </w:r>
    </w:p>
  </w:endnote>
  <w:endnote w:type="continuationSeparator" w:id="0">
    <w:p w:rsidR="00CE3453" w:rsidRDefault="00CE3453" w:rsidP="000474DA">
      <w:pPr>
        <w:spacing w:after="0" w:line="240" w:lineRule="auto"/>
      </w:pPr>
      <w:r>
        <w:continuationSeparator/>
      </w:r>
    </w:p>
  </w:endnote>
  <w:endnote w:id="1">
    <w:p w:rsidR="008159B0" w:rsidRPr="009D2A9F" w:rsidRDefault="008159B0" w:rsidP="009411A3">
      <w:pPr>
        <w:pStyle w:val="EndnoteText"/>
        <w:jc w:val="both"/>
        <w:rPr>
          <w:rFonts w:ascii="Times New Roman" w:hAnsi="Times New Roman" w:cs="Times New Roman"/>
          <w:color w:val="000000" w:themeColor="text1"/>
          <w:lang w:val="es-ES"/>
        </w:rPr>
      </w:pPr>
      <w:r w:rsidRPr="009D2A9F">
        <w:rPr>
          <w:rStyle w:val="EndnoteReference"/>
          <w:rFonts w:ascii="Times New Roman" w:hAnsi="Times New Roman" w:cs="Times New Roman"/>
          <w:color w:val="000000" w:themeColor="text1"/>
        </w:rPr>
        <w:endnoteRef/>
      </w:r>
      <w:r w:rsidRPr="009D2A9F">
        <w:rPr>
          <w:rFonts w:ascii="Times New Roman" w:hAnsi="Times New Roman" w:cs="Times New Roman"/>
          <w:color w:val="000000" w:themeColor="text1"/>
        </w:rPr>
        <w:t xml:space="preserve"> </w:t>
      </w:r>
      <w:r w:rsidRPr="009D2A9F">
        <w:rPr>
          <w:rFonts w:ascii="Times New Roman" w:hAnsi="Times New Roman" w:cs="Times New Roman"/>
          <w:iCs/>
          <w:color w:val="000000" w:themeColor="text1"/>
        </w:rPr>
        <w:t xml:space="preserve">La Silla Rota, </w:t>
      </w:r>
      <w:r w:rsidRPr="009D2A9F">
        <w:rPr>
          <w:rFonts w:ascii="Times New Roman" w:hAnsi="Times New Roman" w:cs="Times New Roman"/>
          <w:i/>
          <w:iCs/>
          <w:color w:val="000000" w:themeColor="text1"/>
        </w:rPr>
        <w:t xml:space="preserve">Abusa México de la prisión preventiva: relator de la ONU, </w:t>
      </w:r>
      <w:r w:rsidRPr="009D2A9F">
        <w:rPr>
          <w:rFonts w:ascii="Times New Roman" w:hAnsi="Times New Roman" w:cs="Times New Roman"/>
          <w:iCs/>
          <w:color w:val="000000" w:themeColor="text1"/>
        </w:rPr>
        <w:t xml:space="preserve">Ciudad de México, 6 de abril de 2015, </w:t>
      </w:r>
      <w:hyperlink r:id="rId1" w:history="1">
        <w:r w:rsidRPr="009D2A9F">
          <w:rPr>
            <w:rStyle w:val="Hyperlink"/>
            <w:rFonts w:ascii="Times New Roman" w:hAnsi="Times New Roman" w:cs="Times New Roman"/>
            <w:iCs/>
            <w:color w:val="000000" w:themeColor="text1"/>
          </w:rPr>
          <w:t>https://lasillarota.com/abusa-mexico-de-la-prision-preventiva-relator-de-la-onu/76790</w:t>
        </w:r>
      </w:hyperlink>
      <w:r w:rsidRPr="009D2A9F">
        <w:rPr>
          <w:rFonts w:ascii="Times New Roman" w:hAnsi="Times New Roman" w:cs="Times New Roman"/>
          <w:color w:val="000000" w:themeColor="text1"/>
        </w:rPr>
        <w:t>.</w:t>
      </w:r>
    </w:p>
  </w:endnote>
  <w:endnote w:id="2">
    <w:p w:rsidR="008159B0" w:rsidRPr="009D2A9F" w:rsidRDefault="008159B0" w:rsidP="009411A3">
      <w:pPr>
        <w:pStyle w:val="EndnoteText"/>
        <w:jc w:val="both"/>
        <w:rPr>
          <w:rFonts w:ascii="Times New Roman" w:hAnsi="Times New Roman" w:cs="Times New Roman"/>
          <w:color w:val="000000" w:themeColor="text1"/>
        </w:rPr>
      </w:pPr>
      <w:r w:rsidRPr="009D2A9F">
        <w:rPr>
          <w:rStyle w:val="EndnoteReference"/>
          <w:rFonts w:ascii="Times New Roman" w:hAnsi="Times New Roman" w:cs="Times New Roman"/>
          <w:color w:val="000000" w:themeColor="text1"/>
        </w:rPr>
        <w:endnoteRef/>
      </w:r>
      <w:r w:rsidRPr="009D2A9F">
        <w:rPr>
          <w:rFonts w:ascii="Times New Roman" w:hAnsi="Times New Roman" w:cs="Times New Roman"/>
          <w:color w:val="000000" w:themeColor="text1"/>
        </w:rPr>
        <w:t xml:space="preserve"> Comisión Interamericana de Derechos Humanos, </w:t>
      </w:r>
      <w:r w:rsidRPr="009D2A9F">
        <w:rPr>
          <w:rFonts w:ascii="Times New Roman" w:hAnsi="Times New Roman" w:cs="Times New Roman"/>
          <w:i/>
          <w:color w:val="000000" w:themeColor="text1"/>
        </w:rPr>
        <w:t xml:space="preserve">Situación de los derechos humanos en México. Informe de País México, </w:t>
      </w:r>
      <w:r w:rsidRPr="009D2A9F">
        <w:rPr>
          <w:rFonts w:ascii="Times New Roman" w:hAnsi="Times New Roman" w:cs="Times New Roman"/>
          <w:color w:val="000000" w:themeColor="text1"/>
        </w:rPr>
        <w:t xml:space="preserve">31 de diciembre de 2015,  </w:t>
      </w:r>
      <w:hyperlink r:id="rId2" w:history="1">
        <w:r w:rsidRPr="009D2A9F">
          <w:rPr>
            <w:rStyle w:val="Hyperlink"/>
            <w:rFonts w:ascii="Times New Roman" w:hAnsi="Times New Roman" w:cs="Times New Roman"/>
            <w:color w:val="000000" w:themeColor="text1"/>
          </w:rPr>
          <w:t>http://www.oas.org/es/cidh/informes/pdfs/Mexico2016-es.pdf</w:t>
        </w:r>
      </w:hyperlink>
    </w:p>
  </w:endnote>
  <w:endnote w:id="3">
    <w:p w:rsidR="00877049" w:rsidRPr="009D2A9F" w:rsidRDefault="00877049" w:rsidP="009411A3">
      <w:pPr>
        <w:pStyle w:val="EndnoteText"/>
        <w:jc w:val="both"/>
        <w:rPr>
          <w:rFonts w:ascii="Times New Roman" w:hAnsi="Times New Roman" w:cs="Times New Roman"/>
          <w:color w:val="000000" w:themeColor="text1"/>
          <w:lang w:val="es-ES"/>
        </w:rPr>
      </w:pPr>
      <w:r w:rsidRPr="009D2A9F">
        <w:rPr>
          <w:rStyle w:val="EndnoteReference"/>
          <w:rFonts w:ascii="Times New Roman" w:hAnsi="Times New Roman" w:cs="Times New Roman"/>
          <w:color w:val="000000" w:themeColor="text1"/>
        </w:rPr>
        <w:endnoteRef/>
      </w:r>
      <w:r w:rsidRPr="009D2A9F">
        <w:rPr>
          <w:rFonts w:ascii="Times New Roman" w:hAnsi="Times New Roman" w:cs="Times New Roman"/>
          <w:color w:val="000000" w:themeColor="text1"/>
        </w:rPr>
        <w:t xml:space="preserve"> </w:t>
      </w:r>
      <w:r w:rsidR="008159B0" w:rsidRPr="009D2A9F">
        <w:rPr>
          <w:rFonts w:ascii="Times New Roman" w:hAnsi="Times New Roman" w:cs="Times New Roman"/>
          <w:color w:val="000000" w:themeColor="text1"/>
        </w:rPr>
        <w:t xml:space="preserve">Amnistía Internacional, </w:t>
      </w:r>
      <w:r w:rsidR="008159B0" w:rsidRPr="009D2A9F">
        <w:rPr>
          <w:rFonts w:ascii="Times New Roman" w:hAnsi="Times New Roman" w:cs="Times New Roman"/>
          <w:i/>
          <w:iCs/>
          <w:color w:val="000000" w:themeColor="text1"/>
        </w:rPr>
        <w:t>No más feminicidios en México</w:t>
      </w:r>
      <w:r w:rsidR="008159B0" w:rsidRPr="009D2A9F">
        <w:rPr>
          <w:rFonts w:ascii="Times New Roman" w:hAnsi="Times New Roman" w:cs="Times New Roman"/>
          <w:color w:val="000000" w:themeColor="text1"/>
        </w:rPr>
        <w:t xml:space="preserve">, 25 de abril de 2019, </w:t>
      </w:r>
      <w:hyperlink r:id="rId3" w:history="1">
        <w:r w:rsidR="008159B0" w:rsidRPr="009D2A9F">
          <w:rPr>
            <w:rStyle w:val="Hyperlink"/>
            <w:rFonts w:ascii="Times New Roman" w:hAnsi="Times New Roman" w:cs="Times New Roman"/>
            <w:color w:val="000000" w:themeColor="text1"/>
          </w:rPr>
          <w:t>https://amnistia.org.mx/juntashastalavida/</w:t>
        </w:r>
      </w:hyperlink>
    </w:p>
  </w:endnote>
  <w:endnote w:id="4">
    <w:p w:rsidR="00877049" w:rsidRPr="009D2A9F" w:rsidRDefault="00877049" w:rsidP="009411A3">
      <w:pPr>
        <w:pStyle w:val="EndnoteText"/>
        <w:jc w:val="both"/>
        <w:rPr>
          <w:rFonts w:ascii="Times New Roman" w:hAnsi="Times New Roman" w:cs="Times New Roman"/>
          <w:color w:val="000000" w:themeColor="text1"/>
        </w:rPr>
      </w:pPr>
      <w:r w:rsidRPr="009D2A9F">
        <w:rPr>
          <w:rStyle w:val="EndnoteReference"/>
          <w:rFonts w:ascii="Times New Roman" w:hAnsi="Times New Roman" w:cs="Times New Roman"/>
          <w:color w:val="000000" w:themeColor="text1"/>
        </w:rPr>
        <w:endnoteRef/>
      </w:r>
      <w:r w:rsidRPr="009D2A9F">
        <w:rPr>
          <w:rFonts w:ascii="Times New Roman" w:hAnsi="Times New Roman" w:cs="Times New Roman"/>
          <w:color w:val="000000" w:themeColor="text1"/>
        </w:rPr>
        <w:t xml:space="preserve"> Fuente, Mario Luis, </w:t>
      </w:r>
      <w:r w:rsidRPr="009D2A9F">
        <w:rPr>
          <w:rFonts w:ascii="Times New Roman" w:hAnsi="Times New Roman" w:cs="Times New Roman"/>
          <w:i/>
          <w:iCs/>
          <w:color w:val="000000" w:themeColor="text1"/>
        </w:rPr>
        <w:t>México social: asesinadas por ser niñas</w:t>
      </w:r>
      <w:r w:rsidRPr="009D2A9F">
        <w:rPr>
          <w:rFonts w:ascii="Times New Roman" w:hAnsi="Times New Roman" w:cs="Times New Roman"/>
          <w:color w:val="000000" w:themeColor="text1"/>
        </w:rPr>
        <w:t xml:space="preserve">, 26 de febrero de 2019, </w:t>
      </w:r>
      <w:hyperlink r:id="rId4" w:history="1">
        <w:r w:rsidRPr="009D2A9F">
          <w:rPr>
            <w:rStyle w:val="Hyperlink"/>
            <w:rFonts w:ascii="Times New Roman" w:hAnsi="Times New Roman" w:cs="Times New Roman"/>
            <w:color w:val="000000" w:themeColor="text1"/>
          </w:rPr>
          <w:t>https://www.excelsior.com.mx/nacional/mexico-social-asesinadas-por-ser-ninas/1298587</w:t>
        </w:r>
      </w:hyperlink>
      <w:r w:rsidRPr="009D2A9F">
        <w:rPr>
          <w:rFonts w:ascii="Times New Roman" w:hAnsi="Times New Roman" w:cs="Times New Roman"/>
          <w:color w:val="000000" w:themeColor="text1"/>
        </w:rPr>
        <w:t xml:space="preserve"> </w:t>
      </w:r>
    </w:p>
  </w:endnote>
  <w:endnote w:id="5">
    <w:p w:rsidR="00DC359E" w:rsidRPr="009D2A9F" w:rsidRDefault="00DC359E">
      <w:pPr>
        <w:pStyle w:val="EndnoteText"/>
        <w:rPr>
          <w:rFonts w:ascii="Times New Roman" w:hAnsi="Times New Roman" w:cs="Times New Roman"/>
        </w:rPr>
      </w:pPr>
      <w:r w:rsidRPr="009D2A9F">
        <w:rPr>
          <w:rStyle w:val="EndnoteReference"/>
          <w:rFonts w:ascii="Times New Roman" w:hAnsi="Times New Roman" w:cs="Times New Roman"/>
        </w:rPr>
        <w:endnoteRef/>
      </w:r>
      <w:r w:rsidRPr="009D2A9F">
        <w:rPr>
          <w:rFonts w:ascii="Times New Roman" w:hAnsi="Times New Roman" w:cs="Times New Roman"/>
        </w:rPr>
        <w:t xml:space="preserve"> </w:t>
      </w:r>
      <w:r w:rsidRPr="009D2A9F">
        <w:rPr>
          <w:rFonts w:ascii="Times New Roman" w:hAnsi="Times New Roman" w:cs="Times New Roman"/>
          <w:color w:val="000000" w:themeColor="text1"/>
        </w:rPr>
        <w:t xml:space="preserve">Reveles, César, </w:t>
      </w:r>
      <w:r w:rsidRPr="009D2A9F">
        <w:rPr>
          <w:rFonts w:ascii="Times New Roman" w:hAnsi="Times New Roman" w:cs="Times New Roman"/>
          <w:i/>
          <w:iCs/>
          <w:color w:val="000000" w:themeColor="text1"/>
        </w:rPr>
        <w:t>Omisiones y falta de registro dejan a huérfanos por feminicidios sin reparación del daño,</w:t>
      </w:r>
      <w:r w:rsidRPr="009D2A9F">
        <w:rPr>
          <w:rFonts w:ascii="Times New Roman" w:hAnsi="Times New Roman" w:cs="Times New Roman"/>
          <w:color w:val="000000" w:themeColor="text1"/>
        </w:rPr>
        <w:t xml:space="preserve"> 20 de agosto de 2019, </w:t>
      </w:r>
      <w:hyperlink r:id="rId5" w:history="1">
        <w:r w:rsidRPr="009D2A9F">
          <w:rPr>
            <w:rStyle w:val="Hyperlink"/>
            <w:rFonts w:ascii="Times New Roman" w:hAnsi="Times New Roman" w:cs="Times New Roman"/>
            <w:color w:val="000000" w:themeColor="text1"/>
          </w:rPr>
          <w:t>https://www.animalpolitico.com/2019/08/huerfanos-feminicidio-omisiones-registro/</w:t>
        </w:r>
      </w:hyperlink>
    </w:p>
  </w:endnote>
  <w:endnote w:id="6">
    <w:p w:rsidR="00877049" w:rsidRPr="009D2A9F" w:rsidRDefault="00877049" w:rsidP="009411A3">
      <w:pPr>
        <w:pStyle w:val="EndnoteText"/>
        <w:jc w:val="both"/>
        <w:rPr>
          <w:rFonts w:ascii="Times New Roman" w:hAnsi="Times New Roman" w:cs="Times New Roman"/>
          <w:color w:val="000000" w:themeColor="text1"/>
          <w:lang w:val="es-ES"/>
        </w:rPr>
      </w:pPr>
      <w:r w:rsidRPr="009D2A9F">
        <w:rPr>
          <w:rStyle w:val="EndnoteReference"/>
          <w:rFonts w:ascii="Times New Roman" w:hAnsi="Times New Roman" w:cs="Times New Roman"/>
          <w:color w:val="000000" w:themeColor="text1"/>
        </w:rPr>
        <w:endnoteRef/>
      </w:r>
      <w:r w:rsidRPr="009D2A9F">
        <w:rPr>
          <w:rFonts w:ascii="Times New Roman" w:hAnsi="Times New Roman" w:cs="Times New Roman"/>
          <w:color w:val="000000" w:themeColor="text1"/>
        </w:rPr>
        <w:t xml:space="preserve"> </w:t>
      </w:r>
      <w:r w:rsidR="008159B0" w:rsidRPr="009D2A9F">
        <w:rPr>
          <w:rFonts w:ascii="Times New Roman" w:hAnsi="Times New Roman" w:cs="Times New Roman"/>
          <w:color w:val="000000" w:themeColor="text1"/>
        </w:rPr>
        <w:t xml:space="preserve">SCJN, </w:t>
      </w:r>
      <w:r w:rsidR="008159B0" w:rsidRPr="009D2A9F">
        <w:rPr>
          <w:rFonts w:ascii="Times New Roman" w:hAnsi="Times New Roman" w:cs="Times New Roman"/>
          <w:i/>
          <w:iCs/>
          <w:color w:val="000000" w:themeColor="text1"/>
        </w:rPr>
        <w:t>Diligencias para investigar un caso de feminicidio con perspectiva de género: caso Mariana Lima</w:t>
      </w:r>
      <w:r w:rsidR="008159B0" w:rsidRPr="009D2A9F">
        <w:rPr>
          <w:rFonts w:ascii="Times New Roman" w:hAnsi="Times New Roman" w:cs="Times New Roman"/>
          <w:color w:val="000000" w:themeColor="text1"/>
        </w:rPr>
        <w:t xml:space="preserve">, 2015, </w:t>
      </w:r>
      <w:hyperlink r:id="rId6" w:history="1">
        <w:r w:rsidR="008159B0" w:rsidRPr="009D2A9F">
          <w:rPr>
            <w:rStyle w:val="Hyperlink"/>
            <w:rFonts w:ascii="Times New Roman" w:hAnsi="Times New Roman" w:cs="Times New Roman"/>
            <w:color w:val="000000" w:themeColor="text1"/>
          </w:rPr>
          <w:t>https://www.scjn.gob.mx/sites/default/files/igualdad/sentencias/documento/2017-08/PENAL%20II%20%28NACIONAL%29.pdf</w:t>
        </w:r>
      </w:hyperlink>
    </w:p>
  </w:endnote>
  <w:endnote w:id="7">
    <w:p w:rsidR="00877049" w:rsidRPr="009D2A9F" w:rsidRDefault="00877049" w:rsidP="009411A3">
      <w:pPr>
        <w:pStyle w:val="EndnoteText"/>
        <w:jc w:val="both"/>
        <w:rPr>
          <w:rFonts w:ascii="Times New Roman" w:hAnsi="Times New Roman" w:cs="Times New Roman"/>
          <w:color w:val="000000" w:themeColor="text1"/>
          <w:lang w:val="es-ES"/>
        </w:rPr>
      </w:pPr>
      <w:r w:rsidRPr="009D2A9F">
        <w:rPr>
          <w:rStyle w:val="EndnoteReference"/>
          <w:rFonts w:ascii="Times New Roman" w:hAnsi="Times New Roman" w:cs="Times New Roman"/>
          <w:color w:val="000000" w:themeColor="text1"/>
        </w:rPr>
        <w:endnoteRef/>
      </w:r>
      <w:r w:rsidRPr="009D2A9F">
        <w:rPr>
          <w:rFonts w:ascii="Times New Roman" w:hAnsi="Times New Roman" w:cs="Times New Roman"/>
          <w:color w:val="000000" w:themeColor="text1"/>
        </w:rPr>
        <w:t xml:space="preserve"> </w:t>
      </w:r>
      <w:r w:rsidR="008159B0" w:rsidRPr="009D2A9F">
        <w:rPr>
          <w:rFonts w:ascii="Times New Roman" w:hAnsi="Times New Roman" w:cs="Times New Roman"/>
          <w:color w:val="000000" w:themeColor="text1"/>
        </w:rPr>
        <w:t xml:space="preserve">CDH Vitoria, </w:t>
      </w:r>
      <w:r w:rsidR="008159B0" w:rsidRPr="009D2A9F">
        <w:rPr>
          <w:rFonts w:ascii="Times New Roman" w:hAnsi="Times New Roman" w:cs="Times New Roman"/>
          <w:i/>
          <w:color w:val="000000" w:themeColor="text1"/>
        </w:rPr>
        <w:t xml:space="preserve">Resumen del Caso: Lesvy Berlín Rivera Osorio, </w:t>
      </w:r>
      <w:r w:rsidR="008159B0" w:rsidRPr="009D2A9F">
        <w:rPr>
          <w:rFonts w:ascii="Times New Roman" w:hAnsi="Times New Roman" w:cs="Times New Roman"/>
          <w:color w:val="000000" w:themeColor="text1"/>
        </w:rPr>
        <w:t xml:space="preserve">Ciudad de México, 25 de abril de 2018, </w:t>
      </w:r>
      <w:hyperlink r:id="rId7" w:history="1">
        <w:r w:rsidR="008159B0" w:rsidRPr="009D2A9F">
          <w:rPr>
            <w:rStyle w:val="Hyperlink"/>
            <w:rFonts w:ascii="Times New Roman" w:hAnsi="Times New Roman" w:cs="Times New Roman"/>
            <w:color w:val="000000" w:themeColor="text1"/>
          </w:rPr>
          <w:t>http://derechoshumanos.org.mx/resumen-del-caso-lesvy-berlin-rivera-osorio</w:t>
        </w:r>
      </w:hyperlink>
    </w:p>
  </w:endnote>
  <w:endnote w:id="8">
    <w:p w:rsidR="00656301" w:rsidRPr="009D2A9F" w:rsidRDefault="00656301" w:rsidP="00656301">
      <w:pPr>
        <w:pStyle w:val="EndnoteText"/>
        <w:jc w:val="both"/>
        <w:rPr>
          <w:rFonts w:ascii="Times New Roman" w:hAnsi="Times New Roman" w:cs="Times New Roman"/>
          <w:color w:val="000000" w:themeColor="text1"/>
        </w:rPr>
      </w:pPr>
      <w:r w:rsidRPr="009D2A9F">
        <w:rPr>
          <w:rStyle w:val="EndnoteReference"/>
          <w:rFonts w:ascii="Times New Roman" w:hAnsi="Times New Roman" w:cs="Times New Roman"/>
        </w:rPr>
        <w:endnoteRef/>
      </w:r>
      <w:r w:rsidRPr="009D2A9F">
        <w:rPr>
          <w:rFonts w:ascii="Times New Roman" w:hAnsi="Times New Roman" w:cs="Times New Roman"/>
        </w:rPr>
        <w:t xml:space="preserve"> </w:t>
      </w:r>
      <w:r w:rsidRPr="009D2A9F">
        <w:rPr>
          <w:rFonts w:ascii="Times New Roman" w:hAnsi="Times New Roman" w:cs="Times New Roman"/>
          <w:color w:val="000000" w:themeColor="text1"/>
        </w:rPr>
        <w:t xml:space="preserve">En México, el derecho a la protesta social ya se ha reconocido en una entidad de la República, la recién aprobada Constitución Política de la Ciudad de México reconoce a la protesta social como un derecho individual y colectivo en su artículo. 7 inciso. “La protesta social es un derecho individual y colectivo, que se ejercerá de manera pacífica sin afectar derechos de terceros. Las autoridades adoptarán protocolos de actuación en manifestaciones conforme a parámetros internacionales dirigidos a la protección de las personas en el ejercicio de este derecho, sin vulnerar otros derechos. Queda prohibida la criminalización de la protesta social y la manifestación pública” Cfr. DOF, </w:t>
      </w:r>
      <w:r w:rsidRPr="009D2A9F">
        <w:rPr>
          <w:rFonts w:ascii="Times New Roman" w:hAnsi="Times New Roman" w:cs="Times New Roman"/>
          <w:i/>
          <w:iCs/>
          <w:color w:val="000000" w:themeColor="text1"/>
        </w:rPr>
        <w:t>Decreto por el que se expide la Constitución Política de la Ciudad de México</w:t>
      </w:r>
      <w:r w:rsidRPr="009D2A9F">
        <w:rPr>
          <w:rFonts w:ascii="Times New Roman" w:hAnsi="Times New Roman" w:cs="Times New Roman"/>
          <w:color w:val="000000" w:themeColor="text1"/>
        </w:rPr>
        <w:t xml:space="preserve">, 05 de febrero de 2017, </w:t>
      </w:r>
      <w:hyperlink r:id="rId8" w:history="1">
        <w:r w:rsidRPr="009D2A9F">
          <w:rPr>
            <w:rStyle w:val="Hyperlink"/>
            <w:rFonts w:ascii="Times New Roman" w:hAnsi="Times New Roman" w:cs="Times New Roman"/>
            <w:color w:val="000000" w:themeColor="text1"/>
          </w:rPr>
          <w:t>http://www.diputados.gob.mx/LeyesBiblio/compila/inconst/357_CPCM_05feb17.doc</w:t>
        </w:r>
      </w:hyperlink>
      <w:r w:rsidRPr="009D2A9F">
        <w:rPr>
          <w:rFonts w:ascii="Times New Roman" w:hAnsi="Times New Roman" w:cs="Times New Roman"/>
          <w:color w:val="000000" w:themeColor="text1"/>
        </w:rPr>
        <w:t xml:space="preserve"> </w:t>
      </w:r>
    </w:p>
  </w:endnote>
  <w:endnote w:id="9">
    <w:p w:rsidR="008159B0" w:rsidRPr="009D2A9F" w:rsidRDefault="008159B0" w:rsidP="009411A3">
      <w:pPr>
        <w:pStyle w:val="EndnoteText"/>
        <w:jc w:val="both"/>
        <w:rPr>
          <w:rFonts w:ascii="Times New Roman" w:hAnsi="Times New Roman" w:cs="Times New Roman"/>
          <w:color w:val="000000" w:themeColor="text1"/>
        </w:rPr>
      </w:pPr>
      <w:r w:rsidRPr="009D2A9F">
        <w:rPr>
          <w:rStyle w:val="EndnoteReference"/>
          <w:rFonts w:ascii="Times New Roman" w:hAnsi="Times New Roman" w:cs="Times New Roman"/>
          <w:color w:val="000000" w:themeColor="text1"/>
        </w:rPr>
        <w:endnoteRef/>
      </w:r>
      <w:r w:rsidRPr="009D2A9F">
        <w:rPr>
          <w:rFonts w:ascii="Times New Roman" w:hAnsi="Times New Roman" w:cs="Times New Roman"/>
          <w:color w:val="000000" w:themeColor="text1"/>
        </w:rPr>
        <w:t xml:space="preserve"> </w:t>
      </w:r>
      <w:r w:rsidRPr="009D2A9F">
        <w:rPr>
          <w:rFonts w:ascii="Times New Roman" w:hAnsi="Times New Roman" w:cs="Times New Roman"/>
          <w:color w:val="000000" w:themeColor="text1"/>
        </w:rPr>
        <w:t xml:space="preserve">FLEPS, </w:t>
      </w:r>
      <w:r w:rsidRPr="009D2A9F">
        <w:rPr>
          <w:rFonts w:ascii="Times New Roman" w:hAnsi="Times New Roman" w:cs="Times New Roman"/>
          <w:i/>
          <w:iCs/>
          <w:color w:val="000000" w:themeColor="text1"/>
        </w:rPr>
        <w:t>El sexenio de la resistencia: informe sobre la protesta social y la respuesta estatal 2012- 2018,</w:t>
      </w:r>
      <w:r w:rsidRPr="009D2A9F">
        <w:rPr>
          <w:rFonts w:ascii="Times New Roman" w:hAnsi="Times New Roman" w:cs="Times New Roman"/>
          <w:color w:val="000000" w:themeColor="text1"/>
        </w:rPr>
        <w:t xml:space="preserve"> diciembre 2018, </w:t>
      </w:r>
      <w:hyperlink r:id="rId9" w:history="1">
        <w:r w:rsidRPr="009D2A9F">
          <w:rPr>
            <w:rStyle w:val="Hyperlink"/>
            <w:rFonts w:ascii="Times New Roman" w:hAnsi="Times New Roman" w:cs="Times New Roman"/>
            <w:color w:val="000000" w:themeColor="text1"/>
          </w:rPr>
          <w:t>http://libertadyprotesta.org/wp-content/uploads/2018/12/el_sexenio_de_la_resistencia_sexenio_2012-2018_fleps.pdf</w:t>
        </w:r>
      </w:hyperlink>
      <w:r w:rsidRPr="009D2A9F">
        <w:rPr>
          <w:rFonts w:ascii="Times New Roman" w:hAnsi="Times New Roman" w:cs="Times New Roman"/>
          <w:color w:val="000000" w:themeColor="text1"/>
        </w:rPr>
        <w:t xml:space="preserve"> </w:t>
      </w:r>
    </w:p>
  </w:endnote>
  <w:endnote w:id="10">
    <w:p w:rsidR="008159B0" w:rsidRPr="009D2A9F" w:rsidRDefault="008159B0" w:rsidP="009411A3">
      <w:pPr>
        <w:pStyle w:val="EndnoteText"/>
        <w:jc w:val="both"/>
        <w:rPr>
          <w:rFonts w:ascii="Times New Roman" w:hAnsi="Times New Roman" w:cs="Times New Roman"/>
          <w:color w:val="000000" w:themeColor="text1"/>
          <w:lang w:val="es-ES"/>
        </w:rPr>
      </w:pPr>
      <w:r w:rsidRPr="009D2A9F">
        <w:rPr>
          <w:rStyle w:val="EndnoteReference"/>
          <w:rFonts w:ascii="Times New Roman" w:hAnsi="Times New Roman" w:cs="Times New Roman"/>
          <w:color w:val="000000" w:themeColor="text1"/>
        </w:rPr>
        <w:endnoteRef/>
      </w:r>
      <w:r w:rsidRPr="009D2A9F">
        <w:rPr>
          <w:rFonts w:ascii="Times New Roman" w:hAnsi="Times New Roman" w:cs="Times New Roman"/>
          <w:color w:val="000000" w:themeColor="text1"/>
        </w:rPr>
        <w:t xml:space="preserve"> CDH Vitoria, </w:t>
      </w:r>
      <w:r w:rsidRPr="009D2A9F">
        <w:rPr>
          <w:rFonts w:ascii="Times New Roman" w:hAnsi="Times New Roman" w:cs="Times New Roman"/>
          <w:i/>
          <w:color w:val="000000" w:themeColor="text1"/>
        </w:rPr>
        <w:t>Aprobación de Ley Garrote en Tabasco criminaliza el derecho a la protesta: Frente por la Libertad de Expresión y la Protesta Social</w:t>
      </w:r>
      <w:r w:rsidRPr="009D2A9F">
        <w:rPr>
          <w:rFonts w:ascii="Times New Roman" w:hAnsi="Times New Roman" w:cs="Times New Roman"/>
          <w:color w:val="000000" w:themeColor="text1"/>
        </w:rPr>
        <w:t xml:space="preserve">, Ciudad de México, 30 de julio de 2019, </w:t>
      </w:r>
      <w:hyperlink r:id="rId10" w:history="1">
        <w:r w:rsidRPr="009D2A9F">
          <w:rPr>
            <w:rStyle w:val="Hyperlink"/>
            <w:rFonts w:ascii="Times New Roman" w:hAnsi="Times New Roman" w:cs="Times New Roman"/>
            <w:color w:val="000000" w:themeColor="text1"/>
          </w:rPr>
          <w:t>http://derechoshumanos.org.mx/aprobacion-de-ley-garrote-en-tabasco-criminaliza-el-derecho-a-la-protesta-frente-por-la-libertad-de-expresion-y-la-protesta-social</w:t>
        </w:r>
      </w:hyperlink>
    </w:p>
  </w:endnote>
  <w:endnote w:id="11">
    <w:p w:rsidR="00656301" w:rsidRPr="009D2A9F" w:rsidRDefault="00656301" w:rsidP="00656301">
      <w:pPr>
        <w:pStyle w:val="EndnoteText"/>
        <w:jc w:val="both"/>
        <w:rPr>
          <w:rFonts w:ascii="Times New Roman" w:hAnsi="Times New Roman" w:cs="Times New Roman"/>
        </w:rPr>
      </w:pPr>
      <w:r w:rsidRPr="009D2A9F">
        <w:rPr>
          <w:rStyle w:val="EndnoteReference"/>
          <w:rFonts w:ascii="Times New Roman" w:hAnsi="Times New Roman" w:cs="Times New Roman"/>
        </w:rPr>
        <w:endnoteRef/>
      </w:r>
      <w:r w:rsidRPr="009D2A9F">
        <w:rPr>
          <w:rFonts w:ascii="Times New Roman" w:hAnsi="Times New Roman" w:cs="Times New Roman"/>
        </w:rPr>
        <w:t xml:space="preserve"> </w:t>
      </w:r>
      <w:r w:rsidRPr="009D2A9F">
        <w:rPr>
          <w:rFonts w:ascii="Times New Roman" w:hAnsi="Times New Roman" w:cs="Times New Roman"/>
        </w:rPr>
        <w:t xml:space="preserve">Véase </w:t>
      </w:r>
      <w:r w:rsidRPr="009D2A9F">
        <w:rPr>
          <w:rFonts w:ascii="Times New Roman" w:hAnsi="Times New Roman" w:cs="Times New Roman"/>
          <w:i/>
        </w:rPr>
        <w:t>Ibíd.</w:t>
      </w:r>
      <w:r w:rsidRPr="009D2A9F">
        <w:rPr>
          <w:rFonts w:ascii="Times New Roman" w:hAnsi="Times New Roman" w:cs="Times New Roman"/>
        </w:rPr>
        <w:t xml:space="preserve">, </w:t>
      </w:r>
      <w:r w:rsidRPr="009D2A9F">
        <w:rPr>
          <w:rFonts w:ascii="Times New Roman" w:hAnsi="Times New Roman" w:cs="Times New Roman"/>
          <w:i/>
        </w:rPr>
        <w:t>Aprobación de Ley Garrote en Tabasco criminaliza el derecho a la protesta: Frente por la Libertad de Expresión y la Protesta Social</w:t>
      </w:r>
      <w:r w:rsidRPr="009D2A9F">
        <w:rPr>
          <w:rFonts w:ascii="Times New Roman" w:hAnsi="Times New Roman" w:cs="Times New Roman"/>
        </w:rPr>
        <w:t xml:space="preserve">, Ciudad de México, 30 de julio de 2019, </w:t>
      </w:r>
      <w:hyperlink r:id="rId11" w:history="1">
        <w:r w:rsidRPr="009D2A9F">
          <w:rPr>
            <w:rStyle w:val="Hyperlink"/>
            <w:rFonts w:ascii="Times New Roman" w:hAnsi="Times New Roman" w:cs="Times New Roman"/>
          </w:rPr>
          <w:t>http://derechoshumanos.org.mx/aprobacion-de-ley-garrote-en-tabasco-criminaliza-el-derecho-a-la-protesta-frente-por-la-libertad-de-expresion-y-la-protesta-social</w:t>
        </w:r>
      </w:hyperlink>
    </w:p>
  </w:endnote>
  <w:endnote w:id="12">
    <w:p w:rsidR="008159B0" w:rsidRPr="009D2A9F" w:rsidRDefault="008159B0" w:rsidP="009411A3">
      <w:pPr>
        <w:pStyle w:val="EndnoteText"/>
        <w:jc w:val="both"/>
        <w:rPr>
          <w:rFonts w:ascii="Times New Roman" w:hAnsi="Times New Roman" w:cs="Times New Roman"/>
          <w:color w:val="000000" w:themeColor="text1"/>
          <w:lang w:val="es-ES"/>
        </w:rPr>
      </w:pPr>
      <w:r w:rsidRPr="009D2A9F">
        <w:rPr>
          <w:rStyle w:val="EndnoteReference"/>
          <w:rFonts w:ascii="Times New Roman" w:hAnsi="Times New Roman" w:cs="Times New Roman"/>
          <w:color w:val="000000" w:themeColor="text1"/>
        </w:rPr>
        <w:endnoteRef/>
      </w:r>
      <w:r w:rsidR="009411A3" w:rsidRPr="009D2A9F">
        <w:rPr>
          <w:rFonts w:ascii="Times New Roman" w:hAnsi="Times New Roman" w:cs="Times New Roman"/>
          <w:color w:val="000000" w:themeColor="text1"/>
        </w:rPr>
        <w:t xml:space="preserve"> </w:t>
      </w:r>
      <w:r w:rsidR="009411A3" w:rsidRPr="009D2A9F">
        <w:rPr>
          <w:rFonts w:ascii="Times New Roman" w:hAnsi="Times New Roman" w:cs="Times New Roman"/>
          <w:color w:val="000000" w:themeColor="text1"/>
        </w:rPr>
        <w:t xml:space="preserve">Oficina en México del Alto Comisionado de las Naciones Unidas para los Derechos Humanos, </w:t>
      </w:r>
      <w:r w:rsidR="009411A3" w:rsidRPr="009D2A9F">
        <w:rPr>
          <w:rFonts w:ascii="Times New Roman" w:hAnsi="Times New Roman" w:cs="Times New Roman"/>
          <w:i/>
          <w:color w:val="000000" w:themeColor="text1"/>
        </w:rPr>
        <w:t>Diagnóstico sobre el funcionamiento del Mecanismo</w:t>
      </w:r>
      <w:r w:rsidR="009411A3" w:rsidRPr="009D2A9F">
        <w:rPr>
          <w:rFonts w:ascii="Times New Roman" w:hAnsi="Times New Roman" w:cs="Times New Roman"/>
          <w:color w:val="000000" w:themeColor="text1"/>
        </w:rPr>
        <w:t xml:space="preserve">, Ciudad de México, julio de 2019, </w:t>
      </w:r>
      <w:hyperlink r:id="rId12" w:history="1">
        <w:r w:rsidR="009411A3" w:rsidRPr="009D2A9F">
          <w:rPr>
            <w:rStyle w:val="Hyperlink"/>
            <w:rFonts w:ascii="Times New Roman" w:hAnsi="Times New Roman" w:cs="Times New Roman"/>
            <w:color w:val="000000" w:themeColor="text1"/>
          </w:rPr>
          <w:t>http://hchr.org.mx/images/doc_pub/190725-Diagnostico-Mecanismo-FINAL.pdf</w:t>
        </w:r>
      </w:hyperlink>
      <w:r w:rsidRPr="009D2A9F">
        <w:rPr>
          <w:rFonts w:ascii="Times New Roman" w:hAnsi="Times New Roman" w:cs="Times New Roman"/>
          <w:color w:val="000000" w:themeColor="text1"/>
        </w:rPr>
        <w:t xml:space="preserve"> </w:t>
      </w:r>
    </w:p>
  </w:endnote>
  <w:endnote w:id="13">
    <w:p w:rsidR="008159B0" w:rsidRPr="009D2A9F" w:rsidRDefault="008159B0" w:rsidP="009411A3">
      <w:pPr>
        <w:pStyle w:val="EndnoteText"/>
        <w:jc w:val="both"/>
        <w:rPr>
          <w:rFonts w:ascii="Times New Roman" w:hAnsi="Times New Roman" w:cs="Times New Roman"/>
          <w:color w:val="000000" w:themeColor="text1"/>
          <w:lang w:val="es-ES"/>
        </w:rPr>
      </w:pPr>
      <w:r w:rsidRPr="009D2A9F">
        <w:rPr>
          <w:rStyle w:val="EndnoteReference"/>
          <w:rFonts w:ascii="Times New Roman" w:hAnsi="Times New Roman" w:cs="Times New Roman"/>
          <w:color w:val="000000" w:themeColor="text1"/>
        </w:rPr>
        <w:endnoteRef/>
      </w:r>
      <w:r w:rsidRPr="009D2A9F">
        <w:rPr>
          <w:rFonts w:ascii="Times New Roman" w:hAnsi="Times New Roman" w:cs="Times New Roman"/>
          <w:color w:val="000000" w:themeColor="text1"/>
        </w:rPr>
        <w:t xml:space="preserve"> </w:t>
      </w:r>
      <w:r w:rsidR="009411A3" w:rsidRPr="009D2A9F">
        <w:rPr>
          <w:rFonts w:ascii="Times New Roman" w:hAnsi="Times New Roman" w:cs="Times New Roman"/>
          <w:color w:val="000000" w:themeColor="text1"/>
        </w:rPr>
        <w:t xml:space="preserve">San Martin, Neldy, </w:t>
      </w:r>
      <w:r w:rsidR="009411A3" w:rsidRPr="009D2A9F">
        <w:rPr>
          <w:rFonts w:ascii="Times New Roman" w:hAnsi="Times New Roman" w:cs="Times New Roman"/>
          <w:i/>
          <w:color w:val="000000" w:themeColor="text1"/>
        </w:rPr>
        <w:t>AMLO notifica a su gabinete: “no transfieran ningún recurso a ONG o sindicatos”</w:t>
      </w:r>
      <w:r w:rsidR="009411A3" w:rsidRPr="009D2A9F">
        <w:rPr>
          <w:rFonts w:ascii="Times New Roman" w:hAnsi="Times New Roman" w:cs="Times New Roman"/>
          <w:color w:val="000000" w:themeColor="text1"/>
        </w:rPr>
        <w:t xml:space="preserve">, Ciudad de México, Proceso, 18 de febrero de 2019, </w:t>
      </w:r>
      <w:hyperlink r:id="rId13" w:history="1">
        <w:r w:rsidR="009411A3" w:rsidRPr="009D2A9F">
          <w:rPr>
            <w:rStyle w:val="Hyperlink"/>
            <w:rFonts w:ascii="Times New Roman" w:hAnsi="Times New Roman" w:cs="Times New Roman"/>
            <w:color w:val="000000" w:themeColor="text1"/>
          </w:rPr>
          <w:t>https://www.proceso.com.mx/572198/amlo-notifica-a-su-gabinete-no-transfieran-ningun-recurso-a-ong-o-sindicatos</w:t>
        </w:r>
      </w:hyperlink>
    </w:p>
  </w:endnote>
  <w:endnote w:id="14">
    <w:p w:rsidR="009411A3" w:rsidRPr="009D2A9F" w:rsidRDefault="009411A3" w:rsidP="009411A3">
      <w:pPr>
        <w:pStyle w:val="EndnoteText"/>
        <w:jc w:val="both"/>
        <w:rPr>
          <w:rFonts w:ascii="Times New Roman" w:hAnsi="Times New Roman" w:cs="Times New Roman"/>
          <w:color w:val="000000" w:themeColor="text1"/>
        </w:rPr>
      </w:pPr>
      <w:r w:rsidRPr="009D2A9F">
        <w:rPr>
          <w:rStyle w:val="EndnoteReference"/>
          <w:rFonts w:ascii="Times New Roman" w:hAnsi="Times New Roman" w:cs="Times New Roman"/>
          <w:color w:val="000000" w:themeColor="text1"/>
        </w:rPr>
        <w:endnoteRef/>
      </w:r>
      <w:r w:rsidRPr="009D2A9F">
        <w:rPr>
          <w:rFonts w:ascii="Times New Roman" w:hAnsi="Times New Roman" w:cs="Times New Roman"/>
          <w:color w:val="000000" w:themeColor="text1"/>
        </w:rPr>
        <w:t xml:space="preserve"> Secretaría de Gobernación, </w:t>
      </w:r>
      <w:r w:rsidRPr="009D2A9F">
        <w:rPr>
          <w:rFonts w:ascii="Times New Roman" w:hAnsi="Times New Roman" w:cs="Times New Roman"/>
          <w:i/>
          <w:color w:val="000000" w:themeColor="text1"/>
        </w:rPr>
        <w:t>Iniciativa que reforma, adiciona y deroga diversas disposiciones de la Ley de Asociaciones Religiosas y Culto Público</w:t>
      </w:r>
      <w:r w:rsidRPr="009D2A9F">
        <w:rPr>
          <w:rFonts w:ascii="Times New Roman" w:hAnsi="Times New Roman" w:cs="Times New Roman"/>
          <w:color w:val="000000" w:themeColor="text1"/>
        </w:rPr>
        <w:t xml:space="preserve">, Ciudad de México, 12 de abril de 2018, </w:t>
      </w:r>
      <w:hyperlink r:id="rId14" w:history="1">
        <w:r w:rsidRPr="009D2A9F">
          <w:rPr>
            <w:rStyle w:val="Hyperlink"/>
            <w:rFonts w:ascii="Times New Roman" w:hAnsi="Times New Roman" w:cs="Times New Roman"/>
            <w:color w:val="000000" w:themeColor="text1"/>
          </w:rPr>
          <w:t>http://sil.gobernacion.gob.mx/Archivos/Documentos/2018/04/asun_3696678_20180412_1523569189.pdf</w:t>
        </w:r>
      </w:hyperlink>
    </w:p>
  </w:endnote>
  <w:endnote w:id="15">
    <w:p w:rsidR="008159B0" w:rsidRPr="009D2A9F" w:rsidRDefault="008159B0" w:rsidP="009411A3">
      <w:pPr>
        <w:pStyle w:val="EndnoteText"/>
        <w:jc w:val="both"/>
        <w:rPr>
          <w:rFonts w:ascii="Times New Roman" w:hAnsi="Times New Roman" w:cs="Times New Roman"/>
          <w:color w:val="000000" w:themeColor="text1"/>
          <w:lang w:val="es-ES"/>
        </w:rPr>
      </w:pPr>
      <w:r w:rsidRPr="009D2A9F">
        <w:rPr>
          <w:rStyle w:val="EndnoteReference"/>
          <w:rFonts w:ascii="Times New Roman" w:hAnsi="Times New Roman" w:cs="Times New Roman"/>
          <w:color w:val="000000" w:themeColor="text1"/>
        </w:rPr>
        <w:endnoteRef/>
      </w:r>
      <w:r w:rsidRPr="009D2A9F">
        <w:rPr>
          <w:rFonts w:ascii="Times New Roman" w:hAnsi="Times New Roman" w:cs="Times New Roman"/>
          <w:color w:val="000000" w:themeColor="text1"/>
        </w:rPr>
        <w:t xml:space="preserve"> </w:t>
      </w:r>
      <w:r w:rsidR="009411A3" w:rsidRPr="009D2A9F">
        <w:rPr>
          <w:rFonts w:ascii="Times New Roman" w:hAnsi="Times New Roman" w:cs="Times New Roman"/>
          <w:color w:val="000000" w:themeColor="text1"/>
        </w:rPr>
        <w:t xml:space="preserve">Gobierno de México, </w:t>
      </w:r>
      <w:r w:rsidR="009411A3" w:rsidRPr="009D2A9F">
        <w:rPr>
          <w:rFonts w:ascii="Times New Roman" w:hAnsi="Times New Roman" w:cs="Times New Roman"/>
          <w:i/>
          <w:iCs/>
          <w:color w:val="000000" w:themeColor="text1"/>
        </w:rPr>
        <w:t>Cartilla Moral</w:t>
      </w:r>
      <w:r w:rsidR="009411A3" w:rsidRPr="009D2A9F">
        <w:rPr>
          <w:rFonts w:ascii="Times New Roman" w:hAnsi="Times New Roman" w:cs="Times New Roman"/>
          <w:color w:val="000000" w:themeColor="text1"/>
        </w:rPr>
        <w:t xml:space="preserve">, agosto de 2019, </w:t>
      </w:r>
      <w:hyperlink r:id="rId15" w:history="1">
        <w:r w:rsidR="009411A3" w:rsidRPr="009D2A9F">
          <w:rPr>
            <w:rStyle w:val="Hyperlink"/>
            <w:rFonts w:ascii="Times New Roman" w:hAnsi="Times New Roman" w:cs="Times New Roman"/>
            <w:color w:val="000000" w:themeColor="text1"/>
          </w:rPr>
          <w:t>https://www.gob.mx/cms/uploads/attachment/file/427152/CartillaMoral_.pdf</w:t>
        </w:r>
      </w:hyperlink>
    </w:p>
  </w:endnote>
  <w:endnote w:id="16">
    <w:p w:rsidR="008159B0" w:rsidRPr="009D2A9F" w:rsidRDefault="008159B0" w:rsidP="009411A3">
      <w:pPr>
        <w:pStyle w:val="EndnoteText"/>
        <w:jc w:val="both"/>
        <w:rPr>
          <w:rFonts w:ascii="Times New Roman" w:hAnsi="Times New Roman" w:cs="Times New Roman"/>
          <w:color w:val="000000" w:themeColor="text1"/>
          <w:lang w:val="es-ES"/>
        </w:rPr>
      </w:pPr>
      <w:r w:rsidRPr="009D2A9F">
        <w:rPr>
          <w:rStyle w:val="EndnoteReference"/>
          <w:rFonts w:ascii="Times New Roman" w:hAnsi="Times New Roman" w:cs="Times New Roman"/>
          <w:color w:val="000000" w:themeColor="text1"/>
        </w:rPr>
        <w:endnoteRef/>
      </w:r>
      <w:r w:rsidR="009411A3" w:rsidRPr="009D2A9F">
        <w:rPr>
          <w:rFonts w:ascii="Times New Roman" w:hAnsi="Times New Roman" w:cs="Times New Roman"/>
          <w:color w:val="000000" w:themeColor="text1"/>
          <w:lang w:val="es-ES"/>
        </w:rPr>
        <w:t xml:space="preserve"> </w:t>
      </w:r>
      <w:r w:rsidR="009411A3" w:rsidRPr="009D2A9F">
        <w:rPr>
          <w:rFonts w:ascii="Times New Roman" w:hAnsi="Times New Roman" w:cs="Times New Roman"/>
          <w:color w:val="000000" w:themeColor="text1"/>
        </w:rPr>
        <w:t xml:space="preserve">Animal Político, </w:t>
      </w:r>
      <w:r w:rsidR="009411A3" w:rsidRPr="009D2A9F">
        <w:rPr>
          <w:rFonts w:ascii="Times New Roman" w:hAnsi="Times New Roman" w:cs="Times New Roman"/>
          <w:i/>
          <w:color w:val="000000" w:themeColor="text1"/>
        </w:rPr>
        <w:t>SEP distribuirá la cartilla moral en los paquetes de libros de texto para apoyar clases de ética y civismo</w:t>
      </w:r>
      <w:r w:rsidR="009411A3" w:rsidRPr="009D2A9F">
        <w:rPr>
          <w:rFonts w:ascii="Times New Roman" w:hAnsi="Times New Roman" w:cs="Times New Roman"/>
          <w:color w:val="000000" w:themeColor="text1"/>
        </w:rPr>
        <w:t xml:space="preserve">, Ciudad de México, 15 de agosto de 2019, </w:t>
      </w:r>
      <w:hyperlink r:id="rId16" w:history="1">
        <w:r w:rsidR="009411A3" w:rsidRPr="009D2A9F">
          <w:rPr>
            <w:rStyle w:val="Hyperlink"/>
            <w:rFonts w:ascii="Times New Roman" w:hAnsi="Times New Roman" w:cs="Times New Roman"/>
            <w:color w:val="000000" w:themeColor="text1"/>
          </w:rPr>
          <w:t>https://www.animalpolitico.com/2019/08/sep-cartilla-moral-libros-texto/</w:t>
        </w:r>
      </w:hyperlink>
    </w:p>
  </w:endnote>
  <w:endnote w:id="17">
    <w:p w:rsidR="008159B0" w:rsidRPr="009D2A9F" w:rsidRDefault="008159B0" w:rsidP="009411A3">
      <w:pPr>
        <w:pStyle w:val="EndnoteText"/>
        <w:jc w:val="both"/>
        <w:rPr>
          <w:rFonts w:ascii="Times New Roman" w:hAnsi="Times New Roman" w:cs="Times New Roman"/>
          <w:color w:val="000000" w:themeColor="text1"/>
          <w:lang w:val="es-ES"/>
        </w:rPr>
      </w:pPr>
      <w:r w:rsidRPr="009D2A9F">
        <w:rPr>
          <w:rStyle w:val="EndnoteReference"/>
          <w:rFonts w:ascii="Times New Roman" w:hAnsi="Times New Roman" w:cs="Times New Roman"/>
          <w:color w:val="000000" w:themeColor="text1"/>
        </w:rPr>
        <w:endnoteRef/>
      </w:r>
      <w:r w:rsidR="009411A3" w:rsidRPr="009D2A9F">
        <w:rPr>
          <w:rFonts w:ascii="Times New Roman" w:hAnsi="Times New Roman" w:cs="Times New Roman"/>
          <w:color w:val="000000" w:themeColor="text1"/>
        </w:rPr>
        <w:t xml:space="preserve"> CDH Vitoria, </w:t>
      </w:r>
      <w:r w:rsidR="009411A3" w:rsidRPr="009D2A9F">
        <w:rPr>
          <w:rFonts w:ascii="Times New Roman" w:hAnsi="Times New Roman" w:cs="Times New Roman"/>
          <w:i/>
          <w:color w:val="000000" w:themeColor="text1"/>
        </w:rPr>
        <w:t>Iniciativas legales ciudadanas</w:t>
      </w:r>
      <w:r w:rsidR="009411A3" w:rsidRPr="009D2A9F">
        <w:rPr>
          <w:rFonts w:ascii="Times New Roman" w:hAnsi="Times New Roman" w:cs="Times New Roman"/>
          <w:color w:val="000000" w:themeColor="text1"/>
        </w:rPr>
        <w:t xml:space="preserve">, Ciudad de México, 11 de mayo de 2019, </w:t>
      </w:r>
      <w:hyperlink r:id="rId17" w:history="1">
        <w:r w:rsidR="009411A3" w:rsidRPr="009D2A9F">
          <w:rPr>
            <w:rStyle w:val="Hyperlink"/>
            <w:rFonts w:ascii="Times New Roman" w:hAnsi="Times New Roman" w:cs="Times New Roman"/>
            <w:color w:val="000000" w:themeColor="text1"/>
          </w:rPr>
          <w:t>http://derechoshumanos.org.mx/iniciativas-legales-ciudadanas</w:t>
        </w:r>
      </w:hyperlink>
      <w:r w:rsidRPr="009D2A9F">
        <w:rPr>
          <w:rFonts w:ascii="Times New Roman" w:hAnsi="Times New Roman" w:cs="Times New Roman"/>
          <w:color w:val="000000" w:themeColor="text1"/>
        </w:rPr>
        <w:t xml:space="preserve"> </w:t>
      </w:r>
    </w:p>
  </w:endnote>
  <w:endnote w:id="18">
    <w:p w:rsidR="008159B0" w:rsidRPr="009D2A9F" w:rsidRDefault="008159B0" w:rsidP="009411A3">
      <w:pPr>
        <w:pStyle w:val="EndnoteText"/>
        <w:jc w:val="both"/>
        <w:rPr>
          <w:rFonts w:ascii="Times New Roman" w:hAnsi="Times New Roman" w:cs="Times New Roman"/>
          <w:color w:val="000000" w:themeColor="text1"/>
          <w:lang w:val="es-ES"/>
        </w:rPr>
      </w:pPr>
      <w:r w:rsidRPr="009D2A9F">
        <w:rPr>
          <w:rStyle w:val="EndnoteReference"/>
          <w:rFonts w:ascii="Times New Roman" w:hAnsi="Times New Roman" w:cs="Times New Roman"/>
          <w:color w:val="000000" w:themeColor="text1"/>
        </w:rPr>
        <w:endnoteRef/>
      </w:r>
      <w:r w:rsidRPr="009D2A9F">
        <w:rPr>
          <w:rFonts w:ascii="Times New Roman" w:hAnsi="Times New Roman" w:cs="Times New Roman"/>
          <w:color w:val="000000" w:themeColor="text1"/>
        </w:rPr>
        <w:t xml:space="preserve"> </w:t>
      </w:r>
      <w:r w:rsidR="009411A3" w:rsidRPr="009D2A9F">
        <w:rPr>
          <w:rFonts w:ascii="Times New Roman" w:hAnsi="Times New Roman" w:cs="Times New Roman"/>
          <w:color w:val="000000" w:themeColor="text1"/>
        </w:rPr>
        <w:t xml:space="preserve">Instituto Nacional de los Pueblos Indígenas, </w:t>
      </w:r>
      <w:r w:rsidR="009411A3" w:rsidRPr="009D2A9F">
        <w:rPr>
          <w:rFonts w:ascii="Times New Roman" w:hAnsi="Times New Roman" w:cs="Times New Roman"/>
          <w:i/>
          <w:color w:val="000000" w:themeColor="text1"/>
        </w:rPr>
        <w:t>Programa Nacional de Pueblos Indígenas 2018 2024</w:t>
      </w:r>
      <w:r w:rsidR="009411A3" w:rsidRPr="009D2A9F">
        <w:rPr>
          <w:rFonts w:ascii="Times New Roman" w:hAnsi="Times New Roman" w:cs="Times New Roman"/>
          <w:color w:val="000000" w:themeColor="text1"/>
        </w:rPr>
        <w:t xml:space="preserve">, Ciudad de México, 2019, </w:t>
      </w:r>
      <w:hyperlink r:id="rId18" w:history="1">
        <w:r w:rsidR="009411A3" w:rsidRPr="009D2A9F">
          <w:rPr>
            <w:rStyle w:val="Hyperlink"/>
            <w:rFonts w:ascii="Times New Roman" w:hAnsi="Times New Roman" w:cs="Times New Roman"/>
            <w:color w:val="000000" w:themeColor="text1"/>
          </w:rPr>
          <w:t>https://www.gob.mx/cms/uploads/attachment/file/423227/Programa-Nacional-de-los-Pueblos-Indigenas-2018-2024.pdf</w:t>
        </w:r>
      </w:hyperlink>
    </w:p>
  </w:endnote>
  <w:endnote w:id="19">
    <w:p w:rsidR="008159B0" w:rsidRPr="009D2A9F" w:rsidRDefault="008159B0" w:rsidP="009411A3">
      <w:pPr>
        <w:pStyle w:val="EndnoteText"/>
        <w:jc w:val="both"/>
        <w:rPr>
          <w:rFonts w:ascii="Times New Roman" w:hAnsi="Times New Roman" w:cs="Times New Roman"/>
          <w:lang w:val="es-ES"/>
        </w:rPr>
      </w:pPr>
      <w:r w:rsidRPr="009D2A9F">
        <w:rPr>
          <w:rStyle w:val="EndnoteReference"/>
          <w:rFonts w:ascii="Times New Roman" w:hAnsi="Times New Roman" w:cs="Times New Roman"/>
          <w:color w:val="000000" w:themeColor="text1"/>
        </w:rPr>
        <w:endnoteRef/>
      </w:r>
      <w:r w:rsidRPr="009D2A9F">
        <w:rPr>
          <w:rFonts w:ascii="Times New Roman" w:hAnsi="Times New Roman" w:cs="Times New Roman"/>
          <w:color w:val="000000" w:themeColor="text1"/>
        </w:rPr>
        <w:t xml:space="preserve"> </w:t>
      </w:r>
      <w:r w:rsidR="009411A3" w:rsidRPr="009D2A9F">
        <w:rPr>
          <w:rFonts w:ascii="Times New Roman" w:hAnsi="Times New Roman" w:cs="Times New Roman"/>
          <w:color w:val="000000" w:themeColor="text1"/>
        </w:rPr>
        <w:t xml:space="preserve">Animal Político, </w:t>
      </w:r>
      <w:r w:rsidR="009411A3" w:rsidRPr="009D2A9F">
        <w:rPr>
          <w:rFonts w:ascii="Times New Roman" w:hAnsi="Times New Roman" w:cs="Times New Roman"/>
          <w:i/>
          <w:color w:val="000000" w:themeColor="text1"/>
        </w:rPr>
        <w:t>Organizaciones acusan simulación en consulta de Tren Maya; piden respeto a pueblos originarios</w:t>
      </w:r>
      <w:r w:rsidR="009411A3" w:rsidRPr="009D2A9F">
        <w:rPr>
          <w:rFonts w:ascii="Times New Roman" w:hAnsi="Times New Roman" w:cs="Times New Roman"/>
          <w:color w:val="000000" w:themeColor="text1"/>
        </w:rPr>
        <w:t xml:space="preserve">, Ciudad de México, 11 de abril de 2019, </w:t>
      </w:r>
      <w:hyperlink r:id="rId19" w:history="1">
        <w:r w:rsidR="009411A3" w:rsidRPr="009D2A9F">
          <w:rPr>
            <w:rStyle w:val="Hyperlink"/>
            <w:rFonts w:ascii="Times New Roman" w:hAnsi="Times New Roman" w:cs="Times New Roman"/>
            <w:color w:val="000000" w:themeColor="text1"/>
          </w:rPr>
          <w:t>https://www.animalpolitico.com/2019/04/organizaciones-acusan-simulacion-consulta-tren-maya/</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5295116"/>
      <w:docPartObj>
        <w:docPartGallery w:val="Page Numbers (Bottom of Page)"/>
        <w:docPartUnique/>
      </w:docPartObj>
    </w:sdtPr>
    <w:sdtEndPr>
      <w:rPr>
        <w:rStyle w:val="PageNumber"/>
      </w:rPr>
    </w:sdtEndPr>
    <w:sdtContent>
      <w:p w:rsidR="00223385" w:rsidRDefault="00223385" w:rsidP="007151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23385" w:rsidRDefault="00223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85732563"/>
      <w:docPartObj>
        <w:docPartGallery w:val="Page Numbers (Bottom of Page)"/>
        <w:docPartUnique/>
      </w:docPartObj>
    </w:sdtPr>
    <w:sdtEndPr>
      <w:rPr>
        <w:rStyle w:val="PageNumber"/>
      </w:rPr>
    </w:sdtEndPr>
    <w:sdtContent>
      <w:p w:rsidR="00223385" w:rsidRPr="00223385" w:rsidRDefault="00223385" w:rsidP="00715142">
        <w:pPr>
          <w:pStyle w:val="Footer"/>
          <w:framePr w:wrap="none" w:vAnchor="text" w:hAnchor="margin" w:xAlign="center" w:y="1"/>
          <w:rPr>
            <w:rStyle w:val="PageNumber"/>
            <w:rFonts w:ascii="Times New Roman" w:hAnsi="Times New Roman" w:cs="Times New Roman"/>
          </w:rPr>
        </w:pPr>
        <w:r w:rsidRPr="00223385">
          <w:rPr>
            <w:rStyle w:val="PageNumber"/>
            <w:rFonts w:ascii="Times New Roman" w:hAnsi="Times New Roman" w:cs="Times New Roman"/>
          </w:rPr>
          <w:fldChar w:fldCharType="begin"/>
        </w:r>
        <w:r w:rsidRPr="00223385">
          <w:rPr>
            <w:rStyle w:val="PageNumber"/>
            <w:rFonts w:ascii="Times New Roman" w:hAnsi="Times New Roman" w:cs="Times New Roman"/>
          </w:rPr>
          <w:instrText xml:space="preserve"> PAGE </w:instrText>
        </w:r>
        <w:r w:rsidRPr="00223385">
          <w:rPr>
            <w:rStyle w:val="PageNumber"/>
            <w:rFonts w:ascii="Times New Roman" w:hAnsi="Times New Roman" w:cs="Times New Roman"/>
          </w:rPr>
          <w:fldChar w:fldCharType="separate"/>
        </w:r>
        <w:r w:rsidRPr="00223385">
          <w:rPr>
            <w:rStyle w:val="PageNumber"/>
            <w:rFonts w:ascii="Times New Roman" w:hAnsi="Times New Roman" w:cs="Times New Roman"/>
            <w:noProof/>
          </w:rPr>
          <w:t>1</w:t>
        </w:r>
        <w:r w:rsidRPr="00223385">
          <w:rPr>
            <w:rStyle w:val="PageNumber"/>
            <w:rFonts w:ascii="Times New Roman" w:hAnsi="Times New Roman" w:cs="Times New Roman"/>
          </w:rPr>
          <w:fldChar w:fldCharType="end"/>
        </w:r>
      </w:p>
    </w:sdtContent>
  </w:sdt>
  <w:p w:rsidR="00223385" w:rsidRDefault="00223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453" w:rsidRDefault="00CE3453" w:rsidP="000474DA">
      <w:pPr>
        <w:spacing w:after="0" w:line="240" w:lineRule="auto"/>
      </w:pPr>
      <w:r>
        <w:separator/>
      </w:r>
    </w:p>
  </w:footnote>
  <w:footnote w:type="continuationSeparator" w:id="0">
    <w:p w:rsidR="00CE3453" w:rsidRDefault="00CE3453" w:rsidP="00047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4DA" w:rsidRDefault="000474DA">
    <w:pPr>
      <w:pStyle w:val="Header"/>
    </w:pPr>
    <w:r>
      <w:rPr>
        <w:noProof/>
        <w:lang w:eastAsia="es-MX"/>
      </w:rPr>
      <w:drawing>
        <wp:anchor distT="0" distB="0" distL="114300" distR="114300" simplePos="0" relativeHeight="251659264" behindDoc="0" locked="0" layoutInCell="1" allowOverlap="1" wp14:anchorId="4C5D8FC8" wp14:editId="3C61C45F">
          <wp:simplePos x="0" y="0"/>
          <wp:positionH relativeFrom="margin">
            <wp:posOffset>3953510</wp:posOffset>
          </wp:positionH>
          <wp:positionV relativeFrom="topMargin">
            <wp:posOffset>447263</wp:posOffset>
          </wp:positionV>
          <wp:extent cx="1661160" cy="744220"/>
          <wp:effectExtent l="0" t="0" r="254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i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1160" cy="744220"/>
                  </a:xfrm>
                  <a:prstGeom prst="rect">
                    <a:avLst/>
                  </a:prstGeom>
                </pic:spPr>
              </pic:pic>
            </a:graphicData>
          </a:graphic>
          <wp14:sizeRelH relativeFrom="margin">
            <wp14:pctWidth>0</wp14:pctWidth>
          </wp14:sizeRelH>
          <wp14:sizeRelV relativeFrom="margin">
            <wp14:pctHeight>0</wp14:pctHeight>
          </wp14:sizeRelV>
        </wp:anchor>
      </w:drawing>
    </w:r>
    <w:r w:rsidR="003C1211" w:rsidRPr="003C1211">
      <w:t xml:space="preserve"> </w:t>
    </w:r>
    <w:r w:rsidR="003C1211">
      <w:rPr>
        <w:noProof/>
        <w:lang w:eastAsia="es-MX"/>
      </w:rPr>
      <w:drawing>
        <wp:inline distT="0" distB="0" distL="0" distR="0">
          <wp:extent cx="1688350" cy="769962"/>
          <wp:effectExtent l="0" t="0" r="0" b="0"/>
          <wp:docPr id="3" name="Imagen 3" descr="https://lh6.googleusercontent.com/e-_-0uU8Ei0QVxg0KPEmDafUMTrnnzL8rokWDuKvojVgcgihOwLA37LSttIp6o-Voo_8kCWkHuYDsaIGIi7iEyJIsJmCiuepUSZVy_901upf0bta2MyrwmXNWgpYxX3R7ZXUW4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_-0uU8Ei0QVxg0KPEmDafUMTrnnzL8rokWDuKvojVgcgihOwLA37LSttIp6o-Voo_8kCWkHuYDsaIGIi7iEyJIsJmCiuepUSZVy_901upf0bta2MyrwmXNWgpYxX3R7ZXUW4T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3644" cy="7814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253"/>
    <w:multiLevelType w:val="hybridMultilevel"/>
    <w:tmpl w:val="64F6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028CA"/>
    <w:multiLevelType w:val="multilevel"/>
    <w:tmpl w:val="1970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02131"/>
    <w:multiLevelType w:val="hybridMultilevel"/>
    <w:tmpl w:val="6C5475B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C75024"/>
    <w:multiLevelType w:val="multilevel"/>
    <w:tmpl w:val="849C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F1F0A"/>
    <w:multiLevelType w:val="multilevel"/>
    <w:tmpl w:val="F704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C46E8"/>
    <w:multiLevelType w:val="multilevel"/>
    <w:tmpl w:val="F4CA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2B0677"/>
    <w:multiLevelType w:val="multilevel"/>
    <w:tmpl w:val="02164F94"/>
    <w:lvl w:ilvl="0">
      <w:start w:val="1"/>
      <w:numFmt w:val="decimal"/>
      <w:lvlText w:val="%1."/>
      <w:lvlJc w:val="left"/>
      <w:pPr>
        <w:ind w:left="720" w:hanging="360"/>
      </w:p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080" w:hanging="720"/>
      </w:pPr>
      <w:rPr>
        <w:rFonts w:eastAsiaTheme="minorHAnsi" w:hint="default"/>
        <w:color w:val="000000"/>
      </w:rPr>
    </w:lvl>
    <w:lvl w:ilvl="3">
      <w:start w:val="1"/>
      <w:numFmt w:val="decimal"/>
      <w:isLgl/>
      <w:lvlText w:val="%1.%2.%3.%4."/>
      <w:lvlJc w:val="left"/>
      <w:pPr>
        <w:ind w:left="1080" w:hanging="720"/>
      </w:pPr>
      <w:rPr>
        <w:rFonts w:eastAsiaTheme="minorHAnsi" w:hint="default"/>
        <w:color w:val="000000"/>
      </w:rPr>
    </w:lvl>
    <w:lvl w:ilvl="4">
      <w:start w:val="1"/>
      <w:numFmt w:val="decimal"/>
      <w:isLgl/>
      <w:lvlText w:val="%1.%2.%3.%4.%5."/>
      <w:lvlJc w:val="left"/>
      <w:pPr>
        <w:ind w:left="1440" w:hanging="1080"/>
      </w:pPr>
      <w:rPr>
        <w:rFonts w:eastAsiaTheme="minorHAnsi" w:hint="default"/>
        <w:color w:val="000000"/>
      </w:rPr>
    </w:lvl>
    <w:lvl w:ilvl="5">
      <w:start w:val="1"/>
      <w:numFmt w:val="decimal"/>
      <w:isLgl/>
      <w:lvlText w:val="%1.%2.%3.%4.%5.%6."/>
      <w:lvlJc w:val="left"/>
      <w:pPr>
        <w:ind w:left="1440" w:hanging="1080"/>
      </w:pPr>
      <w:rPr>
        <w:rFonts w:eastAsiaTheme="minorHAnsi" w:hint="default"/>
        <w:color w:val="000000"/>
      </w:rPr>
    </w:lvl>
    <w:lvl w:ilvl="6">
      <w:start w:val="1"/>
      <w:numFmt w:val="decimal"/>
      <w:isLgl/>
      <w:lvlText w:val="%1.%2.%3.%4.%5.%6.%7."/>
      <w:lvlJc w:val="left"/>
      <w:pPr>
        <w:ind w:left="1800" w:hanging="1440"/>
      </w:pPr>
      <w:rPr>
        <w:rFonts w:eastAsiaTheme="minorHAnsi" w:hint="default"/>
        <w:color w:val="000000"/>
      </w:rPr>
    </w:lvl>
    <w:lvl w:ilvl="7">
      <w:start w:val="1"/>
      <w:numFmt w:val="decimal"/>
      <w:isLgl/>
      <w:lvlText w:val="%1.%2.%3.%4.%5.%6.%7.%8."/>
      <w:lvlJc w:val="left"/>
      <w:pPr>
        <w:ind w:left="1800" w:hanging="1440"/>
      </w:pPr>
      <w:rPr>
        <w:rFonts w:eastAsiaTheme="minorHAnsi" w:hint="default"/>
        <w:color w:val="000000"/>
      </w:rPr>
    </w:lvl>
    <w:lvl w:ilvl="8">
      <w:start w:val="1"/>
      <w:numFmt w:val="decimal"/>
      <w:isLgl/>
      <w:lvlText w:val="%1.%2.%3.%4.%5.%6.%7.%8.%9."/>
      <w:lvlJc w:val="left"/>
      <w:pPr>
        <w:ind w:left="2160" w:hanging="1800"/>
      </w:pPr>
      <w:rPr>
        <w:rFonts w:eastAsiaTheme="minorHAnsi" w:hint="default"/>
        <w:color w:val="000000"/>
      </w:rPr>
    </w:lvl>
  </w:abstractNum>
  <w:abstractNum w:abstractNumId="7" w15:restartNumberingAfterBreak="0">
    <w:nsid w:val="24580EEB"/>
    <w:multiLevelType w:val="multilevel"/>
    <w:tmpl w:val="1830610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5FF5FA6"/>
    <w:multiLevelType w:val="hybridMultilevel"/>
    <w:tmpl w:val="66C89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0772A"/>
    <w:multiLevelType w:val="multilevel"/>
    <w:tmpl w:val="D050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6274C"/>
    <w:multiLevelType w:val="multilevel"/>
    <w:tmpl w:val="779E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E386C"/>
    <w:multiLevelType w:val="hybridMultilevel"/>
    <w:tmpl w:val="AEF46026"/>
    <w:lvl w:ilvl="0" w:tplc="04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3EE703F"/>
    <w:multiLevelType w:val="hybridMultilevel"/>
    <w:tmpl w:val="A5704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9342D79"/>
    <w:multiLevelType w:val="multilevel"/>
    <w:tmpl w:val="79E8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A37491"/>
    <w:multiLevelType w:val="multilevel"/>
    <w:tmpl w:val="6F04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D97C1F"/>
    <w:multiLevelType w:val="hybridMultilevel"/>
    <w:tmpl w:val="600075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092379"/>
    <w:multiLevelType w:val="hybridMultilevel"/>
    <w:tmpl w:val="36BE9864"/>
    <w:lvl w:ilvl="0" w:tplc="04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4220007F"/>
    <w:multiLevelType w:val="multilevel"/>
    <w:tmpl w:val="7D5E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031EBF"/>
    <w:multiLevelType w:val="multilevel"/>
    <w:tmpl w:val="667C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DE322A"/>
    <w:multiLevelType w:val="multilevel"/>
    <w:tmpl w:val="87987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2751C1B"/>
    <w:multiLevelType w:val="hybridMultilevel"/>
    <w:tmpl w:val="CA04895E"/>
    <w:lvl w:ilvl="0" w:tplc="233292C2">
      <w:start w:val="1"/>
      <w:numFmt w:val="decimal"/>
      <w:lvlText w:val="%1."/>
      <w:lvlJc w:val="left"/>
      <w:pPr>
        <w:ind w:left="720" w:hanging="360"/>
      </w:pPr>
      <w:rPr>
        <w:rFonts w:eastAsiaTheme="minorHAns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F72467"/>
    <w:multiLevelType w:val="hybridMultilevel"/>
    <w:tmpl w:val="9CA04608"/>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15:restartNumberingAfterBreak="0">
    <w:nsid w:val="61490A04"/>
    <w:multiLevelType w:val="hybridMultilevel"/>
    <w:tmpl w:val="6C5475B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423852"/>
    <w:multiLevelType w:val="hybridMultilevel"/>
    <w:tmpl w:val="BD5C2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640AFD"/>
    <w:multiLevelType w:val="multilevel"/>
    <w:tmpl w:val="7E02ABC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BDD173C"/>
    <w:multiLevelType w:val="hybridMultilevel"/>
    <w:tmpl w:val="12B28750"/>
    <w:lvl w:ilvl="0" w:tplc="04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3"/>
  </w:num>
  <w:num w:numId="4">
    <w:abstractNumId w:val="8"/>
  </w:num>
  <w:num w:numId="5">
    <w:abstractNumId w:val="12"/>
  </w:num>
  <w:num w:numId="6">
    <w:abstractNumId w:val="15"/>
  </w:num>
  <w:num w:numId="7">
    <w:abstractNumId w:val="20"/>
  </w:num>
  <w:num w:numId="8">
    <w:abstractNumId w:val="1"/>
  </w:num>
  <w:num w:numId="9">
    <w:abstractNumId w:val="10"/>
  </w:num>
  <w:num w:numId="10">
    <w:abstractNumId w:val="3"/>
  </w:num>
  <w:num w:numId="11">
    <w:abstractNumId w:val="5"/>
  </w:num>
  <w:num w:numId="12">
    <w:abstractNumId w:val="14"/>
  </w:num>
  <w:num w:numId="13">
    <w:abstractNumId w:val="4"/>
  </w:num>
  <w:num w:numId="14">
    <w:abstractNumId w:val="13"/>
  </w:num>
  <w:num w:numId="15">
    <w:abstractNumId w:val="9"/>
  </w:num>
  <w:num w:numId="16">
    <w:abstractNumId w:val="17"/>
  </w:num>
  <w:num w:numId="17">
    <w:abstractNumId w:val="19"/>
  </w:num>
  <w:num w:numId="18">
    <w:abstractNumId w:val="7"/>
  </w:num>
  <w:num w:numId="19">
    <w:abstractNumId w:val="18"/>
  </w:num>
  <w:num w:numId="20">
    <w:abstractNumId w:val="11"/>
  </w:num>
  <w:num w:numId="21">
    <w:abstractNumId w:val="25"/>
  </w:num>
  <w:num w:numId="22">
    <w:abstractNumId w:val="21"/>
  </w:num>
  <w:num w:numId="23">
    <w:abstractNumId w:val="16"/>
  </w:num>
  <w:num w:numId="24">
    <w:abstractNumId w:val="6"/>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4DA"/>
    <w:rsid w:val="000474DA"/>
    <w:rsid w:val="000B4507"/>
    <w:rsid w:val="000D0C6A"/>
    <w:rsid w:val="000F17ED"/>
    <w:rsid w:val="00177EEB"/>
    <w:rsid w:val="001C4DE2"/>
    <w:rsid w:val="001E3834"/>
    <w:rsid w:val="002229AF"/>
    <w:rsid w:val="00223385"/>
    <w:rsid w:val="002507E6"/>
    <w:rsid w:val="002C40B0"/>
    <w:rsid w:val="003005A5"/>
    <w:rsid w:val="0035275A"/>
    <w:rsid w:val="00360FFA"/>
    <w:rsid w:val="003C1211"/>
    <w:rsid w:val="004504F5"/>
    <w:rsid w:val="004B2971"/>
    <w:rsid w:val="00501987"/>
    <w:rsid w:val="00514EE5"/>
    <w:rsid w:val="005156BE"/>
    <w:rsid w:val="00567BE7"/>
    <w:rsid w:val="00642B58"/>
    <w:rsid w:val="00656301"/>
    <w:rsid w:val="00756FAC"/>
    <w:rsid w:val="007B7B33"/>
    <w:rsid w:val="008159B0"/>
    <w:rsid w:val="0083116F"/>
    <w:rsid w:val="00877049"/>
    <w:rsid w:val="00897574"/>
    <w:rsid w:val="008A69BD"/>
    <w:rsid w:val="009411A3"/>
    <w:rsid w:val="00941D85"/>
    <w:rsid w:val="009B0C97"/>
    <w:rsid w:val="009D2A9F"/>
    <w:rsid w:val="00AB1053"/>
    <w:rsid w:val="00AF20B2"/>
    <w:rsid w:val="00B66652"/>
    <w:rsid w:val="00B863BB"/>
    <w:rsid w:val="00BE524E"/>
    <w:rsid w:val="00C51DF8"/>
    <w:rsid w:val="00C916DB"/>
    <w:rsid w:val="00CC65D2"/>
    <w:rsid w:val="00CD5142"/>
    <w:rsid w:val="00CE3453"/>
    <w:rsid w:val="00D94680"/>
    <w:rsid w:val="00DA1C7E"/>
    <w:rsid w:val="00DC3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76EE"/>
  <w15:chartTrackingRefBased/>
  <w15:docId w15:val="{8A0C1DA7-5D03-4B74-AA19-A147A68E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4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eader">
    <w:name w:val="header"/>
    <w:basedOn w:val="Normal"/>
    <w:link w:val="HeaderChar"/>
    <w:uiPriority w:val="99"/>
    <w:unhideWhenUsed/>
    <w:rsid w:val="000474DA"/>
    <w:pPr>
      <w:tabs>
        <w:tab w:val="center" w:pos="4419"/>
        <w:tab w:val="right" w:pos="8838"/>
      </w:tabs>
      <w:spacing w:after="0" w:line="240" w:lineRule="auto"/>
    </w:pPr>
  </w:style>
  <w:style w:type="character" w:customStyle="1" w:styleId="HeaderChar">
    <w:name w:val="Header Char"/>
    <w:basedOn w:val="DefaultParagraphFont"/>
    <w:link w:val="Header"/>
    <w:uiPriority w:val="99"/>
    <w:rsid w:val="000474DA"/>
  </w:style>
  <w:style w:type="paragraph" w:styleId="Footer">
    <w:name w:val="footer"/>
    <w:basedOn w:val="Normal"/>
    <w:link w:val="FooterChar"/>
    <w:uiPriority w:val="99"/>
    <w:unhideWhenUsed/>
    <w:rsid w:val="000474DA"/>
    <w:pPr>
      <w:tabs>
        <w:tab w:val="center" w:pos="4419"/>
        <w:tab w:val="right" w:pos="8838"/>
      </w:tabs>
      <w:spacing w:after="0" w:line="240" w:lineRule="auto"/>
    </w:pPr>
  </w:style>
  <w:style w:type="character" w:customStyle="1" w:styleId="FooterChar">
    <w:name w:val="Footer Char"/>
    <w:basedOn w:val="DefaultParagraphFont"/>
    <w:link w:val="Footer"/>
    <w:uiPriority w:val="99"/>
    <w:rsid w:val="000474DA"/>
  </w:style>
  <w:style w:type="paragraph" w:styleId="ListParagraph">
    <w:name w:val="List Paragraph"/>
    <w:basedOn w:val="Normal"/>
    <w:uiPriority w:val="34"/>
    <w:qFormat/>
    <w:rsid w:val="000474DA"/>
    <w:pPr>
      <w:ind w:left="720"/>
      <w:contextualSpacing/>
    </w:pPr>
  </w:style>
  <w:style w:type="table" w:styleId="TableGrid">
    <w:name w:val="Table Grid"/>
    <w:basedOn w:val="TableNormal"/>
    <w:uiPriority w:val="39"/>
    <w:rsid w:val="00941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770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049"/>
    <w:rPr>
      <w:sz w:val="20"/>
      <w:szCs w:val="20"/>
    </w:rPr>
  </w:style>
  <w:style w:type="character" w:styleId="FootnoteReference">
    <w:name w:val="footnote reference"/>
    <w:basedOn w:val="DefaultParagraphFont"/>
    <w:uiPriority w:val="99"/>
    <w:semiHidden/>
    <w:unhideWhenUsed/>
    <w:rsid w:val="00877049"/>
    <w:rPr>
      <w:vertAlign w:val="superscript"/>
    </w:rPr>
  </w:style>
  <w:style w:type="paragraph" w:styleId="EndnoteText">
    <w:name w:val="endnote text"/>
    <w:basedOn w:val="Normal"/>
    <w:link w:val="EndnoteTextChar"/>
    <w:uiPriority w:val="99"/>
    <w:semiHidden/>
    <w:unhideWhenUsed/>
    <w:rsid w:val="008770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7049"/>
    <w:rPr>
      <w:sz w:val="20"/>
      <w:szCs w:val="20"/>
    </w:rPr>
  </w:style>
  <w:style w:type="character" w:styleId="EndnoteReference">
    <w:name w:val="endnote reference"/>
    <w:basedOn w:val="DefaultParagraphFont"/>
    <w:uiPriority w:val="99"/>
    <w:semiHidden/>
    <w:unhideWhenUsed/>
    <w:rsid w:val="00877049"/>
    <w:rPr>
      <w:vertAlign w:val="superscript"/>
    </w:rPr>
  </w:style>
  <w:style w:type="character" w:styleId="Hyperlink">
    <w:name w:val="Hyperlink"/>
    <w:basedOn w:val="DefaultParagraphFont"/>
    <w:uiPriority w:val="99"/>
    <w:unhideWhenUsed/>
    <w:rsid w:val="00877049"/>
    <w:rPr>
      <w:color w:val="0000FF"/>
      <w:u w:val="single"/>
    </w:rPr>
  </w:style>
  <w:style w:type="character" w:styleId="PageNumber">
    <w:name w:val="page number"/>
    <w:basedOn w:val="DefaultParagraphFont"/>
    <w:uiPriority w:val="99"/>
    <w:semiHidden/>
    <w:unhideWhenUsed/>
    <w:rsid w:val="00223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8076">
      <w:bodyDiv w:val="1"/>
      <w:marLeft w:val="0"/>
      <w:marRight w:val="0"/>
      <w:marTop w:val="0"/>
      <w:marBottom w:val="0"/>
      <w:divBdr>
        <w:top w:val="none" w:sz="0" w:space="0" w:color="auto"/>
        <w:left w:val="none" w:sz="0" w:space="0" w:color="auto"/>
        <w:bottom w:val="none" w:sz="0" w:space="0" w:color="auto"/>
        <w:right w:val="none" w:sz="0" w:space="0" w:color="auto"/>
      </w:divBdr>
    </w:div>
    <w:div w:id="147401024">
      <w:bodyDiv w:val="1"/>
      <w:marLeft w:val="0"/>
      <w:marRight w:val="0"/>
      <w:marTop w:val="0"/>
      <w:marBottom w:val="0"/>
      <w:divBdr>
        <w:top w:val="none" w:sz="0" w:space="0" w:color="auto"/>
        <w:left w:val="none" w:sz="0" w:space="0" w:color="auto"/>
        <w:bottom w:val="none" w:sz="0" w:space="0" w:color="auto"/>
        <w:right w:val="none" w:sz="0" w:space="0" w:color="auto"/>
      </w:divBdr>
    </w:div>
    <w:div w:id="153839278">
      <w:bodyDiv w:val="1"/>
      <w:marLeft w:val="0"/>
      <w:marRight w:val="0"/>
      <w:marTop w:val="0"/>
      <w:marBottom w:val="0"/>
      <w:divBdr>
        <w:top w:val="none" w:sz="0" w:space="0" w:color="auto"/>
        <w:left w:val="none" w:sz="0" w:space="0" w:color="auto"/>
        <w:bottom w:val="none" w:sz="0" w:space="0" w:color="auto"/>
        <w:right w:val="none" w:sz="0" w:space="0" w:color="auto"/>
      </w:divBdr>
    </w:div>
    <w:div w:id="529496916">
      <w:bodyDiv w:val="1"/>
      <w:marLeft w:val="0"/>
      <w:marRight w:val="0"/>
      <w:marTop w:val="0"/>
      <w:marBottom w:val="0"/>
      <w:divBdr>
        <w:top w:val="none" w:sz="0" w:space="0" w:color="auto"/>
        <w:left w:val="none" w:sz="0" w:space="0" w:color="auto"/>
        <w:bottom w:val="none" w:sz="0" w:space="0" w:color="auto"/>
        <w:right w:val="none" w:sz="0" w:space="0" w:color="auto"/>
      </w:divBdr>
    </w:div>
    <w:div w:id="929050119">
      <w:bodyDiv w:val="1"/>
      <w:marLeft w:val="0"/>
      <w:marRight w:val="0"/>
      <w:marTop w:val="0"/>
      <w:marBottom w:val="0"/>
      <w:divBdr>
        <w:top w:val="none" w:sz="0" w:space="0" w:color="auto"/>
        <w:left w:val="none" w:sz="0" w:space="0" w:color="auto"/>
        <w:bottom w:val="none" w:sz="0" w:space="0" w:color="auto"/>
        <w:right w:val="none" w:sz="0" w:space="0" w:color="auto"/>
      </w:divBdr>
    </w:div>
    <w:div w:id="1041054558">
      <w:bodyDiv w:val="1"/>
      <w:marLeft w:val="0"/>
      <w:marRight w:val="0"/>
      <w:marTop w:val="0"/>
      <w:marBottom w:val="0"/>
      <w:divBdr>
        <w:top w:val="none" w:sz="0" w:space="0" w:color="auto"/>
        <w:left w:val="none" w:sz="0" w:space="0" w:color="auto"/>
        <w:bottom w:val="none" w:sz="0" w:space="0" w:color="auto"/>
        <w:right w:val="none" w:sz="0" w:space="0" w:color="auto"/>
      </w:divBdr>
    </w:div>
    <w:div w:id="1078820721">
      <w:bodyDiv w:val="1"/>
      <w:marLeft w:val="0"/>
      <w:marRight w:val="0"/>
      <w:marTop w:val="0"/>
      <w:marBottom w:val="0"/>
      <w:divBdr>
        <w:top w:val="none" w:sz="0" w:space="0" w:color="auto"/>
        <w:left w:val="none" w:sz="0" w:space="0" w:color="auto"/>
        <w:bottom w:val="none" w:sz="0" w:space="0" w:color="auto"/>
        <w:right w:val="none" w:sz="0" w:space="0" w:color="auto"/>
      </w:divBdr>
    </w:div>
    <w:div w:id="1192766630">
      <w:bodyDiv w:val="1"/>
      <w:marLeft w:val="0"/>
      <w:marRight w:val="0"/>
      <w:marTop w:val="0"/>
      <w:marBottom w:val="0"/>
      <w:divBdr>
        <w:top w:val="none" w:sz="0" w:space="0" w:color="auto"/>
        <w:left w:val="none" w:sz="0" w:space="0" w:color="auto"/>
        <w:bottom w:val="none" w:sz="0" w:space="0" w:color="auto"/>
        <w:right w:val="none" w:sz="0" w:space="0" w:color="auto"/>
      </w:divBdr>
    </w:div>
    <w:div w:id="1392509075">
      <w:bodyDiv w:val="1"/>
      <w:marLeft w:val="0"/>
      <w:marRight w:val="0"/>
      <w:marTop w:val="0"/>
      <w:marBottom w:val="0"/>
      <w:divBdr>
        <w:top w:val="none" w:sz="0" w:space="0" w:color="auto"/>
        <w:left w:val="none" w:sz="0" w:space="0" w:color="auto"/>
        <w:bottom w:val="none" w:sz="0" w:space="0" w:color="auto"/>
        <w:right w:val="none" w:sz="0" w:space="0" w:color="auto"/>
      </w:divBdr>
    </w:div>
    <w:div w:id="1559199171">
      <w:bodyDiv w:val="1"/>
      <w:marLeft w:val="0"/>
      <w:marRight w:val="0"/>
      <w:marTop w:val="0"/>
      <w:marBottom w:val="0"/>
      <w:divBdr>
        <w:top w:val="none" w:sz="0" w:space="0" w:color="auto"/>
        <w:left w:val="none" w:sz="0" w:space="0" w:color="auto"/>
        <w:bottom w:val="none" w:sz="0" w:space="0" w:color="auto"/>
        <w:right w:val="none" w:sz="0" w:space="0" w:color="auto"/>
      </w:divBdr>
    </w:div>
    <w:div w:id="1840583318">
      <w:bodyDiv w:val="1"/>
      <w:marLeft w:val="0"/>
      <w:marRight w:val="0"/>
      <w:marTop w:val="0"/>
      <w:marBottom w:val="0"/>
      <w:divBdr>
        <w:top w:val="none" w:sz="0" w:space="0" w:color="auto"/>
        <w:left w:val="none" w:sz="0" w:space="0" w:color="auto"/>
        <w:bottom w:val="none" w:sz="0" w:space="0" w:color="auto"/>
        <w:right w:val="none" w:sz="0" w:space="0" w:color="auto"/>
      </w:divBdr>
    </w:div>
    <w:div w:id="198076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8" Type="http://schemas.openxmlformats.org/officeDocument/2006/relationships/hyperlink" Target="http://www.diputados.gob.mx/LeyesBiblio/compila/inconst/357_CPCM_05feb17.doc" TargetMode="External"/><Relationship Id="rId13" Type="http://schemas.openxmlformats.org/officeDocument/2006/relationships/hyperlink" Target="https://www.proceso.com.mx/572198/amlo-notifica-a-su-gabinete-no-transfieran-ningun-recurso-a-ong-o-sindicatos" TargetMode="External"/><Relationship Id="rId18" Type="http://schemas.openxmlformats.org/officeDocument/2006/relationships/hyperlink" Target="https://www.gob.mx/cms/uploads/attachment/file/423227/Programa-Nacional-de-los-Pueblos-Indigenas-2018-2024.pdf" TargetMode="External"/><Relationship Id="rId3" Type="http://schemas.openxmlformats.org/officeDocument/2006/relationships/hyperlink" Target="https://amnistia.org.mx/juntashastalavida/" TargetMode="External"/><Relationship Id="rId7" Type="http://schemas.openxmlformats.org/officeDocument/2006/relationships/hyperlink" Target="http://derechoshumanos.org.mx/resumen-del-caso-lesvy-berlin-rivera-osorio" TargetMode="External"/><Relationship Id="rId12" Type="http://schemas.openxmlformats.org/officeDocument/2006/relationships/hyperlink" Target="http://hchr.org.mx/images/doc_pub/190725-Diagnostico-Mecanismo-FINAL.pdf" TargetMode="External"/><Relationship Id="rId17" Type="http://schemas.openxmlformats.org/officeDocument/2006/relationships/hyperlink" Target="http://derechoshumanos.org.mx/iniciativas-legales-ciudadanas" TargetMode="External"/><Relationship Id="rId2" Type="http://schemas.openxmlformats.org/officeDocument/2006/relationships/hyperlink" Target="http://www.oas.org/es/cidh/informes/pdfs/Mexico2016-es.pdf" TargetMode="External"/><Relationship Id="rId16" Type="http://schemas.openxmlformats.org/officeDocument/2006/relationships/hyperlink" Target="https://www.animalpolitico.com/2019/08/sep-cartilla-moral-libros-texto/" TargetMode="External"/><Relationship Id="rId1" Type="http://schemas.openxmlformats.org/officeDocument/2006/relationships/hyperlink" Target="https://lasillarota.com/abusa-mexico-de-la-prision-preventiva-relator-de-la-onu/76790" TargetMode="External"/><Relationship Id="rId6" Type="http://schemas.openxmlformats.org/officeDocument/2006/relationships/hyperlink" Target="https://www.scjn.gob.mx/sites/default/files/igualdad/sentencias/documento/2017-08/PENAL%20II%20%28NACIONAL%29.pdf" TargetMode="External"/><Relationship Id="rId11" Type="http://schemas.openxmlformats.org/officeDocument/2006/relationships/hyperlink" Target="http://derechoshumanos.org.mx/aprobacion-de-ley-garrote-en-tabasco-criminaliza-el-derecho-a-la-protesta-frente-por-la-libertad-de-expresion-y-la-protesta-social" TargetMode="External"/><Relationship Id="rId5" Type="http://schemas.openxmlformats.org/officeDocument/2006/relationships/hyperlink" Target="https://www.animalpolitico.com/2019/08/huerfanos-feminicidio-omisiones-registro/" TargetMode="External"/><Relationship Id="rId15" Type="http://schemas.openxmlformats.org/officeDocument/2006/relationships/hyperlink" Target="https://www.gob.mx/cms/uploads/attachment/file/427152/CartillaMoral_.pdf" TargetMode="External"/><Relationship Id="rId10" Type="http://schemas.openxmlformats.org/officeDocument/2006/relationships/hyperlink" Target="http://derechoshumanos.org.mx/aprobacion-de-ley-garrote-en-tabasco-criminaliza-el-derecho-a-la-protesta-frente-por-la-libertad-de-expresion-y-la-protesta-social" TargetMode="External"/><Relationship Id="rId19" Type="http://schemas.openxmlformats.org/officeDocument/2006/relationships/hyperlink" Target="https://www.animalpolitico.com/2019/04/organizaciones-acusan-simulacion-consulta-tren-maya/" TargetMode="External"/><Relationship Id="rId4" Type="http://schemas.openxmlformats.org/officeDocument/2006/relationships/hyperlink" Target="https://www.excelsior.com.mx/nacional/mexico-social-asesinadas-por-ser-ninas/1298587" TargetMode="External"/><Relationship Id="rId9" Type="http://schemas.openxmlformats.org/officeDocument/2006/relationships/hyperlink" Target="http://libertadyprotesta.org/wp-content/uploads/2018/12/el_sexenio_de_la_resistencia_sexenio_2012-2018_fleps.pdf" TargetMode="External"/><Relationship Id="rId14" Type="http://schemas.openxmlformats.org/officeDocument/2006/relationships/hyperlink" Target="http://sil.gobernacion.gob.mx/Archivos/Documentos/2018/04/asun_3696678_20180412_152356918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2CB87-2725-8143-B55B-6AE480D277C6}">
  <ds:schemaRefs>
    <ds:schemaRef ds:uri="http://schemas.openxmlformats.org/officeDocument/2006/bibliography"/>
  </ds:schemaRefs>
</ds:datastoreItem>
</file>

<file path=customXml/itemProps2.xml><?xml version="1.0" encoding="utf-8"?>
<ds:datastoreItem xmlns:ds="http://schemas.openxmlformats.org/officeDocument/2006/customXml" ds:itemID="{8EA30F43-E880-4AAD-9836-B365C4F8592A}"/>
</file>

<file path=customXml/itemProps3.xml><?xml version="1.0" encoding="utf-8"?>
<ds:datastoreItem xmlns:ds="http://schemas.openxmlformats.org/officeDocument/2006/customXml" ds:itemID="{39FA42D9-098B-4BD4-9F0D-25E77A1DDCBC}"/>
</file>

<file path=customXml/itemProps4.xml><?xml version="1.0" encoding="utf-8"?>
<ds:datastoreItem xmlns:ds="http://schemas.openxmlformats.org/officeDocument/2006/customXml" ds:itemID="{662A0671-E556-4839-996B-7881F51B899E}"/>
</file>

<file path=docProps/app.xml><?xml version="1.0" encoding="utf-8"?>
<Properties xmlns="http://schemas.openxmlformats.org/officeDocument/2006/extended-properties" xmlns:vt="http://schemas.openxmlformats.org/officeDocument/2006/docPropsVTypes">
  <Template>Normal.dotm</Template>
  <TotalTime>13</TotalTime>
  <Pages>12</Pages>
  <Words>3888</Words>
  <Characters>22162</Characters>
  <Application>Microsoft Office Word</Application>
  <DocSecurity>0</DocSecurity>
  <Lines>184</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Laurence Blattmer</cp:lastModifiedBy>
  <cp:revision>7</cp:revision>
  <dcterms:created xsi:type="dcterms:W3CDTF">2019-09-16T17:24:00Z</dcterms:created>
  <dcterms:modified xsi:type="dcterms:W3CDTF">2019-09-16T20:15:00Z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