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147B" w14:textId="466E74EC" w:rsidR="00972E29" w:rsidRPr="00403F50" w:rsidRDefault="00626B70" w:rsidP="00FF21F2">
      <w:pPr>
        <w:jc w:val="both"/>
        <w:rPr>
          <w:rFonts w:ascii="Open Sans" w:hAnsi="Open Sans" w:cs="Open Sans"/>
          <w:b/>
          <w:sz w:val="18"/>
          <w:szCs w:val="18"/>
          <w:u w:val="single"/>
        </w:rPr>
      </w:pPr>
      <w:r w:rsidRPr="00403F50">
        <w:rPr>
          <w:rFonts w:ascii="Open Sans" w:hAnsi="Open Sans" w:cs="Open Sans"/>
          <w:noProof/>
          <w:color w:val="7F7F7F"/>
          <w:spacing w:val="-1"/>
          <w:sz w:val="18"/>
          <w:szCs w:val="18"/>
          <w:lang w:eastAsia="en-GB" w:bidi="bn-IN"/>
        </w:rPr>
        <w:drawing>
          <wp:anchor distT="0" distB="0" distL="114300" distR="114300" simplePos="0" relativeHeight="251659264" behindDoc="1" locked="0" layoutInCell="1" allowOverlap="1" wp14:anchorId="46CE6CE7" wp14:editId="1688616C">
            <wp:simplePos x="0" y="0"/>
            <wp:positionH relativeFrom="margin">
              <wp:align>left</wp:align>
            </wp:positionH>
            <wp:positionV relativeFrom="paragraph">
              <wp:posOffset>-259080</wp:posOffset>
            </wp:positionV>
            <wp:extent cx="2470150" cy="5973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597364"/>
                    </a:xfrm>
                    <a:prstGeom prst="rect">
                      <a:avLst/>
                    </a:prstGeom>
                    <a:noFill/>
                    <a:ln>
                      <a:noFill/>
                    </a:ln>
                  </pic:spPr>
                </pic:pic>
              </a:graphicData>
            </a:graphic>
            <wp14:sizeRelH relativeFrom="page">
              <wp14:pctWidth>0</wp14:pctWidth>
            </wp14:sizeRelH>
            <wp14:sizeRelV relativeFrom="page">
              <wp14:pctHeight>0</wp14:pctHeight>
            </wp14:sizeRelV>
          </wp:anchor>
        </w:drawing>
      </w:r>
      <w:r w:rsidR="00B50100" w:rsidRPr="00B50100">
        <w:rPr>
          <w:rFonts w:ascii="Open Sans" w:hAnsi="Open Sans" w:cs="Open Sans"/>
          <w:b/>
          <w:noProof/>
          <w:sz w:val="18"/>
          <w:szCs w:val="18"/>
          <w:u w:val="single"/>
          <w:lang w:eastAsia="en-GB" w:bidi="bn-IN"/>
        </w:rPr>
        <w:drawing>
          <wp:anchor distT="0" distB="0" distL="114300" distR="114300" simplePos="0" relativeHeight="251660288" behindDoc="1" locked="0" layoutInCell="1" allowOverlap="1" wp14:anchorId="5C4AEBC9" wp14:editId="47549A84">
            <wp:simplePos x="0" y="0"/>
            <wp:positionH relativeFrom="margin">
              <wp:align>right</wp:align>
            </wp:positionH>
            <wp:positionV relativeFrom="paragraph">
              <wp:posOffset>-522605</wp:posOffset>
            </wp:positionV>
            <wp:extent cx="1809115" cy="1017845"/>
            <wp:effectExtent l="0" t="0" r="635" b="0"/>
            <wp:wrapNone/>
            <wp:docPr id="2" name="Picture 2" descr="H:\HRI Files\Company Data\3. Human Rights and Justice\Death penalty project\Planning\Geneva Intersessional Briefing 2018 - SE\Gevena Platform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RI Files\Company Data\3. Human Rights and Justice\Death penalty project\Planning\Geneva Intersessional Briefing 2018 - SE\Gevena Platform -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101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A7226" w14:textId="629829D5" w:rsidR="00972E29" w:rsidRPr="00403F50" w:rsidRDefault="00972E29" w:rsidP="00FF21F2">
      <w:pPr>
        <w:jc w:val="both"/>
        <w:rPr>
          <w:rFonts w:ascii="Open Sans" w:hAnsi="Open Sans" w:cs="Open Sans"/>
          <w:b/>
          <w:sz w:val="18"/>
          <w:szCs w:val="18"/>
          <w:u w:val="single"/>
        </w:rPr>
      </w:pPr>
    </w:p>
    <w:p w14:paraId="4819EFE0" w14:textId="29372B32" w:rsidR="00972E29" w:rsidRPr="00403F50" w:rsidRDefault="00972E29" w:rsidP="00FF21F2">
      <w:pPr>
        <w:jc w:val="both"/>
        <w:rPr>
          <w:rFonts w:ascii="Open Sans" w:hAnsi="Open Sans" w:cs="Open Sans"/>
          <w:b/>
          <w:sz w:val="18"/>
          <w:szCs w:val="18"/>
          <w:u w:val="single"/>
        </w:rPr>
      </w:pPr>
    </w:p>
    <w:p w14:paraId="26143693" w14:textId="0308D924" w:rsidR="00972E29" w:rsidRPr="00403F50" w:rsidRDefault="00972E29" w:rsidP="00FF21F2">
      <w:pPr>
        <w:jc w:val="both"/>
        <w:rPr>
          <w:rFonts w:ascii="Open Sans" w:hAnsi="Open Sans" w:cs="Open Sans"/>
          <w:b/>
          <w:sz w:val="18"/>
          <w:szCs w:val="18"/>
          <w:u w:val="single"/>
        </w:rPr>
      </w:pPr>
    </w:p>
    <w:p w14:paraId="707E62D7" w14:textId="313D33AC" w:rsidR="00972E29" w:rsidRDefault="00972E29" w:rsidP="00FF21F2">
      <w:pPr>
        <w:jc w:val="both"/>
        <w:rPr>
          <w:rFonts w:ascii="Open Sans" w:hAnsi="Open Sans" w:cs="Open Sans"/>
          <w:b/>
          <w:sz w:val="18"/>
          <w:szCs w:val="18"/>
          <w:u w:val="single"/>
        </w:rPr>
      </w:pPr>
    </w:p>
    <w:p w14:paraId="13F41FD5" w14:textId="77777777" w:rsidR="00403F50" w:rsidRPr="00403F50" w:rsidRDefault="00403F50" w:rsidP="00FF21F2">
      <w:pPr>
        <w:jc w:val="both"/>
        <w:rPr>
          <w:rFonts w:ascii="Open Sans" w:hAnsi="Open Sans" w:cs="Open Sans"/>
          <w:b/>
          <w:sz w:val="18"/>
          <w:szCs w:val="18"/>
          <w:u w:val="single"/>
        </w:rPr>
      </w:pPr>
    </w:p>
    <w:p w14:paraId="03E64A8A" w14:textId="77777777" w:rsidR="00711003" w:rsidRPr="00403F50" w:rsidRDefault="00711003" w:rsidP="00FF21F2">
      <w:pPr>
        <w:jc w:val="both"/>
        <w:rPr>
          <w:rFonts w:ascii="Open Sans" w:hAnsi="Open Sans" w:cs="Open Sans"/>
          <w:b/>
          <w:sz w:val="18"/>
          <w:szCs w:val="18"/>
          <w:u w:val="single"/>
        </w:rPr>
      </w:pPr>
      <w:bookmarkStart w:id="0" w:name="_GoBack"/>
      <w:bookmarkEnd w:id="0"/>
    </w:p>
    <w:p w14:paraId="35224916" w14:textId="77777777" w:rsidR="00711003" w:rsidRPr="00403F50" w:rsidRDefault="00711003" w:rsidP="00FF21F2">
      <w:pPr>
        <w:jc w:val="both"/>
        <w:rPr>
          <w:rFonts w:ascii="Open Sans" w:hAnsi="Open Sans" w:cs="Open Sans"/>
          <w:b/>
          <w:sz w:val="18"/>
          <w:szCs w:val="18"/>
          <w:u w:val="single"/>
        </w:rPr>
      </w:pPr>
    </w:p>
    <w:p w14:paraId="3BA2D036" w14:textId="77777777" w:rsidR="00972E29" w:rsidRPr="00403F50" w:rsidRDefault="00972E29" w:rsidP="00FF21F2">
      <w:pPr>
        <w:jc w:val="both"/>
        <w:rPr>
          <w:rFonts w:ascii="Open Sans" w:hAnsi="Open Sans" w:cs="Open Sans"/>
          <w:b/>
          <w:sz w:val="26"/>
          <w:szCs w:val="26"/>
          <w:u w:val="single"/>
        </w:rPr>
      </w:pPr>
    </w:p>
    <w:p w14:paraId="09BF82D4" w14:textId="53C7F202" w:rsidR="006868F7" w:rsidRPr="00403F50" w:rsidRDefault="006A2926" w:rsidP="007D054B">
      <w:pPr>
        <w:jc w:val="center"/>
        <w:rPr>
          <w:rFonts w:ascii="Open Sans" w:hAnsi="Open Sans" w:cs="Open Sans"/>
          <w:b/>
          <w:sz w:val="26"/>
          <w:szCs w:val="26"/>
          <w:u w:val="single"/>
        </w:rPr>
      </w:pPr>
      <w:r w:rsidRPr="00403F50">
        <w:rPr>
          <w:rFonts w:ascii="Open Sans" w:hAnsi="Open Sans" w:cs="Open Sans"/>
          <w:b/>
          <w:sz w:val="26"/>
          <w:szCs w:val="26"/>
          <w:u w:val="single"/>
        </w:rPr>
        <w:t xml:space="preserve">Submission to the Committee on Economic, Social and Cultural Rights </w:t>
      </w:r>
      <w:r w:rsidR="007F6240" w:rsidRPr="00403F50">
        <w:rPr>
          <w:rFonts w:ascii="Open Sans" w:hAnsi="Open Sans" w:cs="Open Sans"/>
          <w:b/>
          <w:sz w:val="26"/>
          <w:szCs w:val="26"/>
          <w:u w:val="single"/>
        </w:rPr>
        <w:t>- 66</w:t>
      </w:r>
      <w:r w:rsidR="007F6240" w:rsidRPr="00403F50">
        <w:rPr>
          <w:rFonts w:ascii="Open Sans" w:hAnsi="Open Sans" w:cs="Open Sans"/>
          <w:b/>
          <w:sz w:val="26"/>
          <w:szCs w:val="26"/>
          <w:u w:val="single"/>
          <w:vertAlign w:val="superscript"/>
        </w:rPr>
        <w:t>th</w:t>
      </w:r>
      <w:r w:rsidR="007F6240" w:rsidRPr="00403F50">
        <w:rPr>
          <w:rFonts w:ascii="Open Sans" w:hAnsi="Open Sans" w:cs="Open Sans"/>
          <w:b/>
          <w:sz w:val="26"/>
          <w:szCs w:val="26"/>
          <w:u w:val="single"/>
        </w:rPr>
        <w:t xml:space="preserve"> Session</w:t>
      </w:r>
    </w:p>
    <w:p w14:paraId="7536D64B" w14:textId="456FA5B9" w:rsidR="007F6240" w:rsidRPr="006006D7" w:rsidRDefault="007F6240" w:rsidP="007D054B">
      <w:pPr>
        <w:jc w:val="center"/>
        <w:rPr>
          <w:rFonts w:ascii="Open Sans" w:hAnsi="Open Sans" w:cs="Open Sans"/>
          <w:b/>
          <w:sz w:val="26"/>
          <w:szCs w:val="26"/>
        </w:rPr>
      </w:pPr>
      <w:r w:rsidRPr="006006D7">
        <w:rPr>
          <w:rFonts w:ascii="Open Sans" w:hAnsi="Open Sans" w:cs="Open Sans"/>
          <w:b/>
          <w:sz w:val="26"/>
          <w:szCs w:val="26"/>
        </w:rPr>
        <w:t>(30 September – 18 October)</w:t>
      </w:r>
    </w:p>
    <w:p w14:paraId="130AB8CA" w14:textId="77777777" w:rsidR="006868F7" w:rsidRPr="00403F50" w:rsidRDefault="006868F7" w:rsidP="007D054B">
      <w:pPr>
        <w:jc w:val="center"/>
        <w:rPr>
          <w:rFonts w:ascii="Open Sans" w:hAnsi="Open Sans" w:cs="Open Sans"/>
          <w:sz w:val="28"/>
          <w:szCs w:val="28"/>
        </w:rPr>
      </w:pPr>
    </w:p>
    <w:p w14:paraId="6B0EF027" w14:textId="77777777" w:rsidR="00972E29" w:rsidRPr="00403F50" w:rsidRDefault="00972E29" w:rsidP="007D054B">
      <w:pPr>
        <w:jc w:val="center"/>
        <w:rPr>
          <w:rFonts w:ascii="Open Sans" w:hAnsi="Open Sans" w:cs="Open Sans"/>
          <w:sz w:val="28"/>
          <w:szCs w:val="28"/>
        </w:rPr>
      </w:pPr>
    </w:p>
    <w:p w14:paraId="51B3B381" w14:textId="77777777" w:rsidR="00972E29" w:rsidRPr="00403F50" w:rsidRDefault="00972E29" w:rsidP="007D054B">
      <w:pPr>
        <w:jc w:val="center"/>
        <w:rPr>
          <w:rFonts w:ascii="Open Sans" w:hAnsi="Open Sans" w:cs="Open Sans"/>
          <w:sz w:val="28"/>
          <w:szCs w:val="28"/>
        </w:rPr>
      </w:pPr>
    </w:p>
    <w:p w14:paraId="37200A3F" w14:textId="77777777" w:rsidR="00972E29" w:rsidRPr="00403F50" w:rsidRDefault="00972E29" w:rsidP="007D054B">
      <w:pPr>
        <w:jc w:val="center"/>
        <w:rPr>
          <w:rFonts w:ascii="Open Sans" w:hAnsi="Open Sans" w:cs="Open Sans"/>
          <w:sz w:val="28"/>
          <w:szCs w:val="28"/>
        </w:rPr>
      </w:pPr>
    </w:p>
    <w:p w14:paraId="1D5FD296" w14:textId="2768659D" w:rsidR="00354F01" w:rsidRPr="00403F50" w:rsidRDefault="00972E29" w:rsidP="007D054B">
      <w:pPr>
        <w:jc w:val="center"/>
        <w:rPr>
          <w:rFonts w:ascii="Open Sans" w:hAnsi="Open Sans" w:cs="Open Sans"/>
          <w:b/>
          <w:sz w:val="28"/>
          <w:szCs w:val="28"/>
        </w:rPr>
      </w:pPr>
      <w:r w:rsidRPr="00403F50">
        <w:rPr>
          <w:rFonts w:ascii="Open Sans" w:hAnsi="Open Sans" w:cs="Open Sans"/>
          <w:b/>
          <w:sz w:val="28"/>
          <w:szCs w:val="28"/>
        </w:rPr>
        <w:t>SWITZERLAND</w:t>
      </w:r>
    </w:p>
    <w:p w14:paraId="14BB3100" w14:textId="7B13E9D1" w:rsidR="00AC2D66" w:rsidRPr="00403F50" w:rsidRDefault="00AC2D66" w:rsidP="00AC2D66">
      <w:pPr>
        <w:jc w:val="center"/>
        <w:rPr>
          <w:rFonts w:ascii="Open Sans" w:hAnsi="Open Sans" w:cs="Open Sans"/>
          <w:b/>
          <w:sz w:val="18"/>
          <w:szCs w:val="18"/>
        </w:rPr>
      </w:pPr>
    </w:p>
    <w:p w14:paraId="45FDF4A8" w14:textId="77777777" w:rsidR="00AC2D66" w:rsidRPr="00403F50" w:rsidRDefault="00AC2D66" w:rsidP="00AC2D66">
      <w:pPr>
        <w:jc w:val="center"/>
        <w:rPr>
          <w:rFonts w:ascii="Open Sans" w:hAnsi="Open Sans" w:cs="Open Sans"/>
          <w:b/>
          <w:sz w:val="18"/>
          <w:szCs w:val="18"/>
        </w:rPr>
      </w:pPr>
    </w:p>
    <w:p w14:paraId="3A9FA314" w14:textId="77777777" w:rsidR="00AC2D66" w:rsidRPr="00403F50" w:rsidRDefault="00AC2D66" w:rsidP="00AC2D66">
      <w:pPr>
        <w:jc w:val="center"/>
        <w:rPr>
          <w:rFonts w:ascii="Open Sans" w:hAnsi="Open Sans" w:cs="Open Sans"/>
          <w:b/>
          <w:sz w:val="18"/>
          <w:szCs w:val="18"/>
        </w:rPr>
      </w:pPr>
    </w:p>
    <w:p w14:paraId="19400C23" w14:textId="77777777" w:rsidR="00AC2D66" w:rsidRPr="00403F50" w:rsidRDefault="00AC2D66" w:rsidP="00AC2D66">
      <w:pPr>
        <w:jc w:val="center"/>
        <w:rPr>
          <w:rFonts w:ascii="Open Sans" w:hAnsi="Open Sans" w:cs="Open Sans"/>
          <w:b/>
          <w:sz w:val="18"/>
          <w:szCs w:val="18"/>
        </w:rPr>
      </w:pPr>
    </w:p>
    <w:p w14:paraId="491E5456" w14:textId="77777777" w:rsidR="00AC2D66" w:rsidRPr="00403F50" w:rsidRDefault="00AC2D66" w:rsidP="00AC2D66">
      <w:pPr>
        <w:jc w:val="center"/>
        <w:rPr>
          <w:rFonts w:ascii="Open Sans" w:hAnsi="Open Sans" w:cs="Open Sans"/>
          <w:b/>
          <w:sz w:val="18"/>
          <w:szCs w:val="18"/>
        </w:rPr>
      </w:pPr>
    </w:p>
    <w:p w14:paraId="2B9634DF" w14:textId="77777777" w:rsidR="00AC2D66" w:rsidRPr="00403F50" w:rsidRDefault="00AC2D66" w:rsidP="00AC2D66">
      <w:pPr>
        <w:jc w:val="center"/>
        <w:rPr>
          <w:rFonts w:ascii="Open Sans" w:hAnsi="Open Sans" w:cs="Open Sans"/>
          <w:b/>
          <w:sz w:val="18"/>
          <w:szCs w:val="18"/>
        </w:rPr>
      </w:pPr>
    </w:p>
    <w:p w14:paraId="001E76A0" w14:textId="4379C07A" w:rsidR="006868F7" w:rsidRPr="00403F50" w:rsidRDefault="00FF15EB" w:rsidP="007D054B">
      <w:pPr>
        <w:jc w:val="center"/>
        <w:rPr>
          <w:rFonts w:ascii="Open Sans" w:hAnsi="Open Sans" w:cs="Open Sans"/>
          <w:sz w:val="20"/>
          <w:szCs w:val="20"/>
        </w:rPr>
      </w:pPr>
      <w:r w:rsidRPr="00FF15EB">
        <w:rPr>
          <w:rFonts w:ascii="Open Sans" w:hAnsi="Open Sans" w:cs="Open Sans"/>
          <w:sz w:val="20"/>
          <w:szCs w:val="20"/>
        </w:rPr>
        <w:t>06</w:t>
      </w:r>
      <w:r w:rsidRPr="00403F50">
        <w:rPr>
          <w:rFonts w:ascii="Open Sans" w:hAnsi="Open Sans" w:cs="Open Sans"/>
          <w:sz w:val="20"/>
          <w:szCs w:val="20"/>
        </w:rPr>
        <w:t xml:space="preserve"> </w:t>
      </w:r>
      <w:r w:rsidR="006868F7" w:rsidRPr="00403F50">
        <w:rPr>
          <w:rFonts w:ascii="Open Sans" w:hAnsi="Open Sans" w:cs="Open Sans"/>
          <w:sz w:val="20"/>
          <w:szCs w:val="20"/>
        </w:rPr>
        <w:t>September 2019</w:t>
      </w:r>
    </w:p>
    <w:p w14:paraId="4B3FCF06" w14:textId="77777777" w:rsidR="007F6240" w:rsidRPr="00403F50" w:rsidRDefault="007F6240" w:rsidP="00FF21F2">
      <w:pPr>
        <w:jc w:val="both"/>
        <w:rPr>
          <w:rFonts w:ascii="Open Sans" w:hAnsi="Open Sans" w:cs="Open Sans"/>
          <w:sz w:val="20"/>
          <w:szCs w:val="20"/>
        </w:rPr>
      </w:pPr>
    </w:p>
    <w:p w14:paraId="6886CAF2" w14:textId="77777777" w:rsidR="00972E29" w:rsidRPr="00403F50" w:rsidRDefault="00972E29" w:rsidP="00FF21F2">
      <w:pPr>
        <w:jc w:val="both"/>
        <w:rPr>
          <w:rFonts w:ascii="Open Sans" w:hAnsi="Open Sans" w:cs="Open Sans"/>
          <w:sz w:val="20"/>
          <w:szCs w:val="20"/>
        </w:rPr>
      </w:pPr>
    </w:p>
    <w:p w14:paraId="16249808" w14:textId="77777777" w:rsidR="00972E29" w:rsidRPr="00403F50" w:rsidRDefault="00972E29" w:rsidP="00FF21F2">
      <w:pPr>
        <w:jc w:val="both"/>
        <w:rPr>
          <w:rFonts w:ascii="Open Sans" w:hAnsi="Open Sans" w:cs="Open Sans"/>
          <w:sz w:val="20"/>
          <w:szCs w:val="20"/>
        </w:rPr>
      </w:pPr>
    </w:p>
    <w:p w14:paraId="14E936E3" w14:textId="77777777" w:rsidR="00972E29" w:rsidRPr="00403F50" w:rsidRDefault="00972E29" w:rsidP="00FF21F2">
      <w:pPr>
        <w:jc w:val="both"/>
        <w:rPr>
          <w:rFonts w:ascii="Open Sans" w:hAnsi="Open Sans" w:cs="Open Sans"/>
          <w:sz w:val="20"/>
          <w:szCs w:val="20"/>
        </w:rPr>
      </w:pPr>
    </w:p>
    <w:p w14:paraId="6EB88423" w14:textId="77777777" w:rsidR="00972E29" w:rsidRPr="00403F50" w:rsidRDefault="00972E29" w:rsidP="00FF21F2">
      <w:pPr>
        <w:jc w:val="both"/>
        <w:rPr>
          <w:rFonts w:ascii="Open Sans" w:hAnsi="Open Sans" w:cs="Open Sans"/>
          <w:sz w:val="20"/>
          <w:szCs w:val="20"/>
        </w:rPr>
      </w:pPr>
    </w:p>
    <w:p w14:paraId="6DB49CDF" w14:textId="77777777" w:rsidR="00C3732C" w:rsidRPr="00403F50" w:rsidRDefault="00C3732C" w:rsidP="00C3732C">
      <w:pPr>
        <w:jc w:val="both"/>
        <w:rPr>
          <w:rFonts w:ascii="Open Sans" w:hAnsi="Open Sans" w:cs="Open Sans"/>
          <w:i/>
          <w:sz w:val="20"/>
          <w:szCs w:val="20"/>
        </w:rPr>
      </w:pPr>
      <w:r w:rsidRPr="00403F50">
        <w:rPr>
          <w:rFonts w:ascii="Open Sans" w:hAnsi="Open Sans" w:cs="Open Sans"/>
          <w:i/>
          <w:sz w:val="20"/>
          <w:szCs w:val="20"/>
        </w:rPr>
        <w:t>Reporting organisations</w:t>
      </w:r>
    </w:p>
    <w:p w14:paraId="44F30947" w14:textId="77777777" w:rsidR="00C3732C" w:rsidRPr="00403F50" w:rsidRDefault="00C3732C" w:rsidP="00C3732C">
      <w:pPr>
        <w:jc w:val="both"/>
        <w:rPr>
          <w:rFonts w:ascii="Open Sans" w:hAnsi="Open Sans" w:cs="Open Sans"/>
          <w:sz w:val="20"/>
          <w:szCs w:val="20"/>
        </w:rPr>
      </w:pPr>
    </w:p>
    <w:p w14:paraId="3AB7C2C8" w14:textId="77777777" w:rsidR="00C3732C" w:rsidRPr="00403F50" w:rsidRDefault="00C3732C" w:rsidP="00C3732C">
      <w:pPr>
        <w:jc w:val="both"/>
        <w:rPr>
          <w:rFonts w:ascii="Open Sans" w:hAnsi="Open Sans" w:cs="Open Sans"/>
          <w:sz w:val="20"/>
          <w:szCs w:val="20"/>
        </w:rPr>
      </w:pPr>
      <w:r w:rsidRPr="00403F50">
        <w:rPr>
          <w:rFonts w:ascii="Open Sans" w:hAnsi="Open Sans" w:cs="Open Sans"/>
          <w:b/>
          <w:sz w:val="20"/>
          <w:szCs w:val="20"/>
        </w:rPr>
        <w:t>Harm Reduction International (HRI)</w:t>
      </w:r>
      <w:r w:rsidRPr="00403F50">
        <w:rPr>
          <w:rFonts w:ascii="Open Sans" w:hAnsi="Open Sans" w:cs="Open Sans"/>
          <w:sz w:val="20"/>
          <w:szCs w:val="20"/>
        </w:rPr>
        <w:t xml:space="preserve"> </w:t>
      </w:r>
      <w:r w:rsidRPr="00403F50">
        <w:rPr>
          <w:rFonts w:ascii="Open Sans" w:hAnsi="Open Sans" w:cs="Open Sans"/>
          <w:color w:val="222222"/>
          <w:sz w:val="20"/>
          <w:szCs w:val="20"/>
          <w:shd w:val="clear" w:color="auto" w:fill="FFFFFF"/>
        </w:rPr>
        <w:t>is a leading NGO dedicated to reducing the negative health, social and legal impacts of drug use and drug policy. We promote the rights of people who use drugs and their communities through research and advocacy to help achieve a world where drug policies and laws contribute to healthier, safer societies.</w:t>
      </w:r>
    </w:p>
    <w:p w14:paraId="36B85244" w14:textId="77777777" w:rsidR="00C3732C" w:rsidRPr="00403F50" w:rsidRDefault="00C3732C" w:rsidP="00C3732C">
      <w:pPr>
        <w:pStyle w:val="ListParagraph"/>
        <w:jc w:val="both"/>
        <w:rPr>
          <w:rFonts w:ascii="Open Sans" w:hAnsi="Open Sans" w:cs="Open Sans"/>
          <w:sz w:val="20"/>
          <w:szCs w:val="20"/>
        </w:rPr>
      </w:pPr>
    </w:p>
    <w:p w14:paraId="37B21253" w14:textId="74727087" w:rsidR="00972E29" w:rsidRPr="00B50100" w:rsidRDefault="00B50100" w:rsidP="00FF21F2">
      <w:pPr>
        <w:jc w:val="both"/>
        <w:rPr>
          <w:rFonts w:ascii="Open Sans" w:hAnsi="Open Sans" w:cs="Open Sans"/>
          <w:b/>
          <w:bCs/>
          <w:sz w:val="20"/>
          <w:szCs w:val="20"/>
        </w:rPr>
      </w:pPr>
      <w:r>
        <w:rPr>
          <w:rFonts w:ascii="Open Sans" w:hAnsi="Open Sans" w:cs="Open Sans"/>
          <w:sz w:val="20"/>
          <w:szCs w:val="20"/>
        </w:rPr>
        <w:t xml:space="preserve">The </w:t>
      </w:r>
      <w:r>
        <w:rPr>
          <w:rFonts w:ascii="Open Sans" w:hAnsi="Open Sans" w:cs="Open Sans"/>
          <w:b/>
          <w:bCs/>
          <w:sz w:val="20"/>
          <w:szCs w:val="20"/>
        </w:rPr>
        <w:t xml:space="preserve">Geneva Platform on Human Rights, Health and Psychoactive Substances </w:t>
      </w:r>
      <w:r>
        <w:rPr>
          <w:rFonts w:ascii="Open Sans" w:hAnsi="Open Sans" w:cs="Open Sans"/>
          <w:sz w:val="20"/>
          <w:szCs w:val="20"/>
        </w:rPr>
        <w:t>(</w:t>
      </w:r>
      <w:r>
        <w:rPr>
          <w:rFonts w:ascii="Open Sans" w:hAnsi="Open Sans" w:cs="Open Sans"/>
          <w:b/>
          <w:bCs/>
          <w:sz w:val="20"/>
          <w:szCs w:val="20"/>
        </w:rPr>
        <w:t xml:space="preserve">Geneva Platform) </w:t>
      </w:r>
      <w:r w:rsidRPr="00B50100">
        <w:rPr>
          <w:rFonts w:ascii="Open Sans" w:hAnsi="Open Sans" w:cs="Open Sans"/>
          <w:color w:val="000000"/>
          <w:sz w:val="20"/>
          <w:szCs w:val="20"/>
          <w:shd w:val="clear" w:color="auto" w:fill="FFFFFF"/>
        </w:rPr>
        <w:t>is an initiative to bring together civil society organisations – NGOs, academia and networks representing affected communities – operating in the field of health, human rights and drug policy to share information between relevant actors and ensure the promotion of health and human rights in all drug-related questions addressed in Geneva.</w:t>
      </w:r>
    </w:p>
    <w:p w14:paraId="4575CB4D" w14:textId="77777777" w:rsidR="00972E29" w:rsidRPr="00403F50" w:rsidRDefault="00972E29" w:rsidP="00FF21F2">
      <w:pPr>
        <w:jc w:val="both"/>
        <w:rPr>
          <w:rFonts w:ascii="Open Sans" w:hAnsi="Open Sans" w:cs="Open Sans"/>
          <w:sz w:val="20"/>
          <w:szCs w:val="20"/>
        </w:rPr>
      </w:pPr>
    </w:p>
    <w:p w14:paraId="530517F2" w14:textId="77777777" w:rsidR="00972E29" w:rsidRPr="00403F50" w:rsidRDefault="00972E29" w:rsidP="00FF21F2">
      <w:pPr>
        <w:jc w:val="both"/>
        <w:rPr>
          <w:rFonts w:ascii="Open Sans" w:hAnsi="Open Sans" w:cs="Open Sans"/>
          <w:sz w:val="20"/>
          <w:szCs w:val="20"/>
        </w:rPr>
      </w:pPr>
    </w:p>
    <w:p w14:paraId="057489FE" w14:textId="77777777" w:rsidR="00972E29" w:rsidRPr="00403F50" w:rsidRDefault="00972E29" w:rsidP="00FF21F2">
      <w:pPr>
        <w:jc w:val="both"/>
        <w:rPr>
          <w:rFonts w:ascii="Open Sans" w:hAnsi="Open Sans" w:cs="Open Sans"/>
          <w:sz w:val="18"/>
          <w:szCs w:val="18"/>
        </w:rPr>
      </w:pPr>
    </w:p>
    <w:p w14:paraId="62DE780A" w14:textId="77777777" w:rsidR="00972E29" w:rsidRPr="00403F50" w:rsidRDefault="00972E29" w:rsidP="00FF21F2">
      <w:pPr>
        <w:jc w:val="both"/>
        <w:rPr>
          <w:rFonts w:ascii="Open Sans" w:hAnsi="Open Sans" w:cs="Open Sans"/>
          <w:sz w:val="18"/>
          <w:szCs w:val="18"/>
        </w:rPr>
      </w:pPr>
    </w:p>
    <w:p w14:paraId="0BAFFC44" w14:textId="77777777" w:rsidR="00972E29" w:rsidRPr="00403F50" w:rsidRDefault="00972E29" w:rsidP="00FF21F2">
      <w:pPr>
        <w:jc w:val="both"/>
        <w:rPr>
          <w:rFonts w:ascii="Open Sans" w:hAnsi="Open Sans" w:cs="Open Sans"/>
          <w:sz w:val="18"/>
          <w:szCs w:val="18"/>
        </w:rPr>
      </w:pPr>
    </w:p>
    <w:p w14:paraId="796D6E01" w14:textId="77777777" w:rsidR="00972E29" w:rsidRPr="00403F50" w:rsidRDefault="00972E29" w:rsidP="00FF21F2">
      <w:pPr>
        <w:jc w:val="both"/>
        <w:rPr>
          <w:rFonts w:ascii="Open Sans" w:hAnsi="Open Sans" w:cs="Open Sans"/>
          <w:sz w:val="18"/>
          <w:szCs w:val="18"/>
        </w:rPr>
      </w:pPr>
    </w:p>
    <w:p w14:paraId="76220A21" w14:textId="77777777" w:rsidR="00972E29" w:rsidRPr="00403F50" w:rsidRDefault="00972E29" w:rsidP="00FF21F2">
      <w:pPr>
        <w:jc w:val="both"/>
        <w:rPr>
          <w:rFonts w:ascii="Open Sans" w:hAnsi="Open Sans" w:cs="Open Sans"/>
          <w:sz w:val="18"/>
          <w:szCs w:val="18"/>
        </w:rPr>
      </w:pPr>
    </w:p>
    <w:p w14:paraId="12EB983D" w14:textId="77777777" w:rsidR="00972E29" w:rsidRPr="00403F50" w:rsidRDefault="00972E29" w:rsidP="00FF21F2">
      <w:pPr>
        <w:jc w:val="both"/>
        <w:rPr>
          <w:rFonts w:ascii="Open Sans" w:hAnsi="Open Sans" w:cs="Open Sans"/>
          <w:sz w:val="18"/>
          <w:szCs w:val="18"/>
        </w:rPr>
      </w:pPr>
    </w:p>
    <w:p w14:paraId="733C2690" w14:textId="6CF2A8CE" w:rsidR="00972E29" w:rsidRDefault="00972E29" w:rsidP="00FF21F2">
      <w:pPr>
        <w:jc w:val="both"/>
        <w:rPr>
          <w:rFonts w:ascii="Open Sans" w:hAnsi="Open Sans" w:cs="Open Sans"/>
          <w:sz w:val="18"/>
          <w:szCs w:val="18"/>
        </w:rPr>
      </w:pPr>
    </w:p>
    <w:p w14:paraId="0BC93B84" w14:textId="53086184" w:rsidR="005D1E53" w:rsidRPr="00403F50" w:rsidRDefault="005D1E53" w:rsidP="00403F50">
      <w:pPr>
        <w:pStyle w:val="Heading1"/>
      </w:pPr>
      <w:r w:rsidRPr="00403F50">
        <w:lastRenderedPageBreak/>
        <w:t>Introduction</w:t>
      </w:r>
    </w:p>
    <w:p w14:paraId="41FCDBF8" w14:textId="77777777" w:rsidR="005D1E53" w:rsidRPr="00403F50" w:rsidRDefault="005D1E53" w:rsidP="00FF21F2">
      <w:pPr>
        <w:jc w:val="both"/>
        <w:rPr>
          <w:rFonts w:ascii="Open Sans" w:hAnsi="Open Sans" w:cs="Open Sans"/>
          <w:sz w:val="18"/>
          <w:szCs w:val="18"/>
        </w:rPr>
      </w:pPr>
    </w:p>
    <w:p w14:paraId="23F88B6D" w14:textId="332BEAF5" w:rsidR="00371309" w:rsidRPr="00403F50" w:rsidRDefault="00A96507" w:rsidP="00FF21F2">
      <w:pPr>
        <w:pStyle w:val="ListParagraph"/>
        <w:numPr>
          <w:ilvl w:val="0"/>
          <w:numId w:val="3"/>
        </w:numPr>
        <w:ind w:left="714" w:hanging="357"/>
        <w:jc w:val="both"/>
        <w:rPr>
          <w:rFonts w:ascii="Open Sans" w:hAnsi="Open Sans" w:cs="Open Sans"/>
          <w:sz w:val="18"/>
          <w:szCs w:val="18"/>
        </w:rPr>
      </w:pPr>
      <w:r w:rsidRPr="00403F50">
        <w:rPr>
          <w:rFonts w:ascii="Open Sans" w:hAnsi="Open Sans" w:cs="Open Sans"/>
          <w:sz w:val="18"/>
          <w:szCs w:val="18"/>
        </w:rPr>
        <w:t>HRI</w:t>
      </w:r>
      <w:r w:rsidR="00371309" w:rsidRPr="00403F50">
        <w:rPr>
          <w:rFonts w:ascii="Open Sans" w:hAnsi="Open Sans" w:cs="Open Sans"/>
          <w:sz w:val="18"/>
          <w:szCs w:val="18"/>
        </w:rPr>
        <w:t xml:space="preserve"> </w:t>
      </w:r>
      <w:r w:rsidR="004B6DE5" w:rsidRPr="00403F50">
        <w:rPr>
          <w:rFonts w:ascii="Open Sans" w:hAnsi="Open Sans" w:cs="Open Sans"/>
          <w:sz w:val="18"/>
          <w:szCs w:val="18"/>
        </w:rPr>
        <w:t xml:space="preserve">and </w:t>
      </w:r>
      <w:r w:rsidR="00B50100">
        <w:rPr>
          <w:rFonts w:ascii="Open Sans" w:hAnsi="Open Sans" w:cs="Open Sans"/>
          <w:sz w:val="18"/>
          <w:szCs w:val="18"/>
        </w:rPr>
        <w:t>the Geneva Platform</w:t>
      </w:r>
      <w:r w:rsidR="004B6DE5" w:rsidRPr="00403F50">
        <w:rPr>
          <w:rFonts w:ascii="Open Sans" w:hAnsi="Open Sans" w:cs="Open Sans"/>
          <w:sz w:val="18"/>
          <w:szCs w:val="18"/>
        </w:rPr>
        <w:t xml:space="preserve"> </w:t>
      </w:r>
      <w:r w:rsidR="00371309" w:rsidRPr="00403F50">
        <w:rPr>
          <w:rFonts w:ascii="Open Sans" w:hAnsi="Open Sans" w:cs="Open Sans"/>
          <w:sz w:val="18"/>
          <w:szCs w:val="18"/>
        </w:rPr>
        <w:t xml:space="preserve">welcome the opportunity to submit information to the Committee on Economic, Social, and Cultural Rights ahead of its review of the periodic report of Switzerland, at its </w:t>
      </w:r>
      <w:r w:rsidR="00B2659C" w:rsidRPr="00403F50">
        <w:rPr>
          <w:rFonts w:ascii="Open Sans" w:hAnsi="Open Sans" w:cs="Open Sans"/>
          <w:sz w:val="18"/>
          <w:szCs w:val="18"/>
        </w:rPr>
        <w:t>66</w:t>
      </w:r>
      <w:r w:rsidR="00371309" w:rsidRPr="00403F50">
        <w:rPr>
          <w:rFonts w:ascii="Open Sans" w:hAnsi="Open Sans" w:cs="Open Sans"/>
          <w:sz w:val="18"/>
          <w:szCs w:val="18"/>
          <w:vertAlign w:val="superscript"/>
        </w:rPr>
        <w:t>th</w:t>
      </w:r>
      <w:r w:rsidR="00371309" w:rsidRPr="00403F50">
        <w:rPr>
          <w:rFonts w:ascii="Open Sans" w:hAnsi="Open Sans" w:cs="Open Sans"/>
          <w:sz w:val="18"/>
          <w:szCs w:val="18"/>
        </w:rPr>
        <w:t xml:space="preserve"> Session.</w:t>
      </w:r>
    </w:p>
    <w:p w14:paraId="72716E43" w14:textId="77777777" w:rsidR="00E200CF" w:rsidRPr="00403F50" w:rsidRDefault="00E200CF" w:rsidP="00FF21F2">
      <w:pPr>
        <w:pStyle w:val="ListParagraph"/>
        <w:spacing w:line="276" w:lineRule="auto"/>
        <w:jc w:val="both"/>
        <w:rPr>
          <w:rFonts w:ascii="Open Sans" w:hAnsi="Open Sans" w:cs="Open Sans"/>
          <w:sz w:val="18"/>
          <w:szCs w:val="18"/>
        </w:rPr>
      </w:pPr>
    </w:p>
    <w:p w14:paraId="75B6370D" w14:textId="29120785" w:rsidR="00371309" w:rsidRPr="00403F50" w:rsidRDefault="00C6403E" w:rsidP="00FF21F2">
      <w:pPr>
        <w:pStyle w:val="ListParagraph"/>
        <w:numPr>
          <w:ilvl w:val="0"/>
          <w:numId w:val="3"/>
        </w:numPr>
        <w:jc w:val="both"/>
        <w:rPr>
          <w:rFonts w:ascii="Open Sans" w:hAnsi="Open Sans" w:cs="Open Sans"/>
          <w:color w:val="000000" w:themeColor="text1"/>
          <w:sz w:val="18"/>
          <w:szCs w:val="18"/>
        </w:rPr>
      </w:pPr>
      <w:r w:rsidRPr="00403F50">
        <w:rPr>
          <w:rFonts w:ascii="Open Sans" w:hAnsi="Open Sans" w:cs="Open Sans"/>
          <w:color w:val="000000" w:themeColor="text1"/>
          <w:sz w:val="18"/>
          <w:szCs w:val="18"/>
        </w:rPr>
        <w:t xml:space="preserve">This submission will </w:t>
      </w:r>
      <w:r w:rsidR="00AA3330" w:rsidRPr="00403F50">
        <w:rPr>
          <w:rFonts w:ascii="Open Sans" w:hAnsi="Open Sans" w:cs="Open Sans"/>
          <w:color w:val="000000" w:themeColor="text1"/>
          <w:sz w:val="18"/>
          <w:szCs w:val="18"/>
        </w:rPr>
        <w:t>address</w:t>
      </w:r>
      <w:r w:rsidRPr="00403F50">
        <w:rPr>
          <w:rFonts w:ascii="Open Sans" w:hAnsi="Open Sans" w:cs="Open Sans"/>
          <w:color w:val="000000" w:themeColor="text1"/>
          <w:sz w:val="18"/>
          <w:szCs w:val="18"/>
        </w:rPr>
        <w:t xml:space="preserve"> the</w:t>
      </w:r>
      <w:r w:rsidR="00371309" w:rsidRPr="00403F50">
        <w:rPr>
          <w:rFonts w:ascii="Open Sans" w:hAnsi="Open Sans" w:cs="Open Sans"/>
          <w:color w:val="000000" w:themeColor="text1"/>
          <w:sz w:val="18"/>
          <w:szCs w:val="18"/>
        </w:rPr>
        <w:t xml:space="preserve"> right to health</w:t>
      </w:r>
      <w:r w:rsidR="00403F50" w:rsidRPr="00403F50">
        <w:rPr>
          <w:rFonts w:ascii="Open Sans" w:hAnsi="Open Sans" w:cs="Open Sans"/>
          <w:color w:val="000000" w:themeColor="text1"/>
          <w:sz w:val="18"/>
          <w:szCs w:val="18"/>
        </w:rPr>
        <w:t xml:space="preserve"> (para. 27, List of issues) with a focus</w:t>
      </w:r>
      <w:r w:rsidR="005C2AEE" w:rsidRPr="00403F50">
        <w:rPr>
          <w:rFonts w:ascii="Open Sans" w:hAnsi="Open Sans" w:cs="Open Sans"/>
          <w:color w:val="000000" w:themeColor="text1"/>
          <w:sz w:val="18"/>
          <w:szCs w:val="18"/>
        </w:rPr>
        <w:t xml:space="preserve"> </w:t>
      </w:r>
      <w:r w:rsidR="00403F50" w:rsidRPr="00403F50">
        <w:rPr>
          <w:rFonts w:ascii="Open Sans" w:hAnsi="Open Sans" w:cs="Open Sans"/>
          <w:color w:val="000000" w:themeColor="text1"/>
          <w:sz w:val="18"/>
          <w:szCs w:val="18"/>
        </w:rPr>
        <w:t>on</w:t>
      </w:r>
      <w:r w:rsidR="009930C2" w:rsidRPr="00403F50">
        <w:rPr>
          <w:rFonts w:ascii="Open Sans" w:hAnsi="Open Sans" w:cs="Open Sans"/>
          <w:color w:val="000000" w:themeColor="text1"/>
          <w:sz w:val="18"/>
          <w:szCs w:val="18"/>
        </w:rPr>
        <w:t xml:space="preserve"> people who use drugs in Switzerland</w:t>
      </w:r>
      <w:r w:rsidR="00371309" w:rsidRPr="00403F50">
        <w:rPr>
          <w:rFonts w:ascii="Open Sans" w:hAnsi="Open Sans" w:cs="Open Sans"/>
          <w:color w:val="000000" w:themeColor="text1"/>
          <w:sz w:val="18"/>
          <w:szCs w:val="18"/>
        </w:rPr>
        <w:t xml:space="preserve">, </w:t>
      </w:r>
      <w:r w:rsidR="00403F50" w:rsidRPr="00403F50">
        <w:rPr>
          <w:rFonts w:ascii="Open Sans" w:hAnsi="Open Sans" w:cs="Open Sans"/>
          <w:color w:val="000000" w:themeColor="text1"/>
          <w:sz w:val="18"/>
          <w:szCs w:val="18"/>
        </w:rPr>
        <w:t xml:space="preserve">providing information </w:t>
      </w:r>
      <w:r w:rsidR="00B65A6F" w:rsidRPr="00403F50">
        <w:rPr>
          <w:rFonts w:ascii="Open Sans" w:hAnsi="Open Sans" w:cs="Open Sans"/>
          <w:color w:val="000000" w:themeColor="text1"/>
          <w:sz w:val="18"/>
          <w:szCs w:val="18"/>
        </w:rPr>
        <w:t>on the</w:t>
      </w:r>
      <w:r w:rsidR="00512B56" w:rsidRPr="00403F50">
        <w:rPr>
          <w:rFonts w:ascii="Open Sans" w:hAnsi="Open Sans" w:cs="Open Sans"/>
          <w:color w:val="000000" w:themeColor="text1"/>
          <w:sz w:val="18"/>
          <w:szCs w:val="18"/>
        </w:rPr>
        <w:t xml:space="preserve"> </w:t>
      </w:r>
      <w:r w:rsidR="00DE6F33" w:rsidRPr="00403F50">
        <w:rPr>
          <w:rFonts w:ascii="Open Sans" w:hAnsi="Open Sans" w:cs="Open Sans"/>
          <w:color w:val="000000" w:themeColor="text1"/>
          <w:sz w:val="18"/>
          <w:szCs w:val="18"/>
        </w:rPr>
        <w:t>availability and accessibility of harm reduction services between regions</w:t>
      </w:r>
      <w:r w:rsidR="00E62610" w:rsidRPr="00403F50">
        <w:rPr>
          <w:rFonts w:ascii="Open Sans" w:hAnsi="Open Sans" w:cs="Open Sans"/>
          <w:color w:val="000000" w:themeColor="text1"/>
          <w:sz w:val="18"/>
          <w:szCs w:val="18"/>
        </w:rPr>
        <w:t xml:space="preserve"> </w:t>
      </w:r>
      <w:r w:rsidR="00DE6F33" w:rsidRPr="00403F50">
        <w:rPr>
          <w:rFonts w:ascii="Open Sans" w:hAnsi="Open Sans" w:cs="Open Sans"/>
          <w:color w:val="000000" w:themeColor="text1"/>
          <w:sz w:val="18"/>
          <w:szCs w:val="18"/>
        </w:rPr>
        <w:t xml:space="preserve">and </w:t>
      </w:r>
      <w:r w:rsidR="00903BFA" w:rsidRPr="00403F50">
        <w:rPr>
          <w:rFonts w:ascii="Open Sans" w:hAnsi="Open Sans" w:cs="Open Sans"/>
          <w:color w:val="000000" w:themeColor="text1"/>
          <w:sz w:val="18"/>
          <w:szCs w:val="18"/>
        </w:rPr>
        <w:t xml:space="preserve">within </w:t>
      </w:r>
      <w:r w:rsidR="00E62610" w:rsidRPr="00403F50">
        <w:rPr>
          <w:rFonts w:ascii="Open Sans" w:hAnsi="Open Sans" w:cs="Open Sans"/>
          <w:color w:val="000000" w:themeColor="text1"/>
          <w:sz w:val="18"/>
          <w:szCs w:val="18"/>
        </w:rPr>
        <w:t>prisons.</w:t>
      </w:r>
      <w:r w:rsidR="00FC4AC6">
        <w:rPr>
          <w:rFonts w:ascii="Open Sans" w:hAnsi="Open Sans" w:cs="Open Sans"/>
          <w:color w:val="000000" w:themeColor="text1"/>
          <w:sz w:val="18"/>
          <w:szCs w:val="18"/>
        </w:rPr>
        <w:t xml:space="preserve"> </w:t>
      </w:r>
    </w:p>
    <w:p w14:paraId="375CEFB6" w14:textId="5FE42E23" w:rsidR="005D1E53" w:rsidRPr="00403F50" w:rsidRDefault="005D1E53" w:rsidP="00403F50">
      <w:pPr>
        <w:pStyle w:val="Heading1"/>
      </w:pPr>
      <w:r w:rsidRPr="00403F50">
        <w:t>H</w:t>
      </w:r>
      <w:r w:rsidR="00C6403E" w:rsidRPr="00403F50">
        <w:t>arm r</w:t>
      </w:r>
      <w:r w:rsidRPr="00403F50">
        <w:t>eduction as a component of the right to health</w:t>
      </w:r>
    </w:p>
    <w:p w14:paraId="0364DE81" w14:textId="77777777" w:rsidR="005D1E53" w:rsidRPr="00403F50" w:rsidRDefault="005D1E53" w:rsidP="00FF21F2">
      <w:pPr>
        <w:jc w:val="both"/>
        <w:rPr>
          <w:rFonts w:ascii="Open Sans" w:hAnsi="Open Sans" w:cs="Open Sans"/>
          <w:sz w:val="18"/>
          <w:szCs w:val="18"/>
        </w:rPr>
      </w:pPr>
    </w:p>
    <w:p w14:paraId="7FAC37BA" w14:textId="40F0F138" w:rsidR="006006D7" w:rsidRDefault="00EA6361" w:rsidP="006006D7">
      <w:pPr>
        <w:pStyle w:val="ListParagraph"/>
        <w:numPr>
          <w:ilvl w:val="0"/>
          <w:numId w:val="3"/>
        </w:numPr>
        <w:spacing w:after="160"/>
        <w:jc w:val="both"/>
        <w:rPr>
          <w:rFonts w:ascii="Open Sans" w:hAnsi="Open Sans" w:cs="Open Sans"/>
          <w:sz w:val="18"/>
          <w:szCs w:val="18"/>
        </w:rPr>
      </w:pPr>
      <w:r w:rsidRPr="00403F50">
        <w:rPr>
          <w:rFonts w:ascii="Open Sans" w:hAnsi="Open Sans" w:cs="Open Sans"/>
          <w:sz w:val="18"/>
          <w:szCs w:val="18"/>
        </w:rPr>
        <w:t>Harm reduction has been recognised as a fundamental co</w:t>
      </w:r>
      <w:r w:rsidR="009930C2" w:rsidRPr="00403F50">
        <w:rPr>
          <w:rFonts w:ascii="Open Sans" w:hAnsi="Open Sans" w:cs="Open Sans"/>
          <w:sz w:val="18"/>
          <w:szCs w:val="18"/>
        </w:rPr>
        <w:t>mponent of the right to health</w:t>
      </w:r>
      <w:r w:rsidRPr="00403F50">
        <w:rPr>
          <w:rFonts w:ascii="Open Sans" w:hAnsi="Open Sans" w:cs="Open Sans"/>
          <w:sz w:val="18"/>
          <w:szCs w:val="18"/>
        </w:rPr>
        <w:t>.</w:t>
      </w:r>
      <w:r w:rsidR="008F5ADC" w:rsidRPr="00403F50">
        <w:rPr>
          <w:rStyle w:val="EndnoteReference"/>
          <w:rFonts w:ascii="Open Sans" w:hAnsi="Open Sans" w:cs="Open Sans"/>
          <w:sz w:val="18"/>
          <w:szCs w:val="18"/>
        </w:rPr>
        <w:endnoteReference w:id="1"/>
      </w:r>
      <w:r w:rsidR="008F5ADC" w:rsidRPr="00403F50">
        <w:rPr>
          <w:rFonts w:ascii="Open Sans" w:hAnsi="Open Sans" w:cs="Open Sans"/>
          <w:sz w:val="18"/>
          <w:szCs w:val="18"/>
        </w:rPr>
        <w:t xml:space="preserve"> </w:t>
      </w:r>
      <w:r w:rsidRPr="00403F50">
        <w:rPr>
          <w:rFonts w:ascii="Open Sans" w:hAnsi="Open Sans" w:cs="Open Sans"/>
          <w:sz w:val="18"/>
          <w:szCs w:val="18"/>
        </w:rPr>
        <w:t>Harm reduction has been explicitly endorsed as an essential measure for people who use drugs on numerous occasions by this Committee,</w:t>
      </w:r>
      <w:r w:rsidR="008F5ADC" w:rsidRPr="00403F50">
        <w:rPr>
          <w:rStyle w:val="EndnoteReference"/>
          <w:rFonts w:ascii="Open Sans" w:hAnsi="Open Sans" w:cs="Open Sans"/>
          <w:sz w:val="18"/>
          <w:szCs w:val="18"/>
        </w:rPr>
        <w:endnoteReference w:id="2"/>
      </w:r>
      <w:r w:rsidR="008F5ADC" w:rsidRPr="00403F50">
        <w:rPr>
          <w:rFonts w:ascii="Open Sans" w:hAnsi="Open Sans" w:cs="Open Sans"/>
          <w:sz w:val="18"/>
          <w:szCs w:val="18"/>
        </w:rPr>
        <w:t xml:space="preserve"> as well as by the UN General Assembly,</w:t>
      </w:r>
      <w:r w:rsidR="008F5ADC" w:rsidRPr="00403F50">
        <w:rPr>
          <w:rStyle w:val="EndnoteReference"/>
          <w:rFonts w:ascii="Open Sans" w:hAnsi="Open Sans" w:cs="Open Sans"/>
          <w:sz w:val="18"/>
          <w:szCs w:val="18"/>
        </w:rPr>
        <w:endnoteReference w:id="3"/>
      </w:r>
      <w:r w:rsidR="008F5ADC" w:rsidRPr="00403F50">
        <w:rPr>
          <w:rFonts w:ascii="Open Sans" w:hAnsi="Open Sans" w:cs="Open Sans"/>
          <w:sz w:val="18"/>
          <w:szCs w:val="18"/>
        </w:rPr>
        <w:t xml:space="preserve"> the Human Rights Council,</w:t>
      </w:r>
      <w:r w:rsidR="008F5ADC" w:rsidRPr="00403F50">
        <w:rPr>
          <w:rStyle w:val="EndnoteReference"/>
          <w:rFonts w:ascii="Open Sans" w:hAnsi="Open Sans" w:cs="Open Sans"/>
          <w:sz w:val="18"/>
          <w:szCs w:val="18"/>
        </w:rPr>
        <w:endnoteReference w:id="4"/>
      </w:r>
      <w:r w:rsidR="008F5ADC" w:rsidRPr="00403F50">
        <w:rPr>
          <w:rFonts w:ascii="Open Sans" w:hAnsi="Open Sans" w:cs="Open Sans"/>
          <w:sz w:val="18"/>
          <w:szCs w:val="18"/>
        </w:rPr>
        <w:t xml:space="preserve"> the Committee on the Rights of the Child,</w:t>
      </w:r>
      <w:r w:rsidR="008F5ADC" w:rsidRPr="00403F50">
        <w:rPr>
          <w:rStyle w:val="EndnoteReference"/>
          <w:rFonts w:ascii="Open Sans" w:hAnsi="Open Sans" w:cs="Open Sans"/>
          <w:sz w:val="18"/>
          <w:szCs w:val="18"/>
        </w:rPr>
        <w:endnoteReference w:id="5"/>
      </w:r>
      <w:r w:rsidR="008F5ADC" w:rsidRPr="00403F50">
        <w:rPr>
          <w:rFonts w:ascii="Open Sans" w:hAnsi="Open Sans" w:cs="Open Sans"/>
          <w:sz w:val="18"/>
          <w:szCs w:val="18"/>
        </w:rPr>
        <w:t xml:space="preserve"> the Committee on the Elimination of Discrimination against Women,</w:t>
      </w:r>
      <w:r w:rsidR="008F5ADC" w:rsidRPr="00403F50">
        <w:rPr>
          <w:rStyle w:val="EndnoteReference"/>
          <w:rFonts w:ascii="Open Sans" w:hAnsi="Open Sans" w:cs="Open Sans"/>
          <w:sz w:val="18"/>
          <w:szCs w:val="18"/>
        </w:rPr>
        <w:endnoteReference w:id="6"/>
      </w:r>
      <w:r w:rsidR="008F5ADC" w:rsidRPr="00403F50">
        <w:rPr>
          <w:rFonts w:ascii="Open Sans" w:hAnsi="Open Sans" w:cs="Open Sans"/>
          <w:sz w:val="18"/>
          <w:szCs w:val="18"/>
        </w:rPr>
        <w:t xml:space="preserve"> the Special Rapporteur on the right of everyone to the enjoyment of the highest attainable standard of physical and mental health</w:t>
      </w:r>
      <w:r w:rsidR="008F5ADC" w:rsidRPr="00403F50">
        <w:rPr>
          <w:rStyle w:val="EndnoteReference"/>
          <w:rFonts w:ascii="Open Sans" w:hAnsi="Open Sans" w:cs="Open Sans"/>
          <w:sz w:val="18"/>
          <w:szCs w:val="18"/>
        </w:rPr>
        <w:endnoteReference w:id="7"/>
      </w:r>
      <w:r w:rsidR="008F5ADC" w:rsidRPr="00403F50">
        <w:rPr>
          <w:rFonts w:ascii="Open Sans" w:hAnsi="Open Sans" w:cs="Open Sans"/>
          <w:sz w:val="18"/>
          <w:szCs w:val="18"/>
        </w:rPr>
        <w:t xml:space="preserve"> and the Special Rapporteur on torture and other cruel, inhuman or degrading treatment or punishment.</w:t>
      </w:r>
      <w:r w:rsidR="008F5ADC" w:rsidRPr="00403F50">
        <w:rPr>
          <w:rStyle w:val="EndnoteReference"/>
          <w:rFonts w:ascii="Open Sans" w:hAnsi="Open Sans" w:cs="Open Sans"/>
          <w:sz w:val="18"/>
          <w:szCs w:val="18"/>
        </w:rPr>
        <w:endnoteReference w:id="8"/>
      </w:r>
    </w:p>
    <w:p w14:paraId="7662BDEB" w14:textId="77777777" w:rsidR="006006D7" w:rsidRDefault="006006D7" w:rsidP="006006D7">
      <w:pPr>
        <w:pStyle w:val="ListParagraph"/>
        <w:spacing w:after="160"/>
        <w:jc w:val="both"/>
        <w:rPr>
          <w:rFonts w:ascii="Open Sans" w:hAnsi="Open Sans" w:cs="Open Sans"/>
          <w:sz w:val="18"/>
          <w:szCs w:val="18"/>
        </w:rPr>
      </w:pPr>
    </w:p>
    <w:p w14:paraId="53961D5A" w14:textId="7C86ABB8" w:rsidR="006006D7" w:rsidRDefault="006006D7" w:rsidP="006006D7">
      <w:pPr>
        <w:pStyle w:val="ListParagraph"/>
        <w:numPr>
          <w:ilvl w:val="0"/>
          <w:numId w:val="3"/>
        </w:numPr>
        <w:spacing w:after="160"/>
        <w:jc w:val="both"/>
        <w:rPr>
          <w:rFonts w:ascii="Open Sans" w:hAnsi="Open Sans" w:cs="Open Sans"/>
          <w:sz w:val="18"/>
          <w:szCs w:val="18"/>
        </w:rPr>
      </w:pPr>
      <w:r>
        <w:rPr>
          <w:rFonts w:ascii="Open Sans" w:hAnsi="Open Sans" w:cs="Open Sans"/>
          <w:sz w:val="18"/>
          <w:szCs w:val="18"/>
        </w:rPr>
        <w:t>The International Guidelines on Human</w:t>
      </w:r>
      <w:r w:rsidR="00FC4AC6">
        <w:rPr>
          <w:rFonts w:ascii="Open Sans" w:hAnsi="Open Sans" w:cs="Open Sans"/>
          <w:sz w:val="18"/>
          <w:szCs w:val="18"/>
        </w:rPr>
        <w:t xml:space="preserve"> Rights and Drug Policy clarify</w:t>
      </w:r>
      <w:r>
        <w:rPr>
          <w:rFonts w:ascii="Open Sans" w:hAnsi="Open Sans" w:cs="Open Sans"/>
          <w:sz w:val="18"/>
          <w:szCs w:val="18"/>
        </w:rPr>
        <w:t xml:space="preserve"> States’ obligations under the right to health pertaining to harm reduction. These include: </w:t>
      </w:r>
    </w:p>
    <w:p w14:paraId="272D3495" w14:textId="78738E88" w:rsidR="006006D7" w:rsidRPr="00FC4AC6" w:rsidRDefault="00FC4AC6" w:rsidP="00FC4AC6">
      <w:pPr>
        <w:pStyle w:val="ListParagraph"/>
        <w:numPr>
          <w:ilvl w:val="1"/>
          <w:numId w:val="3"/>
        </w:numPr>
        <w:spacing w:after="160"/>
        <w:jc w:val="both"/>
        <w:rPr>
          <w:rFonts w:ascii="Open Sans" w:hAnsi="Open Sans" w:cs="Open Sans"/>
          <w:sz w:val="18"/>
          <w:szCs w:val="18"/>
        </w:rPr>
      </w:pPr>
      <w:r>
        <w:rPr>
          <w:rFonts w:ascii="Open Sans" w:hAnsi="Open Sans" w:cs="Open Sans"/>
          <w:sz w:val="18"/>
          <w:szCs w:val="18"/>
        </w:rPr>
        <w:t xml:space="preserve">Ensuring the availability </w:t>
      </w:r>
      <w:r w:rsidR="006006D7" w:rsidRPr="00FC4AC6">
        <w:rPr>
          <w:rFonts w:ascii="Open Sans" w:hAnsi="Open Sans" w:cs="Open Sans"/>
          <w:sz w:val="18"/>
          <w:szCs w:val="18"/>
        </w:rPr>
        <w:t xml:space="preserve">and accessibility of harm reduction services, </w:t>
      </w:r>
      <w:r w:rsidRPr="00FC4AC6">
        <w:rPr>
          <w:rFonts w:ascii="Open Sans" w:hAnsi="Open Sans" w:cs="Open Sans"/>
          <w:sz w:val="18"/>
          <w:szCs w:val="18"/>
        </w:rPr>
        <w:t xml:space="preserve">including by </w:t>
      </w:r>
      <w:r w:rsidR="006006D7" w:rsidRPr="00FC4AC6">
        <w:rPr>
          <w:rFonts w:ascii="Open Sans" w:hAnsi="Open Sans" w:cs="Open Sans"/>
          <w:sz w:val="18"/>
          <w:szCs w:val="18"/>
        </w:rPr>
        <w:t>ensuring these are adequately funded, appropriate for the needs of vulnerable groups, and compliant with fundamental rights;</w:t>
      </w:r>
    </w:p>
    <w:p w14:paraId="4C7988CC" w14:textId="7CB17019" w:rsidR="006006D7" w:rsidRPr="006006D7" w:rsidRDefault="006006D7" w:rsidP="006006D7">
      <w:pPr>
        <w:pStyle w:val="ListParagraph"/>
        <w:numPr>
          <w:ilvl w:val="1"/>
          <w:numId w:val="3"/>
        </w:numPr>
        <w:spacing w:after="160"/>
        <w:jc w:val="both"/>
        <w:rPr>
          <w:rFonts w:ascii="Open Sans" w:hAnsi="Open Sans" w:cs="Open Sans"/>
          <w:sz w:val="18"/>
          <w:szCs w:val="18"/>
        </w:rPr>
      </w:pPr>
      <w:r>
        <w:rPr>
          <w:rFonts w:ascii="Open Sans" w:hAnsi="Open Sans" w:cs="Open Sans"/>
          <w:sz w:val="18"/>
          <w:szCs w:val="18"/>
        </w:rPr>
        <w:t>Removing age restrictions on access to harm reduction services.</w:t>
      </w:r>
      <w:r>
        <w:rPr>
          <w:rStyle w:val="EndnoteReference"/>
          <w:rFonts w:ascii="Open Sans" w:hAnsi="Open Sans" w:cs="Open Sans"/>
          <w:sz w:val="18"/>
          <w:szCs w:val="18"/>
        </w:rPr>
        <w:endnoteReference w:id="9"/>
      </w:r>
    </w:p>
    <w:p w14:paraId="0F6B0E57" w14:textId="77777777" w:rsidR="008F5ADC" w:rsidRPr="00403F50" w:rsidRDefault="008F5ADC" w:rsidP="00FF21F2">
      <w:pPr>
        <w:pStyle w:val="ListParagraph"/>
        <w:jc w:val="both"/>
        <w:rPr>
          <w:rFonts w:ascii="Open Sans" w:hAnsi="Open Sans" w:cs="Open Sans"/>
          <w:color w:val="000000" w:themeColor="text1"/>
          <w:sz w:val="18"/>
          <w:szCs w:val="18"/>
        </w:rPr>
      </w:pPr>
    </w:p>
    <w:p w14:paraId="12C55969" w14:textId="1412213F" w:rsidR="006006D7" w:rsidRPr="006006D7" w:rsidRDefault="008F5ADC" w:rsidP="006006D7">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 xml:space="preserve">The World Health Organization, UNAIDS and UNODC recognise Needle and Syringe Programs (NSPs) and Opioid Substitution Therapy (OST) </w:t>
      </w:r>
      <w:r w:rsidRPr="00403F50">
        <w:rPr>
          <w:rFonts w:ascii="Open Sans" w:hAnsi="Open Sans" w:cs="Open Sans"/>
          <w:color w:val="000000" w:themeColor="text1"/>
          <w:sz w:val="18"/>
          <w:szCs w:val="18"/>
        </w:rPr>
        <w:t>as key components of an effective HIV and viral hepatitis response for injecting drug use.</w:t>
      </w:r>
      <w:r w:rsidRPr="00403F50">
        <w:rPr>
          <w:rFonts w:ascii="Open Sans" w:hAnsi="Open Sans" w:cs="Open Sans"/>
          <w:sz w:val="18"/>
          <w:szCs w:val="18"/>
          <w:vertAlign w:val="superscript"/>
        </w:rPr>
        <w:endnoteReference w:id="10"/>
      </w:r>
      <w:r w:rsidRPr="00403F50">
        <w:rPr>
          <w:rFonts w:ascii="Open Sans" w:hAnsi="Open Sans" w:cs="Open Sans"/>
          <w:color w:val="000000" w:themeColor="text1"/>
          <w:sz w:val="18"/>
          <w:szCs w:val="18"/>
        </w:rPr>
        <w:t xml:space="preserve"> These interventions have also been endorsed by the UN General Assembly,</w:t>
      </w:r>
      <w:r w:rsidRPr="00403F50">
        <w:rPr>
          <w:rStyle w:val="EndnoteReference"/>
          <w:rFonts w:ascii="Open Sans" w:hAnsi="Open Sans" w:cs="Open Sans"/>
          <w:color w:val="000000" w:themeColor="text1"/>
          <w:sz w:val="18"/>
          <w:szCs w:val="18"/>
        </w:rPr>
        <w:endnoteReference w:id="11"/>
      </w:r>
      <w:r w:rsidRPr="00403F50">
        <w:rPr>
          <w:rFonts w:ascii="Open Sans" w:hAnsi="Open Sans" w:cs="Open Sans"/>
          <w:color w:val="000000" w:themeColor="text1"/>
          <w:sz w:val="18"/>
          <w:szCs w:val="18"/>
        </w:rPr>
        <w:t xml:space="preserve"> the Economic and Social Council,</w:t>
      </w:r>
      <w:r w:rsidRPr="00403F50">
        <w:rPr>
          <w:rFonts w:ascii="Open Sans" w:hAnsi="Open Sans" w:cs="Open Sans"/>
          <w:sz w:val="18"/>
          <w:szCs w:val="18"/>
          <w:vertAlign w:val="superscript"/>
        </w:rPr>
        <w:endnoteReference w:id="12"/>
      </w:r>
      <w:r w:rsidRPr="00403F50">
        <w:rPr>
          <w:rFonts w:ascii="Open Sans" w:hAnsi="Open Sans" w:cs="Open Sans"/>
          <w:color w:val="000000" w:themeColor="text1"/>
          <w:sz w:val="18"/>
          <w:szCs w:val="18"/>
          <w:vertAlign w:val="superscript"/>
        </w:rPr>
        <w:t xml:space="preserve"> </w:t>
      </w:r>
      <w:r w:rsidRPr="00403F50">
        <w:rPr>
          <w:rFonts w:ascii="Open Sans" w:hAnsi="Open Sans" w:cs="Open Sans"/>
          <w:color w:val="000000" w:themeColor="text1"/>
          <w:sz w:val="18"/>
          <w:szCs w:val="18"/>
        </w:rPr>
        <w:t>and the Commission on Narcotic Drugs (CND). The CND has highlighted the importance of these interventions to meet SDG targets to end AIDS and tuberculosis, and combat hepatitis by 2030.</w:t>
      </w:r>
      <w:r w:rsidRPr="00403F50">
        <w:rPr>
          <w:rFonts w:ascii="Open Sans" w:hAnsi="Open Sans" w:cs="Open Sans"/>
          <w:sz w:val="18"/>
          <w:szCs w:val="18"/>
          <w:vertAlign w:val="superscript"/>
        </w:rPr>
        <w:endnoteReference w:id="13"/>
      </w:r>
      <w:r w:rsidRPr="00403F50">
        <w:rPr>
          <w:rFonts w:ascii="Open Sans" w:hAnsi="Open Sans" w:cs="Open Sans"/>
          <w:color w:val="000000" w:themeColor="text1"/>
          <w:sz w:val="18"/>
          <w:szCs w:val="18"/>
          <w:vertAlign w:val="superscript"/>
        </w:rPr>
        <w:t xml:space="preserve"> </w:t>
      </w:r>
      <w:r w:rsidRPr="00403F50">
        <w:rPr>
          <w:rFonts w:ascii="Open Sans" w:hAnsi="Open Sans" w:cs="Open Sans"/>
          <w:color w:val="000000" w:themeColor="text1"/>
          <w:sz w:val="18"/>
          <w:szCs w:val="18"/>
        </w:rPr>
        <w:t xml:space="preserve"> </w:t>
      </w:r>
    </w:p>
    <w:p w14:paraId="7C2A4415" w14:textId="74050068" w:rsidR="008F5ADC" w:rsidRPr="00403F50" w:rsidRDefault="008F5ADC" w:rsidP="00403F50">
      <w:pPr>
        <w:pStyle w:val="ListParagraph"/>
        <w:jc w:val="both"/>
        <w:rPr>
          <w:rFonts w:ascii="Open Sans" w:hAnsi="Open Sans" w:cs="Open Sans"/>
          <w:sz w:val="18"/>
          <w:szCs w:val="18"/>
        </w:rPr>
      </w:pPr>
    </w:p>
    <w:p w14:paraId="7628F860" w14:textId="77777777" w:rsidR="008F5ADC" w:rsidRPr="00403F50" w:rsidRDefault="008F5ADC" w:rsidP="007D054B">
      <w:pPr>
        <w:pStyle w:val="ListParagraph"/>
        <w:numPr>
          <w:ilvl w:val="0"/>
          <w:numId w:val="3"/>
        </w:numPr>
        <w:spacing w:after="160"/>
        <w:ind w:hanging="357"/>
        <w:jc w:val="both"/>
        <w:rPr>
          <w:rFonts w:ascii="Open Sans" w:hAnsi="Open Sans" w:cs="Open Sans"/>
          <w:color w:val="000000" w:themeColor="text1"/>
          <w:sz w:val="18"/>
          <w:szCs w:val="18"/>
        </w:rPr>
      </w:pPr>
      <w:r w:rsidRPr="00403F50">
        <w:rPr>
          <w:rFonts w:ascii="Open Sans" w:hAnsi="Open Sans" w:cs="Open Sans"/>
          <w:color w:val="000000" w:themeColor="text1"/>
          <w:sz w:val="18"/>
          <w:szCs w:val="18"/>
        </w:rPr>
        <w:t>Other key harm reduction interventions include:</w:t>
      </w:r>
    </w:p>
    <w:p w14:paraId="1CCD7B3B" w14:textId="5675095E" w:rsidR="008F5ADC" w:rsidRPr="00403F50" w:rsidRDefault="008F5ADC" w:rsidP="007D054B">
      <w:pPr>
        <w:pStyle w:val="ListParagraph"/>
        <w:numPr>
          <w:ilvl w:val="1"/>
          <w:numId w:val="3"/>
        </w:numPr>
        <w:spacing w:after="160"/>
        <w:ind w:hanging="357"/>
        <w:jc w:val="both"/>
        <w:rPr>
          <w:rFonts w:ascii="Open Sans" w:hAnsi="Open Sans" w:cs="Open Sans"/>
          <w:color w:val="000000" w:themeColor="text1"/>
          <w:sz w:val="18"/>
          <w:szCs w:val="18"/>
        </w:rPr>
      </w:pPr>
      <w:r w:rsidRPr="00403F50">
        <w:rPr>
          <w:rFonts w:ascii="Open Sans" w:hAnsi="Open Sans" w:cs="Open Sans"/>
          <w:color w:val="000000" w:themeColor="text1"/>
          <w:sz w:val="18"/>
          <w:szCs w:val="18"/>
        </w:rPr>
        <w:t xml:space="preserve">Drug Consumption Rooms (also known as Safe Injecting Sites), healthcare facilities supervised by </w:t>
      </w:r>
      <w:r w:rsidR="00901C03">
        <w:rPr>
          <w:rFonts w:ascii="Open Sans" w:hAnsi="Open Sans" w:cs="Open Sans"/>
          <w:color w:val="000000" w:themeColor="text1"/>
          <w:sz w:val="18"/>
          <w:szCs w:val="18"/>
        </w:rPr>
        <w:t xml:space="preserve">medical </w:t>
      </w:r>
      <w:r w:rsidRPr="00403F50">
        <w:rPr>
          <w:rFonts w:ascii="Open Sans" w:hAnsi="Open Sans" w:cs="Open Sans"/>
          <w:color w:val="000000" w:themeColor="text1"/>
          <w:sz w:val="18"/>
          <w:szCs w:val="18"/>
        </w:rPr>
        <w:t xml:space="preserve">staff where individuals can </w:t>
      </w:r>
      <w:r w:rsidR="00901C03">
        <w:rPr>
          <w:rFonts w:ascii="Open Sans" w:hAnsi="Open Sans" w:cs="Open Sans"/>
          <w:color w:val="000000" w:themeColor="text1"/>
          <w:sz w:val="18"/>
          <w:szCs w:val="18"/>
        </w:rPr>
        <w:t xml:space="preserve">reduce the risks associated with drug </w:t>
      </w:r>
      <w:r w:rsidRPr="00403F50">
        <w:rPr>
          <w:rFonts w:ascii="Open Sans" w:hAnsi="Open Sans" w:cs="Open Sans"/>
          <w:color w:val="000000" w:themeColor="text1"/>
          <w:sz w:val="18"/>
          <w:szCs w:val="18"/>
        </w:rPr>
        <w:t>consum</w:t>
      </w:r>
      <w:r w:rsidR="00901C03">
        <w:rPr>
          <w:rFonts w:ascii="Open Sans" w:hAnsi="Open Sans" w:cs="Open Sans"/>
          <w:color w:val="000000" w:themeColor="text1"/>
          <w:sz w:val="18"/>
          <w:szCs w:val="18"/>
        </w:rPr>
        <w:t>ption</w:t>
      </w:r>
      <w:r w:rsidRPr="00403F50">
        <w:rPr>
          <w:rFonts w:ascii="Open Sans" w:hAnsi="Open Sans" w:cs="Open Sans"/>
          <w:color w:val="000000" w:themeColor="text1"/>
          <w:sz w:val="18"/>
          <w:szCs w:val="18"/>
        </w:rPr>
        <w:t xml:space="preserve"> in a non-judgmental environment;</w:t>
      </w:r>
      <w:r w:rsidRPr="00403F50">
        <w:rPr>
          <w:rStyle w:val="EndnoteReference"/>
          <w:rFonts w:ascii="Open Sans" w:hAnsi="Open Sans" w:cs="Open Sans"/>
          <w:color w:val="000000" w:themeColor="text1"/>
          <w:sz w:val="18"/>
          <w:szCs w:val="18"/>
        </w:rPr>
        <w:endnoteReference w:id="14"/>
      </w:r>
    </w:p>
    <w:p w14:paraId="26356A33" w14:textId="0714D2CD" w:rsidR="008F5ADC" w:rsidRPr="00403F50" w:rsidRDefault="008F5ADC" w:rsidP="007D054B">
      <w:pPr>
        <w:pStyle w:val="ListParagraph"/>
        <w:numPr>
          <w:ilvl w:val="1"/>
          <w:numId w:val="3"/>
        </w:numPr>
        <w:spacing w:after="160"/>
        <w:ind w:hanging="357"/>
        <w:jc w:val="both"/>
        <w:rPr>
          <w:rFonts w:ascii="Open Sans" w:hAnsi="Open Sans" w:cs="Open Sans"/>
          <w:color w:val="000000" w:themeColor="text1"/>
          <w:sz w:val="18"/>
          <w:szCs w:val="18"/>
        </w:rPr>
      </w:pPr>
      <w:r w:rsidRPr="00403F50">
        <w:rPr>
          <w:rFonts w:ascii="Open Sans" w:hAnsi="Open Sans" w:cs="Open Sans"/>
          <w:color w:val="000000" w:themeColor="text1"/>
          <w:sz w:val="18"/>
          <w:szCs w:val="18"/>
        </w:rPr>
        <w:t xml:space="preserve">Overdose prevention and reversal. </w:t>
      </w:r>
      <w:r w:rsidR="00901C03">
        <w:rPr>
          <w:rFonts w:ascii="Open Sans" w:hAnsi="Open Sans" w:cs="Open Sans"/>
          <w:color w:val="000000" w:themeColor="text1"/>
          <w:sz w:val="18"/>
          <w:szCs w:val="18"/>
        </w:rPr>
        <w:t>N</w:t>
      </w:r>
      <w:r w:rsidRPr="00403F50">
        <w:rPr>
          <w:rFonts w:ascii="Open Sans" w:hAnsi="Open Sans" w:cs="Open Sans"/>
          <w:color w:val="000000" w:themeColor="text1"/>
          <w:sz w:val="18"/>
          <w:szCs w:val="18"/>
        </w:rPr>
        <w:t>aloxone</w:t>
      </w:r>
      <w:r w:rsidR="00901C03">
        <w:rPr>
          <w:rFonts w:ascii="Open Sans" w:hAnsi="Open Sans" w:cs="Open Sans"/>
          <w:color w:val="000000" w:themeColor="text1"/>
          <w:sz w:val="18"/>
          <w:szCs w:val="18"/>
        </w:rPr>
        <w:t xml:space="preserve"> is</w:t>
      </w:r>
      <w:r w:rsidRPr="00403F50">
        <w:rPr>
          <w:rFonts w:ascii="Open Sans" w:hAnsi="Open Sans" w:cs="Open Sans"/>
          <w:color w:val="000000" w:themeColor="text1"/>
          <w:sz w:val="18"/>
          <w:szCs w:val="18"/>
        </w:rPr>
        <w:t xml:space="preserve"> an opioid reversal medication proved to be safe, cost-effective, and life-saving.</w:t>
      </w:r>
      <w:r w:rsidRPr="00403F50">
        <w:rPr>
          <w:rStyle w:val="EndnoteReference"/>
          <w:rFonts w:ascii="Open Sans" w:hAnsi="Open Sans" w:cs="Open Sans"/>
          <w:color w:val="000000" w:themeColor="text1"/>
          <w:sz w:val="18"/>
          <w:szCs w:val="18"/>
        </w:rPr>
        <w:endnoteReference w:id="15"/>
      </w:r>
      <w:r w:rsidRPr="00403F50">
        <w:rPr>
          <w:rFonts w:ascii="Open Sans" w:hAnsi="Open Sans" w:cs="Open Sans"/>
          <w:color w:val="000000" w:themeColor="text1"/>
          <w:sz w:val="18"/>
          <w:szCs w:val="18"/>
        </w:rPr>
        <w:t xml:space="preserve"> </w:t>
      </w:r>
    </w:p>
    <w:p w14:paraId="67C25731" w14:textId="79E592CA" w:rsidR="00AA3330" w:rsidRPr="00403F50" w:rsidRDefault="00403F50" w:rsidP="00403F50">
      <w:pPr>
        <w:pStyle w:val="ListParagraph"/>
        <w:numPr>
          <w:ilvl w:val="1"/>
          <w:numId w:val="3"/>
        </w:numPr>
        <w:spacing w:after="160"/>
        <w:ind w:hanging="357"/>
        <w:jc w:val="both"/>
        <w:rPr>
          <w:rFonts w:ascii="Open Sans" w:hAnsi="Open Sans" w:cs="Open Sans"/>
          <w:color w:val="000000" w:themeColor="text1"/>
          <w:sz w:val="18"/>
          <w:szCs w:val="18"/>
        </w:rPr>
      </w:pPr>
      <w:r>
        <w:rPr>
          <w:rFonts w:ascii="Open Sans" w:hAnsi="Open Sans" w:cs="Open Sans"/>
          <w:color w:val="000000" w:themeColor="text1"/>
          <w:sz w:val="18"/>
          <w:szCs w:val="18"/>
        </w:rPr>
        <w:t>Heroin-</w:t>
      </w:r>
      <w:r w:rsidRPr="00E633A4">
        <w:rPr>
          <w:rFonts w:ascii="Open Sans" w:hAnsi="Open Sans" w:cs="Open Sans"/>
          <w:color w:val="000000" w:themeColor="text1"/>
          <w:sz w:val="18"/>
          <w:szCs w:val="18"/>
        </w:rPr>
        <w:t xml:space="preserve">Assisted </w:t>
      </w:r>
      <w:r w:rsidR="00FF15EB">
        <w:rPr>
          <w:rFonts w:ascii="Open Sans" w:hAnsi="Open Sans" w:cs="Open Sans"/>
          <w:color w:val="000000" w:themeColor="text1"/>
          <w:sz w:val="18"/>
          <w:szCs w:val="18"/>
        </w:rPr>
        <w:t>Treatment</w:t>
      </w:r>
      <w:r w:rsidRPr="00E633A4">
        <w:rPr>
          <w:rFonts w:ascii="Open Sans" w:hAnsi="Open Sans" w:cs="Open Sans"/>
          <w:color w:val="000000" w:themeColor="text1"/>
          <w:sz w:val="18"/>
          <w:szCs w:val="18"/>
        </w:rPr>
        <w:t xml:space="preserve">, a version of </w:t>
      </w:r>
      <w:r w:rsidRPr="00E633A4">
        <w:rPr>
          <w:rFonts w:ascii="Open Sans" w:hAnsi="Open Sans" w:cs="Open Sans"/>
          <w:sz w:val="18"/>
          <w:szCs w:val="18"/>
        </w:rPr>
        <w:t xml:space="preserve">drug </w:t>
      </w:r>
      <w:r w:rsidR="00FC4AC6">
        <w:rPr>
          <w:rFonts w:ascii="Open Sans" w:hAnsi="Open Sans" w:cs="Open Sans"/>
          <w:sz w:val="18"/>
          <w:szCs w:val="18"/>
        </w:rPr>
        <w:t>substitution</w:t>
      </w:r>
      <w:r w:rsidRPr="00E633A4">
        <w:rPr>
          <w:rFonts w:ascii="Open Sans" w:hAnsi="Open Sans" w:cs="Open Sans"/>
          <w:sz w:val="18"/>
          <w:szCs w:val="18"/>
        </w:rPr>
        <w:t xml:space="preserve"> and maintenance therapy whereby pharmacological heroin is administered in a clinical setting</w:t>
      </w:r>
      <w:r w:rsidR="00902C6E" w:rsidRPr="00E633A4">
        <w:rPr>
          <w:rFonts w:ascii="Open Sans" w:hAnsi="Open Sans" w:cs="Open Sans"/>
          <w:sz w:val="18"/>
          <w:szCs w:val="18"/>
        </w:rPr>
        <w:t xml:space="preserve"> and under strict control. These programs are targeted at those who have failed in other opioid substitution therapies and have proven positive outcomes.</w:t>
      </w:r>
      <w:r w:rsidR="00902C6E" w:rsidRPr="00E633A4">
        <w:rPr>
          <w:rStyle w:val="EndnoteReference"/>
          <w:rFonts w:ascii="Open Sans" w:hAnsi="Open Sans" w:cs="Open Sans"/>
          <w:sz w:val="18"/>
          <w:szCs w:val="18"/>
        </w:rPr>
        <w:endnoteReference w:id="16"/>
      </w:r>
    </w:p>
    <w:p w14:paraId="56FF7BDB" w14:textId="5DE48709" w:rsidR="008F5ADC" w:rsidRPr="00403F50" w:rsidRDefault="008F5ADC" w:rsidP="00E633A4">
      <w:pPr>
        <w:pStyle w:val="Heading1"/>
      </w:pPr>
      <w:r w:rsidRPr="00403F50">
        <w:t xml:space="preserve">Background </w:t>
      </w:r>
    </w:p>
    <w:p w14:paraId="223F6830" w14:textId="77777777" w:rsidR="008F5ADC" w:rsidRPr="00403F50" w:rsidRDefault="008F5ADC" w:rsidP="00FF21F2">
      <w:pPr>
        <w:jc w:val="both"/>
        <w:rPr>
          <w:rFonts w:ascii="Open Sans" w:hAnsi="Open Sans" w:cs="Open Sans"/>
          <w:sz w:val="18"/>
          <w:szCs w:val="18"/>
        </w:rPr>
      </w:pPr>
    </w:p>
    <w:p w14:paraId="0017CCA8" w14:textId="12C6B2BC"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 xml:space="preserve">There are currently an estimated 42,000 people who inject drugs in Switzerland. HIV prevalence among this population </w:t>
      </w:r>
      <w:r w:rsidR="00FF15EB" w:rsidRPr="00FF15EB">
        <w:rPr>
          <w:rFonts w:ascii="Open Sans" w:hAnsi="Open Sans" w:cs="Open Sans"/>
          <w:sz w:val="18"/>
          <w:szCs w:val="18"/>
        </w:rPr>
        <w:t xml:space="preserve">is 5 </w:t>
      </w:r>
      <w:r w:rsidRPr="00FF15EB">
        <w:rPr>
          <w:rFonts w:ascii="Open Sans" w:hAnsi="Open Sans" w:cs="Open Sans"/>
          <w:sz w:val="18"/>
          <w:szCs w:val="18"/>
        </w:rPr>
        <w:t>-12</w:t>
      </w:r>
      <w:r w:rsidRPr="00403F50">
        <w:rPr>
          <w:rFonts w:ascii="Open Sans" w:hAnsi="Open Sans" w:cs="Open Sans"/>
          <w:sz w:val="18"/>
          <w:szCs w:val="18"/>
        </w:rPr>
        <w:t>%, while hepatitis C prevalence is 42.1%</w:t>
      </w:r>
      <w:r w:rsidR="00494C6D" w:rsidRPr="00403F50">
        <w:rPr>
          <w:rFonts w:ascii="Open Sans" w:hAnsi="Open Sans" w:cs="Open Sans"/>
          <w:sz w:val="18"/>
          <w:szCs w:val="18"/>
        </w:rPr>
        <w:t>.</w:t>
      </w:r>
      <w:r w:rsidR="00647556" w:rsidRPr="00403F50">
        <w:rPr>
          <w:rStyle w:val="EndnoteReference"/>
          <w:rFonts w:ascii="Open Sans" w:hAnsi="Open Sans" w:cs="Open Sans"/>
          <w:sz w:val="18"/>
          <w:szCs w:val="18"/>
        </w:rPr>
        <w:endnoteReference w:id="17"/>
      </w:r>
      <w:r w:rsidR="00AA3330" w:rsidRPr="00403F50">
        <w:rPr>
          <w:rFonts w:ascii="Open Sans" w:hAnsi="Open Sans" w:cs="Open Sans"/>
          <w:sz w:val="18"/>
          <w:szCs w:val="18"/>
        </w:rPr>
        <w:t xml:space="preserve"> </w:t>
      </w:r>
    </w:p>
    <w:p w14:paraId="5188970E" w14:textId="77777777" w:rsidR="008F5ADC" w:rsidRPr="00403F50" w:rsidRDefault="008F5ADC" w:rsidP="00B626F8">
      <w:pPr>
        <w:pStyle w:val="ListParagraph"/>
        <w:jc w:val="both"/>
        <w:rPr>
          <w:rFonts w:ascii="Open Sans" w:hAnsi="Open Sans" w:cs="Open Sans"/>
          <w:sz w:val="18"/>
          <w:szCs w:val="18"/>
        </w:rPr>
      </w:pPr>
    </w:p>
    <w:p w14:paraId="68291420" w14:textId="7D3FA71F" w:rsidR="008F5ADC" w:rsidRPr="00403F50" w:rsidRDefault="008F5ADC" w:rsidP="00FC4AC6">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Switzerland has been a pioneer in advancing harm reduction as part of a humane drug policy based on evidence and concern for public health and human rights. Since the early 1990s, when faced with soaring rates of drug-related deaths and the highest HIV prevalence in Western Europe, the country has offered a wide range of harm reduction services for people who use and inject drugs, including needle and syringe programmes (NSPs), op</w:t>
      </w:r>
      <w:r w:rsidR="00FC4AC6">
        <w:rPr>
          <w:rFonts w:ascii="Open Sans" w:hAnsi="Open Sans" w:cs="Open Sans"/>
          <w:sz w:val="18"/>
          <w:szCs w:val="18"/>
        </w:rPr>
        <w:t>ioid substitution therapy (OST</w:t>
      </w:r>
      <w:r w:rsidR="00FF15EB">
        <w:rPr>
          <w:rFonts w:ascii="Open Sans" w:hAnsi="Open Sans" w:cs="Open Sans"/>
          <w:sz w:val="18"/>
          <w:szCs w:val="18"/>
        </w:rPr>
        <w:t>), drug consumption rooms, and Heroin-Assisted Treatment</w:t>
      </w:r>
      <w:r w:rsidR="00FC4AC6">
        <w:rPr>
          <w:rFonts w:ascii="Open Sans" w:hAnsi="Open Sans" w:cs="Open Sans"/>
          <w:sz w:val="18"/>
          <w:szCs w:val="18"/>
        </w:rPr>
        <w:t xml:space="preserve"> (HAT).</w:t>
      </w:r>
    </w:p>
    <w:p w14:paraId="79DFFAF4" w14:textId="77777777" w:rsidR="008F5ADC" w:rsidRPr="00403F50" w:rsidRDefault="008F5ADC" w:rsidP="00FF21F2">
      <w:pPr>
        <w:pStyle w:val="ListParagraph"/>
        <w:jc w:val="both"/>
        <w:rPr>
          <w:rFonts w:ascii="Open Sans" w:hAnsi="Open Sans" w:cs="Open Sans"/>
          <w:sz w:val="18"/>
          <w:szCs w:val="18"/>
        </w:rPr>
      </w:pPr>
    </w:p>
    <w:p w14:paraId="012FCB90" w14:textId="669BF58C" w:rsidR="00060120" w:rsidRPr="00060120" w:rsidRDefault="008F5ADC" w:rsidP="00060120">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As a result, significant positive health outcomes have been achieved over the past two decades. For example, the overall number of drug-related deaths decreased by 64% from 376 in 1995 to 136 in 2016.</w:t>
      </w:r>
      <w:r w:rsidRPr="00403F50">
        <w:rPr>
          <w:rStyle w:val="EndnoteReference"/>
          <w:rFonts w:ascii="Open Sans" w:hAnsi="Open Sans" w:cs="Open Sans"/>
          <w:sz w:val="18"/>
          <w:szCs w:val="18"/>
        </w:rPr>
        <w:endnoteReference w:id="18"/>
      </w:r>
      <w:r w:rsidRPr="00403F50">
        <w:rPr>
          <w:rFonts w:ascii="Open Sans" w:hAnsi="Open Sans" w:cs="Open Sans"/>
          <w:sz w:val="18"/>
          <w:szCs w:val="18"/>
        </w:rPr>
        <w:t xml:space="preserve"> The number of new HIV infections has also dropped significantly. In 1986, more than 3,000 people tested positive for HIV in Switzerland, while in 2017, there were fewer than 500 new positive tests in a country of 8.4 million.</w:t>
      </w:r>
      <w:r w:rsidRPr="00403F50">
        <w:rPr>
          <w:rStyle w:val="EndnoteReference"/>
          <w:rFonts w:ascii="Open Sans" w:hAnsi="Open Sans" w:cs="Open Sans"/>
          <w:sz w:val="18"/>
          <w:szCs w:val="18"/>
        </w:rPr>
        <w:endnoteReference w:id="19"/>
      </w:r>
      <w:r w:rsidRPr="00403F50">
        <w:rPr>
          <w:rFonts w:ascii="Open Sans" w:hAnsi="Open Sans" w:cs="Open Sans"/>
          <w:sz w:val="18"/>
          <w:szCs w:val="18"/>
        </w:rPr>
        <w:t xml:space="preserve"> </w:t>
      </w:r>
    </w:p>
    <w:p w14:paraId="717E7C03" w14:textId="77777777" w:rsidR="008F5ADC" w:rsidRPr="00403F50" w:rsidRDefault="008F5ADC" w:rsidP="00FF21F2">
      <w:pPr>
        <w:pStyle w:val="ListParagraph"/>
        <w:jc w:val="both"/>
        <w:rPr>
          <w:rFonts w:ascii="Open Sans" w:hAnsi="Open Sans" w:cs="Open Sans"/>
          <w:sz w:val="18"/>
          <w:szCs w:val="18"/>
        </w:rPr>
      </w:pPr>
    </w:p>
    <w:p w14:paraId="0EDA1612" w14:textId="6D8FF960"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While these achievements are commend</w:t>
      </w:r>
      <w:r w:rsidR="00901C03">
        <w:rPr>
          <w:rFonts w:ascii="Open Sans" w:hAnsi="Open Sans" w:cs="Open Sans"/>
          <w:sz w:val="18"/>
          <w:szCs w:val="18"/>
        </w:rPr>
        <w:t>able</w:t>
      </w:r>
      <w:r w:rsidRPr="00403F50">
        <w:rPr>
          <w:rFonts w:ascii="Open Sans" w:hAnsi="Open Sans" w:cs="Open Sans"/>
          <w:sz w:val="18"/>
          <w:szCs w:val="18"/>
        </w:rPr>
        <w:t>, there remains some room for improvement, particularly with regard to disparities in availability and accessibility of harm reduction services</w:t>
      </w:r>
      <w:r w:rsidR="0020495B" w:rsidRPr="00403F50">
        <w:rPr>
          <w:rFonts w:ascii="Open Sans" w:hAnsi="Open Sans" w:cs="Open Sans"/>
          <w:sz w:val="18"/>
          <w:szCs w:val="18"/>
        </w:rPr>
        <w:t xml:space="preserve"> </w:t>
      </w:r>
      <w:r w:rsidRPr="00403F50">
        <w:rPr>
          <w:rFonts w:ascii="Open Sans" w:hAnsi="Open Sans" w:cs="Open Sans"/>
          <w:sz w:val="18"/>
          <w:szCs w:val="18"/>
        </w:rPr>
        <w:t xml:space="preserve">between regions and within prisons. </w:t>
      </w:r>
    </w:p>
    <w:p w14:paraId="44D23D91" w14:textId="77777777" w:rsidR="008F5ADC" w:rsidRPr="00403F50" w:rsidRDefault="008F5ADC" w:rsidP="00586513">
      <w:pPr>
        <w:jc w:val="both"/>
        <w:rPr>
          <w:rFonts w:ascii="Open Sans" w:hAnsi="Open Sans" w:cs="Open Sans"/>
          <w:sz w:val="18"/>
          <w:szCs w:val="18"/>
        </w:rPr>
      </w:pPr>
    </w:p>
    <w:p w14:paraId="33DAF35B" w14:textId="594A9A2F" w:rsidR="008F5ADC" w:rsidRPr="00403F50" w:rsidRDefault="008F5ADC" w:rsidP="00E633A4">
      <w:pPr>
        <w:pStyle w:val="Heading1"/>
      </w:pPr>
      <w:r w:rsidRPr="00403F50">
        <w:t>Availability and accessibility of harm reduction services in Switzerland</w:t>
      </w:r>
    </w:p>
    <w:p w14:paraId="0A53B900" w14:textId="77777777" w:rsidR="008F5ADC" w:rsidRPr="00403F50" w:rsidRDefault="008F5ADC" w:rsidP="00586513">
      <w:pPr>
        <w:jc w:val="both"/>
        <w:rPr>
          <w:rFonts w:ascii="Open Sans" w:hAnsi="Open Sans" w:cs="Open Sans"/>
          <w:sz w:val="18"/>
          <w:szCs w:val="18"/>
        </w:rPr>
      </w:pPr>
    </w:p>
    <w:p w14:paraId="01FCAB3C" w14:textId="207A2383" w:rsidR="008F5ADC" w:rsidRPr="00403F50" w:rsidRDefault="008F5ADC" w:rsidP="00484F4B">
      <w:pPr>
        <w:pStyle w:val="ListParagraph"/>
        <w:numPr>
          <w:ilvl w:val="0"/>
          <w:numId w:val="3"/>
        </w:numPr>
        <w:jc w:val="both"/>
        <w:rPr>
          <w:rStyle w:val="EndnoteReference"/>
          <w:rFonts w:ascii="Open Sans" w:hAnsi="Open Sans" w:cs="Open Sans"/>
          <w:sz w:val="18"/>
          <w:szCs w:val="18"/>
          <w:vertAlign w:val="baseline"/>
        </w:rPr>
      </w:pPr>
      <w:r w:rsidRPr="00403F50">
        <w:rPr>
          <w:rFonts w:ascii="Open Sans" w:hAnsi="Open Sans" w:cs="Open Sans"/>
          <w:sz w:val="18"/>
          <w:szCs w:val="18"/>
        </w:rPr>
        <w:t>Fulfilling the right to health of people who use drugs requires that a sufficient quantity of harm reduction services and facilities, essential medicines, trained medical and professional personnel, as well as the underlying preconditions of health, be available to all without discrimination.</w:t>
      </w:r>
      <w:r w:rsidRPr="00403F50">
        <w:rPr>
          <w:rStyle w:val="EndnoteReference"/>
          <w:rFonts w:ascii="Open Sans" w:hAnsi="Open Sans" w:cs="Open Sans"/>
          <w:sz w:val="18"/>
          <w:szCs w:val="18"/>
        </w:rPr>
        <w:endnoteReference w:id="20"/>
      </w:r>
      <w:r w:rsidR="00484F4B" w:rsidRPr="00403F50">
        <w:rPr>
          <w:rFonts w:ascii="Open Sans" w:hAnsi="Open Sans" w:cs="Open Sans"/>
          <w:sz w:val="18"/>
          <w:szCs w:val="18"/>
        </w:rPr>
        <w:t xml:space="preserve"> </w:t>
      </w:r>
      <w:r w:rsidRPr="00403F50">
        <w:rPr>
          <w:rFonts w:ascii="Open Sans" w:hAnsi="Open Sans" w:cs="Open Sans"/>
          <w:sz w:val="18"/>
          <w:szCs w:val="18"/>
        </w:rPr>
        <w:t>It also requires that harm reduction services be physically and financially accessible to everyone on a non-discriminatory basis, paying particular attention to stigmatised and excluded populations.</w:t>
      </w:r>
      <w:r w:rsidRPr="00403F50">
        <w:rPr>
          <w:rStyle w:val="EndnoteReference"/>
          <w:rFonts w:ascii="Open Sans" w:hAnsi="Open Sans" w:cs="Open Sans"/>
          <w:sz w:val="18"/>
          <w:szCs w:val="18"/>
        </w:rPr>
        <w:endnoteReference w:id="21"/>
      </w:r>
    </w:p>
    <w:p w14:paraId="56141F4E" w14:textId="77777777" w:rsidR="008F5ADC" w:rsidRPr="00403F50" w:rsidRDefault="008F5ADC" w:rsidP="0086577E">
      <w:pPr>
        <w:jc w:val="both"/>
        <w:rPr>
          <w:rFonts w:ascii="Open Sans" w:hAnsi="Open Sans" w:cs="Open Sans"/>
          <w:sz w:val="18"/>
          <w:szCs w:val="18"/>
        </w:rPr>
      </w:pPr>
    </w:p>
    <w:p w14:paraId="261E5211" w14:textId="00A564B8"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 xml:space="preserve">Some obligations relating to the right to health are of immediate effect and are accordingly subject to neither progressive realisation nor resource constraints – these are known as </w:t>
      </w:r>
      <w:r w:rsidR="00AA3330" w:rsidRPr="00403F50">
        <w:rPr>
          <w:rFonts w:ascii="Open Sans" w:hAnsi="Open Sans" w:cs="Open Sans"/>
          <w:sz w:val="18"/>
          <w:szCs w:val="18"/>
        </w:rPr>
        <w:t>“</w:t>
      </w:r>
      <w:r w:rsidRPr="00403F50">
        <w:rPr>
          <w:rFonts w:ascii="Open Sans" w:hAnsi="Open Sans" w:cs="Open Sans"/>
          <w:sz w:val="18"/>
          <w:szCs w:val="18"/>
        </w:rPr>
        <w:t>core obligations</w:t>
      </w:r>
      <w:r w:rsidR="00AA3330" w:rsidRPr="00403F50">
        <w:rPr>
          <w:rFonts w:ascii="Open Sans" w:hAnsi="Open Sans" w:cs="Open Sans"/>
          <w:sz w:val="18"/>
          <w:szCs w:val="18"/>
        </w:rPr>
        <w:t>”</w:t>
      </w:r>
      <w:r w:rsidRPr="00403F50">
        <w:rPr>
          <w:rFonts w:ascii="Open Sans" w:hAnsi="Open Sans" w:cs="Open Sans"/>
          <w:sz w:val="18"/>
          <w:szCs w:val="18"/>
        </w:rPr>
        <w:t>. One of these core obligations is a requirement that harm reduction goods, facilities and services are equitably distributed and ensured on a non-discriminatory basis.</w:t>
      </w:r>
      <w:r w:rsidRPr="00403F50">
        <w:rPr>
          <w:rStyle w:val="EndnoteReference"/>
          <w:rFonts w:ascii="Open Sans" w:hAnsi="Open Sans" w:cs="Open Sans"/>
          <w:sz w:val="18"/>
          <w:szCs w:val="18"/>
        </w:rPr>
        <w:endnoteReference w:id="22"/>
      </w:r>
      <w:r w:rsidRPr="00403F50">
        <w:rPr>
          <w:rFonts w:ascii="Open Sans" w:hAnsi="Open Sans" w:cs="Open Sans"/>
          <w:sz w:val="18"/>
          <w:szCs w:val="18"/>
        </w:rPr>
        <w:t xml:space="preserve"> Research by Harm Reduction International, however, reveals that </w:t>
      </w:r>
      <w:r w:rsidR="00BD5C1E" w:rsidRPr="00403F50">
        <w:rPr>
          <w:rFonts w:ascii="Open Sans" w:hAnsi="Open Sans" w:cs="Open Sans"/>
          <w:sz w:val="18"/>
          <w:szCs w:val="18"/>
        </w:rPr>
        <w:t xml:space="preserve">existing </w:t>
      </w:r>
      <w:r w:rsidRPr="00403F50">
        <w:rPr>
          <w:rFonts w:ascii="Open Sans" w:hAnsi="Open Sans" w:cs="Open Sans"/>
          <w:sz w:val="18"/>
          <w:szCs w:val="18"/>
        </w:rPr>
        <w:t xml:space="preserve">harm reduction services in </w:t>
      </w:r>
      <w:r w:rsidR="00BD5C1E" w:rsidRPr="00403F50">
        <w:rPr>
          <w:rFonts w:ascii="Open Sans" w:hAnsi="Open Sans" w:cs="Open Sans"/>
          <w:sz w:val="18"/>
          <w:szCs w:val="18"/>
        </w:rPr>
        <w:t>Switzerland</w:t>
      </w:r>
      <w:r w:rsidRPr="00403F50">
        <w:rPr>
          <w:rFonts w:ascii="Open Sans" w:hAnsi="Open Sans" w:cs="Open Sans"/>
          <w:sz w:val="18"/>
          <w:szCs w:val="18"/>
        </w:rPr>
        <w:t xml:space="preserve"> are unequally </w:t>
      </w:r>
      <w:r w:rsidR="00BD5C1E" w:rsidRPr="00403F50">
        <w:rPr>
          <w:rFonts w:ascii="Open Sans" w:hAnsi="Open Sans" w:cs="Open Sans"/>
          <w:sz w:val="18"/>
          <w:szCs w:val="18"/>
        </w:rPr>
        <w:t xml:space="preserve">geographically </w:t>
      </w:r>
      <w:r w:rsidRPr="00403F50">
        <w:rPr>
          <w:rFonts w:ascii="Open Sans" w:hAnsi="Open Sans" w:cs="Open Sans"/>
          <w:sz w:val="18"/>
          <w:szCs w:val="18"/>
        </w:rPr>
        <w:t xml:space="preserve">distributed, while certain vulnerable and excluded populations face specific obstacles to accessing services. </w:t>
      </w:r>
    </w:p>
    <w:p w14:paraId="743F1CC1" w14:textId="77777777" w:rsidR="008F5ADC" w:rsidRPr="00403F50" w:rsidRDefault="008F5ADC" w:rsidP="00F6513C">
      <w:pPr>
        <w:jc w:val="both"/>
        <w:rPr>
          <w:rFonts w:ascii="Open Sans" w:hAnsi="Open Sans" w:cs="Open Sans"/>
          <w:sz w:val="18"/>
          <w:szCs w:val="18"/>
        </w:rPr>
      </w:pPr>
    </w:p>
    <w:p w14:paraId="4B910BFE" w14:textId="0C4EE8D4"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Despite having been available in Switzerland since the mid-1990s,</w:t>
      </w:r>
      <w:r w:rsidR="00060120">
        <w:rPr>
          <w:rFonts w:ascii="Open Sans" w:hAnsi="Open Sans" w:cs="Open Sans"/>
          <w:sz w:val="18"/>
          <w:szCs w:val="18"/>
        </w:rPr>
        <w:t xml:space="preserve"> access to</w:t>
      </w:r>
      <w:r w:rsidR="00FF15EB">
        <w:rPr>
          <w:rFonts w:ascii="Open Sans" w:hAnsi="Open Sans" w:cs="Open Sans"/>
          <w:sz w:val="18"/>
          <w:szCs w:val="18"/>
        </w:rPr>
        <w:t xml:space="preserve"> Heroin-Assisted Treatment</w:t>
      </w:r>
      <w:r w:rsidRPr="00403F50">
        <w:rPr>
          <w:rFonts w:ascii="Open Sans" w:hAnsi="Open Sans" w:cs="Open Sans"/>
          <w:sz w:val="18"/>
          <w:szCs w:val="18"/>
        </w:rPr>
        <w:t xml:space="preserve"> </w:t>
      </w:r>
      <w:r w:rsidR="00060120">
        <w:rPr>
          <w:rFonts w:ascii="Open Sans" w:hAnsi="Open Sans" w:cs="Open Sans"/>
          <w:sz w:val="18"/>
          <w:szCs w:val="18"/>
        </w:rPr>
        <w:t>is not granted on an equitable basis</w:t>
      </w:r>
      <w:r w:rsidRPr="00403F50">
        <w:rPr>
          <w:rFonts w:ascii="Open Sans" w:hAnsi="Open Sans" w:cs="Open Sans"/>
          <w:sz w:val="18"/>
          <w:szCs w:val="18"/>
        </w:rPr>
        <w:t>.</w:t>
      </w:r>
      <w:r w:rsidRPr="00403F50">
        <w:rPr>
          <w:rStyle w:val="EndnoteReference"/>
          <w:rFonts w:ascii="Open Sans" w:hAnsi="Open Sans" w:cs="Open Sans"/>
          <w:sz w:val="18"/>
          <w:szCs w:val="18"/>
        </w:rPr>
        <w:endnoteReference w:id="23"/>
      </w:r>
      <w:r w:rsidRPr="00403F50">
        <w:rPr>
          <w:rFonts w:ascii="Open Sans" w:hAnsi="Open Sans" w:cs="Open Sans"/>
          <w:sz w:val="18"/>
          <w:szCs w:val="18"/>
        </w:rPr>
        <w:t xml:space="preserve"> Currently, HAT facilities operate in only half (13) of the 26 cantons and facilities are generally centred around the major cities of Basel, Bern and Zurich.</w:t>
      </w:r>
      <w:r w:rsidRPr="00403F50">
        <w:rPr>
          <w:rStyle w:val="EndnoteReference"/>
          <w:rFonts w:ascii="Open Sans" w:hAnsi="Open Sans" w:cs="Open Sans"/>
          <w:sz w:val="18"/>
          <w:szCs w:val="18"/>
        </w:rPr>
        <w:endnoteReference w:id="24"/>
      </w:r>
      <w:r w:rsidRPr="00403F50">
        <w:rPr>
          <w:rFonts w:ascii="Open Sans" w:hAnsi="Open Sans" w:cs="Open Sans"/>
          <w:sz w:val="18"/>
          <w:szCs w:val="18"/>
        </w:rPr>
        <w:t xml:space="preserve"> In total, 23 facilities exist that are authorised to distribute </w:t>
      </w:r>
      <w:proofErr w:type="spellStart"/>
      <w:r w:rsidRPr="00403F50">
        <w:rPr>
          <w:rFonts w:ascii="Open Sans" w:hAnsi="Open Sans" w:cs="Open Sans"/>
          <w:sz w:val="18"/>
          <w:szCs w:val="18"/>
        </w:rPr>
        <w:t>diamorphine</w:t>
      </w:r>
      <w:proofErr w:type="spellEnd"/>
      <w:r w:rsidRPr="00403F50">
        <w:rPr>
          <w:rFonts w:ascii="Open Sans" w:hAnsi="Open Sans" w:cs="Open Sans"/>
          <w:sz w:val="18"/>
          <w:szCs w:val="18"/>
        </w:rPr>
        <w:t xml:space="preserve"> for substitution purposes.</w:t>
      </w:r>
      <w:r w:rsidRPr="00403F50">
        <w:rPr>
          <w:rStyle w:val="EndnoteReference"/>
          <w:rFonts w:ascii="Open Sans" w:hAnsi="Open Sans" w:cs="Open Sans"/>
          <w:sz w:val="18"/>
          <w:szCs w:val="18"/>
        </w:rPr>
        <w:endnoteReference w:id="25"/>
      </w:r>
      <w:r w:rsidRPr="00403F50">
        <w:rPr>
          <w:rFonts w:ascii="Open Sans" w:hAnsi="Open Sans" w:cs="Open Sans"/>
          <w:sz w:val="18"/>
          <w:szCs w:val="18"/>
        </w:rPr>
        <w:t xml:space="preserve"> Until 2018, only one of the facilities (in Geneva) was in the French-speaking part of Switzerland, with a further facility in the bilingual city of Biel/Bienne. In June 2018, a facility began operating in French-speaking Lausanne; however, HAT remains considerably less accessible in the French-speaking cantons.</w:t>
      </w:r>
      <w:r w:rsidRPr="00403F50">
        <w:rPr>
          <w:rStyle w:val="EndnoteReference"/>
          <w:rFonts w:ascii="Open Sans" w:hAnsi="Open Sans" w:cs="Open Sans"/>
          <w:sz w:val="18"/>
          <w:szCs w:val="18"/>
        </w:rPr>
        <w:endnoteReference w:id="26"/>
      </w:r>
      <w:r w:rsidRPr="00403F50">
        <w:rPr>
          <w:rFonts w:ascii="Open Sans" w:hAnsi="Open Sans" w:cs="Open Sans"/>
          <w:sz w:val="18"/>
          <w:szCs w:val="18"/>
        </w:rPr>
        <w:t xml:space="preserve"> Currently, no HAT facilities operate in the Italian-speaking region.</w:t>
      </w:r>
      <w:r w:rsidRPr="00403F50">
        <w:rPr>
          <w:rStyle w:val="EndnoteReference"/>
          <w:rFonts w:ascii="Open Sans" w:hAnsi="Open Sans" w:cs="Open Sans"/>
          <w:sz w:val="18"/>
          <w:szCs w:val="18"/>
        </w:rPr>
        <w:endnoteReference w:id="27"/>
      </w:r>
      <w:r w:rsidRPr="00403F50">
        <w:rPr>
          <w:rFonts w:ascii="Open Sans" w:hAnsi="Open Sans" w:cs="Open Sans"/>
          <w:sz w:val="18"/>
          <w:szCs w:val="18"/>
        </w:rPr>
        <w:t xml:space="preserve"> </w:t>
      </w:r>
    </w:p>
    <w:p w14:paraId="2869E4EF" w14:textId="77777777" w:rsidR="008F5ADC" w:rsidRPr="00403F50" w:rsidRDefault="008F5ADC" w:rsidP="0035273B">
      <w:pPr>
        <w:jc w:val="both"/>
        <w:rPr>
          <w:rFonts w:ascii="Open Sans" w:hAnsi="Open Sans" w:cs="Open Sans"/>
          <w:sz w:val="18"/>
          <w:szCs w:val="18"/>
        </w:rPr>
      </w:pPr>
    </w:p>
    <w:p w14:paraId="195B3129" w14:textId="5D0BB23B" w:rsidR="00255EF2" w:rsidRPr="00403F50" w:rsidRDefault="008F5ADC" w:rsidP="00255EF2">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Drug consumption rooms (DCR) are similarly geographically concentrated in Switzerland. Only eight of the 26 Swiss cantons have a DCR.</w:t>
      </w:r>
      <w:r w:rsidRPr="00403F50">
        <w:rPr>
          <w:rStyle w:val="EndnoteReference"/>
          <w:rFonts w:ascii="Open Sans" w:hAnsi="Open Sans" w:cs="Open Sans"/>
          <w:sz w:val="18"/>
          <w:szCs w:val="18"/>
        </w:rPr>
        <w:endnoteReference w:id="28"/>
      </w:r>
      <w:r w:rsidRPr="00403F50">
        <w:rPr>
          <w:rFonts w:ascii="Open Sans" w:hAnsi="Open Sans" w:cs="Open Sans"/>
          <w:sz w:val="18"/>
          <w:szCs w:val="18"/>
        </w:rPr>
        <w:t xml:space="preserve"> Only two are found in French-speaking cantons, and there are none in the Italian-speaking region. Four are located in the city of Zurich alone, though one is </w:t>
      </w:r>
      <w:r w:rsidR="00901C03">
        <w:rPr>
          <w:rFonts w:ascii="Open Sans" w:hAnsi="Open Sans" w:cs="Open Sans"/>
          <w:sz w:val="18"/>
          <w:szCs w:val="18"/>
        </w:rPr>
        <w:t>reported to be closing</w:t>
      </w:r>
      <w:r w:rsidRPr="00403F50">
        <w:rPr>
          <w:rFonts w:ascii="Open Sans" w:hAnsi="Open Sans" w:cs="Open Sans"/>
          <w:sz w:val="18"/>
          <w:szCs w:val="18"/>
        </w:rPr>
        <w:t xml:space="preserve"> in the near future.</w:t>
      </w:r>
      <w:r w:rsidRPr="00403F50">
        <w:rPr>
          <w:rStyle w:val="EndnoteReference"/>
          <w:rFonts w:ascii="Open Sans" w:hAnsi="Open Sans" w:cs="Open Sans"/>
          <w:sz w:val="18"/>
          <w:szCs w:val="18"/>
        </w:rPr>
        <w:endnoteReference w:id="29"/>
      </w:r>
    </w:p>
    <w:p w14:paraId="31A4C660" w14:textId="77777777" w:rsidR="00255EF2" w:rsidRPr="00403F50" w:rsidRDefault="00255EF2" w:rsidP="00255EF2">
      <w:pPr>
        <w:pStyle w:val="ListParagraph"/>
        <w:jc w:val="both"/>
        <w:rPr>
          <w:rFonts w:ascii="Open Sans" w:hAnsi="Open Sans" w:cs="Open Sans"/>
          <w:sz w:val="18"/>
          <w:szCs w:val="18"/>
        </w:rPr>
      </w:pPr>
    </w:p>
    <w:p w14:paraId="72AAE3CB" w14:textId="2641BA69"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While coverage of NSPs has remained stable over recent years and the availability of sterile injecting equipment is reportedly high, a 2015 study estimated that 24% of people who inject drugs did not engage with NSPs.</w:t>
      </w:r>
      <w:r w:rsidRPr="00403F50">
        <w:rPr>
          <w:rStyle w:val="EndnoteReference"/>
          <w:rFonts w:ascii="Open Sans" w:hAnsi="Open Sans" w:cs="Open Sans"/>
          <w:sz w:val="18"/>
          <w:szCs w:val="18"/>
        </w:rPr>
        <w:endnoteReference w:id="30"/>
      </w:r>
      <w:r w:rsidRPr="00403F50">
        <w:rPr>
          <w:rFonts w:ascii="Open Sans" w:hAnsi="Open Sans" w:cs="Open Sans"/>
          <w:sz w:val="18"/>
          <w:szCs w:val="18"/>
        </w:rPr>
        <w:t xml:space="preserve"> This could be because access to NSPs is geographically uneven. For example, NSPs in the Italian-speaking canton of Ticino are largely limited to hospitals and emergency rooms.</w:t>
      </w:r>
      <w:r w:rsidRPr="00403F50">
        <w:rPr>
          <w:rStyle w:val="EndnoteReference"/>
          <w:rFonts w:ascii="Open Sans" w:hAnsi="Open Sans" w:cs="Open Sans"/>
          <w:sz w:val="18"/>
          <w:szCs w:val="18"/>
        </w:rPr>
        <w:endnoteReference w:id="31"/>
      </w:r>
    </w:p>
    <w:p w14:paraId="3B369316" w14:textId="77777777" w:rsidR="008F5ADC" w:rsidRPr="00403F50" w:rsidRDefault="008F5ADC" w:rsidP="006A4A31">
      <w:pPr>
        <w:pStyle w:val="ListParagraph"/>
        <w:jc w:val="both"/>
        <w:rPr>
          <w:rFonts w:ascii="Open Sans" w:hAnsi="Open Sans" w:cs="Open Sans"/>
          <w:sz w:val="18"/>
          <w:szCs w:val="18"/>
        </w:rPr>
      </w:pPr>
    </w:p>
    <w:p w14:paraId="317E4D37" w14:textId="24A01A8F" w:rsidR="001D51AB" w:rsidRDefault="008F5ADC" w:rsidP="001D51AB">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Around 70-80% of people who use opioids are currently enrolled in OST in Switzerland, representing one of the world’s highest levels of coverage.</w:t>
      </w:r>
      <w:r w:rsidRPr="00403F50">
        <w:rPr>
          <w:rStyle w:val="EndnoteReference"/>
          <w:rFonts w:ascii="Open Sans" w:hAnsi="Open Sans" w:cs="Open Sans"/>
          <w:sz w:val="18"/>
          <w:szCs w:val="18"/>
        </w:rPr>
        <w:endnoteReference w:id="32"/>
      </w:r>
      <w:r w:rsidR="00060120">
        <w:rPr>
          <w:rFonts w:ascii="Open Sans" w:hAnsi="Open Sans" w:cs="Open Sans"/>
          <w:sz w:val="18"/>
          <w:szCs w:val="18"/>
        </w:rPr>
        <w:t xml:space="preserve"> Access to oral agonist treatment appear</w:t>
      </w:r>
      <w:r w:rsidR="001D51AB">
        <w:rPr>
          <w:rFonts w:ascii="Open Sans" w:hAnsi="Open Sans" w:cs="Open Sans"/>
          <w:sz w:val="18"/>
          <w:szCs w:val="18"/>
        </w:rPr>
        <w:t xml:space="preserve">s to be generally satisfactory: </w:t>
      </w:r>
      <w:r w:rsidR="00060120">
        <w:rPr>
          <w:rFonts w:ascii="Open Sans" w:hAnsi="Open Sans" w:cs="Open Sans"/>
          <w:sz w:val="18"/>
          <w:szCs w:val="18"/>
        </w:rPr>
        <w:t>General Practitioners can  prescribe methadone, buprenorphine, and long-acting morphine</w:t>
      </w:r>
      <w:r w:rsidR="001D51AB">
        <w:rPr>
          <w:rFonts w:ascii="Open Sans" w:hAnsi="Open Sans" w:cs="Open Sans"/>
          <w:sz w:val="18"/>
          <w:szCs w:val="18"/>
        </w:rPr>
        <w:t>, and have access to information and training through local networks and a national website.</w:t>
      </w:r>
      <w:r w:rsidR="001D51AB">
        <w:rPr>
          <w:rStyle w:val="EndnoteReference"/>
          <w:rFonts w:ascii="Open Sans" w:hAnsi="Open Sans" w:cs="Open Sans"/>
          <w:sz w:val="18"/>
          <w:szCs w:val="18"/>
        </w:rPr>
        <w:endnoteReference w:id="33"/>
      </w:r>
    </w:p>
    <w:p w14:paraId="664CE877" w14:textId="77777777" w:rsidR="001D51AB" w:rsidRDefault="001D51AB" w:rsidP="001D51AB">
      <w:pPr>
        <w:pStyle w:val="ListParagraph"/>
        <w:jc w:val="both"/>
        <w:rPr>
          <w:rFonts w:ascii="Open Sans" w:hAnsi="Open Sans" w:cs="Open Sans"/>
          <w:sz w:val="18"/>
          <w:szCs w:val="18"/>
        </w:rPr>
      </w:pPr>
    </w:p>
    <w:p w14:paraId="787F9CF4" w14:textId="4A5002E1" w:rsidR="008F5ADC" w:rsidRPr="001D51AB" w:rsidRDefault="00901C03" w:rsidP="001D51AB">
      <w:pPr>
        <w:pStyle w:val="ListParagraph"/>
        <w:numPr>
          <w:ilvl w:val="0"/>
          <w:numId w:val="3"/>
        </w:numPr>
        <w:jc w:val="both"/>
        <w:rPr>
          <w:rFonts w:ascii="Open Sans" w:hAnsi="Open Sans" w:cs="Open Sans"/>
          <w:sz w:val="18"/>
          <w:szCs w:val="18"/>
        </w:rPr>
      </w:pPr>
      <w:r>
        <w:rPr>
          <w:rFonts w:ascii="Open Sans" w:hAnsi="Open Sans" w:cs="Open Sans"/>
          <w:sz w:val="18"/>
          <w:szCs w:val="18"/>
        </w:rPr>
        <w:t>C</w:t>
      </w:r>
      <w:r w:rsidR="008F5ADC" w:rsidRPr="001D51AB">
        <w:rPr>
          <w:rFonts w:ascii="Open Sans" w:hAnsi="Open Sans" w:cs="Open Sans"/>
          <w:sz w:val="18"/>
          <w:szCs w:val="18"/>
        </w:rPr>
        <w:t>ertain populations still face barriers to access. For example, age thresholds prevent people</w:t>
      </w:r>
      <w:r w:rsidR="00EA58D1" w:rsidRPr="001D51AB">
        <w:rPr>
          <w:rFonts w:ascii="Open Sans" w:hAnsi="Open Sans" w:cs="Open Sans"/>
          <w:sz w:val="18"/>
          <w:szCs w:val="18"/>
        </w:rPr>
        <w:t xml:space="preserve"> under the age of 18</w:t>
      </w:r>
      <w:r w:rsidR="008F5ADC" w:rsidRPr="001D51AB">
        <w:rPr>
          <w:rFonts w:ascii="Open Sans" w:hAnsi="Open Sans" w:cs="Open Sans"/>
          <w:sz w:val="18"/>
          <w:szCs w:val="18"/>
        </w:rPr>
        <w:t xml:space="preserve"> from accessing the service,</w:t>
      </w:r>
      <w:r w:rsidR="008F5ADC" w:rsidRPr="00403F50">
        <w:rPr>
          <w:rStyle w:val="EndnoteReference"/>
          <w:rFonts w:ascii="Open Sans" w:hAnsi="Open Sans" w:cs="Open Sans"/>
          <w:sz w:val="18"/>
          <w:szCs w:val="18"/>
        </w:rPr>
        <w:endnoteReference w:id="34"/>
      </w:r>
      <w:r w:rsidR="008F5ADC" w:rsidRPr="001D51AB">
        <w:rPr>
          <w:rFonts w:ascii="Open Sans" w:hAnsi="Open Sans" w:cs="Open Sans"/>
          <w:sz w:val="18"/>
          <w:szCs w:val="18"/>
        </w:rPr>
        <w:t xml:space="preserve"> and according to Swiss civil society, people without health insurance, </w:t>
      </w:r>
      <w:r w:rsidR="00EA58D1" w:rsidRPr="001D51AB">
        <w:rPr>
          <w:rFonts w:ascii="Open Sans" w:hAnsi="Open Sans" w:cs="Open Sans"/>
          <w:sz w:val="18"/>
          <w:szCs w:val="18"/>
        </w:rPr>
        <w:t xml:space="preserve">such as </w:t>
      </w:r>
      <w:r w:rsidR="008F5ADC" w:rsidRPr="001D51AB">
        <w:rPr>
          <w:rFonts w:ascii="Open Sans" w:hAnsi="Open Sans" w:cs="Open Sans"/>
          <w:sz w:val="18"/>
          <w:szCs w:val="18"/>
        </w:rPr>
        <w:t>undocumented migrants</w:t>
      </w:r>
      <w:r w:rsidR="00AA3330" w:rsidRPr="001D51AB">
        <w:rPr>
          <w:rFonts w:ascii="Open Sans" w:hAnsi="Open Sans" w:cs="Open Sans"/>
          <w:sz w:val="18"/>
          <w:szCs w:val="18"/>
        </w:rPr>
        <w:t>, are prevented from</w:t>
      </w:r>
      <w:r w:rsidR="008F5ADC" w:rsidRPr="001D51AB">
        <w:rPr>
          <w:rFonts w:ascii="Open Sans" w:hAnsi="Open Sans" w:cs="Open Sans"/>
          <w:sz w:val="18"/>
          <w:szCs w:val="18"/>
        </w:rPr>
        <w:t xml:space="preserve"> accessing OST in Switzerland.</w:t>
      </w:r>
      <w:r w:rsidR="008F5ADC" w:rsidRPr="00403F50">
        <w:rPr>
          <w:rStyle w:val="EndnoteReference"/>
          <w:rFonts w:ascii="Open Sans" w:hAnsi="Open Sans" w:cs="Open Sans"/>
          <w:sz w:val="18"/>
          <w:szCs w:val="18"/>
        </w:rPr>
        <w:endnoteReference w:id="35"/>
      </w:r>
    </w:p>
    <w:p w14:paraId="2F31A6BD" w14:textId="77777777" w:rsidR="00A52E91" w:rsidRPr="00403F50" w:rsidRDefault="00A52E91" w:rsidP="00A52E91">
      <w:pPr>
        <w:jc w:val="both"/>
        <w:rPr>
          <w:rFonts w:ascii="Open Sans" w:hAnsi="Open Sans" w:cs="Open Sans"/>
          <w:sz w:val="18"/>
          <w:szCs w:val="18"/>
        </w:rPr>
      </w:pPr>
    </w:p>
    <w:p w14:paraId="1F021D7A" w14:textId="12F59576" w:rsidR="00A52E91" w:rsidRPr="00403F50" w:rsidRDefault="00A52E91"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Despite Switzerland being successful in substantially reducing the number of drug-related deaths between 1995 and 2010, the trend has stalled and figures have since been stable.</w:t>
      </w:r>
      <w:r w:rsidRPr="00403F50">
        <w:rPr>
          <w:rStyle w:val="EndnoteReference"/>
          <w:rFonts w:ascii="Open Sans" w:hAnsi="Open Sans" w:cs="Open Sans"/>
          <w:sz w:val="18"/>
          <w:szCs w:val="18"/>
        </w:rPr>
        <w:endnoteReference w:id="36"/>
      </w:r>
      <w:r w:rsidRPr="00403F50">
        <w:rPr>
          <w:rFonts w:ascii="Open Sans" w:hAnsi="Open Sans" w:cs="Open Sans"/>
          <w:sz w:val="18"/>
          <w:szCs w:val="18"/>
        </w:rPr>
        <w:t xml:space="preserve"> Additionally, the decline in drug-related deaths from 1995 to 2016 among women (51%) was less pronounced than the decline among men (68%). </w:t>
      </w:r>
    </w:p>
    <w:p w14:paraId="5729EAB3" w14:textId="77777777" w:rsidR="008F5ADC" w:rsidRPr="00403F50" w:rsidRDefault="008F5ADC" w:rsidP="00340C74">
      <w:pPr>
        <w:jc w:val="both"/>
        <w:rPr>
          <w:rFonts w:ascii="Open Sans" w:hAnsi="Open Sans" w:cs="Open Sans"/>
          <w:i/>
          <w:sz w:val="18"/>
          <w:szCs w:val="18"/>
        </w:rPr>
      </w:pPr>
    </w:p>
    <w:p w14:paraId="1D961D6F" w14:textId="4A6EB559" w:rsidR="008F5ADC" w:rsidRPr="00403F50" w:rsidRDefault="008F5ADC" w:rsidP="006006D7">
      <w:pPr>
        <w:pStyle w:val="Heading1"/>
      </w:pPr>
      <w:r w:rsidRPr="00403F50">
        <w:t xml:space="preserve">Harm reduction in </w:t>
      </w:r>
      <w:r w:rsidR="00915991" w:rsidRPr="00403F50">
        <w:t xml:space="preserve">Swiss </w:t>
      </w:r>
      <w:r w:rsidRPr="00403F50">
        <w:t>prisons</w:t>
      </w:r>
    </w:p>
    <w:p w14:paraId="22F3E65F" w14:textId="77777777" w:rsidR="008F5ADC" w:rsidRPr="00403F50" w:rsidRDefault="008F5ADC" w:rsidP="00340C74">
      <w:pPr>
        <w:jc w:val="both"/>
        <w:rPr>
          <w:rFonts w:ascii="Open Sans" w:hAnsi="Open Sans" w:cs="Open Sans"/>
          <w:sz w:val="18"/>
          <w:szCs w:val="18"/>
        </w:rPr>
      </w:pPr>
    </w:p>
    <w:p w14:paraId="727BF3F5" w14:textId="3D2472FA"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Prisoners retain their right to health while incarcerated, which includes the right to harm reduction and preventive health services. Denial of these services in prison settings has also been found to contribute to, or even constitute, conditions that meet the threshold of ill treatment.</w:t>
      </w:r>
      <w:r w:rsidRPr="00403F50">
        <w:rPr>
          <w:rStyle w:val="EndnoteReference"/>
          <w:rFonts w:ascii="Open Sans" w:hAnsi="Open Sans" w:cs="Open Sans"/>
          <w:sz w:val="18"/>
          <w:szCs w:val="18"/>
        </w:rPr>
        <w:endnoteReference w:id="37"/>
      </w:r>
      <w:r w:rsidRPr="00403F50">
        <w:rPr>
          <w:rFonts w:ascii="Open Sans" w:hAnsi="Open Sans" w:cs="Open Sans"/>
          <w:sz w:val="18"/>
          <w:szCs w:val="18"/>
        </w:rPr>
        <w:t xml:space="preserve"> </w:t>
      </w:r>
    </w:p>
    <w:p w14:paraId="149331CD" w14:textId="77777777" w:rsidR="008F5ADC" w:rsidRPr="00403F50" w:rsidRDefault="008F5ADC" w:rsidP="00BC5600">
      <w:pPr>
        <w:pStyle w:val="ListParagraph"/>
        <w:jc w:val="both"/>
        <w:rPr>
          <w:rFonts w:ascii="Open Sans" w:hAnsi="Open Sans" w:cs="Open Sans"/>
          <w:sz w:val="18"/>
          <w:szCs w:val="18"/>
        </w:rPr>
      </w:pPr>
    </w:p>
    <w:p w14:paraId="07235B8D" w14:textId="11E4B7C8" w:rsidR="008F5ADC" w:rsidRPr="00403F50" w:rsidRDefault="008F5ADC" w:rsidP="00BC5600">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It is now widely accepted that providing harm reduction services to the general public but not to prisoners is a flagrant violation of international human rights law.</w:t>
      </w:r>
      <w:r w:rsidRPr="00403F50">
        <w:rPr>
          <w:rStyle w:val="EndnoteReference"/>
          <w:rFonts w:ascii="Open Sans" w:hAnsi="Open Sans" w:cs="Open Sans"/>
          <w:sz w:val="18"/>
          <w:szCs w:val="18"/>
        </w:rPr>
        <w:endnoteReference w:id="38"/>
      </w:r>
      <w:r w:rsidRPr="00403F50">
        <w:rPr>
          <w:rFonts w:ascii="Open Sans" w:hAnsi="Open Sans" w:cs="Open Sans"/>
          <w:sz w:val="18"/>
          <w:szCs w:val="18"/>
        </w:rPr>
        <w:t xml:space="preserve"> This stems from the core obligation to “ensure the right of access to health facilities, goods and services, on a non-discriminatory basis, especially for vulnerable and marginalised groups”</w:t>
      </w:r>
      <w:r w:rsidR="00923031" w:rsidRPr="00403F50">
        <w:rPr>
          <w:rStyle w:val="EndnoteReference"/>
          <w:rFonts w:ascii="Open Sans" w:hAnsi="Open Sans" w:cs="Open Sans"/>
          <w:sz w:val="18"/>
          <w:szCs w:val="18"/>
        </w:rPr>
        <w:endnoteReference w:id="39"/>
      </w:r>
      <w:r w:rsidRPr="00403F50">
        <w:rPr>
          <w:rFonts w:ascii="Open Sans" w:hAnsi="Open Sans" w:cs="Open Sans"/>
          <w:sz w:val="18"/>
          <w:szCs w:val="18"/>
        </w:rPr>
        <w:t xml:space="preserve"> and, closely related to this, the obligation to provide a standard of care that is at least equivalent to that available in the broader community, commonly known as the “principle of equivalence.”</w:t>
      </w:r>
    </w:p>
    <w:p w14:paraId="1A31F834" w14:textId="77777777" w:rsidR="008F5ADC" w:rsidRPr="00403F50" w:rsidRDefault="008F5ADC" w:rsidP="003A4A17">
      <w:pPr>
        <w:jc w:val="both"/>
        <w:rPr>
          <w:rFonts w:ascii="Open Sans" w:hAnsi="Open Sans" w:cs="Open Sans"/>
          <w:sz w:val="18"/>
          <w:szCs w:val="18"/>
        </w:rPr>
      </w:pPr>
    </w:p>
    <w:p w14:paraId="3C94D8E0" w14:textId="4E5A2861" w:rsidR="008F5ADC" w:rsidRPr="00403F50" w:rsidRDefault="008F5ADC" w:rsidP="00350B5A">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In Switzerland, drug policy is based on a four pillar strategy</w:t>
      </w:r>
      <w:r w:rsidR="00C95D32" w:rsidRPr="00403F50">
        <w:rPr>
          <w:rFonts w:ascii="Open Sans" w:hAnsi="Open Sans" w:cs="Open Sans"/>
          <w:sz w:val="18"/>
          <w:szCs w:val="18"/>
        </w:rPr>
        <w:t xml:space="preserve">: </w:t>
      </w:r>
      <w:r w:rsidR="00E17ACD">
        <w:rPr>
          <w:rFonts w:ascii="Open Sans" w:hAnsi="Open Sans" w:cs="Open Sans"/>
          <w:sz w:val="18"/>
          <w:szCs w:val="18"/>
        </w:rPr>
        <w:t>p</w:t>
      </w:r>
      <w:r w:rsidR="00C95D32" w:rsidRPr="00403F50">
        <w:rPr>
          <w:rFonts w:ascii="Open Sans" w:hAnsi="Open Sans" w:cs="Open Sans"/>
          <w:sz w:val="18"/>
          <w:szCs w:val="18"/>
        </w:rPr>
        <w:t>revention, health promotion, and early detection; treatment and counselling; harm reduction and minimisation of risk; regulation and enforcement. O</w:t>
      </w:r>
      <w:r w:rsidRPr="00403F50">
        <w:rPr>
          <w:rFonts w:ascii="Open Sans" w:hAnsi="Open Sans" w:cs="Open Sans"/>
          <w:sz w:val="18"/>
          <w:szCs w:val="18"/>
        </w:rPr>
        <w:t>nly</w:t>
      </w:r>
      <w:r w:rsidR="00C95D32" w:rsidRPr="00403F50">
        <w:rPr>
          <w:rFonts w:ascii="Open Sans" w:hAnsi="Open Sans" w:cs="Open Sans"/>
          <w:sz w:val="18"/>
          <w:szCs w:val="18"/>
        </w:rPr>
        <w:t xml:space="preserve"> the latter</w:t>
      </w:r>
      <w:r w:rsidRPr="00403F50">
        <w:rPr>
          <w:rFonts w:ascii="Open Sans" w:hAnsi="Open Sans" w:cs="Open Sans"/>
          <w:sz w:val="18"/>
          <w:szCs w:val="18"/>
        </w:rPr>
        <w:t xml:space="preserve"> refers to criminal sanctions and policing.</w:t>
      </w:r>
      <w:r w:rsidRPr="00403F50">
        <w:rPr>
          <w:rStyle w:val="EndnoteReference"/>
          <w:rFonts w:ascii="Open Sans" w:hAnsi="Open Sans" w:cs="Open Sans"/>
          <w:sz w:val="18"/>
          <w:szCs w:val="18"/>
        </w:rPr>
        <w:endnoteReference w:id="40"/>
      </w:r>
      <w:r w:rsidRPr="00403F50">
        <w:rPr>
          <w:rFonts w:ascii="Open Sans" w:hAnsi="Open Sans" w:cs="Open Sans"/>
          <w:sz w:val="18"/>
          <w:szCs w:val="18"/>
        </w:rPr>
        <w:t xml:space="preserve"> While possession of all drugs except fewer than ten grams of cannabis remains subject to legal prosecution, the cantons have discretion over policing of drug use and personal possession is punished in most cases by an administrative fine rather than a prison sentence.</w:t>
      </w:r>
      <w:r w:rsidRPr="00403F50">
        <w:rPr>
          <w:rStyle w:val="EndnoteReference"/>
          <w:rFonts w:ascii="Open Sans" w:hAnsi="Open Sans" w:cs="Open Sans"/>
          <w:sz w:val="18"/>
          <w:szCs w:val="18"/>
        </w:rPr>
        <w:endnoteReference w:id="41"/>
      </w:r>
      <w:r w:rsidRPr="00403F50">
        <w:rPr>
          <w:rFonts w:ascii="Open Sans" w:hAnsi="Open Sans" w:cs="Open Sans"/>
          <w:sz w:val="18"/>
          <w:szCs w:val="18"/>
        </w:rPr>
        <w:t xml:space="preserve"> Nevertheless, 22% of Swiss prisoners are incarcerated for drug offences.</w:t>
      </w:r>
      <w:r w:rsidRPr="00403F50">
        <w:rPr>
          <w:rStyle w:val="EndnoteReference"/>
          <w:rFonts w:ascii="Open Sans" w:hAnsi="Open Sans" w:cs="Open Sans"/>
          <w:sz w:val="18"/>
          <w:szCs w:val="18"/>
        </w:rPr>
        <w:endnoteReference w:id="42"/>
      </w:r>
    </w:p>
    <w:p w14:paraId="643B0DC4" w14:textId="77777777" w:rsidR="008F5ADC" w:rsidRPr="00403F50" w:rsidRDefault="008F5ADC" w:rsidP="00350B5A">
      <w:pPr>
        <w:pStyle w:val="ListParagraph"/>
        <w:jc w:val="both"/>
        <w:rPr>
          <w:rFonts w:ascii="Open Sans" w:hAnsi="Open Sans" w:cs="Open Sans"/>
          <w:sz w:val="18"/>
          <w:szCs w:val="18"/>
        </w:rPr>
      </w:pPr>
    </w:p>
    <w:p w14:paraId="74998BC5" w14:textId="2C25C200"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The Swiss Epidemics Act 2016 obliges penal institutions to make safe injecting equipment available to prisoners</w:t>
      </w:r>
      <w:r w:rsidRPr="00403F50">
        <w:rPr>
          <w:rStyle w:val="EndnoteReference"/>
          <w:rFonts w:ascii="Open Sans" w:hAnsi="Open Sans" w:cs="Open Sans"/>
          <w:sz w:val="18"/>
          <w:szCs w:val="18"/>
        </w:rPr>
        <w:endnoteReference w:id="43"/>
      </w:r>
      <w:r w:rsidRPr="00403F50">
        <w:rPr>
          <w:rFonts w:ascii="Open Sans" w:hAnsi="Open Sans" w:cs="Open Sans"/>
          <w:sz w:val="18"/>
          <w:szCs w:val="18"/>
        </w:rPr>
        <w:t xml:space="preserve"> </w:t>
      </w:r>
      <w:r w:rsidR="00C95D32" w:rsidRPr="00403F50">
        <w:rPr>
          <w:rFonts w:ascii="Open Sans" w:hAnsi="Open Sans" w:cs="Open Sans"/>
          <w:sz w:val="18"/>
          <w:szCs w:val="18"/>
        </w:rPr>
        <w:t>H</w:t>
      </w:r>
      <w:r w:rsidRPr="00403F50">
        <w:rPr>
          <w:rFonts w:ascii="Open Sans" w:hAnsi="Open Sans" w:cs="Open Sans"/>
          <w:sz w:val="18"/>
          <w:szCs w:val="18"/>
        </w:rPr>
        <w:t>owever, civil society organisation report that prisoners remain a key population left out of NSP provision</w:t>
      </w:r>
      <w:r w:rsidR="00C95D32" w:rsidRPr="00403F50">
        <w:rPr>
          <w:rFonts w:ascii="Open Sans" w:hAnsi="Open Sans" w:cs="Open Sans"/>
          <w:sz w:val="18"/>
          <w:szCs w:val="18"/>
        </w:rPr>
        <w:t>:</w:t>
      </w:r>
      <w:r w:rsidRPr="00403F50">
        <w:rPr>
          <w:rStyle w:val="EndnoteReference"/>
          <w:rFonts w:ascii="Open Sans" w:hAnsi="Open Sans" w:cs="Open Sans"/>
          <w:sz w:val="18"/>
          <w:szCs w:val="18"/>
        </w:rPr>
        <w:endnoteReference w:id="44"/>
      </w:r>
      <w:r w:rsidRPr="00403F50">
        <w:rPr>
          <w:rFonts w:ascii="Open Sans" w:hAnsi="Open Sans" w:cs="Open Sans"/>
          <w:sz w:val="18"/>
          <w:szCs w:val="18"/>
        </w:rPr>
        <w:t xml:space="preserve">  only 14% of Swiss prisons offer NSPs (15 out of 106), making sterile injecting equipment available to just 21% of people incarcerated in the country.</w:t>
      </w:r>
      <w:r w:rsidRPr="00403F50">
        <w:rPr>
          <w:rStyle w:val="EndnoteReference"/>
          <w:rFonts w:ascii="Open Sans" w:hAnsi="Open Sans" w:cs="Open Sans"/>
          <w:sz w:val="18"/>
          <w:szCs w:val="18"/>
        </w:rPr>
        <w:endnoteReference w:id="45"/>
      </w:r>
      <w:r w:rsidRPr="00403F50">
        <w:rPr>
          <w:rFonts w:ascii="Open Sans" w:hAnsi="Open Sans" w:cs="Open Sans"/>
          <w:sz w:val="18"/>
          <w:szCs w:val="18"/>
        </w:rPr>
        <w:t xml:space="preserve"> This is despite prison-based NSPs having been shown several times, including by Swiss studies, to be an unproblematic harm reduction intervention.</w:t>
      </w:r>
      <w:r w:rsidRPr="00403F50">
        <w:rPr>
          <w:rStyle w:val="EndnoteReference"/>
          <w:rFonts w:ascii="Open Sans" w:hAnsi="Open Sans" w:cs="Open Sans"/>
          <w:sz w:val="18"/>
          <w:szCs w:val="18"/>
        </w:rPr>
        <w:endnoteReference w:id="46"/>
      </w:r>
    </w:p>
    <w:p w14:paraId="1189F570" w14:textId="77777777" w:rsidR="008F5ADC" w:rsidRPr="00403F50" w:rsidRDefault="008F5ADC" w:rsidP="003A4A17">
      <w:pPr>
        <w:pStyle w:val="ListParagraph"/>
        <w:jc w:val="both"/>
        <w:rPr>
          <w:rFonts w:ascii="Open Sans" w:hAnsi="Open Sans" w:cs="Open Sans"/>
          <w:sz w:val="18"/>
          <w:szCs w:val="18"/>
        </w:rPr>
      </w:pPr>
    </w:p>
    <w:p w14:paraId="69F0A742" w14:textId="3F904394" w:rsidR="008F5ADC" w:rsidRPr="00403F50" w:rsidRDefault="008F5ADC" w:rsidP="00B626F8">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OST remains completely unavailable in 30% of Swiss prisons, and a lack of awareness and training among prison health staff has been identified as a key barrier to OST implementation in places of detention.</w:t>
      </w:r>
      <w:r w:rsidRPr="00403F50">
        <w:rPr>
          <w:rStyle w:val="EndnoteReference"/>
          <w:rFonts w:ascii="Open Sans" w:hAnsi="Open Sans" w:cs="Open Sans"/>
          <w:sz w:val="18"/>
          <w:szCs w:val="18"/>
        </w:rPr>
        <w:endnoteReference w:id="47"/>
      </w:r>
      <w:r w:rsidRPr="00403F50">
        <w:rPr>
          <w:rFonts w:ascii="Open Sans" w:hAnsi="Open Sans" w:cs="Open Sans"/>
          <w:sz w:val="18"/>
          <w:szCs w:val="18"/>
        </w:rPr>
        <w:t xml:space="preserve"> </w:t>
      </w:r>
    </w:p>
    <w:p w14:paraId="452DE66D" w14:textId="77777777" w:rsidR="008F5ADC" w:rsidRPr="00403F50" w:rsidRDefault="008F5ADC" w:rsidP="00A65962">
      <w:pPr>
        <w:jc w:val="both"/>
        <w:rPr>
          <w:rFonts w:ascii="Open Sans" w:hAnsi="Open Sans" w:cs="Open Sans"/>
          <w:sz w:val="18"/>
          <w:szCs w:val="18"/>
        </w:rPr>
      </w:pPr>
    </w:p>
    <w:p w14:paraId="6F9B0A37" w14:textId="49F1D954" w:rsidR="00A65962" w:rsidRPr="00C432FB" w:rsidRDefault="008F5ADC" w:rsidP="00C432FB">
      <w:pPr>
        <w:pStyle w:val="ListParagraph"/>
        <w:numPr>
          <w:ilvl w:val="0"/>
          <w:numId w:val="3"/>
        </w:numPr>
        <w:jc w:val="both"/>
        <w:rPr>
          <w:rFonts w:ascii="Open Sans" w:hAnsi="Open Sans" w:cs="Open Sans"/>
          <w:sz w:val="18"/>
          <w:szCs w:val="18"/>
        </w:rPr>
      </w:pPr>
      <w:r w:rsidRPr="00403F50">
        <w:rPr>
          <w:rFonts w:ascii="Open Sans" w:hAnsi="Open Sans" w:cs="Open Sans"/>
          <w:sz w:val="18"/>
          <w:szCs w:val="18"/>
        </w:rPr>
        <w:t>While HAT is available at 23 sites across Switzerland, it is only available in one prison - the</w:t>
      </w:r>
      <w:r w:rsidR="00FF15EB">
        <w:rPr>
          <w:rFonts w:ascii="Open Sans" w:hAnsi="Open Sans" w:cs="Open Sans"/>
          <w:sz w:val="18"/>
          <w:szCs w:val="18"/>
        </w:rPr>
        <w:t xml:space="preserve"> </w:t>
      </w:r>
      <w:proofErr w:type="spellStart"/>
      <w:r w:rsidR="00FF15EB">
        <w:rPr>
          <w:rFonts w:ascii="Open Sans" w:hAnsi="Open Sans" w:cs="Open Sans"/>
          <w:sz w:val="18"/>
          <w:szCs w:val="18"/>
        </w:rPr>
        <w:t>Realta</w:t>
      </w:r>
      <w:proofErr w:type="spellEnd"/>
      <w:r w:rsidR="00FF15EB">
        <w:rPr>
          <w:rFonts w:ascii="Open Sans" w:hAnsi="Open Sans" w:cs="Open Sans"/>
          <w:sz w:val="18"/>
          <w:szCs w:val="18"/>
        </w:rPr>
        <w:t>/</w:t>
      </w:r>
      <w:proofErr w:type="spellStart"/>
      <w:r w:rsidR="00FF15EB">
        <w:rPr>
          <w:rFonts w:ascii="Open Sans" w:hAnsi="Open Sans" w:cs="Open Sans"/>
          <w:sz w:val="18"/>
          <w:szCs w:val="18"/>
        </w:rPr>
        <w:t>Cazis</w:t>
      </w:r>
      <w:proofErr w:type="spellEnd"/>
      <w:r w:rsidR="00FF15EB">
        <w:rPr>
          <w:rFonts w:ascii="Open Sans" w:hAnsi="Open Sans" w:cs="Open Sans"/>
          <w:sz w:val="18"/>
          <w:szCs w:val="18"/>
        </w:rPr>
        <w:t xml:space="preserve"> prison in Grisons – where access is limited by strict enrolment criteria.</w:t>
      </w:r>
      <w:r w:rsidRPr="00403F50">
        <w:rPr>
          <w:rStyle w:val="EndnoteReference"/>
          <w:rFonts w:ascii="Open Sans" w:hAnsi="Open Sans" w:cs="Open Sans"/>
          <w:sz w:val="18"/>
          <w:szCs w:val="18"/>
        </w:rPr>
        <w:endnoteReference w:id="48"/>
      </w:r>
    </w:p>
    <w:p w14:paraId="09D25CF1" w14:textId="5B3B2453" w:rsidR="000E2169" w:rsidRPr="00403F50" w:rsidRDefault="00113887" w:rsidP="00C432FB">
      <w:pPr>
        <w:pStyle w:val="Heading1"/>
      </w:pPr>
      <w:r w:rsidRPr="00403F50">
        <w:t>Conclusions and recommendations</w:t>
      </w:r>
    </w:p>
    <w:p w14:paraId="7F4A90BF" w14:textId="77777777" w:rsidR="00C47B6E" w:rsidRPr="00403F50" w:rsidRDefault="00C47B6E" w:rsidP="00FF21F2">
      <w:pPr>
        <w:jc w:val="both"/>
        <w:rPr>
          <w:rFonts w:ascii="Open Sans" w:hAnsi="Open Sans" w:cs="Open Sans"/>
          <w:sz w:val="18"/>
          <w:szCs w:val="18"/>
        </w:rPr>
      </w:pPr>
    </w:p>
    <w:p w14:paraId="121C639C" w14:textId="0A625286" w:rsidR="00C47B6E" w:rsidRPr="00403F50" w:rsidRDefault="00B50100" w:rsidP="00113887">
      <w:pPr>
        <w:pStyle w:val="ListParagraph"/>
        <w:numPr>
          <w:ilvl w:val="0"/>
          <w:numId w:val="3"/>
        </w:numPr>
        <w:jc w:val="both"/>
        <w:rPr>
          <w:rFonts w:ascii="Open Sans" w:hAnsi="Open Sans" w:cs="Open Sans"/>
          <w:sz w:val="18"/>
          <w:szCs w:val="18"/>
        </w:rPr>
      </w:pPr>
      <w:r>
        <w:rPr>
          <w:rFonts w:ascii="Open Sans" w:hAnsi="Open Sans" w:cs="Open Sans"/>
          <w:sz w:val="18"/>
          <w:szCs w:val="18"/>
        </w:rPr>
        <w:t>In light of these findings, HRI and the Geneva Platform</w:t>
      </w:r>
      <w:r w:rsidR="00113887" w:rsidRPr="00403F50">
        <w:rPr>
          <w:rFonts w:ascii="Open Sans" w:hAnsi="Open Sans" w:cs="Open Sans"/>
          <w:sz w:val="18"/>
          <w:szCs w:val="18"/>
        </w:rPr>
        <w:t xml:space="preserve"> invite the Committee on Economic, Social and Cultural Rights to recommend Switzerland:</w:t>
      </w:r>
    </w:p>
    <w:p w14:paraId="2C7C7B1A" w14:textId="77777777" w:rsidR="00113887" w:rsidRPr="00403F50" w:rsidRDefault="00113887" w:rsidP="00113887">
      <w:pPr>
        <w:pStyle w:val="ListParagraph"/>
        <w:jc w:val="both"/>
        <w:rPr>
          <w:rFonts w:ascii="Open Sans" w:hAnsi="Open Sans" w:cs="Open Sans"/>
          <w:sz w:val="18"/>
          <w:szCs w:val="18"/>
        </w:rPr>
      </w:pPr>
    </w:p>
    <w:p w14:paraId="33F74F63" w14:textId="6022E6FE" w:rsidR="00113887" w:rsidRPr="00403F50" w:rsidRDefault="005746CE" w:rsidP="00113887">
      <w:pPr>
        <w:pStyle w:val="ListParagraph"/>
        <w:numPr>
          <w:ilvl w:val="0"/>
          <w:numId w:val="12"/>
        </w:numPr>
        <w:jc w:val="both"/>
        <w:rPr>
          <w:rFonts w:ascii="Open Sans" w:hAnsi="Open Sans" w:cs="Open Sans"/>
          <w:sz w:val="18"/>
          <w:szCs w:val="18"/>
        </w:rPr>
      </w:pPr>
      <w:r w:rsidRPr="00403F50">
        <w:rPr>
          <w:rFonts w:ascii="Open Sans" w:hAnsi="Open Sans" w:cs="Open Sans"/>
          <w:sz w:val="18"/>
          <w:szCs w:val="18"/>
        </w:rPr>
        <w:t>Undertake a comprehensive assessment of current geographic distribution of harm reduction services and t</w:t>
      </w:r>
      <w:r w:rsidR="00E23862" w:rsidRPr="00403F50">
        <w:rPr>
          <w:rFonts w:ascii="Open Sans" w:hAnsi="Open Sans" w:cs="Open Sans"/>
          <w:sz w:val="18"/>
          <w:szCs w:val="18"/>
        </w:rPr>
        <w:t xml:space="preserve">ake </w:t>
      </w:r>
      <w:r w:rsidR="00976752" w:rsidRPr="00403F50">
        <w:rPr>
          <w:rFonts w:ascii="Open Sans" w:hAnsi="Open Sans" w:cs="Open Sans"/>
          <w:sz w:val="18"/>
          <w:szCs w:val="18"/>
        </w:rPr>
        <w:t xml:space="preserve">urgent </w:t>
      </w:r>
      <w:r w:rsidR="00E23862" w:rsidRPr="00403F50">
        <w:rPr>
          <w:rFonts w:ascii="Open Sans" w:hAnsi="Open Sans" w:cs="Open Sans"/>
          <w:sz w:val="18"/>
          <w:szCs w:val="18"/>
        </w:rPr>
        <w:t>steps to ensure</w:t>
      </w:r>
      <w:r w:rsidRPr="00403F50">
        <w:rPr>
          <w:rFonts w:ascii="Open Sans" w:hAnsi="Open Sans" w:cs="Open Sans"/>
          <w:sz w:val="18"/>
          <w:szCs w:val="18"/>
        </w:rPr>
        <w:t xml:space="preserve"> </w:t>
      </w:r>
      <w:r w:rsidR="00700FB4" w:rsidRPr="00403F50">
        <w:rPr>
          <w:rFonts w:ascii="Open Sans" w:hAnsi="Open Sans" w:cs="Open Sans"/>
          <w:sz w:val="18"/>
          <w:szCs w:val="18"/>
        </w:rPr>
        <w:t>that services</w:t>
      </w:r>
      <w:r w:rsidR="00F0503F" w:rsidRPr="00403F50">
        <w:rPr>
          <w:rFonts w:ascii="Open Sans" w:hAnsi="Open Sans" w:cs="Open Sans"/>
          <w:sz w:val="18"/>
          <w:szCs w:val="18"/>
        </w:rPr>
        <w:t xml:space="preserve"> are </w:t>
      </w:r>
      <w:r w:rsidR="004605E3" w:rsidRPr="00403F50">
        <w:rPr>
          <w:rFonts w:ascii="Open Sans" w:hAnsi="Open Sans" w:cs="Open Sans"/>
          <w:sz w:val="18"/>
          <w:szCs w:val="18"/>
        </w:rPr>
        <w:t xml:space="preserve">available </w:t>
      </w:r>
      <w:r w:rsidR="008F7274">
        <w:rPr>
          <w:rFonts w:ascii="Open Sans" w:hAnsi="Open Sans" w:cs="Open Sans"/>
          <w:sz w:val="18"/>
          <w:szCs w:val="18"/>
        </w:rPr>
        <w:t>where people use drugs</w:t>
      </w:r>
      <w:r w:rsidR="00F0503F" w:rsidRPr="00403F50">
        <w:rPr>
          <w:rFonts w:ascii="Open Sans" w:hAnsi="Open Sans" w:cs="Open Sans"/>
          <w:sz w:val="18"/>
          <w:szCs w:val="18"/>
        </w:rPr>
        <w:t xml:space="preserve"> </w:t>
      </w:r>
      <w:r w:rsidR="00E23862" w:rsidRPr="00403F50">
        <w:rPr>
          <w:rFonts w:ascii="Open Sans" w:hAnsi="Open Sans" w:cs="Open Sans"/>
          <w:sz w:val="18"/>
          <w:szCs w:val="18"/>
        </w:rPr>
        <w:t>throughout the country</w:t>
      </w:r>
      <w:r w:rsidR="00886024" w:rsidRPr="00403F50">
        <w:rPr>
          <w:rFonts w:ascii="Open Sans" w:hAnsi="Open Sans" w:cs="Open Sans"/>
          <w:sz w:val="18"/>
          <w:szCs w:val="18"/>
        </w:rPr>
        <w:t xml:space="preserve"> </w:t>
      </w:r>
      <w:r w:rsidR="008F7274">
        <w:rPr>
          <w:rFonts w:ascii="Open Sans" w:hAnsi="Open Sans" w:cs="Open Sans"/>
          <w:sz w:val="18"/>
          <w:szCs w:val="18"/>
        </w:rPr>
        <w:t>and</w:t>
      </w:r>
      <w:r w:rsidR="00886024" w:rsidRPr="00403F50">
        <w:rPr>
          <w:rFonts w:ascii="Open Sans" w:hAnsi="Open Sans" w:cs="Open Sans"/>
          <w:sz w:val="18"/>
          <w:szCs w:val="18"/>
        </w:rPr>
        <w:t xml:space="preserve"> access</w:t>
      </w:r>
      <w:r w:rsidR="008F7274">
        <w:rPr>
          <w:rFonts w:ascii="Open Sans" w:hAnsi="Open Sans" w:cs="Open Sans"/>
          <w:sz w:val="18"/>
          <w:szCs w:val="18"/>
        </w:rPr>
        <w:t>ible</w:t>
      </w:r>
      <w:r w:rsidR="00886024" w:rsidRPr="00403F50">
        <w:rPr>
          <w:rFonts w:ascii="Open Sans" w:hAnsi="Open Sans" w:cs="Open Sans"/>
          <w:sz w:val="18"/>
          <w:szCs w:val="18"/>
        </w:rPr>
        <w:t xml:space="preserve"> </w:t>
      </w:r>
      <w:r w:rsidR="00F0503F" w:rsidRPr="00403F50">
        <w:rPr>
          <w:rFonts w:ascii="Open Sans" w:hAnsi="Open Sans" w:cs="Open Sans"/>
          <w:sz w:val="18"/>
          <w:szCs w:val="18"/>
        </w:rPr>
        <w:t>on a non-discriminatory basis</w:t>
      </w:r>
      <w:r w:rsidR="00E23862" w:rsidRPr="00403F50">
        <w:rPr>
          <w:rFonts w:ascii="Open Sans" w:hAnsi="Open Sans" w:cs="Open Sans"/>
          <w:sz w:val="18"/>
          <w:szCs w:val="18"/>
        </w:rPr>
        <w:t>;</w:t>
      </w:r>
      <w:r w:rsidR="00F0503F" w:rsidRPr="00403F50">
        <w:rPr>
          <w:rFonts w:ascii="Open Sans" w:hAnsi="Open Sans" w:cs="Open Sans"/>
          <w:sz w:val="18"/>
          <w:szCs w:val="18"/>
        </w:rPr>
        <w:t xml:space="preserve"> </w:t>
      </w:r>
    </w:p>
    <w:p w14:paraId="62EA6C7A" w14:textId="77777777" w:rsidR="00FD7C6B" w:rsidRPr="00403F50" w:rsidRDefault="00FD7C6B" w:rsidP="00FD7C6B">
      <w:pPr>
        <w:pStyle w:val="ListParagraph"/>
        <w:ind w:left="1080"/>
        <w:jc w:val="both"/>
        <w:rPr>
          <w:rFonts w:ascii="Open Sans" w:hAnsi="Open Sans" w:cs="Open Sans"/>
          <w:sz w:val="18"/>
          <w:szCs w:val="18"/>
        </w:rPr>
      </w:pPr>
    </w:p>
    <w:p w14:paraId="68DF2706" w14:textId="6D7E6592" w:rsidR="00FD7C6B" w:rsidRPr="00403F50" w:rsidRDefault="005746CE" w:rsidP="00FD7C6B">
      <w:pPr>
        <w:pStyle w:val="ListParagraph"/>
        <w:numPr>
          <w:ilvl w:val="0"/>
          <w:numId w:val="12"/>
        </w:numPr>
        <w:jc w:val="both"/>
        <w:rPr>
          <w:rFonts w:ascii="Open Sans" w:hAnsi="Open Sans" w:cs="Open Sans"/>
          <w:sz w:val="18"/>
          <w:szCs w:val="18"/>
        </w:rPr>
      </w:pPr>
      <w:r w:rsidRPr="00403F50">
        <w:rPr>
          <w:rFonts w:ascii="Open Sans" w:hAnsi="Open Sans" w:cs="Open Sans"/>
          <w:sz w:val="18"/>
          <w:szCs w:val="18"/>
        </w:rPr>
        <w:t xml:space="preserve">Undertake a comprehensive assessment </w:t>
      </w:r>
      <w:r w:rsidR="004C64AB" w:rsidRPr="00403F50">
        <w:rPr>
          <w:rFonts w:ascii="Open Sans" w:hAnsi="Open Sans" w:cs="Open Sans"/>
          <w:sz w:val="18"/>
          <w:szCs w:val="18"/>
        </w:rPr>
        <w:t>on the</w:t>
      </w:r>
      <w:r w:rsidR="00614232" w:rsidRPr="00403F50">
        <w:rPr>
          <w:rFonts w:ascii="Open Sans" w:hAnsi="Open Sans" w:cs="Open Sans"/>
          <w:sz w:val="18"/>
          <w:szCs w:val="18"/>
        </w:rPr>
        <w:t xml:space="preserve"> </w:t>
      </w:r>
      <w:r w:rsidR="009F37D3" w:rsidRPr="00403F50">
        <w:rPr>
          <w:rFonts w:ascii="Open Sans" w:hAnsi="Open Sans" w:cs="Open Sans"/>
          <w:sz w:val="18"/>
          <w:szCs w:val="18"/>
        </w:rPr>
        <w:t>accessibility of harm reduction services</w:t>
      </w:r>
      <w:r w:rsidR="00886024" w:rsidRPr="00403F50">
        <w:rPr>
          <w:rFonts w:ascii="Open Sans" w:hAnsi="Open Sans" w:cs="Open Sans"/>
          <w:sz w:val="18"/>
          <w:szCs w:val="18"/>
        </w:rPr>
        <w:t xml:space="preserve"> and </w:t>
      </w:r>
      <w:r w:rsidR="00277D04" w:rsidRPr="00403F50">
        <w:rPr>
          <w:rFonts w:ascii="Open Sans" w:hAnsi="Open Sans" w:cs="Open Sans"/>
          <w:sz w:val="18"/>
          <w:szCs w:val="18"/>
        </w:rPr>
        <w:t xml:space="preserve">work to </w:t>
      </w:r>
      <w:r w:rsidR="00886024" w:rsidRPr="00403F50">
        <w:rPr>
          <w:rFonts w:ascii="Open Sans" w:hAnsi="Open Sans" w:cs="Open Sans"/>
          <w:sz w:val="18"/>
          <w:szCs w:val="18"/>
        </w:rPr>
        <w:t>remove</w:t>
      </w:r>
      <w:r w:rsidR="00AB0ACE" w:rsidRPr="00403F50">
        <w:rPr>
          <w:rFonts w:ascii="Open Sans" w:hAnsi="Open Sans" w:cs="Open Sans"/>
          <w:sz w:val="18"/>
          <w:szCs w:val="18"/>
        </w:rPr>
        <w:t xml:space="preserve"> any</w:t>
      </w:r>
      <w:r w:rsidR="00886024" w:rsidRPr="00403F50">
        <w:rPr>
          <w:rFonts w:ascii="Open Sans" w:hAnsi="Open Sans" w:cs="Open Sans"/>
          <w:sz w:val="18"/>
          <w:szCs w:val="18"/>
        </w:rPr>
        <w:t xml:space="preserve"> </w:t>
      </w:r>
      <w:r w:rsidR="00AB0ACE" w:rsidRPr="00403F50">
        <w:rPr>
          <w:rFonts w:ascii="Open Sans" w:hAnsi="Open Sans" w:cs="Open Sans"/>
          <w:sz w:val="18"/>
          <w:szCs w:val="18"/>
        </w:rPr>
        <w:t xml:space="preserve">unnecessary </w:t>
      </w:r>
      <w:r w:rsidR="00233261" w:rsidRPr="00403F50">
        <w:rPr>
          <w:rFonts w:ascii="Open Sans" w:hAnsi="Open Sans" w:cs="Open Sans"/>
          <w:sz w:val="18"/>
          <w:szCs w:val="18"/>
        </w:rPr>
        <w:t xml:space="preserve">barriers, such as age thresholds and </w:t>
      </w:r>
      <w:r w:rsidR="00F57ECB" w:rsidRPr="00403F50">
        <w:rPr>
          <w:rFonts w:ascii="Open Sans" w:hAnsi="Open Sans" w:cs="Open Sans"/>
          <w:sz w:val="18"/>
          <w:szCs w:val="18"/>
        </w:rPr>
        <w:t xml:space="preserve">insurance </w:t>
      </w:r>
      <w:r w:rsidR="005D560B" w:rsidRPr="00403F50">
        <w:rPr>
          <w:rFonts w:ascii="Open Sans" w:hAnsi="Open Sans" w:cs="Open Sans"/>
          <w:sz w:val="18"/>
          <w:szCs w:val="18"/>
        </w:rPr>
        <w:t>criteria</w:t>
      </w:r>
      <w:r w:rsidR="00F57ECB" w:rsidRPr="00403F50">
        <w:rPr>
          <w:rFonts w:ascii="Open Sans" w:hAnsi="Open Sans" w:cs="Open Sans"/>
          <w:sz w:val="18"/>
          <w:szCs w:val="18"/>
        </w:rPr>
        <w:t>;</w:t>
      </w:r>
    </w:p>
    <w:p w14:paraId="2D455F5B" w14:textId="77777777" w:rsidR="00FF1E84" w:rsidRPr="00403F50" w:rsidRDefault="00FF1E84" w:rsidP="00FF1E84">
      <w:pPr>
        <w:jc w:val="both"/>
        <w:rPr>
          <w:rFonts w:ascii="Open Sans" w:hAnsi="Open Sans" w:cs="Open Sans"/>
          <w:sz w:val="18"/>
          <w:szCs w:val="18"/>
        </w:rPr>
      </w:pPr>
    </w:p>
    <w:p w14:paraId="6E4A239E" w14:textId="52AF582A" w:rsidR="00FF1E84" w:rsidRPr="00403F50" w:rsidRDefault="00C65877" w:rsidP="00FD7C6B">
      <w:pPr>
        <w:pStyle w:val="ListParagraph"/>
        <w:numPr>
          <w:ilvl w:val="0"/>
          <w:numId w:val="12"/>
        </w:numPr>
        <w:jc w:val="both"/>
        <w:rPr>
          <w:rFonts w:ascii="Open Sans" w:hAnsi="Open Sans" w:cs="Open Sans"/>
          <w:sz w:val="18"/>
          <w:szCs w:val="18"/>
        </w:rPr>
      </w:pPr>
      <w:r w:rsidRPr="00403F50">
        <w:rPr>
          <w:rFonts w:ascii="Open Sans" w:hAnsi="Open Sans" w:cs="Open Sans"/>
          <w:sz w:val="18"/>
          <w:szCs w:val="18"/>
        </w:rPr>
        <w:t xml:space="preserve">Take </w:t>
      </w:r>
      <w:r w:rsidR="00976752" w:rsidRPr="00403F50">
        <w:rPr>
          <w:rFonts w:ascii="Open Sans" w:hAnsi="Open Sans" w:cs="Open Sans"/>
          <w:sz w:val="18"/>
          <w:szCs w:val="18"/>
        </w:rPr>
        <w:t xml:space="preserve">urgent </w:t>
      </w:r>
      <w:r w:rsidRPr="00403F50">
        <w:rPr>
          <w:rFonts w:ascii="Open Sans" w:hAnsi="Open Sans" w:cs="Open Sans"/>
          <w:sz w:val="18"/>
          <w:szCs w:val="18"/>
        </w:rPr>
        <w:t>steps to ensure</w:t>
      </w:r>
      <w:r w:rsidR="00FF1E84" w:rsidRPr="00403F50">
        <w:rPr>
          <w:rFonts w:ascii="Open Sans" w:hAnsi="Open Sans" w:cs="Open Sans"/>
          <w:sz w:val="18"/>
          <w:szCs w:val="18"/>
        </w:rPr>
        <w:t xml:space="preserve"> that overdose prevention</w:t>
      </w:r>
      <w:r w:rsidR="00E521FE" w:rsidRPr="00403F50">
        <w:rPr>
          <w:rFonts w:ascii="Open Sans" w:hAnsi="Open Sans" w:cs="Open Sans"/>
          <w:sz w:val="18"/>
          <w:szCs w:val="18"/>
        </w:rPr>
        <w:t xml:space="preserve"> services </w:t>
      </w:r>
      <w:r w:rsidR="00E17ACD">
        <w:rPr>
          <w:rFonts w:ascii="Open Sans" w:hAnsi="Open Sans" w:cs="Open Sans"/>
          <w:sz w:val="18"/>
          <w:szCs w:val="18"/>
        </w:rPr>
        <w:t xml:space="preserve">are </w:t>
      </w:r>
      <w:r w:rsidR="00FF1E84" w:rsidRPr="00403F50">
        <w:rPr>
          <w:rFonts w:ascii="Open Sans" w:hAnsi="Open Sans" w:cs="Open Sans"/>
          <w:sz w:val="18"/>
          <w:szCs w:val="18"/>
        </w:rPr>
        <w:t xml:space="preserve">available and accessible to the most vulnerable populations of people who use drugs, including women.  </w:t>
      </w:r>
    </w:p>
    <w:p w14:paraId="56507D2E" w14:textId="77777777" w:rsidR="00FD7C6B" w:rsidRPr="00403F50" w:rsidRDefault="00FD7C6B" w:rsidP="00FD7C6B">
      <w:pPr>
        <w:pStyle w:val="ListParagraph"/>
        <w:ind w:left="1080"/>
        <w:jc w:val="both"/>
        <w:rPr>
          <w:rFonts w:ascii="Open Sans" w:hAnsi="Open Sans" w:cs="Open Sans"/>
          <w:sz w:val="18"/>
          <w:szCs w:val="18"/>
        </w:rPr>
      </w:pPr>
    </w:p>
    <w:p w14:paraId="4C72DE8C" w14:textId="56D179C5" w:rsidR="006006D7" w:rsidRDefault="00233261" w:rsidP="006006D7">
      <w:pPr>
        <w:pStyle w:val="ListParagraph"/>
        <w:numPr>
          <w:ilvl w:val="0"/>
          <w:numId w:val="12"/>
        </w:numPr>
        <w:jc w:val="both"/>
        <w:rPr>
          <w:rFonts w:ascii="Open Sans" w:hAnsi="Open Sans" w:cs="Open Sans"/>
          <w:sz w:val="18"/>
          <w:szCs w:val="18"/>
        </w:rPr>
      </w:pPr>
      <w:r w:rsidRPr="00403F50">
        <w:rPr>
          <w:rFonts w:ascii="Open Sans" w:hAnsi="Open Sans" w:cs="Open Sans"/>
          <w:sz w:val="18"/>
          <w:szCs w:val="18"/>
        </w:rPr>
        <w:t>Scale up provision of harm reduction services in pri</w:t>
      </w:r>
      <w:r w:rsidR="00F4438A" w:rsidRPr="00403F50">
        <w:rPr>
          <w:rFonts w:ascii="Open Sans" w:hAnsi="Open Sans" w:cs="Open Sans"/>
          <w:sz w:val="18"/>
          <w:szCs w:val="18"/>
        </w:rPr>
        <w:t xml:space="preserve">son settings </w:t>
      </w:r>
      <w:r w:rsidR="00BC49A3" w:rsidRPr="00403F50">
        <w:rPr>
          <w:rFonts w:ascii="Open Sans" w:hAnsi="Open Sans" w:cs="Open Sans"/>
          <w:sz w:val="18"/>
          <w:szCs w:val="18"/>
        </w:rPr>
        <w:t>as a matter of priority</w:t>
      </w:r>
      <w:r w:rsidR="00F4438A" w:rsidRPr="00403F50">
        <w:rPr>
          <w:rFonts w:ascii="Open Sans" w:hAnsi="Open Sans" w:cs="Open Sans"/>
          <w:sz w:val="18"/>
          <w:szCs w:val="18"/>
        </w:rPr>
        <w:t xml:space="preserve"> to </w:t>
      </w:r>
      <w:r w:rsidR="00CB6BA9" w:rsidRPr="00403F50">
        <w:rPr>
          <w:rFonts w:ascii="Open Sans" w:hAnsi="Open Sans" w:cs="Open Sans"/>
          <w:sz w:val="18"/>
          <w:szCs w:val="18"/>
        </w:rPr>
        <w:t>ensure non-discriminatory access</w:t>
      </w:r>
      <w:r w:rsidR="00521EB1" w:rsidRPr="00403F50">
        <w:rPr>
          <w:rFonts w:ascii="Open Sans" w:hAnsi="Open Sans" w:cs="Open Sans"/>
          <w:sz w:val="18"/>
          <w:szCs w:val="18"/>
        </w:rPr>
        <w:t xml:space="preserve"> and </w:t>
      </w:r>
      <w:r w:rsidR="006B60CD" w:rsidRPr="00403F50">
        <w:rPr>
          <w:rFonts w:ascii="Open Sans" w:hAnsi="Open Sans" w:cs="Open Sans"/>
          <w:sz w:val="18"/>
          <w:szCs w:val="18"/>
        </w:rPr>
        <w:t>equivalence of care</w:t>
      </w:r>
      <w:r w:rsidR="00962549" w:rsidRPr="00403F50">
        <w:rPr>
          <w:rFonts w:ascii="Open Sans" w:hAnsi="Open Sans" w:cs="Open Sans"/>
          <w:sz w:val="18"/>
          <w:szCs w:val="18"/>
        </w:rPr>
        <w:t xml:space="preserve"> to prisoners</w:t>
      </w:r>
      <w:r w:rsidR="006B60CD" w:rsidRPr="00403F50">
        <w:rPr>
          <w:rFonts w:ascii="Open Sans" w:hAnsi="Open Sans" w:cs="Open Sans"/>
          <w:sz w:val="18"/>
          <w:szCs w:val="18"/>
        </w:rPr>
        <w:t>;</w:t>
      </w:r>
    </w:p>
    <w:p w14:paraId="3D395B99" w14:textId="77777777" w:rsidR="00D66223" w:rsidRDefault="00D66223" w:rsidP="00D66223">
      <w:pPr>
        <w:pStyle w:val="ListParagraph"/>
        <w:ind w:left="1080"/>
        <w:jc w:val="both"/>
        <w:rPr>
          <w:rFonts w:ascii="Open Sans" w:hAnsi="Open Sans" w:cs="Open Sans"/>
          <w:sz w:val="18"/>
          <w:szCs w:val="18"/>
        </w:rPr>
      </w:pPr>
    </w:p>
    <w:p w14:paraId="7D16A173" w14:textId="315879E5" w:rsidR="00D66223" w:rsidRDefault="00D66223" w:rsidP="006006D7">
      <w:pPr>
        <w:pStyle w:val="ListParagraph"/>
        <w:numPr>
          <w:ilvl w:val="0"/>
          <w:numId w:val="12"/>
        </w:numPr>
        <w:jc w:val="both"/>
        <w:rPr>
          <w:rFonts w:ascii="Open Sans" w:hAnsi="Open Sans" w:cs="Open Sans"/>
          <w:sz w:val="18"/>
          <w:szCs w:val="18"/>
        </w:rPr>
      </w:pPr>
      <w:r>
        <w:rPr>
          <w:rFonts w:ascii="Open Sans" w:hAnsi="Open Sans" w:cs="Open Sans"/>
          <w:sz w:val="18"/>
          <w:szCs w:val="18"/>
        </w:rPr>
        <w:t>Con</w:t>
      </w:r>
      <w:r w:rsidR="00FF15EB">
        <w:rPr>
          <w:rFonts w:ascii="Open Sans" w:hAnsi="Open Sans" w:cs="Open Sans"/>
          <w:sz w:val="18"/>
          <w:szCs w:val="18"/>
        </w:rPr>
        <w:t xml:space="preserve">sider fully decriminalising all possession </w:t>
      </w:r>
      <w:r>
        <w:rPr>
          <w:rFonts w:ascii="Open Sans" w:hAnsi="Open Sans" w:cs="Open Sans"/>
          <w:sz w:val="18"/>
          <w:szCs w:val="18"/>
        </w:rPr>
        <w:t>drug offences;</w:t>
      </w:r>
    </w:p>
    <w:p w14:paraId="7208964F" w14:textId="77777777" w:rsidR="006006D7" w:rsidRDefault="006006D7" w:rsidP="006006D7">
      <w:pPr>
        <w:pStyle w:val="ListParagraph"/>
        <w:ind w:left="1080"/>
        <w:jc w:val="both"/>
        <w:rPr>
          <w:rFonts w:ascii="Open Sans" w:hAnsi="Open Sans" w:cs="Open Sans"/>
          <w:sz w:val="18"/>
          <w:szCs w:val="18"/>
        </w:rPr>
      </w:pPr>
    </w:p>
    <w:p w14:paraId="6097BD0C" w14:textId="26A8E750" w:rsidR="00C95D32" w:rsidRPr="006006D7" w:rsidRDefault="00E17ACD" w:rsidP="006006D7">
      <w:pPr>
        <w:pStyle w:val="ListParagraph"/>
        <w:numPr>
          <w:ilvl w:val="0"/>
          <w:numId w:val="12"/>
        </w:numPr>
        <w:jc w:val="both"/>
        <w:rPr>
          <w:rFonts w:ascii="Open Sans" w:hAnsi="Open Sans" w:cs="Open Sans"/>
          <w:sz w:val="18"/>
          <w:szCs w:val="18"/>
        </w:rPr>
      </w:pPr>
      <w:r>
        <w:rPr>
          <w:rFonts w:ascii="Open Sans" w:hAnsi="Open Sans" w:cs="Open Sans"/>
          <w:sz w:val="18"/>
          <w:szCs w:val="18"/>
        </w:rPr>
        <w:t>I</w:t>
      </w:r>
      <w:r w:rsidR="006006D7">
        <w:rPr>
          <w:rFonts w:ascii="Open Sans" w:hAnsi="Open Sans" w:cs="Open Sans"/>
          <w:sz w:val="18"/>
          <w:szCs w:val="18"/>
        </w:rPr>
        <w:t>mplement and fund a programme for the roll-out of the In</w:t>
      </w:r>
      <w:r w:rsidR="00C95D32" w:rsidRPr="006006D7">
        <w:rPr>
          <w:rFonts w:ascii="Open Sans" w:hAnsi="Open Sans" w:cs="Open Sans"/>
          <w:sz w:val="18"/>
          <w:szCs w:val="18"/>
        </w:rPr>
        <w:t xml:space="preserve">ternational Guidelines on Human Rights and Drug Policy at the domestic </w:t>
      </w:r>
      <w:r w:rsidR="006006D7">
        <w:rPr>
          <w:rFonts w:ascii="Open Sans" w:hAnsi="Open Sans" w:cs="Open Sans"/>
          <w:sz w:val="18"/>
          <w:szCs w:val="18"/>
        </w:rPr>
        <w:t xml:space="preserve">level, including training for policymakers, healthcare professionals, and </w:t>
      </w:r>
      <w:r w:rsidR="00C432FB">
        <w:rPr>
          <w:rFonts w:ascii="Open Sans" w:hAnsi="Open Sans" w:cs="Open Sans"/>
          <w:sz w:val="18"/>
          <w:szCs w:val="18"/>
        </w:rPr>
        <w:t xml:space="preserve">service providers. </w:t>
      </w:r>
    </w:p>
    <w:p w14:paraId="442F63B0" w14:textId="77777777" w:rsidR="00A95795" w:rsidRPr="00403F50" w:rsidRDefault="00A95795" w:rsidP="00A95795">
      <w:pPr>
        <w:jc w:val="both"/>
        <w:rPr>
          <w:rFonts w:ascii="Open Sans" w:hAnsi="Open Sans" w:cs="Open Sans"/>
          <w:sz w:val="18"/>
          <w:szCs w:val="18"/>
        </w:rPr>
      </w:pPr>
    </w:p>
    <w:p w14:paraId="481AB8C6" w14:textId="77777777" w:rsidR="00A95795" w:rsidRPr="00403F50" w:rsidRDefault="00A95795" w:rsidP="00A95795">
      <w:pPr>
        <w:jc w:val="both"/>
        <w:rPr>
          <w:rFonts w:ascii="Open Sans" w:hAnsi="Open Sans" w:cs="Open Sans"/>
          <w:sz w:val="18"/>
          <w:szCs w:val="18"/>
        </w:rPr>
      </w:pPr>
    </w:p>
    <w:p w14:paraId="736CB179" w14:textId="77777777" w:rsidR="00A95795" w:rsidRPr="00403F50" w:rsidRDefault="00A95795" w:rsidP="00A95795">
      <w:pPr>
        <w:jc w:val="both"/>
        <w:rPr>
          <w:rFonts w:ascii="Open Sans" w:hAnsi="Open Sans" w:cs="Open Sans"/>
          <w:sz w:val="18"/>
          <w:szCs w:val="18"/>
        </w:rPr>
      </w:pPr>
    </w:p>
    <w:p w14:paraId="2BE16618" w14:textId="77777777" w:rsidR="00A95795" w:rsidRPr="00403F50" w:rsidRDefault="00A95795" w:rsidP="00A95795">
      <w:pPr>
        <w:jc w:val="both"/>
        <w:rPr>
          <w:rFonts w:ascii="Open Sans" w:hAnsi="Open Sans" w:cs="Open Sans"/>
          <w:sz w:val="18"/>
          <w:szCs w:val="18"/>
        </w:rPr>
      </w:pPr>
    </w:p>
    <w:p w14:paraId="0116795E" w14:textId="77777777" w:rsidR="00A95795" w:rsidRPr="00403F50" w:rsidRDefault="00A95795" w:rsidP="00A95795">
      <w:pPr>
        <w:jc w:val="both"/>
        <w:rPr>
          <w:rFonts w:ascii="Open Sans" w:hAnsi="Open Sans" w:cs="Open Sans"/>
          <w:sz w:val="18"/>
          <w:szCs w:val="18"/>
        </w:rPr>
      </w:pPr>
    </w:p>
    <w:p w14:paraId="563ACC09" w14:textId="77777777" w:rsidR="00A95795" w:rsidRPr="00403F50" w:rsidRDefault="00A95795" w:rsidP="00A95795">
      <w:pPr>
        <w:jc w:val="both"/>
        <w:rPr>
          <w:rFonts w:ascii="Open Sans" w:hAnsi="Open Sans" w:cs="Open Sans"/>
          <w:sz w:val="18"/>
          <w:szCs w:val="18"/>
        </w:rPr>
      </w:pPr>
    </w:p>
    <w:sectPr w:rsidR="00A95795" w:rsidRPr="00403F50" w:rsidSect="00D66223">
      <w:headerReference w:type="default" r:id="rId10"/>
      <w:footerReference w:type="default" r:id="rId11"/>
      <w:endnotePr>
        <w:numFmt w:val="decimal"/>
      </w:endnotePr>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8DA3" w14:textId="77777777" w:rsidR="00411DC0" w:rsidRDefault="00411DC0" w:rsidP="00EA6361">
      <w:r>
        <w:separator/>
      </w:r>
    </w:p>
  </w:endnote>
  <w:endnote w:type="continuationSeparator" w:id="0">
    <w:p w14:paraId="05BF7115" w14:textId="77777777" w:rsidR="00411DC0" w:rsidRDefault="00411DC0" w:rsidP="00EA6361">
      <w:r>
        <w:continuationSeparator/>
      </w:r>
    </w:p>
  </w:endnote>
  <w:endnote w:id="1">
    <w:p w14:paraId="0623A494" w14:textId="77777777" w:rsidR="008F5ADC" w:rsidRPr="00FC4AC6" w:rsidRDefault="008F5ADC" w:rsidP="008F5ADC">
      <w:pPr>
        <w:pStyle w:val="EndnoteText"/>
        <w:contextualSpacing/>
        <w:jc w:val="both"/>
        <w:rPr>
          <w:rFonts w:ascii="Open Sans" w:hAnsi="Open Sans" w:cs="Open Sans"/>
          <w:color w:val="000000" w:themeColor="text1"/>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Pr="00FC4AC6">
        <w:rPr>
          <w:rFonts w:ascii="Open Sans" w:hAnsi="Open Sans" w:cs="Open Sans"/>
          <w:color w:val="000000" w:themeColor="text1"/>
          <w:sz w:val="16"/>
          <w:szCs w:val="16"/>
        </w:rPr>
        <w:t xml:space="preserve">Among others, see: </w:t>
      </w:r>
      <w:r w:rsidRPr="00FC4AC6">
        <w:rPr>
          <w:rFonts w:ascii="Open Sans" w:hAnsi="Open Sans" w:cs="Open Sans"/>
          <w:sz w:val="16"/>
          <w:szCs w:val="16"/>
        </w:rPr>
        <w:t>Paul Hunt, ‘Human rights, health, and harm reduction’, 8;</w:t>
      </w:r>
      <w:r w:rsidRPr="00FC4AC6">
        <w:rPr>
          <w:rFonts w:ascii="Open Sans" w:hAnsi="Open Sans" w:cs="Open Sans"/>
          <w:color w:val="000000" w:themeColor="text1"/>
          <w:sz w:val="16"/>
          <w:szCs w:val="16"/>
        </w:rPr>
        <w:t xml:space="preserve"> Report of the Special Rapporteur on the right of everyone to the enjoyment of the highest attainable standard of physical and mental health, Anand Grover (2010) A/65/255, para. 55; CESCR, Concluding Observations on the combined initial and second periodic reports of Thailand, UN Doc. E//C.12/THA/CO/1-2; CEDAW, Concluding Observations on the combined fourth and fifth periodic reports of Georgia (2014), UN Doc. CEDAW/C/GEO/CO/4-5, para. 31(e); Report of the Special Rapporteur on the right of everyone to the enjoyment of the highest attainable standard of physical and mental health, Anand Grover, Mission to Poland (2010) A/HRC/14/20/Add.3, para. 86; CESCR, 2016, Concluding Observations on the sixth periodic report of Sweden. UN Doc. E/C.12/SWE/CO/6.</w:t>
      </w:r>
    </w:p>
    <w:p w14:paraId="17B13A38" w14:textId="3CDE315A" w:rsidR="008F5ADC" w:rsidRPr="00FC4AC6" w:rsidRDefault="008F5ADC" w:rsidP="008F5ADC">
      <w:pPr>
        <w:pStyle w:val="EndnoteText"/>
        <w:rPr>
          <w:rFonts w:ascii="Open Sans" w:hAnsi="Open Sans" w:cs="Open Sans"/>
          <w:sz w:val="16"/>
          <w:szCs w:val="16"/>
        </w:rPr>
      </w:pPr>
      <w:r w:rsidRPr="00FC4AC6">
        <w:rPr>
          <w:rFonts w:ascii="Open Sans" w:hAnsi="Open Sans" w:cs="Open Sans"/>
          <w:color w:val="000000" w:themeColor="text1"/>
          <w:sz w:val="16"/>
          <w:szCs w:val="16"/>
        </w:rPr>
        <w:t xml:space="preserve">For more information, see: International Centre </w:t>
      </w:r>
      <w:r w:rsidR="00FC4AC6">
        <w:rPr>
          <w:rFonts w:ascii="Open Sans" w:hAnsi="Open Sans" w:cs="Open Sans"/>
          <w:color w:val="000000" w:themeColor="text1"/>
          <w:sz w:val="16"/>
          <w:szCs w:val="16"/>
        </w:rPr>
        <w:t>on Human Rights and Drug Policy, UNAIDS, UNDP and WHO</w:t>
      </w:r>
      <w:r w:rsidRPr="00FC4AC6">
        <w:rPr>
          <w:rFonts w:ascii="Open Sans" w:hAnsi="Open Sans" w:cs="Open Sans"/>
          <w:color w:val="000000" w:themeColor="text1"/>
          <w:sz w:val="16"/>
          <w:szCs w:val="16"/>
        </w:rPr>
        <w:t>, International Guidelines o</w:t>
      </w:r>
      <w:r w:rsidR="00FC4AC6">
        <w:rPr>
          <w:rFonts w:ascii="Open Sans" w:hAnsi="Open Sans" w:cs="Open Sans"/>
          <w:color w:val="000000" w:themeColor="text1"/>
          <w:sz w:val="16"/>
          <w:szCs w:val="16"/>
        </w:rPr>
        <w:t xml:space="preserve">n Human Rights and Drug Policy (2019), 1.1. </w:t>
      </w:r>
    </w:p>
  </w:endnote>
  <w:endnote w:id="2">
    <w:p w14:paraId="51EBB534"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E/C.12/RUS/CO/5, E/C.12/LTU/CO/2, E/C.12/EST/CO/2 and E/C.12/UKR/CO/5. </w:t>
      </w:r>
    </w:p>
  </w:endnote>
  <w:endnote w:id="3">
    <w:p w14:paraId="5A936A99" w14:textId="77777777" w:rsidR="008F5ADC" w:rsidRPr="00FC4AC6" w:rsidRDefault="008F5ADC" w:rsidP="00EA6361">
      <w:pPr>
        <w:pStyle w:val="EndnoteText"/>
        <w:contextualSpacing/>
        <w:rPr>
          <w:rFonts w:ascii="Open Sans" w:eastAsiaTheme="minorHAnsi" w:hAnsi="Open Sans" w:cs="Open Sans"/>
          <w:sz w:val="16"/>
          <w:szCs w:val="16"/>
          <w:lang w:eastAsia="en-US"/>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its resolution 65/277.</w:t>
      </w:r>
    </w:p>
  </w:endnote>
  <w:endnote w:id="4">
    <w:p w14:paraId="646D6033"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its resolution 12/27.</w:t>
      </w:r>
    </w:p>
  </w:endnote>
  <w:endnote w:id="5">
    <w:p w14:paraId="53105E97"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See the Committee’s general comment No. 15 (2013) on the right of the child to the enjoyment of the highest attainable standard of health.</w:t>
      </w:r>
    </w:p>
  </w:endnote>
  <w:endnote w:id="6">
    <w:p w14:paraId="3609AD6F"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CEDAW/C/GEO/CO/4-5 and CEDAW/C/CAN/CO/8-9.</w:t>
      </w:r>
    </w:p>
  </w:endnote>
  <w:endnote w:id="7">
    <w:p w14:paraId="2C4F485A"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A/65/255.</w:t>
      </w:r>
    </w:p>
  </w:endnote>
  <w:endnote w:id="8">
    <w:p w14:paraId="7897740B"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In A/HRC/22/53.</w:t>
      </w:r>
    </w:p>
  </w:endnote>
  <w:endnote w:id="9">
    <w:p w14:paraId="3E266385" w14:textId="14541F6C" w:rsidR="006006D7" w:rsidRPr="00FC4AC6" w:rsidRDefault="006006D7">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FC4AC6" w:rsidRPr="00FC4AC6">
        <w:rPr>
          <w:rFonts w:ascii="Open Sans" w:hAnsi="Open Sans" w:cs="Open Sans"/>
          <w:color w:val="000000" w:themeColor="text1"/>
          <w:sz w:val="16"/>
          <w:szCs w:val="16"/>
        </w:rPr>
        <w:t xml:space="preserve">International Centre </w:t>
      </w:r>
      <w:r w:rsidR="00FC4AC6">
        <w:rPr>
          <w:rFonts w:ascii="Open Sans" w:hAnsi="Open Sans" w:cs="Open Sans"/>
          <w:color w:val="000000" w:themeColor="text1"/>
          <w:sz w:val="16"/>
          <w:szCs w:val="16"/>
        </w:rPr>
        <w:t>on Human Rights and Drug Policy, UNAIDS, UNDP and WHO</w:t>
      </w:r>
      <w:r w:rsidR="00FC4AC6" w:rsidRPr="00FC4AC6">
        <w:rPr>
          <w:rFonts w:ascii="Open Sans" w:hAnsi="Open Sans" w:cs="Open Sans"/>
          <w:color w:val="000000" w:themeColor="text1"/>
          <w:sz w:val="16"/>
          <w:szCs w:val="16"/>
        </w:rPr>
        <w:t>, International Guidelines o</w:t>
      </w:r>
      <w:r w:rsidR="00FC4AC6">
        <w:rPr>
          <w:rFonts w:ascii="Open Sans" w:hAnsi="Open Sans" w:cs="Open Sans"/>
          <w:color w:val="000000" w:themeColor="text1"/>
          <w:sz w:val="16"/>
          <w:szCs w:val="16"/>
        </w:rPr>
        <w:t>n Human Rights and Drug Policy (2019), 1.1</w:t>
      </w:r>
    </w:p>
  </w:endnote>
  <w:endnote w:id="10">
    <w:p w14:paraId="654BB18C" w14:textId="4AD3A330" w:rsidR="008F5ADC" w:rsidRPr="00FC4AC6" w:rsidRDefault="008F5ADC" w:rsidP="00EA6361">
      <w:pPr>
        <w:pStyle w:val="EndnoteText"/>
        <w:contextualSpacing/>
        <w:jc w:val="both"/>
        <w:rPr>
          <w:rFonts w:ascii="Open Sans" w:hAnsi="Open Sans" w:cs="Open Sans"/>
          <w:color w:val="000000" w:themeColor="text1"/>
          <w:sz w:val="16"/>
          <w:szCs w:val="16"/>
        </w:rPr>
      </w:pPr>
      <w:r w:rsidRPr="00FC4AC6">
        <w:rPr>
          <w:rStyle w:val="EndnoteReference"/>
          <w:rFonts w:ascii="Open Sans" w:hAnsi="Open Sans" w:cs="Open Sans"/>
          <w:color w:val="000000" w:themeColor="text1"/>
          <w:sz w:val="16"/>
          <w:szCs w:val="16"/>
        </w:rPr>
        <w:endnoteRef/>
      </w:r>
      <w:r w:rsidRPr="00FC4AC6">
        <w:rPr>
          <w:rFonts w:ascii="Open Sans" w:hAnsi="Open Sans" w:cs="Open Sans"/>
          <w:color w:val="000000" w:themeColor="text1"/>
          <w:sz w:val="16"/>
          <w:szCs w:val="16"/>
        </w:rPr>
        <w:t>WHO, UNODC and UNAIDS, WHO, UNODC, UNAIDS Technical Guide for Countries to Set Targets for Universal Access to HIV Prevention, Treatment and Care for Injecting Dr</w:t>
      </w:r>
      <w:r w:rsidR="00FC4AC6">
        <w:rPr>
          <w:rFonts w:ascii="Open Sans" w:hAnsi="Open Sans" w:cs="Open Sans"/>
          <w:color w:val="000000" w:themeColor="text1"/>
          <w:sz w:val="16"/>
          <w:szCs w:val="16"/>
        </w:rPr>
        <w:t>ug Users: 2012 Revision (Geneva:</w:t>
      </w:r>
      <w:r w:rsidRPr="00FC4AC6">
        <w:rPr>
          <w:rFonts w:ascii="Open Sans" w:hAnsi="Open Sans" w:cs="Open Sans"/>
          <w:color w:val="000000" w:themeColor="text1"/>
          <w:sz w:val="16"/>
          <w:szCs w:val="16"/>
        </w:rPr>
        <w:t xml:space="preserve"> WHO, 2012).</w:t>
      </w:r>
    </w:p>
  </w:endnote>
  <w:endnote w:id="11">
    <w:p w14:paraId="23E722E6" w14:textId="77777777" w:rsidR="008F5ADC" w:rsidRPr="00FC4AC6" w:rsidRDefault="008F5ADC" w:rsidP="00EA6361">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Pr="00FC4AC6">
        <w:rPr>
          <w:rFonts w:ascii="Open Sans" w:hAnsi="Open Sans" w:cs="Open Sans"/>
          <w:color w:val="000000" w:themeColor="text1"/>
          <w:sz w:val="16"/>
          <w:szCs w:val="16"/>
        </w:rPr>
        <w:t>Political Declaration on HIV/AIDS: Intensifying our Efforts to Eliminate HIV/AIDS (General Assembly resolution 65/277, annex).</w:t>
      </w:r>
    </w:p>
  </w:endnote>
  <w:endnote w:id="12">
    <w:p w14:paraId="75329FA1" w14:textId="77777777" w:rsidR="008F5ADC" w:rsidRPr="00FC4AC6" w:rsidRDefault="008F5ADC" w:rsidP="00EA6361">
      <w:pPr>
        <w:pStyle w:val="EndnoteText"/>
        <w:contextualSpacing/>
        <w:jc w:val="both"/>
        <w:rPr>
          <w:rFonts w:ascii="Open Sans" w:hAnsi="Open Sans" w:cs="Open Sans"/>
          <w:color w:val="000000" w:themeColor="text1"/>
          <w:sz w:val="16"/>
          <w:szCs w:val="16"/>
        </w:rPr>
      </w:pPr>
      <w:r w:rsidRPr="00FC4AC6">
        <w:rPr>
          <w:rStyle w:val="EndnoteReference"/>
          <w:rFonts w:ascii="Open Sans" w:hAnsi="Open Sans" w:cs="Open Sans"/>
          <w:color w:val="000000" w:themeColor="text1"/>
          <w:sz w:val="16"/>
          <w:szCs w:val="16"/>
        </w:rPr>
        <w:endnoteRef/>
      </w:r>
      <w:r w:rsidRPr="00FC4AC6">
        <w:rPr>
          <w:rFonts w:ascii="Open Sans" w:hAnsi="Open Sans" w:cs="Open Sans"/>
          <w:color w:val="000000" w:themeColor="text1"/>
          <w:sz w:val="16"/>
          <w:szCs w:val="16"/>
        </w:rPr>
        <w:t xml:space="preserve"> Economic and Social Council resolution 2009/6.</w:t>
      </w:r>
    </w:p>
  </w:endnote>
  <w:endnote w:id="13">
    <w:p w14:paraId="3222C7AB" w14:textId="77777777" w:rsidR="008F5ADC" w:rsidRPr="00FC4AC6" w:rsidRDefault="008F5ADC" w:rsidP="00EA6361">
      <w:pPr>
        <w:pStyle w:val="EndnoteText"/>
        <w:contextualSpacing/>
        <w:jc w:val="both"/>
        <w:rPr>
          <w:rFonts w:ascii="Open Sans" w:hAnsi="Open Sans" w:cs="Open Sans"/>
          <w:color w:val="000000" w:themeColor="text1"/>
          <w:sz w:val="16"/>
          <w:szCs w:val="16"/>
        </w:rPr>
      </w:pPr>
      <w:r w:rsidRPr="00FC4AC6">
        <w:rPr>
          <w:rStyle w:val="EndnoteReference"/>
          <w:rFonts w:ascii="Open Sans" w:hAnsi="Open Sans" w:cs="Open Sans"/>
          <w:color w:val="000000" w:themeColor="text1"/>
          <w:sz w:val="16"/>
          <w:szCs w:val="16"/>
        </w:rPr>
        <w:endnoteRef/>
      </w:r>
      <w:r w:rsidRPr="00FC4AC6">
        <w:rPr>
          <w:rFonts w:ascii="Open Sans" w:hAnsi="Open Sans" w:cs="Open Sans"/>
          <w:color w:val="000000" w:themeColor="text1"/>
          <w:sz w:val="16"/>
          <w:szCs w:val="16"/>
        </w:rPr>
        <w:t xml:space="preserve"> CND Resolution 60/8; Promoting measures to prevent HIV and other blood-borne diseases associated with the use of drugs, and increasing financing for the global HIV/AIDS response and for drug use prevention and other drug demand reduction measures (2017)</w:t>
      </w:r>
    </w:p>
  </w:endnote>
  <w:endnote w:id="14">
    <w:p w14:paraId="3B83A73B" w14:textId="7B80B77D" w:rsidR="008F5ADC" w:rsidRPr="00FC4AC6" w:rsidRDefault="008F5ADC" w:rsidP="00C62173">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00FC4AC6">
        <w:rPr>
          <w:rFonts w:ascii="Open Sans" w:hAnsi="Open Sans" w:cs="Open Sans"/>
          <w:sz w:val="16"/>
          <w:szCs w:val="16"/>
        </w:rPr>
        <w:t xml:space="preserve"> Stone K, Shirley-Beavan S,</w:t>
      </w:r>
      <w:r w:rsidRPr="00FC4AC6">
        <w:rPr>
          <w:rFonts w:ascii="Open Sans" w:hAnsi="Open Sans" w:cs="Open Sans"/>
          <w:sz w:val="16"/>
          <w:szCs w:val="16"/>
        </w:rPr>
        <w:t xml:space="preserve"> Global State of Harm Reduction 2018. </w:t>
      </w:r>
      <w:r w:rsidR="00FC4AC6">
        <w:rPr>
          <w:rFonts w:ascii="Open Sans" w:hAnsi="Open Sans" w:cs="Open Sans"/>
          <w:sz w:val="16"/>
          <w:szCs w:val="16"/>
        </w:rPr>
        <w:t>(London: Harm Reduction International, 2018),</w:t>
      </w:r>
      <w:r w:rsidRPr="00FC4AC6">
        <w:rPr>
          <w:rFonts w:ascii="Open Sans" w:hAnsi="Open Sans" w:cs="Open Sans"/>
          <w:sz w:val="16"/>
          <w:szCs w:val="16"/>
        </w:rPr>
        <w:t xml:space="preserve"> 21</w:t>
      </w:r>
      <w:r w:rsidR="00647556" w:rsidRPr="00FC4AC6">
        <w:rPr>
          <w:rFonts w:ascii="Open Sans" w:hAnsi="Open Sans" w:cs="Open Sans"/>
          <w:sz w:val="16"/>
          <w:szCs w:val="16"/>
        </w:rPr>
        <w:t>.</w:t>
      </w:r>
    </w:p>
  </w:endnote>
  <w:endnote w:id="15">
    <w:p w14:paraId="2DA8D4F8" w14:textId="670B3502" w:rsidR="008F5ADC" w:rsidRPr="00FC4AC6" w:rsidRDefault="008F5ADC" w:rsidP="00C62173">
      <w:pPr>
        <w:pStyle w:val="EndnoteText"/>
        <w:contextualSpacing/>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00424CFA">
        <w:rPr>
          <w:rFonts w:ascii="Open Sans" w:hAnsi="Open Sans" w:cs="Open Sans"/>
          <w:sz w:val="16"/>
          <w:szCs w:val="16"/>
        </w:rPr>
        <w:t>Strang</w:t>
      </w:r>
      <w:proofErr w:type="spellEnd"/>
      <w:r w:rsidR="00424CFA">
        <w:rPr>
          <w:rFonts w:ascii="Open Sans" w:hAnsi="Open Sans" w:cs="Open Sans"/>
          <w:sz w:val="16"/>
          <w:szCs w:val="16"/>
        </w:rPr>
        <w:t xml:space="preserve"> J, McDonald R (eds.),</w:t>
      </w:r>
      <w:r w:rsidR="00FC4AC6">
        <w:rPr>
          <w:rFonts w:ascii="Open Sans" w:hAnsi="Open Sans" w:cs="Open Sans"/>
          <w:sz w:val="16"/>
          <w:szCs w:val="16"/>
        </w:rPr>
        <w:t xml:space="preserve"> Preventing Opioid Overdose Deaths with Take-Hone Naloxone</w:t>
      </w:r>
      <w:r w:rsidR="00424CFA">
        <w:rPr>
          <w:rFonts w:ascii="Open Sans" w:hAnsi="Open Sans" w:cs="Open Sans"/>
          <w:sz w:val="16"/>
          <w:szCs w:val="16"/>
        </w:rPr>
        <w:t xml:space="preserve"> (Lisbon: EMCDDA, 2016)</w:t>
      </w:r>
    </w:p>
  </w:endnote>
  <w:endnote w:id="16">
    <w:p w14:paraId="6330DB1C" w14:textId="46944FF7" w:rsidR="00902C6E" w:rsidRPr="00FC4AC6" w:rsidRDefault="00902C6E">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00424CFA">
        <w:rPr>
          <w:rFonts w:ascii="Open Sans" w:hAnsi="Open Sans" w:cs="Open Sans"/>
          <w:sz w:val="16"/>
          <w:szCs w:val="16"/>
        </w:rPr>
        <w:t xml:space="preserve"> Drug Policy Alliance, Heroin-Assisted Treatment (HAT), (2016). Available at: </w:t>
      </w:r>
      <w:hyperlink r:id="rId1" w:history="1">
        <w:r w:rsidRPr="00FC4AC6">
          <w:rPr>
            <w:rStyle w:val="Hyperlink"/>
            <w:rFonts w:ascii="Open Sans" w:hAnsi="Open Sans" w:cs="Open Sans"/>
            <w:sz w:val="16"/>
            <w:szCs w:val="16"/>
          </w:rPr>
          <w:t>http://www.drugpolicy.org/sites/default/files/DPA%20Fact%20Sheet_Heroin-Assisted%20Treatment_%28Feb.%202016%29.pdf</w:t>
        </w:r>
      </w:hyperlink>
    </w:p>
  </w:endnote>
  <w:endnote w:id="17">
    <w:p w14:paraId="53C64C2B" w14:textId="2FC6B251" w:rsidR="00647556" w:rsidRPr="00FC4AC6" w:rsidRDefault="00647556">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424CFA">
        <w:rPr>
          <w:rFonts w:ascii="Open Sans" w:hAnsi="Open Sans" w:cs="Open Sans"/>
          <w:sz w:val="16"/>
          <w:szCs w:val="16"/>
        </w:rPr>
        <w:t>Stone K, Shirley-Beavan S,</w:t>
      </w:r>
      <w:r w:rsidR="00424CFA" w:rsidRPr="00FC4AC6">
        <w:rPr>
          <w:rFonts w:ascii="Open Sans" w:hAnsi="Open Sans" w:cs="Open Sans"/>
          <w:sz w:val="16"/>
          <w:szCs w:val="16"/>
        </w:rPr>
        <w:t xml:space="preserve"> Global State of Harm Reduction 2018. </w:t>
      </w:r>
      <w:r w:rsidR="00424CFA">
        <w:rPr>
          <w:rFonts w:ascii="Open Sans" w:hAnsi="Open Sans" w:cs="Open Sans"/>
          <w:sz w:val="16"/>
          <w:szCs w:val="16"/>
        </w:rPr>
        <w:t>(London: Harm Reduction International, 2018)</w:t>
      </w:r>
    </w:p>
  </w:endnote>
  <w:endnote w:id="18">
    <w:p w14:paraId="797ED694" w14:textId="1E441958" w:rsidR="008F5ADC" w:rsidRPr="00FC4AC6" w:rsidRDefault="008F5ADC" w:rsidP="00FD6E7F">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Federal Office of Statistics (2017) </w:t>
      </w:r>
      <w:proofErr w:type="spellStart"/>
      <w:r w:rsidRPr="00FC4AC6">
        <w:rPr>
          <w:rFonts w:ascii="Open Sans" w:hAnsi="Open Sans" w:cs="Open Sans"/>
          <w:sz w:val="16"/>
          <w:szCs w:val="16"/>
        </w:rPr>
        <w:t>Nombre</w:t>
      </w:r>
      <w:proofErr w:type="spellEnd"/>
      <w:r w:rsidRPr="00FC4AC6">
        <w:rPr>
          <w:rFonts w:ascii="Open Sans" w:hAnsi="Open Sans" w:cs="Open Sans"/>
          <w:sz w:val="16"/>
          <w:szCs w:val="16"/>
        </w:rPr>
        <w:t xml:space="preserve"> de </w:t>
      </w:r>
      <w:proofErr w:type="spellStart"/>
      <w:r w:rsidRPr="00FC4AC6">
        <w:rPr>
          <w:rFonts w:ascii="Open Sans" w:hAnsi="Open Sans" w:cs="Open Sans"/>
          <w:sz w:val="16"/>
          <w:szCs w:val="16"/>
        </w:rPr>
        <w:t>Décès</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Liés</w:t>
      </w:r>
      <w:proofErr w:type="spellEnd"/>
      <w:r w:rsidRPr="00FC4AC6">
        <w:rPr>
          <w:rFonts w:ascii="Open Sans" w:hAnsi="Open Sans" w:cs="Open Sans"/>
          <w:sz w:val="16"/>
          <w:szCs w:val="16"/>
        </w:rPr>
        <w:t xml:space="preserve"> à la Drogue, Par </w:t>
      </w:r>
      <w:proofErr w:type="spellStart"/>
      <w:r w:rsidRPr="00FC4AC6">
        <w:rPr>
          <w:rFonts w:ascii="Open Sans" w:hAnsi="Open Sans" w:cs="Open Sans"/>
          <w:sz w:val="16"/>
          <w:szCs w:val="16"/>
        </w:rPr>
        <w:t>Âge</w:t>
      </w:r>
      <w:proofErr w:type="spellEnd"/>
      <w:r w:rsidRPr="00FC4AC6">
        <w:rPr>
          <w:rFonts w:ascii="Open Sans" w:hAnsi="Open Sans" w:cs="Open Sans"/>
          <w:sz w:val="16"/>
          <w:szCs w:val="16"/>
        </w:rPr>
        <w:t xml:space="preserve"> (1995-2016) (downloadable spreadsheet). </w:t>
      </w:r>
      <w:proofErr w:type="spellStart"/>
      <w:r w:rsidRPr="00FC4AC6">
        <w:rPr>
          <w:rFonts w:ascii="Open Sans" w:hAnsi="Open Sans" w:cs="Open Sans"/>
          <w:sz w:val="16"/>
          <w:szCs w:val="16"/>
        </w:rPr>
        <w:t>Sucht</w:t>
      </w:r>
      <w:proofErr w:type="spellEnd"/>
      <w:r w:rsidRPr="00FC4AC6">
        <w:rPr>
          <w:rFonts w:ascii="Open Sans" w:hAnsi="Open Sans" w:cs="Open Sans"/>
          <w:sz w:val="16"/>
          <w:szCs w:val="16"/>
        </w:rPr>
        <w:t xml:space="preserve"> Monitoring. Available </w:t>
      </w:r>
      <w:r w:rsidR="00424CFA">
        <w:rPr>
          <w:rFonts w:ascii="Open Sans" w:hAnsi="Open Sans" w:cs="Open Sans"/>
          <w:sz w:val="16"/>
          <w:szCs w:val="16"/>
        </w:rPr>
        <w:t>at</w:t>
      </w:r>
      <w:r w:rsidRPr="00FC4AC6">
        <w:rPr>
          <w:rFonts w:ascii="Open Sans" w:hAnsi="Open Sans" w:cs="Open Sans"/>
          <w:sz w:val="16"/>
          <w:szCs w:val="16"/>
        </w:rPr>
        <w:t>:</w:t>
      </w:r>
      <w:r w:rsidR="004F20E7" w:rsidRPr="00FC4AC6">
        <w:rPr>
          <w:rFonts w:ascii="Open Sans" w:hAnsi="Open Sans" w:cs="Open Sans"/>
          <w:sz w:val="16"/>
          <w:szCs w:val="16"/>
        </w:rPr>
        <w:t xml:space="preserve"> </w:t>
      </w:r>
      <w:hyperlink r:id="rId2" w:history="1">
        <w:r w:rsidR="004F20E7" w:rsidRPr="00FC4AC6">
          <w:rPr>
            <w:rStyle w:val="Hyperlink"/>
            <w:rFonts w:ascii="Open Sans" w:hAnsi="Open Sans" w:cs="Open Sans"/>
            <w:sz w:val="16"/>
            <w:szCs w:val="16"/>
          </w:rPr>
          <w:t>https://www.suchtmonitoring.ch/fr/3/7.html?opioidesmortalite</w:t>
        </w:r>
      </w:hyperlink>
      <w:r w:rsidR="004F20E7" w:rsidRPr="00FC4AC6">
        <w:rPr>
          <w:rFonts w:ascii="Open Sans" w:hAnsi="Open Sans" w:cs="Open Sans"/>
          <w:sz w:val="16"/>
          <w:szCs w:val="16"/>
        </w:rPr>
        <w:t xml:space="preserve">. </w:t>
      </w:r>
    </w:p>
  </w:endnote>
  <w:endnote w:id="19">
    <w:p w14:paraId="38A15BB2" w14:textId="5668F2EA"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AIDS-HILFE SCHWEIZ. Statistics on HIV/AIDS.</w:t>
      </w:r>
      <w:r w:rsidR="00424CFA">
        <w:rPr>
          <w:rFonts w:ascii="Open Sans" w:hAnsi="Open Sans" w:cs="Open Sans"/>
          <w:sz w:val="16"/>
          <w:szCs w:val="16"/>
        </w:rPr>
        <w:t xml:space="preserve"> Available at:</w:t>
      </w:r>
      <w:r w:rsidRPr="00FC4AC6">
        <w:rPr>
          <w:rFonts w:ascii="Open Sans" w:hAnsi="Open Sans" w:cs="Open Sans"/>
          <w:sz w:val="16"/>
          <w:szCs w:val="16"/>
        </w:rPr>
        <w:t xml:space="preserve"> </w:t>
      </w:r>
      <w:hyperlink r:id="rId3" w:history="1">
        <w:r w:rsidRPr="00FC4AC6">
          <w:rPr>
            <w:rStyle w:val="Hyperlink"/>
            <w:rFonts w:ascii="Open Sans" w:hAnsi="Open Sans" w:cs="Open Sans"/>
            <w:sz w:val="16"/>
            <w:szCs w:val="16"/>
          </w:rPr>
          <w:t>https://www.aids.ch/en/faq/hiv-test/statistics.php</w:t>
        </w:r>
      </w:hyperlink>
      <w:r w:rsidRPr="00FC4AC6">
        <w:rPr>
          <w:rFonts w:ascii="Open Sans" w:hAnsi="Open Sans" w:cs="Open Sans"/>
          <w:sz w:val="16"/>
          <w:szCs w:val="16"/>
        </w:rPr>
        <w:t xml:space="preserve"> </w:t>
      </w:r>
    </w:p>
  </w:endnote>
  <w:endnote w:id="20">
    <w:p w14:paraId="787129E5" w14:textId="16105F51" w:rsidR="008F5ADC" w:rsidRPr="00FC4AC6" w:rsidRDefault="008F5ADC" w:rsidP="0086577E">
      <w:pPr>
        <w:pStyle w:val="EndnoteText"/>
        <w:contextualSpacing/>
        <w:rPr>
          <w:rFonts w:ascii="Open Sans" w:hAnsi="Open Sans" w:cs="Open Sans"/>
          <w:sz w:val="16"/>
          <w:szCs w:val="16"/>
          <w:lang w:val="es-AR"/>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4F20E7" w:rsidRPr="00FC4AC6">
        <w:rPr>
          <w:rFonts w:ascii="Open Sans" w:hAnsi="Open Sans" w:cs="Open Sans"/>
          <w:sz w:val="16"/>
          <w:szCs w:val="16"/>
          <w:lang w:val="en-US"/>
        </w:rPr>
        <w:t xml:space="preserve">UN Committee on Economic, Social and Cultural Rights, General Comment 14, UN Doc. </w:t>
      </w:r>
      <w:r w:rsidR="004F20E7" w:rsidRPr="00FC4AC6">
        <w:rPr>
          <w:rFonts w:ascii="Open Sans" w:hAnsi="Open Sans" w:cs="Open Sans"/>
          <w:sz w:val="16"/>
          <w:szCs w:val="16"/>
          <w:lang w:val="es-AR"/>
        </w:rPr>
        <w:t xml:space="preserve">E/C.12/2000/4, 2000, </w:t>
      </w:r>
      <w:r w:rsidRPr="00FC4AC6">
        <w:rPr>
          <w:rFonts w:ascii="Open Sans" w:hAnsi="Open Sans" w:cs="Open Sans"/>
          <w:sz w:val="16"/>
          <w:szCs w:val="16"/>
          <w:lang w:val="es-AR"/>
        </w:rPr>
        <w:t>para. 12(a).</w:t>
      </w:r>
    </w:p>
  </w:endnote>
  <w:endnote w:id="21">
    <w:p w14:paraId="0D3AF342" w14:textId="435AF243" w:rsidR="008F5ADC" w:rsidRPr="00FC4AC6" w:rsidRDefault="008F5ADC" w:rsidP="00340C74">
      <w:pPr>
        <w:pStyle w:val="EndnoteText"/>
        <w:contextualSpacing/>
        <w:rPr>
          <w:rFonts w:ascii="Open Sans" w:hAnsi="Open Sans" w:cs="Open Sans"/>
          <w:sz w:val="16"/>
          <w:szCs w:val="16"/>
          <w:lang w:val="es-AR"/>
        </w:rPr>
      </w:pPr>
      <w:r w:rsidRPr="00FC4AC6">
        <w:rPr>
          <w:rStyle w:val="EndnoteReference"/>
          <w:rFonts w:ascii="Open Sans" w:hAnsi="Open Sans" w:cs="Open Sans"/>
          <w:sz w:val="16"/>
          <w:szCs w:val="16"/>
        </w:rPr>
        <w:endnoteRef/>
      </w:r>
      <w:r w:rsidR="0043733B" w:rsidRPr="00FC4AC6">
        <w:rPr>
          <w:rFonts w:ascii="Open Sans" w:hAnsi="Open Sans" w:cs="Open Sans"/>
          <w:sz w:val="16"/>
          <w:szCs w:val="16"/>
          <w:lang w:val="es-AR"/>
        </w:rPr>
        <w:t xml:space="preserve"> </w:t>
      </w:r>
      <w:proofErr w:type="spellStart"/>
      <w:r w:rsidR="0043733B" w:rsidRPr="00FC4AC6">
        <w:rPr>
          <w:rFonts w:ascii="Open Sans" w:hAnsi="Open Sans" w:cs="Open Sans"/>
          <w:sz w:val="16"/>
          <w:szCs w:val="16"/>
          <w:lang w:val="es-AR"/>
        </w:rPr>
        <w:t>Ibid</w:t>
      </w:r>
      <w:proofErr w:type="spellEnd"/>
      <w:r w:rsidR="0043733B" w:rsidRPr="00FC4AC6">
        <w:rPr>
          <w:rFonts w:ascii="Open Sans" w:hAnsi="Open Sans" w:cs="Open Sans"/>
          <w:sz w:val="16"/>
          <w:szCs w:val="16"/>
          <w:lang w:val="es-AR"/>
        </w:rPr>
        <w:t>.,</w:t>
      </w:r>
      <w:r w:rsidRPr="00FC4AC6">
        <w:rPr>
          <w:rFonts w:ascii="Open Sans" w:hAnsi="Open Sans" w:cs="Open Sans"/>
          <w:sz w:val="16"/>
          <w:szCs w:val="16"/>
          <w:lang w:val="es-AR"/>
        </w:rPr>
        <w:t xml:space="preserve"> </w:t>
      </w:r>
      <w:r w:rsidR="0043733B" w:rsidRPr="00FC4AC6">
        <w:rPr>
          <w:rFonts w:ascii="Open Sans" w:hAnsi="Open Sans" w:cs="Open Sans"/>
          <w:sz w:val="16"/>
          <w:szCs w:val="16"/>
          <w:lang w:val="es-AR"/>
        </w:rPr>
        <w:t>paras 12(b) and</w:t>
      </w:r>
      <w:r w:rsidR="00484F4B" w:rsidRPr="00FC4AC6">
        <w:rPr>
          <w:rFonts w:ascii="Open Sans" w:hAnsi="Open Sans" w:cs="Open Sans"/>
          <w:sz w:val="16"/>
          <w:szCs w:val="16"/>
          <w:lang w:val="es-AR"/>
        </w:rPr>
        <w:t xml:space="preserve"> </w:t>
      </w:r>
      <w:r w:rsidRPr="00FC4AC6">
        <w:rPr>
          <w:rFonts w:ascii="Open Sans" w:hAnsi="Open Sans" w:cs="Open Sans"/>
          <w:sz w:val="16"/>
          <w:szCs w:val="16"/>
          <w:lang w:val="es-AR"/>
        </w:rPr>
        <w:t xml:space="preserve">43. </w:t>
      </w:r>
    </w:p>
  </w:endnote>
  <w:endnote w:id="22">
    <w:p w14:paraId="526D8473" w14:textId="7D77EE1A" w:rsidR="008F5ADC" w:rsidRPr="00FC4AC6" w:rsidRDefault="008F5ADC" w:rsidP="0086577E">
      <w:pPr>
        <w:pStyle w:val="EndnoteText"/>
        <w:contextualSpacing/>
        <w:rPr>
          <w:rFonts w:ascii="Open Sans" w:hAnsi="Open Sans" w:cs="Open Sans"/>
          <w:sz w:val="16"/>
          <w:szCs w:val="16"/>
          <w:lang w:val="es-AR"/>
        </w:rPr>
      </w:pPr>
      <w:r w:rsidRPr="00FC4AC6">
        <w:rPr>
          <w:rStyle w:val="EndnoteReference"/>
          <w:rFonts w:ascii="Open Sans" w:hAnsi="Open Sans" w:cs="Open Sans"/>
          <w:sz w:val="16"/>
          <w:szCs w:val="16"/>
        </w:rPr>
        <w:endnoteRef/>
      </w:r>
      <w:r w:rsidRPr="00FC4AC6">
        <w:rPr>
          <w:rFonts w:ascii="Open Sans" w:hAnsi="Open Sans" w:cs="Open Sans"/>
          <w:sz w:val="16"/>
          <w:szCs w:val="16"/>
          <w:lang w:val="es-AR"/>
        </w:rPr>
        <w:t xml:space="preserve"> </w:t>
      </w:r>
      <w:proofErr w:type="spellStart"/>
      <w:r w:rsidR="00883C58" w:rsidRPr="00FC4AC6">
        <w:rPr>
          <w:rFonts w:ascii="Open Sans" w:hAnsi="Open Sans" w:cs="Open Sans"/>
          <w:sz w:val="16"/>
          <w:szCs w:val="16"/>
          <w:lang w:val="es-AR"/>
        </w:rPr>
        <w:t>Ibid</w:t>
      </w:r>
      <w:proofErr w:type="spellEnd"/>
      <w:r w:rsidR="00883C58" w:rsidRPr="00FC4AC6">
        <w:rPr>
          <w:rFonts w:ascii="Open Sans" w:hAnsi="Open Sans" w:cs="Open Sans"/>
          <w:sz w:val="16"/>
          <w:szCs w:val="16"/>
          <w:lang w:val="es-AR"/>
        </w:rPr>
        <w:t>., para</w:t>
      </w:r>
      <w:r w:rsidRPr="00FC4AC6">
        <w:rPr>
          <w:rFonts w:ascii="Open Sans" w:hAnsi="Open Sans" w:cs="Open Sans"/>
          <w:sz w:val="16"/>
          <w:szCs w:val="16"/>
          <w:lang w:val="es-AR"/>
        </w:rPr>
        <w:t xml:space="preserve"> 43(e)</w:t>
      </w:r>
    </w:p>
  </w:endnote>
  <w:endnote w:id="23">
    <w:p w14:paraId="605B739A" w14:textId="2F5477EA" w:rsidR="008F5ADC" w:rsidRPr="00FC4AC6" w:rsidRDefault="008F5ADC" w:rsidP="0011697C">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00424CFA">
        <w:rPr>
          <w:rFonts w:ascii="Open Sans" w:hAnsi="Open Sans" w:cs="Open Sans"/>
          <w:sz w:val="16"/>
          <w:szCs w:val="16"/>
        </w:rPr>
        <w:t>Uchtenhagen</w:t>
      </w:r>
      <w:proofErr w:type="spellEnd"/>
      <w:r w:rsidR="00424CFA">
        <w:rPr>
          <w:rFonts w:ascii="Open Sans" w:hAnsi="Open Sans" w:cs="Open Sans"/>
          <w:sz w:val="16"/>
          <w:szCs w:val="16"/>
        </w:rPr>
        <w:t xml:space="preserve"> A, </w:t>
      </w:r>
      <w:r w:rsidRPr="00FC4AC6">
        <w:rPr>
          <w:rFonts w:ascii="Open Sans" w:hAnsi="Open Sans" w:cs="Open Sans"/>
          <w:sz w:val="16"/>
          <w:szCs w:val="16"/>
        </w:rPr>
        <w:t xml:space="preserve">‘The role and function of heroin assisted treatment at the treatment system level.’ Heroin Addict </w:t>
      </w:r>
      <w:proofErr w:type="spellStart"/>
      <w:r w:rsidRPr="00FC4AC6">
        <w:rPr>
          <w:rFonts w:ascii="Open Sans" w:hAnsi="Open Sans" w:cs="Open Sans"/>
          <w:sz w:val="16"/>
          <w:szCs w:val="16"/>
        </w:rPr>
        <w:t>Relat</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Clin</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Probl</w:t>
      </w:r>
      <w:proofErr w:type="spellEnd"/>
      <w:r w:rsidRPr="00FC4AC6">
        <w:rPr>
          <w:rFonts w:ascii="Open Sans" w:hAnsi="Open Sans" w:cs="Open Sans"/>
          <w:sz w:val="16"/>
          <w:szCs w:val="16"/>
        </w:rPr>
        <w:t xml:space="preserve"> </w:t>
      </w:r>
      <w:r w:rsidR="00424CFA">
        <w:rPr>
          <w:rFonts w:ascii="Open Sans" w:hAnsi="Open Sans" w:cs="Open Sans"/>
          <w:sz w:val="16"/>
          <w:szCs w:val="16"/>
        </w:rPr>
        <w:t>19(2) (2017)</w:t>
      </w:r>
    </w:p>
  </w:endnote>
  <w:endnote w:id="24">
    <w:p w14:paraId="2FA38966" w14:textId="794EC1C7"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424CFA">
        <w:rPr>
          <w:rFonts w:ascii="Open Sans" w:hAnsi="Open Sans" w:cs="Open Sans"/>
          <w:sz w:val="16"/>
          <w:szCs w:val="16"/>
        </w:rPr>
        <w:t>Stone K, Shirley-Beavan S,</w:t>
      </w:r>
      <w:r w:rsidR="00424CFA" w:rsidRPr="00FC4AC6">
        <w:rPr>
          <w:rFonts w:ascii="Open Sans" w:hAnsi="Open Sans" w:cs="Open Sans"/>
          <w:sz w:val="16"/>
          <w:szCs w:val="16"/>
        </w:rPr>
        <w:t xml:space="preserve"> Global State of Harm Reduction 2018. </w:t>
      </w:r>
      <w:r w:rsidR="00424CFA">
        <w:rPr>
          <w:rFonts w:ascii="Open Sans" w:hAnsi="Open Sans" w:cs="Open Sans"/>
          <w:sz w:val="16"/>
          <w:szCs w:val="16"/>
        </w:rPr>
        <w:t>(London: Harm Reduction International, 2018)</w:t>
      </w:r>
    </w:p>
  </w:endnote>
  <w:endnote w:id="25">
    <w:p w14:paraId="4155F1F0" w14:textId="597904E7" w:rsidR="008F5ADC" w:rsidRPr="00FC4AC6" w:rsidRDefault="008F5ADC" w:rsidP="0011697C">
      <w:pPr>
        <w:widowControl w:val="0"/>
        <w:autoSpaceDE w:val="0"/>
        <w:autoSpaceDN w:val="0"/>
        <w:adjustRightInd w:val="0"/>
        <w:rPr>
          <w:rFonts w:ascii="Open Sans" w:hAnsi="Open Sans" w:cs="Open Sans"/>
          <w:sz w:val="16"/>
          <w:szCs w:val="16"/>
          <w:lang w:val="fr-BE"/>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Federa</w:t>
      </w:r>
      <w:r w:rsidR="00424CFA">
        <w:rPr>
          <w:rFonts w:ascii="Open Sans" w:hAnsi="Open Sans" w:cs="Open Sans"/>
          <w:sz w:val="16"/>
          <w:szCs w:val="16"/>
        </w:rPr>
        <w:t>l Office of Public Health</w:t>
      </w:r>
      <w:r w:rsidRPr="00FC4AC6">
        <w:rPr>
          <w:rFonts w:ascii="Open Sans" w:hAnsi="Open Sans" w:cs="Open Sans"/>
          <w:sz w:val="16"/>
          <w:szCs w:val="16"/>
        </w:rPr>
        <w:t xml:space="preserve"> </w:t>
      </w:r>
      <w:proofErr w:type="spellStart"/>
      <w:r w:rsidRPr="00FC4AC6">
        <w:rPr>
          <w:rFonts w:ascii="Open Sans" w:hAnsi="Open Sans" w:cs="Open Sans"/>
          <w:sz w:val="16"/>
          <w:szCs w:val="16"/>
        </w:rPr>
        <w:t>Traitement</w:t>
      </w:r>
      <w:proofErr w:type="spellEnd"/>
      <w:r w:rsidRPr="00FC4AC6">
        <w:rPr>
          <w:rFonts w:ascii="Open Sans" w:hAnsi="Open Sans" w:cs="Open Sans"/>
          <w:sz w:val="16"/>
          <w:szCs w:val="16"/>
        </w:rPr>
        <w:t xml:space="preserve"> avec Prescription de </w:t>
      </w:r>
      <w:proofErr w:type="spellStart"/>
      <w:r w:rsidRPr="00FC4AC6">
        <w:rPr>
          <w:rFonts w:ascii="Open Sans" w:hAnsi="Open Sans" w:cs="Open Sans"/>
          <w:sz w:val="16"/>
          <w:szCs w:val="16"/>
        </w:rPr>
        <w:t>Diacétylmorphine</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Héroïne</w:t>
      </w:r>
      <w:proofErr w:type="spellEnd"/>
      <w:r w:rsidRPr="00FC4AC6">
        <w:rPr>
          <w:rFonts w:ascii="Open Sans" w:hAnsi="Open Sans" w:cs="Open Sans"/>
          <w:sz w:val="16"/>
          <w:szCs w:val="16"/>
        </w:rPr>
        <w:t xml:space="preserve">). </w:t>
      </w:r>
      <w:r w:rsidR="00424CFA">
        <w:rPr>
          <w:rFonts w:ascii="Open Sans" w:hAnsi="Open Sans" w:cs="Open Sans"/>
          <w:sz w:val="16"/>
          <w:szCs w:val="16"/>
        </w:rPr>
        <w:t>(</w:t>
      </w:r>
      <w:r w:rsidRPr="00FC4AC6">
        <w:rPr>
          <w:rFonts w:ascii="Open Sans" w:hAnsi="Open Sans" w:cs="Open Sans"/>
          <w:sz w:val="16"/>
          <w:szCs w:val="16"/>
        </w:rPr>
        <w:t>Bern: Swiss Confederation</w:t>
      </w:r>
      <w:r w:rsidR="00424CFA">
        <w:rPr>
          <w:rFonts w:ascii="Open Sans" w:hAnsi="Open Sans" w:cs="Open Sans"/>
          <w:sz w:val="16"/>
          <w:szCs w:val="16"/>
        </w:rPr>
        <w:t>, 2019)</w:t>
      </w:r>
      <w:r w:rsidRPr="00FC4AC6">
        <w:rPr>
          <w:rFonts w:ascii="Open Sans" w:hAnsi="Open Sans" w:cs="Open Sans"/>
          <w:sz w:val="16"/>
          <w:szCs w:val="16"/>
        </w:rPr>
        <w:t xml:space="preserve">. </w:t>
      </w:r>
      <w:proofErr w:type="spellStart"/>
      <w:r w:rsidRPr="00FC4AC6">
        <w:rPr>
          <w:rFonts w:ascii="Open Sans" w:hAnsi="Open Sans" w:cs="Open Sans"/>
          <w:sz w:val="16"/>
          <w:szCs w:val="16"/>
          <w:lang w:val="fr-BE"/>
        </w:rPr>
        <w:t>Available</w:t>
      </w:r>
      <w:proofErr w:type="spellEnd"/>
      <w:r w:rsidRPr="00FC4AC6">
        <w:rPr>
          <w:rFonts w:ascii="Open Sans" w:hAnsi="Open Sans" w:cs="Open Sans"/>
          <w:sz w:val="16"/>
          <w:szCs w:val="16"/>
          <w:lang w:val="fr-BE"/>
        </w:rPr>
        <w:t xml:space="preserve"> </w:t>
      </w:r>
      <w:proofErr w:type="spellStart"/>
      <w:proofErr w:type="gramStart"/>
      <w:r w:rsidRPr="00FC4AC6">
        <w:rPr>
          <w:rFonts w:ascii="Open Sans" w:hAnsi="Open Sans" w:cs="Open Sans"/>
          <w:sz w:val="16"/>
          <w:szCs w:val="16"/>
          <w:lang w:val="fr-BE"/>
        </w:rPr>
        <w:t>from</w:t>
      </w:r>
      <w:proofErr w:type="spellEnd"/>
      <w:r w:rsidRPr="00FC4AC6">
        <w:rPr>
          <w:rFonts w:ascii="Open Sans" w:hAnsi="Open Sans" w:cs="Open Sans"/>
          <w:sz w:val="16"/>
          <w:szCs w:val="16"/>
          <w:lang w:val="fr-BE"/>
        </w:rPr>
        <w:t>:</w:t>
      </w:r>
      <w:proofErr w:type="gramEnd"/>
    </w:p>
    <w:p w14:paraId="0D95392A" w14:textId="4A929925" w:rsidR="008F5ADC" w:rsidRPr="00FC4AC6" w:rsidRDefault="00626B70" w:rsidP="0011697C">
      <w:pPr>
        <w:widowControl w:val="0"/>
        <w:autoSpaceDE w:val="0"/>
        <w:autoSpaceDN w:val="0"/>
        <w:adjustRightInd w:val="0"/>
        <w:rPr>
          <w:rFonts w:ascii="Open Sans" w:hAnsi="Open Sans" w:cs="Open Sans"/>
          <w:sz w:val="16"/>
          <w:szCs w:val="16"/>
          <w:lang w:val="fr-BE"/>
        </w:rPr>
      </w:pPr>
      <w:hyperlink r:id="rId4" w:history="1">
        <w:r w:rsidR="008F5ADC" w:rsidRPr="00FC4AC6">
          <w:rPr>
            <w:rStyle w:val="Hyperlink"/>
            <w:rFonts w:ascii="Open Sans" w:hAnsi="Open Sans" w:cs="Open Sans"/>
            <w:sz w:val="16"/>
            <w:szCs w:val="16"/>
            <w:lang w:val="fr-BE"/>
          </w:rPr>
          <w:t>https://www.bag.admin.ch/bag/fr/home/gesund-leben/sucht-undgesundheit/suchtberatung-therapie/substitutionsgestuetzte-behandlung/heroingestuetzte-behandlung.html</w:t>
        </w:r>
      </w:hyperlink>
      <w:r w:rsidR="008F5ADC" w:rsidRPr="00FC4AC6">
        <w:rPr>
          <w:rFonts w:ascii="Open Sans" w:hAnsi="Open Sans" w:cs="Open Sans"/>
          <w:sz w:val="16"/>
          <w:szCs w:val="16"/>
          <w:lang w:val="fr-BE"/>
        </w:rPr>
        <w:t xml:space="preserve">. </w:t>
      </w:r>
    </w:p>
  </w:endnote>
  <w:endnote w:id="26">
    <w:p w14:paraId="0FE9DC40" w14:textId="488AC755"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w:t>
      </w:r>
    </w:p>
  </w:endnote>
  <w:endnote w:id="27">
    <w:p w14:paraId="12087088" w14:textId="0CB21B14"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Schumacher J (2019) Global State of Harm Reduction 2018 survey response</w:t>
      </w:r>
      <w:r w:rsidRPr="00FC4AC6">
        <w:rPr>
          <w:rFonts w:ascii="Open Sans" w:hAnsi="Open Sans" w:cs="Open Sans"/>
          <w:b/>
          <w:bCs/>
          <w:sz w:val="16"/>
          <w:szCs w:val="16"/>
        </w:rPr>
        <w:t>.</w:t>
      </w:r>
    </w:p>
  </w:endnote>
  <w:endnote w:id="28">
    <w:p w14:paraId="51E23A27" w14:textId="733A70A2"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w:t>
      </w:r>
    </w:p>
  </w:endnote>
  <w:endnote w:id="29">
    <w:p w14:paraId="2BFF772D" w14:textId="090BEB50"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00424CFA">
        <w:rPr>
          <w:rFonts w:ascii="Open Sans" w:hAnsi="Open Sans" w:cs="Open Sans"/>
          <w:sz w:val="16"/>
          <w:szCs w:val="16"/>
        </w:rPr>
        <w:t xml:space="preserve"> Shirley-Beavan S,</w:t>
      </w:r>
      <w:r w:rsidR="00004F1C" w:rsidRPr="00FC4AC6">
        <w:rPr>
          <w:rFonts w:ascii="Open Sans" w:hAnsi="Open Sans" w:cs="Open Sans"/>
          <w:sz w:val="16"/>
          <w:szCs w:val="16"/>
        </w:rPr>
        <w:t xml:space="preserve"> </w:t>
      </w:r>
      <w:r w:rsidRPr="00FC4AC6">
        <w:rPr>
          <w:rFonts w:ascii="Open Sans" w:hAnsi="Open Sans" w:cs="Open Sans"/>
          <w:sz w:val="16"/>
          <w:szCs w:val="16"/>
        </w:rPr>
        <w:t xml:space="preserve">The State of Harm Reduction in Western Europe 2018 </w:t>
      </w:r>
      <w:r w:rsidR="00424CFA">
        <w:rPr>
          <w:rFonts w:ascii="Open Sans" w:hAnsi="Open Sans" w:cs="Open Sans"/>
          <w:sz w:val="16"/>
          <w:szCs w:val="16"/>
        </w:rPr>
        <w:t>(</w:t>
      </w:r>
      <w:r w:rsidRPr="00FC4AC6">
        <w:rPr>
          <w:rFonts w:ascii="Open Sans" w:hAnsi="Open Sans" w:cs="Open Sans"/>
          <w:sz w:val="16"/>
          <w:szCs w:val="16"/>
        </w:rPr>
        <w:t>Harm R</w:t>
      </w:r>
      <w:r w:rsidR="00004F1C" w:rsidRPr="00FC4AC6">
        <w:rPr>
          <w:rFonts w:ascii="Open Sans" w:hAnsi="Open Sans" w:cs="Open Sans"/>
          <w:sz w:val="16"/>
          <w:szCs w:val="16"/>
        </w:rPr>
        <w:t>eduction International</w:t>
      </w:r>
      <w:r w:rsidR="00111832" w:rsidRPr="00FC4AC6">
        <w:rPr>
          <w:rFonts w:ascii="Open Sans" w:hAnsi="Open Sans" w:cs="Open Sans"/>
          <w:sz w:val="16"/>
          <w:szCs w:val="16"/>
        </w:rPr>
        <w:t>: London</w:t>
      </w:r>
      <w:r w:rsidR="00424CFA">
        <w:rPr>
          <w:rFonts w:ascii="Open Sans" w:hAnsi="Open Sans" w:cs="Open Sans"/>
          <w:sz w:val="16"/>
          <w:szCs w:val="16"/>
        </w:rPr>
        <w:t>, 2019)</w:t>
      </w:r>
      <w:r w:rsidR="00111832" w:rsidRPr="00FC4AC6">
        <w:rPr>
          <w:rFonts w:ascii="Open Sans" w:hAnsi="Open Sans" w:cs="Open Sans"/>
          <w:sz w:val="16"/>
          <w:szCs w:val="16"/>
        </w:rPr>
        <w:t>.</w:t>
      </w:r>
    </w:p>
  </w:endnote>
  <w:endnote w:id="30">
    <w:p w14:paraId="4086DFB2" w14:textId="4EA3CDB8" w:rsidR="008F5ADC" w:rsidRPr="00FC4AC6" w:rsidRDefault="008F5ADC" w:rsidP="00006366">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Bruggmann</w:t>
      </w:r>
      <w:proofErr w:type="spellEnd"/>
      <w:r w:rsidRPr="00FC4AC6">
        <w:rPr>
          <w:rFonts w:ascii="Open Sans" w:hAnsi="Open Sans" w:cs="Open Sans"/>
          <w:sz w:val="16"/>
          <w:szCs w:val="16"/>
        </w:rPr>
        <w:t xml:space="preserve"> P, </w:t>
      </w:r>
      <w:proofErr w:type="spellStart"/>
      <w:r w:rsidRPr="00FC4AC6">
        <w:rPr>
          <w:rFonts w:ascii="Open Sans" w:hAnsi="Open Sans" w:cs="Open Sans"/>
          <w:sz w:val="16"/>
          <w:szCs w:val="16"/>
        </w:rPr>
        <w:t>Blach</w:t>
      </w:r>
      <w:proofErr w:type="spellEnd"/>
      <w:r w:rsidRPr="00FC4AC6">
        <w:rPr>
          <w:rFonts w:ascii="Open Sans" w:hAnsi="Open Sans" w:cs="Open Sans"/>
          <w:sz w:val="16"/>
          <w:szCs w:val="16"/>
        </w:rPr>
        <w:t xml:space="preserve"> S, </w:t>
      </w:r>
      <w:proofErr w:type="spellStart"/>
      <w:r w:rsidRPr="00FC4AC6">
        <w:rPr>
          <w:rFonts w:ascii="Open Sans" w:hAnsi="Open Sans" w:cs="Open Sans"/>
          <w:sz w:val="16"/>
          <w:szCs w:val="16"/>
        </w:rPr>
        <w:t>Deltenre</w:t>
      </w:r>
      <w:proofErr w:type="spellEnd"/>
      <w:r w:rsidRPr="00FC4AC6">
        <w:rPr>
          <w:rFonts w:ascii="Open Sans" w:hAnsi="Open Sans" w:cs="Open Sans"/>
          <w:sz w:val="16"/>
          <w:szCs w:val="16"/>
        </w:rPr>
        <w:t xml:space="preserve"> P, Fehr J, </w:t>
      </w:r>
      <w:proofErr w:type="spellStart"/>
      <w:r w:rsidRPr="00FC4AC6">
        <w:rPr>
          <w:rFonts w:ascii="Open Sans" w:hAnsi="Open Sans" w:cs="Open Sans"/>
          <w:sz w:val="16"/>
          <w:szCs w:val="16"/>
        </w:rPr>
        <w:t>Kouyos</w:t>
      </w:r>
      <w:proofErr w:type="spellEnd"/>
      <w:r w:rsidRPr="00FC4AC6">
        <w:rPr>
          <w:rFonts w:ascii="Open Sans" w:hAnsi="Open Sans" w:cs="Open Sans"/>
          <w:sz w:val="16"/>
          <w:szCs w:val="16"/>
        </w:rPr>
        <w:t xml:space="preserve"> R, </w:t>
      </w:r>
      <w:proofErr w:type="spellStart"/>
      <w:r w:rsidRPr="00FC4AC6">
        <w:rPr>
          <w:rFonts w:ascii="Open Sans" w:hAnsi="Open Sans" w:cs="Open Sans"/>
          <w:sz w:val="16"/>
          <w:szCs w:val="16"/>
        </w:rPr>
        <w:t>Lavanchy</w:t>
      </w:r>
      <w:proofErr w:type="spellEnd"/>
      <w:r w:rsidRPr="00FC4AC6">
        <w:rPr>
          <w:rFonts w:ascii="Open Sans" w:hAnsi="Open Sans" w:cs="Open Sans"/>
          <w:sz w:val="16"/>
          <w:szCs w:val="16"/>
        </w:rPr>
        <w:t xml:space="preserve"> D, et al. </w:t>
      </w:r>
      <w:r w:rsidRPr="00FC4AC6">
        <w:rPr>
          <w:rFonts w:ascii="Open Sans" w:hAnsi="Open Sans" w:cs="Open Sans"/>
          <w:bCs/>
          <w:sz w:val="16"/>
          <w:szCs w:val="16"/>
        </w:rPr>
        <w:t>(2017) ‘Hepatitis C virus dynamics among intravenous drug users suggest</w:t>
      </w:r>
      <w:r w:rsidRPr="00FC4AC6">
        <w:rPr>
          <w:rFonts w:ascii="Open Sans" w:hAnsi="Open Sans" w:cs="Open Sans"/>
          <w:sz w:val="16"/>
          <w:szCs w:val="16"/>
        </w:rPr>
        <w:t xml:space="preserve"> </w:t>
      </w:r>
      <w:r w:rsidRPr="00FC4AC6">
        <w:rPr>
          <w:rFonts w:ascii="Open Sans" w:hAnsi="Open Sans" w:cs="Open Sans"/>
          <w:bCs/>
          <w:sz w:val="16"/>
          <w:szCs w:val="16"/>
        </w:rPr>
        <w:t>that an annual treatment uptake above 10% would eliminate the disease</w:t>
      </w:r>
      <w:r w:rsidRPr="00FC4AC6">
        <w:rPr>
          <w:rFonts w:ascii="Open Sans" w:hAnsi="Open Sans" w:cs="Open Sans"/>
          <w:sz w:val="16"/>
          <w:szCs w:val="16"/>
        </w:rPr>
        <w:t xml:space="preserve"> by 2030.’ Swiss Med </w:t>
      </w:r>
      <w:proofErr w:type="spellStart"/>
      <w:r w:rsidRPr="00FC4AC6">
        <w:rPr>
          <w:rFonts w:ascii="Open Sans" w:hAnsi="Open Sans" w:cs="Open Sans"/>
          <w:sz w:val="16"/>
          <w:szCs w:val="16"/>
        </w:rPr>
        <w:t>Wkly</w:t>
      </w:r>
      <w:proofErr w:type="spellEnd"/>
      <w:r w:rsidRPr="00FC4AC6">
        <w:rPr>
          <w:rFonts w:ascii="Open Sans" w:hAnsi="Open Sans" w:cs="Open Sans"/>
          <w:sz w:val="16"/>
          <w:szCs w:val="16"/>
        </w:rPr>
        <w:t xml:space="preserve"> 147(4546);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w:t>
      </w:r>
    </w:p>
  </w:endnote>
  <w:endnote w:id="31">
    <w:p w14:paraId="1713CDDB" w14:textId="0F6E03D8"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Schumacher J (2019) Global State of Harm Reduction 2018 survey response</w:t>
      </w:r>
      <w:r w:rsidRPr="00FC4AC6">
        <w:rPr>
          <w:rFonts w:ascii="Open Sans" w:hAnsi="Open Sans" w:cs="Open Sans"/>
          <w:b/>
          <w:bCs/>
          <w:sz w:val="16"/>
          <w:szCs w:val="16"/>
        </w:rPr>
        <w:t>.</w:t>
      </w:r>
    </w:p>
  </w:endnote>
  <w:endnote w:id="32">
    <w:p w14:paraId="59083735" w14:textId="4D259F77" w:rsidR="008F5ADC" w:rsidRPr="001D51AB"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 xml:space="preserve">; </w:t>
      </w:r>
      <w:r w:rsidRPr="00FC4AC6">
        <w:rPr>
          <w:rFonts w:ascii="Open Sans" w:hAnsi="Open Sans" w:cs="Open Sans"/>
          <w:sz w:val="16"/>
          <w:szCs w:val="16"/>
        </w:rPr>
        <w:t>Simon O (2018) Global State of Harm Reduction 2018 survey response</w:t>
      </w:r>
      <w:r w:rsidRPr="00FC4AC6">
        <w:rPr>
          <w:rFonts w:ascii="Open Sans" w:hAnsi="Open Sans" w:cs="Open Sans"/>
          <w:b/>
          <w:bCs/>
          <w:sz w:val="16"/>
          <w:szCs w:val="16"/>
        </w:rPr>
        <w:t>.</w:t>
      </w:r>
    </w:p>
  </w:endnote>
  <w:endnote w:id="33">
    <w:p w14:paraId="2D27A050" w14:textId="090AD743" w:rsidR="001D51AB" w:rsidRPr="001D51AB" w:rsidRDefault="001D51AB">
      <w:pPr>
        <w:pStyle w:val="EndnoteText"/>
        <w:rPr>
          <w:rFonts w:ascii="Open Sans" w:hAnsi="Open Sans" w:cs="Open Sans"/>
          <w:sz w:val="16"/>
          <w:szCs w:val="16"/>
        </w:rPr>
      </w:pPr>
      <w:r w:rsidRPr="001D51AB">
        <w:rPr>
          <w:rStyle w:val="EndnoteReference"/>
          <w:rFonts w:ascii="Open Sans" w:hAnsi="Open Sans" w:cs="Open Sans"/>
          <w:sz w:val="16"/>
          <w:szCs w:val="16"/>
        </w:rPr>
        <w:endnoteRef/>
      </w:r>
      <w:r w:rsidRPr="001D51AB">
        <w:rPr>
          <w:rFonts w:ascii="Open Sans" w:hAnsi="Open Sans" w:cs="Open Sans"/>
          <w:sz w:val="16"/>
          <w:szCs w:val="16"/>
        </w:rPr>
        <w:t xml:space="preserve"> </w:t>
      </w:r>
      <w:hyperlink r:id="rId5" w:history="1">
        <w:r w:rsidRPr="001D51AB">
          <w:rPr>
            <w:rStyle w:val="Hyperlink"/>
            <w:rFonts w:ascii="Open Sans" w:hAnsi="Open Sans" w:cs="Open Sans"/>
            <w:sz w:val="16"/>
            <w:szCs w:val="16"/>
          </w:rPr>
          <w:t>www.practicien-addiction.ch</w:t>
        </w:r>
      </w:hyperlink>
      <w:r w:rsidRPr="001D51AB">
        <w:rPr>
          <w:rFonts w:ascii="Open Sans" w:hAnsi="Open Sans" w:cs="Open Sans"/>
          <w:sz w:val="16"/>
          <w:szCs w:val="16"/>
        </w:rPr>
        <w:tab/>
      </w:r>
    </w:p>
  </w:endnote>
  <w:endnote w:id="34">
    <w:p w14:paraId="3BD47426" w14:textId="18791E63" w:rsidR="008F5ADC" w:rsidRPr="00FC4AC6" w:rsidRDefault="008F5ADC">
      <w:pPr>
        <w:pStyle w:val="EndnoteText"/>
        <w:rPr>
          <w:rFonts w:ascii="Open Sans" w:hAnsi="Open Sans" w:cs="Open Sans"/>
          <w:sz w:val="16"/>
          <w:szCs w:val="16"/>
        </w:rPr>
      </w:pPr>
      <w:r w:rsidRPr="001D51AB">
        <w:rPr>
          <w:rStyle w:val="EndnoteReference"/>
          <w:rFonts w:ascii="Open Sans" w:hAnsi="Open Sans" w:cs="Open Sans"/>
          <w:sz w:val="16"/>
          <w:szCs w:val="16"/>
        </w:rPr>
        <w:endnoteRef/>
      </w:r>
      <w:r w:rsidRPr="001D51AB">
        <w:rPr>
          <w:rFonts w:ascii="Open Sans" w:hAnsi="Open Sans" w:cs="Open Sans"/>
          <w:sz w:val="16"/>
          <w:szCs w:val="16"/>
        </w:rPr>
        <w:t xml:space="preserve"> </w:t>
      </w:r>
      <w:proofErr w:type="spellStart"/>
      <w:r w:rsidRPr="001D51AB">
        <w:rPr>
          <w:rFonts w:ascii="Open Sans" w:hAnsi="Open Sans" w:cs="Open Sans"/>
          <w:sz w:val="16"/>
          <w:szCs w:val="16"/>
        </w:rPr>
        <w:t>Windelinckx</w:t>
      </w:r>
      <w:proofErr w:type="spellEnd"/>
      <w:r w:rsidRPr="001D51AB">
        <w:rPr>
          <w:rFonts w:ascii="Open Sans" w:hAnsi="Open Sans" w:cs="Open Sans"/>
          <w:sz w:val="16"/>
          <w:szCs w:val="16"/>
        </w:rPr>
        <w:t xml:space="preserve"> T (2018) Global State</w:t>
      </w:r>
      <w:r w:rsidRPr="00FC4AC6">
        <w:rPr>
          <w:rFonts w:ascii="Open Sans" w:hAnsi="Open Sans" w:cs="Open Sans"/>
          <w:sz w:val="16"/>
          <w:szCs w:val="16"/>
        </w:rPr>
        <w:t xml:space="preserve"> of Harm Reduction 2018 survey response</w:t>
      </w:r>
      <w:r w:rsidRPr="00FC4AC6">
        <w:rPr>
          <w:rFonts w:ascii="Open Sans" w:hAnsi="Open Sans" w:cs="Open Sans"/>
          <w:b/>
          <w:bC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 xml:space="preserve">; </w:t>
      </w:r>
      <w:proofErr w:type="spellStart"/>
      <w:r w:rsidRPr="00FC4AC6">
        <w:rPr>
          <w:rFonts w:ascii="Open Sans" w:hAnsi="Open Sans" w:cs="Open Sans"/>
          <w:sz w:val="16"/>
          <w:szCs w:val="16"/>
        </w:rPr>
        <w:t>Rego</w:t>
      </w:r>
      <w:proofErr w:type="spellEnd"/>
      <w:r w:rsidRPr="00FC4AC6">
        <w:rPr>
          <w:rFonts w:ascii="Open Sans" w:hAnsi="Open Sans" w:cs="Open Sans"/>
          <w:sz w:val="16"/>
          <w:szCs w:val="16"/>
        </w:rPr>
        <w:t xml:space="preserve"> X (2018) Global State of Harm Reduction 2018 survey response</w:t>
      </w:r>
      <w:r w:rsidRPr="00FC4AC6">
        <w:rPr>
          <w:rFonts w:ascii="Open Sans" w:hAnsi="Open Sans" w:cs="Open Sans"/>
          <w:b/>
          <w:bCs/>
          <w:sz w:val="16"/>
          <w:szCs w:val="16"/>
        </w:rPr>
        <w:t>.</w:t>
      </w:r>
    </w:p>
  </w:endnote>
  <w:endnote w:id="35">
    <w:p w14:paraId="0FD82103" w14:textId="41A87CAF"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Simon O (2018) Global State of Harm Reduction 2018 survey response</w:t>
      </w:r>
      <w:r w:rsidRPr="00FC4AC6">
        <w:rPr>
          <w:rFonts w:ascii="Open Sans" w:hAnsi="Open Sans" w:cs="Open Sans"/>
          <w:b/>
          <w:bCs/>
          <w:sz w:val="16"/>
          <w:szCs w:val="16"/>
        </w:rPr>
        <w:t xml:space="preserve">; </w:t>
      </w:r>
      <w:proofErr w:type="spellStart"/>
      <w:r w:rsidRPr="00FC4AC6">
        <w:rPr>
          <w:rFonts w:ascii="Open Sans" w:hAnsi="Open Sans" w:cs="Open Sans"/>
          <w:sz w:val="16"/>
          <w:szCs w:val="16"/>
        </w:rPr>
        <w:t>Windelinckx</w:t>
      </w:r>
      <w:proofErr w:type="spellEnd"/>
      <w:r w:rsidRPr="00FC4AC6">
        <w:rPr>
          <w:rFonts w:ascii="Open Sans" w:hAnsi="Open Sans" w:cs="Open Sans"/>
          <w:sz w:val="16"/>
          <w:szCs w:val="16"/>
        </w:rPr>
        <w:t xml:space="preserve"> T (2018) Global State of Harm Reduction 2018 survey response</w:t>
      </w:r>
      <w:r w:rsidRPr="00FC4AC6">
        <w:rPr>
          <w:rFonts w:ascii="Open Sans" w:hAnsi="Open Sans" w:cs="Open Sans"/>
          <w:b/>
          <w:bCs/>
          <w:sz w:val="16"/>
          <w:szCs w:val="16"/>
        </w:rPr>
        <w:t>.</w:t>
      </w:r>
    </w:p>
  </w:endnote>
  <w:endnote w:id="36">
    <w:p w14:paraId="4D952B29" w14:textId="3E486ADB" w:rsidR="00A52E91" w:rsidRPr="00FC4AC6" w:rsidRDefault="00A52E91">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424CFA">
        <w:rPr>
          <w:rFonts w:ascii="Open Sans" w:hAnsi="Open Sans" w:cs="Open Sans"/>
          <w:sz w:val="16"/>
          <w:szCs w:val="16"/>
        </w:rPr>
        <w:t>Stone K, Shirley-Beavan S,</w:t>
      </w:r>
      <w:r w:rsidR="00424CFA" w:rsidRPr="00FC4AC6">
        <w:rPr>
          <w:rFonts w:ascii="Open Sans" w:hAnsi="Open Sans" w:cs="Open Sans"/>
          <w:sz w:val="16"/>
          <w:szCs w:val="16"/>
        </w:rPr>
        <w:t xml:space="preserve"> Global State of Harm Reduction 2018. </w:t>
      </w:r>
      <w:r w:rsidR="00424CFA">
        <w:rPr>
          <w:rFonts w:ascii="Open Sans" w:hAnsi="Open Sans" w:cs="Open Sans"/>
          <w:sz w:val="16"/>
          <w:szCs w:val="16"/>
        </w:rPr>
        <w:t>(London: Harm Reduction International, 2018)</w:t>
      </w:r>
    </w:p>
  </w:endnote>
  <w:endnote w:id="37">
    <w:p w14:paraId="3A5BB172" w14:textId="4D553426"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00424CFA">
        <w:rPr>
          <w:rFonts w:ascii="Open Sans" w:hAnsi="Open Sans" w:cs="Open Sans"/>
          <w:sz w:val="16"/>
          <w:szCs w:val="16"/>
        </w:rPr>
        <w:t xml:space="preserve"> Sander G, Lines R,</w:t>
      </w:r>
      <w:r w:rsidRPr="00FC4AC6">
        <w:rPr>
          <w:rFonts w:ascii="Open Sans" w:hAnsi="Open Sans" w:cs="Open Sans"/>
          <w:sz w:val="16"/>
          <w:szCs w:val="16"/>
        </w:rPr>
        <w:t xml:space="preserve"> “HIV, Hepatitis C, TB, Harm Reduction and Persons Deprived of Liberty: What Standards Does International Human Rights Law Establish?”</w:t>
      </w:r>
      <w:r w:rsidRPr="00FC4AC6">
        <w:rPr>
          <w:rFonts w:ascii="Open Sans" w:hAnsi="Open Sans" w:cs="Open Sans"/>
          <w:i/>
          <w:sz w:val="16"/>
          <w:szCs w:val="16"/>
        </w:rPr>
        <w:t xml:space="preserve"> The International Journal of Health and Human Rights</w:t>
      </w:r>
      <w:r w:rsidR="00424CFA">
        <w:rPr>
          <w:rFonts w:ascii="Open Sans" w:hAnsi="Open Sans" w:cs="Open Sans"/>
          <w:sz w:val="16"/>
          <w:szCs w:val="16"/>
        </w:rPr>
        <w:t xml:space="preserve"> (2017)</w:t>
      </w:r>
    </w:p>
  </w:endnote>
  <w:endnote w:id="38">
    <w:p w14:paraId="7B8DED1E" w14:textId="131DFD29" w:rsidR="008F5ADC" w:rsidRPr="00FC4AC6" w:rsidRDefault="008F5ADC" w:rsidP="00C63DAC">
      <w:pPr>
        <w:rPr>
          <w:rFonts w:ascii="Open Sans" w:eastAsia="Times New Roman" w:hAnsi="Open Sans" w:cs="Open Sans"/>
          <w:color w:val="000000" w:themeColor="text1"/>
          <w:sz w:val="16"/>
          <w:szCs w:val="16"/>
          <w:lang w:eastAsia="en-GB"/>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See for example</w:t>
      </w:r>
      <w:r w:rsidRPr="00FC4AC6">
        <w:rPr>
          <w:rFonts w:ascii="Open Sans" w:hAnsi="Open Sans" w:cs="Open Sans"/>
          <w:color w:val="000000" w:themeColor="text1"/>
          <w:sz w:val="16"/>
          <w:szCs w:val="16"/>
        </w:rPr>
        <w:t xml:space="preserve">, </w:t>
      </w:r>
      <w:r w:rsidRPr="00FC4AC6">
        <w:rPr>
          <w:rFonts w:ascii="Open Sans" w:eastAsia="Times New Roman" w:hAnsi="Open Sans" w:cs="Open Sans"/>
          <w:color w:val="000000" w:themeColor="text1"/>
          <w:sz w:val="16"/>
          <w:szCs w:val="16"/>
          <w:lang w:eastAsia="en-GB"/>
        </w:rPr>
        <w:t>A. Grover, UN Special Rapporteur on the Right to the highest attainable standard of physical and mental health, Report of the UN Special Rapporteur on the Right to the highest attainable standard of physical and mental health, UN Doc. A/65/255 (August 6, 2010) para. 60.</w:t>
      </w:r>
    </w:p>
  </w:endnote>
  <w:endnote w:id="39">
    <w:p w14:paraId="0E6B3DEA" w14:textId="3963A986" w:rsidR="00923031" w:rsidRPr="00FC4AC6" w:rsidRDefault="00923031">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Pr="00FC4AC6">
        <w:rPr>
          <w:rFonts w:ascii="Open Sans" w:hAnsi="Open Sans" w:cs="Open Sans"/>
          <w:sz w:val="16"/>
          <w:szCs w:val="16"/>
          <w:lang w:val="en-US"/>
        </w:rPr>
        <w:t>UN Committee on Economic, Social and Cultural Rights, General Comment 14, UN Doc. E/C.12/2000/4, 2000, para 43(a).</w:t>
      </w:r>
    </w:p>
  </w:endnote>
  <w:endnote w:id="40">
    <w:p w14:paraId="2376A31E" w14:textId="70B677F9" w:rsidR="008F5ADC" w:rsidRPr="00FC4AC6" w:rsidRDefault="008F5ADC" w:rsidP="000B3913">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The Federal Council (2017) National Strategy on Addiction and Action Plan 2017-2024. Bern: Swiss Confederation.</w:t>
      </w:r>
    </w:p>
  </w:endnote>
  <w:endnote w:id="41">
    <w:p w14:paraId="55E36EC9" w14:textId="3FF337F5" w:rsidR="008F5ADC" w:rsidRPr="00FC4AC6" w:rsidRDefault="008F5ADC" w:rsidP="000B3913">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Federal Assembly of the Swiss Confederation (2013) </w:t>
      </w:r>
      <w:proofErr w:type="spellStart"/>
      <w:r w:rsidRPr="00FC4AC6">
        <w:rPr>
          <w:rFonts w:ascii="Open Sans" w:hAnsi="Open Sans" w:cs="Open Sans"/>
          <w:sz w:val="16"/>
          <w:szCs w:val="16"/>
        </w:rPr>
        <w:t>Loi</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Fédérale</w:t>
      </w:r>
      <w:proofErr w:type="spellEnd"/>
      <w:r w:rsidRPr="00FC4AC6">
        <w:rPr>
          <w:rFonts w:ascii="Open Sans" w:hAnsi="Open Sans" w:cs="Open Sans"/>
          <w:sz w:val="16"/>
          <w:szCs w:val="16"/>
        </w:rPr>
        <w:t xml:space="preserve"> sur les </w:t>
      </w:r>
      <w:proofErr w:type="spellStart"/>
      <w:r w:rsidRPr="00FC4AC6">
        <w:rPr>
          <w:rFonts w:ascii="Open Sans" w:hAnsi="Open Sans" w:cs="Open Sans"/>
          <w:sz w:val="16"/>
          <w:szCs w:val="16"/>
        </w:rPr>
        <w:t>Stupéfiants</w:t>
      </w:r>
      <w:proofErr w:type="spellEnd"/>
      <w:r w:rsidRPr="00FC4AC6">
        <w:rPr>
          <w:rFonts w:ascii="Open Sans" w:hAnsi="Open Sans" w:cs="Open Sans"/>
          <w:sz w:val="16"/>
          <w:szCs w:val="16"/>
        </w:rPr>
        <w:t xml:space="preserve"> et les Substances </w:t>
      </w:r>
      <w:proofErr w:type="spellStart"/>
      <w:r w:rsidRPr="00FC4AC6">
        <w:rPr>
          <w:rFonts w:ascii="Open Sans" w:hAnsi="Open Sans" w:cs="Open Sans"/>
          <w:sz w:val="16"/>
          <w:szCs w:val="16"/>
        </w:rPr>
        <w:t>Psychotropes</w:t>
      </w:r>
      <w:proofErr w:type="spellEnd"/>
      <w:r w:rsidRPr="00FC4AC6">
        <w:rPr>
          <w:rFonts w:ascii="Open Sans" w:hAnsi="Open Sans" w:cs="Open Sans"/>
          <w:sz w:val="16"/>
          <w:szCs w:val="16"/>
        </w:rPr>
        <w:t xml:space="preserve">. Bern: Swiss Confederation; </w:t>
      </w:r>
      <w:proofErr w:type="spellStart"/>
      <w:r w:rsidR="00424CFA">
        <w:rPr>
          <w:rFonts w:ascii="Open Sans" w:hAnsi="Open Sans" w:cs="Open Sans"/>
          <w:sz w:val="16"/>
          <w:szCs w:val="16"/>
        </w:rPr>
        <w:t>Csete</w:t>
      </w:r>
      <w:proofErr w:type="spellEnd"/>
      <w:r w:rsidR="00424CFA">
        <w:rPr>
          <w:rFonts w:ascii="Open Sans" w:hAnsi="Open Sans" w:cs="Open Sans"/>
          <w:sz w:val="16"/>
          <w:szCs w:val="16"/>
        </w:rPr>
        <w:t xml:space="preserve"> J,</w:t>
      </w:r>
      <w:r w:rsidRPr="00FC4AC6">
        <w:rPr>
          <w:rFonts w:ascii="Open Sans" w:hAnsi="Open Sans" w:cs="Open Sans"/>
          <w:sz w:val="16"/>
          <w:szCs w:val="16"/>
        </w:rPr>
        <w:t xml:space="preserve"> From the Mountaintops: What the World </w:t>
      </w:r>
      <w:proofErr w:type="gramStart"/>
      <w:r w:rsidRPr="00FC4AC6">
        <w:rPr>
          <w:rFonts w:ascii="Open Sans" w:hAnsi="Open Sans" w:cs="Open Sans"/>
          <w:sz w:val="16"/>
          <w:szCs w:val="16"/>
        </w:rPr>
        <w:t>can</w:t>
      </w:r>
      <w:proofErr w:type="gramEnd"/>
      <w:r w:rsidRPr="00FC4AC6">
        <w:rPr>
          <w:rFonts w:ascii="Open Sans" w:hAnsi="Open Sans" w:cs="Open Sans"/>
          <w:sz w:val="16"/>
          <w:szCs w:val="16"/>
        </w:rPr>
        <w:t xml:space="preserve"> Learn from Drug Policy Change in Switzerland </w:t>
      </w:r>
      <w:r w:rsidR="00424CFA">
        <w:rPr>
          <w:rFonts w:ascii="Open Sans" w:hAnsi="Open Sans" w:cs="Open Sans"/>
          <w:sz w:val="16"/>
          <w:szCs w:val="16"/>
        </w:rPr>
        <w:t>(</w:t>
      </w:r>
      <w:r w:rsidRPr="00FC4AC6">
        <w:rPr>
          <w:rFonts w:ascii="Open Sans" w:hAnsi="Open Sans" w:cs="Open Sans"/>
          <w:sz w:val="16"/>
          <w:szCs w:val="16"/>
        </w:rPr>
        <w:t>New</w:t>
      </w:r>
      <w:r w:rsidR="00424CFA">
        <w:rPr>
          <w:rFonts w:ascii="Open Sans" w:hAnsi="Open Sans" w:cs="Open Sans"/>
          <w:sz w:val="16"/>
          <w:szCs w:val="16"/>
        </w:rPr>
        <w:t xml:space="preserve"> York: Open Society Foundations, 2010)</w:t>
      </w:r>
    </w:p>
  </w:endnote>
  <w:endnote w:id="42">
    <w:p w14:paraId="3DBA3F6B" w14:textId="6D0A7E1F" w:rsidR="008F5ADC" w:rsidRPr="00FC4AC6" w:rsidRDefault="008F5ADC" w:rsidP="00350B5A">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r w:rsidR="00424CFA">
        <w:rPr>
          <w:rFonts w:ascii="Open Sans" w:hAnsi="Open Sans" w:cs="Open Sans"/>
          <w:sz w:val="16"/>
          <w:szCs w:val="16"/>
        </w:rPr>
        <w:t>UNODC</w:t>
      </w:r>
      <w:r w:rsidRPr="00FC4AC6">
        <w:rPr>
          <w:rFonts w:ascii="Open Sans" w:hAnsi="Open Sans" w:cs="Open Sans"/>
          <w:sz w:val="16"/>
          <w:szCs w:val="16"/>
        </w:rPr>
        <w:t xml:space="preserve"> Special Data Collections on Persons held in Pri</w:t>
      </w:r>
      <w:r w:rsidR="00424CFA">
        <w:rPr>
          <w:rFonts w:ascii="Open Sans" w:hAnsi="Open Sans" w:cs="Open Sans"/>
          <w:sz w:val="16"/>
          <w:szCs w:val="16"/>
        </w:rPr>
        <w:t>sons (2010-2014)</w:t>
      </w:r>
      <w:r w:rsidRPr="00FC4AC6">
        <w:rPr>
          <w:rFonts w:ascii="Open Sans" w:hAnsi="Open Sans" w:cs="Open Sans"/>
          <w:sz w:val="16"/>
          <w:szCs w:val="16"/>
        </w:rPr>
        <w:t xml:space="preserve"> </w:t>
      </w:r>
      <w:r w:rsidR="00424CFA">
        <w:rPr>
          <w:rFonts w:ascii="Open Sans" w:hAnsi="Open Sans" w:cs="Open Sans"/>
          <w:sz w:val="16"/>
          <w:szCs w:val="16"/>
        </w:rPr>
        <w:t>(</w:t>
      </w:r>
      <w:r w:rsidRPr="00FC4AC6">
        <w:rPr>
          <w:rFonts w:ascii="Open Sans" w:hAnsi="Open Sans" w:cs="Open Sans"/>
          <w:sz w:val="16"/>
          <w:szCs w:val="16"/>
        </w:rPr>
        <w:t>Vienna: United Nations Office on Drugs and Crime</w:t>
      </w:r>
      <w:r w:rsidR="00424CFA">
        <w:rPr>
          <w:rFonts w:ascii="Open Sans" w:hAnsi="Open Sans" w:cs="Open Sans"/>
          <w:sz w:val="16"/>
          <w:szCs w:val="16"/>
        </w:rPr>
        <w:t>, 2015)</w:t>
      </w:r>
      <w:r w:rsidRPr="00FC4AC6">
        <w:rPr>
          <w:rFonts w:ascii="Open Sans" w:hAnsi="Open Sans" w:cs="Open Sans"/>
          <w:sz w:val="16"/>
          <w:szCs w:val="16"/>
        </w:rPr>
        <w:t xml:space="preserve">. Available from: </w:t>
      </w:r>
      <w:hyperlink r:id="rId6" w:history="1">
        <w:r w:rsidRPr="00FC4AC6">
          <w:rPr>
            <w:rStyle w:val="Hyperlink"/>
            <w:rFonts w:ascii="Open Sans" w:hAnsi="Open Sans" w:cs="Open Sans"/>
            <w:sz w:val="16"/>
            <w:szCs w:val="16"/>
          </w:rPr>
          <w:t>https://www.unodc.org/unodc/en/data-andanalysis/crime-and-criminal-justice.html</w:t>
        </w:r>
      </w:hyperlink>
      <w:r w:rsidR="00424CFA">
        <w:rPr>
          <w:rFonts w:ascii="Open Sans" w:hAnsi="Open Sans" w:cs="Open Sans"/>
          <w:sz w:val="16"/>
          <w:szCs w:val="16"/>
        </w:rPr>
        <w:t xml:space="preserve"> (</w:t>
      </w:r>
      <w:r w:rsidR="00424CFA" w:rsidRPr="00FC4AC6">
        <w:rPr>
          <w:rFonts w:ascii="Open Sans" w:hAnsi="Open Sans" w:cs="Open Sans"/>
          <w:sz w:val="16"/>
          <w:szCs w:val="16"/>
        </w:rPr>
        <w:t>downloadable spreadsheet</w:t>
      </w:r>
      <w:r w:rsidR="00424CFA">
        <w:rPr>
          <w:rFonts w:ascii="Open Sans" w:hAnsi="Open Sans" w:cs="Open Sans"/>
          <w:sz w:val="16"/>
          <w:szCs w:val="16"/>
        </w:rPr>
        <w:t>)</w:t>
      </w:r>
    </w:p>
  </w:endnote>
  <w:endnote w:id="43">
    <w:p w14:paraId="00FAC51D" w14:textId="7E56AE75" w:rsidR="008F5ADC" w:rsidRPr="00FC4AC6" w:rsidRDefault="008F5ADC" w:rsidP="00D4264F">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Junod</w:t>
      </w:r>
      <w:proofErr w:type="spellEnd"/>
      <w:r w:rsidRPr="00FC4AC6">
        <w:rPr>
          <w:rFonts w:ascii="Open Sans" w:hAnsi="Open Sans" w:cs="Open Sans"/>
          <w:sz w:val="16"/>
          <w:szCs w:val="16"/>
        </w:rPr>
        <w:t xml:space="preserve"> V, Wolff H, </w:t>
      </w:r>
      <w:proofErr w:type="spellStart"/>
      <w:r w:rsidRPr="00FC4AC6">
        <w:rPr>
          <w:rFonts w:ascii="Open Sans" w:hAnsi="Open Sans" w:cs="Open Sans"/>
          <w:sz w:val="16"/>
          <w:szCs w:val="16"/>
        </w:rPr>
        <w:t>Scholten</w:t>
      </w:r>
      <w:proofErr w:type="spellEnd"/>
      <w:r w:rsidRPr="00FC4AC6">
        <w:rPr>
          <w:rFonts w:ascii="Open Sans" w:hAnsi="Open Sans" w:cs="Open Sans"/>
          <w:sz w:val="16"/>
          <w:szCs w:val="16"/>
        </w:rPr>
        <w:t xml:space="preserve"> W, </w:t>
      </w:r>
      <w:proofErr w:type="spellStart"/>
      <w:r w:rsidRPr="00FC4AC6">
        <w:rPr>
          <w:rFonts w:ascii="Open Sans" w:hAnsi="Open Sans" w:cs="Open Sans"/>
          <w:sz w:val="16"/>
          <w:szCs w:val="16"/>
        </w:rPr>
        <w:t>Novet</w:t>
      </w:r>
      <w:proofErr w:type="spellEnd"/>
      <w:r w:rsidRPr="00FC4AC6">
        <w:rPr>
          <w:rFonts w:ascii="Open Sans" w:hAnsi="Open Sans" w:cs="Open Sans"/>
          <w:sz w:val="16"/>
          <w:szCs w:val="16"/>
        </w:rPr>
        <w:t xml:space="preserve"> B, </w:t>
      </w:r>
      <w:proofErr w:type="spellStart"/>
      <w:r w:rsidRPr="00FC4AC6">
        <w:rPr>
          <w:rFonts w:ascii="Open Sans" w:hAnsi="Open Sans" w:cs="Open Sans"/>
          <w:sz w:val="16"/>
          <w:szCs w:val="16"/>
        </w:rPr>
        <w:t>Greifinger</w:t>
      </w:r>
      <w:proofErr w:type="spellEnd"/>
      <w:r w:rsidRPr="00FC4AC6">
        <w:rPr>
          <w:rFonts w:ascii="Open Sans" w:hAnsi="Open Sans" w:cs="Open Sans"/>
          <w:sz w:val="16"/>
          <w:szCs w:val="16"/>
        </w:rPr>
        <w:t xml:space="preserve"> R, Dickson C, et al. </w:t>
      </w:r>
      <w:r w:rsidRPr="00FC4AC6">
        <w:rPr>
          <w:rFonts w:ascii="Open Sans" w:hAnsi="Open Sans" w:cs="Open Sans"/>
          <w:bCs/>
          <w:sz w:val="16"/>
          <w:szCs w:val="16"/>
        </w:rPr>
        <w:t xml:space="preserve">(2017) ‘Methadone versus torture: the perspective of the European Court </w:t>
      </w:r>
      <w:r w:rsidRPr="00FC4AC6">
        <w:rPr>
          <w:rFonts w:ascii="Open Sans" w:hAnsi="Open Sans" w:cs="Open Sans"/>
          <w:sz w:val="16"/>
          <w:szCs w:val="16"/>
        </w:rPr>
        <w:t xml:space="preserve">of Human Rights.’ Heroin Addict </w:t>
      </w:r>
      <w:proofErr w:type="spellStart"/>
      <w:r w:rsidRPr="00FC4AC6">
        <w:rPr>
          <w:rFonts w:ascii="Open Sans" w:hAnsi="Open Sans" w:cs="Open Sans"/>
          <w:sz w:val="16"/>
          <w:szCs w:val="16"/>
        </w:rPr>
        <w:t>Relat</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Clin</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Probl</w:t>
      </w:r>
      <w:proofErr w:type="spellEnd"/>
      <w:r w:rsidRPr="00FC4AC6">
        <w:rPr>
          <w:rFonts w:ascii="Open Sans" w:hAnsi="Open Sans" w:cs="Open Sans"/>
          <w:sz w:val="16"/>
          <w:szCs w:val="16"/>
        </w:rPr>
        <w:t xml:space="preserve"> 20(1):31-6.</w:t>
      </w:r>
    </w:p>
  </w:endnote>
  <w:endnote w:id="44">
    <w:p w14:paraId="314B6345" w14:textId="367C1DC9"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Baumberger</w:t>
      </w:r>
      <w:proofErr w:type="spellEnd"/>
      <w:r w:rsidRPr="00FC4AC6">
        <w:rPr>
          <w:rFonts w:ascii="Open Sans" w:hAnsi="Open Sans" w:cs="Open Sans"/>
          <w:sz w:val="16"/>
          <w:szCs w:val="16"/>
        </w:rPr>
        <w:t xml:space="preserve"> P (2018) Global State of Harm Reduction 2018 survey response</w:t>
      </w:r>
      <w:r w:rsidRPr="00FC4AC6">
        <w:rPr>
          <w:rFonts w:ascii="Open Sans" w:hAnsi="Open Sans" w:cs="Open Sans"/>
          <w:b/>
          <w:bCs/>
          <w:sz w:val="16"/>
          <w:szCs w:val="16"/>
        </w:rPr>
        <w:t>.</w:t>
      </w:r>
    </w:p>
  </w:endnote>
  <w:endnote w:id="45">
    <w:p w14:paraId="1F7BDE09" w14:textId="4DF7471C" w:rsidR="008F5ADC" w:rsidRPr="00FC4AC6" w:rsidRDefault="008F5ADC" w:rsidP="00DD0652">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Bize</w:t>
      </w:r>
      <w:proofErr w:type="spellEnd"/>
      <w:r w:rsidRPr="00FC4AC6">
        <w:rPr>
          <w:rFonts w:ascii="Open Sans" w:hAnsi="Open Sans" w:cs="Open Sans"/>
          <w:sz w:val="16"/>
          <w:szCs w:val="16"/>
        </w:rPr>
        <w:t xml:space="preserve"> R, </w:t>
      </w:r>
      <w:proofErr w:type="spellStart"/>
      <w:r w:rsidRPr="00FC4AC6">
        <w:rPr>
          <w:rFonts w:ascii="Open Sans" w:hAnsi="Open Sans" w:cs="Open Sans"/>
          <w:sz w:val="16"/>
          <w:szCs w:val="16"/>
        </w:rPr>
        <w:t>Samitca</w:t>
      </w:r>
      <w:proofErr w:type="spellEnd"/>
      <w:r w:rsidRPr="00FC4AC6">
        <w:rPr>
          <w:rFonts w:ascii="Open Sans" w:hAnsi="Open Sans" w:cs="Open Sans"/>
          <w:sz w:val="16"/>
          <w:szCs w:val="16"/>
        </w:rPr>
        <w:t xml:space="preserve"> S (2017) ‘Syringe-exchange program in Swiss prisons: two decades later.’ </w:t>
      </w:r>
      <w:proofErr w:type="spellStart"/>
      <w:r w:rsidRPr="00FC4AC6">
        <w:rPr>
          <w:rFonts w:ascii="Open Sans" w:hAnsi="Open Sans" w:cs="Open Sans"/>
          <w:sz w:val="16"/>
          <w:szCs w:val="16"/>
        </w:rPr>
        <w:t>Eur</w:t>
      </w:r>
      <w:proofErr w:type="spellEnd"/>
      <w:r w:rsidRPr="00FC4AC6">
        <w:rPr>
          <w:rFonts w:ascii="Open Sans" w:hAnsi="Open Sans" w:cs="Open Sans"/>
          <w:sz w:val="16"/>
          <w:szCs w:val="16"/>
        </w:rPr>
        <w:t xml:space="preserve"> J Public Health. Available from: </w:t>
      </w:r>
      <w:hyperlink r:id="rId7" w:history="1">
        <w:r w:rsidRPr="00FC4AC6">
          <w:rPr>
            <w:rStyle w:val="Hyperlink"/>
            <w:rFonts w:ascii="Open Sans" w:hAnsi="Open Sans" w:cs="Open Sans"/>
            <w:sz w:val="16"/>
            <w:szCs w:val="16"/>
          </w:rPr>
          <w:t>https://academic.oup.com/eurpub/article/27/suppl_3/ckx187.422/4556388</w:t>
        </w:r>
      </w:hyperlink>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w:t>
      </w:r>
    </w:p>
  </w:endnote>
  <w:endnote w:id="46">
    <w:p w14:paraId="4B020770" w14:textId="71F36081" w:rsidR="008F5ADC" w:rsidRPr="00FC4AC6" w:rsidRDefault="008F5ADC" w:rsidP="00AB3F73">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Bize</w:t>
      </w:r>
      <w:proofErr w:type="spellEnd"/>
      <w:r w:rsidRPr="00FC4AC6">
        <w:rPr>
          <w:rFonts w:ascii="Open Sans" w:hAnsi="Open Sans" w:cs="Open Sans"/>
          <w:sz w:val="16"/>
          <w:szCs w:val="16"/>
        </w:rPr>
        <w:t xml:space="preserve"> R, </w:t>
      </w:r>
      <w:proofErr w:type="spellStart"/>
      <w:r w:rsidRPr="00FC4AC6">
        <w:rPr>
          <w:rFonts w:ascii="Open Sans" w:hAnsi="Open Sans" w:cs="Open Sans"/>
          <w:sz w:val="16"/>
          <w:szCs w:val="16"/>
        </w:rPr>
        <w:t>Samitca</w:t>
      </w:r>
      <w:proofErr w:type="spellEnd"/>
      <w:r w:rsidRPr="00FC4AC6">
        <w:rPr>
          <w:rFonts w:ascii="Open Sans" w:hAnsi="Open Sans" w:cs="Open Sans"/>
          <w:sz w:val="16"/>
          <w:szCs w:val="16"/>
        </w:rPr>
        <w:t xml:space="preserve"> S (2017) ‘Syringe-exchange program in Swiss prisons: two decades later.’ </w:t>
      </w:r>
      <w:proofErr w:type="spellStart"/>
      <w:r w:rsidRPr="00FC4AC6">
        <w:rPr>
          <w:rFonts w:ascii="Open Sans" w:hAnsi="Open Sans" w:cs="Open Sans"/>
          <w:sz w:val="16"/>
          <w:szCs w:val="16"/>
        </w:rPr>
        <w:t>Eur</w:t>
      </w:r>
      <w:proofErr w:type="spellEnd"/>
      <w:r w:rsidRPr="00FC4AC6">
        <w:rPr>
          <w:rFonts w:ascii="Open Sans" w:hAnsi="Open Sans" w:cs="Open Sans"/>
          <w:sz w:val="16"/>
          <w:szCs w:val="16"/>
        </w:rPr>
        <w:t xml:space="preserve"> J Public Health. Available from: </w:t>
      </w:r>
      <w:hyperlink r:id="rId8" w:history="1">
        <w:r w:rsidRPr="00FC4AC6">
          <w:rPr>
            <w:rStyle w:val="Hyperlink"/>
            <w:rFonts w:ascii="Open Sans" w:hAnsi="Open Sans" w:cs="Open Sans"/>
            <w:sz w:val="16"/>
            <w:szCs w:val="16"/>
          </w:rPr>
          <w:t>https://academic.oup.com/eurpub/article/27/suppl_3/ckx187.422/4556388</w:t>
        </w:r>
      </w:hyperlink>
      <w:r w:rsidRPr="00FC4AC6">
        <w:rPr>
          <w:rFonts w:ascii="Open Sans" w:hAnsi="Open Sans" w:cs="Open Sans"/>
          <w:sz w:val="16"/>
          <w:szCs w:val="16"/>
        </w:rPr>
        <w:t xml:space="preserve">. </w:t>
      </w:r>
    </w:p>
  </w:endnote>
  <w:endnote w:id="47">
    <w:p w14:paraId="7533F3AC" w14:textId="4267C8CC" w:rsidR="008F5ADC" w:rsidRPr="00FC4AC6" w:rsidRDefault="008F5ADC">
      <w:pPr>
        <w:pStyle w:val="EndnoteText"/>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 xml:space="preserve">; </w:t>
      </w:r>
      <w:r w:rsidRPr="00FC4AC6">
        <w:rPr>
          <w:rFonts w:ascii="Open Sans" w:hAnsi="Open Sans" w:cs="Open Sans"/>
          <w:sz w:val="16"/>
          <w:szCs w:val="16"/>
        </w:rPr>
        <w:t>Simon O (2018) Global State of Harm Reduction 2018 survey response</w:t>
      </w:r>
      <w:r w:rsidRPr="00FC4AC6">
        <w:rPr>
          <w:rFonts w:ascii="Open Sans" w:hAnsi="Open Sans" w:cs="Open Sans"/>
          <w:b/>
          <w:bCs/>
          <w:sz w:val="16"/>
          <w:szCs w:val="16"/>
        </w:rPr>
        <w:t>.</w:t>
      </w:r>
    </w:p>
  </w:endnote>
  <w:endnote w:id="48">
    <w:p w14:paraId="74942C4F" w14:textId="15D64A32" w:rsidR="008F5ADC" w:rsidRPr="00FC4AC6" w:rsidRDefault="008F5ADC" w:rsidP="00842A2D">
      <w:pPr>
        <w:widowControl w:val="0"/>
        <w:autoSpaceDE w:val="0"/>
        <w:autoSpaceDN w:val="0"/>
        <w:adjustRightInd w:val="0"/>
        <w:rPr>
          <w:rFonts w:ascii="Open Sans" w:hAnsi="Open Sans" w:cs="Open Sans"/>
          <w:sz w:val="16"/>
          <w:szCs w:val="16"/>
        </w:rPr>
      </w:pPr>
      <w:r w:rsidRPr="00FC4AC6">
        <w:rPr>
          <w:rStyle w:val="EndnoteReference"/>
          <w:rFonts w:ascii="Open Sans" w:hAnsi="Open Sans" w:cs="Open Sans"/>
          <w:sz w:val="16"/>
          <w:szCs w:val="16"/>
        </w:rPr>
        <w:endnoteRef/>
      </w:r>
      <w:r w:rsidRPr="00FC4AC6">
        <w:rPr>
          <w:rFonts w:ascii="Open Sans" w:hAnsi="Open Sans" w:cs="Open Sans"/>
          <w:sz w:val="16"/>
          <w:szCs w:val="16"/>
        </w:rPr>
        <w:t xml:space="preserve"> </w:t>
      </w:r>
      <w:proofErr w:type="spellStart"/>
      <w:r w:rsidRPr="00FC4AC6">
        <w:rPr>
          <w:rFonts w:ascii="Open Sans" w:hAnsi="Open Sans" w:cs="Open Sans"/>
          <w:sz w:val="16"/>
          <w:szCs w:val="16"/>
        </w:rPr>
        <w:t>Schori</w:t>
      </w:r>
      <w:proofErr w:type="spellEnd"/>
      <w:r w:rsidRPr="00FC4AC6">
        <w:rPr>
          <w:rFonts w:ascii="Open Sans" w:hAnsi="Open Sans" w:cs="Open Sans"/>
          <w:sz w:val="16"/>
          <w:szCs w:val="16"/>
        </w:rPr>
        <w:t xml:space="preserve"> D (2018) Global State of Harm Reduction 2018 survey response</w:t>
      </w:r>
      <w:r w:rsidRPr="00FC4AC6">
        <w:rPr>
          <w:rFonts w:ascii="Open Sans" w:hAnsi="Open Sans" w:cs="Open Sans"/>
          <w:b/>
          <w:bCs/>
          <w:sz w:val="16"/>
          <w:szCs w:val="16"/>
        </w:rPr>
        <w:t xml:space="preserve">; </w:t>
      </w:r>
      <w:r w:rsidRPr="00FC4AC6">
        <w:rPr>
          <w:rFonts w:ascii="Open Sans" w:hAnsi="Open Sans" w:cs="Open Sans"/>
          <w:bCs/>
          <w:sz w:val="16"/>
          <w:szCs w:val="16"/>
        </w:rPr>
        <w:t>and</w:t>
      </w:r>
      <w:r w:rsidRPr="00FC4AC6">
        <w:rPr>
          <w:rFonts w:ascii="Open Sans" w:hAnsi="Open Sans" w:cs="Open Sans"/>
          <w:b/>
          <w:bCs/>
          <w:sz w:val="16"/>
          <w:szCs w:val="16"/>
        </w:rPr>
        <w:t xml:space="preserve"> </w:t>
      </w:r>
      <w:r w:rsidRPr="00FC4AC6">
        <w:rPr>
          <w:rFonts w:ascii="Open Sans" w:hAnsi="Open Sans" w:cs="Open Sans"/>
          <w:sz w:val="16"/>
          <w:szCs w:val="16"/>
        </w:rPr>
        <w:t>Federal Office of Public Heal</w:t>
      </w:r>
      <w:r w:rsidR="00DC2C11">
        <w:rPr>
          <w:rFonts w:ascii="Open Sans" w:hAnsi="Open Sans" w:cs="Open Sans"/>
          <w:sz w:val="16"/>
          <w:szCs w:val="16"/>
        </w:rPr>
        <w:t xml:space="preserve">th, </w:t>
      </w:r>
      <w:proofErr w:type="spellStart"/>
      <w:r w:rsidRPr="00FC4AC6">
        <w:rPr>
          <w:rFonts w:ascii="Open Sans" w:hAnsi="Open Sans" w:cs="Open Sans"/>
          <w:sz w:val="16"/>
          <w:szCs w:val="16"/>
        </w:rPr>
        <w:t>Traitement</w:t>
      </w:r>
      <w:proofErr w:type="spellEnd"/>
      <w:r w:rsidRPr="00FC4AC6">
        <w:rPr>
          <w:rFonts w:ascii="Open Sans" w:hAnsi="Open Sans" w:cs="Open Sans"/>
          <w:sz w:val="16"/>
          <w:szCs w:val="16"/>
        </w:rPr>
        <w:t xml:space="preserve"> avec Prescription de</w:t>
      </w:r>
      <w:r w:rsidR="00842A2D" w:rsidRPr="00FC4AC6">
        <w:rPr>
          <w:rFonts w:ascii="Open Sans" w:hAnsi="Open Sans" w:cs="Open Sans"/>
          <w:sz w:val="16"/>
          <w:szCs w:val="16"/>
        </w:rPr>
        <w:t xml:space="preserve"> </w:t>
      </w:r>
      <w:proofErr w:type="spellStart"/>
      <w:r w:rsidRPr="00FC4AC6">
        <w:rPr>
          <w:rFonts w:ascii="Open Sans" w:hAnsi="Open Sans" w:cs="Open Sans"/>
          <w:sz w:val="16"/>
          <w:szCs w:val="16"/>
        </w:rPr>
        <w:t>Diacétylmorphine</w:t>
      </w:r>
      <w:proofErr w:type="spellEnd"/>
      <w:r w:rsidRPr="00FC4AC6">
        <w:rPr>
          <w:rFonts w:ascii="Open Sans" w:hAnsi="Open Sans" w:cs="Open Sans"/>
          <w:sz w:val="16"/>
          <w:szCs w:val="16"/>
        </w:rPr>
        <w:t xml:space="preserve"> (</w:t>
      </w:r>
      <w:proofErr w:type="spellStart"/>
      <w:r w:rsidRPr="00FC4AC6">
        <w:rPr>
          <w:rFonts w:ascii="Open Sans" w:hAnsi="Open Sans" w:cs="Open Sans"/>
          <w:sz w:val="16"/>
          <w:szCs w:val="16"/>
        </w:rPr>
        <w:t>Héroïne</w:t>
      </w:r>
      <w:proofErr w:type="spellEnd"/>
      <w:r w:rsidRPr="00FC4AC6">
        <w:rPr>
          <w:rFonts w:ascii="Open Sans" w:hAnsi="Open Sans" w:cs="Open Sans"/>
          <w:sz w:val="16"/>
          <w:szCs w:val="16"/>
        </w:rPr>
        <w:t xml:space="preserve">). </w:t>
      </w:r>
      <w:r w:rsidR="00DC2C11">
        <w:rPr>
          <w:rFonts w:ascii="Open Sans" w:hAnsi="Open Sans" w:cs="Open Sans"/>
          <w:sz w:val="16"/>
          <w:szCs w:val="16"/>
        </w:rPr>
        <w:t>(</w:t>
      </w:r>
      <w:r w:rsidRPr="00FC4AC6">
        <w:rPr>
          <w:rFonts w:ascii="Open Sans" w:hAnsi="Open Sans" w:cs="Open Sans"/>
          <w:sz w:val="16"/>
          <w:szCs w:val="16"/>
        </w:rPr>
        <w:t>Bern: Swiss Confederation</w:t>
      </w:r>
      <w:r w:rsidR="00DC2C11">
        <w:rPr>
          <w:rFonts w:ascii="Open Sans" w:hAnsi="Open Sans" w:cs="Open Sans"/>
          <w:sz w:val="16"/>
          <w:szCs w:val="16"/>
        </w:rPr>
        <w:t>, 2019)</w:t>
      </w:r>
      <w:r w:rsidRPr="00FC4AC6">
        <w:rPr>
          <w:rFonts w:ascii="Open Sans" w:hAnsi="Open Sans" w:cs="Open Sans"/>
          <w:sz w:val="16"/>
          <w:szCs w:val="16"/>
        </w:rPr>
        <w:t>. Available from:</w:t>
      </w:r>
      <w:r w:rsidR="00842A2D" w:rsidRPr="00FC4AC6">
        <w:rPr>
          <w:rFonts w:ascii="Open Sans" w:hAnsi="Open Sans" w:cs="Open Sans"/>
          <w:sz w:val="16"/>
          <w:szCs w:val="16"/>
        </w:rPr>
        <w:t xml:space="preserve"> </w:t>
      </w:r>
      <w:hyperlink r:id="rId9" w:history="1">
        <w:r w:rsidR="00842A2D" w:rsidRPr="00FC4AC6">
          <w:rPr>
            <w:rStyle w:val="Hyperlink"/>
            <w:rFonts w:ascii="Open Sans" w:hAnsi="Open Sans" w:cs="Open Sans"/>
            <w:sz w:val="16"/>
            <w:szCs w:val="16"/>
          </w:rPr>
          <w:t>https://www.bag.admin.ch/bag/fr/home/gesund-leben/sucht-undgesundheit/suchtberatung-therapie/substitutionsgestuetzte-behandlung/heroingestuetzte-behandlung.html</w:t>
        </w:r>
      </w:hyperlink>
      <w:r w:rsidR="00842A2D" w:rsidRPr="00FC4AC6">
        <w:rPr>
          <w:rFonts w:ascii="Open Sans" w:hAnsi="Open Sans" w:cs="Open Sans"/>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6070"/>
      <w:docPartObj>
        <w:docPartGallery w:val="Page Numbers (Bottom of Page)"/>
        <w:docPartUnique/>
      </w:docPartObj>
    </w:sdtPr>
    <w:sdtEndPr>
      <w:rPr>
        <w:noProof/>
      </w:rPr>
    </w:sdtEndPr>
    <w:sdtContent>
      <w:p w14:paraId="6F0D06A6" w14:textId="10DF151A" w:rsidR="00C432FB" w:rsidRDefault="00C432FB">
        <w:pPr>
          <w:pStyle w:val="Footer"/>
          <w:jc w:val="right"/>
        </w:pPr>
        <w:r>
          <w:fldChar w:fldCharType="begin"/>
        </w:r>
        <w:r>
          <w:instrText xml:space="preserve"> PAGE   \* MERGEFORMAT </w:instrText>
        </w:r>
        <w:r>
          <w:fldChar w:fldCharType="separate"/>
        </w:r>
        <w:r w:rsidR="00626B70">
          <w:rPr>
            <w:noProof/>
          </w:rPr>
          <w:t>5</w:t>
        </w:r>
        <w:r>
          <w:rPr>
            <w:noProof/>
          </w:rPr>
          <w:fldChar w:fldCharType="end"/>
        </w:r>
      </w:p>
    </w:sdtContent>
  </w:sdt>
  <w:p w14:paraId="4AFF105D" w14:textId="77777777" w:rsidR="00C432FB" w:rsidRDefault="00C432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10D8" w14:textId="77777777" w:rsidR="00411DC0" w:rsidRDefault="00411DC0" w:rsidP="00EA6361">
      <w:r>
        <w:separator/>
      </w:r>
    </w:p>
  </w:footnote>
  <w:footnote w:type="continuationSeparator" w:id="0">
    <w:p w14:paraId="5C13AD48" w14:textId="77777777" w:rsidR="00411DC0" w:rsidRDefault="00411DC0" w:rsidP="00EA6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CA47" w14:textId="5128E1ED" w:rsidR="00C3732C" w:rsidRDefault="00B50100">
    <w:pPr>
      <w:pStyle w:val="Header"/>
    </w:pPr>
    <w:r w:rsidRPr="00B50100">
      <w:rPr>
        <w:rFonts w:ascii="Open Sans" w:hAnsi="Open Sans" w:cs="Open Sans"/>
        <w:b/>
        <w:noProof/>
        <w:sz w:val="18"/>
        <w:szCs w:val="18"/>
        <w:u w:val="single"/>
        <w:lang w:eastAsia="en-GB" w:bidi="bn-IN"/>
      </w:rPr>
      <w:drawing>
        <wp:anchor distT="0" distB="0" distL="114300" distR="114300" simplePos="0" relativeHeight="251661312" behindDoc="1" locked="0" layoutInCell="1" allowOverlap="1" wp14:anchorId="38B33466" wp14:editId="63AC5ADB">
          <wp:simplePos x="0" y="0"/>
          <wp:positionH relativeFrom="margin">
            <wp:align>right</wp:align>
          </wp:positionH>
          <wp:positionV relativeFrom="paragraph">
            <wp:posOffset>-239395</wp:posOffset>
          </wp:positionV>
          <wp:extent cx="1242943" cy="699305"/>
          <wp:effectExtent l="0" t="0" r="0" b="5715"/>
          <wp:wrapNone/>
          <wp:docPr id="3" name="Picture 3" descr="H:\HRI Files\Company Data\3. Human Rights and Justice\Death penalty project\Planning\Geneva Intersessional Briefing 2018 - SE\Gevena Platform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RI Files\Company Data\3. Human Rights and Justice\Death penalty project\Planning\Geneva Intersessional Briefing 2018 - SE\Gevena Platform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43" cy="69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32C" w:rsidRPr="00D57FA6">
      <w:rPr>
        <w:rFonts w:cs="Open Sans"/>
        <w:noProof/>
        <w:color w:val="7F7F7F"/>
        <w:spacing w:val="-1"/>
        <w:sz w:val="14"/>
        <w:szCs w:val="16"/>
        <w:lang w:eastAsia="en-GB" w:bidi="bn-IN"/>
      </w:rPr>
      <w:drawing>
        <wp:anchor distT="0" distB="0" distL="114300" distR="114300" simplePos="0" relativeHeight="251659264" behindDoc="1" locked="0" layoutInCell="1" allowOverlap="1" wp14:anchorId="16672197" wp14:editId="28BFB7E1">
          <wp:simplePos x="0" y="0"/>
          <wp:positionH relativeFrom="margin">
            <wp:align>left</wp:align>
          </wp:positionH>
          <wp:positionV relativeFrom="paragraph">
            <wp:posOffset>-132080</wp:posOffset>
          </wp:positionV>
          <wp:extent cx="2120900" cy="51290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9615" cy="5198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1B6"/>
    <w:multiLevelType w:val="hybridMultilevel"/>
    <w:tmpl w:val="36E4483C"/>
    <w:lvl w:ilvl="0" w:tplc="B9A4410A">
      <w:start w:val="1"/>
      <w:numFmt w:val="decimal"/>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85D4C"/>
    <w:multiLevelType w:val="hybridMultilevel"/>
    <w:tmpl w:val="ED28CC56"/>
    <w:lvl w:ilvl="0" w:tplc="AFF4B1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1383C"/>
    <w:multiLevelType w:val="hybridMultilevel"/>
    <w:tmpl w:val="ECE4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90F33"/>
    <w:multiLevelType w:val="hybridMultilevel"/>
    <w:tmpl w:val="836C553C"/>
    <w:lvl w:ilvl="0" w:tplc="D070D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126DB2"/>
    <w:multiLevelType w:val="hybridMultilevel"/>
    <w:tmpl w:val="36E4483C"/>
    <w:lvl w:ilvl="0" w:tplc="B9A4410A">
      <w:start w:val="1"/>
      <w:numFmt w:val="decimal"/>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61A46"/>
    <w:multiLevelType w:val="hybridMultilevel"/>
    <w:tmpl w:val="36E4483C"/>
    <w:lvl w:ilvl="0" w:tplc="B9A4410A">
      <w:start w:val="1"/>
      <w:numFmt w:val="decimal"/>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26292"/>
    <w:multiLevelType w:val="multilevel"/>
    <w:tmpl w:val="8390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E3E3E"/>
    <w:multiLevelType w:val="hybridMultilevel"/>
    <w:tmpl w:val="69B8334A"/>
    <w:lvl w:ilvl="0" w:tplc="DA56A7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1766C"/>
    <w:multiLevelType w:val="hybridMultilevel"/>
    <w:tmpl w:val="54BE6EEA"/>
    <w:lvl w:ilvl="0" w:tplc="687CD282">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E5715"/>
    <w:multiLevelType w:val="hybridMultilevel"/>
    <w:tmpl w:val="D27C9336"/>
    <w:lvl w:ilvl="0" w:tplc="FADA41C0">
      <w:start w:val="9"/>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7242"/>
    <w:multiLevelType w:val="hybridMultilevel"/>
    <w:tmpl w:val="B63CC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3420F5"/>
    <w:multiLevelType w:val="hybridMultilevel"/>
    <w:tmpl w:val="7E88A064"/>
    <w:lvl w:ilvl="0" w:tplc="50D8D958">
      <w:start w:val="199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44784"/>
    <w:multiLevelType w:val="hybridMultilevel"/>
    <w:tmpl w:val="14182D7A"/>
    <w:lvl w:ilvl="0" w:tplc="1A301F3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2"/>
  </w:num>
  <w:num w:numId="5">
    <w:abstractNumId w:val="1"/>
  </w:num>
  <w:num w:numId="6">
    <w:abstractNumId w:val="10"/>
  </w:num>
  <w:num w:numId="7">
    <w:abstractNumId w:val="9"/>
  </w:num>
  <w:num w:numId="8">
    <w:abstractNumId w:val="8"/>
  </w:num>
  <w:num w:numId="9">
    <w:abstractNumId w:val="5"/>
  </w:num>
  <w:num w:numId="10">
    <w:abstractNumId w:val="11"/>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4F1C"/>
    <w:rsid w:val="00006366"/>
    <w:rsid w:val="00021C4A"/>
    <w:rsid w:val="00024460"/>
    <w:rsid w:val="00047D88"/>
    <w:rsid w:val="00060120"/>
    <w:rsid w:val="000706F7"/>
    <w:rsid w:val="00070E29"/>
    <w:rsid w:val="000A4599"/>
    <w:rsid w:val="000B1EF6"/>
    <w:rsid w:val="000B3913"/>
    <w:rsid w:val="000C73C6"/>
    <w:rsid w:val="000C7A3B"/>
    <w:rsid w:val="000C7EFA"/>
    <w:rsid w:val="000D5C70"/>
    <w:rsid w:val="000E2169"/>
    <w:rsid w:val="000F1FAD"/>
    <w:rsid w:val="00111832"/>
    <w:rsid w:val="00111906"/>
    <w:rsid w:val="00113887"/>
    <w:rsid w:val="0011697C"/>
    <w:rsid w:val="00156000"/>
    <w:rsid w:val="00160C58"/>
    <w:rsid w:val="001A1D7E"/>
    <w:rsid w:val="001D1D39"/>
    <w:rsid w:val="001D51AB"/>
    <w:rsid w:val="001E203D"/>
    <w:rsid w:val="001E5905"/>
    <w:rsid w:val="00201365"/>
    <w:rsid w:val="0020495B"/>
    <w:rsid w:val="00213A60"/>
    <w:rsid w:val="0023084B"/>
    <w:rsid w:val="00233261"/>
    <w:rsid w:val="00255EF2"/>
    <w:rsid w:val="002725A0"/>
    <w:rsid w:val="00277D04"/>
    <w:rsid w:val="002B548F"/>
    <w:rsid w:val="002D1E25"/>
    <w:rsid w:val="002E5336"/>
    <w:rsid w:val="002F09EF"/>
    <w:rsid w:val="002F6D43"/>
    <w:rsid w:val="00340C74"/>
    <w:rsid w:val="00350B5A"/>
    <w:rsid w:val="0035273B"/>
    <w:rsid w:val="00354BA0"/>
    <w:rsid w:val="00364C66"/>
    <w:rsid w:val="00371309"/>
    <w:rsid w:val="00395319"/>
    <w:rsid w:val="003A2489"/>
    <w:rsid w:val="003A4A17"/>
    <w:rsid w:val="003C69F5"/>
    <w:rsid w:val="003D07F3"/>
    <w:rsid w:val="003D719A"/>
    <w:rsid w:val="003E3D18"/>
    <w:rsid w:val="003E7C47"/>
    <w:rsid w:val="003F1508"/>
    <w:rsid w:val="003F1B97"/>
    <w:rsid w:val="00403F50"/>
    <w:rsid w:val="00411DC0"/>
    <w:rsid w:val="00413879"/>
    <w:rsid w:val="00424CFA"/>
    <w:rsid w:val="0043733B"/>
    <w:rsid w:val="00452DCF"/>
    <w:rsid w:val="004605E3"/>
    <w:rsid w:val="004637C3"/>
    <w:rsid w:val="00466E59"/>
    <w:rsid w:val="00484F4B"/>
    <w:rsid w:val="004859CB"/>
    <w:rsid w:val="00492F86"/>
    <w:rsid w:val="00494C6D"/>
    <w:rsid w:val="0049619D"/>
    <w:rsid w:val="004B6DE5"/>
    <w:rsid w:val="004C64AB"/>
    <w:rsid w:val="004D0901"/>
    <w:rsid w:val="004F20E7"/>
    <w:rsid w:val="004F747F"/>
    <w:rsid w:val="00505370"/>
    <w:rsid w:val="00512B56"/>
    <w:rsid w:val="0051367D"/>
    <w:rsid w:val="00521EB1"/>
    <w:rsid w:val="005223EE"/>
    <w:rsid w:val="005746CE"/>
    <w:rsid w:val="00586513"/>
    <w:rsid w:val="005B1C06"/>
    <w:rsid w:val="005C2AEE"/>
    <w:rsid w:val="005D16FA"/>
    <w:rsid w:val="005D1E53"/>
    <w:rsid w:val="005D560B"/>
    <w:rsid w:val="005E07FB"/>
    <w:rsid w:val="005F49C3"/>
    <w:rsid w:val="005F6DE2"/>
    <w:rsid w:val="006006D7"/>
    <w:rsid w:val="00614232"/>
    <w:rsid w:val="00626B70"/>
    <w:rsid w:val="00633A42"/>
    <w:rsid w:val="00647556"/>
    <w:rsid w:val="0066136A"/>
    <w:rsid w:val="00685AD4"/>
    <w:rsid w:val="006868F7"/>
    <w:rsid w:val="006A2926"/>
    <w:rsid w:val="006A4A31"/>
    <w:rsid w:val="006B60CD"/>
    <w:rsid w:val="00700FB4"/>
    <w:rsid w:val="007038A9"/>
    <w:rsid w:val="00711003"/>
    <w:rsid w:val="007427D7"/>
    <w:rsid w:val="007428C7"/>
    <w:rsid w:val="007A6763"/>
    <w:rsid w:val="007A6A60"/>
    <w:rsid w:val="007B2260"/>
    <w:rsid w:val="007B648E"/>
    <w:rsid w:val="007C0750"/>
    <w:rsid w:val="007D054B"/>
    <w:rsid w:val="007E28D5"/>
    <w:rsid w:val="007F0718"/>
    <w:rsid w:val="007F6240"/>
    <w:rsid w:val="00807D33"/>
    <w:rsid w:val="00813E7E"/>
    <w:rsid w:val="008173CA"/>
    <w:rsid w:val="008316FD"/>
    <w:rsid w:val="00837B2D"/>
    <w:rsid w:val="00842A2D"/>
    <w:rsid w:val="008531E3"/>
    <w:rsid w:val="00856865"/>
    <w:rsid w:val="0086577E"/>
    <w:rsid w:val="00883C58"/>
    <w:rsid w:val="00886024"/>
    <w:rsid w:val="008A1FEF"/>
    <w:rsid w:val="008A2615"/>
    <w:rsid w:val="008A54A3"/>
    <w:rsid w:val="008E328A"/>
    <w:rsid w:val="008F5ADC"/>
    <w:rsid w:val="008F7274"/>
    <w:rsid w:val="00900A31"/>
    <w:rsid w:val="00901C03"/>
    <w:rsid w:val="00902C6E"/>
    <w:rsid w:val="00903BFA"/>
    <w:rsid w:val="0091435C"/>
    <w:rsid w:val="00915123"/>
    <w:rsid w:val="00915991"/>
    <w:rsid w:val="009205D3"/>
    <w:rsid w:val="00923031"/>
    <w:rsid w:val="00947AAF"/>
    <w:rsid w:val="00951CFE"/>
    <w:rsid w:val="009576E9"/>
    <w:rsid w:val="00962549"/>
    <w:rsid w:val="00972E29"/>
    <w:rsid w:val="00976752"/>
    <w:rsid w:val="009930C2"/>
    <w:rsid w:val="009A2AE4"/>
    <w:rsid w:val="009B326D"/>
    <w:rsid w:val="009C0D30"/>
    <w:rsid w:val="009D14F5"/>
    <w:rsid w:val="009D6323"/>
    <w:rsid w:val="009F2D40"/>
    <w:rsid w:val="009F37D3"/>
    <w:rsid w:val="00A04204"/>
    <w:rsid w:val="00A05D8A"/>
    <w:rsid w:val="00A11F62"/>
    <w:rsid w:val="00A12860"/>
    <w:rsid w:val="00A52561"/>
    <w:rsid w:val="00A52E91"/>
    <w:rsid w:val="00A57C60"/>
    <w:rsid w:val="00A65962"/>
    <w:rsid w:val="00A86E6D"/>
    <w:rsid w:val="00A942C9"/>
    <w:rsid w:val="00A95795"/>
    <w:rsid w:val="00A96507"/>
    <w:rsid w:val="00AA3330"/>
    <w:rsid w:val="00AB0854"/>
    <w:rsid w:val="00AB0ACE"/>
    <w:rsid w:val="00AB3F73"/>
    <w:rsid w:val="00AC2D66"/>
    <w:rsid w:val="00AD0251"/>
    <w:rsid w:val="00AD5211"/>
    <w:rsid w:val="00AD5769"/>
    <w:rsid w:val="00AE0838"/>
    <w:rsid w:val="00AE5661"/>
    <w:rsid w:val="00AE7CCC"/>
    <w:rsid w:val="00B2659C"/>
    <w:rsid w:val="00B2776B"/>
    <w:rsid w:val="00B30F82"/>
    <w:rsid w:val="00B32912"/>
    <w:rsid w:val="00B42EEF"/>
    <w:rsid w:val="00B50100"/>
    <w:rsid w:val="00B52BA6"/>
    <w:rsid w:val="00B56448"/>
    <w:rsid w:val="00B626F8"/>
    <w:rsid w:val="00B65A6F"/>
    <w:rsid w:val="00B93D9F"/>
    <w:rsid w:val="00BA1439"/>
    <w:rsid w:val="00BB1AB8"/>
    <w:rsid w:val="00BC49A3"/>
    <w:rsid w:val="00BC5600"/>
    <w:rsid w:val="00BD5C1E"/>
    <w:rsid w:val="00BE5BC3"/>
    <w:rsid w:val="00C14824"/>
    <w:rsid w:val="00C1794B"/>
    <w:rsid w:val="00C3303A"/>
    <w:rsid w:val="00C3732C"/>
    <w:rsid w:val="00C432FB"/>
    <w:rsid w:val="00C47B6E"/>
    <w:rsid w:val="00C529E1"/>
    <w:rsid w:val="00C62173"/>
    <w:rsid w:val="00C63DAC"/>
    <w:rsid w:val="00C6403E"/>
    <w:rsid w:val="00C65877"/>
    <w:rsid w:val="00C82AC1"/>
    <w:rsid w:val="00C920B8"/>
    <w:rsid w:val="00C95D32"/>
    <w:rsid w:val="00C9677F"/>
    <w:rsid w:val="00C97B34"/>
    <w:rsid w:val="00CA3483"/>
    <w:rsid w:val="00CB6BA9"/>
    <w:rsid w:val="00CC59AD"/>
    <w:rsid w:val="00CE3A1E"/>
    <w:rsid w:val="00D011D2"/>
    <w:rsid w:val="00D0403E"/>
    <w:rsid w:val="00D145BD"/>
    <w:rsid w:val="00D16DD3"/>
    <w:rsid w:val="00D16F1B"/>
    <w:rsid w:val="00D412BE"/>
    <w:rsid w:val="00D4264F"/>
    <w:rsid w:val="00D54089"/>
    <w:rsid w:val="00D54FD7"/>
    <w:rsid w:val="00D66223"/>
    <w:rsid w:val="00D86584"/>
    <w:rsid w:val="00DB1BC4"/>
    <w:rsid w:val="00DB38C1"/>
    <w:rsid w:val="00DC04C6"/>
    <w:rsid w:val="00DC2C11"/>
    <w:rsid w:val="00DD0652"/>
    <w:rsid w:val="00DD29D2"/>
    <w:rsid w:val="00DD44DA"/>
    <w:rsid w:val="00DE1EB4"/>
    <w:rsid w:val="00DE6F33"/>
    <w:rsid w:val="00DF108A"/>
    <w:rsid w:val="00E16B21"/>
    <w:rsid w:val="00E17ACD"/>
    <w:rsid w:val="00E200CF"/>
    <w:rsid w:val="00E23862"/>
    <w:rsid w:val="00E2782C"/>
    <w:rsid w:val="00E350F9"/>
    <w:rsid w:val="00E521FE"/>
    <w:rsid w:val="00E538E8"/>
    <w:rsid w:val="00E62610"/>
    <w:rsid w:val="00E633A4"/>
    <w:rsid w:val="00E83798"/>
    <w:rsid w:val="00E83F5A"/>
    <w:rsid w:val="00E87AD1"/>
    <w:rsid w:val="00EA58D1"/>
    <w:rsid w:val="00EA6361"/>
    <w:rsid w:val="00EC11EF"/>
    <w:rsid w:val="00EC1E9A"/>
    <w:rsid w:val="00EC5F1E"/>
    <w:rsid w:val="00ED4760"/>
    <w:rsid w:val="00EF12A4"/>
    <w:rsid w:val="00F02F74"/>
    <w:rsid w:val="00F0503F"/>
    <w:rsid w:val="00F12DAD"/>
    <w:rsid w:val="00F4438A"/>
    <w:rsid w:val="00F55888"/>
    <w:rsid w:val="00F57E30"/>
    <w:rsid w:val="00F57ECB"/>
    <w:rsid w:val="00F6513C"/>
    <w:rsid w:val="00F6751C"/>
    <w:rsid w:val="00F806AF"/>
    <w:rsid w:val="00FA1293"/>
    <w:rsid w:val="00FA327D"/>
    <w:rsid w:val="00FC1963"/>
    <w:rsid w:val="00FC4AC6"/>
    <w:rsid w:val="00FD6E7F"/>
    <w:rsid w:val="00FD7C6B"/>
    <w:rsid w:val="00FE4F5F"/>
    <w:rsid w:val="00FF08B9"/>
    <w:rsid w:val="00FF15EB"/>
    <w:rsid w:val="00FF1E84"/>
    <w:rsid w:val="00FF21F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4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para"/>
    <w:basedOn w:val="Normal"/>
    <w:next w:val="Normal"/>
    <w:link w:val="Heading1Char"/>
    <w:uiPriority w:val="9"/>
    <w:qFormat/>
    <w:rsid w:val="00403F50"/>
    <w:pPr>
      <w:keepNext/>
      <w:keepLines/>
      <w:spacing w:before="240" w:line="360" w:lineRule="auto"/>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paragraph" w:styleId="FootnoteText">
    <w:name w:val="footnote text"/>
    <w:aliases w:val="ft,single space,5_G"/>
    <w:basedOn w:val="Normal"/>
    <w:link w:val="FootnoteTextChar1"/>
    <w:uiPriority w:val="99"/>
    <w:qFormat/>
    <w:rsid w:val="00EA6361"/>
    <w:pPr>
      <w:spacing w:before="100" w:beforeAutospacing="1" w:after="100" w:afterAutospacing="1"/>
      <w:jc w:val="both"/>
    </w:pPr>
    <w:rPr>
      <w:rFonts w:eastAsia="Times New Roman" w:cs="Times New Roman"/>
      <w:sz w:val="20"/>
      <w:szCs w:val="20"/>
      <w:lang w:eastAsia="en-GB"/>
    </w:rPr>
  </w:style>
  <w:style w:type="character" w:customStyle="1" w:styleId="FootnoteTextChar">
    <w:name w:val="Footnote Text Char"/>
    <w:basedOn w:val="DefaultParagraphFont"/>
    <w:uiPriority w:val="99"/>
    <w:rsid w:val="00EA6361"/>
    <w:rPr>
      <w:sz w:val="24"/>
      <w:szCs w:val="24"/>
      <w:lang w:val="en-GB"/>
    </w:rPr>
  </w:style>
  <w:style w:type="character" w:customStyle="1" w:styleId="FootnoteTextChar1">
    <w:name w:val="Footnote Text Char1"/>
    <w:aliases w:val="ft Char,single space Char,5_G Char"/>
    <w:basedOn w:val="DefaultParagraphFont"/>
    <w:link w:val="FootnoteText"/>
    <w:uiPriority w:val="99"/>
    <w:rsid w:val="00EA6361"/>
    <w:rPr>
      <w:rFonts w:eastAsia="Times New Roman" w:cs="Times New Roman"/>
      <w:sz w:val="20"/>
      <w:szCs w:val="20"/>
      <w:lang w:val="en-GB" w:eastAsia="en-GB"/>
    </w:rPr>
  </w:style>
  <w:style w:type="character" w:styleId="FootnoteReference">
    <w:name w:val="footnote reference"/>
    <w:aliases w:val="ftref,Footnotes refss,4_G,Footnote text,16 Point,Superscript 6 Point,Footnote + Arial,10 pt,Black,Footnote,(NECG) Footnote Reference,Footnote Text1,Ref,de nota al pie,Footnote number, BVI fnr,BVI fnr, BVI fnr Car Car,BVI fnr Car,Re,f"/>
    <w:link w:val="BVIfnrCarCharChar1CharCharCharChar"/>
    <w:uiPriority w:val="99"/>
    <w:qFormat/>
    <w:rsid w:val="00EA6361"/>
    <w:rPr>
      <w:vertAlign w:val="superscript"/>
    </w:rPr>
  </w:style>
  <w:style w:type="paragraph" w:styleId="EndnoteText">
    <w:name w:val="endnote text"/>
    <w:basedOn w:val="Normal"/>
    <w:link w:val="EndnoteTextChar"/>
    <w:uiPriority w:val="99"/>
    <w:unhideWhenUsed/>
    <w:rsid w:val="00EA6361"/>
    <w:rPr>
      <w:rFonts w:eastAsia="Cambria" w:cs="Times New Roman"/>
      <w:sz w:val="18"/>
      <w:szCs w:val="24"/>
      <w:lang w:eastAsia="en-GB" w:bidi="he-IL"/>
    </w:rPr>
  </w:style>
  <w:style w:type="character" w:customStyle="1" w:styleId="EndnoteTextChar">
    <w:name w:val="Endnote Text Char"/>
    <w:basedOn w:val="DefaultParagraphFont"/>
    <w:link w:val="EndnoteText"/>
    <w:uiPriority w:val="99"/>
    <w:rsid w:val="00EA6361"/>
    <w:rPr>
      <w:rFonts w:eastAsia="Cambria" w:cs="Times New Roman"/>
      <w:sz w:val="18"/>
      <w:szCs w:val="24"/>
      <w:lang w:val="en-GB" w:eastAsia="en-GB" w:bidi="he-IL"/>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EA6361"/>
    <w:pPr>
      <w:spacing w:after="160" w:line="240" w:lineRule="exact"/>
    </w:pPr>
    <w:rPr>
      <w:vertAlign w:val="superscript"/>
      <w:lang w:val="en-US"/>
    </w:rPr>
  </w:style>
  <w:style w:type="character" w:styleId="Hyperlink">
    <w:name w:val="Hyperlink"/>
    <w:basedOn w:val="DefaultParagraphFont"/>
    <w:uiPriority w:val="99"/>
    <w:unhideWhenUsed/>
    <w:rsid w:val="00492F86"/>
    <w:rPr>
      <w:color w:val="0563C1" w:themeColor="hyperlink"/>
      <w:u w:val="single"/>
    </w:rPr>
  </w:style>
  <w:style w:type="paragraph" w:styleId="Header">
    <w:name w:val="header"/>
    <w:basedOn w:val="Normal"/>
    <w:link w:val="HeaderChar"/>
    <w:uiPriority w:val="99"/>
    <w:unhideWhenUsed/>
    <w:rsid w:val="00C82AC1"/>
    <w:pPr>
      <w:tabs>
        <w:tab w:val="center" w:pos="4513"/>
        <w:tab w:val="right" w:pos="9026"/>
      </w:tabs>
    </w:pPr>
  </w:style>
  <w:style w:type="character" w:customStyle="1" w:styleId="HeaderChar">
    <w:name w:val="Header Char"/>
    <w:basedOn w:val="DefaultParagraphFont"/>
    <w:link w:val="Header"/>
    <w:uiPriority w:val="99"/>
    <w:rsid w:val="00C82AC1"/>
    <w:rPr>
      <w:lang w:val="en-GB"/>
    </w:rPr>
  </w:style>
  <w:style w:type="paragraph" w:styleId="Footer">
    <w:name w:val="footer"/>
    <w:basedOn w:val="Normal"/>
    <w:link w:val="FooterChar"/>
    <w:uiPriority w:val="99"/>
    <w:unhideWhenUsed/>
    <w:rsid w:val="00C82AC1"/>
    <w:pPr>
      <w:tabs>
        <w:tab w:val="center" w:pos="4513"/>
        <w:tab w:val="right" w:pos="9026"/>
      </w:tabs>
    </w:pPr>
  </w:style>
  <w:style w:type="character" w:customStyle="1" w:styleId="FooterChar">
    <w:name w:val="Footer Char"/>
    <w:basedOn w:val="DefaultParagraphFont"/>
    <w:link w:val="Footer"/>
    <w:uiPriority w:val="99"/>
    <w:rsid w:val="00C82AC1"/>
    <w:rPr>
      <w:lang w:val="en-GB"/>
    </w:rPr>
  </w:style>
  <w:style w:type="character" w:customStyle="1" w:styleId="apple-converted-space">
    <w:name w:val="apple-converted-space"/>
    <w:basedOn w:val="DefaultParagraphFont"/>
    <w:rsid w:val="00F806AF"/>
  </w:style>
  <w:style w:type="character" w:styleId="CommentReference">
    <w:name w:val="annotation reference"/>
    <w:basedOn w:val="DefaultParagraphFont"/>
    <w:uiPriority w:val="99"/>
    <w:semiHidden/>
    <w:unhideWhenUsed/>
    <w:rsid w:val="00213A60"/>
    <w:rPr>
      <w:sz w:val="18"/>
      <w:szCs w:val="18"/>
    </w:rPr>
  </w:style>
  <w:style w:type="paragraph" w:styleId="CommentText">
    <w:name w:val="annotation text"/>
    <w:basedOn w:val="Normal"/>
    <w:link w:val="CommentTextChar"/>
    <w:uiPriority w:val="99"/>
    <w:semiHidden/>
    <w:unhideWhenUsed/>
    <w:rsid w:val="00213A60"/>
    <w:rPr>
      <w:sz w:val="24"/>
      <w:szCs w:val="24"/>
    </w:rPr>
  </w:style>
  <w:style w:type="character" w:customStyle="1" w:styleId="CommentTextChar">
    <w:name w:val="Comment Text Char"/>
    <w:basedOn w:val="DefaultParagraphFont"/>
    <w:link w:val="CommentText"/>
    <w:uiPriority w:val="99"/>
    <w:semiHidden/>
    <w:rsid w:val="00213A60"/>
    <w:rPr>
      <w:sz w:val="24"/>
      <w:szCs w:val="24"/>
      <w:lang w:val="en-GB"/>
    </w:rPr>
  </w:style>
  <w:style w:type="paragraph" w:styleId="CommentSubject">
    <w:name w:val="annotation subject"/>
    <w:basedOn w:val="CommentText"/>
    <w:next w:val="CommentText"/>
    <w:link w:val="CommentSubjectChar"/>
    <w:uiPriority w:val="99"/>
    <w:semiHidden/>
    <w:unhideWhenUsed/>
    <w:rsid w:val="00213A60"/>
    <w:rPr>
      <w:b/>
      <w:bCs/>
      <w:sz w:val="20"/>
      <w:szCs w:val="20"/>
    </w:rPr>
  </w:style>
  <w:style w:type="character" w:customStyle="1" w:styleId="CommentSubjectChar">
    <w:name w:val="Comment Subject Char"/>
    <w:basedOn w:val="CommentTextChar"/>
    <w:link w:val="CommentSubject"/>
    <w:uiPriority w:val="99"/>
    <w:semiHidden/>
    <w:rsid w:val="00213A60"/>
    <w:rPr>
      <w:b/>
      <w:bCs/>
      <w:sz w:val="20"/>
      <w:szCs w:val="20"/>
      <w:lang w:val="en-GB"/>
    </w:rPr>
  </w:style>
  <w:style w:type="paragraph" w:styleId="BalloonText">
    <w:name w:val="Balloon Text"/>
    <w:basedOn w:val="Normal"/>
    <w:link w:val="BalloonTextChar"/>
    <w:uiPriority w:val="99"/>
    <w:semiHidden/>
    <w:unhideWhenUsed/>
    <w:rsid w:val="00213A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A60"/>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FF08B9"/>
  </w:style>
  <w:style w:type="character" w:styleId="FollowedHyperlink">
    <w:name w:val="FollowedHyperlink"/>
    <w:basedOn w:val="DefaultParagraphFont"/>
    <w:uiPriority w:val="99"/>
    <w:semiHidden/>
    <w:unhideWhenUsed/>
    <w:rsid w:val="00FD6E7F"/>
    <w:rPr>
      <w:color w:val="954F72" w:themeColor="followedHyperlink"/>
      <w:u w:val="single"/>
    </w:rPr>
  </w:style>
  <w:style w:type="character" w:styleId="EndnoteReference">
    <w:name w:val="endnote reference"/>
    <w:basedOn w:val="DefaultParagraphFont"/>
    <w:uiPriority w:val="99"/>
    <w:unhideWhenUsed/>
    <w:rsid w:val="008F5ADC"/>
    <w:rPr>
      <w:vertAlign w:val="superscript"/>
    </w:rPr>
  </w:style>
  <w:style w:type="character" w:customStyle="1" w:styleId="Heading1Char">
    <w:name w:val="Heading 1 Char"/>
    <w:aliases w:val="para Char"/>
    <w:basedOn w:val="DefaultParagraphFont"/>
    <w:link w:val="Heading1"/>
    <w:uiPriority w:val="9"/>
    <w:rsid w:val="00403F50"/>
    <w:rPr>
      <w:rFonts w:asciiTheme="majorHAnsi" w:eastAsiaTheme="majorEastAsia" w:hAnsiTheme="majorHAnsi" w:cstheme="majorBidi"/>
      <w:b/>
      <w:szCs w:val="32"/>
      <w:lang w:val="en-GB"/>
    </w:rPr>
  </w:style>
  <w:style w:type="paragraph" w:styleId="NoSpacing">
    <w:name w:val="No Spacing"/>
    <w:uiPriority w:val="1"/>
    <w:qFormat/>
    <w:rsid w:val="00E633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8465">
      <w:bodyDiv w:val="1"/>
      <w:marLeft w:val="0"/>
      <w:marRight w:val="0"/>
      <w:marTop w:val="0"/>
      <w:marBottom w:val="0"/>
      <w:divBdr>
        <w:top w:val="none" w:sz="0" w:space="0" w:color="auto"/>
        <w:left w:val="none" w:sz="0" w:space="0" w:color="auto"/>
        <w:bottom w:val="none" w:sz="0" w:space="0" w:color="auto"/>
        <w:right w:val="none" w:sz="0" w:space="0" w:color="auto"/>
      </w:divBdr>
    </w:div>
    <w:div w:id="1535119530">
      <w:bodyDiv w:val="1"/>
      <w:marLeft w:val="0"/>
      <w:marRight w:val="0"/>
      <w:marTop w:val="0"/>
      <w:marBottom w:val="0"/>
      <w:divBdr>
        <w:top w:val="none" w:sz="0" w:space="0" w:color="auto"/>
        <w:left w:val="none" w:sz="0" w:space="0" w:color="auto"/>
        <w:bottom w:val="none" w:sz="0" w:space="0" w:color="auto"/>
        <w:right w:val="none" w:sz="0" w:space="0" w:color="auto"/>
      </w:divBdr>
    </w:div>
    <w:div w:id="153619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academic.oup.com/eurpub/article/27/suppl_3/ckx187.422/4556388" TargetMode="External"/><Relationship Id="rId3" Type="http://schemas.openxmlformats.org/officeDocument/2006/relationships/hyperlink" Target="https://www.aids.ch/en/faq/hiv-test/statistics.php" TargetMode="External"/><Relationship Id="rId7" Type="http://schemas.openxmlformats.org/officeDocument/2006/relationships/hyperlink" Target="https://academic.oup.com/eurpub/article/27/suppl_3/ckx187.422/4556388" TargetMode="External"/><Relationship Id="rId2" Type="http://schemas.openxmlformats.org/officeDocument/2006/relationships/hyperlink" Target="https://www.suchtmonitoring.ch/fr/3/7.html?opioidesmortalite" TargetMode="External"/><Relationship Id="rId1" Type="http://schemas.openxmlformats.org/officeDocument/2006/relationships/hyperlink" Target="http://www.drugpolicy.org/sites/default/files/DPA%20Fact%20Sheet_Heroin-Assisted%20Treatment_%28Feb.%202016%29.pdf" TargetMode="External"/><Relationship Id="rId6" Type="http://schemas.openxmlformats.org/officeDocument/2006/relationships/hyperlink" Target="https://www.unodc.org/unodc/en/data-andanalysis/crime-and-criminal-justice.html" TargetMode="External"/><Relationship Id="rId5" Type="http://schemas.openxmlformats.org/officeDocument/2006/relationships/hyperlink" Target="http://www.practicien-addiction.ch" TargetMode="External"/><Relationship Id="rId4" Type="http://schemas.openxmlformats.org/officeDocument/2006/relationships/hyperlink" Target="https://www.bag.admin.ch/bag/fr/home/gesund-leben/sucht-undgesundheit/suchtberatung-therapie/substitutionsgestuetzte-behandlung/heroingestuetzte-behandlung.html" TargetMode="External"/><Relationship Id="rId9" Type="http://schemas.openxmlformats.org/officeDocument/2006/relationships/hyperlink" Target="https://www.bag.admin.ch/bag/fr/home/gesund-leben/sucht-undgesundheit/suchtberatung-therapie/substitutionsgestuetzte-behandlung/heroingestuetzte-behandlu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F8A4C-AA52-4F2B-AA8E-D4E522043AC0}">
  <ds:schemaRefs>
    <ds:schemaRef ds:uri="http://schemas.openxmlformats.org/officeDocument/2006/bibliography"/>
  </ds:schemaRefs>
</ds:datastoreItem>
</file>

<file path=customXml/itemProps2.xml><?xml version="1.0" encoding="utf-8"?>
<ds:datastoreItem xmlns:ds="http://schemas.openxmlformats.org/officeDocument/2006/customXml" ds:itemID="{C2A0EEFB-C67A-4754-AFB5-6B3D5E0098D6}"/>
</file>

<file path=customXml/itemProps3.xml><?xml version="1.0" encoding="utf-8"?>
<ds:datastoreItem xmlns:ds="http://schemas.openxmlformats.org/officeDocument/2006/customXml" ds:itemID="{C73CC65A-3500-4C26-81AB-D4F357962735}"/>
</file>

<file path=customXml/itemProps4.xml><?xml version="1.0" encoding="utf-8"?>
<ds:datastoreItem xmlns:ds="http://schemas.openxmlformats.org/officeDocument/2006/customXml" ds:itemID="{02F8AE9C-CD92-4C99-9C53-1C7A10DE9DF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Sander</dc:creator>
  <cp:keywords/>
  <dc:description/>
  <cp:lastModifiedBy>Giada Girelli</cp:lastModifiedBy>
  <cp:revision>2</cp:revision>
  <cp:lastPrinted>2019-09-02T10:25:00Z</cp:lastPrinted>
  <dcterms:created xsi:type="dcterms:W3CDTF">2019-09-06T13:52:00Z</dcterms:created>
  <dcterms:modified xsi:type="dcterms:W3CDTF">2019-09-06T13:52:00Z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