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E3D9A" w14:textId="77777777" w:rsidR="003E5209" w:rsidRPr="00003405" w:rsidRDefault="003E5209" w:rsidP="00EC7AB3">
      <w:pPr>
        <w:widowControl w:val="0"/>
        <w:tabs>
          <w:tab w:val="left" w:pos="9072"/>
        </w:tabs>
        <w:autoSpaceDE w:val="0"/>
        <w:autoSpaceDN w:val="0"/>
        <w:adjustRightInd w:val="0"/>
        <w:spacing w:after="0" w:line="240" w:lineRule="auto"/>
        <w:ind w:right="1"/>
        <w:jc w:val="right"/>
        <w:rPr>
          <w:rFonts w:ascii="Times New Roman" w:hAnsi="Times New Roman"/>
          <w:bCs/>
          <w:sz w:val="24"/>
          <w:szCs w:val="28"/>
          <w:lang w:val="lt-LT"/>
        </w:rPr>
      </w:pPr>
    </w:p>
    <w:p w14:paraId="050DF7EB" w14:textId="77777777" w:rsidR="002C6764" w:rsidRPr="00CE222E" w:rsidRDefault="002C6764" w:rsidP="00EC7AB3">
      <w:pPr>
        <w:widowControl w:val="0"/>
        <w:tabs>
          <w:tab w:val="left" w:pos="9072"/>
        </w:tabs>
        <w:autoSpaceDE w:val="0"/>
        <w:autoSpaceDN w:val="0"/>
        <w:adjustRightInd w:val="0"/>
        <w:spacing w:after="0" w:line="240" w:lineRule="auto"/>
        <w:ind w:right="1"/>
        <w:jc w:val="right"/>
        <w:rPr>
          <w:rFonts w:ascii="Times New Roman" w:hAnsi="Times New Roman"/>
          <w:bCs/>
          <w:sz w:val="24"/>
          <w:szCs w:val="28"/>
        </w:rPr>
      </w:pPr>
    </w:p>
    <w:p w14:paraId="03ECA3FA" w14:textId="77777777" w:rsidR="00CC281D" w:rsidRPr="00786C33" w:rsidRDefault="00B81B44" w:rsidP="00EC7AB3">
      <w:pPr>
        <w:widowControl w:val="0"/>
        <w:tabs>
          <w:tab w:val="left" w:pos="9072"/>
        </w:tabs>
        <w:autoSpaceDE w:val="0"/>
        <w:autoSpaceDN w:val="0"/>
        <w:adjustRightInd w:val="0"/>
        <w:spacing w:after="0" w:line="240" w:lineRule="auto"/>
        <w:ind w:right="1"/>
        <w:jc w:val="right"/>
        <w:rPr>
          <w:rFonts w:ascii="Times New Roman" w:hAnsi="Times New Roman"/>
        </w:rPr>
      </w:pPr>
      <w:r w:rsidRPr="00786C33">
        <w:rPr>
          <w:rFonts w:ascii="Times New Roman" w:hAnsi="Times New Roman"/>
          <w:bCs/>
          <w:sz w:val="24"/>
          <w:szCs w:val="28"/>
        </w:rPr>
        <w:t xml:space="preserve">Submitted on </w:t>
      </w:r>
      <w:r w:rsidR="009E1185" w:rsidRPr="00786C33">
        <w:rPr>
          <w:rFonts w:ascii="Times New Roman" w:hAnsi="Times New Roman"/>
          <w:bCs/>
          <w:sz w:val="24"/>
          <w:szCs w:val="28"/>
        </w:rPr>
        <w:t>30</w:t>
      </w:r>
      <w:r w:rsidR="00EC7AB3" w:rsidRPr="00786C33">
        <w:rPr>
          <w:rFonts w:ascii="Times New Roman" w:hAnsi="Times New Roman"/>
          <w:bCs/>
          <w:sz w:val="24"/>
          <w:szCs w:val="28"/>
        </w:rPr>
        <w:t xml:space="preserve"> </w:t>
      </w:r>
      <w:r w:rsidR="009E1185" w:rsidRPr="00786C33">
        <w:rPr>
          <w:rFonts w:ascii="Times New Roman" w:hAnsi="Times New Roman"/>
          <w:bCs/>
          <w:sz w:val="24"/>
          <w:szCs w:val="28"/>
        </w:rPr>
        <w:t>September</w:t>
      </w:r>
      <w:r w:rsidR="00EC7AB3" w:rsidRPr="00786C33">
        <w:rPr>
          <w:rFonts w:ascii="Times New Roman" w:hAnsi="Times New Roman"/>
          <w:bCs/>
          <w:sz w:val="24"/>
          <w:szCs w:val="28"/>
        </w:rPr>
        <w:t xml:space="preserve"> 2019</w:t>
      </w:r>
      <w:r w:rsidRPr="00786C33">
        <w:rPr>
          <w:rFonts w:ascii="Times New Roman" w:hAnsi="Times New Roman"/>
          <w:bCs/>
          <w:sz w:val="24"/>
          <w:szCs w:val="28"/>
        </w:rPr>
        <w:t xml:space="preserve"> by the </w:t>
      </w:r>
      <w:r w:rsidR="00EC7AB3" w:rsidRPr="00786C33">
        <w:rPr>
          <w:rFonts w:ascii="Times New Roman" w:hAnsi="Times New Roman"/>
          <w:b/>
          <w:bCs/>
          <w:sz w:val="24"/>
          <w:szCs w:val="28"/>
        </w:rPr>
        <w:t>Office of the Equal Opportunities Ombudsperson</w:t>
      </w:r>
    </w:p>
    <w:p w14:paraId="285B6ABD" w14:textId="77777777" w:rsidR="00B81B44" w:rsidRPr="00786C33" w:rsidRDefault="00B81B44" w:rsidP="002E38E5">
      <w:pPr>
        <w:widowControl w:val="0"/>
        <w:tabs>
          <w:tab w:val="left" w:pos="9072"/>
        </w:tabs>
        <w:autoSpaceDE w:val="0"/>
        <w:autoSpaceDN w:val="0"/>
        <w:adjustRightInd w:val="0"/>
        <w:spacing w:after="0" w:line="240" w:lineRule="auto"/>
        <w:ind w:right="1"/>
        <w:rPr>
          <w:rFonts w:ascii="Times New Roman" w:hAnsi="Times New Roman"/>
          <w:sz w:val="24"/>
        </w:rPr>
      </w:pPr>
    </w:p>
    <w:p w14:paraId="561AA1FC" w14:textId="77777777" w:rsidR="006B5488" w:rsidRPr="00786C33" w:rsidRDefault="006B5488" w:rsidP="002E38E5">
      <w:pPr>
        <w:widowControl w:val="0"/>
        <w:tabs>
          <w:tab w:val="left" w:pos="9072"/>
        </w:tabs>
        <w:autoSpaceDE w:val="0"/>
        <w:autoSpaceDN w:val="0"/>
        <w:adjustRightInd w:val="0"/>
        <w:spacing w:after="0" w:line="240" w:lineRule="auto"/>
        <w:ind w:right="1"/>
        <w:rPr>
          <w:rFonts w:ascii="Times New Roman" w:hAnsi="Times New Roman"/>
          <w:sz w:val="24"/>
        </w:rPr>
      </w:pPr>
    </w:p>
    <w:p w14:paraId="56C52BC5" w14:textId="77777777" w:rsidR="00EC7AB3" w:rsidRPr="00786C33" w:rsidRDefault="009E1185" w:rsidP="00B81B44">
      <w:pPr>
        <w:widowControl w:val="0"/>
        <w:tabs>
          <w:tab w:val="left" w:pos="9072"/>
        </w:tabs>
        <w:autoSpaceDE w:val="0"/>
        <w:autoSpaceDN w:val="0"/>
        <w:adjustRightInd w:val="0"/>
        <w:spacing w:after="0" w:line="240" w:lineRule="auto"/>
        <w:ind w:right="1"/>
        <w:jc w:val="right"/>
        <w:rPr>
          <w:rFonts w:ascii="Times New Roman" w:hAnsi="Times New Roman"/>
          <w:sz w:val="24"/>
        </w:rPr>
      </w:pPr>
      <w:r w:rsidRPr="00786C33">
        <w:rPr>
          <w:rFonts w:ascii="Times New Roman" w:hAnsi="Times New Roman"/>
          <w:sz w:val="24"/>
        </w:rPr>
        <w:t>74</w:t>
      </w:r>
      <w:r w:rsidRPr="00786C33">
        <w:rPr>
          <w:rFonts w:ascii="Times New Roman" w:hAnsi="Times New Roman"/>
          <w:sz w:val="24"/>
          <w:vertAlign w:val="superscript"/>
        </w:rPr>
        <w:t>th</w:t>
      </w:r>
      <w:r w:rsidRPr="00786C33">
        <w:rPr>
          <w:rFonts w:ascii="Times New Roman" w:hAnsi="Times New Roman"/>
          <w:sz w:val="24"/>
        </w:rPr>
        <w:t xml:space="preserve"> Session</w:t>
      </w:r>
      <w:r w:rsidR="00EC7AB3" w:rsidRPr="00786C33">
        <w:rPr>
          <w:rFonts w:ascii="Times New Roman" w:hAnsi="Times New Roman"/>
          <w:sz w:val="24"/>
        </w:rPr>
        <w:t xml:space="preserve"> </w:t>
      </w:r>
    </w:p>
    <w:p w14:paraId="652CFBA2" w14:textId="77777777" w:rsidR="00B81B44" w:rsidRPr="00786C33" w:rsidRDefault="00EC7AB3" w:rsidP="00B81B44">
      <w:pPr>
        <w:widowControl w:val="0"/>
        <w:tabs>
          <w:tab w:val="left" w:pos="9072"/>
        </w:tabs>
        <w:autoSpaceDE w:val="0"/>
        <w:autoSpaceDN w:val="0"/>
        <w:adjustRightInd w:val="0"/>
        <w:spacing w:after="0" w:line="240" w:lineRule="auto"/>
        <w:ind w:right="1"/>
        <w:jc w:val="right"/>
        <w:rPr>
          <w:rFonts w:ascii="Times New Roman" w:hAnsi="Times New Roman"/>
          <w:sz w:val="24"/>
        </w:rPr>
      </w:pPr>
      <w:r w:rsidRPr="00786C33">
        <w:rPr>
          <w:rFonts w:ascii="Times New Roman" w:hAnsi="Times New Roman"/>
          <w:sz w:val="24"/>
        </w:rPr>
        <w:t>Committee on the Elimination of Discrimination against Women</w:t>
      </w:r>
    </w:p>
    <w:p w14:paraId="09BE523E" w14:textId="77777777" w:rsidR="00B81B44" w:rsidRPr="00786C33" w:rsidRDefault="00EC7AB3" w:rsidP="00B81B44">
      <w:pPr>
        <w:widowControl w:val="0"/>
        <w:tabs>
          <w:tab w:val="left" w:pos="9072"/>
        </w:tabs>
        <w:autoSpaceDE w:val="0"/>
        <w:autoSpaceDN w:val="0"/>
        <w:adjustRightInd w:val="0"/>
        <w:spacing w:after="0" w:line="240" w:lineRule="auto"/>
        <w:ind w:right="1"/>
        <w:jc w:val="right"/>
        <w:rPr>
          <w:rFonts w:ascii="Times New Roman" w:hAnsi="Times New Roman"/>
          <w:sz w:val="24"/>
        </w:rPr>
      </w:pPr>
      <w:r w:rsidRPr="00786C33">
        <w:rPr>
          <w:rFonts w:ascii="Times New Roman" w:hAnsi="Times New Roman"/>
          <w:sz w:val="24"/>
        </w:rPr>
        <w:t>Consideration</w:t>
      </w:r>
      <w:r w:rsidR="00B81B44" w:rsidRPr="00786C33">
        <w:rPr>
          <w:rFonts w:ascii="Times New Roman" w:hAnsi="Times New Roman"/>
          <w:sz w:val="24"/>
        </w:rPr>
        <w:t xml:space="preserve"> of the </w:t>
      </w:r>
      <w:r w:rsidRPr="00786C33">
        <w:rPr>
          <w:rFonts w:ascii="Times New Roman" w:hAnsi="Times New Roman"/>
          <w:sz w:val="24"/>
        </w:rPr>
        <w:t>Sixth</w:t>
      </w:r>
      <w:r w:rsidR="00B81B44" w:rsidRPr="00786C33">
        <w:rPr>
          <w:rFonts w:ascii="Times New Roman" w:hAnsi="Times New Roman"/>
          <w:sz w:val="24"/>
        </w:rPr>
        <w:t xml:space="preserve"> Periodic Report of Lithuania</w:t>
      </w:r>
    </w:p>
    <w:p w14:paraId="6565C693" w14:textId="77777777" w:rsidR="00B81B44" w:rsidRPr="00786C33" w:rsidRDefault="00B81B44" w:rsidP="00B81B44">
      <w:pPr>
        <w:widowControl w:val="0"/>
        <w:tabs>
          <w:tab w:val="left" w:pos="9072"/>
        </w:tabs>
        <w:autoSpaceDE w:val="0"/>
        <w:autoSpaceDN w:val="0"/>
        <w:adjustRightInd w:val="0"/>
        <w:spacing w:after="0" w:line="240" w:lineRule="auto"/>
        <w:ind w:right="1"/>
        <w:jc w:val="right"/>
        <w:rPr>
          <w:rFonts w:ascii="Times New Roman" w:hAnsi="Times New Roman"/>
          <w:sz w:val="24"/>
        </w:rPr>
      </w:pPr>
    </w:p>
    <w:p w14:paraId="0C7FDC22" w14:textId="77777777" w:rsidR="00B81B44" w:rsidRPr="00786C33" w:rsidRDefault="00B81B44" w:rsidP="000017F1">
      <w:pPr>
        <w:widowControl w:val="0"/>
        <w:tabs>
          <w:tab w:val="left" w:pos="9072"/>
        </w:tabs>
        <w:autoSpaceDE w:val="0"/>
        <w:autoSpaceDN w:val="0"/>
        <w:adjustRightInd w:val="0"/>
        <w:spacing w:after="0" w:line="240" w:lineRule="auto"/>
        <w:ind w:right="1"/>
        <w:jc w:val="right"/>
        <w:rPr>
          <w:rFonts w:ascii="Times New Roman" w:hAnsi="Times New Roman"/>
          <w:sz w:val="24"/>
        </w:rPr>
      </w:pPr>
    </w:p>
    <w:p w14:paraId="202CB8F4" w14:textId="77777777" w:rsidR="00003A7D" w:rsidRPr="00786C33" w:rsidRDefault="00003A7D" w:rsidP="000017F1">
      <w:pPr>
        <w:widowControl w:val="0"/>
        <w:tabs>
          <w:tab w:val="left" w:pos="9072"/>
        </w:tabs>
        <w:autoSpaceDE w:val="0"/>
        <w:autoSpaceDN w:val="0"/>
        <w:adjustRightInd w:val="0"/>
        <w:spacing w:after="0" w:line="240" w:lineRule="auto"/>
        <w:ind w:right="1"/>
        <w:jc w:val="right"/>
        <w:rPr>
          <w:rFonts w:ascii="Times New Roman" w:hAnsi="Times New Roman"/>
          <w:sz w:val="24"/>
        </w:rPr>
      </w:pPr>
    </w:p>
    <w:p w14:paraId="6EC02FBF" w14:textId="77777777" w:rsidR="00003A7D" w:rsidRPr="00786C33" w:rsidRDefault="00003A7D" w:rsidP="000017F1">
      <w:pPr>
        <w:widowControl w:val="0"/>
        <w:tabs>
          <w:tab w:val="left" w:pos="9072"/>
        </w:tabs>
        <w:autoSpaceDE w:val="0"/>
        <w:autoSpaceDN w:val="0"/>
        <w:adjustRightInd w:val="0"/>
        <w:spacing w:after="0" w:line="240" w:lineRule="auto"/>
        <w:ind w:right="1"/>
        <w:jc w:val="right"/>
        <w:rPr>
          <w:rFonts w:ascii="Times New Roman" w:hAnsi="Times New Roman"/>
          <w:sz w:val="24"/>
        </w:rPr>
      </w:pPr>
    </w:p>
    <w:p w14:paraId="5DF49AAF" w14:textId="77777777" w:rsidR="00003A7D" w:rsidRPr="00786C33" w:rsidRDefault="00003A7D" w:rsidP="009E1185">
      <w:pPr>
        <w:widowControl w:val="0"/>
        <w:tabs>
          <w:tab w:val="left" w:pos="9072"/>
        </w:tabs>
        <w:autoSpaceDE w:val="0"/>
        <w:autoSpaceDN w:val="0"/>
        <w:adjustRightInd w:val="0"/>
        <w:spacing w:after="0" w:line="240" w:lineRule="auto"/>
        <w:ind w:right="1"/>
        <w:jc w:val="center"/>
        <w:rPr>
          <w:rFonts w:ascii="Times New Roman" w:hAnsi="Times New Roman"/>
          <w:b/>
          <w:sz w:val="28"/>
        </w:rPr>
      </w:pPr>
      <w:bookmarkStart w:id="0" w:name="_Hlk534891264"/>
      <w:r w:rsidRPr="00786C33">
        <w:rPr>
          <w:rFonts w:ascii="Times New Roman" w:hAnsi="Times New Roman"/>
          <w:b/>
          <w:sz w:val="28"/>
        </w:rPr>
        <w:t>Additional Information on</w:t>
      </w:r>
      <w:r w:rsidR="009E1185" w:rsidRPr="00786C33">
        <w:rPr>
          <w:rFonts w:ascii="Times New Roman" w:hAnsi="Times New Roman"/>
          <w:b/>
          <w:sz w:val="28"/>
        </w:rPr>
        <w:t xml:space="preserve"> the List of Issues (CEDAW/C/LTU/Q/6)</w:t>
      </w:r>
    </w:p>
    <w:bookmarkEnd w:id="0"/>
    <w:p w14:paraId="0BDF25C9" w14:textId="77777777" w:rsidR="009E1185" w:rsidRPr="00786C33" w:rsidRDefault="009E1185" w:rsidP="000017F1">
      <w:pPr>
        <w:widowControl w:val="0"/>
        <w:tabs>
          <w:tab w:val="left" w:pos="9072"/>
        </w:tabs>
        <w:autoSpaceDE w:val="0"/>
        <w:autoSpaceDN w:val="0"/>
        <w:adjustRightInd w:val="0"/>
        <w:spacing w:after="0" w:line="240" w:lineRule="auto"/>
        <w:ind w:right="1"/>
        <w:jc w:val="center"/>
        <w:rPr>
          <w:rFonts w:ascii="Times New Roman" w:hAnsi="Times New Roman"/>
          <w:b/>
          <w:sz w:val="24"/>
        </w:rPr>
      </w:pPr>
    </w:p>
    <w:p w14:paraId="0AB94D51" w14:textId="77777777" w:rsidR="00003A7D" w:rsidRPr="00786C33" w:rsidRDefault="009E1185" w:rsidP="000017F1">
      <w:pPr>
        <w:widowControl w:val="0"/>
        <w:tabs>
          <w:tab w:val="left" w:pos="9072"/>
        </w:tabs>
        <w:autoSpaceDE w:val="0"/>
        <w:autoSpaceDN w:val="0"/>
        <w:adjustRightInd w:val="0"/>
        <w:spacing w:after="0" w:line="240" w:lineRule="auto"/>
        <w:ind w:right="1"/>
        <w:jc w:val="center"/>
        <w:rPr>
          <w:rFonts w:ascii="Times New Roman" w:hAnsi="Times New Roman"/>
          <w:bCs/>
          <w:i/>
          <w:iCs/>
          <w:sz w:val="20"/>
          <w:szCs w:val="18"/>
        </w:rPr>
      </w:pPr>
      <w:r w:rsidRPr="00786C33">
        <w:rPr>
          <w:rFonts w:ascii="Times New Roman" w:hAnsi="Times New Roman"/>
          <w:bCs/>
          <w:i/>
          <w:iCs/>
          <w:sz w:val="20"/>
          <w:szCs w:val="18"/>
        </w:rPr>
        <w:t>The submission can be freely posted on the CEDAW website for public information purposes</w:t>
      </w:r>
      <w:r w:rsidR="00003A7D" w:rsidRPr="00786C33">
        <w:rPr>
          <w:rFonts w:ascii="Times New Roman" w:hAnsi="Times New Roman"/>
          <w:bCs/>
          <w:i/>
          <w:iCs/>
          <w:sz w:val="20"/>
          <w:szCs w:val="18"/>
        </w:rPr>
        <w:t xml:space="preserve"> </w:t>
      </w:r>
    </w:p>
    <w:p w14:paraId="01D7BFDF" w14:textId="77777777" w:rsidR="00B81B44" w:rsidRPr="00786C33" w:rsidRDefault="00B81B44" w:rsidP="00B81B44">
      <w:pPr>
        <w:widowControl w:val="0"/>
        <w:tabs>
          <w:tab w:val="left" w:pos="9072"/>
        </w:tabs>
        <w:autoSpaceDE w:val="0"/>
        <w:autoSpaceDN w:val="0"/>
        <w:adjustRightInd w:val="0"/>
        <w:spacing w:after="0" w:line="240" w:lineRule="auto"/>
        <w:ind w:right="1"/>
        <w:jc w:val="center"/>
        <w:rPr>
          <w:rFonts w:ascii="Times New Roman" w:hAnsi="Times New Roman"/>
          <w:b/>
          <w:bCs/>
          <w:w w:val="99"/>
          <w:sz w:val="24"/>
          <w:szCs w:val="24"/>
        </w:rPr>
      </w:pPr>
    </w:p>
    <w:p w14:paraId="4CE87E44" w14:textId="77777777" w:rsidR="00A14F60" w:rsidRPr="00786C33" w:rsidRDefault="00A14F60" w:rsidP="002E38E5">
      <w:pPr>
        <w:tabs>
          <w:tab w:val="left" w:pos="9072"/>
        </w:tabs>
        <w:spacing w:after="0" w:line="240" w:lineRule="auto"/>
        <w:ind w:right="1"/>
        <w:jc w:val="center"/>
        <w:rPr>
          <w:rFonts w:ascii="Times New Roman" w:hAnsi="Times New Roman"/>
          <w:b/>
        </w:rPr>
      </w:pPr>
    </w:p>
    <w:p w14:paraId="0E40CFA6" w14:textId="77777777" w:rsidR="00CC281D" w:rsidRPr="00786C33" w:rsidRDefault="00D8219E" w:rsidP="00A14F60">
      <w:pPr>
        <w:widowControl w:val="0"/>
        <w:tabs>
          <w:tab w:val="left" w:pos="6521"/>
        </w:tabs>
        <w:autoSpaceDE w:val="0"/>
        <w:autoSpaceDN w:val="0"/>
        <w:adjustRightInd w:val="0"/>
        <w:spacing w:after="0" w:line="240" w:lineRule="auto"/>
        <w:ind w:right="1"/>
        <w:jc w:val="center"/>
        <w:rPr>
          <w:rFonts w:ascii="Times New Roman" w:hAnsi="Times New Roman"/>
          <w:sz w:val="24"/>
          <w:szCs w:val="24"/>
        </w:rPr>
      </w:pPr>
      <w:r w:rsidRPr="00786C33">
        <w:rPr>
          <w:rFonts w:ascii="Times New Roman" w:hAnsi="Times New Roman"/>
          <w:sz w:val="24"/>
          <w:szCs w:val="24"/>
        </w:rPr>
        <w:t xml:space="preserve">Submitting </w:t>
      </w:r>
      <w:r w:rsidR="00003A7D" w:rsidRPr="00786C33">
        <w:rPr>
          <w:rFonts w:ascii="Times New Roman" w:hAnsi="Times New Roman"/>
          <w:sz w:val="24"/>
          <w:szCs w:val="24"/>
        </w:rPr>
        <w:t>Institution</w:t>
      </w:r>
      <w:r w:rsidR="00CC281D" w:rsidRPr="00786C33">
        <w:rPr>
          <w:rFonts w:ascii="Times New Roman" w:hAnsi="Times New Roman"/>
          <w:sz w:val="24"/>
          <w:szCs w:val="24"/>
        </w:rPr>
        <w:t>:</w:t>
      </w:r>
    </w:p>
    <w:p w14:paraId="676ACEB9" w14:textId="77777777" w:rsidR="00003A7D" w:rsidRPr="00786C33" w:rsidRDefault="00124862" w:rsidP="00281B51">
      <w:pPr>
        <w:widowControl w:val="0"/>
        <w:autoSpaceDE w:val="0"/>
        <w:autoSpaceDN w:val="0"/>
        <w:adjustRightInd w:val="0"/>
        <w:spacing w:after="0" w:line="240" w:lineRule="auto"/>
        <w:jc w:val="center"/>
        <w:rPr>
          <w:rFonts w:ascii="Times New Roman" w:hAnsi="Times New Roman"/>
          <w:b/>
          <w:color w:val="000000"/>
          <w:sz w:val="28"/>
          <w:szCs w:val="28"/>
          <w:lang w:eastAsia="fr-BE"/>
        </w:rPr>
      </w:pPr>
      <w:r w:rsidRPr="00786C33">
        <w:rPr>
          <w:rFonts w:ascii="Times New Roman" w:hAnsi="Times New Roman"/>
          <w:noProof/>
        </w:rPr>
        <w:drawing>
          <wp:anchor distT="0" distB="0" distL="114300" distR="114300" simplePos="0" relativeHeight="251657728" behindDoc="0" locked="0" layoutInCell="1" allowOverlap="1" wp14:anchorId="4D2144B3" wp14:editId="1055624B">
            <wp:simplePos x="0" y="0"/>
            <wp:positionH relativeFrom="margin">
              <wp:align>center</wp:align>
            </wp:positionH>
            <wp:positionV relativeFrom="margin">
              <wp:posOffset>3308350</wp:posOffset>
            </wp:positionV>
            <wp:extent cx="2028825" cy="2028825"/>
            <wp:effectExtent l="0" t="0" r="0" b="0"/>
            <wp:wrapSquare wrapText="bothSides"/>
            <wp:docPr id="6" name="Picture 6" descr="logo-en-lgk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en-lgkt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96AA0" w14:textId="77777777" w:rsidR="00CC281D" w:rsidRPr="00786C33" w:rsidRDefault="00281B51" w:rsidP="00281B51">
      <w:pPr>
        <w:widowControl w:val="0"/>
        <w:autoSpaceDE w:val="0"/>
        <w:autoSpaceDN w:val="0"/>
        <w:adjustRightInd w:val="0"/>
        <w:spacing w:after="0" w:line="240" w:lineRule="auto"/>
        <w:jc w:val="center"/>
        <w:rPr>
          <w:rFonts w:ascii="Times New Roman" w:hAnsi="Times New Roman"/>
        </w:rPr>
      </w:pPr>
      <w:r w:rsidRPr="00786C33">
        <w:rPr>
          <w:rFonts w:ascii="Times New Roman" w:hAnsi="Times New Roman"/>
          <w:b/>
          <w:color w:val="000000"/>
          <w:sz w:val="28"/>
          <w:szCs w:val="28"/>
          <w:lang w:eastAsia="fr-BE"/>
        </w:rPr>
        <w:tab/>
      </w:r>
      <w:r w:rsidRPr="00786C33">
        <w:rPr>
          <w:rFonts w:ascii="Times New Roman" w:hAnsi="Times New Roman"/>
          <w:b/>
          <w:color w:val="000000"/>
          <w:sz w:val="28"/>
          <w:szCs w:val="28"/>
          <w:lang w:eastAsia="fr-BE"/>
        </w:rPr>
        <w:tab/>
      </w:r>
      <w:r w:rsidRPr="00786C33">
        <w:rPr>
          <w:rFonts w:ascii="Times New Roman" w:hAnsi="Times New Roman"/>
          <w:b/>
          <w:color w:val="000000"/>
          <w:sz w:val="28"/>
          <w:szCs w:val="28"/>
          <w:lang w:eastAsia="fr-BE"/>
        </w:rPr>
        <w:tab/>
      </w:r>
      <w:r w:rsidRPr="00786C33">
        <w:rPr>
          <w:rFonts w:ascii="Times New Roman" w:hAnsi="Times New Roman"/>
          <w:b/>
          <w:color w:val="000000"/>
          <w:sz w:val="28"/>
          <w:szCs w:val="28"/>
          <w:lang w:eastAsia="fr-BE"/>
        </w:rPr>
        <w:tab/>
      </w:r>
      <w:r w:rsidRPr="00786C33">
        <w:rPr>
          <w:rFonts w:ascii="Times New Roman" w:hAnsi="Times New Roman"/>
          <w:b/>
          <w:color w:val="000000"/>
          <w:sz w:val="28"/>
          <w:szCs w:val="28"/>
          <w:lang w:eastAsia="fr-BE"/>
        </w:rPr>
        <w:tab/>
      </w:r>
    </w:p>
    <w:p w14:paraId="3DCC2051" w14:textId="77777777" w:rsidR="00281B51" w:rsidRPr="00786C33" w:rsidRDefault="00281B51" w:rsidP="00281B51">
      <w:pPr>
        <w:widowControl w:val="0"/>
        <w:autoSpaceDE w:val="0"/>
        <w:autoSpaceDN w:val="0"/>
        <w:adjustRightInd w:val="0"/>
        <w:spacing w:after="0" w:line="240" w:lineRule="auto"/>
        <w:rPr>
          <w:rFonts w:ascii="Times New Roman" w:hAnsi="Times New Roman"/>
          <w:b/>
          <w:bCs/>
        </w:rPr>
      </w:pPr>
    </w:p>
    <w:p w14:paraId="5B009300" w14:textId="77777777" w:rsidR="00D8219E" w:rsidRPr="00786C33" w:rsidRDefault="00D8219E" w:rsidP="0063405E">
      <w:pPr>
        <w:widowControl w:val="0"/>
        <w:autoSpaceDE w:val="0"/>
        <w:autoSpaceDN w:val="0"/>
        <w:adjustRightInd w:val="0"/>
        <w:spacing w:after="0" w:line="240" w:lineRule="auto"/>
        <w:rPr>
          <w:rFonts w:ascii="Times New Roman" w:hAnsi="Times New Roman"/>
          <w:b/>
          <w:bCs/>
          <w:sz w:val="24"/>
          <w:szCs w:val="24"/>
        </w:rPr>
      </w:pPr>
    </w:p>
    <w:p w14:paraId="40143D18" w14:textId="77777777" w:rsidR="00D8219E" w:rsidRPr="00786C33" w:rsidRDefault="00D8219E" w:rsidP="0063405E">
      <w:pPr>
        <w:widowControl w:val="0"/>
        <w:autoSpaceDE w:val="0"/>
        <w:autoSpaceDN w:val="0"/>
        <w:adjustRightInd w:val="0"/>
        <w:spacing w:after="0" w:line="240" w:lineRule="auto"/>
        <w:rPr>
          <w:rFonts w:ascii="Times New Roman" w:hAnsi="Times New Roman"/>
          <w:b/>
          <w:bCs/>
          <w:sz w:val="24"/>
          <w:szCs w:val="24"/>
        </w:rPr>
      </w:pPr>
    </w:p>
    <w:p w14:paraId="6378903E" w14:textId="77777777" w:rsidR="00D8219E" w:rsidRPr="00786C33" w:rsidRDefault="00D8219E" w:rsidP="0063405E">
      <w:pPr>
        <w:widowControl w:val="0"/>
        <w:autoSpaceDE w:val="0"/>
        <w:autoSpaceDN w:val="0"/>
        <w:adjustRightInd w:val="0"/>
        <w:spacing w:after="0" w:line="240" w:lineRule="auto"/>
        <w:rPr>
          <w:rFonts w:ascii="Times New Roman" w:hAnsi="Times New Roman"/>
          <w:b/>
          <w:bCs/>
          <w:sz w:val="24"/>
          <w:szCs w:val="24"/>
        </w:rPr>
      </w:pPr>
    </w:p>
    <w:p w14:paraId="23428227" w14:textId="77777777" w:rsidR="00D8219E" w:rsidRPr="00786C33" w:rsidRDefault="00D8219E" w:rsidP="0063405E">
      <w:pPr>
        <w:widowControl w:val="0"/>
        <w:autoSpaceDE w:val="0"/>
        <w:autoSpaceDN w:val="0"/>
        <w:adjustRightInd w:val="0"/>
        <w:spacing w:after="0" w:line="240" w:lineRule="auto"/>
        <w:rPr>
          <w:rFonts w:ascii="Times New Roman" w:hAnsi="Times New Roman"/>
          <w:b/>
          <w:bCs/>
          <w:sz w:val="24"/>
          <w:szCs w:val="24"/>
        </w:rPr>
      </w:pPr>
    </w:p>
    <w:p w14:paraId="4987CDA9" w14:textId="77777777" w:rsidR="00003A7D" w:rsidRPr="00786C33" w:rsidRDefault="00003A7D" w:rsidP="00D8219E">
      <w:pPr>
        <w:widowControl w:val="0"/>
        <w:autoSpaceDE w:val="0"/>
        <w:autoSpaceDN w:val="0"/>
        <w:adjustRightInd w:val="0"/>
        <w:spacing w:after="0" w:line="240" w:lineRule="auto"/>
        <w:jc w:val="center"/>
        <w:rPr>
          <w:rFonts w:ascii="Times New Roman" w:hAnsi="Times New Roman"/>
          <w:b/>
          <w:bCs/>
          <w:sz w:val="24"/>
          <w:szCs w:val="24"/>
        </w:rPr>
      </w:pPr>
    </w:p>
    <w:p w14:paraId="79E9AEC6" w14:textId="77777777" w:rsidR="00003A7D" w:rsidRPr="00786C33" w:rsidRDefault="00003A7D" w:rsidP="00D8219E">
      <w:pPr>
        <w:widowControl w:val="0"/>
        <w:autoSpaceDE w:val="0"/>
        <w:autoSpaceDN w:val="0"/>
        <w:adjustRightInd w:val="0"/>
        <w:spacing w:after="0" w:line="240" w:lineRule="auto"/>
        <w:jc w:val="center"/>
        <w:rPr>
          <w:rFonts w:ascii="Times New Roman" w:hAnsi="Times New Roman"/>
          <w:b/>
          <w:bCs/>
          <w:sz w:val="24"/>
          <w:szCs w:val="24"/>
        </w:rPr>
      </w:pPr>
    </w:p>
    <w:p w14:paraId="14E2CEBB" w14:textId="77777777" w:rsidR="00003A7D" w:rsidRPr="00786C33" w:rsidRDefault="00003A7D" w:rsidP="00D8219E">
      <w:pPr>
        <w:widowControl w:val="0"/>
        <w:autoSpaceDE w:val="0"/>
        <w:autoSpaceDN w:val="0"/>
        <w:adjustRightInd w:val="0"/>
        <w:spacing w:after="0" w:line="240" w:lineRule="auto"/>
        <w:jc w:val="center"/>
        <w:rPr>
          <w:rFonts w:ascii="Times New Roman" w:hAnsi="Times New Roman"/>
          <w:b/>
          <w:bCs/>
          <w:sz w:val="24"/>
          <w:szCs w:val="24"/>
        </w:rPr>
      </w:pPr>
    </w:p>
    <w:p w14:paraId="5C218584" w14:textId="77777777" w:rsidR="00003A7D" w:rsidRPr="00786C33" w:rsidRDefault="00003A7D" w:rsidP="00D8219E">
      <w:pPr>
        <w:widowControl w:val="0"/>
        <w:autoSpaceDE w:val="0"/>
        <w:autoSpaceDN w:val="0"/>
        <w:adjustRightInd w:val="0"/>
        <w:spacing w:after="0" w:line="240" w:lineRule="auto"/>
        <w:jc w:val="center"/>
        <w:rPr>
          <w:rFonts w:ascii="Times New Roman" w:hAnsi="Times New Roman"/>
          <w:b/>
          <w:bCs/>
          <w:sz w:val="24"/>
          <w:szCs w:val="24"/>
        </w:rPr>
      </w:pPr>
    </w:p>
    <w:p w14:paraId="0D0C11E4" w14:textId="77777777" w:rsidR="00A14F60" w:rsidRPr="00786C33" w:rsidRDefault="00A14F60" w:rsidP="00003A7D">
      <w:pPr>
        <w:widowControl w:val="0"/>
        <w:autoSpaceDE w:val="0"/>
        <w:autoSpaceDN w:val="0"/>
        <w:adjustRightInd w:val="0"/>
        <w:spacing w:after="0" w:line="240" w:lineRule="auto"/>
        <w:rPr>
          <w:rFonts w:ascii="Times New Roman" w:hAnsi="Times New Roman"/>
          <w:b/>
          <w:bCs/>
          <w:sz w:val="24"/>
          <w:szCs w:val="24"/>
        </w:rPr>
      </w:pPr>
    </w:p>
    <w:p w14:paraId="231711C0" w14:textId="77777777" w:rsidR="009E1185" w:rsidRPr="00786C33" w:rsidRDefault="009E1185" w:rsidP="00003A7D">
      <w:pPr>
        <w:widowControl w:val="0"/>
        <w:autoSpaceDE w:val="0"/>
        <w:autoSpaceDN w:val="0"/>
        <w:adjustRightInd w:val="0"/>
        <w:spacing w:after="0" w:line="240" w:lineRule="auto"/>
        <w:jc w:val="center"/>
        <w:rPr>
          <w:rFonts w:ascii="Times New Roman" w:hAnsi="Times New Roman"/>
          <w:bCs/>
          <w:sz w:val="20"/>
          <w:szCs w:val="16"/>
        </w:rPr>
      </w:pPr>
    </w:p>
    <w:p w14:paraId="4710B5E3" w14:textId="77777777" w:rsidR="00506ACD" w:rsidRPr="00786C33" w:rsidRDefault="004B628E" w:rsidP="00003A7D">
      <w:pPr>
        <w:widowControl w:val="0"/>
        <w:autoSpaceDE w:val="0"/>
        <w:autoSpaceDN w:val="0"/>
        <w:adjustRightInd w:val="0"/>
        <w:spacing w:after="0" w:line="240" w:lineRule="auto"/>
        <w:jc w:val="center"/>
        <w:rPr>
          <w:rFonts w:ascii="Times New Roman" w:hAnsi="Times New Roman"/>
          <w:bCs/>
          <w:sz w:val="20"/>
          <w:szCs w:val="16"/>
        </w:rPr>
      </w:pPr>
      <w:hyperlink r:id="rId9" w:history="1">
        <w:r w:rsidR="009E1185" w:rsidRPr="00786C33">
          <w:rPr>
            <w:rStyle w:val="Hyperlink"/>
            <w:rFonts w:ascii="Times New Roman" w:hAnsi="Times New Roman"/>
            <w:bCs/>
            <w:sz w:val="20"/>
            <w:szCs w:val="16"/>
          </w:rPr>
          <w:t>www.lygybe.lt</w:t>
        </w:r>
      </w:hyperlink>
      <w:r w:rsidR="00003A7D" w:rsidRPr="00786C33">
        <w:rPr>
          <w:rFonts w:ascii="Times New Roman" w:hAnsi="Times New Roman"/>
          <w:bCs/>
          <w:sz w:val="20"/>
          <w:szCs w:val="16"/>
        </w:rPr>
        <w:t xml:space="preserve"> </w:t>
      </w:r>
    </w:p>
    <w:p w14:paraId="671E95B6" w14:textId="77777777" w:rsidR="00CC281D" w:rsidRPr="00786C33" w:rsidRDefault="00CC281D" w:rsidP="00701EFD">
      <w:pPr>
        <w:widowControl w:val="0"/>
        <w:autoSpaceDE w:val="0"/>
        <w:autoSpaceDN w:val="0"/>
        <w:adjustRightInd w:val="0"/>
        <w:spacing w:after="0" w:line="240" w:lineRule="auto"/>
        <w:ind w:left="1578" w:right="2701"/>
        <w:jc w:val="center"/>
        <w:rPr>
          <w:rFonts w:ascii="Times New Roman" w:hAnsi="Times New Roman"/>
          <w:sz w:val="24"/>
          <w:szCs w:val="24"/>
        </w:rPr>
      </w:pPr>
    </w:p>
    <w:p w14:paraId="1B625590" w14:textId="77777777" w:rsidR="00394945" w:rsidRPr="00786C33" w:rsidRDefault="00394945" w:rsidP="00394945">
      <w:pPr>
        <w:widowControl w:val="0"/>
        <w:tabs>
          <w:tab w:val="left" w:pos="6521"/>
        </w:tabs>
        <w:autoSpaceDE w:val="0"/>
        <w:autoSpaceDN w:val="0"/>
        <w:adjustRightInd w:val="0"/>
        <w:spacing w:after="0" w:line="240" w:lineRule="auto"/>
        <w:ind w:right="1"/>
        <w:jc w:val="center"/>
        <w:rPr>
          <w:rFonts w:ascii="Times New Roman" w:hAnsi="Times New Roman"/>
          <w:sz w:val="24"/>
          <w:szCs w:val="24"/>
        </w:rPr>
      </w:pPr>
    </w:p>
    <w:p w14:paraId="2679451D" w14:textId="77777777" w:rsidR="00394945" w:rsidRPr="00786C33" w:rsidRDefault="00394945" w:rsidP="00394945">
      <w:pPr>
        <w:widowControl w:val="0"/>
        <w:tabs>
          <w:tab w:val="left" w:pos="6521"/>
        </w:tabs>
        <w:autoSpaceDE w:val="0"/>
        <w:autoSpaceDN w:val="0"/>
        <w:adjustRightInd w:val="0"/>
        <w:spacing w:after="0" w:line="240" w:lineRule="auto"/>
        <w:ind w:right="1"/>
        <w:jc w:val="center"/>
        <w:rPr>
          <w:rFonts w:ascii="Times New Roman" w:hAnsi="Times New Roman"/>
          <w:sz w:val="24"/>
          <w:szCs w:val="24"/>
        </w:rPr>
      </w:pPr>
    </w:p>
    <w:p w14:paraId="155D2E2C" w14:textId="77777777" w:rsidR="00D8219E" w:rsidRPr="00786C33" w:rsidRDefault="00D8219E" w:rsidP="00506ACD">
      <w:pPr>
        <w:widowControl w:val="0"/>
        <w:autoSpaceDE w:val="0"/>
        <w:autoSpaceDN w:val="0"/>
        <w:adjustRightInd w:val="0"/>
        <w:spacing w:after="0" w:line="240" w:lineRule="auto"/>
        <w:jc w:val="both"/>
        <w:rPr>
          <w:rFonts w:ascii="Times New Roman" w:hAnsi="Times New Roman"/>
          <w:sz w:val="24"/>
          <w:szCs w:val="24"/>
        </w:rPr>
      </w:pPr>
    </w:p>
    <w:p w14:paraId="32C11026" w14:textId="77777777" w:rsidR="00003A7D" w:rsidRPr="00786C33" w:rsidRDefault="00003A7D" w:rsidP="00506ACD">
      <w:pPr>
        <w:widowControl w:val="0"/>
        <w:autoSpaceDE w:val="0"/>
        <w:autoSpaceDN w:val="0"/>
        <w:adjustRightInd w:val="0"/>
        <w:spacing w:after="0" w:line="240" w:lineRule="auto"/>
        <w:jc w:val="both"/>
        <w:rPr>
          <w:rFonts w:ascii="Times New Roman" w:hAnsi="Times New Roman"/>
          <w:b/>
          <w:sz w:val="24"/>
          <w:szCs w:val="24"/>
        </w:rPr>
      </w:pPr>
    </w:p>
    <w:p w14:paraId="33954431" w14:textId="77777777" w:rsidR="00394945" w:rsidRPr="00786C33" w:rsidRDefault="00394945" w:rsidP="00506ACD">
      <w:pPr>
        <w:widowControl w:val="0"/>
        <w:autoSpaceDE w:val="0"/>
        <w:autoSpaceDN w:val="0"/>
        <w:adjustRightInd w:val="0"/>
        <w:spacing w:after="0" w:line="240" w:lineRule="auto"/>
        <w:jc w:val="both"/>
        <w:rPr>
          <w:rFonts w:ascii="Times New Roman" w:hAnsi="Times New Roman"/>
          <w:b/>
          <w:sz w:val="24"/>
          <w:szCs w:val="24"/>
        </w:rPr>
      </w:pPr>
    </w:p>
    <w:p w14:paraId="0065E319" w14:textId="77777777" w:rsidR="006B5488" w:rsidRPr="00786C33" w:rsidRDefault="006B5488" w:rsidP="00506ACD">
      <w:pPr>
        <w:widowControl w:val="0"/>
        <w:autoSpaceDE w:val="0"/>
        <w:autoSpaceDN w:val="0"/>
        <w:adjustRightInd w:val="0"/>
        <w:spacing w:after="0" w:line="240" w:lineRule="auto"/>
        <w:jc w:val="both"/>
        <w:rPr>
          <w:rFonts w:ascii="Times New Roman" w:hAnsi="Times New Roman"/>
          <w:b/>
          <w:sz w:val="24"/>
          <w:szCs w:val="24"/>
        </w:rPr>
      </w:pPr>
    </w:p>
    <w:p w14:paraId="5FC5DAA5" w14:textId="77777777" w:rsidR="006B5488" w:rsidRPr="00786C33" w:rsidRDefault="006B5488" w:rsidP="00506ACD">
      <w:pPr>
        <w:widowControl w:val="0"/>
        <w:autoSpaceDE w:val="0"/>
        <w:autoSpaceDN w:val="0"/>
        <w:adjustRightInd w:val="0"/>
        <w:spacing w:after="0" w:line="240" w:lineRule="auto"/>
        <w:jc w:val="both"/>
        <w:rPr>
          <w:rFonts w:ascii="Times New Roman" w:hAnsi="Times New Roman"/>
          <w:b/>
          <w:sz w:val="24"/>
          <w:szCs w:val="24"/>
        </w:rPr>
      </w:pPr>
    </w:p>
    <w:p w14:paraId="4461DE5C" w14:textId="77777777" w:rsidR="006B5488" w:rsidRPr="00786C33" w:rsidRDefault="006B5488" w:rsidP="00506ACD">
      <w:pPr>
        <w:widowControl w:val="0"/>
        <w:autoSpaceDE w:val="0"/>
        <w:autoSpaceDN w:val="0"/>
        <w:adjustRightInd w:val="0"/>
        <w:spacing w:after="0" w:line="240" w:lineRule="auto"/>
        <w:jc w:val="both"/>
        <w:rPr>
          <w:rFonts w:ascii="Times New Roman" w:hAnsi="Times New Roman"/>
          <w:b/>
          <w:sz w:val="24"/>
          <w:szCs w:val="24"/>
        </w:rPr>
      </w:pPr>
    </w:p>
    <w:p w14:paraId="799C3F4B" w14:textId="77777777" w:rsidR="00394945" w:rsidRPr="00786C33" w:rsidRDefault="00394945" w:rsidP="00506ACD">
      <w:pPr>
        <w:widowControl w:val="0"/>
        <w:autoSpaceDE w:val="0"/>
        <w:autoSpaceDN w:val="0"/>
        <w:adjustRightInd w:val="0"/>
        <w:spacing w:after="0" w:line="240" w:lineRule="auto"/>
        <w:jc w:val="both"/>
        <w:rPr>
          <w:rFonts w:ascii="Times New Roman" w:hAnsi="Times New Roman"/>
          <w:b/>
          <w:sz w:val="24"/>
          <w:szCs w:val="24"/>
        </w:rPr>
      </w:pPr>
    </w:p>
    <w:p w14:paraId="7A351235" w14:textId="77777777" w:rsidR="00506ACD" w:rsidRPr="00786C33" w:rsidRDefault="00506ACD" w:rsidP="00506ACD">
      <w:pPr>
        <w:widowControl w:val="0"/>
        <w:autoSpaceDE w:val="0"/>
        <w:autoSpaceDN w:val="0"/>
        <w:adjustRightInd w:val="0"/>
        <w:spacing w:after="0" w:line="240" w:lineRule="auto"/>
        <w:jc w:val="both"/>
        <w:rPr>
          <w:rFonts w:ascii="Times New Roman" w:hAnsi="Times New Roman"/>
          <w:sz w:val="24"/>
          <w:szCs w:val="24"/>
        </w:rPr>
      </w:pPr>
      <w:r w:rsidRPr="00786C33">
        <w:rPr>
          <w:rFonts w:ascii="Times New Roman" w:hAnsi="Times New Roman"/>
          <w:b/>
          <w:sz w:val="24"/>
          <w:szCs w:val="24"/>
        </w:rPr>
        <w:t xml:space="preserve">Contact </w:t>
      </w:r>
      <w:r w:rsidR="00D8219E" w:rsidRPr="00786C33">
        <w:rPr>
          <w:rFonts w:ascii="Times New Roman" w:hAnsi="Times New Roman"/>
          <w:b/>
          <w:sz w:val="24"/>
          <w:szCs w:val="24"/>
        </w:rPr>
        <w:t>P</w:t>
      </w:r>
      <w:r w:rsidRPr="00786C33">
        <w:rPr>
          <w:rFonts w:ascii="Times New Roman" w:hAnsi="Times New Roman"/>
          <w:b/>
          <w:sz w:val="24"/>
          <w:szCs w:val="24"/>
        </w:rPr>
        <w:t>erson</w:t>
      </w:r>
      <w:r w:rsidRPr="00786C33">
        <w:rPr>
          <w:rFonts w:ascii="Times New Roman" w:hAnsi="Times New Roman"/>
          <w:sz w:val="24"/>
          <w:szCs w:val="24"/>
        </w:rPr>
        <w:t xml:space="preserve">: </w:t>
      </w:r>
    </w:p>
    <w:p w14:paraId="61088618" w14:textId="77777777" w:rsidR="00506ACD" w:rsidRPr="00786C33" w:rsidRDefault="00506ACD" w:rsidP="00506ACD">
      <w:pPr>
        <w:widowControl w:val="0"/>
        <w:autoSpaceDE w:val="0"/>
        <w:autoSpaceDN w:val="0"/>
        <w:adjustRightInd w:val="0"/>
        <w:spacing w:after="0" w:line="240" w:lineRule="auto"/>
        <w:jc w:val="both"/>
        <w:rPr>
          <w:rFonts w:ascii="Times New Roman" w:hAnsi="Times New Roman"/>
          <w:sz w:val="24"/>
          <w:szCs w:val="24"/>
        </w:rPr>
      </w:pPr>
      <w:r w:rsidRPr="00786C33">
        <w:rPr>
          <w:rFonts w:ascii="Times New Roman" w:hAnsi="Times New Roman"/>
          <w:sz w:val="24"/>
          <w:szCs w:val="24"/>
        </w:rPr>
        <w:t>Tomas Vytautas Raskevičius</w:t>
      </w:r>
    </w:p>
    <w:p w14:paraId="1F0D36E4" w14:textId="77777777" w:rsidR="00506ACD" w:rsidRPr="00786C33" w:rsidRDefault="00003A7D" w:rsidP="00506ACD">
      <w:pPr>
        <w:widowControl w:val="0"/>
        <w:autoSpaceDE w:val="0"/>
        <w:autoSpaceDN w:val="0"/>
        <w:adjustRightInd w:val="0"/>
        <w:spacing w:after="0" w:line="240" w:lineRule="auto"/>
        <w:jc w:val="both"/>
        <w:rPr>
          <w:rFonts w:ascii="Times New Roman" w:hAnsi="Times New Roman"/>
          <w:sz w:val="24"/>
          <w:szCs w:val="24"/>
        </w:rPr>
      </w:pPr>
      <w:r w:rsidRPr="00786C33">
        <w:rPr>
          <w:rFonts w:ascii="Times New Roman" w:hAnsi="Times New Roman"/>
          <w:sz w:val="24"/>
          <w:szCs w:val="24"/>
        </w:rPr>
        <w:t>Head of the Equal Opportunities Mainstreaming Division</w:t>
      </w:r>
    </w:p>
    <w:p w14:paraId="58FF7915" w14:textId="77777777" w:rsidR="00506ACD" w:rsidRPr="00786C33" w:rsidRDefault="00003A7D" w:rsidP="00506ACD">
      <w:pPr>
        <w:widowControl w:val="0"/>
        <w:autoSpaceDE w:val="0"/>
        <w:autoSpaceDN w:val="0"/>
        <w:adjustRightInd w:val="0"/>
        <w:spacing w:after="0" w:line="240" w:lineRule="auto"/>
        <w:jc w:val="both"/>
        <w:rPr>
          <w:rFonts w:ascii="Times New Roman" w:hAnsi="Times New Roman"/>
          <w:sz w:val="24"/>
          <w:szCs w:val="24"/>
        </w:rPr>
      </w:pPr>
      <w:r w:rsidRPr="00786C33">
        <w:rPr>
          <w:rFonts w:ascii="Times New Roman" w:hAnsi="Times New Roman"/>
          <w:sz w:val="24"/>
          <w:szCs w:val="24"/>
        </w:rPr>
        <w:t>Office of the Equal Opportunities Ombudsperson</w:t>
      </w:r>
    </w:p>
    <w:p w14:paraId="5BD4F391" w14:textId="77777777" w:rsidR="00003A7D" w:rsidRPr="00786C33" w:rsidRDefault="00506ACD" w:rsidP="00506ACD">
      <w:pPr>
        <w:widowControl w:val="0"/>
        <w:autoSpaceDE w:val="0"/>
        <w:autoSpaceDN w:val="0"/>
        <w:adjustRightInd w:val="0"/>
        <w:spacing w:after="0" w:line="240" w:lineRule="auto"/>
        <w:jc w:val="both"/>
        <w:rPr>
          <w:rFonts w:ascii="Times New Roman" w:hAnsi="Times New Roman"/>
          <w:sz w:val="24"/>
          <w:szCs w:val="24"/>
        </w:rPr>
      </w:pPr>
      <w:r w:rsidRPr="00786C33">
        <w:rPr>
          <w:rFonts w:ascii="Times New Roman" w:hAnsi="Times New Roman"/>
          <w:sz w:val="24"/>
          <w:szCs w:val="24"/>
        </w:rPr>
        <w:t>Address:</w:t>
      </w:r>
      <w:r w:rsidR="00003A7D" w:rsidRPr="00786C33">
        <w:rPr>
          <w:rFonts w:ascii="Times New Roman" w:hAnsi="Times New Roman"/>
          <w:sz w:val="24"/>
          <w:szCs w:val="24"/>
        </w:rPr>
        <w:t xml:space="preserve"> Gedimino Av</w:t>
      </w:r>
      <w:r w:rsidR="00EF4104" w:rsidRPr="00786C33">
        <w:rPr>
          <w:rFonts w:ascii="Times New Roman" w:hAnsi="Times New Roman"/>
          <w:sz w:val="24"/>
          <w:szCs w:val="24"/>
        </w:rPr>
        <w:t>e</w:t>
      </w:r>
      <w:r w:rsidR="00003A7D" w:rsidRPr="00786C33">
        <w:rPr>
          <w:rFonts w:ascii="Times New Roman" w:hAnsi="Times New Roman"/>
          <w:sz w:val="24"/>
          <w:szCs w:val="24"/>
        </w:rPr>
        <w:t>. 11, LT-01103 Vilnius, Lithuania</w:t>
      </w:r>
      <w:r w:rsidRPr="00786C33">
        <w:rPr>
          <w:rFonts w:ascii="Times New Roman" w:hAnsi="Times New Roman"/>
          <w:sz w:val="24"/>
          <w:szCs w:val="24"/>
        </w:rPr>
        <w:t xml:space="preserve"> </w:t>
      </w:r>
    </w:p>
    <w:p w14:paraId="1390F2D2" w14:textId="77777777" w:rsidR="00506ACD" w:rsidRPr="00786C33" w:rsidRDefault="00003A7D" w:rsidP="00506ACD">
      <w:pPr>
        <w:widowControl w:val="0"/>
        <w:autoSpaceDE w:val="0"/>
        <w:autoSpaceDN w:val="0"/>
        <w:adjustRightInd w:val="0"/>
        <w:spacing w:after="0" w:line="240" w:lineRule="auto"/>
        <w:jc w:val="both"/>
        <w:rPr>
          <w:rFonts w:ascii="Times New Roman" w:hAnsi="Times New Roman"/>
          <w:sz w:val="24"/>
          <w:szCs w:val="24"/>
        </w:rPr>
      </w:pPr>
      <w:r w:rsidRPr="00786C33">
        <w:rPr>
          <w:rFonts w:ascii="Times New Roman" w:hAnsi="Times New Roman"/>
          <w:sz w:val="24"/>
          <w:szCs w:val="24"/>
        </w:rPr>
        <w:t>Phone</w:t>
      </w:r>
      <w:r w:rsidR="004C1337" w:rsidRPr="00786C33">
        <w:rPr>
          <w:rFonts w:ascii="Times New Roman" w:hAnsi="Times New Roman"/>
          <w:sz w:val="24"/>
          <w:szCs w:val="24"/>
        </w:rPr>
        <w:t>:</w:t>
      </w:r>
      <w:r w:rsidR="00506ACD" w:rsidRPr="00786C33">
        <w:rPr>
          <w:rFonts w:ascii="Times New Roman" w:hAnsi="Times New Roman"/>
          <w:sz w:val="24"/>
          <w:szCs w:val="24"/>
        </w:rPr>
        <w:t xml:space="preserve"> +370 </w:t>
      </w:r>
      <w:r w:rsidRPr="00786C33">
        <w:rPr>
          <w:rFonts w:ascii="Times New Roman" w:hAnsi="Times New Roman"/>
          <w:sz w:val="24"/>
          <w:szCs w:val="24"/>
        </w:rPr>
        <w:t>706 63768</w:t>
      </w:r>
    </w:p>
    <w:p w14:paraId="3AC02068" w14:textId="77777777" w:rsidR="00506ACD" w:rsidRPr="00786C33" w:rsidRDefault="00506ACD" w:rsidP="00506ACD">
      <w:pPr>
        <w:widowControl w:val="0"/>
        <w:autoSpaceDE w:val="0"/>
        <w:autoSpaceDN w:val="0"/>
        <w:adjustRightInd w:val="0"/>
        <w:spacing w:after="0" w:line="240" w:lineRule="auto"/>
        <w:jc w:val="both"/>
        <w:rPr>
          <w:rFonts w:ascii="Times New Roman" w:hAnsi="Times New Roman"/>
          <w:sz w:val="24"/>
          <w:szCs w:val="24"/>
        </w:rPr>
      </w:pPr>
      <w:r w:rsidRPr="00786C33">
        <w:rPr>
          <w:rFonts w:ascii="Times New Roman" w:hAnsi="Times New Roman"/>
          <w:sz w:val="24"/>
          <w:szCs w:val="24"/>
        </w:rPr>
        <w:t>E-mail</w:t>
      </w:r>
      <w:r w:rsidR="004C1337" w:rsidRPr="00786C33">
        <w:rPr>
          <w:rFonts w:ascii="Times New Roman" w:hAnsi="Times New Roman"/>
          <w:sz w:val="24"/>
          <w:szCs w:val="24"/>
        </w:rPr>
        <w:t>:</w:t>
      </w:r>
      <w:r w:rsidRPr="00786C33">
        <w:rPr>
          <w:rFonts w:ascii="Times New Roman" w:hAnsi="Times New Roman"/>
          <w:sz w:val="24"/>
          <w:szCs w:val="24"/>
        </w:rPr>
        <w:t xml:space="preserve"> </w:t>
      </w:r>
      <w:hyperlink r:id="rId10" w:history="1">
        <w:r w:rsidR="00003A7D" w:rsidRPr="00786C33">
          <w:rPr>
            <w:rStyle w:val="Hyperlink"/>
            <w:rFonts w:ascii="Times New Roman" w:hAnsi="Times New Roman"/>
            <w:sz w:val="24"/>
            <w:szCs w:val="24"/>
          </w:rPr>
          <w:t>tomas.raskevicius@lygybe.lt</w:t>
        </w:r>
      </w:hyperlink>
      <w:r w:rsidR="00003A7D" w:rsidRPr="00786C33">
        <w:rPr>
          <w:rFonts w:ascii="Times New Roman" w:hAnsi="Times New Roman"/>
          <w:sz w:val="24"/>
          <w:szCs w:val="24"/>
        </w:rPr>
        <w:t xml:space="preserve"> </w:t>
      </w:r>
    </w:p>
    <w:p w14:paraId="77A7FF82" w14:textId="77777777" w:rsidR="00335441" w:rsidRPr="00786C33" w:rsidRDefault="00335441"/>
    <w:tbl>
      <w:tblPr>
        <w:tblW w:w="9214" w:type="dxa"/>
        <w:tblInd w:w="108" w:type="dxa"/>
        <w:tblLayout w:type="fixed"/>
        <w:tblLook w:val="0000" w:firstRow="0" w:lastRow="0" w:firstColumn="0" w:lastColumn="0" w:noHBand="0" w:noVBand="0"/>
      </w:tblPr>
      <w:tblGrid>
        <w:gridCol w:w="9214"/>
      </w:tblGrid>
      <w:tr w:rsidR="00393A8C" w:rsidRPr="00786C33" w14:paraId="01CF454D" w14:textId="77777777" w:rsidTr="00337F5B">
        <w:tc>
          <w:tcPr>
            <w:tcW w:w="9214" w:type="dxa"/>
            <w:tcBorders>
              <w:top w:val="single" w:sz="8" w:space="0" w:color="C0C0C0"/>
              <w:left w:val="single" w:sz="8" w:space="0" w:color="C0C0C0"/>
              <w:bottom w:val="single" w:sz="8" w:space="0" w:color="C0C0C0"/>
              <w:right w:val="single" w:sz="8" w:space="0" w:color="C0C0C0"/>
            </w:tcBorders>
            <w:shd w:val="clear" w:color="auto" w:fill="BFB1D0"/>
          </w:tcPr>
          <w:p w14:paraId="0302143E" w14:textId="77777777" w:rsidR="00393A8C" w:rsidRPr="00786C33" w:rsidRDefault="00393A8C" w:rsidP="00001287">
            <w:pPr>
              <w:pStyle w:val="Heading1"/>
              <w:rPr>
                <w:rFonts w:ascii="Times New Roman" w:hAnsi="Times New Roman"/>
              </w:rPr>
            </w:pPr>
            <w:r w:rsidRPr="00786C33">
              <w:rPr>
                <w:rFonts w:ascii="Times New Roman" w:hAnsi="Times New Roman"/>
                <w:b w:val="0"/>
                <w:bCs w:val="0"/>
                <w:caps w:val="0"/>
              </w:rPr>
              <w:lastRenderedPageBreak/>
              <w:br w:type="page"/>
            </w:r>
            <w:r w:rsidR="00506ACD" w:rsidRPr="00786C33">
              <w:rPr>
                <w:rFonts w:ascii="Times New Roman" w:hAnsi="Times New Roman"/>
              </w:rPr>
              <w:br w:type="page"/>
            </w:r>
            <w:r w:rsidR="009E1185" w:rsidRPr="00786C33">
              <w:rPr>
                <w:rFonts w:ascii="Times New Roman" w:hAnsi="Times New Roman"/>
              </w:rPr>
              <w:t>RECOMMENDATIONS TO THE STATE PARTY</w:t>
            </w:r>
          </w:p>
        </w:tc>
      </w:tr>
      <w:tr w:rsidR="00393A8C" w:rsidRPr="00786C33" w14:paraId="704BC1EE" w14:textId="77777777" w:rsidTr="00337F5B">
        <w:tc>
          <w:tcPr>
            <w:tcW w:w="9214" w:type="dxa"/>
            <w:tcBorders>
              <w:top w:val="single" w:sz="8" w:space="0" w:color="C0C0C0"/>
              <w:left w:val="single" w:sz="8" w:space="0" w:color="C0C0C0"/>
              <w:bottom w:val="single" w:sz="8" w:space="0" w:color="C0C0C0"/>
              <w:right w:val="single" w:sz="8" w:space="0" w:color="C0C0C0"/>
            </w:tcBorders>
            <w:shd w:val="clear" w:color="auto" w:fill="DFD8E8"/>
          </w:tcPr>
          <w:p w14:paraId="07A245FD" w14:textId="77777777" w:rsidR="00393A8C" w:rsidRPr="00786C33" w:rsidRDefault="00393A8C" w:rsidP="00EC2BA0">
            <w:pPr>
              <w:widowControl w:val="0"/>
              <w:numPr>
                <w:ilvl w:val="0"/>
                <w:numId w:val="12"/>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bCs/>
                <w:sz w:val="24"/>
                <w:szCs w:val="24"/>
              </w:rPr>
              <w:t xml:space="preserve">1. </w:t>
            </w:r>
            <w:r w:rsidR="00AE2132" w:rsidRPr="00786C33">
              <w:rPr>
                <w:rFonts w:ascii="Times New Roman" w:hAnsi="Times New Roman"/>
                <w:bCs/>
                <w:sz w:val="24"/>
                <w:szCs w:val="24"/>
              </w:rPr>
              <w:t>To adopt comprehensive</w:t>
            </w:r>
            <w:r w:rsidR="00AE2132" w:rsidRPr="00786C33">
              <w:rPr>
                <w:rFonts w:ascii="Times New Roman" w:hAnsi="Times New Roman"/>
                <w:bCs/>
                <w:iCs/>
                <w:sz w:val="24"/>
                <w:szCs w:val="24"/>
              </w:rPr>
              <w:t xml:space="preserve"> </w:t>
            </w:r>
            <w:r w:rsidR="00C16497" w:rsidRPr="00786C33">
              <w:rPr>
                <w:rFonts w:ascii="Times New Roman" w:hAnsi="Times New Roman"/>
                <w:iCs/>
                <w:sz w:val="24"/>
                <w:szCs w:val="24"/>
              </w:rPr>
              <w:t xml:space="preserve">Action Plan for the implementation of the National </w:t>
            </w:r>
            <w:proofErr w:type="spellStart"/>
            <w:r w:rsidR="00C16497" w:rsidRPr="00786C33">
              <w:rPr>
                <w:rFonts w:ascii="Times New Roman" w:hAnsi="Times New Roman"/>
                <w:iCs/>
                <w:sz w:val="24"/>
                <w:szCs w:val="24"/>
              </w:rPr>
              <w:t>Programme</w:t>
            </w:r>
            <w:proofErr w:type="spellEnd"/>
            <w:r w:rsidR="00C16497" w:rsidRPr="00786C33">
              <w:rPr>
                <w:rFonts w:ascii="Times New Roman" w:hAnsi="Times New Roman"/>
                <w:iCs/>
                <w:sz w:val="24"/>
                <w:szCs w:val="24"/>
              </w:rPr>
              <w:t xml:space="preserve"> of Equal Opportunities of Women and Men</w:t>
            </w:r>
            <w:r w:rsidR="00AE2132" w:rsidRPr="00786C33">
              <w:rPr>
                <w:rFonts w:ascii="Times New Roman" w:hAnsi="Times New Roman"/>
                <w:iCs/>
                <w:sz w:val="24"/>
                <w:szCs w:val="24"/>
              </w:rPr>
              <w:t xml:space="preserve">, containing strategic, concrete and targeted measures for mainstreaming gender aspects in all areas of life. To allocate specific financial resources </w:t>
            </w:r>
            <w:r w:rsidR="00C16497" w:rsidRPr="00786C33">
              <w:rPr>
                <w:rFonts w:ascii="Times New Roman" w:hAnsi="Times New Roman"/>
                <w:iCs/>
                <w:sz w:val="24"/>
                <w:szCs w:val="24"/>
              </w:rPr>
              <w:t>for</w:t>
            </w:r>
            <w:r w:rsidR="00AE2132" w:rsidRPr="00786C33">
              <w:rPr>
                <w:rFonts w:ascii="Times New Roman" w:hAnsi="Times New Roman"/>
                <w:iCs/>
                <w:sz w:val="24"/>
                <w:szCs w:val="24"/>
              </w:rPr>
              <w:t xml:space="preserve"> implementing measures within the</w:t>
            </w:r>
            <w:r w:rsidR="00C16497" w:rsidRPr="00786C33">
              <w:rPr>
                <w:rFonts w:ascii="Times New Roman" w:hAnsi="Times New Roman"/>
                <w:iCs/>
                <w:sz w:val="24"/>
                <w:szCs w:val="24"/>
              </w:rPr>
              <w:t xml:space="preserve"> Action Plan. </w:t>
            </w:r>
            <w:r w:rsidR="00AE2132" w:rsidRPr="00786C33">
              <w:rPr>
                <w:rFonts w:ascii="Times New Roman" w:hAnsi="Times New Roman"/>
                <w:iCs/>
                <w:sz w:val="24"/>
                <w:szCs w:val="24"/>
              </w:rPr>
              <w:t xml:space="preserve"> </w:t>
            </w:r>
            <w:r w:rsidR="00001287" w:rsidRPr="00786C33">
              <w:rPr>
                <w:rFonts w:ascii="Times New Roman" w:hAnsi="Times New Roman"/>
                <w:bCs/>
                <w:sz w:val="24"/>
                <w:szCs w:val="24"/>
              </w:rPr>
              <w:t xml:space="preserve"> </w:t>
            </w:r>
            <w:r w:rsidRPr="00786C33">
              <w:rPr>
                <w:rFonts w:ascii="Times New Roman" w:hAnsi="Times New Roman"/>
                <w:sz w:val="24"/>
                <w:szCs w:val="24"/>
              </w:rPr>
              <w:t xml:space="preserve"> </w:t>
            </w:r>
          </w:p>
          <w:p w14:paraId="7763A90F" w14:textId="77777777" w:rsidR="00393A8C" w:rsidRPr="00786C33" w:rsidRDefault="00393A8C" w:rsidP="00EC2BA0">
            <w:pPr>
              <w:pStyle w:val="SingleTxtG"/>
              <w:tabs>
                <w:tab w:val="left" w:pos="284"/>
              </w:tabs>
              <w:spacing w:before="120"/>
              <w:ind w:left="0" w:right="0"/>
              <w:rPr>
                <w:rFonts w:cs="Times New Roman"/>
                <w:bCs/>
                <w:lang w:val="en-US"/>
              </w:rPr>
            </w:pPr>
            <w:r w:rsidRPr="00786C33">
              <w:rPr>
                <w:rFonts w:cs="Times New Roman"/>
                <w:bCs/>
                <w:lang w:val="en-US"/>
              </w:rPr>
              <w:t xml:space="preserve">2. </w:t>
            </w:r>
            <w:r w:rsidR="00455D5D" w:rsidRPr="00786C33">
              <w:rPr>
                <w:rFonts w:cs="Times New Roman"/>
                <w:bCs/>
                <w:lang w:val="en-US"/>
              </w:rPr>
              <w:t>To provide the Office of the Equal Opportunities Ombudsperson with sufficient resources to enable full and proper implementation of its mandate, especially pertaining to its capacity to perform preventive and educational activities and dissemination of equal opportunities.</w:t>
            </w:r>
            <w:r w:rsidR="001B0282" w:rsidRPr="00786C33">
              <w:rPr>
                <w:rFonts w:cs="Times New Roman"/>
                <w:bCs/>
                <w:lang w:val="en-US"/>
              </w:rPr>
              <w:t xml:space="preserve"> </w:t>
            </w:r>
            <w:r w:rsidR="00001287" w:rsidRPr="00786C33">
              <w:rPr>
                <w:rFonts w:cs="Times New Roman"/>
                <w:bCs/>
                <w:lang w:val="en-US"/>
              </w:rPr>
              <w:t xml:space="preserve"> </w:t>
            </w:r>
          </w:p>
          <w:p w14:paraId="455998D5" w14:textId="77777777" w:rsidR="00AE2132" w:rsidRPr="00786C33" w:rsidRDefault="00393A8C" w:rsidP="00EC2BA0">
            <w:pPr>
              <w:pStyle w:val="SingleTxtG"/>
              <w:tabs>
                <w:tab w:val="left" w:pos="284"/>
              </w:tabs>
              <w:spacing w:before="120"/>
              <w:ind w:left="0" w:right="0"/>
              <w:rPr>
                <w:rFonts w:cs="Times New Roman"/>
                <w:bCs/>
                <w:lang w:val="en-US"/>
              </w:rPr>
            </w:pPr>
            <w:r w:rsidRPr="00786C33">
              <w:rPr>
                <w:rFonts w:cs="Times New Roman"/>
                <w:bCs/>
                <w:lang w:val="en-US"/>
              </w:rPr>
              <w:t xml:space="preserve">3. </w:t>
            </w:r>
            <w:r w:rsidR="006B5488" w:rsidRPr="00786C33">
              <w:rPr>
                <w:rFonts w:cs="Times New Roman"/>
                <w:bCs/>
                <w:lang w:val="en-US"/>
              </w:rPr>
              <w:t>To</w:t>
            </w:r>
            <w:r w:rsidR="006B5488" w:rsidRPr="00786C33">
              <w:rPr>
                <w:rFonts w:cs="Times New Roman"/>
                <w:lang w:val="en-US"/>
              </w:rPr>
              <w:t xml:space="preserve"> </w:t>
            </w:r>
            <w:r w:rsidR="00AE2132" w:rsidRPr="00786C33">
              <w:rPr>
                <w:rFonts w:cs="Times New Roman"/>
                <w:lang w:val="en-US"/>
              </w:rPr>
              <w:t>adopt the updated</w:t>
            </w:r>
            <w:r w:rsidR="006B5488" w:rsidRPr="00786C33">
              <w:rPr>
                <w:rFonts w:cs="Times New Roman"/>
                <w:lang w:val="en-US"/>
              </w:rPr>
              <w:t xml:space="preserve"> Regulations of the Commission on Equal Opportunities for Women and Men</w:t>
            </w:r>
            <w:r w:rsidR="00AE2132" w:rsidRPr="00786C33">
              <w:rPr>
                <w:rFonts w:cs="Times New Roman"/>
                <w:lang w:val="en-US"/>
              </w:rPr>
              <w:t xml:space="preserve"> with the aim of strengthening its independent monitoring mandate. </w:t>
            </w:r>
          </w:p>
          <w:p w14:paraId="1948F8E0" w14:textId="77777777" w:rsidR="00393A8C" w:rsidRPr="00786C33" w:rsidRDefault="00393A8C" w:rsidP="001B0282">
            <w:pPr>
              <w:pStyle w:val="SingleTxtG"/>
              <w:tabs>
                <w:tab w:val="left" w:pos="284"/>
              </w:tabs>
              <w:spacing w:before="120"/>
              <w:ind w:left="0" w:right="0"/>
              <w:rPr>
                <w:rFonts w:cs="Times New Roman"/>
                <w:bCs/>
                <w:lang w:val="en-US"/>
              </w:rPr>
            </w:pPr>
            <w:r w:rsidRPr="00786C33">
              <w:rPr>
                <w:rFonts w:cs="Times New Roman"/>
                <w:bCs/>
                <w:lang w:val="en-US"/>
              </w:rPr>
              <w:t>4.</w:t>
            </w:r>
            <w:r w:rsidR="00AE2132" w:rsidRPr="00786C33">
              <w:rPr>
                <w:rFonts w:cs="Times New Roman"/>
                <w:bCs/>
                <w:lang w:val="en-US"/>
              </w:rPr>
              <w:t xml:space="preserve"> To raise public awareness about victim support services provided by Special Assistance Centers with the aim of improving their accessibility among</w:t>
            </w:r>
            <w:r w:rsidR="00C16497" w:rsidRPr="00786C33">
              <w:rPr>
                <w:rFonts w:cs="Times New Roman"/>
                <w:bCs/>
                <w:lang w:val="en-US"/>
              </w:rPr>
              <w:t xml:space="preserve"> </w:t>
            </w:r>
            <w:r w:rsidR="00AE2132" w:rsidRPr="00786C33">
              <w:rPr>
                <w:rFonts w:cs="Times New Roman"/>
                <w:bCs/>
                <w:lang w:val="en-US"/>
              </w:rPr>
              <w:t xml:space="preserve">victims of gender-based violence.  </w:t>
            </w:r>
            <w:r w:rsidRPr="00786C33">
              <w:rPr>
                <w:rFonts w:cs="Times New Roman"/>
                <w:bCs/>
                <w:lang w:val="en-US"/>
              </w:rPr>
              <w:t xml:space="preserve"> </w:t>
            </w:r>
            <w:r w:rsidR="00CE222E" w:rsidRPr="00786C33">
              <w:rPr>
                <w:rFonts w:cs="Times New Roman"/>
                <w:bCs/>
                <w:lang w:val="en-US"/>
              </w:rPr>
              <w:t xml:space="preserve"> </w:t>
            </w:r>
            <w:r w:rsidR="001B0282" w:rsidRPr="00786C33">
              <w:rPr>
                <w:rFonts w:cs="Times New Roman"/>
                <w:bCs/>
                <w:lang w:val="en-US"/>
              </w:rPr>
              <w:t xml:space="preserve"> </w:t>
            </w:r>
            <w:r w:rsidRPr="00786C33">
              <w:rPr>
                <w:rFonts w:cs="Times New Roman"/>
                <w:bCs/>
                <w:lang w:val="en-US"/>
              </w:rPr>
              <w:t xml:space="preserve"> </w:t>
            </w:r>
          </w:p>
          <w:p w14:paraId="1F806685" w14:textId="77777777" w:rsidR="00204B55" w:rsidRPr="00786C33" w:rsidRDefault="00204B55" w:rsidP="001B0282">
            <w:pPr>
              <w:pStyle w:val="SingleTxtG"/>
              <w:tabs>
                <w:tab w:val="left" w:pos="284"/>
              </w:tabs>
              <w:spacing w:before="120"/>
              <w:ind w:left="0" w:right="0"/>
              <w:rPr>
                <w:rFonts w:cs="Times New Roman"/>
                <w:bCs/>
                <w:lang w:val="en-US"/>
              </w:rPr>
            </w:pPr>
            <w:r w:rsidRPr="00786C33">
              <w:rPr>
                <w:rFonts w:cs="Times New Roman"/>
                <w:bCs/>
                <w:lang w:val="en-US"/>
              </w:rPr>
              <w:t xml:space="preserve">5. </w:t>
            </w:r>
            <w:r w:rsidR="00C92842" w:rsidRPr="00786C33">
              <w:rPr>
                <w:rFonts w:cs="Times New Roman"/>
                <w:bCs/>
                <w:lang w:val="en-US"/>
              </w:rPr>
              <w:t xml:space="preserve">To ratify the Council of Europe’s Convention on Preventing and Combating Violence against Women and Domestic Violence. </w:t>
            </w:r>
          </w:p>
          <w:p w14:paraId="1BE9B830" w14:textId="77777777" w:rsidR="00C92842" w:rsidRPr="00786C33" w:rsidRDefault="00C92842" w:rsidP="001B0282">
            <w:pPr>
              <w:pStyle w:val="SingleTxtG"/>
              <w:tabs>
                <w:tab w:val="left" w:pos="284"/>
              </w:tabs>
              <w:spacing w:before="120"/>
              <w:ind w:left="0" w:right="0"/>
              <w:rPr>
                <w:rFonts w:cs="Times New Roman"/>
                <w:bCs/>
                <w:lang w:val="en-US"/>
              </w:rPr>
            </w:pPr>
            <w:r w:rsidRPr="00786C33">
              <w:rPr>
                <w:rFonts w:cs="Times New Roman"/>
                <w:bCs/>
                <w:lang w:val="en-US"/>
              </w:rPr>
              <w:t xml:space="preserve">6. </w:t>
            </w:r>
            <w:r w:rsidR="00AE2132" w:rsidRPr="00786C33">
              <w:rPr>
                <w:rFonts w:cs="Times New Roman"/>
                <w:bCs/>
                <w:lang w:val="en-US"/>
              </w:rPr>
              <w:t xml:space="preserve">To comprehensively mainstream the aspect of gender within the process of updating the general education </w:t>
            </w:r>
            <w:proofErr w:type="spellStart"/>
            <w:r w:rsidR="00AE2132" w:rsidRPr="00786C33">
              <w:rPr>
                <w:rFonts w:cs="Times New Roman"/>
                <w:bCs/>
                <w:lang w:val="en-US"/>
              </w:rPr>
              <w:t>programmes</w:t>
            </w:r>
            <w:proofErr w:type="spellEnd"/>
            <w:r w:rsidR="00AE2132" w:rsidRPr="00786C33">
              <w:rPr>
                <w:rFonts w:cs="Times New Roman"/>
                <w:bCs/>
                <w:lang w:val="en-US"/>
              </w:rPr>
              <w:t xml:space="preserve">. </w:t>
            </w:r>
          </w:p>
        </w:tc>
      </w:tr>
    </w:tbl>
    <w:p w14:paraId="255BC604" w14:textId="77777777" w:rsidR="009D37FB" w:rsidRPr="00786C33" w:rsidRDefault="009D37FB" w:rsidP="00393A8C">
      <w:pPr>
        <w:pStyle w:val="Heading1"/>
        <w:rPr>
          <w:rFonts w:ascii="Times New Roman" w:hAnsi="Times New Roman"/>
        </w:rPr>
      </w:pPr>
      <w:bookmarkStart w:id="1" w:name="_Toc516473006"/>
      <w:bookmarkStart w:id="2" w:name="_Toc516473260"/>
      <w:r w:rsidRPr="00786C33">
        <w:rPr>
          <w:rFonts w:ascii="Times New Roman" w:hAnsi="Times New Roman"/>
        </w:rPr>
        <w:t>Background</w:t>
      </w:r>
      <w:r w:rsidR="00AA00D5" w:rsidRPr="00786C33">
        <w:rPr>
          <w:rFonts w:ascii="Times New Roman" w:hAnsi="Times New Roman"/>
        </w:rPr>
        <w:t xml:space="preserve"> Information</w:t>
      </w:r>
      <w:bookmarkEnd w:id="1"/>
      <w:bookmarkEnd w:id="2"/>
    </w:p>
    <w:p w14:paraId="4CC85959" w14:textId="77777777" w:rsidR="00ED0C52" w:rsidRPr="00786C33" w:rsidRDefault="00E10939" w:rsidP="00ED0C52">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The Office of the Equal Opportunities Ombudsperson</w:t>
      </w:r>
      <w:r w:rsidR="00E056DB" w:rsidRPr="00786C33">
        <w:rPr>
          <w:rFonts w:ascii="Times New Roman" w:hAnsi="Times New Roman"/>
          <w:sz w:val="24"/>
          <w:szCs w:val="24"/>
        </w:rPr>
        <w:t xml:space="preserve"> (hereinafter</w:t>
      </w:r>
      <w:r w:rsidR="00EB0EE8" w:rsidRPr="00786C33">
        <w:rPr>
          <w:rFonts w:ascii="Times New Roman" w:hAnsi="Times New Roman"/>
          <w:sz w:val="24"/>
          <w:szCs w:val="24"/>
        </w:rPr>
        <w:t xml:space="preserve"> the Office)</w:t>
      </w:r>
      <w:r w:rsidRPr="00786C33">
        <w:rPr>
          <w:rFonts w:ascii="Times New Roman" w:hAnsi="Times New Roman"/>
          <w:sz w:val="24"/>
          <w:szCs w:val="24"/>
        </w:rPr>
        <w:t xml:space="preserve"> is a national equality body. </w:t>
      </w:r>
      <w:r w:rsidR="00EB0EE8" w:rsidRPr="00786C33">
        <w:rPr>
          <w:rFonts w:ascii="Times New Roman" w:hAnsi="Times New Roman"/>
          <w:sz w:val="24"/>
          <w:szCs w:val="24"/>
        </w:rPr>
        <w:t>The Office performs a quasi-judicial function by investigating individual complaints</w:t>
      </w:r>
      <w:r w:rsidR="00335441" w:rsidRPr="00786C33">
        <w:rPr>
          <w:rFonts w:ascii="Times New Roman" w:hAnsi="Times New Roman"/>
          <w:sz w:val="24"/>
          <w:szCs w:val="24"/>
        </w:rPr>
        <w:t xml:space="preserve"> on alleged instances of discrimination</w:t>
      </w:r>
      <w:r w:rsidR="00EB0EE8" w:rsidRPr="00786C33">
        <w:rPr>
          <w:rFonts w:ascii="Times New Roman" w:hAnsi="Times New Roman"/>
          <w:sz w:val="24"/>
          <w:szCs w:val="24"/>
        </w:rPr>
        <w:t xml:space="preserve"> on the grounds of, </w:t>
      </w:r>
      <w:r w:rsidR="00EB0EE8" w:rsidRPr="00786C33">
        <w:rPr>
          <w:rFonts w:ascii="Times New Roman" w:hAnsi="Times New Roman"/>
          <w:i/>
          <w:sz w:val="24"/>
          <w:szCs w:val="24"/>
        </w:rPr>
        <w:t>inter alia</w:t>
      </w:r>
      <w:r w:rsidR="00335441" w:rsidRPr="00786C33">
        <w:rPr>
          <w:rFonts w:ascii="Times New Roman" w:hAnsi="Times New Roman"/>
          <w:sz w:val="24"/>
          <w:szCs w:val="24"/>
        </w:rPr>
        <w:t>, gender</w:t>
      </w:r>
      <w:r w:rsidR="00EB0EE8" w:rsidRPr="00786C33">
        <w:rPr>
          <w:rFonts w:ascii="Times New Roman" w:hAnsi="Times New Roman"/>
          <w:sz w:val="24"/>
          <w:szCs w:val="24"/>
        </w:rPr>
        <w:t xml:space="preserve"> </w:t>
      </w:r>
      <w:r w:rsidR="00335441" w:rsidRPr="00786C33">
        <w:rPr>
          <w:rFonts w:ascii="Times New Roman" w:hAnsi="Times New Roman"/>
          <w:sz w:val="24"/>
          <w:szCs w:val="24"/>
        </w:rPr>
        <w:t xml:space="preserve">under the </w:t>
      </w:r>
      <w:r w:rsidR="00335441" w:rsidRPr="00786C33">
        <w:rPr>
          <w:rFonts w:ascii="Times New Roman" w:hAnsi="Times New Roman"/>
          <w:i/>
          <w:sz w:val="24"/>
          <w:szCs w:val="24"/>
        </w:rPr>
        <w:t>Law on Equal Opportunities for Women and Men</w:t>
      </w:r>
      <w:r w:rsidR="00766EE6" w:rsidRPr="00786C33">
        <w:rPr>
          <w:rStyle w:val="FootnoteReference"/>
          <w:rFonts w:ascii="Times New Roman" w:hAnsi="Times New Roman"/>
          <w:sz w:val="24"/>
          <w:szCs w:val="24"/>
        </w:rPr>
        <w:footnoteReference w:id="1"/>
      </w:r>
      <w:r w:rsidR="00335441" w:rsidRPr="00786C33">
        <w:rPr>
          <w:rFonts w:ascii="Times New Roman" w:hAnsi="Times New Roman"/>
          <w:i/>
          <w:sz w:val="24"/>
          <w:szCs w:val="24"/>
        </w:rPr>
        <w:t xml:space="preserve"> </w:t>
      </w:r>
      <w:r w:rsidR="00335441" w:rsidRPr="00786C33">
        <w:rPr>
          <w:rFonts w:ascii="Times New Roman" w:hAnsi="Times New Roman"/>
          <w:sz w:val="24"/>
          <w:szCs w:val="24"/>
        </w:rPr>
        <w:t xml:space="preserve">and the </w:t>
      </w:r>
      <w:r w:rsidR="00335441" w:rsidRPr="00786C33">
        <w:rPr>
          <w:rFonts w:ascii="Times New Roman" w:hAnsi="Times New Roman"/>
          <w:i/>
          <w:sz w:val="24"/>
          <w:szCs w:val="24"/>
        </w:rPr>
        <w:t xml:space="preserve">Law on Equal </w:t>
      </w:r>
      <w:r w:rsidR="00427819" w:rsidRPr="00786C33">
        <w:rPr>
          <w:rFonts w:ascii="Times New Roman" w:hAnsi="Times New Roman"/>
          <w:i/>
          <w:sz w:val="24"/>
          <w:szCs w:val="24"/>
        </w:rPr>
        <w:t>Treatment</w:t>
      </w:r>
      <w:r w:rsidR="0061686E" w:rsidRPr="00786C33">
        <w:rPr>
          <w:rStyle w:val="FootnoteReference"/>
          <w:rFonts w:ascii="Times New Roman" w:hAnsi="Times New Roman"/>
          <w:sz w:val="24"/>
          <w:szCs w:val="24"/>
        </w:rPr>
        <w:footnoteReference w:id="2"/>
      </w:r>
      <w:r w:rsidR="00335441" w:rsidRPr="00786C33">
        <w:rPr>
          <w:rFonts w:ascii="Times New Roman" w:hAnsi="Times New Roman"/>
          <w:sz w:val="24"/>
          <w:szCs w:val="24"/>
        </w:rPr>
        <w:t xml:space="preserve">. </w:t>
      </w:r>
      <w:r w:rsidR="00766EE6" w:rsidRPr="00786C33">
        <w:rPr>
          <w:rFonts w:ascii="Times New Roman" w:hAnsi="Times New Roman"/>
          <w:sz w:val="24"/>
          <w:szCs w:val="24"/>
        </w:rPr>
        <w:t>In the Lithuanian legal system d</w:t>
      </w:r>
      <w:r w:rsidR="00335441" w:rsidRPr="00786C33">
        <w:rPr>
          <w:rFonts w:ascii="Times New Roman" w:hAnsi="Times New Roman"/>
          <w:sz w:val="24"/>
          <w:szCs w:val="24"/>
        </w:rPr>
        <w:t xml:space="preserve">iscrimination on the grounds of gender is prohibited in the fields of employment and occupation, provision of goods and services, education, membership in organizations (associations), social </w:t>
      </w:r>
      <w:r w:rsidR="00427819" w:rsidRPr="00786C33">
        <w:rPr>
          <w:rFonts w:ascii="Times New Roman" w:hAnsi="Times New Roman"/>
          <w:sz w:val="24"/>
          <w:szCs w:val="24"/>
        </w:rPr>
        <w:t>security</w:t>
      </w:r>
      <w:r w:rsidR="00335441" w:rsidRPr="00786C33">
        <w:rPr>
          <w:rFonts w:ascii="Times New Roman" w:hAnsi="Times New Roman"/>
          <w:sz w:val="24"/>
          <w:szCs w:val="24"/>
        </w:rPr>
        <w:t>, and all actions by public authorities.</w:t>
      </w:r>
      <w:r w:rsidR="00766EE6" w:rsidRPr="00786C33">
        <w:rPr>
          <w:rFonts w:ascii="Times New Roman" w:hAnsi="Times New Roman"/>
          <w:sz w:val="24"/>
          <w:szCs w:val="24"/>
        </w:rPr>
        <w:t xml:space="preserve"> </w:t>
      </w:r>
      <w:r w:rsidR="002A7ED2" w:rsidRPr="00786C33">
        <w:rPr>
          <w:rFonts w:ascii="Times New Roman" w:hAnsi="Times New Roman"/>
          <w:sz w:val="24"/>
          <w:szCs w:val="24"/>
        </w:rPr>
        <w:t>The Office also investigates into the instances of alleged h</w:t>
      </w:r>
      <w:r w:rsidR="00766EE6" w:rsidRPr="00786C33">
        <w:rPr>
          <w:rFonts w:ascii="Times New Roman" w:hAnsi="Times New Roman"/>
          <w:sz w:val="24"/>
          <w:szCs w:val="24"/>
        </w:rPr>
        <w:t xml:space="preserve">arassment and sexual harassment in the fields </w:t>
      </w:r>
      <w:r w:rsidR="002A7ED2" w:rsidRPr="00786C33">
        <w:rPr>
          <w:rFonts w:ascii="Times New Roman" w:hAnsi="Times New Roman"/>
          <w:sz w:val="24"/>
          <w:szCs w:val="24"/>
        </w:rPr>
        <w:t>of employment, o</w:t>
      </w:r>
      <w:r w:rsidR="00766EE6" w:rsidRPr="00786C33">
        <w:rPr>
          <w:rFonts w:ascii="Times New Roman" w:hAnsi="Times New Roman"/>
          <w:sz w:val="24"/>
          <w:szCs w:val="24"/>
        </w:rPr>
        <w:t xml:space="preserve">ccupation </w:t>
      </w:r>
      <w:r w:rsidR="002A7ED2" w:rsidRPr="00786C33">
        <w:rPr>
          <w:rFonts w:ascii="Times New Roman" w:hAnsi="Times New Roman"/>
          <w:sz w:val="24"/>
          <w:szCs w:val="24"/>
        </w:rPr>
        <w:t>and education</w:t>
      </w:r>
      <w:r w:rsidR="0061686E" w:rsidRPr="00786C33">
        <w:rPr>
          <w:rStyle w:val="FootnoteReference"/>
          <w:rFonts w:ascii="Times New Roman" w:hAnsi="Times New Roman"/>
          <w:sz w:val="24"/>
          <w:szCs w:val="24"/>
        </w:rPr>
        <w:footnoteReference w:id="3"/>
      </w:r>
      <w:r w:rsidR="002A7ED2" w:rsidRPr="00786C33">
        <w:rPr>
          <w:rFonts w:ascii="Times New Roman" w:hAnsi="Times New Roman"/>
          <w:sz w:val="24"/>
          <w:szCs w:val="24"/>
        </w:rPr>
        <w:t xml:space="preserve">. Based on the new edition of the </w:t>
      </w:r>
      <w:r w:rsidR="002A7ED2" w:rsidRPr="00786C33">
        <w:rPr>
          <w:rFonts w:ascii="Times New Roman" w:hAnsi="Times New Roman"/>
          <w:i/>
          <w:sz w:val="24"/>
          <w:szCs w:val="24"/>
        </w:rPr>
        <w:t xml:space="preserve">Law on Equal </w:t>
      </w:r>
      <w:r w:rsidR="00427819" w:rsidRPr="00786C33">
        <w:rPr>
          <w:rFonts w:ascii="Times New Roman" w:hAnsi="Times New Roman"/>
          <w:i/>
          <w:sz w:val="24"/>
          <w:szCs w:val="24"/>
        </w:rPr>
        <w:t>Treatment</w:t>
      </w:r>
      <w:r w:rsidR="002A7ED2" w:rsidRPr="00786C33">
        <w:rPr>
          <w:rFonts w:ascii="Times New Roman" w:hAnsi="Times New Roman"/>
          <w:sz w:val="24"/>
          <w:szCs w:val="24"/>
        </w:rPr>
        <w:t>,</w:t>
      </w:r>
      <w:r w:rsidR="002A7ED2" w:rsidRPr="00786C33">
        <w:rPr>
          <w:rStyle w:val="FootnoteReference"/>
          <w:rFonts w:ascii="Times New Roman" w:hAnsi="Times New Roman"/>
          <w:sz w:val="24"/>
          <w:szCs w:val="24"/>
        </w:rPr>
        <w:footnoteReference w:id="4"/>
      </w:r>
      <w:r w:rsidR="002A7ED2" w:rsidRPr="00786C33">
        <w:rPr>
          <w:rFonts w:ascii="Times New Roman" w:hAnsi="Times New Roman"/>
          <w:sz w:val="24"/>
          <w:szCs w:val="24"/>
        </w:rPr>
        <w:t xml:space="preserve"> which came into effect on </w:t>
      </w:r>
      <w:r w:rsidR="00E056DB" w:rsidRPr="00786C33">
        <w:rPr>
          <w:rFonts w:ascii="Times New Roman" w:hAnsi="Times New Roman"/>
          <w:sz w:val="24"/>
          <w:szCs w:val="24"/>
        </w:rPr>
        <w:t xml:space="preserve">1 </w:t>
      </w:r>
      <w:r w:rsidR="002A7ED2" w:rsidRPr="00786C33">
        <w:rPr>
          <w:rFonts w:ascii="Times New Roman" w:hAnsi="Times New Roman"/>
          <w:sz w:val="24"/>
          <w:szCs w:val="24"/>
        </w:rPr>
        <w:t>January 2017, the Office also performs preventive and educational activities and dissemination of equal opportunities (e.g. awareness raising campaigns). Therefore</w:t>
      </w:r>
      <w:r w:rsidR="00427819" w:rsidRPr="00786C33">
        <w:rPr>
          <w:rFonts w:ascii="Times New Roman" w:hAnsi="Times New Roman"/>
          <w:sz w:val="24"/>
          <w:szCs w:val="24"/>
        </w:rPr>
        <w:t>,</w:t>
      </w:r>
      <w:r w:rsidR="002A7ED2" w:rsidRPr="00786C33">
        <w:rPr>
          <w:rFonts w:ascii="Times New Roman" w:hAnsi="Times New Roman"/>
          <w:sz w:val="24"/>
          <w:szCs w:val="24"/>
        </w:rPr>
        <w:t xml:space="preserve"> the Office is a mixed-type</w:t>
      </w:r>
      <w:r w:rsidR="00B04F2E" w:rsidRPr="00786C33">
        <w:rPr>
          <w:rFonts w:ascii="Times New Roman" w:hAnsi="Times New Roman"/>
          <w:sz w:val="24"/>
          <w:szCs w:val="24"/>
        </w:rPr>
        <w:t xml:space="preserve"> national equality body</w:t>
      </w:r>
      <w:r w:rsidR="002A7ED2" w:rsidRPr="00786C33">
        <w:rPr>
          <w:rFonts w:ascii="Times New Roman" w:hAnsi="Times New Roman"/>
          <w:sz w:val="24"/>
          <w:szCs w:val="24"/>
        </w:rPr>
        <w:t xml:space="preserve">, </w:t>
      </w:r>
      <w:r w:rsidR="00ED0C52" w:rsidRPr="00786C33">
        <w:rPr>
          <w:rFonts w:ascii="Times New Roman" w:hAnsi="Times New Roman"/>
          <w:sz w:val="24"/>
          <w:szCs w:val="24"/>
        </w:rPr>
        <w:t>combining tribunal-</w:t>
      </w:r>
      <w:r w:rsidR="00ED0C52" w:rsidRPr="00786C33">
        <w:rPr>
          <w:rFonts w:ascii="Times New Roman" w:hAnsi="Times New Roman"/>
          <w:sz w:val="24"/>
          <w:szCs w:val="24"/>
        </w:rPr>
        <w:lastRenderedPageBreak/>
        <w:t>type and promotional-type functions.</w:t>
      </w:r>
    </w:p>
    <w:p w14:paraId="3D1899A1" w14:textId="77777777" w:rsidR="009E1185" w:rsidRPr="00786C33" w:rsidRDefault="00E056DB" w:rsidP="006A5BF0">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bookmarkStart w:id="3" w:name="_Hlk534891372"/>
      <w:r w:rsidRPr="00786C33">
        <w:rPr>
          <w:rFonts w:ascii="Times New Roman" w:hAnsi="Times New Roman"/>
          <w:sz w:val="24"/>
          <w:szCs w:val="24"/>
        </w:rPr>
        <w:t xml:space="preserve">In the </w:t>
      </w:r>
      <w:r w:rsidR="009E1185" w:rsidRPr="00786C33">
        <w:rPr>
          <w:rFonts w:ascii="Times New Roman" w:hAnsi="Times New Roman"/>
          <w:sz w:val="24"/>
          <w:szCs w:val="24"/>
        </w:rPr>
        <w:t>list of questions in relation to the sixth periodic report of Lithuania</w:t>
      </w:r>
      <w:r w:rsidR="009E1185" w:rsidRPr="00786C33">
        <w:rPr>
          <w:rStyle w:val="FootnoteReference"/>
          <w:rFonts w:ascii="Times New Roman" w:hAnsi="Times New Roman"/>
          <w:sz w:val="24"/>
          <w:szCs w:val="24"/>
        </w:rPr>
        <w:footnoteReference w:id="5"/>
      </w:r>
      <w:r w:rsidR="009E1185" w:rsidRPr="00786C33">
        <w:rPr>
          <w:rFonts w:ascii="Times New Roman" w:hAnsi="Times New Roman"/>
          <w:sz w:val="24"/>
          <w:szCs w:val="24"/>
        </w:rPr>
        <w:t xml:space="preserve"> the Committee on the Elimination of Discrimination against Women</w:t>
      </w:r>
      <w:r w:rsidR="0061686E" w:rsidRPr="00786C33">
        <w:rPr>
          <w:rFonts w:ascii="Times New Roman" w:hAnsi="Times New Roman"/>
          <w:sz w:val="24"/>
          <w:szCs w:val="24"/>
        </w:rPr>
        <w:t xml:space="preserve"> (hereinafter the Committee)</w:t>
      </w:r>
      <w:r w:rsidR="009E1185" w:rsidRPr="00786C33">
        <w:rPr>
          <w:rFonts w:ascii="Times New Roman" w:hAnsi="Times New Roman"/>
          <w:sz w:val="24"/>
          <w:szCs w:val="24"/>
        </w:rPr>
        <w:t xml:space="preserve"> tabled questions, which are directly interlinked with the mandate of the Office. On 3 July 2019 the Ministry of Social Security and Labor </w:t>
      </w:r>
      <w:r w:rsidR="0061686E" w:rsidRPr="00786C33">
        <w:rPr>
          <w:rFonts w:ascii="Times New Roman" w:hAnsi="Times New Roman"/>
          <w:sz w:val="24"/>
          <w:szCs w:val="24"/>
        </w:rPr>
        <w:t>officially approached the Office with the request to provide relevant information in response to the inquiries by the Committee</w:t>
      </w:r>
      <w:r w:rsidR="0061686E" w:rsidRPr="00786C33">
        <w:rPr>
          <w:rStyle w:val="FootnoteReference"/>
          <w:rFonts w:ascii="Times New Roman" w:hAnsi="Times New Roman"/>
          <w:sz w:val="24"/>
          <w:szCs w:val="24"/>
        </w:rPr>
        <w:footnoteReference w:id="6"/>
      </w:r>
      <w:r w:rsidR="0061686E" w:rsidRPr="00786C33">
        <w:rPr>
          <w:rFonts w:ascii="Times New Roman" w:hAnsi="Times New Roman"/>
          <w:sz w:val="24"/>
          <w:szCs w:val="24"/>
        </w:rPr>
        <w:t>. The relevant information was provided by the Office on 12 July 2019</w:t>
      </w:r>
      <w:r w:rsidR="0061686E" w:rsidRPr="00786C33">
        <w:rPr>
          <w:rStyle w:val="FootnoteReference"/>
          <w:rFonts w:ascii="Times New Roman" w:hAnsi="Times New Roman"/>
          <w:sz w:val="24"/>
          <w:szCs w:val="24"/>
        </w:rPr>
        <w:footnoteReference w:id="7"/>
      </w:r>
      <w:r w:rsidR="0061686E" w:rsidRPr="00786C33">
        <w:rPr>
          <w:rFonts w:ascii="Times New Roman" w:hAnsi="Times New Roman"/>
          <w:sz w:val="24"/>
          <w:szCs w:val="24"/>
        </w:rPr>
        <w:t xml:space="preserve">. After familiarizing itself with the Government’s responses to the list of issues, the Office would like to take an opportunity in providing additional information on the topics of </w:t>
      </w:r>
      <w:r w:rsidR="0061686E" w:rsidRPr="00786C33">
        <w:rPr>
          <w:rFonts w:ascii="Times New Roman" w:hAnsi="Times New Roman"/>
          <w:b/>
          <w:bCs/>
          <w:sz w:val="24"/>
          <w:szCs w:val="24"/>
        </w:rPr>
        <w:t xml:space="preserve">legislative and policy framework </w:t>
      </w:r>
      <w:r w:rsidR="0061686E" w:rsidRPr="00786C33">
        <w:rPr>
          <w:rFonts w:ascii="Times New Roman" w:hAnsi="Times New Roman"/>
          <w:sz w:val="24"/>
          <w:szCs w:val="24"/>
        </w:rPr>
        <w:t xml:space="preserve">(para. 3), </w:t>
      </w:r>
      <w:r w:rsidR="0061686E" w:rsidRPr="00786C33">
        <w:rPr>
          <w:rFonts w:ascii="Times New Roman" w:hAnsi="Times New Roman"/>
          <w:b/>
          <w:bCs/>
          <w:sz w:val="24"/>
          <w:szCs w:val="24"/>
        </w:rPr>
        <w:t xml:space="preserve">access to justice and legal complaint mechanisms </w:t>
      </w:r>
      <w:r w:rsidR="0061686E" w:rsidRPr="00786C33">
        <w:rPr>
          <w:rFonts w:ascii="Times New Roman" w:hAnsi="Times New Roman"/>
          <w:sz w:val="24"/>
          <w:szCs w:val="24"/>
        </w:rPr>
        <w:t xml:space="preserve">(para. 5), </w:t>
      </w:r>
      <w:r w:rsidR="0061686E" w:rsidRPr="00786C33">
        <w:rPr>
          <w:rFonts w:ascii="Times New Roman" w:hAnsi="Times New Roman"/>
          <w:b/>
          <w:bCs/>
          <w:sz w:val="24"/>
          <w:szCs w:val="24"/>
        </w:rPr>
        <w:t>national machinery for the advancement of women</w:t>
      </w:r>
      <w:r w:rsidR="0061686E" w:rsidRPr="00786C33">
        <w:rPr>
          <w:rFonts w:ascii="Times New Roman" w:hAnsi="Times New Roman"/>
          <w:sz w:val="24"/>
          <w:szCs w:val="24"/>
        </w:rPr>
        <w:t xml:space="preserve"> (para. 6), </w:t>
      </w:r>
      <w:r w:rsidR="0061686E" w:rsidRPr="00786C33">
        <w:rPr>
          <w:rFonts w:ascii="Times New Roman" w:hAnsi="Times New Roman"/>
          <w:b/>
          <w:bCs/>
          <w:sz w:val="24"/>
          <w:szCs w:val="24"/>
        </w:rPr>
        <w:t xml:space="preserve">discriminatory gender stereotypes and harmful practices </w:t>
      </w:r>
      <w:r w:rsidR="0061686E" w:rsidRPr="00786C33">
        <w:rPr>
          <w:rFonts w:ascii="Times New Roman" w:hAnsi="Times New Roman"/>
          <w:sz w:val="24"/>
          <w:szCs w:val="24"/>
        </w:rPr>
        <w:t>(para. 8)</w:t>
      </w:r>
      <w:r w:rsidR="0056147C" w:rsidRPr="00786C33">
        <w:rPr>
          <w:rFonts w:ascii="Times New Roman" w:hAnsi="Times New Roman"/>
          <w:sz w:val="24"/>
          <w:szCs w:val="24"/>
        </w:rPr>
        <w:t>,</w:t>
      </w:r>
      <w:r w:rsidR="0061686E" w:rsidRPr="00786C33">
        <w:rPr>
          <w:rFonts w:ascii="Times New Roman" w:hAnsi="Times New Roman"/>
          <w:sz w:val="24"/>
          <w:szCs w:val="24"/>
        </w:rPr>
        <w:t xml:space="preserve"> </w:t>
      </w:r>
      <w:r w:rsidR="0056147C" w:rsidRPr="00786C33">
        <w:rPr>
          <w:rFonts w:ascii="Times New Roman" w:hAnsi="Times New Roman"/>
          <w:b/>
          <w:bCs/>
          <w:sz w:val="24"/>
          <w:szCs w:val="24"/>
        </w:rPr>
        <w:t xml:space="preserve">gender-based violence against women </w:t>
      </w:r>
      <w:r w:rsidR="0056147C" w:rsidRPr="00786C33">
        <w:rPr>
          <w:rFonts w:ascii="Times New Roman" w:hAnsi="Times New Roman"/>
          <w:sz w:val="24"/>
          <w:szCs w:val="24"/>
        </w:rPr>
        <w:t xml:space="preserve">(para. 9) and </w:t>
      </w:r>
      <w:r w:rsidR="0056147C" w:rsidRPr="00786C33">
        <w:rPr>
          <w:rFonts w:ascii="Times New Roman" w:hAnsi="Times New Roman"/>
          <w:b/>
          <w:bCs/>
          <w:sz w:val="24"/>
          <w:szCs w:val="24"/>
        </w:rPr>
        <w:t>education</w:t>
      </w:r>
      <w:r w:rsidR="0056147C" w:rsidRPr="00786C33">
        <w:rPr>
          <w:rFonts w:ascii="Times New Roman" w:hAnsi="Times New Roman"/>
          <w:sz w:val="24"/>
          <w:szCs w:val="24"/>
        </w:rPr>
        <w:t xml:space="preserve"> (para. 15)</w:t>
      </w:r>
      <w:r w:rsidR="0061686E" w:rsidRPr="00786C33">
        <w:rPr>
          <w:rFonts w:ascii="Times New Roman" w:hAnsi="Times New Roman"/>
          <w:sz w:val="24"/>
          <w:szCs w:val="24"/>
        </w:rPr>
        <w:t>. This submission is developed in the spirit of the para. 7 of the Statement by the Committee on its relationship with national human rights institutions.</w:t>
      </w:r>
      <w:r w:rsidR="0061686E" w:rsidRPr="00786C33">
        <w:rPr>
          <w:rStyle w:val="FootnoteReference"/>
          <w:rFonts w:ascii="Times New Roman" w:hAnsi="Times New Roman"/>
          <w:sz w:val="24"/>
          <w:szCs w:val="24"/>
        </w:rPr>
        <w:footnoteReference w:id="8"/>
      </w:r>
      <w:r w:rsidR="0061686E" w:rsidRPr="00786C33">
        <w:rPr>
          <w:rFonts w:ascii="Times New Roman" w:hAnsi="Times New Roman"/>
          <w:sz w:val="24"/>
          <w:szCs w:val="24"/>
        </w:rPr>
        <w:t xml:space="preserve">  </w:t>
      </w:r>
    </w:p>
    <w:p w14:paraId="73CA7759" w14:textId="77777777" w:rsidR="00230E3F" w:rsidRPr="00786C33" w:rsidRDefault="00230E3F" w:rsidP="00230E3F">
      <w:pPr>
        <w:pStyle w:val="Heading1"/>
        <w:rPr>
          <w:rFonts w:ascii="Times New Roman" w:hAnsi="Times New Roman"/>
        </w:rPr>
      </w:pPr>
      <w:r w:rsidRPr="00786C33">
        <w:rPr>
          <w:rFonts w:ascii="Times New Roman" w:hAnsi="Times New Roman"/>
        </w:rPr>
        <w:t>Legislative and policy framework</w:t>
      </w:r>
    </w:p>
    <w:p w14:paraId="39518493" w14:textId="77777777" w:rsidR="00230E3F" w:rsidRPr="00786C33" w:rsidRDefault="00230E3F" w:rsidP="00230E3F">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 xml:space="preserve">The </w:t>
      </w:r>
      <w:r w:rsidRPr="00786C33">
        <w:rPr>
          <w:rFonts w:ascii="Times New Roman" w:hAnsi="Times New Roman"/>
          <w:i/>
          <w:sz w:val="24"/>
          <w:szCs w:val="24"/>
        </w:rPr>
        <w:t xml:space="preserve">National </w:t>
      </w:r>
      <w:proofErr w:type="spellStart"/>
      <w:r w:rsidRPr="00786C33">
        <w:rPr>
          <w:rFonts w:ascii="Times New Roman" w:hAnsi="Times New Roman"/>
          <w:i/>
          <w:sz w:val="24"/>
          <w:szCs w:val="24"/>
        </w:rPr>
        <w:t>Programme</w:t>
      </w:r>
      <w:proofErr w:type="spellEnd"/>
      <w:r w:rsidRPr="00786C33">
        <w:rPr>
          <w:rFonts w:ascii="Times New Roman" w:hAnsi="Times New Roman"/>
          <w:i/>
          <w:sz w:val="24"/>
          <w:szCs w:val="24"/>
        </w:rPr>
        <w:t xml:space="preserve"> of Equal Opportunities of Women and Men 2015-2021</w:t>
      </w:r>
      <w:r w:rsidRPr="00786C33">
        <w:rPr>
          <w:rStyle w:val="FootnoteReference"/>
          <w:rFonts w:ascii="Times New Roman" w:hAnsi="Times New Roman"/>
          <w:sz w:val="24"/>
          <w:szCs w:val="24"/>
        </w:rPr>
        <w:footnoteReference w:id="9"/>
      </w:r>
      <w:r w:rsidRPr="00786C33">
        <w:rPr>
          <w:rFonts w:ascii="Times New Roman" w:hAnsi="Times New Roman"/>
          <w:sz w:val="24"/>
          <w:szCs w:val="24"/>
        </w:rPr>
        <w:t xml:space="preserve"> (hereinafter the </w:t>
      </w:r>
      <w:proofErr w:type="spellStart"/>
      <w:r w:rsidRPr="00786C33">
        <w:rPr>
          <w:rFonts w:ascii="Times New Roman" w:hAnsi="Times New Roman"/>
          <w:sz w:val="24"/>
          <w:szCs w:val="24"/>
        </w:rPr>
        <w:t>Programme</w:t>
      </w:r>
      <w:proofErr w:type="spellEnd"/>
      <w:r w:rsidRPr="00786C33">
        <w:rPr>
          <w:rFonts w:ascii="Times New Roman" w:hAnsi="Times New Roman"/>
          <w:sz w:val="24"/>
          <w:szCs w:val="24"/>
        </w:rPr>
        <w:t xml:space="preserve">) and the </w:t>
      </w:r>
      <w:r w:rsidRPr="00786C33">
        <w:rPr>
          <w:rFonts w:ascii="Times New Roman" w:hAnsi="Times New Roman"/>
          <w:i/>
          <w:sz w:val="24"/>
          <w:szCs w:val="24"/>
        </w:rPr>
        <w:t xml:space="preserve">Action Plan for the Implementation of the </w:t>
      </w:r>
      <w:proofErr w:type="spellStart"/>
      <w:r w:rsidRPr="00786C33">
        <w:rPr>
          <w:rFonts w:ascii="Times New Roman" w:hAnsi="Times New Roman"/>
          <w:i/>
          <w:sz w:val="24"/>
          <w:szCs w:val="24"/>
        </w:rPr>
        <w:t>Programme</w:t>
      </w:r>
      <w:proofErr w:type="spellEnd"/>
      <w:r w:rsidRPr="00786C33">
        <w:rPr>
          <w:rFonts w:ascii="Times New Roman" w:hAnsi="Times New Roman"/>
          <w:i/>
          <w:sz w:val="24"/>
          <w:szCs w:val="24"/>
        </w:rPr>
        <w:t xml:space="preserve"> 2018-2021</w:t>
      </w:r>
      <w:r w:rsidRPr="00786C33">
        <w:rPr>
          <w:rStyle w:val="FootnoteReference"/>
          <w:rFonts w:ascii="Times New Roman" w:hAnsi="Times New Roman"/>
          <w:sz w:val="24"/>
          <w:szCs w:val="24"/>
        </w:rPr>
        <w:footnoteReference w:id="10"/>
      </w:r>
      <w:r w:rsidRPr="00786C33">
        <w:rPr>
          <w:rFonts w:ascii="Times New Roman" w:hAnsi="Times New Roman"/>
          <w:i/>
          <w:sz w:val="24"/>
          <w:szCs w:val="24"/>
        </w:rPr>
        <w:t xml:space="preserve"> </w:t>
      </w:r>
      <w:r w:rsidRPr="00786C33">
        <w:rPr>
          <w:rFonts w:ascii="Times New Roman" w:hAnsi="Times New Roman"/>
          <w:sz w:val="24"/>
          <w:szCs w:val="24"/>
        </w:rPr>
        <w:t xml:space="preserve">(hereinafter the Action Plan) are the key public policy documents for mainstreaming gender equality in all areas of life. The Commission on Equal Opportunities for Women and Men (hereinafter the Commission), consisting of the representatives from line ministries, the Department of Statistics and non-governmental organizations, is tasked with monitoring and </w:t>
      </w:r>
      <w:r w:rsidRPr="00786C33">
        <w:rPr>
          <w:rFonts w:ascii="Times New Roman" w:hAnsi="Times New Roman"/>
          <w:sz w:val="24"/>
          <w:szCs w:val="24"/>
        </w:rPr>
        <w:lastRenderedPageBreak/>
        <w:t xml:space="preserve">coordinating the implementation of the National </w:t>
      </w:r>
      <w:proofErr w:type="spellStart"/>
      <w:r w:rsidRPr="00786C33">
        <w:rPr>
          <w:rFonts w:ascii="Times New Roman" w:hAnsi="Times New Roman"/>
          <w:sz w:val="24"/>
          <w:szCs w:val="24"/>
        </w:rPr>
        <w:t>Programme</w:t>
      </w:r>
      <w:proofErr w:type="spellEnd"/>
      <w:r w:rsidR="004A3126" w:rsidRPr="00786C33">
        <w:rPr>
          <w:rStyle w:val="FootnoteReference"/>
          <w:rFonts w:ascii="Times New Roman" w:hAnsi="Times New Roman"/>
          <w:sz w:val="24"/>
          <w:szCs w:val="24"/>
        </w:rPr>
        <w:footnoteReference w:id="11"/>
      </w:r>
      <w:r w:rsidRPr="00786C33">
        <w:rPr>
          <w:rFonts w:ascii="Times New Roman" w:hAnsi="Times New Roman"/>
          <w:sz w:val="24"/>
          <w:szCs w:val="24"/>
        </w:rPr>
        <w:t>. On 12 December 2018 the Office officially published an independent review on the quality and effectiveness of the measures within the Action Plan.</w:t>
      </w:r>
      <w:r w:rsidRPr="00786C33">
        <w:rPr>
          <w:rStyle w:val="FootnoteReference"/>
          <w:rFonts w:ascii="Times New Roman" w:hAnsi="Times New Roman"/>
          <w:sz w:val="24"/>
          <w:szCs w:val="24"/>
        </w:rPr>
        <w:footnoteReference w:id="12"/>
      </w:r>
      <w:r w:rsidRPr="00786C33">
        <w:rPr>
          <w:rFonts w:ascii="Times New Roman" w:hAnsi="Times New Roman"/>
          <w:sz w:val="24"/>
          <w:szCs w:val="24"/>
        </w:rPr>
        <w:t xml:space="preserve"> The independent review revealed structural problems pertaining to the</w:t>
      </w:r>
      <w:r w:rsidRPr="00786C33">
        <w:rPr>
          <w:rFonts w:ascii="Times New Roman" w:hAnsi="Times New Roman"/>
          <w:b/>
          <w:sz w:val="24"/>
          <w:szCs w:val="24"/>
        </w:rPr>
        <w:t xml:space="preserve"> quality of measures </w:t>
      </w:r>
      <w:r w:rsidRPr="00786C33">
        <w:rPr>
          <w:rFonts w:ascii="Times New Roman" w:hAnsi="Times New Roman"/>
          <w:bCs/>
          <w:sz w:val="24"/>
          <w:szCs w:val="24"/>
        </w:rPr>
        <w:t>within the Action Plan</w:t>
      </w:r>
      <w:r w:rsidRPr="00786C33">
        <w:rPr>
          <w:rFonts w:ascii="Times New Roman" w:hAnsi="Times New Roman"/>
          <w:sz w:val="24"/>
          <w:szCs w:val="24"/>
        </w:rPr>
        <w:t xml:space="preserve">. </w:t>
      </w:r>
    </w:p>
    <w:p w14:paraId="0757BCF8" w14:textId="77777777" w:rsidR="00004DF0" w:rsidRPr="00786C33" w:rsidRDefault="00004DF0" w:rsidP="00004DF0">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The independent review by the Office revealed that the majority of the proposed measures within the Action Plan could be described as fragmented and abstract. For example, one of the objectives of the Action Plan is “to reduce sectoral and professional segregation in the labor market on the grounds of gender”</w:t>
      </w:r>
      <w:r w:rsidR="004A3126" w:rsidRPr="00786C33">
        <w:rPr>
          <w:rFonts w:ascii="Times New Roman" w:hAnsi="Times New Roman"/>
          <w:sz w:val="24"/>
          <w:szCs w:val="24"/>
        </w:rPr>
        <w:t xml:space="preserve"> (i.e. Objective No. 2)</w:t>
      </w:r>
      <w:r w:rsidRPr="00786C33">
        <w:rPr>
          <w:rFonts w:ascii="Times New Roman" w:hAnsi="Times New Roman"/>
          <w:sz w:val="24"/>
          <w:szCs w:val="24"/>
        </w:rPr>
        <w:t xml:space="preserve">. In total five measures are proposed for achieving this objective. Two of them focus on organizing international </w:t>
      </w:r>
      <w:r w:rsidR="004A3126" w:rsidRPr="00786C33">
        <w:rPr>
          <w:rFonts w:ascii="Times New Roman" w:hAnsi="Times New Roman"/>
          <w:sz w:val="24"/>
          <w:szCs w:val="24"/>
        </w:rPr>
        <w:t xml:space="preserve">discussions and </w:t>
      </w:r>
      <w:r w:rsidRPr="00786C33">
        <w:rPr>
          <w:rFonts w:ascii="Times New Roman" w:hAnsi="Times New Roman"/>
          <w:sz w:val="24"/>
          <w:szCs w:val="24"/>
        </w:rPr>
        <w:t xml:space="preserve">conferences, one – on raising awareness among employers on equal opportunities, one – on formulating recommendations for teachers on ensuring equal opportunities within the classes of technology in secondary education and one – on supporting initiatives for reducing segregation. It is apparent that the proposed measures lack concrete, non-accidental and strategically tailored ideas, which could result in factually reduced segregation. For example, it would be highly relevant to develop measure for attracting </w:t>
      </w:r>
      <w:r w:rsidR="004A3126" w:rsidRPr="00786C33">
        <w:rPr>
          <w:rFonts w:ascii="Times New Roman" w:hAnsi="Times New Roman"/>
          <w:sz w:val="24"/>
          <w:szCs w:val="24"/>
        </w:rPr>
        <w:t xml:space="preserve">girls and </w:t>
      </w:r>
      <w:r w:rsidRPr="00786C33">
        <w:rPr>
          <w:rFonts w:ascii="Times New Roman" w:hAnsi="Times New Roman"/>
          <w:sz w:val="24"/>
          <w:szCs w:val="24"/>
        </w:rPr>
        <w:t>women into the STEM sector</w:t>
      </w:r>
      <w:r w:rsidRPr="00786C33">
        <w:rPr>
          <w:rStyle w:val="FootnoteReference"/>
          <w:rFonts w:ascii="Times New Roman" w:hAnsi="Times New Roman"/>
          <w:sz w:val="24"/>
          <w:szCs w:val="24"/>
        </w:rPr>
        <w:footnoteReference w:id="13"/>
      </w:r>
      <w:r w:rsidRPr="00786C33">
        <w:rPr>
          <w:rFonts w:ascii="Times New Roman" w:hAnsi="Times New Roman"/>
          <w:sz w:val="24"/>
          <w:szCs w:val="24"/>
        </w:rPr>
        <w:t xml:space="preserve"> and</w:t>
      </w:r>
      <w:r w:rsidR="004A3126" w:rsidRPr="00786C33">
        <w:rPr>
          <w:rFonts w:ascii="Times New Roman" w:hAnsi="Times New Roman"/>
          <w:sz w:val="24"/>
          <w:szCs w:val="24"/>
        </w:rPr>
        <w:t xml:space="preserve"> boys and</w:t>
      </w:r>
      <w:r w:rsidRPr="00786C33">
        <w:rPr>
          <w:rFonts w:ascii="Times New Roman" w:hAnsi="Times New Roman"/>
          <w:sz w:val="24"/>
          <w:szCs w:val="24"/>
        </w:rPr>
        <w:t xml:space="preserve"> men into the EWR sector,</w:t>
      </w:r>
      <w:r w:rsidRPr="00786C33">
        <w:rPr>
          <w:rStyle w:val="FootnoteReference"/>
          <w:rFonts w:ascii="Times New Roman" w:hAnsi="Times New Roman"/>
          <w:sz w:val="24"/>
          <w:szCs w:val="24"/>
        </w:rPr>
        <w:footnoteReference w:id="14"/>
      </w:r>
      <w:r w:rsidRPr="00786C33">
        <w:rPr>
          <w:rFonts w:ascii="Times New Roman" w:hAnsi="Times New Roman"/>
          <w:sz w:val="24"/>
          <w:szCs w:val="24"/>
        </w:rPr>
        <w:t xml:space="preserve"> as these sectors are defined by gender segregation. However, no concrete measures were tailored to address this specific problem. </w:t>
      </w:r>
    </w:p>
    <w:p w14:paraId="4BF92719" w14:textId="77777777" w:rsidR="00004DF0" w:rsidRPr="00786C33" w:rsidRDefault="00004DF0" w:rsidP="00004DF0">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The planned impact of the majority of measures is neither ambitious nor significant. The proposed measures usually are not sufficient for implementing the identified objectives, as their limited volume is not capable of changing the current situation in a preferred direction. For example, one of the objectives of the Action Plan is “to promote motivation and capacities by women to participate in decision making, to create environment conductive for women careers”</w:t>
      </w:r>
      <w:r w:rsidR="004A3126" w:rsidRPr="00786C33">
        <w:rPr>
          <w:rFonts w:ascii="Times New Roman" w:hAnsi="Times New Roman"/>
          <w:sz w:val="24"/>
          <w:szCs w:val="24"/>
        </w:rPr>
        <w:t xml:space="preserve"> (i.e. Objective No. 4)</w:t>
      </w:r>
      <w:r w:rsidRPr="00786C33">
        <w:rPr>
          <w:rFonts w:ascii="Times New Roman" w:hAnsi="Times New Roman"/>
          <w:sz w:val="24"/>
          <w:szCs w:val="24"/>
        </w:rPr>
        <w:t xml:space="preserve">. In total 11 measures are proposed for achieving this objective, including events for entrepreneurship and leadership by women (Nos. 4.2-4.5, 4.7), research on situational analysis (No. 4.1), structural change on gender balance in community groups (No. 4.6), guidelines (No. 4.7) and group of measures for supporting “initiatives” on work and life balance (No. 4.8), participation of disabled women and girls in public life (No. 4.9) and involvement of men in activities on gender equality (No. 4.10). Despite the fact that there are multiple events foreseen within the framework of these measures, it is sought to attract only 200 participants in total, thus casting a reasonable doubt on </w:t>
      </w:r>
      <w:r w:rsidR="004A3126" w:rsidRPr="00786C33">
        <w:rPr>
          <w:rFonts w:ascii="Times New Roman" w:hAnsi="Times New Roman"/>
          <w:sz w:val="24"/>
          <w:szCs w:val="24"/>
        </w:rPr>
        <w:t>v</w:t>
      </w:r>
      <w:r w:rsidRPr="00786C33">
        <w:rPr>
          <w:rFonts w:ascii="Times New Roman" w:hAnsi="Times New Roman"/>
          <w:sz w:val="24"/>
          <w:szCs w:val="24"/>
        </w:rPr>
        <w:t>olume and effectiveness of the proposed measures. Furthermore, the Action Plan foresees the implementation of multiple “initiatives”, i.e. activities which are not specified in the Action Plan itself. In essence it means that the actual contents of these “initiatives” will depend on submitted proposals by interested stakeholders. In practice these measures could result in short-term projects, which lack sustainability and do not contribute to the strategic redress of gender inequalities.</w:t>
      </w:r>
    </w:p>
    <w:p w14:paraId="305DBBFB" w14:textId="77777777" w:rsidR="00DE0229" w:rsidRPr="00786C33" w:rsidRDefault="00004DF0" w:rsidP="00004DF0">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lastRenderedPageBreak/>
        <w:t>The line ministries, which are responsible for implementing the measures in the Action Plan, are not involved in the process of developing and implementing the Action Partner as equal partners. Three objectives of the Action Plan, namely “to promote higher education among men”</w:t>
      </w:r>
      <w:r w:rsidR="00DE0229" w:rsidRPr="00786C33">
        <w:rPr>
          <w:rFonts w:ascii="Times New Roman" w:hAnsi="Times New Roman"/>
          <w:sz w:val="24"/>
          <w:szCs w:val="24"/>
        </w:rPr>
        <w:t xml:space="preserve"> (i.e. Objective No. 10)</w:t>
      </w:r>
      <w:r w:rsidRPr="00786C33">
        <w:rPr>
          <w:rFonts w:ascii="Times New Roman" w:hAnsi="Times New Roman"/>
          <w:sz w:val="24"/>
          <w:szCs w:val="24"/>
        </w:rPr>
        <w:t>, “to conduct awareness raising on reproductive health”</w:t>
      </w:r>
      <w:r w:rsidR="00DE0229" w:rsidRPr="00786C33">
        <w:rPr>
          <w:rFonts w:ascii="Times New Roman" w:hAnsi="Times New Roman"/>
          <w:sz w:val="24"/>
          <w:szCs w:val="24"/>
        </w:rPr>
        <w:t xml:space="preserve"> (i.e. Objective No. 13) </w:t>
      </w:r>
      <w:r w:rsidRPr="00786C33">
        <w:rPr>
          <w:rFonts w:ascii="Times New Roman" w:hAnsi="Times New Roman"/>
          <w:sz w:val="24"/>
          <w:szCs w:val="24"/>
        </w:rPr>
        <w:t xml:space="preserve"> and “to conduct awareness raising among rural women on legal remedies, including legal aid”</w:t>
      </w:r>
      <w:r w:rsidR="00DE0229" w:rsidRPr="00786C33">
        <w:rPr>
          <w:rFonts w:ascii="Times New Roman" w:hAnsi="Times New Roman"/>
          <w:sz w:val="24"/>
          <w:szCs w:val="24"/>
        </w:rPr>
        <w:t xml:space="preserve"> (i.e. Objective No. 19) </w:t>
      </w:r>
      <w:r w:rsidRPr="00786C33">
        <w:rPr>
          <w:rFonts w:ascii="Times New Roman" w:hAnsi="Times New Roman"/>
          <w:sz w:val="24"/>
          <w:szCs w:val="24"/>
        </w:rPr>
        <w:t>, are not accompanied by any concrete measures, because the Ministry of Science and Education, the Ministry of Health and the Ministry of Justice did not propose them. The same ministries, accompanied by the Ministry of Culture, do not foresee any trainings on gender equality for their staff, despite the fact that their functions touch upon the core aspects of inequalities between women and men.</w:t>
      </w:r>
    </w:p>
    <w:p w14:paraId="1701541E" w14:textId="77777777" w:rsidR="00004DF0" w:rsidRPr="00786C33" w:rsidRDefault="00DE0229" w:rsidP="00004DF0">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In its response to the list of issues, the Government indicate</w:t>
      </w:r>
      <w:r w:rsidR="00A514E6" w:rsidRPr="00786C33">
        <w:rPr>
          <w:rFonts w:ascii="Times New Roman" w:hAnsi="Times New Roman"/>
          <w:sz w:val="24"/>
          <w:szCs w:val="24"/>
        </w:rPr>
        <w:t>d</w:t>
      </w:r>
      <w:r w:rsidRPr="00786C33">
        <w:rPr>
          <w:rFonts w:ascii="Times New Roman" w:hAnsi="Times New Roman"/>
          <w:sz w:val="24"/>
          <w:szCs w:val="24"/>
        </w:rPr>
        <w:t xml:space="preserve"> that funding for the implementation of the measures </w:t>
      </w:r>
      <w:r w:rsidR="00A92AC8" w:rsidRPr="00786C33">
        <w:rPr>
          <w:rFonts w:ascii="Times New Roman" w:hAnsi="Times New Roman"/>
          <w:sz w:val="24"/>
          <w:szCs w:val="24"/>
        </w:rPr>
        <w:t>within</w:t>
      </w:r>
      <w:r w:rsidRPr="00786C33">
        <w:rPr>
          <w:rFonts w:ascii="Times New Roman" w:hAnsi="Times New Roman"/>
          <w:sz w:val="24"/>
          <w:szCs w:val="24"/>
        </w:rPr>
        <w:t xml:space="preserve"> the Action Plan is provided through the total appropriations authorized for the budgetary institutions and authorities of the Republic of Lithuania responsible for the implementation of measures</w:t>
      </w:r>
      <w:r w:rsidR="00A514E6" w:rsidRPr="00786C33">
        <w:rPr>
          <w:rFonts w:ascii="Times New Roman" w:hAnsi="Times New Roman"/>
          <w:sz w:val="24"/>
          <w:szCs w:val="24"/>
        </w:rPr>
        <w:t xml:space="preserve"> (para. 3)</w:t>
      </w:r>
      <w:r w:rsidRPr="00786C33">
        <w:rPr>
          <w:rFonts w:ascii="Times New Roman" w:hAnsi="Times New Roman"/>
          <w:sz w:val="24"/>
          <w:szCs w:val="24"/>
        </w:rPr>
        <w:t>. To put it in other words, there are no specific</w:t>
      </w:r>
      <w:r w:rsidR="00A514E6" w:rsidRPr="00786C33">
        <w:rPr>
          <w:rFonts w:ascii="Times New Roman" w:hAnsi="Times New Roman"/>
          <w:sz w:val="24"/>
          <w:szCs w:val="24"/>
        </w:rPr>
        <w:t xml:space="preserve"> (targeted)</w:t>
      </w:r>
      <w:r w:rsidRPr="00786C33">
        <w:rPr>
          <w:rFonts w:ascii="Times New Roman" w:hAnsi="Times New Roman"/>
          <w:sz w:val="24"/>
          <w:szCs w:val="24"/>
        </w:rPr>
        <w:t xml:space="preserve"> financial resources allocated for the implementation of the measures </w:t>
      </w:r>
      <w:r w:rsidR="00A92AC8" w:rsidRPr="00786C33">
        <w:rPr>
          <w:rFonts w:ascii="Times New Roman" w:hAnsi="Times New Roman"/>
          <w:sz w:val="24"/>
          <w:szCs w:val="24"/>
        </w:rPr>
        <w:t>within</w:t>
      </w:r>
      <w:r w:rsidRPr="00786C33">
        <w:rPr>
          <w:rFonts w:ascii="Times New Roman" w:hAnsi="Times New Roman"/>
          <w:sz w:val="24"/>
          <w:szCs w:val="24"/>
        </w:rPr>
        <w:t xml:space="preserve"> the Action Plan. The implementing stakeholders (i.e. line ministries and State institutions) are expected to implement the listed measures from their annual appropriations. As a result, the implement</w:t>
      </w:r>
      <w:r w:rsidR="00A514E6" w:rsidRPr="00786C33">
        <w:rPr>
          <w:rFonts w:ascii="Times New Roman" w:hAnsi="Times New Roman"/>
          <w:sz w:val="24"/>
          <w:szCs w:val="24"/>
        </w:rPr>
        <w:t>ing</w:t>
      </w:r>
      <w:r w:rsidRPr="00786C33">
        <w:rPr>
          <w:rFonts w:ascii="Times New Roman" w:hAnsi="Times New Roman"/>
          <w:sz w:val="24"/>
          <w:szCs w:val="24"/>
        </w:rPr>
        <w:t xml:space="preserve"> stakeholders are not motivated to propose strategically tailored measures for the Action Plan</w:t>
      </w:r>
      <w:r w:rsidR="00A514E6" w:rsidRPr="00786C33">
        <w:rPr>
          <w:rFonts w:ascii="Times New Roman" w:hAnsi="Times New Roman"/>
          <w:sz w:val="24"/>
          <w:szCs w:val="24"/>
        </w:rPr>
        <w:t xml:space="preserve"> and usually limit themselves to proposing measures, which will be implemented regardless of their inclusion within the Action Plan. </w:t>
      </w:r>
      <w:r w:rsidRPr="00786C33">
        <w:rPr>
          <w:rFonts w:ascii="Times New Roman" w:hAnsi="Times New Roman"/>
          <w:sz w:val="24"/>
          <w:szCs w:val="24"/>
        </w:rPr>
        <w:t xml:space="preserve"> </w:t>
      </w:r>
      <w:r w:rsidR="00004DF0" w:rsidRPr="00786C33">
        <w:rPr>
          <w:rFonts w:ascii="Times New Roman" w:hAnsi="Times New Roman"/>
          <w:sz w:val="24"/>
          <w:szCs w:val="24"/>
        </w:rPr>
        <w:t xml:space="preserve"> </w:t>
      </w:r>
    </w:p>
    <w:bookmarkEnd w:id="3"/>
    <w:p w14:paraId="2904C4C3" w14:textId="77777777" w:rsidR="00230E3F" w:rsidRPr="00786C33" w:rsidRDefault="00230E3F" w:rsidP="00230E3F">
      <w:pPr>
        <w:pStyle w:val="Heading1"/>
        <w:rPr>
          <w:rFonts w:ascii="Times New Roman" w:hAnsi="Times New Roman"/>
        </w:rPr>
      </w:pPr>
      <w:r w:rsidRPr="00786C33">
        <w:rPr>
          <w:rFonts w:ascii="Times New Roman" w:hAnsi="Times New Roman"/>
        </w:rPr>
        <w:t xml:space="preserve">access to justice and legal complaint mechanisms </w:t>
      </w:r>
    </w:p>
    <w:p w14:paraId="36FD39B8" w14:textId="77777777" w:rsidR="00331576" w:rsidRPr="00786C33" w:rsidRDefault="001318F8" w:rsidP="00393A8C">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In the light of the Committee’s previous concluding observations (CEDAW/C/LTU/CO/5, para</w:t>
      </w:r>
      <w:r w:rsidR="00602827" w:rsidRPr="00786C33">
        <w:rPr>
          <w:rFonts w:ascii="Times New Roman" w:hAnsi="Times New Roman"/>
          <w:sz w:val="24"/>
          <w:szCs w:val="24"/>
        </w:rPr>
        <w:t>.</w:t>
      </w:r>
      <w:r w:rsidRPr="00786C33">
        <w:rPr>
          <w:rFonts w:ascii="Times New Roman" w:hAnsi="Times New Roman"/>
          <w:sz w:val="24"/>
          <w:szCs w:val="24"/>
        </w:rPr>
        <w:t xml:space="preserve"> 13 (d))</w:t>
      </w:r>
      <w:r w:rsidRPr="00786C33">
        <w:rPr>
          <w:rStyle w:val="FootnoteReference"/>
          <w:rFonts w:ascii="Times New Roman" w:hAnsi="Times New Roman"/>
          <w:sz w:val="24"/>
          <w:szCs w:val="24"/>
        </w:rPr>
        <w:footnoteReference w:id="15"/>
      </w:r>
      <w:r w:rsidRPr="00786C33">
        <w:rPr>
          <w:rFonts w:ascii="Times New Roman" w:hAnsi="Times New Roman"/>
          <w:sz w:val="24"/>
          <w:szCs w:val="24"/>
        </w:rPr>
        <w:t>, the Government was requested by the Committee to provide updated information on the financial and human resources of the Office and indicate whether the State party envisages establishing decentralized branches at the regional and local levels to facilitate access by women to a complaint mechanism</w:t>
      </w:r>
      <w:r w:rsidRPr="00786C33">
        <w:rPr>
          <w:rStyle w:val="FootnoteReference"/>
          <w:rFonts w:ascii="Times New Roman" w:hAnsi="Times New Roman"/>
          <w:sz w:val="24"/>
          <w:szCs w:val="24"/>
        </w:rPr>
        <w:footnoteReference w:id="16"/>
      </w:r>
      <w:r w:rsidRPr="00786C33">
        <w:rPr>
          <w:rFonts w:ascii="Times New Roman" w:hAnsi="Times New Roman"/>
          <w:sz w:val="24"/>
          <w:szCs w:val="24"/>
        </w:rPr>
        <w:t>. In 2017 the mandate of the Office was significantly extended through the corresponding legal amendment</w:t>
      </w:r>
      <w:r w:rsidRPr="00786C33">
        <w:rPr>
          <w:rStyle w:val="FootnoteReference"/>
          <w:rFonts w:ascii="Times New Roman" w:hAnsi="Times New Roman"/>
          <w:sz w:val="24"/>
          <w:szCs w:val="24"/>
        </w:rPr>
        <w:footnoteReference w:id="17"/>
      </w:r>
      <w:r w:rsidRPr="00786C33">
        <w:rPr>
          <w:rFonts w:ascii="Times New Roman" w:hAnsi="Times New Roman"/>
          <w:sz w:val="24"/>
          <w:szCs w:val="24"/>
        </w:rPr>
        <w:t xml:space="preserve"> with the aim of introducing preventive and educational activities and dissemination of equal opportunities as one of the functions of the Equal Opportunities Ombudsperson.</w:t>
      </w:r>
      <w:r w:rsidR="00331576" w:rsidRPr="00786C33">
        <w:rPr>
          <w:rFonts w:ascii="Times New Roman" w:hAnsi="Times New Roman"/>
          <w:sz w:val="24"/>
          <w:szCs w:val="24"/>
        </w:rPr>
        <w:t xml:space="preserve"> </w:t>
      </w:r>
      <w:r w:rsidRPr="00786C33">
        <w:rPr>
          <w:rFonts w:ascii="Times New Roman" w:hAnsi="Times New Roman"/>
          <w:sz w:val="24"/>
          <w:szCs w:val="24"/>
        </w:rPr>
        <w:t xml:space="preserve">Unfortunately, in the period between 2017 and 2019 the Office did not receive any additional funding </w:t>
      </w:r>
      <w:r w:rsidR="00520219" w:rsidRPr="00786C33">
        <w:rPr>
          <w:rFonts w:ascii="Times New Roman" w:hAnsi="Times New Roman"/>
          <w:sz w:val="24"/>
          <w:szCs w:val="24"/>
        </w:rPr>
        <w:t xml:space="preserve">necessary </w:t>
      </w:r>
      <w:r w:rsidRPr="00786C33">
        <w:rPr>
          <w:rFonts w:ascii="Times New Roman" w:hAnsi="Times New Roman"/>
          <w:sz w:val="24"/>
          <w:szCs w:val="24"/>
        </w:rPr>
        <w:t>for its preventive and educational activities.</w:t>
      </w:r>
    </w:p>
    <w:p w14:paraId="50DB913D" w14:textId="064616A8" w:rsidR="0077110C" w:rsidRPr="00786C33" w:rsidRDefault="00331576" w:rsidP="0077110C">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In 2018 the Office received public funding of EUR 507’000. In the course of the budgetary year, the Office used 99.9% of this funding (53,6% were used for staff costs and 20,7% were used for cofounding externally funded projects</w:t>
      </w:r>
      <w:r w:rsidRPr="00786C33">
        <w:rPr>
          <w:rStyle w:val="FootnoteReference"/>
          <w:rFonts w:ascii="Times New Roman" w:hAnsi="Times New Roman"/>
          <w:sz w:val="24"/>
          <w:szCs w:val="24"/>
        </w:rPr>
        <w:footnoteReference w:id="18"/>
      </w:r>
      <w:r w:rsidRPr="00786C33">
        <w:rPr>
          <w:rFonts w:ascii="Times New Roman" w:hAnsi="Times New Roman"/>
          <w:sz w:val="24"/>
          <w:szCs w:val="24"/>
        </w:rPr>
        <w:t xml:space="preserve">). In addition to the budgetary funding, the project funding of EUR 150,600 was received from the </w:t>
      </w:r>
      <w:proofErr w:type="spellStart"/>
      <w:r w:rsidRPr="00786C33">
        <w:rPr>
          <w:rFonts w:ascii="Times New Roman" w:hAnsi="Times New Roman"/>
          <w:sz w:val="24"/>
          <w:szCs w:val="24"/>
        </w:rPr>
        <w:t>programmes</w:t>
      </w:r>
      <w:proofErr w:type="spellEnd"/>
      <w:r w:rsidRPr="00786C33">
        <w:rPr>
          <w:rFonts w:ascii="Times New Roman" w:hAnsi="Times New Roman"/>
          <w:sz w:val="24"/>
          <w:szCs w:val="24"/>
        </w:rPr>
        <w:t xml:space="preserve"> run by the European Commission and EUR 266,800 from the European Social Fund. It has to be emphasized that all preventive and educational activities on the grounds of, </w:t>
      </w:r>
      <w:r w:rsidRPr="00786C33">
        <w:rPr>
          <w:rFonts w:ascii="Times New Roman" w:hAnsi="Times New Roman"/>
          <w:i/>
          <w:sz w:val="24"/>
          <w:szCs w:val="24"/>
        </w:rPr>
        <w:t>inter alia</w:t>
      </w:r>
      <w:r w:rsidRPr="00786C33">
        <w:rPr>
          <w:rFonts w:ascii="Times New Roman" w:hAnsi="Times New Roman"/>
          <w:sz w:val="24"/>
          <w:szCs w:val="24"/>
        </w:rPr>
        <w:t>, gender were funded by the project funding, while the Government’s contribution amounted to 20,7% in the form of the cofounding. The Office identifies, develops and submits applications for the project funding on its own initiative, so that it</w:t>
      </w:r>
      <w:r w:rsidR="00A92AC8" w:rsidRPr="00786C33">
        <w:rPr>
          <w:rFonts w:ascii="Times New Roman" w:hAnsi="Times New Roman"/>
          <w:sz w:val="24"/>
          <w:szCs w:val="24"/>
        </w:rPr>
        <w:t xml:space="preserve"> is capable of</w:t>
      </w:r>
      <w:r w:rsidRPr="00786C33">
        <w:rPr>
          <w:rFonts w:ascii="Times New Roman" w:hAnsi="Times New Roman"/>
          <w:sz w:val="24"/>
          <w:szCs w:val="24"/>
        </w:rPr>
        <w:t xml:space="preserve"> fulfill</w:t>
      </w:r>
      <w:r w:rsidR="00A92AC8" w:rsidRPr="00786C33">
        <w:rPr>
          <w:rFonts w:ascii="Times New Roman" w:hAnsi="Times New Roman"/>
          <w:sz w:val="24"/>
          <w:szCs w:val="24"/>
        </w:rPr>
        <w:t>ing</w:t>
      </w:r>
      <w:r w:rsidRPr="00786C33">
        <w:rPr>
          <w:rFonts w:ascii="Times New Roman" w:hAnsi="Times New Roman"/>
          <w:sz w:val="24"/>
          <w:szCs w:val="24"/>
        </w:rPr>
        <w:t xml:space="preserve"> its mandate to perform preventive and </w:t>
      </w:r>
      <w:r w:rsidRPr="00786C33">
        <w:rPr>
          <w:rFonts w:ascii="Times New Roman" w:hAnsi="Times New Roman"/>
          <w:sz w:val="24"/>
          <w:szCs w:val="24"/>
        </w:rPr>
        <w:lastRenderedPageBreak/>
        <w:t xml:space="preserve">educational activities and dissemination of equal opportunities. The project funding allows the Office to cover such important areas as gender-based violence, LGBT+ rights, hate speech, stereotypes in educational curriculum and work and life balance. </w:t>
      </w:r>
      <w:r w:rsidR="0077110C" w:rsidRPr="00786C33">
        <w:rPr>
          <w:rFonts w:ascii="Times New Roman" w:hAnsi="Times New Roman"/>
          <w:sz w:val="24"/>
          <w:szCs w:val="24"/>
        </w:rPr>
        <w:t xml:space="preserve">Unfortunately, this funding practice cannot ensure and guarantee </w:t>
      </w:r>
      <w:r w:rsidR="00B5389D" w:rsidRPr="00786C33">
        <w:rPr>
          <w:rFonts w:ascii="Times New Roman" w:hAnsi="Times New Roman"/>
          <w:sz w:val="24"/>
          <w:szCs w:val="24"/>
        </w:rPr>
        <w:t>sustainable</w:t>
      </w:r>
      <w:r w:rsidR="0077110C" w:rsidRPr="00786C33">
        <w:rPr>
          <w:rFonts w:ascii="Times New Roman" w:hAnsi="Times New Roman"/>
          <w:sz w:val="24"/>
          <w:szCs w:val="24"/>
        </w:rPr>
        <w:t xml:space="preserve"> and strategic</w:t>
      </w:r>
      <w:r w:rsidR="00094EA4" w:rsidRPr="00786C33">
        <w:rPr>
          <w:rFonts w:ascii="Times New Roman" w:hAnsi="Times New Roman"/>
          <w:sz w:val="24"/>
          <w:szCs w:val="24"/>
        </w:rPr>
        <w:t xml:space="preserve"> implementation of</w:t>
      </w:r>
      <w:r w:rsidR="0077110C" w:rsidRPr="00786C33">
        <w:rPr>
          <w:rFonts w:ascii="Times New Roman" w:hAnsi="Times New Roman"/>
          <w:sz w:val="24"/>
          <w:szCs w:val="24"/>
        </w:rPr>
        <w:t xml:space="preserve"> preventive</w:t>
      </w:r>
      <w:r w:rsidR="00B5389D" w:rsidRPr="00786C33">
        <w:rPr>
          <w:rFonts w:ascii="Times New Roman" w:hAnsi="Times New Roman"/>
          <w:sz w:val="24"/>
          <w:szCs w:val="24"/>
        </w:rPr>
        <w:t xml:space="preserve"> and educational activities</w:t>
      </w:r>
      <w:r w:rsidR="00F107D9" w:rsidRPr="00786C33">
        <w:rPr>
          <w:rFonts w:ascii="Times New Roman" w:hAnsi="Times New Roman"/>
          <w:sz w:val="24"/>
          <w:szCs w:val="24"/>
        </w:rPr>
        <w:t xml:space="preserve">, as the project funding is inherently limited in its </w:t>
      </w:r>
      <w:r w:rsidR="00E10249" w:rsidRPr="00786C33">
        <w:rPr>
          <w:rFonts w:ascii="Times New Roman" w:hAnsi="Times New Roman"/>
          <w:sz w:val="24"/>
          <w:szCs w:val="24"/>
        </w:rPr>
        <w:t xml:space="preserve">duration and priorities. </w:t>
      </w:r>
      <w:r w:rsidR="00F107D9" w:rsidRPr="00786C33">
        <w:rPr>
          <w:rFonts w:ascii="Times New Roman" w:hAnsi="Times New Roman"/>
          <w:sz w:val="24"/>
          <w:szCs w:val="24"/>
        </w:rPr>
        <w:t xml:space="preserve"> </w:t>
      </w:r>
    </w:p>
    <w:p w14:paraId="1C1BF269" w14:textId="0EC11A03" w:rsidR="00455D5D" w:rsidRPr="00786C33" w:rsidRDefault="00331576" w:rsidP="00455D5D">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 xml:space="preserve">In 2019 the Office received public funding of EUR 407’000, despite the fact that well-grounded and justified funding needs articulated in the strategic plan of the Office amounted to EUR 598’000. The difference in EUR 194’000 first and foremost will negatively impact the capacity of the Office to perform preventive and educational activities and dissemination of equal opportunities on the grounds of, </w:t>
      </w:r>
      <w:r w:rsidRPr="00786C33">
        <w:rPr>
          <w:rFonts w:ascii="Times New Roman" w:hAnsi="Times New Roman"/>
          <w:i/>
          <w:iCs/>
          <w:sz w:val="24"/>
          <w:szCs w:val="24"/>
        </w:rPr>
        <w:t>inter alia</w:t>
      </w:r>
      <w:r w:rsidRPr="00786C33">
        <w:rPr>
          <w:rFonts w:ascii="Times New Roman" w:hAnsi="Times New Roman"/>
          <w:sz w:val="24"/>
          <w:szCs w:val="24"/>
        </w:rPr>
        <w:t xml:space="preserve">, gender. </w:t>
      </w:r>
      <w:r w:rsidR="00005B87" w:rsidRPr="00786C33">
        <w:rPr>
          <w:rFonts w:ascii="Times New Roman" w:hAnsi="Times New Roman"/>
          <w:sz w:val="24"/>
          <w:szCs w:val="24"/>
        </w:rPr>
        <w:t>In its response to the list of issues the Government rightfully pointed out</w:t>
      </w:r>
      <w:r w:rsidR="00025123" w:rsidRPr="00786C33">
        <w:rPr>
          <w:rFonts w:ascii="Times New Roman" w:hAnsi="Times New Roman"/>
          <w:sz w:val="24"/>
          <w:szCs w:val="24"/>
        </w:rPr>
        <w:t xml:space="preserve"> (para. 19)</w:t>
      </w:r>
      <w:r w:rsidR="00005B87" w:rsidRPr="00786C33">
        <w:rPr>
          <w:rFonts w:ascii="Times New Roman" w:hAnsi="Times New Roman"/>
          <w:sz w:val="24"/>
          <w:szCs w:val="24"/>
        </w:rPr>
        <w:t xml:space="preserve"> that on 1 July 2019 the amendments to the </w:t>
      </w:r>
      <w:r w:rsidR="00005B87" w:rsidRPr="00786C33">
        <w:rPr>
          <w:rFonts w:ascii="Times New Roman" w:hAnsi="Times New Roman"/>
          <w:i/>
          <w:iCs/>
          <w:sz w:val="24"/>
          <w:szCs w:val="24"/>
        </w:rPr>
        <w:t>Law on Equal Treatment</w:t>
      </w:r>
      <w:r w:rsidR="00005B87" w:rsidRPr="00786C33">
        <w:rPr>
          <w:rFonts w:ascii="Times New Roman" w:hAnsi="Times New Roman"/>
          <w:sz w:val="24"/>
          <w:szCs w:val="24"/>
        </w:rPr>
        <w:t>, thereby the Equal Opportunities Ombudsperson was made directly responsible for monitoring the implementation of the UN Convention on the Rights of Persons with Disabilities (CRPD)</w:t>
      </w:r>
      <w:r w:rsidR="00025123" w:rsidRPr="00786C33">
        <w:rPr>
          <w:rFonts w:ascii="Times New Roman" w:hAnsi="Times New Roman"/>
          <w:sz w:val="24"/>
          <w:szCs w:val="24"/>
        </w:rPr>
        <w:t>, came into effect</w:t>
      </w:r>
      <w:r w:rsidR="00025123" w:rsidRPr="00786C33">
        <w:rPr>
          <w:rStyle w:val="FootnoteReference"/>
          <w:rFonts w:ascii="Times New Roman" w:hAnsi="Times New Roman"/>
          <w:sz w:val="24"/>
          <w:szCs w:val="24"/>
        </w:rPr>
        <w:footnoteReference w:id="19"/>
      </w:r>
      <w:r w:rsidR="001B3ED9" w:rsidRPr="00786C33">
        <w:rPr>
          <w:rFonts w:ascii="Times New Roman" w:hAnsi="Times New Roman"/>
          <w:sz w:val="24"/>
          <w:szCs w:val="24"/>
        </w:rPr>
        <w:t>. In order to perform this new function, the Equal Opportunities Ombudsperson established the Commission for the Monitoring on the Rights of Persons with Disabilities</w:t>
      </w:r>
      <w:r w:rsidR="001B3ED9" w:rsidRPr="00786C33">
        <w:rPr>
          <w:rStyle w:val="FootnoteReference"/>
          <w:rFonts w:ascii="Times New Roman" w:hAnsi="Times New Roman"/>
          <w:sz w:val="24"/>
          <w:szCs w:val="24"/>
        </w:rPr>
        <w:footnoteReference w:id="20"/>
      </w:r>
      <w:r w:rsidR="001B3ED9" w:rsidRPr="00786C33">
        <w:rPr>
          <w:rFonts w:ascii="Times New Roman" w:hAnsi="Times New Roman"/>
          <w:sz w:val="24"/>
          <w:szCs w:val="24"/>
        </w:rPr>
        <w:t>.</w:t>
      </w:r>
      <w:r w:rsidR="00025123" w:rsidRPr="00786C33">
        <w:rPr>
          <w:rFonts w:ascii="Times New Roman" w:hAnsi="Times New Roman"/>
          <w:sz w:val="24"/>
          <w:szCs w:val="24"/>
        </w:rPr>
        <w:t xml:space="preserve"> The annual funding needs for ensuring operational capacity of the Commission amount to EUR </w:t>
      </w:r>
      <w:r w:rsidR="00003405">
        <w:rPr>
          <w:rFonts w:ascii="Times New Roman" w:hAnsi="Times New Roman"/>
          <w:sz w:val="24"/>
          <w:szCs w:val="24"/>
        </w:rPr>
        <w:t>60,</w:t>
      </w:r>
      <w:r w:rsidR="00025123" w:rsidRPr="00786C33">
        <w:rPr>
          <w:rFonts w:ascii="Times New Roman" w:hAnsi="Times New Roman"/>
          <w:sz w:val="24"/>
          <w:szCs w:val="24"/>
        </w:rPr>
        <w:t>000</w:t>
      </w:r>
      <w:r w:rsidR="00025123" w:rsidRPr="00786C33">
        <w:rPr>
          <w:rStyle w:val="FootnoteReference"/>
          <w:rFonts w:ascii="Times New Roman" w:hAnsi="Times New Roman"/>
          <w:sz w:val="24"/>
          <w:szCs w:val="24"/>
        </w:rPr>
        <w:footnoteReference w:id="21"/>
      </w:r>
      <w:r w:rsidR="00025123" w:rsidRPr="00786C33">
        <w:rPr>
          <w:rFonts w:ascii="Times New Roman" w:hAnsi="Times New Roman"/>
          <w:sz w:val="24"/>
          <w:szCs w:val="24"/>
        </w:rPr>
        <w:t xml:space="preserve">. In 2019 the Office received the appropriation of </w:t>
      </w:r>
      <w:r w:rsidR="00455D5D" w:rsidRPr="00786C33">
        <w:rPr>
          <w:rFonts w:ascii="Times New Roman" w:hAnsi="Times New Roman"/>
          <w:sz w:val="24"/>
          <w:szCs w:val="24"/>
        </w:rPr>
        <w:t xml:space="preserve">app. </w:t>
      </w:r>
      <w:r w:rsidR="00025123" w:rsidRPr="00786C33">
        <w:rPr>
          <w:rFonts w:ascii="Times New Roman" w:hAnsi="Times New Roman"/>
          <w:sz w:val="24"/>
          <w:szCs w:val="24"/>
        </w:rPr>
        <w:t xml:space="preserve">EUR 18,000 to facilitate the activities of the Commission. </w:t>
      </w:r>
    </w:p>
    <w:p w14:paraId="772F59EB" w14:textId="027D59BF" w:rsidR="00230E3F" w:rsidRPr="00786C33" w:rsidRDefault="00455D5D" w:rsidP="00455D5D">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Given the limited funding received b</w:t>
      </w:r>
      <w:r w:rsidR="00F16993">
        <w:rPr>
          <w:rFonts w:ascii="Times New Roman" w:hAnsi="Times New Roman"/>
          <w:sz w:val="24"/>
          <w:szCs w:val="24"/>
        </w:rPr>
        <w:t>y</w:t>
      </w:r>
      <w:r w:rsidRPr="00786C33">
        <w:rPr>
          <w:rFonts w:ascii="Times New Roman" w:hAnsi="Times New Roman"/>
          <w:sz w:val="24"/>
          <w:szCs w:val="24"/>
        </w:rPr>
        <w:t xml:space="preserve"> the Office with the aim of exercising its mandate, the Office does not foresee any possibility </w:t>
      </w:r>
      <w:r w:rsidR="00320207" w:rsidRPr="00786C33">
        <w:rPr>
          <w:rFonts w:ascii="Times New Roman" w:hAnsi="Times New Roman"/>
          <w:sz w:val="24"/>
          <w:szCs w:val="24"/>
        </w:rPr>
        <w:t>of</w:t>
      </w:r>
      <w:r w:rsidRPr="00786C33">
        <w:rPr>
          <w:rFonts w:ascii="Times New Roman" w:hAnsi="Times New Roman"/>
          <w:sz w:val="24"/>
          <w:szCs w:val="24"/>
        </w:rPr>
        <w:t xml:space="preserve"> establishing decentralized </w:t>
      </w:r>
      <w:r w:rsidR="00320207" w:rsidRPr="00786C33">
        <w:rPr>
          <w:rFonts w:ascii="Times New Roman" w:hAnsi="Times New Roman"/>
          <w:sz w:val="24"/>
          <w:szCs w:val="24"/>
        </w:rPr>
        <w:t>branches</w:t>
      </w:r>
      <w:r w:rsidRPr="00786C33">
        <w:rPr>
          <w:rFonts w:ascii="Times New Roman" w:hAnsi="Times New Roman"/>
          <w:sz w:val="24"/>
          <w:szCs w:val="24"/>
        </w:rPr>
        <w:t xml:space="preserve"> at the regional and local levels to facilitate access to the complaint mechanism in the near future.</w:t>
      </w:r>
    </w:p>
    <w:p w14:paraId="6E9979EA" w14:textId="77777777" w:rsidR="00A37CA4" w:rsidRPr="00786C33" w:rsidRDefault="00DB661A" w:rsidP="00393A8C">
      <w:pPr>
        <w:pStyle w:val="Heading1"/>
        <w:rPr>
          <w:rFonts w:ascii="Times New Roman" w:hAnsi="Times New Roman"/>
        </w:rPr>
      </w:pPr>
      <w:r w:rsidRPr="00786C33">
        <w:rPr>
          <w:rFonts w:ascii="Times New Roman" w:hAnsi="Times New Roman"/>
        </w:rPr>
        <w:t>NAT</w:t>
      </w:r>
      <w:r w:rsidR="00C72FAC" w:rsidRPr="00786C33">
        <w:rPr>
          <w:rFonts w:ascii="Times New Roman" w:hAnsi="Times New Roman"/>
        </w:rPr>
        <w:t>ional machinery for the advancement of women</w:t>
      </w:r>
    </w:p>
    <w:p w14:paraId="10E6F56E" w14:textId="3AD15536" w:rsidR="00004DF0" w:rsidRPr="00786C33" w:rsidRDefault="00602827" w:rsidP="00602827">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In its previous concluding observations (CEDAW/C/LTU/CO/5, para. 15 (a))</w:t>
      </w:r>
      <w:r w:rsidR="00205DCF" w:rsidRPr="00786C33">
        <w:rPr>
          <w:rStyle w:val="FootnoteReference"/>
          <w:rFonts w:ascii="Times New Roman" w:hAnsi="Times New Roman"/>
          <w:sz w:val="24"/>
          <w:szCs w:val="24"/>
        </w:rPr>
        <w:footnoteReference w:id="22"/>
      </w:r>
      <w:r w:rsidRPr="00786C33">
        <w:rPr>
          <w:rFonts w:ascii="Times New Roman" w:hAnsi="Times New Roman"/>
          <w:sz w:val="24"/>
          <w:szCs w:val="24"/>
        </w:rPr>
        <w:t xml:space="preserve"> the Committee encouraged the State party to strengthen the mandate and authority of and the level of representation of line ministries in the Commission on Equal Opportunities for Women and Men to enable it to monitor and coordinate the </w:t>
      </w:r>
      <w:r w:rsidR="00A93486" w:rsidRPr="00786C33">
        <w:rPr>
          <w:rFonts w:ascii="Times New Roman" w:hAnsi="Times New Roman"/>
          <w:sz w:val="24"/>
          <w:szCs w:val="24"/>
        </w:rPr>
        <w:t>implementation</w:t>
      </w:r>
      <w:bookmarkStart w:id="5" w:name="_GoBack"/>
      <w:bookmarkEnd w:id="5"/>
      <w:r w:rsidRPr="00786C33">
        <w:rPr>
          <w:rFonts w:ascii="Times New Roman" w:hAnsi="Times New Roman"/>
          <w:sz w:val="24"/>
          <w:szCs w:val="24"/>
        </w:rPr>
        <w:t xml:space="preserve"> of the National </w:t>
      </w:r>
      <w:proofErr w:type="spellStart"/>
      <w:r w:rsidRPr="00786C33">
        <w:rPr>
          <w:rFonts w:ascii="Times New Roman" w:hAnsi="Times New Roman"/>
          <w:sz w:val="24"/>
          <w:szCs w:val="24"/>
        </w:rPr>
        <w:t>Programme</w:t>
      </w:r>
      <w:proofErr w:type="spellEnd"/>
      <w:r w:rsidRPr="00786C33">
        <w:rPr>
          <w:rFonts w:ascii="Times New Roman" w:hAnsi="Times New Roman"/>
          <w:sz w:val="24"/>
          <w:szCs w:val="24"/>
        </w:rPr>
        <w:t xml:space="preserve"> effectively. T</w:t>
      </w:r>
      <w:r w:rsidR="00004DF0" w:rsidRPr="00786C33">
        <w:rPr>
          <w:rFonts w:ascii="Times New Roman" w:hAnsi="Times New Roman"/>
          <w:sz w:val="24"/>
          <w:szCs w:val="24"/>
        </w:rPr>
        <w:t xml:space="preserve">he measure No. 5.1 of the Action Plan foresees “adopting amendments to the Regulations of the Commission, aiming at strengthening the status and mandate of the Commission.” </w:t>
      </w:r>
      <w:r w:rsidRPr="00786C33">
        <w:rPr>
          <w:rFonts w:ascii="Times New Roman" w:hAnsi="Times New Roman"/>
          <w:sz w:val="24"/>
          <w:szCs w:val="24"/>
        </w:rPr>
        <w:t>Based on information available to the Office,</w:t>
      </w:r>
      <w:r w:rsidR="00004DF0" w:rsidRPr="00786C33">
        <w:rPr>
          <w:rFonts w:ascii="Times New Roman" w:hAnsi="Times New Roman"/>
          <w:sz w:val="24"/>
          <w:szCs w:val="24"/>
        </w:rPr>
        <w:t xml:space="preserve"> this measure had not been implemented as of 1 </w:t>
      </w:r>
      <w:r w:rsidR="0056147C" w:rsidRPr="00786C33">
        <w:rPr>
          <w:rFonts w:ascii="Times New Roman" w:hAnsi="Times New Roman"/>
          <w:sz w:val="24"/>
          <w:szCs w:val="24"/>
        </w:rPr>
        <w:t>September</w:t>
      </w:r>
      <w:r w:rsidR="00004DF0" w:rsidRPr="00786C33">
        <w:rPr>
          <w:rFonts w:ascii="Times New Roman" w:hAnsi="Times New Roman"/>
          <w:sz w:val="24"/>
          <w:szCs w:val="24"/>
        </w:rPr>
        <w:t xml:space="preserve"> 2019.</w:t>
      </w:r>
    </w:p>
    <w:p w14:paraId="07623456" w14:textId="77777777" w:rsidR="001B3D87" w:rsidRPr="00786C33" w:rsidRDefault="001B3D87" w:rsidP="00E67324">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The independent review</w:t>
      </w:r>
      <w:r w:rsidR="00AC61DB" w:rsidRPr="00786C33">
        <w:rPr>
          <w:rFonts w:ascii="Times New Roman" w:hAnsi="Times New Roman"/>
          <w:sz w:val="24"/>
          <w:szCs w:val="24"/>
        </w:rPr>
        <w:t xml:space="preserve"> by the Office</w:t>
      </w:r>
      <w:r w:rsidR="00205DCF" w:rsidRPr="00786C33">
        <w:rPr>
          <w:rStyle w:val="FootnoteReference"/>
          <w:rFonts w:ascii="Times New Roman" w:hAnsi="Times New Roman"/>
          <w:sz w:val="24"/>
          <w:szCs w:val="24"/>
        </w:rPr>
        <w:footnoteReference w:id="23"/>
      </w:r>
      <w:r w:rsidRPr="00786C33">
        <w:rPr>
          <w:rFonts w:ascii="Times New Roman" w:hAnsi="Times New Roman"/>
          <w:sz w:val="24"/>
          <w:szCs w:val="24"/>
        </w:rPr>
        <w:t xml:space="preserve"> </w:t>
      </w:r>
      <w:r w:rsidR="0020149B" w:rsidRPr="00786C33">
        <w:rPr>
          <w:rFonts w:ascii="Times New Roman" w:hAnsi="Times New Roman"/>
          <w:sz w:val="24"/>
          <w:szCs w:val="24"/>
        </w:rPr>
        <w:t>reveal</w:t>
      </w:r>
      <w:r w:rsidR="0012362B" w:rsidRPr="00786C33">
        <w:rPr>
          <w:rFonts w:ascii="Times New Roman" w:hAnsi="Times New Roman"/>
          <w:sz w:val="24"/>
          <w:szCs w:val="24"/>
        </w:rPr>
        <w:t>ed</w:t>
      </w:r>
      <w:r w:rsidRPr="00786C33">
        <w:rPr>
          <w:rFonts w:ascii="Times New Roman" w:hAnsi="Times New Roman"/>
          <w:sz w:val="24"/>
          <w:szCs w:val="24"/>
        </w:rPr>
        <w:t xml:space="preserve"> </w:t>
      </w:r>
      <w:r w:rsidR="00AA10A8" w:rsidRPr="00786C33">
        <w:rPr>
          <w:rFonts w:ascii="Times New Roman" w:hAnsi="Times New Roman"/>
          <w:sz w:val="24"/>
          <w:szCs w:val="24"/>
        </w:rPr>
        <w:t>certain</w:t>
      </w:r>
      <w:r w:rsidRPr="00786C33">
        <w:rPr>
          <w:rFonts w:ascii="Times New Roman" w:hAnsi="Times New Roman"/>
          <w:sz w:val="24"/>
          <w:szCs w:val="24"/>
        </w:rPr>
        <w:t xml:space="preserve"> </w:t>
      </w:r>
      <w:r w:rsidR="0020149B" w:rsidRPr="00786C33">
        <w:rPr>
          <w:rFonts w:ascii="Times New Roman" w:hAnsi="Times New Roman"/>
          <w:sz w:val="24"/>
          <w:szCs w:val="24"/>
        </w:rPr>
        <w:t>concerns</w:t>
      </w:r>
      <w:r w:rsidRPr="00786C33">
        <w:rPr>
          <w:rFonts w:ascii="Times New Roman" w:hAnsi="Times New Roman"/>
          <w:sz w:val="24"/>
          <w:szCs w:val="24"/>
        </w:rPr>
        <w:t xml:space="preserve"> regarding the </w:t>
      </w:r>
      <w:r w:rsidR="00AC61DB" w:rsidRPr="00786C33">
        <w:rPr>
          <w:rFonts w:ascii="Times New Roman" w:hAnsi="Times New Roman"/>
          <w:sz w:val="24"/>
          <w:szCs w:val="24"/>
        </w:rPr>
        <w:t>transparency of the process due to</w:t>
      </w:r>
      <w:r w:rsidRPr="00786C33">
        <w:rPr>
          <w:rFonts w:ascii="Times New Roman" w:hAnsi="Times New Roman"/>
          <w:sz w:val="24"/>
          <w:szCs w:val="24"/>
        </w:rPr>
        <w:t xml:space="preserve"> the factual role of the Commission. </w:t>
      </w:r>
      <w:r w:rsidR="00AC61DB" w:rsidRPr="00786C33">
        <w:rPr>
          <w:rFonts w:ascii="Times New Roman" w:hAnsi="Times New Roman"/>
          <w:sz w:val="24"/>
          <w:szCs w:val="24"/>
        </w:rPr>
        <w:t>Based on the current practice</w:t>
      </w:r>
      <w:r w:rsidRPr="00786C33">
        <w:rPr>
          <w:rFonts w:ascii="Times New Roman" w:hAnsi="Times New Roman"/>
          <w:sz w:val="24"/>
          <w:szCs w:val="24"/>
        </w:rPr>
        <w:t xml:space="preserve">, </w:t>
      </w:r>
      <w:r w:rsidR="00AC61DB" w:rsidRPr="00786C33">
        <w:rPr>
          <w:rFonts w:ascii="Times New Roman" w:hAnsi="Times New Roman"/>
          <w:sz w:val="24"/>
          <w:szCs w:val="24"/>
        </w:rPr>
        <w:t>t</w:t>
      </w:r>
      <w:r w:rsidRPr="00786C33">
        <w:rPr>
          <w:rFonts w:ascii="Times New Roman" w:hAnsi="Times New Roman"/>
          <w:sz w:val="24"/>
          <w:szCs w:val="24"/>
        </w:rPr>
        <w:t xml:space="preserve">he </w:t>
      </w:r>
      <w:r w:rsidRPr="00786C33">
        <w:rPr>
          <w:rFonts w:ascii="Times New Roman" w:hAnsi="Times New Roman"/>
          <w:sz w:val="24"/>
          <w:szCs w:val="24"/>
        </w:rPr>
        <w:lastRenderedPageBreak/>
        <w:t>members of the Commission propose, a</w:t>
      </w:r>
      <w:r w:rsidR="00427819" w:rsidRPr="00786C33">
        <w:rPr>
          <w:rFonts w:ascii="Times New Roman" w:hAnsi="Times New Roman"/>
          <w:sz w:val="24"/>
          <w:szCs w:val="24"/>
        </w:rPr>
        <w:t>pprove</w:t>
      </w:r>
      <w:r w:rsidRPr="00786C33">
        <w:rPr>
          <w:rFonts w:ascii="Times New Roman" w:hAnsi="Times New Roman"/>
          <w:sz w:val="24"/>
          <w:szCs w:val="24"/>
        </w:rPr>
        <w:t xml:space="preserve">, indirectly implement (through the represented institutions and organizations) and assess the </w:t>
      </w:r>
      <w:r w:rsidR="00AC61DB" w:rsidRPr="00786C33">
        <w:rPr>
          <w:rFonts w:ascii="Times New Roman" w:hAnsi="Times New Roman"/>
          <w:sz w:val="24"/>
          <w:szCs w:val="24"/>
        </w:rPr>
        <w:t>impact</w:t>
      </w:r>
      <w:r w:rsidRPr="00786C33">
        <w:rPr>
          <w:rFonts w:ascii="Times New Roman" w:hAnsi="Times New Roman"/>
          <w:sz w:val="24"/>
          <w:szCs w:val="24"/>
        </w:rPr>
        <w:t xml:space="preserve"> of the</w:t>
      </w:r>
      <w:r w:rsidR="00F94830" w:rsidRPr="00786C33">
        <w:rPr>
          <w:rFonts w:ascii="Times New Roman" w:hAnsi="Times New Roman"/>
          <w:sz w:val="24"/>
          <w:szCs w:val="24"/>
        </w:rPr>
        <w:t xml:space="preserve"> implemented</w:t>
      </w:r>
      <w:r w:rsidRPr="00786C33">
        <w:rPr>
          <w:rFonts w:ascii="Times New Roman" w:hAnsi="Times New Roman"/>
          <w:sz w:val="24"/>
          <w:szCs w:val="24"/>
        </w:rPr>
        <w:t xml:space="preserve"> measures within the Action Plan.</w:t>
      </w:r>
      <w:r w:rsidR="00F94830" w:rsidRPr="00786C33">
        <w:rPr>
          <w:rFonts w:ascii="Times New Roman" w:hAnsi="Times New Roman"/>
          <w:sz w:val="24"/>
          <w:szCs w:val="24"/>
        </w:rPr>
        <w:t xml:space="preserve"> However, t</w:t>
      </w:r>
      <w:r w:rsidR="00233824" w:rsidRPr="00786C33">
        <w:rPr>
          <w:rFonts w:ascii="Times New Roman" w:hAnsi="Times New Roman"/>
          <w:sz w:val="24"/>
          <w:szCs w:val="24"/>
        </w:rPr>
        <w:t xml:space="preserve">he existing legal acts </w:t>
      </w:r>
      <w:r w:rsidR="00F94830" w:rsidRPr="00786C33">
        <w:rPr>
          <w:rFonts w:ascii="Times New Roman" w:hAnsi="Times New Roman"/>
          <w:sz w:val="24"/>
          <w:szCs w:val="24"/>
        </w:rPr>
        <w:t xml:space="preserve">exclusively </w:t>
      </w:r>
      <w:r w:rsidR="00233824" w:rsidRPr="00786C33">
        <w:rPr>
          <w:rFonts w:ascii="Times New Roman" w:hAnsi="Times New Roman"/>
          <w:sz w:val="24"/>
          <w:szCs w:val="24"/>
        </w:rPr>
        <w:t>define the Commission</w:t>
      </w:r>
      <w:r w:rsidR="00F94830" w:rsidRPr="00786C33">
        <w:rPr>
          <w:rFonts w:ascii="Times New Roman" w:hAnsi="Times New Roman"/>
          <w:sz w:val="24"/>
          <w:szCs w:val="24"/>
        </w:rPr>
        <w:t xml:space="preserve"> </w:t>
      </w:r>
      <w:r w:rsidR="00AC61DB" w:rsidRPr="00786C33">
        <w:rPr>
          <w:rFonts w:ascii="Times New Roman" w:hAnsi="Times New Roman"/>
          <w:sz w:val="24"/>
          <w:szCs w:val="24"/>
        </w:rPr>
        <w:t>as</w:t>
      </w:r>
      <w:r w:rsidR="00233824" w:rsidRPr="00786C33">
        <w:rPr>
          <w:rFonts w:ascii="Times New Roman" w:hAnsi="Times New Roman"/>
          <w:sz w:val="24"/>
          <w:szCs w:val="24"/>
        </w:rPr>
        <w:t xml:space="preserve"> the</w:t>
      </w:r>
      <w:r w:rsidR="00F94830" w:rsidRPr="00786C33">
        <w:rPr>
          <w:rFonts w:ascii="Times New Roman" w:hAnsi="Times New Roman"/>
          <w:sz w:val="24"/>
          <w:szCs w:val="24"/>
        </w:rPr>
        <w:t xml:space="preserve"> body of</w:t>
      </w:r>
      <w:r w:rsidR="00233824" w:rsidRPr="00786C33">
        <w:rPr>
          <w:rFonts w:ascii="Times New Roman" w:hAnsi="Times New Roman"/>
          <w:sz w:val="24"/>
          <w:szCs w:val="24"/>
        </w:rPr>
        <w:t xml:space="preserve"> monitoring </w:t>
      </w:r>
      <w:r w:rsidR="00F94830" w:rsidRPr="00786C33">
        <w:rPr>
          <w:rFonts w:ascii="Times New Roman" w:hAnsi="Times New Roman"/>
          <w:sz w:val="24"/>
          <w:szCs w:val="24"/>
        </w:rPr>
        <w:t>and supervision</w:t>
      </w:r>
      <w:r w:rsidR="00233824" w:rsidRPr="00786C33">
        <w:rPr>
          <w:rFonts w:ascii="Times New Roman" w:hAnsi="Times New Roman"/>
          <w:sz w:val="24"/>
          <w:szCs w:val="24"/>
        </w:rPr>
        <w:t>.</w:t>
      </w:r>
      <w:r w:rsidR="00AC61DB" w:rsidRPr="00786C33">
        <w:rPr>
          <w:rStyle w:val="FootnoteReference"/>
          <w:rFonts w:ascii="Times New Roman" w:hAnsi="Times New Roman"/>
          <w:sz w:val="24"/>
          <w:szCs w:val="24"/>
        </w:rPr>
        <w:footnoteReference w:id="24"/>
      </w:r>
      <w:r w:rsidR="00233824" w:rsidRPr="00786C33">
        <w:rPr>
          <w:rFonts w:ascii="Times New Roman" w:hAnsi="Times New Roman"/>
          <w:sz w:val="24"/>
          <w:szCs w:val="24"/>
        </w:rPr>
        <w:t xml:space="preserve"> When the monitoring body is</w:t>
      </w:r>
      <w:r w:rsidR="00AC61DB" w:rsidRPr="00786C33">
        <w:rPr>
          <w:rFonts w:ascii="Times New Roman" w:hAnsi="Times New Roman"/>
          <w:sz w:val="24"/>
          <w:szCs w:val="24"/>
        </w:rPr>
        <w:t xml:space="preserve"> </w:t>
      </w:r>
      <w:r w:rsidR="00233824" w:rsidRPr="00786C33">
        <w:rPr>
          <w:rFonts w:ascii="Times New Roman" w:hAnsi="Times New Roman"/>
          <w:sz w:val="24"/>
          <w:szCs w:val="24"/>
        </w:rPr>
        <w:t xml:space="preserve">directly </w:t>
      </w:r>
      <w:r w:rsidR="00AC61DB" w:rsidRPr="00786C33">
        <w:rPr>
          <w:rFonts w:ascii="Times New Roman" w:hAnsi="Times New Roman"/>
          <w:sz w:val="24"/>
          <w:szCs w:val="24"/>
        </w:rPr>
        <w:t>involved in</w:t>
      </w:r>
      <w:r w:rsidR="00233824" w:rsidRPr="00786C33">
        <w:rPr>
          <w:rFonts w:ascii="Times New Roman" w:hAnsi="Times New Roman"/>
          <w:sz w:val="24"/>
          <w:szCs w:val="24"/>
        </w:rPr>
        <w:t xml:space="preserve"> </w:t>
      </w:r>
      <w:r w:rsidR="00AA10A8" w:rsidRPr="00786C33">
        <w:rPr>
          <w:rFonts w:ascii="Times New Roman" w:hAnsi="Times New Roman"/>
          <w:sz w:val="24"/>
          <w:szCs w:val="24"/>
        </w:rPr>
        <w:t>developing</w:t>
      </w:r>
      <w:r w:rsidR="00F94830" w:rsidRPr="00786C33">
        <w:rPr>
          <w:rFonts w:ascii="Times New Roman" w:hAnsi="Times New Roman"/>
          <w:sz w:val="24"/>
          <w:szCs w:val="24"/>
        </w:rPr>
        <w:t xml:space="preserve"> and implementing</w:t>
      </w:r>
      <w:r w:rsidR="00AA10A8" w:rsidRPr="00786C33">
        <w:rPr>
          <w:rFonts w:ascii="Times New Roman" w:hAnsi="Times New Roman"/>
          <w:sz w:val="24"/>
          <w:szCs w:val="24"/>
        </w:rPr>
        <w:t xml:space="preserve"> the</w:t>
      </w:r>
      <w:r w:rsidR="00233824" w:rsidRPr="00786C33">
        <w:rPr>
          <w:rFonts w:ascii="Times New Roman" w:hAnsi="Times New Roman"/>
          <w:sz w:val="24"/>
          <w:szCs w:val="24"/>
        </w:rPr>
        <w:t xml:space="preserve"> Action Plan, its main function</w:t>
      </w:r>
      <w:r w:rsidR="00F94830" w:rsidRPr="00786C33">
        <w:rPr>
          <w:rFonts w:ascii="Times New Roman" w:hAnsi="Times New Roman"/>
          <w:sz w:val="24"/>
          <w:szCs w:val="24"/>
        </w:rPr>
        <w:t xml:space="preserve"> of impartial monitoring </w:t>
      </w:r>
      <w:r w:rsidR="00233824" w:rsidRPr="00786C33">
        <w:rPr>
          <w:rFonts w:ascii="Times New Roman" w:hAnsi="Times New Roman"/>
          <w:sz w:val="24"/>
          <w:szCs w:val="24"/>
        </w:rPr>
        <w:t>is being compromised. Therefore</w:t>
      </w:r>
      <w:r w:rsidR="008B5A20" w:rsidRPr="00786C33">
        <w:rPr>
          <w:rFonts w:ascii="Times New Roman" w:hAnsi="Times New Roman"/>
          <w:sz w:val="24"/>
          <w:szCs w:val="24"/>
        </w:rPr>
        <w:t>,</w:t>
      </w:r>
      <w:r w:rsidR="00233824" w:rsidRPr="00786C33">
        <w:rPr>
          <w:rFonts w:ascii="Times New Roman" w:hAnsi="Times New Roman"/>
          <w:sz w:val="24"/>
          <w:szCs w:val="24"/>
        </w:rPr>
        <w:t xml:space="preserve"> it can be </w:t>
      </w:r>
      <w:r w:rsidR="008B5A20" w:rsidRPr="00786C33">
        <w:rPr>
          <w:rFonts w:ascii="Times New Roman" w:hAnsi="Times New Roman"/>
          <w:sz w:val="24"/>
          <w:szCs w:val="24"/>
        </w:rPr>
        <w:t xml:space="preserve">assumed </w:t>
      </w:r>
      <w:r w:rsidR="00233824" w:rsidRPr="00786C33">
        <w:rPr>
          <w:rFonts w:ascii="Times New Roman" w:hAnsi="Times New Roman"/>
          <w:sz w:val="24"/>
          <w:szCs w:val="24"/>
        </w:rPr>
        <w:t>that the current process</w:t>
      </w:r>
      <w:r w:rsidR="00AC61DB" w:rsidRPr="00786C33">
        <w:rPr>
          <w:rFonts w:ascii="Times New Roman" w:hAnsi="Times New Roman"/>
          <w:sz w:val="24"/>
          <w:szCs w:val="24"/>
        </w:rPr>
        <w:t xml:space="preserve"> of implementing the national</w:t>
      </w:r>
      <w:r w:rsidR="00233824" w:rsidRPr="00786C33">
        <w:rPr>
          <w:rFonts w:ascii="Times New Roman" w:hAnsi="Times New Roman"/>
          <w:sz w:val="24"/>
          <w:szCs w:val="24"/>
        </w:rPr>
        <w:t xml:space="preserve"> polic</w:t>
      </w:r>
      <w:r w:rsidR="00AC61DB" w:rsidRPr="00786C33">
        <w:rPr>
          <w:rFonts w:ascii="Times New Roman" w:hAnsi="Times New Roman"/>
          <w:sz w:val="24"/>
          <w:szCs w:val="24"/>
        </w:rPr>
        <w:t>ies</w:t>
      </w:r>
      <w:r w:rsidR="00233824" w:rsidRPr="00786C33">
        <w:rPr>
          <w:rFonts w:ascii="Times New Roman" w:hAnsi="Times New Roman"/>
          <w:sz w:val="24"/>
          <w:szCs w:val="24"/>
        </w:rPr>
        <w:t xml:space="preserve"> on gender equality</w:t>
      </w:r>
      <w:r w:rsidR="00AC61DB" w:rsidRPr="00786C33">
        <w:rPr>
          <w:rFonts w:ascii="Times New Roman" w:hAnsi="Times New Roman"/>
          <w:sz w:val="24"/>
          <w:szCs w:val="24"/>
        </w:rPr>
        <w:t xml:space="preserve"> lacks transparency.</w:t>
      </w:r>
      <w:r w:rsidR="00233824" w:rsidRPr="00786C33">
        <w:rPr>
          <w:rFonts w:ascii="Times New Roman" w:hAnsi="Times New Roman"/>
          <w:sz w:val="24"/>
          <w:szCs w:val="24"/>
        </w:rPr>
        <w:t xml:space="preserve">      </w:t>
      </w:r>
      <w:r w:rsidR="00656C09" w:rsidRPr="00786C33">
        <w:rPr>
          <w:rFonts w:ascii="Times New Roman" w:hAnsi="Times New Roman"/>
          <w:sz w:val="24"/>
          <w:szCs w:val="24"/>
        </w:rPr>
        <w:t xml:space="preserve"> </w:t>
      </w:r>
      <w:r w:rsidRPr="00786C33">
        <w:rPr>
          <w:rFonts w:ascii="Times New Roman" w:hAnsi="Times New Roman"/>
          <w:sz w:val="24"/>
          <w:szCs w:val="24"/>
        </w:rPr>
        <w:t xml:space="preserve">   </w:t>
      </w:r>
    </w:p>
    <w:p w14:paraId="5D7E83A2" w14:textId="7937075B" w:rsidR="00AF3E5E" w:rsidRPr="00786C33" w:rsidRDefault="008B0D58" w:rsidP="00E67324">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 xml:space="preserve">On 27 March 2019 the Ministry of Social Security and Labor officially approached the Office with the request to provide an assessment of the updated draft </w:t>
      </w:r>
      <w:r w:rsidR="00205DCF" w:rsidRPr="00786C33">
        <w:rPr>
          <w:rFonts w:ascii="Times New Roman" w:hAnsi="Times New Roman"/>
          <w:sz w:val="24"/>
          <w:szCs w:val="24"/>
        </w:rPr>
        <w:t>Re</w:t>
      </w:r>
      <w:r w:rsidRPr="00786C33">
        <w:rPr>
          <w:rFonts w:ascii="Times New Roman" w:hAnsi="Times New Roman"/>
          <w:sz w:val="24"/>
          <w:szCs w:val="24"/>
        </w:rPr>
        <w:t>gulations of the Commission on Equal Opportunities for Women and Men</w:t>
      </w:r>
      <w:r w:rsidRPr="00786C33">
        <w:rPr>
          <w:rStyle w:val="FootnoteReference"/>
          <w:rFonts w:ascii="Times New Roman" w:hAnsi="Times New Roman"/>
          <w:sz w:val="24"/>
          <w:szCs w:val="24"/>
        </w:rPr>
        <w:footnoteReference w:id="25"/>
      </w:r>
      <w:r w:rsidRPr="00786C33">
        <w:rPr>
          <w:rFonts w:ascii="Times New Roman" w:hAnsi="Times New Roman"/>
          <w:sz w:val="24"/>
          <w:szCs w:val="24"/>
        </w:rPr>
        <w:t>.</w:t>
      </w:r>
      <w:r w:rsidR="0056147C" w:rsidRPr="00786C33">
        <w:rPr>
          <w:rFonts w:ascii="Times New Roman" w:hAnsi="Times New Roman"/>
          <w:sz w:val="24"/>
          <w:szCs w:val="24"/>
        </w:rPr>
        <w:t xml:space="preserve"> The Office ha</w:t>
      </w:r>
      <w:r w:rsidR="00205DCF" w:rsidRPr="00786C33">
        <w:rPr>
          <w:rFonts w:ascii="Times New Roman" w:hAnsi="Times New Roman"/>
          <w:sz w:val="24"/>
          <w:szCs w:val="24"/>
        </w:rPr>
        <w:t>s</w:t>
      </w:r>
      <w:r w:rsidR="0056147C" w:rsidRPr="00786C33">
        <w:rPr>
          <w:rFonts w:ascii="Times New Roman" w:hAnsi="Times New Roman"/>
          <w:sz w:val="24"/>
          <w:szCs w:val="24"/>
        </w:rPr>
        <w:t xml:space="preserve"> positively concluded that the updated draft regulations aim at strengthening monitoring and supervision capacities of the Commission. Nevertheless, the Ministry of Social Security and Labor was encouraged to provide </w:t>
      </w:r>
      <w:r w:rsidR="00205DCF" w:rsidRPr="00786C33">
        <w:rPr>
          <w:rFonts w:ascii="Times New Roman" w:hAnsi="Times New Roman"/>
          <w:sz w:val="24"/>
          <w:szCs w:val="24"/>
        </w:rPr>
        <w:t>actual</w:t>
      </w:r>
      <w:r w:rsidR="0056147C" w:rsidRPr="00786C33">
        <w:rPr>
          <w:rFonts w:ascii="Times New Roman" w:hAnsi="Times New Roman"/>
          <w:sz w:val="24"/>
          <w:szCs w:val="24"/>
        </w:rPr>
        <w:t xml:space="preserve"> possibilities for the Commission to conduct impartial and independent </w:t>
      </w:r>
      <w:r w:rsidR="00B93FFA" w:rsidRPr="00786C33">
        <w:rPr>
          <w:rFonts w:ascii="Times New Roman" w:hAnsi="Times New Roman"/>
          <w:sz w:val="24"/>
          <w:szCs w:val="24"/>
        </w:rPr>
        <w:t>monitoring</w:t>
      </w:r>
      <w:r w:rsidR="00A10222" w:rsidRPr="00786C33">
        <w:rPr>
          <w:rFonts w:ascii="Times New Roman" w:hAnsi="Times New Roman"/>
          <w:sz w:val="24"/>
          <w:szCs w:val="24"/>
        </w:rPr>
        <w:t>, as well as to refrain from</w:t>
      </w:r>
      <w:r w:rsidR="0056147C" w:rsidRPr="00786C33">
        <w:rPr>
          <w:rFonts w:ascii="Times New Roman" w:hAnsi="Times New Roman"/>
          <w:sz w:val="24"/>
          <w:szCs w:val="24"/>
        </w:rPr>
        <w:t xml:space="preserve"> </w:t>
      </w:r>
      <w:r w:rsidR="00C97A2F" w:rsidRPr="00786C33">
        <w:rPr>
          <w:rFonts w:ascii="Times New Roman" w:hAnsi="Times New Roman"/>
          <w:sz w:val="24"/>
          <w:szCs w:val="24"/>
        </w:rPr>
        <w:t xml:space="preserve">proposing and approving </w:t>
      </w:r>
      <w:r w:rsidR="0056147C" w:rsidRPr="00786C33">
        <w:rPr>
          <w:rFonts w:ascii="Times New Roman" w:hAnsi="Times New Roman"/>
          <w:sz w:val="24"/>
          <w:szCs w:val="24"/>
        </w:rPr>
        <w:t xml:space="preserve">individual measures for the action plans of the national </w:t>
      </w:r>
      <w:proofErr w:type="spellStart"/>
      <w:r w:rsidR="0056147C" w:rsidRPr="00786C33">
        <w:rPr>
          <w:rFonts w:ascii="Times New Roman" w:hAnsi="Times New Roman"/>
          <w:sz w:val="24"/>
          <w:szCs w:val="24"/>
        </w:rPr>
        <w:t>programmes</w:t>
      </w:r>
      <w:proofErr w:type="spellEnd"/>
      <w:r w:rsidR="0056147C" w:rsidRPr="00786C33">
        <w:rPr>
          <w:rFonts w:ascii="Times New Roman" w:hAnsi="Times New Roman"/>
          <w:sz w:val="24"/>
          <w:szCs w:val="24"/>
        </w:rPr>
        <w:t xml:space="preserve"> (as it was before). Despite the fact that interested stakeholders provided their assessment of the updated draft regulations, it has not been </w:t>
      </w:r>
      <w:r w:rsidR="00205DCF" w:rsidRPr="00786C33">
        <w:rPr>
          <w:rFonts w:ascii="Times New Roman" w:hAnsi="Times New Roman"/>
          <w:sz w:val="24"/>
          <w:szCs w:val="24"/>
        </w:rPr>
        <w:t xml:space="preserve">officially </w:t>
      </w:r>
      <w:r w:rsidR="0056147C" w:rsidRPr="00786C33">
        <w:rPr>
          <w:rFonts w:ascii="Times New Roman" w:hAnsi="Times New Roman"/>
          <w:sz w:val="24"/>
          <w:szCs w:val="24"/>
        </w:rPr>
        <w:t>adopted</w:t>
      </w:r>
      <w:r w:rsidR="00205DCF" w:rsidRPr="00786C33">
        <w:rPr>
          <w:rFonts w:ascii="Times New Roman" w:hAnsi="Times New Roman"/>
          <w:sz w:val="24"/>
          <w:szCs w:val="24"/>
        </w:rPr>
        <w:t xml:space="preserve"> yet</w:t>
      </w:r>
      <w:r w:rsidR="0056147C" w:rsidRPr="00786C33">
        <w:rPr>
          <w:rFonts w:ascii="Times New Roman" w:hAnsi="Times New Roman"/>
          <w:sz w:val="24"/>
          <w:szCs w:val="24"/>
        </w:rPr>
        <w:t xml:space="preserve">.  </w:t>
      </w:r>
    </w:p>
    <w:p w14:paraId="4B9208BA" w14:textId="3C6599D8" w:rsidR="00D103E0" w:rsidRPr="00786C33" w:rsidRDefault="00D103E0" w:rsidP="00D103E0">
      <w:pPr>
        <w:widowControl w:val="0"/>
        <w:autoSpaceDE w:val="0"/>
        <w:autoSpaceDN w:val="0"/>
        <w:adjustRightInd w:val="0"/>
        <w:spacing w:before="120" w:after="0" w:line="240" w:lineRule="auto"/>
        <w:jc w:val="both"/>
        <w:rPr>
          <w:rFonts w:ascii="Times New Roman" w:hAnsi="Times New Roman"/>
          <w:sz w:val="24"/>
          <w:szCs w:val="24"/>
        </w:rPr>
      </w:pPr>
    </w:p>
    <w:p w14:paraId="50469FC5" w14:textId="77777777" w:rsidR="00D103E0" w:rsidRPr="00786C33" w:rsidRDefault="00D103E0">
      <w:pPr>
        <w:pStyle w:val="p1"/>
        <w:divId w:val="313683817"/>
      </w:pPr>
      <w:r w:rsidRPr="00786C33">
        <w:rPr>
          <w:rStyle w:val="s1"/>
        </w:rPr>
        <w:t>and refrain from proposing and approving</w:t>
      </w:r>
    </w:p>
    <w:p w14:paraId="20CBB7E1" w14:textId="77777777" w:rsidR="00D103E0" w:rsidRPr="00786C33" w:rsidRDefault="00D103E0" w:rsidP="00D103E0">
      <w:pPr>
        <w:widowControl w:val="0"/>
        <w:autoSpaceDE w:val="0"/>
        <w:autoSpaceDN w:val="0"/>
        <w:adjustRightInd w:val="0"/>
        <w:spacing w:before="120" w:after="0" w:line="240" w:lineRule="auto"/>
        <w:jc w:val="both"/>
        <w:rPr>
          <w:rFonts w:ascii="Times New Roman" w:hAnsi="Times New Roman"/>
          <w:sz w:val="24"/>
          <w:szCs w:val="24"/>
        </w:rPr>
      </w:pPr>
    </w:p>
    <w:p w14:paraId="598CC720" w14:textId="77777777" w:rsidR="00230E3F" w:rsidRPr="00786C33" w:rsidRDefault="00230E3F" w:rsidP="00230E3F">
      <w:pPr>
        <w:pStyle w:val="Heading1"/>
        <w:rPr>
          <w:rFonts w:ascii="Times New Roman" w:hAnsi="Times New Roman"/>
        </w:rPr>
      </w:pPr>
      <w:r w:rsidRPr="00786C33">
        <w:rPr>
          <w:rFonts w:ascii="Times New Roman" w:hAnsi="Times New Roman"/>
        </w:rPr>
        <w:t>discriminatory gender stereotypes and harmful practices</w:t>
      </w:r>
    </w:p>
    <w:p w14:paraId="08BFF856" w14:textId="77777777" w:rsidR="00230E3F" w:rsidRPr="00786C33" w:rsidRDefault="003B5624" w:rsidP="00230E3F">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 xml:space="preserve">In December, 2018 the Office conducted a representative public opinion </w:t>
      </w:r>
      <w:r w:rsidR="0020542B" w:rsidRPr="00786C33">
        <w:rPr>
          <w:rFonts w:ascii="Times New Roman" w:hAnsi="Times New Roman"/>
          <w:sz w:val="24"/>
          <w:szCs w:val="24"/>
        </w:rPr>
        <w:t>survey on gender-based violence and underlying causes of this negative phenomenon</w:t>
      </w:r>
      <w:r w:rsidR="0020542B" w:rsidRPr="00786C33">
        <w:rPr>
          <w:rStyle w:val="FootnoteReference"/>
          <w:rFonts w:ascii="Times New Roman" w:hAnsi="Times New Roman"/>
          <w:sz w:val="24"/>
          <w:szCs w:val="24"/>
        </w:rPr>
        <w:footnoteReference w:id="26"/>
      </w:r>
      <w:r w:rsidR="0020542B" w:rsidRPr="00786C33">
        <w:rPr>
          <w:rFonts w:ascii="Times New Roman" w:hAnsi="Times New Roman"/>
          <w:sz w:val="24"/>
          <w:szCs w:val="24"/>
        </w:rPr>
        <w:t>. The survey revealed that the society perceives the role of a woman on rather traditional terms – she is expected to take care of a man’s needs. For example, 58% of the respondents agree</w:t>
      </w:r>
      <w:r w:rsidR="00811FC4" w:rsidRPr="00786C33">
        <w:rPr>
          <w:rFonts w:ascii="Times New Roman" w:hAnsi="Times New Roman"/>
          <w:sz w:val="24"/>
          <w:szCs w:val="24"/>
        </w:rPr>
        <w:t>d</w:t>
      </w:r>
      <w:r w:rsidR="0020542B" w:rsidRPr="00786C33">
        <w:rPr>
          <w:rFonts w:ascii="Times New Roman" w:hAnsi="Times New Roman"/>
          <w:sz w:val="24"/>
          <w:szCs w:val="24"/>
        </w:rPr>
        <w:t xml:space="preserve"> with the statement that it is a wife’s duty to take care of her husband’s household</w:t>
      </w:r>
      <w:r w:rsidR="00811FC4" w:rsidRPr="00786C33">
        <w:rPr>
          <w:rFonts w:ascii="Times New Roman" w:hAnsi="Times New Roman"/>
          <w:sz w:val="24"/>
          <w:szCs w:val="24"/>
        </w:rPr>
        <w:t>, while</w:t>
      </w:r>
      <w:r w:rsidR="0020542B" w:rsidRPr="00786C33">
        <w:rPr>
          <w:rFonts w:ascii="Times New Roman" w:hAnsi="Times New Roman"/>
          <w:sz w:val="24"/>
          <w:szCs w:val="24"/>
        </w:rPr>
        <w:t xml:space="preserve"> </w:t>
      </w:r>
      <w:r w:rsidR="00811FC4" w:rsidRPr="00786C33">
        <w:rPr>
          <w:rFonts w:ascii="Times New Roman" w:hAnsi="Times New Roman"/>
          <w:sz w:val="24"/>
          <w:szCs w:val="24"/>
        </w:rPr>
        <w:t xml:space="preserve">41% of the respondents agreed that it is a wife’s duty to have sex with her husband. On the other hand, the study revealed that the public understands that disrespect can start with supposedly "innocent" behavior. For example, 60% </w:t>
      </w:r>
      <w:r w:rsidR="002F369F" w:rsidRPr="00786C33">
        <w:rPr>
          <w:rFonts w:ascii="Times New Roman" w:hAnsi="Times New Roman"/>
          <w:sz w:val="24"/>
          <w:szCs w:val="24"/>
        </w:rPr>
        <w:t xml:space="preserve">of </w:t>
      </w:r>
      <w:r w:rsidR="00811FC4" w:rsidRPr="00786C33">
        <w:rPr>
          <w:rFonts w:ascii="Times New Roman" w:hAnsi="Times New Roman"/>
          <w:sz w:val="24"/>
          <w:szCs w:val="24"/>
        </w:rPr>
        <w:t>respondents agreed that jokes about women are disrespectful towards them. However, the society has divided views about boys’ behavior toward girls (e.g. lifting the skirt, pulling the hair, etc.). 45% identified this kind of behavior</w:t>
      </w:r>
      <w:r w:rsidR="00513FFA" w:rsidRPr="00786C33">
        <w:rPr>
          <w:rFonts w:ascii="Times New Roman" w:hAnsi="Times New Roman"/>
          <w:sz w:val="24"/>
          <w:szCs w:val="24"/>
        </w:rPr>
        <w:t xml:space="preserve"> by boys</w:t>
      </w:r>
      <w:r w:rsidR="00811FC4" w:rsidRPr="00786C33">
        <w:rPr>
          <w:rFonts w:ascii="Times New Roman" w:hAnsi="Times New Roman"/>
          <w:sz w:val="24"/>
          <w:szCs w:val="24"/>
        </w:rPr>
        <w:t xml:space="preserve"> as “innocent”, while the remaining 45% </w:t>
      </w:r>
      <w:r w:rsidR="002F369F" w:rsidRPr="00786C33">
        <w:rPr>
          <w:rFonts w:ascii="Times New Roman" w:hAnsi="Times New Roman"/>
          <w:sz w:val="24"/>
          <w:szCs w:val="24"/>
        </w:rPr>
        <w:t>opposed.</w:t>
      </w:r>
      <w:r w:rsidR="00B93FFA" w:rsidRPr="00786C33">
        <w:rPr>
          <w:rFonts w:ascii="Times New Roman" w:hAnsi="Times New Roman"/>
          <w:sz w:val="24"/>
          <w:szCs w:val="24"/>
        </w:rPr>
        <w:t xml:space="preserve"> </w:t>
      </w:r>
      <w:r w:rsidR="002F369F" w:rsidRPr="00786C33">
        <w:rPr>
          <w:rFonts w:ascii="Times New Roman" w:hAnsi="Times New Roman"/>
          <w:sz w:val="24"/>
          <w:szCs w:val="24"/>
        </w:rPr>
        <w:t>37% of the respondents agreed with the statement that men are “naturally more aggressive”.</w:t>
      </w:r>
    </w:p>
    <w:p w14:paraId="47A6A953" w14:textId="77777777" w:rsidR="002F369F" w:rsidRPr="00786C33" w:rsidRDefault="002F369F" w:rsidP="00C92842">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 xml:space="preserve">The survey revealed that the public is not sure, whether persons suffering from domestic violence receive necessary assistance. 32% of the respondents where not sure about available support services for women and 47% were not sure about available support services for men. Despite the fact that Special Assistance Centers, providing </w:t>
      </w:r>
      <w:r w:rsidR="00513FFA" w:rsidRPr="00786C33">
        <w:rPr>
          <w:rFonts w:ascii="Times New Roman" w:hAnsi="Times New Roman"/>
          <w:sz w:val="24"/>
          <w:szCs w:val="24"/>
        </w:rPr>
        <w:t xml:space="preserve">specialized assistance to victims of domestic violence, cover the whole territory of the country, the respondents demonstrate lack of awareness on the available support services. As a result, the accessibility of these services is </w:t>
      </w:r>
      <w:r w:rsidR="00513FFA" w:rsidRPr="00786C33">
        <w:rPr>
          <w:rFonts w:ascii="Times New Roman" w:hAnsi="Times New Roman"/>
          <w:sz w:val="24"/>
          <w:szCs w:val="24"/>
        </w:rPr>
        <w:lastRenderedPageBreak/>
        <w:t xml:space="preserve">hampered by the lack of awareness on their </w:t>
      </w:r>
      <w:r w:rsidR="00C92842" w:rsidRPr="00786C33">
        <w:rPr>
          <w:rFonts w:ascii="Times New Roman" w:hAnsi="Times New Roman"/>
          <w:sz w:val="24"/>
          <w:szCs w:val="24"/>
        </w:rPr>
        <w:t>availability</w:t>
      </w:r>
      <w:r w:rsidR="00513FFA" w:rsidRPr="00786C33">
        <w:rPr>
          <w:rFonts w:ascii="Times New Roman" w:hAnsi="Times New Roman"/>
          <w:sz w:val="24"/>
          <w:szCs w:val="24"/>
        </w:rPr>
        <w:t xml:space="preserve">.  </w:t>
      </w:r>
      <w:r w:rsidRPr="00786C33">
        <w:rPr>
          <w:rFonts w:ascii="Times New Roman" w:hAnsi="Times New Roman"/>
          <w:sz w:val="24"/>
          <w:szCs w:val="24"/>
        </w:rPr>
        <w:t xml:space="preserve">   </w:t>
      </w:r>
    </w:p>
    <w:p w14:paraId="5FBAA3D3" w14:textId="77777777" w:rsidR="0056147C" w:rsidRPr="00786C33" w:rsidRDefault="0056147C" w:rsidP="0056147C">
      <w:pPr>
        <w:pStyle w:val="Heading1"/>
        <w:rPr>
          <w:rFonts w:ascii="Times New Roman" w:hAnsi="Times New Roman"/>
        </w:rPr>
      </w:pPr>
      <w:r w:rsidRPr="00786C33">
        <w:rPr>
          <w:rFonts w:ascii="Times New Roman" w:hAnsi="Times New Roman"/>
        </w:rPr>
        <w:t>Gender-BASED VIOLENCE AGAINsT WOMEN</w:t>
      </w:r>
    </w:p>
    <w:p w14:paraId="162BCB38" w14:textId="77777777" w:rsidR="0056147C" w:rsidRPr="00786C33" w:rsidRDefault="00205DCF" w:rsidP="0056147C">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 xml:space="preserve">As of 1 January 2019, Lithuania has not ratified the </w:t>
      </w:r>
      <w:r w:rsidRPr="00786C33">
        <w:rPr>
          <w:rFonts w:ascii="Times New Roman" w:hAnsi="Times New Roman"/>
          <w:b/>
          <w:sz w:val="24"/>
          <w:szCs w:val="24"/>
        </w:rPr>
        <w:t>Council of Europe’s Convention on Preventing and Combating Violence against Women and Domestic Violence</w:t>
      </w:r>
      <w:r w:rsidRPr="00786C33">
        <w:rPr>
          <w:rFonts w:ascii="Times New Roman" w:hAnsi="Times New Roman"/>
          <w:sz w:val="24"/>
          <w:szCs w:val="24"/>
        </w:rPr>
        <w:t xml:space="preserve"> (hereinafter the Convention)</w:t>
      </w:r>
      <w:r w:rsidRPr="00786C33">
        <w:rPr>
          <w:rStyle w:val="FootnoteReference"/>
          <w:rFonts w:ascii="Times New Roman" w:hAnsi="Times New Roman"/>
          <w:sz w:val="24"/>
          <w:szCs w:val="24"/>
        </w:rPr>
        <w:footnoteReference w:id="27"/>
      </w:r>
      <w:r w:rsidRPr="00786C33">
        <w:rPr>
          <w:rFonts w:ascii="Times New Roman" w:hAnsi="Times New Roman"/>
          <w:sz w:val="24"/>
          <w:szCs w:val="24"/>
        </w:rPr>
        <w:t>. Despite the fact that the ratification of this important international document would enable not only to comprehensively mainstream the aspect of gender, but also to encourage recognition of different forms of gender-based (i.e. psychological, economic and sexual) violence within the framework of the national criminal justice system, the political debate is still pending. On 12 March 2018 76 MPs signed a declaration opposing the ratification of the Convention</w:t>
      </w:r>
      <w:r w:rsidRPr="00786C33">
        <w:rPr>
          <w:rStyle w:val="FootnoteReference"/>
          <w:rFonts w:ascii="Times New Roman" w:hAnsi="Times New Roman"/>
          <w:sz w:val="24"/>
          <w:szCs w:val="24"/>
        </w:rPr>
        <w:footnoteReference w:id="28"/>
      </w:r>
      <w:r w:rsidRPr="00786C33">
        <w:rPr>
          <w:rFonts w:ascii="Times New Roman" w:hAnsi="Times New Roman"/>
          <w:sz w:val="24"/>
          <w:szCs w:val="24"/>
        </w:rPr>
        <w:t>. On 15 March 2018 the Parliament refused to include the question on considering the ratification of the Convention in the Parliament’s agenda for the spring session</w:t>
      </w:r>
      <w:r w:rsidRPr="00786C33">
        <w:rPr>
          <w:rStyle w:val="FootnoteReference"/>
          <w:rFonts w:ascii="Times New Roman" w:hAnsi="Times New Roman"/>
          <w:sz w:val="24"/>
          <w:szCs w:val="24"/>
        </w:rPr>
        <w:footnoteReference w:id="29"/>
      </w:r>
      <w:r w:rsidRPr="00786C33">
        <w:rPr>
          <w:rFonts w:ascii="Times New Roman" w:hAnsi="Times New Roman"/>
          <w:sz w:val="24"/>
          <w:szCs w:val="24"/>
        </w:rPr>
        <w:t>. On 12 June 2018 the President of the Republic of Lithuania registered the draft proposal to ratify the Convention before the Parliament</w:t>
      </w:r>
      <w:r w:rsidRPr="00786C33">
        <w:rPr>
          <w:rStyle w:val="FootnoteReference"/>
          <w:rFonts w:ascii="Times New Roman" w:hAnsi="Times New Roman"/>
          <w:sz w:val="24"/>
          <w:szCs w:val="24"/>
        </w:rPr>
        <w:footnoteReference w:id="30"/>
      </w:r>
      <w:r w:rsidRPr="00786C33">
        <w:rPr>
          <w:rFonts w:ascii="Times New Roman" w:hAnsi="Times New Roman"/>
          <w:sz w:val="24"/>
          <w:szCs w:val="24"/>
        </w:rPr>
        <w:t>. However, the draft proposal has not been considered by the Parliament yet.</w:t>
      </w:r>
    </w:p>
    <w:p w14:paraId="291FD699" w14:textId="77777777" w:rsidR="00230E3F" w:rsidRPr="00786C33" w:rsidRDefault="00230E3F" w:rsidP="00230E3F">
      <w:pPr>
        <w:pStyle w:val="Heading1"/>
        <w:rPr>
          <w:rFonts w:ascii="Times New Roman" w:hAnsi="Times New Roman"/>
        </w:rPr>
      </w:pPr>
      <w:r w:rsidRPr="00786C33">
        <w:rPr>
          <w:rFonts w:ascii="Times New Roman" w:hAnsi="Times New Roman"/>
        </w:rPr>
        <w:t>education</w:t>
      </w:r>
    </w:p>
    <w:p w14:paraId="45786859" w14:textId="77777777" w:rsidR="00F15FF5" w:rsidRPr="00786C33" w:rsidRDefault="00F15FF5" w:rsidP="00F15FF5">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In 2019 the Office conducted an independent review o</w:t>
      </w:r>
      <w:r w:rsidR="006B5488" w:rsidRPr="00786C33">
        <w:rPr>
          <w:rFonts w:ascii="Times New Roman" w:hAnsi="Times New Roman"/>
          <w:sz w:val="24"/>
          <w:szCs w:val="24"/>
        </w:rPr>
        <w:t>n</w:t>
      </w:r>
      <w:r w:rsidRPr="00786C33">
        <w:rPr>
          <w:rFonts w:ascii="Times New Roman" w:hAnsi="Times New Roman"/>
          <w:sz w:val="24"/>
          <w:szCs w:val="24"/>
        </w:rPr>
        <w:t xml:space="preserve"> the assessment of textbooks in relation to gender equality</w:t>
      </w:r>
      <w:r w:rsidRPr="00786C33">
        <w:rPr>
          <w:rStyle w:val="FootnoteReference"/>
          <w:rFonts w:ascii="Times New Roman" w:hAnsi="Times New Roman"/>
          <w:sz w:val="24"/>
          <w:szCs w:val="24"/>
        </w:rPr>
        <w:footnoteReference w:id="31"/>
      </w:r>
      <w:r w:rsidRPr="00786C33">
        <w:rPr>
          <w:rFonts w:ascii="Times New Roman" w:hAnsi="Times New Roman"/>
          <w:sz w:val="24"/>
          <w:szCs w:val="24"/>
        </w:rPr>
        <w:t xml:space="preserve">. The review, which included 32 textbooks intended for sixth-seventh grade pupils, revealed that said materials contain significantly divergent representation and social roles for women and men. Women are often depicted in the background, as lacking financial resources, and their creative input typically remains </w:t>
      </w:r>
      <w:proofErr w:type="spellStart"/>
      <w:r w:rsidRPr="00786C33">
        <w:rPr>
          <w:rFonts w:ascii="Times New Roman" w:hAnsi="Times New Roman"/>
          <w:sz w:val="24"/>
          <w:szCs w:val="24"/>
        </w:rPr>
        <w:t>underappreciated</w:t>
      </w:r>
      <w:proofErr w:type="spellEnd"/>
      <w:r w:rsidRPr="00786C33">
        <w:rPr>
          <w:rFonts w:ascii="Times New Roman" w:hAnsi="Times New Roman"/>
          <w:sz w:val="24"/>
          <w:szCs w:val="24"/>
        </w:rPr>
        <w:t xml:space="preserve"> or ignored. Men, on the other hand, are depicted as active, dominant, engaged with many different interests, and their activities are often represented as important and significant. Textbooks are lacking in the depiction of women’s historical experience and roles where they assumed positions of power, as well as representations of women and men in different professions. The emphasis put on stereotypical gender roles in the reviewed textbooks entrench divergent social expectations for girls and boys, which have a long-term impact on pupils’ vocational choices, career opportunities, and pay gap.</w:t>
      </w:r>
    </w:p>
    <w:p w14:paraId="37480416" w14:textId="77777777" w:rsidR="005B201A" w:rsidRPr="00786C33" w:rsidRDefault="00B25082" w:rsidP="005B201A">
      <w:pPr>
        <w:widowControl w:val="0"/>
        <w:numPr>
          <w:ilvl w:val="0"/>
          <w:numId w:val="27"/>
        </w:numPr>
        <w:autoSpaceDE w:val="0"/>
        <w:autoSpaceDN w:val="0"/>
        <w:adjustRightInd w:val="0"/>
        <w:spacing w:before="120" w:after="0" w:line="240" w:lineRule="auto"/>
        <w:ind w:left="0" w:hanging="567"/>
        <w:jc w:val="both"/>
        <w:rPr>
          <w:rFonts w:ascii="Times New Roman" w:hAnsi="Times New Roman"/>
          <w:sz w:val="24"/>
          <w:szCs w:val="24"/>
        </w:rPr>
      </w:pPr>
      <w:r w:rsidRPr="00786C33">
        <w:rPr>
          <w:rFonts w:ascii="Times New Roman" w:hAnsi="Times New Roman"/>
          <w:sz w:val="24"/>
          <w:szCs w:val="24"/>
        </w:rPr>
        <w:t xml:space="preserve">It is noteworthy that at the moment the Ministry of Education, Science and Sport is conducting </w:t>
      </w:r>
      <w:r w:rsidRPr="00786C33">
        <w:rPr>
          <w:rFonts w:ascii="Times New Roman" w:hAnsi="Times New Roman"/>
          <w:sz w:val="24"/>
          <w:szCs w:val="24"/>
        </w:rPr>
        <w:lastRenderedPageBreak/>
        <w:t xml:space="preserve">the process of updating the general education </w:t>
      </w:r>
      <w:proofErr w:type="spellStart"/>
      <w:r w:rsidRPr="00786C33">
        <w:rPr>
          <w:rFonts w:ascii="Times New Roman" w:hAnsi="Times New Roman"/>
          <w:sz w:val="24"/>
          <w:szCs w:val="24"/>
        </w:rPr>
        <w:t>programme</w:t>
      </w:r>
      <w:r w:rsidR="00B45174" w:rsidRPr="00786C33">
        <w:rPr>
          <w:rFonts w:ascii="Times New Roman" w:hAnsi="Times New Roman"/>
          <w:sz w:val="24"/>
          <w:szCs w:val="24"/>
        </w:rPr>
        <w:t>s</w:t>
      </w:r>
      <w:proofErr w:type="spellEnd"/>
      <w:r w:rsidRPr="00786C33">
        <w:rPr>
          <w:rFonts w:ascii="Times New Roman" w:hAnsi="Times New Roman"/>
          <w:sz w:val="24"/>
          <w:szCs w:val="24"/>
        </w:rPr>
        <w:t>, which is a guiding long-term document for organizing primary and secondary education until 2030</w:t>
      </w:r>
      <w:r w:rsidRPr="00786C33">
        <w:rPr>
          <w:rStyle w:val="FootnoteReference"/>
          <w:rFonts w:ascii="Times New Roman" w:hAnsi="Times New Roman"/>
          <w:sz w:val="24"/>
          <w:szCs w:val="24"/>
        </w:rPr>
        <w:footnoteReference w:id="32"/>
      </w:r>
      <w:r w:rsidRPr="00786C33">
        <w:rPr>
          <w:rFonts w:ascii="Times New Roman" w:hAnsi="Times New Roman"/>
          <w:sz w:val="24"/>
          <w:szCs w:val="24"/>
        </w:rPr>
        <w:t>. At the moment the guidelines</w:t>
      </w:r>
      <w:r w:rsidR="00B45174" w:rsidRPr="00786C33">
        <w:rPr>
          <w:rFonts w:ascii="Times New Roman" w:hAnsi="Times New Roman"/>
          <w:sz w:val="24"/>
          <w:szCs w:val="24"/>
        </w:rPr>
        <w:t xml:space="preserve"> for updating the general education </w:t>
      </w:r>
      <w:proofErr w:type="spellStart"/>
      <w:r w:rsidR="00B45174" w:rsidRPr="00786C33">
        <w:rPr>
          <w:rFonts w:ascii="Times New Roman" w:hAnsi="Times New Roman"/>
          <w:sz w:val="24"/>
          <w:szCs w:val="24"/>
        </w:rPr>
        <w:t>programmes</w:t>
      </w:r>
      <w:proofErr w:type="spellEnd"/>
      <w:r w:rsidR="00B45174" w:rsidRPr="00786C33">
        <w:rPr>
          <w:rFonts w:ascii="Times New Roman" w:hAnsi="Times New Roman"/>
          <w:sz w:val="24"/>
          <w:szCs w:val="24"/>
        </w:rPr>
        <w:t xml:space="preserve"> do not comprehensively address the topic</w:t>
      </w:r>
      <w:r w:rsidR="00C075AF" w:rsidRPr="00786C33">
        <w:rPr>
          <w:rFonts w:ascii="Times New Roman" w:hAnsi="Times New Roman"/>
          <w:sz w:val="24"/>
          <w:szCs w:val="24"/>
        </w:rPr>
        <w:t>s</w:t>
      </w:r>
      <w:r w:rsidR="00B45174" w:rsidRPr="00786C33">
        <w:rPr>
          <w:rFonts w:ascii="Times New Roman" w:hAnsi="Times New Roman"/>
          <w:sz w:val="24"/>
          <w:szCs w:val="24"/>
        </w:rPr>
        <w:t xml:space="preserve"> of gender equality and (or) human rights education</w:t>
      </w:r>
      <w:r w:rsidR="00B45174" w:rsidRPr="00786C33">
        <w:rPr>
          <w:rStyle w:val="FootnoteReference"/>
          <w:rFonts w:ascii="Times New Roman" w:hAnsi="Times New Roman"/>
          <w:sz w:val="24"/>
          <w:szCs w:val="24"/>
        </w:rPr>
        <w:footnoteReference w:id="33"/>
      </w:r>
      <w:r w:rsidR="00C075AF" w:rsidRPr="00786C33">
        <w:rPr>
          <w:rFonts w:ascii="Times New Roman" w:hAnsi="Times New Roman"/>
          <w:sz w:val="24"/>
          <w:szCs w:val="24"/>
        </w:rPr>
        <w:t xml:space="preserve">. On 14 May 2015 the Office approached the Ministry of Education, Science and Sport with the request to comprehensively mainstream the aspect of gender within the process of updating the general education </w:t>
      </w:r>
      <w:proofErr w:type="spellStart"/>
      <w:r w:rsidR="00C075AF" w:rsidRPr="00786C33">
        <w:rPr>
          <w:rFonts w:ascii="Times New Roman" w:hAnsi="Times New Roman"/>
          <w:sz w:val="24"/>
          <w:szCs w:val="24"/>
        </w:rPr>
        <w:t>programmes</w:t>
      </w:r>
      <w:proofErr w:type="spellEnd"/>
      <w:r w:rsidR="00C075AF" w:rsidRPr="00786C33">
        <w:rPr>
          <w:rStyle w:val="FootnoteReference"/>
          <w:rFonts w:ascii="Times New Roman" w:hAnsi="Times New Roman"/>
          <w:sz w:val="24"/>
          <w:szCs w:val="24"/>
        </w:rPr>
        <w:footnoteReference w:id="34"/>
      </w:r>
      <w:r w:rsidR="00C075AF" w:rsidRPr="00786C33">
        <w:rPr>
          <w:rFonts w:ascii="Times New Roman" w:hAnsi="Times New Roman"/>
          <w:sz w:val="24"/>
          <w:szCs w:val="24"/>
        </w:rPr>
        <w:t>.</w:t>
      </w:r>
      <w:r w:rsidR="00B45174" w:rsidRPr="00786C33">
        <w:rPr>
          <w:rFonts w:ascii="Times New Roman" w:hAnsi="Times New Roman"/>
          <w:sz w:val="24"/>
          <w:szCs w:val="24"/>
        </w:rPr>
        <w:t xml:space="preserve"> </w:t>
      </w:r>
    </w:p>
    <w:p w14:paraId="60D18D17" w14:textId="77777777" w:rsidR="00C075AF" w:rsidRPr="00786C33" w:rsidRDefault="00C075AF" w:rsidP="00C075AF">
      <w:pPr>
        <w:widowControl w:val="0"/>
        <w:autoSpaceDE w:val="0"/>
        <w:autoSpaceDN w:val="0"/>
        <w:adjustRightInd w:val="0"/>
        <w:spacing w:before="120" w:after="0" w:line="240" w:lineRule="auto"/>
        <w:jc w:val="both"/>
        <w:rPr>
          <w:rFonts w:ascii="Times New Roman" w:hAnsi="Times New Roman"/>
          <w:sz w:val="24"/>
          <w:szCs w:val="24"/>
        </w:rPr>
      </w:pPr>
    </w:p>
    <w:p w14:paraId="621EA809" w14:textId="77777777" w:rsidR="00394945" w:rsidRPr="00A32CF1" w:rsidRDefault="00C03D63" w:rsidP="00A32CF1">
      <w:pPr>
        <w:spacing w:before="120"/>
        <w:jc w:val="center"/>
        <w:rPr>
          <w:rFonts w:ascii="Times New Roman" w:hAnsi="Times New Roman"/>
        </w:rPr>
      </w:pPr>
      <w:r w:rsidRPr="00786C33">
        <w:rPr>
          <w:rFonts w:ascii="Times New Roman" w:hAnsi="Times New Roman"/>
        </w:rPr>
        <w:t>***</w:t>
      </w:r>
    </w:p>
    <w:sectPr w:rsidR="00394945" w:rsidRPr="00A32CF1" w:rsidSect="00142682">
      <w:footerReference w:type="default" r:id="rId11"/>
      <w:type w:val="continuous"/>
      <w:pgSz w:w="11907" w:h="16839" w:code="9"/>
      <w:pgMar w:top="1417" w:right="1417" w:bottom="1417"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091F" w14:textId="77777777" w:rsidR="004B628E" w:rsidRDefault="004B628E" w:rsidP="00CC281D">
      <w:pPr>
        <w:spacing w:after="0" w:line="240" w:lineRule="auto"/>
      </w:pPr>
      <w:r>
        <w:separator/>
      </w:r>
    </w:p>
  </w:endnote>
  <w:endnote w:type="continuationSeparator" w:id="0">
    <w:p w14:paraId="39EF4EDF" w14:textId="77777777" w:rsidR="004B628E" w:rsidRDefault="004B628E" w:rsidP="00CC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NewtonC">
    <w:altName w:val="Times New Roman"/>
    <w:panose1 w:val="020B0604020202020204"/>
    <w:charset w:val="CC"/>
    <w:family w:val="auto"/>
    <w:pitch w:val="default"/>
    <w:sig w:usb0="00000201" w:usb1="00000000" w:usb2="00000000" w:usb3="00000000" w:csb0="00000004" w:csb1="00000000"/>
  </w:font>
  <w:font w:name="TimesNewRoman,Bold">
    <w:altName w:val="Times New Roman"/>
    <w:panose1 w:val="020B0604020202020204"/>
    <w:charset w:val="00"/>
    <w:family w:val="roman"/>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AAE0" w14:textId="77777777" w:rsidR="00E01521" w:rsidRPr="00797B30" w:rsidRDefault="00E01521" w:rsidP="00797B30">
    <w:pPr>
      <w:pStyle w:val="Footer"/>
      <w:jc w:val="right"/>
      <w:rPr>
        <w:sz w:val="20"/>
        <w:szCs w:val="20"/>
      </w:rPr>
    </w:pPr>
    <w:r w:rsidRPr="00B70AA4">
      <w:rPr>
        <w:sz w:val="20"/>
        <w:szCs w:val="20"/>
      </w:rPr>
      <w:fldChar w:fldCharType="begin"/>
    </w:r>
    <w:r w:rsidRPr="00B70AA4">
      <w:rPr>
        <w:sz w:val="20"/>
        <w:szCs w:val="20"/>
      </w:rPr>
      <w:instrText xml:space="preserve"> PAGE   \* MERGEFORMAT </w:instrText>
    </w:r>
    <w:r w:rsidRPr="00B70AA4">
      <w:rPr>
        <w:sz w:val="20"/>
        <w:szCs w:val="20"/>
      </w:rPr>
      <w:fldChar w:fldCharType="separate"/>
    </w:r>
    <w:r w:rsidR="00CE222E">
      <w:rPr>
        <w:noProof/>
        <w:sz w:val="20"/>
        <w:szCs w:val="20"/>
      </w:rPr>
      <w:t>6</w:t>
    </w:r>
    <w:r w:rsidRPr="00B70AA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1411" w14:textId="77777777" w:rsidR="004B628E" w:rsidRDefault="004B628E" w:rsidP="00CC281D">
      <w:pPr>
        <w:spacing w:after="0" w:line="240" w:lineRule="auto"/>
      </w:pPr>
      <w:r>
        <w:separator/>
      </w:r>
    </w:p>
  </w:footnote>
  <w:footnote w:type="continuationSeparator" w:id="0">
    <w:p w14:paraId="4EEE830E" w14:textId="77777777" w:rsidR="004B628E" w:rsidRDefault="004B628E" w:rsidP="00CC281D">
      <w:pPr>
        <w:spacing w:after="0" w:line="240" w:lineRule="auto"/>
      </w:pPr>
      <w:r>
        <w:continuationSeparator/>
      </w:r>
    </w:p>
  </w:footnote>
  <w:footnote w:id="1">
    <w:p w14:paraId="0D91CC3F" w14:textId="77777777" w:rsidR="004C1337" w:rsidRPr="00C075AF" w:rsidRDefault="00766EE6" w:rsidP="00BA0A72">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00827950" w:rsidRPr="00C075AF">
        <w:rPr>
          <w:rFonts w:ascii="Times New Roman" w:hAnsi="Times New Roman"/>
          <w:lang w:val="en-US"/>
        </w:rPr>
        <w:t xml:space="preserve">Lietuvos </w:t>
      </w:r>
      <w:proofErr w:type="spellStart"/>
      <w:r w:rsidR="00827950" w:rsidRPr="00C075AF">
        <w:rPr>
          <w:rFonts w:ascii="Times New Roman" w:hAnsi="Times New Roman"/>
          <w:lang w:val="en-US"/>
        </w:rPr>
        <w:t>Respublikos</w:t>
      </w:r>
      <w:proofErr w:type="spellEnd"/>
      <w:r w:rsidR="00827950" w:rsidRPr="00C075AF">
        <w:rPr>
          <w:rFonts w:ascii="Times New Roman" w:hAnsi="Times New Roman"/>
          <w:lang w:val="en-US"/>
        </w:rPr>
        <w:t xml:space="preserve"> </w:t>
      </w:r>
      <w:proofErr w:type="spellStart"/>
      <w:r w:rsidR="00827950" w:rsidRPr="00C075AF">
        <w:rPr>
          <w:rFonts w:ascii="Times New Roman" w:hAnsi="Times New Roman"/>
          <w:lang w:val="en-US"/>
        </w:rPr>
        <w:t>moterų</w:t>
      </w:r>
      <w:proofErr w:type="spellEnd"/>
      <w:r w:rsidR="00827950" w:rsidRPr="00C075AF">
        <w:rPr>
          <w:rFonts w:ascii="Times New Roman" w:hAnsi="Times New Roman"/>
          <w:lang w:val="en-US"/>
        </w:rPr>
        <w:t xml:space="preserve"> </w:t>
      </w:r>
      <w:proofErr w:type="spellStart"/>
      <w:r w:rsidR="00827950" w:rsidRPr="00C075AF">
        <w:rPr>
          <w:rFonts w:ascii="Times New Roman" w:hAnsi="Times New Roman"/>
          <w:lang w:val="en-US"/>
        </w:rPr>
        <w:t>ir</w:t>
      </w:r>
      <w:proofErr w:type="spellEnd"/>
      <w:r w:rsidR="00827950" w:rsidRPr="00C075AF">
        <w:rPr>
          <w:rFonts w:ascii="Times New Roman" w:hAnsi="Times New Roman"/>
          <w:lang w:val="en-US"/>
        </w:rPr>
        <w:t xml:space="preserve"> </w:t>
      </w:r>
      <w:proofErr w:type="spellStart"/>
      <w:r w:rsidR="00827950" w:rsidRPr="00C075AF">
        <w:rPr>
          <w:rFonts w:ascii="Times New Roman" w:hAnsi="Times New Roman"/>
          <w:lang w:val="en-US"/>
        </w:rPr>
        <w:t>vyrų</w:t>
      </w:r>
      <w:proofErr w:type="spellEnd"/>
      <w:r w:rsidR="00827950" w:rsidRPr="00C075AF">
        <w:rPr>
          <w:rFonts w:ascii="Times New Roman" w:hAnsi="Times New Roman"/>
          <w:lang w:val="en-US"/>
        </w:rPr>
        <w:t xml:space="preserve"> </w:t>
      </w:r>
      <w:proofErr w:type="spellStart"/>
      <w:r w:rsidR="00827950" w:rsidRPr="00C075AF">
        <w:rPr>
          <w:rFonts w:ascii="Times New Roman" w:hAnsi="Times New Roman"/>
          <w:lang w:val="en-US"/>
        </w:rPr>
        <w:t>lygių</w:t>
      </w:r>
      <w:proofErr w:type="spellEnd"/>
      <w:r w:rsidR="00827950" w:rsidRPr="00C075AF">
        <w:rPr>
          <w:rFonts w:ascii="Times New Roman" w:hAnsi="Times New Roman"/>
          <w:lang w:val="en-US"/>
        </w:rPr>
        <w:t xml:space="preserve"> </w:t>
      </w:r>
      <w:proofErr w:type="spellStart"/>
      <w:r w:rsidR="00827950" w:rsidRPr="00C075AF">
        <w:rPr>
          <w:rFonts w:ascii="Times New Roman" w:hAnsi="Times New Roman"/>
          <w:lang w:val="en-US"/>
        </w:rPr>
        <w:t>galimybių</w:t>
      </w:r>
      <w:proofErr w:type="spellEnd"/>
      <w:r w:rsidR="00827950" w:rsidRPr="00C075AF">
        <w:rPr>
          <w:rFonts w:ascii="Times New Roman" w:hAnsi="Times New Roman"/>
          <w:lang w:val="en-US"/>
        </w:rPr>
        <w:t xml:space="preserve"> </w:t>
      </w:r>
      <w:proofErr w:type="spellStart"/>
      <w:r w:rsidR="00827950" w:rsidRPr="00C075AF">
        <w:rPr>
          <w:rFonts w:ascii="Times New Roman" w:hAnsi="Times New Roman"/>
          <w:lang w:val="en-US"/>
        </w:rPr>
        <w:t>įstatymas</w:t>
      </w:r>
      <w:proofErr w:type="spellEnd"/>
      <w:r w:rsidR="004C1337" w:rsidRPr="00C075AF">
        <w:rPr>
          <w:rFonts w:ascii="Times New Roman" w:hAnsi="Times New Roman"/>
          <w:lang w:val="en-US"/>
        </w:rPr>
        <w:t xml:space="preserve"> (Eng. “Law on Equal Opportunities for Women and Men of the Republic of Lithuania”)</w:t>
      </w:r>
      <w:r w:rsidR="002F69A6" w:rsidRPr="00C075AF">
        <w:rPr>
          <w:rFonts w:ascii="Times New Roman" w:hAnsi="Times New Roman"/>
          <w:lang w:val="en-US"/>
        </w:rPr>
        <w:t>, No.</w:t>
      </w:r>
      <w:r w:rsidR="00827950" w:rsidRPr="00C075AF">
        <w:rPr>
          <w:rFonts w:ascii="Times New Roman" w:hAnsi="Times New Roman"/>
          <w:lang w:val="en-US"/>
        </w:rPr>
        <w:t xml:space="preserve"> VIII-947, 1 December 1998, </w:t>
      </w:r>
    </w:p>
    <w:p w14:paraId="2D55489B" w14:textId="77777777" w:rsidR="00766EE6" w:rsidRPr="00C075AF" w:rsidRDefault="004B628E" w:rsidP="00BA0A72">
      <w:pPr>
        <w:pStyle w:val="FootnoteText"/>
        <w:jc w:val="both"/>
        <w:rPr>
          <w:rFonts w:ascii="Times New Roman" w:hAnsi="Times New Roman"/>
          <w:lang w:val="en-US"/>
        </w:rPr>
      </w:pPr>
      <w:hyperlink r:id="rId1" w:history="1">
        <w:r w:rsidR="00827950" w:rsidRPr="00C075AF">
          <w:rPr>
            <w:rStyle w:val="Hyperlink"/>
            <w:rFonts w:ascii="Times New Roman" w:hAnsi="Times New Roman"/>
            <w:lang w:val="en-US"/>
          </w:rPr>
          <w:t>https://www.e-tar.lt/portal/lt/legalAct/TAR.746227138BCB/FLcEVzJmSQ</w:t>
        </w:r>
      </w:hyperlink>
      <w:r w:rsidR="00827950" w:rsidRPr="00C075AF">
        <w:rPr>
          <w:rFonts w:ascii="Times New Roman" w:hAnsi="Times New Roman"/>
          <w:lang w:val="en-US"/>
        </w:rPr>
        <w:t xml:space="preserve">.  </w:t>
      </w:r>
      <w:r w:rsidR="002F69A6" w:rsidRPr="00C075AF">
        <w:rPr>
          <w:rFonts w:ascii="Times New Roman" w:hAnsi="Times New Roman"/>
          <w:lang w:val="en-US"/>
        </w:rPr>
        <w:t xml:space="preserve"> </w:t>
      </w:r>
    </w:p>
  </w:footnote>
  <w:footnote w:id="2">
    <w:p w14:paraId="3BCF333B" w14:textId="77777777" w:rsidR="0061686E" w:rsidRPr="00C075AF" w:rsidRDefault="0061686E" w:rsidP="0061686E">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Lietuvos </w:t>
      </w:r>
      <w:proofErr w:type="spellStart"/>
      <w:r w:rsidRPr="00C075AF">
        <w:rPr>
          <w:rFonts w:ascii="Times New Roman" w:hAnsi="Times New Roman"/>
          <w:lang w:val="en-US"/>
        </w:rPr>
        <w:t>Respublikos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lygių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galimybių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įstatymas</w:t>
      </w:r>
      <w:proofErr w:type="spellEnd"/>
      <w:r w:rsidRPr="00C075AF">
        <w:rPr>
          <w:rFonts w:ascii="Times New Roman" w:hAnsi="Times New Roman"/>
          <w:lang w:val="en-US"/>
        </w:rPr>
        <w:t xml:space="preserve"> (Eng. “Law on Equal Treatment of the Republic of Lithuania”), No. IX-1826, 18 November 2003,  </w:t>
      </w:r>
    </w:p>
    <w:p w14:paraId="16ED3EDE" w14:textId="77777777" w:rsidR="0061686E" w:rsidRPr="00C075AF" w:rsidRDefault="004B628E" w:rsidP="0061686E">
      <w:pPr>
        <w:pStyle w:val="FootnoteText"/>
        <w:jc w:val="both"/>
        <w:rPr>
          <w:rFonts w:ascii="Times New Roman" w:hAnsi="Times New Roman"/>
          <w:lang w:val="en-US"/>
        </w:rPr>
      </w:pPr>
      <w:hyperlink r:id="rId2" w:history="1">
        <w:r w:rsidR="0061686E" w:rsidRPr="00C075AF">
          <w:rPr>
            <w:rStyle w:val="Hyperlink"/>
            <w:rFonts w:ascii="Times New Roman" w:hAnsi="Times New Roman"/>
            <w:lang w:val="en-US"/>
          </w:rPr>
          <w:t>https://e-seimas.lrs.lt/portal/legalAct/lt/TAD/TAIS.222522/ZomTdZpPUx</w:t>
        </w:r>
      </w:hyperlink>
      <w:r w:rsidR="0061686E" w:rsidRPr="00C075AF">
        <w:rPr>
          <w:rFonts w:ascii="Times New Roman" w:hAnsi="Times New Roman"/>
          <w:lang w:val="en-US"/>
        </w:rPr>
        <w:t xml:space="preserve">. </w:t>
      </w:r>
    </w:p>
  </w:footnote>
  <w:footnote w:id="3">
    <w:p w14:paraId="26919BB9" w14:textId="77777777" w:rsidR="00A92AC8" w:rsidRDefault="0061686E" w:rsidP="0061686E">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Harassment and sexual harassment in the field of provision of goods and services is not covered by the national legislation.</w:t>
      </w:r>
      <w:r w:rsidR="00B04F2E" w:rsidRPr="00C075AF">
        <w:rPr>
          <w:rFonts w:ascii="Times New Roman" w:hAnsi="Times New Roman"/>
          <w:lang w:val="en-US"/>
        </w:rPr>
        <w:t xml:space="preserve"> On 17 September 2019 the Lithuanian Parliament agreed to consider the new edition of the Law on Equal Treatment, which would extend the prohibition of harassment and sexual harassment in the field of provision of goods and services</w:t>
      </w:r>
      <w:r w:rsidR="004A3126" w:rsidRPr="00C075AF">
        <w:rPr>
          <w:rFonts w:ascii="Times New Roman" w:hAnsi="Times New Roman"/>
          <w:lang w:val="en-US"/>
        </w:rPr>
        <w:t>. S</w:t>
      </w:r>
      <w:r w:rsidR="00B04F2E" w:rsidRPr="00C075AF">
        <w:rPr>
          <w:rFonts w:ascii="Times New Roman" w:hAnsi="Times New Roman"/>
          <w:lang w:val="en-US"/>
        </w:rPr>
        <w:t xml:space="preserve">ee: Lietuvos </w:t>
      </w:r>
      <w:proofErr w:type="spellStart"/>
      <w:r w:rsidR="00B04F2E" w:rsidRPr="00C075AF">
        <w:rPr>
          <w:rFonts w:ascii="Times New Roman" w:hAnsi="Times New Roman"/>
          <w:lang w:val="en-US"/>
        </w:rPr>
        <w:t>Respublikos</w:t>
      </w:r>
      <w:proofErr w:type="spellEnd"/>
      <w:r w:rsidR="00B04F2E" w:rsidRPr="00C075AF">
        <w:rPr>
          <w:rFonts w:ascii="Times New Roman" w:hAnsi="Times New Roman"/>
          <w:lang w:val="en-US"/>
        </w:rPr>
        <w:t xml:space="preserve"> </w:t>
      </w:r>
      <w:proofErr w:type="spellStart"/>
      <w:r w:rsidR="00B04F2E" w:rsidRPr="00C075AF">
        <w:rPr>
          <w:rFonts w:ascii="Times New Roman" w:hAnsi="Times New Roman"/>
          <w:lang w:val="en-US"/>
        </w:rPr>
        <w:t>lygių</w:t>
      </w:r>
      <w:proofErr w:type="spellEnd"/>
      <w:r w:rsidR="00B04F2E" w:rsidRPr="00C075AF">
        <w:rPr>
          <w:rFonts w:ascii="Times New Roman" w:hAnsi="Times New Roman"/>
          <w:lang w:val="en-US"/>
        </w:rPr>
        <w:t xml:space="preserve"> </w:t>
      </w:r>
      <w:proofErr w:type="spellStart"/>
      <w:r w:rsidR="00B04F2E" w:rsidRPr="00C075AF">
        <w:rPr>
          <w:rFonts w:ascii="Times New Roman" w:hAnsi="Times New Roman"/>
          <w:lang w:val="en-US"/>
        </w:rPr>
        <w:t>galimybių</w:t>
      </w:r>
      <w:proofErr w:type="spellEnd"/>
      <w:r w:rsidR="00B04F2E" w:rsidRPr="00C075AF">
        <w:rPr>
          <w:rFonts w:ascii="Times New Roman" w:hAnsi="Times New Roman"/>
          <w:lang w:val="en-US"/>
        </w:rPr>
        <w:t xml:space="preserve"> </w:t>
      </w:r>
      <w:proofErr w:type="spellStart"/>
      <w:r w:rsidR="00B04F2E" w:rsidRPr="00C075AF">
        <w:rPr>
          <w:rFonts w:ascii="Times New Roman" w:hAnsi="Times New Roman"/>
          <w:lang w:val="en-US"/>
        </w:rPr>
        <w:t>įstatymo</w:t>
      </w:r>
      <w:proofErr w:type="spellEnd"/>
      <w:r w:rsidR="00B04F2E" w:rsidRPr="00C075AF">
        <w:rPr>
          <w:rFonts w:ascii="Times New Roman" w:hAnsi="Times New Roman"/>
          <w:lang w:val="en-US"/>
        </w:rPr>
        <w:t xml:space="preserve"> Nr. IX-1826 </w:t>
      </w:r>
      <w:proofErr w:type="spellStart"/>
      <w:r w:rsidR="00B04F2E" w:rsidRPr="00C075AF">
        <w:rPr>
          <w:rFonts w:ascii="Times New Roman" w:hAnsi="Times New Roman"/>
          <w:lang w:val="en-US"/>
        </w:rPr>
        <w:t>pakeitimo</w:t>
      </w:r>
      <w:proofErr w:type="spellEnd"/>
      <w:r w:rsidR="00B04F2E" w:rsidRPr="00C075AF">
        <w:rPr>
          <w:rFonts w:ascii="Times New Roman" w:hAnsi="Times New Roman"/>
          <w:lang w:val="en-US"/>
        </w:rPr>
        <w:t xml:space="preserve"> </w:t>
      </w:r>
      <w:proofErr w:type="spellStart"/>
      <w:r w:rsidR="00B04F2E" w:rsidRPr="00C075AF">
        <w:rPr>
          <w:rFonts w:ascii="Times New Roman" w:hAnsi="Times New Roman"/>
          <w:lang w:val="en-US"/>
        </w:rPr>
        <w:t>įstatymo</w:t>
      </w:r>
      <w:proofErr w:type="spellEnd"/>
      <w:r w:rsidR="00B04F2E" w:rsidRPr="00C075AF">
        <w:rPr>
          <w:rFonts w:ascii="Times New Roman" w:hAnsi="Times New Roman"/>
          <w:lang w:val="en-US"/>
        </w:rPr>
        <w:t xml:space="preserve"> </w:t>
      </w:r>
      <w:proofErr w:type="spellStart"/>
      <w:r w:rsidR="00B04F2E" w:rsidRPr="00C075AF">
        <w:rPr>
          <w:rFonts w:ascii="Times New Roman" w:hAnsi="Times New Roman"/>
          <w:lang w:val="en-US"/>
        </w:rPr>
        <w:t>projektas</w:t>
      </w:r>
      <w:proofErr w:type="spellEnd"/>
      <w:r w:rsidR="00B04F2E" w:rsidRPr="00C075AF">
        <w:rPr>
          <w:rFonts w:ascii="Times New Roman" w:hAnsi="Times New Roman"/>
          <w:lang w:val="en-US"/>
        </w:rPr>
        <w:t xml:space="preserve"> (</w:t>
      </w:r>
      <w:proofErr w:type="spellStart"/>
      <w:r w:rsidR="00B04F2E" w:rsidRPr="00C075AF">
        <w:rPr>
          <w:rFonts w:ascii="Times New Roman" w:hAnsi="Times New Roman"/>
          <w:lang w:val="en-US"/>
        </w:rPr>
        <w:t>nauja</w:t>
      </w:r>
      <w:proofErr w:type="spellEnd"/>
      <w:r w:rsidR="00B04F2E" w:rsidRPr="00C075AF">
        <w:rPr>
          <w:rFonts w:ascii="Times New Roman" w:hAnsi="Times New Roman"/>
          <w:lang w:val="en-US"/>
        </w:rPr>
        <w:t xml:space="preserve"> </w:t>
      </w:r>
      <w:proofErr w:type="spellStart"/>
      <w:r w:rsidR="00B04F2E" w:rsidRPr="00C075AF">
        <w:rPr>
          <w:rFonts w:ascii="Times New Roman" w:hAnsi="Times New Roman"/>
          <w:lang w:val="en-US"/>
        </w:rPr>
        <w:t>redakcija</w:t>
      </w:r>
      <w:proofErr w:type="spellEnd"/>
      <w:r w:rsidR="00B04F2E" w:rsidRPr="00C075AF">
        <w:rPr>
          <w:rFonts w:ascii="Times New Roman" w:hAnsi="Times New Roman"/>
          <w:lang w:val="en-US"/>
        </w:rPr>
        <w:t>) (Eng. “</w:t>
      </w:r>
      <w:proofErr w:type="spellStart"/>
      <w:r w:rsidR="00B04F2E" w:rsidRPr="00C075AF">
        <w:rPr>
          <w:rFonts w:ascii="Times New Roman" w:hAnsi="Times New Roman"/>
          <w:lang w:val="en-US"/>
        </w:rPr>
        <w:t>Draf</w:t>
      </w:r>
      <w:proofErr w:type="spellEnd"/>
      <w:r w:rsidR="00B04F2E" w:rsidRPr="00C075AF">
        <w:rPr>
          <w:rFonts w:ascii="Times New Roman" w:hAnsi="Times New Roman"/>
          <w:lang w:val="en-US"/>
        </w:rPr>
        <w:t xml:space="preserve"> Law on Amending the Law on Equal Treatment of the Republic of Lithuania No. IX-1826 (New Edition)”), No. XIIIP-3512, 30 May 2019, </w:t>
      </w:r>
    </w:p>
    <w:p w14:paraId="3B0FD037" w14:textId="77777777" w:rsidR="0061686E" w:rsidRPr="00C075AF" w:rsidRDefault="004B628E" w:rsidP="0061686E">
      <w:pPr>
        <w:pStyle w:val="FootnoteText"/>
        <w:jc w:val="both"/>
        <w:rPr>
          <w:rFonts w:ascii="Times New Roman" w:hAnsi="Times New Roman"/>
          <w:lang w:val="en-US"/>
        </w:rPr>
      </w:pPr>
      <w:hyperlink r:id="rId3" w:history="1">
        <w:r w:rsidR="00A92AC8" w:rsidRPr="00142719">
          <w:rPr>
            <w:rStyle w:val="Hyperlink"/>
            <w:rFonts w:ascii="Times New Roman" w:hAnsi="Times New Roman"/>
            <w:lang w:val="en-US"/>
          </w:rPr>
          <w:t>https://e-seimas.lrs.lt/portal/legalAct/lt/TAP/96f31cf082b411e98a8298567570d639</w:t>
        </w:r>
      </w:hyperlink>
      <w:r w:rsidR="00B04F2E" w:rsidRPr="00C075AF">
        <w:rPr>
          <w:rFonts w:ascii="Times New Roman" w:hAnsi="Times New Roman"/>
          <w:lang w:val="en-US"/>
        </w:rPr>
        <w:t xml:space="preserve">. </w:t>
      </w:r>
    </w:p>
  </w:footnote>
  <w:footnote w:id="4">
    <w:p w14:paraId="68B396CF" w14:textId="77777777" w:rsidR="002A7ED2" w:rsidRPr="00C075AF" w:rsidRDefault="002A7ED2" w:rsidP="00BA0A72">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00827950" w:rsidRPr="00C075AF">
        <w:rPr>
          <w:rFonts w:ascii="Times New Roman" w:hAnsi="Times New Roman"/>
          <w:lang w:val="en-US"/>
        </w:rPr>
        <w:t xml:space="preserve">Lietuvos </w:t>
      </w:r>
      <w:proofErr w:type="spellStart"/>
      <w:r w:rsidR="00827950" w:rsidRPr="00C075AF">
        <w:rPr>
          <w:rFonts w:ascii="Times New Roman" w:hAnsi="Times New Roman"/>
          <w:lang w:val="en-US"/>
        </w:rPr>
        <w:t>Respublikos</w:t>
      </w:r>
      <w:proofErr w:type="spellEnd"/>
      <w:r w:rsidR="00827950" w:rsidRPr="00C075AF">
        <w:rPr>
          <w:rFonts w:ascii="Times New Roman" w:hAnsi="Times New Roman"/>
          <w:lang w:val="en-US"/>
        </w:rPr>
        <w:t xml:space="preserve"> </w:t>
      </w:r>
      <w:proofErr w:type="spellStart"/>
      <w:r w:rsidR="00827950" w:rsidRPr="00C075AF">
        <w:rPr>
          <w:rFonts w:ascii="Times New Roman" w:hAnsi="Times New Roman"/>
          <w:lang w:val="en-US"/>
        </w:rPr>
        <w:t>lygių</w:t>
      </w:r>
      <w:proofErr w:type="spellEnd"/>
      <w:r w:rsidR="00827950" w:rsidRPr="00C075AF">
        <w:rPr>
          <w:rFonts w:ascii="Times New Roman" w:hAnsi="Times New Roman"/>
          <w:lang w:val="en-US"/>
        </w:rPr>
        <w:t xml:space="preserve"> </w:t>
      </w:r>
      <w:proofErr w:type="spellStart"/>
      <w:r w:rsidR="00827950" w:rsidRPr="00C075AF">
        <w:rPr>
          <w:rFonts w:ascii="Times New Roman" w:hAnsi="Times New Roman"/>
          <w:lang w:val="en-US"/>
        </w:rPr>
        <w:t>galimybių</w:t>
      </w:r>
      <w:proofErr w:type="spellEnd"/>
      <w:r w:rsidR="00827950" w:rsidRPr="00C075AF">
        <w:rPr>
          <w:rFonts w:ascii="Times New Roman" w:hAnsi="Times New Roman"/>
          <w:lang w:val="en-US"/>
        </w:rPr>
        <w:t xml:space="preserve"> </w:t>
      </w:r>
      <w:proofErr w:type="spellStart"/>
      <w:r w:rsidR="00827950" w:rsidRPr="00C075AF">
        <w:rPr>
          <w:rFonts w:ascii="Times New Roman" w:hAnsi="Times New Roman"/>
          <w:lang w:val="en-US"/>
        </w:rPr>
        <w:t>įstatymo</w:t>
      </w:r>
      <w:proofErr w:type="spellEnd"/>
      <w:r w:rsidR="00827950" w:rsidRPr="00C075AF">
        <w:rPr>
          <w:rFonts w:ascii="Times New Roman" w:hAnsi="Times New Roman"/>
          <w:lang w:val="en-US"/>
        </w:rPr>
        <w:t xml:space="preserve"> Nr. IX-1826 </w:t>
      </w:r>
      <w:proofErr w:type="spellStart"/>
      <w:r w:rsidR="00827950" w:rsidRPr="00C075AF">
        <w:rPr>
          <w:rFonts w:ascii="Times New Roman" w:hAnsi="Times New Roman"/>
          <w:lang w:val="en-US"/>
        </w:rPr>
        <w:t>pakeitimo</w:t>
      </w:r>
      <w:proofErr w:type="spellEnd"/>
      <w:r w:rsidR="00827950" w:rsidRPr="00C075AF">
        <w:rPr>
          <w:rFonts w:ascii="Times New Roman" w:hAnsi="Times New Roman"/>
          <w:lang w:val="en-US"/>
        </w:rPr>
        <w:t xml:space="preserve"> </w:t>
      </w:r>
      <w:proofErr w:type="spellStart"/>
      <w:r w:rsidR="00827950" w:rsidRPr="00C075AF">
        <w:rPr>
          <w:rFonts w:ascii="Times New Roman" w:hAnsi="Times New Roman"/>
          <w:lang w:val="en-US"/>
        </w:rPr>
        <w:t>įstatymas</w:t>
      </w:r>
      <w:proofErr w:type="spellEnd"/>
      <w:r w:rsidR="004C1337" w:rsidRPr="00C075AF">
        <w:rPr>
          <w:rFonts w:ascii="Times New Roman" w:hAnsi="Times New Roman"/>
          <w:lang w:val="en-US"/>
        </w:rPr>
        <w:t xml:space="preserve"> (Eng. “Law on Amending the Law on Equal Treatment of the Republic of Lithuania No. IX-1826”)</w:t>
      </w:r>
      <w:r w:rsidR="00827950" w:rsidRPr="00C075AF">
        <w:rPr>
          <w:rFonts w:ascii="Times New Roman" w:hAnsi="Times New Roman"/>
          <w:lang w:val="en-US"/>
        </w:rPr>
        <w:t xml:space="preserve">, No. XII-2768, 8 November 2016, </w:t>
      </w:r>
      <w:hyperlink r:id="rId4" w:history="1">
        <w:r w:rsidR="00827950" w:rsidRPr="00C075AF">
          <w:rPr>
            <w:rStyle w:val="Hyperlink"/>
            <w:rFonts w:ascii="Times New Roman" w:hAnsi="Times New Roman"/>
            <w:lang w:val="en-US"/>
          </w:rPr>
          <w:t>https://e-seimas.lrs.lt/portal/legalAct/lt/TAD/196bcda2a74b11e68987e8320e9a5185?jfwid=i0s9d01kt</w:t>
        </w:r>
      </w:hyperlink>
      <w:r w:rsidR="00827950" w:rsidRPr="00C075AF">
        <w:rPr>
          <w:rFonts w:ascii="Times New Roman" w:hAnsi="Times New Roman"/>
          <w:lang w:val="en-US"/>
        </w:rPr>
        <w:t xml:space="preserve">. </w:t>
      </w:r>
    </w:p>
  </w:footnote>
  <w:footnote w:id="5">
    <w:p w14:paraId="4CAD7251" w14:textId="77777777" w:rsidR="0027630B" w:rsidRPr="00C075AF" w:rsidRDefault="009E1185" w:rsidP="0027630B">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0027630B" w:rsidRPr="00C075AF">
        <w:rPr>
          <w:rFonts w:ascii="Times New Roman" w:hAnsi="Times New Roman"/>
          <w:lang w:val="en-US"/>
        </w:rPr>
        <w:t xml:space="preserve">List of issues and questions in relation to the sixth periodic report of Lithuania, No. CEDAW/C/LTU/Q/6, 18 March 2019, </w:t>
      </w:r>
    </w:p>
    <w:p w14:paraId="35077594" w14:textId="77777777" w:rsidR="009E1185" w:rsidRPr="00C075AF" w:rsidRDefault="004B628E" w:rsidP="0027630B">
      <w:pPr>
        <w:pStyle w:val="FootnoteText"/>
        <w:jc w:val="both"/>
        <w:rPr>
          <w:rFonts w:ascii="Times New Roman" w:hAnsi="Times New Roman"/>
          <w:lang w:val="en-US"/>
        </w:rPr>
      </w:pPr>
      <w:hyperlink r:id="rId5" w:history="1">
        <w:r w:rsidR="0027630B" w:rsidRPr="00C075AF">
          <w:rPr>
            <w:rStyle w:val="Hyperlink"/>
            <w:rFonts w:ascii="Times New Roman" w:hAnsi="Times New Roman"/>
            <w:lang w:val="en-US"/>
          </w:rPr>
          <w:t>http://docstore.ohchr.org/SelfServices/FilesHandler.ashx?enc=6QkG1d%2fPPRiCAqhKb7yhsvxlfhYepfIYmW0eRMA3oVtP%2bHgelJb66OxyoqiAHydk3FVUtInAnWQ%2fcDrwPjoxq1qcNUWHk%2bfSb19zUdBDl%2b7YcLHdt9RFjR6hTjdZfO59</w:t>
        </w:r>
      </w:hyperlink>
      <w:r w:rsidR="0027630B" w:rsidRPr="00C075AF">
        <w:rPr>
          <w:rFonts w:ascii="Times New Roman" w:hAnsi="Times New Roman"/>
          <w:lang w:val="en-US"/>
        </w:rPr>
        <w:t xml:space="preserve">. </w:t>
      </w:r>
    </w:p>
  </w:footnote>
  <w:footnote w:id="6">
    <w:p w14:paraId="7A3674AC" w14:textId="77777777" w:rsidR="0061686E" w:rsidRPr="00C075AF" w:rsidRDefault="0061686E" w:rsidP="0027630B">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0027630B" w:rsidRPr="00C075AF">
        <w:rPr>
          <w:rFonts w:ascii="Times New Roman" w:hAnsi="Times New Roman"/>
          <w:lang w:val="en-US"/>
        </w:rPr>
        <w:t xml:space="preserve">Ministry of Social Security and Labor, “Dėl </w:t>
      </w:r>
      <w:proofErr w:type="spellStart"/>
      <w:r w:rsidR="0027630B" w:rsidRPr="00C075AF">
        <w:rPr>
          <w:rFonts w:ascii="Times New Roman" w:hAnsi="Times New Roman"/>
          <w:lang w:val="en-US"/>
        </w:rPr>
        <w:t>Jungtinių</w:t>
      </w:r>
      <w:proofErr w:type="spellEnd"/>
      <w:r w:rsidR="0027630B" w:rsidRPr="00C075AF">
        <w:rPr>
          <w:rFonts w:ascii="Times New Roman" w:hAnsi="Times New Roman"/>
          <w:lang w:val="en-US"/>
        </w:rPr>
        <w:t xml:space="preserve"> Tautų </w:t>
      </w:r>
      <w:proofErr w:type="spellStart"/>
      <w:r w:rsidR="0027630B" w:rsidRPr="00C075AF">
        <w:rPr>
          <w:rFonts w:ascii="Times New Roman" w:hAnsi="Times New Roman"/>
          <w:lang w:val="en-US"/>
        </w:rPr>
        <w:t>moterų</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diskriminacijos</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panaikinimo</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komiteto</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išankstinių</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klausimų</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Lietuvai</w:t>
      </w:r>
      <w:proofErr w:type="spellEnd"/>
      <w:r w:rsidR="0027630B" w:rsidRPr="00C075AF">
        <w:rPr>
          <w:rFonts w:ascii="Times New Roman" w:hAnsi="Times New Roman"/>
          <w:lang w:val="en-US"/>
        </w:rPr>
        <w:t>“ (Eng. “Regarding List of Issues by the Committee on the Elimination of Discrimination against Women”), No. (26.7-23)SD-3375, 3 July 2019.</w:t>
      </w:r>
    </w:p>
  </w:footnote>
  <w:footnote w:id="7">
    <w:p w14:paraId="1626D662" w14:textId="77777777" w:rsidR="0061686E" w:rsidRPr="00C075AF" w:rsidRDefault="0061686E" w:rsidP="00230E3F">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0027630B" w:rsidRPr="00C075AF">
        <w:rPr>
          <w:rFonts w:ascii="Times New Roman" w:hAnsi="Times New Roman"/>
          <w:lang w:val="en-US"/>
        </w:rPr>
        <w:t xml:space="preserve">Office of the Equal Opportunities Ombudsperson, “Dėl </w:t>
      </w:r>
      <w:proofErr w:type="spellStart"/>
      <w:r w:rsidR="0027630B" w:rsidRPr="00C075AF">
        <w:rPr>
          <w:rFonts w:ascii="Times New Roman" w:hAnsi="Times New Roman"/>
          <w:lang w:val="en-US"/>
        </w:rPr>
        <w:t>Jungtinių</w:t>
      </w:r>
      <w:proofErr w:type="spellEnd"/>
      <w:r w:rsidR="0027630B" w:rsidRPr="00C075AF">
        <w:rPr>
          <w:rFonts w:ascii="Times New Roman" w:hAnsi="Times New Roman"/>
          <w:lang w:val="en-US"/>
        </w:rPr>
        <w:t xml:space="preserve"> Tautų </w:t>
      </w:r>
      <w:proofErr w:type="spellStart"/>
      <w:r w:rsidR="0027630B" w:rsidRPr="00C075AF">
        <w:rPr>
          <w:rFonts w:ascii="Times New Roman" w:hAnsi="Times New Roman"/>
          <w:lang w:val="en-US"/>
        </w:rPr>
        <w:t>moterų</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diskriminacijos</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panaikinimo</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komiteto</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išankstinių</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klausimų</w:t>
      </w:r>
      <w:proofErr w:type="spellEnd"/>
      <w:r w:rsidR="0027630B" w:rsidRPr="00C075AF">
        <w:rPr>
          <w:rFonts w:ascii="Times New Roman" w:hAnsi="Times New Roman"/>
          <w:lang w:val="en-US"/>
        </w:rPr>
        <w:t xml:space="preserve"> </w:t>
      </w:r>
      <w:proofErr w:type="spellStart"/>
      <w:r w:rsidR="0027630B" w:rsidRPr="00C075AF">
        <w:rPr>
          <w:rFonts w:ascii="Times New Roman" w:hAnsi="Times New Roman"/>
          <w:lang w:val="en-US"/>
        </w:rPr>
        <w:t>Lietuvai</w:t>
      </w:r>
      <w:proofErr w:type="spellEnd"/>
      <w:r w:rsidR="0027630B" w:rsidRPr="00C075AF">
        <w:rPr>
          <w:rFonts w:ascii="Times New Roman" w:hAnsi="Times New Roman"/>
          <w:lang w:val="en-US"/>
        </w:rPr>
        <w:t xml:space="preserve">“ (Eng. “Regarding List of Issues by the Committee on the Elimination of Discrimination against Women”), No. (19)PAK-303)S-469, 12 July 2019.  </w:t>
      </w:r>
    </w:p>
  </w:footnote>
  <w:footnote w:id="8">
    <w:p w14:paraId="6AFB36A8" w14:textId="77777777" w:rsidR="0061686E" w:rsidRPr="00C075AF" w:rsidRDefault="0061686E" w:rsidP="00230E3F">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Statement by the Committee on the Elimination of Discrimination against Women on its Relationship with</w:t>
      </w:r>
    </w:p>
    <w:p w14:paraId="426CA8B1" w14:textId="77777777" w:rsidR="0061686E" w:rsidRPr="00C075AF" w:rsidRDefault="0061686E" w:rsidP="00230E3F">
      <w:pPr>
        <w:pStyle w:val="FootnoteText"/>
        <w:jc w:val="both"/>
        <w:rPr>
          <w:rFonts w:ascii="Times New Roman" w:hAnsi="Times New Roman"/>
          <w:lang w:val="en-US"/>
        </w:rPr>
      </w:pPr>
      <w:r w:rsidRPr="00C075AF">
        <w:rPr>
          <w:rFonts w:ascii="Times New Roman" w:hAnsi="Times New Roman"/>
          <w:lang w:val="en-US"/>
        </w:rPr>
        <w:t xml:space="preserve">National Human Rights Institutions, No. </w:t>
      </w:r>
      <w:bookmarkStart w:id="4" w:name="_Hlk534891627"/>
      <w:r w:rsidRPr="00C075AF">
        <w:rPr>
          <w:rFonts w:ascii="Times New Roman" w:hAnsi="Times New Roman"/>
          <w:lang w:val="en-US"/>
        </w:rPr>
        <w:t>E/CN.6/2008/CRP.1</w:t>
      </w:r>
      <w:bookmarkEnd w:id="4"/>
      <w:r w:rsidRPr="00C075AF">
        <w:rPr>
          <w:rFonts w:ascii="Times New Roman" w:hAnsi="Times New Roman"/>
          <w:lang w:val="en-US"/>
        </w:rPr>
        <w:t>, 2008,</w:t>
      </w:r>
    </w:p>
    <w:p w14:paraId="5D906A3C" w14:textId="77777777" w:rsidR="0061686E" w:rsidRPr="00C075AF" w:rsidRDefault="004B628E" w:rsidP="00230E3F">
      <w:pPr>
        <w:pStyle w:val="FootnoteText"/>
        <w:jc w:val="both"/>
        <w:rPr>
          <w:rFonts w:ascii="Times New Roman" w:hAnsi="Times New Roman"/>
          <w:lang w:val="en-US"/>
        </w:rPr>
      </w:pPr>
      <w:hyperlink r:id="rId6" w:history="1">
        <w:r w:rsidR="0061686E" w:rsidRPr="00C075AF">
          <w:rPr>
            <w:rStyle w:val="Hyperlink"/>
            <w:rFonts w:ascii="Times New Roman" w:hAnsi="Times New Roman"/>
            <w:lang w:val="en-US"/>
          </w:rPr>
          <w:t>https://www.ohchr.org/Documents/HRBodies/CEDAW/Statements/StatementOnNHRIs.pdf</w:t>
        </w:r>
      </w:hyperlink>
      <w:r w:rsidR="0061686E" w:rsidRPr="00C075AF">
        <w:rPr>
          <w:rFonts w:ascii="Times New Roman" w:hAnsi="Times New Roman"/>
          <w:lang w:val="en-US"/>
        </w:rPr>
        <w:t xml:space="preserve"> </w:t>
      </w:r>
    </w:p>
  </w:footnote>
  <w:footnote w:id="9">
    <w:p w14:paraId="08487B22" w14:textId="77777777" w:rsidR="00230E3F" w:rsidRPr="00C075AF" w:rsidRDefault="00230E3F" w:rsidP="00230E3F">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proofErr w:type="spellStart"/>
      <w:r w:rsidRPr="00C075AF">
        <w:rPr>
          <w:rFonts w:ascii="Times New Roman" w:hAnsi="Times New Roman"/>
          <w:lang w:val="en-US"/>
        </w:rPr>
        <w:t>Valstybinė</w:t>
      </w:r>
      <w:proofErr w:type="spellEnd"/>
      <w:r w:rsidRPr="00C075AF">
        <w:rPr>
          <w:rFonts w:ascii="Times New Roman" w:hAnsi="Times New Roman"/>
          <w:lang w:val="en-US"/>
        </w:rPr>
        <w:t xml:space="preserve"> </w:t>
      </w:r>
      <w:proofErr w:type="spellStart"/>
      <w:r w:rsidRPr="00C075AF">
        <w:rPr>
          <w:rFonts w:ascii="Times New Roman" w:hAnsi="Times New Roman"/>
          <w:lang w:val="en-US"/>
        </w:rPr>
        <w:t>moterų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ir</w:t>
      </w:r>
      <w:proofErr w:type="spellEnd"/>
      <w:r w:rsidRPr="00C075AF">
        <w:rPr>
          <w:rFonts w:ascii="Times New Roman" w:hAnsi="Times New Roman"/>
          <w:lang w:val="en-US"/>
        </w:rPr>
        <w:t xml:space="preserve"> </w:t>
      </w:r>
      <w:proofErr w:type="spellStart"/>
      <w:r w:rsidRPr="00C075AF">
        <w:rPr>
          <w:rFonts w:ascii="Times New Roman" w:hAnsi="Times New Roman"/>
          <w:lang w:val="en-US"/>
        </w:rPr>
        <w:t>vyrų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lygių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galimybių</w:t>
      </w:r>
      <w:proofErr w:type="spellEnd"/>
      <w:r w:rsidRPr="00C075AF">
        <w:rPr>
          <w:rFonts w:ascii="Times New Roman" w:hAnsi="Times New Roman"/>
          <w:lang w:val="en-US"/>
        </w:rPr>
        <w:t xml:space="preserve"> 2015-2021 metų </w:t>
      </w:r>
      <w:proofErr w:type="spellStart"/>
      <w:r w:rsidRPr="00C075AF">
        <w:rPr>
          <w:rFonts w:ascii="Times New Roman" w:hAnsi="Times New Roman"/>
          <w:lang w:val="en-US"/>
        </w:rPr>
        <w:t>programa</w:t>
      </w:r>
      <w:proofErr w:type="spellEnd"/>
      <w:r w:rsidRPr="00C075AF">
        <w:rPr>
          <w:rFonts w:ascii="Times New Roman" w:hAnsi="Times New Roman"/>
          <w:lang w:val="en-US"/>
        </w:rPr>
        <w:t xml:space="preserve">, </w:t>
      </w:r>
      <w:proofErr w:type="spellStart"/>
      <w:r w:rsidRPr="00C075AF">
        <w:rPr>
          <w:rFonts w:ascii="Times New Roman" w:hAnsi="Times New Roman"/>
          <w:lang w:val="en-US"/>
        </w:rPr>
        <w:t>patvirtinta</w:t>
      </w:r>
      <w:proofErr w:type="spellEnd"/>
      <w:r w:rsidRPr="00C075AF">
        <w:rPr>
          <w:rFonts w:ascii="Times New Roman" w:hAnsi="Times New Roman"/>
          <w:lang w:val="en-US"/>
        </w:rPr>
        <w:t xml:space="preserve"> Lietuvos </w:t>
      </w:r>
      <w:proofErr w:type="spellStart"/>
      <w:r w:rsidRPr="00C075AF">
        <w:rPr>
          <w:rFonts w:ascii="Times New Roman" w:hAnsi="Times New Roman"/>
          <w:lang w:val="en-US"/>
        </w:rPr>
        <w:t>Respublikos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Vyriausybės</w:t>
      </w:r>
      <w:proofErr w:type="spellEnd"/>
      <w:r w:rsidRPr="00C075AF">
        <w:rPr>
          <w:rFonts w:ascii="Times New Roman" w:hAnsi="Times New Roman"/>
          <w:lang w:val="en-US"/>
        </w:rPr>
        <w:t xml:space="preserve"> 2015 m. </w:t>
      </w:r>
      <w:proofErr w:type="spellStart"/>
      <w:r w:rsidRPr="00C075AF">
        <w:rPr>
          <w:rFonts w:ascii="Times New Roman" w:hAnsi="Times New Roman"/>
          <w:lang w:val="en-US"/>
        </w:rPr>
        <w:t>vasario</w:t>
      </w:r>
      <w:proofErr w:type="spellEnd"/>
      <w:r w:rsidRPr="00C075AF">
        <w:rPr>
          <w:rFonts w:ascii="Times New Roman" w:hAnsi="Times New Roman"/>
          <w:lang w:val="en-US"/>
        </w:rPr>
        <w:t xml:space="preserve"> 4 d. </w:t>
      </w:r>
      <w:proofErr w:type="spellStart"/>
      <w:r w:rsidRPr="00C075AF">
        <w:rPr>
          <w:rStyle w:val="Hyperlink"/>
          <w:rFonts w:ascii="Times New Roman" w:hAnsi="Times New Roman"/>
          <w:color w:val="auto"/>
          <w:u w:val="none"/>
          <w:lang w:val="en-US"/>
        </w:rPr>
        <w:t>nutarimu</w:t>
      </w:r>
      <w:proofErr w:type="spellEnd"/>
      <w:r w:rsidRPr="00C075AF">
        <w:rPr>
          <w:rFonts w:ascii="Times New Roman" w:hAnsi="Times New Roman"/>
          <w:lang w:val="en-US"/>
        </w:rPr>
        <w:t xml:space="preserve"> Nr. 112 „Dėl </w:t>
      </w:r>
      <w:proofErr w:type="spellStart"/>
      <w:r w:rsidRPr="00C075AF">
        <w:rPr>
          <w:rFonts w:ascii="Times New Roman" w:hAnsi="Times New Roman"/>
          <w:lang w:val="en-US"/>
        </w:rPr>
        <w:t>valstybinės</w:t>
      </w:r>
      <w:proofErr w:type="spellEnd"/>
      <w:r w:rsidRPr="00C075AF">
        <w:rPr>
          <w:rFonts w:ascii="Times New Roman" w:hAnsi="Times New Roman"/>
          <w:lang w:val="en-US"/>
        </w:rPr>
        <w:t xml:space="preserve"> </w:t>
      </w:r>
      <w:proofErr w:type="spellStart"/>
      <w:r w:rsidRPr="00C075AF">
        <w:rPr>
          <w:rFonts w:ascii="Times New Roman" w:hAnsi="Times New Roman"/>
          <w:lang w:val="en-US"/>
        </w:rPr>
        <w:t>moterų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ir</w:t>
      </w:r>
      <w:proofErr w:type="spellEnd"/>
      <w:r w:rsidRPr="00C075AF">
        <w:rPr>
          <w:rFonts w:ascii="Times New Roman" w:hAnsi="Times New Roman"/>
          <w:lang w:val="en-US"/>
        </w:rPr>
        <w:t xml:space="preserve"> </w:t>
      </w:r>
      <w:proofErr w:type="spellStart"/>
      <w:r w:rsidRPr="00C075AF">
        <w:rPr>
          <w:rFonts w:ascii="Times New Roman" w:hAnsi="Times New Roman"/>
          <w:lang w:val="en-US"/>
        </w:rPr>
        <w:t>vyrų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lygių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galimybių</w:t>
      </w:r>
      <w:proofErr w:type="spellEnd"/>
      <w:r w:rsidRPr="00C075AF">
        <w:rPr>
          <w:rFonts w:ascii="Times New Roman" w:hAnsi="Times New Roman"/>
          <w:lang w:val="en-US"/>
        </w:rPr>
        <w:t xml:space="preserve"> 2015–2021 metų </w:t>
      </w:r>
      <w:proofErr w:type="spellStart"/>
      <w:r w:rsidRPr="00C075AF">
        <w:rPr>
          <w:rFonts w:ascii="Times New Roman" w:hAnsi="Times New Roman"/>
          <w:lang w:val="en-US"/>
        </w:rPr>
        <w:t>programos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patvirtinimo</w:t>
      </w:r>
      <w:proofErr w:type="spellEnd"/>
      <w:r w:rsidRPr="00C075AF">
        <w:rPr>
          <w:rFonts w:ascii="Times New Roman" w:hAnsi="Times New Roman"/>
          <w:lang w:val="en-US"/>
        </w:rPr>
        <w:t xml:space="preserve">“ (Eng. “National </w:t>
      </w:r>
      <w:proofErr w:type="spellStart"/>
      <w:r w:rsidRPr="00C075AF">
        <w:rPr>
          <w:rFonts w:ascii="Times New Roman" w:hAnsi="Times New Roman"/>
          <w:lang w:val="en-US"/>
        </w:rPr>
        <w:t>Programme</w:t>
      </w:r>
      <w:proofErr w:type="spellEnd"/>
      <w:r w:rsidRPr="00C075AF">
        <w:rPr>
          <w:rFonts w:ascii="Times New Roman" w:hAnsi="Times New Roman"/>
          <w:lang w:val="en-US"/>
        </w:rPr>
        <w:t xml:space="preserve"> of Equal Opportunities of Women and Men 2015-2021, approved by the Resolution of the Government of the Republic of Lithuania No. 112 of 4 February 2015 “On the Approval of the National </w:t>
      </w:r>
      <w:proofErr w:type="spellStart"/>
      <w:r w:rsidRPr="00C075AF">
        <w:rPr>
          <w:rFonts w:ascii="Times New Roman" w:hAnsi="Times New Roman"/>
          <w:lang w:val="en-US"/>
        </w:rPr>
        <w:t>Programme</w:t>
      </w:r>
      <w:proofErr w:type="spellEnd"/>
      <w:r w:rsidRPr="00C075AF">
        <w:rPr>
          <w:rFonts w:ascii="Times New Roman" w:hAnsi="Times New Roman"/>
          <w:lang w:val="en-US"/>
        </w:rPr>
        <w:t xml:space="preserve"> of Equal Opportunities of Women and Men 2015-2021””), No. 112, 4 February 2015, </w:t>
      </w:r>
      <w:hyperlink r:id="rId7" w:history="1">
        <w:r w:rsidRPr="00C075AF">
          <w:rPr>
            <w:rStyle w:val="Hyperlink"/>
            <w:rFonts w:ascii="Times New Roman" w:hAnsi="Times New Roman"/>
            <w:lang w:val="en-US"/>
          </w:rPr>
          <w:t>https://www.e-tar.lt/portal/lt/legalAct/dc012450b1ca11e48296d11f563abfb0</w:t>
        </w:r>
      </w:hyperlink>
      <w:r w:rsidRPr="00C075AF">
        <w:rPr>
          <w:rFonts w:ascii="Times New Roman" w:hAnsi="Times New Roman"/>
          <w:lang w:val="en-US"/>
        </w:rPr>
        <w:t xml:space="preserve">. </w:t>
      </w:r>
    </w:p>
  </w:footnote>
  <w:footnote w:id="10">
    <w:p w14:paraId="5FA87A14" w14:textId="77777777" w:rsidR="004A3126" w:rsidRPr="00C075AF" w:rsidRDefault="00230E3F" w:rsidP="004A3126">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004A3126" w:rsidRPr="00C075AF">
        <w:rPr>
          <w:rFonts w:ascii="Times New Roman" w:hAnsi="Times New Roman"/>
          <w:lang w:val="en-US"/>
        </w:rPr>
        <w:t xml:space="preserve">Lietuvos </w:t>
      </w:r>
      <w:proofErr w:type="spellStart"/>
      <w:r w:rsidR="004A3126" w:rsidRPr="00C075AF">
        <w:rPr>
          <w:rFonts w:ascii="Times New Roman" w:hAnsi="Times New Roman"/>
          <w:lang w:val="en-US"/>
        </w:rPr>
        <w:t>Respublikos</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socialinės</w:t>
      </w:r>
      <w:proofErr w:type="spellEnd"/>
      <w:r w:rsidR="004A3126" w:rsidRPr="00C075AF">
        <w:rPr>
          <w:rFonts w:ascii="Times New Roman" w:hAnsi="Times New Roman"/>
          <w:lang w:val="en-US"/>
        </w:rPr>
        <w:t xml:space="preserve"> apsaugos </w:t>
      </w:r>
      <w:proofErr w:type="spellStart"/>
      <w:r w:rsidR="004A3126" w:rsidRPr="00C075AF">
        <w:rPr>
          <w:rFonts w:ascii="Times New Roman" w:hAnsi="Times New Roman"/>
          <w:lang w:val="en-US"/>
        </w:rPr>
        <w:t>ir</w:t>
      </w:r>
      <w:proofErr w:type="spellEnd"/>
      <w:r w:rsidR="004A3126" w:rsidRPr="00C075AF">
        <w:rPr>
          <w:rFonts w:ascii="Times New Roman" w:hAnsi="Times New Roman"/>
          <w:lang w:val="en-US"/>
        </w:rPr>
        <w:t xml:space="preserve"> darbo </w:t>
      </w:r>
      <w:proofErr w:type="spellStart"/>
      <w:r w:rsidR="004A3126" w:rsidRPr="00C075AF">
        <w:rPr>
          <w:rFonts w:ascii="Times New Roman" w:hAnsi="Times New Roman"/>
          <w:lang w:val="en-US"/>
        </w:rPr>
        <w:t>ministro</w:t>
      </w:r>
      <w:proofErr w:type="spellEnd"/>
      <w:r w:rsidR="004A3126" w:rsidRPr="00C075AF">
        <w:rPr>
          <w:rFonts w:ascii="Times New Roman" w:hAnsi="Times New Roman"/>
          <w:lang w:val="en-US"/>
        </w:rPr>
        <w:t xml:space="preserve"> 2019 m. </w:t>
      </w:r>
      <w:proofErr w:type="spellStart"/>
      <w:r w:rsidR="004A3126" w:rsidRPr="00C075AF">
        <w:rPr>
          <w:rFonts w:ascii="Times New Roman" w:hAnsi="Times New Roman"/>
          <w:lang w:val="en-US"/>
        </w:rPr>
        <w:t>sausio</w:t>
      </w:r>
      <w:proofErr w:type="spellEnd"/>
      <w:r w:rsidR="004A3126" w:rsidRPr="00C075AF">
        <w:rPr>
          <w:rFonts w:ascii="Times New Roman" w:hAnsi="Times New Roman"/>
          <w:lang w:val="en-US"/>
        </w:rPr>
        <w:t xml:space="preserve"> 4 d. </w:t>
      </w:r>
      <w:proofErr w:type="spellStart"/>
      <w:r w:rsidR="004A3126" w:rsidRPr="00C075AF">
        <w:rPr>
          <w:rStyle w:val="Hyperlink"/>
          <w:rFonts w:ascii="Times New Roman" w:hAnsi="Times New Roman"/>
          <w:color w:val="auto"/>
          <w:u w:val="none"/>
          <w:lang w:val="en-US"/>
        </w:rPr>
        <w:t>įsakymas</w:t>
      </w:r>
      <w:proofErr w:type="spellEnd"/>
      <w:r w:rsidR="004A3126" w:rsidRPr="00C075AF">
        <w:rPr>
          <w:rFonts w:ascii="Times New Roman" w:hAnsi="Times New Roman"/>
          <w:lang w:val="en-US"/>
        </w:rPr>
        <w:t xml:space="preserve"> Nr. A1-9 „Dėl Lietuvos </w:t>
      </w:r>
      <w:proofErr w:type="spellStart"/>
      <w:r w:rsidR="004A3126" w:rsidRPr="00C075AF">
        <w:rPr>
          <w:rFonts w:ascii="Times New Roman" w:hAnsi="Times New Roman"/>
          <w:lang w:val="en-US"/>
        </w:rPr>
        <w:t>Respublikos</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socialinės</w:t>
      </w:r>
      <w:proofErr w:type="spellEnd"/>
      <w:r w:rsidR="004A3126" w:rsidRPr="00C075AF">
        <w:rPr>
          <w:rFonts w:ascii="Times New Roman" w:hAnsi="Times New Roman"/>
          <w:lang w:val="en-US"/>
        </w:rPr>
        <w:t xml:space="preserve"> apsaugos </w:t>
      </w:r>
      <w:proofErr w:type="spellStart"/>
      <w:r w:rsidR="004A3126" w:rsidRPr="00C075AF">
        <w:rPr>
          <w:rFonts w:ascii="Times New Roman" w:hAnsi="Times New Roman"/>
          <w:lang w:val="en-US"/>
        </w:rPr>
        <w:t>ir</w:t>
      </w:r>
      <w:proofErr w:type="spellEnd"/>
      <w:r w:rsidR="004A3126" w:rsidRPr="00C075AF">
        <w:rPr>
          <w:rFonts w:ascii="Times New Roman" w:hAnsi="Times New Roman"/>
          <w:lang w:val="en-US"/>
        </w:rPr>
        <w:t xml:space="preserve"> darbo </w:t>
      </w:r>
      <w:proofErr w:type="spellStart"/>
      <w:r w:rsidR="004A3126" w:rsidRPr="00C075AF">
        <w:rPr>
          <w:rFonts w:ascii="Times New Roman" w:hAnsi="Times New Roman"/>
          <w:lang w:val="en-US"/>
        </w:rPr>
        <w:t>ministro</w:t>
      </w:r>
      <w:proofErr w:type="spellEnd"/>
      <w:r w:rsidR="004A3126" w:rsidRPr="00C075AF">
        <w:rPr>
          <w:rFonts w:ascii="Times New Roman" w:hAnsi="Times New Roman"/>
          <w:lang w:val="en-US"/>
        </w:rPr>
        <w:t xml:space="preserve"> 2018 m. </w:t>
      </w:r>
      <w:proofErr w:type="spellStart"/>
      <w:r w:rsidR="004A3126" w:rsidRPr="00C075AF">
        <w:rPr>
          <w:rFonts w:ascii="Times New Roman" w:hAnsi="Times New Roman"/>
          <w:lang w:val="en-US"/>
        </w:rPr>
        <w:t>birželio</w:t>
      </w:r>
      <w:proofErr w:type="spellEnd"/>
      <w:r w:rsidR="004A3126" w:rsidRPr="00C075AF">
        <w:rPr>
          <w:rFonts w:ascii="Times New Roman" w:hAnsi="Times New Roman"/>
          <w:lang w:val="en-US"/>
        </w:rPr>
        <w:t xml:space="preserve"> 27 d. </w:t>
      </w:r>
      <w:proofErr w:type="spellStart"/>
      <w:r w:rsidR="004A3126" w:rsidRPr="00C075AF">
        <w:rPr>
          <w:rFonts w:ascii="Times New Roman" w:hAnsi="Times New Roman"/>
          <w:lang w:val="en-US"/>
        </w:rPr>
        <w:t>įsakymo</w:t>
      </w:r>
      <w:proofErr w:type="spellEnd"/>
      <w:r w:rsidR="004A3126" w:rsidRPr="00C075AF">
        <w:rPr>
          <w:rFonts w:ascii="Times New Roman" w:hAnsi="Times New Roman"/>
          <w:lang w:val="en-US"/>
        </w:rPr>
        <w:t xml:space="preserve"> Nr. A1-331 „Dėl </w:t>
      </w:r>
      <w:proofErr w:type="spellStart"/>
      <w:r w:rsidR="004A3126" w:rsidRPr="00C075AF">
        <w:rPr>
          <w:rFonts w:ascii="Times New Roman" w:hAnsi="Times New Roman"/>
          <w:lang w:val="en-US"/>
        </w:rPr>
        <w:t>Valstybinės</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moterų</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ir</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vyrų</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lygių</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galimybių</w:t>
      </w:r>
      <w:proofErr w:type="spellEnd"/>
      <w:r w:rsidR="004A3126" w:rsidRPr="00C075AF">
        <w:rPr>
          <w:rFonts w:ascii="Times New Roman" w:hAnsi="Times New Roman"/>
          <w:lang w:val="en-US"/>
        </w:rPr>
        <w:t xml:space="preserve"> 2015–2021 metų </w:t>
      </w:r>
      <w:proofErr w:type="spellStart"/>
      <w:r w:rsidR="004A3126" w:rsidRPr="00C075AF">
        <w:rPr>
          <w:rFonts w:ascii="Times New Roman" w:hAnsi="Times New Roman"/>
          <w:lang w:val="en-US"/>
        </w:rPr>
        <w:t>programos</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įgyvendinimo</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veiksmų</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plano</w:t>
      </w:r>
      <w:proofErr w:type="spellEnd"/>
      <w:r w:rsidR="004A3126" w:rsidRPr="00C075AF">
        <w:rPr>
          <w:rFonts w:ascii="Times New Roman" w:hAnsi="Times New Roman"/>
          <w:lang w:val="en-US"/>
        </w:rPr>
        <w:t xml:space="preserve"> 2018–2021 </w:t>
      </w:r>
      <w:proofErr w:type="spellStart"/>
      <w:r w:rsidR="004A3126" w:rsidRPr="00C075AF">
        <w:rPr>
          <w:rFonts w:ascii="Times New Roman" w:hAnsi="Times New Roman"/>
          <w:lang w:val="en-US"/>
        </w:rPr>
        <w:t>metams</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patvirtinimo</w:t>
      </w:r>
      <w:proofErr w:type="spellEnd"/>
      <w:r w:rsidR="004A3126" w:rsidRPr="00C075AF">
        <w:rPr>
          <w:rFonts w:ascii="Times New Roman" w:hAnsi="Times New Roman"/>
          <w:lang w:val="en-US"/>
        </w:rPr>
        <w:t xml:space="preserve">“ </w:t>
      </w:r>
      <w:proofErr w:type="spellStart"/>
      <w:r w:rsidR="004A3126" w:rsidRPr="00C075AF">
        <w:rPr>
          <w:rFonts w:ascii="Times New Roman" w:hAnsi="Times New Roman"/>
          <w:lang w:val="en-US"/>
        </w:rPr>
        <w:t>pakeitimo</w:t>
      </w:r>
      <w:proofErr w:type="spellEnd"/>
      <w:r w:rsidR="004A3126" w:rsidRPr="00C075AF">
        <w:rPr>
          <w:rFonts w:ascii="Times New Roman" w:hAnsi="Times New Roman"/>
          <w:lang w:val="en-US"/>
        </w:rPr>
        <w:t xml:space="preserve">“ (Eng. “Order by the Minister of Social Security and Labor of the Republic of Lithuania No. A1-9 of 4 January 2019 “On the Amendment of the Order by the Minister of Social Security and Labor of the Republic of Lithuania No. A1-331 of 27 June 2018 “On the Approval of the Action Plan 2018-2021 for the Implementation of the National </w:t>
      </w:r>
      <w:proofErr w:type="spellStart"/>
      <w:r w:rsidR="004A3126" w:rsidRPr="00C075AF">
        <w:rPr>
          <w:rFonts w:ascii="Times New Roman" w:hAnsi="Times New Roman"/>
          <w:lang w:val="en-US"/>
        </w:rPr>
        <w:t>Programme</w:t>
      </w:r>
      <w:proofErr w:type="spellEnd"/>
      <w:r w:rsidR="004A3126" w:rsidRPr="00C075AF">
        <w:rPr>
          <w:rFonts w:ascii="Times New Roman" w:hAnsi="Times New Roman"/>
          <w:lang w:val="en-US"/>
        </w:rPr>
        <w:t xml:space="preserve"> of Equal Opportunities of Women and Men 2015-2021”””), No. A1-69, 4 January 2019,</w:t>
      </w:r>
    </w:p>
    <w:p w14:paraId="5D6029FB" w14:textId="77777777" w:rsidR="00230E3F" w:rsidRPr="00C075AF" w:rsidRDefault="004B628E" w:rsidP="004A3126">
      <w:pPr>
        <w:pStyle w:val="FootnoteText"/>
        <w:jc w:val="both"/>
        <w:rPr>
          <w:rFonts w:ascii="Times New Roman" w:hAnsi="Times New Roman"/>
          <w:lang w:val="en-US"/>
        </w:rPr>
      </w:pPr>
      <w:hyperlink r:id="rId8" w:history="1">
        <w:r w:rsidR="004A3126" w:rsidRPr="00C075AF">
          <w:rPr>
            <w:rStyle w:val="Hyperlink"/>
            <w:rFonts w:ascii="Times New Roman" w:hAnsi="Times New Roman"/>
            <w:lang w:val="en-US"/>
          </w:rPr>
          <w:t>https://www.e-tar.lt/portal/lt/legalAct/aba30e70103211e9a5eaf2cd290f1944</w:t>
        </w:r>
      </w:hyperlink>
      <w:r w:rsidR="004A3126" w:rsidRPr="00C075AF">
        <w:rPr>
          <w:rFonts w:ascii="Times New Roman" w:hAnsi="Times New Roman"/>
          <w:lang w:val="en-US"/>
        </w:rPr>
        <w:t>.</w:t>
      </w:r>
      <w:r w:rsidR="00230E3F" w:rsidRPr="00C075AF">
        <w:rPr>
          <w:rFonts w:ascii="Times New Roman" w:hAnsi="Times New Roman"/>
          <w:lang w:val="en-US"/>
        </w:rPr>
        <w:t xml:space="preserve"> </w:t>
      </w:r>
    </w:p>
  </w:footnote>
  <w:footnote w:id="11">
    <w:p w14:paraId="4D375E6B" w14:textId="77777777" w:rsidR="004A3126" w:rsidRPr="00C075AF" w:rsidRDefault="004A3126" w:rsidP="004A3126">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proofErr w:type="spellStart"/>
      <w:r w:rsidRPr="00C075AF">
        <w:rPr>
          <w:rFonts w:ascii="Times New Roman" w:hAnsi="Times New Roman"/>
          <w:lang w:val="en-US"/>
        </w:rPr>
        <w:t>Moterų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ir</w:t>
      </w:r>
      <w:proofErr w:type="spellEnd"/>
      <w:r w:rsidRPr="00C075AF">
        <w:rPr>
          <w:rFonts w:ascii="Times New Roman" w:hAnsi="Times New Roman"/>
          <w:lang w:val="en-US"/>
        </w:rPr>
        <w:t xml:space="preserve"> </w:t>
      </w:r>
      <w:proofErr w:type="spellStart"/>
      <w:r w:rsidRPr="00C075AF">
        <w:rPr>
          <w:rFonts w:ascii="Times New Roman" w:hAnsi="Times New Roman"/>
          <w:lang w:val="en-US"/>
        </w:rPr>
        <w:t>vyrų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lygių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galimybių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komisijos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nuostatai</w:t>
      </w:r>
      <w:proofErr w:type="spellEnd"/>
      <w:r w:rsidRPr="00C075AF">
        <w:rPr>
          <w:rFonts w:ascii="Times New Roman" w:hAnsi="Times New Roman"/>
          <w:lang w:val="en-US"/>
        </w:rPr>
        <w:t xml:space="preserve">, </w:t>
      </w:r>
      <w:proofErr w:type="spellStart"/>
      <w:r w:rsidRPr="00C075AF">
        <w:rPr>
          <w:rFonts w:ascii="Times New Roman" w:hAnsi="Times New Roman"/>
          <w:lang w:val="en-US"/>
        </w:rPr>
        <w:t>patvirtinti</w:t>
      </w:r>
      <w:proofErr w:type="spellEnd"/>
      <w:r w:rsidRPr="00C075AF">
        <w:rPr>
          <w:rFonts w:ascii="Times New Roman" w:hAnsi="Times New Roman"/>
          <w:lang w:val="en-US"/>
        </w:rPr>
        <w:t xml:space="preserve"> Lietuvos </w:t>
      </w:r>
      <w:proofErr w:type="spellStart"/>
      <w:r w:rsidRPr="00C075AF">
        <w:rPr>
          <w:rFonts w:ascii="Times New Roman" w:hAnsi="Times New Roman"/>
          <w:lang w:val="en-US"/>
        </w:rPr>
        <w:t>Respublikos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Vyriausybės</w:t>
      </w:r>
      <w:proofErr w:type="spellEnd"/>
      <w:r w:rsidRPr="00C075AF">
        <w:rPr>
          <w:rFonts w:ascii="Times New Roman" w:hAnsi="Times New Roman"/>
          <w:lang w:val="en-US"/>
        </w:rPr>
        <w:t xml:space="preserve"> 2000 m. </w:t>
      </w:r>
      <w:proofErr w:type="spellStart"/>
      <w:r w:rsidRPr="00C075AF">
        <w:rPr>
          <w:rFonts w:ascii="Times New Roman" w:hAnsi="Times New Roman"/>
          <w:lang w:val="en-US"/>
        </w:rPr>
        <w:t>kovo</w:t>
      </w:r>
      <w:proofErr w:type="spellEnd"/>
      <w:r w:rsidRPr="00C075AF">
        <w:rPr>
          <w:rFonts w:ascii="Times New Roman" w:hAnsi="Times New Roman"/>
          <w:lang w:val="en-US"/>
        </w:rPr>
        <w:t xml:space="preserve"> 7 d. </w:t>
      </w:r>
      <w:proofErr w:type="spellStart"/>
      <w:r w:rsidRPr="00C075AF">
        <w:rPr>
          <w:rStyle w:val="Hyperlink"/>
          <w:rFonts w:ascii="Times New Roman" w:hAnsi="Times New Roman"/>
          <w:color w:val="auto"/>
          <w:u w:val="none"/>
          <w:lang w:val="en-US"/>
        </w:rPr>
        <w:t>nutarimu</w:t>
      </w:r>
      <w:proofErr w:type="spellEnd"/>
      <w:r w:rsidRPr="00C075AF">
        <w:rPr>
          <w:rFonts w:ascii="Times New Roman" w:hAnsi="Times New Roman"/>
          <w:lang w:val="en-US"/>
        </w:rPr>
        <w:t xml:space="preserve"> Nr. 266 „Dėl </w:t>
      </w:r>
      <w:proofErr w:type="spellStart"/>
      <w:r w:rsidRPr="00C075AF">
        <w:rPr>
          <w:rFonts w:ascii="Times New Roman" w:hAnsi="Times New Roman"/>
          <w:lang w:val="en-US"/>
        </w:rPr>
        <w:t>moterų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ir</w:t>
      </w:r>
      <w:proofErr w:type="spellEnd"/>
      <w:r w:rsidRPr="00C075AF">
        <w:rPr>
          <w:rFonts w:ascii="Times New Roman" w:hAnsi="Times New Roman"/>
          <w:lang w:val="en-US"/>
        </w:rPr>
        <w:t xml:space="preserve"> </w:t>
      </w:r>
      <w:proofErr w:type="spellStart"/>
      <w:r w:rsidRPr="00C075AF">
        <w:rPr>
          <w:rFonts w:ascii="Times New Roman" w:hAnsi="Times New Roman"/>
          <w:lang w:val="en-US"/>
        </w:rPr>
        <w:t>vyrų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lygių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galimybių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komisijos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sudarymo</w:t>
      </w:r>
      <w:proofErr w:type="spellEnd"/>
      <w:r w:rsidRPr="00C075AF">
        <w:rPr>
          <w:rFonts w:ascii="Times New Roman" w:hAnsi="Times New Roman"/>
          <w:lang w:val="en-US"/>
        </w:rPr>
        <w:t xml:space="preserve"> </w:t>
      </w:r>
      <w:proofErr w:type="spellStart"/>
      <w:r w:rsidRPr="00C075AF">
        <w:rPr>
          <w:rFonts w:ascii="Times New Roman" w:hAnsi="Times New Roman"/>
          <w:lang w:val="en-US"/>
        </w:rPr>
        <w:t>ir</w:t>
      </w:r>
      <w:proofErr w:type="spellEnd"/>
      <w:r w:rsidRPr="00C075AF">
        <w:rPr>
          <w:rFonts w:ascii="Times New Roman" w:hAnsi="Times New Roman"/>
          <w:lang w:val="en-US"/>
        </w:rPr>
        <w:t xml:space="preserve"> </w:t>
      </w:r>
      <w:proofErr w:type="spellStart"/>
      <w:r w:rsidRPr="00C075AF">
        <w:rPr>
          <w:rFonts w:ascii="Times New Roman" w:hAnsi="Times New Roman"/>
          <w:lang w:val="en-US"/>
        </w:rPr>
        <w:t>jos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nuostatų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patvirtinimo</w:t>
      </w:r>
      <w:proofErr w:type="spellEnd"/>
      <w:r w:rsidRPr="00C075AF">
        <w:rPr>
          <w:rFonts w:ascii="Times New Roman" w:hAnsi="Times New Roman"/>
          <w:lang w:val="en-US"/>
        </w:rPr>
        <w:t xml:space="preserve">“ (Eng. “Regulations of the Commission on Equal Opportunities for Women and Men, approved by the Resolution of the Government of the Republic of Lithuania No. 266 of 7 March 2000 “On the Establishment of the Commission on Equal Opportunities for Women and Men and Approval of its Regulations””), No. 266, 7 March 2000, </w:t>
      </w:r>
      <w:hyperlink r:id="rId9" w:history="1">
        <w:r w:rsidRPr="00C075AF">
          <w:rPr>
            <w:rStyle w:val="Hyperlink"/>
            <w:rFonts w:ascii="Times New Roman" w:hAnsi="Times New Roman"/>
            <w:lang w:val="en-US"/>
          </w:rPr>
          <w:t>https://e-seimas.lrs.lt/portal/legalAct/lt/TAD/TAIS.96766/EqrhsiqNQI</w:t>
        </w:r>
      </w:hyperlink>
      <w:r w:rsidRPr="00C075AF">
        <w:rPr>
          <w:rFonts w:ascii="Times New Roman" w:hAnsi="Times New Roman"/>
          <w:lang w:val="en-US"/>
        </w:rPr>
        <w:t xml:space="preserve">. </w:t>
      </w:r>
    </w:p>
  </w:footnote>
  <w:footnote w:id="12">
    <w:p w14:paraId="602E1FB6" w14:textId="77777777" w:rsidR="00230E3F" w:rsidRPr="00C075AF" w:rsidRDefault="00230E3F" w:rsidP="00230E3F">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The mandate by the Office to conduct independent reviews on issues pertaining to discrimination is established under the Article 17.2 of the Law on Equal Treatment. See: Lietuvos </w:t>
      </w:r>
      <w:proofErr w:type="spellStart"/>
      <w:r w:rsidRPr="00C075AF">
        <w:rPr>
          <w:rFonts w:ascii="Times New Roman" w:hAnsi="Times New Roman"/>
          <w:lang w:val="en-US"/>
        </w:rPr>
        <w:t>Respublikos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lygių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galimybių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kontrolieriaus</w:t>
      </w:r>
      <w:proofErr w:type="spellEnd"/>
      <w:r w:rsidRPr="00C075AF">
        <w:rPr>
          <w:rFonts w:ascii="Times New Roman" w:hAnsi="Times New Roman"/>
          <w:lang w:val="en-US"/>
        </w:rPr>
        <w:t xml:space="preserve"> </w:t>
      </w:r>
      <w:proofErr w:type="spellStart"/>
      <w:r w:rsidRPr="00C075AF">
        <w:rPr>
          <w:rFonts w:ascii="Times New Roman" w:hAnsi="Times New Roman"/>
          <w:lang w:val="en-US"/>
        </w:rPr>
        <w:t>nepriklausomos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apžvalgos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apie</w:t>
      </w:r>
      <w:proofErr w:type="spellEnd"/>
      <w:r w:rsidRPr="00C075AF">
        <w:rPr>
          <w:rFonts w:ascii="Times New Roman" w:hAnsi="Times New Roman"/>
          <w:lang w:val="en-US"/>
        </w:rPr>
        <w:t xml:space="preserve"> </w:t>
      </w:r>
      <w:proofErr w:type="spellStart"/>
      <w:r w:rsidRPr="00C075AF">
        <w:rPr>
          <w:rFonts w:ascii="Times New Roman" w:hAnsi="Times New Roman"/>
          <w:lang w:val="en-US"/>
        </w:rPr>
        <w:t>Valstybinės</w:t>
      </w:r>
      <w:proofErr w:type="spellEnd"/>
      <w:r w:rsidRPr="00C075AF">
        <w:rPr>
          <w:rFonts w:ascii="Times New Roman" w:hAnsi="Times New Roman"/>
          <w:lang w:val="en-US"/>
        </w:rPr>
        <w:t xml:space="preserve"> </w:t>
      </w:r>
      <w:proofErr w:type="spellStart"/>
      <w:r w:rsidRPr="00C075AF">
        <w:rPr>
          <w:rFonts w:ascii="Times New Roman" w:hAnsi="Times New Roman"/>
          <w:lang w:val="en-US"/>
        </w:rPr>
        <w:t>moterų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ir</w:t>
      </w:r>
      <w:proofErr w:type="spellEnd"/>
      <w:r w:rsidRPr="00C075AF">
        <w:rPr>
          <w:rFonts w:ascii="Times New Roman" w:hAnsi="Times New Roman"/>
          <w:lang w:val="en-US"/>
        </w:rPr>
        <w:t xml:space="preserve"> </w:t>
      </w:r>
      <w:proofErr w:type="spellStart"/>
      <w:r w:rsidRPr="00C075AF">
        <w:rPr>
          <w:rFonts w:ascii="Times New Roman" w:hAnsi="Times New Roman"/>
          <w:lang w:val="en-US"/>
        </w:rPr>
        <w:t>vyrų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lygių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galimybių</w:t>
      </w:r>
      <w:proofErr w:type="spellEnd"/>
      <w:r w:rsidRPr="00C075AF">
        <w:rPr>
          <w:rFonts w:ascii="Times New Roman" w:hAnsi="Times New Roman"/>
          <w:lang w:val="en-US"/>
        </w:rPr>
        <w:t xml:space="preserve"> 2015-2021 m. </w:t>
      </w:r>
      <w:proofErr w:type="spellStart"/>
      <w:r w:rsidRPr="00C075AF">
        <w:rPr>
          <w:rFonts w:ascii="Times New Roman" w:hAnsi="Times New Roman"/>
          <w:lang w:val="en-US"/>
        </w:rPr>
        <w:t>programos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įgyvendinimo</w:t>
      </w:r>
      <w:proofErr w:type="spellEnd"/>
      <w:r w:rsidRPr="00C075AF">
        <w:rPr>
          <w:rFonts w:ascii="Times New Roman" w:hAnsi="Times New Roman"/>
          <w:lang w:val="en-US"/>
        </w:rPr>
        <w:t xml:space="preserve"> </w:t>
      </w:r>
      <w:proofErr w:type="spellStart"/>
      <w:r w:rsidRPr="00C075AF">
        <w:rPr>
          <w:rFonts w:ascii="Times New Roman" w:hAnsi="Times New Roman"/>
          <w:lang w:val="en-US"/>
        </w:rPr>
        <w:t>Veiksmų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plano</w:t>
      </w:r>
      <w:proofErr w:type="spellEnd"/>
      <w:r w:rsidRPr="00C075AF">
        <w:rPr>
          <w:rFonts w:ascii="Times New Roman" w:hAnsi="Times New Roman"/>
          <w:lang w:val="en-US"/>
        </w:rPr>
        <w:t xml:space="preserve"> 2018-2021 m. </w:t>
      </w:r>
      <w:proofErr w:type="spellStart"/>
      <w:r w:rsidRPr="00C075AF">
        <w:rPr>
          <w:rFonts w:ascii="Times New Roman" w:hAnsi="Times New Roman"/>
          <w:lang w:val="en-US"/>
        </w:rPr>
        <w:t>priemones</w:t>
      </w:r>
      <w:proofErr w:type="spellEnd"/>
      <w:r w:rsidRPr="00C075AF">
        <w:rPr>
          <w:rFonts w:ascii="Times New Roman" w:hAnsi="Times New Roman"/>
          <w:lang w:val="en-US"/>
        </w:rPr>
        <w:t xml:space="preserve"> </w:t>
      </w:r>
      <w:proofErr w:type="spellStart"/>
      <w:r w:rsidRPr="00C075AF">
        <w:rPr>
          <w:rFonts w:ascii="Times New Roman" w:hAnsi="Times New Roman"/>
          <w:lang w:val="en-US"/>
        </w:rPr>
        <w:t>ataskaita</w:t>
      </w:r>
      <w:proofErr w:type="spellEnd"/>
      <w:r w:rsidRPr="00C075AF">
        <w:rPr>
          <w:rFonts w:ascii="Times New Roman" w:hAnsi="Times New Roman"/>
          <w:lang w:val="en-US"/>
        </w:rPr>
        <w:t xml:space="preserve"> (Eng. “Report on the Independent Review by the Equal Opportunities Ombudsperson of the Republic of Lithuania on Measures within the Action Plan 2018-2021 for the Implementation of the National </w:t>
      </w:r>
      <w:proofErr w:type="spellStart"/>
      <w:r w:rsidRPr="00C075AF">
        <w:rPr>
          <w:rFonts w:ascii="Times New Roman" w:hAnsi="Times New Roman"/>
          <w:lang w:val="en-US"/>
        </w:rPr>
        <w:t>Programme</w:t>
      </w:r>
      <w:proofErr w:type="spellEnd"/>
      <w:r w:rsidRPr="00C075AF">
        <w:rPr>
          <w:rFonts w:ascii="Times New Roman" w:hAnsi="Times New Roman"/>
          <w:lang w:val="en-US"/>
        </w:rPr>
        <w:t xml:space="preserve"> of Equal Opportunities of Women and Men 2015-2021”), No. (18)NA-1)-1, 12 December 2018, </w:t>
      </w:r>
      <w:hyperlink r:id="rId10" w:history="1">
        <w:r w:rsidRPr="00C075AF">
          <w:rPr>
            <w:rStyle w:val="Hyperlink"/>
            <w:rFonts w:ascii="Times New Roman" w:hAnsi="Times New Roman"/>
            <w:lang w:val="en-US"/>
          </w:rPr>
          <w:t>http://lygybe.lt/data/public/uploads/2018/12/nepriklausoma-apzvalga-2018.pdf</w:t>
        </w:r>
      </w:hyperlink>
      <w:r w:rsidRPr="00C075AF">
        <w:rPr>
          <w:rFonts w:ascii="Times New Roman" w:hAnsi="Times New Roman"/>
          <w:lang w:val="en-US"/>
        </w:rPr>
        <w:t xml:space="preserve">.  </w:t>
      </w:r>
    </w:p>
  </w:footnote>
  <w:footnote w:id="13">
    <w:p w14:paraId="64837816" w14:textId="77777777" w:rsidR="00004DF0" w:rsidRPr="00C075AF" w:rsidRDefault="00004DF0" w:rsidP="00004DF0">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Science, Technology, Engineering and Mathematics (STEM).</w:t>
      </w:r>
    </w:p>
  </w:footnote>
  <w:footnote w:id="14">
    <w:p w14:paraId="22A2BE35" w14:textId="77777777" w:rsidR="00004DF0" w:rsidRPr="00C075AF" w:rsidRDefault="00004DF0" w:rsidP="00004DF0">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Education, Welfare and Health (EWH). </w:t>
      </w:r>
    </w:p>
  </w:footnote>
  <w:footnote w:id="15">
    <w:p w14:paraId="5867C567" w14:textId="77777777" w:rsidR="001318F8" w:rsidRPr="00C075AF" w:rsidRDefault="001318F8">
      <w:pPr>
        <w:pStyle w:val="FootnoteText"/>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Concluding Observations on the Fifth Periodic Report of Lithuania, No. CEDAW/C/LTU/CO/5, 24 July 2014, </w:t>
      </w:r>
      <w:hyperlink r:id="rId11" w:history="1">
        <w:r w:rsidRPr="00C075AF">
          <w:rPr>
            <w:rStyle w:val="Hyperlink"/>
            <w:rFonts w:ascii="Times New Roman" w:hAnsi="Times New Roman"/>
            <w:lang w:val="en-US"/>
          </w:rPr>
          <w:t>http://docstore.ohchr.org/SelfServices/FilesHandler.ashx?enc=6QkG1d%2fPPRiCAqhKb7yhsvxlfhYepfIYmW0eRMA3oVtFpVnhvVGN%2fu2GT3aQrqeUj5G1U2sZHvrIBvKKM%2fQOdsL%2bHyQ2QCyRnp9wezXUpvut%2bhoEQJV57MHLlLjEOIT3</w:t>
        </w:r>
      </w:hyperlink>
      <w:r w:rsidRPr="00C075AF">
        <w:rPr>
          <w:rFonts w:ascii="Times New Roman" w:hAnsi="Times New Roman"/>
          <w:lang w:val="en-US"/>
        </w:rPr>
        <w:t>.</w:t>
      </w:r>
    </w:p>
  </w:footnote>
  <w:footnote w:id="16">
    <w:p w14:paraId="200CEB91" w14:textId="77777777" w:rsidR="001318F8" w:rsidRPr="00C075AF" w:rsidRDefault="001318F8">
      <w:pPr>
        <w:pStyle w:val="FootnoteText"/>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Pr="00C075AF">
        <w:rPr>
          <w:rFonts w:ascii="Times New Roman" w:hAnsi="Times New Roman"/>
          <w:i/>
          <w:iCs/>
          <w:lang w:val="en-US"/>
        </w:rPr>
        <w:t>Supra</w:t>
      </w:r>
      <w:r w:rsidRPr="00C075AF">
        <w:rPr>
          <w:rFonts w:ascii="Times New Roman" w:hAnsi="Times New Roman"/>
          <w:lang w:val="en-US"/>
        </w:rPr>
        <w:t xml:space="preserve"> 5, para. 5.</w:t>
      </w:r>
    </w:p>
  </w:footnote>
  <w:footnote w:id="17">
    <w:p w14:paraId="2AB5E9C7" w14:textId="77777777" w:rsidR="001318F8" w:rsidRPr="00C075AF" w:rsidRDefault="001318F8" w:rsidP="001318F8">
      <w:pPr>
        <w:pStyle w:val="FootnoteText"/>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Pr="00C075AF">
        <w:rPr>
          <w:rFonts w:ascii="Times New Roman" w:hAnsi="Times New Roman"/>
          <w:i/>
          <w:lang w:val="en-US"/>
        </w:rPr>
        <w:t>Supra</w:t>
      </w:r>
      <w:r w:rsidRPr="00C075AF">
        <w:rPr>
          <w:rFonts w:ascii="Times New Roman" w:hAnsi="Times New Roman"/>
          <w:lang w:val="en-US"/>
        </w:rPr>
        <w:t xml:space="preserve"> </w:t>
      </w:r>
      <w:r w:rsidR="00331576" w:rsidRPr="00C075AF">
        <w:rPr>
          <w:rFonts w:ascii="Times New Roman" w:hAnsi="Times New Roman"/>
          <w:lang w:val="en-US"/>
        </w:rPr>
        <w:t>4</w:t>
      </w:r>
      <w:r w:rsidRPr="00C075AF">
        <w:rPr>
          <w:rFonts w:ascii="Times New Roman" w:hAnsi="Times New Roman"/>
          <w:lang w:val="en-US"/>
        </w:rPr>
        <w:t>.</w:t>
      </w:r>
    </w:p>
  </w:footnote>
  <w:footnote w:id="18">
    <w:p w14:paraId="1FD63171" w14:textId="77777777" w:rsidR="00331576" w:rsidRPr="00C075AF" w:rsidRDefault="00331576" w:rsidP="00331576">
      <w:pPr>
        <w:pStyle w:val="FootnoteText"/>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For the comprehensive list of externally funded projects, which are implemented by the Office of thee Equal Opportunities Ombudsperson, please see: </w:t>
      </w:r>
      <w:hyperlink r:id="rId12" w:history="1">
        <w:r w:rsidRPr="00C075AF">
          <w:rPr>
            <w:rStyle w:val="Hyperlink"/>
            <w:rFonts w:ascii="Times New Roman" w:hAnsi="Times New Roman"/>
            <w:lang w:val="en-US"/>
          </w:rPr>
          <w:t>https://www.lygybe.lt/lt/projektaiprojektai</w:t>
        </w:r>
      </w:hyperlink>
      <w:r w:rsidRPr="00C075AF">
        <w:rPr>
          <w:rFonts w:ascii="Times New Roman" w:hAnsi="Times New Roman"/>
          <w:lang w:val="en-US"/>
        </w:rPr>
        <w:t xml:space="preserve">. </w:t>
      </w:r>
    </w:p>
  </w:footnote>
  <w:footnote w:id="19">
    <w:p w14:paraId="77336DBA" w14:textId="77777777" w:rsidR="00320207" w:rsidRPr="00C075AF" w:rsidRDefault="00025123" w:rsidP="00320207">
      <w:pPr>
        <w:pStyle w:val="FootnoteText"/>
        <w:jc w:val="both"/>
        <w:rPr>
          <w:rFonts w:ascii="Times New Roman" w:hAnsi="Times New Roman"/>
          <w:color w:val="000000"/>
          <w:shd w:val="clear" w:color="auto" w:fill="FFFFFF"/>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00455D5D" w:rsidRPr="00C075AF">
        <w:rPr>
          <w:rFonts w:ascii="Times New Roman" w:hAnsi="Times New Roman"/>
          <w:lang w:val="en-US"/>
        </w:rPr>
        <w:t xml:space="preserve">Lietuvos </w:t>
      </w:r>
      <w:proofErr w:type="spellStart"/>
      <w:r w:rsidR="00455D5D" w:rsidRPr="00C075AF">
        <w:rPr>
          <w:rFonts w:ascii="Times New Roman" w:hAnsi="Times New Roman"/>
          <w:lang w:val="en-US"/>
        </w:rPr>
        <w:t>Respublikos</w:t>
      </w:r>
      <w:proofErr w:type="spellEnd"/>
      <w:r w:rsidR="00455D5D" w:rsidRPr="00C075AF">
        <w:rPr>
          <w:rFonts w:ascii="Times New Roman" w:hAnsi="Times New Roman"/>
          <w:lang w:val="en-US"/>
        </w:rPr>
        <w:t xml:space="preserve"> </w:t>
      </w:r>
      <w:proofErr w:type="spellStart"/>
      <w:r w:rsidR="00455D5D" w:rsidRPr="00C075AF">
        <w:rPr>
          <w:rFonts w:ascii="Times New Roman" w:hAnsi="Times New Roman"/>
          <w:lang w:val="en-US"/>
        </w:rPr>
        <w:t>lygių</w:t>
      </w:r>
      <w:proofErr w:type="spellEnd"/>
      <w:r w:rsidR="00455D5D" w:rsidRPr="00C075AF">
        <w:rPr>
          <w:rFonts w:ascii="Times New Roman" w:hAnsi="Times New Roman"/>
          <w:lang w:val="en-US"/>
        </w:rPr>
        <w:t xml:space="preserve"> </w:t>
      </w:r>
      <w:proofErr w:type="spellStart"/>
      <w:r w:rsidR="00455D5D" w:rsidRPr="00C075AF">
        <w:rPr>
          <w:rFonts w:ascii="Times New Roman" w:hAnsi="Times New Roman"/>
          <w:lang w:val="en-US"/>
        </w:rPr>
        <w:t>galimybių</w:t>
      </w:r>
      <w:proofErr w:type="spellEnd"/>
      <w:r w:rsidR="00455D5D" w:rsidRPr="00C075AF">
        <w:rPr>
          <w:rFonts w:ascii="Times New Roman" w:hAnsi="Times New Roman"/>
          <w:lang w:val="en-US"/>
        </w:rPr>
        <w:t xml:space="preserve"> </w:t>
      </w:r>
      <w:proofErr w:type="spellStart"/>
      <w:r w:rsidR="00455D5D" w:rsidRPr="00C075AF">
        <w:rPr>
          <w:rFonts w:ascii="Times New Roman" w:hAnsi="Times New Roman"/>
          <w:lang w:val="en-US"/>
        </w:rPr>
        <w:t>įstatymo</w:t>
      </w:r>
      <w:proofErr w:type="spellEnd"/>
      <w:r w:rsidR="00455D5D" w:rsidRPr="00C075AF">
        <w:rPr>
          <w:rFonts w:ascii="Times New Roman" w:hAnsi="Times New Roman"/>
          <w:lang w:val="en-US"/>
        </w:rPr>
        <w:t xml:space="preserve"> Nr. IX-1826 1, 16 </w:t>
      </w:r>
      <w:proofErr w:type="spellStart"/>
      <w:r w:rsidR="00455D5D" w:rsidRPr="00C075AF">
        <w:rPr>
          <w:rFonts w:ascii="Times New Roman" w:hAnsi="Times New Roman"/>
          <w:lang w:val="en-US"/>
        </w:rPr>
        <w:t>ir</w:t>
      </w:r>
      <w:proofErr w:type="spellEnd"/>
      <w:r w:rsidR="00455D5D" w:rsidRPr="00C075AF">
        <w:rPr>
          <w:rFonts w:ascii="Times New Roman" w:hAnsi="Times New Roman"/>
          <w:lang w:val="en-US"/>
        </w:rPr>
        <w:t xml:space="preserve"> 17 </w:t>
      </w:r>
      <w:proofErr w:type="spellStart"/>
      <w:r w:rsidR="00455D5D" w:rsidRPr="00C075AF">
        <w:rPr>
          <w:rFonts w:ascii="Times New Roman" w:hAnsi="Times New Roman"/>
          <w:lang w:val="en-US"/>
        </w:rPr>
        <w:t>straipsnių</w:t>
      </w:r>
      <w:proofErr w:type="spellEnd"/>
      <w:r w:rsidR="00455D5D" w:rsidRPr="00C075AF">
        <w:rPr>
          <w:rFonts w:ascii="Times New Roman" w:hAnsi="Times New Roman"/>
          <w:lang w:val="en-US"/>
        </w:rPr>
        <w:t xml:space="preserve"> </w:t>
      </w:r>
      <w:proofErr w:type="spellStart"/>
      <w:r w:rsidR="00455D5D" w:rsidRPr="00C075AF">
        <w:rPr>
          <w:rFonts w:ascii="Times New Roman" w:hAnsi="Times New Roman"/>
          <w:lang w:val="en-US"/>
        </w:rPr>
        <w:t>pakeitimo</w:t>
      </w:r>
      <w:proofErr w:type="spellEnd"/>
      <w:r w:rsidR="00455D5D" w:rsidRPr="00C075AF">
        <w:rPr>
          <w:rFonts w:ascii="Times New Roman" w:hAnsi="Times New Roman"/>
          <w:lang w:val="en-US"/>
        </w:rPr>
        <w:t xml:space="preserve"> </w:t>
      </w:r>
      <w:proofErr w:type="spellStart"/>
      <w:r w:rsidR="00455D5D" w:rsidRPr="00C075AF">
        <w:rPr>
          <w:rFonts w:ascii="Times New Roman" w:hAnsi="Times New Roman"/>
          <w:lang w:val="en-US"/>
        </w:rPr>
        <w:t>ir</w:t>
      </w:r>
      <w:proofErr w:type="spellEnd"/>
      <w:r w:rsidR="00455D5D" w:rsidRPr="00C075AF">
        <w:rPr>
          <w:rFonts w:ascii="Times New Roman" w:hAnsi="Times New Roman"/>
          <w:lang w:val="en-US"/>
        </w:rPr>
        <w:t xml:space="preserve"> </w:t>
      </w:r>
      <w:proofErr w:type="spellStart"/>
      <w:r w:rsidR="00455D5D" w:rsidRPr="00C075AF">
        <w:rPr>
          <w:rFonts w:ascii="Times New Roman" w:hAnsi="Times New Roman"/>
          <w:lang w:val="en-US"/>
        </w:rPr>
        <w:t>Įstatymo</w:t>
      </w:r>
      <w:proofErr w:type="spellEnd"/>
      <w:r w:rsidR="00455D5D" w:rsidRPr="00C075AF">
        <w:rPr>
          <w:rFonts w:ascii="Times New Roman" w:hAnsi="Times New Roman"/>
          <w:lang w:val="en-US"/>
        </w:rPr>
        <w:t xml:space="preserve"> </w:t>
      </w:r>
      <w:proofErr w:type="spellStart"/>
      <w:r w:rsidR="00455D5D" w:rsidRPr="00C075AF">
        <w:rPr>
          <w:rFonts w:ascii="Times New Roman" w:hAnsi="Times New Roman"/>
          <w:lang w:val="en-US"/>
        </w:rPr>
        <w:t>papildymo</w:t>
      </w:r>
      <w:proofErr w:type="spellEnd"/>
      <w:r w:rsidR="00455D5D" w:rsidRPr="00C075AF">
        <w:rPr>
          <w:rFonts w:ascii="Times New Roman" w:hAnsi="Times New Roman"/>
          <w:lang w:val="en-US"/>
        </w:rPr>
        <w:t xml:space="preserve"> 15-1 </w:t>
      </w:r>
      <w:proofErr w:type="spellStart"/>
      <w:r w:rsidR="00455D5D" w:rsidRPr="00C075AF">
        <w:rPr>
          <w:rFonts w:ascii="Times New Roman" w:hAnsi="Times New Roman"/>
          <w:lang w:val="en-US"/>
        </w:rPr>
        <w:t>straipsniu</w:t>
      </w:r>
      <w:proofErr w:type="spellEnd"/>
      <w:r w:rsidR="00455D5D" w:rsidRPr="00C075AF">
        <w:rPr>
          <w:rFonts w:ascii="Times New Roman" w:hAnsi="Times New Roman"/>
          <w:lang w:val="en-US"/>
        </w:rPr>
        <w:t xml:space="preserve"> </w:t>
      </w:r>
      <w:proofErr w:type="spellStart"/>
      <w:r w:rsidR="00455D5D" w:rsidRPr="00C075AF">
        <w:rPr>
          <w:rFonts w:ascii="Times New Roman" w:hAnsi="Times New Roman"/>
          <w:lang w:val="en-US"/>
        </w:rPr>
        <w:t>įstatymas</w:t>
      </w:r>
      <w:proofErr w:type="spellEnd"/>
      <w:r w:rsidR="00320207" w:rsidRPr="00C075AF">
        <w:rPr>
          <w:rFonts w:ascii="Times New Roman" w:hAnsi="Times New Roman"/>
          <w:lang w:val="en-US"/>
        </w:rPr>
        <w:t xml:space="preserve"> (Eng. “Law on Amending the Articles 1, 16 and 17 and Including the Article 15-1of the Law on Equal Treatment of the Republic of Lithuania No. IX-1826”)</w:t>
      </w:r>
      <w:r w:rsidR="00455D5D" w:rsidRPr="00C075AF">
        <w:rPr>
          <w:rFonts w:ascii="Times New Roman" w:hAnsi="Times New Roman"/>
          <w:lang w:val="en-US"/>
        </w:rPr>
        <w:t xml:space="preserve">, No. </w:t>
      </w:r>
      <w:r w:rsidR="00455D5D" w:rsidRPr="00C075AF">
        <w:rPr>
          <w:rFonts w:ascii="Times New Roman" w:hAnsi="Times New Roman"/>
          <w:color w:val="000000"/>
          <w:shd w:val="clear" w:color="auto" w:fill="FFFFFF"/>
          <w:lang w:val="en-US"/>
        </w:rPr>
        <w:t xml:space="preserve">XIII-1760, 11 December 2018, </w:t>
      </w:r>
    </w:p>
    <w:p w14:paraId="0B0562D2" w14:textId="77777777" w:rsidR="00025123" w:rsidRPr="00C075AF" w:rsidRDefault="004B628E" w:rsidP="00320207">
      <w:pPr>
        <w:pStyle w:val="FootnoteText"/>
        <w:jc w:val="both"/>
        <w:rPr>
          <w:rFonts w:ascii="Times New Roman" w:hAnsi="Times New Roman"/>
          <w:lang w:val="en-US"/>
        </w:rPr>
      </w:pPr>
      <w:hyperlink r:id="rId13" w:history="1">
        <w:r w:rsidR="00320207" w:rsidRPr="00C075AF">
          <w:rPr>
            <w:rStyle w:val="Hyperlink"/>
            <w:rFonts w:ascii="Times New Roman" w:hAnsi="Times New Roman"/>
            <w:shd w:val="clear" w:color="auto" w:fill="FFFFFF"/>
            <w:lang w:val="en-US"/>
          </w:rPr>
          <w:t>https://e-seimas.lrs.lt/portal/legalAct/lt/TAD/77e85e12ff6f11e89b04a534c5aaf5ce?jfwid=-470lijc7q</w:t>
        </w:r>
      </w:hyperlink>
      <w:r w:rsidR="00455D5D" w:rsidRPr="00C075AF">
        <w:rPr>
          <w:rFonts w:ascii="Times New Roman" w:hAnsi="Times New Roman"/>
          <w:color w:val="000000"/>
          <w:shd w:val="clear" w:color="auto" w:fill="FFFFFF"/>
          <w:lang w:val="en-US"/>
        </w:rPr>
        <w:t>.</w:t>
      </w:r>
    </w:p>
  </w:footnote>
  <w:footnote w:id="20">
    <w:p w14:paraId="68ACDBA4" w14:textId="77777777" w:rsidR="001B3ED9" w:rsidRPr="00C075AF" w:rsidRDefault="001B3ED9" w:rsidP="00025123">
      <w:pPr>
        <w:pStyle w:val="FootnoteText"/>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“New Commission for the Monitoring of the Rights of Persons with Disabilities starts its work”, </w:t>
      </w:r>
      <w:proofErr w:type="spellStart"/>
      <w:r w:rsidRPr="00C075AF">
        <w:rPr>
          <w:rFonts w:ascii="Times New Roman" w:hAnsi="Times New Roman"/>
          <w:i/>
          <w:iCs/>
          <w:lang w:val="en-US"/>
        </w:rPr>
        <w:t>lygybe.lt</w:t>
      </w:r>
      <w:proofErr w:type="spellEnd"/>
      <w:r w:rsidRPr="00C075AF">
        <w:rPr>
          <w:rFonts w:ascii="Times New Roman" w:hAnsi="Times New Roman"/>
          <w:i/>
          <w:iCs/>
          <w:lang w:val="en-US"/>
        </w:rPr>
        <w:t>/en</w:t>
      </w:r>
      <w:r w:rsidRPr="00C075AF">
        <w:rPr>
          <w:rFonts w:ascii="Times New Roman" w:hAnsi="Times New Roman"/>
          <w:lang w:val="en-US"/>
        </w:rPr>
        <w:t xml:space="preserve">,  25 July 2019, </w:t>
      </w:r>
      <w:hyperlink r:id="rId14" w:history="1">
        <w:r w:rsidR="00025123" w:rsidRPr="00C075AF">
          <w:rPr>
            <w:rStyle w:val="Hyperlink"/>
            <w:rFonts w:ascii="Times New Roman" w:hAnsi="Times New Roman"/>
            <w:lang w:val="en-US"/>
          </w:rPr>
          <w:t>https://lygybe.lt/en/news/new-commission-for-the-monitoring-of-the-rights-of-persons-with-disabilities-starts-its-work/1134</w:t>
        </w:r>
      </w:hyperlink>
      <w:r w:rsidR="00025123" w:rsidRPr="00C075AF">
        <w:rPr>
          <w:rFonts w:ascii="Times New Roman" w:hAnsi="Times New Roman"/>
          <w:lang w:val="en-US"/>
        </w:rPr>
        <w:t xml:space="preserve">. </w:t>
      </w:r>
    </w:p>
  </w:footnote>
  <w:footnote w:id="21">
    <w:p w14:paraId="4A731C1D" w14:textId="77777777" w:rsidR="00025123" w:rsidRPr="00C075AF" w:rsidRDefault="00025123" w:rsidP="005A6436">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proofErr w:type="spellStart"/>
      <w:r w:rsidR="00320207" w:rsidRPr="00C075AF">
        <w:rPr>
          <w:rFonts w:ascii="Times New Roman" w:hAnsi="Times New Roman"/>
          <w:lang w:val="en-US"/>
        </w:rPr>
        <w:t>Pagrindinio</w:t>
      </w:r>
      <w:proofErr w:type="spellEnd"/>
      <w:r w:rsidR="00320207" w:rsidRPr="00C075AF">
        <w:rPr>
          <w:rFonts w:ascii="Times New Roman" w:hAnsi="Times New Roman"/>
          <w:lang w:val="en-US"/>
        </w:rPr>
        <w:t xml:space="preserve"> </w:t>
      </w:r>
      <w:proofErr w:type="spellStart"/>
      <w:r w:rsidR="00320207" w:rsidRPr="00C075AF">
        <w:rPr>
          <w:rFonts w:ascii="Times New Roman" w:hAnsi="Times New Roman"/>
          <w:lang w:val="en-US"/>
        </w:rPr>
        <w:t>komiteto</w:t>
      </w:r>
      <w:proofErr w:type="spellEnd"/>
      <w:r w:rsidR="00320207" w:rsidRPr="00C075AF">
        <w:rPr>
          <w:rFonts w:ascii="Times New Roman" w:hAnsi="Times New Roman"/>
          <w:lang w:val="en-US"/>
        </w:rPr>
        <w:t xml:space="preserve"> </w:t>
      </w:r>
      <w:proofErr w:type="spellStart"/>
      <w:r w:rsidR="00320207" w:rsidRPr="00C075AF">
        <w:rPr>
          <w:rFonts w:ascii="Times New Roman" w:hAnsi="Times New Roman"/>
          <w:lang w:val="en-US"/>
        </w:rPr>
        <w:t>išvada</w:t>
      </w:r>
      <w:proofErr w:type="spellEnd"/>
      <w:r w:rsidR="00320207" w:rsidRPr="00C075AF">
        <w:rPr>
          <w:rFonts w:ascii="Times New Roman" w:hAnsi="Times New Roman"/>
          <w:lang w:val="en-US"/>
        </w:rPr>
        <w:t xml:space="preserve"> </w:t>
      </w:r>
      <w:r w:rsidR="005A6436" w:rsidRPr="00C075AF">
        <w:rPr>
          <w:rFonts w:ascii="Times New Roman" w:hAnsi="Times New Roman"/>
          <w:lang w:val="en-US"/>
        </w:rPr>
        <w:t xml:space="preserve">dėl 2019 metų </w:t>
      </w:r>
      <w:proofErr w:type="spellStart"/>
      <w:r w:rsidR="005A6436" w:rsidRPr="00C075AF">
        <w:rPr>
          <w:rFonts w:ascii="Times New Roman" w:hAnsi="Times New Roman"/>
          <w:lang w:val="en-US"/>
        </w:rPr>
        <w:t>valstybės</w:t>
      </w:r>
      <w:proofErr w:type="spellEnd"/>
      <w:r w:rsidR="005A6436" w:rsidRPr="00C075AF">
        <w:rPr>
          <w:rFonts w:ascii="Times New Roman" w:hAnsi="Times New Roman"/>
          <w:lang w:val="en-US"/>
        </w:rPr>
        <w:t xml:space="preserve"> </w:t>
      </w:r>
      <w:proofErr w:type="spellStart"/>
      <w:r w:rsidR="005A6436" w:rsidRPr="00C075AF">
        <w:rPr>
          <w:rFonts w:ascii="Times New Roman" w:hAnsi="Times New Roman"/>
          <w:lang w:val="en-US"/>
        </w:rPr>
        <w:t>biudžeto</w:t>
      </w:r>
      <w:proofErr w:type="spellEnd"/>
      <w:r w:rsidR="005A6436" w:rsidRPr="00C075AF">
        <w:rPr>
          <w:rFonts w:ascii="Times New Roman" w:hAnsi="Times New Roman"/>
          <w:lang w:val="en-US"/>
        </w:rPr>
        <w:t xml:space="preserve"> </w:t>
      </w:r>
      <w:proofErr w:type="spellStart"/>
      <w:r w:rsidR="005A6436" w:rsidRPr="00C075AF">
        <w:rPr>
          <w:rFonts w:ascii="Times New Roman" w:hAnsi="Times New Roman"/>
          <w:lang w:val="en-US"/>
        </w:rPr>
        <w:t>ir</w:t>
      </w:r>
      <w:proofErr w:type="spellEnd"/>
      <w:r w:rsidR="005A6436" w:rsidRPr="00C075AF">
        <w:rPr>
          <w:rFonts w:ascii="Times New Roman" w:hAnsi="Times New Roman"/>
          <w:lang w:val="en-US"/>
        </w:rPr>
        <w:t xml:space="preserve"> </w:t>
      </w:r>
      <w:proofErr w:type="spellStart"/>
      <w:r w:rsidR="005A6436" w:rsidRPr="00C075AF">
        <w:rPr>
          <w:rFonts w:ascii="Times New Roman" w:hAnsi="Times New Roman"/>
          <w:lang w:val="en-US"/>
        </w:rPr>
        <w:t>savivaldybių</w:t>
      </w:r>
      <w:proofErr w:type="spellEnd"/>
      <w:r w:rsidR="005A6436" w:rsidRPr="00C075AF">
        <w:rPr>
          <w:rFonts w:ascii="Times New Roman" w:hAnsi="Times New Roman"/>
          <w:lang w:val="en-US"/>
        </w:rPr>
        <w:t xml:space="preserve"> </w:t>
      </w:r>
      <w:proofErr w:type="spellStart"/>
      <w:r w:rsidR="005A6436" w:rsidRPr="00C075AF">
        <w:rPr>
          <w:rFonts w:ascii="Times New Roman" w:hAnsi="Times New Roman"/>
          <w:lang w:val="en-US"/>
        </w:rPr>
        <w:t>biudžetų</w:t>
      </w:r>
      <w:proofErr w:type="spellEnd"/>
      <w:r w:rsidR="005A6436" w:rsidRPr="00C075AF">
        <w:rPr>
          <w:rFonts w:ascii="Times New Roman" w:hAnsi="Times New Roman"/>
          <w:lang w:val="en-US"/>
        </w:rPr>
        <w:t xml:space="preserve"> </w:t>
      </w:r>
      <w:proofErr w:type="spellStart"/>
      <w:r w:rsidR="005A6436" w:rsidRPr="00C075AF">
        <w:rPr>
          <w:rFonts w:ascii="Times New Roman" w:hAnsi="Times New Roman"/>
          <w:lang w:val="en-US"/>
        </w:rPr>
        <w:t>finansinių</w:t>
      </w:r>
      <w:proofErr w:type="spellEnd"/>
      <w:r w:rsidR="005A6436" w:rsidRPr="00C075AF">
        <w:rPr>
          <w:rFonts w:ascii="Times New Roman" w:hAnsi="Times New Roman"/>
          <w:lang w:val="en-US"/>
        </w:rPr>
        <w:t xml:space="preserve"> </w:t>
      </w:r>
      <w:proofErr w:type="spellStart"/>
      <w:r w:rsidR="005A6436" w:rsidRPr="00C075AF">
        <w:rPr>
          <w:rFonts w:ascii="Times New Roman" w:hAnsi="Times New Roman"/>
          <w:lang w:val="en-US"/>
        </w:rPr>
        <w:t>rodiklių</w:t>
      </w:r>
      <w:proofErr w:type="spellEnd"/>
      <w:r w:rsidR="005A6436" w:rsidRPr="00C075AF">
        <w:rPr>
          <w:rFonts w:ascii="Times New Roman" w:hAnsi="Times New Roman"/>
          <w:lang w:val="en-US"/>
        </w:rPr>
        <w:t xml:space="preserve"> </w:t>
      </w:r>
      <w:proofErr w:type="spellStart"/>
      <w:r w:rsidR="005A6436" w:rsidRPr="00C075AF">
        <w:rPr>
          <w:rFonts w:ascii="Times New Roman" w:hAnsi="Times New Roman"/>
          <w:lang w:val="en-US"/>
        </w:rPr>
        <w:t>patvirtinimo</w:t>
      </w:r>
      <w:proofErr w:type="spellEnd"/>
      <w:r w:rsidR="005A6436" w:rsidRPr="00C075AF">
        <w:rPr>
          <w:rFonts w:ascii="Times New Roman" w:hAnsi="Times New Roman"/>
          <w:lang w:val="en-US"/>
        </w:rPr>
        <w:t xml:space="preserve"> </w:t>
      </w:r>
      <w:proofErr w:type="spellStart"/>
      <w:r w:rsidR="005A6436" w:rsidRPr="00C075AF">
        <w:rPr>
          <w:rFonts w:ascii="Times New Roman" w:hAnsi="Times New Roman"/>
          <w:lang w:val="en-US"/>
        </w:rPr>
        <w:t>įstatymo</w:t>
      </w:r>
      <w:proofErr w:type="spellEnd"/>
      <w:r w:rsidR="005A6436" w:rsidRPr="00C075AF">
        <w:rPr>
          <w:rFonts w:ascii="Times New Roman" w:hAnsi="Times New Roman"/>
          <w:lang w:val="en-US"/>
        </w:rPr>
        <w:t xml:space="preserve"> </w:t>
      </w:r>
      <w:proofErr w:type="spellStart"/>
      <w:r w:rsidR="005A6436" w:rsidRPr="00C075AF">
        <w:rPr>
          <w:rFonts w:ascii="Times New Roman" w:hAnsi="Times New Roman"/>
          <w:lang w:val="en-US"/>
        </w:rPr>
        <w:t>projektas</w:t>
      </w:r>
      <w:proofErr w:type="spellEnd"/>
      <w:r w:rsidR="005A6436" w:rsidRPr="00C075AF">
        <w:rPr>
          <w:rFonts w:ascii="Times New Roman" w:hAnsi="Times New Roman"/>
          <w:lang w:val="en-US"/>
        </w:rPr>
        <w:t xml:space="preserve"> (Eng. “Conclusion by the Main Committee on the Draft Law on Approval of Financial Indicators for the State Budget and Municipal Budgets of 2019”), No. </w:t>
      </w:r>
      <w:r w:rsidR="005A6436" w:rsidRPr="00C075AF">
        <w:rPr>
          <w:rFonts w:ascii="Times New Roman" w:hAnsi="Times New Roman"/>
          <w:color w:val="000000"/>
          <w:shd w:val="clear" w:color="auto" w:fill="FFFFFF"/>
          <w:lang w:val="en-US"/>
        </w:rPr>
        <w:t xml:space="preserve">XIIIP-2715, 16 November 2018, </w:t>
      </w:r>
      <w:hyperlink r:id="rId15" w:history="1">
        <w:r w:rsidR="005A6436" w:rsidRPr="00C075AF">
          <w:rPr>
            <w:rStyle w:val="Hyperlink"/>
            <w:rFonts w:ascii="Times New Roman" w:hAnsi="Times New Roman"/>
            <w:lang w:val="en-US"/>
          </w:rPr>
          <w:t>https://e-seimas.lrs.lt/portal/legalAct/lt/TAK/ed648e00e99111e89d4ad92e8434e309?positionInSearchResults=54&amp;searchModelUUID=109d2bd2-2740-41a9-a264-34d5d6762d60</w:t>
        </w:r>
      </w:hyperlink>
      <w:r w:rsidR="005A6436" w:rsidRPr="00C075AF">
        <w:rPr>
          <w:rFonts w:ascii="Times New Roman" w:hAnsi="Times New Roman"/>
          <w:lang w:val="en-US"/>
        </w:rPr>
        <w:t xml:space="preserve">. </w:t>
      </w:r>
    </w:p>
  </w:footnote>
  <w:footnote w:id="22">
    <w:p w14:paraId="3D0A4FD7" w14:textId="77777777" w:rsidR="00205DCF" w:rsidRPr="00C075AF" w:rsidRDefault="00205DCF" w:rsidP="00205DCF">
      <w:pPr>
        <w:pStyle w:val="FootnoteText"/>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Pr="00C075AF">
        <w:rPr>
          <w:rFonts w:ascii="Times New Roman" w:hAnsi="Times New Roman"/>
          <w:i/>
          <w:iCs/>
          <w:lang w:val="en-US"/>
        </w:rPr>
        <w:t>Supra</w:t>
      </w:r>
      <w:r w:rsidRPr="00C075AF">
        <w:rPr>
          <w:rFonts w:ascii="Times New Roman" w:hAnsi="Times New Roman"/>
          <w:lang w:val="en-US"/>
        </w:rPr>
        <w:t xml:space="preserve"> 15.</w:t>
      </w:r>
    </w:p>
  </w:footnote>
  <w:footnote w:id="23">
    <w:p w14:paraId="4FA5B3A3" w14:textId="77777777" w:rsidR="00205DCF" w:rsidRPr="00C075AF" w:rsidRDefault="00205DCF" w:rsidP="00205DCF">
      <w:pPr>
        <w:pStyle w:val="FootnoteText"/>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Pr="00C075AF">
        <w:rPr>
          <w:rFonts w:ascii="Times New Roman" w:hAnsi="Times New Roman"/>
          <w:i/>
          <w:iCs/>
          <w:lang w:val="en-US"/>
        </w:rPr>
        <w:t>Supra</w:t>
      </w:r>
      <w:r w:rsidRPr="00C075AF">
        <w:rPr>
          <w:rFonts w:ascii="Times New Roman" w:hAnsi="Times New Roman"/>
          <w:lang w:val="en-US"/>
        </w:rPr>
        <w:t xml:space="preserve"> 12.</w:t>
      </w:r>
    </w:p>
  </w:footnote>
  <w:footnote w:id="24">
    <w:p w14:paraId="22E94776" w14:textId="77777777" w:rsidR="00AC61DB" w:rsidRPr="00C075AF" w:rsidRDefault="00AC61DB" w:rsidP="00BA0A72">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00F96119" w:rsidRPr="00C075AF">
        <w:rPr>
          <w:rFonts w:ascii="Times New Roman" w:hAnsi="Times New Roman"/>
          <w:i/>
          <w:lang w:val="en-US"/>
        </w:rPr>
        <w:t>Supra</w:t>
      </w:r>
      <w:r w:rsidR="00F96119" w:rsidRPr="00C075AF">
        <w:rPr>
          <w:rFonts w:ascii="Times New Roman" w:hAnsi="Times New Roman"/>
          <w:lang w:val="en-US"/>
        </w:rPr>
        <w:t xml:space="preserve"> 1</w:t>
      </w:r>
      <w:r w:rsidR="008B0D58" w:rsidRPr="00C075AF">
        <w:rPr>
          <w:rFonts w:ascii="Times New Roman" w:hAnsi="Times New Roman"/>
          <w:lang w:val="en-US"/>
        </w:rPr>
        <w:t>1</w:t>
      </w:r>
      <w:r w:rsidR="00F96119" w:rsidRPr="00C075AF">
        <w:rPr>
          <w:rFonts w:ascii="Times New Roman" w:hAnsi="Times New Roman"/>
          <w:lang w:val="en-US"/>
        </w:rPr>
        <w:t>.</w:t>
      </w:r>
    </w:p>
  </w:footnote>
  <w:footnote w:id="25">
    <w:p w14:paraId="6A674C23" w14:textId="77777777" w:rsidR="008B0D58" w:rsidRPr="00C075AF" w:rsidRDefault="008B0D58" w:rsidP="008B0D58">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Ministry of Social Security and Labor, “Dėl Lietuvos </w:t>
      </w:r>
      <w:proofErr w:type="spellStart"/>
      <w:r w:rsidRPr="00C075AF">
        <w:rPr>
          <w:rFonts w:ascii="Times New Roman" w:hAnsi="Times New Roman"/>
          <w:lang w:val="en-US"/>
        </w:rPr>
        <w:t>Respublikos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Vyriausybės</w:t>
      </w:r>
      <w:proofErr w:type="spellEnd"/>
      <w:r w:rsidRPr="00C075AF">
        <w:rPr>
          <w:rFonts w:ascii="Times New Roman" w:hAnsi="Times New Roman"/>
          <w:lang w:val="en-US"/>
        </w:rPr>
        <w:t xml:space="preserve"> </w:t>
      </w:r>
      <w:proofErr w:type="spellStart"/>
      <w:r w:rsidRPr="00C075AF">
        <w:rPr>
          <w:rFonts w:ascii="Times New Roman" w:hAnsi="Times New Roman"/>
          <w:lang w:val="en-US"/>
        </w:rPr>
        <w:t>nutarimo</w:t>
      </w:r>
      <w:proofErr w:type="spellEnd"/>
      <w:r w:rsidRPr="00C075AF">
        <w:rPr>
          <w:rFonts w:ascii="Times New Roman" w:hAnsi="Times New Roman"/>
          <w:lang w:val="en-US"/>
        </w:rPr>
        <w:t xml:space="preserve"> </w:t>
      </w:r>
      <w:proofErr w:type="spellStart"/>
      <w:r w:rsidRPr="00C075AF">
        <w:rPr>
          <w:rFonts w:ascii="Times New Roman" w:hAnsi="Times New Roman"/>
          <w:lang w:val="en-US"/>
        </w:rPr>
        <w:t>projekto</w:t>
      </w:r>
      <w:proofErr w:type="spellEnd"/>
      <w:r w:rsidRPr="00C075AF">
        <w:rPr>
          <w:rFonts w:ascii="Times New Roman" w:hAnsi="Times New Roman"/>
          <w:lang w:val="en-US"/>
        </w:rPr>
        <w:t xml:space="preserve">” (Eng. “Regarding the Draft Order by the Government of the Republic of Lithuania”), No. (26.7-23)SD-1590, 27 March 2019. </w:t>
      </w:r>
    </w:p>
  </w:footnote>
  <w:footnote w:id="26">
    <w:p w14:paraId="17E0C57E" w14:textId="77777777" w:rsidR="00F15FF5" w:rsidRPr="00C075AF" w:rsidRDefault="0020542B" w:rsidP="00F15FF5">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r w:rsidR="00F15FF5" w:rsidRPr="00C075AF">
        <w:rPr>
          <w:rFonts w:ascii="Times New Roman" w:hAnsi="Times New Roman"/>
          <w:lang w:val="en-US"/>
        </w:rPr>
        <w:t>Office of the Equal Opportunities Ombudsperson, “</w:t>
      </w:r>
      <w:proofErr w:type="spellStart"/>
      <w:r w:rsidR="00F15FF5" w:rsidRPr="00C075AF">
        <w:rPr>
          <w:rFonts w:ascii="Times New Roman" w:hAnsi="Times New Roman"/>
          <w:lang w:val="en-US"/>
        </w:rPr>
        <w:t>Visuomenės</w:t>
      </w:r>
      <w:proofErr w:type="spellEnd"/>
      <w:r w:rsidR="00F15FF5" w:rsidRPr="00C075AF">
        <w:rPr>
          <w:rFonts w:ascii="Times New Roman" w:hAnsi="Times New Roman"/>
          <w:lang w:val="en-US"/>
        </w:rPr>
        <w:t xml:space="preserve"> </w:t>
      </w:r>
      <w:proofErr w:type="spellStart"/>
      <w:r w:rsidR="00F15FF5" w:rsidRPr="00C075AF">
        <w:rPr>
          <w:rFonts w:ascii="Times New Roman" w:hAnsi="Times New Roman"/>
          <w:lang w:val="en-US"/>
        </w:rPr>
        <w:t>apklausa</w:t>
      </w:r>
      <w:proofErr w:type="spellEnd"/>
      <w:r w:rsidR="00F15FF5" w:rsidRPr="00C075AF">
        <w:rPr>
          <w:rFonts w:ascii="Times New Roman" w:hAnsi="Times New Roman"/>
          <w:lang w:val="en-US"/>
        </w:rPr>
        <w:t xml:space="preserve">: </w:t>
      </w:r>
      <w:proofErr w:type="spellStart"/>
      <w:r w:rsidR="00F15FF5" w:rsidRPr="00C075AF">
        <w:rPr>
          <w:rFonts w:ascii="Times New Roman" w:hAnsi="Times New Roman"/>
          <w:lang w:val="en-US"/>
        </w:rPr>
        <w:t>iškreipti</w:t>
      </w:r>
      <w:proofErr w:type="spellEnd"/>
      <w:r w:rsidR="00F15FF5" w:rsidRPr="00C075AF">
        <w:rPr>
          <w:rFonts w:ascii="Times New Roman" w:hAnsi="Times New Roman"/>
          <w:lang w:val="en-US"/>
        </w:rPr>
        <w:t xml:space="preserve"> </w:t>
      </w:r>
      <w:proofErr w:type="spellStart"/>
      <w:r w:rsidR="00F15FF5" w:rsidRPr="00C075AF">
        <w:rPr>
          <w:rFonts w:ascii="Times New Roman" w:hAnsi="Times New Roman"/>
          <w:lang w:val="en-US"/>
        </w:rPr>
        <w:t>lūkesčiai</w:t>
      </w:r>
      <w:proofErr w:type="spellEnd"/>
      <w:r w:rsidR="00F15FF5" w:rsidRPr="00C075AF">
        <w:rPr>
          <w:rFonts w:ascii="Times New Roman" w:hAnsi="Times New Roman"/>
          <w:lang w:val="en-US"/>
        </w:rPr>
        <w:t xml:space="preserve"> </w:t>
      </w:r>
      <w:proofErr w:type="spellStart"/>
      <w:r w:rsidR="00F15FF5" w:rsidRPr="00C075AF">
        <w:rPr>
          <w:rFonts w:ascii="Times New Roman" w:hAnsi="Times New Roman"/>
          <w:lang w:val="en-US"/>
        </w:rPr>
        <w:t>moterims</w:t>
      </w:r>
      <w:proofErr w:type="spellEnd"/>
      <w:r w:rsidR="00F15FF5" w:rsidRPr="00C075AF">
        <w:rPr>
          <w:rFonts w:ascii="Times New Roman" w:hAnsi="Times New Roman"/>
          <w:lang w:val="en-US"/>
        </w:rPr>
        <w:t xml:space="preserve"> gali </w:t>
      </w:r>
      <w:proofErr w:type="spellStart"/>
      <w:r w:rsidR="00F15FF5" w:rsidRPr="00C075AF">
        <w:rPr>
          <w:rFonts w:ascii="Times New Roman" w:hAnsi="Times New Roman"/>
          <w:lang w:val="en-US"/>
        </w:rPr>
        <w:t>paskatinti</w:t>
      </w:r>
      <w:proofErr w:type="spellEnd"/>
      <w:r w:rsidR="00F15FF5" w:rsidRPr="00C075AF">
        <w:rPr>
          <w:rFonts w:ascii="Times New Roman" w:hAnsi="Times New Roman"/>
          <w:lang w:val="en-US"/>
        </w:rPr>
        <w:t xml:space="preserve"> </w:t>
      </w:r>
      <w:proofErr w:type="spellStart"/>
      <w:r w:rsidR="00F15FF5" w:rsidRPr="00C075AF">
        <w:rPr>
          <w:rFonts w:ascii="Times New Roman" w:hAnsi="Times New Roman"/>
          <w:lang w:val="en-US"/>
        </w:rPr>
        <w:t>smurtą</w:t>
      </w:r>
      <w:proofErr w:type="spellEnd"/>
      <w:r w:rsidR="00F15FF5" w:rsidRPr="00C075AF">
        <w:rPr>
          <w:rFonts w:ascii="Times New Roman" w:hAnsi="Times New Roman"/>
          <w:lang w:val="en-US"/>
        </w:rPr>
        <w:t xml:space="preserve">” (Eng. “Public Opinion Survey: Distorted Expectations towards Women Might Encourage Violence”), </w:t>
      </w:r>
      <w:proofErr w:type="spellStart"/>
      <w:r w:rsidR="00F15FF5" w:rsidRPr="00C075AF">
        <w:rPr>
          <w:rFonts w:ascii="Times New Roman" w:hAnsi="Times New Roman"/>
          <w:i/>
          <w:iCs/>
          <w:lang w:val="en-US"/>
        </w:rPr>
        <w:t>lygybe.lt</w:t>
      </w:r>
      <w:proofErr w:type="spellEnd"/>
      <w:r w:rsidR="00F15FF5" w:rsidRPr="00C075AF">
        <w:rPr>
          <w:rFonts w:ascii="Times New Roman" w:hAnsi="Times New Roman"/>
          <w:lang w:val="en-US"/>
        </w:rPr>
        <w:t xml:space="preserve">, 28 August 2019, </w:t>
      </w:r>
    </w:p>
    <w:p w14:paraId="25052008" w14:textId="77777777" w:rsidR="0020542B" w:rsidRPr="00C075AF" w:rsidRDefault="004B628E" w:rsidP="00F15FF5">
      <w:pPr>
        <w:pStyle w:val="FootnoteText"/>
        <w:jc w:val="both"/>
        <w:rPr>
          <w:rFonts w:ascii="Times New Roman" w:hAnsi="Times New Roman"/>
          <w:lang w:val="en-US"/>
        </w:rPr>
      </w:pPr>
      <w:hyperlink r:id="rId16" w:history="1">
        <w:r w:rsidR="00F15FF5" w:rsidRPr="00C075AF">
          <w:rPr>
            <w:rStyle w:val="Hyperlink"/>
            <w:rFonts w:ascii="Times New Roman" w:hAnsi="Times New Roman"/>
            <w:lang w:val="en-US"/>
          </w:rPr>
          <w:t>https://lygybe.lt/lt/visuomenes-apklausa-iskreipti-lukesciai-moterims-gali-paskatinti-smurta</w:t>
        </w:r>
      </w:hyperlink>
      <w:r w:rsidR="00F15FF5" w:rsidRPr="00C075AF">
        <w:rPr>
          <w:rFonts w:ascii="Times New Roman" w:hAnsi="Times New Roman"/>
          <w:lang w:val="en-US"/>
        </w:rPr>
        <w:t xml:space="preserve">.  </w:t>
      </w:r>
    </w:p>
  </w:footnote>
  <w:footnote w:id="27">
    <w:p w14:paraId="50AAA1A8" w14:textId="77777777" w:rsidR="00205DCF" w:rsidRPr="00C075AF" w:rsidRDefault="00205DCF" w:rsidP="00205DCF">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The Council of Europe Convention on Preventing and Combating Violence against Women and Domestic Violence, No. 210, 11 May 2011, </w:t>
      </w:r>
    </w:p>
    <w:p w14:paraId="3D088033" w14:textId="77777777" w:rsidR="00205DCF" w:rsidRPr="00C075AF" w:rsidRDefault="004B628E" w:rsidP="00205DCF">
      <w:pPr>
        <w:pStyle w:val="FootnoteText"/>
        <w:jc w:val="both"/>
        <w:rPr>
          <w:rFonts w:ascii="Times New Roman" w:hAnsi="Times New Roman"/>
          <w:lang w:val="en-US"/>
        </w:rPr>
      </w:pPr>
      <w:hyperlink r:id="rId17" w:history="1">
        <w:r w:rsidR="00205DCF" w:rsidRPr="00C075AF">
          <w:rPr>
            <w:rStyle w:val="Hyperlink"/>
            <w:rFonts w:ascii="Times New Roman" w:hAnsi="Times New Roman"/>
            <w:lang w:val="en-US"/>
          </w:rPr>
          <w:t>https://www.coe.int/fr/web/conventions/full-list/-/conventions/rms/090000168008482e</w:t>
        </w:r>
      </w:hyperlink>
      <w:r w:rsidR="00205DCF" w:rsidRPr="00C075AF">
        <w:rPr>
          <w:rFonts w:ascii="Times New Roman" w:hAnsi="Times New Roman"/>
          <w:lang w:val="en-US"/>
        </w:rPr>
        <w:t xml:space="preserve">.  </w:t>
      </w:r>
    </w:p>
  </w:footnote>
  <w:footnote w:id="28">
    <w:p w14:paraId="0A2AFA06" w14:textId="77777777" w:rsidR="00205DCF" w:rsidRPr="00C075AF" w:rsidRDefault="00205DCF" w:rsidP="00205DCF">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Declaration by the Members of the Parliament of the Republic of Lithuania „Dėl </w:t>
      </w:r>
      <w:proofErr w:type="spellStart"/>
      <w:r w:rsidRPr="00C075AF">
        <w:rPr>
          <w:rFonts w:ascii="Times New Roman" w:hAnsi="Times New Roman"/>
          <w:lang w:val="en-US"/>
        </w:rPr>
        <w:t>Stambulo</w:t>
      </w:r>
      <w:proofErr w:type="spellEnd"/>
      <w:r w:rsidRPr="00C075AF">
        <w:rPr>
          <w:rFonts w:ascii="Times New Roman" w:hAnsi="Times New Roman"/>
          <w:lang w:val="en-US"/>
        </w:rPr>
        <w:t xml:space="preserve"> </w:t>
      </w:r>
      <w:proofErr w:type="spellStart"/>
      <w:r w:rsidRPr="00C075AF">
        <w:rPr>
          <w:rFonts w:ascii="Times New Roman" w:hAnsi="Times New Roman"/>
          <w:lang w:val="en-US"/>
        </w:rPr>
        <w:t>konvencijos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ratifikavimo</w:t>
      </w:r>
      <w:proofErr w:type="spellEnd"/>
      <w:r w:rsidRPr="00C075AF">
        <w:rPr>
          <w:rFonts w:ascii="Times New Roman" w:hAnsi="Times New Roman"/>
          <w:lang w:val="en-US"/>
        </w:rPr>
        <w:t xml:space="preserve">“ (Eng. “On Ratification of the Istanbul Convention”), 12 March 2018, </w:t>
      </w:r>
      <w:hyperlink r:id="rId18" w:history="1">
        <w:r w:rsidRPr="00C075AF">
          <w:rPr>
            <w:rStyle w:val="Hyperlink"/>
            <w:rFonts w:ascii="Times New Roman" w:hAnsi="Times New Roman"/>
            <w:lang w:val="en-US"/>
          </w:rPr>
          <w:t>http://alkas.lt/wp-content/uploads/2018/03/deklaracija.pdf</w:t>
        </w:r>
      </w:hyperlink>
      <w:r w:rsidRPr="00C075AF">
        <w:rPr>
          <w:rFonts w:ascii="Times New Roman" w:hAnsi="Times New Roman"/>
          <w:lang w:val="en-US"/>
        </w:rPr>
        <w:t xml:space="preserve">. </w:t>
      </w:r>
    </w:p>
  </w:footnote>
  <w:footnote w:id="29">
    <w:p w14:paraId="2DC67553" w14:textId="77777777" w:rsidR="00205DCF" w:rsidRPr="00C075AF" w:rsidRDefault="00205DCF" w:rsidP="00205DCF">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Draft Resolution by the Parliament of the Republic of Lithuania „Dėl Lietuvos </w:t>
      </w:r>
      <w:proofErr w:type="spellStart"/>
      <w:r w:rsidRPr="00C075AF">
        <w:rPr>
          <w:rFonts w:ascii="Times New Roman" w:hAnsi="Times New Roman"/>
          <w:lang w:val="en-US"/>
        </w:rPr>
        <w:t>Respublikos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Seimo</w:t>
      </w:r>
      <w:proofErr w:type="spellEnd"/>
      <w:r w:rsidRPr="00C075AF">
        <w:rPr>
          <w:rFonts w:ascii="Times New Roman" w:hAnsi="Times New Roman"/>
          <w:lang w:val="en-US"/>
        </w:rPr>
        <w:t xml:space="preserve"> IV (</w:t>
      </w:r>
      <w:proofErr w:type="spellStart"/>
      <w:r w:rsidRPr="00C075AF">
        <w:rPr>
          <w:rFonts w:ascii="Times New Roman" w:hAnsi="Times New Roman"/>
          <w:lang w:val="en-US"/>
        </w:rPr>
        <w:t>pavasario</w:t>
      </w:r>
      <w:proofErr w:type="spellEnd"/>
      <w:r w:rsidRPr="00C075AF">
        <w:rPr>
          <w:rFonts w:ascii="Times New Roman" w:hAnsi="Times New Roman"/>
          <w:lang w:val="en-US"/>
        </w:rPr>
        <w:t xml:space="preserve">) </w:t>
      </w:r>
      <w:proofErr w:type="spellStart"/>
      <w:r w:rsidRPr="00C075AF">
        <w:rPr>
          <w:rFonts w:ascii="Times New Roman" w:hAnsi="Times New Roman"/>
          <w:lang w:val="en-US"/>
        </w:rPr>
        <w:t>sesijos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darbų</w:t>
      </w:r>
      <w:proofErr w:type="spellEnd"/>
      <w:r w:rsidRPr="00C075AF">
        <w:rPr>
          <w:rFonts w:ascii="Times New Roman" w:hAnsi="Times New Roman"/>
          <w:lang w:val="en-US"/>
        </w:rPr>
        <w:t xml:space="preserve"> </w:t>
      </w:r>
      <w:proofErr w:type="spellStart"/>
      <w:r w:rsidRPr="00C075AF">
        <w:rPr>
          <w:rFonts w:ascii="Times New Roman" w:hAnsi="Times New Roman"/>
          <w:lang w:val="en-US"/>
        </w:rPr>
        <w:t>programos</w:t>
      </w:r>
      <w:proofErr w:type="spellEnd"/>
      <w:r w:rsidRPr="00C075AF">
        <w:rPr>
          <w:rFonts w:ascii="Times New Roman" w:hAnsi="Times New Roman"/>
          <w:lang w:val="en-US"/>
        </w:rPr>
        <w:t xml:space="preserve">“ (Eng. “On the Agenda of the IV (Spring) Session of the Parliament of the Republic of Lithuania”), No. XIIIP-1758(2), 15 March 2018, </w:t>
      </w:r>
      <w:hyperlink r:id="rId19" w:history="1">
        <w:r w:rsidRPr="00C075AF">
          <w:rPr>
            <w:rStyle w:val="Hyperlink"/>
            <w:rFonts w:ascii="Times New Roman" w:hAnsi="Times New Roman"/>
            <w:lang w:val="en-US"/>
          </w:rPr>
          <w:t>https://e-seimas.lrs.lt/portal/legalAct/lt/TAP/82397160281f11e883caab1e5c7c4854</w:t>
        </w:r>
      </w:hyperlink>
      <w:r w:rsidRPr="00C075AF">
        <w:rPr>
          <w:rFonts w:ascii="Times New Roman" w:hAnsi="Times New Roman"/>
          <w:lang w:val="en-US"/>
        </w:rPr>
        <w:t xml:space="preserve">. The voting results can be seen here: </w:t>
      </w:r>
      <w:hyperlink r:id="rId20" w:history="1">
        <w:r w:rsidRPr="00C075AF">
          <w:rPr>
            <w:rStyle w:val="Hyperlink"/>
            <w:rFonts w:ascii="Times New Roman" w:hAnsi="Times New Roman"/>
            <w:lang w:val="en-US"/>
          </w:rPr>
          <w:t>https://www.lrs.lt/sip/portal.show?p_r=15275&amp;p_k=1&amp;p_a=sale_bals&amp;p_bals_id=-28649</w:t>
        </w:r>
      </w:hyperlink>
      <w:r w:rsidRPr="00C075AF">
        <w:rPr>
          <w:rFonts w:ascii="Times New Roman" w:hAnsi="Times New Roman"/>
          <w:lang w:val="en-US"/>
        </w:rPr>
        <w:t xml:space="preserve">. </w:t>
      </w:r>
    </w:p>
  </w:footnote>
  <w:footnote w:id="30">
    <w:p w14:paraId="318FAD05" w14:textId="77777777" w:rsidR="00C075AF" w:rsidRPr="00C075AF" w:rsidRDefault="00205DCF" w:rsidP="00205DCF">
      <w:pPr>
        <w:pStyle w:val="FootnoteText"/>
        <w:jc w:val="both"/>
        <w:rPr>
          <w:rFonts w:ascii="Times New Roman" w:hAnsi="Times New Roman"/>
          <w:lang w:val="en-US"/>
        </w:rPr>
      </w:pPr>
      <w:r w:rsidRPr="00C075AF">
        <w:rPr>
          <w:rStyle w:val="FootnoteReference"/>
          <w:rFonts w:ascii="Times New Roman" w:hAnsi="Times New Roman"/>
          <w:lang w:val="en-US"/>
        </w:rPr>
        <w:footnoteRef/>
      </w:r>
      <w:r w:rsidRPr="00C075AF">
        <w:rPr>
          <w:rFonts w:ascii="Times New Roman" w:hAnsi="Times New Roman"/>
          <w:lang w:val="en-US"/>
        </w:rPr>
        <w:t xml:space="preserve"> </w:t>
      </w:r>
      <w:proofErr w:type="spellStart"/>
      <w:r w:rsidRPr="00C075AF">
        <w:rPr>
          <w:rFonts w:ascii="Times New Roman" w:hAnsi="Times New Roman"/>
          <w:lang w:val="en-US"/>
        </w:rPr>
        <w:t>Įstatymo</w:t>
      </w:r>
      <w:proofErr w:type="spellEnd"/>
      <w:r w:rsidRPr="00C075AF">
        <w:rPr>
          <w:rFonts w:ascii="Times New Roman" w:hAnsi="Times New Roman"/>
          <w:lang w:val="en-US"/>
        </w:rPr>
        <w:t xml:space="preserve"> „Dėl </w:t>
      </w:r>
      <w:proofErr w:type="spellStart"/>
      <w:r w:rsidRPr="00C075AF">
        <w:rPr>
          <w:rFonts w:ascii="Times New Roman" w:hAnsi="Times New Roman"/>
          <w:lang w:val="en-US"/>
        </w:rPr>
        <w:t>Europos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tarybos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konvencijos</w:t>
      </w:r>
      <w:proofErr w:type="spellEnd"/>
      <w:r w:rsidRPr="00C075AF">
        <w:rPr>
          <w:rFonts w:ascii="Times New Roman" w:hAnsi="Times New Roman"/>
          <w:lang w:val="en-US"/>
        </w:rPr>
        <w:t xml:space="preserve"> dėl </w:t>
      </w:r>
      <w:proofErr w:type="spellStart"/>
      <w:r w:rsidRPr="00C075AF">
        <w:rPr>
          <w:rFonts w:ascii="Times New Roman" w:hAnsi="Times New Roman"/>
          <w:lang w:val="en-US"/>
        </w:rPr>
        <w:t>smurto</w:t>
      </w:r>
      <w:proofErr w:type="spellEnd"/>
      <w:r w:rsidRPr="00C075AF">
        <w:rPr>
          <w:rFonts w:ascii="Times New Roman" w:hAnsi="Times New Roman"/>
          <w:lang w:val="en-US"/>
        </w:rPr>
        <w:t xml:space="preserve"> </w:t>
      </w:r>
      <w:proofErr w:type="spellStart"/>
      <w:r w:rsidRPr="00C075AF">
        <w:rPr>
          <w:rFonts w:ascii="Times New Roman" w:hAnsi="Times New Roman"/>
          <w:lang w:val="en-US"/>
        </w:rPr>
        <w:t>prieš</w:t>
      </w:r>
      <w:proofErr w:type="spellEnd"/>
      <w:r w:rsidRPr="00C075AF">
        <w:rPr>
          <w:rFonts w:ascii="Times New Roman" w:hAnsi="Times New Roman"/>
          <w:lang w:val="en-US"/>
        </w:rPr>
        <w:t xml:space="preserve"> </w:t>
      </w:r>
      <w:proofErr w:type="spellStart"/>
      <w:r w:rsidRPr="00C075AF">
        <w:rPr>
          <w:rFonts w:ascii="Times New Roman" w:hAnsi="Times New Roman"/>
          <w:lang w:val="en-US"/>
        </w:rPr>
        <w:t>moteris</w:t>
      </w:r>
      <w:proofErr w:type="spellEnd"/>
      <w:r w:rsidRPr="00C075AF">
        <w:rPr>
          <w:rFonts w:ascii="Times New Roman" w:hAnsi="Times New Roman"/>
          <w:lang w:val="en-US"/>
        </w:rPr>
        <w:t xml:space="preserve"> </w:t>
      </w:r>
      <w:proofErr w:type="spellStart"/>
      <w:r w:rsidRPr="00C075AF">
        <w:rPr>
          <w:rFonts w:ascii="Times New Roman" w:hAnsi="Times New Roman"/>
          <w:lang w:val="en-US"/>
        </w:rPr>
        <w:t>ir</w:t>
      </w:r>
      <w:proofErr w:type="spellEnd"/>
      <w:r w:rsidRPr="00C075AF">
        <w:rPr>
          <w:rFonts w:ascii="Times New Roman" w:hAnsi="Times New Roman"/>
          <w:lang w:val="en-US"/>
        </w:rPr>
        <w:t xml:space="preserve"> </w:t>
      </w:r>
      <w:proofErr w:type="spellStart"/>
      <w:r w:rsidRPr="00C075AF">
        <w:rPr>
          <w:rFonts w:ascii="Times New Roman" w:hAnsi="Times New Roman"/>
          <w:lang w:val="en-US"/>
        </w:rPr>
        <w:t>smurto</w:t>
      </w:r>
      <w:proofErr w:type="spellEnd"/>
      <w:r w:rsidRPr="00C075AF">
        <w:rPr>
          <w:rFonts w:ascii="Times New Roman" w:hAnsi="Times New Roman"/>
          <w:lang w:val="en-US"/>
        </w:rPr>
        <w:t xml:space="preserve"> </w:t>
      </w:r>
      <w:proofErr w:type="spellStart"/>
      <w:r w:rsidRPr="00C075AF">
        <w:rPr>
          <w:rFonts w:ascii="Times New Roman" w:hAnsi="Times New Roman"/>
          <w:lang w:val="en-US"/>
        </w:rPr>
        <w:t>artimoje</w:t>
      </w:r>
      <w:proofErr w:type="spellEnd"/>
      <w:r w:rsidRPr="00C075AF">
        <w:rPr>
          <w:rFonts w:ascii="Times New Roman" w:hAnsi="Times New Roman"/>
          <w:lang w:val="en-US"/>
        </w:rPr>
        <w:t xml:space="preserve"> </w:t>
      </w:r>
      <w:proofErr w:type="spellStart"/>
      <w:r w:rsidRPr="00C075AF">
        <w:rPr>
          <w:rFonts w:ascii="Times New Roman" w:hAnsi="Times New Roman"/>
          <w:lang w:val="en-US"/>
        </w:rPr>
        <w:t>aplinkoje</w:t>
      </w:r>
      <w:proofErr w:type="spellEnd"/>
      <w:r w:rsidRPr="00C075AF">
        <w:rPr>
          <w:rFonts w:ascii="Times New Roman" w:hAnsi="Times New Roman"/>
          <w:lang w:val="en-US"/>
        </w:rPr>
        <w:t xml:space="preserve"> </w:t>
      </w:r>
      <w:proofErr w:type="spellStart"/>
      <w:r w:rsidRPr="00C075AF">
        <w:rPr>
          <w:rFonts w:ascii="Times New Roman" w:hAnsi="Times New Roman"/>
          <w:lang w:val="en-US"/>
        </w:rPr>
        <w:t>prevencijos</w:t>
      </w:r>
      <w:proofErr w:type="spellEnd"/>
      <w:r w:rsidRPr="00C075AF">
        <w:rPr>
          <w:rFonts w:ascii="Times New Roman" w:hAnsi="Times New Roman"/>
          <w:lang w:val="en-US"/>
        </w:rPr>
        <w:t xml:space="preserve"> </w:t>
      </w:r>
      <w:proofErr w:type="spellStart"/>
      <w:r w:rsidRPr="00C075AF">
        <w:rPr>
          <w:rFonts w:ascii="Times New Roman" w:hAnsi="Times New Roman"/>
          <w:lang w:val="en-US"/>
        </w:rPr>
        <w:t>ir</w:t>
      </w:r>
      <w:proofErr w:type="spellEnd"/>
      <w:r w:rsidRPr="00C075AF">
        <w:rPr>
          <w:rFonts w:ascii="Times New Roman" w:hAnsi="Times New Roman"/>
          <w:lang w:val="en-US"/>
        </w:rPr>
        <w:t xml:space="preserve"> </w:t>
      </w:r>
      <w:proofErr w:type="spellStart"/>
      <w:r w:rsidRPr="00C075AF">
        <w:rPr>
          <w:rFonts w:ascii="Times New Roman" w:hAnsi="Times New Roman"/>
          <w:lang w:val="en-US"/>
        </w:rPr>
        <w:t>kovos</w:t>
      </w:r>
      <w:proofErr w:type="spellEnd"/>
      <w:r w:rsidRPr="00C075AF">
        <w:rPr>
          <w:rFonts w:ascii="Times New Roman" w:hAnsi="Times New Roman"/>
          <w:lang w:val="en-US"/>
        </w:rPr>
        <w:t xml:space="preserve"> su </w:t>
      </w:r>
      <w:proofErr w:type="spellStart"/>
      <w:r w:rsidRPr="00C075AF">
        <w:rPr>
          <w:rFonts w:ascii="Times New Roman" w:hAnsi="Times New Roman"/>
          <w:lang w:val="en-US"/>
        </w:rPr>
        <w:t>juo</w:t>
      </w:r>
      <w:proofErr w:type="spellEnd"/>
      <w:r w:rsidRPr="00C075AF">
        <w:rPr>
          <w:rFonts w:ascii="Times New Roman" w:hAnsi="Times New Roman"/>
          <w:lang w:val="en-US"/>
        </w:rPr>
        <w:t xml:space="preserve"> </w:t>
      </w:r>
      <w:proofErr w:type="spellStart"/>
      <w:r w:rsidRPr="00C075AF">
        <w:rPr>
          <w:rFonts w:ascii="Times New Roman" w:hAnsi="Times New Roman"/>
          <w:lang w:val="en-US"/>
        </w:rPr>
        <w:t>ratifikavimo</w:t>
      </w:r>
      <w:proofErr w:type="spellEnd"/>
      <w:r w:rsidRPr="00C075AF">
        <w:rPr>
          <w:rFonts w:ascii="Times New Roman" w:hAnsi="Times New Roman"/>
          <w:lang w:val="en-US"/>
        </w:rPr>
        <w:t xml:space="preserve">“ </w:t>
      </w:r>
      <w:proofErr w:type="spellStart"/>
      <w:r w:rsidRPr="00C075AF">
        <w:rPr>
          <w:rFonts w:ascii="Times New Roman" w:hAnsi="Times New Roman"/>
          <w:lang w:val="en-US"/>
        </w:rPr>
        <w:t>projektas</w:t>
      </w:r>
      <w:proofErr w:type="spellEnd"/>
      <w:r w:rsidRPr="00C075AF">
        <w:rPr>
          <w:rFonts w:ascii="Times New Roman" w:hAnsi="Times New Roman"/>
          <w:lang w:val="en-US"/>
        </w:rPr>
        <w:t xml:space="preserve"> (Eng. “Draft Law on Ratification of the </w:t>
      </w:r>
      <w:r w:rsidR="000A2144">
        <w:rPr>
          <w:rFonts w:ascii="Times New Roman" w:hAnsi="Times New Roman"/>
          <w:lang w:val="en-US"/>
        </w:rPr>
        <w:t>CoE</w:t>
      </w:r>
      <w:r w:rsidRPr="00C075AF">
        <w:rPr>
          <w:rFonts w:ascii="Times New Roman" w:hAnsi="Times New Roman"/>
          <w:lang w:val="en-US"/>
        </w:rPr>
        <w:t>’s Convention on Preventing and Combating Violence against Women and Domestic Violence”), No. XIIIP-2315, 12 June 2018,</w:t>
      </w:r>
    </w:p>
    <w:p w14:paraId="6FED77AC" w14:textId="77777777" w:rsidR="00205DCF" w:rsidRPr="00C075AF" w:rsidRDefault="004B628E" w:rsidP="00205DCF">
      <w:pPr>
        <w:pStyle w:val="FootnoteText"/>
        <w:jc w:val="both"/>
        <w:rPr>
          <w:rFonts w:ascii="Times New Roman" w:hAnsi="Times New Roman"/>
          <w:lang w:val="en-US"/>
        </w:rPr>
      </w:pPr>
      <w:hyperlink r:id="rId21" w:history="1">
        <w:r w:rsidR="00C075AF" w:rsidRPr="00C075AF">
          <w:rPr>
            <w:rStyle w:val="Hyperlink"/>
            <w:rFonts w:ascii="Times New Roman" w:hAnsi="Times New Roman"/>
            <w:lang w:val="en-US"/>
          </w:rPr>
          <w:t>https://e-seimas.lrs.lt/portal/legalAct/lt/TAP/7a5b5ec06e4411e89bb0cb50d0500eab?positionInSearchResults=1&amp;searchModelUUID=16e06f5f-2078-41c7-9805-ed4316740c09</w:t>
        </w:r>
      </w:hyperlink>
      <w:r w:rsidR="00205DCF" w:rsidRPr="00C075AF">
        <w:rPr>
          <w:rFonts w:ascii="Times New Roman" w:hAnsi="Times New Roman"/>
          <w:lang w:val="en-US"/>
        </w:rPr>
        <w:t xml:space="preserve">. </w:t>
      </w:r>
    </w:p>
  </w:footnote>
  <w:footnote w:id="31">
    <w:p w14:paraId="0415000B" w14:textId="77777777" w:rsidR="00F15FF5" w:rsidRPr="000A2144" w:rsidRDefault="00F15FF5" w:rsidP="000A2144">
      <w:pPr>
        <w:pStyle w:val="FootnoteText"/>
        <w:jc w:val="both"/>
        <w:rPr>
          <w:rFonts w:ascii="Times New Roman" w:hAnsi="Times New Roman"/>
          <w:lang w:val="lt-LT"/>
        </w:rPr>
      </w:pPr>
      <w:r w:rsidRPr="000A2144">
        <w:rPr>
          <w:rStyle w:val="FootnoteReference"/>
          <w:rFonts w:ascii="Times New Roman" w:hAnsi="Times New Roman"/>
          <w:lang w:val="lt-LT"/>
        </w:rPr>
        <w:footnoteRef/>
      </w:r>
      <w:r w:rsidRPr="000A2144">
        <w:rPr>
          <w:rFonts w:ascii="Times New Roman" w:hAnsi="Times New Roman"/>
          <w:lang w:val="lt-LT"/>
        </w:rPr>
        <w:t xml:space="preserve"> </w:t>
      </w:r>
      <w:r w:rsidR="00C075AF" w:rsidRPr="000A2144">
        <w:rPr>
          <w:rFonts w:ascii="Times New Roman" w:hAnsi="Times New Roman"/>
          <w:lang w:val="lt-LT"/>
        </w:rPr>
        <w:t>Office of</w:t>
      </w:r>
      <w:r w:rsidR="000A2144" w:rsidRPr="000A2144">
        <w:rPr>
          <w:rFonts w:ascii="Times New Roman" w:hAnsi="Times New Roman"/>
          <w:lang w:val="lt-LT"/>
        </w:rPr>
        <w:t xml:space="preserve"> the</w:t>
      </w:r>
      <w:r w:rsidR="00C075AF" w:rsidRPr="000A2144">
        <w:rPr>
          <w:rFonts w:ascii="Times New Roman" w:hAnsi="Times New Roman"/>
          <w:lang w:val="lt-LT"/>
        </w:rPr>
        <w:t xml:space="preserve"> Equal Opportunities Ombudsperson, “Vadovėlių ir kitų mokymo(-si) priemonių vertinimo lyčių aspektu apžvalga” (Eng. “Review o</w:t>
      </w:r>
      <w:r w:rsidR="006B5488">
        <w:rPr>
          <w:rFonts w:ascii="Times New Roman" w:hAnsi="Times New Roman"/>
          <w:lang w:val="lt-LT"/>
        </w:rPr>
        <w:t>n</w:t>
      </w:r>
      <w:r w:rsidR="00C075AF" w:rsidRPr="000A2144">
        <w:rPr>
          <w:rFonts w:ascii="Times New Roman" w:hAnsi="Times New Roman"/>
          <w:lang w:val="lt-LT"/>
        </w:rPr>
        <w:t xml:space="preserve"> Assessment of Textbooks and (Self)Educational Materials in Relation to Gender Aspect”), Vilnius: 2019, </w:t>
      </w:r>
      <w:hyperlink r:id="rId22" w:history="1">
        <w:r w:rsidR="00C075AF" w:rsidRPr="000A2144">
          <w:rPr>
            <w:rStyle w:val="Hyperlink"/>
            <w:rFonts w:ascii="Times New Roman" w:hAnsi="Times New Roman"/>
            <w:lang w:val="lt-LT"/>
          </w:rPr>
          <w:t>https://lygybe.lt/data/public/uploads/2019/07/d1_vadoveliu-ir-kitu-mokymossi-priemoniu-vertinimo-lyciu-aspektu-apzvalga-2019.pdf</w:t>
        </w:r>
      </w:hyperlink>
      <w:r w:rsidR="00C075AF" w:rsidRPr="000A2144">
        <w:rPr>
          <w:rFonts w:ascii="Times New Roman" w:hAnsi="Times New Roman"/>
          <w:lang w:val="lt-LT"/>
        </w:rPr>
        <w:t xml:space="preserve">. </w:t>
      </w:r>
    </w:p>
  </w:footnote>
  <w:footnote w:id="32">
    <w:p w14:paraId="34AF5188" w14:textId="77777777" w:rsidR="00B25082" w:rsidRPr="000A2144" w:rsidRDefault="00B25082">
      <w:pPr>
        <w:pStyle w:val="FootnoteText"/>
        <w:rPr>
          <w:rFonts w:ascii="Times New Roman" w:hAnsi="Times New Roman"/>
          <w:lang w:val="lt-LT"/>
        </w:rPr>
      </w:pPr>
      <w:r w:rsidRPr="000A2144">
        <w:rPr>
          <w:rStyle w:val="FootnoteReference"/>
          <w:rFonts w:ascii="Times New Roman" w:hAnsi="Times New Roman"/>
          <w:lang w:val="lt-LT"/>
        </w:rPr>
        <w:footnoteRef/>
      </w:r>
      <w:r w:rsidRPr="000A2144">
        <w:rPr>
          <w:rFonts w:ascii="Times New Roman" w:hAnsi="Times New Roman"/>
          <w:lang w:val="lt-LT"/>
        </w:rPr>
        <w:t xml:space="preserve"> For </w:t>
      </w:r>
      <w:r w:rsidRPr="000A2144">
        <w:rPr>
          <w:rFonts w:ascii="Times New Roman" w:hAnsi="Times New Roman"/>
          <w:lang w:val="lt-LT"/>
        </w:rPr>
        <w:t>further reference see:</w:t>
      </w:r>
      <w:r w:rsidR="00C075AF" w:rsidRPr="000A2144">
        <w:rPr>
          <w:rFonts w:ascii="Times New Roman" w:hAnsi="Times New Roman"/>
          <w:lang w:val="lt-LT"/>
        </w:rPr>
        <w:t xml:space="preserve"> </w:t>
      </w:r>
      <w:hyperlink r:id="rId23" w:history="1">
        <w:r w:rsidR="00C075AF" w:rsidRPr="000A2144">
          <w:rPr>
            <w:rStyle w:val="Hyperlink"/>
            <w:rFonts w:ascii="Times New Roman" w:hAnsi="Times New Roman"/>
            <w:lang w:val="lt-LT"/>
          </w:rPr>
          <w:t>https://www.mokykla2030.lt</w:t>
        </w:r>
      </w:hyperlink>
      <w:r w:rsidR="00C075AF" w:rsidRPr="000A2144">
        <w:rPr>
          <w:rFonts w:ascii="Times New Roman" w:hAnsi="Times New Roman"/>
          <w:lang w:val="lt-LT"/>
        </w:rPr>
        <w:t xml:space="preserve">. </w:t>
      </w:r>
      <w:r w:rsidRPr="000A2144">
        <w:rPr>
          <w:rFonts w:ascii="Times New Roman" w:hAnsi="Times New Roman"/>
          <w:lang w:val="lt-LT"/>
        </w:rPr>
        <w:t xml:space="preserve"> </w:t>
      </w:r>
    </w:p>
  </w:footnote>
  <w:footnote w:id="33">
    <w:p w14:paraId="44D79656" w14:textId="77777777" w:rsidR="00B45174" w:rsidRPr="000A2144" w:rsidRDefault="00B45174">
      <w:pPr>
        <w:pStyle w:val="FootnoteText"/>
        <w:rPr>
          <w:rFonts w:ascii="Times New Roman" w:hAnsi="Times New Roman"/>
          <w:lang w:val="lt-LT"/>
        </w:rPr>
      </w:pPr>
      <w:r w:rsidRPr="000A2144">
        <w:rPr>
          <w:rStyle w:val="FootnoteReference"/>
          <w:rFonts w:ascii="Times New Roman" w:hAnsi="Times New Roman"/>
          <w:lang w:val="lt-LT"/>
        </w:rPr>
        <w:footnoteRef/>
      </w:r>
      <w:r w:rsidR="00C075AF" w:rsidRPr="000A2144">
        <w:rPr>
          <w:rFonts w:ascii="Times New Roman" w:hAnsi="Times New Roman"/>
          <w:lang w:val="lt-LT"/>
        </w:rPr>
        <w:t xml:space="preserve">Ministry of Education, Science and Sport, “Bendrųjų </w:t>
      </w:r>
      <w:r w:rsidR="000A2144" w:rsidRPr="000A2144">
        <w:rPr>
          <w:rFonts w:ascii="Times New Roman" w:hAnsi="Times New Roman"/>
          <w:lang w:val="lt-LT"/>
        </w:rPr>
        <w:t>programų</w:t>
      </w:r>
      <w:r w:rsidR="00C075AF" w:rsidRPr="000A2144">
        <w:rPr>
          <w:rFonts w:ascii="Times New Roman" w:hAnsi="Times New Roman"/>
          <w:lang w:val="lt-LT"/>
        </w:rPr>
        <w:t xml:space="preserve"> atnaujinimo gairės. Projektas” (Eng, “Draft Guidelines on Up</w:t>
      </w:r>
      <w:r w:rsidR="000A2144" w:rsidRPr="000A2144">
        <w:rPr>
          <w:rFonts w:ascii="Times New Roman" w:hAnsi="Times New Roman"/>
          <w:lang w:val="lt-LT"/>
        </w:rPr>
        <w:t xml:space="preserve">dating the General Education Programmes”), Vilnius: 2019, </w:t>
      </w:r>
      <w:hyperlink r:id="rId24" w:history="1">
        <w:r w:rsidR="000A2144" w:rsidRPr="000A2144">
          <w:rPr>
            <w:rStyle w:val="Hyperlink"/>
            <w:rFonts w:ascii="Times New Roman" w:hAnsi="Times New Roman"/>
            <w:lang w:val="lt-LT"/>
          </w:rPr>
          <w:t>https://www.mokykla2030.lt/wp-content/uploads/2019/08/Bendruju-programu-atnaujinimo-gaires.-Projektas-2019-08-21.pdf</w:t>
        </w:r>
      </w:hyperlink>
      <w:r w:rsidR="000A2144" w:rsidRPr="000A2144">
        <w:rPr>
          <w:rFonts w:ascii="Times New Roman" w:hAnsi="Times New Roman"/>
          <w:lang w:val="lt-LT"/>
        </w:rPr>
        <w:t xml:space="preserve">.  </w:t>
      </w:r>
    </w:p>
  </w:footnote>
  <w:footnote w:id="34">
    <w:p w14:paraId="1DAF4978" w14:textId="77777777" w:rsidR="00C075AF" w:rsidRPr="00C075AF" w:rsidRDefault="00C075AF" w:rsidP="000A2144">
      <w:pPr>
        <w:pStyle w:val="FootnoteText"/>
        <w:jc w:val="both"/>
        <w:rPr>
          <w:lang w:val="lt-LT"/>
        </w:rPr>
      </w:pPr>
      <w:r w:rsidRPr="000A2144">
        <w:rPr>
          <w:rStyle w:val="FootnoteReference"/>
          <w:rFonts w:ascii="Times New Roman" w:hAnsi="Times New Roman"/>
          <w:lang w:val="lt-LT"/>
        </w:rPr>
        <w:footnoteRef/>
      </w:r>
      <w:r w:rsidRPr="000A2144">
        <w:rPr>
          <w:rFonts w:ascii="Times New Roman" w:hAnsi="Times New Roman"/>
          <w:lang w:val="lt-LT"/>
        </w:rPr>
        <w:t xml:space="preserve"> Office </w:t>
      </w:r>
      <w:r w:rsidRPr="000A2144">
        <w:rPr>
          <w:rFonts w:ascii="Times New Roman" w:hAnsi="Times New Roman"/>
          <w:lang w:val="lt-LT"/>
        </w:rPr>
        <w:t>of</w:t>
      </w:r>
      <w:r w:rsidR="000A2144" w:rsidRPr="000A2144">
        <w:rPr>
          <w:rFonts w:ascii="Times New Roman" w:hAnsi="Times New Roman"/>
          <w:lang w:val="lt-LT"/>
        </w:rPr>
        <w:t xml:space="preserve"> the</w:t>
      </w:r>
      <w:r w:rsidRPr="000A2144">
        <w:rPr>
          <w:rFonts w:ascii="Times New Roman" w:hAnsi="Times New Roman"/>
          <w:lang w:val="lt-LT"/>
        </w:rPr>
        <w:t xml:space="preserve"> Equal Opportunities Ombudsperson, “Dėl susitikimo su Lietuvos Respublikos švietimo, mokslo ir sporto ministru” (Eng. “Regarding the Meeting with the Minister of Education, Science and Sport”), No.</w:t>
      </w:r>
      <w:r w:rsidR="000A2144" w:rsidRPr="000A2144">
        <w:rPr>
          <w:rFonts w:ascii="Times New Roman" w:hAnsi="Times New Roman"/>
          <w:lang w:val="lt-LT"/>
        </w:rPr>
        <w:t xml:space="preserve"> </w:t>
      </w:r>
      <w:r w:rsidRPr="000A2144">
        <w:rPr>
          <w:rFonts w:ascii="Times New Roman" w:hAnsi="Times New Roman"/>
          <w:lang w:val="lt-LT"/>
        </w:rPr>
        <w:t>(1.4)S-359, 15 May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RTF_Num 3"/>
    <w:lvl w:ilvl="0">
      <w:start w:val="1"/>
      <w:numFmt w:val="decimal"/>
      <w:lvlText w:val="%1."/>
      <w:lvlJc w:val="left"/>
      <w:pPr>
        <w:tabs>
          <w:tab w:val="num" w:pos="36"/>
        </w:tabs>
        <w:ind w:left="36" w:hanging="360"/>
      </w:pPr>
      <w:rPr>
        <w:b w:val="0"/>
        <w:bCs w:val="0"/>
      </w:rPr>
    </w:lvl>
    <w:lvl w:ilvl="1">
      <w:start w:val="1"/>
      <w:numFmt w:val="lowerLetter"/>
      <w:lvlText w:val="%2."/>
      <w:lvlJc w:val="left"/>
      <w:pPr>
        <w:tabs>
          <w:tab w:val="num" w:pos="756"/>
        </w:tabs>
        <w:ind w:left="756" w:hanging="360"/>
      </w:pPr>
    </w:lvl>
    <w:lvl w:ilvl="2">
      <w:start w:val="1"/>
      <w:numFmt w:val="lowerRoman"/>
      <w:suff w:val="nothing"/>
      <w:lvlText w:val="%2.%3."/>
      <w:lvlJc w:val="right"/>
      <w:pPr>
        <w:tabs>
          <w:tab w:val="num" w:pos="1476"/>
        </w:tabs>
        <w:ind w:left="1476" w:firstLine="0"/>
      </w:pPr>
    </w:lvl>
    <w:lvl w:ilvl="3">
      <w:start w:val="1"/>
      <w:numFmt w:val="decimal"/>
      <w:lvlText w:val="%2.%3.%4."/>
      <w:lvlJc w:val="left"/>
      <w:pPr>
        <w:tabs>
          <w:tab w:val="num" w:pos="2196"/>
        </w:tabs>
        <w:ind w:left="2196" w:hanging="360"/>
      </w:pPr>
    </w:lvl>
    <w:lvl w:ilvl="4">
      <w:start w:val="1"/>
      <w:numFmt w:val="lowerLetter"/>
      <w:lvlText w:val="%2.%3.%4.%5."/>
      <w:lvlJc w:val="left"/>
      <w:pPr>
        <w:tabs>
          <w:tab w:val="num" w:pos="2916"/>
        </w:tabs>
        <w:ind w:left="2916" w:hanging="360"/>
      </w:pPr>
    </w:lvl>
    <w:lvl w:ilvl="5">
      <w:start w:val="1"/>
      <w:numFmt w:val="lowerRoman"/>
      <w:suff w:val="nothing"/>
      <w:lvlText w:val="%2.%3.%4.%5.%6."/>
      <w:lvlJc w:val="right"/>
      <w:pPr>
        <w:tabs>
          <w:tab w:val="num" w:pos="3636"/>
        </w:tabs>
        <w:ind w:left="3636" w:firstLine="0"/>
      </w:pPr>
    </w:lvl>
    <w:lvl w:ilvl="6">
      <w:start w:val="1"/>
      <w:numFmt w:val="decimal"/>
      <w:lvlText w:val="%2.%3.%4.%5.%6.%7."/>
      <w:lvlJc w:val="left"/>
      <w:pPr>
        <w:tabs>
          <w:tab w:val="num" w:pos="4356"/>
        </w:tabs>
        <w:ind w:left="4356" w:hanging="360"/>
      </w:pPr>
    </w:lvl>
    <w:lvl w:ilvl="7">
      <w:start w:val="1"/>
      <w:numFmt w:val="lowerLetter"/>
      <w:lvlText w:val="%2.%3.%4.%5.%6.%7.%8."/>
      <w:lvlJc w:val="left"/>
      <w:pPr>
        <w:tabs>
          <w:tab w:val="num" w:pos="5076"/>
        </w:tabs>
        <w:ind w:left="5076" w:hanging="360"/>
      </w:pPr>
    </w:lvl>
    <w:lvl w:ilvl="8">
      <w:start w:val="1"/>
      <w:numFmt w:val="lowerRoman"/>
      <w:suff w:val="nothing"/>
      <w:lvlText w:val="%2.%3.%4.%5.%6.%7.%8.%9."/>
      <w:lvlJc w:val="right"/>
      <w:pPr>
        <w:tabs>
          <w:tab w:val="num" w:pos="5796"/>
        </w:tabs>
        <w:ind w:left="5796" w:firstLine="0"/>
      </w:pPr>
    </w:lvl>
  </w:abstractNum>
  <w:abstractNum w:abstractNumId="1" w15:restartNumberingAfterBreak="0">
    <w:nsid w:val="04863FB8"/>
    <w:multiLevelType w:val="hybridMultilevel"/>
    <w:tmpl w:val="5790B77C"/>
    <w:lvl w:ilvl="0" w:tplc="8E04B8A0">
      <w:start w:val="201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B64CF"/>
    <w:multiLevelType w:val="hybridMultilevel"/>
    <w:tmpl w:val="880E1642"/>
    <w:lvl w:ilvl="0" w:tplc="080C0015">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A86472"/>
    <w:multiLevelType w:val="hybridMultilevel"/>
    <w:tmpl w:val="C5A26092"/>
    <w:lvl w:ilvl="0" w:tplc="49AA5638">
      <w:start w:val="1"/>
      <w:numFmt w:val="decimal"/>
      <w:pStyle w:val="ListParagraph1"/>
      <w:lvlText w:val="%1."/>
      <w:lvlJc w:val="left"/>
      <w:pPr>
        <w:ind w:left="1296" w:hanging="360"/>
      </w:pPr>
      <w:rPr>
        <w:b w:val="0"/>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4" w15:restartNumberingAfterBreak="0">
    <w:nsid w:val="0C6D6ED3"/>
    <w:multiLevelType w:val="hybridMultilevel"/>
    <w:tmpl w:val="E676E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D5566"/>
    <w:multiLevelType w:val="hybridMultilevel"/>
    <w:tmpl w:val="0826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29F3"/>
    <w:multiLevelType w:val="hybridMultilevel"/>
    <w:tmpl w:val="C0A04442"/>
    <w:lvl w:ilvl="0" w:tplc="29AE7AC2">
      <w:numFmt w:val="bullet"/>
      <w:pStyle w:val="ECRI-subquestion"/>
      <w:lvlText w:val="-"/>
      <w:lvlJc w:val="left"/>
      <w:pPr>
        <w:ind w:left="720" w:hanging="360"/>
      </w:pPr>
      <w:rPr>
        <w:rFonts w:ascii="Arial" w:eastAsia="Times New Roman" w:hAnsi="Aria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50B61"/>
    <w:multiLevelType w:val="hybridMultilevel"/>
    <w:tmpl w:val="95B26B82"/>
    <w:lvl w:ilvl="0" w:tplc="7AC67B34">
      <w:start w:val="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F42DC"/>
    <w:multiLevelType w:val="hybridMultilevel"/>
    <w:tmpl w:val="AC78F0D4"/>
    <w:lvl w:ilvl="0" w:tplc="BF468B1A">
      <w:start w:val="52"/>
      <w:numFmt w:val="bullet"/>
      <w:lvlText w:val="-"/>
      <w:lvlJc w:val="left"/>
      <w:pPr>
        <w:ind w:left="720" w:hanging="360"/>
      </w:pPr>
      <w:rPr>
        <w:rFonts w:ascii="Sylfaen" w:eastAsia="Calibri" w:hAnsi="Sylfaen" w:cs="Newton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548F1"/>
    <w:multiLevelType w:val="hybridMultilevel"/>
    <w:tmpl w:val="0A08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95BE4"/>
    <w:multiLevelType w:val="hybridMultilevel"/>
    <w:tmpl w:val="221870AA"/>
    <w:lvl w:ilvl="0" w:tplc="7AC67B34">
      <w:start w:val="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E2A24"/>
    <w:multiLevelType w:val="hybridMultilevel"/>
    <w:tmpl w:val="9680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D09B2"/>
    <w:multiLevelType w:val="hybridMultilevel"/>
    <w:tmpl w:val="3DF427B4"/>
    <w:lvl w:ilvl="0" w:tplc="080C0015">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611D26"/>
    <w:multiLevelType w:val="hybridMultilevel"/>
    <w:tmpl w:val="F726F5A4"/>
    <w:lvl w:ilvl="0" w:tplc="BF468B1A">
      <w:start w:val="52"/>
      <w:numFmt w:val="bullet"/>
      <w:lvlText w:val="-"/>
      <w:lvlJc w:val="left"/>
      <w:pPr>
        <w:ind w:left="720" w:hanging="360"/>
      </w:pPr>
      <w:rPr>
        <w:rFonts w:ascii="Sylfaen" w:eastAsia="Calibri" w:hAnsi="Sylfaen" w:cs="Newton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62BFA"/>
    <w:multiLevelType w:val="hybridMultilevel"/>
    <w:tmpl w:val="0F7C7966"/>
    <w:lvl w:ilvl="0" w:tplc="7AC67B34">
      <w:start w:val="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219B4"/>
    <w:multiLevelType w:val="hybridMultilevel"/>
    <w:tmpl w:val="E93A1060"/>
    <w:lvl w:ilvl="0" w:tplc="080C0015">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3720C2"/>
    <w:multiLevelType w:val="hybridMultilevel"/>
    <w:tmpl w:val="AD1225E2"/>
    <w:lvl w:ilvl="0" w:tplc="080C0015">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AB216C"/>
    <w:multiLevelType w:val="hybridMultilevel"/>
    <w:tmpl w:val="41A60044"/>
    <w:lvl w:ilvl="0" w:tplc="080C0015">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232960"/>
    <w:multiLevelType w:val="hybridMultilevel"/>
    <w:tmpl w:val="0B40F11E"/>
    <w:lvl w:ilvl="0" w:tplc="7AC67B34">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026B4"/>
    <w:multiLevelType w:val="hybridMultilevel"/>
    <w:tmpl w:val="BCDE3A66"/>
    <w:lvl w:ilvl="0" w:tplc="EAD691B4">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A42E58"/>
    <w:multiLevelType w:val="hybridMultilevel"/>
    <w:tmpl w:val="51742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023233"/>
    <w:multiLevelType w:val="hybridMultilevel"/>
    <w:tmpl w:val="17D0F606"/>
    <w:lvl w:ilvl="0" w:tplc="BF468B1A">
      <w:start w:val="52"/>
      <w:numFmt w:val="bullet"/>
      <w:lvlText w:val="-"/>
      <w:lvlJc w:val="left"/>
      <w:pPr>
        <w:ind w:left="720" w:hanging="360"/>
      </w:pPr>
      <w:rPr>
        <w:rFonts w:ascii="Sylfaen" w:eastAsia="Calibri" w:hAnsi="Sylfaen" w:cs="Newton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C581C"/>
    <w:multiLevelType w:val="hybridMultilevel"/>
    <w:tmpl w:val="A1C6AB5A"/>
    <w:lvl w:ilvl="0" w:tplc="34F0385E">
      <w:start w:val="1"/>
      <w:numFmt w:val="decimal"/>
      <w:lvlText w:val="%1."/>
      <w:lvlJc w:val="left"/>
      <w:pPr>
        <w:ind w:left="360" w:hanging="360"/>
      </w:pPr>
      <w:rPr>
        <w:rFonts w:ascii="Times New Roman" w:hAnsi="Times New Roman" w:cs="Times New Roman"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8025CD"/>
    <w:multiLevelType w:val="hybridMultilevel"/>
    <w:tmpl w:val="EAA0A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B35A74"/>
    <w:multiLevelType w:val="hybridMultilevel"/>
    <w:tmpl w:val="99527DCE"/>
    <w:lvl w:ilvl="0" w:tplc="080C0015">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D053D6"/>
    <w:multiLevelType w:val="hybridMultilevel"/>
    <w:tmpl w:val="BA4EE120"/>
    <w:lvl w:ilvl="0" w:tplc="080C0015">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8D04B0"/>
    <w:multiLevelType w:val="hybridMultilevel"/>
    <w:tmpl w:val="99527DCE"/>
    <w:lvl w:ilvl="0" w:tplc="080C0015">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13"/>
  </w:num>
  <w:num w:numId="5">
    <w:abstractNumId w:val="3"/>
  </w:num>
  <w:num w:numId="6">
    <w:abstractNumId w:val="23"/>
  </w:num>
  <w:num w:numId="7">
    <w:abstractNumId w:val="8"/>
  </w:num>
  <w:num w:numId="8">
    <w:abstractNumId w:val="4"/>
  </w:num>
  <w:num w:numId="9">
    <w:abstractNumId w:val="5"/>
  </w:num>
  <w:num w:numId="10">
    <w:abstractNumId w:val="9"/>
  </w:num>
  <w:num w:numId="11">
    <w:abstractNumId w:val="20"/>
  </w:num>
  <w:num w:numId="12">
    <w:abstractNumId w:val="19"/>
  </w:num>
  <w:num w:numId="13">
    <w:abstractNumId w:val="14"/>
  </w:num>
  <w:num w:numId="14">
    <w:abstractNumId w:val="21"/>
  </w:num>
  <w:num w:numId="15">
    <w:abstractNumId w:val="7"/>
  </w:num>
  <w:num w:numId="16">
    <w:abstractNumId w:val="10"/>
  </w:num>
  <w:num w:numId="17">
    <w:abstractNumId w:val="18"/>
  </w:num>
  <w:num w:numId="18">
    <w:abstractNumId w:val="11"/>
  </w:num>
  <w:num w:numId="19">
    <w:abstractNumId w:val="15"/>
  </w:num>
  <w:num w:numId="20">
    <w:abstractNumId w:val="17"/>
  </w:num>
  <w:num w:numId="21">
    <w:abstractNumId w:val="12"/>
  </w:num>
  <w:num w:numId="22">
    <w:abstractNumId w:val="16"/>
  </w:num>
  <w:num w:numId="23">
    <w:abstractNumId w:val="24"/>
  </w:num>
  <w:num w:numId="24">
    <w:abstractNumId w:val="26"/>
  </w:num>
  <w:num w:numId="25">
    <w:abstractNumId w:val="25"/>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1D"/>
    <w:rsid w:val="000008C6"/>
    <w:rsid w:val="00001287"/>
    <w:rsid w:val="000017F1"/>
    <w:rsid w:val="00003405"/>
    <w:rsid w:val="00003A7D"/>
    <w:rsid w:val="00004815"/>
    <w:rsid w:val="00004DF0"/>
    <w:rsid w:val="000058D6"/>
    <w:rsid w:val="00005B87"/>
    <w:rsid w:val="0001094A"/>
    <w:rsid w:val="00013462"/>
    <w:rsid w:val="0001584F"/>
    <w:rsid w:val="000167AE"/>
    <w:rsid w:val="00016F5D"/>
    <w:rsid w:val="00017F9A"/>
    <w:rsid w:val="00020625"/>
    <w:rsid w:val="00025123"/>
    <w:rsid w:val="00025BAF"/>
    <w:rsid w:val="00030D77"/>
    <w:rsid w:val="00032943"/>
    <w:rsid w:val="00032AF6"/>
    <w:rsid w:val="00033576"/>
    <w:rsid w:val="0003561F"/>
    <w:rsid w:val="0003588E"/>
    <w:rsid w:val="00037B02"/>
    <w:rsid w:val="00040D1D"/>
    <w:rsid w:val="00041485"/>
    <w:rsid w:val="00043766"/>
    <w:rsid w:val="00044C7A"/>
    <w:rsid w:val="00044EFA"/>
    <w:rsid w:val="000476B8"/>
    <w:rsid w:val="0005087B"/>
    <w:rsid w:val="00053D31"/>
    <w:rsid w:val="00060D85"/>
    <w:rsid w:val="000652CA"/>
    <w:rsid w:val="00066CE9"/>
    <w:rsid w:val="00070262"/>
    <w:rsid w:val="000742DC"/>
    <w:rsid w:val="00074C94"/>
    <w:rsid w:val="00075CDD"/>
    <w:rsid w:val="0007684B"/>
    <w:rsid w:val="000805FC"/>
    <w:rsid w:val="000812C3"/>
    <w:rsid w:val="00084428"/>
    <w:rsid w:val="000856CF"/>
    <w:rsid w:val="000859CE"/>
    <w:rsid w:val="00085B85"/>
    <w:rsid w:val="0009339B"/>
    <w:rsid w:val="00094EA4"/>
    <w:rsid w:val="0009592E"/>
    <w:rsid w:val="000A06B1"/>
    <w:rsid w:val="000A2144"/>
    <w:rsid w:val="000A2216"/>
    <w:rsid w:val="000A2D32"/>
    <w:rsid w:val="000B0484"/>
    <w:rsid w:val="000B0B02"/>
    <w:rsid w:val="000B3A5D"/>
    <w:rsid w:val="000B4FBF"/>
    <w:rsid w:val="000B7622"/>
    <w:rsid w:val="000C0CB9"/>
    <w:rsid w:val="000C152A"/>
    <w:rsid w:val="000C1920"/>
    <w:rsid w:val="000C2E3D"/>
    <w:rsid w:val="000C3650"/>
    <w:rsid w:val="000C7B73"/>
    <w:rsid w:val="000D3981"/>
    <w:rsid w:val="000D46B0"/>
    <w:rsid w:val="000D5918"/>
    <w:rsid w:val="000D7971"/>
    <w:rsid w:val="000E493B"/>
    <w:rsid w:val="000E4BC4"/>
    <w:rsid w:val="000E6D19"/>
    <w:rsid w:val="000E7BFC"/>
    <w:rsid w:val="000F1D56"/>
    <w:rsid w:val="000F40D1"/>
    <w:rsid w:val="000F73B7"/>
    <w:rsid w:val="000F7BBF"/>
    <w:rsid w:val="0010009F"/>
    <w:rsid w:val="001021F8"/>
    <w:rsid w:val="0010347C"/>
    <w:rsid w:val="001128EC"/>
    <w:rsid w:val="0011400C"/>
    <w:rsid w:val="00121202"/>
    <w:rsid w:val="0012159E"/>
    <w:rsid w:val="00122254"/>
    <w:rsid w:val="0012362B"/>
    <w:rsid w:val="00124862"/>
    <w:rsid w:val="00131839"/>
    <w:rsid w:val="001318F8"/>
    <w:rsid w:val="001341AC"/>
    <w:rsid w:val="0013706A"/>
    <w:rsid w:val="0014064E"/>
    <w:rsid w:val="00141E2A"/>
    <w:rsid w:val="00141F34"/>
    <w:rsid w:val="00142682"/>
    <w:rsid w:val="001455A0"/>
    <w:rsid w:val="00145982"/>
    <w:rsid w:val="00147424"/>
    <w:rsid w:val="001501FE"/>
    <w:rsid w:val="00151B2B"/>
    <w:rsid w:val="001545BA"/>
    <w:rsid w:val="00156650"/>
    <w:rsid w:val="00160E3D"/>
    <w:rsid w:val="00161023"/>
    <w:rsid w:val="001622E9"/>
    <w:rsid w:val="00162371"/>
    <w:rsid w:val="0016256A"/>
    <w:rsid w:val="00162D26"/>
    <w:rsid w:val="001645E3"/>
    <w:rsid w:val="00170216"/>
    <w:rsid w:val="001714F7"/>
    <w:rsid w:val="001737D7"/>
    <w:rsid w:val="001779C7"/>
    <w:rsid w:val="001812FB"/>
    <w:rsid w:val="00182658"/>
    <w:rsid w:val="001834B2"/>
    <w:rsid w:val="001857B0"/>
    <w:rsid w:val="001864A5"/>
    <w:rsid w:val="00186502"/>
    <w:rsid w:val="00186B98"/>
    <w:rsid w:val="001870DA"/>
    <w:rsid w:val="00187382"/>
    <w:rsid w:val="00187DF4"/>
    <w:rsid w:val="0019078C"/>
    <w:rsid w:val="001915E4"/>
    <w:rsid w:val="001916A7"/>
    <w:rsid w:val="00192DC5"/>
    <w:rsid w:val="00192EEE"/>
    <w:rsid w:val="0019532E"/>
    <w:rsid w:val="00197DC2"/>
    <w:rsid w:val="001A478E"/>
    <w:rsid w:val="001A5E02"/>
    <w:rsid w:val="001B0282"/>
    <w:rsid w:val="001B34F5"/>
    <w:rsid w:val="001B3D87"/>
    <w:rsid w:val="001B3ED9"/>
    <w:rsid w:val="001B4075"/>
    <w:rsid w:val="001B4ADB"/>
    <w:rsid w:val="001B54CE"/>
    <w:rsid w:val="001B74A6"/>
    <w:rsid w:val="001B7D5C"/>
    <w:rsid w:val="001C0BB0"/>
    <w:rsid w:val="001C4C44"/>
    <w:rsid w:val="001C5DDD"/>
    <w:rsid w:val="001C60DB"/>
    <w:rsid w:val="001D689A"/>
    <w:rsid w:val="001D709D"/>
    <w:rsid w:val="001E023E"/>
    <w:rsid w:val="001E1940"/>
    <w:rsid w:val="001E4406"/>
    <w:rsid w:val="001E71AB"/>
    <w:rsid w:val="001E7E48"/>
    <w:rsid w:val="001F12A6"/>
    <w:rsid w:val="001F4B9A"/>
    <w:rsid w:val="00200D6F"/>
    <w:rsid w:val="0020149B"/>
    <w:rsid w:val="00202A3E"/>
    <w:rsid w:val="00204696"/>
    <w:rsid w:val="00204B55"/>
    <w:rsid w:val="0020542B"/>
    <w:rsid w:val="00205DCF"/>
    <w:rsid w:val="00211A41"/>
    <w:rsid w:val="00212AC7"/>
    <w:rsid w:val="00215C1C"/>
    <w:rsid w:val="002162EB"/>
    <w:rsid w:val="00216858"/>
    <w:rsid w:val="00223646"/>
    <w:rsid w:val="00224D20"/>
    <w:rsid w:val="0022793D"/>
    <w:rsid w:val="00227B8A"/>
    <w:rsid w:val="00230E3F"/>
    <w:rsid w:val="00232A78"/>
    <w:rsid w:val="00233824"/>
    <w:rsid w:val="00237356"/>
    <w:rsid w:val="00241240"/>
    <w:rsid w:val="00241356"/>
    <w:rsid w:val="00243F90"/>
    <w:rsid w:val="002510C4"/>
    <w:rsid w:val="0025640A"/>
    <w:rsid w:val="00256965"/>
    <w:rsid w:val="00257F39"/>
    <w:rsid w:val="00260AA8"/>
    <w:rsid w:val="00264519"/>
    <w:rsid w:val="00266397"/>
    <w:rsid w:val="00270424"/>
    <w:rsid w:val="00272113"/>
    <w:rsid w:val="00274701"/>
    <w:rsid w:val="0027630B"/>
    <w:rsid w:val="00280D04"/>
    <w:rsid w:val="002817D4"/>
    <w:rsid w:val="00281B51"/>
    <w:rsid w:val="002839AF"/>
    <w:rsid w:val="00290201"/>
    <w:rsid w:val="0029082E"/>
    <w:rsid w:val="002970E9"/>
    <w:rsid w:val="002972D9"/>
    <w:rsid w:val="002A10D3"/>
    <w:rsid w:val="002A27A9"/>
    <w:rsid w:val="002A6AEE"/>
    <w:rsid w:val="002A7306"/>
    <w:rsid w:val="002A7ED2"/>
    <w:rsid w:val="002B0779"/>
    <w:rsid w:val="002B1A8B"/>
    <w:rsid w:val="002B3792"/>
    <w:rsid w:val="002B37DD"/>
    <w:rsid w:val="002B4A82"/>
    <w:rsid w:val="002B4A86"/>
    <w:rsid w:val="002B5B1F"/>
    <w:rsid w:val="002C2DE4"/>
    <w:rsid w:val="002C6764"/>
    <w:rsid w:val="002C6DE7"/>
    <w:rsid w:val="002D13C9"/>
    <w:rsid w:val="002D14F3"/>
    <w:rsid w:val="002D1EFA"/>
    <w:rsid w:val="002D24AF"/>
    <w:rsid w:val="002D4576"/>
    <w:rsid w:val="002E0D23"/>
    <w:rsid w:val="002E2890"/>
    <w:rsid w:val="002E302A"/>
    <w:rsid w:val="002E3255"/>
    <w:rsid w:val="002E38E5"/>
    <w:rsid w:val="002E4928"/>
    <w:rsid w:val="002E54E7"/>
    <w:rsid w:val="002E58D3"/>
    <w:rsid w:val="002E72E2"/>
    <w:rsid w:val="002F369F"/>
    <w:rsid w:val="002F69A6"/>
    <w:rsid w:val="002F7924"/>
    <w:rsid w:val="0030226A"/>
    <w:rsid w:val="0030331B"/>
    <w:rsid w:val="0030454D"/>
    <w:rsid w:val="00304F55"/>
    <w:rsid w:val="0031582D"/>
    <w:rsid w:val="00320207"/>
    <w:rsid w:val="0032078E"/>
    <w:rsid w:val="00326DC5"/>
    <w:rsid w:val="0032752A"/>
    <w:rsid w:val="003305C3"/>
    <w:rsid w:val="00331576"/>
    <w:rsid w:val="0033362D"/>
    <w:rsid w:val="00333C81"/>
    <w:rsid w:val="003341DC"/>
    <w:rsid w:val="0033428A"/>
    <w:rsid w:val="0033445D"/>
    <w:rsid w:val="00334843"/>
    <w:rsid w:val="0033526A"/>
    <w:rsid w:val="00335441"/>
    <w:rsid w:val="00336280"/>
    <w:rsid w:val="00337F5B"/>
    <w:rsid w:val="00340535"/>
    <w:rsid w:val="00340E29"/>
    <w:rsid w:val="003441B8"/>
    <w:rsid w:val="00345969"/>
    <w:rsid w:val="00345989"/>
    <w:rsid w:val="00345FB6"/>
    <w:rsid w:val="0034745F"/>
    <w:rsid w:val="0035192A"/>
    <w:rsid w:val="00351C32"/>
    <w:rsid w:val="00351D7A"/>
    <w:rsid w:val="003520CE"/>
    <w:rsid w:val="00356A3F"/>
    <w:rsid w:val="003615A4"/>
    <w:rsid w:val="003630E9"/>
    <w:rsid w:val="00370262"/>
    <w:rsid w:val="00373477"/>
    <w:rsid w:val="003734A9"/>
    <w:rsid w:val="003742C9"/>
    <w:rsid w:val="00375953"/>
    <w:rsid w:val="003802F9"/>
    <w:rsid w:val="0038056D"/>
    <w:rsid w:val="00380DFD"/>
    <w:rsid w:val="0038300F"/>
    <w:rsid w:val="00385C72"/>
    <w:rsid w:val="00387660"/>
    <w:rsid w:val="00390C40"/>
    <w:rsid w:val="00391E5F"/>
    <w:rsid w:val="00392E71"/>
    <w:rsid w:val="00393A8C"/>
    <w:rsid w:val="00394945"/>
    <w:rsid w:val="00395099"/>
    <w:rsid w:val="003A0163"/>
    <w:rsid w:val="003A26AF"/>
    <w:rsid w:val="003A3D64"/>
    <w:rsid w:val="003A48A2"/>
    <w:rsid w:val="003A5107"/>
    <w:rsid w:val="003A6708"/>
    <w:rsid w:val="003B003F"/>
    <w:rsid w:val="003B051F"/>
    <w:rsid w:val="003B0F89"/>
    <w:rsid w:val="003B1109"/>
    <w:rsid w:val="003B3218"/>
    <w:rsid w:val="003B403D"/>
    <w:rsid w:val="003B4B15"/>
    <w:rsid w:val="003B512A"/>
    <w:rsid w:val="003B5624"/>
    <w:rsid w:val="003B74C0"/>
    <w:rsid w:val="003C07DF"/>
    <w:rsid w:val="003D1D97"/>
    <w:rsid w:val="003D2ABF"/>
    <w:rsid w:val="003E02D3"/>
    <w:rsid w:val="003E0C92"/>
    <w:rsid w:val="003E1C2D"/>
    <w:rsid w:val="003E4D87"/>
    <w:rsid w:val="003E5209"/>
    <w:rsid w:val="003E5CD0"/>
    <w:rsid w:val="003E64C0"/>
    <w:rsid w:val="003F0E93"/>
    <w:rsid w:val="003F1B31"/>
    <w:rsid w:val="003F29B5"/>
    <w:rsid w:val="003F3414"/>
    <w:rsid w:val="003F35AF"/>
    <w:rsid w:val="003F42E4"/>
    <w:rsid w:val="003F5F83"/>
    <w:rsid w:val="003F6154"/>
    <w:rsid w:val="00400764"/>
    <w:rsid w:val="00400F64"/>
    <w:rsid w:val="00401356"/>
    <w:rsid w:val="00401829"/>
    <w:rsid w:val="004104EF"/>
    <w:rsid w:val="0041063A"/>
    <w:rsid w:val="00412811"/>
    <w:rsid w:val="004131F9"/>
    <w:rsid w:val="004134FB"/>
    <w:rsid w:val="004256A5"/>
    <w:rsid w:val="00425C8C"/>
    <w:rsid w:val="00426918"/>
    <w:rsid w:val="0042735A"/>
    <w:rsid w:val="00427819"/>
    <w:rsid w:val="00431D0C"/>
    <w:rsid w:val="00432D38"/>
    <w:rsid w:val="00434B59"/>
    <w:rsid w:val="00435B8A"/>
    <w:rsid w:val="00441026"/>
    <w:rsid w:val="004434BF"/>
    <w:rsid w:val="00446B90"/>
    <w:rsid w:val="004479C9"/>
    <w:rsid w:val="0045049A"/>
    <w:rsid w:val="00455D5D"/>
    <w:rsid w:val="004625A6"/>
    <w:rsid w:val="004632B0"/>
    <w:rsid w:val="00463C57"/>
    <w:rsid w:val="00472FF1"/>
    <w:rsid w:val="00473988"/>
    <w:rsid w:val="0047520C"/>
    <w:rsid w:val="00477666"/>
    <w:rsid w:val="0048167E"/>
    <w:rsid w:val="00482E68"/>
    <w:rsid w:val="004850FA"/>
    <w:rsid w:val="0048569C"/>
    <w:rsid w:val="0048611D"/>
    <w:rsid w:val="00491513"/>
    <w:rsid w:val="00493B98"/>
    <w:rsid w:val="004A2B22"/>
    <w:rsid w:val="004A3126"/>
    <w:rsid w:val="004A6117"/>
    <w:rsid w:val="004A6161"/>
    <w:rsid w:val="004A6541"/>
    <w:rsid w:val="004B60D6"/>
    <w:rsid w:val="004B628E"/>
    <w:rsid w:val="004B7541"/>
    <w:rsid w:val="004C0F6A"/>
    <w:rsid w:val="004C1337"/>
    <w:rsid w:val="004C26E4"/>
    <w:rsid w:val="004C29A2"/>
    <w:rsid w:val="004C2E13"/>
    <w:rsid w:val="004C3E20"/>
    <w:rsid w:val="004C45F0"/>
    <w:rsid w:val="004C6ADC"/>
    <w:rsid w:val="004D05C8"/>
    <w:rsid w:val="004D15F9"/>
    <w:rsid w:val="004D22E7"/>
    <w:rsid w:val="004D2FFE"/>
    <w:rsid w:val="004E0FC2"/>
    <w:rsid w:val="004E1ED4"/>
    <w:rsid w:val="004E7075"/>
    <w:rsid w:val="004E7EEF"/>
    <w:rsid w:val="004F5A1B"/>
    <w:rsid w:val="004F7372"/>
    <w:rsid w:val="005009D9"/>
    <w:rsid w:val="00502D6E"/>
    <w:rsid w:val="00506ACD"/>
    <w:rsid w:val="00513FFA"/>
    <w:rsid w:val="00520219"/>
    <w:rsid w:val="005218D8"/>
    <w:rsid w:val="0052192C"/>
    <w:rsid w:val="005234EA"/>
    <w:rsid w:val="00523501"/>
    <w:rsid w:val="005246B3"/>
    <w:rsid w:val="00525B28"/>
    <w:rsid w:val="0053598A"/>
    <w:rsid w:val="00537F67"/>
    <w:rsid w:val="00540261"/>
    <w:rsid w:val="00541C4B"/>
    <w:rsid w:val="0054203A"/>
    <w:rsid w:val="00542262"/>
    <w:rsid w:val="005425D3"/>
    <w:rsid w:val="0054347E"/>
    <w:rsid w:val="005447EC"/>
    <w:rsid w:val="00545478"/>
    <w:rsid w:val="00553E9A"/>
    <w:rsid w:val="00555AC2"/>
    <w:rsid w:val="0055723E"/>
    <w:rsid w:val="0056147C"/>
    <w:rsid w:val="005619BC"/>
    <w:rsid w:val="00561F26"/>
    <w:rsid w:val="0056441D"/>
    <w:rsid w:val="005648D5"/>
    <w:rsid w:val="0056525B"/>
    <w:rsid w:val="0056581B"/>
    <w:rsid w:val="005677B8"/>
    <w:rsid w:val="005701C7"/>
    <w:rsid w:val="0057231E"/>
    <w:rsid w:val="00572693"/>
    <w:rsid w:val="005728E7"/>
    <w:rsid w:val="00576DDD"/>
    <w:rsid w:val="00580319"/>
    <w:rsid w:val="00581354"/>
    <w:rsid w:val="005826C1"/>
    <w:rsid w:val="00582D7F"/>
    <w:rsid w:val="00585487"/>
    <w:rsid w:val="00590D57"/>
    <w:rsid w:val="00595AF1"/>
    <w:rsid w:val="005A34B9"/>
    <w:rsid w:val="005A4245"/>
    <w:rsid w:val="005A5DFC"/>
    <w:rsid w:val="005A6436"/>
    <w:rsid w:val="005B038E"/>
    <w:rsid w:val="005B201A"/>
    <w:rsid w:val="005B3283"/>
    <w:rsid w:val="005B48A9"/>
    <w:rsid w:val="005C4441"/>
    <w:rsid w:val="005C7F18"/>
    <w:rsid w:val="005D020E"/>
    <w:rsid w:val="005D1E2D"/>
    <w:rsid w:val="005D1F5F"/>
    <w:rsid w:val="005D28E9"/>
    <w:rsid w:val="005D2B6B"/>
    <w:rsid w:val="005D62F7"/>
    <w:rsid w:val="005D7522"/>
    <w:rsid w:val="005E1B62"/>
    <w:rsid w:val="005E4E82"/>
    <w:rsid w:val="005E546A"/>
    <w:rsid w:val="005E7BC8"/>
    <w:rsid w:val="005F212F"/>
    <w:rsid w:val="005F28E2"/>
    <w:rsid w:val="005F3C1E"/>
    <w:rsid w:val="005F4870"/>
    <w:rsid w:val="005F7A9E"/>
    <w:rsid w:val="00602827"/>
    <w:rsid w:val="00602D6D"/>
    <w:rsid w:val="00605273"/>
    <w:rsid w:val="00607842"/>
    <w:rsid w:val="006105FA"/>
    <w:rsid w:val="00610ACA"/>
    <w:rsid w:val="0061197D"/>
    <w:rsid w:val="00611B41"/>
    <w:rsid w:val="006145B6"/>
    <w:rsid w:val="0061686E"/>
    <w:rsid w:val="00616D39"/>
    <w:rsid w:val="006203EC"/>
    <w:rsid w:val="0062401E"/>
    <w:rsid w:val="00627EDA"/>
    <w:rsid w:val="0063170E"/>
    <w:rsid w:val="0063405E"/>
    <w:rsid w:val="006346E6"/>
    <w:rsid w:val="0063540F"/>
    <w:rsid w:val="006354BA"/>
    <w:rsid w:val="00645132"/>
    <w:rsid w:val="00646C19"/>
    <w:rsid w:val="00651D24"/>
    <w:rsid w:val="00652C01"/>
    <w:rsid w:val="00653990"/>
    <w:rsid w:val="00656B03"/>
    <w:rsid w:val="00656C09"/>
    <w:rsid w:val="00660A3E"/>
    <w:rsid w:val="00661303"/>
    <w:rsid w:val="006622C8"/>
    <w:rsid w:val="00662770"/>
    <w:rsid w:val="00662DEE"/>
    <w:rsid w:val="00663ABB"/>
    <w:rsid w:val="00664C23"/>
    <w:rsid w:val="00664EDA"/>
    <w:rsid w:val="00667A2A"/>
    <w:rsid w:val="00671EEA"/>
    <w:rsid w:val="006730D2"/>
    <w:rsid w:val="00674E84"/>
    <w:rsid w:val="00681451"/>
    <w:rsid w:val="006819B4"/>
    <w:rsid w:val="006836B0"/>
    <w:rsid w:val="006852D5"/>
    <w:rsid w:val="00686A49"/>
    <w:rsid w:val="006904BF"/>
    <w:rsid w:val="00690B33"/>
    <w:rsid w:val="00690EE9"/>
    <w:rsid w:val="00692C3A"/>
    <w:rsid w:val="0069336D"/>
    <w:rsid w:val="0069550D"/>
    <w:rsid w:val="0069574B"/>
    <w:rsid w:val="00697414"/>
    <w:rsid w:val="0069745F"/>
    <w:rsid w:val="00697552"/>
    <w:rsid w:val="00697787"/>
    <w:rsid w:val="006979A9"/>
    <w:rsid w:val="00697AC6"/>
    <w:rsid w:val="006A1200"/>
    <w:rsid w:val="006A2013"/>
    <w:rsid w:val="006A3312"/>
    <w:rsid w:val="006A494B"/>
    <w:rsid w:val="006A5BF0"/>
    <w:rsid w:val="006A5FFF"/>
    <w:rsid w:val="006A61BA"/>
    <w:rsid w:val="006B38FB"/>
    <w:rsid w:val="006B5488"/>
    <w:rsid w:val="006B7DD0"/>
    <w:rsid w:val="006C0910"/>
    <w:rsid w:val="006C1135"/>
    <w:rsid w:val="006C3736"/>
    <w:rsid w:val="006C4A08"/>
    <w:rsid w:val="006C6A48"/>
    <w:rsid w:val="006C7E12"/>
    <w:rsid w:val="006D5D67"/>
    <w:rsid w:val="006D79AE"/>
    <w:rsid w:val="006E03C2"/>
    <w:rsid w:val="006E0759"/>
    <w:rsid w:val="006E07BD"/>
    <w:rsid w:val="006E289C"/>
    <w:rsid w:val="006E2C42"/>
    <w:rsid w:val="006E3FF2"/>
    <w:rsid w:val="006E5132"/>
    <w:rsid w:val="006E604D"/>
    <w:rsid w:val="007011C1"/>
    <w:rsid w:val="00701EFD"/>
    <w:rsid w:val="00702504"/>
    <w:rsid w:val="00706388"/>
    <w:rsid w:val="00706E0E"/>
    <w:rsid w:val="00716E27"/>
    <w:rsid w:val="00717089"/>
    <w:rsid w:val="00721A3E"/>
    <w:rsid w:val="00725DBA"/>
    <w:rsid w:val="00727A8C"/>
    <w:rsid w:val="007339B1"/>
    <w:rsid w:val="00734D7D"/>
    <w:rsid w:val="007352F1"/>
    <w:rsid w:val="007410C2"/>
    <w:rsid w:val="007419EE"/>
    <w:rsid w:val="007475DA"/>
    <w:rsid w:val="00752AD4"/>
    <w:rsid w:val="00755383"/>
    <w:rsid w:val="00757582"/>
    <w:rsid w:val="00761004"/>
    <w:rsid w:val="00762710"/>
    <w:rsid w:val="00764865"/>
    <w:rsid w:val="00766EE6"/>
    <w:rsid w:val="007702B8"/>
    <w:rsid w:val="0077110C"/>
    <w:rsid w:val="007724B6"/>
    <w:rsid w:val="00772F33"/>
    <w:rsid w:val="0077494F"/>
    <w:rsid w:val="007760A7"/>
    <w:rsid w:val="007763C6"/>
    <w:rsid w:val="00776D41"/>
    <w:rsid w:val="007806EE"/>
    <w:rsid w:val="007833F4"/>
    <w:rsid w:val="007847A9"/>
    <w:rsid w:val="00786C33"/>
    <w:rsid w:val="00787876"/>
    <w:rsid w:val="00790028"/>
    <w:rsid w:val="0079123A"/>
    <w:rsid w:val="0079357B"/>
    <w:rsid w:val="00795CC5"/>
    <w:rsid w:val="00797B30"/>
    <w:rsid w:val="007A54CD"/>
    <w:rsid w:val="007A5738"/>
    <w:rsid w:val="007A5F2E"/>
    <w:rsid w:val="007B1CFD"/>
    <w:rsid w:val="007B2A82"/>
    <w:rsid w:val="007B3CC7"/>
    <w:rsid w:val="007B4D50"/>
    <w:rsid w:val="007B671A"/>
    <w:rsid w:val="007B7866"/>
    <w:rsid w:val="007C0089"/>
    <w:rsid w:val="007C05A4"/>
    <w:rsid w:val="007C15CD"/>
    <w:rsid w:val="007C7BB9"/>
    <w:rsid w:val="007C7FAE"/>
    <w:rsid w:val="007D19E8"/>
    <w:rsid w:val="007D421D"/>
    <w:rsid w:val="007D7C1E"/>
    <w:rsid w:val="007E07AE"/>
    <w:rsid w:val="007E2CEE"/>
    <w:rsid w:val="007E3F8A"/>
    <w:rsid w:val="007E4022"/>
    <w:rsid w:val="007E56E2"/>
    <w:rsid w:val="007E6742"/>
    <w:rsid w:val="007F0A80"/>
    <w:rsid w:val="007F2DAF"/>
    <w:rsid w:val="007F5380"/>
    <w:rsid w:val="00801FF6"/>
    <w:rsid w:val="008021B3"/>
    <w:rsid w:val="00811FC4"/>
    <w:rsid w:val="00813217"/>
    <w:rsid w:val="008139A2"/>
    <w:rsid w:val="0081431B"/>
    <w:rsid w:val="0081443B"/>
    <w:rsid w:val="00815004"/>
    <w:rsid w:val="0081652D"/>
    <w:rsid w:val="0081708A"/>
    <w:rsid w:val="0082090B"/>
    <w:rsid w:val="008229F3"/>
    <w:rsid w:val="00824604"/>
    <w:rsid w:val="00824DAA"/>
    <w:rsid w:val="00825002"/>
    <w:rsid w:val="00825AFC"/>
    <w:rsid w:val="00827298"/>
    <w:rsid w:val="00827950"/>
    <w:rsid w:val="00833107"/>
    <w:rsid w:val="00836662"/>
    <w:rsid w:val="008379AB"/>
    <w:rsid w:val="00840A14"/>
    <w:rsid w:val="008410A9"/>
    <w:rsid w:val="0084199E"/>
    <w:rsid w:val="008440AA"/>
    <w:rsid w:val="00845A0B"/>
    <w:rsid w:val="00845CDD"/>
    <w:rsid w:val="008532BD"/>
    <w:rsid w:val="008551CF"/>
    <w:rsid w:val="008639FD"/>
    <w:rsid w:val="0086605C"/>
    <w:rsid w:val="0086629E"/>
    <w:rsid w:val="00866E1C"/>
    <w:rsid w:val="00867EA8"/>
    <w:rsid w:val="00871515"/>
    <w:rsid w:val="00873601"/>
    <w:rsid w:val="00875023"/>
    <w:rsid w:val="008758E6"/>
    <w:rsid w:val="0087702A"/>
    <w:rsid w:val="00877908"/>
    <w:rsid w:val="008813D0"/>
    <w:rsid w:val="00882762"/>
    <w:rsid w:val="008834A7"/>
    <w:rsid w:val="008847CC"/>
    <w:rsid w:val="00891272"/>
    <w:rsid w:val="00894075"/>
    <w:rsid w:val="00894BB1"/>
    <w:rsid w:val="00897BB2"/>
    <w:rsid w:val="008A2252"/>
    <w:rsid w:val="008A63F4"/>
    <w:rsid w:val="008B0D58"/>
    <w:rsid w:val="008B13FB"/>
    <w:rsid w:val="008B5A20"/>
    <w:rsid w:val="008B69FE"/>
    <w:rsid w:val="008C0DE1"/>
    <w:rsid w:val="008C0E4B"/>
    <w:rsid w:val="008C1BBB"/>
    <w:rsid w:val="008C2366"/>
    <w:rsid w:val="008C23D3"/>
    <w:rsid w:val="008C2E60"/>
    <w:rsid w:val="008C4966"/>
    <w:rsid w:val="008C4A90"/>
    <w:rsid w:val="008C5C8F"/>
    <w:rsid w:val="008D26D0"/>
    <w:rsid w:val="008D43A9"/>
    <w:rsid w:val="008D593D"/>
    <w:rsid w:val="008E0A3D"/>
    <w:rsid w:val="008E1114"/>
    <w:rsid w:val="008E1C7F"/>
    <w:rsid w:val="008E39A9"/>
    <w:rsid w:val="008E48D6"/>
    <w:rsid w:val="008E547D"/>
    <w:rsid w:val="008E61FA"/>
    <w:rsid w:val="008E752B"/>
    <w:rsid w:val="008E7BEE"/>
    <w:rsid w:val="008F1342"/>
    <w:rsid w:val="008F3707"/>
    <w:rsid w:val="008F5AE8"/>
    <w:rsid w:val="00902420"/>
    <w:rsid w:val="00903886"/>
    <w:rsid w:val="00906213"/>
    <w:rsid w:val="00910532"/>
    <w:rsid w:val="009117D8"/>
    <w:rsid w:val="00911B0F"/>
    <w:rsid w:val="00914406"/>
    <w:rsid w:val="009173B0"/>
    <w:rsid w:val="009246CB"/>
    <w:rsid w:val="00926975"/>
    <w:rsid w:val="00927FF2"/>
    <w:rsid w:val="009343FB"/>
    <w:rsid w:val="009345EE"/>
    <w:rsid w:val="00935F23"/>
    <w:rsid w:val="00936252"/>
    <w:rsid w:val="00937401"/>
    <w:rsid w:val="009374C2"/>
    <w:rsid w:val="0094028B"/>
    <w:rsid w:val="00941631"/>
    <w:rsid w:val="009422C1"/>
    <w:rsid w:val="00942B36"/>
    <w:rsid w:val="00943D9D"/>
    <w:rsid w:val="0094739D"/>
    <w:rsid w:val="009478F1"/>
    <w:rsid w:val="00952FAC"/>
    <w:rsid w:val="00953448"/>
    <w:rsid w:val="009544E0"/>
    <w:rsid w:val="009545BA"/>
    <w:rsid w:val="00955289"/>
    <w:rsid w:val="00957162"/>
    <w:rsid w:val="00957A18"/>
    <w:rsid w:val="00957EDE"/>
    <w:rsid w:val="00960C9D"/>
    <w:rsid w:val="00960FB6"/>
    <w:rsid w:val="009627FC"/>
    <w:rsid w:val="00965043"/>
    <w:rsid w:val="009665DB"/>
    <w:rsid w:val="009675CF"/>
    <w:rsid w:val="00967647"/>
    <w:rsid w:val="00970257"/>
    <w:rsid w:val="00973814"/>
    <w:rsid w:val="009741A6"/>
    <w:rsid w:val="00975A9D"/>
    <w:rsid w:val="00976440"/>
    <w:rsid w:val="00982BC8"/>
    <w:rsid w:val="0098724D"/>
    <w:rsid w:val="0099119B"/>
    <w:rsid w:val="00991974"/>
    <w:rsid w:val="00991E4E"/>
    <w:rsid w:val="009A04E5"/>
    <w:rsid w:val="009A62C3"/>
    <w:rsid w:val="009A747B"/>
    <w:rsid w:val="009A7CD4"/>
    <w:rsid w:val="009B126E"/>
    <w:rsid w:val="009B1763"/>
    <w:rsid w:val="009B2FC5"/>
    <w:rsid w:val="009B3B3D"/>
    <w:rsid w:val="009B4330"/>
    <w:rsid w:val="009B511B"/>
    <w:rsid w:val="009B5D70"/>
    <w:rsid w:val="009B5DC1"/>
    <w:rsid w:val="009C0622"/>
    <w:rsid w:val="009C1B72"/>
    <w:rsid w:val="009C4B5E"/>
    <w:rsid w:val="009C4F17"/>
    <w:rsid w:val="009D25F4"/>
    <w:rsid w:val="009D37FB"/>
    <w:rsid w:val="009D6D30"/>
    <w:rsid w:val="009E06B4"/>
    <w:rsid w:val="009E1185"/>
    <w:rsid w:val="009E1CED"/>
    <w:rsid w:val="009E2248"/>
    <w:rsid w:val="009E2739"/>
    <w:rsid w:val="009E6805"/>
    <w:rsid w:val="009E7F73"/>
    <w:rsid w:val="009F175B"/>
    <w:rsid w:val="009F4F78"/>
    <w:rsid w:val="009F7540"/>
    <w:rsid w:val="00A030FC"/>
    <w:rsid w:val="00A04326"/>
    <w:rsid w:val="00A06963"/>
    <w:rsid w:val="00A10222"/>
    <w:rsid w:val="00A147B6"/>
    <w:rsid w:val="00A14F60"/>
    <w:rsid w:val="00A16ABB"/>
    <w:rsid w:val="00A17415"/>
    <w:rsid w:val="00A21E26"/>
    <w:rsid w:val="00A22E76"/>
    <w:rsid w:val="00A2361C"/>
    <w:rsid w:val="00A25C2D"/>
    <w:rsid w:val="00A25F9E"/>
    <w:rsid w:val="00A26EEE"/>
    <w:rsid w:val="00A30A4A"/>
    <w:rsid w:val="00A32CF1"/>
    <w:rsid w:val="00A376CB"/>
    <w:rsid w:val="00A37CA4"/>
    <w:rsid w:val="00A41027"/>
    <w:rsid w:val="00A41D2D"/>
    <w:rsid w:val="00A4402A"/>
    <w:rsid w:val="00A514E6"/>
    <w:rsid w:val="00A53340"/>
    <w:rsid w:val="00A5439B"/>
    <w:rsid w:val="00A55115"/>
    <w:rsid w:val="00A55EE7"/>
    <w:rsid w:val="00A56F0E"/>
    <w:rsid w:val="00A57126"/>
    <w:rsid w:val="00A57942"/>
    <w:rsid w:val="00A579A0"/>
    <w:rsid w:val="00A61AB9"/>
    <w:rsid w:val="00A63043"/>
    <w:rsid w:val="00A64C56"/>
    <w:rsid w:val="00A655A2"/>
    <w:rsid w:val="00A67D30"/>
    <w:rsid w:val="00A722B8"/>
    <w:rsid w:val="00A747AA"/>
    <w:rsid w:val="00A775C3"/>
    <w:rsid w:val="00A8068B"/>
    <w:rsid w:val="00A90B9C"/>
    <w:rsid w:val="00A92AC8"/>
    <w:rsid w:val="00A933DB"/>
    <w:rsid w:val="00A9344F"/>
    <w:rsid w:val="00A93486"/>
    <w:rsid w:val="00A934CE"/>
    <w:rsid w:val="00A94DA5"/>
    <w:rsid w:val="00A94E9F"/>
    <w:rsid w:val="00A95F21"/>
    <w:rsid w:val="00A961FB"/>
    <w:rsid w:val="00AA0033"/>
    <w:rsid w:val="00AA00D5"/>
    <w:rsid w:val="00AA021E"/>
    <w:rsid w:val="00AA0260"/>
    <w:rsid w:val="00AA04D8"/>
    <w:rsid w:val="00AA10A8"/>
    <w:rsid w:val="00AA4C5E"/>
    <w:rsid w:val="00AB21C6"/>
    <w:rsid w:val="00AB2824"/>
    <w:rsid w:val="00AB31BC"/>
    <w:rsid w:val="00AB3EB4"/>
    <w:rsid w:val="00AB6DC9"/>
    <w:rsid w:val="00AB7B43"/>
    <w:rsid w:val="00AC01CA"/>
    <w:rsid w:val="00AC61DB"/>
    <w:rsid w:val="00AD08F1"/>
    <w:rsid w:val="00AD1EAB"/>
    <w:rsid w:val="00AD3653"/>
    <w:rsid w:val="00AD740B"/>
    <w:rsid w:val="00AD7AAF"/>
    <w:rsid w:val="00AE1EC7"/>
    <w:rsid w:val="00AE2132"/>
    <w:rsid w:val="00AE5A74"/>
    <w:rsid w:val="00AF2174"/>
    <w:rsid w:val="00AF3E5E"/>
    <w:rsid w:val="00AF515D"/>
    <w:rsid w:val="00B00D31"/>
    <w:rsid w:val="00B00F31"/>
    <w:rsid w:val="00B017C7"/>
    <w:rsid w:val="00B032A0"/>
    <w:rsid w:val="00B04466"/>
    <w:rsid w:val="00B04731"/>
    <w:rsid w:val="00B04F2E"/>
    <w:rsid w:val="00B06389"/>
    <w:rsid w:val="00B0647B"/>
    <w:rsid w:val="00B07CFA"/>
    <w:rsid w:val="00B07D4C"/>
    <w:rsid w:val="00B128EC"/>
    <w:rsid w:val="00B12DFE"/>
    <w:rsid w:val="00B16885"/>
    <w:rsid w:val="00B20754"/>
    <w:rsid w:val="00B20BEB"/>
    <w:rsid w:val="00B22C3E"/>
    <w:rsid w:val="00B23B5A"/>
    <w:rsid w:val="00B25082"/>
    <w:rsid w:val="00B30556"/>
    <w:rsid w:val="00B33F78"/>
    <w:rsid w:val="00B36ABB"/>
    <w:rsid w:val="00B431BD"/>
    <w:rsid w:val="00B44786"/>
    <w:rsid w:val="00B45174"/>
    <w:rsid w:val="00B51601"/>
    <w:rsid w:val="00B5389D"/>
    <w:rsid w:val="00B540A1"/>
    <w:rsid w:val="00B55670"/>
    <w:rsid w:val="00B5782C"/>
    <w:rsid w:val="00B61BDC"/>
    <w:rsid w:val="00B63EA2"/>
    <w:rsid w:val="00B644C3"/>
    <w:rsid w:val="00B7055E"/>
    <w:rsid w:val="00B70AA4"/>
    <w:rsid w:val="00B713B7"/>
    <w:rsid w:val="00B729E3"/>
    <w:rsid w:val="00B72C24"/>
    <w:rsid w:val="00B77103"/>
    <w:rsid w:val="00B77992"/>
    <w:rsid w:val="00B81B44"/>
    <w:rsid w:val="00B850C0"/>
    <w:rsid w:val="00B869C1"/>
    <w:rsid w:val="00B91F26"/>
    <w:rsid w:val="00B93A02"/>
    <w:rsid w:val="00B93BC4"/>
    <w:rsid w:val="00B93FFA"/>
    <w:rsid w:val="00B95951"/>
    <w:rsid w:val="00B95CDC"/>
    <w:rsid w:val="00B9620F"/>
    <w:rsid w:val="00B96402"/>
    <w:rsid w:val="00B96502"/>
    <w:rsid w:val="00B96D07"/>
    <w:rsid w:val="00BA0A72"/>
    <w:rsid w:val="00BA19C8"/>
    <w:rsid w:val="00BA2951"/>
    <w:rsid w:val="00BA495B"/>
    <w:rsid w:val="00BA72B0"/>
    <w:rsid w:val="00BB143A"/>
    <w:rsid w:val="00BB354A"/>
    <w:rsid w:val="00BB71F6"/>
    <w:rsid w:val="00BB72D9"/>
    <w:rsid w:val="00BB797C"/>
    <w:rsid w:val="00BB7A91"/>
    <w:rsid w:val="00BC2916"/>
    <w:rsid w:val="00BD1600"/>
    <w:rsid w:val="00BD4650"/>
    <w:rsid w:val="00BD7FDD"/>
    <w:rsid w:val="00BE24F7"/>
    <w:rsid w:val="00BE4416"/>
    <w:rsid w:val="00BE4D76"/>
    <w:rsid w:val="00BF1F14"/>
    <w:rsid w:val="00BF6872"/>
    <w:rsid w:val="00C03D63"/>
    <w:rsid w:val="00C043EF"/>
    <w:rsid w:val="00C050AE"/>
    <w:rsid w:val="00C075AF"/>
    <w:rsid w:val="00C146A0"/>
    <w:rsid w:val="00C15AA0"/>
    <w:rsid w:val="00C16497"/>
    <w:rsid w:val="00C276BD"/>
    <w:rsid w:val="00C30E37"/>
    <w:rsid w:val="00C31EBE"/>
    <w:rsid w:val="00C40536"/>
    <w:rsid w:val="00C42820"/>
    <w:rsid w:val="00C42BE8"/>
    <w:rsid w:val="00C43BD3"/>
    <w:rsid w:val="00C47D85"/>
    <w:rsid w:val="00C52852"/>
    <w:rsid w:val="00C52B7A"/>
    <w:rsid w:val="00C560D9"/>
    <w:rsid w:val="00C575C2"/>
    <w:rsid w:val="00C57EDD"/>
    <w:rsid w:val="00C61ACF"/>
    <w:rsid w:val="00C61E9A"/>
    <w:rsid w:val="00C621F5"/>
    <w:rsid w:val="00C622F9"/>
    <w:rsid w:val="00C66A07"/>
    <w:rsid w:val="00C70CEE"/>
    <w:rsid w:val="00C727C2"/>
    <w:rsid w:val="00C72B36"/>
    <w:rsid w:val="00C72FAC"/>
    <w:rsid w:val="00C73DBD"/>
    <w:rsid w:val="00C75B6B"/>
    <w:rsid w:val="00C838EC"/>
    <w:rsid w:val="00C85E6B"/>
    <w:rsid w:val="00C87CA9"/>
    <w:rsid w:val="00C90E89"/>
    <w:rsid w:val="00C918B3"/>
    <w:rsid w:val="00C92184"/>
    <w:rsid w:val="00C92842"/>
    <w:rsid w:val="00C95891"/>
    <w:rsid w:val="00C96BFE"/>
    <w:rsid w:val="00C97494"/>
    <w:rsid w:val="00C97A2F"/>
    <w:rsid w:val="00CA0481"/>
    <w:rsid w:val="00CA089B"/>
    <w:rsid w:val="00CA1048"/>
    <w:rsid w:val="00CA16A5"/>
    <w:rsid w:val="00CA57F2"/>
    <w:rsid w:val="00CA5D28"/>
    <w:rsid w:val="00CA69E0"/>
    <w:rsid w:val="00CA7C43"/>
    <w:rsid w:val="00CA7F6D"/>
    <w:rsid w:val="00CB2617"/>
    <w:rsid w:val="00CB2782"/>
    <w:rsid w:val="00CB46DA"/>
    <w:rsid w:val="00CB747C"/>
    <w:rsid w:val="00CB79D1"/>
    <w:rsid w:val="00CC0582"/>
    <w:rsid w:val="00CC1B17"/>
    <w:rsid w:val="00CC281D"/>
    <w:rsid w:val="00CC397B"/>
    <w:rsid w:val="00CD2A8E"/>
    <w:rsid w:val="00CD40BF"/>
    <w:rsid w:val="00CD54C3"/>
    <w:rsid w:val="00CE0169"/>
    <w:rsid w:val="00CE07E0"/>
    <w:rsid w:val="00CE0AD6"/>
    <w:rsid w:val="00CE0DCD"/>
    <w:rsid w:val="00CE222E"/>
    <w:rsid w:val="00CE2B98"/>
    <w:rsid w:val="00CE4C86"/>
    <w:rsid w:val="00CE516B"/>
    <w:rsid w:val="00CE78B2"/>
    <w:rsid w:val="00CF0356"/>
    <w:rsid w:val="00CF7F28"/>
    <w:rsid w:val="00D002AC"/>
    <w:rsid w:val="00D00B83"/>
    <w:rsid w:val="00D05F86"/>
    <w:rsid w:val="00D076C0"/>
    <w:rsid w:val="00D103E0"/>
    <w:rsid w:val="00D118A5"/>
    <w:rsid w:val="00D128F8"/>
    <w:rsid w:val="00D138E0"/>
    <w:rsid w:val="00D15550"/>
    <w:rsid w:val="00D16E8C"/>
    <w:rsid w:val="00D22175"/>
    <w:rsid w:val="00D230AE"/>
    <w:rsid w:val="00D26DEC"/>
    <w:rsid w:val="00D30022"/>
    <w:rsid w:val="00D31100"/>
    <w:rsid w:val="00D36B74"/>
    <w:rsid w:val="00D5438E"/>
    <w:rsid w:val="00D66DF8"/>
    <w:rsid w:val="00D722AF"/>
    <w:rsid w:val="00D76FDD"/>
    <w:rsid w:val="00D8219E"/>
    <w:rsid w:val="00D86C96"/>
    <w:rsid w:val="00D931F3"/>
    <w:rsid w:val="00D9412F"/>
    <w:rsid w:val="00D95FAB"/>
    <w:rsid w:val="00D965CA"/>
    <w:rsid w:val="00D9681A"/>
    <w:rsid w:val="00DA11AD"/>
    <w:rsid w:val="00DA3275"/>
    <w:rsid w:val="00DA69EF"/>
    <w:rsid w:val="00DB661A"/>
    <w:rsid w:val="00DC04E7"/>
    <w:rsid w:val="00DC3BAF"/>
    <w:rsid w:val="00DC449E"/>
    <w:rsid w:val="00DD02D7"/>
    <w:rsid w:val="00DD0616"/>
    <w:rsid w:val="00DD0B5D"/>
    <w:rsid w:val="00DD0BFB"/>
    <w:rsid w:val="00DD1E75"/>
    <w:rsid w:val="00DD2E95"/>
    <w:rsid w:val="00DD4271"/>
    <w:rsid w:val="00DD4640"/>
    <w:rsid w:val="00DD5B72"/>
    <w:rsid w:val="00DD5C00"/>
    <w:rsid w:val="00DE0229"/>
    <w:rsid w:val="00DE1404"/>
    <w:rsid w:val="00DE546A"/>
    <w:rsid w:val="00DE5D17"/>
    <w:rsid w:val="00DF619A"/>
    <w:rsid w:val="00DF6447"/>
    <w:rsid w:val="00DF6E86"/>
    <w:rsid w:val="00DF7971"/>
    <w:rsid w:val="00E01521"/>
    <w:rsid w:val="00E01536"/>
    <w:rsid w:val="00E050AF"/>
    <w:rsid w:val="00E056DB"/>
    <w:rsid w:val="00E070A4"/>
    <w:rsid w:val="00E07BF4"/>
    <w:rsid w:val="00E10249"/>
    <w:rsid w:val="00E10939"/>
    <w:rsid w:val="00E11554"/>
    <w:rsid w:val="00E14517"/>
    <w:rsid w:val="00E15757"/>
    <w:rsid w:val="00E16961"/>
    <w:rsid w:val="00E22A00"/>
    <w:rsid w:val="00E24B2E"/>
    <w:rsid w:val="00E339F1"/>
    <w:rsid w:val="00E33D31"/>
    <w:rsid w:val="00E35006"/>
    <w:rsid w:val="00E3567B"/>
    <w:rsid w:val="00E37C63"/>
    <w:rsid w:val="00E40242"/>
    <w:rsid w:val="00E40B52"/>
    <w:rsid w:val="00E42FD7"/>
    <w:rsid w:val="00E4513B"/>
    <w:rsid w:val="00E50029"/>
    <w:rsid w:val="00E514E5"/>
    <w:rsid w:val="00E51FAA"/>
    <w:rsid w:val="00E53E5A"/>
    <w:rsid w:val="00E55469"/>
    <w:rsid w:val="00E637B1"/>
    <w:rsid w:val="00E65343"/>
    <w:rsid w:val="00E65AA2"/>
    <w:rsid w:val="00E666CE"/>
    <w:rsid w:val="00E67324"/>
    <w:rsid w:val="00E700E3"/>
    <w:rsid w:val="00E71F66"/>
    <w:rsid w:val="00E74F3D"/>
    <w:rsid w:val="00E77123"/>
    <w:rsid w:val="00E81B19"/>
    <w:rsid w:val="00E84D49"/>
    <w:rsid w:val="00E85B49"/>
    <w:rsid w:val="00E9019D"/>
    <w:rsid w:val="00E94124"/>
    <w:rsid w:val="00EA08EE"/>
    <w:rsid w:val="00EA4382"/>
    <w:rsid w:val="00EA7B2A"/>
    <w:rsid w:val="00EB0EE8"/>
    <w:rsid w:val="00EB1ECC"/>
    <w:rsid w:val="00EB3601"/>
    <w:rsid w:val="00EB70D4"/>
    <w:rsid w:val="00EB734D"/>
    <w:rsid w:val="00EB7D67"/>
    <w:rsid w:val="00EC1011"/>
    <w:rsid w:val="00EC2BA0"/>
    <w:rsid w:val="00EC5339"/>
    <w:rsid w:val="00EC65B8"/>
    <w:rsid w:val="00EC7AB3"/>
    <w:rsid w:val="00ED0C52"/>
    <w:rsid w:val="00ED1D55"/>
    <w:rsid w:val="00ED38D4"/>
    <w:rsid w:val="00EE1E6B"/>
    <w:rsid w:val="00EE5136"/>
    <w:rsid w:val="00EE5EDC"/>
    <w:rsid w:val="00EE6356"/>
    <w:rsid w:val="00EE6627"/>
    <w:rsid w:val="00EE7E70"/>
    <w:rsid w:val="00EF1353"/>
    <w:rsid w:val="00EF25E4"/>
    <w:rsid w:val="00EF37E5"/>
    <w:rsid w:val="00EF4104"/>
    <w:rsid w:val="00EF5F98"/>
    <w:rsid w:val="00F03514"/>
    <w:rsid w:val="00F107D9"/>
    <w:rsid w:val="00F1433B"/>
    <w:rsid w:val="00F14641"/>
    <w:rsid w:val="00F15FF5"/>
    <w:rsid w:val="00F16993"/>
    <w:rsid w:val="00F1701B"/>
    <w:rsid w:val="00F17356"/>
    <w:rsid w:val="00F20F68"/>
    <w:rsid w:val="00F23679"/>
    <w:rsid w:val="00F23D53"/>
    <w:rsid w:val="00F3138F"/>
    <w:rsid w:val="00F40A65"/>
    <w:rsid w:val="00F428AE"/>
    <w:rsid w:val="00F43127"/>
    <w:rsid w:val="00F43D0E"/>
    <w:rsid w:val="00F52B9A"/>
    <w:rsid w:val="00F54947"/>
    <w:rsid w:val="00F5506E"/>
    <w:rsid w:val="00F5600C"/>
    <w:rsid w:val="00F56D71"/>
    <w:rsid w:val="00F57A4B"/>
    <w:rsid w:val="00F61073"/>
    <w:rsid w:val="00F62A66"/>
    <w:rsid w:val="00F63302"/>
    <w:rsid w:val="00F7136A"/>
    <w:rsid w:val="00F71DC2"/>
    <w:rsid w:val="00F72232"/>
    <w:rsid w:val="00F729DD"/>
    <w:rsid w:val="00F72F22"/>
    <w:rsid w:val="00F75D89"/>
    <w:rsid w:val="00F7769F"/>
    <w:rsid w:val="00F77C11"/>
    <w:rsid w:val="00F80250"/>
    <w:rsid w:val="00F82B72"/>
    <w:rsid w:val="00F83FEE"/>
    <w:rsid w:val="00F8539C"/>
    <w:rsid w:val="00F9009B"/>
    <w:rsid w:val="00F94830"/>
    <w:rsid w:val="00F957A5"/>
    <w:rsid w:val="00F96119"/>
    <w:rsid w:val="00F97F1F"/>
    <w:rsid w:val="00FA63C2"/>
    <w:rsid w:val="00FB3484"/>
    <w:rsid w:val="00FB36D5"/>
    <w:rsid w:val="00FC358F"/>
    <w:rsid w:val="00FC4F02"/>
    <w:rsid w:val="00FC5407"/>
    <w:rsid w:val="00FD07F8"/>
    <w:rsid w:val="00FD0A76"/>
    <w:rsid w:val="00FD1A34"/>
    <w:rsid w:val="00FD23BC"/>
    <w:rsid w:val="00FD4209"/>
    <w:rsid w:val="00FD4CAC"/>
    <w:rsid w:val="00FE031D"/>
    <w:rsid w:val="00FE136A"/>
    <w:rsid w:val="00FE2463"/>
    <w:rsid w:val="00FE2FE5"/>
    <w:rsid w:val="00FE5BC7"/>
    <w:rsid w:val="00FF09C1"/>
    <w:rsid w:val="00FF10CF"/>
    <w:rsid w:val="00FF11F4"/>
    <w:rsid w:val="00FF2FC1"/>
    <w:rsid w:val="00FF48BF"/>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CF1F0"/>
  <w15:chartTrackingRefBased/>
  <w15:docId w15:val="{426DEA8F-C77A-EA40-8688-F2F3118C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4945"/>
    <w:pPr>
      <w:spacing w:after="200" w:line="276" w:lineRule="auto"/>
    </w:pPr>
    <w:rPr>
      <w:sz w:val="22"/>
      <w:szCs w:val="22"/>
      <w:lang w:eastAsia="en-US"/>
    </w:rPr>
  </w:style>
  <w:style w:type="paragraph" w:styleId="Heading1">
    <w:name w:val="heading 1"/>
    <w:basedOn w:val="Normal"/>
    <w:next w:val="Normal"/>
    <w:link w:val="Heading1Char"/>
    <w:uiPriority w:val="9"/>
    <w:qFormat/>
    <w:rsid w:val="00393A8C"/>
    <w:pPr>
      <w:keepNext/>
      <w:spacing w:before="240" w:after="240" w:line="240" w:lineRule="auto"/>
      <w:jc w:val="both"/>
      <w:outlineLvl w:val="0"/>
    </w:pPr>
    <w:rPr>
      <w:rFonts w:eastAsia="Times New Roman"/>
      <w:b/>
      <w:bCs/>
      <w:caps/>
      <w:kern w:val="32"/>
      <w:sz w:val="24"/>
      <w:szCs w:val="32"/>
    </w:rPr>
  </w:style>
  <w:style w:type="paragraph" w:styleId="Heading2">
    <w:name w:val="heading 2"/>
    <w:basedOn w:val="Normal"/>
    <w:next w:val="Normal"/>
    <w:link w:val="Heading2Char"/>
    <w:uiPriority w:val="9"/>
    <w:unhideWhenUsed/>
    <w:qFormat/>
    <w:rsid w:val="00393A8C"/>
    <w:pPr>
      <w:keepNext/>
      <w:spacing w:before="120" w:after="120" w:line="240" w:lineRule="auto"/>
      <w:jc w:val="both"/>
      <w:outlineLvl w:val="1"/>
    </w:pPr>
    <w:rPr>
      <w:rFonts w:eastAsia="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ootnote Text Char2 Char,Footnote Text Char Char1 Char,Footnote Text Char2 Char Char Char,Footnote Text Char1 Char Char Char Char,Footnote Text Char Char Char Char Char Char,Char,FA Fu,Char Char Char,Char Char Char Char Char,fn,5"/>
    <w:basedOn w:val="Normal"/>
    <w:link w:val="FootnoteTextChar"/>
    <w:uiPriority w:val="99"/>
    <w:unhideWhenUsed/>
    <w:qFormat/>
    <w:rsid w:val="00CC281D"/>
    <w:pPr>
      <w:spacing w:after="0" w:line="240" w:lineRule="auto"/>
    </w:pPr>
    <w:rPr>
      <w:sz w:val="20"/>
      <w:szCs w:val="20"/>
      <w:lang w:val="x-none" w:eastAsia="x-none"/>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har Char,FA Fu Char"/>
    <w:link w:val="FootnoteText"/>
    <w:uiPriority w:val="99"/>
    <w:rsid w:val="00CC281D"/>
    <w:rPr>
      <w:rFonts w:ascii="Calibri" w:eastAsia="Calibri" w:hAnsi="Calibri" w:cs="Times New Roman"/>
      <w:sz w:val="20"/>
      <w:szCs w:val="20"/>
    </w:rPr>
  </w:style>
  <w:style w:type="character" w:styleId="FootnoteReference">
    <w:name w:val="footnote reference"/>
    <w:aliases w:val="BVI fnr,BVI fnr Car Car,BVI fnr Car,BVI fnr Car Car Car Car,BVI fnr Car Car Car Car Char,BVI fnr Char1,BVI fnr Car Car Char1,BVI fnr Car Char1,BVI fnr Car Car Car Car Char Char,BVI fnr Char Char Char, BVI fnr, BVI fnr Car Car,16 Point"/>
    <w:link w:val="Char2"/>
    <w:uiPriority w:val="99"/>
    <w:unhideWhenUsed/>
    <w:qFormat/>
    <w:rsid w:val="00CC281D"/>
    <w:rPr>
      <w:vertAlign w:val="superscript"/>
    </w:rPr>
  </w:style>
  <w:style w:type="character" w:styleId="Hyperlink">
    <w:name w:val="Hyperlink"/>
    <w:unhideWhenUsed/>
    <w:rsid w:val="00CC281D"/>
    <w:rPr>
      <w:color w:val="0000FF"/>
      <w:u w:val="single"/>
    </w:rPr>
  </w:style>
  <w:style w:type="paragraph" w:customStyle="1" w:styleId="Char2">
    <w:name w:val="Char2"/>
    <w:basedOn w:val="Normal"/>
    <w:link w:val="FootnoteReference"/>
    <w:uiPriority w:val="99"/>
    <w:rsid w:val="00CC281D"/>
    <w:pPr>
      <w:spacing w:after="160" w:line="240" w:lineRule="exact"/>
    </w:pPr>
    <w:rPr>
      <w:sz w:val="20"/>
      <w:szCs w:val="20"/>
      <w:vertAlign w:val="superscript"/>
      <w:lang w:val="x-none" w:eastAsia="x-none"/>
    </w:rPr>
  </w:style>
  <w:style w:type="paragraph" w:customStyle="1" w:styleId="ECRIbody">
    <w:name w:val="ECRI body"/>
    <w:basedOn w:val="Normal"/>
    <w:link w:val="ECRIbodyChar"/>
    <w:qFormat/>
    <w:rsid w:val="00CC281D"/>
    <w:pPr>
      <w:autoSpaceDE w:val="0"/>
      <w:autoSpaceDN w:val="0"/>
      <w:adjustRightInd w:val="0"/>
      <w:spacing w:after="0" w:line="240" w:lineRule="auto"/>
      <w:jc w:val="both"/>
    </w:pPr>
    <w:rPr>
      <w:rFonts w:ascii="Arial" w:hAnsi="Arial"/>
      <w:sz w:val="20"/>
      <w:szCs w:val="20"/>
      <w:lang w:val="en-GB" w:eastAsia="x-none"/>
    </w:rPr>
  </w:style>
  <w:style w:type="character" w:customStyle="1" w:styleId="ECRIbodyChar">
    <w:name w:val="ECRI body Char"/>
    <w:link w:val="ECRIbody"/>
    <w:rsid w:val="00CC281D"/>
    <w:rPr>
      <w:rFonts w:ascii="Arial" w:eastAsia="Calibri" w:hAnsi="Arial" w:cs="Calibri"/>
      <w:sz w:val="20"/>
      <w:lang w:val="en-GB"/>
    </w:rPr>
  </w:style>
  <w:style w:type="paragraph" w:customStyle="1" w:styleId="ColorfulList-Accent11">
    <w:name w:val="Colorful List - Accent 11"/>
    <w:basedOn w:val="Normal"/>
    <w:uiPriority w:val="34"/>
    <w:qFormat/>
    <w:rsid w:val="00CC281D"/>
    <w:pPr>
      <w:ind w:left="720"/>
      <w:contextualSpacing/>
    </w:pPr>
  </w:style>
  <w:style w:type="paragraph" w:customStyle="1" w:styleId="a">
    <w:name w:val="სქოლიო ქ"/>
    <w:basedOn w:val="NormalWeb"/>
    <w:qFormat/>
    <w:rsid w:val="00CC281D"/>
    <w:pPr>
      <w:shd w:val="clear" w:color="auto" w:fill="FFFFFF"/>
      <w:spacing w:after="0" w:line="240" w:lineRule="auto"/>
    </w:pPr>
    <w:rPr>
      <w:rFonts w:ascii="Sylfaen" w:eastAsia="Times New Roman" w:hAnsi="Sylfaen" w:cs="Sylfaen"/>
      <w:bCs/>
      <w:sz w:val="18"/>
      <w:szCs w:val="18"/>
    </w:rPr>
  </w:style>
  <w:style w:type="paragraph" w:styleId="NormalWeb">
    <w:name w:val="Normal (Web)"/>
    <w:basedOn w:val="Normal"/>
    <w:uiPriority w:val="99"/>
    <w:unhideWhenUsed/>
    <w:rsid w:val="00CC281D"/>
    <w:rPr>
      <w:rFonts w:ascii="Times New Roman" w:hAnsi="Times New Roman"/>
      <w:sz w:val="24"/>
      <w:szCs w:val="24"/>
    </w:rPr>
  </w:style>
  <w:style w:type="paragraph" w:customStyle="1" w:styleId="Default">
    <w:name w:val="Default"/>
    <w:rsid w:val="00C40536"/>
    <w:pPr>
      <w:autoSpaceDE w:val="0"/>
      <w:autoSpaceDN w:val="0"/>
      <w:adjustRightInd w:val="0"/>
    </w:pPr>
    <w:rPr>
      <w:rFonts w:ascii="Sylfaen" w:hAnsi="Sylfaen" w:cs="Sylfaen"/>
      <w:color w:val="000000"/>
      <w:sz w:val="24"/>
      <w:szCs w:val="24"/>
      <w:lang w:eastAsia="en-US"/>
    </w:rPr>
  </w:style>
  <w:style w:type="paragraph" w:customStyle="1" w:styleId="sataurixml">
    <w:name w:val="satauri_xml"/>
    <w:basedOn w:val="Normal"/>
    <w:autoRedefine/>
    <w:rsid w:val="00A9344F"/>
    <w:pPr>
      <w:spacing w:after="0" w:line="240" w:lineRule="auto"/>
      <w:jc w:val="both"/>
    </w:pPr>
    <w:rPr>
      <w:rFonts w:cs="TimesNewRoman,Bold"/>
      <w:bCs/>
      <w:lang w:val="ka-GE"/>
    </w:rPr>
  </w:style>
  <w:style w:type="paragraph" w:customStyle="1" w:styleId="ECRI-subquestion">
    <w:name w:val="ECRI - sub_question"/>
    <w:basedOn w:val="ColorfulList-Accent11"/>
    <w:link w:val="ECRI-subquestionChar"/>
    <w:qFormat/>
    <w:rsid w:val="00D76FDD"/>
    <w:pPr>
      <w:numPr>
        <w:numId w:val="3"/>
      </w:numPr>
      <w:tabs>
        <w:tab w:val="num" w:pos="360"/>
      </w:tabs>
      <w:spacing w:after="0" w:line="240" w:lineRule="auto"/>
      <w:ind w:firstLine="0"/>
      <w:contextualSpacing w:val="0"/>
      <w:jc w:val="both"/>
    </w:pPr>
    <w:rPr>
      <w:rFonts w:ascii="Arial" w:hAnsi="Arial"/>
      <w:sz w:val="21"/>
      <w:szCs w:val="20"/>
      <w:lang w:val="en-GB" w:eastAsia="x-none"/>
    </w:rPr>
  </w:style>
  <w:style w:type="character" w:customStyle="1" w:styleId="ECRI-subquestionChar">
    <w:name w:val="ECRI - sub_question Char"/>
    <w:link w:val="ECRI-subquestion"/>
    <w:rsid w:val="00D76FDD"/>
    <w:rPr>
      <w:rFonts w:ascii="Arial" w:hAnsi="Arial"/>
      <w:sz w:val="21"/>
      <w:lang w:val="en-GB" w:eastAsia="x-none"/>
    </w:rPr>
  </w:style>
  <w:style w:type="paragraph" w:customStyle="1" w:styleId="ECRIcase">
    <w:name w:val="ECRI case"/>
    <w:basedOn w:val="Normal"/>
    <w:link w:val="ECRIcaseChar"/>
    <w:qFormat/>
    <w:rsid w:val="00D76FDD"/>
    <w:pPr>
      <w:spacing w:after="0" w:line="240" w:lineRule="auto"/>
      <w:ind w:left="851"/>
      <w:jc w:val="both"/>
    </w:pPr>
    <w:rPr>
      <w:rFonts w:ascii="Arial" w:hAnsi="Arial"/>
      <w:bCs/>
      <w:i/>
      <w:sz w:val="20"/>
      <w:szCs w:val="20"/>
      <w:lang w:val="en-GB" w:eastAsia="x-none"/>
    </w:rPr>
  </w:style>
  <w:style w:type="character" w:customStyle="1" w:styleId="ECRIcaseChar">
    <w:name w:val="ECRI case Char"/>
    <w:link w:val="ECRIcase"/>
    <w:rsid w:val="00D76FDD"/>
    <w:rPr>
      <w:rFonts w:ascii="Arial" w:hAnsi="Arial"/>
      <w:bCs/>
      <w:i/>
      <w:lang w:val="en-GB" w:eastAsia="x-none"/>
    </w:rPr>
  </w:style>
  <w:style w:type="paragraph" w:customStyle="1" w:styleId="NoSpacing1">
    <w:name w:val="No Spacing1"/>
    <w:aliases w:val="boddy1"/>
    <w:basedOn w:val="Normal"/>
    <w:link w:val="NoSpacingChar"/>
    <w:uiPriority w:val="1"/>
    <w:qFormat/>
    <w:rsid w:val="00D76FDD"/>
    <w:pPr>
      <w:spacing w:after="60" w:line="240" w:lineRule="auto"/>
      <w:jc w:val="both"/>
    </w:pPr>
    <w:rPr>
      <w:rFonts w:eastAsia="Times New Roman"/>
      <w:sz w:val="20"/>
      <w:szCs w:val="20"/>
      <w:lang w:val="x-none" w:eastAsia="x-none"/>
    </w:rPr>
  </w:style>
  <w:style w:type="character" w:customStyle="1" w:styleId="NoSpacingChar">
    <w:name w:val="No Spacing Char"/>
    <w:aliases w:val="boddy1 Char"/>
    <w:link w:val="NoSpacing1"/>
    <w:uiPriority w:val="1"/>
    <w:rsid w:val="00D76FDD"/>
    <w:rPr>
      <w:rFonts w:eastAsia="Times New Roman"/>
      <w:lang w:val="x-none" w:eastAsia="x-none"/>
    </w:rPr>
  </w:style>
  <w:style w:type="paragraph" w:customStyle="1" w:styleId="bheader">
    <w:name w:val="bheader"/>
    <w:basedOn w:val="Normal"/>
    <w:rsid w:val="002C2DE4"/>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apple-converted-space">
    <w:name w:val="apple-converted-space"/>
    <w:basedOn w:val="DefaultParagraphFont"/>
    <w:rsid w:val="002C2DE4"/>
  </w:style>
  <w:style w:type="paragraph" w:customStyle="1" w:styleId="ListParagraph1">
    <w:name w:val="List Paragraph1"/>
    <w:basedOn w:val="Normal"/>
    <w:link w:val="ListParagraphChar"/>
    <w:uiPriority w:val="34"/>
    <w:qFormat/>
    <w:rsid w:val="002C2DE4"/>
    <w:pPr>
      <w:numPr>
        <w:numId w:val="5"/>
      </w:numPr>
      <w:spacing w:after="0" w:line="240" w:lineRule="auto"/>
      <w:contextualSpacing/>
      <w:jc w:val="both"/>
    </w:pPr>
    <w:rPr>
      <w:rFonts w:eastAsia="Times New Roman"/>
      <w:sz w:val="24"/>
      <w:szCs w:val="20"/>
      <w:lang w:val="x-none" w:eastAsia="x-none" w:bidi="en-US"/>
    </w:rPr>
  </w:style>
  <w:style w:type="character" w:customStyle="1" w:styleId="ListParagraphChar">
    <w:name w:val="List Paragraph Char"/>
    <w:aliases w:val="List Paragraph1 Char"/>
    <w:link w:val="ListParagraph1"/>
    <w:uiPriority w:val="34"/>
    <w:rsid w:val="002C2DE4"/>
    <w:rPr>
      <w:rFonts w:eastAsia="Times New Roman"/>
      <w:sz w:val="24"/>
      <w:lang w:bidi="en-US"/>
    </w:rPr>
  </w:style>
  <w:style w:type="paragraph" w:styleId="EndnoteText">
    <w:name w:val="endnote text"/>
    <w:basedOn w:val="Normal"/>
    <w:link w:val="EndnoteTextChar"/>
    <w:uiPriority w:val="99"/>
    <w:semiHidden/>
    <w:unhideWhenUsed/>
    <w:rsid w:val="00A21E26"/>
    <w:rPr>
      <w:sz w:val="20"/>
      <w:szCs w:val="20"/>
    </w:rPr>
  </w:style>
  <w:style w:type="character" w:customStyle="1" w:styleId="EndnoteTextChar">
    <w:name w:val="Endnote Text Char"/>
    <w:basedOn w:val="DefaultParagraphFont"/>
    <w:link w:val="EndnoteText"/>
    <w:uiPriority w:val="99"/>
    <w:semiHidden/>
    <w:rsid w:val="00A21E26"/>
  </w:style>
  <w:style w:type="character" w:styleId="EndnoteReference">
    <w:name w:val="endnote reference"/>
    <w:uiPriority w:val="99"/>
    <w:semiHidden/>
    <w:unhideWhenUsed/>
    <w:rsid w:val="00A21E26"/>
    <w:rPr>
      <w:vertAlign w:val="superscript"/>
    </w:rPr>
  </w:style>
  <w:style w:type="paragraph" w:customStyle="1" w:styleId="body">
    <w:name w:val="body"/>
    <w:basedOn w:val="Normal"/>
    <w:qFormat/>
    <w:rsid w:val="00A9344F"/>
    <w:pPr>
      <w:spacing w:after="120" w:line="240" w:lineRule="auto"/>
      <w:jc w:val="both"/>
    </w:pPr>
    <w:rPr>
      <w:rFonts w:ascii="Sylfaen" w:hAnsi="Sylfaen"/>
      <w:sz w:val="24"/>
      <w:szCs w:val="24"/>
      <w:shd w:val="clear" w:color="auto" w:fill="FFFFFF"/>
      <w:lang w:val="ka-GE"/>
    </w:rPr>
  </w:style>
  <w:style w:type="paragraph" w:customStyle="1" w:styleId="a0">
    <w:name w:val="სქოლიო ენ"/>
    <w:basedOn w:val="FootnoteText"/>
    <w:qFormat/>
    <w:rsid w:val="00A9344F"/>
    <w:rPr>
      <w:sz w:val="18"/>
      <w:szCs w:val="18"/>
    </w:rPr>
  </w:style>
  <w:style w:type="paragraph" w:styleId="BalloonText">
    <w:name w:val="Balloon Text"/>
    <w:basedOn w:val="Normal"/>
    <w:link w:val="BalloonTextChar"/>
    <w:uiPriority w:val="99"/>
    <w:semiHidden/>
    <w:unhideWhenUsed/>
    <w:rsid w:val="00BB71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71F6"/>
    <w:rPr>
      <w:rFonts w:ascii="Tahoma" w:hAnsi="Tahoma" w:cs="Tahoma"/>
      <w:sz w:val="16"/>
      <w:szCs w:val="16"/>
      <w:lang w:val="en-US" w:eastAsia="en-US"/>
    </w:rPr>
  </w:style>
  <w:style w:type="paragraph" w:styleId="Header">
    <w:name w:val="header"/>
    <w:basedOn w:val="Normal"/>
    <w:link w:val="HeaderChar"/>
    <w:unhideWhenUsed/>
    <w:rsid w:val="007724B6"/>
    <w:pPr>
      <w:tabs>
        <w:tab w:val="center" w:pos="4536"/>
        <w:tab w:val="right" w:pos="9072"/>
      </w:tabs>
    </w:pPr>
  </w:style>
  <w:style w:type="character" w:customStyle="1" w:styleId="HeaderChar">
    <w:name w:val="Header Char"/>
    <w:link w:val="Header"/>
    <w:rsid w:val="007724B6"/>
    <w:rPr>
      <w:sz w:val="22"/>
      <w:szCs w:val="22"/>
      <w:lang w:val="en-US" w:eastAsia="en-US"/>
    </w:rPr>
  </w:style>
  <w:style w:type="paragraph" w:styleId="Footer">
    <w:name w:val="footer"/>
    <w:basedOn w:val="Normal"/>
    <w:link w:val="FooterChar"/>
    <w:uiPriority w:val="99"/>
    <w:unhideWhenUsed/>
    <w:rsid w:val="007724B6"/>
    <w:pPr>
      <w:tabs>
        <w:tab w:val="center" w:pos="4536"/>
        <w:tab w:val="right" w:pos="9072"/>
      </w:tabs>
    </w:pPr>
  </w:style>
  <w:style w:type="character" w:customStyle="1" w:styleId="FooterChar">
    <w:name w:val="Footer Char"/>
    <w:link w:val="Footer"/>
    <w:uiPriority w:val="99"/>
    <w:rsid w:val="007724B6"/>
    <w:rPr>
      <w:sz w:val="22"/>
      <w:szCs w:val="22"/>
      <w:lang w:val="en-US" w:eastAsia="en-US"/>
    </w:rPr>
  </w:style>
  <w:style w:type="character" w:styleId="CommentReference">
    <w:name w:val="annotation reference"/>
    <w:uiPriority w:val="99"/>
    <w:semiHidden/>
    <w:unhideWhenUsed/>
    <w:rsid w:val="00C560D9"/>
    <w:rPr>
      <w:sz w:val="16"/>
      <w:szCs w:val="16"/>
    </w:rPr>
  </w:style>
  <w:style w:type="paragraph" w:styleId="CommentText">
    <w:name w:val="annotation text"/>
    <w:basedOn w:val="Normal"/>
    <w:link w:val="CommentTextChar"/>
    <w:uiPriority w:val="99"/>
    <w:semiHidden/>
    <w:unhideWhenUsed/>
    <w:rsid w:val="00C560D9"/>
    <w:rPr>
      <w:sz w:val="20"/>
      <w:szCs w:val="20"/>
    </w:rPr>
  </w:style>
  <w:style w:type="character" w:customStyle="1" w:styleId="CommentTextChar">
    <w:name w:val="Comment Text Char"/>
    <w:link w:val="CommentText"/>
    <w:uiPriority w:val="99"/>
    <w:semiHidden/>
    <w:rsid w:val="00C560D9"/>
    <w:rPr>
      <w:lang w:val="en-US" w:eastAsia="en-US"/>
    </w:rPr>
  </w:style>
  <w:style w:type="paragraph" w:styleId="CommentSubject">
    <w:name w:val="annotation subject"/>
    <w:basedOn w:val="CommentText"/>
    <w:next w:val="CommentText"/>
    <w:link w:val="CommentSubjectChar"/>
    <w:uiPriority w:val="99"/>
    <w:semiHidden/>
    <w:unhideWhenUsed/>
    <w:rsid w:val="00C560D9"/>
    <w:rPr>
      <w:b/>
      <w:bCs/>
    </w:rPr>
  </w:style>
  <w:style w:type="character" w:customStyle="1" w:styleId="CommentSubjectChar">
    <w:name w:val="Comment Subject Char"/>
    <w:link w:val="CommentSubject"/>
    <w:uiPriority w:val="99"/>
    <w:semiHidden/>
    <w:rsid w:val="00C560D9"/>
    <w:rPr>
      <w:b/>
      <w:bCs/>
      <w:lang w:val="en-US" w:eastAsia="en-US"/>
    </w:rPr>
  </w:style>
  <w:style w:type="paragraph" w:customStyle="1" w:styleId="ColorfulShading-Accent11">
    <w:name w:val="Colorful Shading - Accent 11"/>
    <w:hidden/>
    <w:uiPriority w:val="99"/>
    <w:semiHidden/>
    <w:rsid w:val="00C560D9"/>
    <w:rPr>
      <w:sz w:val="22"/>
      <w:szCs w:val="22"/>
      <w:lang w:eastAsia="en-US"/>
    </w:rPr>
  </w:style>
  <w:style w:type="character" w:styleId="FollowedHyperlink">
    <w:name w:val="FollowedHyperlink"/>
    <w:uiPriority w:val="99"/>
    <w:semiHidden/>
    <w:unhideWhenUsed/>
    <w:rsid w:val="003A5107"/>
    <w:rPr>
      <w:color w:val="800080"/>
      <w:u w:val="single"/>
    </w:rPr>
  </w:style>
  <w:style w:type="character" w:styleId="Emphasis">
    <w:name w:val="Emphasis"/>
    <w:uiPriority w:val="20"/>
    <w:qFormat/>
    <w:rsid w:val="00197DC2"/>
    <w:rPr>
      <w:i/>
      <w:iCs/>
    </w:rPr>
  </w:style>
  <w:style w:type="paragraph" w:customStyle="1" w:styleId="SingleTxtG">
    <w:name w:val="_ Single Txt_G"/>
    <w:basedOn w:val="Normal"/>
    <w:rsid w:val="00C03D63"/>
    <w:pPr>
      <w:widowControl w:val="0"/>
      <w:suppressAutoHyphens/>
      <w:autoSpaceDE w:val="0"/>
      <w:spacing w:after="120" w:line="240" w:lineRule="auto"/>
      <w:ind w:left="1134" w:right="1134"/>
      <w:jc w:val="both"/>
    </w:pPr>
    <w:rPr>
      <w:rFonts w:ascii="Times New Roman" w:eastAsia="SimSun" w:hAnsi="Times New Roman" w:cs="Mangal"/>
      <w:kern w:val="1"/>
      <w:sz w:val="24"/>
      <w:szCs w:val="24"/>
      <w:lang w:val="sk-SK" w:eastAsia="hi-IN" w:bidi="hi-IN"/>
    </w:rPr>
  </w:style>
  <w:style w:type="table" w:styleId="TableGrid">
    <w:name w:val="Table Grid"/>
    <w:basedOn w:val="TableNormal"/>
    <w:uiPriority w:val="1"/>
    <w:rsid w:val="00C03D63"/>
    <w:rPr>
      <w:rFonts w:ascii="Times New Roman" w:eastAsia="Times New Roman" w:hAnsi="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93A8C"/>
    <w:rPr>
      <w:rFonts w:ascii="Calibri" w:eastAsia="Times New Roman" w:hAnsi="Calibri" w:cs="Times New Roman"/>
      <w:b/>
      <w:bCs/>
      <w:caps/>
      <w:kern w:val="32"/>
      <w:sz w:val="24"/>
      <w:szCs w:val="32"/>
      <w:lang w:val="en-US" w:eastAsia="en-US"/>
    </w:rPr>
  </w:style>
  <w:style w:type="character" w:customStyle="1" w:styleId="Heading2Char">
    <w:name w:val="Heading 2 Char"/>
    <w:link w:val="Heading2"/>
    <w:uiPriority w:val="9"/>
    <w:rsid w:val="00393A8C"/>
    <w:rPr>
      <w:rFonts w:eastAsia="Times New Roman" w:cs="Times New Roman"/>
      <w:b/>
      <w:bCs/>
      <w:i/>
      <w:iCs/>
      <w:sz w:val="24"/>
      <w:szCs w:val="28"/>
      <w:lang w:val="en-US" w:eastAsia="en-US"/>
    </w:rPr>
  </w:style>
  <w:style w:type="paragraph" w:styleId="TOC1">
    <w:name w:val="toc 1"/>
    <w:basedOn w:val="Normal"/>
    <w:next w:val="Normal"/>
    <w:autoRedefine/>
    <w:uiPriority w:val="39"/>
    <w:unhideWhenUsed/>
    <w:rsid w:val="0032078E"/>
    <w:pPr>
      <w:spacing w:before="240" w:after="120"/>
    </w:pPr>
    <w:rPr>
      <w:b/>
      <w:bCs/>
      <w:sz w:val="20"/>
      <w:szCs w:val="20"/>
    </w:rPr>
  </w:style>
  <w:style w:type="paragraph" w:styleId="TOC2">
    <w:name w:val="toc 2"/>
    <w:basedOn w:val="Normal"/>
    <w:next w:val="Normal"/>
    <w:autoRedefine/>
    <w:uiPriority w:val="39"/>
    <w:unhideWhenUsed/>
    <w:rsid w:val="0032078E"/>
    <w:pPr>
      <w:spacing w:before="120" w:after="0"/>
      <w:ind w:left="220"/>
    </w:pPr>
    <w:rPr>
      <w:i/>
      <w:iCs/>
      <w:sz w:val="20"/>
      <w:szCs w:val="20"/>
    </w:rPr>
  </w:style>
  <w:style w:type="paragraph" w:styleId="TOC3">
    <w:name w:val="toc 3"/>
    <w:basedOn w:val="Normal"/>
    <w:next w:val="Normal"/>
    <w:autoRedefine/>
    <w:uiPriority w:val="39"/>
    <w:unhideWhenUsed/>
    <w:rsid w:val="0032078E"/>
    <w:pPr>
      <w:spacing w:after="0"/>
      <w:ind w:left="440"/>
    </w:pPr>
    <w:rPr>
      <w:sz w:val="20"/>
      <w:szCs w:val="20"/>
    </w:rPr>
  </w:style>
  <w:style w:type="paragraph" w:styleId="TOC4">
    <w:name w:val="toc 4"/>
    <w:basedOn w:val="Normal"/>
    <w:next w:val="Normal"/>
    <w:autoRedefine/>
    <w:uiPriority w:val="39"/>
    <w:unhideWhenUsed/>
    <w:rsid w:val="0032078E"/>
    <w:pPr>
      <w:spacing w:after="0"/>
      <w:ind w:left="660"/>
    </w:pPr>
    <w:rPr>
      <w:sz w:val="20"/>
      <w:szCs w:val="20"/>
    </w:rPr>
  </w:style>
  <w:style w:type="paragraph" w:styleId="TOC5">
    <w:name w:val="toc 5"/>
    <w:basedOn w:val="Normal"/>
    <w:next w:val="Normal"/>
    <w:autoRedefine/>
    <w:uiPriority w:val="39"/>
    <w:unhideWhenUsed/>
    <w:rsid w:val="0032078E"/>
    <w:pPr>
      <w:spacing w:after="0"/>
      <w:ind w:left="880"/>
    </w:pPr>
    <w:rPr>
      <w:sz w:val="20"/>
      <w:szCs w:val="20"/>
    </w:rPr>
  </w:style>
  <w:style w:type="paragraph" w:styleId="TOC6">
    <w:name w:val="toc 6"/>
    <w:basedOn w:val="Normal"/>
    <w:next w:val="Normal"/>
    <w:autoRedefine/>
    <w:uiPriority w:val="39"/>
    <w:unhideWhenUsed/>
    <w:rsid w:val="0032078E"/>
    <w:pPr>
      <w:spacing w:after="0"/>
      <w:ind w:left="1100"/>
    </w:pPr>
    <w:rPr>
      <w:sz w:val="20"/>
      <w:szCs w:val="20"/>
    </w:rPr>
  </w:style>
  <w:style w:type="paragraph" w:styleId="TOC7">
    <w:name w:val="toc 7"/>
    <w:basedOn w:val="Normal"/>
    <w:next w:val="Normal"/>
    <w:autoRedefine/>
    <w:uiPriority w:val="39"/>
    <w:unhideWhenUsed/>
    <w:rsid w:val="0032078E"/>
    <w:pPr>
      <w:spacing w:after="0"/>
      <w:ind w:left="1320"/>
    </w:pPr>
    <w:rPr>
      <w:sz w:val="20"/>
      <w:szCs w:val="20"/>
    </w:rPr>
  </w:style>
  <w:style w:type="paragraph" w:styleId="TOC8">
    <w:name w:val="toc 8"/>
    <w:basedOn w:val="Normal"/>
    <w:next w:val="Normal"/>
    <w:autoRedefine/>
    <w:uiPriority w:val="39"/>
    <w:unhideWhenUsed/>
    <w:rsid w:val="0032078E"/>
    <w:pPr>
      <w:spacing w:after="0"/>
      <w:ind w:left="1540"/>
    </w:pPr>
    <w:rPr>
      <w:sz w:val="20"/>
      <w:szCs w:val="20"/>
    </w:rPr>
  </w:style>
  <w:style w:type="paragraph" w:styleId="TOC9">
    <w:name w:val="toc 9"/>
    <w:basedOn w:val="Normal"/>
    <w:next w:val="Normal"/>
    <w:autoRedefine/>
    <w:uiPriority w:val="39"/>
    <w:unhideWhenUsed/>
    <w:rsid w:val="0032078E"/>
    <w:pPr>
      <w:spacing w:after="0"/>
      <w:ind w:left="1760"/>
    </w:pPr>
    <w:rPr>
      <w:sz w:val="20"/>
      <w:szCs w:val="20"/>
    </w:rPr>
  </w:style>
  <w:style w:type="paragraph" w:styleId="TOCHeading">
    <w:name w:val="TOC Heading"/>
    <w:basedOn w:val="Heading1"/>
    <w:next w:val="Normal"/>
    <w:uiPriority w:val="39"/>
    <w:semiHidden/>
    <w:unhideWhenUsed/>
    <w:qFormat/>
    <w:rsid w:val="0032078E"/>
    <w:pPr>
      <w:keepLines/>
      <w:spacing w:before="480" w:after="0" w:line="276" w:lineRule="auto"/>
      <w:jc w:val="left"/>
      <w:outlineLvl w:val="9"/>
    </w:pPr>
    <w:rPr>
      <w:rFonts w:ascii="Cambria" w:hAnsi="Cambria"/>
      <w:caps w:val="0"/>
      <w:color w:val="365F91"/>
      <w:kern w:val="0"/>
      <w:sz w:val="28"/>
      <w:szCs w:val="28"/>
      <w:lang w:eastAsia="ja-JP"/>
    </w:rPr>
  </w:style>
  <w:style w:type="character" w:styleId="UnresolvedMention">
    <w:name w:val="Unresolved Mention"/>
    <w:uiPriority w:val="99"/>
    <w:semiHidden/>
    <w:unhideWhenUsed/>
    <w:rsid w:val="00003A7D"/>
    <w:rPr>
      <w:color w:val="605E5C"/>
      <w:shd w:val="clear" w:color="auto" w:fill="E1DFDD"/>
    </w:rPr>
  </w:style>
  <w:style w:type="paragraph" w:customStyle="1" w:styleId="p1">
    <w:name w:val="p1"/>
    <w:basedOn w:val="Normal"/>
    <w:rsid w:val="00D103E0"/>
    <w:pPr>
      <w:spacing w:after="0" w:line="240" w:lineRule="auto"/>
    </w:pPr>
    <w:rPr>
      <w:rFonts w:ascii="Times New Roman" w:eastAsiaTheme="minorEastAsia" w:hAnsi="Times New Roman"/>
      <w:sz w:val="24"/>
      <w:szCs w:val="24"/>
      <w:lang w:eastAsia="en-GB"/>
    </w:rPr>
  </w:style>
  <w:style w:type="character" w:customStyle="1" w:styleId="s1">
    <w:name w:val="s1"/>
    <w:basedOn w:val="DefaultParagraphFont"/>
    <w:rsid w:val="00D103E0"/>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0013">
      <w:bodyDiv w:val="1"/>
      <w:marLeft w:val="0"/>
      <w:marRight w:val="0"/>
      <w:marTop w:val="0"/>
      <w:marBottom w:val="0"/>
      <w:divBdr>
        <w:top w:val="none" w:sz="0" w:space="0" w:color="auto"/>
        <w:left w:val="none" w:sz="0" w:space="0" w:color="auto"/>
        <w:bottom w:val="none" w:sz="0" w:space="0" w:color="auto"/>
        <w:right w:val="none" w:sz="0" w:space="0" w:color="auto"/>
      </w:divBdr>
    </w:div>
    <w:div w:id="90662073">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08247027">
      <w:bodyDiv w:val="1"/>
      <w:marLeft w:val="0"/>
      <w:marRight w:val="0"/>
      <w:marTop w:val="0"/>
      <w:marBottom w:val="0"/>
      <w:divBdr>
        <w:top w:val="none" w:sz="0" w:space="0" w:color="auto"/>
        <w:left w:val="none" w:sz="0" w:space="0" w:color="auto"/>
        <w:bottom w:val="none" w:sz="0" w:space="0" w:color="auto"/>
        <w:right w:val="none" w:sz="0" w:space="0" w:color="auto"/>
      </w:divBdr>
    </w:div>
    <w:div w:id="313683817">
      <w:bodyDiv w:val="1"/>
      <w:marLeft w:val="0"/>
      <w:marRight w:val="0"/>
      <w:marTop w:val="0"/>
      <w:marBottom w:val="0"/>
      <w:divBdr>
        <w:top w:val="none" w:sz="0" w:space="0" w:color="auto"/>
        <w:left w:val="none" w:sz="0" w:space="0" w:color="auto"/>
        <w:bottom w:val="none" w:sz="0" w:space="0" w:color="auto"/>
        <w:right w:val="none" w:sz="0" w:space="0" w:color="auto"/>
      </w:divBdr>
    </w:div>
    <w:div w:id="357395926">
      <w:bodyDiv w:val="1"/>
      <w:marLeft w:val="0"/>
      <w:marRight w:val="0"/>
      <w:marTop w:val="0"/>
      <w:marBottom w:val="0"/>
      <w:divBdr>
        <w:top w:val="none" w:sz="0" w:space="0" w:color="auto"/>
        <w:left w:val="none" w:sz="0" w:space="0" w:color="auto"/>
        <w:bottom w:val="none" w:sz="0" w:space="0" w:color="auto"/>
        <w:right w:val="none" w:sz="0" w:space="0" w:color="auto"/>
      </w:divBdr>
    </w:div>
    <w:div w:id="358050125">
      <w:bodyDiv w:val="1"/>
      <w:marLeft w:val="0"/>
      <w:marRight w:val="0"/>
      <w:marTop w:val="0"/>
      <w:marBottom w:val="0"/>
      <w:divBdr>
        <w:top w:val="none" w:sz="0" w:space="0" w:color="auto"/>
        <w:left w:val="none" w:sz="0" w:space="0" w:color="auto"/>
        <w:bottom w:val="none" w:sz="0" w:space="0" w:color="auto"/>
        <w:right w:val="none" w:sz="0" w:space="0" w:color="auto"/>
      </w:divBdr>
    </w:div>
    <w:div w:id="393357931">
      <w:bodyDiv w:val="1"/>
      <w:marLeft w:val="0"/>
      <w:marRight w:val="0"/>
      <w:marTop w:val="0"/>
      <w:marBottom w:val="0"/>
      <w:divBdr>
        <w:top w:val="none" w:sz="0" w:space="0" w:color="auto"/>
        <w:left w:val="none" w:sz="0" w:space="0" w:color="auto"/>
        <w:bottom w:val="none" w:sz="0" w:space="0" w:color="auto"/>
        <w:right w:val="none" w:sz="0" w:space="0" w:color="auto"/>
      </w:divBdr>
    </w:div>
    <w:div w:id="666591767">
      <w:bodyDiv w:val="1"/>
      <w:marLeft w:val="0"/>
      <w:marRight w:val="0"/>
      <w:marTop w:val="0"/>
      <w:marBottom w:val="0"/>
      <w:divBdr>
        <w:top w:val="none" w:sz="0" w:space="0" w:color="auto"/>
        <w:left w:val="none" w:sz="0" w:space="0" w:color="auto"/>
        <w:bottom w:val="none" w:sz="0" w:space="0" w:color="auto"/>
        <w:right w:val="none" w:sz="0" w:space="0" w:color="auto"/>
      </w:divBdr>
    </w:div>
    <w:div w:id="668139739">
      <w:bodyDiv w:val="1"/>
      <w:marLeft w:val="0"/>
      <w:marRight w:val="0"/>
      <w:marTop w:val="0"/>
      <w:marBottom w:val="0"/>
      <w:divBdr>
        <w:top w:val="none" w:sz="0" w:space="0" w:color="auto"/>
        <w:left w:val="none" w:sz="0" w:space="0" w:color="auto"/>
        <w:bottom w:val="none" w:sz="0" w:space="0" w:color="auto"/>
        <w:right w:val="none" w:sz="0" w:space="0" w:color="auto"/>
      </w:divBdr>
    </w:div>
    <w:div w:id="810514147">
      <w:bodyDiv w:val="1"/>
      <w:marLeft w:val="0"/>
      <w:marRight w:val="0"/>
      <w:marTop w:val="0"/>
      <w:marBottom w:val="0"/>
      <w:divBdr>
        <w:top w:val="none" w:sz="0" w:space="0" w:color="auto"/>
        <w:left w:val="none" w:sz="0" w:space="0" w:color="auto"/>
        <w:bottom w:val="none" w:sz="0" w:space="0" w:color="auto"/>
        <w:right w:val="none" w:sz="0" w:space="0" w:color="auto"/>
      </w:divBdr>
    </w:div>
    <w:div w:id="829298616">
      <w:bodyDiv w:val="1"/>
      <w:marLeft w:val="0"/>
      <w:marRight w:val="0"/>
      <w:marTop w:val="0"/>
      <w:marBottom w:val="0"/>
      <w:divBdr>
        <w:top w:val="none" w:sz="0" w:space="0" w:color="auto"/>
        <w:left w:val="none" w:sz="0" w:space="0" w:color="auto"/>
        <w:bottom w:val="none" w:sz="0" w:space="0" w:color="auto"/>
        <w:right w:val="none" w:sz="0" w:space="0" w:color="auto"/>
      </w:divBdr>
    </w:div>
    <w:div w:id="844050773">
      <w:bodyDiv w:val="1"/>
      <w:marLeft w:val="0"/>
      <w:marRight w:val="0"/>
      <w:marTop w:val="0"/>
      <w:marBottom w:val="0"/>
      <w:divBdr>
        <w:top w:val="none" w:sz="0" w:space="0" w:color="auto"/>
        <w:left w:val="none" w:sz="0" w:space="0" w:color="auto"/>
        <w:bottom w:val="none" w:sz="0" w:space="0" w:color="auto"/>
        <w:right w:val="none" w:sz="0" w:space="0" w:color="auto"/>
      </w:divBdr>
    </w:div>
    <w:div w:id="941763914">
      <w:bodyDiv w:val="1"/>
      <w:marLeft w:val="0"/>
      <w:marRight w:val="0"/>
      <w:marTop w:val="0"/>
      <w:marBottom w:val="0"/>
      <w:divBdr>
        <w:top w:val="none" w:sz="0" w:space="0" w:color="auto"/>
        <w:left w:val="none" w:sz="0" w:space="0" w:color="auto"/>
        <w:bottom w:val="none" w:sz="0" w:space="0" w:color="auto"/>
        <w:right w:val="none" w:sz="0" w:space="0" w:color="auto"/>
      </w:divBdr>
    </w:div>
    <w:div w:id="943802147">
      <w:bodyDiv w:val="1"/>
      <w:marLeft w:val="0"/>
      <w:marRight w:val="0"/>
      <w:marTop w:val="0"/>
      <w:marBottom w:val="0"/>
      <w:divBdr>
        <w:top w:val="none" w:sz="0" w:space="0" w:color="auto"/>
        <w:left w:val="none" w:sz="0" w:space="0" w:color="auto"/>
        <w:bottom w:val="none" w:sz="0" w:space="0" w:color="auto"/>
        <w:right w:val="none" w:sz="0" w:space="0" w:color="auto"/>
      </w:divBdr>
    </w:div>
    <w:div w:id="1136605147">
      <w:bodyDiv w:val="1"/>
      <w:marLeft w:val="0"/>
      <w:marRight w:val="0"/>
      <w:marTop w:val="0"/>
      <w:marBottom w:val="0"/>
      <w:divBdr>
        <w:top w:val="none" w:sz="0" w:space="0" w:color="auto"/>
        <w:left w:val="none" w:sz="0" w:space="0" w:color="auto"/>
        <w:bottom w:val="none" w:sz="0" w:space="0" w:color="auto"/>
        <w:right w:val="none" w:sz="0" w:space="0" w:color="auto"/>
      </w:divBdr>
    </w:div>
    <w:div w:id="1216703338">
      <w:bodyDiv w:val="1"/>
      <w:marLeft w:val="0"/>
      <w:marRight w:val="0"/>
      <w:marTop w:val="0"/>
      <w:marBottom w:val="0"/>
      <w:divBdr>
        <w:top w:val="none" w:sz="0" w:space="0" w:color="auto"/>
        <w:left w:val="none" w:sz="0" w:space="0" w:color="auto"/>
        <w:bottom w:val="none" w:sz="0" w:space="0" w:color="auto"/>
        <w:right w:val="none" w:sz="0" w:space="0" w:color="auto"/>
      </w:divBdr>
    </w:div>
    <w:div w:id="1246107038">
      <w:bodyDiv w:val="1"/>
      <w:marLeft w:val="0"/>
      <w:marRight w:val="0"/>
      <w:marTop w:val="0"/>
      <w:marBottom w:val="0"/>
      <w:divBdr>
        <w:top w:val="none" w:sz="0" w:space="0" w:color="auto"/>
        <w:left w:val="none" w:sz="0" w:space="0" w:color="auto"/>
        <w:bottom w:val="none" w:sz="0" w:space="0" w:color="auto"/>
        <w:right w:val="none" w:sz="0" w:space="0" w:color="auto"/>
      </w:divBdr>
    </w:div>
    <w:div w:id="1272085106">
      <w:bodyDiv w:val="1"/>
      <w:marLeft w:val="0"/>
      <w:marRight w:val="0"/>
      <w:marTop w:val="0"/>
      <w:marBottom w:val="0"/>
      <w:divBdr>
        <w:top w:val="none" w:sz="0" w:space="0" w:color="auto"/>
        <w:left w:val="none" w:sz="0" w:space="0" w:color="auto"/>
        <w:bottom w:val="none" w:sz="0" w:space="0" w:color="auto"/>
        <w:right w:val="none" w:sz="0" w:space="0" w:color="auto"/>
      </w:divBdr>
    </w:div>
    <w:div w:id="1422600018">
      <w:bodyDiv w:val="1"/>
      <w:marLeft w:val="0"/>
      <w:marRight w:val="0"/>
      <w:marTop w:val="0"/>
      <w:marBottom w:val="0"/>
      <w:divBdr>
        <w:top w:val="none" w:sz="0" w:space="0" w:color="auto"/>
        <w:left w:val="none" w:sz="0" w:space="0" w:color="auto"/>
        <w:bottom w:val="none" w:sz="0" w:space="0" w:color="auto"/>
        <w:right w:val="none" w:sz="0" w:space="0" w:color="auto"/>
      </w:divBdr>
    </w:div>
    <w:div w:id="1582179886">
      <w:bodyDiv w:val="1"/>
      <w:marLeft w:val="0"/>
      <w:marRight w:val="0"/>
      <w:marTop w:val="0"/>
      <w:marBottom w:val="0"/>
      <w:divBdr>
        <w:top w:val="none" w:sz="0" w:space="0" w:color="auto"/>
        <w:left w:val="none" w:sz="0" w:space="0" w:color="auto"/>
        <w:bottom w:val="none" w:sz="0" w:space="0" w:color="auto"/>
        <w:right w:val="none" w:sz="0" w:space="0" w:color="auto"/>
      </w:divBdr>
    </w:div>
    <w:div w:id="1627541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tomas.raskevicius@lygybe.lt" TargetMode="External"/><Relationship Id="rId4" Type="http://schemas.openxmlformats.org/officeDocument/2006/relationships/settings" Target="settings.xml"/><Relationship Id="rId9" Type="http://schemas.openxmlformats.org/officeDocument/2006/relationships/hyperlink" Target="http://www.lygybe.lt"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e-tar.lt/portal/lt/legalAct/aba30e70103211e9a5eaf2cd290f1944" TargetMode="External"/><Relationship Id="rId13" Type="http://schemas.openxmlformats.org/officeDocument/2006/relationships/hyperlink" Target="https://e-seimas.lrs.lt/portal/legalAct/lt/TAD/77e85e12ff6f11e89b04a534c5aaf5ce?jfwid=-470lijc7q" TargetMode="External"/><Relationship Id="rId18" Type="http://schemas.openxmlformats.org/officeDocument/2006/relationships/hyperlink" Target="http://alkas.lt/wp-content/uploads/2018/03/deklaracija.pdf" TargetMode="External"/><Relationship Id="rId3" Type="http://schemas.openxmlformats.org/officeDocument/2006/relationships/hyperlink" Target="https://e-seimas.lrs.lt/portal/legalAct/lt/TAP/96f31cf082b411e98a8298567570d639" TargetMode="External"/><Relationship Id="rId21" Type="http://schemas.openxmlformats.org/officeDocument/2006/relationships/hyperlink" Target="https://e-seimas.lrs.lt/portal/legalAct/lt/TAP/7a5b5ec06e4411e89bb0cb50d0500eab?positionInSearchResults=1&amp;searchModelUUID=16e06f5f-2078-41c7-9805-ed4316740c09" TargetMode="External"/><Relationship Id="rId7" Type="http://schemas.openxmlformats.org/officeDocument/2006/relationships/hyperlink" Target="https://www.e-tar.lt/portal/lt/legalAct/dc012450b1ca11e48296d11f563abfb0" TargetMode="External"/><Relationship Id="rId12" Type="http://schemas.openxmlformats.org/officeDocument/2006/relationships/hyperlink" Target="https://www.lygybe.lt/lt/projektaiprojektai" TargetMode="External"/><Relationship Id="rId17" Type="http://schemas.openxmlformats.org/officeDocument/2006/relationships/hyperlink" Target="https://www.coe.int/fr/web/conventions/full-list/-/conventions/rms/090000168008482e" TargetMode="External"/><Relationship Id="rId2" Type="http://schemas.openxmlformats.org/officeDocument/2006/relationships/hyperlink" Target="https://e-seimas.lrs.lt/portal/legalAct/lt/TAD/TAIS.222522/ZomTdZpPUx" TargetMode="External"/><Relationship Id="rId16" Type="http://schemas.openxmlformats.org/officeDocument/2006/relationships/hyperlink" Target="https://lygybe.lt/lt/visuomenes-apklausa-iskreipti-lukesciai-moterims-gali-paskatinti-smurta" TargetMode="External"/><Relationship Id="rId20" Type="http://schemas.openxmlformats.org/officeDocument/2006/relationships/hyperlink" Target="https://www.lrs.lt/sip/portal.show?p_r=15275&amp;p_k=1&amp;p_a=sale_bals&amp;p_bals_id=-28649" TargetMode="External"/><Relationship Id="rId1" Type="http://schemas.openxmlformats.org/officeDocument/2006/relationships/hyperlink" Target="https://www.e-tar.lt/portal/lt/legalAct/TAR.746227138BCB/FLcEVzJmSQ" TargetMode="External"/><Relationship Id="rId6" Type="http://schemas.openxmlformats.org/officeDocument/2006/relationships/hyperlink" Target="https://www.ohchr.org/Documents/HRBodies/CEDAW/Statements/StatementOnNHRIs.pdf" TargetMode="External"/><Relationship Id="rId11" Type="http://schemas.openxmlformats.org/officeDocument/2006/relationships/hyperlink" Target="http://docstore.ohchr.org/SelfServices/FilesHandler.ashx?enc=6QkG1d%2fPPRiCAqhKb7yhsvxlfhYepfIYmW0eRMA3oVtFpVnhvVGN%2fu2GT3aQrqeUj5G1U2sZHvrIBvKKM%2fQOdsL%2bHyQ2QCyRnp9wezXUpvut%2bhoEQJV57MHLlLjEOIT3" TargetMode="External"/><Relationship Id="rId24" Type="http://schemas.openxmlformats.org/officeDocument/2006/relationships/hyperlink" Target="https://www.mokykla2030.lt/wp-content/uploads/2019/08/Bendruju-programu-atnaujinimo-gaires.-Projektas-2019-08-21.pdf" TargetMode="External"/><Relationship Id="rId5" Type="http://schemas.openxmlformats.org/officeDocument/2006/relationships/hyperlink" Target="http://docstore.ohchr.org/SelfServices/FilesHandler.ashx?enc=6QkG1d%2fPPRiCAqhKb7yhsvxlfhYepfIYmW0eRMA3oVtP%2bHgelJb66OxyoqiAHydk3FVUtInAnWQ%2fcDrwPjoxq1qcNUWHk%2bfSb19zUdBDl%2b7YcLHdt9RFjR6hTjdZfO59" TargetMode="External"/><Relationship Id="rId15" Type="http://schemas.openxmlformats.org/officeDocument/2006/relationships/hyperlink" Target="https://e-seimas.lrs.lt/portal/legalAct/lt/TAK/ed648e00e99111e89d4ad92e8434e309?positionInSearchResults=54&amp;searchModelUUID=109d2bd2-2740-41a9-a264-34d5d6762d60" TargetMode="External"/><Relationship Id="rId23" Type="http://schemas.openxmlformats.org/officeDocument/2006/relationships/hyperlink" Target="https://www.mokykla2030.lt" TargetMode="External"/><Relationship Id="rId10" Type="http://schemas.openxmlformats.org/officeDocument/2006/relationships/hyperlink" Target="http://lygybe.lt/data/public/uploads/2018/12/nepriklausoma-apzvalga-2018.pdf" TargetMode="External"/><Relationship Id="rId19" Type="http://schemas.openxmlformats.org/officeDocument/2006/relationships/hyperlink" Target="https://e-seimas.lrs.lt/portal/legalAct/lt/TAP/82397160281f11e883caab1e5c7c4854" TargetMode="External"/><Relationship Id="rId4" Type="http://schemas.openxmlformats.org/officeDocument/2006/relationships/hyperlink" Target="https://e-seimas.lrs.lt/portal/legalAct/lt/TAD/196bcda2a74b11e68987e8320e9a5185?jfwid=i0s9d01kt" TargetMode="External"/><Relationship Id="rId9" Type="http://schemas.openxmlformats.org/officeDocument/2006/relationships/hyperlink" Target="https://e-seimas.lrs.lt/portal/legalAct/lt/TAD/TAIS.96766/EqrhsiqNQI" TargetMode="External"/><Relationship Id="rId14" Type="http://schemas.openxmlformats.org/officeDocument/2006/relationships/hyperlink" Target="https://lygybe.lt/en/news/new-commission-for-the-monitoring-of-the-rights-of-persons-with-disabilities-starts-its-work/1134" TargetMode="External"/><Relationship Id="rId22" Type="http://schemas.openxmlformats.org/officeDocument/2006/relationships/hyperlink" Target="https://lygybe.lt/data/public/uploads/2019/07/d1_vadoveliu-ir-kitu-mokymossi-priemoniu-vertinimo-lyciu-aspektu-apzvalga-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E7029-7F56-904B-9AC4-7D854E19862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A2C0B00-FC7A-413D-B849-D2B4030C509A}"/>
</file>

<file path=customXml/itemProps3.xml><?xml version="1.0" encoding="utf-8"?>
<ds:datastoreItem xmlns:ds="http://schemas.openxmlformats.org/officeDocument/2006/customXml" ds:itemID="{C8D4B3F8-02EF-432D-BBB3-2CCAA99C762C}"/>
</file>

<file path=customXml/itemProps4.xml><?xml version="1.0" encoding="utf-8"?>
<ds:datastoreItem xmlns:ds="http://schemas.openxmlformats.org/officeDocument/2006/customXml" ds:itemID="{149A1F16-0D28-4C29-A1C3-827384E9D43A}"/>
</file>

<file path=docProps/app.xml><?xml version="1.0" encoding="utf-8"?>
<Properties xmlns="http://schemas.openxmlformats.org/officeDocument/2006/extended-properties" xmlns:vt="http://schemas.openxmlformats.org/officeDocument/2006/docPropsVTypes">
  <Template>Normal</Template>
  <TotalTime>33</TotalTime>
  <Pages>9</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20327</CharactersWithSpaces>
  <SharedDoc>false</SharedDoc>
  <HLinks>
    <vt:vector size="156" baseType="variant">
      <vt:variant>
        <vt:i4>2883657</vt:i4>
      </vt:variant>
      <vt:variant>
        <vt:i4>3</vt:i4>
      </vt:variant>
      <vt:variant>
        <vt:i4>0</vt:i4>
      </vt:variant>
      <vt:variant>
        <vt:i4>5</vt:i4>
      </vt:variant>
      <vt:variant>
        <vt:lpwstr>mailto:tomas.raskevicius@lygybe.lt</vt:lpwstr>
      </vt:variant>
      <vt:variant>
        <vt:lpwstr/>
      </vt:variant>
      <vt:variant>
        <vt:i4>1572953</vt:i4>
      </vt:variant>
      <vt:variant>
        <vt:i4>0</vt:i4>
      </vt:variant>
      <vt:variant>
        <vt:i4>0</vt:i4>
      </vt:variant>
      <vt:variant>
        <vt:i4>5</vt:i4>
      </vt:variant>
      <vt:variant>
        <vt:lpwstr>http://www.lygybe.lt/</vt:lpwstr>
      </vt:variant>
      <vt:variant>
        <vt:lpwstr/>
      </vt:variant>
      <vt:variant>
        <vt:i4>1507335</vt:i4>
      </vt:variant>
      <vt:variant>
        <vt:i4>69</vt:i4>
      </vt:variant>
      <vt:variant>
        <vt:i4>0</vt:i4>
      </vt:variant>
      <vt:variant>
        <vt:i4>5</vt:i4>
      </vt:variant>
      <vt:variant>
        <vt:lpwstr>https://www.mokykla2030.lt/wp-content/uploads/2019/08/Bendruju-programu-atnaujinimo-gaires.-Projektas-2019-08-21.pdf</vt:lpwstr>
      </vt:variant>
      <vt:variant>
        <vt:lpwstr/>
      </vt:variant>
      <vt:variant>
        <vt:i4>6881312</vt:i4>
      </vt:variant>
      <vt:variant>
        <vt:i4>66</vt:i4>
      </vt:variant>
      <vt:variant>
        <vt:i4>0</vt:i4>
      </vt:variant>
      <vt:variant>
        <vt:i4>5</vt:i4>
      </vt:variant>
      <vt:variant>
        <vt:lpwstr>https://www.mokykla2030.lt/</vt:lpwstr>
      </vt:variant>
      <vt:variant>
        <vt:lpwstr/>
      </vt:variant>
      <vt:variant>
        <vt:i4>1704038</vt:i4>
      </vt:variant>
      <vt:variant>
        <vt:i4>63</vt:i4>
      </vt:variant>
      <vt:variant>
        <vt:i4>0</vt:i4>
      </vt:variant>
      <vt:variant>
        <vt:i4>5</vt:i4>
      </vt:variant>
      <vt:variant>
        <vt:lpwstr>https://lygybe.lt/data/public/uploads/2019/07/d1_vadoveliu-ir-kitu-mokymossi-priemoniu-vertinimo-lyciu-aspektu-apzvalga-2019.pdf</vt:lpwstr>
      </vt:variant>
      <vt:variant>
        <vt:lpwstr/>
      </vt:variant>
      <vt:variant>
        <vt:i4>4128889</vt:i4>
      </vt:variant>
      <vt:variant>
        <vt:i4>60</vt:i4>
      </vt:variant>
      <vt:variant>
        <vt:i4>0</vt:i4>
      </vt:variant>
      <vt:variant>
        <vt:i4>5</vt:i4>
      </vt:variant>
      <vt:variant>
        <vt:lpwstr>https://e-seimas.lrs.lt/portal/legalAct/lt/TAP/7a5b5ec06e4411e89bb0cb50d0500eab?positionInSearchResults=1&amp;searchModelUUID=16e06f5f-2078-41c7-9805-ed4316740c09</vt:lpwstr>
      </vt:variant>
      <vt:variant>
        <vt:lpwstr/>
      </vt:variant>
      <vt:variant>
        <vt:i4>524383</vt:i4>
      </vt:variant>
      <vt:variant>
        <vt:i4>57</vt:i4>
      </vt:variant>
      <vt:variant>
        <vt:i4>0</vt:i4>
      </vt:variant>
      <vt:variant>
        <vt:i4>5</vt:i4>
      </vt:variant>
      <vt:variant>
        <vt:lpwstr>https://www.lrs.lt/sip/portal.show?p_r=15275&amp;p_k=1&amp;p_a=sale_bals&amp;p_bals_id=-28649</vt:lpwstr>
      </vt:variant>
      <vt:variant>
        <vt:lpwstr/>
      </vt:variant>
      <vt:variant>
        <vt:i4>6422584</vt:i4>
      </vt:variant>
      <vt:variant>
        <vt:i4>54</vt:i4>
      </vt:variant>
      <vt:variant>
        <vt:i4>0</vt:i4>
      </vt:variant>
      <vt:variant>
        <vt:i4>5</vt:i4>
      </vt:variant>
      <vt:variant>
        <vt:lpwstr>https://e-seimas.lrs.lt/portal/legalAct/lt/TAP/82397160281f11e883caab1e5c7c4854</vt:lpwstr>
      </vt:variant>
      <vt:variant>
        <vt:lpwstr/>
      </vt:variant>
      <vt:variant>
        <vt:i4>7864357</vt:i4>
      </vt:variant>
      <vt:variant>
        <vt:i4>51</vt:i4>
      </vt:variant>
      <vt:variant>
        <vt:i4>0</vt:i4>
      </vt:variant>
      <vt:variant>
        <vt:i4>5</vt:i4>
      </vt:variant>
      <vt:variant>
        <vt:lpwstr>http://alkas.lt/wp-content/uploads/2018/03/deklaracija.pdf</vt:lpwstr>
      </vt:variant>
      <vt:variant>
        <vt:lpwstr/>
      </vt:variant>
      <vt:variant>
        <vt:i4>3538979</vt:i4>
      </vt:variant>
      <vt:variant>
        <vt:i4>48</vt:i4>
      </vt:variant>
      <vt:variant>
        <vt:i4>0</vt:i4>
      </vt:variant>
      <vt:variant>
        <vt:i4>5</vt:i4>
      </vt:variant>
      <vt:variant>
        <vt:lpwstr>https://www.coe.int/fr/web/conventions/full-list/-/conventions/rms/090000168008482e</vt:lpwstr>
      </vt:variant>
      <vt:variant>
        <vt:lpwstr/>
      </vt:variant>
      <vt:variant>
        <vt:i4>589914</vt:i4>
      </vt:variant>
      <vt:variant>
        <vt:i4>45</vt:i4>
      </vt:variant>
      <vt:variant>
        <vt:i4>0</vt:i4>
      </vt:variant>
      <vt:variant>
        <vt:i4>5</vt:i4>
      </vt:variant>
      <vt:variant>
        <vt:lpwstr>https://lygybe.lt/lt/visuomenes-apklausa-iskreipti-lukesciai-moterims-gali-paskatinti-smurta</vt:lpwstr>
      </vt:variant>
      <vt:variant>
        <vt:lpwstr/>
      </vt:variant>
      <vt:variant>
        <vt:i4>3604542</vt:i4>
      </vt:variant>
      <vt:variant>
        <vt:i4>42</vt:i4>
      </vt:variant>
      <vt:variant>
        <vt:i4>0</vt:i4>
      </vt:variant>
      <vt:variant>
        <vt:i4>5</vt:i4>
      </vt:variant>
      <vt:variant>
        <vt:lpwstr>https://e-seimas.lrs.lt/portal/legalAct/lt/TAK/ed648e00e99111e89d4ad92e8434e309?positionInSearchResults=54&amp;searchModelUUID=109d2bd2-2740-41a9-a264-34d5d6762d60</vt:lpwstr>
      </vt:variant>
      <vt:variant>
        <vt:lpwstr/>
      </vt:variant>
      <vt:variant>
        <vt:i4>7929906</vt:i4>
      </vt:variant>
      <vt:variant>
        <vt:i4>39</vt:i4>
      </vt:variant>
      <vt:variant>
        <vt:i4>0</vt:i4>
      </vt:variant>
      <vt:variant>
        <vt:i4>5</vt:i4>
      </vt:variant>
      <vt:variant>
        <vt:lpwstr>https://lygybe.lt/en/news/new-commission-for-the-monitoring-of-the-rights-of-persons-with-disabilities-starts-its-work/1134</vt:lpwstr>
      </vt:variant>
      <vt:variant>
        <vt:lpwstr/>
      </vt:variant>
      <vt:variant>
        <vt:i4>6226008</vt:i4>
      </vt:variant>
      <vt:variant>
        <vt:i4>36</vt:i4>
      </vt:variant>
      <vt:variant>
        <vt:i4>0</vt:i4>
      </vt:variant>
      <vt:variant>
        <vt:i4>5</vt:i4>
      </vt:variant>
      <vt:variant>
        <vt:lpwstr>https://e-seimas.lrs.lt/portal/legalAct/lt/TAD/77e85e12ff6f11e89b04a534c5aaf5ce?jfwid=-470lijc7q</vt:lpwstr>
      </vt:variant>
      <vt:variant>
        <vt:lpwstr/>
      </vt:variant>
      <vt:variant>
        <vt:i4>7274540</vt:i4>
      </vt:variant>
      <vt:variant>
        <vt:i4>33</vt:i4>
      </vt:variant>
      <vt:variant>
        <vt:i4>0</vt:i4>
      </vt:variant>
      <vt:variant>
        <vt:i4>5</vt:i4>
      </vt:variant>
      <vt:variant>
        <vt:lpwstr>https://www.lygybe.lt/lt/projektaiprojektai</vt:lpwstr>
      </vt:variant>
      <vt:variant>
        <vt:lpwstr/>
      </vt:variant>
      <vt:variant>
        <vt:i4>7471218</vt:i4>
      </vt:variant>
      <vt:variant>
        <vt:i4>30</vt:i4>
      </vt:variant>
      <vt:variant>
        <vt:i4>0</vt:i4>
      </vt:variant>
      <vt:variant>
        <vt:i4>5</vt:i4>
      </vt:variant>
      <vt:variant>
        <vt:lpwstr>http://docstore.ohchr.org/SelfServices/FilesHandler.ashx?enc=6QkG1d%2fPPRiCAqhKb7yhsvxlfhYepfIYmW0eRMA3oVtFpVnhvVGN%2fu2GT3aQrqeUj5G1U2sZHvrIBvKKM%2fQOdsL%2bHyQ2QCyRnp9wezXUpvut%2bhoEQJV57MHLlLjEOIT3</vt:lpwstr>
      </vt:variant>
      <vt:variant>
        <vt:lpwstr/>
      </vt:variant>
      <vt:variant>
        <vt:i4>393301</vt:i4>
      </vt:variant>
      <vt:variant>
        <vt:i4>27</vt:i4>
      </vt:variant>
      <vt:variant>
        <vt:i4>0</vt:i4>
      </vt:variant>
      <vt:variant>
        <vt:i4>5</vt:i4>
      </vt:variant>
      <vt:variant>
        <vt:lpwstr>http://lygybe.lt/data/public/uploads/2018/12/nepriklausoma-apzvalga-2018.pdf</vt:lpwstr>
      </vt:variant>
      <vt:variant>
        <vt:lpwstr/>
      </vt:variant>
      <vt:variant>
        <vt:i4>4718662</vt:i4>
      </vt:variant>
      <vt:variant>
        <vt:i4>24</vt:i4>
      </vt:variant>
      <vt:variant>
        <vt:i4>0</vt:i4>
      </vt:variant>
      <vt:variant>
        <vt:i4>5</vt:i4>
      </vt:variant>
      <vt:variant>
        <vt:lpwstr>https://e-seimas.lrs.lt/portal/legalAct/lt/TAD/TAIS.96766/EqrhsiqNQI</vt:lpwstr>
      </vt:variant>
      <vt:variant>
        <vt:lpwstr/>
      </vt:variant>
      <vt:variant>
        <vt:i4>1245202</vt:i4>
      </vt:variant>
      <vt:variant>
        <vt:i4>21</vt:i4>
      </vt:variant>
      <vt:variant>
        <vt:i4>0</vt:i4>
      </vt:variant>
      <vt:variant>
        <vt:i4>5</vt:i4>
      </vt:variant>
      <vt:variant>
        <vt:lpwstr>https://www.e-tar.lt/portal/lt/legalAct/aba30e70103211e9a5eaf2cd290f1944</vt:lpwstr>
      </vt:variant>
      <vt:variant>
        <vt:lpwstr/>
      </vt:variant>
      <vt:variant>
        <vt:i4>1835025</vt:i4>
      </vt:variant>
      <vt:variant>
        <vt:i4>18</vt:i4>
      </vt:variant>
      <vt:variant>
        <vt:i4>0</vt:i4>
      </vt:variant>
      <vt:variant>
        <vt:i4>5</vt:i4>
      </vt:variant>
      <vt:variant>
        <vt:lpwstr>https://www.e-tar.lt/portal/lt/legalAct/dc012450b1ca11e48296d11f563abfb0</vt:lpwstr>
      </vt:variant>
      <vt:variant>
        <vt:lpwstr/>
      </vt:variant>
      <vt:variant>
        <vt:i4>3407997</vt:i4>
      </vt:variant>
      <vt:variant>
        <vt:i4>15</vt:i4>
      </vt:variant>
      <vt:variant>
        <vt:i4>0</vt:i4>
      </vt:variant>
      <vt:variant>
        <vt:i4>5</vt:i4>
      </vt:variant>
      <vt:variant>
        <vt:lpwstr>https://www.ohchr.org/Documents/HRBodies/CEDAW/Statements/StatementOnNHRIs.pdf</vt:lpwstr>
      </vt:variant>
      <vt:variant>
        <vt:lpwstr/>
      </vt:variant>
      <vt:variant>
        <vt:i4>3539046</vt:i4>
      </vt:variant>
      <vt:variant>
        <vt:i4>12</vt:i4>
      </vt:variant>
      <vt:variant>
        <vt:i4>0</vt:i4>
      </vt:variant>
      <vt:variant>
        <vt:i4>5</vt:i4>
      </vt:variant>
      <vt:variant>
        <vt:lpwstr>http://docstore.ohchr.org/SelfServices/FilesHandler.ashx?enc=6QkG1d%2fPPRiCAqhKb7yhsvxlfhYepfIYmW0eRMA3oVtP%2bHgelJb66OxyoqiAHydk3FVUtInAnWQ%2fcDrwPjoxq1qcNUWHk%2bfSb19zUdBDl%2b7YcLHdt9RFjR6hTjdZfO59</vt:lpwstr>
      </vt:variant>
      <vt:variant>
        <vt:lpwstr/>
      </vt:variant>
      <vt:variant>
        <vt:i4>2752613</vt:i4>
      </vt:variant>
      <vt:variant>
        <vt:i4>9</vt:i4>
      </vt:variant>
      <vt:variant>
        <vt:i4>0</vt:i4>
      </vt:variant>
      <vt:variant>
        <vt:i4>5</vt:i4>
      </vt:variant>
      <vt:variant>
        <vt:lpwstr>https://e-seimas.lrs.lt/portal/legalAct/lt/TAD/196bcda2a74b11e68987e8320e9a5185?jfwid=i0s9d01kt</vt:lpwstr>
      </vt:variant>
      <vt:variant>
        <vt:lpwstr/>
      </vt:variant>
      <vt:variant>
        <vt:i4>6946878</vt:i4>
      </vt:variant>
      <vt:variant>
        <vt:i4>6</vt:i4>
      </vt:variant>
      <vt:variant>
        <vt:i4>0</vt:i4>
      </vt:variant>
      <vt:variant>
        <vt:i4>5</vt:i4>
      </vt:variant>
      <vt:variant>
        <vt:lpwstr>https://e-seimas.lrs.lt/portal/legalAct/lt/TAP/96f31cf082b411e98a8298567570d639</vt:lpwstr>
      </vt:variant>
      <vt:variant>
        <vt:lpwstr/>
      </vt:variant>
      <vt:variant>
        <vt:i4>5439510</vt:i4>
      </vt:variant>
      <vt:variant>
        <vt:i4>3</vt:i4>
      </vt:variant>
      <vt:variant>
        <vt:i4>0</vt:i4>
      </vt:variant>
      <vt:variant>
        <vt:i4>5</vt:i4>
      </vt:variant>
      <vt:variant>
        <vt:lpwstr>https://e-seimas.lrs.lt/portal/legalAct/lt/TAD/TAIS.222522/ZomTdZpPUx</vt:lpwstr>
      </vt:variant>
      <vt:variant>
        <vt:lpwstr/>
      </vt:variant>
      <vt:variant>
        <vt:i4>6946859</vt:i4>
      </vt:variant>
      <vt:variant>
        <vt:i4>0</vt:i4>
      </vt:variant>
      <vt:variant>
        <vt:i4>0</vt:i4>
      </vt:variant>
      <vt:variant>
        <vt:i4>5</vt:i4>
      </vt:variant>
      <vt:variant>
        <vt:lpwstr>https://www.e-tar.lt/portal/lt/legalAct/TAR.746227138BCB/FLcEVzJmSQ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Šarūnas Sodonis</cp:lastModifiedBy>
  <cp:revision>21</cp:revision>
  <cp:lastPrinted>2019-01-10T12:38:00Z</cp:lastPrinted>
  <dcterms:created xsi:type="dcterms:W3CDTF">2019-09-23T12:11:00Z</dcterms:created>
  <dcterms:modified xsi:type="dcterms:W3CDTF">2019-09-24T10:37:00Z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