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07B" w:rsidRDefault="00EC307B" w:rsidP="0082251D">
      <w:pPr>
        <w:spacing w:after="120"/>
        <w:rPr>
          <w:rFonts w:ascii="Cambria" w:eastAsia="Cambria" w:hAnsi="Cambria" w:cstheme="minorHAnsi"/>
          <w:sz w:val="24"/>
          <w:szCs w:val="24"/>
        </w:rPr>
      </w:pPr>
      <w:bookmarkStart w:id="0" w:name="_GoBack"/>
      <w:bookmarkEnd w:id="0"/>
    </w:p>
    <w:p w:rsidR="00EC307B" w:rsidRDefault="00EC307B" w:rsidP="0082251D">
      <w:pPr>
        <w:spacing w:after="120"/>
        <w:rPr>
          <w:rFonts w:ascii="Cambria" w:eastAsia="Cambria" w:hAnsi="Cambria" w:cstheme="minorHAnsi"/>
          <w:sz w:val="24"/>
          <w:szCs w:val="24"/>
        </w:rPr>
      </w:pPr>
    </w:p>
    <w:p w:rsidR="00FF1E7F" w:rsidRPr="00FF1E7F" w:rsidRDefault="00FF1E7F" w:rsidP="00FF1E7F">
      <w:pPr>
        <w:autoSpaceDE w:val="0"/>
        <w:autoSpaceDN w:val="0"/>
        <w:adjustRightInd w:val="0"/>
        <w:spacing w:after="0" w:line="276" w:lineRule="auto"/>
        <w:jc w:val="right"/>
        <w:rPr>
          <w:rFonts w:ascii="Times New Roman" w:eastAsia="Calibri" w:hAnsi="Times New Roman" w:cs="Times New Roman"/>
          <w:color w:val="000000"/>
          <w:sz w:val="24"/>
          <w:szCs w:val="26"/>
          <w:lang w:val="en-GB" w:eastAsia="en-US"/>
        </w:rPr>
      </w:pPr>
      <w:r w:rsidRPr="00FF1E7F">
        <w:rPr>
          <w:rFonts w:ascii="Times New Roman" w:eastAsia="Calibri" w:hAnsi="Times New Roman" w:cs="Times New Roman"/>
          <w:color w:val="000000"/>
          <w:sz w:val="24"/>
          <w:szCs w:val="26"/>
          <w:lang w:val="en-GB" w:eastAsia="en-US"/>
        </w:rPr>
        <w:t>Warsaw, 17</w:t>
      </w:r>
      <w:r w:rsidRPr="00FF1E7F">
        <w:rPr>
          <w:rFonts w:ascii="Times New Roman" w:eastAsia="Calibri" w:hAnsi="Times New Roman" w:cs="Times New Roman"/>
          <w:color w:val="000000"/>
          <w:sz w:val="24"/>
          <w:szCs w:val="26"/>
          <w:vertAlign w:val="superscript"/>
          <w:lang w:val="en-GB" w:eastAsia="en-US"/>
        </w:rPr>
        <w:t>th</w:t>
      </w:r>
      <w:r w:rsidRPr="00FF1E7F">
        <w:rPr>
          <w:rFonts w:ascii="Times New Roman" w:eastAsia="Calibri" w:hAnsi="Times New Roman" w:cs="Times New Roman"/>
          <w:color w:val="000000"/>
          <w:sz w:val="24"/>
          <w:szCs w:val="26"/>
          <w:lang w:val="en-GB" w:eastAsia="en-US"/>
        </w:rPr>
        <w:t xml:space="preserve"> January 2018</w:t>
      </w:r>
    </w:p>
    <w:p w:rsidR="00FF1E7F" w:rsidRPr="00FF1E7F" w:rsidRDefault="00FF1E7F" w:rsidP="00FF1E7F">
      <w:pPr>
        <w:autoSpaceDE w:val="0"/>
        <w:autoSpaceDN w:val="0"/>
        <w:adjustRightInd w:val="0"/>
        <w:spacing w:after="0" w:line="276" w:lineRule="auto"/>
        <w:jc w:val="right"/>
        <w:rPr>
          <w:rFonts w:ascii="Times New Roman" w:eastAsia="Calibri" w:hAnsi="Times New Roman" w:cs="Times New Roman"/>
          <w:color w:val="000000"/>
          <w:sz w:val="24"/>
          <w:szCs w:val="26"/>
          <w:lang w:val="en-GB" w:eastAsia="en-US"/>
        </w:rPr>
      </w:pP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b/>
          <w:bCs/>
          <w:color w:val="000000"/>
          <w:sz w:val="24"/>
          <w:szCs w:val="26"/>
          <w:lang w:val="en-GB" w:eastAsia="en-US"/>
        </w:rPr>
      </w:pP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b/>
          <w:bCs/>
          <w:color w:val="000000"/>
          <w:sz w:val="24"/>
          <w:szCs w:val="26"/>
          <w:lang w:val="en-GB" w:eastAsia="en-US"/>
        </w:rPr>
      </w:pP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b/>
          <w:bCs/>
          <w:color w:val="000000"/>
          <w:sz w:val="24"/>
          <w:szCs w:val="26"/>
          <w:lang w:val="en-GB" w:eastAsia="en-US"/>
        </w:rPr>
      </w:pP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color w:val="000000"/>
          <w:sz w:val="24"/>
          <w:szCs w:val="26"/>
          <w:lang w:val="en-GB" w:eastAsia="en-US"/>
        </w:rPr>
      </w:pPr>
      <w:r w:rsidRPr="00FF1E7F">
        <w:rPr>
          <w:rFonts w:ascii="Times New Roman" w:eastAsia="Calibri" w:hAnsi="Times New Roman" w:cs="Times New Roman"/>
          <w:b/>
          <w:bCs/>
          <w:color w:val="000000"/>
          <w:sz w:val="24"/>
          <w:szCs w:val="26"/>
          <w:lang w:val="en-GB" w:eastAsia="en-US"/>
        </w:rPr>
        <w:t xml:space="preserve">Honorable Member </w:t>
      </w: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color w:val="000000"/>
          <w:sz w:val="24"/>
          <w:szCs w:val="26"/>
          <w:lang w:val="en-GB" w:eastAsia="en-US"/>
        </w:rPr>
      </w:pPr>
      <w:r w:rsidRPr="00FF1E7F">
        <w:rPr>
          <w:rFonts w:ascii="Times New Roman" w:eastAsia="Calibri" w:hAnsi="Times New Roman" w:cs="Times New Roman"/>
          <w:b/>
          <w:bCs/>
          <w:color w:val="000000"/>
          <w:sz w:val="24"/>
          <w:szCs w:val="26"/>
          <w:lang w:val="en-GB" w:eastAsia="en-US"/>
        </w:rPr>
        <w:t xml:space="preserve">Human Rights Committee </w:t>
      </w: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color w:val="000000"/>
          <w:sz w:val="24"/>
          <w:szCs w:val="26"/>
          <w:lang w:val="en-GB" w:eastAsia="en-US"/>
        </w:rPr>
      </w:pPr>
    </w:p>
    <w:p w:rsidR="00FF1E7F" w:rsidRPr="00FF1E7F" w:rsidRDefault="00FF1E7F" w:rsidP="00FF1E7F">
      <w:pPr>
        <w:autoSpaceDE w:val="0"/>
        <w:autoSpaceDN w:val="0"/>
        <w:adjustRightInd w:val="0"/>
        <w:spacing w:after="0" w:line="276" w:lineRule="auto"/>
        <w:ind w:left="6372"/>
        <w:rPr>
          <w:rFonts w:ascii="Times New Roman" w:eastAsia="Calibri" w:hAnsi="Times New Roman" w:cs="Times New Roman"/>
          <w:color w:val="000000"/>
          <w:sz w:val="24"/>
          <w:szCs w:val="26"/>
          <w:lang w:val="en-GB" w:eastAsia="en-US"/>
        </w:rPr>
      </w:pPr>
    </w:p>
    <w:p w:rsidR="00FF1E7F" w:rsidRPr="00FF1E7F" w:rsidRDefault="00FF1E7F" w:rsidP="00FF1E7F">
      <w:pPr>
        <w:autoSpaceDE w:val="0"/>
        <w:autoSpaceDN w:val="0"/>
        <w:adjustRightInd w:val="0"/>
        <w:spacing w:after="0" w:line="276" w:lineRule="auto"/>
        <w:rPr>
          <w:rFonts w:ascii="Times New Roman" w:eastAsia="Calibri" w:hAnsi="Times New Roman" w:cs="Times New Roman"/>
          <w:b/>
          <w:bCs/>
          <w:i/>
          <w:iCs/>
          <w:color w:val="000000"/>
          <w:sz w:val="24"/>
          <w:szCs w:val="26"/>
          <w:lang w:val="en-GB" w:eastAsia="en-US"/>
        </w:rPr>
      </w:pPr>
    </w:p>
    <w:p w:rsidR="00FF1E7F" w:rsidRPr="00FF1E7F" w:rsidRDefault="00FF1E7F" w:rsidP="00FF1E7F">
      <w:pPr>
        <w:autoSpaceDE w:val="0"/>
        <w:autoSpaceDN w:val="0"/>
        <w:adjustRightInd w:val="0"/>
        <w:spacing w:after="0" w:line="276" w:lineRule="auto"/>
        <w:rPr>
          <w:rFonts w:ascii="Times New Roman" w:eastAsia="Calibri" w:hAnsi="Times New Roman" w:cs="Times New Roman"/>
          <w:b/>
          <w:bCs/>
          <w:i/>
          <w:iCs/>
          <w:color w:val="000000"/>
          <w:sz w:val="24"/>
          <w:szCs w:val="26"/>
          <w:lang w:val="en-GB" w:eastAsia="en-US"/>
        </w:rPr>
      </w:pPr>
    </w:p>
    <w:p w:rsidR="00FF1E7F" w:rsidRPr="00FF1E7F" w:rsidRDefault="00FF1E7F" w:rsidP="00FF1E7F">
      <w:pPr>
        <w:autoSpaceDE w:val="0"/>
        <w:autoSpaceDN w:val="0"/>
        <w:adjustRightInd w:val="0"/>
        <w:spacing w:after="0" w:line="276" w:lineRule="auto"/>
        <w:rPr>
          <w:rFonts w:ascii="Times New Roman" w:eastAsia="Calibri" w:hAnsi="Times New Roman" w:cs="Times New Roman"/>
          <w:b/>
          <w:bCs/>
          <w:i/>
          <w:iCs/>
          <w:color w:val="000000"/>
          <w:sz w:val="24"/>
          <w:szCs w:val="26"/>
          <w:lang w:val="en-GB" w:eastAsia="en-US"/>
        </w:rPr>
      </w:pPr>
      <w:r w:rsidRPr="00FF1E7F">
        <w:rPr>
          <w:rFonts w:ascii="Times New Roman" w:eastAsia="Calibri" w:hAnsi="Times New Roman" w:cs="Times New Roman"/>
          <w:b/>
          <w:bCs/>
          <w:i/>
          <w:iCs/>
          <w:color w:val="000000"/>
          <w:sz w:val="24"/>
          <w:szCs w:val="26"/>
          <w:lang w:val="en-GB" w:eastAsia="en-US"/>
        </w:rPr>
        <w:t xml:space="preserve">Dear Madam or Sir, Member of the United Nation Human Rights Committee, </w:t>
      </w:r>
    </w:p>
    <w:p w:rsidR="00FF1E7F" w:rsidRPr="00FF1E7F" w:rsidRDefault="00FF1E7F" w:rsidP="00FF1E7F">
      <w:pPr>
        <w:autoSpaceDE w:val="0"/>
        <w:autoSpaceDN w:val="0"/>
        <w:adjustRightInd w:val="0"/>
        <w:spacing w:after="0" w:line="276" w:lineRule="auto"/>
        <w:rPr>
          <w:rFonts w:ascii="Times New Roman" w:eastAsia="Calibri" w:hAnsi="Times New Roman" w:cs="Times New Roman"/>
          <w:color w:val="000000"/>
          <w:sz w:val="24"/>
          <w:szCs w:val="26"/>
          <w:lang w:val="en-GB" w:eastAsia="en-US"/>
        </w:rPr>
      </w:pPr>
    </w:p>
    <w:p w:rsidR="00FF1E7F" w:rsidRPr="00FF1E7F" w:rsidRDefault="00FF1E7F" w:rsidP="00FF1E7F">
      <w:pPr>
        <w:autoSpaceDE w:val="0"/>
        <w:autoSpaceDN w:val="0"/>
        <w:adjustRightInd w:val="0"/>
        <w:spacing w:after="0" w:line="276" w:lineRule="auto"/>
        <w:jc w:val="both"/>
        <w:rPr>
          <w:rFonts w:ascii="Times New Roman" w:eastAsia="Calibri" w:hAnsi="Times New Roman" w:cs="Times New Roman"/>
          <w:color w:val="000000"/>
          <w:sz w:val="24"/>
          <w:szCs w:val="26"/>
          <w:lang w:val="en-US" w:eastAsia="en-US"/>
        </w:rPr>
      </w:pPr>
      <w:r w:rsidRPr="00FF1E7F">
        <w:rPr>
          <w:rFonts w:ascii="Times New Roman" w:eastAsia="Calibri" w:hAnsi="Times New Roman" w:cs="Times New Roman"/>
          <w:color w:val="000000"/>
          <w:sz w:val="24"/>
          <w:szCs w:val="26"/>
          <w:lang w:val="en-US" w:eastAsia="en-US"/>
        </w:rPr>
        <w:t xml:space="preserve">The </w:t>
      </w:r>
      <w:r w:rsidRPr="00FF1E7F">
        <w:rPr>
          <w:rFonts w:ascii="Times New Roman" w:eastAsia="Calibri" w:hAnsi="Times New Roman" w:cs="Times New Roman"/>
          <w:i/>
          <w:iCs/>
          <w:color w:val="000000"/>
          <w:sz w:val="24"/>
          <w:szCs w:val="26"/>
          <w:lang w:val="en-US" w:eastAsia="en-US"/>
        </w:rPr>
        <w:t xml:space="preserve">Ordo Iuris </w:t>
      </w:r>
      <w:r w:rsidRPr="00FF1E7F">
        <w:rPr>
          <w:rFonts w:ascii="Times New Roman" w:eastAsia="Calibri" w:hAnsi="Times New Roman" w:cs="Times New Roman"/>
          <w:color w:val="000000"/>
          <w:sz w:val="24"/>
          <w:szCs w:val="26"/>
          <w:lang w:val="en-US" w:eastAsia="en-US"/>
        </w:rPr>
        <w:t xml:space="preserve">Institute for Legal Culture </w:t>
      </w:r>
      <w:r w:rsidR="00391030">
        <w:rPr>
          <w:rFonts w:ascii="Times New Roman" w:eastAsia="Calibri" w:hAnsi="Times New Roman" w:cs="Times New Roman"/>
          <w:color w:val="000000"/>
          <w:sz w:val="24"/>
          <w:szCs w:val="26"/>
          <w:lang w:val="en-US" w:eastAsia="en-US"/>
        </w:rPr>
        <w:t xml:space="preserve">together with </w:t>
      </w:r>
      <w:r w:rsidR="00391030" w:rsidRPr="00CE5C5B">
        <w:rPr>
          <w:rFonts w:ascii="Times New Roman" w:eastAsia="Calibri" w:hAnsi="Times New Roman" w:cs="Times New Roman"/>
          <w:b/>
          <w:color w:val="000000"/>
          <w:sz w:val="24"/>
          <w:szCs w:val="26"/>
          <w:lang w:val="en-US" w:eastAsia="en-US"/>
        </w:rPr>
        <w:t xml:space="preserve">ADF International, </w:t>
      </w:r>
      <w:r w:rsidR="00CE5C5B" w:rsidRPr="00CE5C5B">
        <w:rPr>
          <w:rFonts w:ascii="Times New Roman" w:eastAsia="Calibri" w:hAnsi="Times New Roman" w:cs="Times New Roman"/>
          <w:b/>
          <w:color w:val="000000"/>
          <w:sz w:val="24"/>
          <w:szCs w:val="26"/>
          <w:lang w:val="en-US" w:eastAsia="en-US"/>
        </w:rPr>
        <w:t>FAFCE – Federation of Catholic Family Associations in Europe</w:t>
      </w:r>
      <w:r w:rsidR="00CE5C5B">
        <w:rPr>
          <w:rFonts w:ascii="Times New Roman" w:eastAsia="Calibri" w:hAnsi="Times New Roman" w:cs="Times New Roman"/>
          <w:b/>
          <w:color w:val="000000"/>
          <w:sz w:val="24"/>
          <w:szCs w:val="26"/>
          <w:lang w:val="en-US" w:eastAsia="en-US"/>
        </w:rPr>
        <w:t>,</w:t>
      </w:r>
      <w:r w:rsidR="00CE5C5B" w:rsidRPr="00CE5C5B">
        <w:rPr>
          <w:rFonts w:ascii="Times New Roman" w:eastAsia="Calibri" w:hAnsi="Times New Roman" w:cs="Times New Roman"/>
          <w:b/>
          <w:color w:val="000000"/>
          <w:sz w:val="24"/>
          <w:szCs w:val="26"/>
          <w:lang w:val="en-US" w:eastAsia="en-US"/>
        </w:rPr>
        <w:t xml:space="preserve"> </w:t>
      </w:r>
      <w:r w:rsidR="00CE5C5B">
        <w:rPr>
          <w:rFonts w:ascii="Times New Roman" w:eastAsia="Calibri" w:hAnsi="Times New Roman" w:cs="Times New Roman"/>
          <w:b/>
          <w:color w:val="000000"/>
          <w:sz w:val="24"/>
          <w:szCs w:val="26"/>
          <w:lang w:val="en-US" w:eastAsia="en-US"/>
        </w:rPr>
        <w:t xml:space="preserve">Fundacja Centrum Wspierania Inicjatyw dla Życia i Rodziny, Fundacja Konfederaja Kobiet RP, Fundacja Małych Stópek, Fundacja Pro-prawo do życia, Instytut Ordo Caritatis, </w:t>
      </w:r>
      <w:r w:rsidR="00CE5C5B" w:rsidRPr="00CE5C5B">
        <w:rPr>
          <w:rFonts w:ascii="Times New Roman" w:eastAsia="Calibri" w:hAnsi="Times New Roman" w:cs="Times New Roman"/>
          <w:b/>
          <w:color w:val="000000"/>
          <w:sz w:val="24"/>
          <w:szCs w:val="26"/>
          <w:lang w:val="en-US" w:eastAsia="en-US"/>
        </w:rPr>
        <w:t xml:space="preserve">Life Network </w:t>
      </w:r>
      <w:r w:rsidR="00CE5C5B">
        <w:rPr>
          <w:rFonts w:ascii="Times New Roman" w:eastAsia="Calibri" w:hAnsi="Times New Roman" w:cs="Times New Roman"/>
          <w:b/>
          <w:color w:val="000000"/>
          <w:sz w:val="24"/>
          <w:szCs w:val="26"/>
          <w:lang w:val="en-US" w:eastAsia="en-US"/>
        </w:rPr>
        <w:t xml:space="preserve">Foundation Malta, </w:t>
      </w:r>
      <w:r w:rsidR="00CE5C5B" w:rsidRPr="00CE5C5B">
        <w:rPr>
          <w:rFonts w:ascii="Times New Roman" w:eastAsia="Calibri" w:hAnsi="Times New Roman" w:cs="Times New Roman"/>
          <w:b/>
          <w:color w:val="000000"/>
          <w:sz w:val="24"/>
          <w:szCs w:val="26"/>
          <w:lang w:val="en-US" w:eastAsia="en-US"/>
        </w:rPr>
        <w:t xml:space="preserve">SPUC – Pro Life – Society for the Protection of Unborn </w:t>
      </w:r>
      <w:r w:rsidR="00CE5C5B">
        <w:rPr>
          <w:rFonts w:ascii="Times New Roman" w:eastAsia="Calibri" w:hAnsi="Times New Roman" w:cs="Times New Roman"/>
          <w:b/>
          <w:color w:val="000000"/>
          <w:sz w:val="24"/>
          <w:szCs w:val="26"/>
          <w:lang w:val="en-US" w:eastAsia="en-US"/>
        </w:rPr>
        <w:t>Children</w:t>
      </w:r>
      <w:r w:rsidR="00CE5C5B" w:rsidRPr="00CE5C5B">
        <w:rPr>
          <w:rFonts w:ascii="Times New Roman" w:eastAsia="Calibri" w:hAnsi="Times New Roman" w:cs="Times New Roman"/>
          <w:b/>
          <w:color w:val="000000"/>
          <w:sz w:val="24"/>
          <w:szCs w:val="26"/>
          <w:lang w:val="en-US" w:eastAsia="en-US"/>
        </w:rPr>
        <w:t xml:space="preserve">, </w:t>
      </w:r>
      <w:r w:rsidRPr="00FF1E7F">
        <w:rPr>
          <w:rFonts w:ascii="Times New Roman" w:eastAsia="Calibri" w:hAnsi="Times New Roman" w:cs="Times New Roman"/>
          <w:color w:val="000000"/>
          <w:sz w:val="24"/>
          <w:szCs w:val="26"/>
          <w:lang w:val="en-US" w:eastAsia="en-US"/>
        </w:rPr>
        <w:t>welcomes the opportunity to assist the Human Rights Committee in its evaluation of the Poland’s Follow-up Report (CCPR/C/POL/CO/7/Add.1).</w:t>
      </w:r>
    </w:p>
    <w:p w:rsidR="00FF1E7F" w:rsidRPr="00FF1E7F" w:rsidRDefault="00FF1E7F" w:rsidP="00FF1E7F">
      <w:pPr>
        <w:autoSpaceDE w:val="0"/>
        <w:autoSpaceDN w:val="0"/>
        <w:adjustRightInd w:val="0"/>
        <w:spacing w:after="0" w:line="276" w:lineRule="auto"/>
        <w:jc w:val="both"/>
        <w:rPr>
          <w:rFonts w:ascii="Times New Roman" w:eastAsia="Calibri" w:hAnsi="Times New Roman" w:cs="Times New Roman"/>
          <w:color w:val="000000"/>
          <w:sz w:val="24"/>
          <w:szCs w:val="26"/>
          <w:lang w:val="en-US" w:eastAsia="en-US"/>
        </w:rPr>
      </w:pPr>
    </w:p>
    <w:p w:rsidR="00FF1E7F" w:rsidRPr="00FF1E7F" w:rsidRDefault="00FF1E7F" w:rsidP="00FF1E7F">
      <w:pPr>
        <w:autoSpaceDE w:val="0"/>
        <w:autoSpaceDN w:val="0"/>
        <w:adjustRightInd w:val="0"/>
        <w:spacing w:after="0" w:line="276" w:lineRule="auto"/>
        <w:jc w:val="both"/>
        <w:rPr>
          <w:rFonts w:ascii="Times New Roman" w:eastAsia="Calibri" w:hAnsi="Times New Roman" w:cs="Times New Roman"/>
          <w:color w:val="000000"/>
          <w:sz w:val="24"/>
          <w:szCs w:val="26"/>
          <w:lang w:val="en-GB" w:eastAsia="en-US"/>
        </w:rPr>
      </w:pPr>
      <w:r w:rsidRPr="00FF1E7F">
        <w:rPr>
          <w:rFonts w:ascii="Times New Roman" w:eastAsia="Calibri" w:hAnsi="Times New Roman" w:cs="Times New Roman"/>
          <w:color w:val="000000"/>
          <w:sz w:val="24"/>
          <w:szCs w:val="26"/>
          <w:lang w:val="en-GB" w:eastAsia="en-US"/>
        </w:rPr>
        <w:t xml:space="preserve">The </w:t>
      </w:r>
      <w:r w:rsidRPr="00FF1E7F">
        <w:rPr>
          <w:rFonts w:ascii="Times New Roman" w:eastAsia="Calibri" w:hAnsi="Times New Roman" w:cs="Times New Roman"/>
          <w:i/>
          <w:iCs/>
          <w:color w:val="000000"/>
          <w:sz w:val="24"/>
          <w:szCs w:val="26"/>
          <w:lang w:val="en-GB" w:eastAsia="en-US"/>
        </w:rPr>
        <w:t xml:space="preserve">Ordo Iuris </w:t>
      </w:r>
      <w:r w:rsidRPr="00FF1E7F">
        <w:rPr>
          <w:rFonts w:ascii="Times New Roman" w:eastAsia="Calibri" w:hAnsi="Times New Roman" w:cs="Times New Roman"/>
          <w:color w:val="000000"/>
          <w:sz w:val="24"/>
          <w:szCs w:val="26"/>
          <w:lang w:val="en-GB" w:eastAsia="en-US"/>
        </w:rPr>
        <w:t xml:space="preserve">Institute for Legal Culture is an independent legal organization incorporated as a foundation in Poland. It gathers academics and legal practitioners aimed at the promotion of a legal culture based on the respect for human dignity and rights. </w:t>
      </w:r>
      <w:r w:rsidRPr="00FF1E7F">
        <w:rPr>
          <w:rFonts w:ascii="Times New Roman" w:eastAsia="Calibri" w:hAnsi="Times New Roman" w:cs="Times New Roman"/>
          <w:i/>
          <w:iCs/>
          <w:color w:val="000000"/>
          <w:sz w:val="24"/>
          <w:szCs w:val="26"/>
          <w:lang w:val="en-GB" w:eastAsia="en-US"/>
        </w:rPr>
        <w:t xml:space="preserve">Ordo Iuris </w:t>
      </w:r>
      <w:r w:rsidRPr="00FF1E7F">
        <w:rPr>
          <w:rFonts w:ascii="Times New Roman" w:eastAsia="Calibri" w:hAnsi="Times New Roman" w:cs="Times New Roman"/>
          <w:color w:val="000000"/>
          <w:sz w:val="24"/>
          <w:szCs w:val="26"/>
          <w:lang w:val="en-GB" w:eastAsia="en-US"/>
        </w:rPr>
        <w:t xml:space="preserve">pursues its objectives by means of research and other academic activity as well as advocacy and litigation. </w:t>
      </w:r>
    </w:p>
    <w:p w:rsidR="00FF1E7F" w:rsidRPr="00FF1E7F" w:rsidRDefault="00FF1E7F" w:rsidP="00FF1E7F">
      <w:pPr>
        <w:autoSpaceDE w:val="0"/>
        <w:autoSpaceDN w:val="0"/>
        <w:adjustRightInd w:val="0"/>
        <w:spacing w:after="0" w:line="276" w:lineRule="auto"/>
        <w:jc w:val="both"/>
        <w:rPr>
          <w:rFonts w:ascii="Times New Roman" w:eastAsia="Calibri" w:hAnsi="Times New Roman" w:cs="Times New Roman"/>
          <w:color w:val="000000"/>
          <w:sz w:val="24"/>
          <w:szCs w:val="26"/>
          <w:lang w:val="en-GB" w:eastAsia="en-US"/>
        </w:rPr>
      </w:pPr>
    </w:p>
    <w:p w:rsidR="00FF1E7F" w:rsidRPr="00FF1E7F" w:rsidRDefault="00FF1E7F" w:rsidP="00FF1E7F">
      <w:pPr>
        <w:autoSpaceDE w:val="0"/>
        <w:autoSpaceDN w:val="0"/>
        <w:adjustRightInd w:val="0"/>
        <w:spacing w:after="0" w:line="276" w:lineRule="auto"/>
        <w:jc w:val="both"/>
        <w:rPr>
          <w:rFonts w:ascii="Times New Roman" w:eastAsia="Calibri" w:hAnsi="Times New Roman" w:cs="Times New Roman"/>
          <w:color w:val="000000"/>
          <w:sz w:val="24"/>
          <w:szCs w:val="26"/>
          <w:lang w:val="en-GB" w:eastAsia="en-US"/>
        </w:rPr>
      </w:pPr>
      <w:r w:rsidRPr="00FF1E7F">
        <w:rPr>
          <w:rFonts w:ascii="Times New Roman" w:eastAsia="Calibri" w:hAnsi="Times New Roman" w:cs="Times New Roman"/>
          <w:i/>
          <w:iCs/>
          <w:color w:val="000000"/>
          <w:sz w:val="24"/>
          <w:szCs w:val="26"/>
          <w:lang w:val="en-GB" w:eastAsia="en-US"/>
        </w:rPr>
        <w:t xml:space="preserve">The Ordo Iuris </w:t>
      </w:r>
      <w:r w:rsidRPr="00FF1E7F">
        <w:rPr>
          <w:rFonts w:ascii="Times New Roman" w:eastAsia="Calibri" w:hAnsi="Times New Roman" w:cs="Times New Roman"/>
          <w:color w:val="000000"/>
          <w:sz w:val="24"/>
          <w:szCs w:val="26"/>
          <w:lang w:val="en-GB" w:eastAsia="en-US"/>
        </w:rPr>
        <w:t>has ECOSOC consultative status. Moreover, it is among organisations consulted by the Polish Government within the legislative process. Polish courts, including Supreme Court of the Republic of Poland, have accepted our 'third parties interventions'. The </w:t>
      </w:r>
      <w:r w:rsidRPr="00FF1E7F">
        <w:rPr>
          <w:rFonts w:ascii="Times New Roman" w:eastAsia="Calibri" w:hAnsi="Times New Roman" w:cs="Times New Roman"/>
          <w:i/>
          <w:iCs/>
          <w:color w:val="000000"/>
          <w:sz w:val="24"/>
          <w:szCs w:val="26"/>
          <w:lang w:val="en-GB" w:eastAsia="en-US"/>
        </w:rPr>
        <w:t xml:space="preserve">Ordo Iuris </w:t>
      </w:r>
      <w:r w:rsidRPr="00FF1E7F">
        <w:rPr>
          <w:rFonts w:ascii="Times New Roman" w:eastAsia="Calibri" w:hAnsi="Times New Roman" w:cs="Times New Roman"/>
          <w:color w:val="000000"/>
          <w:sz w:val="24"/>
          <w:szCs w:val="26"/>
          <w:lang w:val="en-GB" w:eastAsia="en-US"/>
        </w:rPr>
        <w:t xml:space="preserve">has also intervened before the European Committee of Social Rights and the European Court of Human Rights. We hope the Committee will find our intervention supportive. </w:t>
      </w:r>
    </w:p>
    <w:p w:rsidR="00FF1E7F" w:rsidRPr="00FF1E7F" w:rsidRDefault="00190F6E" w:rsidP="00FF1E7F">
      <w:pPr>
        <w:spacing w:after="0" w:line="240" w:lineRule="auto"/>
        <w:rPr>
          <w:rFonts w:ascii="Times New Roman" w:eastAsia="Times New Roman" w:hAnsi="Times New Roman" w:cs="Times New Roman"/>
          <w:b/>
          <w:bCs/>
          <w:sz w:val="24"/>
          <w:szCs w:val="26"/>
          <w:lang w:val="en-GB"/>
        </w:rPr>
      </w:pPr>
      <w:r>
        <w:rPr>
          <w:rFonts w:eastAsia="Times New Roman" w:cs="Calibri"/>
          <w:b/>
          <w:bCs/>
          <w:noProof/>
          <w:sz w:val="26"/>
          <w:szCs w:val="26"/>
          <w:lang w:val="en-GB" w:eastAsia="en-GB"/>
        </w:rPr>
        <w:drawing>
          <wp:anchor distT="0" distB="0" distL="114300" distR="114300" simplePos="0" relativeHeight="251658240" behindDoc="0" locked="0" layoutInCell="1" allowOverlap="1" wp14:anchorId="7FE564CA" wp14:editId="1E5891A5">
            <wp:simplePos x="0" y="0"/>
            <wp:positionH relativeFrom="column">
              <wp:posOffset>3498850</wp:posOffset>
            </wp:positionH>
            <wp:positionV relativeFrom="paragraph">
              <wp:posOffset>129540</wp:posOffset>
            </wp:positionV>
            <wp:extent cx="2413000" cy="795020"/>
            <wp:effectExtent l="0" t="0" r="0" b="0"/>
            <wp:wrapThrough wrapText="bothSides">
              <wp:wrapPolygon edited="0">
                <wp:start x="18644" y="1380"/>
                <wp:lineTo x="4093" y="3450"/>
                <wp:lineTo x="2501" y="4141"/>
                <wp:lineTo x="1819" y="14492"/>
                <wp:lineTo x="909" y="17252"/>
                <wp:lineTo x="909" y="20013"/>
                <wp:lineTo x="2501" y="20013"/>
                <wp:lineTo x="6594" y="15182"/>
                <wp:lineTo x="16825" y="13802"/>
                <wp:lineTo x="20008" y="11042"/>
                <wp:lineTo x="19554" y="1380"/>
                <wp:lineTo x="18644" y="1380"/>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pis mec.-Jerzy-Kwaśniewski-3.png"/>
                    <pic:cNvPicPr/>
                  </pic:nvPicPr>
                  <pic:blipFill>
                    <a:blip r:embed="rId8">
                      <a:extLst>
                        <a:ext uri="{28A0092B-C50C-407E-A947-70E740481C1C}">
                          <a14:useLocalDpi xmlns:a14="http://schemas.microsoft.com/office/drawing/2010/main" val="0"/>
                        </a:ext>
                      </a:extLst>
                    </a:blip>
                    <a:stretch>
                      <a:fillRect/>
                    </a:stretch>
                  </pic:blipFill>
                  <pic:spPr>
                    <a:xfrm>
                      <a:off x="0" y="0"/>
                      <a:ext cx="2413000" cy="795020"/>
                    </a:xfrm>
                    <a:prstGeom prst="rect">
                      <a:avLst/>
                    </a:prstGeom>
                  </pic:spPr>
                </pic:pic>
              </a:graphicData>
            </a:graphic>
            <wp14:sizeRelH relativeFrom="page">
              <wp14:pctWidth>0</wp14:pctWidth>
            </wp14:sizeRelH>
            <wp14:sizeRelV relativeFrom="page">
              <wp14:pctHeight>0</wp14:pctHeight>
            </wp14:sizeRelV>
          </wp:anchor>
        </w:drawing>
      </w:r>
    </w:p>
    <w:p w:rsidR="00FF1E7F" w:rsidRPr="00FF1E7F" w:rsidRDefault="00FF1E7F" w:rsidP="00FF1E7F">
      <w:pPr>
        <w:spacing w:after="0" w:line="240" w:lineRule="auto"/>
        <w:rPr>
          <w:rFonts w:ascii="Times New Roman" w:eastAsia="Times New Roman" w:hAnsi="Times New Roman" w:cs="Times New Roman"/>
          <w:b/>
          <w:bCs/>
          <w:sz w:val="24"/>
          <w:szCs w:val="26"/>
          <w:lang w:val="en-GB"/>
        </w:rPr>
      </w:pPr>
    </w:p>
    <w:p w:rsidR="00FF1E7F" w:rsidRPr="00FF1E7F" w:rsidRDefault="00FF1E7F" w:rsidP="00FF1E7F">
      <w:pPr>
        <w:spacing w:after="0" w:line="240" w:lineRule="auto"/>
        <w:rPr>
          <w:rFonts w:ascii="Times New Roman" w:eastAsia="Times New Roman" w:hAnsi="Times New Roman" w:cs="Times New Roman"/>
          <w:b/>
          <w:bCs/>
          <w:sz w:val="24"/>
          <w:szCs w:val="26"/>
          <w:lang w:val="en-GB"/>
        </w:rPr>
      </w:pPr>
    </w:p>
    <w:p w:rsidR="00FF1E7F" w:rsidRPr="00FF1E7F" w:rsidRDefault="00FF1E7F" w:rsidP="00FF1E7F">
      <w:pPr>
        <w:spacing w:after="0" w:line="240" w:lineRule="auto"/>
        <w:rPr>
          <w:rFonts w:eastAsia="Times New Roman" w:cs="Calibri"/>
          <w:b/>
          <w:bCs/>
          <w:sz w:val="26"/>
          <w:szCs w:val="26"/>
          <w:lang w:val="en-GB"/>
        </w:rPr>
      </w:pPr>
    </w:p>
    <w:p w:rsidR="00FF1E7F" w:rsidRDefault="00FF1E7F" w:rsidP="00FF1E7F">
      <w:pPr>
        <w:spacing w:after="0" w:line="240" w:lineRule="auto"/>
        <w:ind w:left="4956" w:firstLine="708"/>
        <w:rPr>
          <w:rFonts w:ascii="Times New Roman" w:eastAsia="Times New Roman" w:hAnsi="Times New Roman" w:cs="Times New Roman"/>
          <w:b/>
          <w:bCs/>
          <w:sz w:val="24"/>
          <w:szCs w:val="26"/>
          <w:lang w:val="en-GB"/>
        </w:rPr>
      </w:pPr>
    </w:p>
    <w:p w:rsidR="00FF1E7F" w:rsidRPr="00FF1E7F" w:rsidRDefault="00FF1E7F" w:rsidP="00FF1E7F">
      <w:pPr>
        <w:spacing w:after="0" w:line="240" w:lineRule="auto"/>
        <w:ind w:left="4956" w:firstLine="708"/>
        <w:rPr>
          <w:rFonts w:ascii="Times New Roman" w:eastAsia="Times New Roman" w:hAnsi="Times New Roman" w:cs="Times New Roman"/>
          <w:sz w:val="24"/>
          <w:szCs w:val="26"/>
          <w:lang w:val="en-GB"/>
        </w:rPr>
      </w:pPr>
      <w:r w:rsidRPr="00FF1E7F">
        <w:rPr>
          <w:rFonts w:ascii="Times New Roman" w:eastAsia="Times New Roman" w:hAnsi="Times New Roman" w:cs="Times New Roman"/>
          <w:b/>
          <w:bCs/>
          <w:sz w:val="24"/>
          <w:szCs w:val="26"/>
          <w:lang w:val="en-GB"/>
        </w:rPr>
        <w:t>Jerzy Kwaśniewski</w:t>
      </w:r>
    </w:p>
    <w:p w:rsidR="00FF1E7F" w:rsidRPr="00FF1E7F" w:rsidRDefault="00FF1E7F" w:rsidP="00FF1E7F">
      <w:pPr>
        <w:spacing w:after="0" w:line="240" w:lineRule="auto"/>
        <w:ind w:left="5387" w:firstLine="277"/>
        <w:rPr>
          <w:rFonts w:ascii="Times New Roman" w:eastAsia="Times New Roman" w:hAnsi="Times New Roman" w:cs="Times New Roman"/>
          <w:sz w:val="24"/>
          <w:szCs w:val="26"/>
          <w:lang w:val="en-GB"/>
        </w:rPr>
      </w:pPr>
      <w:r w:rsidRPr="00FF1E7F">
        <w:rPr>
          <w:rFonts w:ascii="Times New Roman" w:eastAsia="Times New Roman" w:hAnsi="Times New Roman" w:cs="Times New Roman"/>
          <w:sz w:val="24"/>
          <w:szCs w:val="26"/>
          <w:lang w:val="en-GB"/>
        </w:rPr>
        <w:t>President of the Board</w:t>
      </w:r>
    </w:p>
    <w:p w:rsidR="00FF1E7F" w:rsidRPr="00FF1E7F" w:rsidRDefault="00FF1E7F" w:rsidP="00FF1E7F">
      <w:pPr>
        <w:spacing w:after="0" w:line="240" w:lineRule="auto"/>
        <w:ind w:left="5387" w:firstLine="277"/>
        <w:rPr>
          <w:rFonts w:ascii="Times New Roman" w:eastAsia="Times New Roman" w:hAnsi="Times New Roman" w:cs="Times New Roman"/>
          <w:sz w:val="24"/>
          <w:szCs w:val="26"/>
          <w:lang w:val="en-GB"/>
        </w:rPr>
      </w:pPr>
      <w:r w:rsidRPr="00FF1E7F">
        <w:rPr>
          <w:rFonts w:ascii="Times New Roman" w:eastAsia="Times New Roman" w:hAnsi="Times New Roman" w:cs="Times New Roman"/>
          <w:i/>
          <w:sz w:val="24"/>
          <w:szCs w:val="26"/>
          <w:lang w:val="en-US"/>
        </w:rPr>
        <w:t>Ordo Iuris</w:t>
      </w:r>
      <w:r w:rsidRPr="00FF1E7F">
        <w:rPr>
          <w:rFonts w:ascii="Times New Roman" w:eastAsia="Times New Roman" w:hAnsi="Times New Roman" w:cs="Times New Roman"/>
          <w:sz w:val="24"/>
          <w:szCs w:val="26"/>
          <w:lang w:val="en-US"/>
        </w:rPr>
        <w:t xml:space="preserve"> Institute for Legal Culture</w:t>
      </w:r>
    </w:p>
    <w:p w:rsidR="00FF1E7F" w:rsidRPr="00391030" w:rsidRDefault="00FF1E7F" w:rsidP="00FF1E7F">
      <w:pPr>
        <w:keepNext/>
        <w:keepLines/>
        <w:spacing w:before="480" w:after="240"/>
        <w:outlineLvl w:val="0"/>
        <w:rPr>
          <w:rFonts w:asciiTheme="majorHAnsi" w:eastAsiaTheme="majorEastAsia" w:hAnsiTheme="majorHAnsi" w:cstheme="majorBidi"/>
          <w:b/>
          <w:bCs/>
          <w:color w:val="0070C0"/>
          <w:sz w:val="28"/>
          <w:szCs w:val="28"/>
          <w:lang w:val="en-GB" w:eastAsia="en-US"/>
        </w:rPr>
      </w:pPr>
    </w:p>
    <w:p w:rsidR="00FF1E7F" w:rsidRPr="00391030" w:rsidRDefault="00FF1E7F" w:rsidP="00391030">
      <w:pPr>
        <w:pBdr>
          <w:bottom w:val="single" w:sz="8" w:space="4" w:color="5B9BD5" w:themeColor="accent1"/>
        </w:pBdr>
        <w:spacing w:after="300" w:line="240" w:lineRule="auto"/>
        <w:contextualSpacing/>
        <w:jc w:val="center"/>
        <w:rPr>
          <w:rFonts w:eastAsiaTheme="majorEastAsia" w:cstheme="minorHAnsi"/>
          <w:b/>
          <w:color w:val="0070C0"/>
          <w:spacing w:val="5"/>
          <w:kern w:val="28"/>
          <w:sz w:val="32"/>
          <w:szCs w:val="32"/>
          <w:lang w:val="en-GB" w:eastAsia="en-US"/>
        </w:rPr>
      </w:pPr>
      <w:r w:rsidRPr="00391030">
        <w:rPr>
          <w:rFonts w:eastAsiaTheme="majorEastAsia" w:cstheme="minorHAnsi"/>
          <w:b/>
          <w:color w:val="0070C0"/>
          <w:spacing w:val="5"/>
          <w:kern w:val="28"/>
          <w:sz w:val="32"/>
          <w:szCs w:val="32"/>
          <w:lang w:val="en-GB" w:eastAsia="en-US"/>
        </w:rPr>
        <w:t xml:space="preserve">The </w:t>
      </w:r>
      <w:r w:rsidRPr="00391030">
        <w:rPr>
          <w:rFonts w:eastAsiaTheme="majorEastAsia" w:cstheme="minorHAnsi"/>
          <w:b/>
          <w:i/>
          <w:color w:val="0070C0"/>
          <w:spacing w:val="5"/>
          <w:kern w:val="28"/>
          <w:sz w:val="32"/>
          <w:szCs w:val="32"/>
          <w:lang w:val="en-GB" w:eastAsia="en-US"/>
        </w:rPr>
        <w:t>Ordo Iuris</w:t>
      </w:r>
      <w:r w:rsidRPr="00391030">
        <w:rPr>
          <w:rFonts w:eastAsiaTheme="majorEastAsia" w:cstheme="minorHAnsi"/>
          <w:b/>
          <w:color w:val="0070C0"/>
          <w:spacing w:val="5"/>
          <w:kern w:val="28"/>
          <w:sz w:val="32"/>
          <w:szCs w:val="32"/>
          <w:lang w:val="en-GB" w:eastAsia="en-US"/>
        </w:rPr>
        <w:t xml:space="preserve"> Institute for Legal Culture Alternative Follow-up Report</w:t>
      </w:r>
    </w:p>
    <w:p w:rsidR="00FF1E7F" w:rsidRPr="00391030" w:rsidRDefault="00FF1E7F" w:rsidP="00391030">
      <w:pPr>
        <w:pBdr>
          <w:bottom w:val="single" w:sz="8" w:space="4" w:color="5B9BD5" w:themeColor="accent1"/>
        </w:pBdr>
        <w:spacing w:after="300" w:line="240" w:lineRule="auto"/>
        <w:contextualSpacing/>
        <w:jc w:val="center"/>
        <w:rPr>
          <w:rFonts w:eastAsiaTheme="majorEastAsia" w:cstheme="minorHAnsi"/>
          <w:b/>
          <w:color w:val="0070C0"/>
          <w:spacing w:val="5"/>
          <w:kern w:val="28"/>
          <w:sz w:val="32"/>
          <w:szCs w:val="32"/>
          <w:lang w:val="en-GB" w:eastAsia="en-US"/>
        </w:rPr>
      </w:pPr>
      <w:r w:rsidRPr="00391030">
        <w:rPr>
          <w:rFonts w:eastAsiaTheme="majorEastAsia" w:cstheme="minorHAnsi"/>
          <w:b/>
          <w:color w:val="0070C0"/>
          <w:spacing w:val="5"/>
          <w:kern w:val="28"/>
          <w:sz w:val="32"/>
          <w:szCs w:val="32"/>
          <w:lang w:val="en-GB" w:eastAsia="en-US"/>
        </w:rPr>
        <w:t>to the Human Rights Committee</w:t>
      </w:r>
    </w:p>
    <w:p w:rsidR="00FF1E7F" w:rsidRPr="00391030" w:rsidRDefault="00FF1E7F" w:rsidP="00391030">
      <w:pPr>
        <w:pBdr>
          <w:bottom w:val="single" w:sz="8" w:space="4" w:color="5B9BD5" w:themeColor="accent1"/>
        </w:pBdr>
        <w:spacing w:after="300" w:line="240" w:lineRule="auto"/>
        <w:contextualSpacing/>
        <w:jc w:val="center"/>
        <w:rPr>
          <w:rFonts w:eastAsiaTheme="majorEastAsia" w:cstheme="minorHAnsi"/>
          <w:b/>
          <w:color w:val="0070C0"/>
          <w:spacing w:val="5"/>
          <w:kern w:val="28"/>
          <w:sz w:val="32"/>
          <w:szCs w:val="32"/>
          <w:lang w:val="en-GB" w:eastAsia="en-US"/>
        </w:rPr>
      </w:pPr>
      <w:r w:rsidRPr="00391030">
        <w:rPr>
          <w:rFonts w:eastAsiaTheme="majorEastAsia" w:cstheme="minorHAnsi"/>
          <w:b/>
          <w:color w:val="0070C0"/>
          <w:spacing w:val="5"/>
          <w:kern w:val="28"/>
          <w:sz w:val="32"/>
          <w:szCs w:val="32"/>
          <w:lang w:val="en-GB" w:eastAsia="en-US"/>
        </w:rPr>
        <w:t>on Poland’s Follow-up Report</w:t>
      </w:r>
    </w:p>
    <w:p w:rsidR="00391030" w:rsidRPr="00FF1E7F" w:rsidRDefault="00391030" w:rsidP="00391030">
      <w:pPr>
        <w:pBdr>
          <w:bottom w:val="single" w:sz="8" w:space="4" w:color="5B9BD5" w:themeColor="accent1"/>
        </w:pBdr>
        <w:spacing w:after="300" w:line="240" w:lineRule="auto"/>
        <w:contextualSpacing/>
        <w:jc w:val="center"/>
        <w:rPr>
          <w:rFonts w:eastAsiaTheme="minorHAnsi"/>
          <w:lang w:val="en-GB" w:eastAsia="en-US"/>
        </w:rPr>
      </w:pPr>
    </w:p>
    <w:p w:rsidR="00391030" w:rsidRDefault="00391030" w:rsidP="00FF1E7F">
      <w:pPr>
        <w:spacing w:line="276" w:lineRule="auto"/>
        <w:jc w:val="center"/>
        <w:rPr>
          <w:rFonts w:ascii="Calibri" w:eastAsia="Calibri" w:hAnsi="Calibri" w:cs="Calibri"/>
          <w:b/>
          <w:i/>
          <w:iCs/>
          <w:color w:val="2E74B5"/>
          <w:sz w:val="26"/>
          <w:szCs w:val="26"/>
          <w:lang w:val="en-GB" w:eastAsia="en-US"/>
        </w:rPr>
      </w:pPr>
    </w:p>
    <w:p w:rsidR="00FF1E7F" w:rsidRDefault="00FF1E7F" w:rsidP="00391030">
      <w:pPr>
        <w:spacing w:line="276" w:lineRule="auto"/>
        <w:jc w:val="center"/>
        <w:rPr>
          <w:rFonts w:ascii="Calibri" w:eastAsia="Calibri" w:hAnsi="Calibri" w:cs="Calibri"/>
          <w:b/>
          <w:color w:val="2E74B5"/>
          <w:sz w:val="26"/>
          <w:szCs w:val="26"/>
          <w:lang w:val="en-GB" w:eastAsia="en-US"/>
        </w:rPr>
      </w:pPr>
      <w:r w:rsidRPr="00FF1E7F">
        <w:rPr>
          <w:rFonts w:ascii="Calibri" w:eastAsia="Calibri" w:hAnsi="Calibri" w:cs="Calibri"/>
          <w:b/>
          <w:i/>
          <w:iCs/>
          <w:color w:val="2E74B5"/>
          <w:sz w:val="26"/>
          <w:szCs w:val="26"/>
          <w:lang w:val="en-GB" w:eastAsia="en-US"/>
        </w:rPr>
        <w:t xml:space="preserve">Ordo Iuris </w:t>
      </w:r>
      <w:r w:rsidRPr="00FF1E7F">
        <w:rPr>
          <w:rFonts w:ascii="Calibri" w:eastAsia="Calibri" w:hAnsi="Calibri" w:cs="Calibri"/>
          <w:b/>
          <w:color w:val="2E74B5"/>
          <w:sz w:val="26"/>
          <w:szCs w:val="26"/>
          <w:lang w:val="en-GB" w:eastAsia="en-US"/>
        </w:rPr>
        <w:t>Institute for Legal Culture</w:t>
      </w:r>
    </w:p>
    <w:p w:rsidR="00391030" w:rsidRPr="00FF1E7F" w:rsidRDefault="00391030" w:rsidP="00391030">
      <w:pPr>
        <w:spacing w:line="276" w:lineRule="auto"/>
        <w:jc w:val="center"/>
        <w:rPr>
          <w:rFonts w:ascii="Calibri" w:eastAsia="Calibri" w:hAnsi="Calibri" w:cs="Calibri"/>
          <w:b/>
          <w:color w:val="2E74B5"/>
          <w:sz w:val="26"/>
          <w:szCs w:val="26"/>
          <w:lang w:val="en-GB" w:eastAsia="en-US"/>
        </w:rPr>
      </w:pPr>
    </w:p>
    <w:p w:rsidR="00FF1E7F" w:rsidRPr="00391030" w:rsidRDefault="00FF1E7F" w:rsidP="00CE5C5B">
      <w:pPr>
        <w:spacing w:line="240" w:lineRule="auto"/>
        <w:jc w:val="center"/>
        <w:rPr>
          <w:rFonts w:ascii="Calibri" w:eastAsia="Calibri" w:hAnsi="Calibri" w:cs="Calibri"/>
          <w:i/>
          <w:color w:val="2E74B5"/>
          <w:sz w:val="26"/>
          <w:szCs w:val="26"/>
          <w:lang w:val="en-GB" w:eastAsia="en-US"/>
        </w:rPr>
      </w:pPr>
      <w:r w:rsidRPr="00391030">
        <w:rPr>
          <w:rFonts w:ascii="Calibri" w:eastAsia="Calibri" w:hAnsi="Calibri" w:cs="Calibri"/>
          <w:i/>
          <w:color w:val="2E74B5"/>
          <w:sz w:val="26"/>
          <w:szCs w:val="26"/>
          <w:lang w:val="en-GB" w:eastAsia="en-US"/>
        </w:rPr>
        <w:t>Supported by:</w:t>
      </w:r>
    </w:p>
    <w:p w:rsidR="00FF1E7F" w:rsidRPr="00391030" w:rsidRDefault="00FF1E7F" w:rsidP="00CE5C5B">
      <w:pPr>
        <w:spacing w:line="240" w:lineRule="auto"/>
        <w:jc w:val="center"/>
        <w:rPr>
          <w:rFonts w:ascii="Calibri" w:eastAsia="Calibri" w:hAnsi="Calibri" w:cs="Calibri"/>
          <w:b/>
          <w:i/>
          <w:color w:val="2E74B5"/>
          <w:sz w:val="26"/>
          <w:szCs w:val="26"/>
          <w:lang w:val="en-GB" w:eastAsia="en-US"/>
        </w:rPr>
      </w:pPr>
      <w:r w:rsidRPr="00391030">
        <w:rPr>
          <w:rFonts w:ascii="Calibri" w:eastAsia="Calibri" w:hAnsi="Calibri" w:cs="Calibri"/>
          <w:b/>
          <w:i/>
          <w:color w:val="2E74B5"/>
          <w:sz w:val="26"/>
          <w:szCs w:val="26"/>
          <w:lang w:val="en-GB" w:eastAsia="en-US"/>
        </w:rPr>
        <w:t>ADF International</w:t>
      </w:r>
    </w:p>
    <w:p w:rsidR="00FF1E7F" w:rsidRPr="00391030" w:rsidRDefault="00FF1E7F" w:rsidP="00CE5C5B">
      <w:pPr>
        <w:spacing w:line="240" w:lineRule="auto"/>
        <w:jc w:val="center"/>
        <w:rPr>
          <w:rFonts w:ascii="Calibri" w:eastAsia="Calibri" w:hAnsi="Calibri" w:cs="Calibri"/>
          <w:b/>
          <w:i/>
          <w:color w:val="2E74B5"/>
          <w:sz w:val="26"/>
          <w:szCs w:val="26"/>
          <w:lang w:val="en-GB" w:eastAsia="en-US"/>
        </w:rPr>
      </w:pPr>
      <w:r w:rsidRPr="00391030">
        <w:rPr>
          <w:rFonts w:ascii="Calibri" w:eastAsia="Calibri" w:hAnsi="Calibri" w:cs="Calibri"/>
          <w:b/>
          <w:i/>
          <w:color w:val="2E74B5"/>
          <w:sz w:val="26"/>
          <w:szCs w:val="26"/>
          <w:lang w:val="en-GB" w:eastAsia="en-US"/>
        </w:rPr>
        <w:t xml:space="preserve">SPUC – Pro Life – Society for the Protection of Unborn Children </w:t>
      </w:r>
    </w:p>
    <w:p w:rsidR="00FF1E7F" w:rsidRPr="00391030" w:rsidRDefault="00FF1E7F" w:rsidP="00CE5C5B">
      <w:pPr>
        <w:spacing w:line="240" w:lineRule="auto"/>
        <w:jc w:val="center"/>
        <w:rPr>
          <w:rFonts w:ascii="Calibri" w:eastAsia="Calibri" w:hAnsi="Calibri" w:cs="Calibri"/>
          <w:b/>
          <w:i/>
          <w:color w:val="2E74B5"/>
          <w:sz w:val="26"/>
          <w:szCs w:val="26"/>
          <w:lang w:val="en-GB" w:eastAsia="en-US"/>
        </w:rPr>
      </w:pPr>
      <w:r w:rsidRPr="00391030">
        <w:rPr>
          <w:rFonts w:ascii="Calibri" w:eastAsia="Calibri" w:hAnsi="Calibri" w:cs="Calibri"/>
          <w:b/>
          <w:i/>
          <w:color w:val="2E74B5"/>
          <w:sz w:val="26"/>
          <w:szCs w:val="26"/>
          <w:lang w:val="en-GB" w:eastAsia="en-US"/>
        </w:rPr>
        <w:t>FAFCE – Federation of Catholic Family Associations in Europe</w:t>
      </w:r>
    </w:p>
    <w:p w:rsidR="003E5AC8" w:rsidRPr="00FF1E7F" w:rsidRDefault="003E5AC8" w:rsidP="00CE5C5B">
      <w:pPr>
        <w:spacing w:line="240" w:lineRule="auto"/>
        <w:jc w:val="center"/>
        <w:rPr>
          <w:rFonts w:ascii="Calibri" w:eastAsia="Calibri" w:hAnsi="Calibri" w:cs="Calibri"/>
          <w:b/>
          <w:i/>
          <w:color w:val="2E74B5"/>
          <w:sz w:val="26"/>
          <w:szCs w:val="26"/>
          <w:lang w:eastAsia="en-US"/>
        </w:rPr>
      </w:pPr>
      <w:r>
        <w:rPr>
          <w:rFonts w:ascii="Calibri" w:eastAsia="Calibri" w:hAnsi="Calibri" w:cs="Calibri"/>
          <w:b/>
          <w:i/>
          <w:color w:val="2E74B5"/>
          <w:sz w:val="26"/>
          <w:szCs w:val="26"/>
          <w:lang w:eastAsia="en-US"/>
        </w:rPr>
        <w:t>Life Network Foundation Malta</w:t>
      </w:r>
    </w:p>
    <w:p w:rsidR="00FF1E7F" w:rsidRPr="00FF1E7F" w:rsidRDefault="00FF1E7F" w:rsidP="00CE5C5B">
      <w:pPr>
        <w:spacing w:line="240" w:lineRule="auto"/>
        <w:jc w:val="center"/>
        <w:rPr>
          <w:rFonts w:ascii="Calibri" w:eastAsia="Calibri" w:hAnsi="Calibri" w:cs="Calibri"/>
          <w:b/>
          <w:i/>
          <w:color w:val="2E74B5"/>
          <w:sz w:val="26"/>
          <w:szCs w:val="26"/>
          <w:lang w:eastAsia="en-US"/>
        </w:rPr>
      </w:pPr>
      <w:r w:rsidRPr="00FF1E7F">
        <w:rPr>
          <w:rFonts w:ascii="Calibri" w:eastAsia="Calibri" w:hAnsi="Calibri" w:cs="Calibri"/>
          <w:b/>
          <w:i/>
          <w:color w:val="2E74B5"/>
          <w:sz w:val="26"/>
          <w:szCs w:val="26"/>
          <w:lang w:eastAsia="en-US"/>
        </w:rPr>
        <w:t>and</w:t>
      </w:r>
    </w:p>
    <w:p w:rsidR="00FF1E7F" w:rsidRPr="00FF1E7F" w:rsidRDefault="00FF1E7F" w:rsidP="00CE5C5B">
      <w:pPr>
        <w:spacing w:after="0" w:line="240" w:lineRule="auto"/>
        <w:jc w:val="center"/>
        <w:rPr>
          <w:rFonts w:ascii="Calibri" w:eastAsia="Calibri" w:hAnsi="Calibri" w:cs="Calibri"/>
          <w:b/>
          <w:color w:val="2E74B5"/>
          <w:sz w:val="26"/>
          <w:szCs w:val="26"/>
          <w:lang w:eastAsia="en-US"/>
        </w:rPr>
      </w:pPr>
      <w:r w:rsidRPr="00FF1E7F">
        <w:rPr>
          <w:rFonts w:ascii="Calibri" w:eastAsia="Calibri" w:hAnsi="Calibri" w:cs="Calibri"/>
          <w:b/>
          <w:color w:val="2E74B5"/>
          <w:sz w:val="26"/>
          <w:szCs w:val="26"/>
          <w:lang w:eastAsia="en-US"/>
        </w:rPr>
        <w:t>Fundacja Centrum Wspierania Inicjatyw dla Życia i Rodziny</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ul. Nowogrodzka 42/501</w:t>
      </w:r>
    </w:p>
    <w:p w:rsidR="00FF1E7F" w:rsidRPr="00FF1E7F" w:rsidRDefault="00FF1E7F" w:rsidP="00CE5C5B">
      <w:pPr>
        <w:spacing w:after="0" w:line="240" w:lineRule="auto"/>
        <w:jc w:val="center"/>
        <w:rPr>
          <w:rFonts w:ascii="Calibri" w:eastAsia="Calibri" w:hAnsi="Calibri" w:cs="Calibri"/>
          <w:color w:val="2E74B5"/>
          <w:sz w:val="26"/>
          <w:szCs w:val="26"/>
          <w:lang w:eastAsia="en-US"/>
        </w:rPr>
      </w:pPr>
      <w:r w:rsidRPr="00FF1E7F">
        <w:rPr>
          <w:rFonts w:ascii="Calibri" w:eastAsia="Calibri" w:hAnsi="Calibri" w:cs="Calibri"/>
          <w:i/>
          <w:color w:val="2E74B5"/>
          <w:sz w:val="26"/>
          <w:szCs w:val="26"/>
          <w:lang w:eastAsia="en-US"/>
        </w:rPr>
        <w:t>00-695 Warszawa</w:t>
      </w:r>
    </w:p>
    <w:p w:rsidR="00FF1E7F" w:rsidRPr="00FF1E7F" w:rsidRDefault="00FF1E7F" w:rsidP="00CE5C5B">
      <w:pPr>
        <w:spacing w:after="0" w:line="240" w:lineRule="auto"/>
        <w:rPr>
          <w:rFonts w:ascii="Calibri" w:eastAsia="Calibri" w:hAnsi="Calibri" w:cs="Calibri"/>
          <w:color w:val="2E74B5"/>
          <w:sz w:val="26"/>
          <w:szCs w:val="26"/>
          <w:lang w:eastAsia="en-US"/>
        </w:rPr>
      </w:pPr>
    </w:p>
    <w:p w:rsidR="00FF1E7F" w:rsidRPr="00FF1E7F" w:rsidRDefault="00FF1E7F" w:rsidP="00CE5C5B">
      <w:pPr>
        <w:spacing w:after="0" w:line="240" w:lineRule="auto"/>
        <w:jc w:val="center"/>
        <w:rPr>
          <w:rFonts w:ascii="Calibri" w:eastAsia="Calibri" w:hAnsi="Calibri" w:cs="Calibri"/>
          <w:b/>
          <w:color w:val="2E74B5"/>
          <w:sz w:val="26"/>
          <w:szCs w:val="26"/>
          <w:lang w:eastAsia="en-US"/>
        </w:rPr>
      </w:pPr>
      <w:r w:rsidRPr="00FF1E7F">
        <w:rPr>
          <w:rFonts w:ascii="Calibri" w:eastAsia="Calibri" w:hAnsi="Calibri" w:cs="Calibri"/>
          <w:b/>
          <w:color w:val="2E74B5"/>
          <w:sz w:val="26"/>
          <w:szCs w:val="26"/>
          <w:lang w:eastAsia="en-US"/>
        </w:rPr>
        <w:t>Fundacja Konfederacja Kobiet RP</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ul. Jaracza 10 lok 1</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00-378 Warszawa</w:t>
      </w:r>
    </w:p>
    <w:p w:rsidR="00FF1E7F" w:rsidRPr="00FF1E7F" w:rsidRDefault="00FF1E7F" w:rsidP="00CE5C5B">
      <w:pPr>
        <w:spacing w:line="240" w:lineRule="auto"/>
        <w:jc w:val="center"/>
        <w:rPr>
          <w:rFonts w:ascii="Calibri" w:eastAsia="Calibri" w:hAnsi="Calibri" w:cs="Calibri"/>
          <w:b/>
          <w:color w:val="2E74B5"/>
          <w:sz w:val="26"/>
          <w:szCs w:val="26"/>
          <w:lang w:eastAsia="en-US"/>
        </w:rPr>
      </w:pPr>
    </w:p>
    <w:p w:rsidR="00FF1E7F" w:rsidRPr="00FF1E7F" w:rsidRDefault="00FF1E7F" w:rsidP="00CE5C5B">
      <w:pPr>
        <w:spacing w:after="0" w:line="240" w:lineRule="auto"/>
        <w:jc w:val="center"/>
        <w:rPr>
          <w:rFonts w:ascii="Calibri" w:eastAsia="Calibri" w:hAnsi="Calibri" w:cs="Calibri"/>
          <w:b/>
          <w:color w:val="2E74B5"/>
          <w:sz w:val="26"/>
          <w:szCs w:val="26"/>
          <w:lang w:eastAsia="en-US"/>
        </w:rPr>
      </w:pPr>
      <w:r w:rsidRPr="00FF1E7F">
        <w:rPr>
          <w:rFonts w:ascii="Calibri" w:eastAsia="Calibri" w:hAnsi="Calibri" w:cs="Calibri"/>
          <w:b/>
          <w:color w:val="2E74B5"/>
          <w:sz w:val="26"/>
          <w:szCs w:val="26"/>
          <w:lang w:eastAsia="en-US"/>
        </w:rPr>
        <w:t>Fundacja Małych Stópek</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ul. Świętego Ducha 9</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70-205 Szczecin</w:t>
      </w:r>
    </w:p>
    <w:p w:rsidR="00FF1E7F" w:rsidRPr="00FF1E7F" w:rsidRDefault="00FF1E7F" w:rsidP="00CE5C5B">
      <w:pPr>
        <w:spacing w:line="240" w:lineRule="auto"/>
        <w:rPr>
          <w:rFonts w:ascii="Calibri" w:eastAsia="Calibri" w:hAnsi="Calibri" w:cs="Calibri"/>
          <w:b/>
          <w:color w:val="2E74B5"/>
          <w:sz w:val="26"/>
          <w:szCs w:val="26"/>
          <w:lang w:eastAsia="en-US"/>
        </w:rPr>
      </w:pPr>
    </w:p>
    <w:p w:rsidR="00FF1E7F" w:rsidRPr="00FF1E7F" w:rsidRDefault="00FF1E7F" w:rsidP="00CE5C5B">
      <w:pPr>
        <w:spacing w:after="0" w:line="240" w:lineRule="auto"/>
        <w:jc w:val="center"/>
        <w:rPr>
          <w:rFonts w:ascii="Calibri" w:eastAsia="Calibri" w:hAnsi="Calibri" w:cs="Calibri"/>
          <w:b/>
          <w:color w:val="2E74B5"/>
          <w:sz w:val="26"/>
          <w:szCs w:val="26"/>
          <w:lang w:eastAsia="en-US"/>
        </w:rPr>
      </w:pPr>
      <w:r w:rsidRPr="00FF1E7F">
        <w:rPr>
          <w:rFonts w:ascii="Calibri" w:eastAsia="Calibri" w:hAnsi="Calibri" w:cs="Calibri"/>
          <w:b/>
          <w:color w:val="2E74B5"/>
          <w:sz w:val="26"/>
          <w:szCs w:val="26"/>
          <w:lang w:eastAsia="en-US"/>
        </w:rPr>
        <w:t>Fundacja Pro – prawo do życia</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Plac Jana Henryka Dąbrowskiego 2/4/32</w:t>
      </w:r>
    </w:p>
    <w:p w:rsidR="00FF1E7F" w:rsidRPr="00FF1E7F" w:rsidRDefault="00FF1E7F" w:rsidP="00CE5C5B">
      <w:pPr>
        <w:spacing w:after="0" w:line="240" w:lineRule="auto"/>
        <w:jc w:val="center"/>
        <w:rPr>
          <w:rFonts w:ascii="Calibri" w:eastAsia="Calibri" w:hAnsi="Calibri" w:cs="Calibri"/>
          <w:i/>
          <w:color w:val="2E74B5"/>
          <w:sz w:val="26"/>
          <w:szCs w:val="26"/>
          <w:lang w:eastAsia="en-US"/>
        </w:rPr>
      </w:pPr>
      <w:r w:rsidRPr="00FF1E7F">
        <w:rPr>
          <w:rFonts w:ascii="Calibri" w:eastAsia="Calibri" w:hAnsi="Calibri" w:cs="Calibri"/>
          <w:i/>
          <w:color w:val="2E74B5"/>
          <w:sz w:val="26"/>
          <w:szCs w:val="26"/>
          <w:lang w:eastAsia="en-US"/>
        </w:rPr>
        <w:t>00-055 Warszawa</w:t>
      </w:r>
    </w:p>
    <w:p w:rsidR="00FF1E7F" w:rsidRPr="00FF1E7F" w:rsidRDefault="00FF1E7F" w:rsidP="00CE5C5B">
      <w:pPr>
        <w:spacing w:after="0" w:line="240" w:lineRule="auto"/>
        <w:rPr>
          <w:rFonts w:ascii="Calibri" w:eastAsia="Calibri" w:hAnsi="Calibri" w:cs="Calibri"/>
          <w:color w:val="2E74B5"/>
          <w:sz w:val="26"/>
          <w:szCs w:val="26"/>
          <w:lang w:eastAsia="en-US"/>
        </w:rPr>
      </w:pPr>
    </w:p>
    <w:p w:rsidR="00FF1E7F" w:rsidRPr="00FF1E7F" w:rsidRDefault="00FF1E7F" w:rsidP="00CE5C5B">
      <w:pPr>
        <w:spacing w:after="0" w:line="240" w:lineRule="auto"/>
        <w:jc w:val="center"/>
        <w:rPr>
          <w:rFonts w:ascii="Calibri" w:eastAsia="Calibri" w:hAnsi="Calibri" w:cs="Calibri"/>
          <w:b/>
          <w:color w:val="2E74B5"/>
          <w:sz w:val="26"/>
          <w:szCs w:val="26"/>
          <w:lang w:eastAsia="en-US"/>
        </w:rPr>
      </w:pPr>
      <w:r w:rsidRPr="00FF1E7F">
        <w:rPr>
          <w:rFonts w:ascii="Calibri" w:eastAsia="Calibri" w:hAnsi="Calibri" w:cs="Calibri"/>
          <w:b/>
          <w:color w:val="2E74B5"/>
          <w:sz w:val="26"/>
          <w:szCs w:val="26"/>
          <w:lang w:eastAsia="en-US"/>
        </w:rPr>
        <w:t>Instytut Ordo Caritatis</w:t>
      </w:r>
    </w:p>
    <w:p w:rsidR="00FF1E7F" w:rsidRPr="00391030" w:rsidRDefault="00FF1E7F" w:rsidP="00CE5C5B">
      <w:pPr>
        <w:spacing w:after="0" w:line="240" w:lineRule="auto"/>
        <w:jc w:val="center"/>
        <w:rPr>
          <w:rFonts w:ascii="Calibri" w:eastAsia="Calibri" w:hAnsi="Calibri" w:cs="Calibri"/>
          <w:i/>
          <w:color w:val="2E74B5"/>
          <w:sz w:val="26"/>
          <w:szCs w:val="26"/>
          <w:lang w:val="en-GB" w:eastAsia="en-US"/>
        </w:rPr>
      </w:pPr>
      <w:r w:rsidRPr="00391030">
        <w:rPr>
          <w:rFonts w:ascii="Calibri" w:eastAsia="Calibri" w:hAnsi="Calibri" w:cs="Calibri"/>
          <w:i/>
          <w:color w:val="2E74B5"/>
          <w:sz w:val="26"/>
          <w:szCs w:val="26"/>
          <w:lang w:val="en-GB" w:eastAsia="en-US"/>
        </w:rPr>
        <w:t>ul. Dąbrówki 7</w:t>
      </w:r>
    </w:p>
    <w:p w:rsidR="00FF1E7F" w:rsidRPr="00CE5C5B" w:rsidRDefault="00FF1E7F" w:rsidP="00CE5C5B">
      <w:pPr>
        <w:spacing w:after="0" w:line="240" w:lineRule="auto"/>
        <w:jc w:val="center"/>
        <w:rPr>
          <w:rFonts w:ascii="Calibri" w:eastAsia="Calibri" w:hAnsi="Calibri" w:cs="Calibri"/>
          <w:color w:val="2E74B5"/>
          <w:sz w:val="26"/>
          <w:szCs w:val="26"/>
          <w:lang w:val="en-GB" w:eastAsia="en-US"/>
        </w:rPr>
      </w:pPr>
      <w:r w:rsidRPr="00391030">
        <w:rPr>
          <w:rFonts w:ascii="Calibri" w:eastAsia="Calibri" w:hAnsi="Calibri" w:cs="Calibri"/>
          <w:i/>
          <w:color w:val="2E74B5"/>
          <w:sz w:val="26"/>
          <w:szCs w:val="26"/>
          <w:lang w:val="en-GB" w:eastAsia="en-US"/>
        </w:rPr>
        <w:t>62-006 Kobylnica</w:t>
      </w:r>
    </w:p>
    <w:p w:rsidR="00FF1E7F" w:rsidRPr="00FF1E7F" w:rsidRDefault="00FF1E7F" w:rsidP="00FF1E7F">
      <w:pPr>
        <w:keepNext/>
        <w:keepLines/>
        <w:spacing w:before="480" w:after="240"/>
        <w:outlineLvl w:val="0"/>
        <w:rPr>
          <w:rFonts w:asciiTheme="majorHAnsi" w:eastAsiaTheme="majorEastAsia" w:hAnsiTheme="majorHAnsi" w:cstheme="majorBidi"/>
          <w:b/>
          <w:bCs/>
          <w:color w:val="2E74B5" w:themeColor="accent1" w:themeShade="BF"/>
          <w:sz w:val="28"/>
          <w:szCs w:val="28"/>
          <w:lang w:val="en-GB" w:eastAsia="en-US"/>
        </w:rPr>
      </w:pPr>
      <w:r w:rsidRPr="00FF1E7F">
        <w:rPr>
          <w:rFonts w:asciiTheme="majorHAnsi" w:eastAsiaTheme="majorEastAsia" w:hAnsiTheme="majorHAnsi" w:cstheme="majorBidi"/>
          <w:b/>
          <w:bCs/>
          <w:color w:val="2E74B5" w:themeColor="accent1" w:themeShade="BF"/>
          <w:sz w:val="28"/>
          <w:szCs w:val="28"/>
          <w:lang w:val="en-GB" w:eastAsia="en-US"/>
        </w:rPr>
        <w:lastRenderedPageBreak/>
        <w:t xml:space="preserve">Constitutional and legal framework within which the Covenant is implemented </w:t>
      </w: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r w:rsidRPr="00FF1E7F">
        <w:rPr>
          <w:rFonts w:ascii="Times New Roman" w:eastAsiaTheme="minorHAnsi" w:hAnsi="Times New Roman" w:cs="Times New Roman"/>
          <w:sz w:val="24"/>
          <w:lang w:val="en-GB" w:eastAsia="en-US"/>
        </w:rPr>
        <w:t>Current Polish legislations poses no threat to the independence of the Constitutional Tribunal (CT). The law of 13 December 2016 declared null and void all the previous regulations, including amendments of November and December 2015 and July 2016. There are controversies over current composition of the Tribunal, but the law itself provides full independence of the judges, that are selected by the Parliament for a 9-year term and cannot be revoked – and this system has been there for more than 20 years already.</w:t>
      </w: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r w:rsidRPr="00FF1E7F">
        <w:rPr>
          <w:rFonts w:ascii="Times New Roman" w:eastAsiaTheme="minorHAnsi" w:hAnsi="Times New Roman" w:cs="Times New Roman"/>
          <w:sz w:val="24"/>
          <w:lang w:val="en-GB" w:eastAsia="en-US"/>
        </w:rPr>
        <w:t>It is true that three previous verdicts of the CT were not published in official journal of the state (as the government deemed them to be served with breach of procedures) but they only pertained to laws that are now revoked, and therefore lack of their proper publishing should rather be viewed as failure to perform duties by the public officials, than a threat to integrity of the legal system.</w:t>
      </w: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r w:rsidRPr="00FF1E7F">
        <w:rPr>
          <w:rFonts w:ascii="Times New Roman" w:eastAsiaTheme="minorHAnsi" w:hAnsi="Times New Roman" w:cs="Times New Roman"/>
          <w:sz w:val="24"/>
          <w:lang w:val="en-GB" w:eastAsia="en-US"/>
        </w:rPr>
        <w:t>It is worth noting, that some members of the Polish parliamentary opposition, as well as judiciary and the Commissioner for Human Rights frequently undermined legitimation of the CT, solely on the basis of its controversial composition. On the other hand, members of the ruling party have slandered judiciary as a whole on many occasions. This may be considered as a threat, as it diminishes public trust in judges and may result in disregarding courts by the society.</w:t>
      </w:r>
    </w:p>
    <w:p w:rsidR="00087677" w:rsidRPr="00FF1E7F" w:rsidRDefault="00087677" w:rsidP="00FF1E7F">
      <w:pPr>
        <w:spacing w:after="240"/>
        <w:rPr>
          <w:rFonts w:eastAsiaTheme="minorHAnsi"/>
          <w:lang w:val="en-GB" w:eastAsia="en-US"/>
        </w:rPr>
      </w:pPr>
    </w:p>
    <w:p w:rsidR="00FF1E7F" w:rsidRPr="00FF1E7F" w:rsidRDefault="00FF1E7F" w:rsidP="00FF1E7F">
      <w:pPr>
        <w:keepNext/>
        <w:keepLines/>
        <w:spacing w:before="480" w:after="240"/>
        <w:outlineLvl w:val="0"/>
        <w:rPr>
          <w:rFonts w:asciiTheme="majorHAnsi" w:eastAsia="Calibri" w:hAnsiTheme="majorHAnsi" w:cstheme="majorBidi"/>
          <w:b/>
          <w:bCs/>
          <w:color w:val="2E74B5" w:themeColor="accent1" w:themeShade="BF"/>
          <w:sz w:val="32"/>
          <w:szCs w:val="24"/>
          <w:highlight w:val="yellow"/>
          <w:lang w:val="en-GB" w:eastAsia="en-US"/>
        </w:rPr>
      </w:pPr>
      <w:r w:rsidRPr="00FF1E7F">
        <w:rPr>
          <w:rFonts w:asciiTheme="majorHAnsi" w:eastAsiaTheme="majorEastAsia" w:hAnsiTheme="majorHAnsi" w:cstheme="majorBidi"/>
          <w:b/>
          <w:bCs/>
          <w:color w:val="2E74B5" w:themeColor="accent1" w:themeShade="BF"/>
          <w:sz w:val="28"/>
          <w:szCs w:val="28"/>
          <w:lang w:val="en-GB" w:eastAsia="en-US"/>
        </w:rPr>
        <w:t>Voluntary termination of pregnancy</w:t>
      </w:r>
    </w:p>
    <w:p w:rsidR="00FF1E7F" w:rsidRPr="00FF1E7F" w:rsidRDefault="00FF1E7F" w:rsidP="00FF1E7F">
      <w:pPr>
        <w:suppressAutoHyphens/>
        <w:spacing w:after="240" w:line="360" w:lineRule="auto"/>
        <w:ind w:right="1134"/>
        <w:jc w:val="both"/>
        <w:rPr>
          <w:rFonts w:ascii="Times New Roman" w:eastAsia="Calibri" w:hAnsi="Times New Roman" w:cs="Times New Roman"/>
          <w:b/>
          <w:sz w:val="24"/>
          <w:szCs w:val="24"/>
          <w:highlight w:val="yellow"/>
          <w:lang w:val="en-GB" w:eastAsia="zh-CN"/>
        </w:rPr>
      </w:pPr>
    </w:p>
    <w:p w:rsidR="00FF1E7F" w:rsidRPr="00FF1E7F" w:rsidRDefault="00FF1E7F" w:rsidP="00FF1E7F">
      <w:pPr>
        <w:keepNext/>
        <w:keepLines/>
        <w:numPr>
          <w:ilvl w:val="0"/>
          <w:numId w:val="8"/>
        </w:numPr>
        <w:spacing w:before="200" w:after="240"/>
        <w:outlineLvl w:val="1"/>
        <w:rPr>
          <w:rFonts w:asciiTheme="majorHAnsi" w:eastAsia="Calibri" w:hAnsiTheme="majorHAnsi" w:cstheme="majorBidi"/>
          <w:b/>
          <w:bCs/>
          <w:color w:val="5B9BD5" w:themeColor="accent1"/>
          <w:sz w:val="26"/>
          <w:szCs w:val="26"/>
          <w:lang w:val="en-GB" w:eastAsia="en-US"/>
        </w:rPr>
      </w:pPr>
      <w:r w:rsidRPr="00FF1E7F">
        <w:rPr>
          <w:rFonts w:asciiTheme="majorHAnsi" w:eastAsia="Calibri" w:hAnsiTheme="majorHAnsi" w:cstheme="majorBidi"/>
          <w:b/>
          <w:bCs/>
          <w:color w:val="5B9BD5" w:themeColor="accent1"/>
          <w:sz w:val="26"/>
          <w:szCs w:val="26"/>
          <w:lang w:val="en-GB" w:eastAsia="en-US"/>
        </w:rPr>
        <w:t>Abortion procedures</w:t>
      </w:r>
    </w:p>
    <w:p w:rsidR="00FF1E7F" w:rsidRPr="00FF1E7F" w:rsidRDefault="00FF1E7F" w:rsidP="00FF1E7F">
      <w:pPr>
        <w:spacing w:after="240"/>
        <w:rPr>
          <w:rFonts w:eastAsiaTheme="minorHAnsi"/>
          <w:lang w:val="en-GB" w:eastAsia="en-US"/>
        </w:rPr>
      </w:pPr>
    </w:p>
    <w:p w:rsidR="00FF1E7F" w:rsidRPr="00FF1E7F" w:rsidRDefault="00FF1E7F" w:rsidP="00FF1E7F">
      <w:pPr>
        <w:spacing w:after="240" w:line="360" w:lineRule="auto"/>
        <w:jc w:val="both"/>
        <w:rPr>
          <w:rFonts w:ascii="Times New Roman" w:eastAsia="Times New Roman" w:hAnsi="Times New Roman" w:cs="Times New Roman"/>
          <w:sz w:val="24"/>
          <w:szCs w:val="24"/>
          <w:lang w:val="en-GB"/>
        </w:rPr>
      </w:pPr>
      <w:r w:rsidRPr="00FF1E7F">
        <w:rPr>
          <w:rFonts w:ascii="Times New Roman" w:eastAsia="Times New Roman" w:hAnsi="Times New Roman" w:cs="Times New Roman"/>
          <w:sz w:val="24"/>
          <w:szCs w:val="24"/>
          <w:lang w:val="en-GB"/>
        </w:rPr>
        <w:t xml:space="preserve">Polish law, the supreme act of which is the </w:t>
      </w:r>
      <w:r w:rsidRPr="00FF1E7F">
        <w:rPr>
          <w:rFonts w:ascii="Times New Roman" w:eastAsia="Times New Roman" w:hAnsi="Times New Roman" w:cs="Times New Roman"/>
          <w:i/>
          <w:iCs/>
          <w:sz w:val="24"/>
          <w:szCs w:val="24"/>
          <w:lang w:val="en-GB"/>
        </w:rPr>
        <w:t>Constitution of the Republic of Poland</w:t>
      </w:r>
      <w:r w:rsidRPr="00FF1E7F">
        <w:rPr>
          <w:rFonts w:ascii="Times New Roman" w:eastAsia="Times New Roman" w:hAnsi="Times New Roman" w:cs="Times New Roman"/>
          <w:sz w:val="24"/>
          <w:szCs w:val="24"/>
          <w:lang w:val="en-GB"/>
        </w:rPr>
        <w:t xml:space="preserve"> (Article 30 in conjunction with Article 38 of the </w:t>
      </w:r>
      <w:r w:rsidRPr="00FF1E7F">
        <w:rPr>
          <w:rFonts w:ascii="Times New Roman" w:eastAsia="Times New Roman" w:hAnsi="Times New Roman" w:cs="Times New Roman"/>
          <w:i/>
          <w:iCs/>
          <w:sz w:val="24"/>
          <w:szCs w:val="24"/>
          <w:lang w:val="en-GB"/>
        </w:rPr>
        <w:t>Constitution of the Republic of Poland</w:t>
      </w:r>
      <w:r w:rsidRPr="00FF1E7F">
        <w:rPr>
          <w:rFonts w:ascii="Times New Roman" w:eastAsia="Calibri" w:hAnsi="Times New Roman" w:cs="Times New Roman"/>
          <w:sz w:val="24"/>
          <w:szCs w:val="24"/>
          <w:lang w:val="en-GB" w:eastAsia="en-US"/>
        </w:rPr>
        <w:t>)</w:t>
      </w:r>
      <w:r w:rsidRPr="00FF1E7F">
        <w:rPr>
          <w:rFonts w:ascii="Times New Roman" w:eastAsia="Calibri" w:hAnsi="Times New Roman" w:cs="Times New Roman"/>
          <w:sz w:val="24"/>
          <w:szCs w:val="24"/>
          <w:vertAlign w:val="superscript"/>
          <w:lang w:val="en-GB" w:eastAsia="en-US"/>
        </w:rPr>
        <w:footnoteReference w:id="1"/>
      </w:r>
      <w:r w:rsidRPr="00FF1E7F">
        <w:rPr>
          <w:rFonts w:ascii="Times New Roman" w:eastAsia="Calibri" w:hAnsi="Times New Roman" w:cs="Times New Roman"/>
          <w:sz w:val="24"/>
          <w:szCs w:val="24"/>
          <w:lang w:val="en-GB" w:eastAsia="en-US"/>
        </w:rPr>
        <w:t xml:space="preserve"> is a guardian of </w:t>
      </w:r>
      <w:r w:rsidRPr="00FF1E7F">
        <w:rPr>
          <w:rFonts w:ascii="Times New Roman" w:eastAsia="Times New Roman" w:hAnsi="Times New Roman" w:cs="Times New Roman"/>
          <w:sz w:val="24"/>
          <w:szCs w:val="24"/>
          <w:lang w:val="en-GB"/>
        </w:rPr>
        <w:t>human life at its every stage</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In 1997, the Constitutional Tribunal ruled in the case K 26/96 that there is no “sufficiently precise and justified criteria allowing for diversification of protection depending on the development phase of human life. Human life thus becomes a constitutionally protected value since its very onset. This also applies to the prenatal phase”.</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Situations which legally sanction prenatal murder performed during an abortion procedure are listed in </w:t>
      </w:r>
      <w:r w:rsidRPr="00FF1E7F">
        <w:rPr>
          <w:rFonts w:ascii="Times New Roman" w:eastAsia="Calibri" w:hAnsi="Times New Roman" w:cs="Times New Roman"/>
          <w:sz w:val="24"/>
          <w:szCs w:val="24"/>
          <w:lang w:val="en-GB" w:eastAsia="en-US"/>
        </w:rPr>
        <w:t xml:space="preserve">Article 4a of the currently binding </w:t>
      </w:r>
      <w:r w:rsidRPr="00FF1E7F">
        <w:rPr>
          <w:rFonts w:ascii="Times New Roman" w:eastAsia="Times New Roman" w:hAnsi="Times New Roman" w:cs="Times New Roman"/>
          <w:i/>
          <w:sz w:val="24"/>
          <w:szCs w:val="20"/>
          <w:lang w:val="en-GB"/>
        </w:rPr>
        <w:t>Act of</w:t>
      </w:r>
      <w:r w:rsidRPr="00FF1E7F">
        <w:rPr>
          <w:rFonts w:ascii="Times New Roman" w:eastAsiaTheme="minorHAnsi" w:hAnsi="Times New Roman" w:cs="Times New Roman"/>
          <w:i/>
          <w:sz w:val="24"/>
          <w:szCs w:val="20"/>
          <w:lang w:val="en-GB" w:eastAsia="en-US"/>
        </w:rPr>
        <w:t xml:space="preserve"> 7 January 1993 on </w:t>
      </w:r>
      <w:r w:rsidRPr="00FF1E7F">
        <w:rPr>
          <w:rFonts w:ascii="Times New Roman" w:eastAsia="Times New Roman" w:hAnsi="Times New Roman" w:cs="Times New Roman"/>
          <w:i/>
          <w:iCs/>
          <w:sz w:val="24"/>
          <w:szCs w:val="24"/>
          <w:lang w:val="en-GB"/>
        </w:rPr>
        <w:t>family planning, protection of human foetuses and the conditions under which pregnancy termination is permissible</w:t>
      </w:r>
      <w:r w:rsidRPr="00FF1E7F">
        <w:rPr>
          <w:rFonts w:ascii="Times New Roman" w:eastAsiaTheme="minorHAnsi" w:hAnsi="Times New Roman" w:cs="Times New Roman"/>
          <w:sz w:val="24"/>
          <w:szCs w:val="24"/>
          <w:vertAlign w:val="superscript"/>
          <w:lang w:val="en-GB" w:eastAsia="en-US"/>
        </w:rPr>
        <w:footnoteReference w:id="2"/>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However, it should be noted that these premises cannot be considered legal norms constructing </w:t>
      </w:r>
      <w:r w:rsidRPr="00FF1E7F">
        <w:rPr>
          <w:rFonts w:ascii="Times New Roman" w:eastAsia="Calibri" w:hAnsi="Times New Roman" w:cs="Times New Roman"/>
          <w:sz w:val="24"/>
          <w:szCs w:val="24"/>
          <w:lang w:val="en-GB" w:eastAsia="en-US"/>
        </w:rPr>
        <w:t>“</w:t>
      </w:r>
      <w:r w:rsidRPr="00FF1E7F">
        <w:rPr>
          <w:rFonts w:ascii="Times New Roman" w:eastAsia="Times New Roman" w:hAnsi="Times New Roman" w:cs="Times New Roman"/>
          <w:sz w:val="24"/>
          <w:szCs w:val="24"/>
          <w:lang w:val="en-GB"/>
        </w:rPr>
        <w:t>the right of a woman to terminate pregnancy</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Due to the fact that they constitute an exception to the guiding principle of protecting human life at its every stage, they are considered as justification. The issue of the legal nature of circumstances permitting termination of pregnancy was unequivocally resolved by the Supreme Court in the resolution of 22 February 2006, III CZP 8/06. In this resolution, the Supreme Court indicated that Articles 4a and 4b of the FP Act cannot be the basis for deeming the “right to abortion” to be a personal right. What is more, the Supreme Court emphasized that abortion cannot in any case be considered an element of family planning, and the right to have a child must be interpreted only in the positive aspect. In addition, already in the above mentioned case K 26/96 the Constitutional Tribunal ruled that “one cannot decide about having a child if the child is already in the prenatal phase and in this sense the parents already </w:t>
      </w:r>
      <w:r w:rsidRPr="00FF1E7F">
        <w:rPr>
          <w:rFonts w:ascii="Times New Roman" w:eastAsia="Times New Roman" w:hAnsi="Times New Roman" w:cs="Times New Roman"/>
          <w:i/>
          <w:iCs/>
          <w:sz w:val="24"/>
          <w:szCs w:val="24"/>
          <w:lang w:val="en-GB"/>
        </w:rPr>
        <w:t xml:space="preserve">have </w:t>
      </w:r>
      <w:r w:rsidRPr="00FF1E7F">
        <w:rPr>
          <w:rFonts w:ascii="Times New Roman" w:eastAsia="Times New Roman" w:hAnsi="Times New Roman" w:cs="Times New Roman"/>
          <w:sz w:val="24"/>
          <w:szCs w:val="24"/>
          <w:lang w:val="en-GB"/>
        </w:rPr>
        <w:t>the child. Therefore, the right to have a child can only be interpreted in the positive way and not as a right to annihilate a developing human foetus.” Exclusion of abortion as an element of family planning is also confirmed in the universal consensus of states contained in the </w:t>
      </w:r>
      <w:r w:rsidRPr="00FF1E7F">
        <w:rPr>
          <w:rFonts w:ascii="Times New Roman" w:eastAsia="Times New Roman" w:hAnsi="Times New Roman" w:cs="Times New Roman"/>
          <w:i/>
          <w:iCs/>
          <w:sz w:val="24"/>
          <w:szCs w:val="24"/>
          <w:lang w:val="en-GB"/>
        </w:rPr>
        <w:t>Programme of Action adopted at the International</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Conference on Population and Development</w:t>
      </w:r>
      <w:r w:rsidRPr="00FF1E7F">
        <w:rPr>
          <w:rFonts w:ascii="Times New Roman" w:eastAsia="Times New Roman" w:hAnsi="Times New Roman" w:cs="Times New Roman"/>
          <w:sz w:val="24"/>
          <w:szCs w:val="24"/>
          <w:lang w:val="en-GB"/>
        </w:rPr>
        <w:t xml:space="preserve"> of 1994. Item 8.25. of the afore mentioned Programme clearly states that abortion should not be perceived as a method of family planning under any circumstances</w:t>
      </w:r>
      <w:r w:rsidRPr="00FF1E7F">
        <w:rPr>
          <w:rFonts w:ascii="Times New Roman" w:eastAsia="Times New Roman" w:hAnsi="Times New Roman" w:cs="Times New Roman"/>
          <w:sz w:val="24"/>
          <w:szCs w:val="24"/>
          <w:vertAlign w:val="superscript"/>
          <w:lang w:val="en-GB"/>
        </w:rPr>
        <w:footnoteReference w:id="3"/>
      </w:r>
      <w:r w:rsidRPr="00FF1E7F">
        <w:rPr>
          <w:rFonts w:ascii="Times New Roman" w:eastAsia="Times New Roman" w:hAnsi="Times New Roman" w:cs="Times New Roman"/>
          <w:sz w:val="24"/>
          <w:szCs w:val="24"/>
          <w:lang w:val="en-GB"/>
        </w:rPr>
        <w:t xml:space="preserve">. </w:t>
      </w:r>
    </w:p>
    <w:p w:rsidR="00FF1E7F" w:rsidRPr="00FF1E7F" w:rsidRDefault="00FF1E7F" w:rsidP="00FF1E7F">
      <w:pPr>
        <w:spacing w:after="240" w:line="360" w:lineRule="auto"/>
        <w:jc w:val="both"/>
        <w:rPr>
          <w:rFonts w:ascii="Times New Roman" w:eastAsia="Calibri" w:hAnsi="Times New Roman" w:cs="Times New Roman"/>
          <w:sz w:val="24"/>
          <w:szCs w:val="24"/>
          <w:lang w:val="en-GB" w:eastAsia="en-US"/>
        </w:rPr>
      </w:pPr>
      <w:r w:rsidRPr="00FF1E7F">
        <w:rPr>
          <w:rFonts w:ascii="Times New Roman" w:eastAsia="Times New Roman" w:hAnsi="Times New Roman" w:cs="Times New Roman"/>
          <w:sz w:val="24"/>
          <w:szCs w:val="24"/>
          <w:lang w:val="en-GB"/>
        </w:rPr>
        <w:t>At the same time, medical research indicates that limited access to abortion has a positive effect on lower maternal mortality rates</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Thus, a higher level of protection of the child’s life correlates with lower risk for mothers’ life and health. Studies conducted by the</w:t>
      </w:r>
      <w:r w:rsidRPr="00FF1E7F">
        <w:rPr>
          <w:rFonts w:ascii="Times New Roman" w:eastAsia="Calibri" w:hAnsi="Times New Roman" w:cs="Times New Roman"/>
          <w:sz w:val="24"/>
          <w:szCs w:val="24"/>
          <w:lang w:val="en-GB" w:eastAsia="en-US"/>
        </w:rPr>
        <w:t xml:space="preserve"> University of Washington show that </w:t>
      </w:r>
      <w:r w:rsidRPr="00FF1E7F">
        <w:rPr>
          <w:rFonts w:ascii="Times New Roman" w:eastAsia="Times New Roman" w:hAnsi="Times New Roman" w:cs="Times New Roman"/>
          <w:sz w:val="24"/>
          <w:szCs w:val="24"/>
          <w:lang w:val="en-GB"/>
        </w:rPr>
        <w:t xml:space="preserve">Poland is a country with one of the lowest maternal mortality rates in the world and one of the few who managed to implement the postulates of the </w:t>
      </w:r>
      <w:r w:rsidRPr="00FF1E7F">
        <w:rPr>
          <w:rFonts w:ascii="Times New Roman" w:eastAsia="Calibri" w:hAnsi="Times New Roman" w:cs="Times New Roman"/>
          <w:i/>
          <w:iCs/>
          <w:sz w:val="24"/>
          <w:szCs w:val="24"/>
          <w:lang w:val="en-GB" w:eastAsia="en-US"/>
        </w:rPr>
        <w:t>Millennium Development Goals 2015</w:t>
      </w:r>
      <w:r w:rsidRPr="00FF1E7F">
        <w:rPr>
          <w:rFonts w:ascii="Times New Roman" w:eastAsia="Times" w:hAnsi="Times New Roman" w:cs="Times New Roman"/>
          <w:sz w:val="24"/>
          <w:szCs w:val="24"/>
          <w:vertAlign w:val="superscript"/>
          <w:lang w:val="en-GB" w:eastAsia="en-US"/>
        </w:rPr>
        <w:footnoteReference w:id="4"/>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In turn, according to the latest UN data, Poland – </w:t>
      </w:r>
      <w:r w:rsidRPr="00FF1E7F">
        <w:rPr>
          <w:rFonts w:ascii="Times New Roman" w:eastAsia="Times New Roman" w:hAnsi="Times New Roman" w:cs="Times New Roman"/>
          <w:i/>
          <w:iCs/>
          <w:sz w:val="24"/>
          <w:szCs w:val="24"/>
          <w:lang w:val="en-GB"/>
        </w:rPr>
        <w:t>ex aequo</w:t>
      </w:r>
      <w:r w:rsidRPr="00FF1E7F">
        <w:rPr>
          <w:rFonts w:ascii="Times New Roman" w:eastAsia="Times New Roman" w:hAnsi="Times New Roman" w:cs="Times New Roman"/>
          <w:sz w:val="24"/>
          <w:szCs w:val="24"/>
          <w:lang w:val="en-GB"/>
        </w:rPr>
        <w:t xml:space="preserve"> with Iceland, Greece and Finland – is one of the top countries in terms of maternal mortality rates, which in 2015 amounted to only 3 in 100 000 births, which is currently the best result in the world</w:t>
      </w:r>
      <w:r w:rsidRPr="00FF1E7F">
        <w:rPr>
          <w:rFonts w:ascii="Times New Roman" w:eastAsia="Times" w:hAnsi="Times New Roman" w:cs="Times New Roman"/>
          <w:sz w:val="24"/>
          <w:szCs w:val="24"/>
          <w:vertAlign w:val="superscript"/>
          <w:lang w:val="en-GB" w:eastAsia="en-US"/>
        </w:rPr>
        <w:footnoteReference w:id="5"/>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Poland has achieved this result i.a. through limiting the access to abortion. In comparison with the year 1990, when abortion in Poland was available on request, mortality of mothers in Poland dropped by 82.4%. At present, in Poland we observe a much lower level of maternal mortality than in countries providing very broad access to abortion. Perinatal mortality in Poland is twice as low as in Germany (6/100 000) and in Canada (7/100 000), nearly three times lower than in France (8/100 000), three times lower than in Great Britain and nearly five times lower than in the US (14/100 000)</w:t>
      </w:r>
      <w:r w:rsidRPr="00FF1E7F">
        <w:rPr>
          <w:rFonts w:ascii="Times New Roman" w:eastAsia="Calibri" w:hAnsi="Times New Roman" w:cs="Times New Roman"/>
          <w:sz w:val="24"/>
          <w:szCs w:val="24"/>
          <w:vertAlign w:val="superscript"/>
          <w:lang w:val="en-GB" w:eastAsia="en-US"/>
        </w:rPr>
        <w:footnoteReference w:id="6"/>
      </w:r>
      <w:r w:rsidRPr="00FF1E7F">
        <w:rPr>
          <w:rFonts w:ascii="Times New Roman" w:eastAsia="Calibri" w:hAnsi="Times New Roman" w:cs="Times New Roman"/>
          <w:sz w:val="24"/>
          <w:szCs w:val="24"/>
          <w:lang w:val="en-GB" w:eastAsia="en-US"/>
        </w:rPr>
        <w:t xml:space="preserve">. </w:t>
      </w:r>
    </w:p>
    <w:p w:rsidR="00FF1E7F" w:rsidRPr="00FF1E7F" w:rsidRDefault="00FF1E7F" w:rsidP="00FF1E7F">
      <w:pPr>
        <w:keepNext/>
        <w:keepLines/>
        <w:spacing w:before="200" w:after="240"/>
        <w:outlineLvl w:val="1"/>
        <w:rPr>
          <w:rFonts w:asciiTheme="majorHAnsi" w:eastAsia="Calibri" w:hAnsiTheme="majorHAnsi" w:cstheme="majorBidi"/>
          <w:b/>
          <w:bCs/>
          <w:color w:val="5B9BD5" w:themeColor="accent1"/>
          <w:sz w:val="26"/>
          <w:szCs w:val="26"/>
          <w:lang w:val="en-GB" w:eastAsia="en-US"/>
        </w:rPr>
      </w:pPr>
    </w:p>
    <w:p w:rsidR="00FF1E7F" w:rsidRPr="00FF1E7F" w:rsidRDefault="00FF1E7F" w:rsidP="00FF1E7F">
      <w:pPr>
        <w:keepNext/>
        <w:keepLines/>
        <w:numPr>
          <w:ilvl w:val="0"/>
          <w:numId w:val="8"/>
        </w:numPr>
        <w:spacing w:before="200" w:after="240"/>
        <w:outlineLvl w:val="1"/>
        <w:rPr>
          <w:rFonts w:asciiTheme="majorHAnsi" w:eastAsia="Calibri" w:hAnsiTheme="majorHAnsi" w:cstheme="majorBidi"/>
          <w:b/>
          <w:bCs/>
          <w:color w:val="5B9BD5" w:themeColor="accent1"/>
          <w:sz w:val="26"/>
          <w:szCs w:val="26"/>
          <w:lang w:val="en-GB" w:eastAsia="en-US"/>
        </w:rPr>
      </w:pPr>
      <w:r w:rsidRPr="00FF1E7F">
        <w:rPr>
          <w:rFonts w:asciiTheme="majorHAnsi" w:eastAsia="Calibri" w:hAnsiTheme="majorHAnsi" w:cstheme="majorBidi"/>
          <w:b/>
          <w:bCs/>
          <w:color w:val="5B9BD5" w:themeColor="accent1"/>
          <w:sz w:val="26"/>
          <w:szCs w:val="26"/>
          <w:lang w:val="en-GB" w:eastAsia="en-US"/>
        </w:rPr>
        <w:t xml:space="preserve">Statistics on illegal abortions </w:t>
      </w:r>
    </w:p>
    <w:p w:rsidR="00FF1E7F" w:rsidRPr="00FF1E7F" w:rsidRDefault="00FF1E7F" w:rsidP="00FF1E7F">
      <w:pPr>
        <w:spacing w:after="240"/>
        <w:rPr>
          <w:rFonts w:eastAsiaTheme="minorHAnsi"/>
          <w:lang w:val="en-GB" w:eastAsia="en-US"/>
        </w:rPr>
      </w:pPr>
    </w:p>
    <w:p w:rsidR="00FF1E7F" w:rsidRPr="00FF1E7F" w:rsidRDefault="00FF1E7F" w:rsidP="00FF1E7F">
      <w:pPr>
        <w:suppressAutoHyphens/>
        <w:spacing w:after="240" w:line="360" w:lineRule="auto"/>
        <w:jc w:val="both"/>
        <w:rPr>
          <w:rFonts w:ascii="Times New Roman" w:eastAsiaTheme="minorHAnsi" w:hAnsi="Times New Roman" w:cs="Times New Roman"/>
          <w:sz w:val="24"/>
          <w:szCs w:val="24"/>
          <w:lang w:val="en-GB" w:eastAsia="en-US"/>
        </w:rPr>
      </w:pPr>
      <w:r w:rsidRPr="00FF1E7F">
        <w:rPr>
          <w:rFonts w:ascii="Times New Roman" w:eastAsia="Times New Roman" w:hAnsi="Times New Roman" w:cs="Times New Roman"/>
          <w:sz w:val="24"/>
          <w:szCs w:val="24"/>
          <w:lang w:val="en-GB"/>
        </w:rPr>
        <w:t>The number of illegal abortions given by the media, estimated to lie between 80 and 200 thousand</w:t>
      </w:r>
      <w:bookmarkStart w:id="1" w:name="_ftnref7"/>
      <w:bookmarkEnd w:id="1"/>
      <w:r w:rsidRPr="00FF1E7F">
        <w:rPr>
          <w:rFonts w:ascii="Times New Roman" w:eastAsia="Times New Roman" w:hAnsi="Times New Roman" w:cs="Times New Roman"/>
          <w:sz w:val="24"/>
          <w:szCs w:val="24"/>
          <w:lang w:val="en-GB"/>
        </w:rPr>
        <w:t xml:space="preserve"> per year</w:t>
      </w:r>
      <w:r w:rsidRPr="00FF1E7F">
        <w:rPr>
          <w:rFonts w:ascii="Times New Roman" w:eastAsia="Times New Roman" w:hAnsi="Times New Roman" w:cs="Times New Roman"/>
          <w:sz w:val="24"/>
          <w:szCs w:val="24"/>
          <w:vertAlign w:val="superscript"/>
          <w:lang w:val="en-GB"/>
        </w:rPr>
        <w:footnoteReference w:id="7"/>
      </w:r>
      <w:r w:rsidRPr="00FF1E7F">
        <w:rPr>
          <w:rFonts w:ascii="Times New Roman" w:eastAsia="Times New Roman" w:hAnsi="Times New Roman" w:cs="Times New Roman"/>
          <w:sz w:val="24"/>
          <w:szCs w:val="24"/>
          <w:lang w:val="en-GB"/>
        </w:rPr>
        <w:t>, is based on erroneous premises that significantly decrease credibility of the published data. This estimate is based on conclusions drawn from facts that are irrelevant to the number of illegal abortions</w:t>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These include primarily: decline in the number of births in Poland (this trend is shaped in Poland by objective factors such as unemployment, ineffective family-oriented policy of the state, significant increase in women’s education and not by the number of illegal abortions</w:t>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the scale of illegal abortions in Lithuania, Latvia and the Czech Republic, where the social and health situation of these countries is incomparable to the situation in Poland. Lack of credibility of the published estimate is confirmed by facts such as</w:t>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higher awareness of Polish society of protection of life of a conceived child</w:t>
      </w:r>
      <w:r w:rsidRPr="00FF1E7F">
        <w:rPr>
          <w:rFonts w:ascii="Times New Roman" w:eastAsia="Calibri" w:hAnsi="Times New Roman" w:cs="Times New Roman"/>
          <w:sz w:val="24"/>
          <w:szCs w:val="24"/>
          <w:vertAlign w:val="superscript"/>
          <w:lang w:val="en-GB" w:eastAsia="zh-CN"/>
        </w:rPr>
        <w:footnoteReference w:id="8"/>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decrease in the number of deaths of women related to pregnancy and post-partum</w:t>
      </w:r>
      <w:r w:rsidRPr="00FF1E7F">
        <w:rPr>
          <w:rFonts w:ascii="Times New Roman" w:eastAsia="Calibri" w:hAnsi="Times New Roman" w:cs="Times New Roman"/>
          <w:sz w:val="24"/>
          <w:szCs w:val="24"/>
          <w:vertAlign w:val="superscript"/>
          <w:lang w:val="en-GB" w:eastAsia="zh-CN"/>
        </w:rPr>
        <w:footnoteReference w:id="9"/>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decrease in the number of spontaneous abortions</w:t>
      </w:r>
      <w:r w:rsidRPr="00FF1E7F">
        <w:rPr>
          <w:rFonts w:ascii="Times New Roman" w:eastAsia="Calibri" w:hAnsi="Times New Roman" w:cs="Times New Roman"/>
          <w:sz w:val="24"/>
          <w:szCs w:val="24"/>
          <w:vertAlign w:val="superscript"/>
          <w:lang w:val="en-GB" w:eastAsia="zh-CN"/>
        </w:rPr>
        <w:footnoteReference w:id="10"/>
      </w:r>
      <w:r w:rsidRPr="00FF1E7F">
        <w:rPr>
          <w:rFonts w:ascii="Times New Roman" w:eastAsia="Calibri"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The most reliable source of estimates of the scale of the phenomenon in Poland is data from 1997 (the one-year long period during which the amendment to the FP Act of 30 August 1996 was in force, allowing the so-called abortion on request</w:t>
      </w:r>
      <w:r w:rsidRPr="00FF1E7F">
        <w:rPr>
          <w:rFonts w:ascii="Times New Roman" w:eastAsiaTheme="minorHAnsi" w:hAnsi="Times New Roman" w:cs="Times New Roman"/>
          <w:sz w:val="24"/>
          <w:lang w:val="en-GB" w:eastAsia="en-US"/>
        </w:rPr>
        <w:t>)</w:t>
      </w:r>
      <w:r w:rsidRPr="00FF1E7F">
        <w:rPr>
          <w:rFonts w:ascii="Times New Roman" w:eastAsiaTheme="minorHAnsi" w:hAnsi="Times New Roman" w:cs="Times New Roman"/>
          <w:sz w:val="24"/>
          <w:vertAlign w:val="superscript"/>
          <w:lang w:val="en-GB" w:eastAsia="en-US"/>
        </w:rPr>
        <w:footnoteReference w:id="11"/>
      </w:r>
      <w:r w:rsidRPr="00FF1E7F">
        <w:rPr>
          <w:rFonts w:ascii="Times New Roman" w:eastAsiaTheme="minorHAnsi" w:hAnsi="Times New Roman" w:cs="Times New Roman"/>
          <w:sz w:val="24"/>
          <w:lang w:val="en-GB" w:eastAsia="en-US"/>
        </w:rPr>
        <w:t xml:space="preserve">. </w:t>
      </w:r>
      <w:r w:rsidRPr="00FF1E7F">
        <w:rPr>
          <w:rFonts w:ascii="Times New Roman" w:eastAsia="Times New Roman" w:hAnsi="Times New Roman" w:cs="Times New Roman"/>
          <w:sz w:val="24"/>
          <w:szCs w:val="24"/>
          <w:lang w:val="en-GB"/>
        </w:rPr>
        <w:t>The number of pregnancies terminated in 1997 amounted to 3047, under conditions of legality also of abortion on request, in good sanitary conditions and free of charge. The above number, including abortions made on request, was then multiplied by the ratio of the number of legal abortions to the number of illegal abortions in the conditions of admissibility of termination of pregnancy, developed by demographers</w:t>
      </w:r>
      <w:r w:rsidRPr="00FF1E7F">
        <w:rPr>
          <w:rFonts w:ascii="Times New Roman" w:eastAsia="SimSun"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Indices developed by demographers defined the ratio as 1:2 or as 1:4</w:t>
      </w:r>
      <w:r w:rsidRPr="00FF1E7F">
        <w:rPr>
          <w:rFonts w:ascii="Times New Roman" w:eastAsia="SimSun" w:hAnsi="Times New Roman" w:cs="Times New Roman"/>
          <w:sz w:val="24"/>
          <w:szCs w:val="24"/>
          <w:lang w:val="en-GB" w:eastAsia="zh-CN"/>
        </w:rPr>
        <w:t>.</w:t>
      </w:r>
      <w:r w:rsidRPr="00FF1E7F">
        <w:rPr>
          <w:rFonts w:ascii="Times New Roman" w:eastAsia="SimSun" w:hAnsi="Times New Roman" w:cs="Times New Roman"/>
          <w:sz w:val="24"/>
          <w:szCs w:val="24"/>
          <w:vertAlign w:val="superscript"/>
          <w:lang w:val="en-GB" w:eastAsia="zh-CN"/>
        </w:rPr>
        <w:footnoteReference w:id="12"/>
      </w:r>
      <w:r w:rsidRPr="00FF1E7F">
        <w:rPr>
          <w:rFonts w:ascii="Times New Roman" w:eastAsia="SimSun"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According to the 1:4 ratio, the estimated number of illegal abortions is 13 000, whereas assuming the ratio of 1:2, we calculate that 7 thousand illegal abortions are performed annually</w:t>
      </w:r>
      <w:r w:rsidRPr="00FF1E7F">
        <w:rPr>
          <w:rFonts w:ascii="Times New Roman" w:eastAsia="SimSun"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Bearing in mind the above facts, reliable estimates place the number of illegal abortions in the range of 7-13 thousand annually, which is significantly different from the 80-200 thousand illegal abortions annually reported in the media</w:t>
      </w:r>
      <w:r w:rsidRPr="00FF1E7F">
        <w:rPr>
          <w:rFonts w:ascii="Times New Roman" w:eastAsia="SimSun" w:hAnsi="Times New Roman" w:cs="Times New Roman"/>
          <w:sz w:val="24"/>
          <w:szCs w:val="24"/>
          <w:lang w:val="en-GB" w:eastAsia="zh-CN"/>
        </w:rPr>
        <w:t>.</w:t>
      </w:r>
      <w:r w:rsidRPr="00FF1E7F">
        <w:rPr>
          <w:rFonts w:ascii="Times New Roman" w:eastAsia="SimSun" w:hAnsi="Times New Roman" w:cs="Times New Roman"/>
          <w:sz w:val="24"/>
          <w:szCs w:val="24"/>
          <w:vertAlign w:val="superscript"/>
          <w:lang w:val="en-GB" w:eastAsia="zh-CN"/>
        </w:rPr>
        <w:footnoteReference w:id="13"/>
      </w:r>
    </w:p>
    <w:p w:rsidR="00FF1E7F" w:rsidRPr="00FF1E7F" w:rsidRDefault="00FF1E7F" w:rsidP="00FF1E7F">
      <w:pPr>
        <w:suppressAutoHyphens/>
        <w:spacing w:after="240" w:line="360" w:lineRule="auto"/>
        <w:ind w:right="1134"/>
        <w:jc w:val="both"/>
        <w:rPr>
          <w:rFonts w:ascii="Times New Roman" w:eastAsia="Calibri" w:hAnsi="Times New Roman" w:cs="Times New Roman"/>
          <w:sz w:val="24"/>
          <w:szCs w:val="24"/>
          <w:lang w:val="en-GB" w:eastAsia="zh-CN"/>
        </w:rPr>
      </w:pPr>
    </w:p>
    <w:p w:rsidR="00FF1E7F" w:rsidRPr="00FF1E7F" w:rsidRDefault="00FF1E7F" w:rsidP="00FF1E7F">
      <w:pPr>
        <w:keepNext/>
        <w:keepLines/>
        <w:numPr>
          <w:ilvl w:val="0"/>
          <w:numId w:val="8"/>
        </w:numPr>
        <w:spacing w:before="200" w:after="240"/>
        <w:outlineLvl w:val="1"/>
        <w:rPr>
          <w:rFonts w:asciiTheme="majorHAnsi" w:eastAsia="Calibri" w:hAnsiTheme="majorHAnsi" w:cstheme="majorBidi"/>
          <w:b/>
          <w:bCs/>
          <w:color w:val="5B9BD5" w:themeColor="accent1"/>
          <w:sz w:val="26"/>
          <w:szCs w:val="26"/>
          <w:lang w:val="en-GB" w:eastAsia="en-US"/>
        </w:rPr>
      </w:pPr>
      <w:r w:rsidRPr="00FF1E7F">
        <w:rPr>
          <w:rFonts w:asciiTheme="majorHAnsi" w:eastAsia="Calibri" w:hAnsiTheme="majorHAnsi" w:cstheme="majorBidi"/>
          <w:b/>
          <w:bCs/>
          <w:color w:val="5B9BD5" w:themeColor="accent1"/>
          <w:sz w:val="26"/>
          <w:szCs w:val="26"/>
          <w:lang w:val="en-GB" w:eastAsia="en-US"/>
        </w:rPr>
        <w:t>Application of the “conscience clause”</w:t>
      </w:r>
    </w:p>
    <w:p w:rsidR="00FF1E7F" w:rsidRPr="00FF1E7F" w:rsidRDefault="00FF1E7F" w:rsidP="00FF1E7F">
      <w:pPr>
        <w:spacing w:after="240"/>
        <w:rPr>
          <w:rFonts w:eastAsiaTheme="minorHAnsi"/>
          <w:lang w:val="en-GB" w:eastAsia="en-US"/>
        </w:rPr>
      </w:pPr>
    </w:p>
    <w:p w:rsidR="00FF1E7F" w:rsidRPr="00FF1E7F" w:rsidRDefault="00FF1E7F" w:rsidP="00FF1E7F">
      <w:pPr>
        <w:spacing w:before="100" w:beforeAutospacing="1" w:after="240" w:line="360" w:lineRule="auto"/>
        <w:jc w:val="both"/>
        <w:rPr>
          <w:rFonts w:ascii="Times New Roman" w:eastAsia="Times New Roman" w:hAnsi="Times New Roman" w:cs="Times New Roman"/>
          <w:sz w:val="24"/>
          <w:szCs w:val="24"/>
          <w:lang w:val="en-GB"/>
        </w:rPr>
      </w:pPr>
      <w:r w:rsidRPr="00FF1E7F">
        <w:rPr>
          <w:rFonts w:ascii="Times New Roman" w:eastAsia="Times New Roman" w:hAnsi="Times New Roman" w:cs="Times New Roman"/>
          <w:sz w:val="24"/>
          <w:szCs w:val="24"/>
          <w:lang w:val="en-GB"/>
        </w:rPr>
        <w:t xml:space="preserve">The right to freedom of conscience is guaranteed in Article 53 paragraph 1 of the </w:t>
      </w:r>
      <w:r w:rsidRPr="00FF1E7F">
        <w:rPr>
          <w:rFonts w:ascii="Times New Roman" w:eastAsia="Times New Roman" w:hAnsi="Times New Roman" w:cs="Times New Roman"/>
          <w:i/>
          <w:iCs/>
          <w:sz w:val="24"/>
          <w:szCs w:val="24"/>
          <w:lang w:val="en-GB"/>
        </w:rPr>
        <w:t>Constitution of the Republic of Poland</w:t>
      </w:r>
      <w:r w:rsidRPr="00FF1E7F">
        <w:rPr>
          <w:rFonts w:ascii="Times New Roman" w:eastAsia="Times New Roman" w:hAnsi="Times New Roman" w:cs="Times New Roman"/>
          <w:sz w:val="24"/>
          <w:szCs w:val="24"/>
          <w:lang w:val="en-GB"/>
        </w:rPr>
        <w:t xml:space="preserve"> , which states that “freedom of conscience and religion shall be guaranteed to everyone”. Recently, this question became the subject of a decision of the Constitutional Tribunal</w:t>
      </w:r>
      <w:r w:rsidRPr="00FF1E7F">
        <w:rPr>
          <w:rFonts w:ascii="Times New Roman" w:eastAsiaTheme="minorHAnsi" w:hAnsi="Times New Roman" w:cs="Times New Roman"/>
          <w:sz w:val="24"/>
          <w:szCs w:val="24"/>
          <w:vertAlign w:val="superscript"/>
          <w:lang w:val="en-GB"/>
        </w:rPr>
        <w:footnoteReference w:id="14"/>
      </w:r>
      <w:r w:rsidRPr="00FF1E7F">
        <w:rPr>
          <w:rFonts w:ascii="Times New Roman" w:eastAsia="Times New Roman" w:hAnsi="Times New Roman" w:cs="Times New Roman"/>
          <w:sz w:val="24"/>
          <w:szCs w:val="24"/>
          <w:lang w:val="en-GB"/>
        </w:rPr>
        <w:t>, which examined constitutionality of the provisions of the Act on the profession of doctor and dentist (Article 39 in conjunction with Article 30)</w:t>
      </w:r>
      <w:bookmarkStart w:id="2" w:name="_ftnref15"/>
      <w:bookmarkEnd w:id="2"/>
      <w:r w:rsidRPr="00FF1E7F">
        <w:rPr>
          <w:rFonts w:ascii="Times New Roman" w:eastAsia="Times New Roman" w:hAnsi="Times New Roman" w:cs="Times New Roman"/>
          <w:sz w:val="24"/>
          <w:szCs w:val="24"/>
          <w:vertAlign w:val="superscript"/>
          <w:lang w:val="en-GB"/>
        </w:rPr>
        <w:footnoteReference w:id="15"/>
      </w:r>
      <w:r w:rsidRPr="00FF1E7F">
        <w:rPr>
          <w:rFonts w:ascii="Times New Roman" w:eastAsia="Times New Roman" w:hAnsi="Times New Roman" w:cs="Times New Roman"/>
          <w:sz w:val="24"/>
          <w:szCs w:val="24"/>
          <w:lang w:val="en-GB"/>
        </w:rPr>
        <w:t xml:space="preserve"> with Article 53 paragraph 1 of the </w:t>
      </w:r>
      <w:r w:rsidRPr="00FF1E7F">
        <w:rPr>
          <w:rFonts w:ascii="Times New Roman" w:eastAsia="Times New Roman" w:hAnsi="Times New Roman" w:cs="Times New Roman"/>
          <w:i/>
          <w:iCs/>
          <w:sz w:val="24"/>
          <w:szCs w:val="24"/>
          <w:lang w:val="en-GB"/>
        </w:rPr>
        <w:t>Constitution of the</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Republic</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of</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Poland</w:t>
      </w:r>
      <w:r w:rsidRPr="00FF1E7F">
        <w:rPr>
          <w:rFonts w:ascii="Times New Roman" w:eastAsia="Times New Roman" w:hAnsi="Times New Roman" w:cs="Times New Roman"/>
          <w:sz w:val="24"/>
          <w:szCs w:val="24"/>
          <w:lang w:val="en-GB"/>
        </w:rPr>
        <w:t xml:space="preserve"> and unequivocally stated that “the right to conscientious objection should be recognized as primary right towards its limitations (...) Freedom of conscience – including this particular element of it, i.e. the conscientious objection – must be respected irrespective of whether there are statutory provisions confirming it. The legislator cannot shape or abolish this “privilege” at will, but must respect constitutional conditions of imposing restrictions on rights and freedoms of the man and citizen”</w:t>
      </w:r>
      <w:r w:rsidRPr="00FF1E7F">
        <w:rPr>
          <w:rFonts w:ascii="Times New Roman" w:eastAsia="Times New Roman" w:hAnsi="Times New Roman" w:cs="Times New Roman"/>
          <w:iCs/>
          <w:sz w:val="24"/>
          <w:szCs w:val="24"/>
          <w:lang w:val="en-GB"/>
        </w:rPr>
        <w:t xml:space="preserve">. </w:t>
      </w:r>
      <w:r w:rsidRPr="00FF1E7F">
        <w:rPr>
          <w:rFonts w:ascii="Times New Roman" w:eastAsia="Times New Roman" w:hAnsi="Times New Roman" w:cs="Times New Roman"/>
          <w:sz w:val="24"/>
          <w:szCs w:val="24"/>
          <w:lang w:val="en-GB"/>
        </w:rPr>
        <w:t>Thus, the Constitutional Tribunal considered provisions requiring a doctor to act contrary to his or her conscience in “emergency cases” unconstitutional, and also showed that “Article 39, first sentence of the Act (...) to the extent that it obliges a doctor refraining from performing a health service inconsistent with his or her conscience to indicate real possibility of obtaining such a service from another doctor or another medical entity, is inconsistent with Article 53 paragraph 1 in conjunction with Article 31 paragraph 3 of the Constitution”. The Constitutional Tribunal unequivocally stated that “the freedom of conscience, including the freedom of religion associated with it, is now a universal standard and one of the fundamental rights and freedoms of the man, and is reflected in numerous acts of international law.</w:t>
      </w:r>
      <w:r w:rsidRPr="00FF1E7F">
        <w:rPr>
          <w:rFonts w:ascii="Times New Roman" w:eastAsia="Times New Roman" w:hAnsi="Times New Roman" w:cs="Times New Roman"/>
          <w:iCs/>
          <w:sz w:val="24"/>
          <w:szCs w:val="24"/>
          <w:lang w:val="en-GB"/>
        </w:rPr>
        <w:t>”</w:t>
      </w:r>
      <w:r w:rsidRPr="00FF1E7F">
        <w:rPr>
          <w:rFonts w:ascii="Times New Roman" w:eastAsiaTheme="minorHAnsi" w:hAnsi="Times New Roman" w:cs="Times New Roman"/>
          <w:iCs/>
          <w:sz w:val="24"/>
          <w:szCs w:val="24"/>
          <w:vertAlign w:val="superscript"/>
          <w:lang w:val="en-GB"/>
        </w:rPr>
        <w:footnoteReference w:id="16"/>
      </w:r>
      <w:r w:rsidRPr="00FF1E7F">
        <w:rPr>
          <w:rFonts w:ascii="Times New Roman" w:eastAsia="Times New Roman" w:hAnsi="Times New Roman" w:cs="Times New Roman"/>
          <w:iCs/>
          <w:sz w:val="24"/>
          <w:szCs w:val="24"/>
          <w:lang w:val="en-GB"/>
        </w:rPr>
        <w:t xml:space="preserve">. </w:t>
      </w:r>
    </w:p>
    <w:p w:rsidR="00FF1E7F" w:rsidRDefault="00FF1E7F" w:rsidP="00CE5C5B">
      <w:pPr>
        <w:spacing w:before="100" w:beforeAutospacing="1" w:after="240" w:line="360" w:lineRule="auto"/>
        <w:jc w:val="both"/>
        <w:rPr>
          <w:rFonts w:ascii="Times New Roman" w:eastAsia="Times New Roman" w:hAnsi="Times New Roman" w:cs="Times New Roman"/>
          <w:sz w:val="24"/>
          <w:szCs w:val="24"/>
          <w:lang w:val="en-GB"/>
        </w:rPr>
      </w:pPr>
      <w:r w:rsidRPr="00FF1E7F">
        <w:rPr>
          <w:rFonts w:ascii="Times New Roman" w:eastAsia="Times New Roman" w:hAnsi="Times New Roman" w:cs="Times New Roman"/>
          <w:sz w:val="24"/>
          <w:szCs w:val="24"/>
          <w:lang w:val="en-GB"/>
        </w:rPr>
        <w:t xml:space="preserve">In accordance with relevant national provisions, the right to conscientious objection has been taken into account also in the text of Article 10 paragraph 2 of the </w:t>
      </w:r>
      <w:r w:rsidRPr="00FF1E7F">
        <w:rPr>
          <w:rFonts w:ascii="Times New Roman" w:eastAsia="Times New Roman" w:hAnsi="Times New Roman" w:cs="Times New Roman"/>
          <w:i/>
          <w:iCs/>
          <w:sz w:val="24"/>
          <w:szCs w:val="24"/>
          <w:lang w:val="en-GB"/>
        </w:rPr>
        <w:t>Charter of Fundamental Rights of the European Union</w:t>
      </w:r>
      <w:r w:rsidRPr="00FF1E7F">
        <w:rPr>
          <w:rFonts w:ascii="Times New Roman" w:eastAsia="Times New Roman" w:hAnsi="Times New Roman" w:cs="Times New Roman"/>
          <w:sz w:val="24"/>
          <w:szCs w:val="24"/>
          <w:lang w:val="en-GB"/>
        </w:rPr>
        <w:t>, which confirms legal regulations in this area</w:t>
      </w:r>
      <w:r w:rsidRPr="00FF1E7F">
        <w:rPr>
          <w:rFonts w:ascii="Times New Roman" w:eastAsia="Calibri" w:hAnsi="Times New Roman" w:cs="Times New Roman"/>
          <w:sz w:val="24"/>
          <w:szCs w:val="24"/>
          <w:lang w:val="en-GB" w:eastAsia="en-US"/>
        </w:rPr>
        <w:t>.</w:t>
      </w:r>
      <w:r w:rsidRPr="00FF1E7F">
        <w:rPr>
          <w:rFonts w:ascii="Times New Roman" w:eastAsiaTheme="minorHAnsi" w:hAnsi="Times New Roman" w:cs="Times New Roman"/>
          <w:sz w:val="24"/>
          <w:szCs w:val="24"/>
          <w:vertAlign w:val="superscript"/>
          <w:lang w:val="en-GB" w:eastAsia="en-US"/>
        </w:rPr>
        <w:footnoteReference w:id="17"/>
      </w:r>
      <w:r w:rsidRPr="00FF1E7F">
        <w:rPr>
          <w:rFonts w:ascii="Times New Roman" w:eastAsia="Calibri" w:hAnsi="Times New Roman" w:cs="Times New Roman"/>
          <w:sz w:val="24"/>
          <w:szCs w:val="24"/>
          <w:lang w:val="en-GB" w:eastAsia="en-US"/>
        </w:rPr>
        <w:t> </w:t>
      </w:r>
      <w:r w:rsidRPr="00FF1E7F">
        <w:rPr>
          <w:rFonts w:ascii="Times New Roman" w:eastAsia="Times New Roman" w:hAnsi="Times New Roman" w:cs="Times New Roman"/>
          <w:sz w:val="24"/>
          <w:szCs w:val="24"/>
          <w:lang w:val="en-GB"/>
        </w:rPr>
        <w:t xml:space="preserve">In addition, the Parliamentary Assembly of the Council of Europe confirmed the primacy of freedom of conscience in Resolution 1763 on </w:t>
      </w:r>
      <w:r w:rsidRPr="00FF1E7F">
        <w:rPr>
          <w:rFonts w:ascii="Times New Roman" w:eastAsia="Times New Roman" w:hAnsi="Times New Roman" w:cs="Times New Roman"/>
          <w:i/>
          <w:iCs/>
          <w:sz w:val="24"/>
          <w:szCs w:val="24"/>
          <w:lang w:val="en-GB"/>
        </w:rPr>
        <w:t>Conscientious Objection in Legal Medical Care</w:t>
      </w:r>
      <w:r w:rsidRPr="00FF1E7F">
        <w:rPr>
          <w:rFonts w:ascii="Times New Roman" w:eastAsia="Times New Roman" w:hAnsi="Times New Roman" w:cs="Times New Roman"/>
          <w:sz w:val="24"/>
          <w:szCs w:val="24"/>
          <w:lang w:val="en-GB"/>
        </w:rPr>
        <w:t xml:space="preserve"> of 7 October 2010 (paragraph 1 of Resolution 1763)</w:t>
      </w:r>
      <w:r w:rsidRPr="00FF1E7F">
        <w:rPr>
          <w:rFonts w:ascii="Times New Roman" w:eastAsia="Times New Roman" w:hAnsi="Times New Roman" w:cs="Times New Roman"/>
          <w:sz w:val="24"/>
          <w:szCs w:val="24"/>
          <w:vertAlign w:val="superscript"/>
          <w:lang w:val="en-GB"/>
        </w:rPr>
        <w:footnoteReference w:id="18"/>
      </w:r>
      <w:r w:rsidRPr="00FF1E7F">
        <w:rPr>
          <w:rFonts w:ascii="Times New Roman" w:eastAsia="Times New Roman" w:hAnsi="Times New Roman" w:cs="Times New Roman"/>
          <w:sz w:val="24"/>
          <w:szCs w:val="24"/>
          <w:lang w:val="en-GB"/>
        </w:rPr>
        <w:t xml:space="preserve">. </w:t>
      </w:r>
    </w:p>
    <w:p w:rsidR="00CE5C5B" w:rsidRPr="00CE5C5B" w:rsidRDefault="00CE5C5B" w:rsidP="00CE5C5B">
      <w:pPr>
        <w:spacing w:before="100" w:beforeAutospacing="1" w:after="240" w:line="360" w:lineRule="auto"/>
        <w:jc w:val="both"/>
        <w:rPr>
          <w:rFonts w:ascii="Times New Roman" w:eastAsiaTheme="minorHAnsi" w:hAnsi="Times New Roman" w:cs="Times New Roman"/>
          <w:sz w:val="24"/>
          <w:szCs w:val="24"/>
          <w:lang w:val="en-GB" w:eastAsia="en-US"/>
        </w:rPr>
      </w:pPr>
    </w:p>
    <w:p w:rsidR="00FF1E7F" w:rsidRPr="00FF1E7F" w:rsidRDefault="00FF1E7F" w:rsidP="00FF1E7F">
      <w:pPr>
        <w:keepNext/>
        <w:keepLines/>
        <w:numPr>
          <w:ilvl w:val="0"/>
          <w:numId w:val="8"/>
        </w:numPr>
        <w:spacing w:before="200" w:after="240"/>
        <w:outlineLvl w:val="1"/>
        <w:rPr>
          <w:rFonts w:asciiTheme="majorHAnsi" w:eastAsia="Calibri" w:hAnsiTheme="majorHAnsi" w:cstheme="majorBidi"/>
          <w:b/>
          <w:bCs/>
          <w:color w:val="5B9BD5" w:themeColor="accent1"/>
          <w:sz w:val="26"/>
          <w:szCs w:val="26"/>
          <w:lang w:val="en-GB" w:eastAsia="en-US"/>
        </w:rPr>
      </w:pPr>
      <w:r w:rsidRPr="00FF1E7F">
        <w:rPr>
          <w:rFonts w:asciiTheme="majorHAnsi" w:eastAsia="Calibri" w:hAnsiTheme="majorHAnsi" w:cstheme="majorBidi"/>
          <w:b/>
          <w:bCs/>
          <w:color w:val="5B9BD5" w:themeColor="accent1"/>
          <w:sz w:val="26"/>
          <w:szCs w:val="26"/>
          <w:lang w:val="en-GB" w:eastAsia="en-US"/>
        </w:rPr>
        <w:t>Objections to the medical opinion or report</w:t>
      </w:r>
    </w:p>
    <w:p w:rsidR="00FF1E7F" w:rsidRPr="00FF1E7F" w:rsidRDefault="00FF1E7F" w:rsidP="00FF1E7F">
      <w:pPr>
        <w:spacing w:after="240"/>
        <w:rPr>
          <w:rFonts w:eastAsiaTheme="minorHAnsi"/>
          <w:lang w:val="en-GB" w:eastAsia="en-US"/>
        </w:rPr>
      </w:pPr>
    </w:p>
    <w:p w:rsidR="00FF1E7F" w:rsidRPr="00FF1E7F" w:rsidRDefault="00FF1E7F" w:rsidP="00FF1E7F">
      <w:pPr>
        <w:widowControl w:val="0"/>
        <w:autoSpaceDE w:val="0"/>
        <w:autoSpaceDN w:val="0"/>
        <w:adjustRightInd w:val="0"/>
        <w:spacing w:after="240" w:line="360" w:lineRule="auto"/>
        <w:jc w:val="both"/>
        <w:rPr>
          <w:rFonts w:ascii="Times New Roman" w:eastAsia="Times New Roman" w:hAnsi="Times New Roman" w:cs="Times New Roman"/>
          <w:sz w:val="24"/>
          <w:szCs w:val="24"/>
          <w:lang w:val="en-GB"/>
        </w:rPr>
      </w:pPr>
      <w:r w:rsidRPr="00FF1E7F">
        <w:rPr>
          <w:rFonts w:ascii="Times New Roman" w:eastAsia="Times New Roman" w:hAnsi="Times New Roman" w:cs="Times New Roman"/>
          <w:sz w:val="24"/>
          <w:szCs w:val="24"/>
          <w:lang w:val="en-GB"/>
        </w:rPr>
        <w:t xml:space="preserve">On 6 November 2008, the Sejm of the Republic of Poland passed the </w:t>
      </w:r>
      <w:r w:rsidRPr="00FF1E7F">
        <w:rPr>
          <w:rFonts w:ascii="Times New Roman" w:eastAsia="Times New Roman" w:hAnsi="Times New Roman" w:cs="Times New Roman"/>
          <w:i/>
          <w:iCs/>
          <w:sz w:val="24"/>
          <w:szCs w:val="24"/>
          <w:lang w:val="en-GB"/>
        </w:rPr>
        <w:t>Act on Patient Rights and the Patients’ Rights Ombudsman</w:t>
      </w:r>
      <w:r w:rsidRPr="00FF1E7F">
        <w:rPr>
          <w:rFonts w:ascii="Times New Roman" w:eastAsiaTheme="minorHAnsi" w:hAnsi="Times New Roman" w:cs="Times New Roman"/>
          <w:sz w:val="24"/>
          <w:szCs w:val="24"/>
          <w:vertAlign w:val="superscript"/>
          <w:lang w:val="en-GB" w:eastAsia="en-US"/>
        </w:rPr>
        <w:footnoteReference w:id="19"/>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which guaranteed patients the right to request a second doctor’s opinion or to convene a medical consultation (Article 6 paragraph 3 item 1) and the right to lodge an objection to the doctor’s opinion to the Medical Commission (Article 31). In accordance with Article 31 paragraph 5 of the PR Act, the Medical Commission issues its decision immediately, but no later than within 30 days from the date of the patient’s lodging of the objection. In the period from 2014 to 31 December, 2016 the Office of the Patients’ Rights Ombudsman received three objections to doctors’ decisions regarding the circumstances referred to in Article 4a paragraph 1 of the FP Act. The Medical Committee considered all the above objections as unfounded.</w:t>
      </w:r>
      <w:r w:rsidRPr="00FF1E7F">
        <w:rPr>
          <w:rFonts w:ascii="Times New Roman" w:eastAsia="Times New Roman" w:hAnsi="Times New Roman" w:cs="Times New Roman"/>
          <w:sz w:val="24"/>
          <w:szCs w:val="24"/>
          <w:vertAlign w:val="superscript"/>
          <w:lang w:val="en-GB"/>
        </w:rPr>
        <w:footnoteReference w:id="20"/>
      </w:r>
      <w:r w:rsidRPr="00FF1E7F">
        <w:rPr>
          <w:rFonts w:ascii="Times New Roman" w:eastAsia="Times New Roman" w:hAnsi="Times New Roman" w:cs="Times New Roman"/>
          <w:sz w:val="24"/>
          <w:szCs w:val="24"/>
          <w:lang w:val="en-GB"/>
        </w:rPr>
        <w:t xml:space="preserve"> The above mentioned Act came into force after the issuance of judgments of the </w:t>
      </w:r>
      <w:r w:rsidRPr="00FF1E7F">
        <w:rPr>
          <w:rFonts w:ascii="Times New Roman" w:eastAsia="Times New Roman" w:hAnsi="Times New Roman" w:cs="Times New Roman"/>
          <w:iCs/>
          <w:sz w:val="24"/>
          <w:szCs w:val="24"/>
          <w:lang w:val="en-GB"/>
        </w:rPr>
        <w:t>European Court of Human Rights</w:t>
      </w:r>
      <w:r w:rsidRPr="00FF1E7F">
        <w:rPr>
          <w:rFonts w:ascii="Times New Roman" w:eastAsia="Times New Roman" w:hAnsi="Times New Roman" w:cs="Times New Roman"/>
          <w:sz w:val="24"/>
          <w:szCs w:val="24"/>
          <w:lang w:val="en-GB"/>
        </w:rPr>
        <w:t xml:space="preserve"> against Poland in the cases of </w:t>
      </w:r>
      <w:r w:rsidRPr="00FF1E7F">
        <w:rPr>
          <w:rFonts w:ascii="Times New Roman" w:eastAsia="Times New Roman" w:hAnsi="Times New Roman" w:cs="Times New Roman"/>
          <w:i/>
          <w:iCs/>
          <w:sz w:val="24"/>
          <w:szCs w:val="24"/>
          <w:lang w:val="en-GB"/>
        </w:rPr>
        <w:t>A. Tysiąc</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v. Poland, R.R. v. Poland and P. and S. v</w:t>
      </w:r>
      <w:r w:rsidRPr="00FF1E7F">
        <w:rPr>
          <w:rFonts w:ascii="Times New Roman" w:eastAsia="Times New Roman" w:hAnsi="Times New Roman" w:cs="Times New Roman"/>
          <w:sz w:val="24"/>
          <w:szCs w:val="24"/>
          <w:lang w:val="en-GB"/>
        </w:rPr>
        <w:t xml:space="preserve"> . </w:t>
      </w:r>
      <w:r w:rsidRPr="00FF1E7F">
        <w:rPr>
          <w:rFonts w:ascii="Times New Roman" w:eastAsia="Times New Roman" w:hAnsi="Times New Roman" w:cs="Times New Roman"/>
          <w:i/>
          <w:iCs/>
          <w:sz w:val="24"/>
          <w:szCs w:val="24"/>
          <w:lang w:val="en-GB"/>
        </w:rPr>
        <w:t>Poland</w:t>
      </w:r>
      <w:r w:rsidRPr="00FF1E7F">
        <w:rPr>
          <w:rFonts w:ascii="Times New Roman" w:eastAsiaTheme="minorHAnsi" w:hAnsi="Times New Roman" w:cs="Times New Roman"/>
          <w:sz w:val="24"/>
          <w:szCs w:val="24"/>
          <w:lang w:val="en-GB" w:eastAsia="en-US"/>
        </w:rPr>
        <w:t>.</w:t>
      </w:r>
      <w:r w:rsidRPr="00FF1E7F">
        <w:rPr>
          <w:rFonts w:ascii="Times New Roman" w:eastAsiaTheme="minorHAnsi" w:hAnsi="Times New Roman" w:cs="Times New Roman"/>
          <w:sz w:val="24"/>
          <w:szCs w:val="24"/>
          <w:vertAlign w:val="superscript"/>
          <w:lang w:val="en-GB" w:eastAsia="en-US"/>
        </w:rPr>
        <w:footnoteReference w:id="21"/>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Formal requirements of a legal remedy pursuant to Article 31 of the above mentioned Act have been set within the margin of the state’s legislative freedom. Applicable remedy – lodging an objection to the doctor’s opinion to the Medical Commission – corresponds to the ruling of the </w:t>
      </w:r>
      <w:r w:rsidRPr="00FF1E7F">
        <w:rPr>
          <w:rFonts w:ascii="Times New Roman" w:eastAsia="Times New Roman" w:hAnsi="Times New Roman" w:cs="Times New Roman"/>
          <w:iCs/>
          <w:sz w:val="24"/>
          <w:szCs w:val="24"/>
          <w:lang w:val="en-GB"/>
        </w:rPr>
        <w:t>European</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Cs/>
          <w:sz w:val="24"/>
          <w:szCs w:val="24"/>
          <w:lang w:val="en-GB"/>
        </w:rPr>
        <w:t>Court of Human Rights</w:t>
      </w:r>
      <w:r w:rsidRPr="00FF1E7F">
        <w:rPr>
          <w:rFonts w:ascii="Times New Roman" w:eastAsia="Times New Roman" w:hAnsi="Times New Roman" w:cs="Times New Roman"/>
          <w:sz w:val="24"/>
          <w:szCs w:val="24"/>
          <w:lang w:val="en-GB"/>
        </w:rPr>
        <w:t xml:space="preserve"> , which in the case </w:t>
      </w:r>
      <w:r w:rsidRPr="00FF1E7F">
        <w:rPr>
          <w:rFonts w:ascii="Times New Roman" w:eastAsia="Times New Roman" w:hAnsi="Times New Roman" w:cs="Times New Roman"/>
          <w:i/>
          <w:iCs/>
          <w:sz w:val="24"/>
          <w:szCs w:val="24"/>
          <w:lang w:val="en-GB"/>
        </w:rPr>
        <w:t>P. and S. v.</w:t>
      </w:r>
      <w:r w:rsidRPr="00FF1E7F">
        <w:rPr>
          <w:rFonts w:ascii="Times New Roman" w:eastAsia="Times New Roman" w:hAnsi="Times New Roman" w:cs="Times New Roman"/>
          <w:sz w:val="24"/>
          <w:szCs w:val="24"/>
          <w:lang w:val="en-GB"/>
        </w:rPr>
        <w:t xml:space="preserve"> </w:t>
      </w:r>
      <w:r w:rsidRPr="00FF1E7F">
        <w:rPr>
          <w:rFonts w:ascii="Times New Roman" w:eastAsia="Times New Roman" w:hAnsi="Times New Roman" w:cs="Times New Roman"/>
          <w:i/>
          <w:iCs/>
          <w:sz w:val="24"/>
          <w:szCs w:val="24"/>
          <w:lang w:val="en-GB"/>
        </w:rPr>
        <w:t>Poland</w:t>
      </w:r>
      <w:r w:rsidRPr="00FF1E7F">
        <w:rPr>
          <w:rFonts w:ascii="Times New Roman" w:eastAsia="Times New Roman" w:hAnsi="Times New Roman" w:cs="Times New Roman"/>
          <w:sz w:val="24"/>
          <w:szCs w:val="24"/>
          <w:lang w:val="en-GB"/>
        </w:rPr>
        <w:t xml:space="preserve"> clearly stated that “Article 8 of the ECHR does not impose any procedural requirements</w:t>
      </w:r>
      <w:r w:rsidRPr="00FF1E7F">
        <w:rPr>
          <w:rFonts w:ascii="Times New Roman" w:eastAsiaTheme="minorHAnsi" w:hAnsi="Times New Roman" w:cs="Times New Roman"/>
          <w:sz w:val="24"/>
          <w:szCs w:val="24"/>
          <w:lang w:val="en-GB" w:eastAsia="en-US"/>
        </w:rPr>
        <w:t>”</w:t>
      </w:r>
      <w:r w:rsidRPr="00FF1E7F">
        <w:rPr>
          <w:rFonts w:ascii="Times New Roman" w:eastAsiaTheme="minorHAnsi" w:hAnsi="Times New Roman" w:cs="Times New Roman"/>
          <w:sz w:val="24"/>
          <w:szCs w:val="24"/>
          <w:vertAlign w:val="superscript"/>
          <w:lang w:val="en-GB" w:eastAsia="en-US"/>
        </w:rPr>
        <w:footnoteReference w:id="22"/>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determining the provisions governing access to health services and other treatments such as abortion. In addition, timeliness of the decisions of the Medical Commission examining the objections to doctors’ opinions is not questionable in the light of the available data. In one of the reports for the Council of Europe</w:t>
      </w:r>
      <w:r w:rsidRPr="00FF1E7F">
        <w:rPr>
          <w:rFonts w:ascii="Times New Roman" w:eastAsiaTheme="minorHAnsi" w:hAnsi="Times New Roman" w:cs="Times New Roman"/>
          <w:sz w:val="24"/>
          <w:szCs w:val="24"/>
          <w:vertAlign w:val="superscript"/>
          <w:lang w:val="en-GB" w:eastAsia="en-US"/>
        </w:rPr>
        <w:footnoteReference w:id="23"/>
      </w:r>
      <w:r w:rsidRPr="00FF1E7F">
        <w:rPr>
          <w:rFonts w:ascii="Times New Roman" w:eastAsia="Times New Roman" w:hAnsi="Times New Roman" w:cs="Times New Roman"/>
          <w:sz w:val="24"/>
          <w:szCs w:val="24"/>
          <w:lang w:val="en-GB"/>
        </w:rPr>
        <w:t>,</w:t>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Polish authorities gave the example of a patient who filed an objection to the Patients’ Rights Ombudsman on 30 July 2013, concerning refusal to carry out an abortion. On 1 August, the Ombudsman appointed the Medical Commission, which considered the matter within 5 days.</w:t>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This example proves that the institution of objection fully complies with the requirement of the existence of means, regulated in detail in the law and effective in practice, to object to a medical opinion that is unsatisfying to a patient. One cannot forget the possibility of exercising the right to request a second opinion or to convene a medical consultation, which is available to patients regardless of whether objection was lodged or not</w:t>
      </w:r>
      <w:r w:rsidRPr="00FF1E7F">
        <w:rPr>
          <w:rFonts w:ascii="Times New Roman" w:eastAsiaTheme="minorHAnsi" w:hAnsi="Times New Roman" w:cs="Times New Roman"/>
          <w:sz w:val="24"/>
          <w:szCs w:val="24"/>
          <w:lang w:val="en-GB" w:eastAsia="en-US"/>
        </w:rPr>
        <w:t xml:space="preserve">. </w:t>
      </w:r>
    </w:p>
    <w:p w:rsidR="00FF1E7F" w:rsidRPr="00FF1E7F" w:rsidRDefault="00FF1E7F" w:rsidP="00FF1E7F">
      <w:pPr>
        <w:keepNext/>
        <w:keepLines/>
        <w:spacing w:before="200" w:after="240"/>
        <w:outlineLvl w:val="1"/>
        <w:rPr>
          <w:rFonts w:asciiTheme="majorHAnsi" w:eastAsia="Calibri" w:hAnsiTheme="majorHAnsi" w:cstheme="majorBidi"/>
          <w:b/>
          <w:bCs/>
          <w:color w:val="5B9BD5" w:themeColor="accent1"/>
          <w:sz w:val="26"/>
          <w:szCs w:val="26"/>
          <w:lang w:val="en-GB" w:eastAsia="en-US"/>
        </w:rPr>
      </w:pPr>
    </w:p>
    <w:p w:rsidR="00FF1E7F" w:rsidRPr="00FF1E7F" w:rsidRDefault="00FF1E7F" w:rsidP="00FF1E7F">
      <w:pPr>
        <w:keepNext/>
        <w:keepLines/>
        <w:numPr>
          <w:ilvl w:val="0"/>
          <w:numId w:val="8"/>
        </w:numPr>
        <w:spacing w:before="200" w:after="240"/>
        <w:outlineLvl w:val="1"/>
        <w:rPr>
          <w:rFonts w:asciiTheme="majorHAnsi" w:eastAsia="Calibri" w:hAnsiTheme="majorHAnsi" w:cstheme="majorBidi"/>
          <w:b/>
          <w:bCs/>
          <w:color w:val="5B9BD5" w:themeColor="accent1"/>
          <w:sz w:val="26"/>
          <w:szCs w:val="26"/>
          <w:lang w:val="en-GB" w:eastAsia="en-US"/>
        </w:rPr>
      </w:pPr>
      <w:r w:rsidRPr="00FF1E7F">
        <w:rPr>
          <w:rFonts w:asciiTheme="majorHAnsi" w:eastAsia="Calibri" w:hAnsiTheme="majorHAnsi" w:cstheme="majorBidi"/>
          <w:b/>
          <w:bCs/>
          <w:color w:val="5B9BD5" w:themeColor="accent1"/>
          <w:sz w:val="26"/>
          <w:szCs w:val="26"/>
          <w:lang w:val="en-GB" w:eastAsia="en-US"/>
        </w:rPr>
        <w:t>Accessibility of prenatal examinations</w:t>
      </w:r>
    </w:p>
    <w:p w:rsidR="00FF1E7F" w:rsidRPr="00FF1E7F" w:rsidRDefault="00FF1E7F" w:rsidP="00FF1E7F">
      <w:pPr>
        <w:spacing w:after="240"/>
        <w:rPr>
          <w:rFonts w:eastAsiaTheme="minorHAnsi"/>
          <w:lang w:val="en-GB" w:eastAsia="en-US"/>
        </w:rPr>
      </w:pPr>
    </w:p>
    <w:p w:rsidR="00FF1E7F" w:rsidRPr="00FF1E7F" w:rsidRDefault="00FF1E7F" w:rsidP="00FF1E7F">
      <w:pPr>
        <w:spacing w:after="240" w:line="360" w:lineRule="auto"/>
        <w:contextualSpacing/>
        <w:jc w:val="both"/>
        <w:rPr>
          <w:rFonts w:ascii="Times New Roman" w:eastAsiaTheme="minorHAnsi" w:hAnsi="Times New Roman" w:cs="Times New Roman"/>
          <w:sz w:val="24"/>
          <w:szCs w:val="24"/>
          <w:lang w:val="en-GB" w:eastAsia="en-US"/>
        </w:rPr>
      </w:pPr>
      <w:r w:rsidRPr="00FF1E7F">
        <w:rPr>
          <w:rFonts w:ascii="Times New Roman" w:eastAsiaTheme="minorHAnsi" w:hAnsi="Times New Roman" w:cs="Times New Roman"/>
          <w:i/>
          <w:sz w:val="24"/>
          <w:szCs w:val="24"/>
          <w:lang w:val="en-GB" w:eastAsia="en-US"/>
        </w:rPr>
        <w:t>The Convention on the Rights of the Child</w:t>
      </w:r>
      <w:r w:rsidRPr="00FF1E7F">
        <w:rPr>
          <w:rFonts w:ascii="Times New Roman" w:eastAsiaTheme="minorHAnsi" w:hAnsi="Times New Roman" w:cs="Times New Roman"/>
          <w:sz w:val="24"/>
          <w:szCs w:val="24"/>
          <w:vertAlign w:val="superscript"/>
          <w:lang w:val="en-GB" w:eastAsia="en-US"/>
        </w:rPr>
        <w:footnoteReference w:id="24"/>
      </w:r>
      <w:r w:rsidRPr="00FF1E7F">
        <w:rPr>
          <w:rFonts w:ascii="Times New Roman" w:eastAsiaTheme="minorHAnsi" w:hAnsi="Times New Roman" w:cs="Times New Roman"/>
          <w:sz w:val="24"/>
          <w:szCs w:val="24"/>
          <w:lang w:val="en-GB" w:eastAsia="en-US"/>
        </w:rPr>
        <w:t xml:space="preserve">, and </w:t>
      </w:r>
      <w:r w:rsidRPr="00FF1E7F">
        <w:rPr>
          <w:rFonts w:ascii="Times New Roman" w:eastAsiaTheme="minorHAnsi" w:hAnsi="Times New Roman" w:cs="Times New Roman"/>
          <w:i/>
          <w:sz w:val="24"/>
          <w:szCs w:val="24"/>
          <w:lang w:val="en-GB" w:eastAsia="en-US"/>
        </w:rPr>
        <w:t>the Act on the Ombudsman for Children</w:t>
      </w:r>
      <w:r w:rsidRPr="00FF1E7F">
        <w:rPr>
          <w:rFonts w:ascii="Times New Roman" w:eastAsiaTheme="minorHAnsi" w:hAnsi="Times New Roman" w:cs="Times New Roman"/>
          <w:i/>
          <w:sz w:val="24"/>
          <w:szCs w:val="24"/>
          <w:vertAlign w:val="superscript"/>
          <w:lang w:val="en-GB" w:eastAsia="en-US"/>
        </w:rPr>
        <w:footnoteReference w:id="25"/>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emphasise that firstly, in the prenatal phase we deal with a child, and secondly, the conceived child is entitled to exercise his or her patient’s rights</w:t>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The conceived child’s patient’s rights include first and foremost the right to information about health condition exercised on the child’s behalf by the mother</w:t>
      </w:r>
      <w:r w:rsidRPr="00FF1E7F">
        <w:rPr>
          <w:rFonts w:ascii="Times New Roman" w:eastAsiaTheme="minorHAnsi" w:hAnsi="Times New Roman" w:cs="Times New Roman"/>
          <w:sz w:val="24"/>
          <w:szCs w:val="24"/>
          <w:vertAlign w:val="superscript"/>
          <w:lang w:val="en-GB" w:eastAsia="en-US"/>
        </w:rPr>
        <w:footnoteReference w:id="26"/>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and the right to support before delivery</w:t>
      </w:r>
      <w:r w:rsidRPr="00FF1E7F">
        <w:rPr>
          <w:rFonts w:ascii="Times New Roman" w:eastAsiaTheme="minorHAnsi" w:hAnsi="Times New Roman" w:cs="Times New Roman"/>
          <w:sz w:val="24"/>
          <w:szCs w:val="24"/>
          <w:vertAlign w:val="superscript"/>
          <w:lang w:val="en-GB" w:eastAsia="en-US"/>
        </w:rPr>
        <w:footnoteReference w:id="27"/>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An element of the right to information is the right to diagnostic tests, including prenatal examinations. The guarantee of availability of prenatal testing formulated in this manner is wider than the current provisions of the FP Act, which require government and local government bodies to provide prenatal examinations to diagnose those features that currently constitute the grounds for admissibility of abortion</w:t>
      </w:r>
      <w:r w:rsidRPr="00FF1E7F">
        <w:rPr>
          <w:rFonts w:ascii="Times New Roman" w:eastAsiaTheme="minorHAns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 xml:space="preserve">The right to reliable information about the child's health condition and access to medical support in the event of a disease or disability of a conceived child is guaranteed to the conceived child and to the mother in accordance with Article 12 paragraphs 1 and 2 and Article 10 paragraph 2 of the </w:t>
      </w:r>
      <w:r w:rsidRPr="00FF1E7F">
        <w:rPr>
          <w:rFonts w:ascii="Times New Roman" w:eastAsia="Times New Roman" w:hAnsi="Times New Roman" w:cs="Times New Roman"/>
          <w:iCs/>
          <w:sz w:val="24"/>
          <w:szCs w:val="24"/>
          <w:lang w:val="en-US"/>
        </w:rPr>
        <w:t>International Covenant on Civil and Political Rights</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Moreover, in medicine all diagnostic activities are undertaken to enable preventive, medical or rehabilitation interventions. Abortion is none of them since it leads to the death of a previously diagnosed and treated patient because of suspicion of a disease or risk of disability</w:t>
      </w:r>
      <w:r w:rsidRPr="00FF1E7F">
        <w:rPr>
          <w:rFonts w:ascii="Times New Roman" w:eastAsia="Calibri" w:hAnsi="Times New Roman" w:cs="Times New Roman"/>
          <w:sz w:val="24"/>
          <w:szCs w:val="24"/>
          <w:lang w:val="en-GB" w:eastAsia="en-US"/>
        </w:rPr>
        <w:t xml:space="preserve">. </w:t>
      </w:r>
      <w:r w:rsidRPr="00FF1E7F">
        <w:rPr>
          <w:rFonts w:ascii="Times New Roman" w:eastAsia="Times New Roman" w:hAnsi="Times New Roman" w:cs="Times New Roman"/>
          <w:sz w:val="24"/>
          <w:szCs w:val="24"/>
          <w:lang w:val="en-GB"/>
        </w:rPr>
        <w:t>The availability of prenatal tests for the purpose of abortion is, therefore, a form of discrimination against conceived children based on suspicion of a disease or risk of disability. This is contrary to constitutional, international and statutory standards of protection of children's rights</w:t>
      </w:r>
      <w:r w:rsidRPr="00FF1E7F">
        <w:rPr>
          <w:rFonts w:ascii="Times New Roman" w:eastAsiaTheme="minorHAnsi" w:hAnsi="Times New Roman" w:cs="Times New Roman"/>
          <w:sz w:val="24"/>
          <w:szCs w:val="24"/>
          <w:lang w:val="en-GB" w:eastAsia="en-US"/>
        </w:rPr>
        <w:t>.</w:t>
      </w:r>
      <w:r w:rsidRPr="00FF1E7F">
        <w:rPr>
          <w:rFonts w:ascii="Times New Roman" w:eastAsiaTheme="minorHAnsi" w:hAnsi="Times New Roman" w:cs="Times New Roman"/>
          <w:sz w:val="24"/>
          <w:szCs w:val="24"/>
          <w:vertAlign w:val="superscript"/>
          <w:lang w:val="en-GB" w:eastAsia="en-US"/>
        </w:rPr>
        <w:footnoteReference w:id="28"/>
      </w:r>
      <w:r w:rsidRPr="00FF1E7F">
        <w:rPr>
          <w:rFonts w:ascii="Times New Roman" w:eastAsiaTheme="minorHAnsi" w:hAnsi="Times New Roman" w:cs="Times New Roman"/>
          <w:sz w:val="24"/>
          <w:szCs w:val="24"/>
          <w:lang w:val="en-GB" w:eastAsia="en-US"/>
        </w:rPr>
        <w:t xml:space="preserve"> </w:t>
      </w:r>
    </w:p>
    <w:p w:rsidR="00FF1E7F" w:rsidRPr="00FF1E7F" w:rsidRDefault="00FF1E7F" w:rsidP="00FF1E7F">
      <w:pPr>
        <w:spacing w:after="240" w:line="360" w:lineRule="auto"/>
        <w:contextualSpacing/>
        <w:jc w:val="both"/>
        <w:rPr>
          <w:rFonts w:ascii="Times New Roman" w:eastAsia="Calibri" w:hAnsi="Times New Roman" w:cs="Times New Roman"/>
          <w:sz w:val="24"/>
          <w:szCs w:val="24"/>
          <w:lang w:val="en-GB" w:eastAsia="en-US"/>
        </w:rPr>
      </w:pPr>
    </w:p>
    <w:p w:rsidR="00FF1E7F" w:rsidRPr="00FF1E7F" w:rsidRDefault="00FF1E7F" w:rsidP="00FF1E7F">
      <w:pPr>
        <w:keepNext/>
        <w:keepLines/>
        <w:numPr>
          <w:ilvl w:val="0"/>
          <w:numId w:val="8"/>
        </w:numPr>
        <w:spacing w:before="200" w:after="240"/>
        <w:outlineLvl w:val="1"/>
        <w:rPr>
          <w:rFonts w:asciiTheme="majorHAnsi" w:eastAsiaTheme="majorEastAsia" w:hAnsiTheme="majorHAnsi" w:cstheme="majorBidi"/>
          <w:b/>
          <w:bCs/>
          <w:color w:val="5B9BD5" w:themeColor="accent1"/>
          <w:sz w:val="26"/>
          <w:szCs w:val="26"/>
          <w:lang w:val="en-US" w:eastAsia="en-US"/>
        </w:rPr>
      </w:pPr>
      <w:r w:rsidRPr="00FF1E7F">
        <w:rPr>
          <w:rFonts w:asciiTheme="majorHAnsi" w:eastAsiaTheme="majorEastAsia" w:hAnsiTheme="majorHAnsi" w:cstheme="majorBidi"/>
          <w:b/>
          <w:bCs/>
          <w:color w:val="5B9BD5" w:themeColor="accent1"/>
          <w:sz w:val="26"/>
          <w:szCs w:val="26"/>
          <w:lang w:val="en-GB" w:eastAsia="en-US"/>
        </w:rPr>
        <w:t xml:space="preserve">Legislative reform </w:t>
      </w:r>
    </w:p>
    <w:p w:rsidR="00FF1E7F" w:rsidRPr="00FF1E7F" w:rsidRDefault="00FF1E7F" w:rsidP="00FF1E7F">
      <w:pPr>
        <w:suppressAutoHyphens/>
        <w:spacing w:after="240" w:line="360" w:lineRule="auto"/>
        <w:ind w:right="1134"/>
        <w:jc w:val="both"/>
        <w:rPr>
          <w:rFonts w:ascii="Times New Roman" w:eastAsia="SimSun" w:hAnsi="Times New Roman" w:cs="Times New Roman"/>
          <w:sz w:val="24"/>
          <w:szCs w:val="24"/>
          <w:lang w:val="en-US" w:eastAsia="zh-CN"/>
        </w:rPr>
      </w:pPr>
    </w:p>
    <w:p w:rsidR="00087677" w:rsidRPr="00087677" w:rsidRDefault="00FF1E7F" w:rsidP="00087677">
      <w:pPr>
        <w:suppressAutoHyphens/>
        <w:spacing w:after="240" w:line="360" w:lineRule="auto"/>
        <w:jc w:val="both"/>
        <w:rPr>
          <w:rFonts w:ascii="Times New Roman" w:eastAsia="SimSun" w:hAnsi="Times New Roman" w:cs="Times New Roman"/>
          <w:sz w:val="24"/>
          <w:szCs w:val="24"/>
          <w:lang w:val="en-US" w:eastAsia="zh-CN"/>
        </w:rPr>
      </w:pPr>
      <w:r w:rsidRPr="00FF1E7F">
        <w:rPr>
          <w:rFonts w:ascii="Times New Roman" w:eastAsia="Times New Roman" w:hAnsi="Times New Roman" w:cs="Times New Roman"/>
          <w:sz w:val="24"/>
          <w:szCs w:val="24"/>
          <w:lang w:val="en-GB"/>
        </w:rPr>
        <w:t xml:space="preserve">At this point it is worth recalling that according to item 8.25 of the </w:t>
      </w:r>
      <w:r w:rsidRPr="00FF1E7F">
        <w:rPr>
          <w:rFonts w:ascii="Times New Roman" w:eastAsia="Times New Roman" w:hAnsi="Times New Roman" w:cs="Times New Roman"/>
          <w:i/>
          <w:sz w:val="24"/>
          <w:szCs w:val="24"/>
          <w:lang w:val="en-GB"/>
        </w:rPr>
        <w:t xml:space="preserve">Programme of </w:t>
      </w:r>
      <w:r w:rsidRPr="00FF1E7F">
        <w:rPr>
          <w:rFonts w:ascii="Times New Roman" w:eastAsia="Times New Roman" w:hAnsi="Times New Roman" w:cs="Times New Roman"/>
          <w:i/>
          <w:iCs/>
          <w:sz w:val="24"/>
          <w:szCs w:val="24"/>
          <w:lang w:val="en-GB"/>
        </w:rPr>
        <w:t>Action adopted at the International Conference on Population and Development</w:t>
      </w:r>
      <w:r w:rsidRPr="00FF1E7F">
        <w:rPr>
          <w:rFonts w:ascii="Times New Roman" w:eastAsia="Times New Roman" w:hAnsi="Times New Roman" w:cs="Times New Roman"/>
          <w:sz w:val="24"/>
          <w:szCs w:val="24"/>
          <w:lang w:val="en-GB"/>
        </w:rPr>
        <w:t xml:space="preserve"> of 1994, shaping the state’s health policy is its exclusive competence. The freedom of states in this respect stems from the universal consent of states that confirmed that “all measures and changes related to abortion within the health care system can be determined at the national or local level in accordance with the national legislative process</w:t>
      </w:r>
      <w:r w:rsidRPr="00FF1E7F">
        <w:rPr>
          <w:rFonts w:ascii="Times New Roman" w:eastAsia="Times New Roman" w:hAnsi="Times New Roman" w:cs="Times New Roman"/>
          <w:color w:val="000000"/>
          <w:sz w:val="24"/>
          <w:szCs w:val="24"/>
          <w:lang w:val="en-GB"/>
        </w:rPr>
        <w:t>”</w:t>
      </w:r>
      <w:r w:rsidRPr="00FF1E7F">
        <w:rPr>
          <w:rFonts w:ascii="Times New Roman" w:eastAsia="Times New Roman" w:hAnsi="Times New Roman" w:cs="Times New Roman"/>
          <w:color w:val="000000"/>
          <w:sz w:val="24"/>
          <w:szCs w:val="24"/>
          <w:vertAlign w:val="superscript"/>
          <w:lang w:val="en-GB"/>
        </w:rPr>
        <w:footnoteReference w:id="29"/>
      </w:r>
      <w:r w:rsidRPr="00FF1E7F">
        <w:rPr>
          <w:rFonts w:ascii="Times New Roman" w:eastAsia="Times New Roman" w:hAnsi="Times New Roman" w:cs="Times New Roman"/>
          <w:color w:val="000000"/>
          <w:sz w:val="24"/>
          <w:szCs w:val="24"/>
          <w:lang w:val="en-GB"/>
        </w:rPr>
        <w:t xml:space="preserve">. </w:t>
      </w:r>
      <w:r w:rsidRPr="00FF1E7F">
        <w:rPr>
          <w:rFonts w:ascii="Times New Roman" w:eastAsia="Times New Roman" w:hAnsi="Times New Roman" w:cs="Times New Roman"/>
          <w:sz w:val="24"/>
          <w:szCs w:val="24"/>
          <w:lang w:val="en-GB"/>
        </w:rPr>
        <w:t xml:space="preserve">The Polish legislative process provides, among others in Article 118 paragraph 2 of the </w:t>
      </w:r>
      <w:r w:rsidRPr="00FF1E7F">
        <w:rPr>
          <w:rFonts w:ascii="Times New Roman" w:eastAsia="Times New Roman" w:hAnsi="Times New Roman" w:cs="Times New Roman"/>
          <w:i/>
          <w:iCs/>
          <w:sz w:val="24"/>
          <w:szCs w:val="24"/>
          <w:lang w:val="en-GB"/>
        </w:rPr>
        <w:t>Constitution of the Republic of Poland</w:t>
      </w:r>
      <w:r w:rsidRPr="00FF1E7F">
        <w:rPr>
          <w:rFonts w:ascii="Times New Roman" w:eastAsia="Times New Roman" w:hAnsi="Times New Roman" w:cs="Times New Roman"/>
          <w:sz w:val="24"/>
          <w:szCs w:val="24"/>
          <w:lang w:val="en-GB"/>
        </w:rPr>
        <w:t xml:space="preserve"> in conjunction with the provisions of the Act of 24 June 1999 </w:t>
      </w:r>
      <w:r w:rsidRPr="00FF1E7F">
        <w:rPr>
          <w:rFonts w:ascii="Times New Roman" w:eastAsia="Times New Roman" w:hAnsi="Times New Roman" w:cs="Times New Roman"/>
          <w:i/>
          <w:iCs/>
          <w:sz w:val="24"/>
          <w:szCs w:val="24"/>
          <w:lang w:val="en-GB"/>
        </w:rPr>
        <w:t xml:space="preserve">on citizens’ legislative initiative, </w:t>
      </w:r>
      <w:r w:rsidRPr="00FF1E7F">
        <w:rPr>
          <w:rFonts w:ascii="Times New Roman" w:eastAsia="Times New Roman" w:hAnsi="Times New Roman" w:cs="Times New Roman"/>
          <w:iCs/>
          <w:sz w:val="24"/>
          <w:szCs w:val="24"/>
          <w:lang w:val="en-GB"/>
        </w:rPr>
        <w:t>for</w:t>
      </w:r>
      <w:r w:rsidRPr="00FF1E7F">
        <w:rPr>
          <w:rFonts w:ascii="Times New Roman" w:eastAsia="Times New Roman" w:hAnsi="Times New Roman" w:cs="Times New Roman"/>
          <w:sz w:val="24"/>
          <w:szCs w:val="24"/>
          <w:lang w:val="en-GB"/>
        </w:rPr>
        <w:t xml:space="preserve"> possibility of a bill being submitted by a group of at least 100 000 citizens enjoying the right to elect Members of the Sejm of the Republic of Poland</w:t>
      </w:r>
      <w:r w:rsidRPr="00FF1E7F">
        <w:rPr>
          <w:rFonts w:ascii="Times New Roman" w:eastAsia="SimSun" w:hAnsi="Times New Roman" w:cs="Times New Roman"/>
          <w:sz w:val="24"/>
          <w:szCs w:val="24"/>
          <w:lang w:val="en-GB" w:eastAsia="zh-CN"/>
        </w:rPr>
        <w:t>.</w:t>
      </w:r>
      <w:r w:rsidRPr="00FF1E7F">
        <w:rPr>
          <w:rFonts w:ascii="Times New Roman" w:eastAsia="SimSun" w:hAnsi="Times New Roman" w:cs="Times New Roman"/>
          <w:sz w:val="24"/>
          <w:szCs w:val="24"/>
          <w:vertAlign w:val="superscript"/>
          <w:lang w:val="en-GB" w:eastAsia="zh-CN"/>
        </w:rPr>
        <w:footnoteReference w:id="30"/>
      </w:r>
      <w:r w:rsidRPr="00FF1E7F">
        <w:rPr>
          <w:rFonts w:ascii="Times New Roman" w:eastAsia="SimSun" w:hAnsi="Times New Roman" w:cs="Times New Roman"/>
          <w:sz w:val="24"/>
          <w:szCs w:val="24"/>
          <w:lang w:val="en-GB" w:eastAsia="zh-CN"/>
        </w:rPr>
        <w:t xml:space="preserve"> </w:t>
      </w:r>
      <w:r w:rsidRPr="00FF1E7F">
        <w:rPr>
          <w:rFonts w:ascii="Times New Roman" w:eastAsia="Times New Roman" w:hAnsi="Times New Roman" w:cs="Times New Roman"/>
          <w:sz w:val="24"/>
          <w:szCs w:val="24"/>
          <w:lang w:val="en-GB"/>
        </w:rPr>
        <w:t xml:space="preserve">Submittal on 30 November 2017 of the draft law by </w:t>
      </w:r>
      <w:r w:rsidRPr="00FF1E7F">
        <w:rPr>
          <w:rFonts w:ascii="Times New Roman" w:eastAsia="Times New Roman" w:hAnsi="Times New Roman" w:cs="Times New Roman"/>
          <w:iCs/>
          <w:sz w:val="24"/>
          <w:szCs w:val="24"/>
          <w:lang w:val="en-GB"/>
        </w:rPr>
        <w:t>the</w:t>
      </w:r>
      <w:r w:rsidRPr="00FF1E7F">
        <w:rPr>
          <w:rFonts w:ascii="Times New Roman" w:eastAsia="Times New Roman" w:hAnsi="Times New Roman" w:cs="Times New Roman"/>
          <w:i/>
          <w:iCs/>
          <w:sz w:val="24"/>
          <w:szCs w:val="24"/>
          <w:lang w:val="en-GB"/>
        </w:rPr>
        <w:t xml:space="preserve"> Legislative Initiative Committee "Stop Abortion"</w:t>
      </w:r>
      <w:r w:rsidRPr="00FF1E7F">
        <w:rPr>
          <w:rFonts w:ascii="Times New Roman" w:eastAsia="Times New Roman" w:hAnsi="Times New Roman" w:cs="Times New Roman"/>
          <w:sz w:val="24"/>
          <w:szCs w:val="24"/>
          <w:lang w:val="en-GB"/>
        </w:rPr>
        <w:t xml:space="preserve"> regarding the currently binding FP Act constituted implementation of this right and at the same time initiation of the legislative process. </w:t>
      </w:r>
      <w:bookmarkStart w:id="3" w:name="_ednref1"/>
      <w:r w:rsidRPr="00FF1E7F">
        <w:rPr>
          <w:rFonts w:ascii="Times New Roman" w:eastAsia="Times New Roman" w:hAnsi="Times New Roman" w:cs="Times New Roman"/>
          <w:sz w:val="24"/>
          <w:szCs w:val="24"/>
          <w:lang w:val="en-US"/>
        </w:rPr>
        <w:t>This civic legislative initiative was supported by 830 thousand citizens</w:t>
      </w:r>
      <w:r w:rsidRPr="00FF1E7F">
        <w:rPr>
          <w:rFonts w:ascii="Times New Roman" w:eastAsia="SimSun" w:hAnsi="Times New Roman" w:cs="Times New Roman"/>
          <w:sz w:val="24"/>
          <w:szCs w:val="24"/>
          <w:lang w:val="en-US" w:eastAsia="zh-CN"/>
        </w:rPr>
        <w:t>.</w:t>
      </w:r>
      <w:r w:rsidRPr="00FF1E7F">
        <w:rPr>
          <w:rFonts w:ascii="Times New Roman" w:eastAsia="SimSun" w:hAnsi="Times New Roman" w:cs="Times New Roman"/>
          <w:sz w:val="24"/>
          <w:szCs w:val="24"/>
          <w:vertAlign w:val="superscript"/>
          <w:lang w:val="en-GB" w:eastAsia="zh-CN"/>
        </w:rPr>
        <w:footnoteReference w:id="31"/>
      </w:r>
      <w:bookmarkEnd w:id="3"/>
      <w:r w:rsidRPr="00FF1E7F">
        <w:rPr>
          <w:rFonts w:ascii="Times New Roman" w:eastAsia="SimSun" w:hAnsi="Times New Roman" w:cs="Times New Roman"/>
          <w:sz w:val="24"/>
          <w:szCs w:val="24"/>
          <w:lang w:val="en-US" w:eastAsia="zh-CN"/>
        </w:rPr>
        <w:t xml:space="preserve"> </w:t>
      </w:r>
      <w:r w:rsidRPr="00FF1E7F">
        <w:rPr>
          <w:rFonts w:ascii="Times New Roman" w:eastAsia="Times New Roman" w:hAnsi="Times New Roman" w:cs="Times New Roman"/>
          <w:sz w:val="24"/>
          <w:szCs w:val="24"/>
          <w:lang w:val="en-US"/>
        </w:rPr>
        <w:t>Its goal is to prohibit the discrimination of conceived children suspected of having a disease or being at risk of disability. This state is contrary to constitutional, international and statutory standards of protection of children’s rights</w:t>
      </w:r>
      <w:r w:rsidRPr="00FF1E7F">
        <w:rPr>
          <w:rFonts w:ascii="Times New Roman" w:eastAsia="SimSun" w:hAnsi="Times New Roman" w:cs="Times New Roman"/>
          <w:sz w:val="24"/>
          <w:szCs w:val="24"/>
          <w:vertAlign w:val="superscript"/>
          <w:lang w:val="en-GB" w:eastAsia="zh-CN"/>
        </w:rPr>
        <w:footnoteReference w:id="32"/>
      </w:r>
      <w:r w:rsidRPr="00FF1E7F">
        <w:rPr>
          <w:rFonts w:ascii="Times New Roman" w:eastAsia="SimSun" w:hAnsi="Times New Roman" w:cs="Times New Roman"/>
          <w:sz w:val="24"/>
          <w:szCs w:val="24"/>
          <w:lang w:val="en-US" w:eastAsia="zh-CN"/>
        </w:rPr>
        <w:t xml:space="preserve">, </w:t>
      </w:r>
      <w:bookmarkStart w:id="4" w:name="_ednref3"/>
      <w:r w:rsidRPr="00FF1E7F">
        <w:rPr>
          <w:rFonts w:ascii="Times New Roman" w:eastAsia="Times New Roman" w:hAnsi="Times New Roman" w:cs="Times New Roman"/>
          <w:sz w:val="24"/>
          <w:szCs w:val="24"/>
          <w:lang w:val="en-US"/>
        </w:rPr>
        <w:t>which state that a child “due to his or her physical and mental immaturity, needs special safeguards and care, including appropriate legal protection, before as well as after birth</w:t>
      </w:r>
      <w:r w:rsidRPr="00FF1E7F">
        <w:rPr>
          <w:rFonts w:ascii="Times New Roman" w:eastAsia="SimSun" w:hAnsi="Times New Roman" w:cs="Times New Roman"/>
          <w:sz w:val="24"/>
          <w:szCs w:val="24"/>
          <w:lang w:val="en-US" w:eastAsia="zh-CN"/>
        </w:rPr>
        <w:t>”</w:t>
      </w:r>
      <w:bookmarkEnd w:id="4"/>
      <w:r w:rsidRPr="00FF1E7F">
        <w:rPr>
          <w:rFonts w:ascii="Times New Roman" w:eastAsia="SimSun" w:hAnsi="Times New Roman" w:cs="Times New Roman"/>
          <w:sz w:val="24"/>
          <w:szCs w:val="24"/>
          <w:vertAlign w:val="superscript"/>
          <w:lang w:val="en-GB" w:eastAsia="zh-CN"/>
        </w:rPr>
        <w:footnoteReference w:id="33"/>
      </w:r>
      <w:r w:rsidRPr="00FF1E7F">
        <w:rPr>
          <w:rFonts w:ascii="Times New Roman" w:eastAsia="SimSun" w:hAnsi="Times New Roman" w:cs="Times New Roman"/>
          <w:sz w:val="24"/>
          <w:szCs w:val="24"/>
          <w:lang w:val="en-US" w:eastAsia="zh-CN"/>
        </w:rPr>
        <w:t xml:space="preserve">. </w:t>
      </w:r>
    </w:p>
    <w:p w:rsidR="00FF1E7F" w:rsidRPr="00FF1E7F" w:rsidRDefault="00FF1E7F" w:rsidP="00FF1E7F">
      <w:pPr>
        <w:keepNext/>
        <w:keepLines/>
        <w:spacing w:before="480" w:after="240"/>
        <w:outlineLvl w:val="0"/>
        <w:rPr>
          <w:rFonts w:asciiTheme="majorHAnsi" w:eastAsiaTheme="majorEastAsia" w:hAnsiTheme="majorHAnsi" w:cstheme="majorBidi"/>
          <w:b/>
          <w:bCs/>
          <w:color w:val="2E74B5" w:themeColor="accent1" w:themeShade="BF"/>
          <w:sz w:val="28"/>
          <w:szCs w:val="28"/>
          <w:lang w:val="en-GB" w:eastAsia="en-US"/>
        </w:rPr>
      </w:pPr>
      <w:r w:rsidRPr="00FF1E7F">
        <w:rPr>
          <w:rFonts w:asciiTheme="majorHAnsi" w:eastAsiaTheme="majorEastAsia" w:hAnsiTheme="majorHAnsi" w:cstheme="majorBidi"/>
          <w:b/>
          <w:bCs/>
          <w:color w:val="2E74B5" w:themeColor="accent1" w:themeShade="BF"/>
          <w:sz w:val="28"/>
          <w:szCs w:val="28"/>
          <w:lang w:val="en-GB" w:eastAsia="en-US"/>
        </w:rPr>
        <w:t>Rights of aliens</w:t>
      </w:r>
    </w:p>
    <w:p w:rsidR="00FF1E7F" w:rsidRPr="00FF1E7F" w:rsidRDefault="00FF1E7F" w:rsidP="00FF1E7F">
      <w:pPr>
        <w:spacing w:after="240"/>
        <w:rPr>
          <w:rFonts w:eastAsiaTheme="minorHAnsi"/>
          <w:lang w:val="en-GB" w:eastAsia="en-US"/>
        </w:rPr>
      </w:pP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r w:rsidRPr="00FF1E7F">
        <w:rPr>
          <w:rFonts w:ascii="Times New Roman" w:eastAsiaTheme="minorHAnsi" w:hAnsi="Times New Roman" w:cs="Times New Roman"/>
          <w:sz w:val="24"/>
          <w:lang w:val="en-GB" w:eastAsia="en-US"/>
        </w:rPr>
        <w:t>According to Eurostat, in 2016 there were 585 969 first residence permits issued in Poland (17,5% of all EU) whereas Germany granted 504 849 such permits, France – 235 011, Italy – 222 398, and Spain – 211 533</w:t>
      </w:r>
      <w:r w:rsidRPr="00FF1E7F">
        <w:rPr>
          <w:rFonts w:ascii="Times New Roman" w:eastAsiaTheme="minorHAnsi" w:hAnsi="Times New Roman" w:cs="Times New Roman"/>
          <w:sz w:val="24"/>
          <w:vertAlign w:val="superscript"/>
          <w:lang w:val="en-GB" w:eastAsia="en-US"/>
        </w:rPr>
        <w:footnoteReference w:id="34"/>
      </w:r>
      <w:r w:rsidRPr="00FF1E7F">
        <w:rPr>
          <w:rFonts w:ascii="Times New Roman" w:eastAsiaTheme="minorHAnsi" w:hAnsi="Times New Roman" w:cs="Times New Roman"/>
          <w:sz w:val="24"/>
          <w:lang w:val="en-GB" w:eastAsia="en-US"/>
        </w:rPr>
        <w:t>. These numbers are also high if measured in comparison to population, with 15,4 permits per 1000 citizens in Poland, 6,1 in Germany or 6,5 EU-average.</w:t>
      </w:r>
    </w:p>
    <w:p w:rsidR="00FF1E7F" w:rsidRPr="00FF1E7F" w:rsidRDefault="00FF1E7F" w:rsidP="00FF1E7F">
      <w:pPr>
        <w:spacing w:after="240" w:line="360" w:lineRule="auto"/>
        <w:jc w:val="both"/>
        <w:rPr>
          <w:rFonts w:ascii="Times New Roman" w:eastAsiaTheme="minorHAnsi" w:hAnsi="Times New Roman" w:cs="Times New Roman"/>
          <w:sz w:val="24"/>
          <w:lang w:val="en-GB" w:eastAsia="en-US"/>
        </w:rPr>
      </w:pPr>
      <w:r w:rsidRPr="00FF1E7F">
        <w:rPr>
          <w:rFonts w:ascii="Times New Roman" w:eastAsiaTheme="minorHAnsi" w:hAnsi="Times New Roman" w:cs="Times New Roman"/>
          <w:sz w:val="24"/>
          <w:lang w:val="en-GB" w:eastAsia="en-US"/>
        </w:rPr>
        <w:t>Even though some migrants may face certain difficulties while crossing borders (resulting mostly from high demand and long waiting time), vast majority of them are granted right to remain in Poland. Moreover, independent studies have shown that even those migrants that are to be deported are being previously detained less and less frequently, as non-custodial measures are being applied instead</w:t>
      </w:r>
      <w:r w:rsidRPr="00FF1E7F">
        <w:rPr>
          <w:rFonts w:ascii="Times New Roman" w:eastAsiaTheme="minorHAnsi" w:hAnsi="Times New Roman" w:cs="Times New Roman"/>
          <w:sz w:val="24"/>
          <w:vertAlign w:val="superscript"/>
          <w:lang w:val="en-GB" w:eastAsia="en-US"/>
        </w:rPr>
        <w:footnoteReference w:id="35"/>
      </w:r>
      <w:r w:rsidRPr="00FF1E7F">
        <w:rPr>
          <w:rFonts w:ascii="Times New Roman" w:eastAsiaTheme="minorHAnsi" w:hAnsi="Times New Roman" w:cs="Times New Roman"/>
          <w:sz w:val="24"/>
          <w:lang w:val="en-GB" w:eastAsia="en-US"/>
        </w:rPr>
        <w:t>.</w:t>
      </w:r>
    </w:p>
    <w:p w:rsidR="001A7498" w:rsidRDefault="001A7498" w:rsidP="0082251D">
      <w:pPr>
        <w:spacing w:after="120"/>
        <w:rPr>
          <w:rFonts w:ascii="Cambria" w:eastAsia="Cambria" w:hAnsi="Cambria" w:cstheme="minorHAnsi"/>
          <w:sz w:val="24"/>
          <w:szCs w:val="24"/>
          <w:lang w:val="en-GB"/>
        </w:rPr>
      </w:pPr>
    </w:p>
    <w:p w:rsidR="00087677" w:rsidRPr="00391030" w:rsidRDefault="00087677" w:rsidP="0082251D">
      <w:pPr>
        <w:spacing w:after="120"/>
        <w:rPr>
          <w:rFonts w:ascii="Cambria" w:eastAsia="Cambria" w:hAnsi="Cambria" w:cstheme="minorHAnsi"/>
          <w:sz w:val="24"/>
          <w:szCs w:val="24"/>
          <w:lang w:val="en-GB"/>
        </w:rPr>
      </w:pPr>
    </w:p>
    <w:sectPr w:rsidR="00087677" w:rsidRPr="00391030" w:rsidSect="00EC77A3">
      <w:headerReference w:type="even" r:id="rId9"/>
      <w:headerReference w:type="default" r:id="rId10"/>
      <w:footerReference w:type="even" r:id="rId11"/>
      <w:footerReference w:type="default" r:id="rId12"/>
      <w:headerReference w:type="first" r:id="rId13"/>
      <w:footerReference w:type="first" r:id="rId14"/>
      <w:pgSz w:w="11906" w:h="16838"/>
      <w:pgMar w:top="1733" w:right="1133" w:bottom="1985" w:left="1134" w:header="964" w:footer="964" w:gutter="0"/>
      <w:cols w:space="708"/>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44F" w:rsidRDefault="00FA244F" w:rsidP="00BA7DCB">
      <w:pPr>
        <w:spacing w:after="0" w:line="240" w:lineRule="auto"/>
      </w:pPr>
      <w:r>
        <w:separator/>
      </w:r>
    </w:p>
  </w:endnote>
  <w:endnote w:type="continuationSeparator" w:id="0">
    <w:p w:rsidR="00FA244F" w:rsidRDefault="00FA244F" w:rsidP="00BA7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iberation Serif">
    <w:altName w:val="Times New Roman"/>
    <w:charset w:val="01"/>
    <w:family w:val="roman"/>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Lucida Grande CE">
    <w:charset w:val="58"/>
    <w:family w:val="auto"/>
    <w:pitch w:val="variable"/>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1DA" w:rsidRDefault="00CA0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589" w:rsidRPr="001A7498" w:rsidRDefault="00EC3589" w:rsidP="00725DA5">
    <w:pPr>
      <w:pStyle w:val="Footer"/>
      <w:pBdr>
        <w:top w:val="single" w:sz="4" w:space="1" w:color="auto"/>
      </w:pBdr>
      <w:tabs>
        <w:tab w:val="clear" w:pos="9072"/>
        <w:tab w:val="right" w:pos="9639"/>
      </w:tabs>
      <w:rPr>
        <w:rFonts w:ascii="Arial Narrow" w:hAnsi="Arial Narrow"/>
        <w:color w:val="7F7F7F" w:themeColor="text1" w:themeTint="80"/>
        <w:sz w:val="18"/>
        <w:szCs w:val="18"/>
        <w:lang w:val="en-GB"/>
      </w:rPr>
    </w:pPr>
    <w:r w:rsidRPr="001A7498">
      <w:rPr>
        <w:rFonts w:ascii="Arial Narrow" w:hAnsi="Arial Narrow"/>
        <w:color w:val="7F7F7F" w:themeColor="text1" w:themeTint="80"/>
        <w:sz w:val="18"/>
        <w:szCs w:val="18"/>
        <w:lang w:val="en-GB"/>
      </w:rPr>
      <w:t>ul. Górnośląska 20 lok. 6, 00-484 Warszawa</w:t>
    </w:r>
    <w:r w:rsidRPr="001A7498">
      <w:rPr>
        <w:rFonts w:ascii="Arial Narrow" w:hAnsi="Arial Narrow"/>
        <w:color w:val="7F7F7F" w:themeColor="text1" w:themeTint="80"/>
        <w:sz w:val="18"/>
        <w:szCs w:val="18"/>
        <w:lang w:val="en-GB"/>
      </w:rPr>
      <w:tab/>
    </w:r>
    <w:r w:rsidRPr="001A7498">
      <w:rPr>
        <w:rFonts w:ascii="Arial Narrow" w:hAnsi="Arial Narrow"/>
        <w:color w:val="7F7F7F" w:themeColor="text1" w:themeTint="80"/>
        <w:sz w:val="18"/>
        <w:szCs w:val="18"/>
        <w:lang w:val="en-GB"/>
      </w:rPr>
      <w:tab/>
    </w:r>
    <w:r w:rsidR="001A7498" w:rsidRPr="001A7498">
      <w:rPr>
        <w:rFonts w:ascii="Arial Narrow" w:hAnsi="Arial Narrow"/>
        <w:color w:val="7F7F7F" w:themeColor="text1" w:themeTint="80"/>
        <w:sz w:val="18"/>
        <w:szCs w:val="18"/>
        <w:lang w:val="en-GB"/>
      </w:rPr>
      <w:t xml:space="preserve">Silversquare Europe, </w:t>
    </w:r>
    <w:r w:rsidR="001A7498">
      <w:rPr>
        <w:rFonts w:ascii="Arial Narrow" w:eastAsia="Times New Roman" w:hAnsi="Arial Narrow" w:cs="Helvetica"/>
        <w:color w:val="7F7F7F" w:themeColor="text1" w:themeTint="80"/>
        <w:kern w:val="0"/>
        <w:sz w:val="18"/>
        <w:szCs w:val="18"/>
        <w:lang w:val="en-US" w:eastAsia="pl-PL" w:bidi="ar-SA"/>
      </w:rPr>
      <w:t>Square de Meeûs 35</w:t>
    </w:r>
    <w:r w:rsidR="001A7498" w:rsidRPr="00E660B3">
      <w:rPr>
        <w:rFonts w:ascii="Arial Narrow" w:eastAsia="Times New Roman" w:hAnsi="Arial Narrow" w:cs="Helvetica"/>
        <w:color w:val="7F7F7F" w:themeColor="text1" w:themeTint="80"/>
        <w:kern w:val="0"/>
        <w:sz w:val="18"/>
        <w:szCs w:val="18"/>
        <w:lang w:val="en-US" w:eastAsia="pl-PL" w:bidi="ar-SA"/>
      </w:rPr>
      <w:t>,</w:t>
    </w:r>
    <w:r w:rsidR="001A7498">
      <w:rPr>
        <w:rFonts w:ascii="Arial Narrow" w:eastAsia="Times New Roman" w:hAnsi="Arial Narrow" w:cs="Helvetica"/>
        <w:color w:val="7F7F7F" w:themeColor="text1" w:themeTint="80"/>
        <w:kern w:val="0"/>
        <w:sz w:val="18"/>
        <w:szCs w:val="18"/>
        <w:lang w:val="en-US" w:eastAsia="pl-PL" w:bidi="ar-SA"/>
      </w:rPr>
      <w:t xml:space="preserve"> </w:t>
    </w:r>
    <w:r w:rsidR="001A7498" w:rsidRPr="00E660B3">
      <w:rPr>
        <w:rFonts w:ascii="Arial Narrow" w:eastAsia="Times New Roman" w:hAnsi="Arial Narrow" w:cs="Helvetica"/>
        <w:color w:val="7F7F7F" w:themeColor="text1" w:themeTint="80"/>
        <w:kern w:val="0"/>
        <w:sz w:val="18"/>
        <w:szCs w:val="18"/>
        <w:lang w:val="en-US" w:eastAsia="pl-PL" w:bidi="ar-SA"/>
      </w:rPr>
      <w:t>1000 Brussels,</w:t>
    </w:r>
    <w:r w:rsidR="001A7498">
      <w:rPr>
        <w:rFonts w:ascii="Arial Narrow" w:eastAsia="Times New Roman" w:hAnsi="Arial Narrow" w:cs="Helvetica"/>
        <w:color w:val="7F7F7F" w:themeColor="text1" w:themeTint="80"/>
        <w:kern w:val="0"/>
        <w:sz w:val="18"/>
        <w:szCs w:val="18"/>
        <w:lang w:val="en-US" w:eastAsia="pl-PL" w:bidi="ar-SA"/>
      </w:rPr>
      <w:t xml:space="preserve"> </w:t>
    </w:r>
    <w:r w:rsidR="001A7498" w:rsidRPr="00E660B3">
      <w:rPr>
        <w:rFonts w:ascii="Arial Narrow" w:eastAsia="Times New Roman" w:hAnsi="Arial Narrow" w:cs="Helvetica"/>
        <w:color w:val="7F7F7F" w:themeColor="text1" w:themeTint="80"/>
        <w:kern w:val="0"/>
        <w:sz w:val="18"/>
        <w:szCs w:val="18"/>
        <w:lang w:val="en-US" w:eastAsia="pl-PL" w:bidi="ar-SA"/>
      </w:rPr>
      <w:t xml:space="preserve">Belgium  </w:t>
    </w:r>
    <w:r w:rsidRPr="001A7498">
      <w:rPr>
        <w:rFonts w:ascii="Arial Narrow" w:hAnsi="Arial Narrow"/>
        <w:color w:val="7F7F7F" w:themeColor="text1" w:themeTint="80"/>
        <w:sz w:val="18"/>
        <w:szCs w:val="18"/>
        <w:lang w:val="en-GB"/>
      </w:rPr>
      <w:br/>
    </w:r>
    <w:hyperlink r:id="rId1" w:history="1">
      <w:r w:rsidRPr="001A7498">
        <w:rPr>
          <w:rStyle w:val="Hyperlink"/>
          <w:rFonts w:ascii="Arial Narrow" w:hAnsi="Arial Narrow"/>
          <w:color w:val="7F7F7F" w:themeColor="text1" w:themeTint="80"/>
          <w:sz w:val="18"/>
          <w:szCs w:val="18"/>
          <w:lang w:val="en-GB"/>
        </w:rPr>
        <w:t>biuro@ordoiuris.pl</w:t>
      </w:r>
    </w:hyperlink>
    <w:r w:rsidRPr="001A7498">
      <w:rPr>
        <w:rFonts w:ascii="Arial Narrow" w:hAnsi="Arial Narrow"/>
        <w:color w:val="7F7F7F" w:themeColor="text1" w:themeTint="80"/>
        <w:sz w:val="18"/>
        <w:szCs w:val="18"/>
        <w:lang w:val="en-GB"/>
      </w:rPr>
      <w:t xml:space="preserve">, </w:t>
    </w:r>
    <w:r w:rsidRPr="00E660B3">
      <w:rPr>
        <w:rFonts w:ascii="Arial Narrow" w:eastAsia="Times New Roman" w:hAnsi="Arial Narrow" w:cs="Helvetica"/>
        <w:color w:val="7F7F7F" w:themeColor="text1" w:themeTint="80"/>
        <w:kern w:val="0"/>
        <w:sz w:val="18"/>
        <w:szCs w:val="18"/>
        <w:lang w:val="en-US" w:eastAsia="pl-PL" w:bidi="ar-SA"/>
      </w:rPr>
      <w:t>tel</w:t>
    </w:r>
    <w:r w:rsidR="00CA01DA">
      <w:rPr>
        <w:rFonts w:ascii="Arial Narrow" w:eastAsia="Times New Roman" w:hAnsi="Arial Narrow" w:cs="Helvetica"/>
        <w:color w:val="7F7F7F" w:themeColor="text1" w:themeTint="80"/>
        <w:kern w:val="0"/>
        <w:sz w:val="18"/>
        <w:szCs w:val="18"/>
        <w:lang w:val="en-US" w:eastAsia="pl-PL" w:bidi="ar-SA"/>
      </w:rPr>
      <w:t>.</w:t>
    </w:r>
    <w:r w:rsidRPr="00E660B3">
      <w:rPr>
        <w:rFonts w:ascii="Arial Narrow" w:eastAsia="Times New Roman" w:hAnsi="Arial Narrow" w:cs="Helvetica"/>
        <w:color w:val="7F7F7F" w:themeColor="text1" w:themeTint="80"/>
        <w:kern w:val="0"/>
        <w:sz w:val="18"/>
        <w:szCs w:val="18"/>
        <w:lang w:val="en-US" w:eastAsia="pl-PL" w:bidi="ar-SA"/>
      </w:rPr>
      <w:t> 22 404 38 50, fax 22 127 91 25</w:t>
    </w:r>
    <w:r w:rsidRPr="001A7498">
      <w:rPr>
        <w:rFonts w:ascii="Arial Narrow" w:hAnsi="Arial Narrow"/>
        <w:color w:val="7F7F7F" w:themeColor="text1" w:themeTint="80"/>
        <w:sz w:val="18"/>
        <w:szCs w:val="18"/>
        <w:lang w:val="en-GB"/>
      </w:rPr>
      <w:tab/>
    </w:r>
    <w:r w:rsidRPr="001A7498">
      <w:rPr>
        <w:rFonts w:ascii="Arial Narrow" w:hAnsi="Arial Narrow"/>
        <w:color w:val="7F7F7F" w:themeColor="text1" w:themeTint="80"/>
        <w:sz w:val="18"/>
        <w:szCs w:val="18"/>
        <w:lang w:val="en-GB"/>
      </w:rPr>
      <w:tab/>
    </w:r>
    <w:hyperlink r:id="rId2" w:history="1">
      <w:r w:rsidR="00CA01DA" w:rsidRPr="001A7498">
        <w:rPr>
          <w:rStyle w:val="Hyperlink"/>
          <w:rFonts w:ascii="Arial Narrow" w:hAnsi="Arial Narrow"/>
          <w:color w:val="7F7F7F" w:themeColor="text1" w:themeTint="80"/>
          <w:sz w:val="18"/>
          <w:szCs w:val="18"/>
          <w:lang w:val="en-GB"/>
        </w:rPr>
        <w:t>biuro@ordoiuris.pl</w:t>
      </w:r>
    </w:hyperlink>
    <w:r w:rsidRPr="00E660B3">
      <w:rPr>
        <w:rFonts w:ascii="Arial Narrow" w:eastAsia="Times New Roman" w:hAnsi="Arial Narrow" w:cs="Helvetica"/>
        <w:color w:val="7F7F7F" w:themeColor="text1" w:themeTint="80"/>
        <w:kern w:val="0"/>
        <w:sz w:val="18"/>
        <w:szCs w:val="18"/>
        <w:lang w:val="en-US" w:eastAsia="pl-PL" w:bidi="ar-SA"/>
      </w:rPr>
      <w:t xml:space="preserve"> |  fax </w:t>
    </w:r>
    <w:r w:rsidR="001A7498">
      <w:rPr>
        <w:rFonts w:ascii="Arial Narrow" w:eastAsia="Times New Roman" w:hAnsi="Arial Narrow" w:cs="Helvetica"/>
        <w:color w:val="7F7F7F" w:themeColor="text1" w:themeTint="80"/>
        <w:kern w:val="0"/>
        <w:sz w:val="18"/>
        <w:szCs w:val="18"/>
        <w:lang w:val="en-US" w:eastAsia="pl-PL" w:bidi="ar-SA"/>
      </w:rPr>
      <w:t>48 22 127 91 25</w:t>
    </w:r>
  </w:p>
  <w:p w:rsidR="00EC3589" w:rsidRPr="00E660B3" w:rsidRDefault="00EC3589" w:rsidP="00725DA5">
    <w:pPr>
      <w:pStyle w:val="Footer"/>
      <w:tabs>
        <w:tab w:val="clear" w:pos="9072"/>
        <w:tab w:val="right" w:pos="9639"/>
      </w:tabs>
      <w:rPr>
        <w:rFonts w:ascii="Arial Narrow" w:hAnsi="Arial Narrow"/>
        <w:color w:val="7F7F7F" w:themeColor="text1" w:themeTint="80"/>
        <w:sz w:val="18"/>
        <w:szCs w:val="18"/>
      </w:rPr>
    </w:pPr>
    <w:r w:rsidRPr="00E660B3">
      <w:rPr>
        <w:rFonts w:ascii="Arial Narrow" w:hAnsi="Arial Narrow"/>
        <w:color w:val="7F7F7F" w:themeColor="text1" w:themeTint="80"/>
        <w:sz w:val="18"/>
        <w:szCs w:val="18"/>
      </w:rPr>
      <w:t>www.ordoiuris.pl</w:t>
    </w:r>
    <w:r w:rsidRPr="00E660B3">
      <w:rPr>
        <w:rFonts w:ascii="Arial Narrow" w:hAnsi="Arial Narrow"/>
        <w:color w:val="7F7F7F" w:themeColor="text1" w:themeTint="80"/>
        <w:sz w:val="18"/>
        <w:szCs w:val="18"/>
      </w:rPr>
      <w:tab/>
    </w:r>
    <w:r w:rsidRPr="00E660B3">
      <w:rPr>
        <w:rFonts w:ascii="Arial Narrow" w:hAnsi="Arial Narrow"/>
        <w:color w:val="7F7F7F" w:themeColor="text1" w:themeTint="80"/>
        <w:sz w:val="18"/>
        <w:szCs w:val="18"/>
      </w:rPr>
      <w:tab/>
    </w:r>
    <w:r w:rsidRPr="00E660B3">
      <w:rPr>
        <w:rStyle w:val="PageNumber"/>
        <w:color w:val="7F7F7F" w:themeColor="text1" w:themeTint="80"/>
      </w:rPr>
      <w:fldChar w:fldCharType="begin"/>
    </w:r>
    <w:r w:rsidRPr="00E660B3">
      <w:rPr>
        <w:rStyle w:val="PageNumber"/>
        <w:color w:val="7F7F7F" w:themeColor="text1" w:themeTint="80"/>
      </w:rPr>
      <w:instrText xml:space="preserve"> PAGE </w:instrText>
    </w:r>
    <w:r w:rsidRPr="00E660B3">
      <w:rPr>
        <w:rStyle w:val="PageNumber"/>
        <w:color w:val="7F7F7F" w:themeColor="text1" w:themeTint="80"/>
      </w:rPr>
      <w:fldChar w:fldCharType="separate"/>
    </w:r>
    <w:r w:rsidR="00415992">
      <w:rPr>
        <w:rStyle w:val="PageNumber"/>
        <w:noProof/>
        <w:color w:val="7F7F7F" w:themeColor="text1" w:themeTint="80"/>
      </w:rPr>
      <w:t>11</w:t>
    </w:r>
    <w:r w:rsidRPr="00E660B3">
      <w:rPr>
        <w:rStyle w:val="PageNumber"/>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589" w:rsidRPr="00835FBB" w:rsidRDefault="00EC3589" w:rsidP="00725DA5">
    <w:pPr>
      <w:pStyle w:val="Footer"/>
      <w:pBdr>
        <w:top w:val="single" w:sz="4" w:space="1" w:color="auto"/>
      </w:pBdr>
      <w:tabs>
        <w:tab w:val="clear" w:pos="9072"/>
        <w:tab w:val="right" w:pos="9639"/>
      </w:tabs>
      <w:rPr>
        <w:rFonts w:ascii="Arial Narrow" w:eastAsia="Times New Roman" w:hAnsi="Arial Narrow" w:cs="Helvetica"/>
        <w:color w:val="7F7F7F" w:themeColor="text1" w:themeTint="80"/>
        <w:kern w:val="0"/>
        <w:sz w:val="18"/>
        <w:szCs w:val="18"/>
        <w:lang w:val="en-US" w:eastAsia="pl-PL" w:bidi="ar-SA"/>
      </w:rPr>
    </w:pPr>
    <w:r w:rsidRPr="001A7498">
      <w:rPr>
        <w:rFonts w:ascii="Arial Narrow" w:hAnsi="Arial Narrow"/>
        <w:color w:val="7F7F7F" w:themeColor="text1" w:themeTint="80"/>
        <w:sz w:val="18"/>
        <w:szCs w:val="18"/>
        <w:lang w:val="en-GB"/>
      </w:rPr>
      <w:t>ul. Górnośląska 20 lok. 6, 00-484 Warszawa</w:t>
    </w:r>
    <w:r w:rsidRPr="001A7498">
      <w:rPr>
        <w:rFonts w:ascii="Arial Narrow" w:hAnsi="Arial Narrow"/>
        <w:color w:val="7F7F7F" w:themeColor="text1" w:themeTint="80"/>
        <w:sz w:val="18"/>
        <w:szCs w:val="18"/>
        <w:lang w:val="en-GB"/>
      </w:rPr>
      <w:tab/>
    </w:r>
    <w:r w:rsidRPr="001A7498">
      <w:rPr>
        <w:rFonts w:ascii="Arial Narrow" w:hAnsi="Arial Narrow"/>
        <w:color w:val="7F7F7F" w:themeColor="text1" w:themeTint="80"/>
        <w:sz w:val="18"/>
        <w:szCs w:val="18"/>
        <w:lang w:val="en-GB"/>
      </w:rPr>
      <w:tab/>
    </w:r>
    <w:r w:rsidR="00835FBB" w:rsidRPr="001A7498">
      <w:rPr>
        <w:rFonts w:ascii="Arial Narrow" w:hAnsi="Arial Narrow"/>
        <w:color w:val="7F7F7F" w:themeColor="text1" w:themeTint="80"/>
        <w:sz w:val="18"/>
        <w:szCs w:val="18"/>
        <w:lang w:val="en-GB"/>
      </w:rPr>
      <w:t xml:space="preserve">Silversquare Europe, </w:t>
    </w:r>
    <w:r w:rsidR="00835FBB">
      <w:rPr>
        <w:rFonts w:ascii="Arial Narrow" w:eastAsia="Times New Roman" w:hAnsi="Arial Narrow" w:cs="Helvetica"/>
        <w:color w:val="7F7F7F" w:themeColor="text1" w:themeTint="80"/>
        <w:kern w:val="0"/>
        <w:sz w:val="18"/>
        <w:szCs w:val="18"/>
        <w:lang w:val="en-US" w:eastAsia="pl-PL" w:bidi="ar-SA"/>
      </w:rPr>
      <w:t>Square de Meeûs 35</w:t>
    </w:r>
    <w:r w:rsidRPr="00E660B3">
      <w:rPr>
        <w:rFonts w:ascii="Arial Narrow" w:eastAsia="Times New Roman" w:hAnsi="Arial Narrow" w:cs="Helvetica"/>
        <w:color w:val="7F7F7F" w:themeColor="text1" w:themeTint="80"/>
        <w:kern w:val="0"/>
        <w:sz w:val="18"/>
        <w:szCs w:val="18"/>
        <w:lang w:val="en-US" w:eastAsia="pl-PL" w:bidi="ar-SA"/>
      </w:rPr>
      <w:t>,</w:t>
    </w:r>
    <w:r w:rsidR="00835FBB">
      <w:rPr>
        <w:rFonts w:ascii="Arial Narrow" w:eastAsia="Times New Roman" w:hAnsi="Arial Narrow" w:cs="Helvetica"/>
        <w:color w:val="7F7F7F" w:themeColor="text1" w:themeTint="80"/>
        <w:kern w:val="0"/>
        <w:sz w:val="18"/>
        <w:szCs w:val="18"/>
        <w:lang w:val="en-US" w:eastAsia="pl-PL" w:bidi="ar-SA"/>
      </w:rPr>
      <w:t xml:space="preserve"> </w:t>
    </w:r>
    <w:r w:rsidR="00835FBB" w:rsidRPr="00E660B3">
      <w:rPr>
        <w:rFonts w:ascii="Arial Narrow" w:eastAsia="Times New Roman" w:hAnsi="Arial Narrow" w:cs="Helvetica"/>
        <w:color w:val="7F7F7F" w:themeColor="text1" w:themeTint="80"/>
        <w:kern w:val="0"/>
        <w:sz w:val="18"/>
        <w:szCs w:val="18"/>
        <w:lang w:val="en-US" w:eastAsia="pl-PL" w:bidi="ar-SA"/>
      </w:rPr>
      <w:t>1000 Brussels,</w:t>
    </w:r>
    <w:r w:rsidR="00835FBB">
      <w:rPr>
        <w:rFonts w:ascii="Arial Narrow" w:eastAsia="Times New Roman" w:hAnsi="Arial Narrow" w:cs="Helvetica"/>
        <w:color w:val="7F7F7F" w:themeColor="text1" w:themeTint="80"/>
        <w:kern w:val="0"/>
        <w:sz w:val="18"/>
        <w:szCs w:val="18"/>
        <w:lang w:val="en-US" w:eastAsia="pl-PL" w:bidi="ar-SA"/>
      </w:rPr>
      <w:t xml:space="preserve"> </w:t>
    </w:r>
    <w:r w:rsidR="00835FBB" w:rsidRPr="00E660B3">
      <w:rPr>
        <w:rFonts w:ascii="Arial Narrow" w:eastAsia="Times New Roman" w:hAnsi="Arial Narrow" w:cs="Helvetica"/>
        <w:color w:val="7F7F7F" w:themeColor="text1" w:themeTint="80"/>
        <w:kern w:val="0"/>
        <w:sz w:val="18"/>
        <w:szCs w:val="18"/>
        <w:lang w:val="en-US" w:eastAsia="pl-PL" w:bidi="ar-SA"/>
      </w:rPr>
      <w:t xml:space="preserve">Belgium </w:t>
    </w:r>
    <w:r w:rsidRPr="00E660B3">
      <w:rPr>
        <w:rFonts w:ascii="Arial Narrow" w:eastAsia="Times New Roman" w:hAnsi="Arial Narrow" w:cs="Helvetica"/>
        <w:color w:val="7F7F7F" w:themeColor="text1" w:themeTint="80"/>
        <w:kern w:val="0"/>
        <w:sz w:val="18"/>
        <w:szCs w:val="18"/>
        <w:lang w:val="en-US" w:eastAsia="pl-PL" w:bidi="ar-SA"/>
      </w:rPr>
      <w:t xml:space="preserve"> </w:t>
    </w:r>
    <w:r w:rsidRPr="001A7498">
      <w:rPr>
        <w:rFonts w:ascii="Arial Narrow" w:hAnsi="Arial Narrow"/>
        <w:color w:val="7F7F7F" w:themeColor="text1" w:themeTint="80"/>
        <w:sz w:val="18"/>
        <w:szCs w:val="18"/>
        <w:lang w:val="en-GB"/>
      </w:rPr>
      <w:br/>
    </w:r>
    <w:hyperlink r:id="rId1" w:history="1">
      <w:r w:rsidRPr="001A7498">
        <w:rPr>
          <w:rStyle w:val="Hyperlink"/>
          <w:rFonts w:ascii="Arial Narrow" w:hAnsi="Arial Narrow"/>
          <w:color w:val="7F7F7F" w:themeColor="text1" w:themeTint="80"/>
          <w:sz w:val="18"/>
          <w:szCs w:val="18"/>
          <w:lang w:val="en-GB"/>
        </w:rPr>
        <w:t>biuro@ordoiuris.pl</w:t>
      </w:r>
    </w:hyperlink>
    <w:r w:rsidRPr="001A7498">
      <w:rPr>
        <w:rFonts w:ascii="Arial Narrow" w:hAnsi="Arial Narrow"/>
        <w:color w:val="7F7F7F" w:themeColor="text1" w:themeTint="80"/>
        <w:sz w:val="18"/>
        <w:szCs w:val="18"/>
        <w:lang w:val="en-GB"/>
      </w:rPr>
      <w:t xml:space="preserve">, </w:t>
    </w:r>
    <w:r w:rsidRPr="00E660B3">
      <w:rPr>
        <w:rFonts w:ascii="Arial Narrow" w:eastAsia="Times New Roman" w:hAnsi="Arial Narrow" w:cs="Helvetica"/>
        <w:color w:val="7F7F7F" w:themeColor="text1" w:themeTint="80"/>
        <w:kern w:val="0"/>
        <w:sz w:val="18"/>
        <w:szCs w:val="18"/>
        <w:lang w:val="en-US" w:eastAsia="pl-PL" w:bidi="ar-SA"/>
      </w:rPr>
      <w:t>tel 22 404 38 50, fax 22 127 91 25</w:t>
    </w:r>
    <w:r w:rsidRPr="001A7498">
      <w:rPr>
        <w:rFonts w:ascii="Arial Narrow" w:hAnsi="Arial Narrow"/>
        <w:color w:val="7F7F7F" w:themeColor="text1" w:themeTint="80"/>
        <w:sz w:val="18"/>
        <w:szCs w:val="18"/>
        <w:lang w:val="en-GB"/>
      </w:rPr>
      <w:tab/>
    </w:r>
    <w:r w:rsidRPr="001A7498">
      <w:rPr>
        <w:rFonts w:ascii="Arial Narrow" w:hAnsi="Arial Narrow"/>
        <w:color w:val="7F7F7F" w:themeColor="text1" w:themeTint="80"/>
        <w:sz w:val="18"/>
        <w:szCs w:val="18"/>
        <w:lang w:val="en-GB"/>
      </w:rPr>
      <w:tab/>
    </w:r>
    <w:r w:rsidR="00835FBB" w:rsidRPr="00CA01DA">
      <w:rPr>
        <w:rFonts w:ascii="Arial Narrow" w:eastAsia="Times New Roman" w:hAnsi="Arial Narrow" w:cs="Helvetica"/>
        <w:color w:val="7F7F7F" w:themeColor="text1" w:themeTint="80"/>
        <w:kern w:val="0"/>
        <w:sz w:val="18"/>
        <w:szCs w:val="18"/>
        <w:lang w:val="en-US" w:eastAsia="pl-PL" w:bidi="ar-SA"/>
      </w:rPr>
      <w:t>biuro@ordoiuirs.pl</w:t>
    </w:r>
    <w:r w:rsidRPr="00E660B3">
      <w:rPr>
        <w:rFonts w:ascii="Arial Narrow" w:eastAsia="Times New Roman" w:hAnsi="Arial Narrow" w:cs="Helvetica"/>
        <w:color w:val="7F7F7F" w:themeColor="text1" w:themeTint="80"/>
        <w:kern w:val="0"/>
        <w:sz w:val="18"/>
        <w:szCs w:val="18"/>
        <w:lang w:val="en-US" w:eastAsia="pl-PL" w:bidi="ar-SA"/>
      </w:rPr>
      <w:t xml:space="preserve">  |  fax </w:t>
    </w:r>
    <w:r w:rsidR="00835FBB">
      <w:rPr>
        <w:rFonts w:ascii="Arial Narrow" w:eastAsia="Times New Roman" w:hAnsi="Arial Narrow" w:cs="Helvetica"/>
        <w:color w:val="7F7F7F" w:themeColor="text1" w:themeTint="80"/>
        <w:kern w:val="0"/>
        <w:sz w:val="18"/>
        <w:szCs w:val="18"/>
        <w:lang w:val="en-US" w:eastAsia="pl-PL" w:bidi="ar-SA"/>
      </w:rPr>
      <w:t>48 22 127 91 25</w:t>
    </w:r>
  </w:p>
  <w:p w:rsidR="00EC3589" w:rsidRPr="00E660B3" w:rsidRDefault="00EC3589" w:rsidP="00725DA5">
    <w:pPr>
      <w:pStyle w:val="Footer"/>
      <w:tabs>
        <w:tab w:val="clear" w:pos="9072"/>
        <w:tab w:val="right" w:pos="9639"/>
      </w:tabs>
      <w:rPr>
        <w:rFonts w:ascii="Arial Narrow" w:hAnsi="Arial Narrow"/>
        <w:color w:val="7F7F7F" w:themeColor="text1" w:themeTint="80"/>
        <w:sz w:val="18"/>
        <w:szCs w:val="18"/>
      </w:rPr>
    </w:pPr>
    <w:r w:rsidRPr="00E660B3">
      <w:rPr>
        <w:rFonts w:ascii="Arial Narrow" w:hAnsi="Arial Narrow"/>
        <w:color w:val="7F7F7F" w:themeColor="text1" w:themeTint="80"/>
        <w:sz w:val="18"/>
        <w:szCs w:val="18"/>
      </w:rPr>
      <w:t>www.ordoiuris.pl</w:t>
    </w:r>
    <w:r w:rsidRPr="00E660B3">
      <w:rPr>
        <w:rFonts w:ascii="Arial Narrow" w:hAnsi="Arial Narrow"/>
        <w:color w:val="7F7F7F" w:themeColor="text1" w:themeTint="80"/>
        <w:sz w:val="18"/>
        <w:szCs w:val="18"/>
      </w:rPr>
      <w:tab/>
    </w:r>
    <w:r w:rsidRPr="00E660B3">
      <w:rPr>
        <w:rFonts w:ascii="Arial Narrow" w:hAnsi="Arial Narrow"/>
        <w:color w:val="7F7F7F" w:themeColor="text1" w:themeTint="80"/>
        <w:sz w:val="18"/>
        <w:szCs w:val="18"/>
      </w:rPr>
      <w:tab/>
    </w:r>
    <w:r w:rsidRPr="00E660B3">
      <w:rPr>
        <w:rStyle w:val="PageNumber"/>
        <w:color w:val="7F7F7F" w:themeColor="text1" w:themeTint="80"/>
      </w:rPr>
      <w:fldChar w:fldCharType="begin"/>
    </w:r>
    <w:r w:rsidRPr="00E660B3">
      <w:rPr>
        <w:rStyle w:val="PageNumber"/>
        <w:color w:val="7F7F7F" w:themeColor="text1" w:themeTint="80"/>
      </w:rPr>
      <w:instrText xml:space="preserve"> PAGE </w:instrText>
    </w:r>
    <w:r w:rsidRPr="00E660B3">
      <w:rPr>
        <w:rStyle w:val="PageNumber"/>
        <w:color w:val="7F7F7F" w:themeColor="text1" w:themeTint="80"/>
      </w:rPr>
      <w:fldChar w:fldCharType="separate"/>
    </w:r>
    <w:r w:rsidR="00415992">
      <w:rPr>
        <w:rStyle w:val="PageNumber"/>
        <w:noProof/>
        <w:color w:val="7F7F7F" w:themeColor="text1" w:themeTint="80"/>
      </w:rPr>
      <w:t>1</w:t>
    </w:r>
    <w:r w:rsidRPr="00E660B3">
      <w:rPr>
        <w:rStyle w:val="PageNumber"/>
        <w:color w:val="7F7F7F" w:themeColor="text1" w:themeTint="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44F" w:rsidRDefault="00FA244F" w:rsidP="00BA7DCB">
      <w:pPr>
        <w:spacing w:after="0" w:line="240" w:lineRule="auto"/>
      </w:pPr>
      <w:r>
        <w:separator/>
      </w:r>
    </w:p>
  </w:footnote>
  <w:footnote w:type="continuationSeparator" w:id="0">
    <w:p w:rsidR="00FA244F" w:rsidRDefault="00FA244F" w:rsidP="00BA7DCB">
      <w:pPr>
        <w:spacing w:after="0" w:line="240" w:lineRule="auto"/>
      </w:pPr>
      <w:r>
        <w:continuationSeparator/>
      </w:r>
    </w:p>
  </w:footnote>
  <w:footnote w:id="1">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cstheme="minorHAnsi"/>
          <w:i/>
          <w:lang w:val="en-GB"/>
        </w:rPr>
        <w:t xml:space="preserve">Constitution of the Republic of Poland </w:t>
      </w:r>
      <w:r w:rsidRPr="00391030">
        <w:rPr>
          <w:rFonts w:cstheme="minorHAnsi"/>
          <w:lang w:val="en-GB"/>
        </w:rPr>
        <w:t>of 2 April 1997 (Journal of Laws No. 78, item 483 as amended, hereinafter</w:t>
      </w:r>
      <w:r w:rsidRPr="00391030">
        <w:rPr>
          <w:rFonts w:eastAsia="Times New Roman" w:cstheme="minorHAnsi"/>
          <w:lang w:val="en-GB" w:eastAsia="pl-PL"/>
        </w:rPr>
        <w:t xml:space="preserve"> referred to as the</w:t>
      </w:r>
      <w:r w:rsidRPr="00391030">
        <w:rPr>
          <w:rFonts w:cstheme="minorHAnsi"/>
          <w:lang w:val="en-GB"/>
        </w:rPr>
        <w:t xml:space="preserve"> “Constitution of the Republic of Poland”).</w:t>
      </w:r>
    </w:p>
  </w:footnote>
  <w:footnote w:id="2">
    <w:p w:rsidR="00FF1E7F" w:rsidRPr="00391030" w:rsidRDefault="00FF1E7F" w:rsidP="00FF1E7F">
      <w:pPr>
        <w:spacing w:after="0" w:line="240" w:lineRule="auto"/>
        <w:jc w:val="both"/>
        <w:rPr>
          <w:rFonts w:eastAsia="Times New Roman" w:cstheme="minorHAnsi"/>
          <w:i/>
          <w:iCs/>
          <w:sz w:val="20"/>
          <w:szCs w:val="20"/>
          <w:lang w:val="en-GB"/>
        </w:rPr>
      </w:pPr>
      <w:r w:rsidRPr="002448DD">
        <w:rPr>
          <w:rStyle w:val="FootnoteReference"/>
          <w:rFonts w:cstheme="minorHAnsi"/>
          <w:sz w:val="20"/>
          <w:szCs w:val="20"/>
        </w:rPr>
        <w:footnoteRef/>
      </w:r>
      <w:r w:rsidRPr="00391030">
        <w:rPr>
          <w:rFonts w:cstheme="minorHAnsi"/>
          <w:sz w:val="20"/>
          <w:szCs w:val="20"/>
          <w:lang w:val="en-GB"/>
        </w:rPr>
        <w:t xml:space="preserve"> </w:t>
      </w:r>
      <w:r w:rsidRPr="00391030">
        <w:rPr>
          <w:rFonts w:eastAsia="Times New Roman" w:cstheme="minorHAnsi"/>
          <w:sz w:val="20"/>
          <w:szCs w:val="20"/>
          <w:lang w:val="en-GB"/>
        </w:rPr>
        <w:t>The Act of</w:t>
      </w:r>
      <w:r w:rsidRPr="00391030">
        <w:rPr>
          <w:rStyle w:val="FontStyle24"/>
          <w:rFonts w:cstheme="minorHAnsi"/>
          <w:sz w:val="20"/>
          <w:szCs w:val="20"/>
          <w:lang w:val="en-GB"/>
        </w:rPr>
        <w:t xml:space="preserve"> 7 January 1993 </w:t>
      </w:r>
      <w:r w:rsidRPr="00391030">
        <w:rPr>
          <w:rStyle w:val="FontStyle24"/>
          <w:rFonts w:cstheme="minorHAnsi"/>
          <w:i/>
          <w:sz w:val="20"/>
          <w:szCs w:val="20"/>
          <w:lang w:val="en-GB"/>
        </w:rPr>
        <w:t xml:space="preserve">on </w:t>
      </w:r>
      <w:r w:rsidRPr="00391030">
        <w:rPr>
          <w:rFonts w:eastAsia="Times New Roman" w:cstheme="minorHAnsi"/>
          <w:i/>
          <w:iCs/>
          <w:sz w:val="20"/>
          <w:szCs w:val="20"/>
          <w:lang w:val="en-GB"/>
        </w:rPr>
        <w:t>family planning, protection of human foetuses and the conditions under which pregnancy termination is permissible</w:t>
      </w:r>
      <w:r w:rsidRPr="00391030">
        <w:rPr>
          <w:rStyle w:val="FontStyle24"/>
          <w:rFonts w:cstheme="minorHAnsi"/>
          <w:i/>
          <w:sz w:val="20"/>
          <w:szCs w:val="20"/>
          <w:lang w:val="en-GB"/>
        </w:rPr>
        <w:t xml:space="preserve"> </w:t>
      </w:r>
      <w:r w:rsidRPr="00391030">
        <w:rPr>
          <w:rFonts w:eastAsia="Times New Roman" w:cstheme="minorHAnsi"/>
          <w:sz w:val="20"/>
          <w:szCs w:val="20"/>
          <w:lang w:val="en-GB"/>
        </w:rPr>
        <w:t>(</w:t>
      </w:r>
      <w:r w:rsidRPr="00391030">
        <w:rPr>
          <w:rFonts w:cstheme="minorHAnsi"/>
          <w:sz w:val="20"/>
          <w:szCs w:val="20"/>
          <w:lang w:val="en-GB"/>
        </w:rPr>
        <w:t xml:space="preserve">Journal of Laws No. </w:t>
      </w:r>
      <w:r w:rsidRPr="00391030">
        <w:rPr>
          <w:rFonts w:eastAsia="Times New Roman" w:cstheme="minorHAnsi"/>
          <w:sz w:val="20"/>
          <w:szCs w:val="20"/>
          <w:lang w:val="en-GB"/>
        </w:rPr>
        <w:t>17, item 78 as amended, hereinafter referred to as the “FP Act”).</w:t>
      </w:r>
    </w:p>
  </w:footnote>
  <w:footnote w:id="3">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eastAsia="Times New Roman"/>
          <w:lang w:val="en-GB" w:eastAsia="pl-PL"/>
        </w:rPr>
        <w:t>UN Population Fund</w:t>
      </w:r>
      <w:r w:rsidRPr="00391030">
        <w:rPr>
          <w:rFonts w:cstheme="minorHAnsi"/>
          <w:lang w:val="en-GB"/>
        </w:rPr>
        <w:t xml:space="preserve">, </w:t>
      </w:r>
      <w:r w:rsidRPr="00391030">
        <w:rPr>
          <w:rFonts w:eastAsia="Times New Roman" w:cstheme="minorHAnsi"/>
          <w:i/>
          <w:lang w:val="en-GB" w:eastAsia="pl-PL"/>
        </w:rPr>
        <w:t xml:space="preserve">Programme of </w:t>
      </w:r>
      <w:r>
        <w:rPr>
          <w:rFonts w:eastAsia="Times New Roman"/>
          <w:i/>
          <w:iCs/>
          <w:lang w:val="en-US" w:eastAsia="pl-PL"/>
        </w:rPr>
        <w:t>Action adopted at</w:t>
      </w:r>
      <w:r w:rsidRPr="00AD7690">
        <w:rPr>
          <w:rFonts w:eastAsia="Times New Roman"/>
          <w:i/>
          <w:iCs/>
          <w:lang w:val="en-US" w:eastAsia="pl-PL"/>
        </w:rPr>
        <w:t xml:space="preserve"> the International Conference on Population and Development</w:t>
      </w:r>
      <w:r w:rsidRPr="00391030">
        <w:rPr>
          <w:rFonts w:eastAsia="Times New Roman" w:cstheme="minorHAnsi"/>
          <w:i/>
          <w:lang w:val="en-GB" w:eastAsia="pl-PL"/>
        </w:rPr>
        <w:t xml:space="preserve"> </w:t>
      </w:r>
      <w:r w:rsidRPr="00391030">
        <w:rPr>
          <w:rFonts w:eastAsia="Times New Roman" w:cstheme="minorHAnsi"/>
          <w:lang w:val="en-GB" w:eastAsia="pl-PL"/>
        </w:rPr>
        <w:t>of 1994, Cairo, item 8.25.</w:t>
      </w:r>
    </w:p>
  </w:footnote>
  <w:footnote w:id="4">
    <w:p w:rsidR="00FF1E7F" w:rsidRPr="00391030" w:rsidRDefault="00FF1E7F" w:rsidP="00FF1E7F">
      <w:pPr>
        <w:pStyle w:val="FootnoteText"/>
        <w:jc w:val="both"/>
        <w:rPr>
          <w:rFonts w:cstheme="minorHAnsi"/>
          <w:lang w:val="en-GB"/>
        </w:rPr>
      </w:pPr>
      <w:r w:rsidRPr="002448DD">
        <w:rPr>
          <w:rFonts w:eastAsia="Times" w:cstheme="minorHAnsi"/>
          <w:vertAlign w:val="superscript"/>
        </w:rPr>
        <w:footnoteRef/>
      </w:r>
      <w:r w:rsidRPr="003F63F2">
        <w:rPr>
          <w:rFonts w:cstheme="minorHAnsi"/>
          <w:lang w:val="de-DE"/>
        </w:rPr>
        <w:t xml:space="preserve"> Kassebaum N.J. et al. </w:t>
      </w:r>
      <w:r w:rsidRPr="00391030">
        <w:rPr>
          <w:rFonts w:cstheme="minorHAnsi"/>
          <w:i/>
          <w:iCs/>
          <w:lang w:val="en-GB"/>
        </w:rPr>
        <w:t>Global, regional, and national levels and causes of maternal mortality during 1990–2013: a systematic analysis for the Global Burden of Disease Study 2013</w:t>
      </w:r>
      <w:r w:rsidRPr="00391030">
        <w:rPr>
          <w:rFonts w:cstheme="minorHAnsi"/>
          <w:lang w:val="en-GB"/>
        </w:rPr>
        <w:t xml:space="preserve">, [in:] “The Lancet” - vol. 384 September 13, 2014, p. 998, </w:t>
      </w:r>
      <w:hyperlink r:id="rId1" w:history="1">
        <w:r w:rsidRPr="00391030">
          <w:rPr>
            <w:rStyle w:val="Hyperlink1"/>
            <w:rFonts w:asciiTheme="minorHAnsi" w:eastAsia="Calibri" w:hAnsiTheme="minorHAnsi" w:cstheme="minorHAnsi"/>
            <w:lang w:val="en-GB"/>
          </w:rPr>
          <w:t>http://www.thelancet.com/pdfs/journals/lancet/PIIS0140-6736(14)60696-6.pdf</w:t>
        </w:r>
      </w:hyperlink>
      <w:r w:rsidRPr="00391030">
        <w:rPr>
          <w:rFonts w:cstheme="minorHAnsi"/>
          <w:lang w:val="en-GB"/>
        </w:rPr>
        <w:t xml:space="preserve"> [accessed on: 19.12.2017].</w:t>
      </w:r>
    </w:p>
  </w:footnote>
  <w:footnote w:id="5">
    <w:p w:rsidR="00FF1E7F" w:rsidRPr="00391030" w:rsidRDefault="00FF1E7F" w:rsidP="00FF1E7F">
      <w:pPr>
        <w:pStyle w:val="FootnoteText"/>
        <w:jc w:val="both"/>
        <w:rPr>
          <w:rFonts w:cstheme="minorHAnsi"/>
          <w:highlight w:val="yellow"/>
          <w:lang w:val="en-GB"/>
        </w:rPr>
      </w:pPr>
      <w:r w:rsidRPr="002448DD">
        <w:rPr>
          <w:rFonts w:eastAsia="Times" w:cstheme="minorHAnsi"/>
          <w:vertAlign w:val="superscript"/>
        </w:rPr>
        <w:footnoteRef/>
      </w:r>
      <w:r w:rsidRPr="00391030">
        <w:rPr>
          <w:rFonts w:cstheme="minorHAnsi"/>
          <w:lang w:val="en-GB"/>
        </w:rPr>
        <w:t xml:space="preserve"> </w:t>
      </w:r>
      <w:r w:rsidRPr="00391030">
        <w:rPr>
          <w:rFonts w:cstheme="minorHAnsi"/>
          <w:i/>
          <w:iCs/>
          <w:lang w:val="en-GB"/>
        </w:rPr>
        <w:t>Trends in maternal mortality: 1990 to 2015 Estimates by WHO, UNICEF, UNFPA, World Bank Group and the United Nations Population Division</w:t>
      </w:r>
      <w:r w:rsidRPr="00391030">
        <w:rPr>
          <w:rFonts w:cstheme="minorHAnsi"/>
          <w:lang w:val="en-GB"/>
        </w:rPr>
        <w:t xml:space="preserve">, World Health Organization 2015, pp. 70-77. </w:t>
      </w:r>
    </w:p>
  </w:footnote>
  <w:footnote w:id="6">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cstheme="minorHAnsi"/>
          <w:color w:val="002060"/>
          <w:lang w:val="en-GB"/>
        </w:rPr>
        <w:t xml:space="preserve">Cf. </w:t>
      </w:r>
      <w:hyperlink r:id="rId2" w:history="1">
        <w:r w:rsidRPr="00391030">
          <w:rPr>
            <w:rStyle w:val="Hyperlink"/>
            <w:rFonts w:cstheme="minorHAnsi"/>
            <w:color w:val="002060"/>
            <w:lang w:val="en-GB"/>
          </w:rPr>
          <w:t>https://data.worldbank.org/indicator/SH.STA.MMRT</w:t>
        </w:r>
      </w:hyperlink>
      <w:r w:rsidRPr="00391030">
        <w:rPr>
          <w:rFonts w:cstheme="minorHAnsi"/>
          <w:lang w:val="en-GB"/>
        </w:rPr>
        <w:t xml:space="preserve"> [accessed on: 19.12.2017].</w:t>
      </w:r>
    </w:p>
  </w:footnote>
  <w:footnote w:id="7">
    <w:p w:rsidR="00FF1E7F" w:rsidRPr="00391030" w:rsidRDefault="00FF1E7F" w:rsidP="00FF1E7F">
      <w:pPr>
        <w:pStyle w:val="FootnoteText"/>
        <w:jc w:val="both"/>
        <w:rPr>
          <w:lang w:val="en-GB"/>
        </w:rPr>
      </w:pPr>
      <w:r>
        <w:rPr>
          <w:rStyle w:val="FootnoteReference"/>
        </w:rPr>
        <w:footnoteRef/>
      </w:r>
      <w:r w:rsidRPr="00391030">
        <w:rPr>
          <w:lang w:val="en-GB"/>
        </w:rPr>
        <w:t xml:space="preserve"> Cf. </w:t>
      </w:r>
      <w:hyperlink r:id="rId3" w:history="1">
        <w:r w:rsidRPr="00391030">
          <w:rPr>
            <w:rStyle w:val="Hyperlink"/>
            <w:lang w:val="en-GB"/>
          </w:rPr>
          <w:t>https://kobieta.wp.pl/nawet-200-tysiecy-kobiet-rocznie-decyduje-sie-na-nielegalna-aborcje-5982777458090625a</w:t>
        </w:r>
      </w:hyperlink>
      <w:r w:rsidRPr="00391030">
        <w:rPr>
          <w:lang w:val="en-GB"/>
        </w:rPr>
        <w:t xml:space="preserve"> [accessed on: 19.12.2017].</w:t>
      </w:r>
    </w:p>
    <w:p w:rsidR="00FF1E7F" w:rsidRPr="00391030" w:rsidRDefault="00FF1E7F" w:rsidP="00FF1E7F">
      <w:pPr>
        <w:pStyle w:val="FootnoteText"/>
        <w:jc w:val="both"/>
        <w:rPr>
          <w:lang w:val="en-GB"/>
        </w:rPr>
      </w:pPr>
    </w:p>
  </w:footnote>
  <w:footnote w:id="8">
    <w:p w:rsidR="00FF1E7F" w:rsidRPr="00391030" w:rsidRDefault="00FF1E7F" w:rsidP="00FF1E7F">
      <w:pPr>
        <w:pStyle w:val="FootnoteText"/>
        <w:jc w:val="both"/>
        <w:rPr>
          <w:lang w:val="en-GB"/>
        </w:rPr>
      </w:pPr>
      <w:r w:rsidRPr="002448DD">
        <w:rPr>
          <w:rStyle w:val="FootnoteReference"/>
        </w:rPr>
        <w:footnoteRef/>
      </w:r>
      <w:r w:rsidRPr="00391030">
        <w:rPr>
          <w:lang w:val="en-GB"/>
        </w:rPr>
        <w:t xml:space="preserve"> Cf. </w:t>
      </w:r>
      <w:hyperlink r:id="rId4" w:history="1">
        <w:r w:rsidRPr="00391030">
          <w:rPr>
            <w:rStyle w:val="Hyperlink"/>
            <w:lang w:val="en-GB"/>
          </w:rPr>
          <w:t>http://www.ordoiuris.pl/ochrona-zycia/analiza-badan-sondazowych-dotyczacych-sprzeciwu-wobec-aborcji-w-latach-2007-2016</w:t>
        </w:r>
      </w:hyperlink>
      <w:r w:rsidRPr="00391030">
        <w:rPr>
          <w:lang w:val="en-GB"/>
        </w:rPr>
        <w:t xml:space="preserve"> [accessed on: 19.12.2017].</w:t>
      </w:r>
    </w:p>
  </w:footnote>
  <w:footnote w:id="9">
    <w:p w:rsidR="00FF1E7F" w:rsidRPr="00795610" w:rsidRDefault="00FF1E7F" w:rsidP="00FF1E7F">
      <w:pPr>
        <w:pStyle w:val="FootnoteText"/>
        <w:jc w:val="both"/>
      </w:pPr>
      <w:r w:rsidRPr="002448DD">
        <w:rPr>
          <w:rStyle w:val="FootnoteReference"/>
        </w:rPr>
        <w:footnoteRef/>
      </w:r>
      <w:r w:rsidRPr="00795610">
        <w:t xml:space="preserve"> Cf. footnote 5 and 6. </w:t>
      </w:r>
    </w:p>
  </w:footnote>
  <w:footnote w:id="10">
    <w:p w:rsidR="00FF1E7F" w:rsidRPr="00795610" w:rsidRDefault="00FF1E7F" w:rsidP="00FF1E7F">
      <w:pPr>
        <w:pStyle w:val="FootnoteText"/>
        <w:jc w:val="both"/>
      </w:pPr>
      <w:r w:rsidRPr="002448DD">
        <w:rPr>
          <w:rStyle w:val="FootnoteReference"/>
        </w:rPr>
        <w:footnoteRef/>
      </w:r>
      <w:r w:rsidRPr="00795610">
        <w:t xml:space="preserve"> </w:t>
      </w:r>
      <w:r w:rsidRPr="00795610">
        <w:rPr>
          <w:rStyle w:val="Emphasis"/>
        </w:rPr>
        <w:t xml:space="preserve">Sprawozdania Rady Ministrów z wykonania Ustawy z dnia 7 stycznia 1993 roku </w:t>
      </w:r>
      <w:r w:rsidRPr="00795610">
        <w:t xml:space="preserve">za lata 1998, 1999, 2000, 2001, 2003, 2004. </w:t>
      </w:r>
    </w:p>
  </w:footnote>
  <w:footnote w:id="11">
    <w:p w:rsidR="00FF1E7F" w:rsidRPr="00391030" w:rsidRDefault="00FF1E7F" w:rsidP="00FF1E7F">
      <w:pPr>
        <w:pStyle w:val="FootnoteText"/>
        <w:jc w:val="both"/>
        <w:rPr>
          <w:lang w:val="en-GB"/>
        </w:rPr>
      </w:pPr>
      <w:r w:rsidRPr="002448DD">
        <w:rPr>
          <w:rStyle w:val="FootnoteReference"/>
        </w:rPr>
        <w:footnoteRef/>
      </w:r>
      <w:r w:rsidRPr="00391030">
        <w:rPr>
          <w:lang w:val="en-GB"/>
        </w:rPr>
        <w:t xml:space="preserve"> The act sanctioning so called abortion on request of 30 August 1996 entered into force on 4 January 1997 (Journal of Laws No. 17, item 78 as amended), and became invalid on 23 December 1997, on the day when the ruling of the Constitutional Tribunal was published, deeming the said Act to be unconstitutional.</w:t>
      </w:r>
    </w:p>
  </w:footnote>
  <w:footnote w:id="12">
    <w:p w:rsidR="00FF1E7F" w:rsidRPr="00795610" w:rsidRDefault="00FF1E7F" w:rsidP="00FF1E7F">
      <w:pPr>
        <w:pStyle w:val="FootnoteText"/>
        <w:jc w:val="both"/>
      </w:pPr>
      <w:r w:rsidRPr="002448DD">
        <w:rPr>
          <w:rStyle w:val="FootnoteReference"/>
        </w:rPr>
        <w:footnoteRef/>
      </w:r>
      <w:r w:rsidRPr="00795610">
        <w:t xml:space="preserve"> M. Okólski, „</w:t>
      </w:r>
      <w:r w:rsidRPr="00795610">
        <w:rPr>
          <w:i/>
        </w:rPr>
        <w:t>Zapobieganie i przerywanie ciąży w Polsce”</w:t>
      </w:r>
      <w:r w:rsidRPr="00795610">
        <w:t xml:space="preserve">, „Studia Demograficzne”, PAN, no. 2/76 of 1984 and K. Meissner, </w:t>
      </w:r>
      <w:r w:rsidRPr="00795610">
        <w:rPr>
          <w:i/>
        </w:rPr>
        <w:t>„Częstość poronień”</w:t>
      </w:r>
      <w:r w:rsidRPr="00795610">
        <w:t>, „Słowo Powszechne”, XVL (1991), 85-86 (12-13-14 IV).</w:t>
      </w:r>
    </w:p>
  </w:footnote>
  <w:footnote w:id="13">
    <w:p w:rsidR="00FF1E7F" w:rsidRPr="00391030" w:rsidRDefault="00FF1E7F" w:rsidP="00FF1E7F">
      <w:pPr>
        <w:pStyle w:val="FootnoteText"/>
        <w:jc w:val="both"/>
        <w:rPr>
          <w:lang w:val="en-GB"/>
        </w:rPr>
      </w:pPr>
      <w:r w:rsidRPr="002448DD">
        <w:rPr>
          <w:rStyle w:val="FootnoteReference"/>
        </w:rPr>
        <w:footnoteRef/>
      </w:r>
      <w:r w:rsidRPr="00391030">
        <w:rPr>
          <w:lang w:val="en-GB"/>
        </w:rPr>
        <w:t xml:space="preserve"> Cf. </w:t>
      </w:r>
      <w:hyperlink r:id="rId5" w:history="1">
        <w:r w:rsidRPr="00391030">
          <w:rPr>
            <w:rStyle w:val="Hyperlink"/>
            <w:lang w:val="en-GB"/>
          </w:rPr>
          <w:t>http://www.pro-life.pl/baza-wiedzy/teksty/podziemie-aborcyjne-mity-i-fakty</w:t>
        </w:r>
      </w:hyperlink>
      <w:r w:rsidRPr="00391030">
        <w:rPr>
          <w:lang w:val="en-GB"/>
        </w:rPr>
        <w:t xml:space="preserve"> [accessed on: 19.12.2017].</w:t>
      </w:r>
    </w:p>
  </w:footnote>
  <w:footnote w:id="14">
    <w:p w:rsidR="00FF1E7F" w:rsidRPr="00391030" w:rsidRDefault="00FF1E7F" w:rsidP="00FF1E7F">
      <w:pPr>
        <w:spacing w:after="0" w:line="240" w:lineRule="auto"/>
        <w:jc w:val="both"/>
        <w:rPr>
          <w:rFonts w:eastAsia="Times New Roman" w:cstheme="minorHAnsi"/>
          <w:sz w:val="20"/>
          <w:szCs w:val="20"/>
          <w:lang w:val="en-GB"/>
        </w:rPr>
      </w:pPr>
      <w:r w:rsidRPr="002448DD">
        <w:rPr>
          <w:rStyle w:val="FootnoteReference"/>
          <w:rFonts w:cstheme="minorHAnsi"/>
          <w:sz w:val="20"/>
          <w:szCs w:val="20"/>
        </w:rPr>
        <w:footnoteRef/>
      </w:r>
      <w:r w:rsidRPr="00391030">
        <w:rPr>
          <w:rFonts w:cstheme="minorHAnsi"/>
          <w:sz w:val="20"/>
          <w:szCs w:val="20"/>
          <w:lang w:val="en-GB"/>
        </w:rPr>
        <w:t xml:space="preserve"> </w:t>
      </w:r>
      <w:r w:rsidRPr="00AD7690">
        <w:rPr>
          <w:rFonts w:ascii="Calibri" w:eastAsia="Times New Roman" w:hAnsi="Calibri" w:cs="Calibri"/>
          <w:sz w:val="20"/>
          <w:szCs w:val="20"/>
          <w:lang w:val="en-US"/>
        </w:rPr>
        <w:t>Judgment of the Constitutional Tribunal of 7 October 2015</w:t>
      </w:r>
      <w:r>
        <w:rPr>
          <w:rFonts w:ascii="Calibri" w:eastAsia="Times New Roman" w:hAnsi="Calibri" w:cs="Calibri"/>
          <w:sz w:val="20"/>
          <w:szCs w:val="20"/>
          <w:lang w:val="en-US"/>
        </w:rPr>
        <w:t>, Ref</w:t>
      </w:r>
      <w:r w:rsidRPr="00391030">
        <w:rPr>
          <w:rFonts w:eastAsia="Times New Roman" w:cstheme="minorHAnsi"/>
          <w:sz w:val="20"/>
          <w:szCs w:val="20"/>
          <w:lang w:val="en-GB"/>
        </w:rPr>
        <w:t>. K 12//14.</w:t>
      </w:r>
    </w:p>
  </w:footnote>
  <w:footnote w:id="15">
    <w:p w:rsidR="00FF1E7F" w:rsidRPr="00391030" w:rsidRDefault="00FF1E7F" w:rsidP="00FF1E7F">
      <w:pPr>
        <w:pStyle w:val="FootnoteText"/>
        <w:jc w:val="both"/>
        <w:rPr>
          <w:lang w:val="en-GB"/>
        </w:rPr>
      </w:pPr>
      <w:r>
        <w:rPr>
          <w:rStyle w:val="FootnoteReference"/>
        </w:rPr>
        <w:footnoteRef/>
      </w:r>
      <w:r w:rsidRPr="00391030">
        <w:rPr>
          <w:lang w:val="en-GB"/>
        </w:rPr>
        <w:t xml:space="preserve"> </w:t>
      </w:r>
      <w:r w:rsidRPr="00391030">
        <w:rPr>
          <w:rFonts w:cstheme="minorHAnsi"/>
          <w:lang w:val="en-GB"/>
        </w:rPr>
        <w:t xml:space="preserve">Cf. The Act on the profession of doctor and dentist (Journals of Laws of 2017, item 125 as amended). </w:t>
      </w:r>
    </w:p>
  </w:footnote>
  <w:footnote w:id="16">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This is confirmed first of all by the </w:t>
      </w:r>
      <w:r w:rsidRPr="00AD7690">
        <w:rPr>
          <w:rFonts w:eastAsia="Times New Roman"/>
          <w:i/>
          <w:iCs/>
          <w:lang w:val="en-US" w:eastAsia="pl-PL"/>
        </w:rPr>
        <w:t>European Convention and the Protection of Human Rights and Fundamental Freedoms</w:t>
      </w:r>
      <w:r w:rsidRPr="00391030">
        <w:rPr>
          <w:rFonts w:cstheme="minorHAnsi"/>
          <w:lang w:val="en-GB"/>
        </w:rPr>
        <w:t xml:space="preserve"> in Article 9 paragraph 1, the </w:t>
      </w:r>
      <w:r w:rsidRPr="00AD7690">
        <w:rPr>
          <w:rFonts w:eastAsia="Times New Roman"/>
          <w:i/>
          <w:iCs/>
          <w:lang w:val="en-US" w:eastAsia="pl-PL"/>
        </w:rPr>
        <w:t>International Covenant on Civil and Political Rights</w:t>
      </w:r>
      <w:r w:rsidRPr="00AD7690">
        <w:rPr>
          <w:rFonts w:ascii="Times New Roman" w:eastAsia="Times New Roman" w:hAnsi="Times New Roman" w:cs="Times New Roman"/>
          <w:sz w:val="24"/>
          <w:szCs w:val="24"/>
          <w:lang w:val="en-US" w:eastAsia="pl-PL"/>
        </w:rPr>
        <w:t xml:space="preserve"> </w:t>
      </w:r>
      <w:r w:rsidRPr="00391030">
        <w:rPr>
          <w:rFonts w:cstheme="minorHAnsi"/>
          <w:lang w:val="en-GB"/>
        </w:rPr>
        <w:t xml:space="preserve">in Article 18 and Article 10 </w:t>
      </w:r>
      <w:r w:rsidRPr="00AD7690">
        <w:rPr>
          <w:rFonts w:eastAsia="Times New Roman"/>
          <w:lang w:val="en-US" w:eastAsia="pl-PL"/>
        </w:rPr>
        <w:t>of the</w:t>
      </w:r>
      <w:r w:rsidRPr="00AD7690">
        <w:rPr>
          <w:rFonts w:ascii="Times New Roman" w:eastAsia="Times New Roman" w:hAnsi="Times New Roman" w:cs="Times New Roman"/>
          <w:sz w:val="24"/>
          <w:szCs w:val="24"/>
          <w:lang w:val="en-US" w:eastAsia="pl-PL"/>
        </w:rPr>
        <w:t xml:space="preserve"> </w:t>
      </w:r>
      <w:r w:rsidRPr="00AD7690">
        <w:rPr>
          <w:rFonts w:eastAsia="Times New Roman"/>
          <w:i/>
          <w:iCs/>
          <w:lang w:val="en-US" w:eastAsia="pl-PL"/>
        </w:rPr>
        <w:t>Charter of Fundamental Rights of the European Union</w:t>
      </w:r>
      <w:r w:rsidRPr="00391030">
        <w:rPr>
          <w:rFonts w:cstheme="minorHAnsi"/>
          <w:lang w:val="en-GB"/>
        </w:rPr>
        <w:t>.</w:t>
      </w:r>
    </w:p>
  </w:footnote>
  <w:footnote w:id="17">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Cf. Article 10 paragraph 2 </w:t>
      </w:r>
      <w:r w:rsidRPr="00AD7690">
        <w:rPr>
          <w:rFonts w:eastAsia="Times New Roman"/>
          <w:lang w:val="en-US" w:eastAsia="pl-PL"/>
        </w:rPr>
        <w:t>of the</w:t>
      </w:r>
      <w:r w:rsidRPr="00AD7690">
        <w:rPr>
          <w:rFonts w:ascii="Times New Roman" w:eastAsia="Times New Roman" w:hAnsi="Times New Roman" w:cs="Times New Roman"/>
          <w:sz w:val="24"/>
          <w:szCs w:val="24"/>
          <w:lang w:val="en-US" w:eastAsia="pl-PL"/>
        </w:rPr>
        <w:t xml:space="preserve"> </w:t>
      </w:r>
      <w:r w:rsidRPr="00AD7690">
        <w:rPr>
          <w:rFonts w:eastAsia="Times New Roman"/>
          <w:i/>
          <w:iCs/>
          <w:lang w:val="en-US" w:eastAsia="pl-PL"/>
        </w:rPr>
        <w:t>Charter of Fundamental Rights of the European Union</w:t>
      </w:r>
      <w:r w:rsidRPr="00391030">
        <w:rPr>
          <w:rFonts w:cstheme="minorHAnsi"/>
          <w:lang w:val="en-GB"/>
        </w:rPr>
        <w:t xml:space="preserve"> (Official Journal of the EU C. of 2007 No. 303, p. 1 as amended; hereinafter referred to as : “CFREU”).</w:t>
      </w:r>
    </w:p>
  </w:footnote>
  <w:footnote w:id="18">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eastAsia="Times New Roman" w:cstheme="minorHAnsi"/>
          <w:lang w:val="en-GB" w:eastAsia="pl-PL"/>
        </w:rPr>
        <w:t>Parliamentary Assembly of the Council of Europe</w:t>
      </w:r>
      <w:r w:rsidRPr="00391030">
        <w:rPr>
          <w:rFonts w:cstheme="minorHAnsi"/>
          <w:lang w:val="en-GB"/>
        </w:rPr>
        <w:t xml:space="preserve">, Resolution (1763) of 7 October 2010 on </w:t>
      </w:r>
      <w:r w:rsidRPr="00391030">
        <w:rPr>
          <w:rFonts w:eastAsia="Times New Roman" w:cstheme="minorHAnsi"/>
          <w:i/>
          <w:iCs/>
          <w:lang w:val="en-GB" w:eastAsia="pl-PL"/>
        </w:rPr>
        <w:t>Conscientious Objection in Legal Medical Care</w:t>
      </w:r>
      <w:r w:rsidRPr="00391030">
        <w:rPr>
          <w:rFonts w:cstheme="minorHAnsi"/>
          <w:i/>
          <w:lang w:val="en-GB"/>
        </w:rPr>
        <w:t>”</w:t>
      </w:r>
      <w:r w:rsidRPr="00391030">
        <w:rPr>
          <w:rFonts w:cstheme="minorHAnsi"/>
          <w:lang w:val="en-GB"/>
        </w:rPr>
        <w:t xml:space="preserve">, </w:t>
      </w:r>
      <w:hyperlink r:id="rId6" w:history="1">
        <w:r w:rsidRPr="00391030">
          <w:rPr>
            <w:rStyle w:val="Hyperlink"/>
            <w:rFonts w:cstheme="minorHAnsi"/>
            <w:lang w:val="en-GB"/>
          </w:rPr>
          <w:t>http://assembly.coe.int/nw/xml/XRef/Xref-XML2HTML-EN.asp?fileid=17909&amp;lang=en</w:t>
        </w:r>
      </w:hyperlink>
      <w:r w:rsidRPr="00391030">
        <w:rPr>
          <w:rFonts w:cstheme="minorHAnsi"/>
          <w:lang w:val="en-GB"/>
        </w:rPr>
        <w:t xml:space="preserve"> [accessed on: 19.12.2017].</w:t>
      </w:r>
    </w:p>
  </w:footnote>
  <w:footnote w:id="19">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AD7690">
        <w:rPr>
          <w:rFonts w:eastAsia="Times New Roman"/>
          <w:lang w:val="en-US" w:eastAsia="pl-PL"/>
        </w:rPr>
        <w:t>The Act of</w:t>
      </w:r>
      <w:r w:rsidRPr="00391030">
        <w:rPr>
          <w:rFonts w:cstheme="minorHAnsi"/>
          <w:lang w:val="en-GB"/>
        </w:rPr>
        <w:t xml:space="preserve"> 6 November 2008 </w:t>
      </w:r>
      <w:r w:rsidRPr="00AD7690">
        <w:rPr>
          <w:rFonts w:eastAsia="Times New Roman"/>
          <w:i/>
          <w:iCs/>
          <w:lang w:val="en-US" w:eastAsia="pl-PL"/>
        </w:rPr>
        <w:t xml:space="preserve">on </w:t>
      </w:r>
      <w:r>
        <w:rPr>
          <w:rFonts w:eastAsia="Times New Roman"/>
          <w:i/>
          <w:iCs/>
          <w:lang w:val="en-US" w:eastAsia="pl-PL"/>
        </w:rPr>
        <w:t>p</w:t>
      </w:r>
      <w:r w:rsidRPr="00AD7690">
        <w:rPr>
          <w:rFonts w:eastAsia="Times New Roman"/>
          <w:i/>
          <w:iCs/>
          <w:lang w:val="en-US" w:eastAsia="pl-PL"/>
        </w:rPr>
        <w:t>atient</w:t>
      </w:r>
      <w:r>
        <w:rPr>
          <w:rFonts w:eastAsia="Times New Roman"/>
          <w:i/>
          <w:iCs/>
          <w:lang w:val="en-US" w:eastAsia="pl-PL"/>
        </w:rPr>
        <w:t>’s r</w:t>
      </w:r>
      <w:r w:rsidRPr="00AD7690">
        <w:rPr>
          <w:rFonts w:eastAsia="Times New Roman"/>
          <w:i/>
          <w:iCs/>
          <w:lang w:val="en-US" w:eastAsia="pl-PL"/>
        </w:rPr>
        <w:t xml:space="preserve">ights and the </w:t>
      </w:r>
      <w:r>
        <w:rPr>
          <w:rFonts w:eastAsia="Times New Roman"/>
          <w:i/>
          <w:iCs/>
          <w:lang w:val="en-US" w:eastAsia="pl-PL"/>
        </w:rPr>
        <w:t>Patient</w:t>
      </w:r>
      <w:r w:rsidRPr="00AD7690">
        <w:rPr>
          <w:rFonts w:eastAsia="Times New Roman"/>
          <w:i/>
          <w:iCs/>
          <w:lang w:val="en-US" w:eastAsia="pl-PL"/>
        </w:rPr>
        <w:t>s</w:t>
      </w:r>
      <w:r>
        <w:rPr>
          <w:rFonts w:eastAsia="Times New Roman"/>
          <w:i/>
          <w:iCs/>
          <w:lang w:val="en-US" w:eastAsia="pl-PL"/>
        </w:rPr>
        <w:t>’</w:t>
      </w:r>
      <w:r w:rsidRPr="00AD7690">
        <w:rPr>
          <w:rFonts w:eastAsia="Times New Roman"/>
          <w:i/>
          <w:iCs/>
          <w:lang w:val="en-US" w:eastAsia="pl-PL"/>
        </w:rPr>
        <w:t xml:space="preserve"> Rights</w:t>
      </w:r>
      <w:r w:rsidRPr="00391030">
        <w:rPr>
          <w:rFonts w:cstheme="minorHAnsi"/>
          <w:lang w:val="en-GB"/>
        </w:rPr>
        <w:t xml:space="preserve"> </w:t>
      </w:r>
      <w:r w:rsidRPr="00AD7690">
        <w:rPr>
          <w:rFonts w:eastAsia="Times New Roman"/>
          <w:i/>
          <w:iCs/>
          <w:lang w:val="en-US" w:eastAsia="pl-PL"/>
        </w:rPr>
        <w:t>Ombudsman</w:t>
      </w:r>
      <w:r w:rsidRPr="00391030">
        <w:rPr>
          <w:rFonts w:cstheme="minorHAnsi"/>
          <w:lang w:val="en-GB"/>
        </w:rPr>
        <w:t xml:space="preserve"> (i.e. Journal of Laws of 2017 item 1318 as amended; hereinafter as the “PR Act”).</w:t>
      </w:r>
    </w:p>
  </w:footnote>
  <w:footnote w:id="20">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Patients’ Rights Ombudsman, </w:t>
      </w:r>
      <w:r w:rsidRPr="00391030">
        <w:rPr>
          <w:rFonts w:cstheme="minorHAnsi"/>
          <w:i/>
          <w:lang w:val="en-GB"/>
        </w:rPr>
        <w:t>Report for 2014 (pp. 38-39), 2015 (p. 43) and 2016 (pp. 46-47)</w:t>
      </w:r>
      <w:r w:rsidRPr="00391030">
        <w:rPr>
          <w:rFonts w:cstheme="minorHAnsi"/>
          <w:lang w:val="en-GB"/>
        </w:rPr>
        <w:t xml:space="preserve">, </w:t>
      </w:r>
      <w:hyperlink r:id="rId7" w:history="1">
        <w:r w:rsidRPr="00391030">
          <w:rPr>
            <w:rStyle w:val="Hyperlink"/>
            <w:rFonts w:cstheme="minorHAnsi"/>
            <w:lang w:val="en-GB"/>
          </w:rPr>
          <w:t>http://www.rpp.gov.pl/sprawozdania-roczne/</w:t>
        </w:r>
      </w:hyperlink>
      <w:r w:rsidRPr="00391030">
        <w:rPr>
          <w:rFonts w:cstheme="minorHAnsi"/>
          <w:lang w:val="en-GB"/>
        </w:rPr>
        <w:t xml:space="preserve"> [accessed on: 19.12.2017r.].</w:t>
      </w:r>
    </w:p>
  </w:footnote>
  <w:footnote w:id="21">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Pr>
          <w:rFonts w:eastAsia="Times New Roman"/>
          <w:lang w:val="en-US" w:eastAsia="pl-PL"/>
        </w:rPr>
        <w:t xml:space="preserve">Judgments of the </w:t>
      </w:r>
      <w:r w:rsidRPr="00AD7690">
        <w:rPr>
          <w:rFonts w:eastAsia="Times New Roman"/>
          <w:lang w:val="en-US" w:eastAsia="pl-PL"/>
        </w:rPr>
        <w:t>ECHR</w:t>
      </w:r>
      <w:r>
        <w:rPr>
          <w:rFonts w:eastAsia="Times New Roman"/>
          <w:lang w:val="en-US" w:eastAsia="pl-PL"/>
        </w:rPr>
        <w:t>:</w:t>
      </w:r>
      <w:r w:rsidRPr="00AD7690">
        <w:rPr>
          <w:rFonts w:ascii="Times New Roman" w:eastAsia="Times New Roman" w:hAnsi="Times New Roman" w:cs="Times New Roman"/>
          <w:sz w:val="24"/>
          <w:szCs w:val="24"/>
          <w:lang w:val="en-US" w:eastAsia="pl-PL"/>
        </w:rPr>
        <w:t xml:space="preserve"> </w:t>
      </w:r>
      <w:r w:rsidRPr="00AD7690">
        <w:rPr>
          <w:rFonts w:eastAsia="Times New Roman"/>
          <w:i/>
          <w:iCs/>
          <w:lang w:val="en-US" w:eastAsia="pl-PL"/>
        </w:rPr>
        <w:t>R</w:t>
      </w:r>
      <w:r>
        <w:rPr>
          <w:rFonts w:eastAsia="Times New Roman"/>
          <w:i/>
          <w:iCs/>
          <w:lang w:val="en-US" w:eastAsia="pl-PL"/>
        </w:rPr>
        <w:t>.</w:t>
      </w:r>
      <w:r w:rsidRPr="00AD7690">
        <w:rPr>
          <w:rFonts w:eastAsia="Times New Roman"/>
          <w:i/>
          <w:iCs/>
          <w:lang w:val="en-US" w:eastAsia="pl-PL"/>
        </w:rPr>
        <w:t>R</w:t>
      </w:r>
      <w:r>
        <w:rPr>
          <w:rFonts w:eastAsia="Times New Roman"/>
          <w:i/>
          <w:iCs/>
          <w:lang w:val="en-US" w:eastAsia="pl-PL"/>
        </w:rPr>
        <w:t>.</w:t>
      </w:r>
      <w:r w:rsidRPr="00AD7690">
        <w:rPr>
          <w:rFonts w:eastAsia="Times New Roman"/>
          <w:i/>
          <w:iCs/>
          <w:lang w:val="en-US" w:eastAsia="pl-PL"/>
        </w:rPr>
        <w:t xml:space="preserve"> v Poland,</w:t>
      </w:r>
      <w:r w:rsidRPr="00AD7690">
        <w:rPr>
          <w:rFonts w:ascii="Times New Roman" w:eastAsia="Times New Roman" w:hAnsi="Times New Roman" w:cs="Times New Roman"/>
          <w:sz w:val="24"/>
          <w:szCs w:val="24"/>
          <w:lang w:val="en-US" w:eastAsia="pl-PL"/>
        </w:rPr>
        <w:t xml:space="preserve"> </w:t>
      </w:r>
      <w:r w:rsidRPr="00AD7690">
        <w:rPr>
          <w:rFonts w:eastAsia="Times New Roman"/>
          <w:i/>
          <w:iCs/>
          <w:lang w:val="en-US" w:eastAsia="pl-PL"/>
        </w:rPr>
        <w:t>P. S. v Poland;</w:t>
      </w:r>
      <w:r>
        <w:rPr>
          <w:rFonts w:ascii="Times New Roman" w:eastAsia="Times New Roman" w:hAnsi="Times New Roman" w:cs="Times New Roman"/>
          <w:sz w:val="24"/>
          <w:szCs w:val="24"/>
          <w:lang w:val="en-US" w:eastAsia="pl-PL"/>
        </w:rPr>
        <w:t xml:space="preserve"> </w:t>
      </w:r>
      <w:r>
        <w:rPr>
          <w:rFonts w:eastAsia="Times New Roman"/>
          <w:lang w:val="en-US" w:eastAsia="pl-PL"/>
        </w:rPr>
        <w:t>of</w:t>
      </w:r>
      <w:r w:rsidRPr="00AD7690">
        <w:rPr>
          <w:rFonts w:eastAsia="Times New Roman"/>
          <w:lang w:val="en-US" w:eastAsia="pl-PL"/>
        </w:rPr>
        <w:t xml:space="preserve"> </w:t>
      </w:r>
      <w:r>
        <w:rPr>
          <w:rFonts w:eastAsia="Times New Roman"/>
          <w:lang w:val="en-US" w:eastAsia="pl-PL"/>
        </w:rPr>
        <w:t xml:space="preserve">20 </w:t>
      </w:r>
      <w:r w:rsidRPr="00AD7690">
        <w:rPr>
          <w:rFonts w:eastAsia="Times New Roman"/>
          <w:lang w:val="en-US" w:eastAsia="pl-PL"/>
        </w:rPr>
        <w:t>March 2007</w:t>
      </w:r>
      <w:r w:rsidRPr="00AD7690">
        <w:rPr>
          <w:rFonts w:ascii="Times New Roman" w:eastAsia="Times New Roman" w:hAnsi="Times New Roman" w:cs="Times New Roman"/>
          <w:sz w:val="24"/>
          <w:szCs w:val="24"/>
          <w:lang w:val="en-US" w:eastAsia="pl-PL"/>
        </w:rPr>
        <w:t xml:space="preserve"> </w:t>
      </w:r>
      <w:r w:rsidRPr="00AD7690">
        <w:rPr>
          <w:rFonts w:eastAsia="Times New Roman"/>
          <w:i/>
          <w:iCs/>
          <w:lang w:val="en-US" w:eastAsia="pl-PL"/>
        </w:rPr>
        <w:t>Tysiąc v. Poland</w:t>
      </w:r>
      <w:r w:rsidRPr="00AD7690">
        <w:rPr>
          <w:rFonts w:ascii="Times New Roman" w:eastAsia="Times New Roman" w:hAnsi="Times New Roman" w:cs="Times New Roman"/>
          <w:sz w:val="24"/>
          <w:szCs w:val="24"/>
          <w:lang w:val="en-US" w:eastAsia="pl-PL"/>
        </w:rPr>
        <w:t xml:space="preserve"> </w:t>
      </w:r>
      <w:r w:rsidRPr="00AD7690">
        <w:rPr>
          <w:rFonts w:eastAsia="Times New Roman"/>
          <w:lang w:val="en-US" w:eastAsia="pl-PL"/>
        </w:rPr>
        <w:t>, no. 5410/03</w:t>
      </w:r>
      <w:r w:rsidRPr="00391030">
        <w:rPr>
          <w:rFonts w:eastAsia="Times New Roman" w:cstheme="minorHAnsi"/>
          <w:lang w:val="en-GB" w:eastAsia="pl-PL"/>
        </w:rPr>
        <w:t>.</w:t>
      </w:r>
    </w:p>
  </w:footnote>
  <w:footnote w:id="22">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eastAsia="Times New Roman" w:cstheme="minorHAnsi"/>
          <w:i/>
          <w:lang w:val="en-GB" w:eastAsia="pl-PL"/>
        </w:rPr>
        <w:t>P. and S. v. Poland § 99.</w:t>
      </w:r>
    </w:p>
  </w:footnote>
  <w:footnote w:id="23">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AD7690">
        <w:rPr>
          <w:rFonts w:eastAsia="Times New Roman"/>
          <w:i/>
          <w:iCs/>
          <w:lang w:val="en-US" w:eastAsia="pl-PL"/>
        </w:rPr>
        <w:t>Report on the actions taken, Information on measures to enforce the judgment in the case of P. and S. v. Poland</w:t>
      </w:r>
      <w:r w:rsidRPr="00AD7690">
        <w:rPr>
          <w:rFonts w:ascii="Times New Roman" w:eastAsia="Times New Roman" w:hAnsi="Times New Roman" w:cs="Times New Roman"/>
          <w:sz w:val="24"/>
          <w:szCs w:val="24"/>
          <w:lang w:val="en-US" w:eastAsia="pl-PL"/>
        </w:rPr>
        <w:t xml:space="preserve"> </w:t>
      </w:r>
      <w:r w:rsidRPr="00AD7690">
        <w:rPr>
          <w:rFonts w:eastAsia="Times New Roman"/>
          <w:lang w:val="en-US" w:eastAsia="pl-PL"/>
        </w:rPr>
        <w:t>of 29 November 2013</w:t>
      </w:r>
      <w:r w:rsidRPr="00391030">
        <w:rPr>
          <w:rFonts w:cstheme="minorHAnsi"/>
          <w:lang w:val="en-GB"/>
        </w:rPr>
        <w:t xml:space="preserve">, </w:t>
      </w:r>
      <w:hyperlink r:id="rId8" w:history="1">
        <w:r w:rsidRPr="00391030">
          <w:rPr>
            <w:rStyle w:val="Hyperlink"/>
            <w:rFonts w:cstheme="minorHAnsi"/>
            <w:lang w:val="en-GB"/>
          </w:rPr>
          <w:t>https://rm.coe.int/1680596616</w:t>
        </w:r>
      </w:hyperlink>
      <w:r w:rsidRPr="00391030">
        <w:rPr>
          <w:rFonts w:cstheme="minorHAnsi"/>
          <w:lang w:val="en-GB"/>
        </w:rPr>
        <w:t xml:space="preserve"> [accessed on: 19.12.2017].</w:t>
      </w:r>
    </w:p>
  </w:footnote>
  <w:footnote w:id="24">
    <w:p w:rsidR="00FF1E7F" w:rsidRPr="00391030" w:rsidRDefault="00FF1E7F" w:rsidP="00FF1E7F">
      <w:pPr>
        <w:pStyle w:val="FootnoteText"/>
        <w:jc w:val="both"/>
        <w:rPr>
          <w:rFonts w:cstheme="minorHAnsi"/>
          <w:lang w:val="en-GB"/>
        </w:rPr>
      </w:pPr>
      <w:r w:rsidRPr="002448DD">
        <w:rPr>
          <w:rStyle w:val="FootnoteReference"/>
        </w:rPr>
        <w:footnoteRef/>
      </w:r>
      <w:r w:rsidRPr="00391030">
        <w:rPr>
          <w:lang w:val="en-GB"/>
        </w:rPr>
        <w:t xml:space="preserve"> UN General Assembly, </w:t>
      </w:r>
      <w:r w:rsidRPr="00391030">
        <w:rPr>
          <w:i/>
          <w:iCs/>
          <w:lang w:val="en-GB"/>
        </w:rPr>
        <w:t>Convention on the Rights of the Child</w:t>
      </w:r>
      <w:r w:rsidRPr="00391030">
        <w:rPr>
          <w:lang w:val="en-GB"/>
        </w:rPr>
        <w:t>, 20 November 1989, United Nations, Treaty Series, vol. 1577, p. 3, [accessed on: 19.12.2017]</w:t>
      </w:r>
    </w:p>
  </w:footnote>
  <w:footnote w:id="25">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The Act of 6 January</w:t>
      </w:r>
      <w:r w:rsidRPr="00391030">
        <w:rPr>
          <w:rFonts w:eastAsia="Calibri" w:cstheme="minorHAnsi"/>
          <w:lang w:val="en-GB"/>
        </w:rPr>
        <w:t xml:space="preserve"> 2000 on the </w:t>
      </w:r>
      <w:r w:rsidRPr="00391030">
        <w:rPr>
          <w:rFonts w:eastAsia="Calibri" w:cstheme="minorHAnsi"/>
          <w:i/>
          <w:lang w:val="en-GB"/>
        </w:rPr>
        <w:t>Ombudsman for Children’s Rights</w:t>
      </w:r>
      <w:r w:rsidRPr="00391030">
        <w:rPr>
          <w:rFonts w:eastAsia="Calibri" w:cstheme="minorHAnsi"/>
          <w:lang w:val="en-GB"/>
        </w:rPr>
        <w:t xml:space="preserve"> (i.e. Journal of Laws of 2017 item 922; </w:t>
      </w:r>
      <w:r w:rsidRPr="00391030">
        <w:rPr>
          <w:rFonts w:cstheme="minorHAnsi"/>
          <w:lang w:val="en-GB"/>
        </w:rPr>
        <w:t>hereinafter as the CO Act</w:t>
      </w:r>
      <w:r w:rsidRPr="00391030">
        <w:rPr>
          <w:rFonts w:eastAsia="Calibri" w:cstheme="minorHAnsi"/>
          <w:lang w:val="en-GB"/>
        </w:rPr>
        <w:t>), Article 2 paragraph. 1 „</w:t>
      </w:r>
      <w:r w:rsidRPr="00391030">
        <w:rPr>
          <w:rFonts w:eastAsia="Times New Roman"/>
          <w:lang w:val="en-GB" w:eastAsia="pl-PL"/>
        </w:rPr>
        <w:t>In the understanding of the Act, a child is every human being from conception to coming of age</w:t>
      </w:r>
      <w:r w:rsidRPr="00391030">
        <w:rPr>
          <w:rFonts w:eastAsia="Calibri" w:cstheme="minorHAnsi"/>
          <w:lang w:val="en-GB"/>
        </w:rPr>
        <w:t>”.</w:t>
      </w:r>
    </w:p>
  </w:footnote>
  <w:footnote w:id="26">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Article 9 of the PR Act.</w:t>
      </w:r>
    </w:p>
  </w:footnote>
  <w:footnote w:id="27">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eastAsia="Calibri" w:cstheme="minorHAnsi"/>
          <w:lang w:val="en-GB"/>
        </w:rPr>
        <w:t>Article 6 </w:t>
      </w:r>
      <w:r w:rsidRPr="00391030">
        <w:rPr>
          <w:rFonts w:cstheme="minorHAnsi"/>
          <w:lang w:val="en-GB"/>
        </w:rPr>
        <w:t>of the PR Act</w:t>
      </w:r>
      <w:r w:rsidRPr="00391030">
        <w:rPr>
          <w:rFonts w:eastAsia="Calibri" w:cstheme="minorHAnsi"/>
          <w:lang w:val="en-GB"/>
        </w:rPr>
        <w:t>.</w:t>
      </w:r>
    </w:p>
  </w:footnote>
  <w:footnote w:id="28">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Committee on the Rights of Persons with Disabilities, </w:t>
      </w:r>
      <w:r w:rsidRPr="00391030">
        <w:rPr>
          <w:rFonts w:cstheme="minorHAnsi"/>
          <w:i/>
          <w:lang w:val="en-GB"/>
        </w:rPr>
        <w:t xml:space="preserve">Comments on the draft General Comment No 36 of the Human Rights Committee on article 6 of the International Covenant on Civil and Political Rights, 2017r. and </w:t>
      </w:r>
      <w:r w:rsidRPr="00391030">
        <w:rPr>
          <w:lang w:val="en-GB"/>
        </w:rPr>
        <w:t xml:space="preserve">UN General Assembly, </w:t>
      </w:r>
      <w:r w:rsidRPr="00391030">
        <w:rPr>
          <w:i/>
          <w:iCs/>
          <w:lang w:val="en-GB"/>
        </w:rPr>
        <w:t>Convention on the Rights of Persons with Disabilities : resolution / adopted by the General Assembly</w:t>
      </w:r>
      <w:r w:rsidRPr="00391030">
        <w:rPr>
          <w:lang w:val="en-GB"/>
        </w:rPr>
        <w:t>, 24 January 2007, A/RES/61/106, [accessed on: 19.12.2017]</w:t>
      </w:r>
    </w:p>
  </w:footnote>
  <w:footnote w:id="29">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w:t>
      </w:r>
      <w:r w:rsidRPr="00391030">
        <w:rPr>
          <w:rFonts w:eastAsia="Times New Roman"/>
          <w:lang w:val="en-GB" w:eastAsia="pl-PL"/>
        </w:rPr>
        <w:t>UN Population Fund</w:t>
      </w:r>
      <w:r w:rsidRPr="00391030">
        <w:rPr>
          <w:rFonts w:cstheme="minorHAnsi"/>
          <w:lang w:val="en-GB"/>
        </w:rPr>
        <w:t xml:space="preserve">, </w:t>
      </w:r>
      <w:r w:rsidRPr="00391030">
        <w:rPr>
          <w:rFonts w:eastAsia="Times New Roman"/>
          <w:i/>
          <w:iCs/>
          <w:lang w:val="en-GB" w:eastAsia="pl-PL"/>
        </w:rPr>
        <w:t>Programme of Action adopted at the International Conference on Population and</w:t>
      </w:r>
      <w:r w:rsidRPr="00391030">
        <w:rPr>
          <w:rFonts w:ascii="Times New Roman" w:eastAsia="Times New Roman" w:hAnsi="Times New Roman" w:cs="Times New Roman"/>
          <w:sz w:val="24"/>
          <w:szCs w:val="24"/>
          <w:lang w:val="en-GB" w:eastAsia="pl-PL"/>
        </w:rPr>
        <w:t xml:space="preserve"> </w:t>
      </w:r>
      <w:r w:rsidRPr="00391030">
        <w:rPr>
          <w:rFonts w:eastAsia="Times New Roman"/>
          <w:i/>
          <w:iCs/>
          <w:lang w:val="en-GB" w:eastAsia="pl-PL"/>
        </w:rPr>
        <w:t>Development</w:t>
      </w:r>
      <w:r w:rsidRPr="00391030">
        <w:rPr>
          <w:rFonts w:cstheme="minorHAnsi"/>
          <w:lang w:val="en-GB"/>
        </w:rPr>
        <w:t>, item 8.25.</w:t>
      </w:r>
    </w:p>
  </w:footnote>
  <w:footnote w:id="30">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Act of 24 June 1999 r</w:t>
      </w:r>
      <w:r w:rsidRPr="00391030">
        <w:rPr>
          <w:rFonts w:eastAsia="Times New Roman"/>
          <w:i/>
          <w:iCs/>
          <w:lang w:val="en-GB" w:eastAsia="pl-PL"/>
        </w:rPr>
        <w:t xml:space="preserve"> on citizens' legislative initiative</w:t>
      </w:r>
      <w:r w:rsidRPr="00391030">
        <w:rPr>
          <w:rFonts w:cstheme="minorHAnsi"/>
          <w:i/>
          <w:lang w:val="en-GB"/>
        </w:rPr>
        <w:t xml:space="preserve">. </w:t>
      </w:r>
      <w:r w:rsidRPr="00391030">
        <w:rPr>
          <w:rFonts w:cstheme="minorHAnsi"/>
          <w:lang w:val="en-GB"/>
        </w:rPr>
        <w:t>(Journal of Laws No. 62, item 688 as amended).</w:t>
      </w:r>
    </w:p>
  </w:footnote>
  <w:footnote w:id="31">
    <w:p w:rsidR="00FF1E7F" w:rsidRPr="00391030" w:rsidRDefault="00FF1E7F" w:rsidP="00FF1E7F">
      <w:pPr>
        <w:pStyle w:val="FootnoteText"/>
        <w:jc w:val="both"/>
        <w:rPr>
          <w:rFonts w:cstheme="minorHAnsi"/>
          <w:lang w:val="en-GB"/>
        </w:rPr>
      </w:pPr>
      <w:r w:rsidRPr="00D1459E">
        <w:rPr>
          <w:rStyle w:val="FootnoteReference"/>
          <w:rFonts w:cstheme="minorHAnsi"/>
        </w:rPr>
        <w:footnoteRef/>
      </w:r>
      <w:r w:rsidRPr="00391030">
        <w:rPr>
          <w:rFonts w:cstheme="minorHAnsi"/>
          <w:lang w:val="en-GB"/>
        </w:rPr>
        <w:t xml:space="preserve"> Cf. </w:t>
      </w:r>
      <w:hyperlink r:id="rId9" w:history="1">
        <w:r w:rsidRPr="00391030">
          <w:rPr>
            <w:rStyle w:val="Hyperlink"/>
            <w:rFonts w:cstheme="minorHAnsi"/>
            <w:lang w:val="en-GB"/>
          </w:rPr>
          <w:t>http://zatrzymajaborcje.pl/</w:t>
        </w:r>
      </w:hyperlink>
      <w:r w:rsidRPr="00391030">
        <w:rPr>
          <w:rFonts w:cstheme="minorHAnsi"/>
          <w:lang w:val="en-GB"/>
        </w:rPr>
        <w:t xml:space="preserve"> [accessed on: 19.12.2017].</w:t>
      </w:r>
    </w:p>
  </w:footnote>
  <w:footnote w:id="32">
    <w:p w:rsidR="00FF1E7F" w:rsidRPr="00391030" w:rsidRDefault="00FF1E7F" w:rsidP="00FF1E7F">
      <w:pPr>
        <w:spacing w:after="0" w:line="240" w:lineRule="auto"/>
        <w:jc w:val="both"/>
        <w:rPr>
          <w:rFonts w:cstheme="minorHAnsi"/>
          <w:sz w:val="20"/>
          <w:szCs w:val="20"/>
          <w:lang w:val="en-GB"/>
        </w:rPr>
      </w:pPr>
      <w:r w:rsidRPr="002448DD">
        <w:rPr>
          <w:rStyle w:val="FootnoteReference"/>
          <w:rFonts w:cstheme="minorHAnsi"/>
          <w:sz w:val="20"/>
          <w:szCs w:val="20"/>
        </w:rPr>
        <w:footnoteRef/>
      </w:r>
      <w:r w:rsidRPr="00391030">
        <w:rPr>
          <w:rFonts w:cstheme="minorHAnsi"/>
          <w:sz w:val="20"/>
          <w:szCs w:val="20"/>
          <w:lang w:val="en-GB"/>
        </w:rPr>
        <w:t xml:space="preserve"> Cf. footnote 22.</w:t>
      </w:r>
    </w:p>
  </w:footnote>
  <w:footnote w:id="33">
    <w:p w:rsidR="00FF1E7F" w:rsidRPr="00391030" w:rsidRDefault="00FF1E7F" w:rsidP="00FF1E7F">
      <w:pPr>
        <w:pStyle w:val="FootnoteText"/>
        <w:jc w:val="both"/>
        <w:rPr>
          <w:rFonts w:cstheme="minorHAnsi"/>
          <w:lang w:val="en-GB"/>
        </w:rPr>
      </w:pPr>
      <w:r w:rsidRPr="002448DD">
        <w:rPr>
          <w:rStyle w:val="FootnoteReference"/>
          <w:rFonts w:cstheme="minorHAnsi"/>
        </w:rPr>
        <w:footnoteRef/>
      </w:r>
      <w:r w:rsidRPr="00391030">
        <w:rPr>
          <w:rFonts w:cstheme="minorHAnsi"/>
          <w:lang w:val="en-GB"/>
        </w:rPr>
        <w:t xml:space="preserve"> Preamble to the </w:t>
      </w:r>
      <w:r w:rsidRPr="00391030">
        <w:rPr>
          <w:rFonts w:eastAsia="Times New Roman"/>
          <w:i/>
          <w:iCs/>
          <w:lang w:val="en-GB" w:eastAsia="pl-PL"/>
        </w:rPr>
        <w:t>Convention on the Rights of the Child</w:t>
      </w:r>
      <w:r w:rsidRPr="00391030">
        <w:rPr>
          <w:rFonts w:cstheme="minorHAnsi"/>
          <w:lang w:val="en-GB"/>
        </w:rPr>
        <w:t>.</w:t>
      </w:r>
    </w:p>
  </w:footnote>
  <w:footnote w:id="34">
    <w:p w:rsidR="00FF1E7F" w:rsidRPr="00391030" w:rsidRDefault="00FF1E7F" w:rsidP="00FF1E7F">
      <w:pPr>
        <w:pStyle w:val="FootnoteText"/>
        <w:rPr>
          <w:lang w:val="en-GB"/>
        </w:rPr>
      </w:pPr>
      <w:r>
        <w:rPr>
          <w:rStyle w:val="FootnoteReference"/>
        </w:rPr>
        <w:footnoteRef/>
      </w:r>
      <w:r w:rsidRPr="00391030">
        <w:rPr>
          <w:lang w:val="en-GB"/>
        </w:rPr>
        <w:t xml:space="preserve"> http://ec.europa.eu/eurostat/documents/2995521/8456381/3-16112017-BP-EN.pdf/e690a572-02d2-4530-a416-ab84a7fcbf22</w:t>
      </w:r>
    </w:p>
  </w:footnote>
  <w:footnote w:id="35">
    <w:p w:rsidR="00FF1E7F" w:rsidRPr="00391030" w:rsidRDefault="00FF1E7F" w:rsidP="00FF1E7F">
      <w:pPr>
        <w:pStyle w:val="FootnoteText"/>
        <w:rPr>
          <w:lang w:val="en-GB"/>
        </w:rPr>
      </w:pPr>
      <w:r>
        <w:rPr>
          <w:rStyle w:val="FootnoteReference"/>
        </w:rPr>
        <w:footnoteRef/>
      </w:r>
      <w:r w:rsidRPr="00391030">
        <w:rPr>
          <w:lang w:val="en-GB"/>
        </w:rPr>
        <w:t xml:space="preserve"> </w:t>
      </w:r>
      <w:hyperlink r:id="rId10" w:history="1">
        <w:r w:rsidRPr="00391030">
          <w:rPr>
            <w:rStyle w:val="Hyperlink"/>
            <w:lang w:val="en-GB"/>
          </w:rPr>
          <w:t>http://panstwoprawa.org/wp-content/uploads/2016/09/Stosowanie-alternatyw-do-detencji-cudzoziemcow_ca%C5%82o%C5%9B%C4%87.pdf</w:t>
        </w:r>
      </w:hyperlink>
      <w:r w:rsidRPr="00391030">
        <w:rPr>
          <w:lang w:val="en-GB"/>
        </w:rPr>
        <w:t xml:space="preserve"> – page 64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1DA" w:rsidRDefault="00CA0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589" w:rsidRDefault="00EC3589" w:rsidP="00725DA5">
    <w:pPr>
      <w:pStyle w:val="Header"/>
      <w:tabs>
        <w:tab w:val="clear" w:pos="4536"/>
        <w:tab w:val="clear" w:pos="9072"/>
        <w:tab w:val="center" w:pos="4819"/>
      </w:tabs>
    </w:pPr>
    <w:r>
      <w:tab/>
    </w:r>
  </w:p>
  <w:p w:rsidR="00EC3589" w:rsidRDefault="00EC3589">
    <w:pPr>
      <w:pStyle w:val="Header"/>
    </w:pPr>
  </w:p>
  <w:p w:rsidR="00EC3589" w:rsidRDefault="00EC35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589" w:rsidRDefault="00EC3589">
    <w:pPr>
      <w:pStyle w:val="Header"/>
    </w:pPr>
    <w:r>
      <w:rPr>
        <w:noProof/>
        <w:lang w:val="en-GB" w:eastAsia="en-GB" w:bidi="ar-SA"/>
      </w:rPr>
      <w:drawing>
        <wp:anchor distT="0" distB="0" distL="114300" distR="114300" simplePos="0" relativeHeight="251659264" behindDoc="1" locked="0" layoutInCell="1" allowOverlap="1" wp14:anchorId="1815E501" wp14:editId="1AFF0F0A">
          <wp:simplePos x="0" y="0"/>
          <wp:positionH relativeFrom="column">
            <wp:posOffset>718820</wp:posOffset>
          </wp:positionH>
          <wp:positionV relativeFrom="paragraph">
            <wp:posOffset>-529590</wp:posOffset>
          </wp:positionV>
          <wp:extent cx="4559300" cy="1064260"/>
          <wp:effectExtent l="0" t="0" r="12700" b="254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559300" cy="106426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4CE"/>
    <w:multiLevelType w:val="hybridMultilevel"/>
    <w:tmpl w:val="9AA41C1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3A3D84"/>
    <w:multiLevelType w:val="hybridMultilevel"/>
    <w:tmpl w:val="6DE6B338"/>
    <w:lvl w:ilvl="0" w:tplc="1AD601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4EC10C46"/>
    <w:multiLevelType w:val="hybridMultilevel"/>
    <w:tmpl w:val="6DE6B338"/>
    <w:lvl w:ilvl="0" w:tplc="1AD601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5DE27A80"/>
    <w:multiLevelType w:val="hybridMultilevel"/>
    <w:tmpl w:val="939668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C3B5951"/>
    <w:multiLevelType w:val="multilevel"/>
    <w:tmpl w:val="7BDAE006"/>
    <w:styleLink w:val="WWNum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7008346A"/>
    <w:multiLevelType w:val="hybridMultilevel"/>
    <w:tmpl w:val="60982D2E"/>
    <w:lvl w:ilvl="0" w:tplc="E0FCD5BE">
      <w:start w:val="1"/>
      <w:numFmt w:val="upperRoman"/>
      <w:lvlText w:val="%1."/>
      <w:lvlJc w:val="left"/>
      <w:pPr>
        <w:ind w:left="1080" w:hanging="720"/>
      </w:pPr>
      <w:rPr>
        <w:rFonts w:hint="default"/>
      </w:rPr>
    </w:lvl>
    <w:lvl w:ilvl="1" w:tplc="A7862B8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68949A2"/>
    <w:multiLevelType w:val="hybridMultilevel"/>
    <w:tmpl w:val="B616F0D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D562247"/>
    <w:multiLevelType w:val="hybridMultilevel"/>
    <w:tmpl w:val="EFB6CCBA"/>
    <w:lvl w:ilvl="0" w:tplc="BBF6849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5"/>
  </w:num>
  <w:num w:numId="3">
    <w:abstractNumId w:val="2"/>
  </w:num>
  <w:num w:numId="4">
    <w:abstractNumId w:val="3"/>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9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045"/>
    <w:rsid w:val="00000DD5"/>
    <w:rsid w:val="00037A7E"/>
    <w:rsid w:val="00077B14"/>
    <w:rsid w:val="00087677"/>
    <w:rsid w:val="000F46D7"/>
    <w:rsid w:val="00190F6E"/>
    <w:rsid w:val="00197FD8"/>
    <w:rsid w:val="001A06C2"/>
    <w:rsid w:val="001A7498"/>
    <w:rsid w:val="001F566A"/>
    <w:rsid w:val="002052FF"/>
    <w:rsid w:val="00240379"/>
    <w:rsid w:val="00320FF9"/>
    <w:rsid w:val="00347DA8"/>
    <w:rsid w:val="003615F9"/>
    <w:rsid w:val="00391030"/>
    <w:rsid w:val="003929D6"/>
    <w:rsid w:val="003D3045"/>
    <w:rsid w:val="003E5AC8"/>
    <w:rsid w:val="00415992"/>
    <w:rsid w:val="00432323"/>
    <w:rsid w:val="0047104A"/>
    <w:rsid w:val="004C18FB"/>
    <w:rsid w:val="004D6417"/>
    <w:rsid w:val="0051017F"/>
    <w:rsid w:val="00543EA5"/>
    <w:rsid w:val="00550523"/>
    <w:rsid w:val="00584A4D"/>
    <w:rsid w:val="005A754F"/>
    <w:rsid w:val="005D155B"/>
    <w:rsid w:val="005F284D"/>
    <w:rsid w:val="0060213E"/>
    <w:rsid w:val="00671BC5"/>
    <w:rsid w:val="006764ED"/>
    <w:rsid w:val="00680CE0"/>
    <w:rsid w:val="006C26FA"/>
    <w:rsid w:val="006E2679"/>
    <w:rsid w:val="00725DA5"/>
    <w:rsid w:val="007527EA"/>
    <w:rsid w:val="007D4813"/>
    <w:rsid w:val="007D5523"/>
    <w:rsid w:val="007E52F7"/>
    <w:rsid w:val="0082251D"/>
    <w:rsid w:val="00824132"/>
    <w:rsid w:val="00835FBB"/>
    <w:rsid w:val="0087236C"/>
    <w:rsid w:val="008B3243"/>
    <w:rsid w:val="008C5EEA"/>
    <w:rsid w:val="008F407A"/>
    <w:rsid w:val="0091691C"/>
    <w:rsid w:val="00967D68"/>
    <w:rsid w:val="0097118D"/>
    <w:rsid w:val="009A4C55"/>
    <w:rsid w:val="009B23E7"/>
    <w:rsid w:val="009E4926"/>
    <w:rsid w:val="00A31A29"/>
    <w:rsid w:val="00A42975"/>
    <w:rsid w:val="00A43289"/>
    <w:rsid w:val="00A4610C"/>
    <w:rsid w:val="00A856FE"/>
    <w:rsid w:val="00AA12A6"/>
    <w:rsid w:val="00AA22E2"/>
    <w:rsid w:val="00AD1EF2"/>
    <w:rsid w:val="00AF11C0"/>
    <w:rsid w:val="00AF3F63"/>
    <w:rsid w:val="00B25155"/>
    <w:rsid w:val="00B4185A"/>
    <w:rsid w:val="00B46D45"/>
    <w:rsid w:val="00B5631A"/>
    <w:rsid w:val="00B775FE"/>
    <w:rsid w:val="00B82722"/>
    <w:rsid w:val="00BA7DCB"/>
    <w:rsid w:val="00C04E3C"/>
    <w:rsid w:val="00C12114"/>
    <w:rsid w:val="00CA01DA"/>
    <w:rsid w:val="00CA328C"/>
    <w:rsid w:val="00CE5C5B"/>
    <w:rsid w:val="00D07F7E"/>
    <w:rsid w:val="00D15DAF"/>
    <w:rsid w:val="00D47062"/>
    <w:rsid w:val="00DC5CED"/>
    <w:rsid w:val="00DD22C9"/>
    <w:rsid w:val="00E01CE4"/>
    <w:rsid w:val="00E0462A"/>
    <w:rsid w:val="00E812DE"/>
    <w:rsid w:val="00EC307B"/>
    <w:rsid w:val="00EC3589"/>
    <w:rsid w:val="00EC3A5F"/>
    <w:rsid w:val="00EC77A3"/>
    <w:rsid w:val="00EF3904"/>
    <w:rsid w:val="00F06537"/>
    <w:rsid w:val="00F17F27"/>
    <w:rsid w:val="00F439D1"/>
    <w:rsid w:val="00F7285E"/>
    <w:rsid w:val="00F914DC"/>
    <w:rsid w:val="00F9319B"/>
    <w:rsid w:val="00FA244F"/>
    <w:rsid w:val="00FE2BBB"/>
    <w:rsid w:val="00FF1E7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B2966DB-9130-4220-8D0C-43E4D159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045"/>
    <w:rPr>
      <w:rFonts w:eastAsiaTheme="minorEastAsia"/>
      <w:lang w:eastAsia="pl-PL"/>
    </w:rPr>
  </w:style>
  <w:style w:type="paragraph" w:styleId="Heading1">
    <w:name w:val="heading 1"/>
    <w:basedOn w:val="Normal"/>
    <w:next w:val="Normal"/>
    <w:link w:val="Heading1Char"/>
    <w:uiPriority w:val="9"/>
    <w:qFormat/>
    <w:rsid w:val="00FF1E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25D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D3045"/>
    <w:rPr>
      <w:color w:val="000080"/>
      <w:u w:val="single"/>
    </w:rPr>
  </w:style>
  <w:style w:type="paragraph" w:styleId="Header">
    <w:name w:val="header"/>
    <w:basedOn w:val="Normal"/>
    <w:link w:val="HeaderChar"/>
    <w:rsid w:val="003D3045"/>
    <w:pPr>
      <w:widowControl w:val="0"/>
      <w:suppressLineNumbers/>
      <w:tabs>
        <w:tab w:val="center" w:pos="4536"/>
        <w:tab w:val="right" w:pos="9072"/>
      </w:tabs>
      <w:suppressAutoHyphens/>
      <w:spacing w:after="0" w:line="240" w:lineRule="auto"/>
    </w:pPr>
    <w:rPr>
      <w:rFonts w:ascii="Liberation Serif" w:eastAsia="Droid Sans Fallback" w:hAnsi="Liberation Serif" w:cs="Mangal"/>
      <w:color w:val="00000A"/>
      <w:kern w:val="1"/>
      <w:sz w:val="24"/>
      <w:szCs w:val="21"/>
      <w:lang w:eastAsia="hi-IN" w:bidi="hi-IN"/>
    </w:rPr>
  </w:style>
  <w:style w:type="character" w:customStyle="1" w:styleId="HeaderChar">
    <w:name w:val="Header Char"/>
    <w:basedOn w:val="DefaultParagraphFont"/>
    <w:link w:val="Header"/>
    <w:rsid w:val="003D3045"/>
    <w:rPr>
      <w:rFonts w:ascii="Liberation Serif" w:eastAsia="Droid Sans Fallback" w:hAnsi="Liberation Serif" w:cs="Mangal"/>
      <w:color w:val="00000A"/>
      <w:kern w:val="1"/>
      <w:sz w:val="24"/>
      <w:szCs w:val="21"/>
      <w:lang w:eastAsia="hi-IN" w:bidi="hi-IN"/>
    </w:rPr>
  </w:style>
  <w:style w:type="paragraph" w:styleId="Footer">
    <w:name w:val="footer"/>
    <w:basedOn w:val="Normal"/>
    <w:link w:val="FooterChar"/>
    <w:rsid w:val="003D3045"/>
    <w:pPr>
      <w:widowControl w:val="0"/>
      <w:suppressLineNumbers/>
      <w:tabs>
        <w:tab w:val="center" w:pos="4536"/>
        <w:tab w:val="right" w:pos="9072"/>
      </w:tabs>
      <w:suppressAutoHyphens/>
      <w:spacing w:after="0" w:line="240" w:lineRule="auto"/>
    </w:pPr>
    <w:rPr>
      <w:rFonts w:ascii="Liberation Serif" w:eastAsia="Droid Sans Fallback" w:hAnsi="Liberation Serif" w:cs="Mangal"/>
      <w:color w:val="00000A"/>
      <w:kern w:val="1"/>
      <w:sz w:val="24"/>
      <w:szCs w:val="21"/>
      <w:lang w:eastAsia="hi-IN" w:bidi="hi-IN"/>
    </w:rPr>
  </w:style>
  <w:style w:type="character" w:customStyle="1" w:styleId="FooterChar">
    <w:name w:val="Footer Char"/>
    <w:basedOn w:val="DefaultParagraphFont"/>
    <w:link w:val="Footer"/>
    <w:rsid w:val="003D3045"/>
    <w:rPr>
      <w:rFonts w:ascii="Liberation Serif" w:eastAsia="Droid Sans Fallback" w:hAnsi="Liberation Serif" w:cs="Mangal"/>
      <w:color w:val="00000A"/>
      <w:kern w:val="1"/>
      <w:sz w:val="24"/>
      <w:szCs w:val="21"/>
      <w:lang w:eastAsia="hi-IN" w:bidi="hi-IN"/>
    </w:rPr>
  </w:style>
  <w:style w:type="character" w:styleId="PageNumber">
    <w:name w:val="page number"/>
    <w:basedOn w:val="DefaultParagraphFont"/>
    <w:uiPriority w:val="99"/>
    <w:semiHidden/>
    <w:unhideWhenUsed/>
    <w:rsid w:val="003D3045"/>
  </w:style>
  <w:style w:type="paragraph" w:styleId="ListParagraph">
    <w:name w:val="List Paragraph"/>
    <w:basedOn w:val="Normal"/>
    <w:qFormat/>
    <w:rsid w:val="000F46D7"/>
    <w:pPr>
      <w:spacing w:after="200" w:line="276" w:lineRule="auto"/>
      <w:ind w:left="720"/>
      <w:contextualSpacing/>
    </w:pPr>
    <w:rPr>
      <w:rFonts w:eastAsiaTheme="minorHAnsi"/>
      <w:lang w:eastAsia="en-US"/>
    </w:rPr>
  </w:style>
  <w:style w:type="paragraph" w:styleId="FootnoteText">
    <w:name w:val="footnote text"/>
    <w:basedOn w:val="Normal"/>
    <w:link w:val="FootnoteTextChar"/>
    <w:uiPriority w:val="99"/>
    <w:semiHidden/>
    <w:unhideWhenUsed/>
    <w:rsid w:val="00BA7DCB"/>
    <w:pPr>
      <w:suppressAutoHyphens/>
      <w:spacing w:after="0" w:line="240" w:lineRule="auto"/>
    </w:pPr>
    <w:rPr>
      <w:rFonts w:ascii="Calibri" w:eastAsia="Droid Sans Fallback" w:hAnsi="Calibri" w:cs="Calibri"/>
      <w:sz w:val="20"/>
      <w:szCs w:val="20"/>
      <w:lang w:eastAsia="en-US"/>
    </w:rPr>
  </w:style>
  <w:style w:type="character" w:customStyle="1" w:styleId="FootnoteTextChar">
    <w:name w:val="Footnote Text Char"/>
    <w:basedOn w:val="DefaultParagraphFont"/>
    <w:link w:val="FootnoteText"/>
    <w:uiPriority w:val="99"/>
    <w:semiHidden/>
    <w:rsid w:val="00BA7DCB"/>
    <w:rPr>
      <w:rFonts w:ascii="Calibri" w:eastAsia="Droid Sans Fallback" w:hAnsi="Calibri" w:cs="Calibri"/>
      <w:sz w:val="20"/>
      <w:szCs w:val="20"/>
    </w:rPr>
  </w:style>
  <w:style w:type="character" w:styleId="FootnoteReference">
    <w:name w:val="footnote reference"/>
    <w:basedOn w:val="DefaultParagraphFont"/>
    <w:unhideWhenUsed/>
    <w:rsid w:val="00BA7DCB"/>
    <w:rPr>
      <w:vertAlign w:val="superscript"/>
    </w:rPr>
  </w:style>
  <w:style w:type="character" w:customStyle="1" w:styleId="Znakiprzypiswdolnych">
    <w:name w:val="Znaki przypisów dolnych"/>
    <w:rsid w:val="00BA7DCB"/>
  </w:style>
  <w:style w:type="paragraph" w:customStyle="1" w:styleId="Akapitzlist1">
    <w:name w:val="Akapit z listą1"/>
    <w:basedOn w:val="Normal"/>
    <w:rsid w:val="00BA7DCB"/>
    <w:pPr>
      <w:suppressAutoHyphens/>
      <w:spacing w:line="252" w:lineRule="auto"/>
      <w:ind w:left="720"/>
    </w:pPr>
    <w:rPr>
      <w:rFonts w:ascii="Calibri" w:eastAsia="Droid Sans Fallback" w:hAnsi="Calibri" w:cs="Calibri"/>
      <w:lang w:eastAsia="ar-SA"/>
    </w:rPr>
  </w:style>
  <w:style w:type="character" w:customStyle="1" w:styleId="Heading2Char">
    <w:name w:val="Heading 2 Char"/>
    <w:basedOn w:val="DefaultParagraphFont"/>
    <w:link w:val="Heading2"/>
    <w:uiPriority w:val="9"/>
    <w:rsid w:val="00725DA5"/>
    <w:rPr>
      <w:rFonts w:ascii="Times New Roman" w:eastAsia="Times New Roman" w:hAnsi="Times New Roman" w:cs="Times New Roman"/>
      <w:b/>
      <w:bCs/>
      <w:sz w:val="36"/>
      <w:szCs w:val="36"/>
      <w:lang w:eastAsia="pl-PL"/>
    </w:rPr>
  </w:style>
  <w:style w:type="numbering" w:customStyle="1" w:styleId="WWNum2">
    <w:name w:val="WWNum2"/>
    <w:basedOn w:val="NoList"/>
    <w:rsid w:val="00347DA8"/>
    <w:pPr>
      <w:numPr>
        <w:numId w:val="7"/>
      </w:numPr>
    </w:pPr>
  </w:style>
  <w:style w:type="character" w:customStyle="1" w:styleId="Heading1Char">
    <w:name w:val="Heading 1 Char"/>
    <w:basedOn w:val="DefaultParagraphFont"/>
    <w:link w:val="Heading1"/>
    <w:uiPriority w:val="9"/>
    <w:rsid w:val="00FF1E7F"/>
    <w:rPr>
      <w:rFonts w:asciiTheme="majorHAnsi" w:eastAsiaTheme="majorEastAsia" w:hAnsiTheme="majorHAnsi" w:cstheme="majorBidi"/>
      <w:color w:val="2E74B5" w:themeColor="accent1" w:themeShade="BF"/>
      <w:sz w:val="32"/>
      <w:szCs w:val="32"/>
      <w:lang w:eastAsia="pl-PL"/>
    </w:rPr>
  </w:style>
  <w:style w:type="character" w:customStyle="1" w:styleId="FontStyle24">
    <w:name w:val="Font Style24"/>
    <w:uiPriority w:val="99"/>
    <w:rsid w:val="00FF1E7F"/>
    <w:rPr>
      <w:rFonts w:ascii="Times New Roman" w:hAnsi="Times New Roman" w:cs="Times New Roman"/>
      <w:sz w:val="22"/>
      <w:szCs w:val="22"/>
    </w:rPr>
  </w:style>
  <w:style w:type="character" w:customStyle="1" w:styleId="Hyperlink1">
    <w:name w:val="Hyperlink.1"/>
    <w:rsid w:val="00FF1E7F"/>
    <w:rPr>
      <w:rFonts w:ascii="Times New Roman" w:eastAsia="Times New Roman" w:hAnsi="Times New Roman" w:cs="Times New Roman"/>
      <w:color w:val="0000FF"/>
      <w:sz w:val="18"/>
      <w:szCs w:val="18"/>
      <w:u w:val="single" w:color="0000FF"/>
    </w:rPr>
  </w:style>
  <w:style w:type="character" w:styleId="Emphasis">
    <w:name w:val="Emphasis"/>
    <w:basedOn w:val="DefaultParagraphFont"/>
    <w:uiPriority w:val="20"/>
    <w:qFormat/>
    <w:rsid w:val="00FF1E7F"/>
    <w:rPr>
      <w:i/>
      <w:iCs/>
    </w:rPr>
  </w:style>
  <w:style w:type="paragraph" w:styleId="BalloonText">
    <w:name w:val="Balloon Text"/>
    <w:basedOn w:val="Normal"/>
    <w:link w:val="BalloonTextChar"/>
    <w:uiPriority w:val="99"/>
    <w:semiHidden/>
    <w:unhideWhenUsed/>
    <w:rsid w:val="00190F6E"/>
    <w:pPr>
      <w:spacing w:after="0" w:line="240" w:lineRule="auto"/>
    </w:pPr>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190F6E"/>
    <w:rPr>
      <w:rFonts w:ascii="Lucida Grande CE" w:eastAsiaTheme="minorEastAsia" w:hAnsi="Lucida Grande CE"/>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966282">
      <w:bodyDiv w:val="1"/>
      <w:marLeft w:val="0"/>
      <w:marRight w:val="0"/>
      <w:marTop w:val="0"/>
      <w:marBottom w:val="0"/>
      <w:divBdr>
        <w:top w:val="none" w:sz="0" w:space="0" w:color="auto"/>
        <w:left w:val="none" w:sz="0" w:space="0" w:color="auto"/>
        <w:bottom w:val="none" w:sz="0" w:space="0" w:color="auto"/>
        <w:right w:val="none" w:sz="0" w:space="0" w:color="auto"/>
      </w:divBdr>
    </w:div>
    <w:div w:id="840241193">
      <w:bodyDiv w:val="1"/>
      <w:marLeft w:val="0"/>
      <w:marRight w:val="0"/>
      <w:marTop w:val="0"/>
      <w:marBottom w:val="0"/>
      <w:divBdr>
        <w:top w:val="none" w:sz="0" w:space="0" w:color="auto"/>
        <w:left w:val="none" w:sz="0" w:space="0" w:color="auto"/>
        <w:bottom w:val="none" w:sz="0" w:space="0" w:color="auto"/>
        <w:right w:val="none" w:sz="0" w:space="0" w:color="auto"/>
      </w:divBdr>
      <w:divsChild>
        <w:div w:id="1768236580">
          <w:marLeft w:val="0"/>
          <w:marRight w:val="0"/>
          <w:marTop w:val="105"/>
          <w:marBottom w:val="0"/>
          <w:divBdr>
            <w:top w:val="none" w:sz="0" w:space="0" w:color="auto"/>
            <w:left w:val="none" w:sz="0" w:space="0" w:color="auto"/>
            <w:bottom w:val="none" w:sz="0" w:space="0" w:color="auto"/>
            <w:right w:val="none" w:sz="0" w:space="0" w:color="auto"/>
          </w:divBdr>
        </w:div>
        <w:div w:id="892932931">
          <w:marLeft w:val="0"/>
          <w:marRight w:val="120"/>
          <w:marTop w:val="105"/>
          <w:marBottom w:val="0"/>
          <w:divBdr>
            <w:top w:val="none" w:sz="0" w:space="0" w:color="auto"/>
            <w:left w:val="none" w:sz="0" w:space="0" w:color="auto"/>
            <w:bottom w:val="none" w:sz="0" w:space="0" w:color="auto"/>
            <w:right w:val="none" w:sz="0" w:space="0" w:color="auto"/>
          </w:divBdr>
        </w:div>
        <w:div w:id="163908270">
          <w:marLeft w:val="0"/>
          <w:marRight w:val="0"/>
          <w:marTop w:val="105"/>
          <w:marBottom w:val="0"/>
          <w:divBdr>
            <w:top w:val="none" w:sz="0" w:space="0" w:color="auto"/>
            <w:left w:val="none" w:sz="0" w:space="0" w:color="auto"/>
            <w:bottom w:val="none" w:sz="0" w:space="0" w:color="auto"/>
            <w:right w:val="none" w:sz="0" w:space="0" w:color="auto"/>
          </w:divBdr>
        </w:div>
      </w:divsChild>
    </w:div>
    <w:div w:id="1421364518">
      <w:bodyDiv w:val="1"/>
      <w:marLeft w:val="0"/>
      <w:marRight w:val="0"/>
      <w:marTop w:val="0"/>
      <w:marBottom w:val="0"/>
      <w:divBdr>
        <w:top w:val="none" w:sz="0" w:space="0" w:color="auto"/>
        <w:left w:val="none" w:sz="0" w:space="0" w:color="auto"/>
        <w:bottom w:val="none" w:sz="0" w:space="0" w:color="auto"/>
        <w:right w:val="none" w:sz="0" w:space="0" w:color="auto"/>
      </w:divBdr>
    </w:div>
    <w:div w:id="1423913063">
      <w:bodyDiv w:val="1"/>
      <w:marLeft w:val="0"/>
      <w:marRight w:val="0"/>
      <w:marTop w:val="0"/>
      <w:marBottom w:val="0"/>
      <w:divBdr>
        <w:top w:val="none" w:sz="0" w:space="0" w:color="auto"/>
        <w:left w:val="none" w:sz="0" w:space="0" w:color="auto"/>
        <w:bottom w:val="none" w:sz="0" w:space="0" w:color="auto"/>
        <w:right w:val="none" w:sz="0" w:space="0" w:color="auto"/>
      </w:divBdr>
      <w:divsChild>
        <w:div w:id="1907103068">
          <w:marLeft w:val="0"/>
          <w:marRight w:val="0"/>
          <w:marTop w:val="105"/>
          <w:marBottom w:val="0"/>
          <w:divBdr>
            <w:top w:val="none" w:sz="0" w:space="0" w:color="auto"/>
            <w:left w:val="none" w:sz="0" w:space="0" w:color="auto"/>
            <w:bottom w:val="none" w:sz="0" w:space="0" w:color="auto"/>
            <w:right w:val="none" w:sz="0" w:space="0" w:color="auto"/>
          </w:divBdr>
        </w:div>
        <w:div w:id="1817796326">
          <w:marLeft w:val="0"/>
          <w:marRight w:val="0"/>
          <w:marTop w:val="105"/>
          <w:marBottom w:val="0"/>
          <w:divBdr>
            <w:top w:val="none" w:sz="0" w:space="0" w:color="auto"/>
            <w:left w:val="none" w:sz="0" w:space="0" w:color="auto"/>
            <w:bottom w:val="none" w:sz="0" w:space="0" w:color="auto"/>
            <w:right w:val="none" w:sz="0" w:space="0" w:color="auto"/>
          </w:divBdr>
        </w:div>
      </w:divsChild>
    </w:div>
    <w:div w:id="2002342988">
      <w:bodyDiv w:val="1"/>
      <w:marLeft w:val="0"/>
      <w:marRight w:val="0"/>
      <w:marTop w:val="0"/>
      <w:marBottom w:val="0"/>
      <w:divBdr>
        <w:top w:val="none" w:sz="0" w:space="0" w:color="auto"/>
        <w:left w:val="none" w:sz="0" w:space="0" w:color="auto"/>
        <w:bottom w:val="none" w:sz="0" w:space="0" w:color="auto"/>
        <w:right w:val="none" w:sz="0" w:space="0" w:color="auto"/>
      </w:divBdr>
      <w:divsChild>
        <w:div w:id="573586897">
          <w:marLeft w:val="0"/>
          <w:marRight w:val="0"/>
          <w:marTop w:val="105"/>
          <w:marBottom w:val="0"/>
          <w:divBdr>
            <w:top w:val="none" w:sz="0" w:space="0" w:color="auto"/>
            <w:left w:val="none" w:sz="0" w:space="0" w:color="auto"/>
            <w:bottom w:val="none" w:sz="0" w:space="0" w:color="auto"/>
            <w:right w:val="none" w:sz="0" w:space="0" w:color="auto"/>
          </w:divBdr>
        </w:div>
        <w:div w:id="327901988">
          <w:marLeft w:val="0"/>
          <w:marRight w:val="120"/>
          <w:marTop w:val="105"/>
          <w:marBottom w:val="0"/>
          <w:divBdr>
            <w:top w:val="none" w:sz="0" w:space="0" w:color="auto"/>
            <w:left w:val="none" w:sz="0" w:space="0" w:color="auto"/>
            <w:bottom w:val="none" w:sz="0" w:space="0" w:color="auto"/>
            <w:right w:val="none" w:sz="0" w:space="0" w:color="auto"/>
          </w:divBdr>
        </w:div>
        <w:div w:id="2137795543">
          <w:marLeft w:val="0"/>
          <w:marRight w:val="0"/>
          <w:marTop w:val="105"/>
          <w:marBottom w:val="0"/>
          <w:divBdr>
            <w:top w:val="none" w:sz="0" w:space="0" w:color="auto"/>
            <w:left w:val="none" w:sz="0" w:space="0" w:color="auto"/>
            <w:bottom w:val="none" w:sz="0" w:space="0" w:color="auto"/>
            <w:right w:val="none" w:sz="0" w:space="0" w:color="auto"/>
          </w:divBdr>
        </w:div>
      </w:divsChild>
    </w:div>
    <w:div w:id="2142767194">
      <w:bodyDiv w:val="1"/>
      <w:marLeft w:val="0"/>
      <w:marRight w:val="0"/>
      <w:marTop w:val="0"/>
      <w:marBottom w:val="0"/>
      <w:divBdr>
        <w:top w:val="none" w:sz="0" w:space="0" w:color="auto"/>
        <w:left w:val="none" w:sz="0" w:space="0" w:color="auto"/>
        <w:bottom w:val="none" w:sz="0" w:space="0" w:color="auto"/>
        <w:right w:val="none" w:sz="0" w:space="0" w:color="auto"/>
      </w:divBdr>
      <w:divsChild>
        <w:div w:id="1695688007">
          <w:marLeft w:val="0"/>
          <w:marRight w:val="0"/>
          <w:marTop w:val="105"/>
          <w:marBottom w:val="0"/>
          <w:divBdr>
            <w:top w:val="none" w:sz="0" w:space="0" w:color="auto"/>
            <w:left w:val="none" w:sz="0" w:space="0" w:color="auto"/>
            <w:bottom w:val="none" w:sz="0" w:space="0" w:color="auto"/>
            <w:right w:val="none" w:sz="0" w:space="0" w:color="auto"/>
          </w:divBdr>
        </w:div>
        <w:div w:id="746269784">
          <w:marLeft w:val="0"/>
          <w:marRight w:val="120"/>
          <w:marTop w:val="105"/>
          <w:marBottom w:val="0"/>
          <w:divBdr>
            <w:top w:val="none" w:sz="0" w:space="0" w:color="auto"/>
            <w:left w:val="none" w:sz="0" w:space="0" w:color="auto"/>
            <w:bottom w:val="none" w:sz="0" w:space="0" w:color="auto"/>
            <w:right w:val="none" w:sz="0" w:space="0" w:color="auto"/>
          </w:divBdr>
        </w:div>
        <w:div w:id="1244756617">
          <w:marLeft w:val="0"/>
          <w:marRight w:val="0"/>
          <w:marTop w:val="10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biuro@ordoiuris.pl" TargetMode="External"/><Relationship Id="rId1" Type="http://schemas.openxmlformats.org/officeDocument/2006/relationships/hyperlink" Target="mailto:biuro@ordoiuris.pl"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biuro@ordoiuris.p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596616" TargetMode="External"/><Relationship Id="rId3" Type="http://schemas.openxmlformats.org/officeDocument/2006/relationships/hyperlink" Target="https://kobieta.wp.pl/nawet-200-tysiecy-kobiet-rocznie-decyduje-sie-na-nielegalna-aborcje-5982777458090625a" TargetMode="External"/><Relationship Id="rId7" Type="http://schemas.openxmlformats.org/officeDocument/2006/relationships/hyperlink" Target="http://www.rpp.gov.pl/sprawozdania-roczne/" TargetMode="External"/><Relationship Id="rId2" Type="http://schemas.openxmlformats.org/officeDocument/2006/relationships/hyperlink" Target="https://data.worldbank.org/indicator/SH.STA.MMRT" TargetMode="External"/><Relationship Id="rId1" Type="http://schemas.openxmlformats.org/officeDocument/2006/relationships/hyperlink" Target="http://www.thelancet.com/pdfs/journals/lancet/PIIS0140-6736(14)60696-6.pdf" TargetMode="External"/><Relationship Id="rId6" Type="http://schemas.openxmlformats.org/officeDocument/2006/relationships/hyperlink" Target="http://assembly.coe.int/nw/xml/XRef/Xref-XML2HTML-EN.asp?fileid=17909&amp;lang=en" TargetMode="External"/><Relationship Id="rId5" Type="http://schemas.openxmlformats.org/officeDocument/2006/relationships/hyperlink" Target="http://www.pro-life.pl/baza-wiedzy/teksty/podziemie-aborcyjne-mity-i-fakty" TargetMode="External"/><Relationship Id="rId10" Type="http://schemas.openxmlformats.org/officeDocument/2006/relationships/hyperlink" Target="http://panstwoprawa.org/wp-content/uploads/2016/09/Stosowanie-alternatyw-do-detencji-cudzoziemcow_ca%C5%82o%C5%9B%C4%87.pdf" TargetMode="External"/><Relationship Id="rId4" Type="http://schemas.openxmlformats.org/officeDocument/2006/relationships/hyperlink" Target="http://www.ordoiuris.pl/ochrona-zycia/analiza-badan-sondazowych-dotyczacych-sprzeciwu-wobec-aborcji-w-latach-2007-2016" TargetMode="External"/><Relationship Id="rId9" Type="http://schemas.openxmlformats.org/officeDocument/2006/relationships/hyperlink" Target="http://zatrzymajaborcje.p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6859D6-0BC6-4A58-B704-D9B298F09A79}"/>
</file>

<file path=customXml/itemProps2.xml><?xml version="1.0" encoding="utf-8"?>
<ds:datastoreItem xmlns:ds="http://schemas.openxmlformats.org/officeDocument/2006/customXml" ds:itemID="{094EA283-5196-4607-BB94-603D0E2ECD77}"/>
</file>

<file path=customXml/itemProps3.xml><?xml version="1.0" encoding="utf-8"?>
<ds:datastoreItem xmlns:ds="http://schemas.openxmlformats.org/officeDocument/2006/customXml" ds:itemID="{B4C453D2-153A-4A44-BC0D-99E5D7D85BC5}"/>
</file>

<file path=customXml/itemProps4.xml><?xml version="1.0" encoding="utf-8"?>
<ds:datastoreItem xmlns:ds="http://schemas.openxmlformats.org/officeDocument/2006/customXml" ds:itemID="{F8281A21-9EC6-497A-A1EA-5D4C4F324B75}"/>
</file>

<file path=docProps/app.xml><?xml version="1.0" encoding="utf-8"?>
<Properties xmlns="http://schemas.openxmlformats.org/officeDocument/2006/extended-properties" xmlns:vt="http://schemas.openxmlformats.org/officeDocument/2006/docPropsVTypes">
  <Template>Normal.dotm</Template>
  <TotalTime>1</TotalTime>
  <Pages>11</Pages>
  <Words>2864</Words>
  <Characters>16326</Characters>
  <Application>Microsoft Office Word</Application>
  <DocSecurity>4</DocSecurity>
  <Lines>136</Lines>
  <Paragraphs>38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Durnescu Lilian</cp:lastModifiedBy>
  <cp:revision>2</cp:revision>
  <cp:lastPrinted>2017-10-10T14:36:00Z</cp:lastPrinted>
  <dcterms:created xsi:type="dcterms:W3CDTF">2018-01-23T11:15:00Z</dcterms:created>
  <dcterms:modified xsi:type="dcterms:W3CDTF">2018-01-23T11:15:00Z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