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AF3C7D" w14:textId="1D98E75E" w:rsidR="00CC3D95" w:rsidRPr="00085DFD" w:rsidRDefault="00DB110E" w:rsidP="002F3EC7">
      <w:pPr>
        <w:spacing w:before="7"/>
        <w:ind w:left="4248" w:firstLine="708"/>
        <w:rPr>
          <w:rFonts w:ascii="Calibri" w:eastAsia="Calibri" w:hAnsi="Calibri" w:cs="Calibri"/>
          <w:sz w:val="24"/>
          <w:szCs w:val="24"/>
          <w:lang w:val="es-ES"/>
        </w:rPr>
      </w:pPr>
      <w:proofErr w:type="spellStart"/>
      <w:r w:rsidRPr="00085DFD">
        <w:rPr>
          <w:rFonts w:ascii="Calibri" w:eastAsia="Calibri" w:hAnsi="Calibri" w:cs="Calibri"/>
          <w:sz w:val="24"/>
          <w:szCs w:val="24"/>
          <w:lang w:val="es-ES"/>
        </w:rPr>
        <w:t>Uberlândia</w:t>
      </w:r>
      <w:proofErr w:type="spellEnd"/>
      <w:r w:rsidRPr="00085DFD">
        <w:rPr>
          <w:rFonts w:ascii="Calibri" w:eastAsia="Calibri" w:hAnsi="Calibri" w:cs="Calibri"/>
          <w:sz w:val="24"/>
          <w:szCs w:val="24"/>
          <w:lang w:val="es-ES"/>
        </w:rPr>
        <w:t>, 1</w:t>
      </w:r>
      <w:r w:rsidR="004F1B3F">
        <w:rPr>
          <w:rFonts w:ascii="Calibri" w:eastAsia="Calibri" w:hAnsi="Calibri" w:cs="Calibri"/>
          <w:sz w:val="24"/>
          <w:szCs w:val="24"/>
          <w:lang w:val="es-ES"/>
        </w:rPr>
        <w:t>7</w:t>
      </w:r>
      <w:r w:rsidRPr="00085DFD">
        <w:rPr>
          <w:rFonts w:ascii="Calibri" w:eastAsia="Calibri" w:hAnsi="Calibri" w:cs="Calibri"/>
          <w:sz w:val="24"/>
          <w:szCs w:val="24"/>
          <w:lang w:val="es-ES"/>
        </w:rPr>
        <w:t xml:space="preserve"> de </w:t>
      </w:r>
      <w:proofErr w:type="spellStart"/>
      <w:r w:rsidR="002F3EC7" w:rsidRPr="00085DFD">
        <w:rPr>
          <w:rFonts w:ascii="Calibri" w:eastAsia="Calibri" w:hAnsi="Calibri" w:cs="Calibri"/>
          <w:sz w:val="24"/>
          <w:szCs w:val="24"/>
          <w:lang w:val="es-ES"/>
        </w:rPr>
        <w:t>novembro</w:t>
      </w:r>
      <w:proofErr w:type="spellEnd"/>
      <w:r w:rsidRPr="00085DFD">
        <w:rPr>
          <w:rFonts w:ascii="Calibri" w:eastAsia="Calibri" w:hAnsi="Calibri" w:cs="Calibri"/>
          <w:sz w:val="24"/>
          <w:szCs w:val="24"/>
          <w:lang w:val="es-ES"/>
        </w:rPr>
        <w:t xml:space="preserve"> de 2020.</w:t>
      </w:r>
    </w:p>
    <w:p w14:paraId="14B056C3" w14:textId="40B43153" w:rsidR="00CC3D95" w:rsidRDefault="00CC3D95">
      <w:pPr>
        <w:spacing w:line="200" w:lineRule="exact"/>
        <w:rPr>
          <w:lang w:val="es-ES"/>
        </w:rPr>
      </w:pPr>
    </w:p>
    <w:p w14:paraId="7B2034DC" w14:textId="77777777" w:rsidR="00715560" w:rsidRPr="00085DFD" w:rsidRDefault="00715560">
      <w:pPr>
        <w:spacing w:before="17" w:line="240" w:lineRule="exact"/>
        <w:rPr>
          <w:rFonts w:asciiTheme="minorHAnsi" w:hAnsiTheme="minorHAnsi" w:cstheme="minorHAnsi"/>
          <w:sz w:val="24"/>
          <w:szCs w:val="24"/>
          <w:lang w:val="es-ES"/>
        </w:rPr>
      </w:pPr>
    </w:p>
    <w:p w14:paraId="639D4576" w14:textId="77777777" w:rsidR="00CC3D95" w:rsidRPr="00085DFD" w:rsidRDefault="00DB110E">
      <w:pPr>
        <w:ind w:left="102" w:right="1907"/>
        <w:rPr>
          <w:rFonts w:asciiTheme="minorHAnsi" w:eastAsia="Calibri" w:hAnsiTheme="minorHAnsi" w:cstheme="minorHAnsi"/>
          <w:sz w:val="24"/>
          <w:szCs w:val="24"/>
          <w:lang w:val="es-ES"/>
        </w:rPr>
      </w:pPr>
      <w:r w:rsidRPr="00085DFD">
        <w:rPr>
          <w:rFonts w:asciiTheme="minorHAnsi" w:eastAsia="Calibri" w:hAnsiTheme="minorHAnsi" w:cstheme="minorHAnsi"/>
          <w:sz w:val="24"/>
          <w:szCs w:val="24"/>
          <w:lang w:val="es-ES"/>
        </w:rPr>
        <w:t>Comité para la Eliminación de la Discriminación contra la Mujer Oficina del Alto Comisionado para los Derechos Humanos (ACNUDH) Palacio de las Naciones</w:t>
      </w:r>
    </w:p>
    <w:p w14:paraId="237EAC4A" w14:textId="77777777" w:rsidR="00CC3D95" w:rsidRPr="004F1B3F" w:rsidRDefault="00DB110E">
      <w:pPr>
        <w:spacing w:before="2"/>
        <w:ind w:left="102"/>
        <w:rPr>
          <w:rFonts w:asciiTheme="minorHAnsi" w:eastAsia="Calibri" w:hAnsiTheme="minorHAnsi" w:cstheme="minorHAnsi"/>
          <w:sz w:val="24"/>
          <w:szCs w:val="24"/>
          <w:lang w:val="es-419"/>
        </w:rPr>
      </w:pPr>
      <w:r w:rsidRPr="004F1B3F">
        <w:rPr>
          <w:rFonts w:asciiTheme="minorHAnsi" w:eastAsia="Calibri" w:hAnsiTheme="minorHAnsi" w:cstheme="minorHAnsi"/>
          <w:sz w:val="24"/>
          <w:szCs w:val="24"/>
          <w:lang w:val="es-419"/>
        </w:rPr>
        <w:t>CH-1211 Ginebra 10, Suiza</w:t>
      </w:r>
    </w:p>
    <w:p w14:paraId="4DA4665A" w14:textId="77777777" w:rsidR="00CC3D95" w:rsidRPr="004F1B3F" w:rsidRDefault="00CC3D95">
      <w:pPr>
        <w:spacing w:line="200" w:lineRule="exact"/>
        <w:rPr>
          <w:rFonts w:asciiTheme="minorHAnsi" w:hAnsiTheme="minorHAnsi" w:cstheme="minorHAnsi"/>
          <w:sz w:val="24"/>
          <w:szCs w:val="24"/>
          <w:lang w:val="es-419"/>
        </w:rPr>
      </w:pPr>
    </w:p>
    <w:p w14:paraId="36F771DF" w14:textId="4839E76F" w:rsidR="00CC3D95" w:rsidRDefault="00CC3D95">
      <w:pPr>
        <w:spacing w:before="16" w:line="260" w:lineRule="exact"/>
        <w:rPr>
          <w:rFonts w:asciiTheme="minorHAnsi" w:hAnsiTheme="minorHAnsi" w:cstheme="minorHAnsi"/>
          <w:sz w:val="24"/>
          <w:szCs w:val="24"/>
          <w:lang w:val="es-419"/>
        </w:rPr>
      </w:pPr>
    </w:p>
    <w:p w14:paraId="70706271" w14:textId="77777777" w:rsidR="00715560" w:rsidRPr="004F1B3F" w:rsidRDefault="00715560">
      <w:pPr>
        <w:spacing w:before="16" w:line="260" w:lineRule="exact"/>
        <w:rPr>
          <w:rFonts w:asciiTheme="minorHAnsi" w:hAnsiTheme="minorHAnsi" w:cstheme="minorHAnsi"/>
          <w:sz w:val="24"/>
          <w:szCs w:val="24"/>
          <w:lang w:val="es-419"/>
        </w:rPr>
      </w:pPr>
    </w:p>
    <w:p w14:paraId="5F767F3D" w14:textId="77777777" w:rsidR="004F1B3F" w:rsidRPr="004F1B3F" w:rsidRDefault="004F1B3F" w:rsidP="000B4D7D">
      <w:pPr>
        <w:spacing w:line="360" w:lineRule="auto"/>
        <w:jc w:val="both"/>
        <w:rPr>
          <w:rFonts w:asciiTheme="minorHAnsi" w:eastAsia="Calibri" w:hAnsiTheme="minorHAnsi" w:cstheme="minorHAnsi"/>
          <w:sz w:val="24"/>
          <w:szCs w:val="24"/>
          <w:lang w:val="es-419"/>
        </w:rPr>
      </w:pPr>
    </w:p>
    <w:p w14:paraId="217582C2" w14:textId="0529B026" w:rsidR="00085DFD" w:rsidRPr="00A64FAB" w:rsidRDefault="00D2185B" w:rsidP="009D6931">
      <w:pPr>
        <w:spacing w:line="360" w:lineRule="auto"/>
        <w:ind w:firstLine="709"/>
        <w:jc w:val="both"/>
        <w:rPr>
          <w:rFonts w:asciiTheme="minorHAnsi" w:eastAsia="Calibri" w:hAnsiTheme="minorHAnsi" w:cstheme="minorHAnsi"/>
          <w:sz w:val="24"/>
          <w:szCs w:val="24"/>
          <w:lang w:val="es-ES"/>
        </w:rPr>
      </w:pPr>
      <w:r>
        <w:rPr>
          <w:rFonts w:asciiTheme="minorHAnsi" w:eastAsia="Calibri" w:hAnsiTheme="minorHAnsi" w:cstheme="minorHAnsi"/>
          <w:sz w:val="24"/>
          <w:szCs w:val="24"/>
          <w:lang w:val="es-ES"/>
        </w:rPr>
        <w:t>S</w:t>
      </w:r>
      <w:r w:rsidR="00085DFD" w:rsidRPr="00A64FAB">
        <w:rPr>
          <w:rFonts w:asciiTheme="minorHAnsi" w:eastAsia="Calibri" w:hAnsiTheme="minorHAnsi" w:cstheme="minorHAnsi"/>
          <w:sz w:val="24"/>
          <w:szCs w:val="24"/>
          <w:lang w:val="es-ES"/>
        </w:rPr>
        <w:t>uscribimos la presente notificación con la finalidad de actualizar nuestro comunicado encaminado el 11 de octubre de 2020 y contribuir con el trabajo de análisis de la observancia y aquiescencia de Brasil de las normas de la Convención sobre la Eliminación de todas las formas de Discriminación contra la Mujer (79ª Sección del Comité).</w:t>
      </w:r>
    </w:p>
    <w:p w14:paraId="3A469C5D" w14:textId="6DB3CA7C" w:rsidR="00085DFD" w:rsidRPr="00A64FAB" w:rsidRDefault="00085DFD" w:rsidP="009D6931">
      <w:pPr>
        <w:spacing w:line="360" w:lineRule="auto"/>
        <w:ind w:firstLine="709"/>
        <w:jc w:val="both"/>
        <w:rPr>
          <w:rFonts w:asciiTheme="minorHAnsi" w:eastAsia="Calibri" w:hAnsiTheme="minorHAnsi" w:cstheme="minorHAnsi"/>
          <w:sz w:val="24"/>
          <w:szCs w:val="24"/>
          <w:lang w:val="es-ES"/>
        </w:rPr>
      </w:pPr>
      <w:r w:rsidRPr="00A64FAB">
        <w:rPr>
          <w:rFonts w:asciiTheme="minorHAnsi" w:eastAsia="Calibri" w:hAnsiTheme="minorHAnsi" w:cstheme="minorHAnsi"/>
          <w:sz w:val="24"/>
          <w:szCs w:val="24"/>
          <w:lang w:val="es-ES"/>
        </w:rPr>
        <w:t xml:space="preserve">Registramos preocupación con las reiteradas violaciones de los derechos de las mujeres en virtud de las prácticas de reproducción de violencia de género en los contenidos de argumentos jurídicos y decisiones judiciales que incorporan prejuicios </w:t>
      </w:r>
      <w:r w:rsidR="002B02A5" w:rsidRPr="00A64FAB">
        <w:rPr>
          <w:rFonts w:asciiTheme="minorHAnsi" w:eastAsia="Calibri" w:hAnsiTheme="minorHAnsi" w:cstheme="minorHAnsi"/>
          <w:sz w:val="24"/>
          <w:szCs w:val="24"/>
          <w:lang w:val="es-ES"/>
        </w:rPr>
        <w:t xml:space="preserve">y discriminaciones. </w:t>
      </w:r>
    </w:p>
    <w:p w14:paraId="3738E3C2" w14:textId="2A4940D8" w:rsidR="002B02A5" w:rsidRPr="00A64FAB" w:rsidRDefault="002B02A5" w:rsidP="009D6931">
      <w:pPr>
        <w:spacing w:line="360" w:lineRule="auto"/>
        <w:ind w:firstLine="709"/>
        <w:jc w:val="both"/>
        <w:rPr>
          <w:rFonts w:asciiTheme="minorHAnsi" w:eastAsia="Calibri" w:hAnsiTheme="minorHAnsi" w:cstheme="minorHAnsi"/>
          <w:sz w:val="24"/>
          <w:szCs w:val="24"/>
          <w:lang w:val="es-ES"/>
        </w:rPr>
      </w:pPr>
      <w:r w:rsidRPr="00A64FAB">
        <w:rPr>
          <w:rFonts w:asciiTheme="minorHAnsi" w:eastAsia="Calibri" w:hAnsiTheme="minorHAnsi" w:cstheme="minorHAnsi"/>
          <w:sz w:val="24"/>
          <w:szCs w:val="24"/>
          <w:lang w:val="es-ES"/>
        </w:rPr>
        <w:t>Esa situación puede ser ejemplada con el caso ocurrido en la ciudad de Nova Era (Minas Gerais) en el que el acusado confeso fue absuelto por el Jurado Popular con base en la tesis de la “legítima defensa”. Tal sentencia no puede ser contestada en otras instancias debido a la decisión del Supremo Tribunal Federal sobre la soberanía de los veredictos (asunto d</w:t>
      </w:r>
      <w:r w:rsidR="00D34917">
        <w:rPr>
          <w:rFonts w:asciiTheme="minorHAnsi" w:eastAsia="Calibri" w:hAnsiTheme="minorHAnsi" w:cstheme="minorHAnsi"/>
          <w:sz w:val="24"/>
          <w:szCs w:val="24"/>
          <w:lang w:val="es-ES"/>
        </w:rPr>
        <w:t>e</w:t>
      </w:r>
      <w:r w:rsidRPr="00A64FAB">
        <w:rPr>
          <w:rFonts w:asciiTheme="minorHAnsi" w:eastAsia="Calibri" w:hAnsiTheme="minorHAnsi" w:cstheme="minorHAnsi"/>
          <w:sz w:val="24"/>
          <w:szCs w:val="24"/>
          <w:lang w:val="es-ES"/>
        </w:rPr>
        <w:t xml:space="preserve"> nuestro primer comunicado al Comité). </w:t>
      </w:r>
    </w:p>
    <w:p w14:paraId="1ECC76CD" w14:textId="579C0FB9" w:rsidR="002B02A5" w:rsidRPr="00A64FAB" w:rsidRDefault="002B02A5" w:rsidP="009D6931">
      <w:pPr>
        <w:spacing w:line="360" w:lineRule="auto"/>
        <w:ind w:firstLine="709"/>
        <w:jc w:val="both"/>
        <w:rPr>
          <w:rFonts w:asciiTheme="minorHAnsi" w:eastAsia="Calibri" w:hAnsiTheme="minorHAnsi" w:cstheme="minorHAnsi"/>
          <w:sz w:val="24"/>
          <w:szCs w:val="24"/>
          <w:lang w:val="es-ES"/>
        </w:rPr>
      </w:pPr>
      <w:r w:rsidRPr="00A64FAB">
        <w:rPr>
          <w:rFonts w:asciiTheme="minorHAnsi" w:eastAsia="Calibri" w:hAnsiTheme="minorHAnsi" w:cstheme="minorHAnsi"/>
          <w:sz w:val="24"/>
          <w:szCs w:val="24"/>
          <w:lang w:val="es-ES"/>
        </w:rPr>
        <w:t>El ret</w:t>
      </w:r>
      <w:r w:rsidR="008D6A03" w:rsidRPr="00A64FAB">
        <w:rPr>
          <w:rFonts w:asciiTheme="minorHAnsi" w:eastAsia="Calibri" w:hAnsiTheme="minorHAnsi" w:cstheme="minorHAnsi"/>
          <w:sz w:val="24"/>
          <w:szCs w:val="24"/>
          <w:lang w:val="es-ES"/>
        </w:rPr>
        <w:t>r</w:t>
      </w:r>
      <w:r w:rsidRPr="00A64FAB">
        <w:rPr>
          <w:rFonts w:asciiTheme="minorHAnsi" w:eastAsia="Calibri" w:hAnsiTheme="minorHAnsi" w:cstheme="minorHAnsi"/>
          <w:sz w:val="24"/>
          <w:szCs w:val="24"/>
          <w:lang w:val="es-ES"/>
        </w:rPr>
        <w:t xml:space="preserve">oceso de esa decisión refleja la tolerancia con ese tipo de crimen en Brasil. </w:t>
      </w:r>
    </w:p>
    <w:p w14:paraId="58EAD956" w14:textId="6D71B457" w:rsidR="002B02A5" w:rsidRPr="00A64FAB" w:rsidRDefault="002B02A5" w:rsidP="009D6931">
      <w:pPr>
        <w:spacing w:line="360" w:lineRule="auto"/>
        <w:ind w:firstLine="709"/>
        <w:jc w:val="both"/>
        <w:rPr>
          <w:rFonts w:asciiTheme="minorHAnsi" w:eastAsia="Calibri" w:hAnsiTheme="minorHAnsi" w:cstheme="minorHAnsi"/>
          <w:sz w:val="24"/>
          <w:szCs w:val="24"/>
          <w:lang w:val="es-ES"/>
        </w:rPr>
      </w:pPr>
      <w:r w:rsidRPr="00A64FAB">
        <w:rPr>
          <w:rFonts w:asciiTheme="minorHAnsi" w:eastAsia="Calibri" w:hAnsiTheme="minorHAnsi" w:cstheme="minorHAnsi"/>
          <w:sz w:val="24"/>
          <w:szCs w:val="24"/>
          <w:lang w:val="es-ES"/>
        </w:rPr>
        <w:t xml:space="preserve">Esta triste realidad puede ser sentida, también, por mujeres que transitan por recintos públicos cuyos nombres homenajean a feminicidas. Como ejemplo, se puede citar el nombre </w:t>
      </w:r>
      <w:r w:rsidR="008D6A03" w:rsidRPr="00A64FAB">
        <w:rPr>
          <w:rFonts w:asciiTheme="minorHAnsi" w:eastAsia="Calibri" w:hAnsiTheme="minorHAnsi" w:cstheme="minorHAnsi"/>
          <w:sz w:val="24"/>
          <w:szCs w:val="24"/>
          <w:lang w:val="es-ES"/>
        </w:rPr>
        <w:t>de la principal plaza de la segunda mayor ciudad de Minas Gerais (</w:t>
      </w:r>
      <w:proofErr w:type="spellStart"/>
      <w:r w:rsidR="008D6A03" w:rsidRPr="00A64FAB">
        <w:rPr>
          <w:rFonts w:asciiTheme="minorHAnsi" w:eastAsia="Calibri" w:hAnsiTheme="minorHAnsi" w:cstheme="minorHAnsi"/>
          <w:sz w:val="24"/>
          <w:szCs w:val="24"/>
          <w:lang w:val="es-ES"/>
        </w:rPr>
        <w:t>Uberlândia</w:t>
      </w:r>
      <w:proofErr w:type="spellEnd"/>
      <w:r w:rsidR="008D6A03" w:rsidRPr="00A64FAB">
        <w:rPr>
          <w:rFonts w:asciiTheme="minorHAnsi" w:eastAsia="Calibri" w:hAnsiTheme="minorHAnsi" w:cstheme="minorHAnsi"/>
          <w:sz w:val="24"/>
          <w:szCs w:val="24"/>
          <w:lang w:val="es-ES"/>
        </w:rPr>
        <w:t xml:space="preserve">): Plaza </w:t>
      </w:r>
      <w:proofErr w:type="spellStart"/>
      <w:r w:rsidR="008D6A03" w:rsidRPr="00A64FAB">
        <w:rPr>
          <w:rFonts w:asciiTheme="minorHAnsi" w:eastAsia="Calibri" w:hAnsiTheme="minorHAnsi" w:cstheme="minorHAnsi"/>
          <w:sz w:val="24"/>
          <w:szCs w:val="24"/>
          <w:lang w:val="es-ES"/>
        </w:rPr>
        <w:t>Tubal</w:t>
      </w:r>
      <w:proofErr w:type="spellEnd"/>
      <w:r w:rsidR="008D6A03" w:rsidRPr="00A64FAB">
        <w:rPr>
          <w:rFonts w:asciiTheme="minorHAnsi" w:eastAsia="Calibri" w:hAnsiTheme="minorHAnsi" w:cstheme="minorHAnsi"/>
          <w:sz w:val="24"/>
          <w:szCs w:val="24"/>
          <w:lang w:val="es-ES"/>
        </w:rPr>
        <w:t xml:space="preserve"> Vilela. El emprendedor y político local que también presta su nombre a una Escuela Estadual de la ciudad, motivado por celos y por la sospecha de traición, asesinó a tiros a su mujer embarazada que, en la época, tenía apenas 19 años, en 1926.</w:t>
      </w:r>
    </w:p>
    <w:p w14:paraId="2051A07C" w14:textId="13ADFEE1" w:rsidR="00740C5A" w:rsidRDefault="008D6A03" w:rsidP="009D6931">
      <w:pPr>
        <w:spacing w:line="360" w:lineRule="auto"/>
        <w:ind w:firstLine="709"/>
        <w:jc w:val="both"/>
        <w:rPr>
          <w:rFonts w:asciiTheme="minorHAnsi" w:hAnsiTheme="minorHAnsi" w:cstheme="minorHAnsi"/>
          <w:color w:val="FF0000"/>
          <w:sz w:val="24"/>
          <w:szCs w:val="24"/>
          <w:lang w:val="pt-BR" w:eastAsia="pt-BR"/>
        </w:rPr>
      </w:pPr>
      <w:r w:rsidRPr="00A64FAB">
        <w:rPr>
          <w:rFonts w:asciiTheme="minorHAnsi" w:hAnsiTheme="minorHAnsi" w:cstheme="minorHAnsi"/>
          <w:sz w:val="24"/>
          <w:szCs w:val="24"/>
          <w:lang w:val="es-ES" w:eastAsia="pt-BR"/>
        </w:rPr>
        <w:t xml:space="preserve">La absolución fue respaldada exactamente por la tesis de legítima defensa de la honra. </w:t>
      </w:r>
      <w:r w:rsidRPr="00A64FAB">
        <w:rPr>
          <w:rFonts w:asciiTheme="minorHAnsi" w:hAnsiTheme="minorHAnsi" w:cstheme="minorHAnsi"/>
          <w:sz w:val="24"/>
          <w:szCs w:val="24"/>
          <w:lang w:val="pt-BR" w:eastAsia="pt-BR"/>
        </w:rPr>
        <w:t>(</w:t>
      </w:r>
      <w:proofErr w:type="spellStart"/>
      <w:r w:rsidRPr="00A64FAB">
        <w:rPr>
          <w:rFonts w:asciiTheme="minorHAnsi" w:hAnsiTheme="minorHAnsi" w:cstheme="minorHAnsi"/>
          <w:sz w:val="24"/>
          <w:szCs w:val="24"/>
          <w:lang w:val="pt-BR" w:eastAsia="pt-BR"/>
        </w:rPr>
        <w:t>Disponible</w:t>
      </w:r>
      <w:proofErr w:type="spellEnd"/>
      <w:r w:rsidRPr="00A64FAB">
        <w:rPr>
          <w:rFonts w:asciiTheme="minorHAnsi" w:hAnsiTheme="minorHAnsi" w:cstheme="minorHAnsi"/>
          <w:sz w:val="24"/>
          <w:szCs w:val="24"/>
          <w:lang w:val="pt-BR" w:eastAsia="pt-BR"/>
        </w:rPr>
        <w:t xml:space="preserve"> em: (</w:t>
      </w:r>
      <w:hyperlink r:id="rId8" w:history="1">
        <w:r w:rsidRPr="00EE7219">
          <w:rPr>
            <w:rStyle w:val="Hyperlink"/>
            <w:rFonts w:asciiTheme="minorHAnsi" w:hAnsiTheme="minorHAnsi" w:cstheme="minorHAnsi"/>
            <w:sz w:val="24"/>
            <w:szCs w:val="24"/>
            <w:lang w:val="pt-BR" w:eastAsia="pt-BR"/>
          </w:rPr>
          <w:t>https://www.brasildefatomg.com.br/2018/03/13/mulheres-fazem-abaixo-assinado-para-alterar-nome-de-praca-em-uberlandia-mg</w:t>
        </w:r>
      </w:hyperlink>
      <w:r w:rsidRPr="00A64FAB">
        <w:rPr>
          <w:rFonts w:asciiTheme="minorHAnsi" w:hAnsiTheme="minorHAnsi" w:cstheme="minorHAnsi"/>
          <w:sz w:val="24"/>
          <w:szCs w:val="24"/>
          <w:lang w:val="pt-BR" w:eastAsia="pt-BR"/>
        </w:rPr>
        <w:t>).</w:t>
      </w:r>
    </w:p>
    <w:p w14:paraId="4F7FD3DA" w14:textId="72AEEAFF" w:rsidR="008D6A03" w:rsidRPr="00A64FAB" w:rsidRDefault="008D6A03" w:rsidP="009D6931">
      <w:pPr>
        <w:spacing w:line="360" w:lineRule="auto"/>
        <w:ind w:firstLine="709"/>
        <w:jc w:val="both"/>
        <w:rPr>
          <w:rFonts w:asciiTheme="minorHAnsi" w:hAnsiTheme="minorHAnsi" w:cstheme="minorHAnsi"/>
          <w:sz w:val="24"/>
          <w:szCs w:val="24"/>
          <w:lang w:val="es-ES" w:eastAsia="pt-BR"/>
        </w:rPr>
      </w:pPr>
      <w:r w:rsidRPr="00A64FAB">
        <w:rPr>
          <w:rFonts w:asciiTheme="minorHAnsi" w:hAnsiTheme="minorHAnsi" w:cstheme="minorHAnsi"/>
          <w:sz w:val="24"/>
          <w:szCs w:val="24"/>
          <w:lang w:val="es-ES" w:eastAsia="pt-BR"/>
        </w:rPr>
        <w:lastRenderedPageBreak/>
        <w:t xml:space="preserve">Esas violaciones son habituales en Brasil. Podríamos hacer aquí una vasta lista de casos semejantes de impunidad ocasionada por la persistencia de patrones discriminatorios reproducidos en sentencias de tribunales de diferentes instancias en Brasil, incluso en la más alta corte del país. </w:t>
      </w:r>
    </w:p>
    <w:p w14:paraId="4A81E500" w14:textId="61AE9B13" w:rsidR="0071264F" w:rsidRDefault="00610C86" w:rsidP="009D6931">
      <w:pPr>
        <w:spacing w:line="360" w:lineRule="auto"/>
        <w:ind w:firstLine="709"/>
        <w:jc w:val="both"/>
        <w:rPr>
          <w:rFonts w:asciiTheme="minorHAnsi" w:hAnsiTheme="minorHAnsi" w:cstheme="minorHAnsi"/>
          <w:color w:val="333333"/>
          <w:sz w:val="24"/>
          <w:szCs w:val="24"/>
          <w:shd w:val="clear" w:color="auto" w:fill="FFFFFF"/>
          <w:lang w:val="es-ES"/>
        </w:rPr>
      </w:pPr>
      <w:r w:rsidRPr="00A64FAB">
        <w:rPr>
          <w:rFonts w:asciiTheme="minorHAnsi" w:eastAsia="Calibri" w:hAnsiTheme="minorHAnsi" w:cstheme="minorHAnsi"/>
          <w:sz w:val="24"/>
          <w:szCs w:val="24"/>
          <w:lang w:val="es-ES"/>
        </w:rPr>
        <w:t xml:space="preserve"> </w:t>
      </w:r>
      <w:r w:rsidR="008D6A03" w:rsidRPr="00A64FAB">
        <w:rPr>
          <w:rFonts w:asciiTheme="minorHAnsi" w:eastAsia="Calibri" w:hAnsiTheme="minorHAnsi" w:cstheme="minorHAnsi"/>
          <w:sz w:val="24"/>
          <w:szCs w:val="24"/>
          <w:lang w:val="es-ES"/>
        </w:rPr>
        <w:t xml:space="preserve">En 12 de febrero de 2007, en un proceso que analizaba violencia contra la mujer, el Juez del Distrito de Sete </w:t>
      </w:r>
      <w:proofErr w:type="spellStart"/>
      <w:r w:rsidR="008D6A03" w:rsidRPr="00A64FAB">
        <w:rPr>
          <w:rFonts w:asciiTheme="minorHAnsi" w:eastAsia="Calibri" w:hAnsiTheme="minorHAnsi" w:cstheme="minorHAnsi"/>
          <w:sz w:val="24"/>
          <w:szCs w:val="24"/>
          <w:lang w:val="es-ES"/>
        </w:rPr>
        <w:t>Lagoas</w:t>
      </w:r>
      <w:proofErr w:type="spellEnd"/>
      <w:r w:rsidR="008D6A03" w:rsidRPr="00A64FAB">
        <w:rPr>
          <w:rFonts w:asciiTheme="minorHAnsi" w:eastAsia="Calibri" w:hAnsiTheme="minorHAnsi" w:cstheme="minorHAnsi"/>
          <w:sz w:val="24"/>
          <w:szCs w:val="24"/>
          <w:lang w:val="es-ES"/>
        </w:rPr>
        <w:t xml:space="preserve">, Minas Gerais, manifestó inconstitucionalidad de la Ley </w:t>
      </w:r>
      <w:proofErr w:type="spellStart"/>
      <w:r w:rsidR="008D6A03" w:rsidRPr="00A64FAB">
        <w:rPr>
          <w:rFonts w:asciiTheme="minorHAnsi" w:eastAsia="Calibri" w:hAnsiTheme="minorHAnsi" w:cstheme="minorHAnsi"/>
          <w:sz w:val="24"/>
          <w:szCs w:val="24"/>
          <w:lang w:val="es-ES"/>
        </w:rPr>
        <w:t>Maria</w:t>
      </w:r>
      <w:proofErr w:type="spellEnd"/>
      <w:r w:rsidR="008D6A03" w:rsidRPr="00A64FAB">
        <w:rPr>
          <w:rFonts w:asciiTheme="minorHAnsi" w:eastAsia="Calibri" w:hAnsiTheme="minorHAnsi" w:cstheme="minorHAnsi"/>
          <w:sz w:val="24"/>
          <w:szCs w:val="24"/>
          <w:lang w:val="es-ES"/>
        </w:rPr>
        <w:t xml:space="preserve"> da </w:t>
      </w:r>
      <w:proofErr w:type="spellStart"/>
      <w:r w:rsidR="008D6A03" w:rsidRPr="00A64FAB">
        <w:rPr>
          <w:rFonts w:asciiTheme="minorHAnsi" w:eastAsia="Calibri" w:hAnsiTheme="minorHAnsi" w:cstheme="minorHAnsi"/>
          <w:sz w:val="24"/>
          <w:szCs w:val="24"/>
          <w:lang w:val="es-ES"/>
        </w:rPr>
        <w:t>Penha</w:t>
      </w:r>
      <w:proofErr w:type="spellEnd"/>
      <w:r w:rsidR="008D6A03" w:rsidRPr="00A64FAB">
        <w:rPr>
          <w:rFonts w:asciiTheme="minorHAnsi" w:eastAsia="Calibri" w:hAnsiTheme="minorHAnsi" w:cstheme="minorHAnsi"/>
          <w:sz w:val="24"/>
          <w:szCs w:val="24"/>
          <w:lang w:val="es-ES"/>
        </w:rPr>
        <w:t xml:space="preserve">. Según las palabras del juez, la ley es “una herejía manifiesta”, </w:t>
      </w:r>
      <w:r w:rsidR="0071264F" w:rsidRPr="00A64FAB">
        <w:rPr>
          <w:rFonts w:asciiTheme="minorHAnsi" w:eastAsia="Calibri" w:hAnsiTheme="minorHAnsi" w:cstheme="minorHAnsi"/>
          <w:sz w:val="24"/>
          <w:szCs w:val="24"/>
          <w:lang w:val="es-ES"/>
        </w:rPr>
        <w:t>de entre otras razones porque “dice que a los hombres no les es otorgado el derecho de controlar las acciones y comportamientos de su mujer”. En decisión del Consejo Nacional de Justicia, el juez fue alejado del caso durante dos años en virtud de la sentencia discriminatoria, pero el Supremo Tribunal Federal revertió la decisión alegando que “el juez no puede ser penado por estar amparado por el derecho a la libertad de expresión” (</w:t>
      </w:r>
      <w:hyperlink r:id="rId9" w:history="1">
        <w:r w:rsidR="0071264F" w:rsidRPr="00EE7219">
          <w:rPr>
            <w:rStyle w:val="Hyperlink"/>
            <w:rFonts w:asciiTheme="minorHAnsi" w:hAnsiTheme="minorHAnsi" w:cstheme="minorHAnsi"/>
            <w:sz w:val="24"/>
            <w:szCs w:val="24"/>
            <w:shd w:val="clear" w:color="auto" w:fill="FFFFFF"/>
            <w:lang w:val="es-ES"/>
          </w:rPr>
          <w:t>https://migalhas.uol.com.br/quentes/127565/stf---deferida-liminar-a-juiz-afastado-por-criticar-lei-maria-da-penha</w:t>
        </w:r>
      </w:hyperlink>
      <w:r w:rsidR="0071264F">
        <w:rPr>
          <w:rFonts w:asciiTheme="minorHAnsi" w:hAnsiTheme="minorHAnsi" w:cstheme="minorHAnsi"/>
          <w:color w:val="333333"/>
          <w:sz w:val="24"/>
          <w:szCs w:val="24"/>
          <w:shd w:val="clear" w:color="auto" w:fill="FFFFFF"/>
          <w:lang w:val="es-ES"/>
        </w:rPr>
        <w:t xml:space="preserve">). </w:t>
      </w:r>
    </w:p>
    <w:p w14:paraId="72D391CC" w14:textId="6B99D442" w:rsidR="0071264F" w:rsidRDefault="0071264F" w:rsidP="009D6931">
      <w:pPr>
        <w:spacing w:line="360" w:lineRule="auto"/>
        <w:ind w:firstLine="709"/>
        <w:jc w:val="both"/>
        <w:rPr>
          <w:rFonts w:asciiTheme="minorHAnsi" w:eastAsia="Calibri" w:hAnsiTheme="minorHAnsi" w:cstheme="minorHAnsi"/>
          <w:color w:val="FF0000"/>
          <w:sz w:val="24"/>
          <w:szCs w:val="24"/>
          <w:lang w:val="es-ES"/>
        </w:rPr>
      </w:pPr>
      <w:r w:rsidRPr="00A64FAB">
        <w:rPr>
          <w:rFonts w:asciiTheme="minorHAnsi" w:hAnsiTheme="minorHAnsi" w:cstheme="minorHAnsi"/>
          <w:sz w:val="24"/>
          <w:szCs w:val="24"/>
          <w:shd w:val="clear" w:color="auto" w:fill="FFFFFF"/>
          <w:lang w:val="es-ES"/>
        </w:rPr>
        <w:t xml:space="preserve">En 16 de marzo de 2020, el Tribunal de Justicia de Rio Grande do Sul, absolvió un acusado de mantener relaciones sexuales con una niña de 13 </w:t>
      </w:r>
      <w:proofErr w:type="gramStart"/>
      <w:r w:rsidRPr="00A64FAB">
        <w:rPr>
          <w:rFonts w:asciiTheme="minorHAnsi" w:hAnsiTheme="minorHAnsi" w:cstheme="minorHAnsi"/>
          <w:sz w:val="24"/>
          <w:szCs w:val="24"/>
          <w:shd w:val="clear" w:color="auto" w:fill="FFFFFF"/>
          <w:lang w:val="es-ES"/>
        </w:rPr>
        <w:t>años de edad</w:t>
      </w:r>
      <w:proofErr w:type="gramEnd"/>
      <w:r w:rsidRPr="00A64FAB">
        <w:rPr>
          <w:rFonts w:asciiTheme="minorHAnsi" w:hAnsiTheme="minorHAnsi" w:cstheme="minorHAnsi"/>
          <w:sz w:val="24"/>
          <w:szCs w:val="24"/>
          <w:shd w:val="clear" w:color="auto" w:fill="FFFFFF"/>
          <w:lang w:val="es-ES"/>
        </w:rPr>
        <w:t xml:space="preserve"> justificándose en el hecho de que ambos tenían un romance y que, este, era de conocimiento de la familia (decisión que va contra la </w:t>
      </w:r>
      <w:proofErr w:type="spellStart"/>
      <w:r w:rsidRPr="00A64FAB">
        <w:rPr>
          <w:rFonts w:asciiTheme="minorHAnsi" w:hAnsiTheme="minorHAnsi" w:cstheme="minorHAnsi"/>
          <w:sz w:val="24"/>
          <w:szCs w:val="24"/>
          <w:shd w:val="clear" w:color="auto" w:fill="FFFFFF"/>
          <w:lang w:val="es-ES"/>
        </w:rPr>
        <w:t>Súmula</w:t>
      </w:r>
      <w:proofErr w:type="spellEnd"/>
      <w:r w:rsidRPr="00A64FAB">
        <w:rPr>
          <w:rFonts w:asciiTheme="minorHAnsi" w:hAnsiTheme="minorHAnsi" w:cstheme="minorHAnsi"/>
          <w:sz w:val="24"/>
          <w:szCs w:val="24"/>
          <w:shd w:val="clear" w:color="auto" w:fill="FFFFFF"/>
          <w:lang w:val="es-ES"/>
        </w:rPr>
        <w:t xml:space="preserve"> </w:t>
      </w:r>
      <w:r w:rsidR="00907C18" w:rsidRPr="00A64FAB">
        <w:rPr>
          <w:rFonts w:asciiTheme="minorHAnsi" w:hAnsiTheme="minorHAnsi" w:cstheme="minorHAnsi"/>
          <w:sz w:val="24"/>
          <w:szCs w:val="24"/>
          <w:shd w:val="clear" w:color="auto" w:fill="FFFFFF"/>
          <w:lang w:val="es-ES"/>
        </w:rPr>
        <w:t xml:space="preserve">-precedente- </w:t>
      </w:r>
      <w:r w:rsidRPr="00A64FAB">
        <w:rPr>
          <w:rFonts w:asciiTheme="minorHAnsi" w:hAnsiTheme="minorHAnsi" w:cstheme="minorHAnsi"/>
          <w:sz w:val="24"/>
          <w:szCs w:val="24"/>
          <w:shd w:val="clear" w:color="auto" w:fill="FFFFFF"/>
          <w:lang w:val="es-ES"/>
        </w:rPr>
        <w:t>593/2017 del STF)</w:t>
      </w:r>
      <w:r w:rsidR="00907C18" w:rsidRPr="00A64FAB">
        <w:rPr>
          <w:rFonts w:asciiTheme="minorHAnsi" w:hAnsiTheme="minorHAnsi" w:cstheme="minorHAnsi"/>
          <w:sz w:val="24"/>
          <w:szCs w:val="24"/>
          <w:shd w:val="clear" w:color="auto" w:fill="FFFFFF"/>
          <w:lang w:val="es-ES"/>
        </w:rPr>
        <w:t xml:space="preserve">. El Ministerio Público apeló la decisión, sin embargo, la relatora, en decisión del 27 de enero de 2020, afirmó que no estaba frente a un caso de abuso, sino a uno de “precocidad sexual” y que </w:t>
      </w:r>
      <w:r w:rsidR="006F071E">
        <w:rPr>
          <w:rFonts w:asciiTheme="minorHAnsi" w:hAnsiTheme="minorHAnsi" w:cstheme="minorHAnsi"/>
          <w:sz w:val="24"/>
          <w:szCs w:val="24"/>
          <w:shd w:val="clear" w:color="auto" w:fill="FFFFFF"/>
          <w:lang w:val="es-ES"/>
        </w:rPr>
        <w:t>“</w:t>
      </w:r>
      <w:r w:rsidR="00907C18" w:rsidRPr="00A64FAB">
        <w:rPr>
          <w:rFonts w:asciiTheme="minorHAnsi" w:hAnsiTheme="minorHAnsi" w:cstheme="minorHAnsi"/>
          <w:sz w:val="24"/>
          <w:szCs w:val="24"/>
          <w:shd w:val="clear" w:color="auto" w:fill="FFFFFF"/>
          <w:lang w:val="es-ES"/>
        </w:rPr>
        <w:t>sería hipocresía condenar al reo en un contexto en el que los medios estimulan, cada vez más temprano, la sexualidad de las niñas” (</w:t>
      </w:r>
      <w:hyperlink r:id="rId10" w:history="1">
        <w:r w:rsidR="00907C18" w:rsidRPr="00EE7219">
          <w:rPr>
            <w:rStyle w:val="Hyperlink"/>
            <w:rFonts w:asciiTheme="minorHAnsi" w:eastAsia="Calibri" w:hAnsiTheme="minorHAnsi" w:cstheme="minorHAnsi"/>
            <w:sz w:val="24"/>
            <w:szCs w:val="24"/>
            <w:lang w:val="es-ES"/>
          </w:rPr>
          <w:t>https://www.conjur.com.br/dl/acordao-camara-criminal-tj-rs-mantem.pdf</w:t>
        </w:r>
      </w:hyperlink>
      <w:r w:rsidR="00907C18" w:rsidRPr="00CE46D3">
        <w:rPr>
          <w:rFonts w:asciiTheme="minorHAnsi" w:eastAsia="Calibri" w:hAnsiTheme="minorHAnsi" w:cstheme="minorHAnsi"/>
          <w:sz w:val="24"/>
          <w:szCs w:val="24"/>
          <w:lang w:val="es-ES"/>
        </w:rPr>
        <w:t xml:space="preserve">). </w:t>
      </w:r>
    </w:p>
    <w:p w14:paraId="133A404E" w14:textId="1BE87A9A" w:rsidR="00907C18" w:rsidRPr="00A64FAB" w:rsidRDefault="00907C18" w:rsidP="009D6931">
      <w:pPr>
        <w:spacing w:line="360" w:lineRule="auto"/>
        <w:ind w:firstLine="709"/>
        <w:jc w:val="both"/>
        <w:rPr>
          <w:rFonts w:asciiTheme="minorHAnsi" w:hAnsiTheme="minorHAnsi" w:cstheme="minorHAnsi"/>
          <w:sz w:val="24"/>
          <w:szCs w:val="24"/>
          <w:shd w:val="clear" w:color="auto" w:fill="FFFFFF"/>
          <w:lang w:val="es-ES"/>
        </w:rPr>
      </w:pPr>
      <w:r w:rsidRPr="00A64FAB">
        <w:rPr>
          <w:rFonts w:asciiTheme="minorHAnsi" w:eastAsia="Calibri" w:hAnsiTheme="minorHAnsi" w:cstheme="minorHAnsi"/>
          <w:sz w:val="24"/>
          <w:szCs w:val="24"/>
          <w:lang w:val="es-ES"/>
        </w:rPr>
        <w:t xml:space="preserve">En esas situaciones, niñas y mujeres </w:t>
      </w:r>
      <w:r w:rsidR="004F1B3F" w:rsidRPr="00A64FAB">
        <w:rPr>
          <w:rFonts w:asciiTheme="minorHAnsi" w:eastAsia="Calibri" w:hAnsiTheme="minorHAnsi" w:cstheme="minorHAnsi"/>
          <w:sz w:val="24"/>
          <w:szCs w:val="24"/>
          <w:lang w:val="es-ES"/>
        </w:rPr>
        <w:t>víctimas</w:t>
      </w:r>
      <w:r w:rsidRPr="00A64FAB">
        <w:rPr>
          <w:rFonts w:asciiTheme="minorHAnsi" w:eastAsia="Calibri" w:hAnsiTheme="minorHAnsi" w:cstheme="minorHAnsi"/>
          <w:sz w:val="24"/>
          <w:szCs w:val="24"/>
          <w:lang w:val="es-ES"/>
        </w:rPr>
        <w:t xml:space="preserve"> de violencia son puestas en el banquillo de los condenados. </w:t>
      </w:r>
    </w:p>
    <w:p w14:paraId="0ADBFE42" w14:textId="55028645" w:rsidR="00740C5A" w:rsidRPr="00A64FAB" w:rsidRDefault="00907C18" w:rsidP="009D6931">
      <w:pPr>
        <w:spacing w:line="360" w:lineRule="auto"/>
        <w:ind w:firstLine="709"/>
        <w:jc w:val="both"/>
        <w:rPr>
          <w:rFonts w:asciiTheme="minorHAnsi" w:eastAsia="Calibri" w:hAnsiTheme="minorHAnsi" w:cstheme="minorHAnsi"/>
          <w:sz w:val="24"/>
          <w:szCs w:val="24"/>
          <w:lang w:val="es-ES"/>
        </w:rPr>
      </w:pPr>
      <w:r w:rsidRPr="00A64FAB">
        <w:rPr>
          <w:rFonts w:asciiTheme="minorHAnsi" w:eastAsia="Calibri" w:hAnsiTheme="minorHAnsi" w:cstheme="minorHAnsi"/>
          <w:sz w:val="24"/>
          <w:szCs w:val="24"/>
          <w:lang w:val="es-ES"/>
        </w:rPr>
        <w:t>El bochorno y la falta de confianza e</w:t>
      </w:r>
      <w:r w:rsidR="00C327C8">
        <w:rPr>
          <w:rFonts w:asciiTheme="minorHAnsi" w:eastAsia="Calibri" w:hAnsiTheme="minorHAnsi" w:cstheme="minorHAnsi"/>
          <w:sz w:val="24"/>
          <w:szCs w:val="24"/>
          <w:lang w:val="es-ES"/>
        </w:rPr>
        <w:t>n</w:t>
      </w:r>
      <w:r w:rsidRPr="00A64FAB">
        <w:rPr>
          <w:rFonts w:asciiTheme="minorHAnsi" w:eastAsia="Calibri" w:hAnsiTheme="minorHAnsi" w:cstheme="minorHAnsi"/>
          <w:sz w:val="24"/>
          <w:szCs w:val="24"/>
          <w:lang w:val="es-ES"/>
        </w:rPr>
        <w:t xml:space="preserve"> las instituciones han sido </w:t>
      </w:r>
      <w:r w:rsidR="00EA5716" w:rsidRPr="00A64FAB">
        <w:rPr>
          <w:rFonts w:asciiTheme="minorHAnsi" w:eastAsia="Calibri" w:hAnsiTheme="minorHAnsi" w:cstheme="minorHAnsi"/>
          <w:sz w:val="24"/>
          <w:szCs w:val="24"/>
          <w:lang w:val="es-ES"/>
        </w:rPr>
        <w:t>incluidas</w:t>
      </w:r>
      <w:r w:rsidRPr="00A64FAB">
        <w:rPr>
          <w:rFonts w:asciiTheme="minorHAnsi" w:eastAsia="Calibri" w:hAnsiTheme="minorHAnsi" w:cstheme="minorHAnsi"/>
          <w:sz w:val="24"/>
          <w:szCs w:val="24"/>
          <w:lang w:val="es-ES"/>
        </w:rPr>
        <w:t xml:space="preserve"> por innumerables </w:t>
      </w:r>
      <w:r w:rsidR="0039213D" w:rsidRPr="00A64FAB">
        <w:rPr>
          <w:rFonts w:asciiTheme="minorHAnsi" w:eastAsia="Calibri" w:hAnsiTheme="minorHAnsi" w:cstheme="minorHAnsi"/>
          <w:sz w:val="24"/>
          <w:szCs w:val="24"/>
          <w:lang w:val="es-ES"/>
        </w:rPr>
        <w:t>estudios</w:t>
      </w:r>
      <w:r w:rsidRPr="00A64FAB">
        <w:rPr>
          <w:rFonts w:asciiTheme="minorHAnsi" w:eastAsia="Calibri" w:hAnsiTheme="minorHAnsi" w:cstheme="minorHAnsi"/>
          <w:sz w:val="24"/>
          <w:szCs w:val="24"/>
          <w:lang w:val="es-ES"/>
        </w:rPr>
        <w:t xml:space="preserve"> como </w:t>
      </w:r>
      <w:r w:rsidR="0039213D" w:rsidRPr="00A64FAB">
        <w:rPr>
          <w:rFonts w:asciiTheme="minorHAnsi" w:eastAsia="Calibri" w:hAnsiTheme="minorHAnsi" w:cstheme="minorHAnsi"/>
          <w:sz w:val="24"/>
          <w:szCs w:val="24"/>
          <w:lang w:val="es-ES"/>
        </w:rPr>
        <w:t>causas</w:t>
      </w:r>
      <w:r w:rsidRPr="00A64FAB">
        <w:rPr>
          <w:rFonts w:asciiTheme="minorHAnsi" w:eastAsia="Calibri" w:hAnsiTheme="minorHAnsi" w:cstheme="minorHAnsi"/>
          <w:sz w:val="24"/>
          <w:szCs w:val="24"/>
          <w:lang w:val="es-ES"/>
        </w:rPr>
        <w:t xml:space="preserve"> para la</w:t>
      </w:r>
      <w:r w:rsidR="0039213D" w:rsidRPr="00A64FAB">
        <w:rPr>
          <w:rFonts w:asciiTheme="minorHAnsi" w:eastAsia="Calibri" w:hAnsiTheme="minorHAnsi" w:cstheme="minorHAnsi"/>
          <w:sz w:val="24"/>
          <w:szCs w:val="24"/>
          <w:lang w:val="es-ES"/>
        </w:rPr>
        <w:t>s</w:t>
      </w:r>
      <w:r w:rsidRPr="00A64FAB">
        <w:rPr>
          <w:rFonts w:asciiTheme="minorHAnsi" w:eastAsia="Calibri" w:hAnsiTheme="minorHAnsi" w:cstheme="minorHAnsi"/>
          <w:sz w:val="24"/>
          <w:szCs w:val="24"/>
          <w:lang w:val="es-ES"/>
        </w:rPr>
        <w:t xml:space="preserve"> baja</w:t>
      </w:r>
      <w:r w:rsidR="0039213D" w:rsidRPr="00A64FAB">
        <w:rPr>
          <w:rFonts w:asciiTheme="minorHAnsi" w:eastAsia="Calibri" w:hAnsiTheme="minorHAnsi" w:cstheme="minorHAnsi"/>
          <w:sz w:val="24"/>
          <w:szCs w:val="24"/>
          <w:lang w:val="es-ES"/>
        </w:rPr>
        <w:t>s</w:t>
      </w:r>
      <w:r w:rsidRPr="00A64FAB">
        <w:rPr>
          <w:rFonts w:asciiTheme="minorHAnsi" w:eastAsia="Calibri" w:hAnsiTheme="minorHAnsi" w:cstheme="minorHAnsi"/>
          <w:sz w:val="24"/>
          <w:szCs w:val="24"/>
          <w:lang w:val="es-ES"/>
        </w:rPr>
        <w:t xml:space="preserve"> notificaci</w:t>
      </w:r>
      <w:r w:rsidR="0039213D" w:rsidRPr="00A64FAB">
        <w:rPr>
          <w:rFonts w:asciiTheme="minorHAnsi" w:eastAsia="Calibri" w:hAnsiTheme="minorHAnsi" w:cstheme="minorHAnsi"/>
          <w:sz w:val="24"/>
          <w:szCs w:val="24"/>
          <w:lang w:val="es-ES"/>
        </w:rPr>
        <w:t>ones</w:t>
      </w:r>
      <w:r w:rsidRPr="00A64FAB">
        <w:rPr>
          <w:rFonts w:asciiTheme="minorHAnsi" w:eastAsia="Calibri" w:hAnsiTheme="minorHAnsi" w:cstheme="minorHAnsi"/>
          <w:sz w:val="24"/>
          <w:szCs w:val="24"/>
          <w:lang w:val="es-ES"/>
        </w:rPr>
        <w:t xml:space="preserve"> de crímenes de violencia contra la mujer, concretamente, la violencia sexual</w:t>
      </w:r>
      <w:r w:rsidR="0039213D" w:rsidRPr="00A64FAB">
        <w:rPr>
          <w:rFonts w:asciiTheme="minorHAnsi" w:eastAsia="Calibri" w:hAnsiTheme="minorHAnsi" w:cstheme="minorHAnsi"/>
          <w:sz w:val="24"/>
          <w:szCs w:val="24"/>
          <w:lang w:val="es-ES"/>
        </w:rPr>
        <w:t>.</w:t>
      </w:r>
    </w:p>
    <w:p w14:paraId="499396DE" w14:textId="77777777" w:rsidR="004F1B3F" w:rsidRDefault="00EA5716" w:rsidP="009D6931">
      <w:pPr>
        <w:spacing w:line="360" w:lineRule="auto"/>
        <w:ind w:firstLine="709"/>
        <w:jc w:val="both"/>
        <w:rPr>
          <w:rFonts w:asciiTheme="minorHAnsi" w:eastAsia="Calibri" w:hAnsiTheme="minorHAnsi" w:cstheme="minorHAnsi"/>
          <w:sz w:val="24"/>
          <w:szCs w:val="24"/>
          <w:lang w:val="es-ES"/>
        </w:rPr>
      </w:pPr>
      <w:r w:rsidRPr="00A64FAB">
        <w:rPr>
          <w:rFonts w:asciiTheme="minorHAnsi" w:eastAsia="Calibri" w:hAnsiTheme="minorHAnsi" w:cstheme="minorHAnsi"/>
          <w:sz w:val="24"/>
          <w:szCs w:val="24"/>
          <w:lang w:val="es-ES"/>
        </w:rPr>
        <w:t xml:space="preserve">El temor de las mujeres no es </w:t>
      </w:r>
      <w:r w:rsidR="008910E5" w:rsidRPr="00A64FAB">
        <w:rPr>
          <w:rFonts w:asciiTheme="minorHAnsi" w:eastAsia="Calibri" w:hAnsiTheme="minorHAnsi" w:cstheme="minorHAnsi"/>
          <w:sz w:val="24"/>
          <w:szCs w:val="24"/>
          <w:lang w:val="es-ES"/>
        </w:rPr>
        <w:t>infundado</w:t>
      </w:r>
      <w:r w:rsidRPr="00A64FAB">
        <w:rPr>
          <w:rFonts w:asciiTheme="minorHAnsi" w:eastAsia="Calibri" w:hAnsiTheme="minorHAnsi" w:cstheme="minorHAnsi"/>
          <w:sz w:val="24"/>
          <w:szCs w:val="24"/>
          <w:lang w:val="es-ES"/>
        </w:rPr>
        <w:t xml:space="preserve">, hecho que puede ser demostrado por el reciente caso de las escenas del juicio de una denuncia de violación </w:t>
      </w:r>
      <w:r w:rsidR="008910E5" w:rsidRPr="00A64FAB">
        <w:rPr>
          <w:rFonts w:asciiTheme="minorHAnsi" w:eastAsia="Calibri" w:hAnsiTheme="minorHAnsi" w:cstheme="minorHAnsi"/>
          <w:sz w:val="24"/>
          <w:szCs w:val="24"/>
          <w:lang w:val="es-ES"/>
        </w:rPr>
        <w:t xml:space="preserve">difundidas por el </w:t>
      </w:r>
      <w:proofErr w:type="spellStart"/>
      <w:r w:rsidR="008910E5" w:rsidRPr="00A64FAB">
        <w:rPr>
          <w:rFonts w:asciiTheme="minorHAnsi" w:eastAsia="Calibri" w:hAnsiTheme="minorHAnsi" w:cstheme="minorHAnsi"/>
          <w:i/>
          <w:iCs/>
          <w:sz w:val="24"/>
          <w:szCs w:val="24"/>
          <w:lang w:val="es-ES"/>
        </w:rPr>
        <w:t>Intercept</w:t>
      </w:r>
      <w:proofErr w:type="spellEnd"/>
      <w:r w:rsidR="008910E5" w:rsidRPr="00A64FAB">
        <w:rPr>
          <w:rFonts w:asciiTheme="minorHAnsi" w:eastAsia="Calibri" w:hAnsiTheme="minorHAnsi" w:cstheme="minorHAnsi"/>
          <w:sz w:val="24"/>
          <w:szCs w:val="24"/>
          <w:lang w:val="es-ES"/>
        </w:rPr>
        <w:t xml:space="preserve"> Brasil. En el video se muestra el acoso moral sufrido por la víctima durante el </w:t>
      </w:r>
      <w:r w:rsidR="008910E5" w:rsidRPr="00A64FAB">
        <w:rPr>
          <w:rFonts w:asciiTheme="minorHAnsi" w:eastAsia="Calibri" w:hAnsiTheme="minorHAnsi" w:cstheme="minorHAnsi"/>
          <w:sz w:val="24"/>
          <w:szCs w:val="24"/>
          <w:lang w:val="es-ES"/>
        </w:rPr>
        <w:lastRenderedPageBreak/>
        <w:t>juicio, además de la omisión de los miembros del Ministerio Público y del juez del caso. También muestra una tendencia de retroceso preocupante sobre la carga de la violencia sexual sufrida por la víctima.</w:t>
      </w:r>
    </w:p>
    <w:p w14:paraId="1B2EB1EA" w14:textId="1344984E" w:rsidR="00EA5716" w:rsidRDefault="008910E5" w:rsidP="004F1B3F">
      <w:pPr>
        <w:spacing w:line="360" w:lineRule="auto"/>
        <w:jc w:val="both"/>
        <w:rPr>
          <w:rStyle w:val="Hyperlink"/>
          <w:rFonts w:asciiTheme="minorHAnsi" w:eastAsia="Calibri" w:hAnsiTheme="minorHAnsi" w:cstheme="minorHAnsi"/>
          <w:sz w:val="24"/>
          <w:szCs w:val="24"/>
          <w:lang w:val="es-ES"/>
        </w:rPr>
      </w:pPr>
      <w:r w:rsidRPr="00A64FAB">
        <w:rPr>
          <w:rFonts w:asciiTheme="minorHAnsi" w:eastAsia="Calibri" w:hAnsiTheme="minorHAnsi" w:cstheme="minorHAnsi"/>
          <w:sz w:val="24"/>
          <w:szCs w:val="24"/>
          <w:lang w:val="es-ES"/>
        </w:rPr>
        <w:t xml:space="preserve">(Disponible en: </w:t>
      </w:r>
      <w:hyperlink r:id="rId11" w:history="1">
        <w:r w:rsidRPr="008910E5">
          <w:rPr>
            <w:rStyle w:val="Hyperlink"/>
            <w:rFonts w:asciiTheme="minorHAnsi" w:eastAsia="Calibri" w:hAnsiTheme="minorHAnsi" w:cstheme="minorHAnsi"/>
            <w:sz w:val="24"/>
            <w:szCs w:val="24"/>
            <w:lang w:val="es-ES"/>
          </w:rPr>
          <w:t>https://theintercept.com/2020/11/03/influencer-mariana-ferrer-estupro-culposo/</w:t>
        </w:r>
      </w:hyperlink>
      <w:r w:rsidR="00863BA2">
        <w:rPr>
          <w:rStyle w:val="Hyperlink"/>
          <w:rFonts w:asciiTheme="minorHAnsi" w:eastAsia="Calibri" w:hAnsiTheme="minorHAnsi" w:cstheme="minorHAnsi"/>
          <w:sz w:val="24"/>
          <w:szCs w:val="24"/>
          <w:lang w:val="es-ES"/>
        </w:rPr>
        <w:t xml:space="preserve">). </w:t>
      </w:r>
    </w:p>
    <w:p w14:paraId="2BF93471" w14:textId="38888841" w:rsidR="00AA07DB" w:rsidRPr="00A64FAB" w:rsidRDefault="00AA07DB" w:rsidP="009D6931">
      <w:pPr>
        <w:spacing w:line="360" w:lineRule="auto"/>
        <w:ind w:firstLine="709"/>
        <w:jc w:val="both"/>
        <w:rPr>
          <w:rFonts w:asciiTheme="minorHAnsi" w:eastAsia="Calibri" w:hAnsiTheme="minorHAnsi" w:cstheme="minorHAnsi"/>
          <w:sz w:val="24"/>
          <w:szCs w:val="24"/>
          <w:lang w:val="es-ES"/>
        </w:rPr>
      </w:pPr>
      <w:r w:rsidRPr="00A64FAB">
        <w:rPr>
          <w:rFonts w:asciiTheme="minorHAnsi" w:eastAsia="Calibri" w:hAnsiTheme="minorHAnsi" w:cstheme="minorHAnsi"/>
          <w:sz w:val="24"/>
          <w:szCs w:val="24"/>
          <w:lang w:val="es-ES"/>
        </w:rPr>
        <w:t xml:space="preserve">Cabe destacar, todavía, el hecho del contexto de pandemia (culpado por empeorar una tendencia ya verificada en periodos de crisis económicas) haber intensificado la violencia de género. La coexistencia forzada entre parejas en una situación de aislamiento, estrés económico y pérdida real de puestos de trabajo son gatillos y desestabilizadores </w:t>
      </w:r>
      <w:r w:rsidR="00F60D2E" w:rsidRPr="00A64FAB">
        <w:rPr>
          <w:rFonts w:asciiTheme="minorHAnsi" w:eastAsia="Calibri" w:hAnsiTheme="minorHAnsi" w:cstheme="minorHAnsi"/>
          <w:sz w:val="24"/>
          <w:szCs w:val="24"/>
          <w:lang w:val="es-ES"/>
        </w:rPr>
        <w:t xml:space="preserve">capaces de </w:t>
      </w:r>
      <w:r w:rsidRPr="00A64FAB">
        <w:rPr>
          <w:rFonts w:asciiTheme="minorHAnsi" w:eastAsia="Calibri" w:hAnsiTheme="minorHAnsi" w:cstheme="minorHAnsi"/>
          <w:sz w:val="24"/>
          <w:szCs w:val="24"/>
          <w:lang w:val="es-ES"/>
        </w:rPr>
        <w:t>potencializa</w:t>
      </w:r>
      <w:r w:rsidR="00F60D2E" w:rsidRPr="00A64FAB">
        <w:rPr>
          <w:rFonts w:asciiTheme="minorHAnsi" w:eastAsia="Calibri" w:hAnsiTheme="minorHAnsi" w:cstheme="minorHAnsi"/>
          <w:sz w:val="24"/>
          <w:szCs w:val="24"/>
          <w:lang w:val="es-ES"/>
        </w:rPr>
        <w:t>r</w:t>
      </w:r>
      <w:r w:rsidRPr="00A64FAB">
        <w:rPr>
          <w:rFonts w:asciiTheme="minorHAnsi" w:eastAsia="Calibri" w:hAnsiTheme="minorHAnsi" w:cstheme="minorHAnsi"/>
          <w:sz w:val="24"/>
          <w:szCs w:val="24"/>
          <w:lang w:val="es-ES"/>
        </w:rPr>
        <w:t xml:space="preserve"> comportamientos violentos. De esta forma, se observan desigualdades estructurales entre hombres y mujeres </w:t>
      </w:r>
      <w:r w:rsidR="00F60D2E" w:rsidRPr="00A64FAB">
        <w:rPr>
          <w:rFonts w:asciiTheme="minorHAnsi" w:eastAsia="Calibri" w:hAnsiTheme="minorHAnsi" w:cstheme="minorHAnsi"/>
          <w:sz w:val="24"/>
          <w:szCs w:val="24"/>
          <w:lang w:val="es-ES"/>
        </w:rPr>
        <w:t xml:space="preserve">acentuados por la pandemia. </w:t>
      </w:r>
    </w:p>
    <w:p w14:paraId="68DFF137" w14:textId="0BCD0FD1" w:rsidR="00F60D2E" w:rsidRPr="00A64FAB" w:rsidRDefault="00F60D2E" w:rsidP="009D6931">
      <w:pPr>
        <w:spacing w:line="360" w:lineRule="auto"/>
        <w:ind w:firstLine="709"/>
        <w:jc w:val="both"/>
        <w:rPr>
          <w:rFonts w:asciiTheme="minorHAnsi" w:eastAsia="Calibri" w:hAnsiTheme="minorHAnsi" w:cstheme="minorHAnsi"/>
          <w:sz w:val="24"/>
          <w:szCs w:val="24"/>
          <w:lang w:val="es-ES"/>
        </w:rPr>
      </w:pPr>
      <w:r w:rsidRPr="00A64FAB">
        <w:rPr>
          <w:rFonts w:asciiTheme="minorHAnsi" w:eastAsia="Calibri" w:hAnsiTheme="minorHAnsi" w:cstheme="minorHAnsi"/>
          <w:sz w:val="24"/>
          <w:szCs w:val="24"/>
          <w:lang w:val="es-ES"/>
        </w:rPr>
        <w:t>Según nota técnica del Fórum Brasileño de Seguridad Pública</w:t>
      </w:r>
      <w:r w:rsidR="004061C2">
        <w:rPr>
          <w:rFonts w:asciiTheme="minorHAnsi" w:eastAsia="Calibri" w:hAnsiTheme="minorHAnsi" w:cstheme="minorHAnsi"/>
          <w:sz w:val="24"/>
          <w:szCs w:val="24"/>
          <w:lang w:val="es-ES"/>
        </w:rPr>
        <w:t>,</w:t>
      </w:r>
      <w:r w:rsidRPr="00A64FAB">
        <w:rPr>
          <w:rFonts w:asciiTheme="minorHAnsi" w:eastAsia="Calibri" w:hAnsiTheme="minorHAnsi" w:cstheme="minorHAnsi"/>
          <w:sz w:val="24"/>
          <w:szCs w:val="24"/>
          <w:lang w:val="es-ES"/>
        </w:rPr>
        <w:t xml:space="preserve"> publicada en marzo de 2020, los casos de feminicidio en Brasil crecieron </w:t>
      </w:r>
      <w:r w:rsidR="00F271A6">
        <w:rPr>
          <w:rFonts w:asciiTheme="minorHAnsi" w:eastAsia="Calibri" w:hAnsiTheme="minorHAnsi" w:cstheme="minorHAnsi"/>
          <w:sz w:val="24"/>
          <w:szCs w:val="24"/>
          <w:lang w:val="es-ES"/>
        </w:rPr>
        <w:t>un</w:t>
      </w:r>
      <w:r w:rsidRPr="00A64FAB">
        <w:rPr>
          <w:rFonts w:asciiTheme="minorHAnsi" w:eastAsia="Calibri" w:hAnsiTheme="minorHAnsi" w:cstheme="minorHAnsi"/>
          <w:sz w:val="24"/>
          <w:szCs w:val="24"/>
          <w:lang w:val="es-ES"/>
        </w:rPr>
        <w:t xml:space="preserve"> 22% entre marzo y abril al compararse con el mismo periodo del año anterior. Por otro lado, ha habido una reducción de 28,2% de los registros de violación y de violación de vulnerable, lo que permite la sospecha de la existencia de </w:t>
      </w:r>
      <w:proofErr w:type="spellStart"/>
      <w:r w:rsidRPr="00A64FAB">
        <w:rPr>
          <w:rFonts w:asciiTheme="minorHAnsi" w:eastAsia="Calibri" w:hAnsiTheme="minorHAnsi" w:cstheme="minorHAnsi"/>
          <w:sz w:val="24"/>
          <w:szCs w:val="24"/>
          <w:lang w:val="es-ES"/>
        </w:rPr>
        <w:t>subnotificación</w:t>
      </w:r>
      <w:proofErr w:type="spellEnd"/>
      <w:r w:rsidR="00D92FB4">
        <w:rPr>
          <w:rFonts w:asciiTheme="minorHAnsi" w:eastAsia="Calibri" w:hAnsiTheme="minorHAnsi" w:cstheme="minorHAnsi"/>
          <w:sz w:val="24"/>
          <w:szCs w:val="24"/>
          <w:lang w:val="es-ES"/>
        </w:rPr>
        <w:t xml:space="preserve"> de estos casos. </w:t>
      </w:r>
    </w:p>
    <w:p w14:paraId="2C947A11" w14:textId="6F3CD840" w:rsidR="0066567D" w:rsidRPr="00A64FAB" w:rsidRDefault="00F60D2E" w:rsidP="009D6931">
      <w:pPr>
        <w:spacing w:line="360" w:lineRule="auto"/>
        <w:ind w:firstLine="709"/>
        <w:jc w:val="both"/>
        <w:rPr>
          <w:rFonts w:asciiTheme="minorHAnsi" w:eastAsia="Calibri" w:hAnsiTheme="minorHAnsi" w:cstheme="minorHAnsi"/>
          <w:color w:val="FF0000"/>
          <w:sz w:val="24"/>
          <w:szCs w:val="24"/>
          <w:lang w:val="es-ES"/>
        </w:rPr>
      </w:pPr>
      <w:r w:rsidRPr="00A64FAB">
        <w:rPr>
          <w:rFonts w:asciiTheme="minorHAnsi" w:eastAsia="Calibri" w:hAnsiTheme="minorHAnsi" w:cstheme="minorHAnsi"/>
          <w:sz w:val="24"/>
          <w:szCs w:val="24"/>
          <w:lang w:val="es-ES"/>
        </w:rPr>
        <w:t xml:space="preserve">Esa hipótesis es reforzada con el hecho de la reducción, también de </w:t>
      </w:r>
      <w:r w:rsidR="00C960F6" w:rsidRPr="00A64FAB">
        <w:rPr>
          <w:rFonts w:asciiTheme="minorHAnsi" w:eastAsia="Calibri" w:hAnsiTheme="minorHAnsi" w:cstheme="minorHAnsi"/>
          <w:sz w:val="24"/>
          <w:szCs w:val="24"/>
          <w:lang w:val="es-ES"/>
        </w:rPr>
        <w:t xml:space="preserve">delitos de </w:t>
      </w:r>
      <w:r w:rsidR="00F4427E" w:rsidRPr="00A64FAB">
        <w:rPr>
          <w:rFonts w:asciiTheme="minorHAnsi" w:eastAsia="Calibri" w:hAnsiTheme="minorHAnsi" w:cstheme="minorHAnsi"/>
          <w:sz w:val="24"/>
          <w:szCs w:val="24"/>
          <w:lang w:val="es-ES"/>
        </w:rPr>
        <w:t>lesión corporal dolosa, cuyo registro demanda la presencia física de las víctimas (Disponible en:</w:t>
      </w:r>
      <w:r w:rsidR="00A64FAB" w:rsidRPr="00A64FAB">
        <w:rPr>
          <w:rFonts w:asciiTheme="minorHAnsi" w:eastAsia="Calibri" w:hAnsiTheme="minorHAnsi" w:cstheme="minorHAnsi"/>
          <w:sz w:val="24"/>
          <w:szCs w:val="24"/>
          <w:lang w:val="es-ES"/>
        </w:rPr>
        <w:t xml:space="preserve"> </w:t>
      </w:r>
      <w:hyperlink r:id="rId12" w:history="1">
        <w:r w:rsidR="00F4427E" w:rsidRPr="00A64FAB">
          <w:rPr>
            <w:rStyle w:val="Hyperlink"/>
            <w:rFonts w:asciiTheme="minorHAnsi" w:eastAsia="Calibri" w:hAnsiTheme="minorHAnsi" w:cstheme="minorHAnsi"/>
            <w:sz w:val="24"/>
            <w:szCs w:val="24"/>
            <w:lang w:val="es-ES"/>
          </w:rPr>
          <w:t>https://forumseguranca.org.br/wp-content/uploads/2020/06/violencia-domestica-covid-19-ed02-v5.pdf</w:t>
        </w:r>
      </w:hyperlink>
      <w:r w:rsidR="00F4427E" w:rsidRPr="00A64FAB">
        <w:rPr>
          <w:rFonts w:asciiTheme="minorHAnsi" w:eastAsia="Calibri" w:hAnsiTheme="minorHAnsi" w:cstheme="minorHAnsi"/>
          <w:sz w:val="24"/>
          <w:szCs w:val="24"/>
          <w:lang w:val="es-ES"/>
        </w:rPr>
        <w:t xml:space="preserve">) </w:t>
      </w:r>
    </w:p>
    <w:p w14:paraId="17E08188" w14:textId="547E6FD9" w:rsidR="00F4427E" w:rsidRPr="00A64FAB" w:rsidRDefault="00F4427E" w:rsidP="009D6931">
      <w:pPr>
        <w:spacing w:line="360" w:lineRule="auto"/>
        <w:ind w:firstLine="709"/>
        <w:jc w:val="both"/>
        <w:rPr>
          <w:rFonts w:asciiTheme="minorHAnsi" w:eastAsia="Calibri" w:hAnsiTheme="minorHAnsi" w:cstheme="minorHAnsi"/>
          <w:sz w:val="24"/>
          <w:szCs w:val="24"/>
          <w:lang w:val="es-ES"/>
        </w:rPr>
      </w:pPr>
      <w:r w:rsidRPr="00A64FAB">
        <w:rPr>
          <w:rFonts w:asciiTheme="minorHAnsi" w:eastAsia="Calibri" w:hAnsiTheme="minorHAnsi" w:cstheme="minorHAnsi"/>
          <w:sz w:val="24"/>
          <w:szCs w:val="24"/>
          <w:lang w:val="es-ES"/>
        </w:rPr>
        <w:t xml:space="preserve">Pese a los avances ocurridos a lo largo de los años (especialmente con la aprobación de la Ley </w:t>
      </w:r>
      <w:proofErr w:type="spellStart"/>
      <w:r w:rsidRPr="00A64FAB">
        <w:rPr>
          <w:rFonts w:asciiTheme="minorHAnsi" w:eastAsia="Calibri" w:hAnsiTheme="minorHAnsi" w:cstheme="minorHAnsi"/>
          <w:sz w:val="24"/>
          <w:szCs w:val="24"/>
          <w:lang w:val="es-ES"/>
        </w:rPr>
        <w:t>Maria</w:t>
      </w:r>
      <w:proofErr w:type="spellEnd"/>
      <w:r w:rsidRPr="00A64FAB">
        <w:rPr>
          <w:rFonts w:asciiTheme="minorHAnsi" w:eastAsia="Calibri" w:hAnsiTheme="minorHAnsi" w:cstheme="minorHAnsi"/>
          <w:sz w:val="24"/>
          <w:szCs w:val="24"/>
          <w:lang w:val="es-ES"/>
        </w:rPr>
        <w:t xml:space="preserve"> da </w:t>
      </w:r>
      <w:proofErr w:type="spellStart"/>
      <w:r w:rsidRPr="00A64FAB">
        <w:rPr>
          <w:rFonts w:asciiTheme="minorHAnsi" w:eastAsia="Calibri" w:hAnsiTheme="minorHAnsi" w:cstheme="minorHAnsi"/>
          <w:sz w:val="24"/>
          <w:szCs w:val="24"/>
          <w:lang w:val="es-ES"/>
        </w:rPr>
        <w:t>Penha</w:t>
      </w:r>
      <w:proofErr w:type="spellEnd"/>
      <w:r w:rsidRPr="00A64FAB">
        <w:rPr>
          <w:rFonts w:asciiTheme="minorHAnsi" w:eastAsia="Calibri" w:hAnsiTheme="minorHAnsi" w:cstheme="minorHAnsi"/>
          <w:sz w:val="24"/>
          <w:szCs w:val="24"/>
          <w:lang w:val="es-ES"/>
        </w:rPr>
        <w:t xml:space="preserve"> y</w:t>
      </w:r>
      <w:r w:rsidR="00DC35E5">
        <w:rPr>
          <w:rFonts w:asciiTheme="minorHAnsi" w:eastAsia="Calibri" w:hAnsiTheme="minorHAnsi" w:cstheme="minorHAnsi"/>
          <w:sz w:val="24"/>
          <w:szCs w:val="24"/>
          <w:lang w:val="es-ES"/>
        </w:rPr>
        <w:t xml:space="preserve"> de</w:t>
      </w:r>
      <w:r w:rsidRPr="00A64FAB">
        <w:rPr>
          <w:rFonts w:asciiTheme="minorHAnsi" w:eastAsia="Calibri" w:hAnsiTheme="minorHAnsi" w:cstheme="minorHAnsi"/>
          <w:sz w:val="24"/>
          <w:szCs w:val="24"/>
          <w:lang w:val="es-ES"/>
        </w:rPr>
        <w:t xml:space="preserve"> la Ley del Feminicidio), es posible también observar incontables retrocesos y, con ello, el refuerzo de una cultura de tolerancia a la violencia contra la mujer. La violencia institucional que se encuentra presente, de igual forma, en el judiciario, solidifica un daño colectivo a los derechos de las mujeres. </w:t>
      </w:r>
    </w:p>
    <w:p w14:paraId="420AE4AF" w14:textId="09C1B8EA" w:rsidR="00F4427E" w:rsidRPr="00A64FAB" w:rsidRDefault="00F4427E" w:rsidP="009D6931">
      <w:pPr>
        <w:spacing w:line="360" w:lineRule="auto"/>
        <w:ind w:firstLine="709"/>
        <w:jc w:val="both"/>
        <w:rPr>
          <w:rFonts w:asciiTheme="minorHAnsi" w:eastAsia="Calibri" w:hAnsiTheme="minorHAnsi" w:cstheme="minorHAnsi"/>
          <w:sz w:val="24"/>
          <w:szCs w:val="24"/>
          <w:lang w:val="es-ES"/>
        </w:rPr>
      </w:pPr>
      <w:r w:rsidRPr="00A64FAB">
        <w:rPr>
          <w:rFonts w:asciiTheme="minorHAnsi" w:eastAsia="Calibri" w:hAnsiTheme="minorHAnsi" w:cstheme="minorHAnsi"/>
          <w:sz w:val="24"/>
          <w:szCs w:val="24"/>
          <w:lang w:val="es-ES"/>
        </w:rPr>
        <w:t xml:space="preserve">En </w:t>
      </w:r>
      <w:r w:rsidR="00F23433" w:rsidRPr="00A64FAB">
        <w:rPr>
          <w:rFonts w:asciiTheme="minorHAnsi" w:eastAsia="Calibri" w:hAnsiTheme="minorHAnsi" w:cstheme="minorHAnsi"/>
          <w:sz w:val="24"/>
          <w:szCs w:val="24"/>
          <w:lang w:val="es-ES"/>
        </w:rPr>
        <w:t xml:space="preserve">un levantamiento realizado sobre las denuncias individuales en el sistema de peticiones en el Sistema Interamericano de Derechos Humanos, es posible observar que entre 1971 y 2020, trece casos se refieren, especialmente, a denuncias de violaciones de derechos humanos contra las mujeres. En 100% de esos casos, la denuncia indica una falla en la prestación de la justicia. En uno de esos casos – </w:t>
      </w:r>
      <w:proofErr w:type="spellStart"/>
      <w:r w:rsidR="00F23433" w:rsidRPr="00A64FAB">
        <w:rPr>
          <w:rFonts w:asciiTheme="minorHAnsi" w:eastAsia="Calibri" w:hAnsiTheme="minorHAnsi" w:cstheme="minorHAnsi"/>
          <w:sz w:val="24"/>
          <w:szCs w:val="24"/>
          <w:lang w:val="es-ES"/>
        </w:rPr>
        <w:t>Maria</w:t>
      </w:r>
      <w:proofErr w:type="spellEnd"/>
      <w:r w:rsidR="00F23433" w:rsidRPr="00A64FAB">
        <w:rPr>
          <w:rFonts w:asciiTheme="minorHAnsi" w:eastAsia="Calibri" w:hAnsiTheme="minorHAnsi" w:cstheme="minorHAnsi"/>
          <w:sz w:val="24"/>
          <w:szCs w:val="24"/>
          <w:lang w:val="es-ES"/>
        </w:rPr>
        <w:t xml:space="preserve"> da </w:t>
      </w:r>
      <w:proofErr w:type="spellStart"/>
      <w:r w:rsidR="00F23433" w:rsidRPr="00A64FAB">
        <w:rPr>
          <w:rFonts w:asciiTheme="minorHAnsi" w:eastAsia="Calibri" w:hAnsiTheme="minorHAnsi" w:cstheme="minorHAnsi"/>
          <w:sz w:val="24"/>
          <w:szCs w:val="24"/>
          <w:lang w:val="es-ES"/>
        </w:rPr>
        <w:t>Penha</w:t>
      </w:r>
      <w:proofErr w:type="spellEnd"/>
      <w:r w:rsidR="00F23433" w:rsidRPr="00A64FAB">
        <w:rPr>
          <w:rFonts w:asciiTheme="minorHAnsi" w:eastAsia="Calibri" w:hAnsiTheme="minorHAnsi" w:cstheme="minorHAnsi"/>
          <w:sz w:val="24"/>
          <w:szCs w:val="24"/>
          <w:lang w:val="es-ES"/>
        </w:rPr>
        <w:t xml:space="preserve"> </w:t>
      </w:r>
      <w:r w:rsidR="00F23433" w:rsidRPr="00A64FAB">
        <w:rPr>
          <w:rFonts w:asciiTheme="minorHAnsi" w:eastAsia="Calibri" w:hAnsiTheme="minorHAnsi" w:cstheme="minorHAnsi"/>
          <w:i/>
          <w:iCs/>
          <w:sz w:val="24"/>
          <w:szCs w:val="24"/>
          <w:lang w:val="es-ES"/>
        </w:rPr>
        <w:t>vs</w:t>
      </w:r>
      <w:r w:rsidR="00F23433" w:rsidRPr="00A64FAB">
        <w:rPr>
          <w:rFonts w:asciiTheme="minorHAnsi" w:eastAsia="Calibri" w:hAnsiTheme="minorHAnsi" w:cstheme="minorHAnsi"/>
          <w:sz w:val="24"/>
          <w:szCs w:val="24"/>
          <w:lang w:val="es-ES"/>
        </w:rPr>
        <w:t xml:space="preserve"> Brasil-, la denuncia alegaba la situación de extrema tolerancia del país con los casos de violencia doméstica. </w:t>
      </w:r>
    </w:p>
    <w:p w14:paraId="67DF8C99" w14:textId="1779B7A7" w:rsidR="00F23433" w:rsidRPr="00A64FAB" w:rsidRDefault="00F23433" w:rsidP="009D6931">
      <w:pPr>
        <w:spacing w:line="360" w:lineRule="auto"/>
        <w:ind w:firstLine="709"/>
        <w:jc w:val="both"/>
        <w:rPr>
          <w:rFonts w:asciiTheme="minorHAnsi" w:eastAsia="Calibri" w:hAnsiTheme="minorHAnsi" w:cstheme="minorHAnsi"/>
          <w:sz w:val="24"/>
          <w:szCs w:val="24"/>
          <w:lang w:val="es-ES"/>
        </w:rPr>
      </w:pPr>
      <w:r w:rsidRPr="00A64FAB">
        <w:rPr>
          <w:rFonts w:asciiTheme="minorHAnsi" w:eastAsia="Calibri" w:hAnsiTheme="minorHAnsi" w:cstheme="minorHAnsi"/>
          <w:sz w:val="24"/>
          <w:szCs w:val="24"/>
          <w:lang w:val="es-ES"/>
        </w:rPr>
        <w:lastRenderedPageBreak/>
        <w:t xml:space="preserve">La Comisión Interamericana de Derechos, admitió la denuncia y compuso recomendaciones que visaban el cumplimiento de los compromisos contraídos en los tratados internacionales que afirman la obligación de garantías como la debida diligencia, prevención, investigación, sanción y reparación justa y eficaz. </w:t>
      </w:r>
    </w:p>
    <w:p w14:paraId="33872FE6" w14:textId="0AAE4C21" w:rsidR="00F23433" w:rsidRPr="00A64FAB" w:rsidRDefault="00F23433" w:rsidP="009D6931">
      <w:pPr>
        <w:spacing w:line="360" w:lineRule="auto"/>
        <w:ind w:firstLine="709"/>
        <w:jc w:val="both"/>
        <w:rPr>
          <w:rFonts w:asciiTheme="minorHAnsi" w:eastAsia="Calibri" w:hAnsiTheme="minorHAnsi" w:cstheme="minorHAnsi"/>
          <w:sz w:val="24"/>
          <w:szCs w:val="24"/>
          <w:lang w:val="es-ES"/>
        </w:rPr>
      </w:pPr>
      <w:r w:rsidRPr="00A64FAB">
        <w:rPr>
          <w:rFonts w:asciiTheme="minorHAnsi" w:eastAsia="Calibri" w:hAnsiTheme="minorHAnsi" w:cstheme="minorHAnsi"/>
          <w:sz w:val="24"/>
          <w:szCs w:val="24"/>
          <w:lang w:val="es-ES"/>
        </w:rPr>
        <w:t xml:space="preserve">Sobre la tortura psicológica que las mujeres sufren cuando llevan sus verdugos a la justicia, los casos </w:t>
      </w:r>
      <w:r w:rsidR="008E7151" w:rsidRPr="00A64FAB">
        <w:rPr>
          <w:rFonts w:asciiTheme="minorHAnsi" w:eastAsia="Calibri" w:hAnsiTheme="minorHAnsi" w:cstheme="minorHAnsi"/>
          <w:sz w:val="24"/>
          <w:szCs w:val="24"/>
          <w:lang w:val="es-ES"/>
        </w:rPr>
        <w:t>Gutiérrez</w:t>
      </w:r>
      <w:r w:rsidRPr="00A64FAB">
        <w:rPr>
          <w:rFonts w:asciiTheme="minorHAnsi" w:eastAsia="Calibri" w:hAnsiTheme="minorHAnsi" w:cstheme="minorHAnsi"/>
          <w:sz w:val="24"/>
          <w:szCs w:val="24"/>
          <w:lang w:val="es-ES"/>
        </w:rPr>
        <w:t xml:space="preserve"> </w:t>
      </w:r>
      <w:r w:rsidR="008E7151" w:rsidRPr="00A64FAB">
        <w:rPr>
          <w:rFonts w:asciiTheme="minorHAnsi" w:eastAsia="Calibri" w:hAnsiTheme="minorHAnsi" w:cstheme="minorHAnsi"/>
          <w:sz w:val="24"/>
          <w:szCs w:val="24"/>
          <w:lang w:val="es-ES"/>
        </w:rPr>
        <w:t>Hernández</w:t>
      </w:r>
      <w:r w:rsidRPr="00A64FAB">
        <w:rPr>
          <w:rFonts w:asciiTheme="minorHAnsi" w:eastAsia="Calibri" w:hAnsiTheme="minorHAnsi" w:cstheme="minorHAnsi"/>
          <w:sz w:val="24"/>
          <w:szCs w:val="24"/>
          <w:lang w:val="es-ES"/>
        </w:rPr>
        <w:t xml:space="preserve"> </w:t>
      </w:r>
      <w:r w:rsidRPr="00A64FAB">
        <w:rPr>
          <w:rFonts w:asciiTheme="minorHAnsi" w:eastAsia="Calibri" w:hAnsiTheme="minorHAnsi" w:cstheme="minorHAnsi"/>
          <w:i/>
          <w:iCs/>
          <w:sz w:val="24"/>
          <w:szCs w:val="24"/>
          <w:lang w:val="es-ES"/>
        </w:rPr>
        <w:t>vs.</w:t>
      </w:r>
      <w:r w:rsidRPr="00A64FAB">
        <w:rPr>
          <w:rFonts w:asciiTheme="minorHAnsi" w:eastAsia="Calibri" w:hAnsiTheme="minorHAnsi" w:cstheme="minorHAnsi"/>
          <w:sz w:val="24"/>
          <w:szCs w:val="24"/>
          <w:lang w:val="es-ES"/>
        </w:rPr>
        <w:t xml:space="preserve"> Guatemala, Veliz Franco y otros </w:t>
      </w:r>
      <w:r w:rsidRPr="00A64FAB">
        <w:rPr>
          <w:rFonts w:asciiTheme="minorHAnsi" w:eastAsia="Calibri" w:hAnsiTheme="minorHAnsi" w:cstheme="minorHAnsi"/>
          <w:i/>
          <w:iCs/>
          <w:sz w:val="24"/>
          <w:szCs w:val="24"/>
          <w:lang w:val="es-ES"/>
        </w:rPr>
        <w:t>vs</w:t>
      </w:r>
      <w:r w:rsidRPr="00A64FAB">
        <w:rPr>
          <w:rFonts w:asciiTheme="minorHAnsi" w:eastAsia="Calibri" w:hAnsiTheme="minorHAnsi" w:cstheme="minorHAnsi"/>
          <w:sz w:val="24"/>
          <w:szCs w:val="24"/>
          <w:lang w:val="es-ES"/>
        </w:rPr>
        <w:t xml:space="preserve">. Guatemala, </w:t>
      </w:r>
      <w:r w:rsidR="008E7151" w:rsidRPr="00A64FAB">
        <w:rPr>
          <w:rFonts w:asciiTheme="minorHAnsi" w:eastAsia="Calibri" w:hAnsiTheme="minorHAnsi" w:cstheme="minorHAnsi"/>
          <w:sz w:val="24"/>
          <w:szCs w:val="24"/>
          <w:lang w:val="es-ES"/>
        </w:rPr>
        <w:t>Velázquez</w:t>
      </w:r>
      <w:r w:rsidRPr="00A64FAB">
        <w:rPr>
          <w:rFonts w:asciiTheme="minorHAnsi" w:eastAsia="Calibri" w:hAnsiTheme="minorHAnsi" w:cstheme="minorHAnsi"/>
          <w:sz w:val="24"/>
          <w:szCs w:val="24"/>
          <w:lang w:val="es-ES"/>
        </w:rPr>
        <w:t xml:space="preserve"> Paiz </w:t>
      </w:r>
      <w:r w:rsidRPr="00A64FAB">
        <w:rPr>
          <w:rFonts w:asciiTheme="minorHAnsi" w:eastAsia="Calibri" w:hAnsiTheme="minorHAnsi" w:cstheme="minorHAnsi"/>
          <w:i/>
          <w:iCs/>
          <w:sz w:val="24"/>
          <w:szCs w:val="24"/>
          <w:lang w:val="es-ES"/>
        </w:rPr>
        <w:t>vs.</w:t>
      </w:r>
      <w:r w:rsidRPr="00A64FAB">
        <w:rPr>
          <w:rFonts w:asciiTheme="minorHAnsi" w:eastAsia="Calibri" w:hAnsiTheme="minorHAnsi" w:cstheme="minorHAnsi"/>
          <w:sz w:val="24"/>
          <w:szCs w:val="24"/>
          <w:lang w:val="es-ES"/>
        </w:rPr>
        <w:t xml:space="preserve"> Guatemala</w:t>
      </w:r>
      <w:r w:rsidR="00AB1BB9">
        <w:rPr>
          <w:rFonts w:asciiTheme="minorHAnsi" w:eastAsia="Calibri" w:hAnsiTheme="minorHAnsi" w:cstheme="minorHAnsi"/>
          <w:sz w:val="24"/>
          <w:szCs w:val="24"/>
          <w:lang w:val="es-ES"/>
        </w:rPr>
        <w:t>,</w:t>
      </w:r>
      <w:r w:rsidRPr="00A64FAB">
        <w:rPr>
          <w:rFonts w:asciiTheme="minorHAnsi" w:eastAsia="Calibri" w:hAnsiTheme="minorHAnsi" w:cstheme="minorHAnsi"/>
          <w:sz w:val="24"/>
          <w:szCs w:val="24"/>
          <w:lang w:val="es-ES"/>
        </w:rPr>
        <w:t xml:space="preserve"> juzgados por la Corte Interamericana de Derechos Humanos</w:t>
      </w:r>
      <w:r w:rsidR="00AB1BB9">
        <w:rPr>
          <w:rFonts w:asciiTheme="minorHAnsi" w:eastAsia="Calibri" w:hAnsiTheme="minorHAnsi" w:cstheme="minorHAnsi"/>
          <w:sz w:val="24"/>
          <w:szCs w:val="24"/>
          <w:lang w:val="es-ES"/>
        </w:rPr>
        <w:t>,</w:t>
      </w:r>
      <w:r w:rsidRPr="00A64FAB">
        <w:rPr>
          <w:rFonts w:asciiTheme="minorHAnsi" w:eastAsia="Calibri" w:hAnsiTheme="minorHAnsi" w:cstheme="minorHAnsi"/>
          <w:sz w:val="24"/>
          <w:szCs w:val="24"/>
          <w:lang w:val="es-ES"/>
        </w:rPr>
        <w:t xml:space="preserve"> consolidan el entendimiento de que pruebas sobre antecedentes s</w:t>
      </w:r>
      <w:r w:rsidR="008E7151" w:rsidRPr="00A64FAB">
        <w:rPr>
          <w:rFonts w:asciiTheme="minorHAnsi" w:eastAsia="Calibri" w:hAnsiTheme="minorHAnsi" w:cstheme="minorHAnsi"/>
          <w:sz w:val="24"/>
          <w:szCs w:val="24"/>
          <w:lang w:val="es-ES"/>
        </w:rPr>
        <w:t xml:space="preserve">exuales de las víctimas son inadmisibles y representan patrones socioculturales discriminatorios y que tiene como resultado la repetición de actos de violencia contra las mujeres. </w:t>
      </w:r>
    </w:p>
    <w:p w14:paraId="38814805" w14:textId="089679DF" w:rsidR="008E7151" w:rsidRPr="00A64FAB" w:rsidRDefault="008E7151" w:rsidP="009D6931">
      <w:pPr>
        <w:spacing w:line="360" w:lineRule="auto"/>
        <w:ind w:firstLine="709"/>
        <w:jc w:val="both"/>
        <w:rPr>
          <w:rFonts w:asciiTheme="minorHAnsi" w:eastAsia="Calibri" w:hAnsiTheme="minorHAnsi" w:cstheme="minorHAnsi"/>
          <w:sz w:val="24"/>
          <w:szCs w:val="24"/>
          <w:lang w:val="es-ES"/>
        </w:rPr>
      </w:pPr>
      <w:r w:rsidRPr="00A64FAB">
        <w:rPr>
          <w:rFonts w:asciiTheme="minorHAnsi" w:eastAsia="Calibri" w:hAnsiTheme="minorHAnsi" w:cstheme="minorHAnsi"/>
          <w:sz w:val="24"/>
          <w:szCs w:val="24"/>
          <w:lang w:val="es-ES"/>
        </w:rPr>
        <w:t xml:space="preserve">En 2007, el Comité CEDAW recomendó que Brasil criase juzgados especiales al respecto de la violencia contra la mujer, ensalzados por la Ley </w:t>
      </w:r>
      <w:proofErr w:type="spellStart"/>
      <w:r w:rsidRPr="00A64FAB">
        <w:rPr>
          <w:rFonts w:asciiTheme="minorHAnsi" w:eastAsia="Calibri" w:hAnsiTheme="minorHAnsi" w:cstheme="minorHAnsi"/>
          <w:sz w:val="24"/>
          <w:szCs w:val="24"/>
          <w:lang w:val="es-ES"/>
        </w:rPr>
        <w:t>Maria</w:t>
      </w:r>
      <w:proofErr w:type="spellEnd"/>
      <w:r w:rsidRPr="00A64FAB">
        <w:rPr>
          <w:rFonts w:asciiTheme="minorHAnsi" w:eastAsia="Calibri" w:hAnsiTheme="minorHAnsi" w:cstheme="minorHAnsi"/>
          <w:sz w:val="24"/>
          <w:szCs w:val="24"/>
          <w:lang w:val="es-ES"/>
        </w:rPr>
        <w:t xml:space="preserve"> da </w:t>
      </w:r>
      <w:proofErr w:type="spellStart"/>
      <w:r w:rsidRPr="00A64FAB">
        <w:rPr>
          <w:rFonts w:asciiTheme="minorHAnsi" w:eastAsia="Calibri" w:hAnsiTheme="minorHAnsi" w:cstheme="minorHAnsi"/>
          <w:sz w:val="24"/>
          <w:szCs w:val="24"/>
          <w:lang w:val="es-ES"/>
        </w:rPr>
        <w:t>Penha</w:t>
      </w:r>
      <w:proofErr w:type="spellEnd"/>
      <w:r w:rsidRPr="00A64FAB">
        <w:rPr>
          <w:rFonts w:asciiTheme="minorHAnsi" w:eastAsia="Calibri" w:hAnsiTheme="minorHAnsi" w:cstheme="minorHAnsi"/>
          <w:sz w:val="24"/>
          <w:szCs w:val="24"/>
          <w:lang w:val="es-ES"/>
        </w:rPr>
        <w:t xml:space="preserve"> en su artículo 14. Conforme el Consejo Nacional de Justicia, hasta el año 2019, se criaron 131 secciones especializadas en violencia doméstica, aunque el número permanece siendo escaso frente a la demanda, sin alcanzar, por ejemplo, a las mujeres de las zonas rurales, indígenas y negras. Además, esos juzgados no comprenden los crímenes sexuales que están fuera del contexto de la violencia doméstica. </w:t>
      </w:r>
    </w:p>
    <w:p w14:paraId="707AEC52" w14:textId="689B4721" w:rsidR="008E7151" w:rsidRPr="00A64FAB" w:rsidRDefault="008E7151" w:rsidP="009D6931">
      <w:pPr>
        <w:spacing w:line="360" w:lineRule="auto"/>
        <w:ind w:firstLine="709"/>
        <w:jc w:val="both"/>
        <w:rPr>
          <w:rFonts w:asciiTheme="minorHAnsi" w:eastAsia="Calibri" w:hAnsiTheme="minorHAnsi" w:cstheme="minorHAnsi"/>
          <w:sz w:val="24"/>
          <w:szCs w:val="24"/>
          <w:lang w:val="es-ES"/>
        </w:rPr>
      </w:pPr>
      <w:r w:rsidRPr="00A64FAB">
        <w:rPr>
          <w:rFonts w:asciiTheme="minorHAnsi" w:hAnsiTheme="minorHAnsi" w:cstheme="minorHAnsi"/>
          <w:sz w:val="24"/>
          <w:szCs w:val="24"/>
          <w:lang w:val="es-ES" w:eastAsia="pt-BR"/>
        </w:rPr>
        <w:t>El 5</w:t>
      </w:r>
      <w:r w:rsidR="001C1215" w:rsidRPr="00A64FAB">
        <w:rPr>
          <w:rFonts w:asciiTheme="minorHAnsi" w:eastAsia="Calibri" w:hAnsiTheme="minorHAnsi" w:cstheme="minorHAnsi"/>
          <w:sz w:val="24"/>
          <w:szCs w:val="24"/>
          <w:lang w:val="es-ES"/>
        </w:rPr>
        <w:t xml:space="preserve">º Periodo de Secciones del Comité de la CEDAW, en 2012, registró preocupación con la resistencia de diversos sectores de la justicia </w:t>
      </w:r>
      <w:proofErr w:type="gramStart"/>
      <w:r w:rsidR="001C1215" w:rsidRPr="00A64FAB">
        <w:rPr>
          <w:rFonts w:asciiTheme="minorHAnsi" w:eastAsia="Calibri" w:hAnsiTheme="minorHAnsi" w:cstheme="minorHAnsi"/>
          <w:sz w:val="24"/>
          <w:szCs w:val="24"/>
          <w:lang w:val="es-ES"/>
        </w:rPr>
        <w:t>en relación a</w:t>
      </w:r>
      <w:proofErr w:type="gramEnd"/>
      <w:r w:rsidR="001C1215" w:rsidRPr="00A64FAB">
        <w:rPr>
          <w:rFonts w:asciiTheme="minorHAnsi" w:eastAsia="Calibri" w:hAnsiTheme="minorHAnsi" w:cstheme="minorHAnsi"/>
          <w:sz w:val="24"/>
          <w:szCs w:val="24"/>
          <w:lang w:val="es-ES"/>
        </w:rPr>
        <w:t xml:space="preserve"> la aplicación de la Ley </w:t>
      </w:r>
      <w:proofErr w:type="spellStart"/>
      <w:r w:rsidR="001C1215" w:rsidRPr="00A64FAB">
        <w:rPr>
          <w:rFonts w:asciiTheme="minorHAnsi" w:eastAsia="Calibri" w:hAnsiTheme="minorHAnsi" w:cstheme="minorHAnsi"/>
          <w:sz w:val="24"/>
          <w:szCs w:val="24"/>
          <w:lang w:val="es-ES"/>
        </w:rPr>
        <w:t>Maria</w:t>
      </w:r>
      <w:proofErr w:type="spellEnd"/>
      <w:r w:rsidR="001C1215" w:rsidRPr="00A64FAB">
        <w:rPr>
          <w:rFonts w:asciiTheme="minorHAnsi" w:eastAsia="Calibri" w:hAnsiTheme="minorHAnsi" w:cstheme="minorHAnsi"/>
          <w:sz w:val="24"/>
          <w:szCs w:val="24"/>
          <w:lang w:val="es-ES"/>
        </w:rPr>
        <w:t xml:space="preserve"> da </w:t>
      </w:r>
      <w:proofErr w:type="spellStart"/>
      <w:r w:rsidR="001C1215" w:rsidRPr="00A64FAB">
        <w:rPr>
          <w:rFonts w:asciiTheme="minorHAnsi" w:eastAsia="Calibri" w:hAnsiTheme="minorHAnsi" w:cstheme="minorHAnsi"/>
          <w:sz w:val="24"/>
          <w:szCs w:val="24"/>
          <w:lang w:val="es-ES"/>
        </w:rPr>
        <w:t>Penha</w:t>
      </w:r>
      <w:proofErr w:type="spellEnd"/>
      <w:r w:rsidR="001C1215" w:rsidRPr="00A64FAB">
        <w:rPr>
          <w:rFonts w:asciiTheme="minorHAnsi" w:eastAsia="Calibri" w:hAnsiTheme="minorHAnsi" w:cstheme="minorHAnsi"/>
          <w:sz w:val="24"/>
          <w:szCs w:val="24"/>
          <w:lang w:val="es-ES"/>
        </w:rPr>
        <w:t xml:space="preserve"> (Ley 11340), especialmente, a nivel local. Instó al Estado Brasileño a realizar la capacitación sistemática </w:t>
      </w:r>
      <w:r w:rsidR="00957294">
        <w:rPr>
          <w:rFonts w:asciiTheme="minorHAnsi" w:eastAsia="Calibri" w:hAnsiTheme="minorHAnsi" w:cstheme="minorHAnsi"/>
          <w:sz w:val="24"/>
          <w:szCs w:val="24"/>
          <w:lang w:val="es-ES"/>
        </w:rPr>
        <w:t>de</w:t>
      </w:r>
      <w:r w:rsidR="001C1215" w:rsidRPr="00A64FAB">
        <w:rPr>
          <w:rFonts w:asciiTheme="minorHAnsi" w:eastAsia="Calibri" w:hAnsiTheme="minorHAnsi" w:cstheme="minorHAnsi"/>
          <w:sz w:val="24"/>
          <w:szCs w:val="24"/>
          <w:lang w:val="es-ES"/>
        </w:rPr>
        <w:t xml:space="preserve"> los jueces, promotores y abogados en lo referente a los derechos de la mujer y la violencia contra ella. También insistió para el fortalecimiento del Sistema Judicial para facilitar el acceso de las mujeres a la justicia, aumentando el número de tribunales que entiendan sobre casos relacionados con la violencia doméstica y familiar, como los de jueces especialistas en estos asuntos. </w:t>
      </w:r>
    </w:p>
    <w:p w14:paraId="5BA0ED36" w14:textId="31F6C66B" w:rsidR="001C1215" w:rsidRPr="00A64FAB" w:rsidRDefault="001C1215" w:rsidP="009D6931">
      <w:pPr>
        <w:spacing w:line="360" w:lineRule="auto"/>
        <w:ind w:firstLine="709"/>
        <w:jc w:val="both"/>
        <w:rPr>
          <w:rFonts w:asciiTheme="minorHAnsi" w:hAnsiTheme="minorHAnsi" w:cstheme="minorHAnsi"/>
          <w:sz w:val="24"/>
          <w:szCs w:val="24"/>
          <w:lang w:val="es-ES" w:eastAsia="pt-BR"/>
        </w:rPr>
      </w:pPr>
      <w:r w:rsidRPr="00A64FAB">
        <w:rPr>
          <w:rFonts w:asciiTheme="minorHAnsi" w:hAnsiTheme="minorHAnsi" w:cstheme="minorHAnsi"/>
          <w:sz w:val="24"/>
          <w:szCs w:val="24"/>
          <w:lang w:val="es-ES" w:eastAsia="pt-BR"/>
        </w:rPr>
        <w:t xml:space="preserve">El 3 de agosto de 2015, el Comité de la CEDAW, en la Recomendación General </w:t>
      </w:r>
      <w:proofErr w:type="spellStart"/>
      <w:r w:rsidRPr="00A64FAB">
        <w:rPr>
          <w:rFonts w:asciiTheme="minorHAnsi" w:hAnsiTheme="minorHAnsi" w:cstheme="minorHAnsi"/>
          <w:sz w:val="24"/>
          <w:szCs w:val="24"/>
          <w:lang w:val="es-ES" w:eastAsia="pt-BR"/>
        </w:rPr>
        <w:t>nº</w:t>
      </w:r>
      <w:proofErr w:type="spellEnd"/>
      <w:r w:rsidRPr="00A64FAB">
        <w:rPr>
          <w:rFonts w:asciiTheme="minorHAnsi" w:hAnsiTheme="minorHAnsi" w:cstheme="minorHAnsi"/>
          <w:sz w:val="24"/>
          <w:szCs w:val="24"/>
          <w:lang w:val="es-ES" w:eastAsia="pt-BR"/>
        </w:rPr>
        <w:t xml:space="preserve"> 33, reconoce los obstáculos estructurales del acceso de las mujeres a la justicia y </w:t>
      </w:r>
      <w:r w:rsidR="00D937DE" w:rsidRPr="00A64FAB">
        <w:rPr>
          <w:rFonts w:asciiTheme="minorHAnsi" w:hAnsiTheme="minorHAnsi" w:cstheme="minorHAnsi"/>
          <w:sz w:val="24"/>
          <w:szCs w:val="24"/>
          <w:lang w:val="es-ES" w:eastAsia="pt-BR"/>
        </w:rPr>
        <w:t>enumera factores</w:t>
      </w:r>
      <w:r w:rsidRPr="00A64FAB">
        <w:rPr>
          <w:rFonts w:asciiTheme="minorHAnsi" w:hAnsiTheme="minorHAnsi" w:cstheme="minorHAnsi"/>
          <w:sz w:val="24"/>
          <w:szCs w:val="24"/>
          <w:lang w:val="es-ES" w:eastAsia="pt-BR"/>
        </w:rPr>
        <w:t xml:space="preserve"> como “estereotipos de género, leyes discriminatorias, normas culturales nocivas y patriarcales, discriminación intersectorial o compuesta, requisitos, procedimientos y prácticas en </w:t>
      </w:r>
      <w:r w:rsidR="00D937DE" w:rsidRPr="00A64FAB">
        <w:rPr>
          <w:rFonts w:asciiTheme="minorHAnsi" w:hAnsiTheme="minorHAnsi" w:cstheme="minorHAnsi"/>
          <w:sz w:val="24"/>
          <w:szCs w:val="24"/>
          <w:lang w:val="es-ES" w:eastAsia="pt-BR"/>
        </w:rPr>
        <w:t xml:space="preserve">materia probatoria, y el fallo en, sistemáticamente, garantizar que los </w:t>
      </w:r>
      <w:r w:rsidR="00D937DE" w:rsidRPr="00A64FAB">
        <w:rPr>
          <w:rFonts w:asciiTheme="minorHAnsi" w:hAnsiTheme="minorHAnsi" w:cstheme="minorHAnsi"/>
          <w:sz w:val="24"/>
          <w:szCs w:val="24"/>
          <w:lang w:val="es-ES" w:eastAsia="pt-BR"/>
        </w:rPr>
        <w:lastRenderedPageBreak/>
        <w:t xml:space="preserve">mecanismos judiciales, físicos, económicos y culturales son accesibles a todas las mujeres” (p.3).  </w:t>
      </w:r>
    </w:p>
    <w:p w14:paraId="6326CF5C" w14:textId="326DBAAD" w:rsidR="00D937DE" w:rsidRPr="00A64FAB" w:rsidRDefault="00D937DE" w:rsidP="009D6931">
      <w:pPr>
        <w:spacing w:line="360" w:lineRule="auto"/>
        <w:ind w:firstLine="709"/>
        <w:jc w:val="both"/>
        <w:rPr>
          <w:rFonts w:asciiTheme="minorHAnsi" w:hAnsiTheme="minorHAnsi" w:cstheme="minorHAnsi"/>
          <w:sz w:val="24"/>
          <w:szCs w:val="24"/>
          <w:lang w:val="es-ES" w:eastAsia="pt-BR"/>
        </w:rPr>
      </w:pPr>
      <w:r w:rsidRPr="00A64FAB">
        <w:rPr>
          <w:rFonts w:asciiTheme="minorHAnsi" w:hAnsiTheme="minorHAnsi" w:cstheme="minorHAnsi"/>
          <w:sz w:val="24"/>
          <w:szCs w:val="24"/>
          <w:lang w:val="es-ES" w:eastAsia="pt-BR"/>
        </w:rPr>
        <w:t xml:space="preserve">Se sugiere que </w:t>
      </w:r>
      <w:r w:rsidR="00A64FAB" w:rsidRPr="00A64FAB">
        <w:rPr>
          <w:rFonts w:asciiTheme="minorHAnsi" w:hAnsiTheme="minorHAnsi" w:cstheme="minorHAnsi"/>
          <w:sz w:val="24"/>
          <w:szCs w:val="24"/>
          <w:lang w:val="es-ES" w:eastAsia="pt-BR"/>
        </w:rPr>
        <w:t>una forma de contemplar las recomendaciones de la CEDAW en el combate a la violencia institucional en el ámbito judiciario</w:t>
      </w:r>
      <w:r w:rsidR="00CE46D3">
        <w:rPr>
          <w:rFonts w:asciiTheme="minorHAnsi" w:hAnsiTheme="minorHAnsi" w:cstheme="minorHAnsi"/>
          <w:sz w:val="24"/>
          <w:szCs w:val="24"/>
          <w:lang w:val="es-ES" w:eastAsia="pt-BR"/>
        </w:rPr>
        <w:t xml:space="preserve"> </w:t>
      </w:r>
      <w:r w:rsidR="00A64FAB" w:rsidRPr="00A64FAB">
        <w:rPr>
          <w:rFonts w:asciiTheme="minorHAnsi" w:hAnsiTheme="minorHAnsi" w:cstheme="minorHAnsi"/>
          <w:sz w:val="24"/>
          <w:szCs w:val="24"/>
          <w:lang w:val="es-ES" w:eastAsia="pt-BR"/>
        </w:rPr>
        <w:t xml:space="preserve">es la creación de una justicia especializada y con competencia exclusiva. La creación de tal equipamiento permitirá la efectiva implementación de recomendaciones ya reiteradas a Brasil sobre el acceso de las mujeres a la justicia. </w:t>
      </w:r>
    </w:p>
    <w:p w14:paraId="00C5AAFC" w14:textId="5FFC372D" w:rsidR="00A64FAB" w:rsidRDefault="00A64FAB" w:rsidP="009D6931">
      <w:pPr>
        <w:spacing w:line="360" w:lineRule="auto"/>
        <w:ind w:firstLine="709"/>
        <w:jc w:val="both"/>
        <w:rPr>
          <w:rFonts w:asciiTheme="minorHAnsi" w:hAnsiTheme="minorHAnsi" w:cstheme="minorHAnsi"/>
          <w:sz w:val="24"/>
          <w:szCs w:val="24"/>
          <w:lang w:val="es-ES" w:eastAsia="pt-BR"/>
        </w:rPr>
      </w:pPr>
      <w:r w:rsidRPr="00A64FAB">
        <w:rPr>
          <w:rFonts w:asciiTheme="minorHAnsi" w:hAnsiTheme="minorHAnsi" w:cstheme="minorHAnsi"/>
          <w:sz w:val="24"/>
          <w:szCs w:val="24"/>
          <w:lang w:val="es-ES" w:eastAsia="pt-BR"/>
        </w:rPr>
        <w:t xml:space="preserve">Al instituir una sección especializada en crímenes de violencia doméstica, pero que también sea capaz de atender casos de violencia sexual y de feminicidio, es posible garantizar un sistema probatorio adecuado con escucha especializada, y con profesionales y equipos multiprofesionales capacitados. Y, de este modo, equiparar las desigualdades estructurales entre hombres y mujeres observadas en el campo jurídico. </w:t>
      </w:r>
    </w:p>
    <w:p w14:paraId="7A18D288" w14:textId="362EA8CB" w:rsidR="00CC3D95" w:rsidRDefault="00A64FAB" w:rsidP="009D6931">
      <w:pPr>
        <w:spacing w:line="360" w:lineRule="auto"/>
        <w:ind w:firstLine="709"/>
        <w:jc w:val="both"/>
        <w:rPr>
          <w:rFonts w:asciiTheme="minorHAnsi" w:hAnsiTheme="minorHAnsi" w:cstheme="minorHAnsi"/>
          <w:sz w:val="24"/>
          <w:szCs w:val="24"/>
          <w:lang w:val="es-ES" w:eastAsia="pt-BR"/>
        </w:rPr>
      </w:pPr>
      <w:r w:rsidRPr="00A64FAB">
        <w:rPr>
          <w:rFonts w:asciiTheme="minorHAnsi" w:hAnsiTheme="minorHAnsi" w:cstheme="minorHAnsi"/>
          <w:sz w:val="24"/>
          <w:szCs w:val="24"/>
          <w:lang w:val="es-ES" w:eastAsia="pt-BR"/>
        </w:rPr>
        <w:t xml:space="preserve">Además, es importante la creación de acciones que afirmen la imprescriptibilidad de los crímenes de feminicidio, reparaciones para mujeres víctimas de violencia institucional en procesos en el judiciario y, también, la reparación de mujeres revictimizadas por la impunidad en los casos de absolución justificadas por la tesis de legítima defensa de la honra. </w:t>
      </w:r>
    </w:p>
    <w:p w14:paraId="370E3FA6" w14:textId="5815CBE5" w:rsidR="00715560" w:rsidRDefault="00715560" w:rsidP="009D6931">
      <w:pPr>
        <w:spacing w:line="360" w:lineRule="auto"/>
        <w:ind w:firstLine="709"/>
        <w:jc w:val="both"/>
        <w:rPr>
          <w:rFonts w:asciiTheme="minorHAnsi" w:hAnsiTheme="minorHAnsi" w:cstheme="minorHAnsi"/>
          <w:sz w:val="24"/>
          <w:szCs w:val="24"/>
          <w:lang w:val="es-ES" w:eastAsia="pt-BR"/>
        </w:rPr>
      </w:pPr>
      <w:r w:rsidRPr="00715560">
        <w:rPr>
          <w:rFonts w:ascii="Calibri" w:eastAsia="Calibri" w:hAnsi="Calibri" w:cs="Calibri"/>
          <w:noProof/>
          <w:sz w:val="24"/>
          <w:szCs w:val="24"/>
        </w:rPr>
        <w:drawing>
          <wp:inline distT="0" distB="0" distL="0" distR="0" wp14:anchorId="573BEE9A" wp14:editId="28ED2C73">
            <wp:extent cx="5549900" cy="3307080"/>
            <wp:effectExtent l="0" t="0" r="0" b="762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49900" cy="3307080"/>
                    </a:xfrm>
                    <a:prstGeom prst="rect">
                      <a:avLst/>
                    </a:prstGeom>
                    <a:noFill/>
                    <a:ln>
                      <a:noFill/>
                    </a:ln>
                  </pic:spPr>
                </pic:pic>
              </a:graphicData>
            </a:graphic>
          </wp:inline>
        </w:drawing>
      </w:r>
    </w:p>
    <w:sectPr w:rsidR="00715560" w:rsidSect="00715560">
      <w:headerReference w:type="default" r:id="rId14"/>
      <w:footerReference w:type="default" r:id="rId15"/>
      <w:type w:val="continuous"/>
      <w:pgSz w:w="11920" w:h="16840"/>
      <w:pgMar w:top="1880" w:right="1580" w:bottom="280" w:left="1600" w:header="1984"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1BFB26" w14:textId="77777777" w:rsidR="00DB47F6" w:rsidRDefault="00DB47F6">
      <w:r>
        <w:separator/>
      </w:r>
    </w:p>
  </w:endnote>
  <w:endnote w:type="continuationSeparator" w:id="0">
    <w:p w14:paraId="4C63A245" w14:textId="77777777" w:rsidR="00DB47F6" w:rsidRDefault="00DB4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60E994" w14:textId="77777777" w:rsidR="00CC3D95" w:rsidRDefault="00DB47F6">
    <w:pPr>
      <w:spacing w:line="200" w:lineRule="exact"/>
    </w:pPr>
    <w:r>
      <w:pict w14:anchorId="23085472">
        <v:shapetype id="_x0000_t202" coordsize="21600,21600" o:spt="202" path="m,l,21600r21600,l21600,xe">
          <v:stroke joinstyle="miter"/>
          <v:path gradientshapeok="t" o:connecttype="rect"/>
        </v:shapetype>
        <v:shape id="_x0000_s2049" type="#_x0000_t202" style="position:absolute;margin-left:99.6pt;margin-top:778.5pt;width:396.3pt;height:19.15pt;z-index:-251657728;mso-position-horizontal-relative:page;mso-position-vertical-relative:page" filled="f" stroked="f">
          <v:textbox style="mso-next-textbox:#_x0000_s2049" inset="0,0,0,0">
            <w:txbxContent>
              <w:p w14:paraId="40769257" w14:textId="77777777" w:rsidR="00CC3D95" w:rsidRPr="00085DFD" w:rsidRDefault="00DB110E">
                <w:pPr>
                  <w:ind w:left="2650" w:right="2652"/>
                  <w:jc w:val="center"/>
                  <w:rPr>
                    <w:rFonts w:ascii="Arial" w:eastAsia="Arial" w:hAnsi="Arial" w:cs="Arial"/>
                    <w:sz w:val="16"/>
                    <w:szCs w:val="16"/>
                    <w:lang w:val="pt-BR"/>
                  </w:rPr>
                </w:pPr>
                <w:r w:rsidRPr="00085DFD">
                  <w:rPr>
                    <w:rFonts w:ascii="Arial" w:eastAsia="Arial" w:hAnsi="Arial" w:cs="Arial"/>
                    <w:color w:val="212121"/>
                    <w:sz w:val="16"/>
                    <w:szCs w:val="16"/>
                    <w:lang w:val="pt-BR"/>
                  </w:rPr>
                  <w:t>Universidade Federal de Uberlândia</w:t>
                </w:r>
              </w:p>
              <w:p w14:paraId="1FD8E548" w14:textId="77777777" w:rsidR="00CC3D95" w:rsidRPr="00085DFD" w:rsidRDefault="00DB110E">
                <w:pPr>
                  <w:spacing w:line="180" w:lineRule="exact"/>
                  <w:ind w:left="-12" w:right="-12"/>
                  <w:jc w:val="center"/>
                  <w:rPr>
                    <w:rFonts w:ascii="Arial" w:eastAsia="Arial" w:hAnsi="Arial" w:cs="Arial"/>
                    <w:sz w:val="16"/>
                    <w:szCs w:val="16"/>
                    <w:lang w:val="pt-BR"/>
                  </w:rPr>
                </w:pPr>
                <w:r w:rsidRPr="00085DFD">
                  <w:rPr>
                    <w:rFonts w:ascii="Arial" w:eastAsia="Arial" w:hAnsi="Arial" w:cs="Arial"/>
                    <w:color w:val="212121"/>
                    <w:sz w:val="16"/>
                    <w:szCs w:val="16"/>
                    <w:lang w:val="pt-BR"/>
                  </w:rPr>
                  <w:t>Avenida João Naves de Ávila, 2121, Bloco 1J, Bairro: Santa Mônica, CEP: 38.400-902, Uberlândia - MG, Brasil</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894EAD" w14:textId="77777777" w:rsidR="00DB47F6" w:rsidRDefault="00DB47F6">
      <w:r>
        <w:separator/>
      </w:r>
    </w:p>
  </w:footnote>
  <w:footnote w:type="continuationSeparator" w:id="0">
    <w:p w14:paraId="60CE690B" w14:textId="77777777" w:rsidR="00DB47F6" w:rsidRDefault="00DB47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CEC85F" w14:textId="77777777" w:rsidR="00CC3D95" w:rsidRDefault="00DB47F6">
    <w:pPr>
      <w:spacing w:line="200" w:lineRule="exact"/>
    </w:pPr>
    <w:r>
      <w:pict w14:anchorId="6D81C7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88.05pt;margin-top:34.65pt;width:59.25pt;height:59.25pt;z-index:-251659776;mso-position-horizontal-relative:page;mso-position-vertical-relative:page">
          <v:imagedata r:id="rId1" o:title=""/>
          <w10:wrap anchorx="page" anchory="page"/>
        </v:shape>
      </w:pict>
    </w:r>
    <w:r>
      <w:pict w14:anchorId="26CD0A13">
        <v:shapetype id="_x0000_t202" coordsize="21600,21600" o:spt="202" path="m,l,21600r21600,l21600,xe">
          <v:stroke joinstyle="miter"/>
          <v:path gradientshapeok="t" o:connecttype="rect"/>
        </v:shapetype>
        <v:shape id="_x0000_s2050" type="#_x0000_t202" style="position:absolute;margin-left:160.4pt;margin-top:51.45pt;width:309.9pt;height:43.3pt;z-index:-251658752;mso-position-horizontal-relative:page;mso-position-vertical-relative:page" filled="f" stroked="f">
          <v:textbox style="mso-next-textbox:#_x0000_s2050" inset="0,0,0,0">
            <w:txbxContent>
              <w:p w14:paraId="119C4F37" w14:textId="77777777" w:rsidR="00CC3D95" w:rsidRPr="00085DFD" w:rsidRDefault="00DB110E">
                <w:pPr>
                  <w:spacing w:line="260" w:lineRule="exact"/>
                  <w:ind w:left="20"/>
                  <w:rPr>
                    <w:rFonts w:ascii="Calibri" w:eastAsia="Calibri" w:hAnsi="Calibri" w:cs="Calibri"/>
                    <w:sz w:val="24"/>
                    <w:szCs w:val="24"/>
                    <w:lang w:val="pt-BR"/>
                  </w:rPr>
                </w:pPr>
                <w:r w:rsidRPr="00085DFD">
                  <w:rPr>
                    <w:rFonts w:ascii="Calibri" w:eastAsia="Calibri" w:hAnsi="Calibri" w:cs="Calibri"/>
                    <w:color w:val="1F3863"/>
                    <w:position w:val="1"/>
                    <w:sz w:val="24"/>
                    <w:szCs w:val="24"/>
                    <w:lang w:val="pt-BR"/>
                  </w:rPr>
                  <w:t>Universidade Federal de Uberlândia</w:t>
                </w:r>
              </w:p>
              <w:p w14:paraId="3497B47E" w14:textId="5FA4508E" w:rsidR="00CC3D95" w:rsidRPr="00085DFD" w:rsidRDefault="00DB110E">
                <w:pPr>
                  <w:ind w:left="20" w:right="-24"/>
                  <w:rPr>
                    <w:rFonts w:ascii="Calibri" w:eastAsia="Calibri" w:hAnsi="Calibri" w:cs="Calibri"/>
                    <w:color w:val="1F3863"/>
                    <w:sz w:val="24"/>
                    <w:szCs w:val="24"/>
                    <w:lang w:val="pt-BR"/>
                  </w:rPr>
                </w:pPr>
                <w:r w:rsidRPr="00085DFD">
                  <w:rPr>
                    <w:rFonts w:ascii="Calibri" w:eastAsia="Calibri" w:hAnsi="Calibri" w:cs="Calibri"/>
                    <w:color w:val="1F3863"/>
                    <w:sz w:val="24"/>
                    <w:szCs w:val="24"/>
                    <w:lang w:val="pt-BR"/>
                  </w:rPr>
                  <w:t>Núcleo de Pesquisa e Estudos em Direitos Humanos – IERI/UFU Todas por elas – FADIR/UFU</w:t>
                </w:r>
              </w:p>
              <w:p w14:paraId="3DB3498D" w14:textId="22198AA1" w:rsidR="00F602B4" w:rsidRPr="00085DFD" w:rsidRDefault="00F602B4">
                <w:pPr>
                  <w:ind w:left="20" w:right="-24"/>
                  <w:rPr>
                    <w:rFonts w:ascii="Calibri" w:eastAsia="Calibri" w:hAnsi="Calibri" w:cs="Calibri"/>
                    <w:color w:val="1F3863"/>
                    <w:sz w:val="24"/>
                    <w:szCs w:val="24"/>
                    <w:lang w:val="pt-BR"/>
                  </w:rPr>
                </w:pPr>
              </w:p>
              <w:p w14:paraId="48E80540" w14:textId="77777777" w:rsidR="00F602B4" w:rsidRPr="00085DFD" w:rsidRDefault="00F602B4">
                <w:pPr>
                  <w:ind w:left="20" w:right="-24"/>
                  <w:rPr>
                    <w:rFonts w:ascii="Calibri" w:eastAsia="Calibri" w:hAnsi="Calibri" w:cs="Calibri"/>
                    <w:color w:val="1F3863"/>
                    <w:sz w:val="24"/>
                    <w:szCs w:val="24"/>
                    <w:lang w:val="pt-BR"/>
                  </w:rPr>
                </w:pPr>
              </w:p>
              <w:p w14:paraId="4F98BF87" w14:textId="31F86ED1" w:rsidR="00F602B4" w:rsidRPr="00085DFD" w:rsidRDefault="00F602B4">
                <w:pPr>
                  <w:ind w:left="20" w:right="-24"/>
                  <w:rPr>
                    <w:rFonts w:ascii="Calibri" w:eastAsia="Calibri" w:hAnsi="Calibri" w:cs="Calibri"/>
                    <w:color w:val="1F3863"/>
                    <w:sz w:val="24"/>
                    <w:szCs w:val="24"/>
                    <w:lang w:val="pt-BR"/>
                  </w:rPr>
                </w:pPr>
              </w:p>
              <w:p w14:paraId="22C01A6D" w14:textId="3EC27A8D" w:rsidR="00F602B4" w:rsidRPr="00085DFD" w:rsidRDefault="00F602B4">
                <w:pPr>
                  <w:ind w:left="20" w:right="-24"/>
                  <w:rPr>
                    <w:rFonts w:ascii="Calibri" w:eastAsia="Calibri" w:hAnsi="Calibri" w:cs="Calibri"/>
                    <w:color w:val="1F3863"/>
                    <w:sz w:val="24"/>
                    <w:szCs w:val="24"/>
                    <w:lang w:val="pt-BR"/>
                  </w:rPr>
                </w:pPr>
              </w:p>
              <w:p w14:paraId="45E43A7B" w14:textId="77777777" w:rsidR="00F602B4" w:rsidRPr="00085DFD" w:rsidRDefault="00F602B4">
                <w:pPr>
                  <w:ind w:left="20" w:right="-24"/>
                  <w:rPr>
                    <w:rFonts w:ascii="Calibri" w:eastAsia="Calibri" w:hAnsi="Calibri" w:cs="Calibri"/>
                    <w:sz w:val="24"/>
                    <w:szCs w:val="24"/>
                    <w:lang w:val="pt-BR"/>
                  </w:rPr>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2A02E6"/>
    <w:multiLevelType w:val="hybridMultilevel"/>
    <w:tmpl w:val="937C5F9E"/>
    <w:lvl w:ilvl="0" w:tplc="DF5ED99A">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15:restartNumberingAfterBreak="0">
    <w:nsid w:val="33AB6240"/>
    <w:multiLevelType w:val="hybridMultilevel"/>
    <w:tmpl w:val="A9303B3E"/>
    <w:lvl w:ilvl="0" w:tplc="D0B415E8">
      <w:start w:val="4"/>
      <w:numFmt w:val="bullet"/>
      <w:lvlText w:val="-"/>
      <w:lvlJc w:val="left"/>
      <w:pPr>
        <w:ind w:left="1068" w:hanging="360"/>
      </w:pPr>
      <w:rPr>
        <w:rFonts w:ascii="Times New Roman" w:eastAsia="Times New Roman" w:hAnsi="Times New Roman" w:cs="Times New Roman"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 w15:restartNumberingAfterBreak="0">
    <w:nsid w:val="6487626A"/>
    <w:multiLevelType w:val="hybridMultilevel"/>
    <w:tmpl w:val="49D8397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7B5F43D3"/>
    <w:multiLevelType w:val="multilevel"/>
    <w:tmpl w:val="7D42C72A"/>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abstractNumId w:val="3"/>
  </w:num>
  <w:num w:numId="2">
    <w:abstractNumId w:val="2"/>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D95"/>
    <w:rsid w:val="00085DFD"/>
    <w:rsid w:val="000B4D7D"/>
    <w:rsid w:val="000F5A00"/>
    <w:rsid w:val="00127CDB"/>
    <w:rsid w:val="00130F27"/>
    <w:rsid w:val="00146A1C"/>
    <w:rsid w:val="001C1215"/>
    <w:rsid w:val="0021142D"/>
    <w:rsid w:val="002369F0"/>
    <w:rsid w:val="00267598"/>
    <w:rsid w:val="00284035"/>
    <w:rsid w:val="002A31FF"/>
    <w:rsid w:val="002B02A5"/>
    <w:rsid w:val="002B5DEA"/>
    <w:rsid w:val="002F3EC7"/>
    <w:rsid w:val="00391774"/>
    <w:rsid w:val="0039213D"/>
    <w:rsid w:val="003A5F2A"/>
    <w:rsid w:val="003B62C8"/>
    <w:rsid w:val="003C1F7A"/>
    <w:rsid w:val="004061C2"/>
    <w:rsid w:val="00441AE8"/>
    <w:rsid w:val="00463BC2"/>
    <w:rsid w:val="00493384"/>
    <w:rsid w:val="004947D7"/>
    <w:rsid w:val="004A7836"/>
    <w:rsid w:val="004F1B3F"/>
    <w:rsid w:val="004F5865"/>
    <w:rsid w:val="005070B2"/>
    <w:rsid w:val="005322E6"/>
    <w:rsid w:val="00557628"/>
    <w:rsid w:val="005C4138"/>
    <w:rsid w:val="005F35E6"/>
    <w:rsid w:val="00610C86"/>
    <w:rsid w:val="0066567D"/>
    <w:rsid w:val="00690774"/>
    <w:rsid w:val="006F071E"/>
    <w:rsid w:val="0071264F"/>
    <w:rsid w:val="00715560"/>
    <w:rsid w:val="00720361"/>
    <w:rsid w:val="00740C5A"/>
    <w:rsid w:val="0076114C"/>
    <w:rsid w:val="00776552"/>
    <w:rsid w:val="007B24DB"/>
    <w:rsid w:val="007C06AB"/>
    <w:rsid w:val="00863BA2"/>
    <w:rsid w:val="00887175"/>
    <w:rsid w:val="008910E5"/>
    <w:rsid w:val="008D6A03"/>
    <w:rsid w:val="008E426D"/>
    <w:rsid w:val="008E7151"/>
    <w:rsid w:val="00907C18"/>
    <w:rsid w:val="00957294"/>
    <w:rsid w:val="00966705"/>
    <w:rsid w:val="009D6931"/>
    <w:rsid w:val="009E06F4"/>
    <w:rsid w:val="00A547FE"/>
    <w:rsid w:val="00A64FAB"/>
    <w:rsid w:val="00AA07DB"/>
    <w:rsid w:val="00AB1BB9"/>
    <w:rsid w:val="00AD4814"/>
    <w:rsid w:val="00AE5139"/>
    <w:rsid w:val="00B345C4"/>
    <w:rsid w:val="00B563D2"/>
    <w:rsid w:val="00BA4230"/>
    <w:rsid w:val="00C21704"/>
    <w:rsid w:val="00C22FE2"/>
    <w:rsid w:val="00C327C8"/>
    <w:rsid w:val="00C960F6"/>
    <w:rsid w:val="00CA76FD"/>
    <w:rsid w:val="00CB1FB6"/>
    <w:rsid w:val="00CC3D95"/>
    <w:rsid w:val="00CD6FAE"/>
    <w:rsid w:val="00CE46D3"/>
    <w:rsid w:val="00D002ED"/>
    <w:rsid w:val="00D2185B"/>
    <w:rsid w:val="00D34917"/>
    <w:rsid w:val="00D5092C"/>
    <w:rsid w:val="00D92FB4"/>
    <w:rsid w:val="00D937DE"/>
    <w:rsid w:val="00DB110E"/>
    <w:rsid w:val="00DB47F6"/>
    <w:rsid w:val="00DC35E5"/>
    <w:rsid w:val="00EA5716"/>
    <w:rsid w:val="00EF1E4A"/>
    <w:rsid w:val="00F215D6"/>
    <w:rsid w:val="00F23433"/>
    <w:rsid w:val="00F271A6"/>
    <w:rsid w:val="00F4427E"/>
    <w:rsid w:val="00F602B4"/>
    <w:rsid w:val="00F60D2E"/>
    <w:rsid w:val="00FF4E7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CBB53A0"/>
  <w15:docId w15:val="{79C2D343-76B2-4259-93F7-373300F64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Ttulo1">
    <w:name w:val="heading 1"/>
    <w:basedOn w:val="Normal"/>
    <w:next w:val="Normal"/>
    <w:link w:val="Ttulo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h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B3490"/>
    <w:rPr>
      <w:rFonts w:asciiTheme="majorHAnsi" w:eastAsiaTheme="majorEastAsia" w:hAnsiTheme="majorHAnsi" w:cstheme="majorBidi"/>
      <w:b/>
      <w:bCs/>
      <w:kern w:val="32"/>
      <w:sz w:val="32"/>
      <w:szCs w:val="32"/>
    </w:rPr>
  </w:style>
  <w:style w:type="character" w:customStyle="1" w:styleId="Ttulo2Char">
    <w:name w:val="Título 2 Char"/>
    <w:basedOn w:val="Fontepargpadro"/>
    <w:link w:val="Ttulo2"/>
    <w:uiPriority w:val="9"/>
    <w:semiHidden/>
    <w:rsid w:val="001B3490"/>
    <w:rPr>
      <w:rFonts w:asciiTheme="majorHAnsi" w:eastAsiaTheme="majorEastAsia" w:hAnsiTheme="majorHAnsi" w:cstheme="majorBidi"/>
      <w:b/>
      <w:bCs/>
      <w:i/>
      <w:iCs/>
      <w:sz w:val="28"/>
      <w:szCs w:val="28"/>
    </w:rPr>
  </w:style>
  <w:style w:type="character" w:customStyle="1" w:styleId="Ttulo3Char">
    <w:name w:val="Título 3 Char"/>
    <w:basedOn w:val="Fontepargpadro"/>
    <w:link w:val="Ttulo3"/>
    <w:uiPriority w:val="9"/>
    <w:semiHidden/>
    <w:rsid w:val="001B3490"/>
    <w:rPr>
      <w:rFonts w:asciiTheme="majorHAnsi" w:eastAsiaTheme="majorEastAsia" w:hAnsiTheme="majorHAnsi" w:cstheme="majorBidi"/>
      <w:b/>
      <w:bCs/>
      <w:sz w:val="26"/>
      <w:szCs w:val="26"/>
    </w:rPr>
  </w:style>
  <w:style w:type="character" w:customStyle="1" w:styleId="Ttulo4Char">
    <w:name w:val="Título 4 Char"/>
    <w:basedOn w:val="Fontepargpadro"/>
    <w:link w:val="Ttulo4"/>
    <w:uiPriority w:val="9"/>
    <w:semiHidden/>
    <w:rsid w:val="001B3490"/>
    <w:rPr>
      <w:rFonts w:asciiTheme="minorHAnsi" w:eastAsiaTheme="minorEastAsia" w:hAnsiTheme="minorHAnsi" w:cstheme="minorBidi"/>
      <w:b/>
      <w:bCs/>
      <w:sz w:val="28"/>
      <w:szCs w:val="28"/>
    </w:rPr>
  </w:style>
  <w:style w:type="character" w:customStyle="1" w:styleId="Ttulo5Char">
    <w:name w:val="Título 5 Char"/>
    <w:basedOn w:val="Fontepargpadro"/>
    <w:link w:val="Ttulo5"/>
    <w:uiPriority w:val="9"/>
    <w:semiHidden/>
    <w:rsid w:val="001B3490"/>
    <w:rPr>
      <w:rFonts w:asciiTheme="minorHAnsi" w:eastAsiaTheme="minorEastAsia" w:hAnsiTheme="minorHAnsi" w:cstheme="minorBidi"/>
      <w:b/>
      <w:bCs/>
      <w:i/>
      <w:iCs/>
      <w:sz w:val="26"/>
      <w:szCs w:val="26"/>
    </w:rPr>
  </w:style>
  <w:style w:type="character" w:customStyle="1" w:styleId="Ttulo6Char">
    <w:name w:val="Título 6 Char"/>
    <w:basedOn w:val="Fontepargpadro"/>
    <w:link w:val="Ttulo6"/>
    <w:rsid w:val="001B3490"/>
    <w:rPr>
      <w:b/>
      <w:bCs/>
      <w:sz w:val="22"/>
      <w:szCs w:val="22"/>
    </w:rPr>
  </w:style>
  <w:style w:type="character" w:customStyle="1" w:styleId="Ttulo7Char">
    <w:name w:val="Título 7 Char"/>
    <w:basedOn w:val="Fontepargpadro"/>
    <w:link w:val="Ttulo7"/>
    <w:uiPriority w:val="9"/>
    <w:semiHidden/>
    <w:rsid w:val="001B3490"/>
    <w:rPr>
      <w:rFonts w:asciiTheme="minorHAnsi" w:eastAsiaTheme="minorEastAsia" w:hAnsiTheme="minorHAnsi" w:cstheme="minorBidi"/>
      <w:sz w:val="24"/>
      <w:szCs w:val="24"/>
    </w:rPr>
  </w:style>
  <w:style w:type="character" w:customStyle="1" w:styleId="Ttulo8Char">
    <w:name w:val="Título 8 Char"/>
    <w:basedOn w:val="Fontepargpadro"/>
    <w:link w:val="Ttulo8"/>
    <w:uiPriority w:val="9"/>
    <w:semiHidden/>
    <w:rsid w:val="001B3490"/>
    <w:rPr>
      <w:rFonts w:asciiTheme="minorHAnsi" w:eastAsiaTheme="minorEastAsia" w:hAnsiTheme="minorHAnsi" w:cstheme="minorBidi"/>
      <w:i/>
      <w:iCs/>
      <w:sz w:val="24"/>
      <w:szCs w:val="24"/>
    </w:rPr>
  </w:style>
  <w:style w:type="character" w:customStyle="1" w:styleId="Ttulo9Char">
    <w:name w:val="Título 9 Char"/>
    <w:basedOn w:val="Fontepargpadro"/>
    <w:link w:val="Ttulo9"/>
    <w:uiPriority w:val="9"/>
    <w:semiHidden/>
    <w:rsid w:val="001B3490"/>
    <w:rPr>
      <w:rFonts w:asciiTheme="majorHAnsi" w:eastAsiaTheme="majorEastAsia" w:hAnsiTheme="majorHAnsi" w:cstheme="majorBidi"/>
      <w:sz w:val="22"/>
      <w:szCs w:val="22"/>
    </w:rPr>
  </w:style>
  <w:style w:type="character" w:styleId="Hyperlink">
    <w:name w:val="Hyperlink"/>
    <w:basedOn w:val="Fontepargpadro"/>
    <w:uiPriority w:val="99"/>
    <w:unhideWhenUsed/>
    <w:rsid w:val="005322E6"/>
    <w:rPr>
      <w:color w:val="0000FF"/>
      <w:u w:val="single"/>
    </w:rPr>
  </w:style>
  <w:style w:type="paragraph" w:styleId="PargrafodaLista">
    <w:name w:val="List Paragraph"/>
    <w:basedOn w:val="Normal"/>
    <w:uiPriority w:val="34"/>
    <w:qFormat/>
    <w:rsid w:val="005322E6"/>
    <w:pPr>
      <w:spacing w:after="160" w:line="256" w:lineRule="auto"/>
      <w:ind w:left="720"/>
      <w:contextualSpacing/>
    </w:pPr>
    <w:rPr>
      <w:rFonts w:asciiTheme="minorHAnsi" w:eastAsiaTheme="minorHAnsi" w:hAnsiTheme="minorHAnsi" w:cstheme="minorBidi"/>
      <w:sz w:val="22"/>
      <w:szCs w:val="22"/>
      <w:lang w:val="es-ES_tradnl"/>
    </w:rPr>
  </w:style>
  <w:style w:type="paragraph" w:styleId="NormalWeb">
    <w:name w:val="Normal (Web)"/>
    <w:basedOn w:val="Normal"/>
    <w:uiPriority w:val="99"/>
    <w:semiHidden/>
    <w:unhideWhenUsed/>
    <w:rsid w:val="00D002ED"/>
    <w:pPr>
      <w:spacing w:before="100" w:beforeAutospacing="1" w:after="100" w:afterAutospacing="1"/>
    </w:pPr>
    <w:rPr>
      <w:sz w:val="24"/>
      <w:szCs w:val="24"/>
      <w:lang w:val="pt-BR" w:eastAsia="pt-BR"/>
    </w:rPr>
  </w:style>
  <w:style w:type="paragraph" w:customStyle="1" w:styleId="Default">
    <w:name w:val="Default"/>
    <w:rsid w:val="00130F27"/>
    <w:pPr>
      <w:autoSpaceDE w:val="0"/>
      <w:autoSpaceDN w:val="0"/>
      <w:adjustRightInd w:val="0"/>
    </w:pPr>
    <w:rPr>
      <w:color w:val="000000"/>
      <w:sz w:val="24"/>
      <w:szCs w:val="24"/>
      <w:lang w:val="pt-BR"/>
    </w:rPr>
  </w:style>
  <w:style w:type="character" w:styleId="nfase">
    <w:name w:val="Emphasis"/>
    <w:basedOn w:val="Fontepargpadro"/>
    <w:uiPriority w:val="20"/>
    <w:qFormat/>
    <w:rsid w:val="002369F0"/>
    <w:rPr>
      <w:i/>
      <w:iCs/>
    </w:rPr>
  </w:style>
  <w:style w:type="paragraph" w:styleId="Cabealho">
    <w:name w:val="header"/>
    <w:basedOn w:val="Normal"/>
    <w:link w:val="CabealhoChar"/>
    <w:uiPriority w:val="99"/>
    <w:unhideWhenUsed/>
    <w:rsid w:val="00F602B4"/>
    <w:pPr>
      <w:tabs>
        <w:tab w:val="center" w:pos="4252"/>
        <w:tab w:val="right" w:pos="8504"/>
      </w:tabs>
    </w:pPr>
  </w:style>
  <w:style w:type="character" w:customStyle="1" w:styleId="CabealhoChar">
    <w:name w:val="Cabeçalho Char"/>
    <w:basedOn w:val="Fontepargpadro"/>
    <w:link w:val="Cabealho"/>
    <w:uiPriority w:val="99"/>
    <w:rsid w:val="00F602B4"/>
  </w:style>
  <w:style w:type="paragraph" w:styleId="Rodap">
    <w:name w:val="footer"/>
    <w:basedOn w:val="Normal"/>
    <w:link w:val="RodapChar"/>
    <w:uiPriority w:val="99"/>
    <w:unhideWhenUsed/>
    <w:rsid w:val="00F602B4"/>
    <w:pPr>
      <w:tabs>
        <w:tab w:val="center" w:pos="4252"/>
        <w:tab w:val="right" w:pos="8504"/>
      </w:tabs>
    </w:pPr>
  </w:style>
  <w:style w:type="character" w:customStyle="1" w:styleId="RodapChar">
    <w:name w:val="Rodapé Char"/>
    <w:basedOn w:val="Fontepargpadro"/>
    <w:link w:val="Rodap"/>
    <w:uiPriority w:val="99"/>
    <w:rsid w:val="00F602B4"/>
  </w:style>
  <w:style w:type="character" w:styleId="MenoPendente">
    <w:name w:val="Unresolved Mention"/>
    <w:basedOn w:val="Fontepargpadro"/>
    <w:uiPriority w:val="99"/>
    <w:semiHidden/>
    <w:unhideWhenUsed/>
    <w:rsid w:val="00AD48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8993339">
      <w:bodyDiv w:val="1"/>
      <w:marLeft w:val="0"/>
      <w:marRight w:val="0"/>
      <w:marTop w:val="0"/>
      <w:marBottom w:val="0"/>
      <w:divBdr>
        <w:top w:val="none" w:sz="0" w:space="0" w:color="auto"/>
        <w:left w:val="none" w:sz="0" w:space="0" w:color="auto"/>
        <w:bottom w:val="none" w:sz="0" w:space="0" w:color="auto"/>
        <w:right w:val="none" w:sz="0" w:space="0" w:color="auto"/>
      </w:divBdr>
    </w:div>
    <w:div w:id="14386700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rasildefatomg.com.br/2018/03/13/mulheres-fazem-abaixo-assinado-para-alterar-nome-de-praca-em-uberlandia-mg" TargetMode="External"/><Relationship Id="rId13" Type="http://schemas.openxmlformats.org/officeDocument/2006/relationships/image" Target="media/image1.emf"/><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orumseguranca.org.br/wp-content/uploads/2020/06/violencia-domestica-covid-19-ed02-v5.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intercept.com/2020/11/03/influencer-mariana-ferrer-estupro-culpos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conjur.com.br/dl/acordao-camara-criminal-tj-rs-mantem.pdf"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migalhas.uol.com.br/quentes/127565/stf---deferida-liminar-a-juiz-afastado-por-criticar-lei-maria-da-penha"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5A46AA-D3CA-48C2-B1CA-7B79E6A57EFB}">
  <ds:schemaRefs>
    <ds:schemaRef ds:uri="http://schemas.openxmlformats.org/officeDocument/2006/bibliography"/>
  </ds:schemaRefs>
</ds:datastoreItem>
</file>

<file path=customXml/itemProps2.xml><?xml version="1.0" encoding="utf-8"?>
<ds:datastoreItem xmlns:ds="http://schemas.openxmlformats.org/officeDocument/2006/customXml" ds:itemID="{7D2CAB80-9A46-42C6-A366-6830F1D21BC6}"/>
</file>

<file path=customXml/itemProps3.xml><?xml version="1.0" encoding="utf-8"?>
<ds:datastoreItem xmlns:ds="http://schemas.openxmlformats.org/officeDocument/2006/customXml" ds:itemID="{8B6254E3-AE9D-47CD-ABDC-E76AE21FEC6B}"/>
</file>

<file path=customXml/itemProps4.xml><?xml version="1.0" encoding="utf-8"?>
<ds:datastoreItem xmlns:ds="http://schemas.openxmlformats.org/officeDocument/2006/customXml" ds:itemID="{7EA92716-FF15-4595-B657-C6597703CC09}"/>
</file>

<file path=docProps/app.xml><?xml version="1.0" encoding="utf-8"?>
<Properties xmlns="http://schemas.openxmlformats.org/officeDocument/2006/extended-properties" xmlns:vt="http://schemas.openxmlformats.org/officeDocument/2006/docPropsVTypes">
  <Template>Normal</Template>
  <TotalTime>18</TotalTime>
  <Pages>5</Pages>
  <Words>1749</Words>
  <Characters>9450</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Marrielle Maia</dc:creator>
  <cp:lastModifiedBy>1</cp:lastModifiedBy>
  <cp:revision>3</cp:revision>
  <dcterms:created xsi:type="dcterms:W3CDTF">2020-11-16T22:27:00Z</dcterms:created>
  <dcterms:modified xsi:type="dcterms:W3CDTF">2020-11-17T21:29:00Z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