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21226" w14:textId="66A6D06B" w:rsidR="00C05D9B" w:rsidRPr="004B1E4E" w:rsidRDefault="01451D5D" w:rsidP="00626C39">
      <w:pPr>
        <w:rPr>
          <w:color w:val="auto"/>
          <w:sz w:val="24"/>
          <w:szCs w:val="24"/>
        </w:rPr>
      </w:pPr>
      <w:r w:rsidRPr="01451D5D">
        <w:rPr>
          <w:color w:val="auto"/>
          <w:sz w:val="24"/>
          <w:szCs w:val="24"/>
        </w:rPr>
        <w:t xml:space="preserve"> </w:t>
      </w:r>
    </w:p>
    <w:p w14:paraId="5FB17988" w14:textId="219128CC" w:rsidR="00266AA3" w:rsidRDefault="26831DD0" w:rsidP="200D4BEB">
      <w:pPr>
        <w:jc w:val="center"/>
        <w:rPr>
          <w:b/>
          <w:bCs/>
          <w:sz w:val="24"/>
          <w:szCs w:val="24"/>
        </w:rPr>
      </w:pPr>
      <w:r w:rsidRPr="01451D5D">
        <w:rPr>
          <w:b/>
          <w:bCs/>
          <w:sz w:val="24"/>
          <w:szCs w:val="24"/>
        </w:rPr>
        <w:t>Tunisia’s C</w:t>
      </w:r>
      <w:r w:rsidR="1A371BD8" w:rsidRPr="01451D5D">
        <w:rPr>
          <w:b/>
          <w:bCs/>
          <w:sz w:val="24"/>
          <w:szCs w:val="24"/>
        </w:rPr>
        <w:t xml:space="preserve">ompliance with the Convention Against Torture and Other Cruel, Inhumane or Degrading Treatment or Punishment </w:t>
      </w:r>
    </w:p>
    <w:p w14:paraId="4DFB4F07" w14:textId="7E4AC983" w:rsidR="200D4BEB" w:rsidRDefault="200D4BEB" w:rsidP="200D4BEB">
      <w:pPr>
        <w:jc w:val="center"/>
        <w:rPr>
          <w:b/>
          <w:bCs/>
          <w:sz w:val="24"/>
          <w:szCs w:val="24"/>
        </w:rPr>
      </w:pPr>
      <w:r w:rsidRPr="200D4BEB">
        <w:rPr>
          <w:b/>
          <w:bCs/>
          <w:sz w:val="24"/>
          <w:szCs w:val="24"/>
        </w:rPr>
        <w:t xml:space="preserve">Suggested List of Issues Prior to Reporting Relating to </w:t>
      </w:r>
      <w:r w:rsidR="00344413">
        <w:rPr>
          <w:b/>
          <w:bCs/>
          <w:sz w:val="24"/>
          <w:szCs w:val="24"/>
        </w:rPr>
        <w:t>Violence Against Women</w:t>
      </w:r>
    </w:p>
    <w:p w14:paraId="54F3AE6B" w14:textId="77777777" w:rsidR="004B1E4E" w:rsidRPr="004B1E4E" w:rsidRDefault="004B1E4E" w:rsidP="004B1E4E">
      <w:pPr>
        <w:jc w:val="center"/>
        <w:rPr>
          <w:sz w:val="24"/>
          <w:szCs w:val="24"/>
        </w:rPr>
      </w:pPr>
    </w:p>
    <w:p w14:paraId="23772DD8" w14:textId="671160CF" w:rsidR="004B1E4E" w:rsidRPr="00D25C36" w:rsidRDefault="004B1E4E" w:rsidP="200D4BEB">
      <w:pPr>
        <w:jc w:val="center"/>
        <w:rPr>
          <w:b/>
          <w:bCs/>
          <w:sz w:val="24"/>
          <w:szCs w:val="24"/>
        </w:rPr>
      </w:pPr>
      <w:r w:rsidRPr="200D4BEB">
        <w:rPr>
          <w:b/>
          <w:bCs/>
          <w:sz w:val="24"/>
          <w:szCs w:val="24"/>
        </w:rPr>
        <w:t xml:space="preserve">Submitted by </w:t>
      </w:r>
      <w:r w:rsidR="00AA7FCB" w:rsidRPr="200D4BEB">
        <w:rPr>
          <w:b/>
          <w:bCs/>
          <w:sz w:val="24"/>
          <w:szCs w:val="24"/>
        </w:rPr>
        <w:t>T</w:t>
      </w:r>
      <w:r w:rsidRPr="200D4BEB">
        <w:rPr>
          <w:b/>
          <w:bCs/>
          <w:sz w:val="24"/>
          <w:szCs w:val="24"/>
        </w:rPr>
        <w:t>he Advocates for Human Rights,</w:t>
      </w:r>
    </w:p>
    <w:p w14:paraId="2E266B52" w14:textId="77777777" w:rsidR="004B1E4E" w:rsidRPr="004B1E4E" w:rsidRDefault="004B1E4E" w:rsidP="004B1E4E">
      <w:pPr>
        <w:jc w:val="center"/>
        <w:rPr>
          <w:sz w:val="24"/>
          <w:szCs w:val="24"/>
        </w:rPr>
      </w:pPr>
      <w:r w:rsidRPr="004B1E4E">
        <w:rPr>
          <w:sz w:val="24"/>
          <w:szCs w:val="24"/>
        </w:rPr>
        <w:t>a non-governmental organization in special consultative status with ECOSOC</w:t>
      </w:r>
      <w:r w:rsidR="00624A10">
        <w:rPr>
          <w:sz w:val="24"/>
          <w:szCs w:val="24"/>
        </w:rPr>
        <w:t xml:space="preserve"> since 1996</w:t>
      </w:r>
    </w:p>
    <w:p w14:paraId="12EFF6F1" w14:textId="7CCF59BA" w:rsidR="004B1E4E" w:rsidRPr="004B1E4E" w:rsidRDefault="200D4BEB" w:rsidP="004B1E4E">
      <w:pPr>
        <w:jc w:val="center"/>
        <w:rPr>
          <w:sz w:val="24"/>
          <w:szCs w:val="24"/>
        </w:rPr>
      </w:pPr>
      <w:r w:rsidRPr="200D4BEB">
        <w:rPr>
          <w:sz w:val="24"/>
          <w:szCs w:val="24"/>
        </w:rPr>
        <w:t>and</w:t>
      </w:r>
    </w:p>
    <w:p w14:paraId="73E3B1BB" w14:textId="518A8B66" w:rsidR="200D4BEB" w:rsidRDefault="200D4BEB" w:rsidP="200D4BEB">
      <w:pPr>
        <w:jc w:val="center"/>
        <w:rPr>
          <w:b/>
          <w:bCs/>
          <w:sz w:val="24"/>
          <w:szCs w:val="24"/>
        </w:rPr>
      </w:pPr>
      <w:r w:rsidRPr="200D4BEB">
        <w:rPr>
          <w:b/>
          <w:bCs/>
          <w:sz w:val="24"/>
          <w:szCs w:val="24"/>
        </w:rPr>
        <w:t xml:space="preserve">MRA </w:t>
      </w:r>
      <w:proofErr w:type="spellStart"/>
      <w:r w:rsidRPr="200D4BEB">
        <w:rPr>
          <w:b/>
          <w:bCs/>
          <w:sz w:val="24"/>
          <w:szCs w:val="24"/>
        </w:rPr>
        <w:t>Mobilising</w:t>
      </w:r>
      <w:proofErr w:type="spellEnd"/>
      <w:r w:rsidRPr="200D4BEB">
        <w:rPr>
          <w:b/>
          <w:bCs/>
          <w:sz w:val="24"/>
          <w:szCs w:val="24"/>
        </w:rPr>
        <w:t xml:space="preserve"> for Rights Associates,</w:t>
      </w:r>
    </w:p>
    <w:p w14:paraId="5663DAE0" w14:textId="39862635" w:rsidR="200D4BEB" w:rsidRDefault="200D4BEB" w:rsidP="200D4BEB">
      <w:pPr>
        <w:jc w:val="center"/>
        <w:rPr>
          <w:sz w:val="24"/>
          <w:szCs w:val="24"/>
        </w:rPr>
      </w:pPr>
      <w:r w:rsidRPr="200D4BEB">
        <w:rPr>
          <w:sz w:val="24"/>
          <w:szCs w:val="24"/>
        </w:rPr>
        <w:t>A non-governmental organization based in Rabat, Morocco</w:t>
      </w:r>
    </w:p>
    <w:p w14:paraId="5EFDD111" w14:textId="031C9549" w:rsidR="200D4BEB" w:rsidRDefault="200D4BEB" w:rsidP="200D4BEB">
      <w:pPr>
        <w:jc w:val="center"/>
        <w:rPr>
          <w:b/>
          <w:bCs/>
          <w:sz w:val="24"/>
          <w:szCs w:val="24"/>
        </w:rPr>
      </w:pPr>
    </w:p>
    <w:p w14:paraId="08783710" w14:textId="44E26A32" w:rsidR="200D4BEB" w:rsidRDefault="200D4BEB" w:rsidP="200D4BEB">
      <w:pPr>
        <w:jc w:val="center"/>
        <w:rPr>
          <w:b/>
          <w:bCs/>
          <w:sz w:val="24"/>
          <w:szCs w:val="24"/>
        </w:rPr>
      </w:pPr>
      <w:r w:rsidRPr="200D4BEB">
        <w:rPr>
          <w:b/>
          <w:bCs/>
          <w:sz w:val="24"/>
          <w:szCs w:val="24"/>
        </w:rPr>
        <w:t>75th Session of the Convention Against Torture (Pre-Sessional Working Group)</w:t>
      </w:r>
    </w:p>
    <w:p w14:paraId="17BC9869" w14:textId="2D57386D" w:rsidR="200D4BEB" w:rsidRDefault="200D4BEB" w:rsidP="200D4BEB">
      <w:pPr>
        <w:jc w:val="center"/>
        <w:rPr>
          <w:b/>
          <w:bCs/>
          <w:sz w:val="24"/>
          <w:szCs w:val="24"/>
        </w:rPr>
      </w:pPr>
      <w:r w:rsidRPr="200D4BEB">
        <w:rPr>
          <w:b/>
          <w:bCs/>
          <w:sz w:val="24"/>
          <w:szCs w:val="24"/>
        </w:rPr>
        <w:t>31 October 2022 – 25 November 2022</w:t>
      </w:r>
    </w:p>
    <w:p w14:paraId="6B1D311C" w14:textId="77777777" w:rsidR="001565F9" w:rsidRPr="004B1E4E" w:rsidRDefault="001565F9" w:rsidP="005132BB">
      <w:pPr>
        <w:rPr>
          <w:sz w:val="24"/>
          <w:szCs w:val="24"/>
          <w:lang w:val="es-ES"/>
        </w:rPr>
      </w:pPr>
    </w:p>
    <w:p w14:paraId="59F1FD93" w14:textId="493F51D6" w:rsidR="005132BB" w:rsidRPr="000C380B" w:rsidRDefault="000C380B" w:rsidP="200D4BEB">
      <w:pPr>
        <w:jc w:val="center"/>
        <w:rPr>
          <w:color w:val="auto"/>
          <w:sz w:val="24"/>
          <w:szCs w:val="24"/>
        </w:rPr>
      </w:pPr>
      <w:r w:rsidRPr="56DC6689">
        <w:rPr>
          <w:color w:val="auto"/>
          <w:sz w:val="24"/>
          <w:szCs w:val="24"/>
        </w:rPr>
        <w:t>Submitted 13 June 2022</w:t>
      </w:r>
    </w:p>
    <w:p w14:paraId="3399DABA" w14:textId="77777777" w:rsidR="000C380B" w:rsidRPr="004B1E4E" w:rsidRDefault="000C380B" w:rsidP="00596B08">
      <w:pPr>
        <w:jc w:val="both"/>
        <w:rPr>
          <w:color w:val="auto"/>
          <w:sz w:val="24"/>
          <w:szCs w:val="24"/>
        </w:rPr>
      </w:pPr>
    </w:p>
    <w:p w14:paraId="7F4737E4" w14:textId="7CD2CDBE" w:rsidR="00AA281D" w:rsidRDefault="1A371BD8" w:rsidP="00AA281D">
      <w:pPr>
        <w:jc w:val="both"/>
        <w:rPr>
          <w:sz w:val="24"/>
          <w:szCs w:val="24"/>
        </w:rPr>
      </w:pPr>
      <w:r w:rsidRPr="01451D5D">
        <w:rPr>
          <w:b/>
          <w:bCs/>
          <w:sz w:val="24"/>
          <w:szCs w:val="24"/>
        </w:rPr>
        <w:t xml:space="preserve">The Advocates for Human Rights </w:t>
      </w:r>
      <w:r w:rsidRPr="01451D5D">
        <w:rPr>
          <w:sz w:val="24"/>
          <w:szCs w:val="24"/>
        </w:rPr>
        <w:t>(The Advocates) is a volunteer-based non</w:t>
      </w:r>
      <w:r w:rsidR="59519EFB" w:rsidRPr="01451D5D">
        <w:rPr>
          <w:sz w:val="24"/>
          <w:szCs w:val="24"/>
        </w:rPr>
        <w:t>-</w:t>
      </w:r>
      <w:r w:rsidRPr="01451D5D">
        <w:rPr>
          <w:sz w:val="24"/>
          <w:szCs w:val="24"/>
        </w:rPr>
        <w:t xml:space="preserve">governmental organization committed to the impartial promotion and protection of international human rights standards and the rule of law. Established in 1983, The Advocates conducts a range of programs to promote human rights in the United States and around the world, </w:t>
      </w:r>
      <w:proofErr w:type="spellStart"/>
      <w:r w:rsidRPr="01451D5D">
        <w:rPr>
          <w:sz w:val="24"/>
          <w:szCs w:val="24"/>
          <w:lang w:val="es-ES"/>
        </w:rPr>
        <w:t>including</w:t>
      </w:r>
      <w:proofErr w:type="spellEnd"/>
      <w:r w:rsidRPr="01451D5D">
        <w:rPr>
          <w:sz w:val="24"/>
          <w:szCs w:val="24"/>
        </w:rPr>
        <w:t xml:space="preserve"> monitoring and fact finding, direct legal representation, education and training, and publications. </w:t>
      </w:r>
      <w:r w:rsidR="46B0F5BE" w:rsidRPr="01451D5D">
        <w:rPr>
          <w:sz w:val="24"/>
          <w:szCs w:val="24"/>
        </w:rPr>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p>
    <w:p w14:paraId="6A382A26" w14:textId="77777777" w:rsidR="008214B4" w:rsidRDefault="008214B4" w:rsidP="00AA281D">
      <w:pPr>
        <w:jc w:val="both"/>
        <w:rPr>
          <w:sz w:val="24"/>
          <w:szCs w:val="24"/>
        </w:rPr>
      </w:pPr>
    </w:p>
    <w:p w14:paraId="118648B1" w14:textId="5A7C5A8C" w:rsidR="00AA281D" w:rsidRPr="00CC65F5" w:rsidRDefault="0471A3EB" w:rsidP="00596B08">
      <w:pPr>
        <w:jc w:val="both"/>
        <w:rPr>
          <w:b/>
          <w:bCs/>
          <w:sz w:val="24"/>
          <w:szCs w:val="24"/>
        </w:rPr>
      </w:pPr>
      <w:proofErr w:type="spellStart"/>
      <w:r w:rsidRPr="01451D5D">
        <w:rPr>
          <w:b/>
          <w:bCs/>
          <w:sz w:val="24"/>
          <w:szCs w:val="24"/>
        </w:rPr>
        <w:t>Mobilising</w:t>
      </w:r>
      <w:proofErr w:type="spellEnd"/>
      <w:r w:rsidRPr="01451D5D">
        <w:rPr>
          <w:b/>
          <w:bCs/>
          <w:sz w:val="24"/>
          <w:szCs w:val="24"/>
        </w:rPr>
        <w:t xml:space="preserve"> for Rights Associates (“MRA”) </w:t>
      </w:r>
      <w:r w:rsidRPr="01451D5D">
        <w:rPr>
          <w:sz w:val="24"/>
          <w:szCs w:val="24"/>
        </w:rPr>
        <w:t>is an international nongovernmental women’s rights organization based in Rabat and currently working in Morocco, Tunisia, and Libya.  MRA collaborates with grassroots level women’s rights activists and organizations to promote women’s full enjoyment of their human rights through changes in laws, structures, relationships, and culture.  Together with its partners, MRA creates and implements long-term strategies to address the diverse causes of discrimination against women and develop meaningful, effective solutions.  Its multidimensional strategies include popular human rights education, legal accompaniment, cause-lawyering, action-research, national law reform, and international advocacy. By engaging with local actors at different levels, MRA fosters micro-level changes in culture and relationships to support activism for macro-level legal and institutional reform.</w:t>
      </w:r>
    </w:p>
    <w:p w14:paraId="679F78ED" w14:textId="77777777" w:rsidR="004B1E4E" w:rsidRPr="00CC65F5" w:rsidRDefault="004B1E4E" w:rsidP="01451D5D">
      <w:pPr>
        <w:jc w:val="both"/>
        <w:rPr>
          <w:b/>
          <w:bCs/>
          <w:color w:val="auto"/>
          <w:sz w:val="24"/>
          <w:szCs w:val="24"/>
        </w:rPr>
      </w:pPr>
    </w:p>
    <w:p w14:paraId="6BEF1900" w14:textId="77777777" w:rsidR="004B1E4E" w:rsidRPr="004B1E4E" w:rsidRDefault="004B1E4E" w:rsidP="004B1E4E">
      <w:pPr>
        <w:jc w:val="center"/>
        <w:rPr>
          <w:b/>
          <w:caps/>
          <w:color w:val="auto"/>
          <w:sz w:val="24"/>
          <w:szCs w:val="24"/>
        </w:rPr>
      </w:pPr>
      <w:r>
        <w:rPr>
          <w:color w:val="auto"/>
          <w:sz w:val="24"/>
          <w:szCs w:val="24"/>
        </w:rPr>
        <w:br w:type="page"/>
      </w:r>
      <w:r w:rsidRPr="004B1E4E">
        <w:rPr>
          <w:b/>
          <w:caps/>
          <w:color w:val="auto"/>
          <w:sz w:val="24"/>
          <w:szCs w:val="24"/>
        </w:rPr>
        <w:lastRenderedPageBreak/>
        <w:t>Executive Summary</w:t>
      </w:r>
    </w:p>
    <w:p w14:paraId="1687CB4E" w14:textId="2E8401ED" w:rsidR="01451D5D" w:rsidRDefault="01451D5D" w:rsidP="01451D5D">
      <w:pPr>
        <w:rPr>
          <w:color w:val="auto"/>
          <w:sz w:val="24"/>
          <w:szCs w:val="24"/>
        </w:rPr>
      </w:pPr>
    </w:p>
    <w:p w14:paraId="2ABE38C1" w14:textId="2EEF6544" w:rsidR="004B1E4E" w:rsidRDefault="01451D5D" w:rsidP="01451D5D">
      <w:pPr>
        <w:numPr>
          <w:ilvl w:val="0"/>
          <w:numId w:val="21"/>
        </w:numPr>
        <w:spacing w:after="120"/>
        <w:ind w:left="360"/>
        <w:jc w:val="both"/>
        <w:rPr>
          <w:sz w:val="24"/>
          <w:szCs w:val="24"/>
        </w:rPr>
      </w:pPr>
      <w:r w:rsidRPr="01451D5D">
        <w:rPr>
          <w:rStyle w:val="normaltextrun"/>
          <w:sz w:val="24"/>
          <w:szCs w:val="24"/>
        </w:rPr>
        <w:t xml:space="preserve">Violence against women in Tunisia remains widespread and systemic. Though the December 2010-January 2011 revolution brought about reform for women’s rights, there is a general perception that violence against women has increased since the revolution, with high rates of both domestic violence as well as violence against women in public places. </w:t>
      </w:r>
      <w:r w:rsidRPr="01451D5D">
        <w:rPr>
          <w:b/>
          <w:bCs/>
          <w:sz w:val="24"/>
          <w:szCs w:val="24"/>
        </w:rPr>
        <w:t xml:space="preserve"> </w:t>
      </w:r>
      <w:r w:rsidRPr="01451D5D">
        <w:rPr>
          <w:sz w:val="24"/>
          <w:szCs w:val="24"/>
          <w:lang w:val="en"/>
        </w:rPr>
        <w:t xml:space="preserve">The Act on Violence Against women includes reform to key articles of the Penal Code but </w:t>
      </w:r>
      <w:r w:rsidRPr="01451D5D">
        <w:rPr>
          <w:sz w:val="24"/>
          <w:szCs w:val="24"/>
        </w:rPr>
        <w:t xml:space="preserve">the application of the new law to situations of domestic violence remains limited both by the language of the law and in its implementation. Further, sexual relationships between unmarried persons remain illegal in Tunisia, creating barriers to women reporting violence committed in non-marital intimate relationships.  </w:t>
      </w:r>
    </w:p>
    <w:p w14:paraId="7C47E972" w14:textId="3A698CD7" w:rsidR="01451D5D" w:rsidRDefault="01451D5D" w:rsidP="01451D5D">
      <w:pPr>
        <w:numPr>
          <w:ilvl w:val="0"/>
          <w:numId w:val="21"/>
        </w:numPr>
        <w:spacing w:after="120"/>
        <w:ind w:left="360"/>
        <w:jc w:val="both"/>
        <w:rPr>
          <w:color w:val="auto"/>
          <w:sz w:val="24"/>
          <w:szCs w:val="24"/>
        </w:rPr>
      </w:pPr>
      <w:r w:rsidRPr="01451D5D">
        <w:rPr>
          <w:color w:val="auto"/>
          <w:sz w:val="24"/>
          <w:szCs w:val="24"/>
        </w:rPr>
        <w:t xml:space="preserve">This report recommends that Tunisia increase the penalties for political, psychological, and economic violence and expand the scope of relationships covered by the Act on Violence Against Women </w:t>
      </w:r>
      <w:proofErr w:type="gramStart"/>
      <w:r w:rsidRPr="01451D5D">
        <w:rPr>
          <w:color w:val="auto"/>
          <w:sz w:val="24"/>
          <w:szCs w:val="24"/>
        </w:rPr>
        <w:t>in order to</w:t>
      </w:r>
      <w:proofErr w:type="gramEnd"/>
      <w:r w:rsidRPr="01451D5D">
        <w:rPr>
          <w:color w:val="auto"/>
          <w:sz w:val="24"/>
          <w:szCs w:val="24"/>
        </w:rPr>
        <w:t xml:space="preserve"> adequately hold perpetrators accountable. Coincidingly, it recommends amending the Penal Code and Civil Status Code provisions </w:t>
      </w:r>
      <w:proofErr w:type="gramStart"/>
      <w:r w:rsidRPr="01451D5D">
        <w:rPr>
          <w:color w:val="auto"/>
          <w:sz w:val="24"/>
          <w:szCs w:val="24"/>
        </w:rPr>
        <w:t>in order to</w:t>
      </w:r>
      <w:proofErr w:type="gramEnd"/>
      <w:r w:rsidRPr="01451D5D">
        <w:rPr>
          <w:color w:val="auto"/>
          <w:sz w:val="24"/>
          <w:szCs w:val="24"/>
        </w:rPr>
        <w:t xml:space="preserve"> abolish in both law and practice criminal prosecutions for consensual sexual relations outside of marriage. Last, it recommends continuing efforts to better detention conditions and implement monitoring mechanisms of ill-treatment in prisons, while amending Organic Act No. 2015-26 to ensure those detained in cases of terrorism have equal access to legal safeguards. </w:t>
      </w:r>
    </w:p>
    <w:p w14:paraId="1E53E7ED" w14:textId="21411CA5" w:rsidR="008F2F99" w:rsidRDefault="0CA5B195" w:rsidP="01451D5D">
      <w:pPr>
        <w:spacing w:after="120"/>
        <w:jc w:val="center"/>
        <w:rPr>
          <w:b/>
          <w:bCs/>
          <w:color w:val="auto"/>
          <w:sz w:val="24"/>
          <w:szCs w:val="24"/>
        </w:rPr>
      </w:pPr>
      <w:r w:rsidRPr="01451D5D">
        <w:rPr>
          <w:b/>
          <w:bCs/>
          <w:color w:val="auto"/>
          <w:sz w:val="24"/>
          <w:szCs w:val="24"/>
        </w:rPr>
        <w:t>Tunisia fails to uphold its obligations under the Convention against Torture and Other Cruel, Inhumane or Degrading Treatment or Punishment</w:t>
      </w:r>
    </w:p>
    <w:p w14:paraId="16C48446" w14:textId="4853678D" w:rsidR="00974E48" w:rsidRDefault="01451D5D" w:rsidP="01451D5D">
      <w:pPr>
        <w:keepNext/>
        <w:numPr>
          <w:ilvl w:val="0"/>
          <w:numId w:val="22"/>
        </w:numPr>
        <w:spacing w:before="240" w:after="120" w:line="259" w:lineRule="auto"/>
        <w:ind w:left="720" w:hanging="360"/>
        <w:rPr>
          <w:b/>
          <w:bCs/>
          <w:color w:val="auto"/>
          <w:sz w:val="24"/>
          <w:szCs w:val="24"/>
        </w:rPr>
      </w:pPr>
      <w:r w:rsidRPr="01451D5D">
        <w:rPr>
          <w:b/>
          <w:bCs/>
          <w:color w:val="auto"/>
          <w:sz w:val="24"/>
          <w:szCs w:val="24"/>
        </w:rPr>
        <w:t xml:space="preserve">Violence Against Women </w:t>
      </w:r>
    </w:p>
    <w:p w14:paraId="37DCC482" w14:textId="72BE8830" w:rsidR="007A080B" w:rsidRDefault="01451D5D" w:rsidP="007A080B">
      <w:pPr>
        <w:numPr>
          <w:ilvl w:val="0"/>
          <w:numId w:val="21"/>
        </w:numPr>
        <w:spacing w:after="120"/>
        <w:ind w:left="360"/>
        <w:jc w:val="both"/>
        <w:rPr>
          <w:color w:val="auto"/>
          <w:sz w:val="24"/>
          <w:szCs w:val="24"/>
        </w:rPr>
      </w:pPr>
      <w:r w:rsidRPr="01451D5D">
        <w:rPr>
          <w:color w:val="auto"/>
          <w:sz w:val="24"/>
          <w:szCs w:val="24"/>
        </w:rPr>
        <w:t>In its 2016 Concluding Observations, the Committee Against Torture (the “Committee”) expressed concerns over the limited statistical data regarding the implementation and enforcement of Tunisia’s new efforts to address violence against women.</w:t>
      </w:r>
      <w:r w:rsidR="00974E48" w:rsidRPr="01451D5D">
        <w:rPr>
          <w:rStyle w:val="FootnoteReference"/>
          <w:color w:val="auto"/>
          <w:sz w:val="24"/>
          <w:szCs w:val="24"/>
        </w:rPr>
        <w:footnoteReference w:id="2"/>
      </w:r>
      <w:r w:rsidRPr="01451D5D">
        <w:rPr>
          <w:color w:val="auto"/>
          <w:sz w:val="24"/>
          <w:szCs w:val="24"/>
        </w:rPr>
        <w:t xml:space="preserve"> The Committee’s recommendations suggested enacting measures to ensure effective law enforcement, impartial prosecution, and fair punishment in cases of violence against women.</w:t>
      </w:r>
      <w:r w:rsidR="00974E48" w:rsidRPr="01451D5D">
        <w:rPr>
          <w:rStyle w:val="FootnoteReference"/>
          <w:color w:val="auto"/>
          <w:sz w:val="24"/>
          <w:szCs w:val="24"/>
        </w:rPr>
        <w:footnoteReference w:id="3"/>
      </w:r>
      <w:r w:rsidRPr="01451D5D">
        <w:rPr>
          <w:color w:val="auto"/>
          <w:sz w:val="24"/>
          <w:szCs w:val="24"/>
        </w:rPr>
        <w:t xml:space="preserve"> </w:t>
      </w:r>
      <w:r w:rsidR="005872D8">
        <w:rPr>
          <w:color w:val="auto"/>
          <w:sz w:val="24"/>
          <w:szCs w:val="24"/>
        </w:rPr>
        <w:t>The Committee also expressed c</w:t>
      </w:r>
      <w:r w:rsidR="005872D8" w:rsidRPr="00296E69">
        <w:rPr>
          <w:color w:val="auto"/>
          <w:sz w:val="24"/>
          <w:szCs w:val="24"/>
        </w:rPr>
        <w:t xml:space="preserve">oncern </w:t>
      </w:r>
      <w:r w:rsidR="005872D8">
        <w:rPr>
          <w:color w:val="auto"/>
          <w:sz w:val="24"/>
          <w:szCs w:val="24"/>
        </w:rPr>
        <w:t xml:space="preserve">about </w:t>
      </w:r>
      <w:r w:rsidR="005872D8" w:rsidRPr="00296E69">
        <w:rPr>
          <w:color w:val="auto"/>
          <w:sz w:val="24"/>
          <w:szCs w:val="24"/>
        </w:rPr>
        <w:t xml:space="preserve">reports of </w:t>
      </w:r>
      <w:r w:rsidR="00955E59">
        <w:rPr>
          <w:color w:val="auto"/>
          <w:sz w:val="24"/>
          <w:szCs w:val="24"/>
        </w:rPr>
        <w:t xml:space="preserve">the use of </w:t>
      </w:r>
      <w:r w:rsidR="005872D8" w:rsidRPr="00296E69">
        <w:rPr>
          <w:color w:val="auto"/>
          <w:sz w:val="24"/>
          <w:szCs w:val="24"/>
        </w:rPr>
        <w:t>intrusive vaginal examinations as a tool proving extramarital sexual relations or prostitution, at times conducted non-consensually and without medical justification.</w:t>
      </w:r>
      <w:r w:rsidR="005872D8" w:rsidRPr="00296E69">
        <w:rPr>
          <w:rStyle w:val="FootnoteReference"/>
          <w:color w:val="auto"/>
          <w:sz w:val="24"/>
          <w:szCs w:val="24"/>
        </w:rPr>
        <w:footnoteReference w:id="4"/>
      </w:r>
      <w:r w:rsidR="005872D8" w:rsidRPr="00296E69">
        <w:rPr>
          <w:color w:val="auto"/>
          <w:sz w:val="24"/>
          <w:szCs w:val="24"/>
        </w:rPr>
        <w:t xml:space="preserve"> The Committee recommended the prohibition of performing such examinations.</w:t>
      </w:r>
      <w:r w:rsidR="005872D8" w:rsidRPr="00296E69">
        <w:rPr>
          <w:rStyle w:val="FootnoteReference"/>
          <w:color w:val="auto"/>
          <w:sz w:val="24"/>
          <w:szCs w:val="24"/>
        </w:rPr>
        <w:footnoteReference w:id="5"/>
      </w:r>
    </w:p>
    <w:p w14:paraId="247A241C" w14:textId="59E81790" w:rsidR="00974E48" w:rsidRPr="007A080B" w:rsidRDefault="01451D5D" w:rsidP="007A080B">
      <w:pPr>
        <w:numPr>
          <w:ilvl w:val="0"/>
          <w:numId w:val="21"/>
        </w:numPr>
        <w:spacing w:after="120"/>
        <w:ind w:left="360"/>
        <w:jc w:val="both"/>
        <w:rPr>
          <w:color w:val="auto"/>
          <w:sz w:val="24"/>
          <w:szCs w:val="24"/>
        </w:rPr>
      </w:pPr>
      <w:r w:rsidRPr="00FE053C">
        <w:rPr>
          <w:b/>
          <w:bCs/>
          <w:color w:val="auto"/>
          <w:sz w:val="24"/>
          <w:szCs w:val="24"/>
        </w:rPr>
        <w:t>Violence against women is a widespread problem in Tunisia. In 2016, 53.5% of women who participated in a survey reported that they experienced violence in public places.</w:t>
      </w:r>
      <w:r w:rsidR="00974E48" w:rsidRPr="00FE053C">
        <w:rPr>
          <w:rStyle w:val="FootnoteReference"/>
          <w:b/>
          <w:bCs/>
          <w:color w:val="auto"/>
          <w:sz w:val="24"/>
          <w:szCs w:val="24"/>
        </w:rPr>
        <w:footnoteReference w:id="6"/>
      </w:r>
      <w:r w:rsidRPr="007A080B">
        <w:rPr>
          <w:color w:val="auto"/>
          <w:sz w:val="24"/>
          <w:szCs w:val="24"/>
        </w:rPr>
        <w:t xml:space="preserve"> </w:t>
      </w:r>
      <w:r w:rsidRPr="007A080B">
        <w:rPr>
          <w:color w:val="auto"/>
          <w:sz w:val="24"/>
          <w:szCs w:val="24"/>
        </w:rPr>
        <w:lastRenderedPageBreak/>
        <w:t>78% reported psychological violence, 75.4% reported sexual violence, and 41.2% reported physical violence. Furthermore, 60 percent of women in Tunisia experienced domestic violence.</w:t>
      </w:r>
      <w:r w:rsidR="00974E48" w:rsidRPr="01451D5D">
        <w:rPr>
          <w:rStyle w:val="FootnoteReference"/>
          <w:color w:val="auto"/>
          <w:sz w:val="24"/>
          <w:szCs w:val="24"/>
        </w:rPr>
        <w:footnoteReference w:id="7"/>
      </w:r>
      <w:r w:rsidRPr="007A080B">
        <w:rPr>
          <w:color w:val="auto"/>
          <w:sz w:val="24"/>
          <w:szCs w:val="24"/>
        </w:rPr>
        <w:t xml:space="preserve"> </w:t>
      </w:r>
      <w:r w:rsidRPr="007A080B">
        <w:rPr>
          <w:sz w:val="24"/>
          <w:szCs w:val="24"/>
        </w:rPr>
        <w:t>Though the December 2010-January 2011 revolution brought about reform for women’s rights, there is a general perception that violence against women has increased since the revolution.  Some sources attribute the increase to the rise of extremist Islamist ideologies in Tunisia,</w:t>
      </w:r>
      <w:r w:rsidR="00974E48" w:rsidRPr="01451D5D">
        <w:rPr>
          <w:rStyle w:val="FootnoteReference"/>
          <w:sz w:val="24"/>
          <w:szCs w:val="24"/>
        </w:rPr>
        <w:footnoteReference w:id="8"/>
      </w:r>
      <w:r w:rsidRPr="007A080B">
        <w:rPr>
          <w:sz w:val="24"/>
          <w:szCs w:val="24"/>
        </w:rPr>
        <w:t xml:space="preserve"> and corresponding attitudes among the police and others that women are responsible for violence inflicted upon them if they dressed a certain way or were in the “wrong” place.</w:t>
      </w:r>
      <w:r w:rsidR="00974E48" w:rsidRPr="01451D5D">
        <w:rPr>
          <w:rStyle w:val="FootnoteReference"/>
          <w:sz w:val="24"/>
          <w:szCs w:val="24"/>
        </w:rPr>
        <w:footnoteReference w:id="9"/>
      </w:r>
    </w:p>
    <w:p w14:paraId="3D8533F4" w14:textId="09F815C7" w:rsidR="00974E48" w:rsidRDefault="01451D5D" w:rsidP="01451D5D">
      <w:pPr>
        <w:numPr>
          <w:ilvl w:val="0"/>
          <w:numId w:val="21"/>
        </w:numPr>
        <w:spacing w:after="120" w:line="259" w:lineRule="auto"/>
        <w:ind w:left="360"/>
        <w:jc w:val="both"/>
        <w:rPr>
          <w:sz w:val="24"/>
          <w:szCs w:val="24"/>
        </w:rPr>
      </w:pPr>
      <w:r w:rsidRPr="00322FD0">
        <w:rPr>
          <w:b/>
          <w:bCs/>
          <w:color w:val="auto"/>
          <w:sz w:val="24"/>
          <w:szCs w:val="24"/>
        </w:rPr>
        <w:t>In 2017, the Tunisian Government enacted The Act on Violence Against Women (the “Act”), which includes reform to key articles of the Penal Code.</w:t>
      </w:r>
      <w:r w:rsidR="00974E48" w:rsidRPr="00322FD0">
        <w:rPr>
          <w:rStyle w:val="FootnoteReference"/>
          <w:b/>
          <w:bCs/>
          <w:color w:val="auto"/>
          <w:sz w:val="24"/>
          <w:szCs w:val="24"/>
        </w:rPr>
        <w:footnoteReference w:id="10"/>
      </w:r>
      <w:r w:rsidRPr="01451D5D">
        <w:rPr>
          <w:color w:val="auto"/>
          <w:sz w:val="24"/>
          <w:szCs w:val="24"/>
        </w:rPr>
        <w:t xml:space="preserve"> </w:t>
      </w:r>
      <w:r w:rsidRPr="01451D5D">
        <w:rPr>
          <w:sz w:val="24"/>
          <w:szCs w:val="24"/>
        </w:rPr>
        <w:t>One provision of the Act eliminates the possibility of impunity for rape if a perpetrator marries the victim. According to the Tunisian Government, while the act does not specifically include the terms “marital rape” or “domestic violence,” they are criminalized within more general articles prohibiting violence against women, irrespective of the perpetrator. Penalties increase for criminal offenses such as assault or rape perpetrated against a family member.</w:t>
      </w:r>
    </w:p>
    <w:p w14:paraId="35E6C1D6" w14:textId="19C80F8D" w:rsidR="00974E48" w:rsidRDefault="01451D5D" w:rsidP="01451D5D">
      <w:pPr>
        <w:numPr>
          <w:ilvl w:val="0"/>
          <w:numId w:val="21"/>
        </w:numPr>
        <w:spacing w:after="120" w:line="259" w:lineRule="auto"/>
        <w:ind w:left="360"/>
        <w:jc w:val="both"/>
        <w:rPr>
          <w:sz w:val="24"/>
          <w:szCs w:val="24"/>
          <w:vertAlign w:val="superscript"/>
        </w:rPr>
      </w:pPr>
      <w:r w:rsidRPr="01451D5D">
        <w:rPr>
          <w:sz w:val="24"/>
          <w:szCs w:val="24"/>
        </w:rPr>
        <w:t xml:space="preserve">Article 15 of the Act amended Penal Code article 227 to define rape as any act of sexual </w:t>
      </w:r>
      <w:r w:rsidRPr="01451D5D">
        <w:rPr>
          <w:sz w:val="24"/>
          <w:szCs w:val="24"/>
          <w:lang w:val="en"/>
        </w:rPr>
        <w:t>penetration</w:t>
      </w:r>
      <w:r w:rsidRPr="01451D5D">
        <w:rPr>
          <w:sz w:val="24"/>
          <w:szCs w:val="24"/>
        </w:rPr>
        <w:t xml:space="preserve">, regardless of the nature of the penetration or </w:t>
      </w:r>
      <w:proofErr w:type="gramStart"/>
      <w:r w:rsidRPr="01451D5D">
        <w:rPr>
          <w:sz w:val="24"/>
          <w:szCs w:val="24"/>
        </w:rPr>
        <w:t>the means by which</w:t>
      </w:r>
      <w:proofErr w:type="gramEnd"/>
      <w:r w:rsidRPr="01451D5D">
        <w:rPr>
          <w:sz w:val="24"/>
          <w:szCs w:val="24"/>
        </w:rPr>
        <w:t xml:space="preserve"> it was achieved, </w:t>
      </w:r>
      <w:r w:rsidRPr="01451D5D">
        <w:rPr>
          <w:sz w:val="24"/>
          <w:szCs w:val="24"/>
          <w:lang w:val="en"/>
        </w:rPr>
        <w:t>committed</w:t>
      </w:r>
      <w:r w:rsidRPr="01451D5D">
        <w:rPr>
          <w:sz w:val="24"/>
          <w:szCs w:val="24"/>
        </w:rPr>
        <w:t xml:space="preserve"> against either a man or a woman, without that person’s consent. Article 227 makes rape punishable with life imprisonment if committed with violence or a weapon or against anyone under the age of 16. The article sets the age of consent at 16 years old.</w:t>
      </w:r>
      <w:r w:rsidR="00974E48" w:rsidRPr="01451D5D">
        <w:rPr>
          <w:rStyle w:val="FootnoteReference"/>
          <w:sz w:val="24"/>
          <w:szCs w:val="24"/>
        </w:rPr>
        <w:footnoteReference w:id="11"/>
      </w:r>
    </w:p>
    <w:p w14:paraId="4D44D9BE" w14:textId="56F96D33" w:rsidR="00974E48" w:rsidRDefault="01451D5D" w:rsidP="01451D5D">
      <w:pPr>
        <w:numPr>
          <w:ilvl w:val="0"/>
          <w:numId w:val="21"/>
        </w:numPr>
        <w:spacing w:after="120" w:line="259" w:lineRule="auto"/>
        <w:ind w:left="360"/>
        <w:jc w:val="both"/>
        <w:rPr>
          <w:sz w:val="24"/>
          <w:szCs w:val="24"/>
        </w:rPr>
      </w:pPr>
      <w:r w:rsidRPr="01451D5D">
        <w:rPr>
          <w:sz w:val="24"/>
          <w:szCs w:val="24"/>
        </w:rPr>
        <w:t>It also created a new “crime of aggression against the intimate partner with repeated verbal or psychological violence that harms the dignity or physical or psychological safety of the victim, punishable with 6 months to 1 year.”</w:t>
      </w:r>
      <w:r w:rsidR="00974E48" w:rsidRPr="01451D5D">
        <w:rPr>
          <w:rStyle w:val="FootnoteReference"/>
          <w:sz w:val="24"/>
          <w:szCs w:val="24"/>
        </w:rPr>
        <w:footnoteReference w:id="12"/>
      </w:r>
    </w:p>
    <w:p w14:paraId="77182C46" w14:textId="56619E69" w:rsidR="00974E48" w:rsidRPr="00F65372" w:rsidRDefault="01451D5D" w:rsidP="01451D5D">
      <w:pPr>
        <w:numPr>
          <w:ilvl w:val="0"/>
          <w:numId w:val="21"/>
        </w:numPr>
        <w:spacing w:after="120" w:line="259" w:lineRule="auto"/>
        <w:ind w:left="360"/>
        <w:jc w:val="both"/>
        <w:rPr>
          <w:sz w:val="24"/>
          <w:szCs w:val="24"/>
        </w:rPr>
      </w:pPr>
      <w:r w:rsidRPr="00F65372">
        <w:rPr>
          <w:sz w:val="24"/>
          <w:szCs w:val="24"/>
        </w:rPr>
        <w:t>In addition to the Act, the Ministry of the Interior founded two units specializing in investigation of crimes of violence against women and children.</w:t>
      </w:r>
      <w:r w:rsidR="00974E48" w:rsidRPr="00F65372">
        <w:rPr>
          <w:rStyle w:val="FootnoteReference"/>
          <w:sz w:val="24"/>
          <w:szCs w:val="24"/>
        </w:rPr>
        <w:footnoteReference w:id="13"/>
      </w:r>
      <w:r w:rsidRPr="00F65372">
        <w:rPr>
          <w:sz w:val="24"/>
          <w:szCs w:val="24"/>
        </w:rPr>
        <w:t xml:space="preserve"> In 2018, several Tunisian </w:t>
      </w:r>
      <w:r w:rsidRPr="00F65372">
        <w:rPr>
          <w:sz w:val="24"/>
          <w:szCs w:val="24"/>
        </w:rPr>
        <w:lastRenderedPageBreak/>
        <w:t>Ministries signed a collective convention to assign institutions for data collection and research on violence against women.</w:t>
      </w:r>
      <w:r w:rsidR="00974E48" w:rsidRPr="00F65372">
        <w:rPr>
          <w:rStyle w:val="FootnoteReference"/>
          <w:sz w:val="24"/>
          <w:szCs w:val="24"/>
        </w:rPr>
        <w:footnoteReference w:id="14"/>
      </w:r>
      <w:r w:rsidRPr="00F65372">
        <w:rPr>
          <w:sz w:val="24"/>
          <w:szCs w:val="24"/>
        </w:rPr>
        <w:t xml:space="preserve"> </w:t>
      </w:r>
    </w:p>
    <w:p w14:paraId="5D8ED2CB" w14:textId="512D669A" w:rsidR="00974E48" w:rsidRDefault="01451D5D" w:rsidP="01451D5D">
      <w:pPr>
        <w:numPr>
          <w:ilvl w:val="0"/>
          <w:numId w:val="21"/>
        </w:numPr>
        <w:spacing w:after="120" w:line="259" w:lineRule="auto"/>
        <w:ind w:left="360"/>
        <w:jc w:val="both"/>
        <w:rPr>
          <w:sz w:val="24"/>
          <w:szCs w:val="24"/>
        </w:rPr>
      </w:pPr>
      <w:r w:rsidRPr="0014606C">
        <w:rPr>
          <w:b/>
          <w:bCs/>
          <w:sz w:val="24"/>
          <w:szCs w:val="24"/>
        </w:rPr>
        <w:t>Despite progress, the application of the new Act and its additions to situations of domestic violence remains limited both by the language of the law and in practice.</w:t>
      </w:r>
      <w:r w:rsidRPr="01451D5D">
        <w:rPr>
          <w:sz w:val="24"/>
          <w:szCs w:val="24"/>
        </w:rPr>
        <w:t xml:space="preserve">  Articles 218, 219 and 319 apply only in situations of physical violence, excluding psychological and economic violence.  The penalties for psychological and economic violence in Articles 224 bis, 18, and 19 are not sufficient to deter perpetrators. </w:t>
      </w:r>
    </w:p>
    <w:p w14:paraId="25D625C0" w14:textId="0B58B548" w:rsidR="00974E48" w:rsidRDefault="01451D5D" w:rsidP="01451D5D">
      <w:pPr>
        <w:numPr>
          <w:ilvl w:val="0"/>
          <w:numId w:val="21"/>
        </w:numPr>
        <w:spacing w:after="120" w:line="259" w:lineRule="auto"/>
        <w:ind w:left="360"/>
        <w:jc w:val="both"/>
        <w:rPr>
          <w:sz w:val="24"/>
          <w:szCs w:val="24"/>
        </w:rPr>
      </w:pPr>
      <w:r w:rsidRPr="01451D5D">
        <w:rPr>
          <w:sz w:val="24"/>
          <w:szCs w:val="24"/>
        </w:rPr>
        <w:t xml:space="preserve">The new legislation applies only to violence committed between spouses, ex-spouses, </w:t>
      </w:r>
      <w:proofErr w:type="gramStart"/>
      <w:r w:rsidRPr="01451D5D">
        <w:rPr>
          <w:sz w:val="24"/>
          <w:szCs w:val="24"/>
        </w:rPr>
        <w:t>fiancés</w:t>
      </w:r>
      <w:proofErr w:type="gramEnd"/>
      <w:r w:rsidRPr="01451D5D">
        <w:rPr>
          <w:sz w:val="24"/>
          <w:szCs w:val="24"/>
        </w:rPr>
        <w:t xml:space="preserve"> and ex-fiancés, and does not provide protection for violence that occurs between unmarried intimate partners.</w:t>
      </w:r>
    </w:p>
    <w:p w14:paraId="2565F299" w14:textId="77777777" w:rsidR="008274B6" w:rsidRPr="008274B6" w:rsidRDefault="01451D5D" w:rsidP="008274B6">
      <w:pPr>
        <w:numPr>
          <w:ilvl w:val="0"/>
          <w:numId w:val="21"/>
        </w:numPr>
        <w:spacing w:after="120" w:line="259" w:lineRule="auto"/>
        <w:ind w:left="360"/>
        <w:jc w:val="both"/>
        <w:rPr>
          <w:sz w:val="24"/>
          <w:szCs w:val="24"/>
        </w:rPr>
      </w:pPr>
      <w:r w:rsidRPr="002A4BE4">
        <w:rPr>
          <w:b/>
          <w:bCs/>
          <w:sz w:val="24"/>
          <w:szCs w:val="24"/>
        </w:rPr>
        <w:t>Sexual relationships between unmarried persons remain illegal in Tunisia, creating barriers to women reporting violence committed in non-marital intimate relationships.</w:t>
      </w:r>
      <w:r w:rsidRPr="01451D5D">
        <w:rPr>
          <w:b/>
          <w:bCs/>
          <w:sz w:val="24"/>
          <w:szCs w:val="24"/>
        </w:rPr>
        <w:t xml:space="preserve"> </w:t>
      </w:r>
      <w:r w:rsidRPr="01451D5D">
        <w:rPr>
          <w:sz w:val="24"/>
          <w:szCs w:val="24"/>
        </w:rPr>
        <w:t xml:space="preserve">Penal code provisions criminalizing sexual relations outside of marriage prevent women from reporting intimate partner violence. Penal Code article 226 punishes “public indecency” by six months' imprisonment and a fine of 48 dinars, a provision applied in practice to sanction unmarried couples, while article 236 punishes adultery with five </w:t>
      </w:r>
      <w:proofErr w:type="spellStart"/>
      <w:r w:rsidRPr="01451D5D">
        <w:rPr>
          <w:sz w:val="24"/>
          <w:szCs w:val="24"/>
        </w:rPr>
        <w:t>years</w:t>
      </w:r>
      <w:proofErr w:type="spellEnd"/>
      <w:r w:rsidRPr="01451D5D">
        <w:rPr>
          <w:sz w:val="24"/>
          <w:szCs w:val="24"/>
        </w:rPr>
        <w:t xml:space="preserve"> imprisonment and a 500 dinar fine.</w:t>
      </w:r>
      <w:r w:rsidR="00974E48" w:rsidRPr="01451D5D">
        <w:rPr>
          <w:rStyle w:val="FootnoteReference"/>
          <w:sz w:val="24"/>
          <w:szCs w:val="24"/>
        </w:rPr>
        <w:footnoteReference w:id="15"/>
      </w:r>
      <w:r w:rsidRPr="01451D5D">
        <w:rPr>
          <w:sz w:val="24"/>
          <w:szCs w:val="24"/>
        </w:rPr>
        <w:t xml:space="preserve"> In addition, Article 36 of law </w:t>
      </w:r>
      <w:proofErr w:type="spellStart"/>
      <w:r w:rsidRPr="01451D5D">
        <w:rPr>
          <w:sz w:val="24"/>
          <w:szCs w:val="24"/>
        </w:rPr>
        <w:t>n</w:t>
      </w:r>
      <w:proofErr w:type="spellEnd"/>
      <w:r w:rsidRPr="01451D5D">
        <w:rPr>
          <w:sz w:val="24"/>
          <w:szCs w:val="24"/>
        </w:rPr>
        <w:t xml:space="preserve"> ° 57-3 of August 1, </w:t>
      </w:r>
      <w:proofErr w:type="gramStart"/>
      <w:r w:rsidRPr="01451D5D">
        <w:rPr>
          <w:sz w:val="24"/>
          <w:szCs w:val="24"/>
        </w:rPr>
        <w:t>1957</w:t>
      </w:r>
      <w:proofErr w:type="gramEnd"/>
      <w:r w:rsidRPr="01451D5D">
        <w:rPr>
          <w:sz w:val="24"/>
          <w:szCs w:val="24"/>
        </w:rPr>
        <w:t xml:space="preserve"> regulating civil status punishes </w:t>
      </w:r>
      <w:r w:rsidRPr="008274B6">
        <w:rPr>
          <w:sz w:val="24"/>
          <w:szCs w:val="24"/>
        </w:rPr>
        <w:t>concubinage – unmarried persons cohabitating – with three to six months imprisonment.</w:t>
      </w:r>
    </w:p>
    <w:p w14:paraId="78422552" w14:textId="4674F5B0" w:rsidR="00EA1D4B" w:rsidRPr="00B97205" w:rsidRDefault="00EA1D4B" w:rsidP="008274B6">
      <w:pPr>
        <w:numPr>
          <w:ilvl w:val="0"/>
          <w:numId w:val="21"/>
        </w:numPr>
        <w:spacing w:after="120" w:line="259" w:lineRule="auto"/>
        <w:ind w:left="360"/>
        <w:jc w:val="both"/>
        <w:rPr>
          <w:sz w:val="24"/>
          <w:szCs w:val="24"/>
        </w:rPr>
      </w:pPr>
      <w:r w:rsidRPr="00B97205">
        <w:rPr>
          <w:sz w:val="24"/>
          <w:szCs w:val="24"/>
        </w:rPr>
        <w:t xml:space="preserve">Tunisian NGOs in several towns reported that women in intimate cohabitating or dating relationships will not </w:t>
      </w:r>
      <w:r w:rsidRPr="00B97205">
        <w:rPr>
          <w:b/>
          <w:bCs/>
          <w:sz w:val="24"/>
          <w:szCs w:val="24"/>
        </w:rPr>
        <w:t>report</w:t>
      </w:r>
      <w:r w:rsidRPr="00B97205">
        <w:rPr>
          <w:sz w:val="24"/>
          <w:szCs w:val="24"/>
        </w:rPr>
        <w:t xml:space="preserve"> violence to the authorities out of fear of being arrested themselves.</w:t>
      </w:r>
      <w:r w:rsidR="00661278" w:rsidRPr="00B97205">
        <w:rPr>
          <w:rStyle w:val="FootnoteReference"/>
          <w:sz w:val="24"/>
          <w:szCs w:val="24"/>
        </w:rPr>
        <w:footnoteReference w:id="16"/>
      </w:r>
      <w:r w:rsidR="00661278" w:rsidRPr="00B97205">
        <w:rPr>
          <w:sz w:val="24"/>
          <w:szCs w:val="24"/>
        </w:rPr>
        <w:t xml:space="preserve"> </w:t>
      </w:r>
      <w:r w:rsidRPr="00B97205">
        <w:rPr>
          <w:sz w:val="24"/>
          <w:szCs w:val="24"/>
        </w:rPr>
        <w:t xml:space="preserve"> </w:t>
      </w:r>
    </w:p>
    <w:p w14:paraId="22A62F76" w14:textId="0ECE9823" w:rsidR="00974E48" w:rsidRPr="00B97205" w:rsidRDefault="01451D5D" w:rsidP="01451D5D">
      <w:pPr>
        <w:numPr>
          <w:ilvl w:val="0"/>
          <w:numId w:val="21"/>
        </w:numPr>
        <w:spacing w:after="120" w:line="259" w:lineRule="auto"/>
        <w:ind w:left="360"/>
        <w:jc w:val="both"/>
        <w:rPr>
          <w:sz w:val="24"/>
          <w:szCs w:val="24"/>
        </w:rPr>
      </w:pPr>
      <w:r w:rsidRPr="00B97205">
        <w:rPr>
          <w:sz w:val="24"/>
          <w:szCs w:val="24"/>
        </w:rPr>
        <w:t xml:space="preserve">In September 2018, two young high school students (a boy and a girl) were tried </w:t>
      </w:r>
      <w:proofErr w:type="gramStart"/>
      <w:r w:rsidRPr="00B97205">
        <w:rPr>
          <w:sz w:val="24"/>
          <w:szCs w:val="24"/>
        </w:rPr>
        <w:t>on the basis of</w:t>
      </w:r>
      <w:proofErr w:type="gramEnd"/>
      <w:r w:rsidRPr="00B97205">
        <w:rPr>
          <w:sz w:val="24"/>
          <w:szCs w:val="24"/>
        </w:rPr>
        <w:t xml:space="preserve"> articles 226 and 226bis of the Tunisian Penal Code for </w:t>
      </w:r>
      <w:r w:rsidRPr="00B97205">
        <w:rPr>
          <w:b/>
          <w:bCs/>
          <w:sz w:val="24"/>
          <w:szCs w:val="24"/>
        </w:rPr>
        <w:t>“</w:t>
      </w:r>
      <w:r w:rsidRPr="00B97205">
        <w:rPr>
          <w:sz w:val="24"/>
          <w:szCs w:val="24"/>
        </w:rPr>
        <w:t>indecency” after a school guard discovered them kissing.</w:t>
      </w:r>
      <w:r w:rsidR="00974E48" w:rsidRPr="00B97205">
        <w:rPr>
          <w:rStyle w:val="FootnoteReference"/>
          <w:sz w:val="24"/>
          <w:szCs w:val="24"/>
        </w:rPr>
        <w:footnoteReference w:id="17"/>
      </w:r>
      <w:r w:rsidRPr="00B97205">
        <w:rPr>
          <w:sz w:val="24"/>
          <w:szCs w:val="24"/>
        </w:rPr>
        <w:t xml:space="preserve"> </w:t>
      </w:r>
      <w:r w:rsidRPr="00F65372">
        <w:rPr>
          <w:sz w:val="24"/>
          <w:szCs w:val="24"/>
        </w:rPr>
        <w:t xml:space="preserve">That same month, a </w:t>
      </w:r>
      <w:r w:rsidR="006E0945">
        <w:rPr>
          <w:sz w:val="24"/>
          <w:szCs w:val="24"/>
        </w:rPr>
        <w:t>t</w:t>
      </w:r>
      <w:r w:rsidRPr="00F65372">
        <w:rPr>
          <w:sz w:val="24"/>
          <w:szCs w:val="24"/>
        </w:rPr>
        <w:t>rans</w:t>
      </w:r>
      <w:r w:rsidR="006E0945">
        <w:rPr>
          <w:sz w:val="24"/>
          <w:szCs w:val="24"/>
        </w:rPr>
        <w:t>gender</w:t>
      </w:r>
      <w:r w:rsidRPr="00F65372">
        <w:rPr>
          <w:sz w:val="24"/>
          <w:szCs w:val="24"/>
        </w:rPr>
        <w:t xml:space="preserve"> woman was arrested for “indecency” and subsequently placed in a male prison without consideration of her gender identity.</w:t>
      </w:r>
      <w:r w:rsidR="00974E48" w:rsidRPr="00F65372">
        <w:rPr>
          <w:rStyle w:val="FootnoteReference"/>
          <w:sz w:val="24"/>
          <w:szCs w:val="24"/>
        </w:rPr>
        <w:footnoteReference w:id="18"/>
      </w:r>
    </w:p>
    <w:p w14:paraId="3D5752A5" w14:textId="05A567AD" w:rsidR="00974E48" w:rsidRDefault="01451D5D" w:rsidP="01451D5D">
      <w:pPr>
        <w:numPr>
          <w:ilvl w:val="0"/>
          <w:numId w:val="21"/>
        </w:numPr>
        <w:spacing w:after="120" w:line="259" w:lineRule="auto"/>
        <w:ind w:left="360"/>
        <w:jc w:val="both"/>
        <w:rPr>
          <w:sz w:val="24"/>
          <w:szCs w:val="24"/>
        </w:rPr>
      </w:pPr>
      <w:r w:rsidRPr="009F13E1">
        <w:rPr>
          <w:b/>
          <w:bCs/>
          <w:sz w:val="24"/>
          <w:szCs w:val="24"/>
        </w:rPr>
        <w:lastRenderedPageBreak/>
        <w:t>Very few women victims of violence in Tunisia report the violence to the authorities.</w:t>
      </w:r>
      <w:r w:rsidRPr="01451D5D">
        <w:rPr>
          <w:sz w:val="24"/>
          <w:szCs w:val="24"/>
        </w:rPr>
        <w:t xml:space="preserve"> Women reported a lack of trust and confidence in the justice system,</w:t>
      </w:r>
      <w:r w:rsidR="00974E48" w:rsidRPr="01451D5D">
        <w:rPr>
          <w:rStyle w:val="FootnoteReference"/>
          <w:sz w:val="24"/>
          <w:szCs w:val="24"/>
        </w:rPr>
        <w:footnoteReference w:id="19"/>
      </w:r>
      <w:r w:rsidRPr="01451D5D">
        <w:rPr>
          <w:sz w:val="24"/>
          <w:szCs w:val="24"/>
        </w:rPr>
        <w:t xml:space="preserve"> with only 3.6% of women identified the police and health system institutions respectively as sources of assistance they would seek.</w:t>
      </w:r>
      <w:r w:rsidR="00974E48" w:rsidRPr="01451D5D">
        <w:rPr>
          <w:rStyle w:val="FootnoteReference"/>
          <w:sz w:val="24"/>
          <w:szCs w:val="24"/>
        </w:rPr>
        <w:footnoteReference w:id="20"/>
      </w:r>
      <w:r w:rsidRPr="01451D5D">
        <w:rPr>
          <w:sz w:val="24"/>
          <w:szCs w:val="24"/>
        </w:rPr>
        <w:t xml:space="preserve"> The penal code provisions criminalizing sexual relations outside of marriage discourage women in intimate cohabitating or dating relationships from reporting violence or rape to the authorities, out of fear of being arrested themselves.</w:t>
      </w:r>
      <w:r w:rsidR="00974E48" w:rsidRPr="01451D5D">
        <w:rPr>
          <w:rStyle w:val="FootnoteReference"/>
          <w:sz w:val="24"/>
          <w:szCs w:val="24"/>
        </w:rPr>
        <w:footnoteReference w:id="21"/>
      </w:r>
      <w:r w:rsidRPr="01451D5D">
        <w:rPr>
          <w:sz w:val="24"/>
          <w:szCs w:val="24"/>
        </w:rPr>
        <w:t xml:space="preserve"> Women also do not report domestic violence and rape due to </w:t>
      </w:r>
      <w:r w:rsidRPr="01451D5D">
        <w:rPr>
          <w:sz w:val="24"/>
          <w:szCs w:val="24"/>
          <w:lang w:val="en"/>
        </w:rPr>
        <w:t>social and cultural pressures, including the traditionally taboo nature of violence against women, a concern to protect the image and reputation of the victim’s family, and the fear of ending up homeless.</w:t>
      </w:r>
      <w:r w:rsidR="00974E48" w:rsidRPr="01451D5D">
        <w:rPr>
          <w:rStyle w:val="FootnoteReference"/>
          <w:sz w:val="24"/>
          <w:szCs w:val="24"/>
          <w:lang w:val="en"/>
        </w:rPr>
        <w:footnoteReference w:id="22"/>
      </w:r>
      <w:r w:rsidRPr="01451D5D">
        <w:rPr>
          <w:sz w:val="24"/>
          <w:szCs w:val="24"/>
          <w:lang w:val="en"/>
        </w:rPr>
        <w:t xml:space="preserve"> </w:t>
      </w:r>
    </w:p>
    <w:p w14:paraId="04BF98F2" w14:textId="79D9DD45" w:rsidR="00974E48" w:rsidRDefault="01451D5D" w:rsidP="01451D5D">
      <w:pPr>
        <w:numPr>
          <w:ilvl w:val="0"/>
          <w:numId w:val="21"/>
        </w:numPr>
        <w:spacing w:after="120" w:line="259" w:lineRule="auto"/>
        <w:ind w:left="360"/>
        <w:jc w:val="both"/>
        <w:rPr>
          <w:sz w:val="24"/>
          <w:szCs w:val="24"/>
        </w:rPr>
      </w:pPr>
      <w:r w:rsidRPr="01451D5D">
        <w:rPr>
          <w:sz w:val="24"/>
          <w:szCs w:val="24"/>
        </w:rPr>
        <w:t xml:space="preserve">Due to these legal and societal pressures, convictions for sexual violence are far below the number of actual incidents. </w:t>
      </w:r>
      <w:r w:rsidRPr="006E0945">
        <w:rPr>
          <w:color w:val="auto"/>
          <w:sz w:val="24"/>
          <w:szCs w:val="24"/>
        </w:rPr>
        <w:t>This is exacerbated by findings that while the government is tracking cases of gender-based violence, there has not been a systematic tracking of cases of rape nor has that information been made public.</w:t>
      </w:r>
      <w:r w:rsidR="00974E48" w:rsidRPr="006E0945">
        <w:rPr>
          <w:rStyle w:val="FootnoteReference"/>
          <w:color w:val="auto"/>
          <w:sz w:val="24"/>
          <w:szCs w:val="24"/>
        </w:rPr>
        <w:footnoteReference w:id="23"/>
      </w:r>
      <w:r w:rsidRPr="006E0945">
        <w:rPr>
          <w:color w:val="auto"/>
          <w:sz w:val="24"/>
          <w:szCs w:val="24"/>
        </w:rPr>
        <w:t xml:space="preserve"> </w:t>
      </w:r>
    </w:p>
    <w:p w14:paraId="2289CF80" w14:textId="77777777" w:rsidR="00A80C92" w:rsidRDefault="01451D5D" w:rsidP="00A80C92">
      <w:pPr>
        <w:numPr>
          <w:ilvl w:val="0"/>
          <w:numId w:val="21"/>
        </w:numPr>
        <w:spacing w:after="120" w:line="259" w:lineRule="auto"/>
        <w:ind w:left="360"/>
        <w:jc w:val="both"/>
        <w:rPr>
          <w:sz w:val="24"/>
          <w:szCs w:val="24"/>
        </w:rPr>
      </w:pPr>
      <w:r w:rsidRPr="00463C4F">
        <w:rPr>
          <w:b/>
          <w:bCs/>
          <w:sz w:val="24"/>
          <w:szCs w:val="24"/>
        </w:rPr>
        <w:t>Implementation of the new legislation is also lacking.</w:t>
      </w:r>
      <w:r w:rsidRPr="01451D5D">
        <w:rPr>
          <w:b/>
          <w:bCs/>
          <w:sz w:val="24"/>
          <w:szCs w:val="24"/>
        </w:rPr>
        <w:t xml:space="preserve"> </w:t>
      </w:r>
      <w:r w:rsidRPr="01451D5D">
        <w:rPr>
          <w:sz w:val="24"/>
          <w:szCs w:val="24"/>
        </w:rPr>
        <w:t>Between 2016 and 2017, while the Ministry of Justice received 5,569 complaints of violence against women, over half of them did not make it to court or were dropped altogether.</w:t>
      </w:r>
      <w:r w:rsidR="00974E48" w:rsidRPr="01451D5D">
        <w:rPr>
          <w:rStyle w:val="FootnoteReference"/>
          <w:sz w:val="24"/>
          <w:szCs w:val="24"/>
        </w:rPr>
        <w:footnoteReference w:id="24"/>
      </w:r>
      <w:r w:rsidRPr="01451D5D">
        <w:rPr>
          <w:sz w:val="24"/>
          <w:szCs w:val="24"/>
        </w:rPr>
        <w:t xml:space="preserve"> Of 35,988 cases of violence against women and girls registered with the Directorate General of Public Security in 2019, legal proceedings were initiated in 8,198 of those cases, and 515 perpetrators arrested.</w:t>
      </w:r>
      <w:r w:rsidR="00974E48" w:rsidRPr="01451D5D">
        <w:rPr>
          <w:rStyle w:val="FootnoteReference"/>
          <w:sz w:val="24"/>
          <w:szCs w:val="24"/>
        </w:rPr>
        <w:footnoteReference w:id="25"/>
      </w:r>
      <w:r w:rsidRPr="01451D5D">
        <w:rPr>
          <w:sz w:val="24"/>
          <w:szCs w:val="24"/>
        </w:rPr>
        <w:t xml:space="preserve"> In one recent example, a woman was shot dead by her husband two days after she attempted to file a complaint against him. Although the police transferred her complaint to the judiciary, the judiciary failed to arrest her husband and to put protective measures in place.</w:t>
      </w:r>
      <w:r w:rsidR="00974E48" w:rsidRPr="01451D5D">
        <w:rPr>
          <w:rStyle w:val="FootnoteReference"/>
          <w:sz w:val="24"/>
          <w:szCs w:val="24"/>
        </w:rPr>
        <w:footnoteReference w:id="26"/>
      </w:r>
    </w:p>
    <w:p w14:paraId="6EA1FCD2" w14:textId="77777777" w:rsidR="009F13E1" w:rsidRDefault="01451D5D" w:rsidP="009F13E1">
      <w:pPr>
        <w:numPr>
          <w:ilvl w:val="0"/>
          <w:numId w:val="21"/>
        </w:numPr>
        <w:spacing w:after="120" w:line="259" w:lineRule="auto"/>
        <w:ind w:left="360"/>
        <w:jc w:val="both"/>
        <w:rPr>
          <w:sz w:val="24"/>
          <w:szCs w:val="24"/>
        </w:rPr>
      </w:pPr>
      <w:r w:rsidRPr="00A80C92">
        <w:rPr>
          <w:b/>
          <w:bCs/>
          <w:sz w:val="24"/>
          <w:szCs w:val="24"/>
        </w:rPr>
        <w:lastRenderedPageBreak/>
        <w:t>Remedies available to victims under new legislation are insufficient to protect them from further harm.</w:t>
      </w:r>
      <w:r w:rsidRPr="00A80C92">
        <w:rPr>
          <w:sz w:val="24"/>
          <w:szCs w:val="24"/>
        </w:rPr>
        <w:t xml:space="preserve"> Article 33 of the Act provides some protective measures for victims of domestic violence. Remedies include both a no-contact order and orders for protection. Article 34 of the Act, however, limits all protective orders to six months, and provides for only one additional protective order of the same duration. Victims effectively receive protection for a year at most.</w:t>
      </w:r>
      <w:r w:rsidR="00974E48" w:rsidRPr="01451D5D">
        <w:rPr>
          <w:rStyle w:val="FootnoteReference"/>
          <w:sz w:val="24"/>
          <w:szCs w:val="24"/>
        </w:rPr>
        <w:footnoteReference w:id="27"/>
      </w:r>
    </w:p>
    <w:p w14:paraId="146BF15F" w14:textId="1CE3EA58" w:rsidR="00974E48" w:rsidRPr="009F13E1" w:rsidRDefault="01451D5D" w:rsidP="009F13E1">
      <w:pPr>
        <w:numPr>
          <w:ilvl w:val="0"/>
          <w:numId w:val="21"/>
        </w:numPr>
        <w:spacing w:after="120" w:line="259" w:lineRule="auto"/>
        <w:ind w:left="360"/>
        <w:jc w:val="both"/>
        <w:rPr>
          <w:rStyle w:val="FootnoteReference"/>
          <w:sz w:val="24"/>
          <w:szCs w:val="24"/>
          <w:vertAlign w:val="baseline"/>
        </w:rPr>
      </w:pPr>
      <w:r w:rsidRPr="009F13E1">
        <w:rPr>
          <w:b/>
          <w:bCs/>
          <w:sz w:val="24"/>
          <w:szCs w:val="24"/>
        </w:rPr>
        <w:t>Violence against women in Tunisia has “only increased with the onset of the Covid-19 pandemic.</w:t>
      </w:r>
      <w:r w:rsidRPr="009F13E1">
        <w:rPr>
          <w:sz w:val="24"/>
          <w:szCs w:val="24"/>
        </w:rPr>
        <w:t xml:space="preserve"> The Ministry of Women announced that in 2020 alone there were seven times more gender-based violence cases compared to previous years.”</w:t>
      </w:r>
      <w:r w:rsidR="00974E48" w:rsidRPr="01451D5D">
        <w:rPr>
          <w:rStyle w:val="FootnoteReference"/>
          <w:sz w:val="24"/>
          <w:szCs w:val="24"/>
        </w:rPr>
        <w:footnoteReference w:id="28"/>
      </w:r>
      <w:r w:rsidRPr="009F13E1">
        <w:rPr>
          <w:sz w:val="24"/>
          <w:szCs w:val="24"/>
        </w:rPr>
        <w:t xml:space="preserve"> In March 2020, due to Covid-19, the Supreme Judicial Council postponed all non-emergency civil hearings, including family law cases.</w:t>
      </w:r>
      <w:r w:rsidR="00974E48" w:rsidRPr="01451D5D">
        <w:rPr>
          <w:rStyle w:val="FootnoteReference"/>
          <w:sz w:val="24"/>
          <w:szCs w:val="24"/>
        </w:rPr>
        <w:footnoteReference w:id="29"/>
      </w:r>
      <w:r w:rsidRPr="009F13E1">
        <w:rPr>
          <w:sz w:val="24"/>
          <w:szCs w:val="24"/>
        </w:rPr>
        <w:t xml:space="preserve"> Victims’ only option of legal redress was to file a complaint and wait for the courts to reopen. In addition, “According to the UN Entity for Gender Equality and the Empowerment of Women, </w:t>
      </w:r>
      <w:proofErr w:type="gramStart"/>
      <w:r w:rsidRPr="009F13E1">
        <w:rPr>
          <w:sz w:val="24"/>
          <w:szCs w:val="24"/>
        </w:rPr>
        <w:t>helplines</w:t>
      </w:r>
      <w:proofErr w:type="gramEnd"/>
      <w:r w:rsidRPr="009F13E1">
        <w:rPr>
          <w:sz w:val="24"/>
          <w:szCs w:val="24"/>
        </w:rPr>
        <w:t xml:space="preserve"> and shelters for survivors of violence reported a sharp increase in calls for help and requests for emergency shelter during the pandemic. Between 23 March and 31 May, 9,800 calls were recorded on the Ministry of Family’s toll-free numbers, nine times more than usual. Of these, 2,700 concerned cases involving violence. According to women’s rights organizations, police failed in many cases to provide the necessary response to women at risk of domestic violence during lockdown.”</w:t>
      </w:r>
      <w:r w:rsidR="00974E48" w:rsidRPr="01451D5D">
        <w:rPr>
          <w:rStyle w:val="FootnoteReference"/>
          <w:color w:val="auto"/>
          <w:sz w:val="24"/>
          <w:szCs w:val="24"/>
        </w:rPr>
        <w:footnoteReference w:id="30"/>
      </w:r>
      <w:r w:rsidRPr="009F13E1">
        <w:rPr>
          <w:color w:val="auto"/>
          <w:sz w:val="24"/>
          <w:szCs w:val="24"/>
        </w:rPr>
        <w:t xml:space="preserve"> </w:t>
      </w:r>
    </w:p>
    <w:p w14:paraId="66B3E6B0" w14:textId="77777777" w:rsidR="009F13E1" w:rsidRDefault="01451D5D" w:rsidP="009F13E1">
      <w:pPr>
        <w:numPr>
          <w:ilvl w:val="0"/>
          <w:numId w:val="21"/>
        </w:numPr>
        <w:spacing w:after="120" w:line="259" w:lineRule="auto"/>
        <w:ind w:left="360"/>
        <w:jc w:val="both"/>
        <w:rPr>
          <w:sz w:val="24"/>
          <w:szCs w:val="24"/>
        </w:rPr>
      </w:pPr>
      <w:r w:rsidRPr="009F13E1">
        <w:rPr>
          <w:b/>
          <w:bCs/>
          <w:sz w:val="24"/>
          <w:szCs w:val="24"/>
        </w:rPr>
        <w:t>Tunisia also fails to protect women from sexual harassment. Sexual harassment is a widespread problem in Tunisia.</w:t>
      </w:r>
      <w:r w:rsidRPr="01451D5D">
        <w:rPr>
          <w:sz w:val="24"/>
          <w:szCs w:val="24"/>
        </w:rPr>
        <w:t xml:space="preserve"> Between 2011 and 2015, 70 to 90 percent of women who participated in a study reported sexual harassment, especially on public transportation.</w:t>
      </w:r>
      <w:r w:rsidR="00974E48" w:rsidRPr="01451D5D">
        <w:rPr>
          <w:rStyle w:val="FootnoteReference"/>
          <w:sz w:val="24"/>
          <w:szCs w:val="24"/>
        </w:rPr>
        <w:footnoteReference w:id="31"/>
      </w:r>
      <w:r w:rsidRPr="01451D5D">
        <w:rPr>
          <w:sz w:val="24"/>
          <w:szCs w:val="24"/>
        </w:rPr>
        <w:t xml:space="preserve"> </w:t>
      </w:r>
      <w:r w:rsidRPr="01451D5D">
        <w:rPr>
          <w:sz w:val="24"/>
          <w:szCs w:val="24"/>
          <w:lang w:val="en"/>
        </w:rPr>
        <w:t>Reporting</w:t>
      </w:r>
      <w:r w:rsidRPr="01451D5D">
        <w:rPr>
          <w:sz w:val="24"/>
          <w:szCs w:val="24"/>
        </w:rPr>
        <w:t xml:space="preserve"> rates and prosecutions are also low due to a culture of victim blaming and harmful stereotypes.</w:t>
      </w:r>
    </w:p>
    <w:p w14:paraId="459759A9" w14:textId="3A18DBC5" w:rsidR="00974E48" w:rsidRPr="009F13E1" w:rsidRDefault="01451D5D" w:rsidP="009F13E1">
      <w:pPr>
        <w:numPr>
          <w:ilvl w:val="0"/>
          <w:numId w:val="21"/>
        </w:numPr>
        <w:spacing w:after="120" w:line="259" w:lineRule="auto"/>
        <w:ind w:left="360"/>
        <w:jc w:val="both"/>
        <w:rPr>
          <w:sz w:val="24"/>
          <w:szCs w:val="24"/>
        </w:rPr>
      </w:pPr>
      <w:r w:rsidRPr="009F13E1">
        <w:rPr>
          <w:sz w:val="24"/>
          <w:szCs w:val="24"/>
        </w:rPr>
        <w:t>Tunisia recently amended its legislation to combat sexual harassment</w:t>
      </w:r>
      <w:r w:rsidRPr="009F13E1">
        <w:rPr>
          <w:b/>
          <w:bCs/>
          <w:sz w:val="24"/>
          <w:szCs w:val="24"/>
        </w:rPr>
        <w:t xml:space="preserve">. </w:t>
      </w:r>
      <w:r w:rsidRPr="009F13E1">
        <w:rPr>
          <w:sz w:val="24"/>
          <w:szCs w:val="24"/>
        </w:rPr>
        <w:t>Sexual harassment is punishable with two years’ imprisonment and a 5000 dinar fine under Article 226 bis of Tunisia’s Penal Code, as amended in 2016. The amended article doubles the penalty for sexual harassment if the victim is a child or a descendant of the offender.</w:t>
      </w:r>
      <w:r w:rsidR="00974E48" w:rsidRPr="01451D5D">
        <w:rPr>
          <w:rStyle w:val="FootnoteReference"/>
          <w:sz w:val="24"/>
          <w:szCs w:val="24"/>
        </w:rPr>
        <w:footnoteReference w:id="32"/>
      </w:r>
      <w:r w:rsidRPr="009F13E1">
        <w:rPr>
          <w:sz w:val="24"/>
          <w:szCs w:val="24"/>
        </w:rPr>
        <w:t xml:space="preserve"> The 2017 Act also removed key articles of the Criminal Code, including Article 226 quarter which allowed someone accused of sexual harassment to sue the victim.</w:t>
      </w:r>
      <w:r w:rsidR="00974E48" w:rsidRPr="01451D5D">
        <w:rPr>
          <w:rStyle w:val="FootnoteReference"/>
          <w:sz w:val="24"/>
          <w:szCs w:val="24"/>
        </w:rPr>
        <w:footnoteReference w:id="33"/>
      </w:r>
    </w:p>
    <w:p w14:paraId="26B7EDB8" w14:textId="21843C12" w:rsidR="00974E48" w:rsidRDefault="01451D5D" w:rsidP="01451D5D">
      <w:pPr>
        <w:numPr>
          <w:ilvl w:val="0"/>
          <w:numId w:val="21"/>
        </w:numPr>
        <w:spacing w:after="120" w:line="259" w:lineRule="auto"/>
        <w:ind w:left="360"/>
        <w:jc w:val="both"/>
        <w:rPr>
          <w:sz w:val="24"/>
          <w:szCs w:val="24"/>
        </w:rPr>
      </w:pPr>
      <w:r w:rsidRPr="01451D5D">
        <w:rPr>
          <w:sz w:val="24"/>
          <w:szCs w:val="24"/>
        </w:rPr>
        <w:lastRenderedPageBreak/>
        <w:t>Women experience sexual harassment in the workplace. In a survey of rural women working in agriculture, the Tunisian Association of Democratic Women found that women reported not only work-related health problems, but also sexual and other forms of harassment as well as physical, verbal, and psychological violence.  One in five women reported that they experienced domestic violence at work, with 47.1% reporting verbal abuse and 29.4% reporting physical violence by their spouse.</w:t>
      </w:r>
      <w:r w:rsidR="00974E48" w:rsidRPr="01451D5D">
        <w:rPr>
          <w:rStyle w:val="FootnoteReference"/>
          <w:sz w:val="24"/>
          <w:szCs w:val="24"/>
        </w:rPr>
        <w:footnoteReference w:id="34"/>
      </w:r>
      <w:r w:rsidRPr="01451D5D">
        <w:rPr>
          <w:sz w:val="24"/>
          <w:szCs w:val="24"/>
        </w:rPr>
        <w:t xml:space="preserve"> </w:t>
      </w:r>
    </w:p>
    <w:p w14:paraId="01C620AD" w14:textId="438EA8AB" w:rsidR="00974E48" w:rsidRDefault="01451D5D" w:rsidP="01451D5D">
      <w:pPr>
        <w:numPr>
          <w:ilvl w:val="0"/>
          <w:numId w:val="21"/>
        </w:numPr>
        <w:spacing w:after="120" w:line="259" w:lineRule="auto"/>
        <w:ind w:left="360"/>
        <w:jc w:val="both"/>
        <w:rPr>
          <w:sz w:val="24"/>
          <w:szCs w:val="24"/>
        </w:rPr>
      </w:pPr>
      <w:r w:rsidRPr="01451D5D">
        <w:rPr>
          <w:sz w:val="24"/>
          <w:szCs w:val="24"/>
        </w:rPr>
        <w:t>Among 118 cases of violence and harassment by members of law enforcement against journalists between January and June of 2021, three included sexual harassment of female journalists.</w:t>
      </w:r>
      <w:r w:rsidR="00974E48" w:rsidRPr="01451D5D">
        <w:rPr>
          <w:rStyle w:val="FootnoteReference"/>
          <w:sz w:val="24"/>
          <w:szCs w:val="24"/>
        </w:rPr>
        <w:footnoteReference w:id="35"/>
      </w:r>
      <w:r w:rsidRPr="01451D5D">
        <w:rPr>
          <w:sz w:val="24"/>
          <w:szCs w:val="24"/>
        </w:rPr>
        <w:t xml:space="preserve"> One journalist was also violently assaulted by a police officer, and later charged with contempt for a public official while no charges were brought against the officer.</w:t>
      </w:r>
      <w:r w:rsidR="00974E48" w:rsidRPr="01451D5D">
        <w:rPr>
          <w:rStyle w:val="FootnoteReference"/>
          <w:sz w:val="24"/>
          <w:szCs w:val="24"/>
        </w:rPr>
        <w:footnoteReference w:id="36"/>
      </w:r>
      <w:r w:rsidRPr="01451D5D">
        <w:rPr>
          <w:sz w:val="24"/>
          <w:szCs w:val="24"/>
        </w:rPr>
        <w:t xml:space="preserve"> </w:t>
      </w:r>
    </w:p>
    <w:p w14:paraId="6546650E" w14:textId="67A86C9D" w:rsidR="00974E48" w:rsidRDefault="01451D5D" w:rsidP="01451D5D">
      <w:pPr>
        <w:keepNext/>
        <w:numPr>
          <w:ilvl w:val="0"/>
          <w:numId w:val="22"/>
        </w:numPr>
        <w:spacing w:before="240" w:after="120" w:line="259" w:lineRule="auto"/>
        <w:ind w:left="720" w:hanging="360"/>
        <w:rPr>
          <w:b/>
          <w:bCs/>
          <w:color w:val="auto"/>
          <w:sz w:val="24"/>
          <w:szCs w:val="24"/>
        </w:rPr>
      </w:pPr>
      <w:r w:rsidRPr="01451D5D">
        <w:rPr>
          <w:b/>
          <w:bCs/>
          <w:color w:val="auto"/>
          <w:sz w:val="24"/>
          <w:szCs w:val="24"/>
        </w:rPr>
        <w:t xml:space="preserve">Ill-treatment, Detention Conditions, and Legal Safeguards </w:t>
      </w:r>
    </w:p>
    <w:p w14:paraId="3B4B1422" w14:textId="42ABB198" w:rsidR="00974E48" w:rsidRPr="00296E69" w:rsidRDefault="01451D5D" w:rsidP="01451D5D">
      <w:pPr>
        <w:numPr>
          <w:ilvl w:val="0"/>
          <w:numId w:val="21"/>
        </w:numPr>
        <w:spacing w:after="120"/>
        <w:ind w:left="360"/>
        <w:jc w:val="both"/>
        <w:rPr>
          <w:color w:val="auto"/>
          <w:sz w:val="24"/>
          <w:szCs w:val="24"/>
        </w:rPr>
      </w:pPr>
      <w:r w:rsidRPr="00296E69">
        <w:rPr>
          <w:color w:val="auto"/>
          <w:sz w:val="24"/>
          <w:szCs w:val="24"/>
        </w:rPr>
        <w:t>The Committee in 2016 expressed concerns with regards to conditions of imprisonment and recommended a continuation of improvement and expansion efforts of prison facilities.</w:t>
      </w:r>
      <w:r w:rsidR="00974E48" w:rsidRPr="00296E69">
        <w:rPr>
          <w:rStyle w:val="FootnoteReference"/>
          <w:color w:val="auto"/>
          <w:sz w:val="24"/>
          <w:szCs w:val="24"/>
        </w:rPr>
        <w:footnoteReference w:id="37"/>
      </w:r>
      <w:r w:rsidRPr="00296E69">
        <w:rPr>
          <w:color w:val="auto"/>
          <w:sz w:val="24"/>
          <w:szCs w:val="24"/>
        </w:rPr>
        <w:t xml:space="preserve"> Finally, the Committee expressed concern over the delay of the assistance of a lawyer for those detained in cases of terrorism, as held under the Organic Act No. 2015-26.</w:t>
      </w:r>
      <w:r w:rsidR="00974E48" w:rsidRPr="00296E69">
        <w:rPr>
          <w:rStyle w:val="FootnoteReference"/>
          <w:color w:val="auto"/>
          <w:sz w:val="24"/>
          <w:szCs w:val="24"/>
        </w:rPr>
        <w:footnoteReference w:id="38"/>
      </w:r>
      <w:r w:rsidRPr="00296E69">
        <w:rPr>
          <w:color w:val="auto"/>
          <w:sz w:val="24"/>
          <w:szCs w:val="24"/>
        </w:rPr>
        <w:t xml:space="preserve"> Recommendations made included implementing monitoring mechanisms and adopting legislation to guarantee fundamental legal safeguards for all cases.</w:t>
      </w:r>
      <w:r w:rsidR="00974E48" w:rsidRPr="00296E69">
        <w:rPr>
          <w:rStyle w:val="FootnoteReference"/>
          <w:color w:val="auto"/>
          <w:sz w:val="24"/>
          <w:szCs w:val="24"/>
        </w:rPr>
        <w:footnoteReference w:id="39"/>
      </w:r>
    </w:p>
    <w:p w14:paraId="1901A8C2" w14:textId="0F2A40BE" w:rsidR="00974E48" w:rsidRPr="00296E69" w:rsidRDefault="01451D5D" w:rsidP="01451D5D">
      <w:pPr>
        <w:numPr>
          <w:ilvl w:val="0"/>
          <w:numId w:val="21"/>
        </w:numPr>
        <w:spacing w:after="120"/>
        <w:ind w:left="360"/>
        <w:jc w:val="both"/>
        <w:rPr>
          <w:color w:val="auto"/>
          <w:sz w:val="24"/>
          <w:szCs w:val="24"/>
        </w:rPr>
      </w:pPr>
      <w:r w:rsidRPr="00296E69">
        <w:rPr>
          <w:color w:val="auto"/>
          <w:sz w:val="24"/>
          <w:szCs w:val="24"/>
        </w:rPr>
        <w:t>Since 2017, the Tunisian Government has introduced several measures aimed to monitor and control ill-treatment of detainees as well as efforts to improve detention conditions in prison facilities.</w:t>
      </w:r>
      <w:r w:rsidR="00974E48" w:rsidRPr="00296E69">
        <w:rPr>
          <w:rStyle w:val="FootnoteReference"/>
          <w:color w:val="auto"/>
          <w:sz w:val="24"/>
          <w:szCs w:val="24"/>
        </w:rPr>
        <w:footnoteReference w:id="40"/>
      </w:r>
      <w:r w:rsidRPr="00296E69">
        <w:rPr>
          <w:color w:val="auto"/>
          <w:sz w:val="24"/>
          <w:szCs w:val="24"/>
        </w:rPr>
        <w:t xml:space="preserve"> The government has also designated one out of 27 prisons for solely women, with seven others having separate blocks for women. Further provisions have been enacted for mothers and their children in detainment, including providing prison spaces for pregnant and lactating women.</w:t>
      </w:r>
      <w:r w:rsidR="00974E48" w:rsidRPr="00296E69">
        <w:rPr>
          <w:rStyle w:val="FootnoteReference"/>
          <w:color w:val="auto"/>
          <w:sz w:val="24"/>
          <w:szCs w:val="24"/>
        </w:rPr>
        <w:footnoteReference w:id="41"/>
      </w:r>
    </w:p>
    <w:p w14:paraId="706D6A44" w14:textId="3B2F3C0D" w:rsidR="00974E48" w:rsidRPr="00296E69" w:rsidRDefault="01451D5D" w:rsidP="01451D5D">
      <w:pPr>
        <w:numPr>
          <w:ilvl w:val="0"/>
          <w:numId w:val="21"/>
        </w:numPr>
        <w:spacing w:after="120"/>
        <w:ind w:left="360"/>
        <w:jc w:val="both"/>
        <w:rPr>
          <w:color w:val="auto"/>
          <w:sz w:val="24"/>
          <w:szCs w:val="24"/>
        </w:rPr>
      </w:pPr>
      <w:r w:rsidRPr="00296E69">
        <w:rPr>
          <w:color w:val="auto"/>
          <w:sz w:val="24"/>
          <w:szCs w:val="24"/>
        </w:rPr>
        <w:t xml:space="preserve">Despite these initiatives, incarcerated women continue to face issues of ill-treatment, inadequate detention conditions, and a lack access to fundamental legal safeguards. </w:t>
      </w:r>
    </w:p>
    <w:p w14:paraId="50E83855" w14:textId="26F12CCF" w:rsidR="00974E48" w:rsidRPr="00296E69" w:rsidRDefault="01451D5D" w:rsidP="01451D5D">
      <w:pPr>
        <w:numPr>
          <w:ilvl w:val="0"/>
          <w:numId w:val="21"/>
        </w:numPr>
        <w:spacing w:after="120"/>
        <w:ind w:left="360"/>
        <w:jc w:val="both"/>
        <w:rPr>
          <w:color w:val="auto"/>
          <w:sz w:val="24"/>
          <w:szCs w:val="24"/>
        </w:rPr>
      </w:pPr>
      <w:r w:rsidRPr="00296E69">
        <w:rPr>
          <w:color w:val="auto"/>
          <w:sz w:val="24"/>
          <w:szCs w:val="24"/>
        </w:rPr>
        <w:lastRenderedPageBreak/>
        <w:t>In March, ten women suspected as members of Islamic State (ISIS) were repatriated from Libya and detained in Tunisian prisons.</w:t>
      </w:r>
      <w:r w:rsidR="00974E48" w:rsidRPr="00296E69">
        <w:rPr>
          <w:rStyle w:val="FootnoteReference"/>
          <w:color w:val="auto"/>
          <w:sz w:val="24"/>
          <w:szCs w:val="24"/>
        </w:rPr>
        <w:footnoteReference w:id="42"/>
      </w:r>
      <w:r w:rsidRPr="00296E69">
        <w:rPr>
          <w:color w:val="auto"/>
          <w:sz w:val="24"/>
          <w:szCs w:val="24"/>
        </w:rPr>
        <w:t xml:space="preserve"> There, several women reported abuse and having been ill-treated.</w:t>
      </w:r>
      <w:r w:rsidR="00974E48" w:rsidRPr="00296E69">
        <w:rPr>
          <w:rStyle w:val="FootnoteReference"/>
          <w:color w:val="auto"/>
          <w:sz w:val="24"/>
          <w:szCs w:val="24"/>
        </w:rPr>
        <w:footnoteReference w:id="43"/>
      </w:r>
      <w:r w:rsidRPr="00296E69">
        <w:rPr>
          <w:color w:val="auto"/>
          <w:sz w:val="24"/>
          <w:szCs w:val="24"/>
        </w:rPr>
        <w:t xml:space="preserve"> At least three of the women contracted COVID-19 and two reported abysmal detention conditions.</w:t>
      </w:r>
      <w:r w:rsidR="00974E48" w:rsidRPr="00296E69">
        <w:rPr>
          <w:rStyle w:val="FootnoteReference"/>
          <w:color w:val="auto"/>
          <w:sz w:val="24"/>
          <w:szCs w:val="24"/>
        </w:rPr>
        <w:footnoteReference w:id="44"/>
      </w:r>
      <w:r w:rsidRPr="00296E69">
        <w:rPr>
          <w:color w:val="auto"/>
          <w:sz w:val="24"/>
          <w:szCs w:val="24"/>
        </w:rPr>
        <w:t xml:space="preserve"> One family member reported his daughter had shown signs of beatings, including as a coercion technique during interrogations.</w:t>
      </w:r>
      <w:r w:rsidR="00974E48" w:rsidRPr="00296E69">
        <w:rPr>
          <w:rStyle w:val="FootnoteReference"/>
          <w:color w:val="auto"/>
          <w:sz w:val="24"/>
          <w:szCs w:val="24"/>
        </w:rPr>
        <w:footnoteReference w:id="45"/>
      </w:r>
    </w:p>
    <w:p w14:paraId="4FEB1DA5" w14:textId="294C5BDB" w:rsidR="00974E48" w:rsidRPr="00296E69" w:rsidRDefault="01451D5D" w:rsidP="01451D5D">
      <w:pPr>
        <w:numPr>
          <w:ilvl w:val="0"/>
          <w:numId w:val="21"/>
        </w:numPr>
        <w:spacing w:after="120"/>
        <w:ind w:left="360"/>
        <w:jc w:val="both"/>
        <w:rPr>
          <w:color w:val="auto"/>
          <w:sz w:val="24"/>
          <w:szCs w:val="24"/>
        </w:rPr>
      </w:pPr>
      <w:r w:rsidRPr="00296E69">
        <w:rPr>
          <w:color w:val="auto"/>
          <w:sz w:val="24"/>
          <w:szCs w:val="24"/>
        </w:rPr>
        <w:t>Lawyers of four of the detained women have reported that they did not have access to lawyers throughout the interrogations, under Tunisia’s Organic Act No. 2015-26.</w:t>
      </w:r>
      <w:r w:rsidR="00974E48" w:rsidRPr="00296E69">
        <w:rPr>
          <w:rStyle w:val="FootnoteReference"/>
          <w:color w:val="auto"/>
          <w:sz w:val="24"/>
          <w:szCs w:val="24"/>
        </w:rPr>
        <w:footnoteReference w:id="46"/>
      </w:r>
      <w:r w:rsidRPr="00296E69">
        <w:rPr>
          <w:color w:val="auto"/>
          <w:sz w:val="24"/>
          <w:szCs w:val="24"/>
        </w:rPr>
        <w:t xml:space="preserve"> </w:t>
      </w:r>
    </w:p>
    <w:p w14:paraId="0C35DB36" w14:textId="4BA31C89" w:rsidR="00085935" w:rsidRPr="00111994" w:rsidRDefault="7AB2E9ED" w:rsidP="01451D5D">
      <w:pPr>
        <w:keepNext/>
        <w:numPr>
          <w:ilvl w:val="0"/>
          <w:numId w:val="22"/>
        </w:numPr>
        <w:spacing w:before="240" w:after="120"/>
        <w:ind w:left="720" w:hanging="360"/>
        <w:rPr>
          <w:color w:val="auto"/>
          <w:sz w:val="24"/>
          <w:szCs w:val="24"/>
        </w:rPr>
      </w:pPr>
      <w:r w:rsidRPr="01451D5D">
        <w:rPr>
          <w:b/>
          <w:bCs/>
          <w:color w:val="auto"/>
          <w:sz w:val="24"/>
          <w:szCs w:val="24"/>
        </w:rPr>
        <w:t xml:space="preserve">Suggested </w:t>
      </w:r>
      <w:r w:rsidR="009C81D4" w:rsidRPr="01451D5D">
        <w:rPr>
          <w:b/>
          <w:bCs/>
          <w:color w:val="auto"/>
          <w:sz w:val="24"/>
          <w:szCs w:val="24"/>
        </w:rPr>
        <w:t>questions</w:t>
      </w:r>
      <w:r w:rsidR="3168CC92" w:rsidRPr="01451D5D">
        <w:rPr>
          <w:b/>
          <w:bCs/>
          <w:color w:val="auto"/>
          <w:sz w:val="24"/>
          <w:szCs w:val="24"/>
        </w:rPr>
        <w:t xml:space="preserve"> for</w:t>
      </w:r>
      <w:r w:rsidR="425BAC27" w:rsidRPr="01451D5D">
        <w:rPr>
          <w:b/>
          <w:bCs/>
          <w:color w:val="auto"/>
          <w:sz w:val="24"/>
          <w:szCs w:val="24"/>
        </w:rPr>
        <w:t xml:space="preserve"> the Government of Tunisia</w:t>
      </w:r>
      <w:r w:rsidR="0DEAD89E" w:rsidRPr="01451D5D">
        <w:rPr>
          <w:color w:val="auto"/>
          <w:sz w:val="24"/>
          <w:szCs w:val="24"/>
        </w:rPr>
        <w:t>:</w:t>
      </w:r>
    </w:p>
    <w:p w14:paraId="3FCB2812" w14:textId="151C0117" w:rsidR="01451D5D" w:rsidRDefault="01451D5D" w:rsidP="01451D5D">
      <w:pPr>
        <w:numPr>
          <w:ilvl w:val="0"/>
          <w:numId w:val="21"/>
        </w:numPr>
        <w:spacing w:after="120" w:line="259" w:lineRule="auto"/>
        <w:ind w:left="360"/>
        <w:jc w:val="both"/>
        <w:rPr>
          <w:color w:val="auto"/>
          <w:sz w:val="24"/>
          <w:szCs w:val="24"/>
        </w:rPr>
      </w:pPr>
      <w:r w:rsidRPr="01451D5D">
        <w:rPr>
          <w:color w:val="auto"/>
          <w:sz w:val="24"/>
          <w:szCs w:val="24"/>
        </w:rPr>
        <w:t>The</w:t>
      </w:r>
      <w:r w:rsidR="00D974A2">
        <w:rPr>
          <w:color w:val="auto"/>
          <w:sz w:val="24"/>
          <w:szCs w:val="24"/>
        </w:rPr>
        <w:t xml:space="preserve"> coauthors</w:t>
      </w:r>
      <w:r w:rsidR="00050808">
        <w:rPr>
          <w:color w:val="auto"/>
          <w:sz w:val="24"/>
          <w:szCs w:val="24"/>
        </w:rPr>
        <w:t xml:space="preserve"> </w:t>
      </w:r>
      <w:r w:rsidRPr="01451D5D">
        <w:rPr>
          <w:color w:val="auto"/>
          <w:sz w:val="24"/>
          <w:szCs w:val="24"/>
        </w:rPr>
        <w:t xml:space="preserve">suggest the following questions for the Government of Tunisia: </w:t>
      </w:r>
    </w:p>
    <w:p w14:paraId="624966E8" w14:textId="684820BD" w:rsidR="01451D5D" w:rsidRDefault="01451D5D" w:rsidP="01451D5D">
      <w:pPr>
        <w:numPr>
          <w:ilvl w:val="1"/>
          <w:numId w:val="21"/>
        </w:numPr>
        <w:jc w:val="both"/>
        <w:rPr>
          <w:color w:val="auto"/>
          <w:sz w:val="24"/>
          <w:szCs w:val="24"/>
        </w:rPr>
      </w:pPr>
      <w:r w:rsidRPr="01451D5D">
        <w:rPr>
          <w:color w:val="auto"/>
          <w:sz w:val="24"/>
          <w:szCs w:val="24"/>
        </w:rPr>
        <w:t>How has the implementation and application of The Act on Violence Against Women since 2017 been limited because of the inapplicability of violence occurring between unmarried intimate partners?</w:t>
      </w:r>
    </w:p>
    <w:p w14:paraId="0CF1EF49" w14:textId="72926140" w:rsidR="01451D5D" w:rsidRDefault="01451D5D" w:rsidP="01451D5D">
      <w:pPr>
        <w:numPr>
          <w:ilvl w:val="1"/>
          <w:numId w:val="21"/>
        </w:numPr>
        <w:jc w:val="both"/>
        <w:rPr>
          <w:color w:val="auto"/>
          <w:sz w:val="24"/>
          <w:szCs w:val="24"/>
        </w:rPr>
      </w:pPr>
      <w:r w:rsidRPr="01451D5D">
        <w:rPr>
          <w:color w:val="auto"/>
          <w:sz w:val="24"/>
          <w:szCs w:val="24"/>
        </w:rPr>
        <w:t>What measures, if any, have been implemented to increase women’s trust in the justice system and increase the likelihood that they report violence to the authorities?</w:t>
      </w:r>
    </w:p>
    <w:p w14:paraId="66BA85C0" w14:textId="7EB7ADC3" w:rsidR="01451D5D" w:rsidRDefault="01451D5D" w:rsidP="01451D5D">
      <w:pPr>
        <w:numPr>
          <w:ilvl w:val="1"/>
          <w:numId w:val="21"/>
        </w:numPr>
        <w:jc w:val="both"/>
        <w:rPr>
          <w:color w:val="auto"/>
          <w:sz w:val="24"/>
          <w:szCs w:val="24"/>
        </w:rPr>
      </w:pPr>
      <w:r w:rsidRPr="01451D5D">
        <w:rPr>
          <w:color w:val="auto"/>
          <w:sz w:val="24"/>
          <w:szCs w:val="24"/>
        </w:rPr>
        <w:t xml:space="preserve">Please provide us with the most recent data on the numbers of victims of gender-based violence collected by the Ministry signatories of the 2018 collective convention (Ministry of Women, Family and Children, the Ministry of Justice, the Ministry of Interior, the Ministry of </w:t>
      </w:r>
      <w:proofErr w:type="gramStart"/>
      <w:r w:rsidRPr="01451D5D">
        <w:rPr>
          <w:color w:val="auto"/>
          <w:sz w:val="24"/>
          <w:szCs w:val="24"/>
        </w:rPr>
        <w:t>Health</w:t>
      </w:r>
      <w:proofErr w:type="gramEnd"/>
      <w:r w:rsidRPr="01451D5D">
        <w:rPr>
          <w:color w:val="auto"/>
          <w:sz w:val="24"/>
          <w:szCs w:val="24"/>
        </w:rPr>
        <w:t xml:space="preserve"> and the Ministry of Social Affairs).</w:t>
      </w:r>
    </w:p>
    <w:p w14:paraId="5DC5413D" w14:textId="6AC53626" w:rsidR="01451D5D" w:rsidRDefault="01451D5D" w:rsidP="01451D5D">
      <w:pPr>
        <w:numPr>
          <w:ilvl w:val="1"/>
          <w:numId w:val="21"/>
        </w:numPr>
        <w:jc w:val="both"/>
        <w:rPr>
          <w:color w:val="auto"/>
          <w:sz w:val="24"/>
          <w:szCs w:val="24"/>
        </w:rPr>
      </w:pPr>
      <w:r w:rsidRPr="01451D5D">
        <w:rPr>
          <w:color w:val="auto"/>
          <w:sz w:val="24"/>
          <w:szCs w:val="24"/>
        </w:rPr>
        <w:t xml:space="preserve">What actions have been taken to enact remedies that sufficiently protect victims of gender-based violence from future harm? </w:t>
      </w:r>
    </w:p>
    <w:p w14:paraId="6296A09B" w14:textId="468C04EC" w:rsidR="01451D5D" w:rsidRDefault="01451D5D" w:rsidP="01451D5D">
      <w:pPr>
        <w:numPr>
          <w:ilvl w:val="1"/>
          <w:numId w:val="21"/>
        </w:numPr>
        <w:jc w:val="both"/>
        <w:rPr>
          <w:color w:val="auto"/>
          <w:sz w:val="24"/>
          <w:szCs w:val="24"/>
        </w:rPr>
      </w:pPr>
      <w:r w:rsidRPr="01451D5D">
        <w:rPr>
          <w:color w:val="auto"/>
          <w:sz w:val="24"/>
          <w:szCs w:val="24"/>
        </w:rPr>
        <w:t>What education or training programs have law-enforcement officers and legal officials received to respond adequately to reports of gender-based violence?</w:t>
      </w:r>
    </w:p>
    <w:p w14:paraId="5A0F9E13" w14:textId="77777777" w:rsidR="00A9582C" w:rsidRDefault="00A9582C" w:rsidP="00A9582C">
      <w:pPr>
        <w:numPr>
          <w:ilvl w:val="1"/>
          <w:numId w:val="21"/>
        </w:numPr>
        <w:jc w:val="both"/>
        <w:rPr>
          <w:color w:val="auto"/>
          <w:sz w:val="24"/>
          <w:szCs w:val="24"/>
        </w:rPr>
      </w:pPr>
      <w:r w:rsidRPr="01451D5D">
        <w:rPr>
          <w:color w:val="auto"/>
          <w:sz w:val="24"/>
          <w:szCs w:val="24"/>
        </w:rPr>
        <w:t>What steps have been taken to provide support to victims of gender-based violence exacerbated by the COVID-19 pandemic?</w:t>
      </w:r>
    </w:p>
    <w:p w14:paraId="31CD0F4D" w14:textId="6BB074A7" w:rsidR="01451D5D" w:rsidRPr="00A35706" w:rsidRDefault="01451D5D" w:rsidP="01451D5D">
      <w:pPr>
        <w:numPr>
          <w:ilvl w:val="1"/>
          <w:numId w:val="21"/>
        </w:numPr>
        <w:jc w:val="both"/>
        <w:rPr>
          <w:color w:val="auto"/>
          <w:sz w:val="24"/>
          <w:szCs w:val="24"/>
        </w:rPr>
      </w:pPr>
      <w:r w:rsidRPr="00A35706">
        <w:rPr>
          <w:color w:val="auto"/>
          <w:sz w:val="24"/>
          <w:szCs w:val="24"/>
        </w:rPr>
        <w:t>How have the initiatives to create spaces for women within prisons or prisons designated specifically for women been expanded, and how have facilities and conditions within these spaces been improved?</w:t>
      </w:r>
    </w:p>
    <w:p w14:paraId="79D18F21" w14:textId="4A824DAD" w:rsidR="01451D5D" w:rsidRPr="00A35706" w:rsidRDefault="01451D5D" w:rsidP="01451D5D">
      <w:pPr>
        <w:numPr>
          <w:ilvl w:val="1"/>
          <w:numId w:val="21"/>
        </w:numPr>
        <w:jc w:val="both"/>
        <w:rPr>
          <w:color w:val="auto"/>
          <w:sz w:val="24"/>
          <w:szCs w:val="24"/>
        </w:rPr>
      </w:pPr>
      <w:r w:rsidRPr="00A35706">
        <w:rPr>
          <w:color w:val="auto"/>
          <w:sz w:val="24"/>
          <w:szCs w:val="24"/>
        </w:rPr>
        <w:lastRenderedPageBreak/>
        <w:t>What steps has the Ministry of Justice taken to address issues of ill-treatment and constrained access to legal safeguards for women detained for suspected terrorist activity or ties?</w:t>
      </w:r>
    </w:p>
    <w:sectPr w:rsidR="01451D5D" w:rsidRPr="00A35706"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CCD973" w14:textId="77777777" w:rsidR="001523B0" w:rsidRDefault="001523B0">
      <w:r>
        <w:separator/>
      </w:r>
    </w:p>
  </w:endnote>
  <w:endnote w:type="continuationSeparator" w:id="0">
    <w:p w14:paraId="035791BE" w14:textId="77777777" w:rsidR="001523B0" w:rsidRDefault="001523B0">
      <w:r>
        <w:continuationSeparator/>
      </w:r>
    </w:p>
  </w:endnote>
  <w:endnote w:type="continuationNotice" w:id="1">
    <w:p w14:paraId="0887EAE7" w14:textId="77777777" w:rsidR="001523B0" w:rsidRDefault="001523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27F32" w14:textId="77777777" w:rsidR="00804604" w:rsidRDefault="00804604">
    <w:pPr>
      <w:pStyle w:val="Footer"/>
      <w:jc w:val="center"/>
    </w:pPr>
    <w:r>
      <w:fldChar w:fldCharType="begin"/>
    </w:r>
    <w:r>
      <w:instrText xml:space="preserve"> PAGE   \* MERGEFORMAT </w:instrText>
    </w:r>
    <w:r>
      <w:fldChar w:fldCharType="separate"/>
    </w:r>
    <w:r w:rsidR="00596B08">
      <w:rPr>
        <w:noProof/>
      </w:rPr>
      <w:t>2</w:t>
    </w:r>
    <w:r>
      <w:rPr>
        <w:noProof/>
      </w:rPr>
      <w:fldChar w:fldCharType="end"/>
    </w:r>
  </w:p>
  <w:p w14:paraId="1066A677"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063BC" w14:textId="34F39768" w:rsidR="00804604" w:rsidRPr="000F3447" w:rsidRDefault="0056409D" w:rsidP="000F3447">
    <w:pPr>
      <w:widowControl w:val="0"/>
      <w:jc w:val="center"/>
      <w:rPr>
        <w:color w:val="333333"/>
        <w:lang w:val="en"/>
      </w:rPr>
    </w:pPr>
    <w:r w:rsidRPr="000F3447">
      <w:rPr>
        <w:noProof/>
        <w:color w:val="800080"/>
      </w:rPr>
      <mc:AlternateContent>
        <mc:Choice Requires="wps">
          <w:drawing>
            <wp:anchor distT="0" distB="0" distL="114300" distR="114300" simplePos="0" relativeHeight="251658240" behindDoc="0" locked="0" layoutInCell="1" allowOverlap="1" wp14:anchorId="7DD8AF1B" wp14:editId="70CAF3B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CB8DB5" id="Line 20"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8F098A" w14:textId="77777777" w:rsidR="00804604" w:rsidRPr="000F3447" w:rsidRDefault="00804604" w:rsidP="000F3447">
    <w:pPr>
      <w:widowControl w:val="0"/>
      <w:jc w:val="center"/>
      <w:rPr>
        <w:i/>
        <w:iCs/>
        <w:color w:val="542344"/>
        <w:lang w:val="en"/>
      </w:rPr>
    </w:pPr>
    <w:r w:rsidRPr="000F3447">
      <w:rPr>
        <w:color w:val="333333"/>
        <w:lang w:val="en"/>
      </w:rPr>
      <w:t>330 Second Avenue South • Suite 800 • Minneapo</w:t>
    </w:r>
    <w:r w:rsidR="000C380B" w:rsidRPr="000F3447">
      <w:rPr>
        <w:color w:val="333333"/>
        <w:lang w:val="en"/>
      </w:rPr>
      <w:t xml:space="preserve">lis, MN </w:t>
    </w:r>
    <w:r w:rsidRPr="000F3447">
      <w:rPr>
        <w:color w:val="333333"/>
        <w:lang w:val="en"/>
      </w:rPr>
      <w:t>55401</w:t>
    </w:r>
    <w:r w:rsidR="000C380B" w:rsidRPr="000F3447">
      <w:rPr>
        <w:color w:val="333333"/>
        <w:lang w:val="en"/>
      </w:rPr>
      <w:t xml:space="preserve"> </w:t>
    </w:r>
    <w:r w:rsidRPr="000F3447">
      <w:rPr>
        <w:color w:val="333333"/>
        <w:lang w:val="en"/>
      </w:rPr>
      <w:t>• USA</w:t>
    </w:r>
  </w:p>
  <w:p w14:paraId="626DB405" w14:textId="77777777" w:rsidR="00804604" w:rsidRPr="000F3447" w:rsidRDefault="00804604" w:rsidP="000F3447">
    <w:pPr>
      <w:widowControl w:val="0"/>
      <w:jc w:val="center"/>
      <w:rPr>
        <w:color w:val="333333"/>
        <w:lang w:val="en"/>
      </w:rPr>
    </w:pPr>
    <w:r w:rsidRPr="000F3447">
      <w:rPr>
        <w:color w:val="333333"/>
        <w:lang w:val="en"/>
      </w:rPr>
      <w:t>Tel</w:t>
    </w:r>
    <w:r w:rsidR="000F3447">
      <w:rPr>
        <w:color w:val="333333"/>
        <w:lang w:val="en"/>
      </w:rPr>
      <w:t xml:space="preserve">: </w:t>
    </w:r>
    <w:r w:rsidR="0009644E" w:rsidRPr="000F3447">
      <w:rPr>
        <w:color w:val="333333"/>
        <w:lang w:val="en"/>
      </w:rPr>
      <w:t>612-341-</w:t>
    </w:r>
    <w:r w:rsidR="00AD0AA1" w:rsidRPr="000F3447">
      <w:rPr>
        <w:color w:val="333333"/>
        <w:lang w:val="en"/>
      </w:rPr>
      <w:t>3302</w:t>
    </w:r>
    <w:r w:rsidRPr="000F3447">
      <w:rPr>
        <w:color w:val="333333"/>
        <w:lang w:val="en"/>
      </w:rPr>
      <w:t xml:space="preserve"> •</w:t>
    </w:r>
    <w:r w:rsidR="0009644E" w:rsidRPr="000F3447">
      <w:rPr>
        <w:color w:val="333333"/>
        <w:lang w:val="en"/>
      </w:rPr>
      <w:t xml:space="preserve"> Fax:  612-341-</w:t>
    </w:r>
    <w:r w:rsidRPr="000F3447">
      <w:rPr>
        <w:color w:val="333333"/>
        <w:lang w:val="en"/>
      </w:rPr>
      <w:t>2971 •</w:t>
    </w:r>
    <w:r w:rsidR="00AD0AA1" w:rsidRPr="000F3447">
      <w:rPr>
        <w:color w:val="333333"/>
        <w:lang w:val="en"/>
      </w:rPr>
      <w:t xml:space="preserve"> Email: hrights@advrights.org</w:t>
    </w:r>
    <w:r w:rsidRPr="000F3447">
      <w:rPr>
        <w:color w:val="333333"/>
        <w:lang w:val="en"/>
      </w:rPr>
      <w:t xml:space="preserve"> •</w:t>
    </w:r>
    <w:r w:rsidR="000F3447" w:rsidRPr="000F3447">
      <w:rPr>
        <w:color w:val="333333"/>
        <w:lang w:val="en"/>
      </w:rPr>
      <w:t xml:space="preserve"> </w:t>
    </w:r>
    <w:r w:rsidR="0009644E" w:rsidRPr="000F3447">
      <w:rPr>
        <w:color w:val="333333"/>
        <w:lang w:val="en"/>
      </w:rPr>
      <w:t>www.TheAdvocatesForHumanR</w:t>
    </w:r>
    <w:r w:rsidRPr="000F3447">
      <w:rPr>
        <w:color w:val="333333"/>
        <w:lang w:val="en"/>
      </w:rPr>
      <w:t>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642F5" w14:textId="77777777" w:rsidR="001523B0" w:rsidRDefault="001523B0">
      <w:r>
        <w:separator/>
      </w:r>
    </w:p>
  </w:footnote>
  <w:footnote w:type="continuationSeparator" w:id="0">
    <w:p w14:paraId="2AD060A0" w14:textId="77777777" w:rsidR="001523B0" w:rsidRDefault="001523B0">
      <w:r>
        <w:continuationSeparator/>
      </w:r>
    </w:p>
  </w:footnote>
  <w:footnote w:type="continuationNotice" w:id="1">
    <w:p w14:paraId="037C9B1D" w14:textId="77777777" w:rsidR="001523B0" w:rsidRDefault="001523B0"/>
  </w:footnote>
  <w:footnote w:id="2">
    <w:p w14:paraId="398AF733" w14:textId="71F7980B" w:rsidR="01451D5D" w:rsidRDefault="01451D5D" w:rsidP="00527CCD">
      <w:pPr>
        <w:spacing w:line="259" w:lineRule="auto"/>
        <w:rPr>
          <w:sz w:val="22"/>
          <w:szCs w:val="22"/>
        </w:rPr>
      </w:pPr>
      <w:r w:rsidRPr="01451D5D">
        <w:rPr>
          <w:rStyle w:val="FootnoteReference"/>
        </w:rPr>
        <w:footnoteRef/>
      </w:r>
      <w:r w:rsidRPr="01451D5D">
        <w:t xml:space="preserve"> Committee against Torture, </w:t>
      </w:r>
      <w:r w:rsidRPr="01451D5D">
        <w:rPr>
          <w:i/>
          <w:iCs/>
        </w:rPr>
        <w:t xml:space="preserve">Concluding Observations on the third period reports of Tunisia </w:t>
      </w:r>
      <w:r w:rsidRPr="01451D5D">
        <w:t>(June 10, 2016), CAT/C/TUN/CO/3, ¶7</w:t>
      </w:r>
      <w:r w:rsidR="00527CCD">
        <w:t xml:space="preserve">. </w:t>
      </w:r>
    </w:p>
  </w:footnote>
  <w:footnote w:id="3">
    <w:p w14:paraId="25C65311" w14:textId="49324AD7" w:rsidR="01451D5D" w:rsidRDefault="01451D5D" w:rsidP="01451D5D">
      <w:pPr>
        <w:pStyle w:val="FootnoteText"/>
      </w:pPr>
      <w:r w:rsidRPr="01451D5D">
        <w:rPr>
          <w:rStyle w:val="FootnoteReference"/>
        </w:rPr>
        <w:footnoteRef/>
      </w:r>
      <w:r w:rsidRPr="01451D5D">
        <w:t xml:space="preserve"> Committee against Torture, </w:t>
      </w:r>
      <w:r w:rsidRPr="01451D5D">
        <w:rPr>
          <w:i/>
          <w:iCs/>
        </w:rPr>
        <w:t xml:space="preserve">Concluding Observations on the third period reports of Tunisia </w:t>
      </w:r>
      <w:r w:rsidRPr="01451D5D">
        <w:t>(June 10, 2016), CAT/C/TUN/CO/3, ¶8.</w:t>
      </w:r>
    </w:p>
  </w:footnote>
  <w:footnote w:id="4">
    <w:p w14:paraId="2C2A40C3" w14:textId="77777777" w:rsidR="005872D8" w:rsidRDefault="005872D8" w:rsidP="005872D8">
      <w:pPr>
        <w:spacing w:line="259" w:lineRule="auto"/>
        <w:rPr>
          <w:sz w:val="22"/>
          <w:szCs w:val="22"/>
        </w:rPr>
      </w:pPr>
      <w:r w:rsidRPr="01451D5D">
        <w:rPr>
          <w:rStyle w:val="FootnoteReference"/>
        </w:rPr>
        <w:footnoteRef/>
      </w:r>
      <w:r w:rsidRPr="01451D5D">
        <w:t xml:space="preserve"> Committee against Torture, </w:t>
      </w:r>
      <w:r w:rsidRPr="01451D5D">
        <w:rPr>
          <w:i/>
          <w:iCs/>
        </w:rPr>
        <w:t xml:space="preserve">Concluding Observations on the third period reports of Tunisia </w:t>
      </w:r>
      <w:r w:rsidRPr="01451D5D">
        <w:t>(June 10, 2016), CAT/C/TUN/CO/3, ¶ 41.</w:t>
      </w:r>
    </w:p>
  </w:footnote>
  <w:footnote w:id="5">
    <w:p w14:paraId="6C033455" w14:textId="77777777" w:rsidR="005872D8" w:rsidRDefault="005872D8" w:rsidP="005872D8">
      <w:pPr>
        <w:pStyle w:val="FootnoteText"/>
        <w:rPr>
          <w:sz w:val="22"/>
          <w:szCs w:val="22"/>
        </w:rPr>
      </w:pPr>
      <w:r w:rsidRPr="01451D5D">
        <w:rPr>
          <w:rStyle w:val="FootnoteReference"/>
        </w:rPr>
        <w:footnoteRef/>
      </w:r>
      <w:r w:rsidRPr="01451D5D">
        <w:t xml:space="preserve"> Committee against Torture, </w:t>
      </w:r>
      <w:r w:rsidRPr="01451D5D">
        <w:rPr>
          <w:i/>
          <w:iCs/>
        </w:rPr>
        <w:t xml:space="preserve">Concluding Observations on the third period reports of Tunisia </w:t>
      </w:r>
      <w:r w:rsidRPr="01451D5D">
        <w:t>(June 10, 2016), CAT/C/TUN/CO/3, ¶ 42.</w:t>
      </w:r>
    </w:p>
  </w:footnote>
  <w:footnote w:id="6">
    <w:p w14:paraId="16BF7B6B" w14:textId="1A63B328" w:rsidR="01451D5D" w:rsidRDefault="01451D5D" w:rsidP="007A080B">
      <w:pPr>
        <w:spacing w:line="259" w:lineRule="auto"/>
      </w:pPr>
      <w:r w:rsidRPr="01451D5D">
        <w:rPr>
          <w:rStyle w:val="FootnoteReference"/>
        </w:rPr>
        <w:footnoteRef/>
      </w:r>
      <w:r w:rsidRPr="01451D5D">
        <w:t xml:space="preserve">Centre de </w:t>
      </w:r>
      <w:proofErr w:type="spellStart"/>
      <w:r w:rsidRPr="01451D5D">
        <w:t>Recherches</w:t>
      </w:r>
      <w:proofErr w:type="spellEnd"/>
      <w:r w:rsidRPr="01451D5D">
        <w:t xml:space="preserve">, </w:t>
      </w:r>
      <w:proofErr w:type="spellStart"/>
      <w:r w:rsidRPr="01451D5D">
        <w:t>d’Etudes</w:t>
      </w:r>
      <w:proofErr w:type="spellEnd"/>
      <w:r w:rsidRPr="01451D5D">
        <w:t xml:space="preserve"> de Documentation et de </w:t>
      </w:r>
      <w:proofErr w:type="spellStart"/>
      <w:r w:rsidRPr="01451D5D">
        <w:t>l’Information</w:t>
      </w:r>
      <w:proofErr w:type="spellEnd"/>
      <w:r w:rsidRPr="01451D5D">
        <w:t xml:space="preserve"> sur la Femme et al, </w:t>
      </w:r>
      <w:r w:rsidRPr="01451D5D">
        <w:rPr>
          <w:i/>
          <w:iCs/>
        </w:rPr>
        <w:t>The Gender-Based Violence in Public Spaces in Tunisia</w:t>
      </w:r>
      <w:r w:rsidRPr="01451D5D">
        <w:t xml:space="preserve"> (Feb. 2017). Available online at </w:t>
      </w:r>
      <w:hyperlink r:id="rId1" w:history="1">
        <w:r w:rsidR="007A080B" w:rsidRPr="00BA7983">
          <w:rPr>
            <w:rStyle w:val="Hyperlink"/>
          </w:rPr>
          <w:t>https://morocco.unwomen.org/sites/default/files/Field%20Office%20Morocco/Documents/Publications/2016/12/The%20Gender%20Based%20Violence%20in%20Public%20Spaces%20in%20Tunisia.pdf</w:t>
        </w:r>
      </w:hyperlink>
      <w:r w:rsidRPr="01451D5D">
        <w:rPr>
          <w:rStyle w:val="Hyperlink"/>
        </w:rPr>
        <w:t>.</w:t>
      </w:r>
      <w:r w:rsidR="007A080B">
        <w:rPr>
          <w:rStyle w:val="Hyperlink"/>
        </w:rPr>
        <w:t xml:space="preserve"> </w:t>
      </w:r>
    </w:p>
  </w:footnote>
  <w:footnote w:id="7">
    <w:p w14:paraId="76AE2E5C" w14:textId="2BE41BC7" w:rsidR="01451D5D" w:rsidRDefault="01451D5D" w:rsidP="00344413">
      <w:pPr>
        <w:spacing w:line="259" w:lineRule="auto"/>
        <w:rPr>
          <w:sz w:val="22"/>
          <w:szCs w:val="22"/>
        </w:rPr>
      </w:pPr>
      <w:r w:rsidRPr="01451D5D">
        <w:rPr>
          <w:rStyle w:val="FootnoteReference"/>
        </w:rPr>
        <w:footnoteRef/>
      </w:r>
      <w:r w:rsidRPr="01451D5D">
        <w:t xml:space="preserve"> Lilia Blaise, </w:t>
      </w:r>
      <w:r w:rsidRPr="01451D5D">
        <w:rPr>
          <w:i/>
          <w:iCs/>
        </w:rPr>
        <w:t xml:space="preserve">Tunisia Takes a Big Step to Protect Women </w:t>
      </w:r>
      <w:proofErr w:type="gramStart"/>
      <w:r w:rsidRPr="01451D5D">
        <w:rPr>
          <w:i/>
          <w:iCs/>
        </w:rPr>
        <w:t>From</w:t>
      </w:r>
      <w:proofErr w:type="gramEnd"/>
      <w:r w:rsidRPr="01451D5D">
        <w:rPr>
          <w:i/>
          <w:iCs/>
        </w:rPr>
        <w:t xml:space="preserve"> Abuse, </w:t>
      </w:r>
      <w:r w:rsidRPr="01451D5D">
        <w:t xml:space="preserve">The New York Times, Aug. 1, </w:t>
      </w:r>
      <w:r w:rsidR="00F65372" w:rsidRPr="01451D5D">
        <w:t>2017,</w:t>
      </w:r>
      <w:r w:rsidR="00F65372" w:rsidRPr="01451D5D">
        <w:rPr>
          <w:i/>
          <w:iCs/>
        </w:rPr>
        <w:t xml:space="preserve"> </w:t>
      </w:r>
      <w:r w:rsidR="00F65372" w:rsidRPr="01451D5D">
        <w:t>https://www.nytimes.com/2017/08/01/world/africa/tunisia-women-domestic-violence.html?searchResultPosition=1</w:t>
      </w:r>
    </w:p>
  </w:footnote>
  <w:footnote w:id="8">
    <w:p w14:paraId="475B00BC" w14:textId="5F0D7FD4" w:rsidR="01451D5D" w:rsidRDefault="01451D5D" w:rsidP="01451D5D">
      <w:pPr>
        <w:jc w:val="both"/>
      </w:pPr>
      <w:r w:rsidRPr="01451D5D">
        <w:rPr>
          <w:rStyle w:val="FootnoteReference"/>
        </w:rPr>
        <w:footnoteRef/>
      </w:r>
      <w:r w:rsidRPr="01451D5D">
        <w:t xml:space="preserve"> </w:t>
      </w:r>
      <w:r w:rsidRPr="01451D5D">
        <w:rPr>
          <w:i/>
          <w:iCs/>
          <w:lang w:val="fr-FR"/>
        </w:rPr>
        <w:t>Expérience et vécu des femmes survivantes à la violence conjugale dans les régions du Kef, Béja et Jendouba : résultats d’une étude qualitative</w:t>
      </w:r>
      <w:r w:rsidRPr="01451D5D">
        <w:rPr>
          <w:lang w:val="fr-FR"/>
        </w:rPr>
        <w:t xml:space="preserve"> (Office national de la famille et la population, 2015). </w:t>
      </w:r>
      <w:proofErr w:type="spellStart"/>
      <w:r w:rsidRPr="01451D5D">
        <w:rPr>
          <w:lang w:val="fr-FR"/>
        </w:rPr>
        <w:t>Available</w:t>
      </w:r>
      <w:proofErr w:type="spellEnd"/>
      <w:r w:rsidRPr="01451D5D">
        <w:rPr>
          <w:lang w:val="fr-FR"/>
        </w:rPr>
        <w:t xml:space="preserve"> online at</w:t>
      </w:r>
    </w:p>
    <w:p w14:paraId="324387AB" w14:textId="101E6EB9" w:rsidR="01451D5D" w:rsidRDefault="001523B0" w:rsidP="01451D5D">
      <w:pPr>
        <w:jc w:val="both"/>
      </w:pPr>
      <w:hyperlink r:id="rId2">
        <w:r w:rsidR="01451D5D" w:rsidRPr="01451D5D">
          <w:rPr>
            <w:rStyle w:val="Hyperlink"/>
            <w:lang w:val="fr-FR"/>
          </w:rPr>
          <w:t>http://www.onfp.nat.tn/liens/violence_nord_ouest_resultats_2015.pdf</w:t>
        </w:r>
      </w:hyperlink>
      <w:proofErr w:type="gramStart"/>
      <w:r w:rsidR="01451D5D" w:rsidRPr="01451D5D">
        <w:rPr>
          <w:lang w:val="fr-FR"/>
        </w:rPr>
        <w:t xml:space="preserve"> ;</w:t>
      </w:r>
      <w:r w:rsidR="01451D5D" w:rsidRPr="01451D5D">
        <w:t>See</w:t>
      </w:r>
      <w:proofErr w:type="gramEnd"/>
      <w:r w:rsidR="01451D5D" w:rsidRPr="01451D5D">
        <w:t xml:space="preserve"> also, Euro-Mediterranean Human Rights Network, </w:t>
      </w:r>
      <w:r w:rsidR="01451D5D" w:rsidRPr="01451D5D">
        <w:rPr>
          <w:i/>
          <w:iCs/>
        </w:rPr>
        <w:t>Violence against Women in the context of Political Transformations and Economic Crisis in the Euro-Mediterranean Region: Trends and Recommendations towards Equality and Justice</w:t>
      </w:r>
      <w:r w:rsidR="01451D5D" w:rsidRPr="01451D5D">
        <w:t>, (Mar. 6, 2014), 25.</w:t>
      </w:r>
    </w:p>
  </w:footnote>
  <w:footnote w:id="9">
    <w:p w14:paraId="6D3CC568" w14:textId="0E1A1F7B" w:rsidR="01451D5D" w:rsidRDefault="01451D5D" w:rsidP="01451D5D">
      <w:pPr>
        <w:pStyle w:val="FootnoteText"/>
      </w:pPr>
      <w:r w:rsidRPr="01451D5D">
        <w:rPr>
          <w:rStyle w:val="FootnoteReference"/>
        </w:rPr>
        <w:footnoteRef/>
      </w:r>
      <w:r w:rsidRPr="01451D5D">
        <w:t xml:space="preserve"> Communication from local Tunisian activists to MRA (Feb. 2016), on file with authors.</w:t>
      </w:r>
    </w:p>
  </w:footnote>
  <w:footnote w:id="10">
    <w:p w14:paraId="44ED26B0" w14:textId="30941595" w:rsidR="01451D5D" w:rsidRDefault="01451D5D" w:rsidP="01451D5D">
      <w:pPr>
        <w:pStyle w:val="FootnoteText"/>
      </w:pPr>
      <w:r w:rsidRPr="01451D5D">
        <w:rPr>
          <w:rStyle w:val="FootnoteReference"/>
        </w:rPr>
        <w:footnoteRef/>
      </w:r>
      <w:r w:rsidRPr="01451D5D">
        <w:t xml:space="preserve"> </w:t>
      </w:r>
      <w:r w:rsidRPr="01451D5D">
        <w:rPr>
          <w:lang w:val="fr-FR"/>
        </w:rPr>
        <w:t xml:space="preserve">Loi organique no. 2017-58 du 11 aout 2017, relative </w:t>
      </w:r>
      <w:proofErr w:type="spellStart"/>
      <w:r w:rsidRPr="01451D5D">
        <w:rPr>
          <w:lang w:val="fr-FR"/>
        </w:rPr>
        <w:t>a</w:t>
      </w:r>
      <w:proofErr w:type="spellEnd"/>
      <w:r w:rsidRPr="01451D5D">
        <w:rPr>
          <w:lang w:val="fr-FR"/>
        </w:rPr>
        <w:t xml:space="preserve"> l’élimination de la violence à l’égard des femmes, Art. 227 (2018). </w:t>
      </w:r>
      <w:proofErr w:type="spellStart"/>
      <w:r w:rsidRPr="01451D5D">
        <w:rPr>
          <w:lang w:val="fr-FR"/>
        </w:rPr>
        <w:t>Available</w:t>
      </w:r>
      <w:proofErr w:type="spellEnd"/>
      <w:r w:rsidRPr="01451D5D">
        <w:rPr>
          <w:lang w:val="fr-FR"/>
        </w:rPr>
        <w:t xml:space="preserve"> online at </w:t>
      </w:r>
      <w:r w:rsidRPr="01451D5D">
        <w:rPr>
          <w:rStyle w:val="Hyperlink"/>
        </w:rPr>
        <w:t>http://www.legislation.tn/sites/default/files/news/tf2017581.pdf</w:t>
      </w:r>
      <w:r w:rsidRPr="01451D5D">
        <w:t>. Article 46 of the January 2014 Constitution provides in part that the “[S]</w:t>
      </w:r>
      <w:proofErr w:type="spellStart"/>
      <w:r w:rsidRPr="01451D5D">
        <w:t>tate</w:t>
      </w:r>
      <w:proofErr w:type="spellEnd"/>
      <w:r w:rsidRPr="01451D5D">
        <w:t xml:space="preserve"> shall take all necessary measures in order to eradicate violence against women.” La Constitution de la </w:t>
      </w:r>
      <w:proofErr w:type="spellStart"/>
      <w:r w:rsidRPr="01451D5D">
        <w:t>République</w:t>
      </w:r>
      <w:proofErr w:type="spellEnd"/>
      <w:r w:rsidRPr="01451D5D">
        <w:t xml:space="preserve"> </w:t>
      </w:r>
      <w:proofErr w:type="spellStart"/>
      <w:r w:rsidRPr="01451D5D">
        <w:t>Tunisienne</w:t>
      </w:r>
      <w:proofErr w:type="spellEnd"/>
      <w:r w:rsidRPr="01451D5D">
        <w:t xml:space="preserve"> (2014), art. 46.</w:t>
      </w:r>
    </w:p>
  </w:footnote>
  <w:footnote w:id="11">
    <w:p w14:paraId="1D2C2A5C" w14:textId="6AD162A9" w:rsidR="01451D5D" w:rsidRDefault="01451D5D" w:rsidP="01451D5D">
      <w:pPr>
        <w:pStyle w:val="FootnoteText"/>
      </w:pPr>
      <w:r w:rsidRPr="01451D5D">
        <w:rPr>
          <w:rStyle w:val="FootnoteReference"/>
        </w:rPr>
        <w:footnoteRef/>
      </w:r>
      <w:r w:rsidRPr="01451D5D">
        <w:t xml:space="preserve"> </w:t>
      </w:r>
      <w:r w:rsidRPr="01451D5D">
        <w:rPr>
          <w:lang w:val="fr-FR"/>
        </w:rPr>
        <w:t xml:space="preserve">Loi organique no. 2017-58 du 11 aout 2017, relative </w:t>
      </w:r>
      <w:proofErr w:type="spellStart"/>
      <w:r w:rsidRPr="01451D5D">
        <w:rPr>
          <w:lang w:val="fr-FR"/>
        </w:rPr>
        <w:t>a</w:t>
      </w:r>
      <w:proofErr w:type="spellEnd"/>
      <w:r w:rsidRPr="01451D5D">
        <w:rPr>
          <w:lang w:val="fr-FR"/>
        </w:rPr>
        <w:t xml:space="preserve"> l’élimination de la violence à l’égard des femmes, Art. 227 (2018). </w:t>
      </w:r>
      <w:proofErr w:type="spellStart"/>
      <w:r w:rsidRPr="01451D5D">
        <w:rPr>
          <w:lang w:val="fr-FR"/>
        </w:rPr>
        <w:t>Available</w:t>
      </w:r>
      <w:proofErr w:type="spellEnd"/>
      <w:r w:rsidRPr="01451D5D">
        <w:rPr>
          <w:lang w:val="fr-FR"/>
        </w:rPr>
        <w:t xml:space="preserve"> online at </w:t>
      </w:r>
      <w:r w:rsidRPr="01451D5D">
        <w:rPr>
          <w:rStyle w:val="Hyperlink"/>
        </w:rPr>
        <w:t>http://www.legislation.tn/sites/default/files/news/tf2017581.pdf</w:t>
      </w:r>
      <w:r w:rsidRPr="01451D5D">
        <w:rPr>
          <w:lang w:val="fr-FR"/>
        </w:rPr>
        <w:t>.</w:t>
      </w:r>
    </w:p>
  </w:footnote>
  <w:footnote w:id="12">
    <w:p w14:paraId="358A86A1" w14:textId="3990DE81" w:rsidR="01451D5D" w:rsidRDefault="01451D5D" w:rsidP="01451D5D">
      <w:pPr>
        <w:pStyle w:val="FootnoteText"/>
      </w:pPr>
      <w:r w:rsidRPr="01451D5D">
        <w:rPr>
          <w:rStyle w:val="FootnoteReference"/>
        </w:rPr>
        <w:footnoteRef/>
      </w:r>
      <w:r w:rsidRPr="01451D5D">
        <w:t xml:space="preserve"> </w:t>
      </w:r>
      <w:r w:rsidRPr="01451D5D">
        <w:rPr>
          <w:lang w:val="fr-FR"/>
        </w:rPr>
        <w:t xml:space="preserve">Loi organique no. 2017-58 du 11 aout 2017, relative </w:t>
      </w:r>
      <w:proofErr w:type="spellStart"/>
      <w:r w:rsidRPr="01451D5D">
        <w:rPr>
          <w:lang w:val="fr-FR"/>
        </w:rPr>
        <w:t>a</w:t>
      </w:r>
      <w:proofErr w:type="spellEnd"/>
      <w:r w:rsidRPr="01451D5D">
        <w:rPr>
          <w:lang w:val="fr-FR"/>
        </w:rPr>
        <w:t xml:space="preserve"> l’élimination de la violence à l’égard des femmes, Art. 15 (2018), </w:t>
      </w:r>
      <w:proofErr w:type="spellStart"/>
      <w:r w:rsidRPr="01451D5D">
        <w:rPr>
          <w:lang w:val="fr-FR"/>
        </w:rPr>
        <w:t>Available</w:t>
      </w:r>
      <w:proofErr w:type="spellEnd"/>
      <w:r w:rsidRPr="01451D5D">
        <w:rPr>
          <w:lang w:val="fr-FR"/>
        </w:rPr>
        <w:t xml:space="preserve"> online at </w:t>
      </w:r>
      <w:r w:rsidRPr="01451D5D">
        <w:rPr>
          <w:rStyle w:val="Hyperlink"/>
        </w:rPr>
        <w:t>http://www.legislation.tn/sites/default/files/news/tf2017581.pdf</w:t>
      </w:r>
      <w:r w:rsidRPr="01451D5D">
        <w:t>.</w:t>
      </w:r>
    </w:p>
  </w:footnote>
  <w:footnote w:id="13">
    <w:p w14:paraId="71D34BCE" w14:textId="071A988A" w:rsidR="01451D5D" w:rsidRDefault="01451D5D" w:rsidP="00EA3B5D">
      <w:pPr>
        <w:spacing w:line="259" w:lineRule="auto"/>
      </w:pPr>
      <w:r w:rsidRPr="01451D5D">
        <w:rPr>
          <w:rStyle w:val="FootnoteReference"/>
        </w:rPr>
        <w:footnoteRef/>
      </w:r>
      <w:r w:rsidRPr="01451D5D">
        <w:t xml:space="preserve"> Le </w:t>
      </w:r>
      <w:proofErr w:type="spellStart"/>
      <w:r w:rsidRPr="01451D5D">
        <w:t>Collectif</w:t>
      </w:r>
      <w:proofErr w:type="spellEnd"/>
      <w:r w:rsidRPr="01451D5D">
        <w:t xml:space="preserve"> Civil pour les </w:t>
      </w:r>
      <w:proofErr w:type="spellStart"/>
      <w:r w:rsidRPr="01451D5D">
        <w:t>Libertés</w:t>
      </w:r>
      <w:proofErr w:type="spellEnd"/>
      <w:r w:rsidRPr="01451D5D">
        <w:t xml:space="preserve"> </w:t>
      </w:r>
      <w:proofErr w:type="spellStart"/>
      <w:r w:rsidRPr="01451D5D">
        <w:t>Individuelles</w:t>
      </w:r>
      <w:proofErr w:type="spellEnd"/>
      <w:r w:rsidRPr="01451D5D">
        <w:t xml:space="preserve"> (CCLI), </w:t>
      </w:r>
      <w:r w:rsidRPr="01451D5D">
        <w:rPr>
          <w:i/>
          <w:iCs/>
        </w:rPr>
        <w:t xml:space="preserve">State of Individual Liberties 2018 </w:t>
      </w:r>
      <w:r w:rsidRPr="01451D5D">
        <w:t xml:space="preserve">(Tunis, Mar.2019), 23. Available online at </w:t>
      </w:r>
      <w:r w:rsidRPr="01451D5D">
        <w:rPr>
          <w:rStyle w:val="Hyperlink"/>
        </w:rPr>
        <w:t>https://omct-tunisie.org/wp-content/uploads/2020/06/Rapport-%C3%A9tat-des-libert%C3%A9s-individuelles-du-collectif-civil-des-libert%C3%A9s-individuelles-VF.pdf</w:t>
      </w:r>
      <w:r w:rsidRPr="01451D5D">
        <w:t xml:space="preserve"> </w:t>
      </w:r>
    </w:p>
  </w:footnote>
  <w:footnote w:id="14">
    <w:p w14:paraId="7C5FECBF" w14:textId="6D567488" w:rsidR="01451D5D" w:rsidRDefault="01451D5D" w:rsidP="01451D5D">
      <w:pPr>
        <w:pStyle w:val="FootnoteText"/>
      </w:pPr>
      <w:r w:rsidRPr="01451D5D">
        <w:rPr>
          <w:rStyle w:val="FootnoteReference"/>
        </w:rPr>
        <w:footnoteRef/>
      </w:r>
      <w:r w:rsidRPr="01451D5D">
        <w:t xml:space="preserve"> Le </w:t>
      </w:r>
      <w:proofErr w:type="spellStart"/>
      <w:r w:rsidRPr="01451D5D">
        <w:t>Collectif</w:t>
      </w:r>
      <w:proofErr w:type="spellEnd"/>
      <w:r w:rsidRPr="01451D5D">
        <w:t xml:space="preserve"> Civil pour les </w:t>
      </w:r>
      <w:proofErr w:type="spellStart"/>
      <w:r w:rsidRPr="01451D5D">
        <w:t>Libertés</w:t>
      </w:r>
      <w:proofErr w:type="spellEnd"/>
      <w:r w:rsidRPr="01451D5D">
        <w:t xml:space="preserve"> </w:t>
      </w:r>
      <w:proofErr w:type="spellStart"/>
      <w:r w:rsidRPr="01451D5D">
        <w:t>Individuelles</w:t>
      </w:r>
      <w:proofErr w:type="spellEnd"/>
      <w:r w:rsidRPr="01451D5D">
        <w:t xml:space="preserve"> (CCLI), </w:t>
      </w:r>
      <w:r w:rsidRPr="01451D5D">
        <w:rPr>
          <w:i/>
          <w:iCs/>
        </w:rPr>
        <w:t xml:space="preserve">State of Individual Liberties 2018 </w:t>
      </w:r>
      <w:r w:rsidRPr="01451D5D">
        <w:t xml:space="preserve">(Tunis, Mar. 2019), 23. Available online at </w:t>
      </w:r>
      <w:r w:rsidRPr="01451D5D">
        <w:rPr>
          <w:rStyle w:val="Hyperlink"/>
        </w:rPr>
        <w:t>https://omct-tunisie.org/wp-content/uploads/2020/06/Rapport-%C3%A9tat-des-libert%C3%A9s-individuelles-du-collectif-civil-des-libert%C3%A9s-individuelles-VF.pdf</w:t>
      </w:r>
    </w:p>
  </w:footnote>
  <w:footnote w:id="15">
    <w:p w14:paraId="557DFD95" w14:textId="5A209D69" w:rsidR="01451D5D" w:rsidRDefault="01451D5D" w:rsidP="01451D5D">
      <w:pPr>
        <w:pStyle w:val="FootnoteText"/>
      </w:pPr>
      <w:r w:rsidRPr="01451D5D">
        <w:rPr>
          <w:rStyle w:val="FootnoteReference"/>
        </w:rPr>
        <w:footnoteRef/>
      </w:r>
      <w:r w:rsidRPr="01451D5D">
        <w:t xml:space="preserve"> Penal Code article 231 criminalizing prostitution is also often broadly interpreted and applied to unmarried couples.</w:t>
      </w:r>
    </w:p>
  </w:footnote>
  <w:footnote w:id="16">
    <w:p w14:paraId="1C9EC3FC" w14:textId="77777777" w:rsidR="00661278" w:rsidRPr="00C762CC" w:rsidRDefault="00661278" w:rsidP="00EA1D4B">
      <w:pPr>
        <w:pStyle w:val="FootnoteText"/>
        <w:jc w:val="both"/>
      </w:pPr>
      <w:r>
        <w:rPr>
          <w:rStyle w:val="FootnoteReference"/>
        </w:rPr>
        <w:footnoteRef/>
      </w:r>
      <w:r>
        <w:t xml:space="preserve"> </w:t>
      </w:r>
      <w:r w:rsidRPr="007A1DEF">
        <w:t>Communication from local Tunisian activists to MRA (</w:t>
      </w:r>
      <w:r>
        <w:t>January 2019</w:t>
      </w:r>
      <w:r w:rsidRPr="007A1DEF">
        <w:t>), on file with authors</w:t>
      </w:r>
      <w:r>
        <w:t>.</w:t>
      </w:r>
    </w:p>
  </w:footnote>
  <w:footnote w:id="17">
    <w:p w14:paraId="3A4C0D5F" w14:textId="5AB188F8" w:rsidR="01451D5D" w:rsidRDefault="01451D5D" w:rsidP="01451D5D">
      <w:pPr>
        <w:jc w:val="both"/>
      </w:pPr>
      <w:r w:rsidRPr="01451D5D">
        <w:rPr>
          <w:rStyle w:val="FootnoteReference"/>
        </w:rPr>
        <w:footnoteRef/>
      </w:r>
      <w:r w:rsidRPr="01451D5D">
        <w:t xml:space="preserve"> Le </w:t>
      </w:r>
      <w:proofErr w:type="spellStart"/>
      <w:r w:rsidRPr="01451D5D">
        <w:t>Collectif</w:t>
      </w:r>
      <w:proofErr w:type="spellEnd"/>
      <w:r w:rsidRPr="01451D5D">
        <w:t xml:space="preserve"> Civil pour les </w:t>
      </w:r>
      <w:proofErr w:type="spellStart"/>
      <w:r w:rsidRPr="01451D5D">
        <w:t>Libertés</w:t>
      </w:r>
      <w:proofErr w:type="spellEnd"/>
      <w:r w:rsidRPr="01451D5D">
        <w:t xml:space="preserve"> </w:t>
      </w:r>
      <w:proofErr w:type="spellStart"/>
      <w:r w:rsidRPr="01451D5D">
        <w:t>Individuelles</w:t>
      </w:r>
      <w:proofErr w:type="spellEnd"/>
      <w:r w:rsidRPr="01451D5D">
        <w:t xml:space="preserve"> (CCLI), </w:t>
      </w:r>
      <w:r w:rsidRPr="01451D5D">
        <w:rPr>
          <w:i/>
          <w:iCs/>
        </w:rPr>
        <w:t xml:space="preserve">State of Individual Liberties 2018 </w:t>
      </w:r>
      <w:r w:rsidRPr="01451D5D">
        <w:t xml:space="preserve">(Tunis, Mar. 2019), 8. Available online at </w:t>
      </w:r>
      <w:r w:rsidRPr="01451D5D">
        <w:rPr>
          <w:rStyle w:val="Hyperlink"/>
        </w:rPr>
        <w:t>https://omct-tunisie.org/wp-content/uploads/2020/06/Rapport-%C3%A9tat-des-libert%C3%A9s-individuelles-du-collectif-civil-des-libert%C3%A9s-individuelles-VF.pdf</w:t>
      </w:r>
    </w:p>
  </w:footnote>
  <w:footnote w:id="18">
    <w:p w14:paraId="126E9BA3" w14:textId="4273DBFA" w:rsidR="01451D5D" w:rsidRDefault="01451D5D" w:rsidP="01451D5D">
      <w:pPr>
        <w:pStyle w:val="FootnoteText"/>
      </w:pPr>
      <w:r w:rsidRPr="01451D5D">
        <w:rPr>
          <w:rStyle w:val="FootnoteReference"/>
        </w:rPr>
        <w:footnoteRef/>
      </w:r>
      <w:r w:rsidRPr="01451D5D">
        <w:t xml:space="preserve"> Le </w:t>
      </w:r>
      <w:proofErr w:type="spellStart"/>
      <w:r w:rsidRPr="01451D5D">
        <w:t>Collectif</w:t>
      </w:r>
      <w:proofErr w:type="spellEnd"/>
      <w:r w:rsidRPr="01451D5D">
        <w:t xml:space="preserve"> Civil pour les </w:t>
      </w:r>
      <w:proofErr w:type="spellStart"/>
      <w:r w:rsidRPr="01451D5D">
        <w:t>Libertés</w:t>
      </w:r>
      <w:proofErr w:type="spellEnd"/>
      <w:r w:rsidRPr="01451D5D">
        <w:t xml:space="preserve"> </w:t>
      </w:r>
      <w:proofErr w:type="spellStart"/>
      <w:r w:rsidRPr="01451D5D">
        <w:t>Individuelles</w:t>
      </w:r>
      <w:proofErr w:type="spellEnd"/>
      <w:r w:rsidRPr="01451D5D">
        <w:t xml:space="preserve"> (CCLI), </w:t>
      </w:r>
      <w:r w:rsidRPr="01451D5D">
        <w:rPr>
          <w:i/>
          <w:iCs/>
        </w:rPr>
        <w:t xml:space="preserve">State of Individual Liberties 2018 </w:t>
      </w:r>
      <w:r w:rsidRPr="01451D5D">
        <w:t xml:space="preserve">(Tunis, Mar. 2019), 8. Available online at </w:t>
      </w:r>
      <w:r w:rsidRPr="01451D5D">
        <w:rPr>
          <w:rStyle w:val="Hyperlink"/>
        </w:rPr>
        <w:t>https://omct-tunisie.org/wp-content/uploads/2020/06/Rapport-%C3%A9tat-des-libert%C3%A9s-individuelles-du-collectif-civil-des-libert%C3%A9s-individuelles-VF.pdf</w:t>
      </w:r>
    </w:p>
  </w:footnote>
  <w:footnote w:id="19">
    <w:p w14:paraId="0685E4BF" w14:textId="2483C82E" w:rsidR="01451D5D" w:rsidRDefault="01451D5D" w:rsidP="01451D5D">
      <w:pPr>
        <w:pStyle w:val="FootnoteText"/>
      </w:pPr>
      <w:r w:rsidRPr="01451D5D">
        <w:rPr>
          <w:rStyle w:val="FootnoteReference"/>
        </w:rPr>
        <w:footnoteRef/>
      </w:r>
      <w:r w:rsidRPr="01451D5D">
        <w:t xml:space="preserve"> </w:t>
      </w:r>
      <w:r w:rsidRPr="01451D5D">
        <w:rPr>
          <w:lang w:val="fr-FR"/>
        </w:rPr>
        <w:t xml:space="preserve">Office National de la Famille et de la Population, </w:t>
      </w:r>
      <w:r w:rsidRPr="01451D5D">
        <w:rPr>
          <w:i/>
          <w:iCs/>
          <w:lang w:val="fr-FR"/>
        </w:rPr>
        <w:t>Expérience et vécu des femmes survivantes à la violence conjugale dans les régions du Kef, Béja et Jendouba : résultats d’une étude qualitative</w:t>
      </w:r>
      <w:r w:rsidRPr="01451D5D">
        <w:rPr>
          <w:lang w:val="fr-FR"/>
        </w:rPr>
        <w:t xml:space="preserve"> (Tunis, 2015). </w:t>
      </w:r>
      <w:proofErr w:type="spellStart"/>
      <w:r w:rsidRPr="01451D5D">
        <w:rPr>
          <w:lang w:val="fr-FR"/>
        </w:rPr>
        <w:t>Available</w:t>
      </w:r>
      <w:proofErr w:type="spellEnd"/>
      <w:r w:rsidRPr="01451D5D">
        <w:rPr>
          <w:lang w:val="fr-FR"/>
        </w:rPr>
        <w:t xml:space="preserve"> online </w:t>
      </w:r>
      <w:r w:rsidR="00A032A6" w:rsidRPr="01451D5D">
        <w:rPr>
          <w:lang w:val="fr-FR"/>
        </w:rPr>
        <w:t>at http://www.onfp.nat.tn/liens/violence_nord_ouest_resultats_2015.pdf</w:t>
      </w:r>
      <w:r w:rsidRPr="01451D5D">
        <w:rPr>
          <w:lang w:val="fr-FR"/>
        </w:rPr>
        <w:t>.</w:t>
      </w:r>
    </w:p>
  </w:footnote>
  <w:footnote w:id="20">
    <w:p w14:paraId="10781715" w14:textId="5A8C1797" w:rsidR="01451D5D" w:rsidRDefault="01451D5D" w:rsidP="01451D5D">
      <w:pPr>
        <w:jc w:val="both"/>
        <w:rPr>
          <w:i/>
          <w:iCs/>
          <w:lang w:val="fr-FR"/>
        </w:rPr>
      </w:pPr>
      <w:r w:rsidRPr="01451D5D">
        <w:rPr>
          <w:rStyle w:val="FootnoteReference"/>
        </w:rPr>
        <w:footnoteRef/>
      </w:r>
      <w:r w:rsidRPr="01451D5D">
        <w:t xml:space="preserve"> </w:t>
      </w:r>
      <w:r w:rsidRPr="01451D5D">
        <w:rPr>
          <w:lang w:val="fr-FR"/>
        </w:rPr>
        <w:t xml:space="preserve">Office National de la Famille et de la Population, </w:t>
      </w:r>
      <w:proofErr w:type="spellStart"/>
      <w:r w:rsidRPr="01451D5D">
        <w:rPr>
          <w:i/>
          <w:iCs/>
          <w:lang w:val="fr-FR"/>
        </w:rPr>
        <w:t>Enquete</w:t>
      </w:r>
      <w:proofErr w:type="spellEnd"/>
      <w:r w:rsidRPr="01451D5D">
        <w:rPr>
          <w:i/>
          <w:iCs/>
          <w:lang w:val="fr-FR"/>
        </w:rPr>
        <w:t xml:space="preserve"> Nationale sur la Violence a l’Egard des Femmes en Tunisie : Rapport de l’enquête </w:t>
      </w:r>
      <w:r w:rsidRPr="01451D5D">
        <w:rPr>
          <w:lang w:val="fr-FR"/>
        </w:rPr>
        <w:t xml:space="preserve">(Tunis, </w:t>
      </w:r>
      <w:proofErr w:type="spellStart"/>
      <w:r w:rsidRPr="01451D5D">
        <w:rPr>
          <w:lang w:val="fr-FR"/>
        </w:rPr>
        <w:t>December</w:t>
      </w:r>
      <w:proofErr w:type="spellEnd"/>
      <w:r w:rsidRPr="01451D5D">
        <w:rPr>
          <w:lang w:val="fr-FR"/>
        </w:rPr>
        <w:t xml:space="preserve"> 2010). </w:t>
      </w:r>
      <w:proofErr w:type="spellStart"/>
      <w:r w:rsidRPr="01451D5D">
        <w:rPr>
          <w:lang w:val="fr-FR"/>
        </w:rPr>
        <w:t>Available</w:t>
      </w:r>
      <w:proofErr w:type="spellEnd"/>
      <w:r w:rsidRPr="01451D5D">
        <w:rPr>
          <w:lang w:val="fr-FR"/>
        </w:rPr>
        <w:t xml:space="preserve"> online at</w:t>
      </w:r>
    </w:p>
    <w:p w14:paraId="362993DA" w14:textId="5484A6C3" w:rsidR="01451D5D" w:rsidRDefault="001523B0" w:rsidP="01451D5D">
      <w:hyperlink r:id="rId3">
        <w:r w:rsidR="01451D5D" w:rsidRPr="01451D5D">
          <w:rPr>
            <w:rStyle w:val="Hyperlink"/>
            <w:lang w:val="fr-FR"/>
          </w:rPr>
          <w:t>http://www.medcities.org/documents/10192/54940/Enqu%C3%AAte+Nationale+Violence+envers+les+femmes-+Tunisie+2010.pdf</w:t>
        </w:r>
      </w:hyperlink>
      <w:r w:rsidR="01451D5D" w:rsidRPr="01451D5D">
        <w:rPr>
          <w:lang w:val="fr-FR"/>
        </w:rPr>
        <w:t xml:space="preserve"> .</w:t>
      </w:r>
    </w:p>
  </w:footnote>
  <w:footnote w:id="21">
    <w:p w14:paraId="04D645D9" w14:textId="09543094" w:rsidR="01451D5D" w:rsidRDefault="01451D5D" w:rsidP="01451D5D">
      <w:pPr>
        <w:pStyle w:val="FootnoteText"/>
        <w:jc w:val="both"/>
      </w:pPr>
      <w:r w:rsidRPr="01451D5D">
        <w:rPr>
          <w:rStyle w:val="FootnoteReference"/>
        </w:rPr>
        <w:footnoteRef/>
      </w:r>
      <w:r w:rsidRPr="01451D5D">
        <w:t xml:space="preserve"> Penal Code articles 226 (public indecency) and 236 (adultery); Communication from local Tunisian activists to MRA (Jan. 2019), on file with authors.</w:t>
      </w:r>
    </w:p>
  </w:footnote>
  <w:footnote w:id="22">
    <w:p w14:paraId="43F410CD" w14:textId="47366002" w:rsidR="01451D5D" w:rsidRDefault="01451D5D" w:rsidP="00037434">
      <w:pPr>
        <w:spacing w:line="259" w:lineRule="auto"/>
        <w:rPr>
          <w:sz w:val="22"/>
          <w:szCs w:val="22"/>
        </w:rPr>
      </w:pPr>
      <w:r w:rsidRPr="01451D5D">
        <w:rPr>
          <w:rStyle w:val="FootnoteReference"/>
        </w:rPr>
        <w:footnoteRef/>
      </w:r>
      <w:r w:rsidRPr="01451D5D">
        <w:t xml:space="preserve"> Communication from local Tunisian activists to MRA (Feb.2016), (on file with authors); US Department of State, </w:t>
      </w:r>
      <w:r w:rsidRPr="01451D5D">
        <w:rPr>
          <w:i/>
          <w:iCs/>
        </w:rPr>
        <w:t xml:space="preserve">2021 Country Reports on Human Rights Practice: Tunisia </w:t>
      </w:r>
      <w:r w:rsidRPr="01451D5D">
        <w:t>(Apr. 2022), 25</w:t>
      </w:r>
      <w:r w:rsidRPr="01451D5D">
        <w:rPr>
          <w:i/>
          <w:iCs/>
        </w:rPr>
        <w:t>.</w:t>
      </w:r>
      <w:r w:rsidRPr="01451D5D">
        <w:t xml:space="preserve"> Available online at </w:t>
      </w:r>
      <w:hyperlink r:id="rId4">
        <w:r w:rsidRPr="01451D5D">
          <w:rPr>
            <w:rStyle w:val="Hyperlink"/>
          </w:rPr>
          <w:t>https://www.state.gov/reports/2021-country-reports-on-human-rights-practices/tunisia/</w:t>
        </w:r>
      </w:hyperlink>
      <w:r w:rsidRPr="01451D5D">
        <w:t xml:space="preserve"> </w:t>
      </w:r>
    </w:p>
  </w:footnote>
  <w:footnote w:id="23">
    <w:p w14:paraId="10DCA6B7" w14:textId="2C38ED2D" w:rsidR="01451D5D" w:rsidRDefault="01451D5D" w:rsidP="00037434">
      <w:pPr>
        <w:spacing w:line="259" w:lineRule="auto"/>
        <w:rPr>
          <w:sz w:val="22"/>
          <w:szCs w:val="22"/>
        </w:rPr>
      </w:pPr>
      <w:r w:rsidRPr="01451D5D">
        <w:rPr>
          <w:rStyle w:val="FootnoteReference"/>
        </w:rPr>
        <w:footnoteRef/>
      </w:r>
      <w:r w:rsidRPr="01451D5D">
        <w:t xml:space="preserve"> US Department of State, </w:t>
      </w:r>
      <w:r w:rsidRPr="01451D5D">
        <w:rPr>
          <w:i/>
          <w:iCs/>
        </w:rPr>
        <w:t xml:space="preserve">2021 Country Reports on Human Rights Practice: Tunisia </w:t>
      </w:r>
      <w:r w:rsidRPr="01451D5D">
        <w:t>(Apr. 2022), 26</w:t>
      </w:r>
      <w:r w:rsidRPr="01451D5D">
        <w:rPr>
          <w:i/>
          <w:iCs/>
        </w:rPr>
        <w:t>.</w:t>
      </w:r>
      <w:r w:rsidRPr="01451D5D">
        <w:t xml:space="preserve"> Available online at </w:t>
      </w:r>
      <w:hyperlink r:id="rId5">
        <w:r w:rsidRPr="01451D5D">
          <w:rPr>
            <w:rStyle w:val="Hyperlink"/>
          </w:rPr>
          <w:t>https://www.state.gov/reports/2021-country-reports-on-human-rights-practices/tunisia/</w:t>
        </w:r>
      </w:hyperlink>
      <w:r w:rsidRPr="01451D5D">
        <w:t xml:space="preserve"> </w:t>
      </w:r>
    </w:p>
  </w:footnote>
  <w:footnote w:id="24">
    <w:p w14:paraId="2979D171" w14:textId="3F50DE6A" w:rsidR="01451D5D" w:rsidRDefault="01451D5D" w:rsidP="00037434">
      <w:pPr>
        <w:spacing w:line="259" w:lineRule="auto"/>
        <w:rPr>
          <w:sz w:val="22"/>
          <w:szCs w:val="22"/>
        </w:rPr>
      </w:pPr>
      <w:r w:rsidRPr="01451D5D">
        <w:rPr>
          <w:rStyle w:val="FootnoteReference"/>
        </w:rPr>
        <w:footnoteRef/>
      </w:r>
      <w:r w:rsidRPr="01451D5D">
        <w:t xml:space="preserve"> Lilia Blaise,</w:t>
      </w:r>
      <w:r w:rsidRPr="01451D5D">
        <w:rPr>
          <w:i/>
          <w:iCs/>
        </w:rPr>
        <w:t xml:space="preserve"> “I can Finally Dream:” Tunisia Expands Protection for Battered Women</w:t>
      </w:r>
      <w:r w:rsidRPr="01451D5D">
        <w:t xml:space="preserve">, The New York Times, May 12, 2018, </w:t>
      </w:r>
      <w:r w:rsidRPr="01451D5D">
        <w:rPr>
          <w:rStyle w:val="Hyperlink"/>
        </w:rPr>
        <w:t>https://www.nytimes.com/2018/05/12/world/africa/tunisia-womens-rights.html?searchResultPosition=2</w:t>
      </w:r>
    </w:p>
  </w:footnote>
  <w:footnote w:id="25">
    <w:p w14:paraId="31F54A03" w14:textId="02A65C48" w:rsidR="01451D5D" w:rsidRDefault="01451D5D" w:rsidP="01451D5D">
      <w:pPr>
        <w:pStyle w:val="FootnoteText"/>
      </w:pPr>
      <w:r w:rsidRPr="01451D5D">
        <w:rPr>
          <w:rStyle w:val="FootnoteReference"/>
        </w:rPr>
        <w:footnoteRef/>
      </w:r>
      <w:r w:rsidRPr="01451D5D">
        <w:t xml:space="preserve"> U.N. International Covenant on Civil and Political Rights, </w:t>
      </w:r>
      <w:proofErr w:type="gramStart"/>
      <w:r w:rsidRPr="01451D5D">
        <w:rPr>
          <w:i/>
          <w:iCs/>
        </w:rPr>
        <w:t>Sixth</w:t>
      </w:r>
      <w:proofErr w:type="gramEnd"/>
      <w:r w:rsidRPr="01451D5D">
        <w:rPr>
          <w:i/>
          <w:iCs/>
        </w:rPr>
        <w:t xml:space="preserve"> periodic report submitted by Tunisia under article 40 of the Covenant pursuant to the optional reporting procedure, due in 2019</w:t>
      </w:r>
      <w:r w:rsidRPr="01451D5D">
        <w:t>, U.N. Doc. CCPR/C/TUN/6. (28 June 2019) ¶</w:t>
      </w:r>
      <w:r w:rsidRPr="01451D5D">
        <w:rPr>
          <w:lang w:val="fr-FR"/>
        </w:rPr>
        <w:t xml:space="preserve"> 111.</w:t>
      </w:r>
    </w:p>
  </w:footnote>
  <w:footnote w:id="26">
    <w:p w14:paraId="43872C64" w14:textId="0061846D" w:rsidR="01451D5D" w:rsidRDefault="01451D5D" w:rsidP="00037434">
      <w:pPr>
        <w:spacing w:line="259" w:lineRule="auto"/>
        <w:rPr>
          <w:sz w:val="19"/>
          <w:szCs w:val="19"/>
        </w:rPr>
      </w:pPr>
      <w:r w:rsidRPr="01451D5D">
        <w:rPr>
          <w:rStyle w:val="FootnoteReference"/>
        </w:rPr>
        <w:footnoteRef/>
      </w:r>
      <w:r w:rsidRPr="01451D5D">
        <w:t xml:space="preserve"> Amnesty International, “The tragic Truth About Domestic Violence” May 21, 2021, </w:t>
      </w:r>
      <w:hyperlink r:id="rId6">
        <w:r w:rsidRPr="01451D5D">
          <w:rPr>
            <w:rStyle w:val="Hyperlink"/>
          </w:rPr>
          <w:t>https://www.amnesty.org/en/latest/news/2021/05/tunisia-tragic-truth-about-domestic-violence/</w:t>
        </w:r>
      </w:hyperlink>
      <w:r w:rsidRPr="01451D5D">
        <w:t xml:space="preserve"> ; Amnesty International, </w:t>
      </w:r>
      <w:r w:rsidRPr="01451D5D">
        <w:rPr>
          <w:i/>
          <w:iCs/>
        </w:rPr>
        <w:t xml:space="preserve">2021/2022 Amnesty International Report </w:t>
      </w:r>
      <w:r w:rsidRPr="01451D5D">
        <w:t xml:space="preserve">(Mar. 2022), 370. Available online at </w:t>
      </w:r>
      <w:hyperlink r:id="rId7" w:history="1">
        <w:r w:rsidR="00037434" w:rsidRPr="00BA7983">
          <w:rPr>
            <w:rStyle w:val="Hyperlink"/>
          </w:rPr>
          <w:t>https://www.amnesty.org/en/latest/research/2022/03/annual-report-202122/</w:t>
        </w:r>
      </w:hyperlink>
      <w:r w:rsidR="00037434">
        <w:rPr>
          <w:rStyle w:val="Hyperlink"/>
        </w:rPr>
        <w:t xml:space="preserve"> </w:t>
      </w:r>
    </w:p>
  </w:footnote>
  <w:footnote w:id="27">
    <w:p w14:paraId="6B734512" w14:textId="58A9E56E" w:rsidR="01451D5D" w:rsidRDefault="01451D5D" w:rsidP="01451D5D">
      <w:pPr>
        <w:pStyle w:val="FootnoteText"/>
        <w:jc w:val="both"/>
      </w:pPr>
      <w:r w:rsidRPr="01451D5D">
        <w:rPr>
          <w:rStyle w:val="FootnoteReference"/>
        </w:rPr>
        <w:footnoteRef/>
      </w:r>
      <w:r w:rsidRPr="01451D5D">
        <w:t xml:space="preserve"> </w:t>
      </w:r>
      <w:proofErr w:type="spellStart"/>
      <w:r w:rsidRPr="01451D5D">
        <w:t>Loi</w:t>
      </w:r>
      <w:proofErr w:type="spellEnd"/>
      <w:r w:rsidRPr="01451D5D">
        <w:t xml:space="preserve"> </w:t>
      </w:r>
      <w:proofErr w:type="spellStart"/>
      <w:r w:rsidRPr="01451D5D">
        <w:t>organique</w:t>
      </w:r>
      <w:proofErr w:type="spellEnd"/>
      <w:r w:rsidRPr="01451D5D">
        <w:t xml:space="preserve"> no. 2017-58 du 11 </w:t>
      </w:r>
      <w:proofErr w:type="spellStart"/>
      <w:r w:rsidRPr="01451D5D">
        <w:t>aout</w:t>
      </w:r>
      <w:proofErr w:type="spellEnd"/>
      <w:r w:rsidRPr="01451D5D">
        <w:t xml:space="preserve"> 2017, relative a </w:t>
      </w:r>
      <w:proofErr w:type="spellStart"/>
      <w:r w:rsidRPr="01451D5D">
        <w:t>l’élimination</w:t>
      </w:r>
      <w:proofErr w:type="spellEnd"/>
      <w:r w:rsidRPr="01451D5D">
        <w:t xml:space="preserve"> de la violence à </w:t>
      </w:r>
      <w:proofErr w:type="spellStart"/>
      <w:r w:rsidRPr="01451D5D">
        <w:t>l’égard</w:t>
      </w:r>
      <w:proofErr w:type="spellEnd"/>
      <w:r w:rsidRPr="01451D5D">
        <w:t xml:space="preserve"> des femmes, Art. </w:t>
      </w:r>
      <w:r w:rsidRPr="01451D5D">
        <w:rPr>
          <w:lang w:val="fr-FR"/>
        </w:rPr>
        <w:t xml:space="preserve">33, 34 </w:t>
      </w:r>
      <w:r w:rsidRPr="01451D5D">
        <w:t xml:space="preserve">(2018), </w:t>
      </w:r>
      <w:hyperlink r:id="rId8">
        <w:r w:rsidRPr="01451D5D">
          <w:rPr>
            <w:rStyle w:val="Hyperlink"/>
          </w:rPr>
          <w:t>http://www.legislation.tn/sites/default/files/news/tf2017581.pdf</w:t>
        </w:r>
      </w:hyperlink>
      <w:r w:rsidRPr="01451D5D">
        <w:t xml:space="preserve">. </w:t>
      </w:r>
    </w:p>
  </w:footnote>
  <w:footnote w:id="28">
    <w:p w14:paraId="3752F7E5" w14:textId="7D1A68F0" w:rsidR="01451D5D" w:rsidRDefault="01451D5D" w:rsidP="00037434">
      <w:pPr>
        <w:spacing w:line="259" w:lineRule="auto"/>
      </w:pPr>
      <w:r w:rsidRPr="01451D5D">
        <w:rPr>
          <w:rStyle w:val="FootnoteReference"/>
        </w:rPr>
        <w:footnoteRef/>
      </w:r>
      <w:r w:rsidRPr="01451D5D">
        <w:t xml:space="preserve"> Amnesty International, “The tragic Truth About Domestic Violence” May 21, 2021, </w:t>
      </w:r>
      <w:hyperlink r:id="rId9">
        <w:r w:rsidRPr="01451D5D">
          <w:rPr>
            <w:rStyle w:val="Hyperlink"/>
          </w:rPr>
          <w:t>https://www.amnesty.org/en/latest/news/2021/05/tunisia-tragic-truth-about-domestic-violence/</w:t>
        </w:r>
      </w:hyperlink>
    </w:p>
  </w:footnote>
  <w:footnote w:id="29">
    <w:p w14:paraId="56ACEDB7" w14:textId="5E394CB4" w:rsidR="01451D5D" w:rsidRDefault="01451D5D" w:rsidP="00037434">
      <w:pPr>
        <w:spacing w:line="259" w:lineRule="auto"/>
        <w:rPr>
          <w:sz w:val="22"/>
          <w:szCs w:val="22"/>
        </w:rPr>
      </w:pPr>
      <w:r w:rsidRPr="01451D5D">
        <w:rPr>
          <w:rStyle w:val="FootnoteReference"/>
        </w:rPr>
        <w:footnoteRef/>
      </w:r>
      <w:r w:rsidRPr="01451D5D">
        <w:t xml:space="preserve"> Amnesty International, </w:t>
      </w:r>
      <w:r w:rsidRPr="01451D5D">
        <w:rPr>
          <w:i/>
          <w:iCs/>
        </w:rPr>
        <w:t>2020/2021 Amnesty International Report</w:t>
      </w:r>
      <w:r w:rsidRPr="01451D5D">
        <w:t xml:space="preserve"> (Apr. 2021), 362. Available online at </w:t>
      </w:r>
      <w:r w:rsidRPr="01451D5D">
        <w:rPr>
          <w:rStyle w:val="Hyperlink"/>
        </w:rPr>
        <w:t>https://www.amnesty.org/en/wp-content/uploads/2021/06/English.pdf#page360</w:t>
      </w:r>
    </w:p>
  </w:footnote>
  <w:footnote w:id="30">
    <w:p w14:paraId="599A1C11" w14:textId="344F2664" w:rsidR="01451D5D" w:rsidRDefault="01451D5D" w:rsidP="00037434">
      <w:pPr>
        <w:spacing w:line="259" w:lineRule="auto"/>
        <w:rPr>
          <w:sz w:val="22"/>
          <w:szCs w:val="22"/>
        </w:rPr>
      </w:pPr>
      <w:r w:rsidRPr="01451D5D">
        <w:rPr>
          <w:rStyle w:val="FootnoteReference"/>
        </w:rPr>
        <w:footnoteRef/>
      </w:r>
      <w:r w:rsidRPr="01451D5D">
        <w:t xml:space="preserve"> Amnesty International, </w:t>
      </w:r>
      <w:r w:rsidRPr="01451D5D">
        <w:rPr>
          <w:i/>
          <w:iCs/>
        </w:rPr>
        <w:t>2020/2021 Amnesty International Report</w:t>
      </w:r>
      <w:r w:rsidRPr="01451D5D">
        <w:t xml:space="preserve"> (Apr. 2021), 362. Available online at </w:t>
      </w:r>
      <w:r w:rsidRPr="01451D5D">
        <w:rPr>
          <w:rStyle w:val="Hyperlink"/>
        </w:rPr>
        <w:t>https://www.amnesty.org/en/wp-content/uploads/2021/06/English.pdf#page360</w:t>
      </w:r>
    </w:p>
  </w:footnote>
  <w:footnote w:id="31">
    <w:p w14:paraId="155F2CBE" w14:textId="6F2DF174" w:rsidR="01451D5D" w:rsidRDefault="01451D5D" w:rsidP="01451D5D">
      <w:pPr>
        <w:pStyle w:val="FootnoteText"/>
        <w:rPr>
          <w:rStyle w:val="Hyperlink"/>
          <w:u w:val="none"/>
        </w:rPr>
      </w:pPr>
      <w:r w:rsidRPr="01451D5D">
        <w:rPr>
          <w:rStyle w:val="FootnoteReference"/>
        </w:rPr>
        <w:footnoteRef/>
      </w:r>
      <w:r w:rsidRPr="01451D5D">
        <w:t xml:space="preserve"> Lilia Blaise, </w:t>
      </w:r>
      <w:r w:rsidRPr="01451D5D">
        <w:rPr>
          <w:i/>
          <w:iCs/>
        </w:rPr>
        <w:t xml:space="preserve">Tunisia Takes a Big Step to Protect Women From Abuse, </w:t>
      </w:r>
      <w:r w:rsidRPr="01451D5D">
        <w:t xml:space="preserve">The New York Times, Aug. 1, 2017, </w:t>
      </w:r>
      <w:hyperlink r:id="rId10">
        <w:r w:rsidRPr="01451D5D">
          <w:rPr>
            <w:rStyle w:val="Hyperlink"/>
          </w:rPr>
          <w:t>https://www.nytimes.com/2017/08/01/world/africa/tunisia-women-domestic-violence.html?searchResultPosition=1</w:t>
        </w:r>
      </w:hyperlink>
      <w:r w:rsidRPr="01451D5D">
        <w:t xml:space="preserve"> </w:t>
      </w:r>
    </w:p>
  </w:footnote>
  <w:footnote w:id="32">
    <w:p w14:paraId="52D5D28D" w14:textId="738EA2B5" w:rsidR="01451D5D" w:rsidRDefault="01451D5D" w:rsidP="01451D5D">
      <w:pPr>
        <w:pStyle w:val="FootnoteText"/>
      </w:pPr>
      <w:r w:rsidRPr="01451D5D">
        <w:rPr>
          <w:rStyle w:val="FootnoteReference"/>
        </w:rPr>
        <w:footnoteRef/>
      </w:r>
      <w:r w:rsidRPr="01451D5D">
        <w:t xml:space="preserve"> </w:t>
      </w:r>
      <w:proofErr w:type="spellStart"/>
      <w:r w:rsidRPr="01451D5D">
        <w:t>Loi</w:t>
      </w:r>
      <w:proofErr w:type="spellEnd"/>
      <w:r w:rsidRPr="01451D5D">
        <w:t xml:space="preserve"> </w:t>
      </w:r>
      <w:proofErr w:type="spellStart"/>
      <w:r w:rsidRPr="01451D5D">
        <w:t>organique</w:t>
      </w:r>
      <w:proofErr w:type="spellEnd"/>
      <w:r w:rsidRPr="01451D5D">
        <w:t xml:space="preserve"> no. 2017-58 du 11 </w:t>
      </w:r>
      <w:proofErr w:type="spellStart"/>
      <w:r w:rsidRPr="01451D5D">
        <w:t>aout</w:t>
      </w:r>
      <w:proofErr w:type="spellEnd"/>
      <w:r w:rsidRPr="01451D5D">
        <w:t xml:space="preserve"> 2017, relative a </w:t>
      </w:r>
      <w:proofErr w:type="spellStart"/>
      <w:r w:rsidRPr="01451D5D">
        <w:t>l’élimination</w:t>
      </w:r>
      <w:proofErr w:type="spellEnd"/>
      <w:r w:rsidRPr="01451D5D">
        <w:t xml:space="preserve"> de la violence à </w:t>
      </w:r>
      <w:proofErr w:type="spellStart"/>
      <w:r w:rsidRPr="01451D5D">
        <w:t>l’égard</w:t>
      </w:r>
      <w:proofErr w:type="spellEnd"/>
      <w:r w:rsidRPr="01451D5D">
        <w:t xml:space="preserve"> des femmes, Art. </w:t>
      </w:r>
      <w:r w:rsidRPr="01451D5D">
        <w:rPr>
          <w:lang w:val="fr-FR"/>
        </w:rPr>
        <w:t>226</w:t>
      </w:r>
      <w:r w:rsidRPr="01451D5D">
        <w:t xml:space="preserve"> (2018) Available online at </w:t>
      </w:r>
      <w:hyperlink r:id="rId11">
        <w:r w:rsidRPr="01451D5D">
          <w:rPr>
            <w:rStyle w:val="Hyperlink"/>
          </w:rPr>
          <w:t>http://www.legislation.tn/sites/default/files/news/tf2017581.pdf</w:t>
        </w:r>
      </w:hyperlink>
      <w:r w:rsidRPr="01451D5D">
        <w:t xml:space="preserve">. </w:t>
      </w:r>
    </w:p>
  </w:footnote>
  <w:footnote w:id="33">
    <w:p w14:paraId="5FE760B9" w14:textId="39F29F6F" w:rsidR="01451D5D" w:rsidRDefault="01451D5D" w:rsidP="01451D5D">
      <w:pPr>
        <w:pStyle w:val="FootnoteText"/>
      </w:pPr>
      <w:r w:rsidRPr="01451D5D">
        <w:rPr>
          <w:rStyle w:val="FootnoteReference"/>
        </w:rPr>
        <w:footnoteRef/>
      </w:r>
      <w:r w:rsidRPr="01451D5D">
        <w:t xml:space="preserve"> </w:t>
      </w:r>
      <w:proofErr w:type="spellStart"/>
      <w:r w:rsidRPr="01451D5D">
        <w:t>Loi</w:t>
      </w:r>
      <w:proofErr w:type="spellEnd"/>
      <w:r w:rsidRPr="01451D5D">
        <w:t xml:space="preserve"> </w:t>
      </w:r>
      <w:proofErr w:type="spellStart"/>
      <w:r w:rsidRPr="01451D5D">
        <w:t>organique</w:t>
      </w:r>
      <w:proofErr w:type="spellEnd"/>
      <w:r w:rsidRPr="01451D5D">
        <w:t xml:space="preserve"> no. 2017-58 du 11 </w:t>
      </w:r>
      <w:proofErr w:type="spellStart"/>
      <w:r w:rsidRPr="01451D5D">
        <w:t>aout</w:t>
      </w:r>
      <w:proofErr w:type="spellEnd"/>
      <w:r w:rsidRPr="01451D5D">
        <w:t xml:space="preserve"> 2017, relative a </w:t>
      </w:r>
      <w:proofErr w:type="spellStart"/>
      <w:r w:rsidRPr="01451D5D">
        <w:t>l’élimination</w:t>
      </w:r>
      <w:proofErr w:type="spellEnd"/>
      <w:r w:rsidRPr="01451D5D">
        <w:t xml:space="preserve"> de la violence à </w:t>
      </w:r>
      <w:proofErr w:type="spellStart"/>
      <w:r w:rsidRPr="01451D5D">
        <w:t>l’égard</w:t>
      </w:r>
      <w:proofErr w:type="spellEnd"/>
      <w:r w:rsidRPr="01451D5D">
        <w:t xml:space="preserve"> des femmes (2018) Available online at </w:t>
      </w:r>
      <w:hyperlink r:id="rId12">
        <w:r w:rsidRPr="01451D5D">
          <w:rPr>
            <w:rStyle w:val="Hyperlink"/>
          </w:rPr>
          <w:t>http://www.legislation.tn/sites/default/files/news/tf2017581.pdf</w:t>
        </w:r>
      </w:hyperlink>
      <w:r w:rsidRPr="01451D5D">
        <w:t xml:space="preserve">. </w:t>
      </w:r>
    </w:p>
  </w:footnote>
  <w:footnote w:id="34">
    <w:p w14:paraId="467F29C1" w14:textId="712D9691" w:rsidR="01451D5D" w:rsidRDefault="01451D5D" w:rsidP="01451D5D">
      <w:pPr>
        <w:pStyle w:val="FootnoteText"/>
        <w:rPr>
          <w:rStyle w:val="Hyperlink"/>
          <w:lang w:val="fr-FR"/>
        </w:rPr>
      </w:pPr>
      <w:r w:rsidRPr="01451D5D">
        <w:rPr>
          <w:rStyle w:val="FootnoteReference"/>
        </w:rPr>
        <w:footnoteRef/>
      </w:r>
      <w:r w:rsidRPr="01451D5D">
        <w:t xml:space="preserve"> Association </w:t>
      </w:r>
      <w:proofErr w:type="spellStart"/>
      <w:r w:rsidRPr="01451D5D">
        <w:t>Tunisienne</w:t>
      </w:r>
      <w:proofErr w:type="spellEnd"/>
      <w:r w:rsidRPr="01451D5D">
        <w:t xml:space="preserve"> des femmes </w:t>
      </w:r>
      <w:proofErr w:type="spellStart"/>
      <w:r w:rsidRPr="01451D5D">
        <w:t>démocrates</w:t>
      </w:r>
      <w:proofErr w:type="spellEnd"/>
      <w:r w:rsidRPr="01451D5D">
        <w:t xml:space="preserve">, </w:t>
      </w:r>
      <w:proofErr w:type="spellStart"/>
      <w:r w:rsidRPr="01451D5D">
        <w:rPr>
          <w:i/>
          <w:iCs/>
        </w:rPr>
        <w:t>Enquête</w:t>
      </w:r>
      <w:proofErr w:type="spellEnd"/>
      <w:r w:rsidRPr="01451D5D">
        <w:rPr>
          <w:i/>
          <w:iCs/>
        </w:rPr>
        <w:t xml:space="preserve"> sur les conditions de travail des femmes </w:t>
      </w:r>
      <w:proofErr w:type="spellStart"/>
      <w:r w:rsidRPr="01451D5D">
        <w:rPr>
          <w:i/>
          <w:iCs/>
        </w:rPr>
        <w:t>en</w:t>
      </w:r>
      <w:proofErr w:type="spellEnd"/>
      <w:r w:rsidRPr="01451D5D">
        <w:rPr>
          <w:i/>
          <w:iCs/>
        </w:rPr>
        <w:t xml:space="preserve"> milieu rural </w:t>
      </w:r>
      <w:r w:rsidRPr="01451D5D">
        <w:t xml:space="preserve">(Sep. 2014). Available online at </w:t>
      </w:r>
      <w:r w:rsidRPr="01451D5D">
        <w:rPr>
          <w:rStyle w:val="Hyperlink"/>
          <w:lang w:val="fr-FR"/>
        </w:rPr>
        <w:t>http://femmesdemocrates.org.tn/bibliotheque-atfd/livre-pdf/livre%20francais.pdf.</w:t>
      </w:r>
    </w:p>
  </w:footnote>
  <w:footnote w:id="35">
    <w:p w14:paraId="6509ED36" w14:textId="71C2C331" w:rsidR="01451D5D" w:rsidRDefault="01451D5D" w:rsidP="000E4EC0">
      <w:pPr>
        <w:spacing w:line="259" w:lineRule="auto"/>
        <w:rPr>
          <w:sz w:val="22"/>
          <w:szCs w:val="22"/>
        </w:rPr>
      </w:pPr>
      <w:r w:rsidRPr="01451D5D">
        <w:rPr>
          <w:rStyle w:val="FootnoteReference"/>
        </w:rPr>
        <w:footnoteRef/>
      </w:r>
      <w:r w:rsidRPr="01451D5D">
        <w:t xml:space="preserve"> US Department of State, </w:t>
      </w:r>
      <w:r w:rsidRPr="01451D5D">
        <w:rPr>
          <w:i/>
          <w:iCs/>
        </w:rPr>
        <w:t xml:space="preserve">2021 Country Reports on Human Rights Practice: Tunisia </w:t>
      </w:r>
      <w:r w:rsidRPr="01451D5D">
        <w:t>(Apr. 2022), 15–16</w:t>
      </w:r>
      <w:r w:rsidRPr="01451D5D">
        <w:rPr>
          <w:i/>
          <w:iCs/>
        </w:rPr>
        <w:t>.</w:t>
      </w:r>
      <w:r w:rsidRPr="01451D5D">
        <w:t xml:space="preserve"> Available online at </w:t>
      </w:r>
      <w:hyperlink r:id="rId13">
        <w:r w:rsidRPr="01451D5D">
          <w:rPr>
            <w:rStyle w:val="Hyperlink"/>
          </w:rPr>
          <w:t>https://www.state.gov/reports/2021-country-reports-on-human-rights-practices/tunisia/</w:t>
        </w:r>
      </w:hyperlink>
      <w:r w:rsidRPr="01451D5D">
        <w:t xml:space="preserve"> </w:t>
      </w:r>
    </w:p>
  </w:footnote>
  <w:footnote w:id="36">
    <w:p w14:paraId="7444B3DC" w14:textId="5E4648EB" w:rsidR="01451D5D" w:rsidRDefault="01451D5D" w:rsidP="01451D5D">
      <w:pPr>
        <w:pStyle w:val="FootnoteText"/>
        <w:rPr>
          <w:sz w:val="22"/>
          <w:szCs w:val="22"/>
        </w:rPr>
      </w:pPr>
      <w:r w:rsidRPr="01451D5D">
        <w:rPr>
          <w:rStyle w:val="FootnoteReference"/>
        </w:rPr>
        <w:footnoteRef/>
      </w:r>
      <w:r w:rsidRPr="01451D5D">
        <w:t xml:space="preserve"> US Department of State, </w:t>
      </w:r>
      <w:r w:rsidRPr="01451D5D">
        <w:rPr>
          <w:i/>
          <w:iCs/>
        </w:rPr>
        <w:t xml:space="preserve">2021 Country Reports on Human Rights Practice: Tunisia </w:t>
      </w:r>
      <w:r w:rsidRPr="01451D5D">
        <w:t>(Apr. 2022), 16</w:t>
      </w:r>
      <w:r w:rsidRPr="01451D5D">
        <w:rPr>
          <w:i/>
          <w:iCs/>
        </w:rPr>
        <w:t>.</w:t>
      </w:r>
      <w:r w:rsidRPr="01451D5D">
        <w:t xml:space="preserve"> Available online at </w:t>
      </w:r>
      <w:hyperlink r:id="rId14">
        <w:r w:rsidRPr="01451D5D">
          <w:rPr>
            <w:rStyle w:val="Hyperlink"/>
          </w:rPr>
          <w:t>https://www.state.gov/reports/2021-country-reports-on-human-rights-practices/tunisia/</w:t>
        </w:r>
      </w:hyperlink>
    </w:p>
  </w:footnote>
  <w:footnote w:id="37">
    <w:p w14:paraId="045FE01C" w14:textId="45851BD8" w:rsidR="01451D5D" w:rsidRDefault="01451D5D" w:rsidP="01451D5D">
      <w:pPr>
        <w:pStyle w:val="FootnoteText"/>
        <w:rPr>
          <w:sz w:val="22"/>
          <w:szCs w:val="22"/>
        </w:rPr>
      </w:pPr>
      <w:r w:rsidRPr="01451D5D">
        <w:rPr>
          <w:rStyle w:val="FootnoteReference"/>
        </w:rPr>
        <w:footnoteRef/>
      </w:r>
      <w:r w:rsidRPr="01451D5D">
        <w:t xml:space="preserve"> Committee against Torture, </w:t>
      </w:r>
      <w:r w:rsidRPr="01451D5D">
        <w:rPr>
          <w:i/>
          <w:iCs/>
        </w:rPr>
        <w:t xml:space="preserve">Concluding Observations on the third period reports of Tunisia </w:t>
      </w:r>
      <w:r w:rsidRPr="01451D5D">
        <w:t>(June 10, 2016), CAT/C/TUN/CO/3, ¶27</w:t>
      </w:r>
      <w:r w:rsidRPr="01451D5D">
        <w:rPr>
          <w:color w:val="4A4A4A"/>
        </w:rPr>
        <w:t>–</w:t>
      </w:r>
      <w:r w:rsidRPr="01451D5D">
        <w:t>28.</w:t>
      </w:r>
    </w:p>
  </w:footnote>
  <w:footnote w:id="38">
    <w:p w14:paraId="16257891" w14:textId="7586A98B" w:rsidR="01451D5D" w:rsidRDefault="01451D5D" w:rsidP="01451D5D">
      <w:pPr>
        <w:pStyle w:val="FootnoteText"/>
        <w:rPr>
          <w:sz w:val="22"/>
          <w:szCs w:val="22"/>
        </w:rPr>
      </w:pPr>
      <w:r w:rsidRPr="01451D5D">
        <w:rPr>
          <w:rStyle w:val="FootnoteReference"/>
        </w:rPr>
        <w:footnoteRef/>
      </w:r>
      <w:r w:rsidRPr="01451D5D">
        <w:t xml:space="preserve"> Committee against Torture, </w:t>
      </w:r>
      <w:r w:rsidRPr="01451D5D">
        <w:rPr>
          <w:i/>
          <w:iCs/>
        </w:rPr>
        <w:t xml:space="preserve">Concluding Observations on the third period reports of Tunisia </w:t>
      </w:r>
      <w:r w:rsidRPr="01451D5D">
        <w:t xml:space="preserve">(June 10, 2016), CAT/C/TUN/CO/3, ¶11; </w:t>
      </w:r>
      <w:proofErr w:type="spellStart"/>
      <w:r w:rsidRPr="01451D5D">
        <w:t>Loi</w:t>
      </w:r>
      <w:proofErr w:type="spellEnd"/>
      <w:r w:rsidRPr="01451D5D">
        <w:t xml:space="preserve"> </w:t>
      </w:r>
      <w:proofErr w:type="spellStart"/>
      <w:r w:rsidRPr="01451D5D">
        <w:t>organique</w:t>
      </w:r>
      <w:proofErr w:type="spellEnd"/>
      <w:r w:rsidRPr="01451D5D">
        <w:t xml:space="preserve"> n° 2015-26 du 7 </w:t>
      </w:r>
      <w:proofErr w:type="spellStart"/>
      <w:r w:rsidRPr="01451D5D">
        <w:t>août</w:t>
      </w:r>
      <w:proofErr w:type="spellEnd"/>
      <w:r w:rsidRPr="01451D5D">
        <w:t xml:space="preserve"> 2015, relative à la </w:t>
      </w:r>
      <w:proofErr w:type="spellStart"/>
      <w:r w:rsidRPr="01451D5D">
        <w:t>lutte</w:t>
      </w:r>
      <w:proofErr w:type="spellEnd"/>
      <w:r w:rsidRPr="01451D5D">
        <w:t xml:space="preserve"> </w:t>
      </w:r>
      <w:proofErr w:type="spellStart"/>
      <w:r w:rsidRPr="01451D5D">
        <w:t>contre</w:t>
      </w:r>
      <w:proofErr w:type="spellEnd"/>
      <w:r w:rsidRPr="01451D5D">
        <w:t xml:space="preserve"> le </w:t>
      </w:r>
      <w:proofErr w:type="spellStart"/>
      <w:r w:rsidRPr="01451D5D">
        <w:t>terrorisme</w:t>
      </w:r>
      <w:proofErr w:type="spellEnd"/>
      <w:r w:rsidRPr="01451D5D">
        <w:t xml:space="preserve"> et la </w:t>
      </w:r>
      <w:proofErr w:type="spellStart"/>
      <w:r w:rsidRPr="01451D5D">
        <w:t>répression</w:t>
      </w:r>
      <w:proofErr w:type="spellEnd"/>
      <w:r w:rsidRPr="01451D5D">
        <w:t xml:space="preserve"> du </w:t>
      </w:r>
      <w:proofErr w:type="spellStart"/>
      <w:r w:rsidRPr="01451D5D">
        <w:t>blanchiment</w:t>
      </w:r>
      <w:proofErr w:type="spellEnd"/>
      <w:r w:rsidRPr="01451D5D">
        <w:t xml:space="preserve"> </w:t>
      </w:r>
      <w:proofErr w:type="spellStart"/>
      <w:r w:rsidRPr="01451D5D">
        <w:t>d’argent</w:t>
      </w:r>
      <w:proofErr w:type="spellEnd"/>
      <w:r w:rsidRPr="01451D5D">
        <w:t xml:space="preserve"> (2015). Available online at </w:t>
      </w:r>
      <w:hyperlink r:id="rId15">
        <w:r w:rsidRPr="01451D5D">
          <w:rPr>
            <w:rStyle w:val="Hyperlink"/>
          </w:rPr>
          <w:t>https://ihl-databases.icrc.org/applic/ihl/ihl-nat.nsf/implementingLaws.xsp?documentId=7B779CEBBF299332C125836A00359F41&amp;action=openDocument&amp;xp_countrySelected=TN&amp;xp_topicSelected=GVAL-992BUB&amp;from=state</w:t>
        </w:r>
      </w:hyperlink>
    </w:p>
  </w:footnote>
  <w:footnote w:id="39">
    <w:p w14:paraId="654E3905" w14:textId="15545EA5" w:rsidR="01451D5D" w:rsidRDefault="01451D5D" w:rsidP="01451D5D">
      <w:pPr>
        <w:pStyle w:val="FootnoteText"/>
        <w:rPr>
          <w:sz w:val="22"/>
          <w:szCs w:val="22"/>
        </w:rPr>
      </w:pPr>
      <w:r w:rsidRPr="01451D5D">
        <w:rPr>
          <w:rStyle w:val="FootnoteReference"/>
        </w:rPr>
        <w:footnoteRef/>
      </w:r>
      <w:r w:rsidRPr="01451D5D">
        <w:t xml:space="preserve"> Committee against Torture, </w:t>
      </w:r>
      <w:r w:rsidRPr="01451D5D">
        <w:rPr>
          <w:i/>
          <w:iCs/>
        </w:rPr>
        <w:t xml:space="preserve">Concluding Observations on the third period reports of Tunisia </w:t>
      </w:r>
      <w:r w:rsidRPr="01451D5D">
        <w:t>(June 10, 2016), CAT/C/TUN/CO/3, ¶12.</w:t>
      </w:r>
    </w:p>
  </w:footnote>
  <w:footnote w:id="40">
    <w:p w14:paraId="7476344C" w14:textId="0129C125" w:rsidR="01451D5D" w:rsidRDefault="01451D5D" w:rsidP="01451D5D">
      <w:pPr>
        <w:pStyle w:val="FootnoteText"/>
        <w:rPr>
          <w:rFonts w:ascii="Arial" w:eastAsia="Arial" w:hAnsi="Arial" w:cs="Arial"/>
          <w:color w:val="4A4A4A"/>
          <w:sz w:val="24"/>
          <w:szCs w:val="24"/>
        </w:rPr>
      </w:pPr>
      <w:r w:rsidRPr="01451D5D">
        <w:rPr>
          <w:rStyle w:val="FootnoteReference"/>
        </w:rPr>
        <w:footnoteRef/>
      </w:r>
      <w:r w:rsidRPr="01451D5D">
        <w:t xml:space="preserve"> Committee against Torture, </w:t>
      </w:r>
      <w:proofErr w:type="gramStart"/>
      <w:r w:rsidRPr="01451D5D">
        <w:rPr>
          <w:i/>
          <w:iCs/>
        </w:rPr>
        <w:t>Concluding</w:t>
      </w:r>
      <w:proofErr w:type="gramEnd"/>
      <w:r w:rsidRPr="01451D5D">
        <w:rPr>
          <w:i/>
          <w:iCs/>
        </w:rPr>
        <w:t xml:space="preserve"> observations on the third periodic reports of Tunisia, Addendum: Information received from Tunisia on follow-up to concluding observations </w:t>
      </w:r>
      <w:r w:rsidRPr="01451D5D">
        <w:t>(June 9, 2017), CAT/C/TUN/CO/3/Add.1, ¶3–11, 29.</w:t>
      </w:r>
    </w:p>
  </w:footnote>
  <w:footnote w:id="41">
    <w:p w14:paraId="0E3CECAC" w14:textId="40728679" w:rsidR="01451D5D" w:rsidRDefault="01451D5D" w:rsidP="00A032A6">
      <w:pPr>
        <w:spacing w:line="259" w:lineRule="auto"/>
        <w:rPr>
          <w:sz w:val="22"/>
          <w:szCs w:val="22"/>
        </w:rPr>
      </w:pPr>
      <w:r w:rsidRPr="01451D5D">
        <w:rPr>
          <w:rStyle w:val="FootnoteReference"/>
        </w:rPr>
        <w:footnoteRef/>
      </w:r>
      <w:r w:rsidRPr="01451D5D">
        <w:t xml:space="preserve"> Human Rights Council, </w:t>
      </w:r>
      <w:r w:rsidRPr="01451D5D">
        <w:rPr>
          <w:i/>
          <w:iCs/>
        </w:rPr>
        <w:t xml:space="preserve">National report submitted in accordance with paragraph 5 of the annex to Human Rights Council Resolution 16/21: Tunisia </w:t>
      </w:r>
      <w:r w:rsidRPr="01451D5D">
        <w:t>(Feb. 20, 2017), A/HRC/WG.6/27/TUN/1, ¶59.</w:t>
      </w:r>
    </w:p>
  </w:footnote>
  <w:footnote w:id="42">
    <w:p w14:paraId="4194ED09" w14:textId="615AE010" w:rsidR="01451D5D" w:rsidRDefault="01451D5D" w:rsidP="000E4EC0">
      <w:pPr>
        <w:spacing w:line="259" w:lineRule="auto"/>
        <w:rPr>
          <w:color w:val="0563C1"/>
          <w:sz w:val="22"/>
          <w:szCs w:val="22"/>
        </w:rPr>
      </w:pPr>
      <w:r w:rsidRPr="01451D5D">
        <w:rPr>
          <w:rStyle w:val="FootnoteReference"/>
        </w:rPr>
        <w:footnoteRef/>
      </w:r>
      <w:r w:rsidRPr="01451D5D">
        <w:t xml:space="preserve"> Human Rights Watch, </w:t>
      </w:r>
      <w:r w:rsidRPr="01451D5D">
        <w:rPr>
          <w:i/>
          <w:iCs/>
        </w:rPr>
        <w:t xml:space="preserve">World Report 2022: Events of 2021 </w:t>
      </w:r>
      <w:r w:rsidRPr="01451D5D">
        <w:t xml:space="preserve">(2022), 662. Available online at </w:t>
      </w:r>
      <w:r w:rsidRPr="01451D5D">
        <w:rPr>
          <w:rStyle w:val="Hyperlink"/>
        </w:rPr>
        <w:t>https://www.hrw.org/sites/default/files/media_2022/01/World%20Report%202022%20web%20pdf_0.pdf</w:t>
      </w:r>
    </w:p>
  </w:footnote>
  <w:footnote w:id="43">
    <w:p w14:paraId="653D761A" w14:textId="5A8F14A9" w:rsidR="01451D5D" w:rsidRDefault="01451D5D" w:rsidP="000E4EC0">
      <w:pPr>
        <w:spacing w:line="259" w:lineRule="auto"/>
        <w:rPr>
          <w:color w:val="0563C1"/>
          <w:sz w:val="22"/>
          <w:szCs w:val="22"/>
        </w:rPr>
      </w:pPr>
      <w:r w:rsidRPr="01451D5D">
        <w:rPr>
          <w:rStyle w:val="FootnoteReference"/>
        </w:rPr>
        <w:footnoteRef/>
      </w:r>
      <w:r w:rsidRPr="01451D5D">
        <w:t xml:space="preserve"> Human Rights Watch, </w:t>
      </w:r>
      <w:r w:rsidRPr="01451D5D">
        <w:rPr>
          <w:i/>
          <w:iCs/>
        </w:rPr>
        <w:t xml:space="preserve">World Report 2022: Events of 2021 </w:t>
      </w:r>
      <w:r w:rsidRPr="01451D5D">
        <w:t xml:space="preserve">(2022), 662. Available online at </w:t>
      </w:r>
      <w:r w:rsidRPr="01451D5D">
        <w:rPr>
          <w:rStyle w:val="Hyperlink"/>
        </w:rPr>
        <w:t>https://www.hrw.org/sites/default/files/media_2022/01/World%20Report%202022%20web%20pdf_0.pdf</w:t>
      </w:r>
    </w:p>
  </w:footnote>
  <w:footnote w:id="44">
    <w:p w14:paraId="5985C57C" w14:textId="45F96055" w:rsidR="01451D5D" w:rsidRDefault="01451D5D" w:rsidP="000E4EC0">
      <w:pPr>
        <w:spacing w:line="259" w:lineRule="auto"/>
        <w:rPr>
          <w:sz w:val="22"/>
          <w:szCs w:val="22"/>
        </w:rPr>
      </w:pPr>
      <w:r w:rsidRPr="01451D5D">
        <w:rPr>
          <w:rStyle w:val="FootnoteReference"/>
        </w:rPr>
        <w:footnoteRef/>
      </w:r>
      <w:r w:rsidRPr="01451D5D">
        <w:t xml:space="preserve"> Human Rights Watch, “Tunisia Jails Repatriated Women with Suspected ISIS Ties,” Apr. 29, 2021, </w:t>
      </w:r>
      <w:hyperlink r:id="rId16">
        <w:r w:rsidRPr="01451D5D">
          <w:rPr>
            <w:rStyle w:val="Hyperlink"/>
          </w:rPr>
          <w:t>https://www.hrw.org/news/2021/04/29/tunisia-jails-repatriated-women-suspected-isis-ties</w:t>
        </w:r>
      </w:hyperlink>
    </w:p>
  </w:footnote>
  <w:footnote w:id="45">
    <w:p w14:paraId="1DE439BE" w14:textId="6716918C" w:rsidR="01451D5D" w:rsidRDefault="01451D5D" w:rsidP="01451D5D">
      <w:pPr>
        <w:pStyle w:val="FootnoteText"/>
        <w:rPr>
          <w:sz w:val="22"/>
          <w:szCs w:val="22"/>
        </w:rPr>
      </w:pPr>
      <w:r w:rsidRPr="01451D5D">
        <w:rPr>
          <w:rStyle w:val="FootnoteReference"/>
        </w:rPr>
        <w:footnoteRef/>
      </w:r>
      <w:r w:rsidRPr="01451D5D">
        <w:t xml:space="preserve"> Human Rights Watch, “Tunisia Jails Repatriated Women with Suspected ISIS Ties,” Apr. 29, 2021, </w:t>
      </w:r>
      <w:hyperlink r:id="rId17">
        <w:r w:rsidRPr="01451D5D">
          <w:rPr>
            <w:rStyle w:val="Hyperlink"/>
          </w:rPr>
          <w:t>https://www.hrw.org/news/2021/04/29/tunisia-jails-repatriated-women-suspected-isis-ties</w:t>
        </w:r>
      </w:hyperlink>
    </w:p>
  </w:footnote>
  <w:footnote w:id="46">
    <w:p w14:paraId="3D0E0773" w14:textId="1D2E747A" w:rsidR="01451D5D" w:rsidRDefault="01451D5D" w:rsidP="01451D5D">
      <w:pPr>
        <w:spacing w:after="160" w:line="259" w:lineRule="auto"/>
        <w:rPr>
          <w:sz w:val="22"/>
          <w:szCs w:val="22"/>
        </w:rPr>
      </w:pPr>
      <w:r w:rsidRPr="01451D5D">
        <w:rPr>
          <w:rStyle w:val="FootnoteReference"/>
        </w:rPr>
        <w:footnoteRef/>
      </w:r>
      <w:r w:rsidRPr="01451D5D">
        <w:t xml:space="preserve"> Human Rights Watch, “Tunisia Jails Repatriated Women with Suspected ISIS Ties,” Apr. 29, 2021, </w:t>
      </w:r>
      <w:hyperlink r:id="rId18">
        <w:r w:rsidRPr="01451D5D">
          <w:rPr>
            <w:rStyle w:val="Hyperlink"/>
          </w:rPr>
          <w:t>https://www.hrw.org/news/2021/04/29/tunisia-jails-repatriated-women-suspected-isis-ties</w:t>
        </w:r>
      </w:hyperlink>
      <w:r w:rsidRPr="01451D5D">
        <w:t xml:space="preserve">; </w:t>
      </w:r>
      <w:proofErr w:type="spellStart"/>
      <w:r w:rsidRPr="01451D5D">
        <w:t>Loi</w:t>
      </w:r>
      <w:proofErr w:type="spellEnd"/>
      <w:r w:rsidRPr="01451D5D">
        <w:t xml:space="preserve"> </w:t>
      </w:r>
      <w:proofErr w:type="spellStart"/>
      <w:r w:rsidRPr="01451D5D">
        <w:t>organique</w:t>
      </w:r>
      <w:proofErr w:type="spellEnd"/>
      <w:r w:rsidRPr="01451D5D">
        <w:t xml:space="preserve"> n° 2015-26 du 7 </w:t>
      </w:r>
      <w:proofErr w:type="spellStart"/>
      <w:r w:rsidRPr="01451D5D">
        <w:t>août</w:t>
      </w:r>
      <w:proofErr w:type="spellEnd"/>
      <w:r w:rsidRPr="01451D5D">
        <w:t xml:space="preserve"> 2015, relative à la </w:t>
      </w:r>
      <w:proofErr w:type="spellStart"/>
      <w:r w:rsidRPr="01451D5D">
        <w:t>lutte</w:t>
      </w:r>
      <w:proofErr w:type="spellEnd"/>
      <w:r w:rsidRPr="01451D5D">
        <w:t xml:space="preserve"> </w:t>
      </w:r>
      <w:proofErr w:type="spellStart"/>
      <w:r w:rsidRPr="01451D5D">
        <w:t>contre</w:t>
      </w:r>
      <w:proofErr w:type="spellEnd"/>
      <w:r w:rsidRPr="01451D5D">
        <w:t xml:space="preserve"> le </w:t>
      </w:r>
      <w:proofErr w:type="spellStart"/>
      <w:r w:rsidRPr="01451D5D">
        <w:t>terrorisme</w:t>
      </w:r>
      <w:proofErr w:type="spellEnd"/>
      <w:r w:rsidRPr="01451D5D">
        <w:t xml:space="preserve"> et la </w:t>
      </w:r>
      <w:proofErr w:type="spellStart"/>
      <w:r w:rsidRPr="01451D5D">
        <w:t>répression</w:t>
      </w:r>
      <w:proofErr w:type="spellEnd"/>
      <w:r w:rsidRPr="01451D5D">
        <w:t xml:space="preserve"> du </w:t>
      </w:r>
      <w:proofErr w:type="spellStart"/>
      <w:r w:rsidRPr="01451D5D">
        <w:t>blanchiment</w:t>
      </w:r>
      <w:proofErr w:type="spellEnd"/>
      <w:r w:rsidRPr="01451D5D">
        <w:t xml:space="preserve"> </w:t>
      </w:r>
      <w:proofErr w:type="spellStart"/>
      <w:r w:rsidRPr="01451D5D">
        <w:t>d’argent</w:t>
      </w:r>
      <w:proofErr w:type="spellEnd"/>
      <w:r w:rsidRPr="01451D5D">
        <w:t xml:space="preserve"> (2015). Available online at </w:t>
      </w:r>
      <w:hyperlink r:id="rId19">
        <w:r w:rsidRPr="01451D5D">
          <w:rPr>
            <w:rStyle w:val="Hyperlink"/>
          </w:rPr>
          <w:t>https://ihl-databases.icrc.org/applic/ihl/ihl-nat.nsf/implementingLaws.xsp?documentId=7B779CEBBF299332C125836A00359F41&amp;action=openDocument&amp;xp_countrySelected=TN&amp;xp_topicSelected=GVAL-992BUB&amp;from=state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EB9C4"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52D18" w14:textId="2F1B8050" w:rsidR="00804604" w:rsidRDefault="01451D5D" w:rsidP="00741B60">
    <w:pPr>
      <w:jc w:val="both"/>
    </w:pPr>
    <w:r>
      <w:rPr>
        <w:noProof/>
      </w:rPr>
      <w:drawing>
        <wp:inline distT="0" distB="0" distL="0" distR="0" wp14:anchorId="30DD71C6" wp14:editId="148A4AC5">
          <wp:extent cx="2223618" cy="619125"/>
          <wp:effectExtent l="0" t="0" r="0" b="0"/>
          <wp:docPr id="524030738" name="Picture 524030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2223618" cy="619125"/>
                  </a:xfrm>
                  <a:prstGeom prst="rect">
                    <a:avLst/>
                  </a:prstGeom>
                </pic:spPr>
              </pic:pic>
            </a:graphicData>
          </a:graphic>
        </wp:inline>
      </w:drawing>
    </w:r>
    <w:r w:rsidR="00741B60">
      <w:t xml:space="preserve">                                                            </w:t>
    </w:r>
    <w:r>
      <w:rPr>
        <w:noProof/>
      </w:rPr>
      <w:drawing>
        <wp:inline distT="0" distB="0" distL="0" distR="0" wp14:anchorId="6D822130" wp14:editId="2C3393DF">
          <wp:extent cx="1898650" cy="727598"/>
          <wp:effectExtent l="0" t="0" r="0" b="0"/>
          <wp:docPr id="39491508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ic:nvPicPr>
                <pic:blipFill>
                  <a:blip r:embed="rId2">
                    <a:extLst>
                      <a:ext uri="{28A0092B-C50C-407E-A947-70E740481C1C}">
                        <a14:useLocalDpi xmlns:a14="http://schemas.microsoft.com/office/drawing/2010/main" val="0"/>
                      </a:ext>
                    </a:extLst>
                  </a:blip>
                  <a:stretch>
                    <a:fillRect/>
                  </a:stretch>
                </pic:blipFill>
                <pic:spPr>
                  <a:xfrm>
                    <a:off x="0" y="0"/>
                    <a:ext cx="1898650" cy="72759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92E16"/>
    <w:multiLevelType w:val="hybridMultilevel"/>
    <w:tmpl w:val="70CA8262"/>
    <w:lvl w:ilvl="0" w:tplc="885248D2">
      <w:start w:val="17"/>
      <w:numFmt w:val="decimal"/>
      <w:lvlText w:val="%1."/>
      <w:lvlJc w:val="left"/>
      <w:pPr>
        <w:ind w:left="720" w:hanging="360"/>
      </w:pPr>
      <w:rPr>
        <w:rFonts w:ascii="Calibri" w:hAnsi="Calibri" w:hint="default"/>
      </w:rPr>
    </w:lvl>
    <w:lvl w:ilvl="1" w:tplc="FD0E9D62">
      <w:start w:val="1"/>
      <w:numFmt w:val="lowerLetter"/>
      <w:lvlText w:val="%2."/>
      <w:lvlJc w:val="left"/>
      <w:pPr>
        <w:ind w:left="1440" w:hanging="360"/>
      </w:pPr>
    </w:lvl>
    <w:lvl w:ilvl="2" w:tplc="3C3AF0AE">
      <w:start w:val="1"/>
      <w:numFmt w:val="lowerRoman"/>
      <w:lvlText w:val="%3."/>
      <w:lvlJc w:val="right"/>
      <w:pPr>
        <w:ind w:left="2160" w:hanging="180"/>
      </w:pPr>
    </w:lvl>
    <w:lvl w:ilvl="3" w:tplc="E6D4EA02">
      <w:start w:val="1"/>
      <w:numFmt w:val="decimal"/>
      <w:lvlText w:val="%4."/>
      <w:lvlJc w:val="left"/>
      <w:pPr>
        <w:ind w:left="2880" w:hanging="360"/>
      </w:pPr>
    </w:lvl>
    <w:lvl w:ilvl="4" w:tplc="F29C0EAA">
      <w:start w:val="1"/>
      <w:numFmt w:val="lowerLetter"/>
      <w:lvlText w:val="%5."/>
      <w:lvlJc w:val="left"/>
      <w:pPr>
        <w:ind w:left="3600" w:hanging="360"/>
      </w:pPr>
    </w:lvl>
    <w:lvl w:ilvl="5" w:tplc="FE3E2BB8">
      <w:start w:val="1"/>
      <w:numFmt w:val="lowerRoman"/>
      <w:lvlText w:val="%6."/>
      <w:lvlJc w:val="right"/>
      <w:pPr>
        <w:ind w:left="4320" w:hanging="180"/>
      </w:pPr>
    </w:lvl>
    <w:lvl w:ilvl="6" w:tplc="A7A62ECC">
      <w:start w:val="1"/>
      <w:numFmt w:val="decimal"/>
      <w:lvlText w:val="%7."/>
      <w:lvlJc w:val="left"/>
      <w:pPr>
        <w:ind w:left="5040" w:hanging="360"/>
      </w:pPr>
    </w:lvl>
    <w:lvl w:ilvl="7" w:tplc="C2326D54">
      <w:start w:val="1"/>
      <w:numFmt w:val="lowerLetter"/>
      <w:lvlText w:val="%8."/>
      <w:lvlJc w:val="left"/>
      <w:pPr>
        <w:ind w:left="5760" w:hanging="360"/>
      </w:pPr>
    </w:lvl>
    <w:lvl w:ilvl="8" w:tplc="A5842DAC">
      <w:start w:val="1"/>
      <w:numFmt w:val="lowerRoman"/>
      <w:lvlText w:val="%9."/>
      <w:lvlJc w:val="right"/>
      <w:pPr>
        <w:ind w:left="6480" w:hanging="180"/>
      </w:pPr>
    </w:lvl>
  </w:abstractNum>
  <w:abstractNum w:abstractNumId="1" w15:restartNumberingAfterBreak="0">
    <w:nsid w:val="0E92231F"/>
    <w:multiLevelType w:val="hybridMultilevel"/>
    <w:tmpl w:val="633A05FE"/>
    <w:lvl w:ilvl="0" w:tplc="529ECF98">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C37D94"/>
    <w:multiLevelType w:val="hybridMultilevel"/>
    <w:tmpl w:val="E1FAEFE8"/>
    <w:lvl w:ilvl="0" w:tplc="4E128392">
      <w:start w:val="25"/>
      <w:numFmt w:val="decimal"/>
      <w:lvlText w:val="%1."/>
      <w:lvlJc w:val="left"/>
      <w:pPr>
        <w:ind w:left="720" w:hanging="360"/>
      </w:pPr>
      <w:rPr>
        <w:rFonts w:ascii="Calibri" w:hAnsi="Calibri" w:hint="default"/>
      </w:rPr>
    </w:lvl>
    <w:lvl w:ilvl="1" w:tplc="F85ED646">
      <w:start w:val="1"/>
      <w:numFmt w:val="lowerLetter"/>
      <w:lvlText w:val="%2."/>
      <w:lvlJc w:val="left"/>
      <w:pPr>
        <w:ind w:left="1440" w:hanging="360"/>
      </w:pPr>
    </w:lvl>
    <w:lvl w:ilvl="2" w:tplc="BD944676">
      <w:start w:val="1"/>
      <w:numFmt w:val="lowerRoman"/>
      <w:lvlText w:val="%3."/>
      <w:lvlJc w:val="right"/>
      <w:pPr>
        <w:ind w:left="2160" w:hanging="180"/>
      </w:pPr>
    </w:lvl>
    <w:lvl w:ilvl="3" w:tplc="8AE62186">
      <w:start w:val="1"/>
      <w:numFmt w:val="decimal"/>
      <w:lvlText w:val="%4."/>
      <w:lvlJc w:val="left"/>
      <w:pPr>
        <w:ind w:left="2880" w:hanging="360"/>
      </w:pPr>
    </w:lvl>
    <w:lvl w:ilvl="4" w:tplc="80FCCFA6">
      <w:start w:val="1"/>
      <w:numFmt w:val="lowerLetter"/>
      <w:lvlText w:val="%5."/>
      <w:lvlJc w:val="left"/>
      <w:pPr>
        <w:ind w:left="3600" w:hanging="360"/>
      </w:pPr>
    </w:lvl>
    <w:lvl w:ilvl="5" w:tplc="9B244B6E">
      <w:start w:val="1"/>
      <w:numFmt w:val="lowerRoman"/>
      <w:lvlText w:val="%6."/>
      <w:lvlJc w:val="right"/>
      <w:pPr>
        <w:ind w:left="4320" w:hanging="180"/>
      </w:pPr>
    </w:lvl>
    <w:lvl w:ilvl="6" w:tplc="38F45C90">
      <w:start w:val="1"/>
      <w:numFmt w:val="decimal"/>
      <w:lvlText w:val="%7."/>
      <w:lvlJc w:val="left"/>
      <w:pPr>
        <w:ind w:left="5040" w:hanging="360"/>
      </w:pPr>
    </w:lvl>
    <w:lvl w:ilvl="7" w:tplc="95660D7C">
      <w:start w:val="1"/>
      <w:numFmt w:val="lowerLetter"/>
      <w:lvlText w:val="%8."/>
      <w:lvlJc w:val="left"/>
      <w:pPr>
        <w:ind w:left="5760" w:hanging="360"/>
      </w:pPr>
    </w:lvl>
    <w:lvl w:ilvl="8" w:tplc="C7743184">
      <w:start w:val="1"/>
      <w:numFmt w:val="lowerRoman"/>
      <w:lvlText w:val="%9."/>
      <w:lvlJc w:val="right"/>
      <w:pPr>
        <w:ind w:left="6480" w:hanging="180"/>
      </w:pPr>
    </w:lvl>
  </w:abstractNum>
  <w:abstractNum w:abstractNumId="3"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D2529E"/>
    <w:multiLevelType w:val="hybridMultilevel"/>
    <w:tmpl w:val="8ED4E0E8"/>
    <w:lvl w:ilvl="0" w:tplc="DAAEBF52">
      <w:start w:val="1"/>
      <w:numFmt w:val="decimal"/>
      <w:lvlText w:val="%1."/>
      <w:lvlJc w:val="left"/>
      <w:pPr>
        <w:ind w:left="720" w:hanging="360"/>
      </w:pPr>
    </w:lvl>
    <w:lvl w:ilvl="1" w:tplc="3C1AFFDC">
      <w:start w:val="1"/>
      <w:numFmt w:val="lowerLetter"/>
      <w:lvlText w:val="%2."/>
      <w:lvlJc w:val="left"/>
      <w:pPr>
        <w:ind w:left="1440" w:hanging="360"/>
      </w:pPr>
    </w:lvl>
    <w:lvl w:ilvl="2" w:tplc="64BA9910">
      <w:start w:val="1"/>
      <w:numFmt w:val="lowerRoman"/>
      <w:lvlText w:val="%3."/>
      <w:lvlJc w:val="right"/>
      <w:pPr>
        <w:ind w:left="2160" w:hanging="180"/>
      </w:pPr>
    </w:lvl>
    <w:lvl w:ilvl="3" w:tplc="6136CEE6">
      <w:start w:val="1"/>
      <w:numFmt w:val="decimal"/>
      <w:lvlText w:val="%4."/>
      <w:lvlJc w:val="left"/>
      <w:pPr>
        <w:ind w:left="2880" w:hanging="360"/>
      </w:pPr>
    </w:lvl>
    <w:lvl w:ilvl="4" w:tplc="C4F0CB64">
      <w:start w:val="1"/>
      <w:numFmt w:val="lowerLetter"/>
      <w:lvlText w:val="%5."/>
      <w:lvlJc w:val="left"/>
      <w:pPr>
        <w:ind w:left="3600" w:hanging="360"/>
      </w:pPr>
    </w:lvl>
    <w:lvl w:ilvl="5" w:tplc="5F722666">
      <w:start w:val="1"/>
      <w:numFmt w:val="lowerRoman"/>
      <w:lvlText w:val="%6."/>
      <w:lvlJc w:val="right"/>
      <w:pPr>
        <w:ind w:left="4320" w:hanging="180"/>
      </w:pPr>
    </w:lvl>
    <w:lvl w:ilvl="6" w:tplc="76F2C75C">
      <w:start w:val="1"/>
      <w:numFmt w:val="decimal"/>
      <w:lvlText w:val="%7."/>
      <w:lvlJc w:val="left"/>
      <w:pPr>
        <w:ind w:left="5040" w:hanging="360"/>
      </w:pPr>
    </w:lvl>
    <w:lvl w:ilvl="7" w:tplc="8E586B74">
      <w:start w:val="1"/>
      <w:numFmt w:val="lowerLetter"/>
      <w:lvlText w:val="%8."/>
      <w:lvlJc w:val="left"/>
      <w:pPr>
        <w:ind w:left="5760" w:hanging="360"/>
      </w:pPr>
    </w:lvl>
    <w:lvl w:ilvl="8" w:tplc="A69067AA">
      <w:start w:val="1"/>
      <w:numFmt w:val="lowerRoman"/>
      <w:lvlText w:val="%9."/>
      <w:lvlJc w:val="right"/>
      <w:pPr>
        <w:ind w:left="6480" w:hanging="180"/>
      </w:pPr>
    </w:lvl>
  </w:abstractNum>
  <w:abstractNum w:abstractNumId="5"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7" w15:restartNumberingAfterBreak="0">
    <w:nsid w:val="1D172AE8"/>
    <w:multiLevelType w:val="hybridMultilevel"/>
    <w:tmpl w:val="664034A2"/>
    <w:lvl w:ilvl="0" w:tplc="BCAEE204">
      <w:start w:val="1"/>
      <w:numFmt w:val="decimal"/>
      <w:lvlText w:val="%1."/>
      <w:lvlJc w:val="left"/>
      <w:pPr>
        <w:ind w:left="720" w:hanging="360"/>
      </w:pPr>
    </w:lvl>
    <w:lvl w:ilvl="1" w:tplc="47A2721A">
      <w:start w:val="1"/>
      <w:numFmt w:val="lowerLetter"/>
      <w:lvlText w:val="%2."/>
      <w:lvlJc w:val="left"/>
      <w:pPr>
        <w:ind w:left="1440" w:hanging="360"/>
      </w:pPr>
    </w:lvl>
    <w:lvl w:ilvl="2" w:tplc="E3DAB7EE">
      <w:start w:val="1"/>
      <w:numFmt w:val="lowerRoman"/>
      <w:lvlText w:val="%3."/>
      <w:lvlJc w:val="right"/>
      <w:pPr>
        <w:ind w:left="2160" w:hanging="180"/>
      </w:pPr>
    </w:lvl>
    <w:lvl w:ilvl="3" w:tplc="AFB8AD5C">
      <w:start w:val="1"/>
      <w:numFmt w:val="decimal"/>
      <w:lvlText w:val="%4."/>
      <w:lvlJc w:val="left"/>
      <w:pPr>
        <w:ind w:left="2880" w:hanging="360"/>
      </w:pPr>
    </w:lvl>
    <w:lvl w:ilvl="4" w:tplc="2DAA2D54">
      <w:start w:val="1"/>
      <w:numFmt w:val="lowerLetter"/>
      <w:lvlText w:val="%5."/>
      <w:lvlJc w:val="left"/>
      <w:pPr>
        <w:ind w:left="3600" w:hanging="360"/>
      </w:pPr>
    </w:lvl>
    <w:lvl w:ilvl="5" w:tplc="43F472D6">
      <w:start w:val="1"/>
      <w:numFmt w:val="lowerRoman"/>
      <w:lvlText w:val="%6."/>
      <w:lvlJc w:val="right"/>
      <w:pPr>
        <w:ind w:left="4320" w:hanging="180"/>
      </w:pPr>
    </w:lvl>
    <w:lvl w:ilvl="6" w:tplc="F78EA272">
      <w:start w:val="1"/>
      <w:numFmt w:val="decimal"/>
      <w:lvlText w:val="%7."/>
      <w:lvlJc w:val="left"/>
      <w:pPr>
        <w:ind w:left="5040" w:hanging="360"/>
      </w:pPr>
    </w:lvl>
    <w:lvl w:ilvl="7" w:tplc="7FD82392">
      <w:start w:val="1"/>
      <w:numFmt w:val="lowerLetter"/>
      <w:lvlText w:val="%8."/>
      <w:lvlJc w:val="left"/>
      <w:pPr>
        <w:ind w:left="5760" w:hanging="360"/>
      </w:pPr>
    </w:lvl>
    <w:lvl w:ilvl="8" w:tplc="05CCB242">
      <w:start w:val="1"/>
      <w:numFmt w:val="lowerRoman"/>
      <w:lvlText w:val="%9."/>
      <w:lvlJc w:val="right"/>
      <w:pPr>
        <w:ind w:left="6480" w:hanging="180"/>
      </w:pPr>
    </w:lvl>
  </w:abstractNum>
  <w:abstractNum w:abstractNumId="8" w15:restartNumberingAfterBreak="0">
    <w:nsid w:val="1D5153BE"/>
    <w:multiLevelType w:val="hybridMultilevel"/>
    <w:tmpl w:val="20885664"/>
    <w:lvl w:ilvl="0" w:tplc="FFFFFFF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1AA16DD"/>
    <w:multiLevelType w:val="hybridMultilevel"/>
    <w:tmpl w:val="9F9ED9C4"/>
    <w:lvl w:ilvl="0" w:tplc="F822F1C4">
      <w:start w:val="1"/>
      <w:numFmt w:val="bullet"/>
      <w:lvlText w:val=""/>
      <w:lvlJc w:val="left"/>
      <w:pPr>
        <w:ind w:left="720" w:hanging="360"/>
      </w:pPr>
      <w:rPr>
        <w:rFonts w:ascii="Symbol" w:hAnsi="Symbol" w:hint="default"/>
      </w:rPr>
    </w:lvl>
    <w:lvl w:ilvl="1" w:tplc="82FA5938">
      <w:start w:val="1"/>
      <w:numFmt w:val="bullet"/>
      <w:lvlText w:val="o"/>
      <w:lvlJc w:val="left"/>
      <w:pPr>
        <w:ind w:left="1440" w:hanging="360"/>
      </w:pPr>
      <w:rPr>
        <w:rFonts w:ascii="Courier New" w:hAnsi="Courier New" w:hint="default"/>
      </w:rPr>
    </w:lvl>
    <w:lvl w:ilvl="2" w:tplc="41FCB8C0">
      <w:start w:val="1"/>
      <w:numFmt w:val="bullet"/>
      <w:lvlText w:val=""/>
      <w:lvlJc w:val="left"/>
      <w:pPr>
        <w:ind w:left="2160" w:hanging="360"/>
      </w:pPr>
      <w:rPr>
        <w:rFonts w:ascii="Wingdings" w:hAnsi="Wingdings" w:hint="default"/>
      </w:rPr>
    </w:lvl>
    <w:lvl w:ilvl="3" w:tplc="39E46A26">
      <w:start w:val="1"/>
      <w:numFmt w:val="bullet"/>
      <w:lvlText w:val=""/>
      <w:lvlJc w:val="left"/>
      <w:pPr>
        <w:ind w:left="2880" w:hanging="360"/>
      </w:pPr>
      <w:rPr>
        <w:rFonts w:ascii="Symbol" w:hAnsi="Symbol" w:hint="default"/>
      </w:rPr>
    </w:lvl>
    <w:lvl w:ilvl="4" w:tplc="AC863102">
      <w:start w:val="1"/>
      <w:numFmt w:val="bullet"/>
      <w:lvlText w:val="o"/>
      <w:lvlJc w:val="left"/>
      <w:pPr>
        <w:ind w:left="3600" w:hanging="360"/>
      </w:pPr>
      <w:rPr>
        <w:rFonts w:ascii="Courier New" w:hAnsi="Courier New" w:hint="default"/>
      </w:rPr>
    </w:lvl>
    <w:lvl w:ilvl="5" w:tplc="8C228284">
      <w:start w:val="1"/>
      <w:numFmt w:val="bullet"/>
      <w:lvlText w:val=""/>
      <w:lvlJc w:val="left"/>
      <w:pPr>
        <w:ind w:left="4320" w:hanging="360"/>
      </w:pPr>
      <w:rPr>
        <w:rFonts w:ascii="Wingdings" w:hAnsi="Wingdings" w:hint="default"/>
      </w:rPr>
    </w:lvl>
    <w:lvl w:ilvl="6" w:tplc="622A7AF8">
      <w:start w:val="1"/>
      <w:numFmt w:val="bullet"/>
      <w:lvlText w:val=""/>
      <w:lvlJc w:val="left"/>
      <w:pPr>
        <w:ind w:left="5040" w:hanging="360"/>
      </w:pPr>
      <w:rPr>
        <w:rFonts w:ascii="Symbol" w:hAnsi="Symbol" w:hint="default"/>
      </w:rPr>
    </w:lvl>
    <w:lvl w:ilvl="7" w:tplc="FCC603F8">
      <w:start w:val="1"/>
      <w:numFmt w:val="bullet"/>
      <w:lvlText w:val="o"/>
      <w:lvlJc w:val="left"/>
      <w:pPr>
        <w:ind w:left="5760" w:hanging="360"/>
      </w:pPr>
      <w:rPr>
        <w:rFonts w:ascii="Courier New" w:hAnsi="Courier New" w:hint="default"/>
      </w:rPr>
    </w:lvl>
    <w:lvl w:ilvl="8" w:tplc="8B6AFFA4">
      <w:start w:val="1"/>
      <w:numFmt w:val="bullet"/>
      <w:lvlText w:val=""/>
      <w:lvlJc w:val="left"/>
      <w:pPr>
        <w:ind w:left="6480" w:hanging="360"/>
      </w:pPr>
      <w:rPr>
        <w:rFonts w:ascii="Wingdings" w:hAnsi="Wingdings" w:hint="default"/>
      </w:rPr>
    </w:lvl>
  </w:abstractNum>
  <w:abstractNum w:abstractNumId="12"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7FB5066"/>
    <w:multiLevelType w:val="hybridMultilevel"/>
    <w:tmpl w:val="35382634"/>
    <w:lvl w:ilvl="0" w:tplc="E5A45522">
      <w:start w:val="12"/>
      <w:numFmt w:val="decimal"/>
      <w:lvlText w:val="%1."/>
      <w:lvlJc w:val="left"/>
      <w:pPr>
        <w:ind w:left="720" w:hanging="360"/>
      </w:pPr>
      <w:rPr>
        <w:rFonts w:ascii="Calibri" w:hAnsi="Calibri" w:hint="default"/>
      </w:rPr>
    </w:lvl>
    <w:lvl w:ilvl="1" w:tplc="89062642">
      <w:start w:val="1"/>
      <w:numFmt w:val="lowerLetter"/>
      <w:lvlText w:val="%2."/>
      <w:lvlJc w:val="left"/>
      <w:pPr>
        <w:ind w:left="1440" w:hanging="360"/>
      </w:pPr>
    </w:lvl>
    <w:lvl w:ilvl="2" w:tplc="10585DEA">
      <w:start w:val="1"/>
      <w:numFmt w:val="lowerRoman"/>
      <w:lvlText w:val="%3."/>
      <w:lvlJc w:val="right"/>
      <w:pPr>
        <w:ind w:left="2160" w:hanging="180"/>
      </w:pPr>
    </w:lvl>
    <w:lvl w:ilvl="3" w:tplc="44C840E0">
      <w:start w:val="1"/>
      <w:numFmt w:val="decimal"/>
      <w:lvlText w:val="%4."/>
      <w:lvlJc w:val="left"/>
      <w:pPr>
        <w:ind w:left="2880" w:hanging="360"/>
      </w:pPr>
    </w:lvl>
    <w:lvl w:ilvl="4" w:tplc="2130B874">
      <w:start w:val="1"/>
      <w:numFmt w:val="lowerLetter"/>
      <w:lvlText w:val="%5."/>
      <w:lvlJc w:val="left"/>
      <w:pPr>
        <w:ind w:left="3600" w:hanging="360"/>
      </w:pPr>
    </w:lvl>
    <w:lvl w:ilvl="5" w:tplc="A7D2BECA">
      <w:start w:val="1"/>
      <w:numFmt w:val="lowerRoman"/>
      <w:lvlText w:val="%6."/>
      <w:lvlJc w:val="right"/>
      <w:pPr>
        <w:ind w:left="4320" w:hanging="180"/>
      </w:pPr>
    </w:lvl>
    <w:lvl w:ilvl="6" w:tplc="FC4EFB1C">
      <w:start w:val="1"/>
      <w:numFmt w:val="decimal"/>
      <w:lvlText w:val="%7."/>
      <w:lvlJc w:val="left"/>
      <w:pPr>
        <w:ind w:left="5040" w:hanging="360"/>
      </w:pPr>
    </w:lvl>
    <w:lvl w:ilvl="7" w:tplc="2A40653A">
      <w:start w:val="1"/>
      <w:numFmt w:val="lowerLetter"/>
      <w:lvlText w:val="%8."/>
      <w:lvlJc w:val="left"/>
      <w:pPr>
        <w:ind w:left="5760" w:hanging="360"/>
      </w:pPr>
    </w:lvl>
    <w:lvl w:ilvl="8" w:tplc="E74AB9D2">
      <w:start w:val="1"/>
      <w:numFmt w:val="lowerRoman"/>
      <w:lvlText w:val="%9."/>
      <w:lvlJc w:val="right"/>
      <w:pPr>
        <w:ind w:left="6480" w:hanging="180"/>
      </w:pPr>
    </w:lvl>
  </w:abstractNum>
  <w:abstractNum w:abstractNumId="14" w15:restartNumberingAfterBreak="0">
    <w:nsid w:val="3FF02505"/>
    <w:multiLevelType w:val="hybridMultilevel"/>
    <w:tmpl w:val="FA44CA4C"/>
    <w:lvl w:ilvl="0" w:tplc="4F18DA2E">
      <w:start w:val="1"/>
      <w:numFmt w:val="decimal"/>
      <w:lvlText w:val="%1."/>
      <w:lvlJc w:val="left"/>
      <w:pPr>
        <w:ind w:left="720" w:hanging="360"/>
      </w:pPr>
      <w:rPr>
        <w:rFonts w:ascii="Calibri" w:hAnsi="Calibri" w:hint="default"/>
      </w:rPr>
    </w:lvl>
    <w:lvl w:ilvl="1" w:tplc="C5CCA6A0">
      <w:start w:val="1"/>
      <w:numFmt w:val="lowerLetter"/>
      <w:lvlText w:val="%2."/>
      <w:lvlJc w:val="left"/>
      <w:pPr>
        <w:ind w:left="1440" w:hanging="360"/>
      </w:pPr>
    </w:lvl>
    <w:lvl w:ilvl="2" w:tplc="E66AFD68">
      <w:start w:val="1"/>
      <w:numFmt w:val="lowerRoman"/>
      <w:lvlText w:val="%3."/>
      <w:lvlJc w:val="right"/>
      <w:pPr>
        <w:ind w:left="2160" w:hanging="180"/>
      </w:pPr>
    </w:lvl>
    <w:lvl w:ilvl="3" w:tplc="0E02AFDC">
      <w:start w:val="1"/>
      <w:numFmt w:val="decimal"/>
      <w:lvlText w:val="%4."/>
      <w:lvlJc w:val="left"/>
      <w:pPr>
        <w:ind w:left="2880" w:hanging="360"/>
      </w:pPr>
    </w:lvl>
    <w:lvl w:ilvl="4" w:tplc="092C26B2">
      <w:start w:val="1"/>
      <w:numFmt w:val="lowerLetter"/>
      <w:lvlText w:val="%5."/>
      <w:lvlJc w:val="left"/>
      <w:pPr>
        <w:ind w:left="3600" w:hanging="360"/>
      </w:pPr>
    </w:lvl>
    <w:lvl w:ilvl="5" w:tplc="E8C2F884">
      <w:start w:val="1"/>
      <w:numFmt w:val="lowerRoman"/>
      <w:lvlText w:val="%6."/>
      <w:lvlJc w:val="right"/>
      <w:pPr>
        <w:ind w:left="4320" w:hanging="180"/>
      </w:pPr>
    </w:lvl>
    <w:lvl w:ilvl="6" w:tplc="AAF89E96">
      <w:start w:val="1"/>
      <w:numFmt w:val="decimal"/>
      <w:lvlText w:val="%7."/>
      <w:lvlJc w:val="left"/>
      <w:pPr>
        <w:ind w:left="5040" w:hanging="360"/>
      </w:pPr>
    </w:lvl>
    <w:lvl w:ilvl="7" w:tplc="6C5EF290">
      <w:start w:val="1"/>
      <w:numFmt w:val="lowerLetter"/>
      <w:lvlText w:val="%8."/>
      <w:lvlJc w:val="left"/>
      <w:pPr>
        <w:ind w:left="5760" w:hanging="360"/>
      </w:pPr>
    </w:lvl>
    <w:lvl w:ilvl="8" w:tplc="0C269410">
      <w:start w:val="1"/>
      <w:numFmt w:val="lowerRoman"/>
      <w:lvlText w:val="%9."/>
      <w:lvlJc w:val="right"/>
      <w:pPr>
        <w:ind w:left="6480" w:hanging="180"/>
      </w:pPr>
    </w:lvl>
  </w:abstractNum>
  <w:abstractNum w:abstractNumId="15" w15:restartNumberingAfterBreak="0">
    <w:nsid w:val="475A1B6F"/>
    <w:multiLevelType w:val="hybridMultilevel"/>
    <w:tmpl w:val="74F09F88"/>
    <w:lvl w:ilvl="0" w:tplc="C2AE2724">
      <w:start w:val="24"/>
      <w:numFmt w:val="decimal"/>
      <w:lvlText w:val="%1."/>
      <w:lvlJc w:val="left"/>
      <w:pPr>
        <w:ind w:left="720" w:hanging="360"/>
      </w:pPr>
      <w:rPr>
        <w:rFonts w:ascii="Calibri" w:hAnsi="Calibri" w:hint="default"/>
      </w:rPr>
    </w:lvl>
    <w:lvl w:ilvl="1" w:tplc="0EB81F38">
      <w:start w:val="1"/>
      <w:numFmt w:val="lowerLetter"/>
      <w:lvlText w:val="%2."/>
      <w:lvlJc w:val="left"/>
      <w:pPr>
        <w:ind w:left="1440" w:hanging="360"/>
      </w:pPr>
    </w:lvl>
    <w:lvl w:ilvl="2" w:tplc="2E083E94">
      <w:start w:val="1"/>
      <w:numFmt w:val="lowerRoman"/>
      <w:lvlText w:val="%3."/>
      <w:lvlJc w:val="right"/>
      <w:pPr>
        <w:ind w:left="2160" w:hanging="180"/>
      </w:pPr>
    </w:lvl>
    <w:lvl w:ilvl="3" w:tplc="243EC89A">
      <w:start w:val="1"/>
      <w:numFmt w:val="decimal"/>
      <w:lvlText w:val="%4."/>
      <w:lvlJc w:val="left"/>
      <w:pPr>
        <w:ind w:left="2880" w:hanging="360"/>
      </w:pPr>
    </w:lvl>
    <w:lvl w:ilvl="4" w:tplc="431AA1EC">
      <w:start w:val="1"/>
      <w:numFmt w:val="lowerLetter"/>
      <w:lvlText w:val="%5."/>
      <w:lvlJc w:val="left"/>
      <w:pPr>
        <w:ind w:left="3600" w:hanging="360"/>
      </w:pPr>
    </w:lvl>
    <w:lvl w:ilvl="5" w:tplc="7812A574">
      <w:start w:val="1"/>
      <w:numFmt w:val="lowerRoman"/>
      <w:lvlText w:val="%6."/>
      <w:lvlJc w:val="right"/>
      <w:pPr>
        <w:ind w:left="4320" w:hanging="180"/>
      </w:pPr>
    </w:lvl>
    <w:lvl w:ilvl="6" w:tplc="E7CCFDAE">
      <w:start w:val="1"/>
      <w:numFmt w:val="decimal"/>
      <w:lvlText w:val="%7."/>
      <w:lvlJc w:val="left"/>
      <w:pPr>
        <w:ind w:left="5040" w:hanging="360"/>
      </w:pPr>
    </w:lvl>
    <w:lvl w:ilvl="7" w:tplc="B5F89B1E">
      <w:start w:val="1"/>
      <w:numFmt w:val="lowerLetter"/>
      <w:lvlText w:val="%8."/>
      <w:lvlJc w:val="left"/>
      <w:pPr>
        <w:ind w:left="5760" w:hanging="360"/>
      </w:pPr>
    </w:lvl>
    <w:lvl w:ilvl="8" w:tplc="6F32460E">
      <w:start w:val="1"/>
      <w:numFmt w:val="lowerRoman"/>
      <w:lvlText w:val="%9."/>
      <w:lvlJc w:val="right"/>
      <w:pPr>
        <w:ind w:left="6480" w:hanging="180"/>
      </w:pPr>
    </w:lvl>
  </w:abstractNum>
  <w:abstractNum w:abstractNumId="16" w15:restartNumberingAfterBreak="0">
    <w:nsid w:val="47D14DC2"/>
    <w:multiLevelType w:val="hybridMultilevel"/>
    <w:tmpl w:val="8B5E1CA8"/>
    <w:lvl w:ilvl="0" w:tplc="D1B6B576">
      <w:start w:val="19"/>
      <w:numFmt w:val="decimal"/>
      <w:lvlText w:val="%1."/>
      <w:lvlJc w:val="left"/>
      <w:pPr>
        <w:ind w:left="720" w:hanging="360"/>
      </w:pPr>
      <w:rPr>
        <w:rFonts w:ascii="Calibri" w:hAnsi="Calibri" w:hint="default"/>
      </w:rPr>
    </w:lvl>
    <w:lvl w:ilvl="1" w:tplc="0CD0FBE0">
      <w:start w:val="1"/>
      <w:numFmt w:val="lowerLetter"/>
      <w:lvlText w:val="%2."/>
      <w:lvlJc w:val="left"/>
      <w:pPr>
        <w:ind w:left="1440" w:hanging="360"/>
      </w:pPr>
    </w:lvl>
    <w:lvl w:ilvl="2" w:tplc="5CF8EF36">
      <w:start w:val="1"/>
      <w:numFmt w:val="lowerRoman"/>
      <w:lvlText w:val="%3."/>
      <w:lvlJc w:val="right"/>
      <w:pPr>
        <w:ind w:left="2160" w:hanging="180"/>
      </w:pPr>
    </w:lvl>
    <w:lvl w:ilvl="3" w:tplc="89A05C2A">
      <w:start w:val="1"/>
      <w:numFmt w:val="decimal"/>
      <w:lvlText w:val="%4."/>
      <w:lvlJc w:val="left"/>
      <w:pPr>
        <w:ind w:left="2880" w:hanging="360"/>
      </w:pPr>
    </w:lvl>
    <w:lvl w:ilvl="4" w:tplc="4DD69F10">
      <w:start w:val="1"/>
      <w:numFmt w:val="lowerLetter"/>
      <w:lvlText w:val="%5."/>
      <w:lvlJc w:val="left"/>
      <w:pPr>
        <w:ind w:left="3600" w:hanging="360"/>
      </w:pPr>
    </w:lvl>
    <w:lvl w:ilvl="5" w:tplc="C2CEE442">
      <w:start w:val="1"/>
      <w:numFmt w:val="lowerRoman"/>
      <w:lvlText w:val="%6."/>
      <w:lvlJc w:val="right"/>
      <w:pPr>
        <w:ind w:left="4320" w:hanging="180"/>
      </w:pPr>
    </w:lvl>
    <w:lvl w:ilvl="6" w:tplc="3A367724">
      <w:start w:val="1"/>
      <w:numFmt w:val="decimal"/>
      <w:lvlText w:val="%7."/>
      <w:lvlJc w:val="left"/>
      <w:pPr>
        <w:ind w:left="5040" w:hanging="360"/>
      </w:pPr>
    </w:lvl>
    <w:lvl w:ilvl="7" w:tplc="1A3CF648">
      <w:start w:val="1"/>
      <w:numFmt w:val="lowerLetter"/>
      <w:lvlText w:val="%8."/>
      <w:lvlJc w:val="left"/>
      <w:pPr>
        <w:ind w:left="5760" w:hanging="360"/>
      </w:pPr>
    </w:lvl>
    <w:lvl w:ilvl="8" w:tplc="E724D440">
      <w:start w:val="1"/>
      <w:numFmt w:val="lowerRoman"/>
      <w:lvlText w:val="%9."/>
      <w:lvlJc w:val="right"/>
      <w:pPr>
        <w:ind w:left="6480" w:hanging="180"/>
      </w:pPr>
    </w:lvl>
  </w:abstractNum>
  <w:abstractNum w:abstractNumId="17" w15:restartNumberingAfterBreak="0">
    <w:nsid w:val="490519AE"/>
    <w:multiLevelType w:val="hybridMultilevel"/>
    <w:tmpl w:val="BA60AE98"/>
    <w:lvl w:ilvl="0" w:tplc="743A5C76">
      <w:start w:val="26"/>
      <w:numFmt w:val="decimal"/>
      <w:lvlText w:val="%1."/>
      <w:lvlJc w:val="left"/>
      <w:pPr>
        <w:ind w:left="720" w:hanging="360"/>
      </w:pPr>
      <w:rPr>
        <w:rFonts w:ascii="Calibri" w:hAnsi="Calibri" w:hint="default"/>
      </w:rPr>
    </w:lvl>
    <w:lvl w:ilvl="1" w:tplc="7E3C4F4E">
      <w:start w:val="1"/>
      <w:numFmt w:val="lowerLetter"/>
      <w:lvlText w:val="%2."/>
      <w:lvlJc w:val="left"/>
      <w:pPr>
        <w:ind w:left="1440" w:hanging="360"/>
      </w:pPr>
    </w:lvl>
    <w:lvl w:ilvl="2" w:tplc="B81820FA">
      <w:start w:val="1"/>
      <w:numFmt w:val="lowerRoman"/>
      <w:lvlText w:val="%3."/>
      <w:lvlJc w:val="right"/>
      <w:pPr>
        <w:ind w:left="2160" w:hanging="180"/>
      </w:pPr>
    </w:lvl>
    <w:lvl w:ilvl="3" w:tplc="9496DB3A">
      <w:start w:val="1"/>
      <w:numFmt w:val="decimal"/>
      <w:lvlText w:val="%4."/>
      <w:lvlJc w:val="left"/>
      <w:pPr>
        <w:ind w:left="2880" w:hanging="360"/>
      </w:pPr>
    </w:lvl>
    <w:lvl w:ilvl="4" w:tplc="DF929438">
      <w:start w:val="1"/>
      <w:numFmt w:val="lowerLetter"/>
      <w:lvlText w:val="%5."/>
      <w:lvlJc w:val="left"/>
      <w:pPr>
        <w:ind w:left="3600" w:hanging="360"/>
      </w:pPr>
    </w:lvl>
    <w:lvl w:ilvl="5" w:tplc="9ECA425C">
      <w:start w:val="1"/>
      <w:numFmt w:val="lowerRoman"/>
      <w:lvlText w:val="%6."/>
      <w:lvlJc w:val="right"/>
      <w:pPr>
        <w:ind w:left="4320" w:hanging="180"/>
      </w:pPr>
    </w:lvl>
    <w:lvl w:ilvl="6" w:tplc="50AEA10E">
      <w:start w:val="1"/>
      <w:numFmt w:val="decimal"/>
      <w:lvlText w:val="%7."/>
      <w:lvlJc w:val="left"/>
      <w:pPr>
        <w:ind w:left="5040" w:hanging="360"/>
      </w:pPr>
    </w:lvl>
    <w:lvl w:ilvl="7" w:tplc="42BA3682">
      <w:start w:val="1"/>
      <w:numFmt w:val="lowerLetter"/>
      <w:lvlText w:val="%8."/>
      <w:lvlJc w:val="left"/>
      <w:pPr>
        <w:ind w:left="5760" w:hanging="360"/>
      </w:pPr>
    </w:lvl>
    <w:lvl w:ilvl="8" w:tplc="85F8DE24">
      <w:start w:val="1"/>
      <w:numFmt w:val="lowerRoman"/>
      <w:lvlText w:val="%9."/>
      <w:lvlJc w:val="right"/>
      <w:pPr>
        <w:ind w:left="6480" w:hanging="180"/>
      </w:pPr>
    </w:lvl>
  </w:abstractNum>
  <w:abstractNum w:abstractNumId="18" w15:restartNumberingAfterBreak="0">
    <w:nsid w:val="50897052"/>
    <w:multiLevelType w:val="hybridMultilevel"/>
    <w:tmpl w:val="B1DE2608"/>
    <w:lvl w:ilvl="0" w:tplc="4F4A6044">
      <w:start w:val="1"/>
      <w:numFmt w:val="bullet"/>
      <w:lvlText w:val="-"/>
      <w:lvlJc w:val="left"/>
      <w:pPr>
        <w:ind w:left="720" w:hanging="360"/>
      </w:pPr>
      <w:rPr>
        <w:rFonts w:ascii="Calibri" w:hAnsi="Calibri" w:hint="default"/>
      </w:rPr>
    </w:lvl>
    <w:lvl w:ilvl="1" w:tplc="A136FD90">
      <w:start w:val="1"/>
      <w:numFmt w:val="bullet"/>
      <w:lvlText w:val="o"/>
      <w:lvlJc w:val="left"/>
      <w:pPr>
        <w:ind w:left="1440" w:hanging="360"/>
      </w:pPr>
      <w:rPr>
        <w:rFonts w:ascii="Courier New" w:hAnsi="Courier New" w:hint="default"/>
      </w:rPr>
    </w:lvl>
    <w:lvl w:ilvl="2" w:tplc="09D0EB10">
      <w:start w:val="1"/>
      <w:numFmt w:val="bullet"/>
      <w:lvlText w:val=""/>
      <w:lvlJc w:val="left"/>
      <w:pPr>
        <w:ind w:left="2160" w:hanging="360"/>
      </w:pPr>
      <w:rPr>
        <w:rFonts w:ascii="Wingdings" w:hAnsi="Wingdings" w:hint="default"/>
      </w:rPr>
    </w:lvl>
    <w:lvl w:ilvl="3" w:tplc="8E049C62">
      <w:start w:val="1"/>
      <w:numFmt w:val="bullet"/>
      <w:lvlText w:val=""/>
      <w:lvlJc w:val="left"/>
      <w:pPr>
        <w:ind w:left="2880" w:hanging="360"/>
      </w:pPr>
      <w:rPr>
        <w:rFonts w:ascii="Symbol" w:hAnsi="Symbol" w:hint="default"/>
      </w:rPr>
    </w:lvl>
    <w:lvl w:ilvl="4" w:tplc="CA6891C6">
      <w:start w:val="1"/>
      <w:numFmt w:val="bullet"/>
      <w:lvlText w:val="o"/>
      <w:lvlJc w:val="left"/>
      <w:pPr>
        <w:ind w:left="3600" w:hanging="360"/>
      </w:pPr>
      <w:rPr>
        <w:rFonts w:ascii="Courier New" w:hAnsi="Courier New" w:hint="default"/>
      </w:rPr>
    </w:lvl>
    <w:lvl w:ilvl="5" w:tplc="C602E7BA">
      <w:start w:val="1"/>
      <w:numFmt w:val="bullet"/>
      <w:lvlText w:val=""/>
      <w:lvlJc w:val="left"/>
      <w:pPr>
        <w:ind w:left="4320" w:hanging="360"/>
      </w:pPr>
      <w:rPr>
        <w:rFonts w:ascii="Wingdings" w:hAnsi="Wingdings" w:hint="default"/>
      </w:rPr>
    </w:lvl>
    <w:lvl w:ilvl="6" w:tplc="7286E506">
      <w:start w:val="1"/>
      <w:numFmt w:val="bullet"/>
      <w:lvlText w:val=""/>
      <w:lvlJc w:val="left"/>
      <w:pPr>
        <w:ind w:left="5040" w:hanging="360"/>
      </w:pPr>
      <w:rPr>
        <w:rFonts w:ascii="Symbol" w:hAnsi="Symbol" w:hint="default"/>
      </w:rPr>
    </w:lvl>
    <w:lvl w:ilvl="7" w:tplc="D17C3440">
      <w:start w:val="1"/>
      <w:numFmt w:val="bullet"/>
      <w:lvlText w:val="o"/>
      <w:lvlJc w:val="left"/>
      <w:pPr>
        <w:ind w:left="5760" w:hanging="360"/>
      </w:pPr>
      <w:rPr>
        <w:rFonts w:ascii="Courier New" w:hAnsi="Courier New" w:hint="default"/>
      </w:rPr>
    </w:lvl>
    <w:lvl w:ilvl="8" w:tplc="09E04118">
      <w:start w:val="1"/>
      <w:numFmt w:val="bullet"/>
      <w:lvlText w:val=""/>
      <w:lvlJc w:val="left"/>
      <w:pPr>
        <w:ind w:left="6480" w:hanging="360"/>
      </w:pPr>
      <w:rPr>
        <w:rFonts w:ascii="Wingdings" w:hAnsi="Wingdings" w:hint="default"/>
      </w:rPr>
    </w:lvl>
  </w:abstractNum>
  <w:abstractNum w:abstractNumId="19"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7662750"/>
    <w:multiLevelType w:val="hybridMultilevel"/>
    <w:tmpl w:val="CE320304"/>
    <w:lvl w:ilvl="0" w:tplc="2BCCB96A">
      <w:start w:val="13"/>
      <w:numFmt w:val="decimal"/>
      <w:lvlText w:val="%1."/>
      <w:lvlJc w:val="left"/>
      <w:pPr>
        <w:ind w:left="720" w:hanging="360"/>
      </w:pPr>
      <w:rPr>
        <w:rFonts w:ascii="Calibri" w:hAnsi="Calibri" w:hint="default"/>
      </w:rPr>
    </w:lvl>
    <w:lvl w:ilvl="1" w:tplc="920C54FE">
      <w:start w:val="1"/>
      <w:numFmt w:val="lowerLetter"/>
      <w:lvlText w:val="%2."/>
      <w:lvlJc w:val="left"/>
      <w:pPr>
        <w:ind w:left="1440" w:hanging="360"/>
      </w:pPr>
    </w:lvl>
    <w:lvl w:ilvl="2" w:tplc="1338CAFC">
      <w:start w:val="1"/>
      <w:numFmt w:val="lowerRoman"/>
      <w:lvlText w:val="%3."/>
      <w:lvlJc w:val="right"/>
      <w:pPr>
        <w:ind w:left="2160" w:hanging="180"/>
      </w:pPr>
    </w:lvl>
    <w:lvl w:ilvl="3" w:tplc="AA865354">
      <w:start w:val="1"/>
      <w:numFmt w:val="decimal"/>
      <w:lvlText w:val="%4."/>
      <w:lvlJc w:val="left"/>
      <w:pPr>
        <w:ind w:left="2880" w:hanging="360"/>
      </w:pPr>
    </w:lvl>
    <w:lvl w:ilvl="4" w:tplc="108C421E">
      <w:start w:val="1"/>
      <w:numFmt w:val="lowerLetter"/>
      <w:lvlText w:val="%5."/>
      <w:lvlJc w:val="left"/>
      <w:pPr>
        <w:ind w:left="3600" w:hanging="360"/>
      </w:pPr>
    </w:lvl>
    <w:lvl w:ilvl="5" w:tplc="D826C0A8">
      <w:start w:val="1"/>
      <w:numFmt w:val="lowerRoman"/>
      <w:lvlText w:val="%6."/>
      <w:lvlJc w:val="right"/>
      <w:pPr>
        <w:ind w:left="4320" w:hanging="180"/>
      </w:pPr>
    </w:lvl>
    <w:lvl w:ilvl="6" w:tplc="78FA97DE">
      <w:start w:val="1"/>
      <w:numFmt w:val="decimal"/>
      <w:lvlText w:val="%7."/>
      <w:lvlJc w:val="left"/>
      <w:pPr>
        <w:ind w:left="5040" w:hanging="360"/>
      </w:pPr>
    </w:lvl>
    <w:lvl w:ilvl="7" w:tplc="C99C2132">
      <w:start w:val="1"/>
      <w:numFmt w:val="lowerLetter"/>
      <w:lvlText w:val="%8."/>
      <w:lvlJc w:val="left"/>
      <w:pPr>
        <w:ind w:left="5760" w:hanging="360"/>
      </w:pPr>
    </w:lvl>
    <w:lvl w:ilvl="8" w:tplc="F28A18C2">
      <w:start w:val="1"/>
      <w:numFmt w:val="lowerRoman"/>
      <w:lvlText w:val="%9."/>
      <w:lvlJc w:val="right"/>
      <w:pPr>
        <w:ind w:left="6480" w:hanging="180"/>
      </w:pPr>
    </w:lvl>
  </w:abstractNum>
  <w:abstractNum w:abstractNumId="21" w15:restartNumberingAfterBreak="0">
    <w:nsid w:val="65B46AB1"/>
    <w:multiLevelType w:val="hybridMultilevel"/>
    <w:tmpl w:val="BBCE3E6A"/>
    <w:lvl w:ilvl="0" w:tplc="B9BAC1CA">
      <w:start w:val="18"/>
      <w:numFmt w:val="decimal"/>
      <w:lvlText w:val="%1."/>
      <w:lvlJc w:val="left"/>
      <w:pPr>
        <w:ind w:left="720" w:hanging="360"/>
      </w:pPr>
      <w:rPr>
        <w:rFonts w:ascii="Calibri" w:hAnsi="Calibri" w:hint="default"/>
      </w:rPr>
    </w:lvl>
    <w:lvl w:ilvl="1" w:tplc="1F00AFAA">
      <w:start w:val="1"/>
      <w:numFmt w:val="lowerLetter"/>
      <w:lvlText w:val="%2."/>
      <w:lvlJc w:val="left"/>
      <w:pPr>
        <w:ind w:left="1440" w:hanging="360"/>
      </w:pPr>
    </w:lvl>
    <w:lvl w:ilvl="2" w:tplc="7868BE8E">
      <w:start w:val="1"/>
      <w:numFmt w:val="lowerRoman"/>
      <w:lvlText w:val="%3."/>
      <w:lvlJc w:val="right"/>
      <w:pPr>
        <w:ind w:left="2160" w:hanging="180"/>
      </w:pPr>
    </w:lvl>
    <w:lvl w:ilvl="3" w:tplc="C4FC835C">
      <w:start w:val="1"/>
      <w:numFmt w:val="decimal"/>
      <w:lvlText w:val="%4."/>
      <w:lvlJc w:val="left"/>
      <w:pPr>
        <w:ind w:left="2880" w:hanging="360"/>
      </w:pPr>
    </w:lvl>
    <w:lvl w:ilvl="4" w:tplc="D51C1106">
      <w:start w:val="1"/>
      <w:numFmt w:val="lowerLetter"/>
      <w:lvlText w:val="%5."/>
      <w:lvlJc w:val="left"/>
      <w:pPr>
        <w:ind w:left="3600" w:hanging="360"/>
      </w:pPr>
    </w:lvl>
    <w:lvl w:ilvl="5" w:tplc="86ACFC58">
      <w:start w:val="1"/>
      <w:numFmt w:val="lowerRoman"/>
      <w:lvlText w:val="%6."/>
      <w:lvlJc w:val="right"/>
      <w:pPr>
        <w:ind w:left="4320" w:hanging="180"/>
      </w:pPr>
    </w:lvl>
    <w:lvl w:ilvl="6" w:tplc="5DA867B6">
      <w:start w:val="1"/>
      <w:numFmt w:val="decimal"/>
      <w:lvlText w:val="%7."/>
      <w:lvlJc w:val="left"/>
      <w:pPr>
        <w:ind w:left="5040" w:hanging="360"/>
      </w:pPr>
    </w:lvl>
    <w:lvl w:ilvl="7" w:tplc="27C4E466">
      <w:start w:val="1"/>
      <w:numFmt w:val="lowerLetter"/>
      <w:lvlText w:val="%8."/>
      <w:lvlJc w:val="left"/>
      <w:pPr>
        <w:ind w:left="5760" w:hanging="360"/>
      </w:pPr>
    </w:lvl>
    <w:lvl w:ilvl="8" w:tplc="A0101E72">
      <w:start w:val="1"/>
      <w:numFmt w:val="lowerRoman"/>
      <w:lvlText w:val="%9."/>
      <w:lvlJc w:val="right"/>
      <w:pPr>
        <w:ind w:left="6480" w:hanging="180"/>
      </w:pPr>
    </w:lvl>
  </w:abstractNum>
  <w:abstractNum w:abstractNumId="22" w15:restartNumberingAfterBreak="0">
    <w:nsid w:val="667D1B3D"/>
    <w:multiLevelType w:val="hybridMultilevel"/>
    <w:tmpl w:val="EEF0F084"/>
    <w:lvl w:ilvl="0" w:tplc="8006C6E4">
      <w:start w:val="1"/>
      <w:numFmt w:val="upperRoman"/>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435577F"/>
    <w:multiLevelType w:val="hybridMultilevel"/>
    <w:tmpl w:val="F1D2BCAE"/>
    <w:lvl w:ilvl="0" w:tplc="FA52E8FC">
      <w:start w:val="1"/>
      <w:numFmt w:val="bullet"/>
      <w:lvlText w:val="-"/>
      <w:lvlJc w:val="left"/>
      <w:pPr>
        <w:ind w:left="720" w:hanging="360"/>
      </w:pPr>
      <w:rPr>
        <w:rFonts w:ascii="Calibri" w:hAnsi="Calibri" w:hint="default"/>
      </w:rPr>
    </w:lvl>
    <w:lvl w:ilvl="1" w:tplc="CD4C7A16">
      <w:start w:val="1"/>
      <w:numFmt w:val="bullet"/>
      <w:lvlText w:val="o"/>
      <w:lvlJc w:val="left"/>
      <w:pPr>
        <w:ind w:left="1440" w:hanging="360"/>
      </w:pPr>
      <w:rPr>
        <w:rFonts w:ascii="Courier New" w:hAnsi="Courier New" w:hint="default"/>
      </w:rPr>
    </w:lvl>
    <w:lvl w:ilvl="2" w:tplc="03C4B960">
      <w:start w:val="1"/>
      <w:numFmt w:val="bullet"/>
      <w:lvlText w:val=""/>
      <w:lvlJc w:val="left"/>
      <w:pPr>
        <w:ind w:left="2160" w:hanging="360"/>
      </w:pPr>
      <w:rPr>
        <w:rFonts w:ascii="Wingdings" w:hAnsi="Wingdings" w:hint="default"/>
      </w:rPr>
    </w:lvl>
    <w:lvl w:ilvl="3" w:tplc="149602BC">
      <w:start w:val="1"/>
      <w:numFmt w:val="bullet"/>
      <w:lvlText w:val=""/>
      <w:lvlJc w:val="left"/>
      <w:pPr>
        <w:ind w:left="2880" w:hanging="360"/>
      </w:pPr>
      <w:rPr>
        <w:rFonts w:ascii="Symbol" w:hAnsi="Symbol" w:hint="default"/>
      </w:rPr>
    </w:lvl>
    <w:lvl w:ilvl="4" w:tplc="2CD075FC">
      <w:start w:val="1"/>
      <w:numFmt w:val="bullet"/>
      <w:lvlText w:val="o"/>
      <w:lvlJc w:val="left"/>
      <w:pPr>
        <w:ind w:left="3600" w:hanging="360"/>
      </w:pPr>
      <w:rPr>
        <w:rFonts w:ascii="Courier New" w:hAnsi="Courier New" w:hint="default"/>
      </w:rPr>
    </w:lvl>
    <w:lvl w:ilvl="5" w:tplc="C75453CA">
      <w:start w:val="1"/>
      <w:numFmt w:val="bullet"/>
      <w:lvlText w:val=""/>
      <w:lvlJc w:val="left"/>
      <w:pPr>
        <w:ind w:left="4320" w:hanging="360"/>
      </w:pPr>
      <w:rPr>
        <w:rFonts w:ascii="Wingdings" w:hAnsi="Wingdings" w:hint="default"/>
      </w:rPr>
    </w:lvl>
    <w:lvl w:ilvl="6" w:tplc="E9A87CCC">
      <w:start w:val="1"/>
      <w:numFmt w:val="bullet"/>
      <w:lvlText w:val=""/>
      <w:lvlJc w:val="left"/>
      <w:pPr>
        <w:ind w:left="5040" w:hanging="360"/>
      </w:pPr>
      <w:rPr>
        <w:rFonts w:ascii="Symbol" w:hAnsi="Symbol" w:hint="default"/>
      </w:rPr>
    </w:lvl>
    <w:lvl w:ilvl="7" w:tplc="413ABD82">
      <w:start w:val="1"/>
      <w:numFmt w:val="bullet"/>
      <w:lvlText w:val="o"/>
      <w:lvlJc w:val="left"/>
      <w:pPr>
        <w:ind w:left="5760" w:hanging="360"/>
      </w:pPr>
      <w:rPr>
        <w:rFonts w:ascii="Courier New" w:hAnsi="Courier New" w:hint="default"/>
      </w:rPr>
    </w:lvl>
    <w:lvl w:ilvl="8" w:tplc="96802054">
      <w:start w:val="1"/>
      <w:numFmt w:val="bullet"/>
      <w:lvlText w:val=""/>
      <w:lvlJc w:val="left"/>
      <w:pPr>
        <w:ind w:left="6480" w:hanging="360"/>
      </w:pPr>
      <w:rPr>
        <w:rFonts w:ascii="Wingdings" w:hAnsi="Wingdings" w:hint="default"/>
      </w:rPr>
    </w:lvl>
  </w:abstractNum>
  <w:num w:numId="1" w16cid:durableId="1609309624">
    <w:abstractNumId w:val="14"/>
  </w:num>
  <w:num w:numId="2" w16cid:durableId="782000667">
    <w:abstractNumId w:val="17"/>
  </w:num>
  <w:num w:numId="3" w16cid:durableId="1666738870">
    <w:abstractNumId w:val="2"/>
  </w:num>
  <w:num w:numId="4" w16cid:durableId="1725255744">
    <w:abstractNumId w:val="15"/>
  </w:num>
  <w:num w:numId="5" w16cid:durableId="206718908">
    <w:abstractNumId w:val="7"/>
  </w:num>
  <w:num w:numId="6" w16cid:durableId="444932839">
    <w:abstractNumId w:val="16"/>
  </w:num>
  <w:num w:numId="7" w16cid:durableId="2127574464">
    <w:abstractNumId w:val="21"/>
  </w:num>
  <w:num w:numId="8" w16cid:durableId="930550639">
    <w:abstractNumId w:val="0"/>
  </w:num>
  <w:num w:numId="9" w16cid:durableId="1636639286">
    <w:abstractNumId w:val="4"/>
  </w:num>
  <w:num w:numId="10" w16cid:durableId="1950312175">
    <w:abstractNumId w:val="20"/>
  </w:num>
  <w:num w:numId="11" w16cid:durableId="55394183">
    <w:abstractNumId w:val="13"/>
  </w:num>
  <w:num w:numId="12" w16cid:durableId="1277175686">
    <w:abstractNumId w:val="11"/>
  </w:num>
  <w:num w:numId="13" w16cid:durableId="1824159909">
    <w:abstractNumId w:val="23"/>
  </w:num>
  <w:num w:numId="14" w16cid:durableId="313871129">
    <w:abstractNumId w:val="18"/>
  </w:num>
  <w:num w:numId="15" w16cid:durableId="1944914593">
    <w:abstractNumId w:val="10"/>
  </w:num>
  <w:num w:numId="16" w16cid:durableId="612903421">
    <w:abstractNumId w:val="9"/>
  </w:num>
  <w:num w:numId="17" w16cid:durableId="1607343774">
    <w:abstractNumId w:val="19"/>
  </w:num>
  <w:num w:numId="18" w16cid:durableId="11895647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72176351">
    <w:abstractNumId w:val="12"/>
  </w:num>
  <w:num w:numId="20" w16cid:durableId="529681964">
    <w:abstractNumId w:val="3"/>
  </w:num>
  <w:num w:numId="21" w16cid:durableId="2001077516">
    <w:abstractNumId w:val="8"/>
  </w:num>
  <w:num w:numId="22" w16cid:durableId="940987091">
    <w:abstractNumId w:val="22"/>
  </w:num>
  <w:num w:numId="23" w16cid:durableId="1716395071">
    <w:abstractNumId w:val="5"/>
  </w:num>
  <w:num w:numId="24" w16cid:durableId="7836172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30F59"/>
    <w:rsid w:val="000342B6"/>
    <w:rsid w:val="00037434"/>
    <w:rsid w:val="0004289D"/>
    <w:rsid w:val="00046377"/>
    <w:rsid w:val="00050808"/>
    <w:rsid w:val="00056CF5"/>
    <w:rsid w:val="000734A4"/>
    <w:rsid w:val="0008238F"/>
    <w:rsid w:val="00085935"/>
    <w:rsid w:val="000910FC"/>
    <w:rsid w:val="0009644E"/>
    <w:rsid w:val="000A1F17"/>
    <w:rsid w:val="000A66B8"/>
    <w:rsid w:val="000B042D"/>
    <w:rsid w:val="000B4DB3"/>
    <w:rsid w:val="000C380B"/>
    <w:rsid w:val="000C6340"/>
    <w:rsid w:val="000E1DDC"/>
    <w:rsid w:val="000E4EC0"/>
    <w:rsid w:val="000F1E67"/>
    <w:rsid w:val="000F3447"/>
    <w:rsid w:val="000F56E0"/>
    <w:rsid w:val="001008D1"/>
    <w:rsid w:val="00111994"/>
    <w:rsid w:val="001215B4"/>
    <w:rsid w:val="00136514"/>
    <w:rsid w:val="00143423"/>
    <w:rsid w:val="0014606C"/>
    <w:rsid w:val="00147EA4"/>
    <w:rsid w:val="001523B0"/>
    <w:rsid w:val="001565F9"/>
    <w:rsid w:val="00160BDA"/>
    <w:rsid w:val="00172ACF"/>
    <w:rsid w:val="00181B2A"/>
    <w:rsid w:val="0018642B"/>
    <w:rsid w:val="001A59C1"/>
    <w:rsid w:val="001A5ED5"/>
    <w:rsid w:val="001A7AF4"/>
    <w:rsid w:val="001B1AC4"/>
    <w:rsid w:val="001B27D7"/>
    <w:rsid w:val="001B46C2"/>
    <w:rsid w:val="001B5E1E"/>
    <w:rsid w:val="001B799A"/>
    <w:rsid w:val="001B8901"/>
    <w:rsid w:val="001C42EB"/>
    <w:rsid w:val="001D4D68"/>
    <w:rsid w:val="00220D48"/>
    <w:rsid w:val="00237C8C"/>
    <w:rsid w:val="00242F64"/>
    <w:rsid w:val="002439A3"/>
    <w:rsid w:val="00243E14"/>
    <w:rsid w:val="00255789"/>
    <w:rsid w:val="00266AA3"/>
    <w:rsid w:val="00272519"/>
    <w:rsid w:val="002734D9"/>
    <w:rsid w:val="00282223"/>
    <w:rsid w:val="00291BE8"/>
    <w:rsid w:val="00296E69"/>
    <w:rsid w:val="002A0797"/>
    <w:rsid w:val="002A4838"/>
    <w:rsid w:val="002A4BE4"/>
    <w:rsid w:val="002C57BC"/>
    <w:rsid w:val="002D36C6"/>
    <w:rsid w:val="002E34EA"/>
    <w:rsid w:val="00315C53"/>
    <w:rsid w:val="00322CB1"/>
    <w:rsid w:val="00322FD0"/>
    <w:rsid w:val="003369A6"/>
    <w:rsid w:val="00340484"/>
    <w:rsid w:val="00344140"/>
    <w:rsid w:val="00344413"/>
    <w:rsid w:val="00344556"/>
    <w:rsid w:val="00345B90"/>
    <w:rsid w:val="00346FD8"/>
    <w:rsid w:val="0035378E"/>
    <w:rsid w:val="0035424D"/>
    <w:rsid w:val="00390AC3"/>
    <w:rsid w:val="003937C6"/>
    <w:rsid w:val="00393F16"/>
    <w:rsid w:val="003A0BC2"/>
    <w:rsid w:val="003A1D3E"/>
    <w:rsid w:val="003A6F6D"/>
    <w:rsid w:val="003C1E49"/>
    <w:rsid w:val="003C60FE"/>
    <w:rsid w:val="003D5FDA"/>
    <w:rsid w:val="003E5B98"/>
    <w:rsid w:val="00417CE5"/>
    <w:rsid w:val="00430A63"/>
    <w:rsid w:val="00450118"/>
    <w:rsid w:val="00450405"/>
    <w:rsid w:val="00453314"/>
    <w:rsid w:val="00463C4F"/>
    <w:rsid w:val="00476CC4"/>
    <w:rsid w:val="004866AE"/>
    <w:rsid w:val="004A17D9"/>
    <w:rsid w:val="004A5B01"/>
    <w:rsid w:val="004A7D93"/>
    <w:rsid w:val="004A7FF9"/>
    <w:rsid w:val="004B1E4E"/>
    <w:rsid w:val="004B4CAF"/>
    <w:rsid w:val="004B73AF"/>
    <w:rsid w:val="004D2568"/>
    <w:rsid w:val="004D3EE9"/>
    <w:rsid w:val="004E7176"/>
    <w:rsid w:val="004E783D"/>
    <w:rsid w:val="004F2465"/>
    <w:rsid w:val="004F34E5"/>
    <w:rsid w:val="005132BB"/>
    <w:rsid w:val="00524166"/>
    <w:rsid w:val="00524C18"/>
    <w:rsid w:val="00527CCD"/>
    <w:rsid w:val="005336C2"/>
    <w:rsid w:val="00534C5B"/>
    <w:rsid w:val="005403E3"/>
    <w:rsid w:val="0055461C"/>
    <w:rsid w:val="0056409D"/>
    <w:rsid w:val="00571EF6"/>
    <w:rsid w:val="005872D8"/>
    <w:rsid w:val="00596B08"/>
    <w:rsid w:val="0059754B"/>
    <w:rsid w:val="005B0C1B"/>
    <w:rsid w:val="005C183B"/>
    <w:rsid w:val="005C58B6"/>
    <w:rsid w:val="005C5BF7"/>
    <w:rsid w:val="005D4EE6"/>
    <w:rsid w:val="005F2A19"/>
    <w:rsid w:val="0060568A"/>
    <w:rsid w:val="0061778F"/>
    <w:rsid w:val="00624A10"/>
    <w:rsid w:val="00626C39"/>
    <w:rsid w:val="00643D7A"/>
    <w:rsid w:val="00646D29"/>
    <w:rsid w:val="00661278"/>
    <w:rsid w:val="0066318F"/>
    <w:rsid w:val="006909D4"/>
    <w:rsid w:val="006927DD"/>
    <w:rsid w:val="006B1934"/>
    <w:rsid w:val="006B3424"/>
    <w:rsid w:val="006B7B89"/>
    <w:rsid w:val="006D39C4"/>
    <w:rsid w:val="006E0945"/>
    <w:rsid w:val="006E7D5B"/>
    <w:rsid w:val="006F582F"/>
    <w:rsid w:val="007143B8"/>
    <w:rsid w:val="007316AA"/>
    <w:rsid w:val="0073B400"/>
    <w:rsid w:val="00741B60"/>
    <w:rsid w:val="00741B9C"/>
    <w:rsid w:val="00744B5A"/>
    <w:rsid w:val="00757A1C"/>
    <w:rsid w:val="007637D8"/>
    <w:rsid w:val="00765EBC"/>
    <w:rsid w:val="0077231B"/>
    <w:rsid w:val="00774643"/>
    <w:rsid w:val="007838DE"/>
    <w:rsid w:val="0079164D"/>
    <w:rsid w:val="007A080B"/>
    <w:rsid w:val="007C4387"/>
    <w:rsid w:val="007D2FB7"/>
    <w:rsid w:val="007E79C4"/>
    <w:rsid w:val="007F23A8"/>
    <w:rsid w:val="00804604"/>
    <w:rsid w:val="0081221D"/>
    <w:rsid w:val="008214B4"/>
    <w:rsid w:val="00826961"/>
    <w:rsid w:val="008274B6"/>
    <w:rsid w:val="00836428"/>
    <w:rsid w:val="00847C78"/>
    <w:rsid w:val="00852B97"/>
    <w:rsid w:val="00870521"/>
    <w:rsid w:val="0087642D"/>
    <w:rsid w:val="008856D7"/>
    <w:rsid w:val="0089523C"/>
    <w:rsid w:val="008B6E7E"/>
    <w:rsid w:val="008C3B9B"/>
    <w:rsid w:val="008C7B1F"/>
    <w:rsid w:val="008C7B63"/>
    <w:rsid w:val="008F0BDD"/>
    <w:rsid w:val="008F20E3"/>
    <w:rsid w:val="008F2F99"/>
    <w:rsid w:val="008F6084"/>
    <w:rsid w:val="009057C8"/>
    <w:rsid w:val="0093193B"/>
    <w:rsid w:val="00947170"/>
    <w:rsid w:val="00947B3D"/>
    <w:rsid w:val="00955E59"/>
    <w:rsid w:val="00956E94"/>
    <w:rsid w:val="009627A1"/>
    <w:rsid w:val="009712FE"/>
    <w:rsid w:val="00974E48"/>
    <w:rsid w:val="009875AD"/>
    <w:rsid w:val="009924AF"/>
    <w:rsid w:val="00996A22"/>
    <w:rsid w:val="009A7F71"/>
    <w:rsid w:val="009B51D7"/>
    <w:rsid w:val="009C81D4"/>
    <w:rsid w:val="009D3BEA"/>
    <w:rsid w:val="009D5161"/>
    <w:rsid w:val="009E3882"/>
    <w:rsid w:val="009E4D16"/>
    <w:rsid w:val="009F12E2"/>
    <w:rsid w:val="009F13E1"/>
    <w:rsid w:val="009F3358"/>
    <w:rsid w:val="009F478B"/>
    <w:rsid w:val="009F69C1"/>
    <w:rsid w:val="00A032A6"/>
    <w:rsid w:val="00A35706"/>
    <w:rsid w:val="00A40EE1"/>
    <w:rsid w:val="00A423ED"/>
    <w:rsid w:val="00A536F3"/>
    <w:rsid w:val="00A80C92"/>
    <w:rsid w:val="00A91D08"/>
    <w:rsid w:val="00A9582C"/>
    <w:rsid w:val="00AA281D"/>
    <w:rsid w:val="00AA6318"/>
    <w:rsid w:val="00AA7FCB"/>
    <w:rsid w:val="00AB59AE"/>
    <w:rsid w:val="00AB5BD9"/>
    <w:rsid w:val="00AD0AA1"/>
    <w:rsid w:val="00AE07A3"/>
    <w:rsid w:val="00AE372A"/>
    <w:rsid w:val="00B275A9"/>
    <w:rsid w:val="00B40DBF"/>
    <w:rsid w:val="00B44231"/>
    <w:rsid w:val="00B457C4"/>
    <w:rsid w:val="00B54060"/>
    <w:rsid w:val="00B71178"/>
    <w:rsid w:val="00B85693"/>
    <w:rsid w:val="00B914A2"/>
    <w:rsid w:val="00B9541E"/>
    <w:rsid w:val="00B97205"/>
    <w:rsid w:val="00BA4CDE"/>
    <w:rsid w:val="00BB0488"/>
    <w:rsid w:val="00BB3ED5"/>
    <w:rsid w:val="00BB4AB9"/>
    <w:rsid w:val="00BC07C0"/>
    <w:rsid w:val="00BC5DBC"/>
    <w:rsid w:val="00BD3CFF"/>
    <w:rsid w:val="00BE59BD"/>
    <w:rsid w:val="00BE7278"/>
    <w:rsid w:val="00C0174A"/>
    <w:rsid w:val="00C05D9B"/>
    <w:rsid w:val="00C26130"/>
    <w:rsid w:val="00C315B6"/>
    <w:rsid w:val="00C376F3"/>
    <w:rsid w:val="00C4132F"/>
    <w:rsid w:val="00C463D2"/>
    <w:rsid w:val="00C62A44"/>
    <w:rsid w:val="00C75F57"/>
    <w:rsid w:val="00C80A39"/>
    <w:rsid w:val="00C81936"/>
    <w:rsid w:val="00C84C4C"/>
    <w:rsid w:val="00CA7D78"/>
    <w:rsid w:val="00CB631F"/>
    <w:rsid w:val="00CC5314"/>
    <w:rsid w:val="00CC65F5"/>
    <w:rsid w:val="00D0019C"/>
    <w:rsid w:val="00D17F80"/>
    <w:rsid w:val="00D25C36"/>
    <w:rsid w:val="00D3182B"/>
    <w:rsid w:val="00D40598"/>
    <w:rsid w:val="00D52AD6"/>
    <w:rsid w:val="00D73432"/>
    <w:rsid w:val="00D861C1"/>
    <w:rsid w:val="00D86901"/>
    <w:rsid w:val="00D92835"/>
    <w:rsid w:val="00D94424"/>
    <w:rsid w:val="00D974A2"/>
    <w:rsid w:val="00DA6DB6"/>
    <w:rsid w:val="00DB78EB"/>
    <w:rsid w:val="00DC41C9"/>
    <w:rsid w:val="00DC5473"/>
    <w:rsid w:val="00DD2F76"/>
    <w:rsid w:val="00DE6FE8"/>
    <w:rsid w:val="00E114C5"/>
    <w:rsid w:val="00E13D93"/>
    <w:rsid w:val="00E15266"/>
    <w:rsid w:val="00E162F5"/>
    <w:rsid w:val="00E3230E"/>
    <w:rsid w:val="00E35775"/>
    <w:rsid w:val="00E4853E"/>
    <w:rsid w:val="00E63AA4"/>
    <w:rsid w:val="00E826D1"/>
    <w:rsid w:val="00E95CF7"/>
    <w:rsid w:val="00EA0EEB"/>
    <w:rsid w:val="00EA1D4B"/>
    <w:rsid w:val="00EA3B5D"/>
    <w:rsid w:val="00ED2DCC"/>
    <w:rsid w:val="00EF2BE5"/>
    <w:rsid w:val="00F042FA"/>
    <w:rsid w:val="00F22813"/>
    <w:rsid w:val="00F2442A"/>
    <w:rsid w:val="00F51AFD"/>
    <w:rsid w:val="00F612FF"/>
    <w:rsid w:val="00F6493F"/>
    <w:rsid w:val="00F65372"/>
    <w:rsid w:val="00F75663"/>
    <w:rsid w:val="00F811E7"/>
    <w:rsid w:val="00F9056C"/>
    <w:rsid w:val="00FA2944"/>
    <w:rsid w:val="00FB4891"/>
    <w:rsid w:val="00FC686F"/>
    <w:rsid w:val="00FC7FBE"/>
    <w:rsid w:val="00FE0378"/>
    <w:rsid w:val="00FE053C"/>
    <w:rsid w:val="00FE2347"/>
    <w:rsid w:val="01451D5D"/>
    <w:rsid w:val="014E10CE"/>
    <w:rsid w:val="01701026"/>
    <w:rsid w:val="01809228"/>
    <w:rsid w:val="01E56098"/>
    <w:rsid w:val="01E579A7"/>
    <w:rsid w:val="01E612DE"/>
    <w:rsid w:val="0284E801"/>
    <w:rsid w:val="02850249"/>
    <w:rsid w:val="02ECE138"/>
    <w:rsid w:val="02F3EFA8"/>
    <w:rsid w:val="03542707"/>
    <w:rsid w:val="0372C5E6"/>
    <w:rsid w:val="03814A08"/>
    <w:rsid w:val="03ACA727"/>
    <w:rsid w:val="03F3FE7E"/>
    <w:rsid w:val="04428122"/>
    <w:rsid w:val="0471A3EB"/>
    <w:rsid w:val="04812A25"/>
    <w:rsid w:val="04A8BFB1"/>
    <w:rsid w:val="050C8DCF"/>
    <w:rsid w:val="05270C14"/>
    <w:rsid w:val="05990E52"/>
    <w:rsid w:val="059FF25C"/>
    <w:rsid w:val="05BC88C3"/>
    <w:rsid w:val="05EFA2F5"/>
    <w:rsid w:val="06B8D1BB"/>
    <w:rsid w:val="06EFF092"/>
    <w:rsid w:val="06F37C3D"/>
    <w:rsid w:val="0799516A"/>
    <w:rsid w:val="08077038"/>
    <w:rsid w:val="084EDD87"/>
    <w:rsid w:val="0868C5DB"/>
    <w:rsid w:val="08D66EC6"/>
    <w:rsid w:val="08E736DB"/>
    <w:rsid w:val="08F4147F"/>
    <w:rsid w:val="09A6E605"/>
    <w:rsid w:val="0A0A3B12"/>
    <w:rsid w:val="0A3BF531"/>
    <w:rsid w:val="0A4296F9"/>
    <w:rsid w:val="0AA96F2A"/>
    <w:rsid w:val="0AE4E7B6"/>
    <w:rsid w:val="0AEFA160"/>
    <w:rsid w:val="0B3AFCAC"/>
    <w:rsid w:val="0B59764B"/>
    <w:rsid w:val="0B5FDCD4"/>
    <w:rsid w:val="0B66292E"/>
    <w:rsid w:val="0B6F1064"/>
    <w:rsid w:val="0C1ED79D"/>
    <w:rsid w:val="0C3D16E6"/>
    <w:rsid w:val="0C4144CB"/>
    <w:rsid w:val="0C735CA9"/>
    <w:rsid w:val="0CA5B195"/>
    <w:rsid w:val="0D942C72"/>
    <w:rsid w:val="0DAB0441"/>
    <w:rsid w:val="0DEAD89E"/>
    <w:rsid w:val="0DECC7FF"/>
    <w:rsid w:val="0EBB77E3"/>
    <w:rsid w:val="0ECC836C"/>
    <w:rsid w:val="0F48F25F"/>
    <w:rsid w:val="0FDC5D4E"/>
    <w:rsid w:val="0FE9B6E7"/>
    <w:rsid w:val="101981B2"/>
    <w:rsid w:val="106CA880"/>
    <w:rsid w:val="108A482E"/>
    <w:rsid w:val="10C5DED9"/>
    <w:rsid w:val="116E1A5C"/>
    <w:rsid w:val="11968CF0"/>
    <w:rsid w:val="11B1F7EA"/>
    <w:rsid w:val="11F318A5"/>
    <w:rsid w:val="1252A5D7"/>
    <w:rsid w:val="129C1457"/>
    <w:rsid w:val="12E25531"/>
    <w:rsid w:val="1317D42E"/>
    <w:rsid w:val="13460E91"/>
    <w:rsid w:val="134C0F4B"/>
    <w:rsid w:val="134C721D"/>
    <w:rsid w:val="13512274"/>
    <w:rsid w:val="13D2B105"/>
    <w:rsid w:val="13DF560D"/>
    <w:rsid w:val="13E827DC"/>
    <w:rsid w:val="13EE7638"/>
    <w:rsid w:val="13F95773"/>
    <w:rsid w:val="141353EE"/>
    <w:rsid w:val="14EC341F"/>
    <w:rsid w:val="14F730E9"/>
    <w:rsid w:val="15010809"/>
    <w:rsid w:val="15072E2C"/>
    <w:rsid w:val="153E0D3D"/>
    <w:rsid w:val="154019A3"/>
    <w:rsid w:val="15EB64B0"/>
    <w:rsid w:val="16601B62"/>
    <w:rsid w:val="166EF859"/>
    <w:rsid w:val="1683B00D"/>
    <w:rsid w:val="16AD4723"/>
    <w:rsid w:val="16C80341"/>
    <w:rsid w:val="1721E65B"/>
    <w:rsid w:val="172616FA"/>
    <w:rsid w:val="1732591A"/>
    <w:rsid w:val="17E1F800"/>
    <w:rsid w:val="18197FB4"/>
    <w:rsid w:val="18441F56"/>
    <w:rsid w:val="18D6AC48"/>
    <w:rsid w:val="1918568A"/>
    <w:rsid w:val="196ABEA2"/>
    <w:rsid w:val="196B93F3"/>
    <w:rsid w:val="196BDD9F"/>
    <w:rsid w:val="19B2E7C7"/>
    <w:rsid w:val="1A371BD8"/>
    <w:rsid w:val="1A4E032A"/>
    <w:rsid w:val="1A6FD307"/>
    <w:rsid w:val="1AC84C28"/>
    <w:rsid w:val="1B6421DF"/>
    <w:rsid w:val="1B84F7F3"/>
    <w:rsid w:val="1BF26470"/>
    <w:rsid w:val="1C3C0581"/>
    <w:rsid w:val="1C42F69D"/>
    <w:rsid w:val="1C4B6F58"/>
    <w:rsid w:val="1C7DB384"/>
    <w:rsid w:val="1CA334B5"/>
    <w:rsid w:val="1D46C4C7"/>
    <w:rsid w:val="1DE1FE1F"/>
    <w:rsid w:val="1E5204EA"/>
    <w:rsid w:val="1E8B9F24"/>
    <w:rsid w:val="1EE1F4F0"/>
    <w:rsid w:val="1EF7B5B9"/>
    <w:rsid w:val="1F24265B"/>
    <w:rsid w:val="1F89E89C"/>
    <w:rsid w:val="1F901989"/>
    <w:rsid w:val="200D4BEB"/>
    <w:rsid w:val="20104C64"/>
    <w:rsid w:val="201901CD"/>
    <w:rsid w:val="205443B1"/>
    <w:rsid w:val="20648812"/>
    <w:rsid w:val="20649CF4"/>
    <w:rsid w:val="2097F168"/>
    <w:rsid w:val="20C8C8A1"/>
    <w:rsid w:val="215FBF65"/>
    <w:rsid w:val="219A151D"/>
    <w:rsid w:val="21EFF9CA"/>
    <w:rsid w:val="22EC5BD1"/>
    <w:rsid w:val="238BE473"/>
    <w:rsid w:val="2406392C"/>
    <w:rsid w:val="24220E06"/>
    <w:rsid w:val="24A4E064"/>
    <w:rsid w:val="24C1466E"/>
    <w:rsid w:val="250D54B3"/>
    <w:rsid w:val="251E373A"/>
    <w:rsid w:val="259BC5C9"/>
    <w:rsid w:val="262C8350"/>
    <w:rsid w:val="26380743"/>
    <w:rsid w:val="263DAC19"/>
    <w:rsid w:val="26831DD0"/>
    <w:rsid w:val="26BE65C9"/>
    <w:rsid w:val="26D4B78C"/>
    <w:rsid w:val="26EC3C8C"/>
    <w:rsid w:val="26EC89A2"/>
    <w:rsid w:val="27352DB2"/>
    <w:rsid w:val="27DC8126"/>
    <w:rsid w:val="286FAED9"/>
    <w:rsid w:val="287087ED"/>
    <w:rsid w:val="2877F371"/>
    <w:rsid w:val="2881E4F2"/>
    <w:rsid w:val="28B524B4"/>
    <w:rsid w:val="28D4EF8A"/>
    <w:rsid w:val="28D6F236"/>
    <w:rsid w:val="290A3E14"/>
    <w:rsid w:val="291605A5"/>
    <w:rsid w:val="2925110D"/>
    <w:rsid w:val="29C4E7C7"/>
    <w:rsid w:val="29F1A85D"/>
    <w:rsid w:val="29F6068B"/>
    <w:rsid w:val="2A636AF8"/>
    <w:rsid w:val="2A9290CF"/>
    <w:rsid w:val="2AC5378C"/>
    <w:rsid w:val="2ACDA349"/>
    <w:rsid w:val="2AD13AF7"/>
    <w:rsid w:val="2AE1DBF8"/>
    <w:rsid w:val="2AF3BB1C"/>
    <w:rsid w:val="2BBAB37F"/>
    <w:rsid w:val="2BC68F23"/>
    <w:rsid w:val="2BF1DEF0"/>
    <w:rsid w:val="2BF822B4"/>
    <w:rsid w:val="2C4C0E70"/>
    <w:rsid w:val="2C8AB94B"/>
    <w:rsid w:val="2CDF9471"/>
    <w:rsid w:val="2D50147B"/>
    <w:rsid w:val="2D87010A"/>
    <w:rsid w:val="2DFBF72A"/>
    <w:rsid w:val="2E36FBFE"/>
    <w:rsid w:val="2E76F6B3"/>
    <w:rsid w:val="2EF12676"/>
    <w:rsid w:val="2EFE2FE5"/>
    <w:rsid w:val="2F09848A"/>
    <w:rsid w:val="2F2EEE25"/>
    <w:rsid w:val="2F8ED18F"/>
    <w:rsid w:val="2FA4AC1A"/>
    <w:rsid w:val="2FB75DE2"/>
    <w:rsid w:val="2FDBFE9F"/>
    <w:rsid w:val="2FF03A8B"/>
    <w:rsid w:val="3036AC2C"/>
    <w:rsid w:val="30510FD0"/>
    <w:rsid w:val="30AB7B0E"/>
    <w:rsid w:val="30C8DBBE"/>
    <w:rsid w:val="30E7941A"/>
    <w:rsid w:val="31082B79"/>
    <w:rsid w:val="3168CC92"/>
    <w:rsid w:val="31D23B63"/>
    <w:rsid w:val="320A5D41"/>
    <w:rsid w:val="3282AA52"/>
    <w:rsid w:val="329B9FDE"/>
    <w:rsid w:val="33174891"/>
    <w:rsid w:val="33241CA7"/>
    <w:rsid w:val="338C20BC"/>
    <w:rsid w:val="33BA4F06"/>
    <w:rsid w:val="33CC3B9A"/>
    <w:rsid w:val="33E03F58"/>
    <w:rsid w:val="342372E1"/>
    <w:rsid w:val="342CCD5A"/>
    <w:rsid w:val="350A1D4F"/>
    <w:rsid w:val="350DF8F4"/>
    <w:rsid w:val="35312373"/>
    <w:rsid w:val="354604F0"/>
    <w:rsid w:val="35751200"/>
    <w:rsid w:val="3578C60E"/>
    <w:rsid w:val="35C89DBB"/>
    <w:rsid w:val="35CF98BF"/>
    <w:rsid w:val="36420DE3"/>
    <w:rsid w:val="365A52E8"/>
    <w:rsid w:val="3662431A"/>
    <w:rsid w:val="36A8637A"/>
    <w:rsid w:val="36CCF3D4"/>
    <w:rsid w:val="373AD55B"/>
    <w:rsid w:val="37C54F1E"/>
    <w:rsid w:val="37E95393"/>
    <w:rsid w:val="37EB19FB"/>
    <w:rsid w:val="386863EE"/>
    <w:rsid w:val="387059F4"/>
    <w:rsid w:val="387DA5B2"/>
    <w:rsid w:val="38969C63"/>
    <w:rsid w:val="38B066D0"/>
    <w:rsid w:val="397A35CE"/>
    <w:rsid w:val="39CBA5C7"/>
    <w:rsid w:val="3A329243"/>
    <w:rsid w:val="3A87FBF1"/>
    <w:rsid w:val="3B106159"/>
    <w:rsid w:val="3B16062F"/>
    <w:rsid w:val="3B64E1BD"/>
    <w:rsid w:val="3B8741DC"/>
    <w:rsid w:val="3BA4B0AA"/>
    <w:rsid w:val="3C214652"/>
    <w:rsid w:val="3C980DFB"/>
    <w:rsid w:val="3D379564"/>
    <w:rsid w:val="3D3BD511"/>
    <w:rsid w:val="3D43CB17"/>
    <w:rsid w:val="3D6AAF96"/>
    <w:rsid w:val="3DDAAAA4"/>
    <w:rsid w:val="3E26C5F5"/>
    <w:rsid w:val="3E33DE5C"/>
    <w:rsid w:val="3E378E0A"/>
    <w:rsid w:val="3E48021B"/>
    <w:rsid w:val="3E9D0481"/>
    <w:rsid w:val="3E9DD9D2"/>
    <w:rsid w:val="3ECE6D97"/>
    <w:rsid w:val="3EE8E049"/>
    <w:rsid w:val="40956A7A"/>
    <w:rsid w:val="411A38EC"/>
    <w:rsid w:val="4178D3E4"/>
    <w:rsid w:val="425BAC27"/>
    <w:rsid w:val="42A0F747"/>
    <w:rsid w:val="42FA3718"/>
    <w:rsid w:val="430F9417"/>
    <w:rsid w:val="43FF5AB5"/>
    <w:rsid w:val="4434DDA5"/>
    <w:rsid w:val="44599368"/>
    <w:rsid w:val="448DA731"/>
    <w:rsid w:val="44BB7DF4"/>
    <w:rsid w:val="44C93CBC"/>
    <w:rsid w:val="45E7C86F"/>
    <w:rsid w:val="45F563C9"/>
    <w:rsid w:val="460CD326"/>
    <w:rsid w:val="46B0F5BE"/>
    <w:rsid w:val="46F8F5EF"/>
    <w:rsid w:val="4714158F"/>
    <w:rsid w:val="475B2895"/>
    <w:rsid w:val="4765A426"/>
    <w:rsid w:val="47B47FDE"/>
    <w:rsid w:val="4897B015"/>
    <w:rsid w:val="48E9BF41"/>
    <w:rsid w:val="49523CC0"/>
    <w:rsid w:val="49878C6F"/>
    <w:rsid w:val="49883BE7"/>
    <w:rsid w:val="49943F52"/>
    <w:rsid w:val="49E2AA36"/>
    <w:rsid w:val="4A338076"/>
    <w:rsid w:val="4A4EFE88"/>
    <w:rsid w:val="4A841C8B"/>
    <w:rsid w:val="4ABD18F2"/>
    <w:rsid w:val="4BD37A5C"/>
    <w:rsid w:val="4C64A54D"/>
    <w:rsid w:val="4C6A8424"/>
    <w:rsid w:val="4CCFE7E0"/>
    <w:rsid w:val="4CF7D6DF"/>
    <w:rsid w:val="4D1A4AF8"/>
    <w:rsid w:val="4D573A75"/>
    <w:rsid w:val="4D6C8C96"/>
    <w:rsid w:val="4DDB2803"/>
    <w:rsid w:val="4E2C9371"/>
    <w:rsid w:val="4E3C6D9D"/>
    <w:rsid w:val="4E52A1F2"/>
    <w:rsid w:val="4EA1239B"/>
    <w:rsid w:val="4F2AF67E"/>
    <w:rsid w:val="4F4B34DA"/>
    <w:rsid w:val="4F578DAE"/>
    <w:rsid w:val="4F8947CD"/>
    <w:rsid w:val="4FB3B56C"/>
    <w:rsid w:val="4FC863D2"/>
    <w:rsid w:val="4FFE6D27"/>
    <w:rsid w:val="500380D6"/>
    <w:rsid w:val="50397E52"/>
    <w:rsid w:val="508EDB37"/>
    <w:rsid w:val="50E8E27E"/>
    <w:rsid w:val="50F662BB"/>
    <w:rsid w:val="522AAB98"/>
    <w:rsid w:val="523FD6C1"/>
    <w:rsid w:val="525B8EFE"/>
    <w:rsid w:val="52C06036"/>
    <w:rsid w:val="52EB562E"/>
    <w:rsid w:val="53B71222"/>
    <w:rsid w:val="54A3CAFB"/>
    <w:rsid w:val="54A75A53"/>
    <w:rsid w:val="54B25166"/>
    <w:rsid w:val="54B369A2"/>
    <w:rsid w:val="5550B774"/>
    <w:rsid w:val="55B1657B"/>
    <w:rsid w:val="56345730"/>
    <w:rsid w:val="569B5EE0"/>
    <w:rsid w:val="56DC6689"/>
    <w:rsid w:val="56DE686F"/>
    <w:rsid w:val="57658958"/>
    <w:rsid w:val="58113006"/>
    <w:rsid w:val="586526CA"/>
    <w:rsid w:val="5875CD3C"/>
    <w:rsid w:val="58D7B4CB"/>
    <w:rsid w:val="59519EFB"/>
    <w:rsid w:val="596B066B"/>
    <w:rsid w:val="59F0C866"/>
    <w:rsid w:val="5A0A7AA6"/>
    <w:rsid w:val="5A1C9520"/>
    <w:rsid w:val="5A5A5E10"/>
    <w:rsid w:val="5A9D4501"/>
    <w:rsid w:val="5AEA4065"/>
    <w:rsid w:val="5B06F114"/>
    <w:rsid w:val="5B5BC49C"/>
    <w:rsid w:val="5B74DAEB"/>
    <w:rsid w:val="5B7B0209"/>
    <w:rsid w:val="5B8E0348"/>
    <w:rsid w:val="5C174383"/>
    <w:rsid w:val="5D0BC272"/>
    <w:rsid w:val="5DAE1441"/>
    <w:rsid w:val="5F147FC2"/>
    <w:rsid w:val="5F4B62DE"/>
    <w:rsid w:val="60854AB5"/>
    <w:rsid w:val="609B0719"/>
    <w:rsid w:val="60BB23EB"/>
    <w:rsid w:val="60C11838"/>
    <w:rsid w:val="6158C333"/>
    <w:rsid w:val="6171132C"/>
    <w:rsid w:val="61712022"/>
    <w:rsid w:val="618A3B89"/>
    <w:rsid w:val="61D06E88"/>
    <w:rsid w:val="62A0E6EC"/>
    <w:rsid w:val="63260BEA"/>
    <w:rsid w:val="6335C020"/>
    <w:rsid w:val="63C04B66"/>
    <w:rsid w:val="641B2628"/>
    <w:rsid w:val="6577E4EF"/>
    <w:rsid w:val="65D887AE"/>
    <w:rsid w:val="665616ED"/>
    <w:rsid w:val="66624196"/>
    <w:rsid w:val="667C3341"/>
    <w:rsid w:val="66929917"/>
    <w:rsid w:val="66AAD017"/>
    <w:rsid w:val="66F48C39"/>
    <w:rsid w:val="671A34A8"/>
    <w:rsid w:val="67535A5B"/>
    <w:rsid w:val="67570B40"/>
    <w:rsid w:val="6796EF30"/>
    <w:rsid w:val="67AC5E29"/>
    <w:rsid w:val="67C553B5"/>
    <w:rsid w:val="6806C8CB"/>
    <w:rsid w:val="684CEED4"/>
    <w:rsid w:val="691B16C3"/>
    <w:rsid w:val="69841F8D"/>
    <w:rsid w:val="6A573269"/>
    <w:rsid w:val="6A8A67AC"/>
    <w:rsid w:val="6B171206"/>
    <w:rsid w:val="6B27455A"/>
    <w:rsid w:val="6B6C3182"/>
    <w:rsid w:val="6B7CC47E"/>
    <w:rsid w:val="6C214A23"/>
    <w:rsid w:val="6D04807C"/>
    <w:rsid w:val="6D193C4A"/>
    <w:rsid w:val="6E2444D2"/>
    <w:rsid w:val="6E2AE015"/>
    <w:rsid w:val="6F129F87"/>
    <w:rsid w:val="6F3EFAF9"/>
    <w:rsid w:val="7160BB6A"/>
    <w:rsid w:val="7195BD61"/>
    <w:rsid w:val="7199610C"/>
    <w:rsid w:val="71DB7306"/>
    <w:rsid w:val="726A31D4"/>
    <w:rsid w:val="726C1E55"/>
    <w:rsid w:val="726DE25F"/>
    <w:rsid w:val="7270973F"/>
    <w:rsid w:val="7287F755"/>
    <w:rsid w:val="72907298"/>
    <w:rsid w:val="7298B730"/>
    <w:rsid w:val="731B1151"/>
    <w:rsid w:val="732C4C28"/>
    <w:rsid w:val="734949C6"/>
    <w:rsid w:val="738D80DA"/>
    <w:rsid w:val="73BB50B5"/>
    <w:rsid w:val="740156C4"/>
    <w:rsid w:val="759E626C"/>
    <w:rsid w:val="75DF8F44"/>
    <w:rsid w:val="75E1DBEF"/>
    <w:rsid w:val="75E609D4"/>
    <w:rsid w:val="760FF20C"/>
    <w:rsid w:val="76449371"/>
    <w:rsid w:val="76562283"/>
    <w:rsid w:val="76692E84"/>
    <w:rsid w:val="768A2871"/>
    <w:rsid w:val="771A7485"/>
    <w:rsid w:val="772E54A1"/>
    <w:rsid w:val="772EA3D2"/>
    <w:rsid w:val="78535E0C"/>
    <w:rsid w:val="78B8C317"/>
    <w:rsid w:val="78D97358"/>
    <w:rsid w:val="79306E6C"/>
    <w:rsid w:val="7943952A"/>
    <w:rsid w:val="797BB347"/>
    <w:rsid w:val="79FFAA8E"/>
    <w:rsid w:val="7AB2E9ED"/>
    <w:rsid w:val="7AB932CC"/>
    <w:rsid w:val="7B3C1472"/>
    <w:rsid w:val="7B8AFECE"/>
    <w:rsid w:val="7B9B7AEF"/>
    <w:rsid w:val="7B9E9474"/>
    <w:rsid w:val="7C2D2824"/>
    <w:rsid w:val="7C30E642"/>
    <w:rsid w:val="7C8752A6"/>
    <w:rsid w:val="7C9404D4"/>
    <w:rsid w:val="7CE73610"/>
    <w:rsid w:val="7D3C133D"/>
    <w:rsid w:val="7D44C569"/>
    <w:rsid w:val="7D908AC3"/>
    <w:rsid w:val="7E232307"/>
    <w:rsid w:val="7E4EA268"/>
    <w:rsid w:val="7EB20818"/>
    <w:rsid w:val="7EDA41A8"/>
    <w:rsid w:val="7F405494"/>
    <w:rsid w:val="7F5C96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D94135"/>
  <w15:chartTrackingRefBased/>
  <w15:docId w15:val="{EF630A57-40BE-4F0D-BFC6-20457A0DB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rPr>
      <w:color w:val="000000"/>
      <w:kern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596B08"/>
    <w:rPr>
      <w:sz w:val="16"/>
      <w:szCs w:val="16"/>
    </w:rPr>
  </w:style>
  <w:style w:type="paragraph" w:styleId="CommentText">
    <w:name w:val="annotation text"/>
    <w:basedOn w:val="Normal"/>
    <w:link w:val="CommentTextChar"/>
    <w:rsid w:val="00596B08"/>
  </w:style>
  <w:style w:type="character" w:customStyle="1" w:styleId="CommentTextChar">
    <w:name w:val="Comment Text Char"/>
    <w:link w:val="CommentText"/>
    <w:rsid w:val="00596B08"/>
    <w:rPr>
      <w:color w:val="000000"/>
      <w:kern w:val="28"/>
    </w:rPr>
  </w:style>
  <w:style w:type="paragraph" w:styleId="CommentSubject">
    <w:name w:val="annotation subject"/>
    <w:basedOn w:val="CommentText"/>
    <w:next w:val="CommentText"/>
    <w:link w:val="CommentSubjectChar"/>
    <w:rsid w:val="00596B08"/>
    <w:rPr>
      <w:b/>
      <w:bCs/>
    </w:rPr>
  </w:style>
  <w:style w:type="character" w:customStyle="1" w:styleId="CommentSubjectChar">
    <w:name w:val="Comment Subject Char"/>
    <w:link w:val="CommentSubject"/>
    <w:rsid w:val="00596B08"/>
    <w:rPr>
      <w:b/>
      <w:bCs/>
      <w:color w:val="000000"/>
      <w:kern w:val="28"/>
    </w:rPr>
  </w:style>
  <w:style w:type="paragraph" w:customStyle="1" w:styleId="ColorfulList-Accent11">
    <w:name w:val="Colorful List - Accent 11"/>
    <w:basedOn w:val="Normal"/>
    <w:qFormat/>
    <w:rsid w:val="01451D5D"/>
    <w:pPr>
      <w:ind w:left="720"/>
      <w:contextualSpacing/>
    </w:pPr>
    <w:rPr>
      <w:rFonts w:eastAsia="MS Mincho" w:cs="Arial"/>
      <w:sz w:val="24"/>
      <w:szCs w:val="24"/>
    </w:rPr>
  </w:style>
  <w:style w:type="character" w:customStyle="1" w:styleId="normaltextrun">
    <w:name w:val="normaltextrun"/>
    <w:basedOn w:val="DefaultParagraphFont"/>
    <w:uiPriority w:val="1"/>
    <w:rsid w:val="01451D5D"/>
  </w:style>
  <w:style w:type="character" w:customStyle="1" w:styleId="EndnoteTextChar">
    <w:name w:val="Endnote Text Char"/>
    <w:basedOn w:val="DefaultParagraphFont"/>
    <w:link w:val="EndnoteText"/>
    <w:uiPriority w:val="99"/>
    <w:rPr>
      <w:sz w:val="20"/>
      <w:szCs w:val="20"/>
    </w:rPr>
  </w:style>
  <w:style w:type="paragraph" w:styleId="EndnoteText">
    <w:name w:val="endnote text"/>
    <w:basedOn w:val="Normal"/>
    <w:link w:val="EndnoteTextChar"/>
    <w:uiPriority w:val="99"/>
    <w:unhideWhenUsed/>
  </w:style>
  <w:style w:type="character" w:styleId="UnresolvedMention">
    <w:name w:val="Unresolved Mention"/>
    <w:basedOn w:val="DefaultParagraphFont"/>
    <w:uiPriority w:val="99"/>
    <w:semiHidden/>
    <w:unhideWhenUsed/>
    <w:rsid w:val="007A080B"/>
    <w:rPr>
      <w:color w:val="605E5C"/>
      <w:shd w:val="clear" w:color="auto" w:fill="E1DFDD"/>
    </w:rPr>
  </w:style>
  <w:style w:type="character" w:styleId="EndnoteReference">
    <w:name w:val="endnote reference"/>
    <w:unhideWhenUsed/>
    <w:rsid w:val="00EA1D4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www.legislation.tn/sites/default/files/news/tf2017581.pdf" TargetMode="External"/><Relationship Id="rId13" Type="http://schemas.openxmlformats.org/officeDocument/2006/relationships/hyperlink" Target="https://www.state.gov/reports/2021-country-reports-on-human-rights-practices/tunisia/" TargetMode="External"/><Relationship Id="rId18" Type="http://schemas.openxmlformats.org/officeDocument/2006/relationships/hyperlink" Target="https://www.hrw.org/news/2021/04/29/tunisia-jails-repatriated-women-suspected-isis-ties" TargetMode="External"/><Relationship Id="rId3" Type="http://schemas.openxmlformats.org/officeDocument/2006/relationships/hyperlink" Target="http://www.medcities.org/documents/10192/54940/Enqu%C3%AAte+Nationale+Violence+envers+les+femmes-+Tunisie+2010.pdf" TargetMode="External"/><Relationship Id="rId7" Type="http://schemas.openxmlformats.org/officeDocument/2006/relationships/hyperlink" Target="https://www.amnesty.org/en/latest/research/2022/03/annual-report-202122/" TargetMode="External"/><Relationship Id="rId12" Type="http://schemas.openxmlformats.org/officeDocument/2006/relationships/hyperlink" Target="http://www.legislation.tn/sites/default/files/news/tf2017581.pdf" TargetMode="External"/><Relationship Id="rId17" Type="http://schemas.openxmlformats.org/officeDocument/2006/relationships/hyperlink" Target="https://www.hrw.org/news/2021/04/29/tunisia-jails-repatriated-women-suspected-isis-ties" TargetMode="External"/><Relationship Id="rId2" Type="http://schemas.openxmlformats.org/officeDocument/2006/relationships/hyperlink" Target="http://www.onfp.nat.tn/liens/violence_nord_ouest_resultats_2015.pdf" TargetMode="External"/><Relationship Id="rId16" Type="http://schemas.openxmlformats.org/officeDocument/2006/relationships/hyperlink" Target="https://www.hrw.org/news/2021/04/29/tunisia-jails-repatriated-women-suspected-isis-ties" TargetMode="External"/><Relationship Id="rId1" Type="http://schemas.openxmlformats.org/officeDocument/2006/relationships/hyperlink" Target="https://morocco.unwomen.org/sites/default/files/Field%20Office%20Morocco/Documents/Publications/2016/12/The%20Gender%20Based%20Violence%20in%20Public%20Spaces%20in%20Tunisia.pdf" TargetMode="External"/><Relationship Id="rId6" Type="http://schemas.openxmlformats.org/officeDocument/2006/relationships/hyperlink" Target="https://www.amnesty.org/en/latest/news/2021/05/tunisia-tragic-truth-about-domestic-violence/" TargetMode="External"/><Relationship Id="rId11" Type="http://schemas.openxmlformats.org/officeDocument/2006/relationships/hyperlink" Target="http://www.legislation.tn/sites/default/files/news/tf2017581.pdf" TargetMode="External"/><Relationship Id="rId5" Type="http://schemas.openxmlformats.org/officeDocument/2006/relationships/hyperlink" Target="https://www.state.gov/reports/2021-country-reports-on-human-rights-practices/tunisia/" TargetMode="External"/><Relationship Id="rId15" Type="http://schemas.openxmlformats.org/officeDocument/2006/relationships/hyperlink" Target="https://ihl-databases.icrc.org/applic/ihl/ihl-nat.nsf/implementingLaws.xsp?documentId=7B779CEBBF299332C125836A00359F41&amp;action=openDocument&amp;xp_countrySelected=TN&amp;xp_topicSelected=GVAL-992BUB&amp;from=state" TargetMode="External"/><Relationship Id="rId10" Type="http://schemas.openxmlformats.org/officeDocument/2006/relationships/hyperlink" Target="https://www.nytimes.com/2017/08/01/world/africa/tunisia-women-domestic-violence.html?searchResultPosition=1" TargetMode="External"/><Relationship Id="rId19" Type="http://schemas.openxmlformats.org/officeDocument/2006/relationships/hyperlink" Target="https://ihl-databases.icrc.org/applic/ihl/ihl-nat.nsf/implementingLaws.xsp?documentId=7B779CEBBF299332C125836A00359F41&amp;action=openDocument&amp;xp_countrySelected=TN&amp;xp_topicSelected=GVAL-992BUB&amp;from=state" TargetMode="External"/><Relationship Id="rId4" Type="http://schemas.openxmlformats.org/officeDocument/2006/relationships/hyperlink" Target="https://www.state.gov/reports/2021-country-reports-on-human-rights-practices/tunisia/" TargetMode="External"/><Relationship Id="rId9" Type="http://schemas.openxmlformats.org/officeDocument/2006/relationships/hyperlink" Target="https://www.amnesty.org/en/latest/news/2021/05/tunisia-tragic-truth-about-domestic-violence/" TargetMode="External"/><Relationship Id="rId14" Type="http://schemas.openxmlformats.org/officeDocument/2006/relationships/hyperlink" Target="https://www.state.gov/reports/2021-country-reports-on-human-rights-practices/tunisia/"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08FE1F-3AA1-4336-BAA7-BD39AE85E6AC}">
  <ds:schemaRefs>
    <ds:schemaRef ds:uri="http://schemas.microsoft.com/office/2006/metadata/longProperties"/>
  </ds:schemaRefs>
</ds:datastoreItem>
</file>

<file path=customXml/itemProps2.xml><?xml version="1.0" encoding="utf-8"?>
<ds:datastoreItem xmlns:ds="http://schemas.openxmlformats.org/officeDocument/2006/customXml" ds:itemID="{CA5FC6A2-AFC7-447B-A80E-3C440CD5929A}">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customXml/itemProps3.xml><?xml version="1.0" encoding="utf-8"?>
<ds:datastoreItem xmlns:ds="http://schemas.openxmlformats.org/officeDocument/2006/customXml" ds:itemID="{B956FD59-1F3E-498E-9C77-7CE2896498A0}">
  <ds:schemaRefs>
    <ds:schemaRef ds:uri="http://schemas.microsoft.com/sharepoint/v3/contenttype/forms"/>
  </ds:schemaRefs>
</ds:datastoreItem>
</file>

<file path=customXml/itemProps4.xml><?xml version="1.0" encoding="utf-8"?>
<ds:datastoreItem xmlns:ds="http://schemas.openxmlformats.org/officeDocument/2006/customXml" ds:itemID="{A050275B-8DF6-46FC-90DB-150A674226EF}">
  <ds:schemaRefs>
    <ds:schemaRef ds:uri="http://schemas.openxmlformats.org/officeDocument/2006/bibliography"/>
  </ds:schemaRefs>
</ds:datastoreItem>
</file>

<file path=customXml/itemProps5.xml><?xml version="1.0" encoding="utf-8"?>
<ds:datastoreItem xmlns:ds="http://schemas.openxmlformats.org/officeDocument/2006/customXml" ds:itemID="{BDC83B92-2FE3-40B3-8A45-120C9B42ADFA}"/>
</file>

<file path=docProps/app.xml><?xml version="1.0" encoding="utf-8"?>
<Properties xmlns="http://schemas.openxmlformats.org/officeDocument/2006/extended-properties" xmlns:vt="http://schemas.openxmlformats.org/officeDocument/2006/docPropsVTypes">
  <Template>Normal</Template>
  <TotalTime>84</TotalTime>
  <Pages>9</Pages>
  <Words>2611</Words>
  <Characters>14883</Characters>
  <Application>Microsoft Office Word</Application>
  <DocSecurity>0</DocSecurity>
  <Lines>124</Lines>
  <Paragraphs>34</Paragraphs>
  <ScaleCrop>false</ScaleCrop>
  <Company>Minnesota Advocates for Human Rights</Company>
  <LinksUpToDate>false</LinksUpToDate>
  <CharactersWithSpaces>17460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Jennifer Prestholdt</cp:lastModifiedBy>
  <cp:revision>37</cp:revision>
  <cp:lastPrinted>2011-09-16T18:52:00Z</cp:lastPrinted>
  <dcterms:created xsi:type="dcterms:W3CDTF">2022-06-08T21:50:00Z</dcterms:created>
  <dcterms:modified xsi:type="dcterms:W3CDTF">2022-06-13T15:37:00Z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r8>189600</vt:r8>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0x01010022B3C51BB8F9654FB8068485B2E4975B</vt:lpwstr>
  </property>
  <property fmtid="{D5CDD505-2E9C-101B-9397-08002B2CF9AE}" pid="8" name="xd_Signature">
    <vt:bool>false</vt:bool>
  </property>
  <property fmtid="{D5CDD505-2E9C-101B-9397-08002B2CF9AE}" pid="9" name="xd_ProgID">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y fmtid="{D5CDD505-2E9C-101B-9397-08002B2CF9AE}" pid="13" name="TriggerFlowInfo">
    <vt:lpwstr/>
  </property>
</Properties>
</file>