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38C5D" w14:textId="77777777" w:rsidR="000E3000" w:rsidRDefault="00000000">
      <w:pPr>
        <w:keepNext/>
        <w:keepLines/>
        <w:tabs>
          <w:tab w:val="right" w:pos="851"/>
        </w:tabs>
        <w:spacing w:before="240" w:line="276" w:lineRule="auto"/>
        <w:ind w:left="0" w:hanging="2"/>
        <w:jc w:val="center"/>
        <w:rPr>
          <w:rFonts w:ascii="Arial" w:eastAsia="Arial" w:hAnsi="Arial" w:cs="Arial"/>
          <w:b/>
          <w:sz w:val="22"/>
          <w:szCs w:val="22"/>
        </w:rPr>
      </w:pPr>
      <w:r>
        <w:rPr>
          <w:rFonts w:ascii="Arial" w:eastAsia="Arial" w:hAnsi="Arial" w:cs="Arial"/>
          <w:b/>
          <w:noProof/>
          <w:sz w:val="22"/>
          <w:szCs w:val="22"/>
        </w:rPr>
        <w:drawing>
          <wp:inline distT="114300" distB="114300" distL="114300" distR="114300" wp14:anchorId="3880C187" wp14:editId="3E8D1AF4">
            <wp:extent cx="1066800" cy="10382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066800" cy="1038225"/>
                    </a:xfrm>
                    <a:prstGeom prst="rect">
                      <a:avLst/>
                    </a:prstGeom>
                    <a:ln/>
                  </pic:spPr>
                </pic:pic>
              </a:graphicData>
            </a:graphic>
          </wp:inline>
        </w:drawing>
      </w:r>
    </w:p>
    <w:p w14:paraId="70CCB941" w14:textId="77777777" w:rsidR="000E3000" w:rsidRDefault="00000000">
      <w:pPr>
        <w:keepNext/>
        <w:keepLines/>
        <w:tabs>
          <w:tab w:val="right" w:pos="851"/>
        </w:tabs>
        <w:spacing w:before="240" w:line="276" w:lineRule="auto"/>
        <w:ind w:left="0" w:hanging="2"/>
        <w:jc w:val="center"/>
        <w:rPr>
          <w:rFonts w:ascii="Arial" w:eastAsia="Arial" w:hAnsi="Arial" w:cs="Arial"/>
          <w:b/>
          <w:sz w:val="22"/>
          <w:szCs w:val="22"/>
        </w:rPr>
      </w:pPr>
      <w:r>
        <w:rPr>
          <w:rFonts w:ascii="Arial" w:eastAsia="Arial" w:hAnsi="Arial" w:cs="Arial"/>
          <w:b/>
          <w:sz w:val="22"/>
          <w:szCs w:val="22"/>
        </w:rPr>
        <w:t>NHRI SUBMISSION TO THE COMMITTEE ON MIGRANT WORKERS (CMW) FOR THE LIST OF ISSUES ON THE PHILIPPINES FOR THE IMPLEMENTATION OF THE INTERNATIONAL CONVENTION ON THE HUMAN RIGHTS OF ALL MIGRANT WORKERS AND MEMBERS OF THEIR FAMILIES (ICMW)</w:t>
      </w:r>
    </w:p>
    <w:p w14:paraId="78EBDAE9" w14:textId="77777777" w:rsidR="000E3000" w:rsidRDefault="00000000">
      <w:pPr>
        <w:keepNext/>
        <w:keepLines/>
        <w:tabs>
          <w:tab w:val="right" w:pos="851"/>
        </w:tabs>
        <w:spacing w:before="240" w:line="276" w:lineRule="auto"/>
        <w:ind w:left="0" w:hanging="2"/>
        <w:jc w:val="center"/>
        <w:rPr>
          <w:rFonts w:ascii="Arial" w:eastAsia="Arial" w:hAnsi="Arial" w:cs="Arial"/>
          <w:b/>
          <w:sz w:val="22"/>
          <w:szCs w:val="22"/>
        </w:rPr>
      </w:pPr>
      <w:r>
        <w:rPr>
          <w:rFonts w:ascii="Arial" w:eastAsia="Arial" w:hAnsi="Arial" w:cs="Arial"/>
          <w:b/>
          <w:sz w:val="22"/>
          <w:szCs w:val="22"/>
        </w:rPr>
        <w:t>27 February 2023</w:t>
      </w:r>
    </w:p>
    <w:p w14:paraId="0B3A16DB" w14:textId="77777777" w:rsidR="000E3000" w:rsidRDefault="000E3000">
      <w:pPr>
        <w:keepNext/>
        <w:keepLines/>
        <w:tabs>
          <w:tab w:val="right" w:pos="851"/>
        </w:tabs>
        <w:spacing w:line="276" w:lineRule="auto"/>
        <w:ind w:left="0" w:hanging="2"/>
        <w:jc w:val="both"/>
        <w:rPr>
          <w:rFonts w:ascii="Arial" w:eastAsia="Arial" w:hAnsi="Arial" w:cs="Arial"/>
          <w:sz w:val="22"/>
          <w:szCs w:val="22"/>
        </w:rPr>
      </w:pPr>
    </w:p>
    <w:p w14:paraId="4E8B8CED" w14:textId="77777777" w:rsidR="000E3000" w:rsidRDefault="00000000">
      <w:pPr>
        <w:keepNext/>
        <w:keepLines/>
        <w:tabs>
          <w:tab w:val="right" w:pos="851"/>
        </w:tabs>
        <w:spacing w:line="276" w:lineRule="auto"/>
        <w:ind w:left="0" w:hanging="2"/>
        <w:jc w:val="both"/>
        <w:rPr>
          <w:rFonts w:ascii="Arial" w:eastAsia="Arial" w:hAnsi="Arial" w:cs="Arial"/>
          <w:b/>
          <w:sz w:val="22"/>
          <w:szCs w:val="22"/>
        </w:rPr>
      </w:pPr>
      <w:r>
        <w:rPr>
          <w:rFonts w:ascii="Arial" w:eastAsia="Arial" w:hAnsi="Arial" w:cs="Arial"/>
          <w:b/>
          <w:sz w:val="22"/>
          <w:szCs w:val="22"/>
        </w:rPr>
        <w:t>I. Introduction</w:t>
      </w:r>
    </w:p>
    <w:p w14:paraId="5AAA30DE" w14:textId="77777777" w:rsidR="000E3000" w:rsidRDefault="000E3000">
      <w:pPr>
        <w:keepNext/>
        <w:keepLines/>
        <w:tabs>
          <w:tab w:val="right" w:pos="851"/>
        </w:tabs>
        <w:spacing w:line="276" w:lineRule="auto"/>
        <w:ind w:left="0" w:hanging="2"/>
        <w:jc w:val="both"/>
        <w:rPr>
          <w:rFonts w:ascii="Arial" w:eastAsia="Arial" w:hAnsi="Arial" w:cs="Arial"/>
          <w:b/>
          <w:sz w:val="22"/>
          <w:szCs w:val="22"/>
        </w:rPr>
      </w:pPr>
    </w:p>
    <w:p w14:paraId="4E21AD82" w14:textId="77777777" w:rsidR="000E3000" w:rsidRDefault="00000000">
      <w:pPr>
        <w:keepNext/>
        <w:keepLines/>
        <w:numPr>
          <w:ilvl w:val="0"/>
          <w:numId w:val="2"/>
        </w:numPr>
        <w:tabs>
          <w:tab w:val="right" w:pos="851"/>
        </w:tabs>
        <w:spacing w:line="276" w:lineRule="auto"/>
        <w:ind w:left="0" w:hanging="2"/>
        <w:jc w:val="both"/>
        <w:rPr>
          <w:rFonts w:ascii="Arial" w:eastAsia="Arial" w:hAnsi="Arial" w:cs="Arial"/>
          <w:sz w:val="22"/>
          <w:szCs w:val="22"/>
        </w:rPr>
      </w:pPr>
      <w:r>
        <w:rPr>
          <w:rFonts w:ascii="Arial" w:eastAsia="Arial" w:hAnsi="Arial" w:cs="Arial"/>
          <w:sz w:val="22"/>
          <w:szCs w:val="22"/>
        </w:rPr>
        <w:t>The Commission on Human Rights of the Philippines (“Commission” or “CHRP”)</w:t>
      </w:r>
      <w:r>
        <w:rPr>
          <w:rFonts w:ascii="Arial" w:eastAsia="Arial" w:hAnsi="Arial" w:cs="Arial"/>
          <w:sz w:val="22"/>
          <w:szCs w:val="22"/>
          <w:vertAlign w:val="superscript"/>
        </w:rPr>
        <w:footnoteReference w:id="1"/>
      </w:r>
      <w:r>
        <w:rPr>
          <w:rFonts w:ascii="Arial" w:eastAsia="Arial" w:hAnsi="Arial" w:cs="Arial"/>
          <w:sz w:val="22"/>
          <w:szCs w:val="22"/>
        </w:rPr>
        <w:t xml:space="preserve"> hereby submits its independent report to CMW for its 36th Session. The inputs and recommendations in this current submission complement and update the Commission’s report to the CMW on 3 February 2021 for the Philippines’ list of issues prior to reporting. </w:t>
      </w:r>
    </w:p>
    <w:p w14:paraId="7D0A2D8A" w14:textId="77777777" w:rsidR="000E3000" w:rsidRDefault="000E3000">
      <w:pPr>
        <w:keepNext/>
        <w:keepLines/>
        <w:tabs>
          <w:tab w:val="right" w:pos="851"/>
        </w:tabs>
        <w:spacing w:line="276" w:lineRule="auto"/>
        <w:ind w:left="0" w:hanging="2"/>
        <w:jc w:val="both"/>
        <w:rPr>
          <w:rFonts w:ascii="Arial" w:eastAsia="Arial" w:hAnsi="Arial" w:cs="Arial"/>
          <w:sz w:val="22"/>
          <w:szCs w:val="22"/>
        </w:rPr>
      </w:pPr>
    </w:p>
    <w:p w14:paraId="0A81F4C2" w14:textId="77777777" w:rsidR="000E3000" w:rsidRDefault="00000000">
      <w:pPr>
        <w:keepNext/>
        <w:keepLines/>
        <w:numPr>
          <w:ilvl w:val="0"/>
          <w:numId w:val="2"/>
        </w:numPr>
        <w:tabs>
          <w:tab w:val="right" w:pos="851"/>
        </w:tabs>
        <w:spacing w:line="276" w:lineRule="auto"/>
        <w:ind w:left="0" w:hanging="2"/>
        <w:jc w:val="both"/>
        <w:rPr>
          <w:rFonts w:ascii="Arial" w:eastAsia="Arial" w:hAnsi="Arial" w:cs="Arial"/>
          <w:sz w:val="22"/>
          <w:szCs w:val="22"/>
        </w:rPr>
      </w:pPr>
      <w:r>
        <w:rPr>
          <w:rFonts w:ascii="Arial" w:eastAsia="Arial" w:hAnsi="Arial" w:cs="Arial"/>
          <w:sz w:val="22"/>
          <w:szCs w:val="22"/>
        </w:rPr>
        <w:t>This submission is based on the Commission’s documentation of consultations</w:t>
      </w:r>
      <w:r>
        <w:rPr>
          <w:rFonts w:ascii="Arial" w:eastAsia="Arial" w:hAnsi="Arial" w:cs="Arial"/>
          <w:sz w:val="22"/>
          <w:szCs w:val="22"/>
          <w:vertAlign w:val="superscript"/>
        </w:rPr>
        <w:footnoteReference w:id="2"/>
      </w:r>
      <w:r>
        <w:rPr>
          <w:rFonts w:ascii="Arial" w:eastAsia="Arial" w:hAnsi="Arial" w:cs="Arial"/>
          <w:sz w:val="22"/>
          <w:szCs w:val="22"/>
        </w:rPr>
        <w:t>, workshops, meetings with overseas Filipino workers (OFWs) and members of their families, and relevant activities it has participated in, or it has organized independently or with partners from non-governmental organizations, civil society, and government; regional and national situation reports; and written contributions to international human rights mechanisms. The Commission also considered reports from the government, civil society, media, academe, and international non-governmental organizations.</w:t>
      </w:r>
    </w:p>
    <w:p w14:paraId="3C75BC3F" w14:textId="77777777" w:rsidR="000E3000" w:rsidRDefault="000E3000" w:rsidP="00F3320D">
      <w:pPr>
        <w:keepNext/>
        <w:keepLines/>
        <w:tabs>
          <w:tab w:val="right" w:pos="851"/>
        </w:tabs>
        <w:spacing w:line="276" w:lineRule="auto"/>
        <w:ind w:leftChars="0" w:left="0" w:firstLineChars="0" w:firstLine="0"/>
        <w:jc w:val="both"/>
        <w:rPr>
          <w:rFonts w:ascii="Arial" w:eastAsia="Arial" w:hAnsi="Arial" w:cs="Arial"/>
          <w:sz w:val="22"/>
          <w:szCs w:val="22"/>
        </w:rPr>
      </w:pPr>
    </w:p>
    <w:p w14:paraId="0BC38CB0" w14:textId="77777777" w:rsidR="000E3000" w:rsidRDefault="000E3000">
      <w:pPr>
        <w:keepNext/>
        <w:keepLines/>
        <w:tabs>
          <w:tab w:val="right" w:pos="851"/>
        </w:tabs>
        <w:spacing w:line="276" w:lineRule="auto"/>
        <w:ind w:left="0" w:hanging="2"/>
        <w:jc w:val="both"/>
        <w:rPr>
          <w:rFonts w:ascii="Arial" w:eastAsia="Arial" w:hAnsi="Arial" w:cs="Arial"/>
          <w:sz w:val="22"/>
          <w:szCs w:val="22"/>
        </w:rPr>
      </w:pPr>
    </w:p>
    <w:p w14:paraId="67F90092" w14:textId="77777777" w:rsidR="000E3000" w:rsidRDefault="00000000">
      <w:pPr>
        <w:keepNext/>
        <w:keepLines/>
        <w:tabs>
          <w:tab w:val="right" w:pos="851"/>
        </w:tabs>
        <w:spacing w:line="276" w:lineRule="auto"/>
        <w:ind w:left="0" w:hanging="2"/>
        <w:jc w:val="both"/>
        <w:rPr>
          <w:rFonts w:ascii="Arial" w:eastAsia="Arial" w:hAnsi="Arial" w:cs="Arial"/>
          <w:b/>
          <w:sz w:val="22"/>
          <w:szCs w:val="22"/>
        </w:rPr>
      </w:pPr>
      <w:r>
        <w:rPr>
          <w:rFonts w:ascii="Arial" w:eastAsia="Arial" w:hAnsi="Arial" w:cs="Arial"/>
          <w:b/>
          <w:sz w:val="22"/>
          <w:szCs w:val="22"/>
        </w:rPr>
        <w:t>II. General information and general principles</w:t>
      </w:r>
    </w:p>
    <w:p w14:paraId="5697C990" w14:textId="77777777" w:rsidR="000E3000" w:rsidRDefault="000E3000">
      <w:pPr>
        <w:keepNext/>
        <w:keepLines/>
        <w:tabs>
          <w:tab w:val="right" w:pos="851"/>
        </w:tabs>
        <w:spacing w:line="276" w:lineRule="auto"/>
        <w:ind w:left="0" w:hanging="2"/>
        <w:jc w:val="both"/>
        <w:rPr>
          <w:rFonts w:ascii="Arial" w:eastAsia="Arial" w:hAnsi="Arial" w:cs="Arial"/>
          <w:b/>
          <w:sz w:val="22"/>
          <w:szCs w:val="22"/>
        </w:rPr>
      </w:pPr>
    </w:p>
    <w:p w14:paraId="181C8211" w14:textId="77777777" w:rsidR="000E3000" w:rsidRDefault="00000000">
      <w:pPr>
        <w:keepNext/>
        <w:keepLines/>
        <w:tabs>
          <w:tab w:val="right" w:pos="851"/>
        </w:tabs>
        <w:spacing w:line="276" w:lineRule="auto"/>
        <w:ind w:left="0" w:hanging="2"/>
        <w:jc w:val="both"/>
        <w:rPr>
          <w:rFonts w:ascii="Arial" w:eastAsia="Arial" w:hAnsi="Arial" w:cs="Arial"/>
          <w:b/>
          <w:sz w:val="22"/>
          <w:szCs w:val="22"/>
        </w:rPr>
      </w:pPr>
      <w:r>
        <w:rPr>
          <w:rFonts w:ascii="Arial" w:eastAsia="Arial" w:hAnsi="Arial" w:cs="Arial"/>
          <w:b/>
          <w:sz w:val="22"/>
          <w:szCs w:val="22"/>
        </w:rPr>
        <w:tab/>
      </w:r>
      <w:r>
        <w:rPr>
          <w:rFonts w:ascii="Arial" w:eastAsia="Arial" w:hAnsi="Arial" w:cs="Arial"/>
          <w:b/>
          <w:sz w:val="22"/>
          <w:szCs w:val="22"/>
        </w:rPr>
        <w:tab/>
        <w:t>A. Commission on Human Rights of the Philippines</w:t>
      </w:r>
    </w:p>
    <w:p w14:paraId="18B6771B" w14:textId="77777777" w:rsidR="000E3000" w:rsidRDefault="000E3000">
      <w:pPr>
        <w:keepNext/>
        <w:keepLines/>
        <w:tabs>
          <w:tab w:val="right" w:pos="851"/>
        </w:tabs>
        <w:spacing w:line="276" w:lineRule="auto"/>
        <w:ind w:left="0" w:hanging="2"/>
        <w:jc w:val="both"/>
        <w:rPr>
          <w:rFonts w:ascii="Arial" w:eastAsia="Arial" w:hAnsi="Arial" w:cs="Arial"/>
          <w:b/>
          <w:sz w:val="22"/>
          <w:szCs w:val="22"/>
        </w:rPr>
      </w:pPr>
    </w:p>
    <w:p w14:paraId="2B0411BD" w14:textId="77777777" w:rsidR="000E3000" w:rsidRDefault="00000000">
      <w:pPr>
        <w:numPr>
          <w:ilvl w:val="0"/>
          <w:numId w:val="1"/>
        </w:numPr>
        <w:spacing w:line="259" w:lineRule="auto"/>
        <w:ind w:left="0" w:hanging="2"/>
        <w:jc w:val="both"/>
        <w:rPr>
          <w:sz w:val="22"/>
          <w:szCs w:val="22"/>
        </w:rPr>
      </w:pPr>
      <w:r>
        <w:rPr>
          <w:rFonts w:ascii="Arial" w:eastAsia="Arial" w:hAnsi="Arial" w:cs="Arial"/>
          <w:sz w:val="22"/>
          <w:szCs w:val="22"/>
        </w:rPr>
        <w:t xml:space="preserve">The CHRP persistently advocates for the enactment of the “Commission on Human Rights Charter” (hereinafter “the CHR Charter Bill”) to strengthen its mandate to promote and </w:t>
      </w:r>
      <w:r>
        <w:rPr>
          <w:rFonts w:ascii="Arial" w:eastAsia="Arial" w:hAnsi="Arial" w:cs="Arial"/>
          <w:sz w:val="22"/>
          <w:szCs w:val="22"/>
        </w:rPr>
        <w:lastRenderedPageBreak/>
        <w:t xml:space="preserve">protect human rights, as well as its organizational, functional, and fiscal structures. As of date, there are two (2) bills pending at the House of Representatives, filed by Representatives Gus S. </w:t>
      </w:r>
      <w:proofErr w:type="spellStart"/>
      <w:r>
        <w:rPr>
          <w:rFonts w:ascii="Arial" w:eastAsia="Arial" w:hAnsi="Arial" w:cs="Arial"/>
          <w:sz w:val="22"/>
          <w:szCs w:val="22"/>
        </w:rPr>
        <w:t>Tambunting</w:t>
      </w:r>
      <w:proofErr w:type="spellEnd"/>
      <w:r>
        <w:rPr>
          <w:rFonts w:ascii="Arial" w:eastAsia="Arial" w:hAnsi="Arial" w:cs="Arial"/>
          <w:sz w:val="22"/>
          <w:szCs w:val="22"/>
        </w:rPr>
        <w:t xml:space="preserve"> and Bienvenido M. </w:t>
      </w:r>
      <w:proofErr w:type="spellStart"/>
      <w:r>
        <w:rPr>
          <w:rFonts w:ascii="Arial" w:eastAsia="Arial" w:hAnsi="Arial" w:cs="Arial"/>
          <w:sz w:val="22"/>
          <w:szCs w:val="22"/>
        </w:rPr>
        <w:t>Abante</w:t>
      </w:r>
      <w:proofErr w:type="spellEnd"/>
      <w:r>
        <w:rPr>
          <w:rFonts w:ascii="Arial" w:eastAsia="Arial" w:hAnsi="Arial" w:cs="Arial"/>
          <w:sz w:val="22"/>
          <w:szCs w:val="22"/>
        </w:rPr>
        <w:t xml:space="preserve">. These bills have been referred to the House Committee on Human Rights since their filing on 23 September 2022. No similar bills have been filed at the Senate. </w:t>
      </w:r>
    </w:p>
    <w:p w14:paraId="56294BB6" w14:textId="77777777" w:rsidR="000E3000" w:rsidRDefault="000E3000">
      <w:pPr>
        <w:spacing w:line="259" w:lineRule="auto"/>
        <w:ind w:left="0" w:hanging="2"/>
        <w:jc w:val="both"/>
        <w:rPr>
          <w:rFonts w:ascii="Arial" w:eastAsia="Arial" w:hAnsi="Arial" w:cs="Arial"/>
          <w:sz w:val="22"/>
          <w:szCs w:val="22"/>
        </w:rPr>
      </w:pPr>
    </w:p>
    <w:p w14:paraId="094A6CF9" w14:textId="77777777" w:rsidR="000E3000" w:rsidRDefault="00000000">
      <w:pPr>
        <w:numPr>
          <w:ilvl w:val="0"/>
          <w:numId w:val="1"/>
        </w:numPr>
        <w:spacing w:line="259" w:lineRule="auto"/>
        <w:ind w:left="0" w:hanging="2"/>
        <w:jc w:val="both"/>
        <w:rPr>
          <w:sz w:val="22"/>
          <w:szCs w:val="22"/>
        </w:rPr>
      </w:pPr>
      <w:r>
        <w:rPr>
          <w:rFonts w:ascii="Arial" w:eastAsia="Arial" w:hAnsi="Arial" w:cs="Arial"/>
          <w:sz w:val="22"/>
          <w:szCs w:val="22"/>
        </w:rPr>
        <w:t xml:space="preserve">The CHRP is also drafting its own version of the CHR Charter, ensuring that the mandate is strengthened and expanded to accommodate the requirements of the Paris Principles. The CHRP is in coordination with the Chairman of the Committee on Human Rights of the House of Representatives in this legislative effort.  Said draft bill contains a provision outlining the manner and procedures for the selection and dismissal of Members of the Commission </w:t>
      </w:r>
      <w:proofErr w:type="spellStart"/>
      <w:r>
        <w:rPr>
          <w:rFonts w:ascii="Arial" w:eastAsia="Arial" w:hAnsi="Arial" w:cs="Arial"/>
          <w:sz w:val="22"/>
          <w:szCs w:val="22"/>
        </w:rPr>
        <w:t>en</w:t>
      </w:r>
      <w:proofErr w:type="spellEnd"/>
      <w:r>
        <w:rPr>
          <w:rFonts w:ascii="Arial" w:eastAsia="Arial" w:hAnsi="Arial" w:cs="Arial"/>
          <w:sz w:val="22"/>
          <w:szCs w:val="22"/>
        </w:rPr>
        <w:t xml:space="preserve"> banc. In August 2022, the CHRP sent a letter to the Office of the President requesting for the issuance of an Executive Order specifying standards of selection and appointment of the Chairperson and members of the Commission of the CHR, in compliance with the Paris Principles. The Office of the President replied on 8 September 2022 and requested assistance in drafting an action document or issuance, pursuant to the directive of complete staff work under </w:t>
      </w:r>
      <w:hyperlink r:id="rId9">
        <w:r>
          <w:rPr>
            <w:rFonts w:ascii="Arial" w:eastAsia="Arial" w:hAnsi="Arial" w:cs="Arial"/>
            <w:color w:val="0000FF"/>
            <w:sz w:val="22"/>
            <w:szCs w:val="22"/>
            <w:u w:val="single"/>
          </w:rPr>
          <w:t>Memorandum Circular No. 72 (s. 2019)</w:t>
        </w:r>
      </w:hyperlink>
      <w:r>
        <w:rPr>
          <w:rFonts w:ascii="Arial" w:eastAsia="Arial" w:hAnsi="Arial" w:cs="Arial"/>
          <w:sz w:val="22"/>
          <w:szCs w:val="22"/>
        </w:rPr>
        <w:t>.</w:t>
      </w:r>
    </w:p>
    <w:p w14:paraId="0743367F" w14:textId="77777777" w:rsidR="000E3000" w:rsidRDefault="000E3000">
      <w:pPr>
        <w:spacing w:line="259" w:lineRule="auto"/>
        <w:ind w:left="0" w:hanging="2"/>
        <w:jc w:val="both"/>
        <w:rPr>
          <w:rFonts w:ascii="Arial" w:eastAsia="Arial" w:hAnsi="Arial" w:cs="Arial"/>
          <w:sz w:val="22"/>
          <w:szCs w:val="22"/>
        </w:rPr>
      </w:pPr>
    </w:p>
    <w:p w14:paraId="388E55CB" w14:textId="77777777" w:rsidR="000E3000" w:rsidRDefault="00000000">
      <w:pPr>
        <w:numPr>
          <w:ilvl w:val="0"/>
          <w:numId w:val="1"/>
        </w:numPr>
        <w:spacing w:line="259" w:lineRule="auto"/>
        <w:ind w:left="0" w:hanging="2"/>
        <w:jc w:val="both"/>
        <w:rPr>
          <w:sz w:val="22"/>
          <w:szCs w:val="22"/>
        </w:rPr>
      </w:pPr>
      <w:r>
        <w:rPr>
          <w:rFonts w:ascii="Arial" w:eastAsia="Arial" w:hAnsi="Arial" w:cs="Arial"/>
          <w:sz w:val="22"/>
          <w:szCs w:val="22"/>
        </w:rPr>
        <w:t xml:space="preserve">Annually, the CHRP defends its proposed budget in Congress. Its annual budget has increased incrementally through the recent years. </w:t>
      </w:r>
    </w:p>
    <w:p w14:paraId="477E144D" w14:textId="77777777" w:rsidR="000E3000" w:rsidRDefault="000E3000">
      <w:pPr>
        <w:tabs>
          <w:tab w:val="left" w:pos="402"/>
        </w:tabs>
        <w:ind w:left="0" w:hanging="2"/>
        <w:jc w:val="both"/>
        <w:rPr>
          <w:rFonts w:ascii="Arial" w:eastAsia="Arial" w:hAnsi="Arial" w:cs="Arial"/>
          <w:sz w:val="22"/>
          <w:szCs w:val="22"/>
        </w:rPr>
      </w:pPr>
    </w:p>
    <w:tbl>
      <w:tblPr>
        <w:tblStyle w:val="1"/>
        <w:tblW w:w="69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63"/>
        <w:gridCol w:w="2601"/>
        <w:gridCol w:w="2961"/>
      </w:tblGrid>
      <w:tr w:rsidR="000E3000" w14:paraId="1C4AE320" w14:textId="77777777">
        <w:trPr>
          <w:jc w:val="center"/>
        </w:trPr>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DB9B8" w14:textId="77777777" w:rsidR="000E3000" w:rsidRDefault="00000000">
            <w:pPr>
              <w:tabs>
                <w:tab w:val="left" w:pos="402"/>
              </w:tabs>
              <w:ind w:left="0" w:hanging="2"/>
              <w:jc w:val="center"/>
              <w:rPr>
                <w:rFonts w:ascii="Arial" w:eastAsia="Arial" w:hAnsi="Arial" w:cs="Arial"/>
                <w:b/>
                <w:sz w:val="22"/>
                <w:szCs w:val="22"/>
              </w:rPr>
            </w:pPr>
            <w:r>
              <w:rPr>
                <w:rFonts w:ascii="Arial" w:eastAsia="Arial" w:hAnsi="Arial" w:cs="Arial"/>
                <w:b/>
                <w:sz w:val="22"/>
                <w:szCs w:val="22"/>
              </w:rPr>
              <w:t>Year</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2AA954" w14:textId="77777777" w:rsidR="000E3000" w:rsidRDefault="00000000">
            <w:pPr>
              <w:tabs>
                <w:tab w:val="left" w:pos="402"/>
              </w:tabs>
              <w:ind w:left="0" w:hanging="2"/>
              <w:jc w:val="center"/>
              <w:rPr>
                <w:rFonts w:ascii="Arial" w:eastAsia="Arial" w:hAnsi="Arial" w:cs="Arial"/>
                <w:b/>
                <w:sz w:val="22"/>
                <w:szCs w:val="22"/>
              </w:rPr>
            </w:pPr>
            <w:r>
              <w:rPr>
                <w:rFonts w:ascii="Arial" w:eastAsia="Arial" w:hAnsi="Arial" w:cs="Arial"/>
                <w:b/>
                <w:sz w:val="22"/>
                <w:szCs w:val="22"/>
              </w:rPr>
              <w:t>Total Budget</w:t>
            </w:r>
          </w:p>
        </w:tc>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AEBB0D" w14:textId="77777777" w:rsidR="000E3000" w:rsidRDefault="00000000">
            <w:pPr>
              <w:tabs>
                <w:tab w:val="left" w:pos="402"/>
              </w:tabs>
              <w:ind w:left="0" w:hanging="2"/>
              <w:jc w:val="center"/>
              <w:rPr>
                <w:rFonts w:ascii="Arial" w:eastAsia="Arial" w:hAnsi="Arial" w:cs="Arial"/>
                <w:b/>
                <w:sz w:val="22"/>
                <w:szCs w:val="22"/>
              </w:rPr>
            </w:pPr>
            <w:r>
              <w:rPr>
                <w:rFonts w:ascii="Arial" w:eastAsia="Arial" w:hAnsi="Arial" w:cs="Arial"/>
                <w:b/>
                <w:sz w:val="22"/>
                <w:szCs w:val="22"/>
              </w:rPr>
              <w:t>No. of Filled-Up Positions (Plantilla and Casuals)</w:t>
            </w:r>
          </w:p>
        </w:tc>
      </w:tr>
      <w:tr w:rsidR="000E3000" w14:paraId="33DCA209" w14:textId="77777777">
        <w:trPr>
          <w:jc w:val="center"/>
        </w:trPr>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F810C6" w14:textId="77777777" w:rsidR="000E3000" w:rsidRDefault="00000000">
            <w:pPr>
              <w:tabs>
                <w:tab w:val="left" w:pos="402"/>
              </w:tabs>
              <w:ind w:left="0" w:hanging="2"/>
              <w:jc w:val="both"/>
              <w:rPr>
                <w:rFonts w:ascii="Arial" w:eastAsia="Arial" w:hAnsi="Arial" w:cs="Arial"/>
                <w:sz w:val="22"/>
                <w:szCs w:val="22"/>
              </w:rPr>
            </w:pPr>
            <w:r>
              <w:rPr>
                <w:rFonts w:ascii="Arial" w:eastAsia="Arial" w:hAnsi="Arial" w:cs="Arial"/>
                <w:sz w:val="22"/>
                <w:szCs w:val="22"/>
              </w:rPr>
              <w:t>2017</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86713" w14:textId="77777777" w:rsidR="000E3000" w:rsidRDefault="00000000">
            <w:pPr>
              <w:tabs>
                <w:tab w:val="left" w:pos="402"/>
              </w:tabs>
              <w:ind w:left="0" w:hanging="2"/>
              <w:jc w:val="right"/>
              <w:rPr>
                <w:rFonts w:ascii="Arial" w:eastAsia="Arial" w:hAnsi="Arial" w:cs="Arial"/>
                <w:sz w:val="22"/>
                <w:szCs w:val="22"/>
              </w:rPr>
            </w:pPr>
            <w:r>
              <w:rPr>
                <w:rFonts w:ascii="Arial" w:eastAsia="Arial" w:hAnsi="Arial" w:cs="Arial"/>
                <w:sz w:val="22"/>
                <w:szCs w:val="22"/>
              </w:rPr>
              <w:t>P 724,868,000.00</w:t>
            </w:r>
          </w:p>
        </w:tc>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73A83" w14:textId="77777777" w:rsidR="000E3000" w:rsidRDefault="00000000">
            <w:pPr>
              <w:tabs>
                <w:tab w:val="left" w:pos="402"/>
              </w:tabs>
              <w:ind w:left="0" w:hanging="2"/>
              <w:jc w:val="center"/>
              <w:rPr>
                <w:rFonts w:ascii="Arial" w:eastAsia="Arial" w:hAnsi="Arial" w:cs="Arial"/>
                <w:sz w:val="22"/>
                <w:szCs w:val="22"/>
              </w:rPr>
            </w:pPr>
            <w:r>
              <w:rPr>
                <w:rFonts w:ascii="Arial" w:eastAsia="Arial" w:hAnsi="Arial" w:cs="Arial"/>
                <w:sz w:val="22"/>
                <w:szCs w:val="22"/>
              </w:rPr>
              <w:t>625</w:t>
            </w:r>
          </w:p>
        </w:tc>
      </w:tr>
      <w:tr w:rsidR="000E3000" w14:paraId="07D261FB" w14:textId="77777777">
        <w:trPr>
          <w:jc w:val="center"/>
        </w:trPr>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410312" w14:textId="77777777" w:rsidR="000E3000" w:rsidRDefault="00000000">
            <w:pPr>
              <w:tabs>
                <w:tab w:val="left" w:pos="402"/>
              </w:tabs>
              <w:ind w:left="0" w:hanging="2"/>
              <w:jc w:val="both"/>
              <w:rPr>
                <w:rFonts w:ascii="Arial" w:eastAsia="Arial" w:hAnsi="Arial" w:cs="Arial"/>
                <w:sz w:val="22"/>
                <w:szCs w:val="22"/>
              </w:rPr>
            </w:pPr>
            <w:r>
              <w:rPr>
                <w:rFonts w:ascii="Arial" w:eastAsia="Arial" w:hAnsi="Arial" w:cs="Arial"/>
                <w:sz w:val="22"/>
                <w:szCs w:val="22"/>
              </w:rPr>
              <w:t>2018</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F8E2D" w14:textId="77777777" w:rsidR="000E3000" w:rsidRDefault="00000000">
            <w:pPr>
              <w:tabs>
                <w:tab w:val="left" w:pos="402"/>
              </w:tabs>
              <w:ind w:left="0" w:hanging="2"/>
              <w:jc w:val="right"/>
              <w:rPr>
                <w:rFonts w:ascii="Arial" w:eastAsia="Arial" w:hAnsi="Arial" w:cs="Arial"/>
                <w:sz w:val="22"/>
                <w:szCs w:val="22"/>
              </w:rPr>
            </w:pPr>
            <w:r>
              <w:rPr>
                <w:rFonts w:ascii="Arial" w:eastAsia="Arial" w:hAnsi="Arial" w:cs="Arial"/>
                <w:sz w:val="22"/>
                <w:szCs w:val="22"/>
              </w:rPr>
              <w:t>666,939,000.00</w:t>
            </w:r>
          </w:p>
        </w:tc>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9E1682" w14:textId="77777777" w:rsidR="000E3000" w:rsidRDefault="00000000">
            <w:pPr>
              <w:tabs>
                <w:tab w:val="left" w:pos="402"/>
              </w:tabs>
              <w:ind w:left="0" w:hanging="2"/>
              <w:jc w:val="center"/>
              <w:rPr>
                <w:rFonts w:ascii="Arial" w:eastAsia="Arial" w:hAnsi="Arial" w:cs="Arial"/>
                <w:sz w:val="22"/>
                <w:szCs w:val="22"/>
              </w:rPr>
            </w:pPr>
            <w:r>
              <w:rPr>
                <w:rFonts w:ascii="Arial" w:eastAsia="Arial" w:hAnsi="Arial" w:cs="Arial"/>
                <w:sz w:val="22"/>
                <w:szCs w:val="22"/>
              </w:rPr>
              <w:t>680</w:t>
            </w:r>
          </w:p>
        </w:tc>
      </w:tr>
      <w:tr w:rsidR="000E3000" w14:paraId="43EDDF76" w14:textId="77777777">
        <w:trPr>
          <w:jc w:val="center"/>
        </w:trPr>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05A231" w14:textId="77777777" w:rsidR="000E3000" w:rsidRDefault="00000000">
            <w:pPr>
              <w:tabs>
                <w:tab w:val="left" w:pos="402"/>
              </w:tabs>
              <w:ind w:left="0" w:hanging="2"/>
              <w:jc w:val="both"/>
              <w:rPr>
                <w:rFonts w:ascii="Arial" w:eastAsia="Arial" w:hAnsi="Arial" w:cs="Arial"/>
                <w:sz w:val="22"/>
                <w:szCs w:val="22"/>
              </w:rPr>
            </w:pPr>
            <w:r>
              <w:rPr>
                <w:rFonts w:ascii="Arial" w:eastAsia="Arial" w:hAnsi="Arial" w:cs="Arial"/>
                <w:sz w:val="22"/>
                <w:szCs w:val="22"/>
              </w:rPr>
              <w:t>2019</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2BFAA1" w14:textId="77777777" w:rsidR="000E3000" w:rsidRDefault="00000000">
            <w:pPr>
              <w:tabs>
                <w:tab w:val="left" w:pos="402"/>
              </w:tabs>
              <w:ind w:left="0" w:hanging="2"/>
              <w:jc w:val="right"/>
              <w:rPr>
                <w:rFonts w:ascii="Arial" w:eastAsia="Arial" w:hAnsi="Arial" w:cs="Arial"/>
                <w:sz w:val="22"/>
                <w:szCs w:val="22"/>
              </w:rPr>
            </w:pPr>
            <w:r>
              <w:rPr>
                <w:rFonts w:ascii="Arial" w:eastAsia="Arial" w:hAnsi="Arial" w:cs="Arial"/>
                <w:sz w:val="22"/>
                <w:szCs w:val="22"/>
              </w:rPr>
              <w:t>799,498,000.00</w:t>
            </w:r>
          </w:p>
        </w:tc>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3AE19B" w14:textId="77777777" w:rsidR="000E3000" w:rsidRDefault="00000000">
            <w:pPr>
              <w:tabs>
                <w:tab w:val="left" w:pos="402"/>
              </w:tabs>
              <w:ind w:left="0" w:hanging="2"/>
              <w:jc w:val="center"/>
              <w:rPr>
                <w:rFonts w:ascii="Arial" w:eastAsia="Arial" w:hAnsi="Arial" w:cs="Arial"/>
                <w:sz w:val="22"/>
                <w:szCs w:val="22"/>
              </w:rPr>
            </w:pPr>
            <w:r>
              <w:rPr>
                <w:rFonts w:ascii="Arial" w:eastAsia="Arial" w:hAnsi="Arial" w:cs="Arial"/>
                <w:sz w:val="22"/>
                <w:szCs w:val="22"/>
              </w:rPr>
              <w:t>677</w:t>
            </w:r>
          </w:p>
        </w:tc>
      </w:tr>
      <w:tr w:rsidR="000E3000" w14:paraId="7E630832" w14:textId="77777777">
        <w:trPr>
          <w:jc w:val="center"/>
        </w:trPr>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A277C7" w14:textId="77777777" w:rsidR="000E3000" w:rsidRDefault="00000000">
            <w:pPr>
              <w:tabs>
                <w:tab w:val="left" w:pos="402"/>
              </w:tabs>
              <w:ind w:left="0" w:hanging="2"/>
              <w:jc w:val="both"/>
              <w:rPr>
                <w:rFonts w:ascii="Arial" w:eastAsia="Arial" w:hAnsi="Arial" w:cs="Arial"/>
                <w:sz w:val="22"/>
                <w:szCs w:val="22"/>
              </w:rPr>
            </w:pPr>
            <w:r>
              <w:rPr>
                <w:rFonts w:ascii="Arial" w:eastAsia="Arial" w:hAnsi="Arial" w:cs="Arial"/>
                <w:sz w:val="22"/>
                <w:szCs w:val="22"/>
              </w:rPr>
              <w:t>2020</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D9D2D3" w14:textId="77777777" w:rsidR="000E3000" w:rsidRDefault="00000000">
            <w:pPr>
              <w:tabs>
                <w:tab w:val="left" w:pos="402"/>
              </w:tabs>
              <w:ind w:left="0" w:hanging="2"/>
              <w:jc w:val="right"/>
              <w:rPr>
                <w:rFonts w:ascii="Arial" w:eastAsia="Arial" w:hAnsi="Arial" w:cs="Arial"/>
                <w:sz w:val="22"/>
                <w:szCs w:val="22"/>
              </w:rPr>
            </w:pPr>
            <w:r>
              <w:rPr>
                <w:rFonts w:ascii="Arial" w:eastAsia="Arial" w:hAnsi="Arial" w:cs="Arial"/>
                <w:sz w:val="22"/>
                <w:szCs w:val="22"/>
              </w:rPr>
              <w:t>888,755,000.00</w:t>
            </w:r>
          </w:p>
        </w:tc>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79D813" w14:textId="77777777" w:rsidR="000E3000" w:rsidRDefault="00000000">
            <w:pPr>
              <w:tabs>
                <w:tab w:val="left" w:pos="402"/>
              </w:tabs>
              <w:ind w:left="0" w:hanging="2"/>
              <w:jc w:val="center"/>
              <w:rPr>
                <w:rFonts w:ascii="Arial" w:eastAsia="Arial" w:hAnsi="Arial" w:cs="Arial"/>
                <w:sz w:val="22"/>
                <w:szCs w:val="22"/>
              </w:rPr>
            </w:pPr>
            <w:r>
              <w:rPr>
                <w:rFonts w:ascii="Arial" w:eastAsia="Arial" w:hAnsi="Arial" w:cs="Arial"/>
                <w:sz w:val="22"/>
                <w:szCs w:val="22"/>
              </w:rPr>
              <w:t>681</w:t>
            </w:r>
          </w:p>
        </w:tc>
      </w:tr>
      <w:tr w:rsidR="000E3000" w14:paraId="3ADF3A99" w14:textId="77777777">
        <w:trPr>
          <w:jc w:val="center"/>
        </w:trPr>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3E6851" w14:textId="77777777" w:rsidR="000E3000" w:rsidRDefault="00000000">
            <w:pPr>
              <w:tabs>
                <w:tab w:val="left" w:pos="402"/>
              </w:tabs>
              <w:ind w:left="0" w:hanging="2"/>
              <w:jc w:val="both"/>
              <w:rPr>
                <w:rFonts w:ascii="Arial" w:eastAsia="Arial" w:hAnsi="Arial" w:cs="Arial"/>
                <w:sz w:val="22"/>
                <w:szCs w:val="22"/>
              </w:rPr>
            </w:pPr>
            <w:r>
              <w:rPr>
                <w:rFonts w:ascii="Arial" w:eastAsia="Arial" w:hAnsi="Arial" w:cs="Arial"/>
                <w:sz w:val="22"/>
                <w:szCs w:val="22"/>
              </w:rPr>
              <w:t>2021</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34B288" w14:textId="77777777" w:rsidR="000E3000" w:rsidRDefault="00000000">
            <w:pPr>
              <w:tabs>
                <w:tab w:val="left" w:pos="402"/>
              </w:tabs>
              <w:ind w:left="0" w:hanging="2"/>
              <w:jc w:val="right"/>
              <w:rPr>
                <w:rFonts w:ascii="Arial" w:eastAsia="Arial" w:hAnsi="Arial" w:cs="Arial"/>
                <w:sz w:val="22"/>
                <w:szCs w:val="22"/>
              </w:rPr>
            </w:pPr>
            <w:r>
              <w:rPr>
                <w:rFonts w:ascii="Arial" w:eastAsia="Arial" w:hAnsi="Arial" w:cs="Arial"/>
                <w:sz w:val="22"/>
                <w:szCs w:val="22"/>
              </w:rPr>
              <w:t>883,097,000.00</w:t>
            </w:r>
          </w:p>
        </w:tc>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1F3B4" w14:textId="77777777" w:rsidR="000E3000" w:rsidRDefault="00000000">
            <w:pPr>
              <w:tabs>
                <w:tab w:val="left" w:pos="402"/>
              </w:tabs>
              <w:ind w:left="0" w:hanging="2"/>
              <w:jc w:val="center"/>
              <w:rPr>
                <w:rFonts w:ascii="Arial" w:eastAsia="Arial" w:hAnsi="Arial" w:cs="Arial"/>
                <w:sz w:val="22"/>
                <w:szCs w:val="22"/>
              </w:rPr>
            </w:pPr>
            <w:r>
              <w:rPr>
                <w:rFonts w:ascii="Arial" w:eastAsia="Arial" w:hAnsi="Arial" w:cs="Arial"/>
                <w:sz w:val="22"/>
                <w:szCs w:val="22"/>
              </w:rPr>
              <w:t>664</w:t>
            </w:r>
          </w:p>
        </w:tc>
      </w:tr>
      <w:tr w:rsidR="000E3000" w14:paraId="139E357A" w14:textId="77777777">
        <w:trPr>
          <w:jc w:val="center"/>
        </w:trPr>
        <w:tc>
          <w:tcPr>
            <w:tcW w:w="136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D7E350" w14:textId="77777777" w:rsidR="000E3000" w:rsidRDefault="00000000">
            <w:pPr>
              <w:tabs>
                <w:tab w:val="left" w:pos="402"/>
              </w:tabs>
              <w:ind w:left="0" w:hanging="2"/>
              <w:jc w:val="both"/>
              <w:rPr>
                <w:rFonts w:ascii="Arial" w:eastAsia="Arial" w:hAnsi="Arial" w:cs="Arial"/>
                <w:sz w:val="22"/>
                <w:szCs w:val="22"/>
              </w:rPr>
            </w:pPr>
            <w:r>
              <w:rPr>
                <w:rFonts w:ascii="Arial" w:eastAsia="Arial" w:hAnsi="Arial" w:cs="Arial"/>
                <w:sz w:val="22"/>
                <w:szCs w:val="22"/>
              </w:rPr>
              <w:t>2022</w:t>
            </w:r>
          </w:p>
        </w:tc>
        <w:tc>
          <w:tcPr>
            <w:tcW w:w="26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3844D7" w14:textId="77777777" w:rsidR="000E3000" w:rsidRDefault="00000000">
            <w:pPr>
              <w:tabs>
                <w:tab w:val="left" w:pos="402"/>
              </w:tabs>
              <w:ind w:left="0" w:hanging="2"/>
              <w:jc w:val="right"/>
              <w:rPr>
                <w:rFonts w:ascii="Arial" w:eastAsia="Arial" w:hAnsi="Arial" w:cs="Arial"/>
                <w:sz w:val="22"/>
                <w:szCs w:val="22"/>
              </w:rPr>
            </w:pPr>
            <w:r>
              <w:rPr>
                <w:rFonts w:ascii="Arial" w:eastAsia="Arial" w:hAnsi="Arial" w:cs="Arial"/>
                <w:sz w:val="22"/>
                <w:szCs w:val="22"/>
              </w:rPr>
              <w:t>921,156,000.00</w:t>
            </w:r>
          </w:p>
        </w:tc>
        <w:tc>
          <w:tcPr>
            <w:tcW w:w="2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5983D" w14:textId="77777777" w:rsidR="000E3000" w:rsidRDefault="00000000">
            <w:pPr>
              <w:tabs>
                <w:tab w:val="left" w:pos="402"/>
              </w:tabs>
              <w:ind w:left="0" w:hanging="2"/>
              <w:jc w:val="both"/>
              <w:rPr>
                <w:rFonts w:ascii="Arial" w:eastAsia="Arial" w:hAnsi="Arial" w:cs="Arial"/>
                <w:sz w:val="22"/>
                <w:szCs w:val="22"/>
              </w:rPr>
            </w:pPr>
            <w:r>
              <w:rPr>
                <w:rFonts w:ascii="Arial" w:eastAsia="Arial" w:hAnsi="Arial" w:cs="Arial"/>
                <w:sz w:val="22"/>
                <w:szCs w:val="22"/>
              </w:rPr>
              <w:t xml:space="preserve">                   609</w:t>
            </w:r>
          </w:p>
        </w:tc>
      </w:tr>
    </w:tbl>
    <w:p w14:paraId="37765094" w14:textId="77777777" w:rsidR="000E3000" w:rsidRDefault="000E3000">
      <w:pPr>
        <w:spacing w:after="160" w:line="259" w:lineRule="auto"/>
        <w:ind w:left="0" w:hanging="2"/>
        <w:jc w:val="both"/>
        <w:rPr>
          <w:rFonts w:ascii="Arial" w:eastAsia="Arial" w:hAnsi="Arial" w:cs="Arial"/>
          <w:sz w:val="22"/>
          <w:szCs w:val="22"/>
        </w:rPr>
      </w:pPr>
    </w:p>
    <w:p w14:paraId="50FE0DA3" w14:textId="77777777" w:rsidR="000E3000" w:rsidRDefault="00000000">
      <w:pPr>
        <w:numPr>
          <w:ilvl w:val="0"/>
          <w:numId w:val="1"/>
        </w:numPr>
        <w:spacing w:line="259" w:lineRule="auto"/>
        <w:ind w:left="0" w:hanging="2"/>
        <w:jc w:val="both"/>
        <w:rPr>
          <w:sz w:val="22"/>
          <w:szCs w:val="22"/>
        </w:rPr>
      </w:pPr>
      <w:r>
        <w:rPr>
          <w:rFonts w:ascii="Arial" w:eastAsia="Arial" w:hAnsi="Arial" w:cs="Arial"/>
          <w:sz w:val="22"/>
          <w:szCs w:val="22"/>
        </w:rPr>
        <w:t xml:space="preserve">To enhance its mandate on promotion and protection of the rights of migrant workers and members of their families, CHRP in 2019 established the </w:t>
      </w:r>
      <w:hyperlink r:id="rId10">
        <w:r>
          <w:rPr>
            <w:rFonts w:ascii="Arial" w:eastAsia="Arial" w:hAnsi="Arial" w:cs="Arial"/>
            <w:color w:val="1155CC"/>
            <w:sz w:val="22"/>
            <w:szCs w:val="22"/>
            <w:u w:val="single"/>
          </w:rPr>
          <w:t>Migrants’ Rights Observatory</w:t>
        </w:r>
      </w:hyperlink>
      <w:r>
        <w:rPr>
          <w:rFonts w:ascii="Arial" w:eastAsia="Arial" w:hAnsi="Arial" w:cs="Arial"/>
          <w:sz w:val="22"/>
          <w:szCs w:val="22"/>
        </w:rPr>
        <w:t xml:space="preserve"> which aimed to monitor the implementation of the ICMW, and in connection to its collaboration with NHRIs in receiving countries, created a referral system of cases of overseas Filipino workers (OFWs). Through this initiative, policy advocacy papers were published, as also mentioned in the 2021 CHRP submission to the CMW.</w:t>
      </w:r>
      <w:r>
        <w:rPr>
          <w:rFonts w:ascii="Arial" w:eastAsia="Arial" w:hAnsi="Arial" w:cs="Arial"/>
          <w:sz w:val="22"/>
          <w:szCs w:val="22"/>
          <w:vertAlign w:val="superscript"/>
        </w:rPr>
        <w:footnoteReference w:id="3"/>
      </w:r>
    </w:p>
    <w:p w14:paraId="3D5E182E" w14:textId="77777777" w:rsidR="000E3000" w:rsidRDefault="000E3000">
      <w:pPr>
        <w:spacing w:line="259" w:lineRule="auto"/>
        <w:ind w:left="0" w:hanging="2"/>
        <w:jc w:val="both"/>
        <w:rPr>
          <w:rFonts w:ascii="Arial" w:eastAsia="Arial" w:hAnsi="Arial" w:cs="Arial"/>
          <w:sz w:val="22"/>
          <w:szCs w:val="22"/>
        </w:rPr>
      </w:pPr>
    </w:p>
    <w:p w14:paraId="5DD2811D" w14:textId="77777777" w:rsidR="000E3000" w:rsidRDefault="00000000">
      <w:pPr>
        <w:numPr>
          <w:ilvl w:val="0"/>
          <w:numId w:val="1"/>
        </w:numPr>
        <w:spacing w:line="259" w:lineRule="auto"/>
        <w:ind w:left="0" w:hanging="2"/>
        <w:jc w:val="both"/>
        <w:rPr>
          <w:sz w:val="22"/>
          <w:szCs w:val="22"/>
        </w:rPr>
      </w:pPr>
      <w:r>
        <w:rPr>
          <w:rFonts w:ascii="Arial" w:eastAsia="Arial" w:hAnsi="Arial" w:cs="Arial"/>
          <w:sz w:val="22"/>
          <w:szCs w:val="22"/>
        </w:rPr>
        <w:lastRenderedPageBreak/>
        <w:t xml:space="preserve">The CHRP also receives cases of alleged human rights violations against OFWs and members of their families. Besides its usual case intake through the regional and central offices, reporting portals were established especially during the first year of the COVID-19 pandemic: </w:t>
      </w:r>
    </w:p>
    <w:p w14:paraId="6FB01EA8" w14:textId="77777777" w:rsidR="000E3000" w:rsidRDefault="000E3000">
      <w:pPr>
        <w:spacing w:line="259" w:lineRule="auto"/>
        <w:ind w:left="0" w:hanging="2"/>
        <w:jc w:val="both"/>
        <w:rPr>
          <w:rFonts w:ascii="Arial" w:eastAsia="Arial" w:hAnsi="Arial" w:cs="Arial"/>
          <w:sz w:val="22"/>
          <w:szCs w:val="22"/>
        </w:rPr>
      </w:pPr>
    </w:p>
    <w:p w14:paraId="52950D2A" w14:textId="77777777" w:rsidR="000E3000" w:rsidRDefault="00000000">
      <w:pPr>
        <w:numPr>
          <w:ilvl w:val="0"/>
          <w:numId w:val="3"/>
        </w:numPr>
        <w:spacing w:line="259" w:lineRule="auto"/>
        <w:ind w:left="0" w:hanging="2"/>
        <w:jc w:val="both"/>
        <w:rPr>
          <w:rFonts w:ascii="Arial" w:eastAsia="Arial" w:hAnsi="Arial" w:cs="Arial"/>
          <w:sz w:val="22"/>
          <w:szCs w:val="22"/>
        </w:rPr>
      </w:pPr>
      <w:hyperlink r:id="rId11">
        <w:r>
          <w:rPr>
            <w:rFonts w:ascii="Arial" w:eastAsia="Arial" w:hAnsi="Arial" w:cs="Arial"/>
            <w:color w:val="1155CC"/>
            <w:sz w:val="22"/>
            <w:szCs w:val="22"/>
            <w:u w:val="single"/>
          </w:rPr>
          <w:t xml:space="preserve">e-Report </w:t>
        </w:r>
        <w:proofErr w:type="spellStart"/>
        <w:r>
          <w:rPr>
            <w:rFonts w:ascii="Arial" w:eastAsia="Arial" w:hAnsi="Arial" w:cs="Arial"/>
            <w:color w:val="1155CC"/>
            <w:sz w:val="22"/>
            <w:szCs w:val="22"/>
            <w:u w:val="single"/>
          </w:rPr>
          <w:t>sa</w:t>
        </w:r>
        <w:proofErr w:type="spellEnd"/>
        <w:r>
          <w:rPr>
            <w:rFonts w:ascii="Arial" w:eastAsia="Arial" w:hAnsi="Arial" w:cs="Arial"/>
            <w:color w:val="1155CC"/>
            <w:sz w:val="22"/>
            <w:szCs w:val="22"/>
            <w:u w:val="single"/>
          </w:rPr>
          <w:t xml:space="preserve"> Gender Ombud</w:t>
        </w:r>
      </w:hyperlink>
      <w:r>
        <w:rPr>
          <w:rFonts w:ascii="Arial" w:eastAsia="Arial" w:hAnsi="Arial" w:cs="Arial"/>
          <w:sz w:val="22"/>
          <w:szCs w:val="22"/>
        </w:rPr>
        <w:t xml:space="preserve">: In times of health crisis like </w:t>
      </w:r>
      <w:proofErr w:type="spellStart"/>
      <w:r>
        <w:rPr>
          <w:rFonts w:ascii="Arial" w:eastAsia="Arial" w:hAnsi="Arial" w:cs="Arial"/>
          <w:sz w:val="22"/>
          <w:szCs w:val="22"/>
        </w:rPr>
        <w:t>th</w:t>
      </w:r>
      <w:proofErr w:type="spellEnd"/>
      <w:r>
        <w:rPr>
          <w:rFonts w:ascii="Arial" w:eastAsia="Arial" w:hAnsi="Arial" w:cs="Arial"/>
          <w:sz w:val="22"/>
          <w:szCs w:val="22"/>
        </w:rPr>
        <w:t xml:space="preserve"> COVID-19 pandemic, response to gender-based violence (GBV) is even more difficult. Incidences of GBV are expected to increase as an effect of tensions within the household during the enhanced community quarantine (ECQ). The pressure to respond to COVID-19 may disrupt care and support for GBV survivors, and that in times of crisis, referral networks and access to justice in cases of GBV may be disrupted. With support from the United Nations Populations Fund (UNFPA), the Commission on Human Rights of the Philippines (CHR) has developed this online reporting portal for cases of GBV during the COVID-19 ECQ.</w:t>
      </w:r>
    </w:p>
    <w:p w14:paraId="3B26E118" w14:textId="77777777" w:rsidR="000E3000" w:rsidRDefault="000E3000">
      <w:pPr>
        <w:spacing w:line="259" w:lineRule="auto"/>
        <w:ind w:left="0" w:hanging="2"/>
        <w:jc w:val="both"/>
        <w:rPr>
          <w:rFonts w:ascii="Arial" w:eastAsia="Arial" w:hAnsi="Arial" w:cs="Arial"/>
          <w:sz w:val="22"/>
          <w:szCs w:val="22"/>
        </w:rPr>
      </w:pPr>
    </w:p>
    <w:p w14:paraId="5D963194" w14:textId="77777777" w:rsidR="000E3000" w:rsidRDefault="00000000">
      <w:pPr>
        <w:numPr>
          <w:ilvl w:val="0"/>
          <w:numId w:val="3"/>
        </w:numPr>
        <w:spacing w:line="259" w:lineRule="auto"/>
        <w:ind w:left="0" w:hanging="2"/>
        <w:jc w:val="both"/>
        <w:rPr>
          <w:rFonts w:ascii="Arial" w:eastAsia="Arial" w:hAnsi="Arial" w:cs="Arial"/>
          <w:sz w:val="22"/>
          <w:szCs w:val="22"/>
        </w:rPr>
      </w:pPr>
      <w:hyperlink r:id="rId12">
        <w:r>
          <w:rPr>
            <w:rFonts w:ascii="Arial" w:eastAsia="Arial" w:hAnsi="Arial" w:cs="Arial"/>
            <w:color w:val="1155CC"/>
            <w:sz w:val="22"/>
            <w:szCs w:val="22"/>
            <w:u w:val="single"/>
          </w:rPr>
          <w:t>OFW and Migrant Complaint Portal</w:t>
        </w:r>
      </w:hyperlink>
      <w:r>
        <w:rPr>
          <w:rFonts w:ascii="Arial" w:eastAsia="Arial" w:hAnsi="Arial" w:cs="Arial"/>
          <w:sz w:val="22"/>
          <w:szCs w:val="22"/>
        </w:rPr>
        <w:t>: The Commission launched an online reporting portal particularly for migrants and members of their families. This is aimed at offering immediate legal assistance to actual or threatened victims of human rights violations, and to ensure the immediate referral of cases to appropriate government agencies for proper action.</w:t>
      </w:r>
    </w:p>
    <w:p w14:paraId="65F8EF21" w14:textId="77777777" w:rsidR="000E3000" w:rsidRDefault="000E3000">
      <w:pPr>
        <w:spacing w:line="259" w:lineRule="auto"/>
        <w:ind w:left="0" w:hanging="2"/>
        <w:jc w:val="both"/>
        <w:rPr>
          <w:rFonts w:ascii="Arial" w:eastAsia="Arial" w:hAnsi="Arial" w:cs="Arial"/>
          <w:sz w:val="22"/>
          <w:szCs w:val="22"/>
        </w:rPr>
      </w:pPr>
    </w:p>
    <w:p w14:paraId="19FAA234" w14:textId="77777777" w:rsidR="000E3000" w:rsidRDefault="00000000">
      <w:pPr>
        <w:numPr>
          <w:ilvl w:val="0"/>
          <w:numId w:val="1"/>
        </w:numPr>
        <w:spacing w:line="259" w:lineRule="auto"/>
        <w:ind w:left="0" w:hanging="2"/>
        <w:jc w:val="both"/>
        <w:rPr>
          <w:sz w:val="22"/>
          <w:szCs w:val="22"/>
        </w:rPr>
      </w:pPr>
      <w:r>
        <w:rPr>
          <w:rFonts w:ascii="Arial" w:eastAsia="Arial" w:hAnsi="Arial" w:cs="Arial"/>
          <w:sz w:val="22"/>
          <w:szCs w:val="22"/>
        </w:rPr>
        <w:t>The CHRP respectfully requests the CMW to ask the State Party regarding the status of the Commission’s Charter Bill, and to remind the State Party of its obligations to guarantee the Commission’s independence, as the State’s national human rights institution (NHRI), to further protect and promote the human rights of all in the Philippines and Filipinos abroad.</w:t>
      </w:r>
    </w:p>
    <w:p w14:paraId="3F2D56DE" w14:textId="77777777" w:rsidR="000E3000" w:rsidRDefault="000E3000">
      <w:pPr>
        <w:spacing w:line="259" w:lineRule="auto"/>
        <w:ind w:left="0" w:hanging="2"/>
        <w:jc w:val="both"/>
        <w:rPr>
          <w:rFonts w:ascii="Arial" w:eastAsia="Arial" w:hAnsi="Arial" w:cs="Arial"/>
          <w:sz w:val="22"/>
          <w:szCs w:val="22"/>
        </w:rPr>
      </w:pPr>
    </w:p>
    <w:p w14:paraId="496A6268" w14:textId="77777777" w:rsidR="000E3000" w:rsidRDefault="00000000">
      <w:pPr>
        <w:numPr>
          <w:ilvl w:val="0"/>
          <w:numId w:val="1"/>
        </w:numPr>
        <w:spacing w:line="259" w:lineRule="auto"/>
        <w:ind w:left="0" w:hanging="2"/>
        <w:jc w:val="both"/>
        <w:rPr>
          <w:sz w:val="22"/>
          <w:szCs w:val="22"/>
        </w:rPr>
      </w:pPr>
      <w:r>
        <w:rPr>
          <w:rFonts w:ascii="Arial" w:eastAsia="Arial" w:hAnsi="Arial" w:cs="Arial"/>
          <w:sz w:val="22"/>
          <w:szCs w:val="22"/>
        </w:rPr>
        <w:t>The CHRP also requests the CMW to recommend to the State Party the appointment of the remaining Members of the Commission in accordance with the Paris Principles.</w:t>
      </w:r>
    </w:p>
    <w:p w14:paraId="114E0EDE" w14:textId="77777777" w:rsidR="000E3000" w:rsidRDefault="000E3000">
      <w:pPr>
        <w:spacing w:line="259" w:lineRule="auto"/>
        <w:ind w:left="0" w:hanging="2"/>
        <w:jc w:val="both"/>
        <w:rPr>
          <w:rFonts w:ascii="Arial" w:eastAsia="Arial" w:hAnsi="Arial" w:cs="Arial"/>
          <w:sz w:val="22"/>
          <w:szCs w:val="22"/>
        </w:rPr>
      </w:pPr>
    </w:p>
    <w:p w14:paraId="7A9D2161" w14:textId="77777777" w:rsidR="000E3000" w:rsidRDefault="000E3000">
      <w:pPr>
        <w:spacing w:line="259" w:lineRule="auto"/>
        <w:ind w:left="0" w:hanging="2"/>
        <w:jc w:val="both"/>
        <w:rPr>
          <w:rFonts w:ascii="Arial" w:eastAsia="Arial" w:hAnsi="Arial" w:cs="Arial"/>
          <w:sz w:val="22"/>
          <w:szCs w:val="22"/>
        </w:rPr>
      </w:pPr>
    </w:p>
    <w:p w14:paraId="7916720F" w14:textId="77777777" w:rsidR="000E3000" w:rsidRDefault="00000000">
      <w:pPr>
        <w:spacing w:line="259" w:lineRule="auto"/>
        <w:ind w:left="0" w:hanging="2"/>
        <w:jc w:val="both"/>
        <w:rPr>
          <w:rFonts w:ascii="Arial" w:eastAsia="Arial" w:hAnsi="Arial" w:cs="Arial"/>
          <w:b/>
          <w:sz w:val="22"/>
          <w:szCs w:val="22"/>
        </w:rPr>
      </w:pPr>
      <w:r>
        <w:rPr>
          <w:rFonts w:ascii="Arial" w:eastAsia="Arial" w:hAnsi="Arial" w:cs="Arial"/>
          <w:b/>
          <w:sz w:val="22"/>
          <w:szCs w:val="22"/>
        </w:rPr>
        <w:t>B. On the issue to enhance the capacity of the State party’s institutions to effectively implement rights under the Convention by strengthening and streamlining the institutional structure dealing with migration issues;</w:t>
      </w:r>
    </w:p>
    <w:p w14:paraId="6D2291F9" w14:textId="77777777" w:rsidR="000E3000" w:rsidRDefault="000E3000">
      <w:pPr>
        <w:spacing w:line="259" w:lineRule="auto"/>
        <w:ind w:left="0" w:hanging="2"/>
        <w:jc w:val="both"/>
        <w:rPr>
          <w:rFonts w:ascii="Arial" w:eastAsia="Arial" w:hAnsi="Arial" w:cs="Arial"/>
          <w:sz w:val="22"/>
          <w:szCs w:val="22"/>
        </w:rPr>
      </w:pPr>
    </w:p>
    <w:p w14:paraId="6246E648" w14:textId="77777777" w:rsidR="000E3000" w:rsidRDefault="00000000">
      <w:pPr>
        <w:numPr>
          <w:ilvl w:val="0"/>
          <w:numId w:val="1"/>
        </w:numPr>
        <w:spacing w:line="259" w:lineRule="auto"/>
        <w:ind w:left="0" w:hanging="2"/>
        <w:jc w:val="both"/>
        <w:rPr>
          <w:sz w:val="22"/>
          <w:szCs w:val="22"/>
        </w:rPr>
      </w:pPr>
      <w:r>
        <w:rPr>
          <w:rFonts w:ascii="Arial" w:eastAsia="Arial" w:hAnsi="Arial" w:cs="Arial"/>
          <w:sz w:val="22"/>
          <w:szCs w:val="22"/>
        </w:rPr>
        <w:t>The Department of Migrant Workers (DMW) was established and constituted through the Department of Migrant Workers Act (RA 11641) that took effect on 3 February 2022. Section 5 of the law states the DMW's mandate which absorbs all powers, functions and mandate of the POEA and all relevant entities. The DMW is now the primary agency with the responsibility to promote and protect the rights and welfare of OFWs regardless of status on behalf of the State.</w:t>
      </w:r>
      <w:r>
        <w:rPr>
          <w:rFonts w:ascii="Arial" w:eastAsia="Arial" w:hAnsi="Arial" w:cs="Arial"/>
          <w:sz w:val="22"/>
          <w:szCs w:val="22"/>
          <w:vertAlign w:val="superscript"/>
        </w:rPr>
        <w:footnoteReference w:id="4"/>
      </w:r>
    </w:p>
    <w:p w14:paraId="54FD367D" w14:textId="77777777" w:rsidR="000E3000" w:rsidRDefault="000E3000">
      <w:pPr>
        <w:spacing w:line="259" w:lineRule="auto"/>
        <w:ind w:left="0" w:hanging="2"/>
        <w:jc w:val="both"/>
        <w:rPr>
          <w:rFonts w:ascii="Arial" w:eastAsia="Arial" w:hAnsi="Arial" w:cs="Arial"/>
          <w:sz w:val="22"/>
          <w:szCs w:val="22"/>
        </w:rPr>
      </w:pPr>
    </w:p>
    <w:p w14:paraId="11204D8D" w14:textId="77777777" w:rsidR="000E3000" w:rsidRDefault="00000000">
      <w:pPr>
        <w:numPr>
          <w:ilvl w:val="0"/>
          <w:numId w:val="1"/>
        </w:numPr>
        <w:spacing w:line="259" w:lineRule="auto"/>
        <w:ind w:left="0" w:hanging="2"/>
        <w:jc w:val="both"/>
        <w:rPr>
          <w:sz w:val="22"/>
          <w:szCs w:val="22"/>
        </w:rPr>
      </w:pPr>
      <w:r>
        <w:rPr>
          <w:rFonts w:ascii="Arial" w:eastAsia="Arial" w:hAnsi="Arial" w:cs="Arial"/>
          <w:sz w:val="22"/>
          <w:szCs w:val="22"/>
        </w:rPr>
        <w:t>Based on the consultations with OFWs and CSOs, the current initiatives of DMW are not directly felt on the ground, although it is acknowledged the agency’s transition process.</w:t>
      </w:r>
      <w:r>
        <w:rPr>
          <w:rFonts w:ascii="Arial" w:eastAsia="Arial" w:hAnsi="Arial" w:cs="Arial"/>
          <w:sz w:val="22"/>
          <w:szCs w:val="22"/>
          <w:vertAlign w:val="superscript"/>
        </w:rPr>
        <w:footnoteReference w:id="5"/>
      </w:r>
      <w:r>
        <w:rPr>
          <w:rFonts w:ascii="Arial" w:eastAsia="Arial" w:hAnsi="Arial" w:cs="Arial"/>
          <w:sz w:val="22"/>
          <w:szCs w:val="22"/>
        </w:rPr>
        <w:t xml:space="preserve"> OWWA, </w:t>
      </w:r>
      <w:r>
        <w:rPr>
          <w:rFonts w:ascii="Arial" w:eastAsia="Arial" w:hAnsi="Arial" w:cs="Arial"/>
          <w:sz w:val="22"/>
          <w:szCs w:val="22"/>
        </w:rPr>
        <w:lastRenderedPageBreak/>
        <w:t xml:space="preserve">POEA and migrants’ / OFW groups and CSOs in the Philippines and in the receiving countries are still considered as the main contact points and support networks for OFWs. While there are efforts in the dissemination of information on the rights of migrant workers and services available, a more active information and education campaign is recommended particularly at local levels. CHRP recognizes the crucial function of Public Employment Service Offices (PESO) and Migrant Resource </w:t>
      </w:r>
      <w:proofErr w:type="spellStart"/>
      <w:r>
        <w:rPr>
          <w:rFonts w:ascii="Arial" w:eastAsia="Arial" w:hAnsi="Arial" w:cs="Arial"/>
          <w:sz w:val="22"/>
          <w:szCs w:val="22"/>
        </w:rPr>
        <w:t>Centers</w:t>
      </w:r>
      <w:proofErr w:type="spellEnd"/>
      <w:r>
        <w:rPr>
          <w:rFonts w:ascii="Arial" w:eastAsia="Arial" w:hAnsi="Arial" w:cs="Arial"/>
          <w:sz w:val="22"/>
          <w:szCs w:val="22"/>
        </w:rPr>
        <w:t xml:space="preserve"> (MRC) as they are the local government units that OFWs and their families approach and seek assistance in the provinces in the Philippines and in the destination countries.</w:t>
      </w:r>
    </w:p>
    <w:p w14:paraId="1F4BE288" w14:textId="77777777" w:rsidR="000E3000" w:rsidRDefault="000E3000">
      <w:pPr>
        <w:spacing w:line="259" w:lineRule="auto"/>
        <w:ind w:left="0" w:hanging="2"/>
        <w:jc w:val="both"/>
        <w:rPr>
          <w:rFonts w:ascii="Arial" w:eastAsia="Arial" w:hAnsi="Arial" w:cs="Arial"/>
          <w:sz w:val="22"/>
          <w:szCs w:val="22"/>
        </w:rPr>
      </w:pPr>
    </w:p>
    <w:p w14:paraId="3D3E39BF" w14:textId="77777777" w:rsidR="000E3000" w:rsidRDefault="00000000">
      <w:pPr>
        <w:numPr>
          <w:ilvl w:val="0"/>
          <w:numId w:val="1"/>
        </w:numPr>
        <w:spacing w:line="259" w:lineRule="auto"/>
        <w:ind w:left="0" w:hanging="2"/>
        <w:jc w:val="both"/>
        <w:rPr>
          <w:sz w:val="22"/>
          <w:szCs w:val="22"/>
        </w:rPr>
      </w:pPr>
      <w:r>
        <w:rPr>
          <w:rFonts w:ascii="Arial" w:eastAsia="Arial" w:hAnsi="Arial" w:cs="Arial"/>
          <w:sz w:val="22"/>
          <w:szCs w:val="22"/>
        </w:rPr>
        <w:t>On older migrant workers, official statistics on Overseas Filipino Workers (OFW) should be disaggregated by age.</w:t>
      </w:r>
      <w:r>
        <w:rPr>
          <w:rFonts w:ascii="Arial" w:eastAsia="Arial" w:hAnsi="Arial" w:cs="Arial"/>
          <w:sz w:val="22"/>
          <w:szCs w:val="22"/>
          <w:vertAlign w:val="superscript"/>
        </w:rPr>
        <w:footnoteReference w:id="6"/>
      </w:r>
      <w:r>
        <w:rPr>
          <w:rFonts w:ascii="Arial" w:eastAsia="Arial" w:hAnsi="Arial" w:cs="Arial"/>
          <w:sz w:val="22"/>
          <w:szCs w:val="22"/>
        </w:rPr>
        <w:t xml:space="preserve"> It is a common experience among OFWs, especially for older OFWs, who return to the country to find it difficult to re-enter the local workforce as there are very limited opportunities for decent work.</w:t>
      </w:r>
      <w:r>
        <w:rPr>
          <w:rFonts w:ascii="Arial" w:eastAsia="Arial" w:hAnsi="Arial" w:cs="Arial"/>
          <w:sz w:val="22"/>
          <w:szCs w:val="22"/>
          <w:vertAlign w:val="superscript"/>
        </w:rPr>
        <w:footnoteReference w:id="7"/>
      </w:r>
      <w:r>
        <w:rPr>
          <w:rFonts w:ascii="Arial" w:eastAsia="Arial" w:hAnsi="Arial" w:cs="Arial"/>
          <w:sz w:val="22"/>
          <w:szCs w:val="22"/>
        </w:rPr>
        <w:t xml:space="preserve"> Social security contributions for old age pensions are not always portable.</w:t>
      </w:r>
      <w:r>
        <w:rPr>
          <w:rFonts w:ascii="Arial" w:eastAsia="Arial" w:hAnsi="Arial" w:cs="Arial"/>
          <w:sz w:val="22"/>
          <w:szCs w:val="22"/>
          <w:vertAlign w:val="superscript"/>
        </w:rPr>
        <w:footnoteReference w:id="8"/>
      </w:r>
      <w:r>
        <w:rPr>
          <w:rFonts w:ascii="Arial" w:eastAsia="Arial" w:hAnsi="Arial" w:cs="Arial"/>
          <w:sz w:val="22"/>
          <w:szCs w:val="22"/>
        </w:rPr>
        <w:t xml:space="preserve"> As such, bilateral or multilateral agreements between sending and receiving States to ensure portability of old age pension would enhance the economic security of former older migrant workers.</w:t>
      </w:r>
    </w:p>
    <w:p w14:paraId="173A3306" w14:textId="77777777" w:rsidR="000E3000" w:rsidRDefault="000E3000">
      <w:pPr>
        <w:spacing w:line="259" w:lineRule="auto"/>
        <w:ind w:left="0" w:hanging="2"/>
        <w:jc w:val="both"/>
        <w:rPr>
          <w:rFonts w:ascii="Arial" w:eastAsia="Arial" w:hAnsi="Arial" w:cs="Arial"/>
          <w:sz w:val="22"/>
          <w:szCs w:val="22"/>
        </w:rPr>
      </w:pPr>
    </w:p>
    <w:p w14:paraId="2EC43077" w14:textId="77777777" w:rsidR="000E3000" w:rsidRDefault="00000000">
      <w:pPr>
        <w:numPr>
          <w:ilvl w:val="0"/>
          <w:numId w:val="1"/>
        </w:numPr>
        <w:spacing w:line="259" w:lineRule="auto"/>
        <w:ind w:left="0" w:hanging="2"/>
        <w:jc w:val="both"/>
        <w:rPr>
          <w:sz w:val="22"/>
          <w:szCs w:val="22"/>
        </w:rPr>
      </w:pPr>
      <w:r>
        <w:rPr>
          <w:rFonts w:ascii="Arial" w:eastAsia="Arial" w:hAnsi="Arial" w:cs="Arial"/>
          <w:sz w:val="22"/>
          <w:szCs w:val="22"/>
        </w:rPr>
        <w:t xml:space="preserve">The CHRP requests the CMW to ask the State Party on current efforts of the DMW to raise awareness about its mandate, particularly the outreach activities in coordination with PESOs and MRCs in the regions of the Philippines and in the destination countries where OFWs are predominantly working. The CHRP also requests for the Shared Government Information System on Migration to be finalized and launched, so disaggregated data on OFWs and their families can be identified that are necessary for rights monitoring and provision of services. The CHRP through its Migrants Rights Observatory is ready to engage with the State Party through the DMW and its attached agencies on data sharing. </w:t>
      </w:r>
    </w:p>
    <w:p w14:paraId="3784236B" w14:textId="77777777" w:rsidR="000E3000" w:rsidRDefault="000E3000">
      <w:pPr>
        <w:spacing w:line="259" w:lineRule="auto"/>
        <w:ind w:left="0" w:hanging="2"/>
        <w:jc w:val="both"/>
        <w:rPr>
          <w:rFonts w:ascii="Arial" w:eastAsia="Arial" w:hAnsi="Arial" w:cs="Arial"/>
          <w:sz w:val="22"/>
          <w:szCs w:val="22"/>
        </w:rPr>
      </w:pPr>
    </w:p>
    <w:p w14:paraId="634F7FB5" w14:textId="77777777" w:rsidR="000E3000" w:rsidRDefault="000E3000">
      <w:pPr>
        <w:spacing w:line="259" w:lineRule="auto"/>
        <w:ind w:left="0" w:hanging="2"/>
        <w:jc w:val="both"/>
        <w:rPr>
          <w:rFonts w:ascii="Arial" w:eastAsia="Arial" w:hAnsi="Arial" w:cs="Arial"/>
          <w:sz w:val="22"/>
          <w:szCs w:val="22"/>
        </w:rPr>
      </w:pPr>
    </w:p>
    <w:p w14:paraId="7BE339A9" w14:textId="77777777" w:rsidR="000E3000" w:rsidRDefault="000E3000">
      <w:pPr>
        <w:spacing w:line="259" w:lineRule="auto"/>
        <w:ind w:left="0" w:hanging="2"/>
        <w:jc w:val="both"/>
        <w:rPr>
          <w:rFonts w:ascii="Arial" w:eastAsia="Arial" w:hAnsi="Arial" w:cs="Arial"/>
          <w:sz w:val="22"/>
          <w:szCs w:val="22"/>
        </w:rPr>
      </w:pPr>
    </w:p>
    <w:p w14:paraId="572812B6" w14:textId="77777777" w:rsidR="000E3000" w:rsidRDefault="000E3000">
      <w:pPr>
        <w:spacing w:line="259" w:lineRule="auto"/>
        <w:ind w:left="0" w:hanging="2"/>
        <w:jc w:val="both"/>
        <w:rPr>
          <w:rFonts w:ascii="Arial" w:eastAsia="Arial" w:hAnsi="Arial" w:cs="Arial"/>
          <w:sz w:val="22"/>
          <w:szCs w:val="22"/>
        </w:rPr>
      </w:pPr>
    </w:p>
    <w:p w14:paraId="3762B5F2" w14:textId="77777777" w:rsidR="000E3000" w:rsidRDefault="00000000" w:rsidP="00F3320D">
      <w:pPr>
        <w:keepNext/>
        <w:keepLines/>
        <w:tabs>
          <w:tab w:val="right" w:pos="851"/>
        </w:tabs>
        <w:spacing w:line="276" w:lineRule="auto"/>
        <w:ind w:leftChars="0" w:left="0" w:firstLineChars="0" w:firstLine="0"/>
        <w:jc w:val="both"/>
        <w:rPr>
          <w:rFonts w:ascii="Arial" w:eastAsia="Arial" w:hAnsi="Arial" w:cs="Arial"/>
          <w:b/>
          <w:sz w:val="22"/>
          <w:szCs w:val="22"/>
        </w:rPr>
      </w:pPr>
      <w:r>
        <w:rPr>
          <w:rFonts w:ascii="Arial" w:eastAsia="Arial" w:hAnsi="Arial" w:cs="Arial"/>
          <w:b/>
          <w:sz w:val="22"/>
          <w:szCs w:val="22"/>
        </w:rPr>
        <w:lastRenderedPageBreak/>
        <w:tab/>
      </w:r>
      <w:r>
        <w:rPr>
          <w:rFonts w:ascii="Arial" w:eastAsia="Arial" w:hAnsi="Arial" w:cs="Arial"/>
          <w:b/>
          <w:sz w:val="22"/>
          <w:szCs w:val="22"/>
        </w:rPr>
        <w:tab/>
        <w:t>C. Access to justice</w:t>
      </w:r>
    </w:p>
    <w:p w14:paraId="60EAD8FB" w14:textId="77777777" w:rsidR="000E3000" w:rsidRDefault="000E3000">
      <w:pPr>
        <w:keepNext/>
        <w:keepLines/>
        <w:tabs>
          <w:tab w:val="right" w:pos="851"/>
        </w:tabs>
        <w:spacing w:line="276" w:lineRule="auto"/>
        <w:ind w:left="0" w:hanging="2"/>
        <w:jc w:val="both"/>
        <w:rPr>
          <w:rFonts w:ascii="Arial" w:eastAsia="Arial" w:hAnsi="Arial" w:cs="Arial"/>
          <w:b/>
          <w:sz w:val="22"/>
          <w:szCs w:val="22"/>
        </w:rPr>
      </w:pPr>
    </w:p>
    <w:p w14:paraId="2C930DBF" w14:textId="77777777" w:rsidR="000E3000" w:rsidRDefault="00000000">
      <w:pPr>
        <w:keepNext/>
        <w:keepLines/>
        <w:numPr>
          <w:ilvl w:val="0"/>
          <w:numId w:val="1"/>
        </w:numPr>
        <w:tabs>
          <w:tab w:val="right" w:pos="851"/>
        </w:tabs>
        <w:spacing w:line="276" w:lineRule="auto"/>
        <w:ind w:left="0" w:hanging="2"/>
        <w:jc w:val="both"/>
        <w:rPr>
          <w:sz w:val="22"/>
          <w:szCs w:val="22"/>
        </w:rPr>
      </w:pPr>
      <w:r>
        <w:rPr>
          <w:rFonts w:ascii="Arial" w:eastAsia="Arial" w:hAnsi="Arial" w:cs="Arial"/>
          <w:sz w:val="22"/>
          <w:szCs w:val="22"/>
        </w:rPr>
        <w:t>At least 91 cases of alleged human rights violations against OFWs have been reported to or recorded by the CHRP regional offices</w:t>
      </w:r>
      <w:r>
        <w:rPr>
          <w:rFonts w:ascii="Arial" w:eastAsia="Arial" w:hAnsi="Arial" w:cs="Arial"/>
          <w:sz w:val="22"/>
          <w:szCs w:val="22"/>
          <w:vertAlign w:val="superscript"/>
        </w:rPr>
        <w:footnoteReference w:id="9"/>
      </w:r>
      <w:r>
        <w:rPr>
          <w:rFonts w:ascii="Arial" w:eastAsia="Arial" w:hAnsi="Arial" w:cs="Arial"/>
          <w:sz w:val="22"/>
          <w:szCs w:val="22"/>
        </w:rPr>
        <w:t xml:space="preserve"> since 2019, and most of these cases were reported during the COVID-19 pandemic. The nature of cases included: physical, sexual and psychological abuse, human trafficking, forced confinement, confiscation of passports or travel and work documents, non-payment of wages/withholding of salaries, contract substitution, money claims or request for compensation, unlawful dismissal. Some cases of physical or sexual abuse led to deaths of OFWs either by alleged suicide or murder by employers. CHRP also received requests for repatriation, and reports of stranding due to quarantine, medical conditions, imprisonment due to allegations of theft, drug trading, </w:t>
      </w:r>
      <w:proofErr w:type="spellStart"/>
      <w:r>
        <w:rPr>
          <w:rFonts w:ascii="Arial" w:eastAsia="Arial" w:hAnsi="Arial" w:cs="Arial"/>
          <w:sz w:val="22"/>
          <w:szCs w:val="22"/>
        </w:rPr>
        <w:t>labor</w:t>
      </w:r>
      <w:proofErr w:type="spellEnd"/>
      <w:r>
        <w:rPr>
          <w:rFonts w:ascii="Arial" w:eastAsia="Arial" w:hAnsi="Arial" w:cs="Arial"/>
          <w:sz w:val="22"/>
          <w:szCs w:val="22"/>
        </w:rPr>
        <w:t xml:space="preserve"> violation and issues with iqama. Cases of missing OFWs, legal assistance for family issues. Receiving countries where these incidents happened were predominantly in the Middle East and East Asia, notably Saudi Arabia, Kuwait, Qatar, UAE, Taiwan, Hong Kong, Japan, and South Korea. The CHRP have provided legal advice and referred the cases to relevant agencies in the regions. </w:t>
      </w:r>
    </w:p>
    <w:p w14:paraId="208315D5" w14:textId="77777777" w:rsidR="000E3000" w:rsidRDefault="000E3000">
      <w:pPr>
        <w:keepNext/>
        <w:keepLines/>
        <w:tabs>
          <w:tab w:val="right" w:pos="851"/>
        </w:tabs>
        <w:spacing w:line="276" w:lineRule="auto"/>
        <w:ind w:left="0" w:hanging="2"/>
        <w:jc w:val="both"/>
        <w:rPr>
          <w:rFonts w:ascii="Arial" w:eastAsia="Arial" w:hAnsi="Arial" w:cs="Arial"/>
          <w:sz w:val="22"/>
          <w:szCs w:val="22"/>
        </w:rPr>
      </w:pPr>
    </w:p>
    <w:p w14:paraId="5FE93DC1" w14:textId="77777777" w:rsidR="000E3000" w:rsidRDefault="00000000">
      <w:pPr>
        <w:keepNext/>
        <w:keepLines/>
        <w:numPr>
          <w:ilvl w:val="0"/>
          <w:numId w:val="1"/>
        </w:numPr>
        <w:tabs>
          <w:tab w:val="right" w:pos="851"/>
        </w:tabs>
        <w:spacing w:line="276" w:lineRule="auto"/>
        <w:ind w:left="0" w:hanging="2"/>
        <w:jc w:val="both"/>
        <w:rPr>
          <w:sz w:val="22"/>
          <w:szCs w:val="22"/>
        </w:rPr>
      </w:pPr>
      <w:r>
        <w:rPr>
          <w:rFonts w:ascii="Arial" w:eastAsia="Arial" w:hAnsi="Arial" w:cs="Arial"/>
          <w:sz w:val="22"/>
          <w:szCs w:val="22"/>
        </w:rPr>
        <w:t xml:space="preserve">In the consultations with OFWs, some have noted that because of their knowledge of the local languages particularly Arabic, they were able to access assistance or help other OFWs in their cases. Although many have lamented that they felt “passed around” when they contacted and filed their complaints to government agencies, POLOs and embassies. Information from government websites is outdated, sometimes with discrepancies from different sources, and there appears to be no efforts for efficient  information dissemination. When human rights or </w:t>
      </w:r>
      <w:proofErr w:type="spellStart"/>
      <w:r>
        <w:rPr>
          <w:rFonts w:ascii="Arial" w:eastAsia="Arial" w:hAnsi="Arial" w:cs="Arial"/>
          <w:sz w:val="22"/>
          <w:szCs w:val="22"/>
        </w:rPr>
        <w:t>labor</w:t>
      </w:r>
      <w:proofErr w:type="spellEnd"/>
      <w:r>
        <w:rPr>
          <w:rFonts w:ascii="Arial" w:eastAsia="Arial" w:hAnsi="Arial" w:cs="Arial"/>
          <w:sz w:val="22"/>
          <w:szCs w:val="22"/>
        </w:rPr>
        <w:t xml:space="preserve"> rights violations occur, the burden of proof rests on the victimized OFWs and their families - from the filing of cases, documentation, and the whole gamut of seeking justice all the while experiencing trauma, stress and discrimination. OFWs eventually would drop the cases and continue working in abusive or dire conditions, or seek another employment abroad.</w:t>
      </w:r>
    </w:p>
    <w:p w14:paraId="11F309DB" w14:textId="77777777" w:rsidR="000E3000" w:rsidRDefault="000E3000">
      <w:pPr>
        <w:keepNext/>
        <w:keepLines/>
        <w:tabs>
          <w:tab w:val="right" w:pos="851"/>
        </w:tabs>
        <w:spacing w:line="276" w:lineRule="auto"/>
        <w:ind w:left="0" w:hanging="2"/>
        <w:jc w:val="both"/>
        <w:rPr>
          <w:rFonts w:ascii="Arial" w:eastAsia="Arial" w:hAnsi="Arial" w:cs="Arial"/>
          <w:sz w:val="22"/>
          <w:szCs w:val="22"/>
        </w:rPr>
      </w:pPr>
    </w:p>
    <w:p w14:paraId="33CDC9E3" w14:textId="67D68F4B" w:rsidR="000E3000" w:rsidRPr="00F3320D" w:rsidRDefault="00000000">
      <w:pPr>
        <w:keepNext/>
        <w:keepLines/>
        <w:numPr>
          <w:ilvl w:val="0"/>
          <w:numId w:val="1"/>
        </w:numPr>
        <w:tabs>
          <w:tab w:val="right" w:pos="851"/>
        </w:tabs>
        <w:spacing w:line="276" w:lineRule="auto"/>
        <w:ind w:left="0" w:hanging="2"/>
        <w:jc w:val="both"/>
        <w:rPr>
          <w:sz w:val="22"/>
          <w:szCs w:val="22"/>
        </w:rPr>
      </w:pPr>
      <w:r>
        <w:rPr>
          <w:rFonts w:ascii="Arial" w:eastAsia="Arial" w:hAnsi="Arial" w:cs="Arial"/>
          <w:sz w:val="22"/>
          <w:szCs w:val="22"/>
        </w:rPr>
        <w:t>OFWs also face problems with how to proceed with their money claims cases. The guidelines should be more clear such as the prescription period which should be shortened, and OFWs should be given proper guidance on how to access NLRCs, because many OFWs are from far-flung areas or provinces; not all provinces or regions have NLRC offices.</w:t>
      </w:r>
    </w:p>
    <w:p w14:paraId="296B7B53" w14:textId="77777777" w:rsidR="00F3320D" w:rsidRDefault="00F3320D" w:rsidP="00F3320D">
      <w:pPr>
        <w:pStyle w:val="ListParagraph"/>
        <w:ind w:left="0" w:hanging="2"/>
        <w:rPr>
          <w:sz w:val="22"/>
          <w:szCs w:val="22"/>
        </w:rPr>
      </w:pPr>
    </w:p>
    <w:p w14:paraId="2D441F24" w14:textId="77777777" w:rsidR="00F3320D" w:rsidRDefault="00F3320D" w:rsidP="00F3320D">
      <w:pPr>
        <w:keepNext/>
        <w:keepLines/>
        <w:tabs>
          <w:tab w:val="right" w:pos="851"/>
        </w:tabs>
        <w:spacing w:line="276" w:lineRule="auto"/>
        <w:ind w:leftChars="0" w:left="0" w:firstLineChars="0" w:firstLine="0"/>
        <w:jc w:val="both"/>
        <w:rPr>
          <w:sz w:val="22"/>
          <w:szCs w:val="22"/>
        </w:rPr>
      </w:pPr>
    </w:p>
    <w:p w14:paraId="4788D816" w14:textId="1B66F16D" w:rsidR="00F3320D" w:rsidRPr="00F3320D" w:rsidRDefault="00000000" w:rsidP="00F3320D">
      <w:pPr>
        <w:keepNext/>
        <w:keepLines/>
        <w:numPr>
          <w:ilvl w:val="0"/>
          <w:numId w:val="1"/>
        </w:numPr>
        <w:tabs>
          <w:tab w:val="right" w:pos="851"/>
        </w:tabs>
        <w:spacing w:line="276" w:lineRule="auto"/>
        <w:ind w:left="0" w:hanging="2"/>
        <w:jc w:val="both"/>
        <w:rPr>
          <w:sz w:val="22"/>
          <w:szCs w:val="22"/>
        </w:rPr>
      </w:pPr>
      <w:r>
        <w:rPr>
          <w:rFonts w:ascii="Arial" w:eastAsia="Arial" w:hAnsi="Arial" w:cs="Arial"/>
          <w:sz w:val="22"/>
          <w:szCs w:val="22"/>
        </w:rPr>
        <w:t xml:space="preserve">The CHRP condemned the brutal killing of </w:t>
      </w:r>
      <w:proofErr w:type="spellStart"/>
      <w:r>
        <w:rPr>
          <w:rFonts w:ascii="Arial" w:eastAsia="Arial" w:hAnsi="Arial" w:cs="Arial"/>
          <w:sz w:val="22"/>
          <w:szCs w:val="22"/>
        </w:rPr>
        <w:t>Jullebee</w:t>
      </w:r>
      <w:proofErr w:type="spellEnd"/>
      <w:r>
        <w:rPr>
          <w:rFonts w:ascii="Arial" w:eastAsia="Arial" w:hAnsi="Arial" w:cs="Arial"/>
          <w:sz w:val="22"/>
          <w:szCs w:val="22"/>
        </w:rPr>
        <w:t xml:space="preserve"> </w:t>
      </w:r>
      <w:proofErr w:type="spellStart"/>
      <w:r>
        <w:rPr>
          <w:rFonts w:ascii="Arial" w:eastAsia="Arial" w:hAnsi="Arial" w:cs="Arial"/>
          <w:sz w:val="22"/>
          <w:szCs w:val="22"/>
        </w:rPr>
        <w:t>Ranara</w:t>
      </w:r>
      <w:proofErr w:type="spellEnd"/>
      <w:r>
        <w:rPr>
          <w:rFonts w:ascii="Arial" w:eastAsia="Arial" w:hAnsi="Arial" w:cs="Arial"/>
          <w:sz w:val="22"/>
          <w:szCs w:val="22"/>
        </w:rPr>
        <w:t xml:space="preserve">, a Filipina migrant worker based in Kuwait. On 22 January 2023, Kuwaiti media reported that </w:t>
      </w:r>
      <w:proofErr w:type="spellStart"/>
      <w:r>
        <w:rPr>
          <w:rFonts w:ascii="Arial" w:eastAsia="Arial" w:hAnsi="Arial" w:cs="Arial"/>
          <w:sz w:val="22"/>
          <w:szCs w:val="22"/>
        </w:rPr>
        <w:t>Jullebee’s</w:t>
      </w:r>
      <w:proofErr w:type="spellEnd"/>
      <w:r>
        <w:rPr>
          <w:rFonts w:ascii="Arial" w:eastAsia="Arial" w:hAnsi="Arial" w:cs="Arial"/>
          <w:sz w:val="22"/>
          <w:szCs w:val="22"/>
        </w:rPr>
        <w:t xml:space="preserve"> burnt remains were found in the desert. The initial investigation report of local Kuwait authorities revealed that the suspect was a 17-year-old who is now in their custody. CHRP joins the DMW in monitoring the progress of this case and echoed the calls for the swift dispensation of justice against the perpetrator. The Commission acknowledged the swift action of DMW, through Secretary Susan Ople, who met with </w:t>
      </w:r>
      <w:proofErr w:type="spellStart"/>
      <w:r>
        <w:rPr>
          <w:rFonts w:ascii="Arial" w:eastAsia="Arial" w:hAnsi="Arial" w:cs="Arial"/>
          <w:sz w:val="22"/>
          <w:szCs w:val="22"/>
        </w:rPr>
        <w:t>Jullebee’s</w:t>
      </w:r>
      <w:proofErr w:type="spellEnd"/>
      <w:r>
        <w:rPr>
          <w:rFonts w:ascii="Arial" w:eastAsia="Arial" w:hAnsi="Arial" w:cs="Arial"/>
          <w:sz w:val="22"/>
          <w:szCs w:val="22"/>
        </w:rPr>
        <w:t xml:space="preserve"> family and guaranteed necessary assistance from the government.</w:t>
      </w:r>
      <w:r>
        <w:rPr>
          <w:rFonts w:ascii="Arial" w:eastAsia="Arial" w:hAnsi="Arial" w:cs="Arial"/>
          <w:sz w:val="22"/>
          <w:szCs w:val="22"/>
          <w:vertAlign w:val="superscript"/>
        </w:rPr>
        <w:footnoteReference w:id="10"/>
      </w:r>
    </w:p>
    <w:p w14:paraId="5748A702" w14:textId="77777777" w:rsidR="00F3320D" w:rsidRPr="00F3320D" w:rsidRDefault="00F3320D" w:rsidP="00F3320D">
      <w:pPr>
        <w:keepNext/>
        <w:keepLines/>
        <w:tabs>
          <w:tab w:val="right" w:pos="851"/>
        </w:tabs>
        <w:spacing w:line="276" w:lineRule="auto"/>
        <w:ind w:leftChars="0" w:left="0" w:firstLineChars="0" w:firstLine="0"/>
        <w:jc w:val="both"/>
        <w:rPr>
          <w:sz w:val="22"/>
          <w:szCs w:val="22"/>
        </w:rPr>
      </w:pPr>
    </w:p>
    <w:p w14:paraId="09DB9573" w14:textId="5298B5F2" w:rsidR="000E3000" w:rsidRPr="00F3320D" w:rsidRDefault="00F3320D" w:rsidP="00F3320D">
      <w:pPr>
        <w:keepNext/>
        <w:keepLines/>
        <w:numPr>
          <w:ilvl w:val="0"/>
          <w:numId w:val="1"/>
        </w:numPr>
        <w:tabs>
          <w:tab w:val="right" w:pos="851"/>
        </w:tabs>
        <w:spacing w:line="276" w:lineRule="auto"/>
        <w:ind w:left="0" w:hanging="2"/>
        <w:jc w:val="both"/>
        <w:rPr>
          <w:rFonts w:ascii="Arial" w:hAnsi="Arial" w:cs="Arial"/>
          <w:sz w:val="22"/>
          <w:szCs w:val="22"/>
        </w:rPr>
      </w:pPr>
      <w:r w:rsidRPr="00F3320D">
        <w:rPr>
          <w:rFonts w:ascii="Arial" w:eastAsia="Arial" w:hAnsi="Arial" w:cs="Arial"/>
          <w:sz w:val="22"/>
          <w:szCs w:val="22"/>
        </w:rPr>
        <w:t xml:space="preserve"> Sixty-five overseas Filipino workers (OFWs) are on death row,</w:t>
      </w:r>
      <w:r w:rsidRPr="00F3320D">
        <w:rPr>
          <w:rFonts w:ascii="Arial" w:eastAsia="Arial" w:hAnsi="Arial" w:cs="Arial"/>
          <w:sz w:val="22"/>
          <w:szCs w:val="22"/>
          <w:vertAlign w:val="superscript"/>
        </w:rPr>
        <w:footnoteReference w:id="11"/>
      </w:r>
      <w:r w:rsidRPr="00F3320D">
        <w:rPr>
          <w:rFonts w:ascii="Arial" w:eastAsia="Arial" w:hAnsi="Arial" w:cs="Arial"/>
          <w:sz w:val="22"/>
          <w:szCs w:val="22"/>
        </w:rPr>
        <w:t xml:space="preserve"> with women migrant workers disproportionately and discriminately disadvantaged by way of gender and migrant status can place women OFWs in precarious positions with respect to their employment. Egregious and unsafe working conditions place women OFWs at risk of physical, sexual, and emotional abuse by their employers. In countries that retain the death penalty, this culture of </w:t>
      </w:r>
      <w:proofErr w:type="spellStart"/>
      <w:r w:rsidRPr="00F3320D">
        <w:rPr>
          <w:rFonts w:ascii="Arial" w:eastAsia="Arial" w:hAnsi="Arial" w:cs="Arial"/>
          <w:sz w:val="22"/>
          <w:szCs w:val="22"/>
        </w:rPr>
        <w:t>labor</w:t>
      </w:r>
      <w:proofErr w:type="spellEnd"/>
      <w:r w:rsidRPr="00F3320D">
        <w:rPr>
          <w:rFonts w:ascii="Arial" w:eastAsia="Arial" w:hAnsi="Arial" w:cs="Arial"/>
          <w:sz w:val="22"/>
          <w:szCs w:val="22"/>
        </w:rPr>
        <w:t xml:space="preserve"> rights abuse and exploitation is especially dangerous, and may contribute to women OFWs inadvertently and forcibly committing crimes, either in </w:t>
      </w:r>
      <w:proofErr w:type="spellStart"/>
      <w:r w:rsidRPr="00F3320D">
        <w:rPr>
          <w:rFonts w:ascii="Arial" w:eastAsia="Arial" w:hAnsi="Arial" w:cs="Arial"/>
          <w:sz w:val="22"/>
          <w:szCs w:val="22"/>
        </w:rPr>
        <w:t>self-defense</w:t>
      </w:r>
      <w:proofErr w:type="spellEnd"/>
      <w:r w:rsidRPr="00F3320D">
        <w:rPr>
          <w:rFonts w:ascii="Arial" w:eastAsia="Arial" w:hAnsi="Arial" w:cs="Arial"/>
          <w:sz w:val="22"/>
          <w:szCs w:val="22"/>
        </w:rPr>
        <w:t xml:space="preserve"> or as a result of human trafficking. With regard to offenses committed in the course of employment, poverty, low literacy, and cultural barriers may preclude women OFWs from obtaining a fair capital trial, as they will often lack the resources and education to adequately defend their case. This has already resulted in women OFWs being sentenced to death, thereby trapping them in a foreign legal system they may struggle to understand.</w:t>
      </w:r>
      <w:r w:rsidRPr="00F3320D">
        <w:rPr>
          <w:rFonts w:ascii="Arial" w:eastAsia="Arial" w:hAnsi="Arial" w:cs="Arial"/>
          <w:sz w:val="22"/>
          <w:szCs w:val="22"/>
          <w:vertAlign w:val="superscript"/>
        </w:rPr>
        <w:footnoteReference w:id="12"/>
      </w:r>
    </w:p>
    <w:p w14:paraId="48011041" w14:textId="77777777" w:rsidR="000E3000" w:rsidRDefault="000E3000">
      <w:pPr>
        <w:keepNext/>
        <w:keepLines/>
        <w:tabs>
          <w:tab w:val="right" w:pos="851"/>
        </w:tabs>
        <w:spacing w:line="276" w:lineRule="auto"/>
        <w:ind w:left="0" w:hanging="2"/>
        <w:jc w:val="both"/>
        <w:rPr>
          <w:rFonts w:ascii="Arial" w:eastAsia="Arial" w:hAnsi="Arial" w:cs="Arial"/>
          <w:sz w:val="22"/>
          <w:szCs w:val="22"/>
        </w:rPr>
      </w:pPr>
    </w:p>
    <w:p w14:paraId="6BD95F48" w14:textId="77777777" w:rsidR="000E3000" w:rsidRDefault="00000000">
      <w:pPr>
        <w:keepNext/>
        <w:keepLines/>
        <w:numPr>
          <w:ilvl w:val="0"/>
          <w:numId w:val="1"/>
        </w:numPr>
        <w:tabs>
          <w:tab w:val="right" w:pos="851"/>
        </w:tabs>
        <w:spacing w:line="276" w:lineRule="auto"/>
        <w:ind w:left="0" w:hanging="2"/>
        <w:jc w:val="both"/>
        <w:rPr>
          <w:sz w:val="22"/>
          <w:szCs w:val="22"/>
        </w:rPr>
      </w:pPr>
      <w:r>
        <w:rPr>
          <w:rFonts w:ascii="Arial" w:eastAsia="Arial" w:hAnsi="Arial" w:cs="Arial"/>
          <w:sz w:val="22"/>
          <w:szCs w:val="22"/>
        </w:rPr>
        <w:t>Mary Jane Veloso, an OFW sentenced to death in 2010 for trafficking heroin into Indonesia, represents one notable example. Importantly, her status as a woman migrant worker not only made her susceptible to alleged human trafficking by her recruiters, but hindered her ability to meaningfully advocate for herself during proceedings, and was a factor which ultimately bore upon her sentence.</w:t>
      </w:r>
      <w:r>
        <w:rPr>
          <w:rFonts w:ascii="Arial" w:eastAsia="Arial" w:hAnsi="Arial" w:cs="Arial"/>
          <w:sz w:val="22"/>
          <w:szCs w:val="22"/>
          <w:vertAlign w:val="superscript"/>
        </w:rPr>
        <w:footnoteReference w:id="13"/>
      </w:r>
      <w:r>
        <w:rPr>
          <w:rFonts w:ascii="Arial" w:eastAsia="Arial" w:hAnsi="Arial" w:cs="Arial"/>
          <w:sz w:val="22"/>
          <w:szCs w:val="22"/>
        </w:rPr>
        <w:t xml:space="preserve"> She continues to be incarcerated in the penal system of Indonesia for over ten years. </w:t>
      </w:r>
    </w:p>
    <w:p w14:paraId="0D294CEA" w14:textId="77777777" w:rsidR="000E3000" w:rsidRDefault="000E3000">
      <w:pPr>
        <w:keepNext/>
        <w:keepLines/>
        <w:tabs>
          <w:tab w:val="right" w:pos="851"/>
        </w:tabs>
        <w:spacing w:line="276" w:lineRule="auto"/>
        <w:ind w:left="0" w:hanging="2"/>
        <w:jc w:val="both"/>
        <w:rPr>
          <w:rFonts w:ascii="Arial" w:eastAsia="Arial" w:hAnsi="Arial" w:cs="Arial"/>
          <w:sz w:val="22"/>
          <w:szCs w:val="22"/>
        </w:rPr>
      </w:pPr>
    </w:p>
    <w:p w14:paraId="047854F3" w14:textId="77777777" w:rsidR="000E3000" w:rsidRDefault="00000000">
      <w:pPr>
        <w:keepNext/>
        <w:keepLines/>
        <w:numPr>
          <w:ilvl w:val="0"/>
          <w:numId w:val="1"/>
        </w:numPr>
        <w:tabs>
          <w:tab w:val="right" w:pos="851"/>
        </w:tabs>
        <w:spacing w:line="276" w:lineRule="auto"/>
        <w:ind w:left="0" w:hanging="2"/>
        <w:jc w:val="both"/>
        <w:rPr>
          <w:rFonts w:ascii="Arial" w:eastAsia="Arial" w:hAnsi="Arial" w:cs="Arial"/>
          <w:sz w:val="22"/>
          <w:szCs w:val="22"/>
        </w:rPr>
      </w:pPr>
      <w:r>
        <w:rPr>
          <w:rFonts w:ascii="Arial" w:eastAsia="Arial" w:hAnsi="Arial" w:cs="Arial"/>
          <w:sz w:val="22"/>
          <w:szCs w:val="22"/>
        </w:rPr>
        <w:t>The CHRP requests the CMW to recommend to the State Party a more organized, coordinated, adequately-staffed access to justice mechanisms with well-informed personnel in the POLOs, MRCs and Embassies. While the efforts of the embassies, POLOs and consular services are recognized, further awareness raising and information and education campaigns on where and how to access support and services are essential for OFWs and their families. It is hoped that once the DMW is fully operational, the systemic or structural issues confronted by members of their families can be more effectively addressed.</w:t>
      </w:r>
    </w:p>
    <w:p w14:paraId="175F9AA3" w14:textId="77777777" w:rsidR="000E3000" w:rsidRDefault="000E3000">
      <w:pPr>
        <w:keepNext/>
        <w:keepLines/>
        <w:tabs>
          <w:tab w:val="right" w:pos="851"/>
        </w:tabs>
        <w:spacing w:line="276" w:lineRule="auto"/>
        <w:ind w:left="0" w:hanging="2"/>
        <w:jc w:val="both"/>
        <w:rPr>
          <w:rFonts w:ascii="Arial" w:eastAsia="Arial" w:hAnsi="Arial" w:cs="Arial"/>
          <w:sz w:val="22"/>
          <w:szCs w:val="22"/>
        </w:rPr>
      </w:pPr>
    </w:p>
    <w:p w14:paraId="49BC2712" w14:textId="77777777" w:rsidR="000E3000" w:rsidRDefault="00000000">
      <w:pPr>
        <w:keepNext/>
        <w:keepLines/>
        <w:numPr>
          <w:ilvl w:val="0"/>
          <w:numId w:val="1"/>
        </w:numPr>
        <w:tabs>
          <w:tab w:val="right" w:pos="851"/>
        </w:tabs>
        <w:spacing w:line="276" w:lineRule="auto"/>
        <w:ind w:left="0" w:hanging="2"/>
        <w:jc w:val="both"/>
        <w:rPr>
          <w:rFonts w:ascii="Arial" w:eastAsia="Arial" w:hAnsi="Arial" w:cs="Arial"/>
          <w:sz w:val="22"/>
          <w:szCs w:val="22"/>
        </w:rPr>
      </w:pPr>
      <w:r>
        <w:rPr>
          <w:rFonts w:ascii="Arial" w:eastAsia="Arial" w:hAnsi="Arial" w:cs="Arial"/>
          <w:sz w:val="22"/>
          <w:szCs w:val="22"/>
        </w:rPr>
        <w:lastRenderedPageBreak/>
        <w:t>CHRP continues to urge the Philippine government to “reflect and adopt the necessary reforms to strengthen and uphold the rights of migrant workers, especially those working as domestic workers,” following the death of seven overseas Filipino workers (OFWs) also in Kuwait (</w:t>
      </w:r>
      <w:hyperlink r:id="rId13">
        <w:r>
          <w:rPr>
            <w:rFonts w:ascii="Arial" w:eastAsia="Arial" w:hAnsi="Arial" w:cs="Arial"/>
            <w:color w:val="1155CC"/>
            <w:sz w:val="22"/>
            <w:szCs w:val="22"/>
            <w:u w:val="single"/>
          </w:rPr>
          <w:t>https://bit.ly/3D5Y1DG</w:t>
        </w:r>
      </w:hyperlink>
      <w:r>
        <w:rPr>
          <w:rFonts w:ascii="Arial" w:eastAsia="Arial" w:hAnsi="Arial" w:cs="Arial"/>
          <w:sz w:val="22"/>
          <w:szCs w:val="22"/>
        </w:rPr>
        <w:t>). CHRP reiterates its support for the development of mechanisms in collaboration with government and civil society to forward migrant workers’ welfare and dignity. Common approaches such as information sharing, access to legal aid, and quick response protocols are of immense help to OFWs especially when faced with threatening circumstances.</w:t>
      </w:r>
      <w:r>
        <w:rPr>
          <w:rFonts w:ascii="Arial" w:eastAsia="Arial" w:hAnsi="Arial" w:cs="Arial"/>
          <w:sz w:val="22"/>
          <w:szCs w:val="22"/>
          <w:vertAlign w:val="superscript"/>
        </w:rPr>
        <w:footnoteReference w:id="14"/>
      </w:r>
    </w:p>
    <w:p w14:paraId="5233BECC" w14:textId="77777777" w:rsidR="000E3000" w:rsidRDefault="000E3000">
      <w:pPr>
        <w:keepNext/>
        <w:keepLines/>
        <w:tabs>
          <w:tab w:val="right" w:pos="851"/>
        </w:tabs>
        <w:spacing w:line="276" w:lineRule="auto"/>
        <w:ind w:left="0" w:hanging="2"/>
        <w:jc w:val="both"/>
        <w:rPr>
          <w:rFonts w:ascii="Arial" w:eastAsia="Arial" w:hAnsi="Arial" w:cs="Arial"/>
          <w:sz w:val="22"/>
          <w:szCs w:val="22"/>
        </w:rPr>
      </w:pPr>
    </w:p>
    <w:p w14:paraId="262B691C" w14:textId="77777777" w:rsidR="000E3000" w:rsidRDefault="00000000">
      <w:pPr>
        <w:keepNext/>
        <w:keepLines/>
        <w:numPr>
          <w:ilvl w:val="0"/>
          <w:numId w:val="1"/>
        </w:numPr>
        <w:tabs>
          <w:tab w:val="right" w:pos="851"/>
        </w:tabs>
        <w:spacing w:line="276" w:lineRule="auto"/>
        <w:ind w:left="0" w:hanging="2"/>
        <w:jc w:val="both"/>
        <w:rPr>
          <w:rFonts w:ascii="Arial" w:eastAsia="Arial" w:hAnsi="Arial" w:cs="Arial"/>
          <w:sz w:val="22"/>
          <w:szCs w:val="22"/>
        </w:rPr>
      </w:pPr>
      <w:r>
        <w:rPr>
          <w:rFonts w:ascii="Arial" w:eastAsia="Arial" w:hAnsi="Arial" w:cs="Arial"/>
          <w:sz w:val="22"/>
          <w:szCs w:val="22"/>
        </w:rPr>
        <w:t xml:space="preserve">Finally, the CHRP requests the State Party to continue its diplomatic talks with the Indonesian government with regard to the clemency for Mary Jane Veloso, and allow her deposition to be delivered via </w:t>
      </w:r>
      <w:proofErr w:type="spellStart"/>
      <w:r>
        <w:rPr>
          <w:rFonts w:ascii="Arial" w:eastAsia="Arial" w:hAnsi="Arial" w:cs="Arial"/>
          <w:sz w:val="22"/>
          <w:szCs w:val="22"/>
        </w:rPr>
        <w:t>videolink</w:t>
      </w:r>
      <w:proofErr w:type="spellEnd"/>
      <w:r>
        <w:rPr>
          <w:rFonts w:ascii="Arial" w:eastAsia="Arial" w:hAnsi="Arial" w:cs="Arial"/>
          <w:sz w:val="22"/>
          <w:szCs w:val="22"/>
        </w:rPr>
        <w:t xml:space="preserve"> in coordination with the Indonesian government. The Philippines can be guided by the CHRP's advisory on providing video-link evidence in court proceedings in the Philippines. Testimony via video-link is permitted in domestic law and should be widely accepted for vulnerable witnesses. This would not undermine fair trial procedures as technological advances would allow those accused to confront and cross-examine witnesses.</w:t>
      </w:r>
      <w:r>
        <w:rPr>
          <w:rFonts w:ascii="Arial" w:eastAsia="Arial" w:hAnsi="Arial" w:cs="Arial"/>
          <w:sz w:val="22"/>
          <w:szCs w:val="22"/>
          <w:vertAlign w:val="superscript"/>
        </w:rPr>
        <w:footnoteReference w:id="15"/>
      </w:r>
    </w:p>
    <w:p w14:paraId="6A6C1835" w14:textId="77777777" w:rsidR="000E3000" w:rsidRDefault="000E3000">
      <w:pPr>
        <w:keepNext/>
        <w:keepLines/>
        <w:tabs>
          <w:tab w:val="right" w:pos="851"/>
        </w:tabs>
        <w:spacing w:line="276" w:lineRule="auto"/>
        <w:ind w:left="0" w:hanging="2"/>
        <w:jc w:val="both"/>
        <w:rPr>
          <w:rFonts w:ascii="Arial" w:eastAsia="Arial" w:hAnsi="Arial" w:cs="Arial"/>
          <w:sz w:val="22"/>
          <w:szCs w:val="22"/>
        </w:rPr>
      </w:pPr>
    </w:p>
    <w:p w14:paraId="4FE99C91" w14:textId="77777777" w:rsidR="000E3000" w:rsidRDefault="00000000">
      <w:pPr>
        <w:keepNext/>
        <w:keepLines/>
        <w:tabs>
          <w:tab w:val="right" w:pos="851"/>
        </w:tabs>
        <w:spacing w:line="276" w:lineRule="auto"/>
        <w:ind w:left="0" w:hanging="2"/>
        <w:jc w:val="both"/>
        <w:rPr>
          <w:rFonts w:ascii="Arial" w:eastAsia="Arial" w:hAnsi="Arial" w:cs="Arial"/>
          <w:b/>
          <w:sz w:val="22"/>
          <w:szCs w:val="22"/>
        </w:rPr>
      </w:pPr>
      <w:r>
        <w:rPr>
          <w:rFonts w:ascii="Arial" w:eastAsia="Arial" w:hAnsi="Arial" w:cs="Arial"/>
          <w:b/>
          <w:sz w:val="22"/>
          <w:szCs w:val="22"/>
        </w:rPr>
        <w:tab/>
      </w:r>
      <w:r>
        <w:rPr>
          <w:rFonts w:ascii="Arial" w:eastAsia="Arial" w:hAnsi="Arial" w:cs="Arial"/>
          <w:b/>
          <w:sz w:val="22"/>
          <w:szCs w:val="22"/>
        </w:rPr>
        <w:tab/>
      </w:r>
    </w:p>
    <w:p w14:paraId="5028556B" w14:textId="77777777" w:rsidR="000E3000" w:rsidRDefault="00000000">
      <w:pPr>
        <w:keepNext/>
        <w:keepLines/>
        <w:tabs>
          <w:tab w:val="right" w:pos="851"/>
        </w:tabs>
        <w:spacing w:line="276" w:lineRule="auto"/>
        <w:ind w:left="0" w:hanging="2"/>
        <w:jc w:val="both"/>
        <w:rPr>
          <w:rFonts w:ascii="Arial" w:eastAsia="Arial" w:hAnsi="Arial" w:cs="Arial"/>
          <w:b/>
          <w:sz w:val="22"/>
          <w:szCs w:val="22"/>
        </w:rPr>
      </w:pPr>
      <w:r>
        <w:rPr>
          <w:rFonts w:ascii="Arial" w:eastAsia="Arial" w:hAnsi="Arial" w:cs="Arial"/>
          <w:b/>
          <w:sz w:val="22"/>
          <w:szCs w:val="22"/>
        </w:rPr>
        <w:tab/>
      </w:r>
      <w:r>
        <w:rPr>
          <w:rFonts w:ascii="Arial" w:eastAsia="Arial" w:hAnsi="Arial" w:cs="Arial"/>
          <w:b/>
          <w:sz w:val="22"/>
          <w:szCs w:val="22"/>
        </w:rPr>
        <w:tab/>
        <w:t>D. Experiences amid the COVID-19 pandemic</w:t>
      </w:r>
    </w:p>
    <w:p w14:paraId="3661D58B" w14:textId="77777777" w:rsidR="000E3000" w:rsidRDefault="000E3000">
      <w:pPr>
        <w:spacing w:line="259" w:lineRule="auto"/>
        <w:ind w:left="0" w:hanging="2"/>
        <w:jc w:val="both"/>
        <w:rPr>
          <w:rFonts w:ascii="Arial" w:eastAsia="Arial" w:hAnsi="Arial" w:cs="Arial"/>
          <w:sz w:val="22"/>
          <w:szCs w:val="22"/>
        </w:rPr>
      </w:pPr>
    </w:p>
    <w:p w14:paraId="624A1002" w14:textId="77777777" w:rsidR="000E3000" w:rsidRDefault="00000000">
      <w:pPr>
        <w:numPr>
          <w:ilvl w:val="0"/>
          <w:numId w:val="1"/>
        </w:numPr>
        <w:ind w:left="0" w:hanging="2"/>
        <w:jc w:val="both"/>
        <w:rPr>
          <w:sz w:val="22"/>
          <w:szCs w:val="22"/>
        </w:rPr>
      </w:pPr>
      <w:r>
        <w:rPr>
          <w:rFonts w:ascii="Arial" w:eastAsia="Arial" w:hAnsi="Arial" w:cs="Arial"/>
          <w:sz w:val="22"/>
          <w:szCs w:val="22"/>
          <w:highlight w:val="white"/>
        </w:rPr>
        <w:t xml:space="preserve">The COVID-19 pandemic has greatly impacted OFWs and their families, and like many migrant workers around the world, they have also experienced challenges and abuses against their human rights in the midst of global, transborder and national responses and restrictions imposed by governments. </w:t>
      </w:r>
    </w:p>
    <w:p w14:paraId="4E5506C0" w14:textId="77777777" w:rsidR="000E3000" w:rsidRDefault="000E3000">
      <w:pPr>
        <w:ind w:left="0" w:hanging="2"/>
        <w:jc w:val="both"/>
        <w:rPr>
          <w:rFonts w:ascii="Arial" w:eastAsia="Arial" w:hAnsi="Arial" w:cs="Arial"/>
          <w:sz w:val="22"/>
          <w:szCs w:val="22"/>
          <w:highlight w:val="white"/>
        </w:rPr>
      </w:pPr>
    </w:p>
    <w:p w14:paraId="2EF0CE6A" w14:textId="77777777" w:rsidR="000E3000" w:rsidRDefault="00000000">
      <w:pPr>
        <w:numPr>
          <w:ilvl w:val="0"/>
          <w:numId w:val="1"/>
        </w:numPr>
        <w:ind w:left="0" w:hanging="2"/>
        <w:jc w:val="both"/>
        <w:rPr>
          <w:sz w:val="22"/>
          <w:szCs w:val="22"/>
          <w:highlight w:val="white"/>
        </w:rPr>
      </w:pPr>
      <w:r>
        <w:rPr>
          <w:rFonts w:ascii="Arial" w:eastAsia="Arial" w:hAnsi="Arial" w:cs="Arial"/>
          <w:color w:val="212529"/>
          <w:sz w:val="22"/>
          <w:szCs w:val="22"/>
          <w:highlight w:val="white"/>
        </w:rPr>
        <w:t xml:space="preserve">In a research study entitled “Community of Care Amid Pandemic Inequality: The Case of Filipino Migrant Domestic Workers in the UK, Italy, and Hong Kong,” challenges due to pandemic such as structural inequalities brought about by their status as migrants and the ways their essential </w:t>
      </w:r>
      <w:proofErr w:type="spellStart"/>
      <w:r>
        <w:rPr>
          <w:rFonts w:ascii="Arial" w:eastAsia="Arial" w:hAnsi="Arial" w:cs="Arial"/>
          <w:color w:val="212529"/>
          <w:sz w:val="22"/>
          <w:szCs w:val="22"/>
          <w:highlight w:val="white"/>
        </w:rPr>
        <w:t>labor</w:t>
      </w:r>
      <w:proofErr w:type="spellEnd"/>
      <w:r>
        <w:rPr>
          <w:rFonts w:ascii="Arial" w:eastAsia="Arial" w:hAnsi="Arial" w:cs="Arial"/>
          <w:color w:val="212529"/>
          <w:sz w:val="22"/>
          <w:szCs w:val="22"/>
          <w:highlight w:val="white"/>
        </w:rPr>
        <w:t xml:space="preserve"> is denigrated and devalued in three host countries were reported by Filipino Migrant Domestic Workers (FMDW) in Asia and Europe.</w:t>
      </w:r>
      <w:r>
        <w:rPr>
          <w:rFonts w:ascii="Arial" w:eastAsia="Arial" w:hAnsi="Arial" w:cs="Arial"/>
          <w:color w:val="212529"/>
          <w:sz w:val="22"/>
          <w:szCs w:val="22"/>
          <w:highlight w:val="white"/>
          <w:vertAlign w:val="superscript"/>
        </w:rPr>
        <w:footnoteReference w:id="16"/>
      </w:r>
    </w:p>
    <w:p w14:paraId="672B8A1A" w14:textId="77777777" w:rsidR="000E3000" w:rsidRDefault="000E3000">
      <w:pPr>
        <w:ind w:left="0" w:hanging="2"/>
        <w:jc w:val="both"/>
        <w:rPr>
          <w:rFonts w:ascii="Arial" w:eastAsia="Arial" w:hAnsi="Arial" w:cs="Arial"/>
          <w:sz w:val="22"/>
          <w:szCs w:val="22"/>
          <w:highlight w:val="white"/>
        </w:rPr>
      </w:pPr>
    </w:p>
    <w:p w14:paraId="0C5E003C" w14:textId="77777777" w:rsidR="000E3000" w:rsidRDefault="00000000">
      <w:pPr>
        <w:numPr>
          <w:ilvl w:val="0"/>
          <w:numId w:val="1"/>
        </w:numPr>
        <w:spacing w:after="200"/>
        <w:ind w:left="0" w:hanging="2"/>
        <w:jc w:val="both"/>
        <w:rPr>
          <w:sz w:val="22"/>
          <w:szCs w:val="22"/>
          <w:highlight w:val="white"/>
        </w:rPr>
      </w:pPr>
      <w:r>
        <w:rPr>
          <w:rFonts w:ascii="Arial" w:eastAsia="Arial" w:hAnsi="Arial" w:cs="Arial"/>
          <w:sz w:val="22"/>
          <w:szCs w:val="22"/>
        </w:rPr>
        <w:t xml:space="preserve">In response to the pandemic, the Philippine Congress passed two laws known as the </w:t>
      </w:r>
      <w:proofErr w:type="spellStart"/>
      <w:r>
        <w:rPr>
          <w:rFonts w:ascii="Arial" w:eastAsia="Arial" w:hAnsi="Arial" w:cs="Arial"/>
          <w:sz w:val="22"/>
          <w:szCs w:val="22"/>
        </w:rPr>
        <w:t>Bayanihan</w:t>
      </w:r>
      <w:proofErr w:type="spellEnd"/>
      <w:r>
        <w:rPr>
          <w:rFonts w:ascii="Arial" w:eastAsia="Arial" w:hAnsi="Arial" w:cs="Arial"/>
          <w:sz w:val="22"/>
          <w:szCs w:val="22"/>
        </w:rPr>
        <w:t xml:space="preserve"> to Heal as One Act (RA 11469)</w:t>
      </w:r>
      <w:r>
        <w:rPr>
          <w:rFonts w:ascii="Arial" w:eastAsia="Arial" w:hAnsi="Arial" w:cs="Arial"/>
          <w:sz w:val="22"/>
          <w:szCs w:val="22"/>
          <w:vertAlign w:val="superscript"/>
        </w:rPr>
        <w:footnoteReference w:id="17"/>
      </w:r>
      <w:r>
        <w:rPr>
          <w:rFonts w:ascii="Arial" w:eastAsia="Arial" w:hAnsi="Arial" w:cs="Arial"/>
          <w:sz w:val="22"/>
          <w:szCs w:val="22"/>
        </w:rPr>
        <w:t xml:space="preserve"> and the </w:t>
      </w:r>
      <w:proofErr w:type="spellStart"/>
      <w:r>
        <w:rPr>
          <w:rFonts w:ascii="Arial" w:eastAsia="Arial" w:hAnsi="Arial" w:cs="Arial"/>
          <w:sz w:val="22"/>
          <w:szCs w:val="22"/>
        </w:rPr>
        <w:t>Bayanihan</w:t>
      </w:r>
      <w:proofErr w:type="spellEnd"/>
      <w:r>
        <w:rPr>
          <w:rFonts w:ascii="Arial" w:eastAsia="Arial" w:hAnsi="Arial" w:cs="Arial"/>
          <w:sz w:val="22"/>
          <w:szCs w:val="22"/>
        </w:rPr>
        <w:t xml:space="preserve"> to Recover as One Act (RA 11494),</w:t>
      </w:r>
      <w:r>
        <w:rPr>
          <w:rFonts w:ascii="Arial" w:eastAsia="Arial" w:hAnsi="Arial" w:cs="Arial"/>
          <w:sz w:val="22"/>
          <w:szCs w:val="22"/>
          <w:vertAlign w:val="superscript"/>
        </w:rPr>
        <w:footnoteReference w:id="18"/>
      </w:r>
      <w:r>
        <w:rPr>
          <w:rFonts w:ascii="Arial" w:eastAsia="Arial" w:hAnsi="Arial" w:cs="Arial"/>
          <w:sz w:val="22"/>
          <w:szCs w:val="22"/>
        </w:rPr>
        <w:t xml:space="preserve"> which enabled migrant-serving agencies to immediately address OFs’ needs. </w:t>
      </w:r>
    </w:p>
    <w:p w14:paraId="0D3BA9C9" w14:textId="77777777" w:rsidR="000E3000" w:rsidRDefault="00000000">
      <w:pPr>
        <w:numPr>
          <w:ilvl w:val="0"/>
          <w:numId w:val="1"/>
        </w:numPr>
        <w:spacing w:after="160" w:line="259" w:lineRule="auto"/>
        <w:ind w:left="0" w:hanging="2"/>
        <w:jc w:val="both"/>
        <w:rPr>
          <w:sz w:val="22"/>
          <w:szCs w:val="22"/>
        </w:rPr>
      </w:pPr>
      <w:r>
        <w:rPr>
          <w:rFonts w:ascii="Arial" w:eastAsia="Arial" w:hAnsi="Arial" w:cs="Arial"/>
          <w:sz w:val="22"/>
          <w:szCs w:val="22"/>
        </w:rPr>
        <w:lastRenderedPageBreak/>
        <w:t xml:space="preserve">In October 2020, an omnibus health guideline was issued as well for foreign nationals. During the pandemic, refugees, stateless persons and asylum-seekers were accounted for in the public health services. Some foreigners, including refugees and asylum seekers, have been housed by the DSWD in its residential </w:t>
      </w:r>
      <w:proofErr w:type="spellStart"/>
      <w:r>
        <w:rPr>
          <w:rFonts w:ascii="Arial" w:eastAsia="Arial" w:hAnsi="Arial" w:cs="Arial"/>
          <w:sz w:val="22"/>
          <w:szCs w:val="22"/>
        </w:rPr>
        <w:t>centers</w:t>
      </w:r>
      <w:proofErr w:type="spellEnd"/>
      <w:r>
        <w:rPr>
          <w:rFonts w:ascii="Arial" w:eastAsia="Arial" w:hAnsi="Arial" w:cs="Arial"/>
          <w:sz w:val="22"/>
          <w:szCs w:val="22"/>
        </w:rPr>
        <w:t xml:space="preserve">. While at the </w:t>
      </w:r>
      <w:proofErr w:type="spellStart"/>
      <w:r>
        <w:rPr>
          <w:rFonts w:ascii="Arial" w:eastAsia="Arial" w:hAnsi="Arial" w:cs="Arial"/>
          <w:sz w:val="22"/>
          <w:szCs w:val="22"/>
        </w:rPr>
        <w:t>Center</w:t>
      </w:r>
      <w:proofErr w:type="spellEnd"/>
      <w:r>
        <w:rPr>
          <w:rFonts w:ascii="Arial" w:eastAsia="Arial" w:hAnsi="Arial" w:cs="Arial"/>
          <w:sz w:val="22"/>
          <w:szCs w:val="22"/>
        </w:rPr>
        <w:t xml:space="preserve">, foreign nationals are assisted to seek jobs based on their talents; for those without skills, they are encouraged to participate in skill training that the </w:t>
      </w:r>
      <w:proofErr w:type="spellStart"/>
      <w:r>
        <w:rPr>
          <w:rFonts w:ascii="Arial" w:eastAsia="Arial" w:hAnsi="Arial" w:cs="Arial"/>
          <w:sz w:val="22"/>
          <w:szCs w:val="22"/>
        </w:rPr>
        <w:t>Center</w:t>
      </w:r>
      <w:proofErr w:type="spellEnd"/>
      <w:r>
        <w:rPr>
          <w:rFonts w:ascii="Arial" w:eastAsia="Arial" w:hAnsi="Arial" w:cs="Arial"/>
          <w:sz w:val="22"/>
          <w:szCs w:val="22"/>
        </w:rPr>
        <w:t xml:space="preserve"> organizes together with other residents of the </w:t>
      </w:r>
      <w:proofErr w:type="spellStart"/>
      <w:r>
        <w:rPr>
          <w:rFonts w:ascii="Arial" w:eastAsia="Arial" w:hAnsi="Arial" w:cs="Arial"/>
          <w:sz w:val="22"/>
          <w:szCs w:val="22"/>
        </w:rPr>
        <w:t>Center</w:t>
      </w:r>
      <w:proofErr w:type="spellEnd"/>
      <w:r>
        <w:rPr>
          <w:rFonts w:ascii="Arial" w:eastAsia="Arial" w:hAnsi="Arial" w:cs="Arial"/>
          <w:sz w:val="22"/>
          <w:szCs w:val="22"/>
        </w:rPr>
        <w:t>. Moreover, the Department of Tourism (DOT), Department of Transportation (</w:t>
      </w:r>
      <w:proofErr w:type="spellStart"/>
      <w:r>
        <w:rPr>
          <w:rFonts w:ascii="Arial" w:eastAsia="Arial" w:hAnsi="Arial" w:cs="Arial"/>
          <w:sz w:val="22"/>
          <w:szCs w:val="22"/>
        </w:rPr>
        <w:t>DOTr</w:t>
      </w:r>
      <w:proofErr w:type="spellEnd"/>
      <w:r>
        <w:rPr>
          <w:rFonts w:ascii="Arial" w:eastAsia="Arial" w:hAnsi="Arial" w:cs="Arial"/>
          <w:sz w:val="22"/>
          <w:szCs w:val="22"/>
        </w:rPr>
        <w:t>), Department of Foreign Affairs (DFA) and Department of Interior and Local Government (DILG) scheduled repatriation sweeper flights to assist stranded foreign individuals return to their home countries.</w:t>
      </w:r>
      <w:r>
        <w:rPr>
          <w:rFonts w:ascii="Arial" w:eastAsia="Arial" w:hAnsi="Arial" w:cs="Arial"/>
          <w:sz w:val="22"/>
          <w:szCs w:val="22"/>
          <w:vertAlign w:val="superscript"/>
        </w:rPr>
        <w:footnoteReference w:id="19"/>
      </w:r>
    </w:p>
    <w:p w14:paraId="44ED2909" w14:textId="77777777" w:rsidR="000E3000" w:rsidRDefault="00000000">
      <w:pPr>
        <w:numPr>
          <w:ilvl w:val="0"/>
          <w:numId w:val="1"/>
        </w:numPr>
        <w:spacing w:after="160" w:line="259" w:lineRule="auto"/>
        <w:ind w:left="0" w:hanging="2"/>
        <w:jc w:val="both"/>
        <w:rPr>
          <w:sz w:val="22"/>
          <w:szCs w:val="22"/>
        </w:rPr>
      </w:pPr>
      <w:r>
        <w:rPr>
          <w:rFonts w:ascii="Arial" w:eastAsia="Arial" w:hAnsi="Arial" w:cs="Arial"/>
          <w:sz w:val="22"/>
          <w:szCs w:val="22"/>
        </w:rPr>
        <w:t>The Commission acknowledged the government's programs and initiatives to support OFWs in the midst of the pandemic, including repatriation and reintegration programs as well as financial, economic, and employment support, among others. The Commission calls for continuing engagement and agreements with host countries for the protection and promotion of the rights of Filipino migrant workers as well as continued government programs and policies to establish regularization pathways for qualified but undocumented OFWs.</w:t>
      </w:r>
    </w:p>
    <w:p w14:paraId="594C0DC4" w14:textId="77777777" w:rsidR="000E3000" w:rsidRDefault="000E3000">
      <w:pPr>
        <w:spacing w:line="240" w:lineRule="auto"/>
        <w:ind w:left="0" w:right="567" w:hanging="2"/>
        <w:jc w:val="both"/>
        <w:rPr>
          <w:rFonts w:ascii="Arial" w:eastAsia="Arial" w:hAnsi="Arial" w:cs="Arial"/>
          <w:sz w:val="22"/>
          <w:szCs w:val="22"/>
        </w:rPr>
      </w:pPr>
    </w:p>
    <w:p w14:paraId="55B90DB1" w14:textId="77777777" w:rsidR="000E3000" w:rsidRDefault="00000000">
      <w:pPr>
        <w:spacing w:line="240" w:lineRule="auto"/>
        <w:ind w:left="0" w:right="567" w:hanging="2"/>
        <w:jc w:val="both"/>
        <w:rPr>
          <w:rFonts w:ascii="Arial" w:eastAsia="Arial" w:hAnsi="Arial" w:cs="Arial"/>
          <w:b/>
          <w:sz w:val="22"/>
          <w:szCs w:val="22"/>
        </w:rPr>
      </w:pPr>
      <w:r>
        <w:rPr>
          <w:rFonts w:ascii="Arial" w:eastAsia="Arial" w:hAnsi="Arial" w:cs="Arial"/>
          <w:b/>
          <w:sz w:val="22"/>
          <w:szCs w:val="22"/>
        </w:rPr>
        <w:t>III. Part III of the Convention</w:t>
      </w:r>
    </w:p>
    <w:p w14:paraId="374F11F3" w14:textId="77777777" w:rsidR="000E3000" w:rsidRDefault="000E3000">
      <w:pPr>
        <w:spacing w:line="240" w:lineRule="auto"/>
        <w:ind w:left="0" w:right="567" w:hanging="2"/>
        <w:jc w:val="both"/>
        <w:rPr>
          <w:rFonts w:ascii="Arial" w:eastAsia="Arial" w:hAnsi="Arial" w:cs="Arial"/>
          <w:b/>
          <w:sz w:val="22"/>
          <w:szCs w:val="22"/>
        </w:rPr>
      </w:pPr>
    </w:p>
    <w:p w14:paraId="6F70582A" w14:textId="77777777" w:rsidR="000E3000" w:rsidRDefault="00000000">
      <w:pPr>
        <w:spacing w:line="240" w:lineRule="auto"/>
        <w:ind w:left="0" w:right="567" w:hanging="2"/>
        <w:jc w:val="both"/>
        <w:rPr>
          <w:rFonts w:ascii="Calibri" w:eastAsia="Calibri" w:hAnsi="Calibri" w:cs="Calibri"/>
          <w:sz w:val="24"/>
          <w:szCs w:val="24"/>
        </w:rPr>
      </w:pPr>
      <w:r>
        <w:rPr>
          <w:rFonts w:ascii="Arial" w:eastAsia="Arial" w:hAnsi="Arial" w:cs="Arial"/>
          <w:b/>
          <w:sz w:val="22"/>
          <w:szCs w:val="22"/>
        </w:rPr>
        <w:t>A.  Articles 8-15</w:t>
      </w:r>
    </w:p>
    <w:p w14:paraId="43F328A3" w14:textId="77777777" w:rsidR="000E3000" w:rsidRDefault="00000000">
      <w:pPr>
        <w:numPr>
          <w:ilvl w:val="0"/>
          <w:numId w:val="1"/>
        </w:numPr>
        <w:spacing w:before="240" w:line="276" w:lineRule="auto"/>
        <w:ind w:left="0" w:hanging="2"/>
        <w:jc w:val="both"/>
        <w:rPr>
          <w:sz w:val="22"/>
          <w:szCs w:val="22"/>
        </w:rPr>
      </w:pPr>
      <w:r>
        <w:rPr>
          <w:rFonts w:ascii="Arial" w:eastAsia="Arial" w:hAnsi="Arial" w:cs="Arial"/>
          <w:sz w:val="22"/>
          <w:szCs w:val="22"/>
        </w:rPr>
        <w:t xml:space="preserve">As of March 2022, the Philippines has signed 54 bilateral </w:t>
      </w:r>
      <w:proofErr w:type="spellStart"/>
      <w:r>
        <w:rPr>
          <w:rFonts w:ascii="Arial" w:eastAsia="Arial" w:hAnsi="Arial" w:cs="Arial"/>
          <w:sz w:val="22"/>
          <w:szCs w:val="22"/>
        </w:rPr>
        <w:t>labor</w:t>
      </w:r>
      <w:proofErr w:type="spellEnd"/>
      <w:r>
        <w:rPr>
          <w:rFonts w:ascii="Arial" w:eastAsia="Arial" w:hAnsi="Arial" w:cs="Arial"/>
          <w:sz w:val="22"/>
          <w:szCs w:val="22"/>
        </w:rPr>
        <w:t xml:space="preserve"> agreements (BLAs) and five regional/multilateral agreements aimed at the protection and welfare of OFWs. Of these, five countries (Jordan, Kuwait, Lebanon, Saudi Arabia and UAE) have BLAs with the Philippines as well as specific agreements for the deployment and protection of domestic workers.</w:t>
      </w:r>
      <w:r>
        <w:rPr>
          <w:rFonts w:ascii="Arial" w:eastAsia="Arial" w:hAnsi="Arial" w:cs="Arial"/>
          <w:sz w:val="22"/>
          <w:szCs w:val="22"/>
          <w:vertAlign w:val="superscript"/>
        </w:rPr>
        <w:footnoteReference w:id="20"/>
      </w:r>
    </w:p>
    <w:p w14:paraId="626AC5E9" w14:textId="77777777" w:rsidR="000E3000" w:rsidRDefault="00000000">
      <w:pPr>
        <w:numPr>
          <w:ilvl w:val="0"/>
          <w:numId w:val="1"/>
        </w:numPr>
        <w:spacing w:before="240" w:after="200" w:line="276" w:lineRule="auto"/>
        <w:ind w:left="0" w:hanging="2"/>
        <w:jc w:val="both"/>
        <w:rPr>
          <w:sz w:val="22"/>
          <w:szCs w:val="22"/>
        </w:rPr>
      </w:pPr>
      <w:r>
        <w:rPr>
          <w:rFonts w:ascii="Arial" w:eastAsia="Arial" w:hAnsi="Arial" w:cs="Arial"/>
          <w:sz w:val="22"/>
          <w:szCs w:val="22"/>
        </w:rPr>
        <w:t>China, Germany, Israel, Japan, Korea, Taiwan, and Canada (Yukon) have agreements for the deployment of employees through a government-to-government arrangement with the Philippines.  The Philippines and Israel have specific arrangements as well on the hiring and deployment of caregivers and hotel workers through government-to-government.</w:t>
      </w:r>
      <w:r>
        <w:rPr>
          <w:rFonts w:ascii="Arial" w:eastAsia="Arial" w:hAnsi="Arial" w:cs="Arial"/>
          <w:sz w:val="22"/>
          <w:szCs w:val="22"/>
          <w:vertAlign w:val="superscript"/>
        </w:rPr>
        <w:footnoteReference w:id="21"/>
      </w:r>
    </w:p>
    <w:p w14:paraId="35376D89" w14:textId="77777777" w:rsidR="000E3000" w:rsidRDefault="00000000">
      <w:pPr>
        <w:numPr>
          <w:ilvl w:val="0"/>
          <w:numId w:val="1"/>
        </w:numPr>
        <w:spacing w:before="240" w:after="200" w:line="276" w:lineRule="auto"/>
        <w:ind w:left="0" w:hanging="2"/>
        <w:jc w:val="both"/>
        <w:rPr>
          <w:sz w:val="22"/>
          <w:szCs w:val="22"/>
        </w:rPr>
      </w:pPr>
      <w:r>
        <w:rPr>
          <w:rFonts w:ascii="Arial" w:eastAsia="Arial" w:hAnsi="Arial" w:cs="Arial"/>
          <w:sz w:val="22"/>
          <w:szCs w:val="22"/>
        </w:rPr>
        <w:t xml:space="preserve">The implementation and effectiveness of bilateral </w:t>
      </w:r>
      <w:proofErr w:type="spellStart"/>
      <w:r>
        <w:rPr>
          <w:rFonts w:ascii="Arial" w:eastAsia="Arial" w:hAnsi="Arial" w:cs="Arial"/>
          <w:sz w:val="22"/>
          <w:szCs w:val="22"/>
        </w:rPr>
        <w:t>labor</w:t>
      </w:r>
      <w:proofErr w:type="spellEnd"/>
      <w:r>
        <w:rPr>
          <w:rFonts w:ascii="Arial" w:eastAsia="Arial" w:hAnsi="Arial" w:cs="Arial"/>
          <w:sz w:val="22"/>
          <w:szCs w:val="22"/>
        </w:rPr>
        <w:t xml:space="preserve"> agreements and memoranda of understanding, however, should be monitored and assessed particularly the protection mechanisms that the government declared as the main purpose of such non-binding </w:t>
      </w:r>
      <w:proofErr w:type="spellStart"/>
      <w:r>
        <w:rPr>
          <w:rFonts w:ascii="Arial" w:eastAsia="Arial" w:hAnsi="Arial" w:cs="Arial"/>
          <w:sz w:val="22"/>
          <w:szCs w:val="22"/>
        </w:rPr>
        <w:t>agreements.There</w:t>
      </w:r>
      <w:proofErr w:type="spellEnd"/>
      <w:r>
        <w:rPr>
          <w:rFonts w:ascii="Arial" w:eastAsia="Arial" w:hAnsi="Arial" w:cs="Arial"/>
          <w:sz w:val="22"/>
          <w:szCs w:val="22"/>
        </w:rPr>
        <w:t xml:space="preserve"> is dearth of data on the positive impacts of BLAs in improving the situation of OFWs, including migrant domestic workers.</w:t>
      </w:r>
      <w:r>
        <w:rPr>
          <w:rFonts w:ascii="Arial" w:eastAsia="Arial" w:hAnsi="Arial" w:cs="Arial"/>
          <w:sz w:val="22"/>
          <w:szCs w:val="22"/>
          <w:vertAlign w:val="superscript"/>
        </w:rPr>
        <w:footnoteReference w:id="22"/>
      </w:r>
    </w:p>
    <w:p w14:paraId="2A71FE35" w14:textId="77777777" w:rsidR="000E3000" w:rsidRDefault="00000000">
      <w:pPr>
        <w:numPr>
          <w:ilvl w:val="0"/>
          <w:numId w:val="1"/>
        </w:numPr>
        <w:spacing w:before="240" w:after="240" w:line="259" w:lineRule="auto"/>
        <w:ind w:left="0" w:hanging="2"/>
        <w:jc w:val="both"/>
        <w:rPr>
          <w:sz w:val="22"/>
          <w:szCs w:val="22"/>
        </w:rPr>
      </w:pPr>
      <w:r>
        <w:rPr>
          <w:rFonts w:ascii="Arial" w:eastAsia="Arial" w:hAnsi="Arial" w:cs="Arial"/>
          <w:sz w:val="22"/>
          <w:szCs w:val="22"/>
        </w:rPr>
        <w:t xml:space="preserve">In 2018 and 2019, the Commission, through the Human Rights </w:t>
      </w:r>
      <w:proofErr w:type="spellStart"/>
      <w:r>
        <w:rPr>
          <w:rFonts w:ascii="Arial" w:eastAsia="Arial" w:hAnsi="Arial" w:cs="Arial"/>
          <w:sz w:val="22"/>
          <w:szCs w:val="22"/>
        </w:rPr>
        <w:t>Center</w:t>
      </w:r>
      <w:proofErr w:type="spellEnd"/>
      <w:r>
        <w:rPr>
          <w:rFonts w:ascii="Arial" w:eastAsia="Arial" w:hAnsi="Arial" w:cs="Arial"/>
          <w:sz w:val="22"/>
          <w:szCs w:val="22"/>
        </w:rPr>
        <w:t xml:space="preserve"> Management Office (HRCMO) and CHR Regional Office IX, conducted joint monitoring missions to check the </w:t>
      </w:r>
      <w:r>
        <w:rPr>
          <w:rFonts w:ascii="Arial" w:eastAsia="Arial" w:hAnsi="Arial" w:cs="Arial"/>
          <w:sz w:val="22"/>
          <w:szCs w:val="22"/>
        </w:rPr>
        <w:lastRenderedPageBreak/>
        <w:t xml:space="preserve">situation of deportees from Sabah who were temporarily staying at the Department of Social Welfare and Development’s (DSWD) Processing </w:t>
      </w:r>
      <w:proofErr w:type="spellStart"/>
      <w:r>
        <w:rPr>
          <w:rFonts w:ascii="Arial" w:eastAsia="Arial" w:hAnsi="Arial" w:cs="Arial"/>
          <w:sz w:val="22"/>
          <w:szCs w:val="22"/>
        </w:rPr>
        <w:t>Center</w:t>
      </w:r>
      <w:proofErr w:type="spellEnd"/>
      <w:r>
        <w:rPr>
          <w:rFonts w:ascii="Arial" w:eastAsia="Arial" w:hAnsi="Arial" w:cs="Arial"/>
          <w:sz w:val="22"/>
          <w:szCs w:val="22"/>
        </w:rPr>
        <w:t xml:space="preserve"> for Displaced Persons (PCDP). PCDP serves as a temporary shelter for deportees from Sabah while awaiting their civil documents such as a birth certificate and travel documents to ascertain their identity.</w:t>
      </w:r>
    </w:p>
    <w:p w14:paraId="7231FE22" w14:textId="77777777" w:rsidR="000E3000" w:rsidRDefault="00000000">
      <w:pPr>
        <w:numPr>
          <w:ilvl w:val="0"/>
          <w:numId w:val="1"/>
        </w:numPr>
        <w:spacing w:after="200" w:line="259" w:lineRule="auto"/>
        <w:ind w:left="0" w:hanging="2"/>
        <w:jc w:val="both"/>
        <w:rPr>
          <w:sz w:val="22"/>
          <w:szCs w:val="22"/>
        </w:rPr>
      </w:pPr>
      <w:r>
        <w:rPr>
          <w:rFonts w:ascii="Arial" w:eastAsia="Arial" w:hAnsi="Arial" w:cs="Arial"/>
          <w:sz w:val="22"/>
          <w:szCs w:val="22"/>
        </w:rPr>
        <w:t>Findings show that most returnees from Sabah are migrant workers without legal documents. Despite being undocumented, some of these forced returnees have lived most of their lives in Sabah, where they have established their own families and livelihoods.</w:t>
      </w:r>
    </w:p>
    <w:p w14:paraId="02EF581D" w14:textId="77777777" w:rsidR="000E3000" w:rsidRDefault="00000000">
      <w:pPr>
        <w:numPr>
          <w:ilvl w:val="0"/>
          <w:numId w:val="1"/>
        </w:numPr>
        <w:spacing w:after="200" w:line="259" w:lineRule="auto"/>
        <w:ind w:left="0" w:hanging="2"/>
        <w:jc w:val="both"/>
        <w:rPr>
          <w:sz w:val="22"/>
          <w:szCs w:val="22"/>
        </w:rPr>
      </w:pPr>
      <w:bookmarkStart w:id="2" w:name="_heading=h.7djztx96x7of" w:colFirst="0" w:colLast="0"/>
      <w:bookmarkEnd w:id="2"/>
      <w:r>
        <w:rPr>
          <w:rFonts w:ascii="Arial" w:eastAsia="Arial" w:hAnsi="Arial" w:cs="Arial"/>
          <w:sz w:val="22"/>
          <w:szCs w:val="22"/>
        </w:rPr>
        <w:t>On 24 July 2020, the national human rights institutions (NHRIs) of Malaysia (SUHAKAM), Indonesia (</w:t>
      </w:r>
      <w:proofErr w:type="spellStart"/>
      <w:r>
        <w:rPr>
          <w:rFonts w:ascii="Arial" w:eastAsia="Arial" w:hAnsi="Arial" w:cs="Arial"/>
          <w:sz w:val="22"/>
          <w:szCs w:val="22"/>
        </w:rPr>
        <w:t>Komnas</w:t>
      </w:r>
      <w:proofErr w:type="spellEnd"/>
      <w:r>
        <w:rPr>
          <w:rFonts w:ascii="Arial" w:eastAsia="Arial" w:hAnsi="Arial" w:cs="Arial"/>
          <w:sz w:val="22"/>
          <w:szCs w:val="22"/>
        </w:rPr>
        <w:t xml:space="preserve"> HAM) and the Philippines (CHRP), respectively—inked a memorandum of understanding (MOU) to strengthen efforts in addressing statelessness and the protection of the rights and welfare of stateless persons and persons at risk of statelessness in Sabah. </w:t>
      </w:r>
    </w:p>
    <w:p w14:paraId="33140A75" w14:textId="77777777" w:rsidR="000E3000" w:rsidRDefault="00000000">
      <w:pPr>
        <w:numPr>
          <w:ilvl w:val="0"/>
          <w:numId w:val="1"/>
        </w:numPr>
        <w:spacing w:after="200" w:line="276" w:lineRule="auto"/>
        <w:ind w:left="0" w:hanging="2"/>
        <w:jc w:val="both"/>
        <w:rPr>
          <w:sz w:val="22"/>
          <w:szCs w:val="22"/>
        </w:rPr>
      </w:pPr>
      <w:r>
        <w:rPr>
          <w:rFonts w:ascii="Arial" w:eastAsia="Arial" w:hAnsi="Arial" w:cs="Arial"/>
          <w:sz w:val="22"/>
          <w:szCs w:val="22"/>
        </w:rPr>
        <w:t>Further, in November 2022, the SEANF 19</w:t>
      </w:r>
      <w:r>
        <w:rPr>
          <w:rFonts w:ascii="Arial" w:eastAsia="Arial" w:hAnsi="Arial" w:cs="Arial"/>
          <w:sz w:val="22"/>
          <w:szCs w:val="22"/>
          <w:vertAlign w:val="superscript"/>
        </w:rPr>
        <w:t>th</w:t>
      </w:r>
      <w:r>
        <w:rPr>
          <w:rFonts w:ascii="Arial" w:eastAsia="Arial" w:hAnsi="Arial" w:cs="Arial"/>
          <w:sz w:val="22"/>
          <w:szCs w:val="22"/>
        </w:rPr>
        <w:t xml:space="preserve"> Annual Meeting and Conference took place in Zamboanga City with the theme, "The Role of NHRIs in Preventing Statelessness and Protecting the Rights of Stateless Persons and Persons at Risk of Statelessness: Perspective from South East Asia.” During the conference, SEANF Chairpersons, delegates, and government representatives discussed the issue of statelessness and other cross-border situations in the region. Also, the CHRP together with the SEANF delegates conducted a site visit to the PCDP in Zamboanga City, through which they were able to assess the situation of stateless, displaced, and undocumented persons in Zamboanga.</w:t>
      </w:r>
    </w:p>
    <w:p w14:paraId="22E1EDA5" w14:textId="77777777" w:rsidR="000E3000" w:rsidRDefault="00000000">
      <w:pPr>
        <w:numPr>
          <w:ilvl w:val="0"/>
          <w:numId w:val="1"/>
        </w:numPr>
        <w:spacing w:after="200" w:line="276" w:lineRule="auto"/>
        <w:ind w:left="0" w:hanging="2"/>
        <w:jc w:val="both"/>
        <w:rPr>
          <w:sz w:val="22"/>
          <w:szCs w:val="22"/>
        </w:rPr>
      </w:pPr>
      <w:r>
        <w:rPr>
          <w:rFonts w:ascii="Arial" w:eastAsia="Arial" w:hAnsi="Arial" w:cs="Arial"/>
          <w:sz w:val="22"/>
          <w:szCs w:val="22"/>
        </w:rPr>
        <w:t>As an NHRI, the Commission can coordinate and collaborate with other NHRIs, international organizations and civil society actors on cases of OFWs or foreign nationals in their respective countries - facilitating jail visits and repatriation. The Commission can facilitate a referral mechanism among its NHRI networks through exchange of information and liaise in the safe return and repatriation of individuals, in coordination with the Department of Foreign Affairs. This referral mechanism can be activated regardless of migrant status whether undocumented, trafficked or stateless.</w:t>
      </w:r>
    </w:p>
    <w:p w14:paraId="506693D4" w14:textId="77777777" w:rsidR="000E3000" w:rsidRDefault="00000000">
      <w:pPr>
        <w:numPr>
          <w:ilvl w:val="0"/>
          <w:numId w:val="1"/>
        </w:numPr>
        <w:spacing w:after="200" w:line="276" w:lineRule="auto"/>
        <w:ind w:left="0" w:hanging="2"/>
        <w:jc w:val="both"/>
        <w:rPr>
          <w:sz w:val="22"/>
          <w:szCs w:val="22"/>
        </w:rPr>
      </w:pPr>
      <w:r>
        <w:rPr>
          <w:rFonts w:ascii="Arial" w:eastAsia="Arial" w:hAnsi="Arial" w:cs="Arial"/>
          <w:sz w:val="22"/>
          <w:szCs w:val="22"/>
        </w:rPr>
        <w:t xml:space="preserve">According to OFWs consulted, the pre-employment - (PEOS) and pre-departure orientation seminars (PEOS and PDOS) emphasize the cultures of the receiving countries but less on information about human rights and </w:t>
      </w:r>
      <w:proofErr w:type="spellStart"/>
      <w:r>
        <w:rPr>
          <w:rFonts w:ascii="Arial" w:eastAsia="Arial" w:hAnsi="Arial" w:cs="Arial"/>
          <w:sz w:val="22"/>
          <w:szCs w:val="22"/>
        </w:rPr>
        <w:t>labor</w:t>
      </w:r>
      <w:proofErr w:type="spellEnd"/>
      <w:r>
        <w:rPr>
          <w:rFonts w:ascii="Arial" w:eastAsia="Arial" w:hAnsi="Arial" w:cs="Arial"/>
          <w:sz w:val="22"/>
          <w:szCs w:val="22"/>
        </w:rPr>
        <w:t xml:space="preserve"> rights. They feel that family members should also attend these seminars so they can understand what OFWs might experience in the receiving countries. Some of them also acknowledge post-arrival orientation seminars organized by the POLOs in collaboration with trade union or migrant support groups in the receiving countries like Hong Kong. </w:t>
      </w:r>
    </w:p>
    <w:p w14:paraId="0A421166" w14:textId="77777777" w:rsidR="000E3000" w:rsidRDefault="00000000">
      <w:pPr>
        <w:numPr>
          <w:ilvl w:val="0"/>
          <w:numId w:val="1"/>
        </w:numPr>
        <w:spacing w:after="200" w:line="276" w:lineRule="auto"/>
        <w:ind w:left="0" w:hanging="2"/>
        <w:jc w:val="both"/>
        <w:rPr>
          <w:sz w:val="22"/>
          <w:szCs w:val="22"/>
        </w:rPr>
      </w:pPr>
      <w:r>
        <w:rPr>
          <w:rFonts w:ascii="Arial" w:eastAsia="Arial" w:hAnsi="Arial" w:cs="Arial"/>
          <w:sz w:val="22"/>
          <w:szCs w:val="22"/>
        </w:rPr>
        <w:t xml:space="preserve">It is also recommended for OFWs to join unions and for governments in the receiving countries to encourage formation of unions for migrant workers. Trade union organizers observed that in receiving countries where there is strong representation for migrant workers, they are more empowered and aware of their rights. </w:t>
      </w:r>
    </w:p>
    <w:p w14:paraId="23A22051" w14:textId="77777777" w:rsidR="000E3000" w:rsidRDefault="000E3000">
      <w:pPr>
        <w:spacing w:line="240" w:lineRule="auto"/>
        <w:ind w:left="0" w:right="567" w:hanging="2"/>
        <w:jc w:val="both"/>
        <w:rPr>
          <w:rFonts w:ascii="Arial" w:eastAsia="Arial" w:hAnsi="Arial" w:cs="Arial"/>
          <w:sz w:val="22"/>
          <w:szCs w:val="22"/>
        </w:rPr>
      </w:pPr>
    </w:p>
    <w:p w14:paraId="1DBE87FD" w14:textId="77777777" w:rsidR="000E3000" w:rsidRDefault="00000000">
      <w:pPr>
        <w:spacing w:line="240" w:lineRule="auto"/>
        <w:ind w:left="0" w:right="567" w:hanging="2"/>
        <w:jc w:val="both"/>
        <w:rPr>
          <w:rFonts w:ascii="Arial" w:eastAsia="Arial" w:hAnsi="Arial" w:cs="Arial"/>
          <w:b/>
          <w:sz w:val="22"/>
          <w:szCs w:val="22"/>
        </w:rPr>
      </w:pPr>
      <w:r>
        <w:rPr>
          <w:rFonts w:ascii="Arial" w:eastAsia="Arial" w:hAnsi="Arial" w:cs="Arial"/>
          <w:b/>
          <w:sz w:val="22"/>
          <w:szCs w:val="22"/>
        </w:rPr>
        <w:lastRenderedPageBreak/>
        <w:t>IV. Part IV of the Convention</w:t>
      </w:r>
    </w:p>
    <w:p w14:paraId="3173B01B" w14:textId="77777777" w:rsidR="000E3000" w:rsidRDefault="000E3000">
      <w:pPr>
        <w:spacing w:line="240" w:lineRule="auto"/>
        <w:ind w:left="0" w:right="567" w:hanging="2"/>
        <w:jc w:val="both"/>
        <w:rPr>
          <w:rFonts w:ascii="Arial" w:eastAsia="Arial" w:hAnsi="Arial" w:cs="Arial"/>
          <w:b/>
          <w:sz w:val="22"/>
          <w:szCs w:val="22"/>
        </w:rPr>
      </w:pPr>
    </w:p>
    <w:p w14:paraId="3E37C251" w14:textId="77777777" w:rsidR="000E3000" w:rsidRDefault="00000000">
      <w:pPr>
        <w:numPr>
          <w:ilvl w:val="0"/>
          <w:numId w:val="1"/>
        </w:numPr>
        <w:spacing w:before="240"/>
        <w:ind w:left="0" w:hanging="2"/>
        <w:jc w:val="both"/>
        <w:rPr>
          <w:sz w:val="22"/>
          <w:szCs w:val="22"/>
        </w:rPr>
      </w:pPr>
      <w:bookmarkStart w:id="3" w:name="_heading=h.30j0zll" w:colFirst="0" w:colLast="0"/>
      <w:bookmarkEnd w:id="3"/>
      <w:r>
        <w:rPr>
          <w:rFonts w:ascii="Arial" w:eastAsia="Arial" w:hAnsi="Arial" w:cs="Arial"/>
          <w:sz w:val="22"/>
          <w:szCs w:val="22"/>
        </w:rPr>
        <w:t xml:space="preserve">In terms of immigration policy in the Philippines, the departments of Justice, Foreign Affairs, Finance, </w:t>
      </w:r>
      <w:proofErr w:type="spellStart"/>
      <w:r>
        <w:rPr>
          <w:rFonts w:ascii="Arial" w:eastAsia="Arial" w:hAnsi="Arial" w:cs="Arial"/>
          <w:sz w:val="22"/>
          <w:szCs w:val="22"/>
        </w:rPr>
        <w:t>Labor</w:t>
      </w:r>
      <w:proofErr w:type="spellEnd"/>
      <w:r>
        <w:rPr>
          <w:rFonts w:ascii="Arial" w:eastAsia="Arial" w:hAnsi="Arial" w:cs="Arial"/>
          <w:sz w:val="22"/>
          <w:szCs w:val="22"/>
        </w:rPr>
        <w:t xml:space="preserve"> and Employment, and Environment and Natural Resources; Bureau of Internal Revenue, Bureau of Immigration, Professional Regulation Commission, and National Intelligence Coordinating Agency (NICA) have issued Joint Memorandum Circular (JMC) 001, s. 2019 or “The Rules and Procedures Governing Foreign Nationals Intending to Work in the Philippines.” The JMC aims to harmonize the regulations and policy guidelines governing the provision of documents to foreign nationals intending to work in the Philippines. Such documents include Alien Employment Permit (AEP) by the Department of </w:t>
      </w:r>
      <w:proofErr w:type="spellStart"/>
      <w:r>
        <w:rPr>
          <w:rFonts w:ascii="Arial" w:eastAsia="Arial" w:hAnsi="Arial" w:cs="Arial"/>
          <w:sz w:val="22"/>
          <w:szCs w:val="22"/>
        </w:rPr>
        <w:t>Labor</w:t>
      </w:r>
      <w:proofErr w:type="spellEnd"/>
      <w:r>
        <w:rPr>
          <w:rFonts w:ascii="Arial" w:eastAsia="Arial" w:hAnsi="Arial" w:cs="Arial"/>
          <w:sz w:val="22"/>
          <w:szCs w:val="22"/>
        </w:rPr>
        <w:t xml:space="preserve"> and Employment (DOLE); Special Temporary Permit (STP) by the Professional Regulation Commission (PRC); Special Work Permit (SWP), Provisional Work Permit (PWP) and 9(g) visa by the Bureau of Immigration (BI); 9(g) and 47(a)2 visa by the Department of Foreign Affairs (DFA); Authority to Employ Alien (AE), and 47(a)2 visa by the Department of Justice (DOJ); and Authority to Hire Foreign National (AHFN) by the Department of Environment and Natural Resources (DENR) - Mines and Geosciences Bureau.</w:t>
      </w:r>
      <w:r>
        <w:rPr>
          <w:rFonts w:ascii="Calibri" w:eastAsia="Calibri" w:hAnsi="Calibri" w:cs="Calibri"/>
          <w:sz w:val="22"/>
          <w:szCs w:val="22"/>
          <w:vertAlign w:val="superscript"/>
        </w:rPr>
        <w:footnoteReference w:id="23"/>
      </w:r>
      <w:r>
        <w:rPr>
          <w:rFonts w:ascii="Arial" w:eastAsia="Arial" w:hAnsi="Arial" w:cs="Arial"/>
          <w:sz w:val="22"/>
          <w:szCs w:val="22"/>
        </w:rPr>
        <w:t xml:space="preserve"> </w:t>
      </w:r>
    </w:p>
    <w:p w14:paraId="7C267457" w14:textId="77777777" w:rsidR="000E3000" w:rsidRDefault="000E3000">
      <w:pPr>
        <w:ind w:left="0" w:hanging="2"/>
        <w:jc w:val="both"/>
        <w:rPr>
          <w:rFonts w:ascii="Arial" w:eastAsia="Arial" w:hAnsi="Arial" w:cs="Arial"/>
          <w:sz w:val="22"/>
          <w:szCs w:val="22"/>
        </w:rPr>
      </w:pPr>
    </w:p>
    <w:p w14:paraId="6A4A226B" w14:textId="77777777" w:rsidR="000E3000" w:rsidRDefault="00000000">
      <w:pPr>
        <w:numPr>
          <w:ilvl w:val="0"/>
          <w:numId w:val="1"/>
        </w:numPr>
        <w:ind w:left="0" w:hanging="2"/>
        <w:jc w:val="both"/>
        <w:rPr>
          <w:sz w:val="22"/>
          <w:szCs w:val="22"/>
        </w:rPr>
      </w:pPr>
      <w:bookmarkStart w:id="4" w:name="_heading=h.1fob9te" w:colFirst="0" w:colLast="0"/>
      <w:bookmarkEnd w:id="4"/>
      <w:r>
        <w:rPr>
          <w:rFonts w:ascii="Arial" w:eastAsia="Arial" w:hAnsi="Arial" w:cs="Arial"/>
          <w:sz w:val="22"/>
          <w:szCs w:val="22"/>
        </w:rPr>
        <w:t>However, although JMC No. 001, s. 2019 attempts to harmonize existing entry and work permits of foreign nationals for legal migration, it does not look into irregular migration or pathways for the regularization of the status of undocumented migrants or foreign nationals in the country.  The passage of amendments to the Philippine Immigration Act of 1940 may address this gap in the immigration policy of the country provided that it should be responsive to the needs of migrants in irregular situations.</w:t>
      </w:r>
    </w:p>
    <w:p w14:paraId="3917439B" w14:textId="77777777" w:rsidR="000E3000" w:rsidRDefault="000E3000">
      <w:pPr>
        <w:ind w:left="0" w:hanging="2"/>
        <w:jc w:val="both"/>
        <w:rPr>
          <w:rFonts w:ascii="Arial" w:eastAsia="Arial" w:hAnsi="Arial" w:cs="Arial"/>
          <w:sz w:val="22"/>
          <w:szCs w:val="22"/>
        </w:rPr>
      </w:pPr>
    </w:p>
    <w:p w14:paraId="4C8957E4" w14:textId="77777777" w:rsidR="000E3000" w:rsidRDefault="00000000">
      <w:pPr>
        <w:numPr>
          <w:ilvl w:val="0"/>
          <w:numId w:val="1"/>
        </w:numPr>
        <w:ind w:left="0" w:hanging="2"/>
        <w:jc w:val="both"/>
        <w:rPr>
          <w:sz w:val="22"/>
          <w:szCs w:val="22"/>
        </w:rPr>
      </w:pPr>
      <w:r>
        <w:rPr>
          <w:rFonts w:ascii="Arial" w:eastAsia="Arial" w:hAnsi="Arial" w:cs="Arial"/>
          <w:sz w:val="22"/>
          <w:szCs w:val="22"/>
        </w:rPr>
        <w:t>A bill was filed during the 18th Congress, entitled “The Philippine Immigration and Homeland Security Act,” which was substituted House Bills 162, 327, 435, 1305 and 1697</w:t>
      </w:r>
      <w:r>
        <w:rPr>
          <w:rFonts w:ascii="Arial" w:eastAsia="Arial" w:hAnsi="Arial" w:cs="Arial"/>
          <w:sz w:val="22"/>
          <w:szCs w:val="22"/>
          <w:vertAlign w:val="superscript"/>
        </w:rPr>
        <w:footnoteReference w:id="24"/>
      </w:r>
      <w:r>
        <w:rPr>
          <w:rFonts w:ascii="Arial" w:eastAsia="Arial" w:hAnsi="Arial" w:cs="Arial"/>
          <w:sz w:val="22"/>
          <w:szCs w:val="22"/>
        </w:rPr>
        <w:t>, and approved in August 2017 by the House subcommittee on immigration, naturalization and deportation. It sought to convert the Bureau of Immigration (BI) into a Commission on Immigration to make it more responsive to the needs and challenges of the times.” Similarly, in the Senate during the current 19th Congress, Senate Bill No. 781 or the Philippine Immigration Act of 2022 was filed in July 2022</w:t>
      </w:r>
      <w:r>
        <w:rPr>
          <w:rFonts w:ascii="Arial" w:eastAsia="Arial" w:hAnsi="Arial" w:cs="Arial"/>
          <w:sz w:val="22"/>
          <w:szCs w:val="22"/>
          <w:vertAlign w:val="superscript"/>
        </w:rPr>
        <w:footnoteReference w:id="25"/>
      </w:r>
      <w:r>
        <w:rPr>
          <w:rFonts w:ascii="Arial" w:eastAsia="Arial" w:hAnsi="Arial" w:cs="Arial"/>
          <w:sz w:val="22"/>
          <w:szCs w:val="22"/>
        </w:rPr>
        <w:t xml:space="preserve"> calls for a creation of a Commission on Immigration, with regional immigration offices that are accessible to all citizens in the Philippines. The CHRP is monitoring the status and eventual deliberation of these bills and ensuring human rights standards in the proposed provisions are at par with international norms and include protection of irregular migrants or migrant workers. </w:t>
      </w:r>
    </w:p>
    <w:p w14:paraId="4BFDA3B6" w14:textId="77777777" w:rsidR="000E3000" w:rsidRDefault="000E3000">
      <w:pPr>
        <w:spacing w:line="240" w:lineRule="auto"/>
        <w:ind w:left="0" w:right="567" w:hanging="2"/>
        <w:jc w:val="both"/>
        <w:rPr>
          <w:rFonts w:ascii="Arial" w:eastAsia="Arial" w:hAnsi="Arial" w:cs="Arial"/>
          <w:sz w:val="22"/>
          <w:szCs w:val="22"/>
        </w:rPr>
      </w:pPr>
    </w:p>
    <w:p w14:paraId="5C7E6DCF" w14:textId="6798A1DF" w:rsidR="000E3000" w:rsidRDefault="000E3000">
      <w:pPr>
        <w:spacing w:line="240" w:lineRule="auto"/>
        <w:ind w:left="0" w:right="567" w:hanging="2"/>
        <w:jc w:val="both"/>
        <w:rPr>
          <w:rFonts w:ascii="Arial" w:eastAsia="Arial" w:hAnsi="Arial" w:cs="Arial"/>
          <w:sz w:val="22"/>
          <w:szCs w:val="22"/>
        </w:rPr>
      </w:pPr>
    </w:p>
    <w:p w14:paraId="6586CE5D" w14:textId="77777777" w:rsidR="00F3320D" w:rsidRDefault="00F3320D">
      <w:pPr>
        <w:spacing w:line="240" w:lineRule="auto"/>
        <w:ind w:left="0" w:right="567" w:hanging="2"/>
        <w:jc w:val="both"/>
        <w:rPr>
          <w:rFonts w:ascii="Arial" w:eastAsia="Arial" w:hAnsi="Arial" w:cs="Arial"/>
          <w:sz w:val="22"/>
          <w:szCs w:val="22"/>
        </w:rPr>
      </w:pPr>
    </w:p>
    <w:p w14:paraId="79477F3A" w14:textId="77777777" w:rsidR="000E3000" w:rsidRDefault="00000000">
      <w:pPr>
        <w:spacing w:line="240" w:lineRule="auto"/>
        <w:ind w:left="0" w:right="567" w:hanging="2"/>
        <w:jc w:val="both"/>
        <w:rPr>
          <w:rFonts w:ascii="Arial" w:eastAsia="Arial" w:hAnsi="Arial" w:cs="Arial"/>
          <w:b/>
          <w:sz w:val="22"/>
          <w:szCs w:val="22"/>
        </w:rPr>
      </w:pPr>
      <w:r>
        <w:rPr>
          <w:rFonts w:ascii="Arial" w:eastAsia="Arial" w:hAnsi="Arial" w:cs="Arial"/>
          <w:b/>
          <w:sz w:val="22"/>
          <w:szCs w:val="22"/>
        </w:rPr>
        <w:lastRenderedPageBreak/>
        <w:t>V. Part VI of the Convention: Promotion of sound, equitable, humane and lawful conditions in connection with international migration of workers and members of their families (Articles 64, 66-68)</w:t>
      </w:r>
    </w:p>
    <w:p w14:paraId="46E8DCE4" w14:textId="77777777" w:rsidR="000E3000" w:rsidRDefault="000E3000">
      <w:pPr>
        <w:spacing w:line="240" w:lineRule="auto"/>
        <w:ind w:left="0" w:right="567" w:hanging="2"/>
        <w:jc w:val="both"/>
        <w:rPr>
          <w:rFonts w:ascii="Arial" w:eastAsia="Arial" w:hAnsi="Arial" w:cs="Arial"/>
          <w:b/>
          <w:sz w:val="22"/>
          <w:szCs w:val="22"/>
        </w:rPr>
      </w:pPr>
    </w:p>
    <w:p w14:paraId="6E6EE460" w14:textId="77777777" w:rsidR="000E3000" w:rsidRDefault="000E3000">
      <w:pPr>
        <w:spacing w:line="240" w:lineRule="auto"/>
        <w:ind w:left="0" w:right="567" w:hanging="2"/>
        <w:jc w:val="both"/>
        <w:rPr>
          <w:rFonts w:ascii="Arial" w:eastAsia="Arial" w:hAnsi="Arial" w:cs="Arial"/>
          <w:b/>
          <w:sz w:val="22"/>
          <w:szCs w:val="22"/>
        </w:rPr>
      </w:pPr>
    </w:p>
    <w:p w14:paraId="2F3C3701" w14:textId="77777777" w:rsidR="000E3000" w:rsidRDefault="00000000">
      <w:pPr>
        <w:spacing w:line="240" w:lineRule="auto"/>
        <w:ind w:left="0" w:right="567" w:hanging="2"/>
        <w:jc w:val="both"/>
        <w:rPr>
          <w:rFonts w:ascii="Arial" w:eastAsia="Arial" w:hAnsi="Arial" w:cs="Arial"/>
          <w:b/>
          <w:sz w:val="22"/>
          <w:szCs w:val="22"/>
        </w:rPr>
      </w:pPr>
      <w:r>
        <w:rPr>
          <w:rFonts w:ascii="Arial" w:eastAsia="Arial" w:hAnsi="Arial" w:cs="Arial"/>
          <w:b/>
          <w:sz w:val="22"/>
          <w:szCs w:val="22"/>
        </w:rPr>
        <w:tab/>
      </w:r>
      <w:r>
        <w:rPr>
          <w:rFonts w:ascii="Arial" w:eastAsia="Arial" w:hAnsi="Arial" w:cs="Arial"/>
          <w:b/>
          <w:sz w:val="22"/>
          <w:szCs w:val="22"/>
        </w:rPr>
        <w:tab/>
        <w:t>A. Private recruitment agencies</w:t>
      </w:r>
    </w:p>
    <w:p w14:paraId="3416EC38" w14:textId="77777777" w:rsidR="000E3000" w:rsidRDefault="000E3000">
      <w:pPr>
        <w:spacing w:line="240" w:lineRule="auto"/>
        <w:ind w:left="0" w:right="567" w:hanging="2"/>
        <w:jc w:val="both"/>
        <w:rPr>
          <w:rFonts w:ascii="Arial" w:eastAsia="Arial" w:hAnsi="Arial" w:cs="Arial"/>
          <w:b/>
          <w:sz w:val="22"/>
          <w:szCs w:val="22"/>
        </w:rPr>
      </w:pPr>
    </w:p>
    <w:p w14:paraId="6E70E56D" w14:textId="77777777" w:rsidR="000E3000" w:rsidRDefault="00000000">
      <w:pPr>
        <w:numPr>
          <w:ilvl w:val="0"/>
          <w:numId w:val="1"/>
        </w:numPr>
        <w:spacing w:line="240" w:lineRule="auto"/>
        <w:ind w:left="0" w:right="30" w:hanging="2"/>
        <w:jc w:val="both"/>
        <w:rPr>
          <w:sz w:val="22"/>
          <w:szCs w:val="22"/>
        </w:rPr>
      </w:pPr>
      <w:r>
        <w:rPr>
          <w:rFonts w:ascii="Arial" w:eastAsia="Arial" w:hAnsi="Arial" w:cs="Arial"/>
          <w:sz w:val="22"/>
          <w:szCs w:val="22"/>
        </w:rPr>
        <w:t xml:space="preserve">Exorbitant recruitment and placement fees are imposed on migrant workers based on consultations despite zero recruitment fee policies in the receiving countries. If recruitment fees are not required upfront, OFWs are asked to pay other kinds of hidden fees such as photocopying/reproduction fee, courier service, minor medical fees, etc. </w:t>
      </w:r>
    </w:p>
    <w:p w14:paraId="7C1E7291" w14:textId="77777777" w:rsidR="000E3000" w:rsidRDefault="000E3000">
      <w:pPr>
        <w:spacing w:line="240" w:lineRule="auto"/>
        <w:ind w:left="0" w:right="567" w:hanging="2"/>
        <w:jc w:val="both"/>
        <w:rPr>
          <w:rFonts w:ascii="Arial" w:eastAsia="Arial" w:hAnsi="Arial" w:cs="Arial"/>
          <w:sz w:val="22"/>
          <w:szCs w:val="22"/>
        </w:rPr>
      </w:pPr>
    </w:p>
    <w:p w14:paraId="371E1B23" w14:textId="77777777" w:rsidR="000E3000" w:rsidRDefault="00000000">
      <w:pPr>
        <w:numPr>
          <w:ilvl w:val="0"/>
          <w:numId w:val="1"/>
        </w:numPr>
        <w:spacing w:line="240" w:lineRule="auto"/>
        <w:ind w:left="0" w:right="30" w:hanging="2"/>
        <w:jc w:val="both"/>
        <w:rPr>
          <w:sz w:val="22"/>
          <w:szCs w:val="22"/>
        </w:rPr>
      </w:pPr>
      <w:r>
        <w:rPr>
          <w:rFonts w:ascii="Arial" w:eastAsia="Arial" w:hAnsi="Arial" w:cs="Arial"/>
          <w:sz w:val="22"/>
          <w:szCs w:val="22"/>
        </w:rPr>
        <w:t xml:space="preserve">Because of the age restrictions for employment,, there were also cases of birth certificate falsifications which means that the legal process is not being supervised. OFWs in the skilled categories do not usually encounter these issues, but are more common for construction and domestic sectors. </w:t>
      </w:r>
    </w:p>
    <w:p w14:paraId="1903EE4D" w14:textId="77777777" w:rsidR="000E3000" w:rsidRDefault="000E3000">
      <w:pPr>
        <w:spacing w:line="240" w:lineRule="auto"/>
        <w:ind w:left="0" w:right="567" w:hanging="2"/>
        <w:jc w:val="both"/>
        <w:rPr>
          <w:rFonts w:ascii="Arial" w:eastAsia="Arial" w:hAnsi="Arial" w:cs="Arial"/>
          <w:sz w:val="22"/>
          <w:szCs w:val="22"/>
        </w:rPr>
      </w:pPr>
    </w:p>
    <w:p w14:paraId="46D9B89E" w14:textId="77777777" w:rsidR="000E3000" w:rsidRDefault="000E3000">
      <w:pPr>
        <w:spacing w:line="240" w:lineRule="auto"/>
        <w:ind w:left="0" w:right="567" w:hanging="2"/>
        <w:jc w:val="both"/>
        <w:rPr>
          <w:rFonts w:ascii="Arial" w:eastAsia="Arial" w:hAnsi="Arial" w:cs="Arial"/>
          <w:sz w:val="22"/>
          <w:szCs w:val="22"/>
        </w:rPr>
      </w:pPr>
    </w:p>
    <w:p w14:paraId="298C6B87" w14:textId="77777777" w:rsidR="000E3000" w:rsidRDefault="00000000">
      <w:pPr>
        <w:spacing w:line="240" w:lineRule="auto"/>
        <w:ind w:left="0" w:right="567" w:hanging="2"/>
        <w:jc w:val="both"/>
        <w:rPr>
          <w:rFonts w:ascii="Arial" w:eastAsia="Arial" w:hAnsi="Arial" w:cs="Arial"/>
          <w:b/>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b/>
          <w:sz w:val="22"/>
          <w:szCs w:val="22"/>
        </w:rPr>
        <w:t>B. Welfare programs</w:t>
      </w:r>
    </w:p>
    <w:p w14:paraId="0B05E3A0" w14:textId="77777777" w:rsidR="000E3000" w:rsidRDefault="000E3000">
      <w:pPr>
        <w:spacing w:line="259" w:lineRule="auto"/>
        <w:ind w:left="0" w:hanging="2"/>
        <w:jc w:val="both"/>
        <w:rPr>
          <w:rFonts w:ascii="Arial" w:eastAsia="Arial" w:hAnsi="Arial" w:cs="Arial"/>
          <w:sz w:val="22"/>
          <w:szCs w:val="22"/>
        </w:rPr>
      </w:pPr>
    </w:p>
    <w:p w14:paraId="7BFA32D5" w14:textId="77777777" w:rsidR="000E3000" w:rsidRDefault="00000000">
      <w:pPr>
        <w:numPr>
          <w:ilvl w:val="0"/>
          <w:numId w:val="1"/>
        </w:numPr>
        <w:spacing w:line="259" w:lineRule="auto"/>
        <w:ind w:left="0" w:hanging="2"/>
        <w:jc w:val="both"/>
        <w:rPr>
          <w:sz w:val="22"/>
          <w:szCs w:val="22"/>
        </w:rPr>
      </w:pPr>
      <w:r>
        <w:rPr>
          <w:rFonts w:ascii="Arial" w:eastAsia="Arial" w:hAnsi="Arial" w:cs="Arial"/>
          <w:sz w:val="22"/>
          <w:szCs w:val="22"/>
        </w:rPr>
        <w:t>OFWs and their families also call for the assessment of the Balik-Pinoy Balik-</w:t>
      </w:r>
      <w:proofErr w:type="spellStart"/>
      <w:r>
        <w:rPr>
          <w:rFonts w:ascii="Arial" w:eastAsia="Arial" w:hAnsi="Arial" w:cs="Arial"/>
          <w:sz w:val="22"/>
          <w:szCs w:val="22"/>
        </w:rPr>
        <w:t>Hanapbuhay</w:t>
      </w:r>
      <w:proofErr w:type="spellEnd"/>
      <w:r>
        <w:rPr>
          <w:rFonts w:ascii="Arial" w:eastAsia="Arial" w:hAnsi="Arial" w:cs="Arial"/>
          <w:sz w:val="22"/>
          <w:szCs w:val="22"/>
        </w:rPr>
        <w:t xml:space="preserve"> program for those repatriated. Because OWWA initiatives are known to only benefit those active OWWA members, there should be clear information for OFW returnees or those who have been repatriated who stopped their OWWA contribution if and how to access OWWA programs. </w:t>
      </w:r>
    </w:p>
    <w:p w14:paraId="487D210C" w14:textId="77777777" w:rsidR="000E3000" w:rsidRDefault="000E3000">
      <w:pPr>
        <w:spacing w:line="259" w:lineRule="auto"/>
        <w:ind w:left="0" w:hanging="2"/>
        <w:jc w:val="both"/>
        <w:rPr>
          <w:rFonts w:ascii="Arial" w:eastAsia="Arial" w:hAnsi="Arial" w:cs="Arial"/>
          <w:sz w:val="22"/>
          <w:szCs w:val="22"/>
        </w:rPr>
      </w:pPr>
    </w:p>
    <w:p w14:paraId="03699305" w14:textId="77777777" w:rsidR="000E3000" w:rsidRDefault="000E3000">
      <w:pPr>
        <w:spacing w:line="240" w:lineRule="auto"/>
        <w:ind w:left="0" w:right="567" w:hanging="2"/>
        <w:jc w:val="both"/>
        <w:rPr>
          <w:rFonts w:ascii="Arial" w:eastAsia="Arial" w:hAnsi="Arial" w:cs="Arial"/>
          <w:sz w:val="22"/>
          <w:szCs w:val="22"/>
        </w:rPr>
      </w:pPr>
    </w:p>
    <w:p w14:paraId="0439C923" w14:textId="77777777" w:rsidR="000E3000" w:rsidRDefault="00000000">
      <w:pPr>
        <w:spacing w:line="240" w:lineRule="auto"/>
        <w:ind w:left="0" w:right="567" w:hanging="2"/>
        <w:jc w:val="both"/>
        <w:rPr>
          <w:rFonts w:ascii="Arial" w:eastAsia="Arial" w:hAnsi="Arial" w:cs="Arial"/>
          <w:b/>
          <w:sz w:val="22"/>
          <w:szCs w:val="22"/>
        </w:rPr>
      </w:pPr>
      <w:r>
        <w:rPr>
          <w:rFonts w:ascii="Arial" w:eastAsia="Arial" w:hAnsi="Arial" w:cs="Arial"/>
          <w:sz w:val="22"/>
          <w:szCs w:val="22"/>
        </w:rPr>
        <w:tab/>
      </w:r>
      <w:r>
        <w:rPr>
          <w:rFonts w:ascii="Arial" w:eastAsia="Arial" w:hAnsi="Arial" w:cs="Arial"/>
          <w:sz w:val="22"/>
          <w:szCs w:val="22"/>
        </w:rPr>
        <w:tab/>
      </w:r>
      <w:r>
        <w:rPr>
          <w:rFonts w:ascii="Arial" w:eastAsia="Arial" w:hAnsi="Arial" w:cs="Arial"/>
          <w:b/>
          <w:sz w:val="22"/>
          <w:szCs w:val="22"/>
        </w:rPr>
        <w:t>C. Trafficking in persons</w:t>
      </w:r>
    </w:p>
    <w:p w14:paraId="37E5FE89" w14:textId="77777777" w:rsidR="000E3000" w:rsidRDefault="000E3000">
      <w:pPr>
        <w:spacing w:line="240" w:lineRule="auto"/>
        <w:ind w:left="0" w:right="567" w:hanging="2"/>
        <w:jc w:val="both"/>
        <w:rPr>
          <w:rFonts w:ascii="Arial" w:eastAsia="Arial" w:hAnsi="Arial" w:cs="Arial"/>
          <w:sz w:val="22"/>
          <w:szCs w:val="22"/>
        </w:rPr>
      </w:pPr>
    </w:p>
    <w:p w14:paraId="0D6297CD" w14:textId="77777777" w:rsidR="000E3000" w:rsidRDefault="00000000">
      <w:pPr>
        <w:numPr>
          <w:ilvl w:val="0"/>
          <w:numId w:val="1"/>
        </w:numPr>
        <w:spacing w:line="240" w:lineRule="auto"/>
        <w:ind w:left="0" w:right="567" w:hanging="2"/>
        <w:jc w:val="both"/>
        <w:rPr>
          <w:sz w:val="22"/>
          <w:szCs w:val="22"/>
        </w:rPr>
      </w:pPr>
      <w:r>
        <w:rPr>
          <w:rFonts w:ascii="Arial" w:eastAsia="Arial" w:hAnsi="Arial" w:cs="Arial"/>
          <w:sz w:val="22"/>
          <w:szCs w:val="22"/>
        </w:rPr>
        <w:t>RA 11862 or “Expanded Anti-Trafficking in Persons Act of 2022”, amended the previous RA 9208 or Anti-trafficking in Persons Act of 2003. The revised law intends to widen the scope of human trafficking in the Philippines with the objective to curb trafficking in persons. The provision that puts an age restriction for women seeking domestic work abroad however is concerning and allegedly discriminatory based on the analysis and statement by migrants rights groups.</w:t>
      </w:r>
      <w:r>
        <w:rPr>
          <w:rFonts w:ascii="Arial" w:eastAsia="Arial" w:hAnsi="Arial" w:cs="Arial"/>
          <w:sz w:val="22"/>
          <w:szCs w:val="22"/>
          <w:vertAlign w:val="superscript"/>
        </w:rPr>
        <w:footnoteReference w:id="26"/>
      </w:r>
      <w:r>
        <w:rPr>
          <w:rFonts w:ascii="Arial" w:eastAsia="Arial" w:hAnsi="Arial" w:cs="Arial"/>
          <w:sz w:val="22"/>
          <w:szCs w:val="22"/>
        </w:rPr>
        <w:t>. Sec. 4 of RA 11862 states that it shall be an act of trafficking in person:</w:t>
      </w:r>
    </w:p>
    <w:p w14:paraId="1A6658A2" w14:textId="77777777" w:rsidR="000E3000" w:rsidRDefault="000E3000">
      <w:pPr>
        <w:spacing w:line="240" w:lineRule="auto"/>
        <w:ind w:left="0" w:right="567" w:hanging="2"/>
        <w:jc w:val="both"/>
        <w:rPr>
          <w:rFonts w:ascii="Arial" w:eastAsia="Arial" w:hAnsi="Arial" w:cs="Arial"/>
          <w:sz w:val="22"/>
          <w:szCs w:val="22"/>
        </w:rPr>
      </w:pPr>
    </w:p>
    <w:p w14:paraId="63630B6D" w14:textId="77777777" w:rsidR="000E3000" w:rsidRDefault="00000000">
      <w:pPr>
        <w:spacing w:line="240" w:lineRule="auto"/>
        <w:ind w:left="0" w:right="567" w:hanging="2"/>
        <w:jc w:val="both"/>
        <w:rPr>
          <w:rFonts w:ascii="Arial" w:eastAsia="Arial" w:hAnsi="Arial" w:cs="Arial"/>
          <w:sz w:val="22"/>
          <w:szCs w:val="22"/>
        </w:rPr>
      </w:pPr>
      <w:r>
        <w:rPr>
          <w:rFonts w:ascii="Arial" w:eastAsia="Arial" w:hAnsi="Arial" w:cs="Arial"/>
          <w:sz w:val="22"/>
          <w:szCs w:val="22"/>
        </w:rPr>
        <w:t xml:space="preserve">“(m) To recruit, transport, obtain, transfer </w:t>
      </w:r>
      <w:proofErr w:type="spellStart"/>
      <w:r>
        <w:rPr>
          <w:rFonts w:ascii="Arial" w:eastAsia="Arial" w:hAnsi="Arial" w:cs="Arial"/>
          <w:sz w:val="22"/>
          <w:szCs w:val="22"/>
        </w:rPr>
        <w:t>harbor</w:t>
      </w:r>
      <w:proofErr w:type="spellEnd"/>
      <w:r>
        <w:rPr>
          <w:rFonts w:ascii="Arial" w:eastAsia="Arial" w:hAnsi="Arial" w:cs="Arial"/>
          <w:sz w:val="22"/>
          <w:szCs w:val="22"/>
        </w:rPr>
        <w:t>, maintain, offer, hire, provide, receive, or adopt a child for deployment abroad as a migrant worker. Provided, that when the victim is a child, the means to commit these unlawful acts as enumerated in the first paragraph of this section shall not be necessary: Provided further, that in the case of overseas domestic work, a ‘child’ means a person below twenty-four (24) years old.”</w:t>
      </w:r>
    </w:p>
    <w:p w14:paraId="69BA46DC" w14:textId="77777777" w:rsidR="000E3000" w:rsidRDefault="000E3000">
      <w:pPr>
        <w:spacing w:line="240" w:lineRule="auto"/>
        <w:ind w:left="0" w:right="567" w:hanging="2"/>
        <w:jc w:val="both"/>
        <w:rPr>
          <w:rFonts w:ascii="Arial" w:eastAsia="Arial" w:hAnsi="Arial" w:cs="Arial"/>
          <w:sz w:val="22"/>
          <w:szCs w:val="22"/>
        </w:rPr>
      </w:pPr>
    </w:p>
    <w:p w14:paraId="2A3D6633" w14:textId="77777777" w:rsidR="000E3000" w:rsidRDefault="00000000">
      <w:pPr>
        <w:numPr>
          <w:ilvl w:val="0"/>
          <w:numId w:val="1"/>
        </w:numPr>
        <w:spacing w:line="240" w:lineRule="auto"/>
        <w:ind w:left="0" w:right="567" w:hanging="2"/>
        <w:jc w:val="both"/>
        <w:rPr>
          <w:sz w:val="22"/>
          <w:szCs w:val="22"/>
        </w:rPr>
      </w:pPr>
      <w:r>
        <w:rPr>
          <w:rFonts w:ascii="Arial" w:eastAsia="Arial" w:hAnsi="Arial" w:cs="Arial"/>
          <w:sz w:val="22"/>
          <w:szCs w:val="22"/>
        </w:rPr>
        <w:t xml:space="preserve">“The Anti-trafficking in Persons Act of 2003 defined a “child” as a person below 18 years old while the 2007 Household Service Worker Policy reform package set the minimum age for a migrant domestic worker to be deployed at 23 years old and above. However, in July 2022, the POEA issued Advisory No. 43-2022 which affirmed the </w:t>
      </w:r>
      <w:r>
        <w:rPr>
          <w:rFonts w:ascii="Arial" w:eastAsia="Arial" w:hAnsi="Arial" w:cs="Arial"/>
          <w:sz w:val="22"/>
          <w:szCs w:val="22"/>
        </w:rPr>
        <w:lastRenderedPageBreak/>
        <w:t>provision under Section 4 (m) of RA11862 and thereby increasing the minimum age for a migrant domestic worker from 23 years old to 24 years old.”</w:t>
      </w:r>
      <w:r>
        <w:rPr>
          <w:rFonts w:ascii="Arial" w:eastAsia="Arial" w:hAnsi="Arial" w:cs="Arial"/>
          <w:sz w:val="22"/>
          <w:szCs w:val="22"/>
          <w:vertAlign w:val="superscript"/>
        </w:rPr>
        <w:footnoteReference w:id="27"/>
      </w:r>
    </w:p>
    <w:p w14:paraId="10868B2C" w14:textId="77777777" w:rsidR="000E3000" w:rsidRDefault="000E3000">
      <w:pPr>
        <w:spacing w:line="240" w:lineRule="auto"/>
        <w:ind w:left="0" w:right="567" w:hanging="2"/>
        <w:jc w:val="both"/>
        <w:rPr>
          <w:rFonts w:ascii="Arial" w:eastAsia="Arial" w:hAnsi="Arial" w:cs="Arial"/>
          <w:sz w:val="22"/>
          <w:szCs w:val="22"/>
        </w:rPr>
      </w:pPr>
    </w:p>
    <w:p w14:paraId="1495C5E4" w14:textId="77777777" w:rsidR="000E3000" w:rsidRDefault="00000000">
      <w:pPr>
        <w:numPr>
          <w:ilvl w:val="0"/>
          <w:numId w:val="1"/>
        </w:numPr>
        <w:spacing w:line="240" w:lineRule="auto"/>
        <w:ind w:left="0" w:right="567" w:hanging="2"/>
        <w:jc w:val="both"/>
        <w:rPr>
          <w:sz w:val="22"/>
          <w:szCs w:val="22"/>
        </w:rPr>
      </w:pPr>
      <w:r>
        <w:rPr>
          <w:rFonts w:ascii="Arial" w:eastAsia="Arial" w:hAnsi="Arial" w:cs="Arial"/>
          <w:sz w:val="22"/>
          <w:szCs w:val="22"/>
        </w:rPr>
        <w:t>While the CHRP notes the intention of the government to protect women migrant workers who could be vulnerable to human trafficking, section 4 (m) in RA 11862 and the subsequent POEA advisory are in contravention with CEDAW and its provision on the migrant women’s right to work and travel, as well as CEDAW General Recommendation No. 26 on women migrant workers that forbids States to impose age-specific bans, among others (para. 24(a). ILO Conventions ratified by the Philippine government including ILO Convention no.189 on Decent Work for Domestic Workers binds States Parties to set the minimum age for workers at 18 years old.</w:t>
      </w:r>
    </w:p>
    <w:p w14:paraId="50D58A6D" w14:textId="77777777" w:rsidR="000E3000" w:rsidRDefault="000E3000">
      <w:pPr>
        <w:spacing w:line="240" w:lineRule="auto"/>
        <w:ind w:left="0" w:right="567" w:hanging="2"/>
        <w:jc w:val="both"/>
        <w:rPr>
          <w:rFonts w:ascii="Arial" w:eastAsia="Arial" w:hAnsi="Arial" w:cs="Arial"/>
          <w:sz w:val="22"/>
          <w:szCs w:val="22"/>
        </w:rPr>
      </w:pPr>
    </w:p>
    <w:p w14:paraId="2B2C6632" w14:textId="77777777" w:rsidR="000E3000" w:rsidRDefault="00000000">
      <w:pPr>
        <w:numPr>
          <w:ilvl w:val="0"/>
          <w:numId w:val="1"/>
        </w:numPr>
        <w:spacing w:line="240" w:lineRule="auto"/>
        <w:ind w:left="0" w:right="567" w:hanging="2"/>
        <w:jc w:val="both"/>
        <w:rPr>
          <w:sz w:val="22"/>
          <w:szCs w:val="22"/>
        </w:rPr>
      </w:pPr>
      <w:r>
        <w:rPr>
          <w:rFonts w:ascii="Arial" w:eastAsia="Arial" w:hAnsi="Arial" w:cs="Arial"/>
          <w:sz w:val="22"/>
          <w:szCs w:val="22"/>
        </w:rPr>
        <w:t xml:space="preserve">The CHRP requests the CMW to urge the State Party to revisit Sec. 4 (m) of RA 11862 and consider revising the provision in accordance with domestic </w:t>
      </w:r>
      <w:proofErr w:type="spellStart"/>
      <w:r>
        <w:rPr>
          <w:rFonts w:ascii="Arial" w:eastAsia="Arial" w:hAnsi="Arial" w:cs="Arial"/>
          <w:sz w:val="22"/>
          <w:szCs w:val="22"/>
        </w:rPr>
        <w:t>labor</w:t>
      </w:r>
      <w:proofErr w:type="spellEnd"/>
      <w:r>
        <w:rPr>
          <w:rFonts w:ascii="Arial" w:eastAsia="Arial" w:hAnsi="Arial" w:cs="Arial"/>
          <w:sz w:val="22"/>
          <w:szCs w:val="22"/>
        </w:rPr>
        <w:t xml:space="preserve"> laws and international human rights standards. </w:t>
      </w:r>
    </w:p>
    <w:p w14:paraId="61594389" w14:textId="77777777" w:rsidR="000E3000" w:rsidRDefault="000E3000">
      <w:pPr>
        <w:spacing w:line="240" w:lineRule="auto"/>
        <w:ind w:left="0" w:right="567" w:hanging="2"/>
        <w:jc w:val="both"/>
        <w:rPr>
          <w:rFonts w:ascii="Arial" w:eastAsia="Arial" w:hAnsi="Arial" w:cs="Arial"/>
          <w:sz w:val="22"/>
          <w:szCs w:val="22"/>
        </w:rPr>
      </w:pPr>
    </w:p>
    <w:sectPr w:rsidR="000E3000">
      <w:headerReference w:type="even" r:id="rId14"/>
      <w:headerReference w:type="default" r:id="rId15"/>
      <w:footerReference w:type="even" r:id="rId16"/>
      <w:footerReference w:type="default" r:id="rId17"/>
      <w:headerReference w:type="first" r:id="rId18"/>
      <w:footerReference w:type="first" r:id="rId19"/>
      <w:pgSz w:w="11907" w:h="16840"/>
      <w:pgMar w:top="1701" w:right="1559" w:bottom="2268" w:left="1134" w:header="1134" w:footer="1701"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C0F28" w14:textId="77777777" w:rsidR="007728BD" w:rsidRDefault="007728BD">
      <w:pPr>
        <w:spacing w:line="240" w:lineRule="auto"/>
        <w:ind w:left="0" w:hanging="2"/>
      </w:pPr>
      <w:r>
        <w:separator/>
      </w:r>
    </w:p>
  </w:endnote>
  <w:endnote w:type="continuationSeparator" w:id="0">
    <w:p w14:paraId="60F4F0E0" w14:textId="77777777" w:rsidR="007728BD" w:rsidRDefault="007728BD">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80D0A" w14:textId="77777777" w:rsidR="000E3000" w:rsidRDefault="00000000">
    <w:pPr>
      <w:pBdr>
        <w:top w:val="nil"/>
        <w:left w:val="nil"/>
        <w:bottom w:val="nil"/>
        <w:right w:val="nil"/>
        <w:between w:val="nil"/>
      </w:pBdr>
      <w:tabs>
        <w:tab w:val="right" w:pos="9638"/>
      </w:tabs>
      <w:spacing w:line="240" w:lineRule="auto"/>
      <w:ind w:left="0" w:hanging="2"/>
      <w:jc w:val="right"/>
      <w:rPr>
        <w:color w:val="000000"/>
        <w:sz w:val="16"/>
        <w:szCs w:val="16"/>
      </w:rPr>
    </w:pPr>
    <w:r>
      <w:rPr>
        <w:b/>
        <w:sz w:val="18"/>
        <w:szCs w:val="18"/>
      </w:rPr>
      <w:tab/>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F3320D">
      <w:rPr>
        <w:b/>
        <w:noProof/>
        <w:color w:val="000000"/>
        <w:sz w:val="18"/>
        <w:szCs w:val="18"/>
      </w:rPr>
      <w:t>2</w:t>
    </w:r>
    <w:r>
      <w:rPr>
        <w:b/>
        <w:color w:val="000000"/>
        <w:sz w:val="18"/>
        <w:szCs w:val="18"/>
      </w:rPr>
      <w:fldChar w:fldCharType="end"/>
    </w:r>
    <w:r>
      <w:rPr>
        <w:color w:val="000000"/>
        <w:sz w:val="18"/>
        <w:szCs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DAE41" w14:textId="5FA2F92A" w:rsidR="000E3000" w:rsidRDefault="00000000">
    <w:pPr>
      <w:pBdr>
        <w:top w:val="nil"/>
        <w:left w:val="nil"/>
        <w:bottom w:val="nil"/>
        <w:right w:val="nil"/>
        <w:between w:val="nil"/>
      </w:pBdr>
      <w:tabs>
        <w:tab w:val="right" w:pos="9638"/>
      </w:tabs>
      <w:spacing w:line="240" w:lineRule="auto"/>
      <w:ind w:left="0" w:hanging="2"/>
      <w:rPr>
        <w:color w:val="000000"/>
        <w:sz w:val="18"/>
        <w:szCs w:val="18"/>
      </w:rPr>
    </w:pPr>
    <w:r>
      <w:rPr>
        <w:color w:val="000000"/>
        <w:sz w:val="16"/>
        <w:szCs w:val="16"/>
      </w:rPr>
      <w:tab/>
    </w:r>
    <w:r>
      <w:rPr>
        <w:b/>
        <w:color w:val="000000"/>
        <w:sz w:val="18"/>
        <w:szCs w:val="18"/>
      </w:rPr>
      <w:fldChar w:fldCharType="begin"/>
    </w:r>
    <w:r>
      <w:rPr>
        <w:b/>
        <w:color w:val="000000"/>
        <w:sz w:val="18"/>
        <w:szCs w:val="18"/>
      </w:rPr>
      <w:instrText>PAGE</w:instrText>
    </w:r>
    <w:r>
      <w:rPr>
        <w:b/>
        <w:color w:val="000000"/>
        <w:sz w:val="18"/>
        <w:szCs w:val="18"/>
      </w:rPr>
      <w:fldChar w:fldCharType="separate"/>
    </w:r>
    <w:r w:rsidR="00F3320D">
      <w:rPr>
        <w:b/>
        <w:noProof/>
        <w:color w:val="000000"/>
        <w:sz w:val="18"/>
        <w:szCs w:val="18"/>
      </w:rPr>
      <w:t>3</w:t>
    </w:r>
    <w:r>
      <w:rPr>
        <w:b/>
        <w:color w:val="000000"/>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8EA634" w14:textId="77777777" w:rsidR="000E3000" w:rsidRDefault="00000000">
    <w:pPr>
      <w:ind w:left="0" w:hanging="2"/>
      <w:jc w:val="right"/>
    </w:pPr>
    <w:r>
      <w:fldChar w:fldCharType="begin"/>
    </w:r>
    <w:r>
      <w:instrText>PAGE</w:instrText>
    </w:r>
    <w:r>
      <w:fldChar w:fldCharType="separate"/>
    </w:r>
    <w:r w:rsidR="00F3320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E5010A" w14:textId="77777777" w:rsidR="007728BD" w:rsidRDefault="007728BD">
      <w:pPr>
        <w:spacing w:line="240" w:lineRule="auto"/>
        <w:ind w:left="0" w:hanging="2"/>
      </w:pPr>
      <w:r>
        <w:separator/>
      </w:r>
    </w:p>
  </w:footnote>
  <w:footnote w:type="continuationSeparator" w:id="0">
    <w:p w14:paraId="7B61A7D0" w14:textId="77777777" w:rsidR="007728BD" w:rsidRDefault="007728BD">
      <w:pPr>
        <w:spacing w:line="240" w:lineRule="auto"/>
        <w:ind w:left="0" w:hanging="2"/>
      </w:pPr>
      <w:r>
        <w:continuationSeparator/>
      </w:r>
    </w:p>
  </w:footnote>
  <w:footnote w:id="1">
    <w:p w14:paraId="6F55F30B" w14:textId="77777777" w:rsidR="000E3000" w:rsidRDefault="00000000">
      <w:pPr>
        <w:ind w:left="0" w:hanging="2"/>
      </w:pPr>
      <w:r>
        <w:rPr>
          <w:vertAlign w:val="superscript"/>
        </w:rPr>
        <w:footnoteRef/>
      </w:r>
      <w:r>
        <w:t xml:space="preserve"> As the National Human Rights Institution (NHRI) of the Philippines, the Commission on Human Rights is mandated by the 1987 Philippine Constitution and the Paris Principles to promote and protect human rights including civil and political rights, and economic, social, and cultural rights.  It has been accredited an “A” Status by the Sub-Committee for Accreditation of the Global Alliance of National Human Rights Institutions (“GANHRI”). More information here: </w:t>
      </w:r>
      <w:hyperlink r:id="rId1">
        <w:r>
          <w:rPr>
            <w:color w:val="1155CC"/>
            <w:u w:val="single"/>
          </w:rPr>
          <w:t>www.chr.gov.ph</w:t>
        </w:r>
      </w:hyperlink>
      <w:r>
        <w:t xml:space="preserve"> </w:t>
      </w:r>
    </w:p>
    <w:p w14:paraId="4F59ED33" w14:textId="77777777" w:rsidR="000E3000" w:rsidRDefault="000E3000">
      <w:pPr>
        <w:ind w:left="0" w:hanging="2"/>
      </w:pPr>
    </w:p>
  </w:footnote>
  <w:footnote w:id="2">
    <w:p w14:paraId="47ED8F46" w14:textId="59F1C9A8" w:rsidR="000E3000" w:rsidRDefault="00000000">
      <w:pPr>
        <w:ind w:left="0" w:hanging="2"/>
      </w:pPr>
      <w:r>
        <w:rPr>
          <w:vertAlign w:val="superscript"/>
        </w:rPr>
        <w:footnoteRef/>
      </w:r>
      <w:r>
        <w:t xml:space="preserve"> Most recent online and hybrid consultations were with Overseas Filipino Workers, migrant support groups and NGOs on 27 and 31 January 2023</w:t>
      </w:r>
      <w:r w:rsidR="00954892">
        <w:t xml:space="preserve">, co-organized with the </w:t>
      </w:r>
      <w:proofErr w:type="spellStart"/>
      <w:r w:rsidR="00954892">
        <w:t>Center</w:t>
      </w:r>
      <w:proofErr w:type="spellEnd"/>
      <w:r w:rsidR="00954892">
        <w:t xml:space="preserve"> for Migrant Advocacy</w:t>
      </w:r>
      <w:r>
        <w:t xml:space="preserve">. </w:t>
      </w:r>
    </w:p>
  </w:footnote>
  <w:footnote w:id="3">
    <w:p w14:paraId="7F9E50C9" w14:textId="77777777" w:rsidR="000E3000" w:rsidRDefault="00000000">
      <w:pPr>
        <w:ind w:left="0" w:hanging="2"/>
      </w:pPr>
      <w:r>
        <w:rPr>
          <w:vertAlign w:val="superscript"/>
        </w:rPr>
        <w:footnoteRef/>
      </w:r>
      <w:r>
        <w:t xml:space="preserve"> Gaps in Access to Justice: The Overseas Filipino Workers' Experience, an Initial Analysis of Philippine Jurisprudence on </w:t>
      </w:r>
      <w:proofErr w:type="spellStart"/>
      <w:r>
        <w:t>Labor</w:t>
      </w:r>
      <w:proofErr w:type="spellEnd"/>
      <w:r>
        <w:t xml:space="preserve"> Migration ; Baseline Study on the Rights of Migrant Workers: Towards a Human Rights Observatory for Migrant Workers and Members of their Families ; Protocol on Case Referral and Resolution of Cases of Overseas Filipino Workers and Members of their Families; CHR Protocol for OFW Cases Reported via Social Media</w:t>
      </w:r>
    </w:p>
    <w:p w14:paraId="778E1F7C" w14:textId="77777777" w:rsidR="000E3000" w:rsidRDefault="000E3000">
      <w:pPr>
        <w:ind w:left="0" w:hanging="2"/>
      </w:pPr>
    </w:p>
    <w:p w14:paraId="225ACA9D" w14:textId="77777777" w:rsidR="000E3000" w:rsidRDefault="000E3000">
      <w:pPr>
        <w:ind w:left="0" w:hanging="2"/>
      </w:pPr>
    </w:p>
  </w:footnote>
  <w:footnote w:id="4">
    <w:p w14:paraId="101BB88A" w14:textId="77777777" w:rsidR="000E3000" w:rsidRDefault="00000000">
      <w:pPr>
        <w:ind w:left="0" w:hanging="2"/>
      </w:pPr>
      <w:r>
        <w:rPr>
          <w:vertAlign w:val="superscript"/>
        </w:rPr>
        <w:footnoteRef/>
      </w:r>
      <w:r>
        <w:t xml:space="preserve"> </w:t>
      </w:r>
      <w:hyperlink r:id="rId2">
        <w:r>
          <w:rPr>
            <w:color w:val="1155CC"/>
            <w:u w:val="single"/>
          </w:rPr>
          <w:t>https://www.officialgazette.gov.ph/downloads/2021/12dec/20211230-RA-11641-RRD.pdf</w:t>
        </w:r>
      </w:hyperlink>
      <w:r>
        <w:t xml:space="preserve"> ; The merged agencies are: the Philippine Overseas Employment Administration (POEA); the Office of the Undersecretary for Migrant Workers' Affairs (OUMWA) of the DFA; the International </w:t>
      </w:r>
      <w:proofErr w:type="spellStart"/>
      <w:r>
        <w:t>Labor</w:t>
      </w:r>
      <w:proofErr w:type="spellEnd"/>
      <w:r>
        <w:t xml:space="preserve"> Affairs Bureau (ILAB) and all Philippine Overseas </w:t>
      </w:r>
      <w:proofErr w:type="spellStart"/>
      <w:r>
        <w:t>Labor</w:t>
      </w:r>
      <w:proofErr w:type="spellEnd"/>
      <w:r>
        <w:t xml:space="preserve"> Offices (POLO) under DOLE; the National Maritime Polytechnic (NMP); the National Reintegration </w:t>
      </w:r>
      <w:proofErr w:type="spellStart"/>
      <w:r>
        <w:t>Center</w:t>
      </w:r>
      <w:proofErr w:type="spellEnd"/>
      <w:r>
        <w:t xml:space="preserve"> for OFWs (NRC) under the OWWA, and the Office of the Social Welfare Attaché (OSWA) under the DSWD.</w:t>
      </w:r>
    </w:p>
  </w:footnote>
  <w:footnote w:id="5">
    <w:p w14:paraId="12832EE6" w14:textId="77777777" w:rsidR="000E3000" w:rsidRDefault="00000000">
      <w:pPr>
        <w:ind w:left="0" w:hanging="2"/>
      </w:pPr>
      <w:r>
        <w:rPr>
          <w:vertAlign w:val="superscript"/>
        </w:rPr>
        <w:footnoteRef/>
      </w:r>
      <w:r>
        <w:t xml:space="preserve"> </w:t>
      </w:r>
      <w:hyperlink r:id="rId3">
        <w:r>
          <w:rPr>
            <w:color w:val="1155CC"/>
            <w:u w:val="single"/>
          </w:rPr>
          <w:t>https://www.pna.gov.ph/articles/1165329</w:t>
        </w:r>
      </w:hyperlink>
      <w:r>
        <w:t xml:space="preserve"> </w:t>
      </w:r>
    </w:p>
  </w:footnote>
  <w:footnote w:id="6">
    <w:p w14:paraId="4DAAD9D6" w14:textId="77777777" w:rsidR="000E3000" w:rsidRDefault="00000000">
      <w:pPr>
        <w:ind w:left="0" w:hanging="2"/>
        <w:rPr>
          <w:rFonts w:ascii="Arial" w:eastAsia="Arial" w:hAnsi="Arial" w:cs="Arial"/>
          <w:i/>
          <w:sz w:val="18"/>
          <w:szCs w:val="18"/>
        </w:rPr>
      </w:pPr>
      <w:r>
        <w:rPr>
          <w:vertAlign w:val="superscript"/>
        </w:rPr>
        <w:footnoteRef/>
      </w:r>
      <w:r>
        <w:rPr>
          <w:rFonts w:ascii="Arial" w:eastAsia="Arial" w:hAnsi="Arial" w:cs="Arial"/>
          <w:sz w:val="18"/>
          <w:szCs w:val="18"/>
        </w:rPr>
        <w:t xml:space="preserve"> </w:t>
      </w:r>
      <w:r>
        <w:rPr>
          <w:rFonts w:ascii="Arial" w:eastAsia="Arial" w:hAnsi="Arial" w:cs="Arial"/>
          <w:i/>
          <w:sz w:val="18"/>
          <w:szCs w:val="18"/>
        </w:rPr>
        <w:t>Id.</w:t>
      </w:r>
    </w:p>
  </w:footnote>
  <w:footnote w:id="7">
    <w:p w14:paraId="2E73CDFF" w14:textId="77777777" w:rsidR="000E3000" w:rsidRDefault="00000000">
      <w:pPr>
        <w:ind w:left="0" w:hanging="2"/>
        <w:rPr>
          <w:rFonts w:ascii="Arial" w:eastAsia="Arial" w:hAnsi="Arial" w:cs="Arial"/>
          <w:i/>
          <w:sz w:val="18"/>
          <w:szCs w:val="18"/>
        </w:rPr>
      </w:pPr>
      <w:r>
        <w:rPr>
          <w:vertAlign w:val="superscript"/>
        </w:rPr>
        <w:footnoteRef/>
      </w:r>
      <w:r>
        <w:rPr>
          <w:rFonts w:ascii="Arial" w:eastAsia="Arial" w:hAnsi="Arial" w:cs="Arial"/>
          <w:sz w:val="18"/>
          <w:szCs w:val="18"/>
        </w:rPr>
        <w:t xml:space="preserve"> </w:t>
      </w:r>
      <w:r>
        <w:rPr>
          <w:rFonts w:ascii="Arial" w:eastAsia="Arial" w:hAnsi="Arial" w:cs="Arial"/>
          <w:i/>
          <w:sz w:val="18"/>
          <w:szCs w:val="18"/>
        </w:rPr>
        <w:t>Id.</w:t>
      </w:r>
    </w:p>
  </w:footnote>
  <w:footnote w:id="8">
    <w:p w14:paraId="2BB26EA7" w14:textId="77777777" w:rsidR="000E3000" w:rsidRDefault="00000000">
      <w:pPr>
        <w:ind w:left="0" w:hanging="2"/>
        <w:rPr>
          <w:rFonts w:ascii="Arial" w:eastAsia="Arial" w:hAnsi="Arial" w:cs="Arial"/>
          <w:i/>
          <w:sz w:val="18"/>
          <w:szCs w:val="18"/>
        </w:rPr>
      </w:pPr>
      <w:r>
        <w:rPr>
          <w:vertAlign w:val="superscript"/>
        </w:rPr>
        <w:footnoteRef/>
      </w:r>
      <w:r>
        <w:rPr>
          <w:rFonts w:ascii="Arial" w:eastAsia="Arial" w:hAnsi="Arial" w:cs="Arial"/>
          <w:sz w:val="18"/>
          <w:szCs w:val="18"/>
        </w:rPr>
        <w:t xml:space="preserve"> </w:t>
      </w:r>
      <w:r>
        <w:rPr>
          <w:rFonts w:ascii="Arial" w:eastAsia="Arial" w:hAnsi="Arial" w:cs="Arial"/>
          <w:i/>
          <w:sz w:val="18"/>
          <w:szCs w:val="18"/>
        </w:rPr>
        <w:t>Id.</w:t>
      </w:r>
    </w:p>
  </w:footnote>
  <w:footnote w:id="9">
    <w:p w14:paraId="774BCD4A" w14:textId="77777777" w:rsidR="000E3000" w:rsidRDefault="00000000">
      <w:pPr>
        <w:ind w:left="0" w:hanging="2"/>
      </w:pPr>
      <w:r>
        <w:rPr>
          <w:vertAlign w:val="superscript"/>
        </w:rPr>
        <w:footnoteRef/>
      </w:r>
      <w:r>
        <w:t xml:space="preserve"> Regions NCR, IV-A, XI, XII, and XIII</w:t>
      </w:r>
    </w:p>
    <w:p w14:paraId="320F7ACF" w14:textId="77777777" w:rsidR="000E3000" w:rsidRDefault="000E3000">
      <w:pPr>
        <w:ind w:left="0" w:hanging="2"/>
      </w:pPr>
    </w:p>
  </w:footnote>
  <w:footnote w:id="10">
    <w:p w14:paraId="16E71278" w14:textId="77777777" w:rsidR="000E3000" w:rsidRDefault="00000000">
      <w:pPr>
        <w:ind w:left="0" w:hanging="2"/>
      </w:pPr>
      <w:r>
        <w:rPr>
          <w:vertAlign w:val="superscript"/>
        </w:rPr>
        <w:footnoteRef/>
      </w:r>
      <w:r>
        <w:t xml:space="preserve"> </w:t>
      </w:r>
      <w:hyperlink r:id="rId4">
        <w:r>
          <w:rPr>
            <w:color w:val="1155CC"/>
            <w:u w:val="single"/>
          </w:rPr>
          <w:t>https://chr.gov.ph/statement-of-the-commission-on-human-rights-on-the-brutal-killing-of-a-filipina-migrant-worker-in-kuwait/</w:t>
        </w:r>
      </w:hyperlink>
      <w:r>
        <w:t xml:space="preserve"> </w:t>
      </w:r>
    </w:p>
  </w:footnote>
  <w:footnote w:id="11">
    <w:p w14:paraId="39BC5312" w14:textId="77777777" w:rsidR="000E3000" w:rsidRDefault="00000000">
      <w:pPr>
        <w:ind w:left="0" w:hanging="2"/>
      </w:pPr>
      <w:r>
        <w:rPr>
          <w:vertAlign w:val="superscript"/>
        </w:rPr>
        <w:footnoteRef/>
      </w:r>
      <w:r>
        <w:t xml:space="preserve"> </w:t>
      </w:r>
      <w:hyperlink r:id="rId5">
        <w:r>
          <w:rPr>
            <w:color w:val="1155CC"/>
            <w:u w:val="single"/>
          </w:rPr>
          <w:t>https://www.pna.gov.ph/articles/1192423</w:t>
        </w:r>
      </w:hyperlink>
      <w:r>
        <w:t xml:space="preserve"> </w:t>
      </w:r>
    </w:p>
  </w:footnote>
  <w:footnote w:id="12">
    <w:p w14:paraId="08CBAC57" w14:textId="77777777" w:rsidR="000E3000" w:rsidRDefault="00000000">
      <w:pPr>
        <w:ind w:left="0" w:hanging="2"/>
      </w:pPr>
      <w:r>
        <w:rPr>
          <w:vertAlign w:val="superscript"/>
        </w:rPr>
        <w:footnoteRef/>
      </w:r>
      <w:r>
        <w:t xml:space="preserve"> </w:t>
      </w:r>
      <w:hyperlink r:id="rId6">
        <w:r>
          <w:rPr>
            <w:color w:val="1155CC"/>
            <w:u w:val="single"/>
          </w:rPr>
          <w:t>https://www.righttolifeph.online/uploads/cms_uploads/a2021-005.pdf</w:t>
        </w:r>
      </w:hyperlink>
      <w:r>
        <w:t xml:space="preserve"> </w:t>
      </w:r>
    </w:p>
  </w:footnote>
  <w:footnote w:id="13">
    <w:p w14:paraId="089F2E12" w14:textId="77777777" w:rsidR="000E3000" w:rsidRDefault="00000000">
      <w:pPr>
        <w:ind w:left="0" w:hanging="2"/>
        <w:rPr>
          <w:i/>
        </w:rPr>
      </w:pPr>
      <w:r>
        <w:rPr>
          <w:vertAlign w:val="superscript"/>
        </w:rPr>
        <w:footnoteRef/>
      </w:r>
      <w:r>
        <w:t xml:space="preserve"> </w:t>
      </w:r>
      <w:r>
        <w:rPr>
          <w:i/>
        </w:rPr>
        <w:t>Ibid.</w:t>
      </w:r>
    </w:p>
  </w:footnote>
  <w:footnote w:id="14">
    <w:p w14:paraId="5DB71F4F" w14:textId="77777777" w:rsidR="000E3000" w:rsidRDefault="00000000">
      <w:pPr>
        <w:ind w:left="0" w:hanging="2"/>
      </w:pPr>
      <w:r>
        <w:rPr>
          <w:vertAlign w:val="superscript"/>
        </w:rPr>
        <w:footnoteRef/>
      </w:r>
      <w:r>
        <w:t xml:space="preserve"> </w:t>
      </w:r>
      <w:hyperlink r:id="rId7">
        <w:r>
          <w:rPr>
            <w:color w:val="1155CC"/>
            <w:u w:val="single"/>
          </w:rPr>
          <w:t>https://chr.gov.ph/statement-of-the-commission-on-human-rights-on-the-brutal-killing-of-a-filipina-migrant-worker-in-kuwait/</w:t>
        </w:r>
      </w:hyperlink>
      <w:r>
        <w:t xml:space="preserve"> </w:t>
      </w:r>
    </w:p>
  </w:footnote>
  <w:footnote w:id="15">
    <w:p w14:paraId="5539116F" w14:textId="77777777" w:rsidR="000E3000" w:rsidRDefault="00000000">
      <w:pPr>
        <w:ind w:left="0" w:hanging="2"/>
      </w:pPr>
      <w:r>
        <w:rPr>
          <w:vertAlign w:val="superscript"/>
        </w:rPr>
        <w:footnoteRef/>
      </w:r>
      <w:r>
        <w:t xml:space="preserve"> </w:t>
      </w:r>
      <w:hyperlink r:id="rId8">
        <w:r>
          <w:rPr>
            <w:color w:val="1155CC"/>
            <w:u w:val="single"/>
          </w:rPr>
          <w:t>https://chr.gov.ph/wp-content/uploads/2020/07/Human-Rights-Advisory-Providing-Video-Link-Evidence-in-Court-Proceeding-in-the-Philippines-CHR-A2019-006.pdf</w:t>
        </w:r>
      </w:hyperlink>
      <w:r>
        <w:t xml:space="preserve"> </w:t>
      </w:r>
    </w:p>
  </w:footnote>
  <w:footnote w:id="16">
    <w:p w14:paraId="095EB335" w14:textId="77777777" w:rsidR="000E3000" w:rsidRDefault="00000000">
      <w:pPr>
        <w:ind w:left="0" w:hanging="2"/>
        <w:rPr>
          <w:rFonts w:ascii="Calibri" w:eastAsia="Calibri" w:hAnsi="Calibri" w:cs="Calibri"/>
        </w:rPr>
      </w:pPr>
      <w:r>
        <w:rPr>
          <w:vertAlign w:val="superscript"/>
        </w:rPr>
        <w:footnoteRef/>
      </w:r>
      <w:r>
        <w:rPr>
          <w:rFonts w:ascii="Calibri" w:eastAsia="Calibri" w:hAnsi="Calibri" w:cs="Calibri"/>
        </w:rPr>
        <w:t xml:space="preserve"> Ron Bridget T. </w:t>
      </w:r>
      <w:proofErr w:type="spellStart"/>
      <w:r>
        <w:rPr>
          <w:rFonts w:ascii="Calibri" w:eastAsia="Calibri" w:hAnsi="Calibri" w:cs="Calibri"/>
        </w:rPr>
        <w:t>Vilog</w:t>
      </w:r>
      <w:proofErr w:type="spellEnd"/>
      <w:r>
        <w:rPr>
          <w:rFonts w:ascii="Calibri" w:eastAsia="Calibri" w:hAnsi="Calibri" w:cs="Calibri"/>
        </w:rPr>
        <w:t xml:space="preserve">* and Carlos M. </w:t>
      </w:r>
      <w:proofErr w:type="spellStart"/>
      <w:r>
        <w:rPr>
          <w:rFonts w:ascii="Calibri" w:eastAsia="Calibri" w:hAnsi="Calibri" w:cs="Calibri"/>
        </w:rPr>
        <w:t>Piocos</w:t>
      </w:r>
      <w:proofErr w:type="spellEnd"/>
      <w:r>
        <w:rPr>
          <w:rFonts w:ascii="Calibri" w:eastAsia="Calibri" w:hAnsi="Calibri" w:cs="Calibri"/>
        </w:rPr>
        <w:t xml:space="preserve"> III De La Salle University, Manila, Philippines, </w:t>
      </w:r>
      <w:r>
        <w:rPr>
          <w:rFonts w:ascii="Calibri" w:eastAsia="Calibri" w:hAnsi="Calibri" w:cs="Calibri"/>
          <w:i/>
          <w:color w:val="212529"/>
          <w:highlight w:val="white"/>
        </w:rPr>
        <w:t xml:space="preserve">“Research Study on Community of Care Amid Pandemic Inequality: The Case of Filipino Migrant Domestic Workers in the UK, Italy, and Hong Kong,” </w:t>
      </w:r>
      <w:r>
        <w:rPr>
          <w:rFonts w:ascii="Calibri" w:eastAsia="Calibri" w:hAnsi="Calibri" w:cs="Calibri"/>
          <w:color w:val="212529"/>
          <w:highlight w:val="white"/>
        </w:rPr>
        <w:t xml:space="preserve">June 2021, available at: </w:t>
      </w:r>
      <w:hyperlink r:id="rId9">
        <w:r>
          <w:rPr>
            <w:rFonts w:ascii="Calibri" w:eastAsia="Calibri" w:hAnsi="Calibri" w:cs="Calibri"/>
            <w:color w:val="1155CC"/>
            <w:u w:val="single"/>
          </w:rPr>
          <w:t>https://www.dlsu.edu.ph/wp-content/uploads/pdf/research/journals/apssr/2021-June-vol21-2/14-Community-of-Care-Amid-Pandemic-Inequality-The-Case-of-Filipino-Migrant-Domestic-Workers-in-the-UK-Italy-and-Hong-Kong</w:t>
        </w:r>
      </w:hyperlink>
      <w:r>
        <w:rPr>
          <w:rFonts w:ascii="Calibri" w:eastAsia="Calibri" w:hAnsi="Calibri" w:cs="Calibri"/>
        </w:rPr>
        <w:t>, Last accessed: 20 February 2023</w:t>
      </w:r>
    </w:p>
  </w:footnote>
  <w:footnote w:id="17">
    <w:p w14:paraId="110DB09A" w14:textId="77777777" w:rsidR="000E3000" w:rsidRDefault="00000000">
      <w:pPr>
        <w:ind w:left="0" w:hanging="2"/>
        <w:rPr>
          <w:rFonts w:ascii="Calibri" w:eastAsia="Calibri" w:hAnsi="Calibri" w:cs="Calibri"/>
        </w:rPr>
      </w:pPr>
      <w:r>
        <w:rPr>
          <w:vertAlign w:val="superscript"/>
        </w:rPr>
        <w:footnoteRef/>
      </w:r>
      <w:r>
        <w:rPr>
          <w:rFonts w:ascii="Calibri" w:eastAsia="Calibri" w:hAnsi="Calibri" w:cs="Calibri"/>
        </w:rPr>
        <w:t xml:space="preserve"> </w:t>
      </w:r>
      <w:hyperlink r:id="rId10">
        <w:proofErr w:type="spellStart"/>
        <w:r>
          <w:rPr>
            <w:rFonts w:ascii="Calibri" w:eastAsia="Calibri" w:hAnsi="Calibri" w:cs="Calibri"/>
            <w:color w:val="0563C1"/>
            <w:u w:val="single"/>
          </w:rPr>
          <w:t>Bayanihan</w:t>
        </w:r>
        <w:proofErr w:type="spellEnd"/>
        <w:r>
          <w:rPr>
            <w:rFonts w:ascii="Calibri" w:eastAsia="Calibri" w:hAnsi="Calibri" w:cs="Calibri"/>
            <w:color w:val="0563C1"/>
            <w:u w:val="single"/>
          </w:rPr>
          <w:t xml:space="preserve"> to Heal as One Act (RA 11469)</w:t>
        </w:r>
      </w:hyperlink>
      <w:r>
        <w:rPr>
          <w:rFonts w:ascii="Calibri" w:eastAsia="Calibri" w:hAnsi="Calibri" w:cs="Calibri"/>
        </w:rPr>
        <w:t xml:space="preserve">, Last accessed: 13 February 2023 </w:t>
      </w:r>
    </w:p>
  </w:footnote>
  <w:footnote w:id="18">
    <w:p w14:paraId="553CCE33" w14:textId="77777777" w:rsidR="000E3000" w:rsidRDefault="00000000">
      <w:pPr>
        <w:ind w:left="0" w:hanging="2"/>
        <w:rPr>
          <w:rFonts w:ascii="Calibri" w:eastAsia="Calibri" w:hAnsi="Calibri" w:cs="Calibri"/>
        </w:rPr>
      </w:pPr>
      <w:r>
        <w:rPr>
          <w:vertAlign w:val="superscript"/>
        </w:rPr>
        <w:footnoteRef/>
      </w:r>
      <w:r>
        <w:rPr>
          <w:rFonts w:ascii="Calibri" w:eastAsia="Calibri" w:hAnsi="Calibri" w:cs="Calibri"/>
        </w:rPr>
        <w:t xml:space="preserve"> </w:t>
      </w:r>
      <w:hyperlink r:id="rId11">
        <w:proofErr w:type="spellStart"/>
        <w:r>
          <w:rPr>
            <w:rFonts w:ascii="Calibri" w:eastAsia="Calibri" w:hAnsi="Calibri" w:cs="Calibri"/>
            <w:color w:val="0563C1"/>
            <w:u w:val="single"/>
          </w:rPr>
          <w:t>Bayanihan</w:t>
        </w:r>
        <w:proofErr w:type="spellEnd"/>
        <w:r>
          <w:rPr>
            <w:rFonts w:ascii="Calibri" w:eastAsia="Calibri" w:hAnsi="Calibri" w:cs="Calibri"/>
            <w:color w:val="0563C1"/>
            <w:u w:val="single"/>
          </w:rPr>
          <w:t xml:space="preserve"> to Recover as One Act (RA 11494)</w:t>
        </w:r>
      </w:hyperlink>
      <w:r>
        <w:rPr>
          <w:rFonts w:ascii="Calibri" w:eastAsia="Calibri" w:hAnsi="Calibri" w:cs="Calibri"/>
        </w:rPr>
        <w:t>, Last accessed: 13 February 2023</w:t>
      </w:r>
    </w:p>
    <w:bookmarkStart w:id="0" w:name="_heading=h.tyjcwt" w:colFirst="0" w:colLast="0"/>
    <w:bookmarkEnd w:id="0"/>
  </w:footnote>
  <w:footnote w:id="19">
    <w:p w14:paraId="18BF5498" w14:textId="77777777" w:rsidR="000E3000" w:rsidRDefault="00000000">
      <w:pPr>
        <w:ind w:left="0" w:hanging="2"/>
        <w:rPr>
          <w:rFonts w:ascii="Calibri" w:eastAsia="Calibri" w:hAnsi="Calibri" w:cs="Calibri"/>
        </w:rPr>
      </w:pPr>
      <w:bookmarkStart w:id="1" w:name="_heading=h.tyjcwt" w:colFirst="0" w:colLast="0"/>
      <w:bookmarkEnd w:id="1"/>
      <w:r>
        <w:rPr>
          <w:vertAlign w:val="superscript"/>
        </w:rPr>
        <w:footnoteRef/>
      </w:r>
      <w:r>
        <w:rPr>
          <w:rFonts w:ascii="Calibri" w:eastAsia="Calibri" w:hAnsi="Calibri" w:cs="Calibri"/>
        </w:rPr>
        <w:t xml:space="preserve"> Supra note 4. </w:t>
      </w:r>
    </w:p>
  </w:footnote>
  <w:footnote w:id="20">
    <w:p w14:paraId="7F1D0B6E" w14:textId="77777777" w:rsidR="000E3000" w:rsidRDefault="00000000">
      <w:pPr>
        <w:ind w:left="0" w:hanging="2"/>
        <w:rPr>
          <w:rFonts w:ascii="Calibri" w:eastAsia="Calibri" w:hAnsi="Calibri" w:cs="Calibri"/>
        </w:rPr>
      </w:pPr>
      <w:r>
        <w:rPr>
          <w:vertAlign w:val="superscript"/>
        </w:rPr>
        <w:footnoteRef/>
      </w:r>
      <w:r>
        <w:rPr>
          <w:rFonts w:ascii="Calibri" w:eastAsia="Calibri" w:hAnsi="Calibri" w:cs="Calibri"/>
        </w:rPr>
        <w:t xml:space="preserve"> Id.</w:t>
      </w:r>
    </w:p>
  </w:footnote>
  <w:footnote w:id="21">
    <w:p w14:paraId="184C6E5A" w14:textId="77777777" w:rsidR="000E3000" w:rsidRDefault="00000000">
      <w:pPr>
        <w:ind w:left="0" w:hanging="2"/>
        <w:rPr>
          <w:rFonts w:ascii="Calibri" w:eastAsia="Calibri" w:hAnsi="Calibri" w:cs="Calibri"/>
        </w:rPr>
      </w:pPr>
      <w:r>
        <w:rPr>
          <w:vertAlign w:val="superscript"/>
        </w:rPr>
        <w:footnoteRef/>
      </w:r>
      <w:r>
        <w:rPr>
          <w:rFonts w:ascii="Calibri" w:eastAsia="Calibri" w:hAnsi="Calibri" w:cs="Calibri"/>
        </w:rPr>
        <w:t xml:space="preserve"> Id.</w:t>
      </w:r>
    </w:p>
  </w:footnote>
  <w:footnote w:id="22">
    <w:p w14:paraId="4732420B" w14:textId="77777777" w:rsidR="000E3000" w:rsidRDefault="00000000">
      <w:pPr>
        <w:ind w:left="0" w:hanging="2"/>
        <w:rPr>
          <w:rFonts w:ascii="Calibri" w:eastAsia="Calibri" w:hAnsi="Calibri" w:cs="Calibri"/>
        </w:rPr>
      </w:pPr>
      <w:r>
        <w:rPr>
          <w:vertAlign w:val="superscript"/>
        </w:rPr>
        <w:footnoteRef/>
      </w:r>
      <w:r>
        <w:rPr>
          <w:rFonts w:ascii="Calibri" w:eastAsia="Calibri" w:hAnsi="Calibri" w:cs="Calibri"/>
        </w:rPr>
        <w:t xml:space="preserve"> CMA website, “</w:t>
      </w:r>
      <w:hyperlink r:id="rId12">
        <w:r>
          <w:rPr>
            <w:rFonts w:ascii="Calibri" w:eastAsia="Calibri" w:hAnsi="Calibri" w:cs="Calibri"/>
            <w:highlight w:val="white"/>
          </w:rPr>
          <w:t xml:space="preserve">Translating Rights – A Study on Bilateral Labor Agreements Between the Philippines and Saudi Arabia, Jordan, and Lebanon (2020),” available at </w:t>
        </w:r>
      </w:hyperlink>
      <w:hyperlink r:id="rId13">
        <w:r>
          <w:rPr>
            <w:rFonts w:ascii="Calibri" w:eastAsia="Calibri" w:hAnsi="Calibri" w:cs="Calibri"/>
          </w:rPr>
          <w:t>https://centerformigrantadvocacy.files.wordpress.com/2021/01/bla-study-v.-2.pdf</w:t>
        </w:r>
      </w:hyperlink>
      <w:r>
        <w:rPr>
          <w:rFonts w:ascii="Calibri" w:eastAsia="Calibri" w:hAnsi="Calibri" w:cs="Calibri"/>
        </w:rPr>
        <w:t>, Last accessed: 20 February 2023</w:t>
      </w:r>
    </w:p>
  </w:footnote>
  <w:footnote w:id="23">
    <w:p w14:paraId="6E1C878B" w14:textId="77777777" w:rsidR="000E3000" w:rsidRDefault="00000000">
      <w:pPr>
        <w:ind w:left="0" w:hanging="2"/>
        <w:rPr>
          <w:rFonts w:ascii="Arial" w:eastAsia="Arial" w:hAnsi="Arial" w:cs="Arial"/>
        </w:rPr>
      </w:pPr>
      <w:r>
        <w:rPr>
          <w:vertAlign w:val="superscript"/>
        </w:rPr>
        <w:footnoteRef/>
      </w:r>
      <w:r>
        <w:rPr>
          <w:rFonts w:ascii="Calibri" w:eastAsia="Calibri" w:hAnsi="Calibri" w:cs="Calibri"/>
        </w:rPr>
        <w:t xml:space="preserve"> </w:t>
      </w:r>
      <w:hyperlink r:id="rId14">
        <w:r>
          <w:rPr>
            <w:rFonts w:ascii="Calibri" w:eastAsia="Calibri" w:hAnsi="Calibri" w:cs="Calibri"/>
            <w:color w:val="0563C1"/>
            <w:u w:val="single"/>
          </w:rPr>
          <w:t>Joint Memorandum Circular (JMC) 001, s. 2019 or “The Rules and Procedures Governing Foreign Nationals Intending to Work in the Philippines.”</w:t>
        </w:r>
      </w:hyperlink>
    </w:p>
  </w:footnote>
  <w:footnote w:id="24">
    <w:p w14:paraId="5788E0BF" w14:textId="77777777" w:rsidR="000E3000" w:rsidRDefault="00000000">
      <w:pPr>
        <w:ind w:left="0" w:hanging="2"/>
        <w:rPr>
          <w:rFonts w:ascii="Arial" w:eastAsia="Arial" w:hAnsi="Arial" w:cs="Arial"/>
        </w:rPr>
      </w:pPr>
      <w:r>
        <w:rPr>
          <w:vertAlign w:val="superscript"/>
        </w:rPr>
        <w:footnoteRef/>
      </w:r>
      <w:r>
        <w:rPr>
          <w:rFonts w:ascii="Calibri" w:eastAsia="Calibri" w:hAnsi="Calibri" w:cs="Calibri"/>
        </w:rPr>
        <w:t xml:space="preserve"> Authored by Reps. Feliciano Belmonte, Jr. (4th District, Quezon City), Xavier Jesus Romualdo (Lone District, </w:t>
      </w:r>
      <w:proofErr w:type="spellStart"/>
      <w:r>
        <w:rPr>
          <w:rFonts w:ascii="Calibri" w:eastAsia="Calibri" w:hAnsi="Calibri" w:cs="Calibri"/>
        </w:rPr>
        <w:t>Camiguin</w:t>
      </w:r>
      <w:proofErr w:type="spellEnd"/>
      <w:r>
        <w:rPr>
          <w:rFonts w:ascii="Calibri" w:eastAsia="Calibri" w:hAnsi="Calibri" w:cs="Calibri"/>
        </w:rPr>
        <w:t xml:space="preserve">), Evelina Escudero (1st District, Sorsogon), Leopoldo </w:t>
      </w:r>
      <w:proofErr w:type="spellStart"/>
      <w:r>
        <w:rPr>
          <w:rFonts w:ascii="Calibri" w:eastAsia="Calibri" w:hAnsi="Calibri" w:cs="Calibri"/>
        </w:rPr>
        <w:t>Bataoil</w:t>
      </w:r>
      <w:proofErr w:type="spellEnd"/>
      <w:r>
        <w:rPr>
          <w:rFonts w:ascii="Calibri" w:eastAsia="Calibri" w:hAnsi="Calibri" w:cs="Calibri"/>
        </w:rPr>
        <w:t xml:space="preserve"> (2nd District, Pangasinan), and Maximo Rodriguez, Jr. (2nd District, Cagayan de Oro City), respectively. See here: </w:t>
      </w:r>
      <w:hyperlink r:id="rId15">
        <w:r>
          <w:rPr>
            <w:rFonts w:ascii="Calibri" w:eastAsia="Calibri" w:hAnsi="Calibri" w:cs="Calibri"/>
            <w:color w:val="1155CC"/>
            <w:u w:val="single"/>
          </w:rPr>
          <w:t>https://www.congress.gov.ph/press/details.php?pressid=10161</w:t>
        </w:r>
      </w:hyperlink>
      <w:r>
        <w:rPr>
          <w:rFonts w:ascii="Calibri" w:eastAsia="Calibri" w:hAnsi="Calibri" w:cs="Calibri"/>
        </w:rPr>
        <w:t xml:space="preserve"> </w:t>
      </w:r>
    </w:p>
  </w:footnote>
  <w:footnote w:id="25">
    <w:p w14:paraId="3922E5F7" w14:textId="77777777" w:rsidR="000E3000" w:rsidRDefault="00000000">
      <w:pPr>
        <w:ind w:left="0" w:hanging="2"/>
        <w:rPr>
          <w:rFonts w:ascii="Calibri" w:eastAsia="Calibri" w:hAnsi="Calibri" w:cs="Calibri"/>
        </w:rPr>
      </w:pPr>
      <w:r>
        <w:rPr>
          <w:vertAlign w:val="superscript"/>
        </w:rPr>
        <w:footnoteRef/>
      </w:r>
      <w:r>
        <w:rPr>
          <w:rFonts w:ascii="Calibri" w:eastAsia="Calibri" w:hAnsi="Calibri" w:cs="Calibri"/>
        </w:rPr>
        <w:t xml:space="preserve"> </w:t>
      </w:r>
      <w:hyperlink r:id="rId16">
        <w:r>
          <w:rPr>
            <w:rFonts w:ascii="Calibri" w:eastAsia="Calibri" w:hAnsi="Calibri" w:cs="Calibri"/>
            <w:color w:val="0563C1"/>
            <w:u w:val="single"/>
          </w:rPr>
          <w:t>Philippine Immigration Act of 2022</w:t>
        </w:r>
      </w:hyperlink>
      <w:r>
        <w:rPr>
          <w:rFonts w:ascii="Calibri" w:eastAsia="Calibri" w:hAnsi="Calibri" w:cs="Calibri"/>
        </w:rPr>
        <w:t>, filed on July 21, 2022 by Senator Zubiri, Juan Miguel "</w:t>
      </w:r>
      <w:proofErr w:type="spellStart"/>
      <w:r>
        <w:rPr>
          <w:rFonts w:ascii="Calibri" w:eastAsia="Calibri" w:hAnsi="Calibri" w:cs="Calibri"/>
        </w:rPr>
        <w:t>Migz</w:t>
      </w:r>
      <w:proofErr w:type="spellEnd"/>
      <w:r>
        <w:rPr>
          <w:rFonts w:ascii="Calibri" w:eastAsia="Calibri" w:hAnsi="Calibri" w:cs="Calibri"/>
        </w:rPr>
        <w:t>" F., Last accessed: 13 February 2023</w:t>
      </w:r>
    </w:p>
  </w:footnote>
  <w:footnote w:id="26">
    <w:p w14:paraId="0ADD01C3" w14:textId="77777777" w:rsidR="000E3000" w:rsidRDefault="00000000">
      <w:pPr>
        <w:ind w:left="0" w:hanging="2"/>
      </w:pPr>
      <w:r>
        <w:rPr>
          <w:vertAlign w:val="superscript"/>
        </w:rPr>
        <w:footnoteRef/>
      </w:r>
      <w:r>
        <w:t xml:space="preserve"> </w:t>
      </w:r>
      <w:hyperlink r:id="rId17">
        <w:r>
          <w:rPr>
            <w:color w:val="1155CC"/>
            <w:u w:val="single"/>
          </w:rPr>
          <w:t>https://z-upload.facebook.com/centerformigrantadvocacyph/posts/5738688989586903</w:t>
        </w:r>
      </w:hyperlink>
      <w:r>
        <w:t xml:space="preserve"> </w:t>
      </w:r>
    </w:p>
  </w:footnote>
  <w:footnote w:id="27">
    <w:p w14:paraId="5B993ED3" w14:textId="77777777" w:rsidR="000E3000" w:rsidRDefault="00000000">
      <w:pPr>
        <w:ind w:left="0" w:hanging="2"/>
        <w:rPr>
          <w:i/>
        </w:rPr>
      </w:pPr>
      <w:r>
        <w:rPr>
          <w:vertAlign w:val="superscript"/>
        </w:rPr>
        <w:footnoteRef/>
      </w:r>
      <w:r>
        <w:t xml:space="preserve"> </w:t>
      </w:r>
      <w:r>
        <w:rPr>
          <w:i/>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42A6F" w14:textId="77777777" w:rsidR="003B78BA" w:rsidRDefault="003B78BA">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4C6AD" w14:textId="77777777" w:rsidR="003B78BA" w:rsidRDefault="003B78BA">
    <w:pPr>
      <w:pStyle w:val="Heade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E53BA" w14:textId="6AA03DCD" w:rsidR="000E3000" w:rsidRDefault="00000000">
    <w:pPr>
      <w:ind w:left="0" w:hanging="2"/>
    </w:pPr>
    <w:r>
      <w:t>Word count: 4,2</w:t>
    </w:r>
    <w:r w:rsidR="003B78BA">
      <w:t>84</w:t>
    </w:r>
    <w:r>
      <w:t xml:space="preserve"> </w:t>
    </w:r>
    <w:r w:rsidR="003B78BA">
      <w:t>excluding</w:t>
    </w:r>
    <w:r>
      <w:t xml:space="preserve"> footnotes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9F352D"/>
    <w:multiLevelType w:val="multilevel"/>
    <w:tmpl w:val="6930BE38"/>
    <w:lvl w:ilvl="0">
      <w:start w:val="1"/>
      <w:numFmt w:val="decimal"/>
      <w:pStyle w:val="Bullet2G"/>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5D0D7826"/>
    <w:multiLevelType w:val="multilevel"/>
    <w:tmpl w:val="4D2264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8317CC9"/>
    <w:multiLevelType w:val="multilevel"/>
    <w:tmpl w:val="14205748"/>
    <w:lvl w:ilvl="0">
      <w:start w:val="1"/>
      <w:numFmt w:val="decimal"/>
      <w:pStyle w:val="Bullet1G"/>
      <w:lvlText w:val="%1."/>
      <w:lvlJc w:val="left"/>
      <w:pPr>
        <w:ind w:left="717" w:hanging="360"/>
      </w:pPr>
      <w:rPr>
        <w:rFonts w:ascii="Arial" w:eastAsia="Arial" w:hAnsi="Arial" w:cs="Arial"/>
        <w:b w:val="0"/>
        <w:i w:val="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num w:numId="1" w16cid:durableId="1237015917">
    <w:abstractNumId w:val="2"/>
  </w:num>
  <w:num w:numId="2" w16cid:durableId="1514998297">
    <w:abstractNumId w:val="0"/>
  </w:num>
  <w:num w:numId="3" w16cid:durableId="10238189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3000"/>
    <w:rsid w:val="0001391E"/>
    <w:rsid w:val="000E3000"/>
    <w:rsid w:val="003B78BA"/>
    <w:rsid w:val="0057247C"/>
    <w:rsid w:val="007728BD"/>
    <w:rsid w:val="00954892"/>
    <w:rsid w:val="00DF7151"/>
    <w:rsid w:val="00F33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7A1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40"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spacing w:line="240" w:lineRule="auto"/>
      <w:outlineLvl w:val="1"/>
    </w:pPr>
  </w:style>
  <w:style w:type="paragraph" w:styleId="Heading3">
    <w:name w:val="heading 3"/>
    <w:basedOn w:val="Normal"/>
    <w:next w:val="Normal"/>
    <w:uiPriority w:val="9"/>
    <w:semiHidden/>
    <w:unhideWhenUsed/>
    <w:qFormat/>
    <w:pPr>
      <w:spacing w:line="240" w:lineRule="auto"/>
      <w:outlineLvl w:val="2"/>
    </w:pPr>
  </w:style>
  <w:style w:type="paragraph" w:styleId="Heading4">
    <w:name w:val="heading 4"/>
    <w:basedOn w:val="Normal"/>
    <w:next w:val="Normal"/>
    <w:uiPriority w:val="9"/>
    <w:semiHidden/>
    <w:unhideWhenUsed/>
    <w:qFormat/>
    <w:pPr>
      <w:spacing w:line="240" w:lineRule="auto"/>
      <w:outlineLvl w:val="3"/>
    </w:pPr>
  </w:style>
  <w:style w:type="paragraph" w:styleId="Heading5">
    <w:name w:val="heading 5"/>
    <w:basedOn w:val="Normal"/>
    <w:next w:val="Normal"/>
    <w:uiPriority w:val="9"/>
    <w:semiHidden/>
    <w:unhideWhenUsed/>
    <w:qFormat/>
    <w:pPr>
      <w:spacing w:line="240" w:lineRule="auto"/>
      <w:outlineLvl w:val="4"/>
    </w:pPr>
  </w:style>
  <w:style w:type="paragraph" w:styleId="Heading6">
    <w:name w:val="heading 6"/>
    <w:basedOn w:val="Normal"/>
    <w:next w:val="Normal"/>
    <w:uiPriority w:val="9"/>
    <w:semiHidden/>
    <w:unhideWhenUsed/>
    <w:qFormat/>
    <w:pPr>
      <w:spacing w:line="240" w:lineRule="auto"/>
      <w:outlineLvl w:val="5"/>
    </w:pPr>
  </w:style>
  <w:style w:type="paragraph" w:styleId="Heading7">
    <w:name w:val="heading 7"/>
    <w:basedOn w:val="Normal"/>
    <w:next w:val="Normal"/>
    <w:pPr>
      <w:spacing w:line="240" w:lineRule="auto"/>
      <w:outlineLvl w:val="6"/>
    </w:pPr>
  </w:style>
  <w:style w:type="paragraph" w:styleId="Heading8">
    <w:name w:val="heading 8"/>
    <w:basedOn w:val="Normal"/>
    <w:next w:val="Normal"/>
    <w:pPr>
      <w:spacing w:line="240" w:lineRule="auto"/>
      <w:outlineLvl w:val="7"/>
    </w:pPr>
  </w:style>
  <w:style w:type="paragraph" w:styleId="Heading9">
    <w:name w:val="heading 9"/>
    <w:basedOn w:val="Normal"/>
    <w:next w:val="Normal"/>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Heading11">
    <w:name w:val="Heading 11"/>
    <w:aliases w:val="Table_G"/>
    <w:basedOn w:val="SingleTxtG"/>
    <w:next w:val="SingleTxtG"/>
    <w:pPr>
      <w:spacing w:after="0" w:line="240" w:lineRule="auto"/>
      <w:ind w:right="0"/>
      <w:jc w:val="left"/>
    </w:pPr>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atLeas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atLeast"/>
      <w:ind w:left="1134" w:right="1134" w:hanging="1134"/>
    </w:pPr>
    <w:rPr>
      <w:b/>
      <w:sz w:val="28"/>
    </w:rPr>
  </w:style>
  <w:style w:type="character" w:customStyle="1" w:styleId="FootnoteReference1">
    <w:name w:val="Footnote Reference1"/>
    <w:aliases w:val="footnote text,4_G,ftref,referencia nota al pie,BVI fnr,4_Footnote text,Appel note de bas de p.,callout,nota pié di pagina,Fußnotenzeichen DISS,16 Point,Superscript 6 Point,Footnotes refss,Footnote Reference Number"/>
    <w:rPr>
      <w:rFonts w:ascii="Times New Roman" w:hAnsi="Times New Roman"/>
      <w:w w:val="100"/>
      <w:position w:val="-1"/>
      <w:sz w:val="18"/>
      <w:effect w:val="none"/>
      <w:vertAlign w:val="superscript"/>
      <w:cs w:val="0"/>
      <w:em w:val="none"/>
    </w:rPr>
  </w:style>
  <w:style w:type="character" w:customStyle="1" w:styleId="EndnoteReference1">
    <w:name w:val="Endnote Reference1"/>
    <w:aliases w:val="1_G"/>
    <w:basedOn w:val="FootnoteReference1"/>
    <w:rPr>
      <w:rFonts w:ascii="Times New Roman" w:hAnsi="Times New Roman"/>
      <w:w w:val="100"/>
      <w:position w:val="-1"/>
      <w:sz w:val="18"/>
      <w:effect w:val="none"/>
      <w:vertAlign w:val="superscript"/>
      <w:cs w:val="0"/>
      <w:em w:val="none"/>
    </w:rPr>
  </w:style>
  <w:style w:type="paragraph" w:customStyle="1" w:styleId="Header1">
    <w:name w:val="Header1"/>
    <w:aliases w:val="6_G"/>
    <w:basedOn w:val="Normal"/>
    <w:pPr>
      <w:pBdr>
        <w:bottom w:val="single" w:sz="4" w:space="4" w:color="auto"/>
      </w:pBdr>
      <w:spacing w:line="240" w:lineRule="auto"/>
    </w:pPr>
    <w:rPr>
      <w:b/>
      <w:sz w:val="18"/>
    </w:rPr>
  </w:style>
  <w:style w:type="table" w:styleId="TableGrid">
    <w:name w:val="Table Grid"/>
    <w:basedOn w:val="TableNormal"/>
    <w:pPr>
      <w:spacing w:line="240"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Pr>
      <w:color w:val="auto"/>
      <w:w w:val="100"/>
      <w:position w:val="-1"/>
      <w:u w:val="none"/>
      <w:effect w:val="none"/>
      <w:vertAlign w:val="baseline"/>
      <w:cs w:val="0"/>
      <w:em w:val="none"/>
    </w:rPr>
  </w:style>
  <w:style w:type="character" w:styleId="FollowedHyperlink">
    <w:name w:val="FollowedHyperlink"/>
    <w:rPr>
      <w:color w:val="auto"/>
      <w:w w:val="100"/>
      <w:position w:val="-1"/>
      <w:u w:val="none"/>
      <w:effect w:val="none"/>
      <w:vertAlign w:val="baseline"/>
      <w:cs w:val="0"/>
      <w:em w:val="none"/>
    </w:rPr>
  </w:style>
  <w:style w:type="paragraph" w:customStyle="1" w:styleId="SMG">
    <w:name w:val="__S_M_G"/>
    <w:basedOn w:val="Normal"/>
    <w:next w:val="Normal"/>
    <w:pPr>
      <w:keepNext/>
      <w:keepLines/>
      <w:spacing w:before="240" w:after="240" w:line="420" w:lineRule="atLeast"/>
      <w:ind w:left="1134" w:right="1134"/>
    </w:pPr>
    <w:rPr>
      <w:b/>
      <w:sz w:val="40"/>
    </w:rPr>
  </w:style>
  <w:style w:type="paragraph" w:customStyle="1" w:styleId="SLG">
    <w:name w:val="__S_L_G"/>
    <w:basedOn w:val="Normal"/>
    <w:next w:val="Normal"/>
    <w:pPr>
      <w:keepNext/>
      <w:keepLines/>
      <w:spacing w:before="240" w:after="240" w:line="580" w:lineRule="atLeast"/>
      <w:ind w:left="1134" w:right="1134"/>
    </w:pPr>
    <w:rPr>
      <w:b/>
      <w:sz w:val="56"/>
    </w:rPr>
  </w:style>
  <w:style w:type="paragraph" w:customStyle="1" w:styleId="SSG">
    <w:name w:val="__S_S_G"/>
    <w:basedOn w:val="Normal"/>
    <w:next w:val="Normal"/>
    <w:pPr>
      <w:keepNext/>
      <w:keepLines/>
      <w:spacing w:before="240" w:after="240" w:line="300" w:lineRule="atLeast"/>
      <w:ind w:left="1134" w:right="1134"/>
    </w:pPr>
    <w:rPr>
      <w:b/>
      <w:sz w:val="28"/>
    </w:rPr>
  </w:style>
  <w:style w:type="paragraph" w:customStyle="1" w:styleId="FootnoteText1">
    <w:name w:val="Footnote Text1"/>
    <w:aliases w:val="footnote text1,5_G,Footnote Text Char1,Footnote Text Char Char,FOOTNOTES,fn,single space,single space Char,footnote text Char,ft Char,ft,fn Char Char,fn Char Char Char Char,fn Char Char Char,Footnote Text Char1 Char Cha,ADB,Char,ft Ch"/>
    <w:basedOn w:val="Normal"/>
    <w:pPr>
      <w:tabs>
        <w:tab w:val="right" w:pos="1021"/>
      </w:tabs>
      <w:spacing w:line="220" w:lineRule="atLeast"/>
      <w:ind w:left="1134" w:right="1134" w:hanging="1134"/>
    </w:pPr>
    <w:rPr>
      <w:sz w:val="18"/>
    </w:rPr>
  </w:style>
  <w:style w:type="paragraph" w:customStyle="1" w:styleId="EndnoteText1">
    <w:name w:val="Endnote Text1"/>
    <w:aliases w:val="2_G"/>
    <w:basedOn w:val="FootnoteText1"/>
  </w:style>
  <w:style w:type="character" w:customStyle="1" w:styleId="PageNumber1">
    <w:name w:val="Page Number1"/>
    <w:aliases w:val="7_G"/>
    <w:rPr>
      <w:rFonts w:ascii="Times New Roman" w:hAnsi="Times New Roman"/>
      <w:b/>
      <w:w w:val="100"/>
      <w:position w:val="-1"/>
      <w:sz w:val="18"/>
      <w:effect w:val="none"/>
      <w:vertAlign w:val="baseline"/>
      <w:cs w:val="0"/>
      <w:em w:val="none"/>
    </w:rPr>
  </w:style>
  <w:style w:type="paragraph" w:customStyle="1" w:styleId="XLargeG">
    <w:name w:val="__XLarge_G"/>
    <w:basedOn w:val="Normal"/>
    <w:next w:val="Normal"/>
    <w:pPr>
      <w:keepNext/>
      <w:keepLines/>
      <w:spacing w:before="240" w:after="240" w:line="420" w:lineRule="atLeast"/>
      <w:ind w:left="1134" w:right="1134"/>
    </w:pPr>
    <w:rPr>
      <w:b/>
      <w:sz w:val="40"/>
    </w:rPr>
  </w:style>
  <w:style w:type="paragraph" w:customStyle="1" w:styleId="Bullet1G">
    <w:name w:val="_Bullet 1_G"/>
    <w:basedOn w:val="Normal"/>
    <w:pPr>
      <w:numPr>
        <w:numId w:val="1"/>
      </w:numPr>
      <w:spacing w:after="120"/>
      <w:ind w:left="-1" w:right="1134" w:hanging="1"/>
      <w:jc w:val="both"/>
    </w:pPr>
  </w:style>
  <w:style w:type="paragraph" w:customStyle="1" w:styleId="Footer1">
    <w:name w:val="Footer1"/>
    <w:aliases w:val="3_G"/>
    <w:basedOn w:val="Normal"/>
    <w:pPr>
      <w:spacing w:line="240" w:lineRule="auto"/>
    </w:pPr>
    <w:rPr>
      <w:sz w:val="16"/>
    </w:rPr>
  </w:style>
  <w:style w:type="paragraph" w:customStyle="1" w:styleId="Bullet2G">
    <w:name w:val="_Bullet 2_G"/>
    <w:basedOn w:val="Normal"/>
    <w:pPr>
      <w:numPr>
        <w:numId w:val="2"/>
      </w:numPr>
      <w:spacing w:after="120"/>
      <w:ind w:left="-1" w:right="1134" w:hanging="1"/>
      <w:jc w:val="both"/>
    </w:pPr>
  </w:style>
  <w:style w:type="paragraph" w:customStyle="1" w:styleId="H1G">
    <w:name w:val="_ H_1_G"/>
    <w:basedOn w:val="Normal"/>
    <w:next w:val="Normal"/>
    <w:pPr>
      <w:keepNext/>
      <w:keepLines/>
      <w:tabs>
        <w:tab w:val="right" w:pos="851"/>
      </w:tabs>
      <w:spacing w:before="360" w:after="240" w:line="270" w:lineRule="atLeast"/>
      <w:ind w:left="1134" w:right="1134" w:hanging="1134"/>
    </w:pPr>
    <w:rPr>
      <w:b/>
      <w:sz w:val="24"/>
    </w:rPr>
  </w:style>
  <w:style w:type="paragraph" w:customStyle="1" w:styleId="H23G">
    <w:name w:val="_ H_2/3_G"/>
    <w:basedOn w:val="Normal"/>
    <w:next w:val="Normal"/>
    <w:pPr>
      <w:keepNext/>
      <w:keepLines/>
      <w:tabs>
        <w:tab w:val="right" w:pos="851"/>
      </w:tabs>
      <w:spacing w:before="240" w:after="120"/>
      <w:ind w:left="1134" w:right="1134" w:hanging="1134"/>
    </w:pPr>
    <w:rPr>
      <w:b/>
    </w:rPr>
  </w:style>
  <w:style w:type="paragraph" w:customStyle="1" w:styleId="H4G">
    <w:name w:val="_ H_4_G"/>
    <w:basedOn w:val="Normal"/>
    <w:next w:val="Normal"/>
    <w:pPr>
      <w:keepNext/>
      <w:keepLines/>
      <w:tabs>
        <w:tab w:val="right" w:pos="851"/>
      </w:tabs>
      <w:spacing w:before="240" w:after="120"/>
      <w:ind w:left="1134" w:right="1134" w:hanging="1134"/>
    </w:pPr>
    <w:rPr>
      <w:i/>
    </w:rPr>
  </w:style>
  <w:style w:type="paragraph" w:customStyle="1" w:styleId="H56G">
    <w:name w:val="_ H_5/6_G"/>
    <w:basedOn w:val="Normal"/>
    <w:next w:val="Normal"/>
    <w:pPr>
      <w:keepNext/>
      <w:keepLines/>
      <w:tabs>
        <w:tab w:val="right" w:pos="851"/>
      </w:tabs>
      <w:spacing w:before="240" w:after="120"/>
      <w:ind w:left="1134" w:right="1134" w:hanging="1134"/>
    </w:pPr>
  </w:style>
  <w:style w:type="character" w:customStyle="1" w:styleId="Heading1Char">
    <w:name w:val="Heading 1 Char"/>
    <w:aliases w:val="Table_G Char"/>
    <w:rPr>
      <w:w w:val="100"/>
      <w:position w:val="-1"/>
      <w:effect w:val="none"/>
      <w:vertAlign w:val="baseline"/>
      <w:cs w:val="0"/>
      <w:em w:val="none"/>
      <w:lang w:val="en-GB" w:eastAsia="en-US" w:bidi="ar-SA"/>
    </w:rPr>
  </w:style>
  <w:style w:type="character" w:customStyle="1" w:styleId="Heading2Char">
    <w:name w:val="Heading 2 Char"/>
    <w:rPr>
      <w:w w:val="100"/>
      <w:position w:val="-1"/>
      <w:effect w:val="none"/>
      <w:vertAlign w:val="baseline"/>
      <w:cs w:val="0"/>
      <w:em w:val="none"/>
      <w:lang w:val="en-GB" w:eastAsia="en-US" w:bidi="ar-SA"/>
    </w:rPr>
  </w:style>
  <w:style w:type="character" w:customStyle="1" w:styleId="Heading3Char">
    <w:name w:val="Heading 3 Char"/>
    <w:rPr>
      <w:w w:val="100"/>
      <w:position w:val="-1"/>
      <w:effect w:val="none"/>
      <w:vertAlign w:val="baseline"/>
      <w:cs w:val="0"/>
      <w:em w:val="none"/>
      <w:lang w:val="en-GB" w:eastAsia="en-US" w:bidi="ar-SA"/>
    </w:rPr>
  </w:style>
  <w:style w:type="character" w:styleId="Strong">
    <w:name w:val="Strong"/>
    <w:rPr>
      <w:b/>
      <w:w w:val="100"/>
      <w:position w:val="-1"/>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sz w:val="24"/>
      <w:szCs w:val="24"/>
      <w:lang w:val="en-US" w:eastAsia="zh-CN"/>
    </w:rPr>
  </w:style>
  <w:style w:type="character" w:customStyle="1" w:styleId="SingleTxtGChar">
    <w:name w:val="_ Single Txt_G Char"/>
    <w:rPr>
      <w:w w:val="100"/>
      <w:position w:val="-1"/>
      <w:effect w:val="none"/>
      <w:vertAlign w:val="baseline"/>
      <w:cs w:val="0"/>
      <w:em w:val="none"/>
      <w:lang w:val="en-GB" w:eastAsia="en-US" w:bidi="ar-SA"/>
    </w:rPr>
  </w:style>
  <w:style w:type="character" w:customStyle="1" w:styleId="FootnoteTextChar">
    <w:name w:val="Footnote Text Char"/>
    <w:aliases w:val="5_G Char,Footnote Text Char1 Char,Footnote Text Char Char Char,FOOTNOTES Char,fn Char,single space Char1,single space Char Char,footnote text Char Char,ft Char Char,ft Char1,fn Char Char Char1,fn Char Char Char Char Char,ADB Char"/>
    <w:rPr>
      <w:w w:val="100"/>
      <w:position w:val="-1"/>
      <w:sz w:val="18"/>
      <w:effect w:val="none"/>
      <w:vertAlign w:val="baseline"/>
      <w:cs w:val="0"/>
      <w:em w:val="none"/>
      <w:lang w:val="en-GB" w:eastAsia="en-US" w:bidi="ar-SA"/>
    </w:rPr>
  </w:style>
  <w:style w:type="character" w:customStyle="1" w:styleId="Bulletpoint1Char">
    <w:name w:val="Bulletpoint_1 Char"/>
    <w:rPr>
      <w:w w:val="100"/>
      <w:position w:val="-1"/>
      <w:effect w:val="none"/>
      <w:vertAlign w:val="baseline"/>
      <w:cs w:val="0"/>
      <w:em w:val="none"/>
      <w:lang w:val="en-US" w:bidi="ar-SA"/>
    </w:rPr>
  </w:style>
  <w:style w:type="paragraph" w:customStyle="1" w:styleId="Bulletpoint1">
    <w:name w:val="Bulletpoint_1"/>
    <w:basedOn w:val="Normal"/>
    <w:pPr>
      <w:widowControl w:val="0"/>
      <w:tabs>
        <w:tab w:val="num" w:pos="720"/>
      </w:tabs>
      <w:suppressAutoHyphens/>
      <w:spacing w:after="120" w:line="240" w:lineRule="auto"/>
      <w:ind w:left="720" w:hanging="360"/>
      <w:jc w:val="both"/>
    </w:pPr>
    <w:rPr>
      <w:lang w:val="en-US"/>
    </w:rPr>
  </w:style>
  <w:style w:type="paragraph" w:styleId="ListParagraph">
    <w:name w:val="List Paragraph"/>
    <w:basedOn w:val="Normal"/>
    <w:pPr>
      <w:suppressAutoHyphens/>
      <w:spacing w:line="240" w:lineRule="auto"/>
      <w:ind w:left="708"/>
    </w:pPr>
    <w:rPr>
      <w:sz w:val="24"/>
      <w:szCs w:val="24"/>
      <w:lang w:val="de-DE" w:eastAsia="de-DE"/>
    </w:rPr>
  </w:style>
  <w:style w:type="character" w:customStyle="1" w:styleId="HChGChar">
    <w:name w:val="_ H _Ch_G Char"/>
    <w:rPr>
      <w:b/>
      <w:w w:val="100"/>
      <w:position w:val="-1"/>
      <w:sz w:val="28"/>
      <w:effect w:val="none"/>
      <w:vertAlign w:val="baseline"/>
      <w:cs w:val="0"/>
      <w:em w:val="none"/>
      <w:lang w:val="en-GB" w:eastAsia="en-US" w:bidi="ar-SA"/>
    </w:rPr>
  </w:style>
  <w:style w:type="character" w:styleId="Emphasis">
    <w:name w:val="Emphasis"/>
    <w:rPr>
      <w:b/>
      <w:bCs/>
      <w:w w:val="100"/>
      <w:position w:val="-1"/>
      <w:effect w:val="none"/>
      <w:vertAlign w:val="baseline"/>
      <w:cs w:val="0"/>
      <w:em w:val="none"/>
    </w:rPr>
  </w:style>
  <w:style w:type="character" w:customStyle="1" w:styleId="st">
    <w:name w:val="st"/>
    <w:rPr>
      <w:w w:val="100"/>
      <w:position w:val="-1"/>
      <w:effect w:val="none"/>
      <w:vertAlign w:val="baseline"/>
      <w:cs w:val="0"/>
      <w:em w:val="none"/>
    </w:rPr>
  </w:style>
  <w:style w:type="character" w:customStyle="1" w:styleId="H1GChar">
    <w:name w:val="_ H_1_G Char"/>
    <w:rPr>
      <w:b/>
      <w:w w:val="100"/>
      <w:position w:val="-1"/>
      <w:sz w:val="24"/>
      <w:effect w:val="none"/>
      <w:vertAlign w:val="baseline"/>
      <w:cs w:val="0"/>
      <w:em w:val="none"/>
      <w:lang w:val="en-GB" w:eastAsia="en-US" w:bidi="ar-SA"/>
    </w:rPr>
  </w:style>
  <w:style w:type="paragraph" w:styleId="BalloonText">
    <w:name w:val="Balloon Text"/>
    <w:basedOn w:val="Normal"/>
    <w:rPr>
      <w:rFonts w:ascii="Tahoma" w:hAnsi="Tahoma"/>
      <w:sz w:val="16"/>
      <w:szCs w:val="16"/>
    </w:rPr>
  </w:style>
  <w:style w:type="character" w:styleId="CommentReference">
    <w:name w:val="annotation reference"/>
    <w:rPr>
      <w:w w:val="100"/>
      <w:position w:val="-1"/>
      <w:sz w:val="16"/>
      <w:szCs w:val="16"/>
      <w:effect w:val="none"/>
      <w:vertAlign w:val="baseline"/>
      <w:cs w:val="0"/>
      <w:em w:val="none"/>
    </w:rPr>
  </w:style>
  <w:style w:type="paragraph" w:styleId="CommentText">
    <w:name w:val="annotation text"/>
    <w:basedOn w:val="Normal"/>
  </w:style>
  <w:style w:type="character" w:customStyle="1" w:styleId="CommentTextChar">
    <w:name w:val="Comment Text Char"/>
    <w:rPr>
      <w:w w:val="100"/>
      <w:position w:val="-1"/>
      <w:effect w:val="none"/>
      <w:vertAlign w:val="baseline"/>
      <w:cs w:val="0"/>
      <w:em w:val="none"/>
      <w:lang w:eastAsia="en-US"/>
    </w:rPr>
  </w:style>
  <w:style w:type="paragraph" w:styleId="CommentSubject">
    <w:name w:val="annotation subject"/>
    <w:basedOn w:val="CommentText"/>
    <w:next w:val="CommentText"/>
    <w:rPr>
      <w:b/>
      <w:bCs/>
    </w:rPr>
  </w:style>
  <w:style w:type="character" w:customStyle="1" w:styleId="CommentSubjectChar">
    <w:name w:val="Comment Subject Char"/>
    <w:rPr>
      <w:b/>
      <w:bCs/>
      <w:w w:val="100"/>
      <w:position w:val="-1"/>
      <w:effect w:val="none"/>
      <w:vertAlign w:val="baseline"/>
      <w:cs w:val="0"/>
      <w:em w:val="none"/>
      <w:lang w:eastAsia="en-US"/>
    </w:rPr>
  </w:style>
  <w:style w:type="character" w:customStyle="1" w:styleId="HeaderChar">
    <w:name w:val="Header Char"/>
    <w:aliases w:val="6_G Char"/>
    <w:rPr>
      <w:b/>
      <w:w w:val="100"/>
      <w:position w:val="-1"/>
      <w:sz w:val="18"/>
      <w:effect w:val="none"/>
      <w:vertAlign w:val="baseline"/>
      <w:cs w:val="0"/>
      <w:em w:val="none"/>
      <w:lang w:eastAsia="en-US"/>
    </w:rPr>
  </w:style>
  <w:style w:type="character" w:customStyle="1" w:styleId="FooterChar">
    <w:name w:val="Footer Char"/>
    <w:aliases w:val="3_G Char"/>
    <w:rPr>
      <w:w w:val="100"/>
      <w:position w:val="-1"/>
      <w:sz w:val="16"/>
      <w:effect w:val="none"/>
      <w:vertAlign w:val="baseline"/>
      <w:cs w:val="0"/>
      <w:em w:val="none"/>
      <w:lang w:eastAsia="en-US"/>
    </w:rPr>
  </w:style>
  <w:style w:type="character" w:customStyle="1" w:styleId="BalloonTextChar">
    <w:name w:val="Balloon Text Char"/>
    <w:rPr>
      <w:rFonts w:ascii="Tahoma" w:hAnsi="Tahoma" w:cs="Tahoma"/>
      <w:w w:val="100"/>
      <w:position w:val="-1"/>
      <w:sz w:val="16"/>
      <w:szCs w:val="16"/>
      <w:effect w:val="none"/>
      <w:vertAlign w:val="baseline"/>
      <w:cs w:val="0"/>
      <w:em w:val="none"/>
      <w:lang w:eastAsia="en-US"/>
    </w:rPr>
  </w:style>
  <w:style w:type="paragraph" w:styleId="DocumentMap">
    <w:name w:val="Document Map"/>
    <w:basedOn w:val="Normal"/>
    <w:pPr>
      <w:suppressAutoHyphens/>
      <w:spacing w:line="240" w:lineRule="auto"/>
    </w:pPr>
    <w:rPr>
      <w:rFonts w:ascii="Tahoma" w:eastAsia="Calibri" w:hAnsi="Tahoma"/>
      <w:sz w:val="16"/>
      <w:szCs w:val="16"/>
      <w:lang w:val="en-US" w:eastAsia="zh-CN"/>
    </w:rPr>
  </w:style>
  <w:style w:type="character" w:customStyle="1" w:styleId="DocumentMapChar">
    <w:name w:val="Document Map Char"/>
    <w:rPr>
      <w:rFonts w:ascii="Tahoma" w:eastAsia="Calibri" w:hAnsi="Tahoma"/>
      <w:w w:val="100"/>
      <w:position w:val="-1"/>
      <w:sz w:val="16"/>
      <w:szCs w:val="16"/>
      <w:effect w:val="none"/>
      <w:vertAlign w:val="baseline"/>
      <w:cs w:val="0"/>
      <w:em w:val="none"/>
      <w:lang w:val="en-US" w:eastAsia="zh-CN"/>
    </w:rPr>
  </w:style>
  <w:style w:type="character" w:customStyle="1" w:styleId="highlight1">
    <w:name w:val="highlight1"/>
    <w:rPr>
      <w:w w:val="100"/>
      <w:position w:val="-1"/>
      <w:effect w:val="none"/>
      <w:shd w:val="clear" w:color="auto" w:fill="FFCC33"/>
      <w:vertAlign w:val="baseline"/>
      <w:cs w:val="0"/>
      <w:em w:val="none"/>
    </w:rPr>
  </w:style>
  <w:style w:type="paragraph" w:styleId="NormalWeb">
    <w:name w:val="Normal (Web)"/>
    <w:basedOn w:val="Normal"/>
    <w:qFormat/>
    <w:pPr>
      <w:suppressAutoHyphens/>
      <w:spacing w:before="100" w:beforeAutospacing="1" w:after="100" w:afterAutospacing="1" w:line="240" w:lineRule="auto"/>
    </w:pPr>
    <w:rPr>
      <w:sz w:val="24"/>
      <w:szCs w:val="24"/>
      <w:lang w:eastAsia="en-GB"/>
    </w:rPr>
  </w:style>
  <w:style w:type="character" w:customStyle="1" w:styleId="hps">
    <w:name w:val="hps"/>
    <w:rPr>
      <w:w w:val="100"/>
      <w:position w:val="-1"/>
      <w:effect w:val="none"/>
      <w:vertAlign w:val="baseline"/>
      <w:cs w:val="0"/>
      <w:em w:val="none"/>
    </w:rPr>
  </w:style>
  <w:style w:type="character" w:customStyle="1" w:styleId="apple-converted-space">
    <w:name w:val="apple-converted-space"/>
    <w:rPr>
      <w:w w:val="100"/>
      <w:position w:val="-1"/>
      <w:effect w:val="none"/>
      <w:vertAlign w:val="baseline"/>
      <w:cs w:val="0"/>
      <w:em w:val="none"/>
    </w:rPr>
  </w:style>
  <w:style w:type="character" w:customStyle="1" w:styleId="highlight">
    <w:name w:val="highlight"/>
    <w:rPr>
      <w:w w:val="100"/>
      <w:position w:val="-1"/>
      <w:effect w:val="none"/>
      <w:vertAlign w:val="baseline"/>
      <w:cs w:val="0"/>
      <w:em w:val="none"/>
    </w:rPr>
  </w:style>
  <w:style w:type="numbering" w:customStyle="1" w:styleId="NoList1">
    <w:name w:val="No List1"/>
    <w:next w:val="NoList"/>
    <w:qFormat/>
  </w:style>
  <w:style w:type="paragraph" w:customStyle="1" w:styleId="ListParagraph1">
    <w:name w:val="List Paragraph1"/>
    <w:basedOn w:val="Normal"/>
    <w:pPr>
      <w:suppressAutoHyphens/>
      <w:spacing w:line="240" w:lineRule="auto"/>
      <w:ind w:left="720"/>
    </w:pPr>
    <w:rPr>
      <w:sz w:val="24"/>
      <w:szCs w:val="24"/>
      <w:lang w:val="en-US" w:eastAsia="zh-CN"/>
    </w:rPr>
  </w:style>
  <w:style w:type="character" w:customStyle="1" w:styleId="st1">
    <w:name w:val="st1"/>
    <w:rPr>
      <w:w w:val="100"/>
      <w:position w:val="-1"/>
      <w:effect w:val="none"/>
      <w:vertAlign w:val="baseline"/>
      <w:cs w:val="0"/>
      <w:em w:val="none"/>
    </w:rPr>
  </w:style>
  <w:style w:type="character" w:customStyle="1" w:styleId="apple-style-span">
    <w:name w:val="apple-style-span"/>
    <w:rPr>
      <w:w w:val="100"/>
      <w:position w:val="-1"/>
      <w:effect w:val="none"/>
      <w:vertAlign w:val="baseline"/>
      <w:cs w:val="0"/>
      <w:em w:val="none"/>
    </w:rPr>
  </w:style>
  <w:style w:type="character" w:styleId="HTMLTypewriter">
    <w:name w:val="HTML Typewriter"/>
    <w:qFormat/>
    <w:rPr>
      <w:rFonts w:ascii="Courier New" w:eastAsia="Times New Roman" w:hAnsi="Courier New" w:cs="Courier New"/>
      <w:w w:val="100"/>
      <w:position w:val="-1"/>
      <w:sz w:val="20"/>
      <w:szCs w:val="20"/>
      <w:effect w:val="none"/>
      <w:vertAlign w:val="baseline"/>
      <w:cs w:val="0"/>
      <w:em w:val="none"/>
    </w:rPr>
  </w:style>
  <w:style w:type="character" w:customStyle="1" w:styleId="H23GChar">
    <w:name w:val="_ H_2/3_G Char"/>
    <w:rPr>
      <w:b/>
      <w:w w:val="100"/>
      <w:position w:val="-1"/>
      <w:effect w:val="none"/>
      <w:vertAlign w:val="baseline"/>
      <w:cs w:val="0"/>
      <w:em w:val="none"/>
      <w:lang w:eastAsia="en-US"/>
    </w:rPr>
  </w:style>
  <w:style w:type="character" w:customStyle="1" w:styleId="style41">
    <w:name w:val="style41"/>
    <w:rPr>
      <w:rFonts w:ascii="Georgia" w:hAnsi="Georgia" w:hint="default"/>
      <w:b/>
      <w:bCs/>
      <w:w w:val="100"/>
      <w:position w:val="-1"/>
      <w:sz w:val="27"/>
      <w:szCs w:val="27"/>
      <w:effect w:val="none"/>
      <w:vertAlign w:val="baseline"/>
      <w:cs w:val="0"/>
      <w:em w:val="none"/>
    </w:rPr>
  </w:style>
  <w:style w:type="character" w:customStyle="1" w:styleId="longtext">
    <w:name w:val="long_text"/>
    <w:rPr>
      <w:w w:val="100"/>
      <w:position w:val="-1"/>
      <w:effect w:val="none"/>
      <w:vertAlign w:val="baseline"/>
      <w:cs w:val="0"/>
      <w:em w:val="none"/>
    </w:rPr>
  </w:style>
  <w:style w:type="paragraph" w:styleId="PlainText">
    <w:name w:val="Plain Text"/>
    <w:basedOn w:val="Normal"/>
    <w:qFormat/>
    <w:pPr>
      <w:suppressAutoHyphens/>
      <w:spacing w:line="240" w:lineRule="auto"/>
    </w:pPr>
    <w:rPr>
      <w:rFonts w:ascii="Consolas" w:eastAsia="Calibri" w:hAnsi="Consolas"/>
      <w:sz w:val="21"/>
      <w:szCs w:val="21"/>
    </w:rPr>
  </w:style>
  <w:style w:type="character" w:customStyle="1" w:styleId="PlainTextChar">
    <w:name w:val="Plain Text Char"/>
    <w:rPr>
      <w:rFonts w:ascii="Consolas" w:eastAsia="Calibri" w:hAnsi="Consolas"/>
      <w:w w:val="100"/>
      <w:position w:val="-1"/>
      <w:sz w:val="21"/>
      <w:szCs w:val="21"/>
      <w:effect w:val="none"/>
      <w:vertAlign w:val="baseline"/>
      <w:cs w:val="0"/>
      <w:em w:val="none"/>
      <w:lang w:eastAsia="en-US"/>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spacing w:val="4"/>
      <w:w w:val="103"/>
      <w:kern w:val="1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2">
    <w:name w:val="2"/>
    <w:basedOn w:val="TableNormal"/>
    <w:tblPr>
      <w:tblStyleRowBandSize w:val="1"/>
      <w:tblStyleColBandSize w:val="1"/>
    </w:tblPr>
  </w:style>
  <w:style w:type="table" w:customStyle="1" w:styleId="1">
    <w:name w:val="1"/>
    <w:basedOn w:val="TableNormal"/>
    <w:tblPr>
      <w:tblStyleRowBandSize w:val="1"/>
      <w:tblStyleColBandSize w:val="1"/>
    </w:tblPr>
  </w:style>
  <w:style w:type="paragraph" w:styleId="Header">
    <w:name w:val="header"/>
    <w:basedOn w:val="Normal"/>
    <w:link w:val="HeaderChar1"/>
    <w:uiPriority w:val="99"/>
    <w:unhideWhenUsed/>
    <w:rsid w:val="003B78BA"/>
    <w:pPr>
      <w:tabs>
        <w:tab w:val="center" w:pos="4680"/>
        <w:tab w:val="right" w:pos="9360"/>
      </w:tabs>
      <w:spacing w:line="240" w:lineRule="auto"/>
    </w:pPr>
  </w:style>
  <w:style w:type="character" w:customStyle="1" w:styleId="HeaderChar1">
    <w:name w:val="Header Char1"/>
    <w:basedOn w:val="DefaultParagraphFont"/>
    <w:link w:val="Header"/>
    <w:uiPriority w:val="99"/>
    <w:rsid w:val="003B78BA"/>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it.ly/3D5Y1DG"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cs.google.com/forms/d/e/1FAIpQLScJVR-M896mXZkehGiTS95-6xqhvS0iErIS6bFMuKbgyiRH3Q/viewform?vc=0&amp;c=0&amp;w=1"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bvcovid.repor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chr-observatories.uwazi.io/en/page/hxgjtdg5c3j"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officialgazette.gov.ph/2019/11/15/memorandum-circular-no-72-s-2019/"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chr.gov.ph/wp-content/uploads/2020/07/Human-Rights-Advisory-Providing-Video-Link-Evidence-in-Court-Proceeding-in-the-Philippines-CHR-A2019-006.pdf" TargetMode="External"/><Relationship Id="rId13" Type="http://schemas.openxmlformats.org/officeDocument/2006/relationships/hyperlink" Target="https://centerformigrantadvocacy.files.wordpress.com/2021/01/bla-study-v.-2.pdf" TargetMode="External"/><Relationship Id="rId3" Type="http://schemas.openxmlformats.org/officeDocument/2006/relationships/hyperlink" Target="https://www.pna.gov.ph/articles/1165329" TargetMode="External"/><Relationship Id="rId7" Type="http://schemas.openxmlformats.org/officeDocument/2006/relationships/hyperlink" Target="https://chr.gov.ph/statement-of-the-commission-on-human-rights-on-the-brutal-killing-of-a-filipina-migrant-worker-in-kuwait/" TargetMode="External"/><Relationship Id="rId12" Type="http://schemas.openxmlformats.org/officeDocument/2006/relationships/hyperlink" Target="https://centerformigrantadvocacy.files.wordpress.com/2021/01/bla-study-v.-2.pdf" TargetMode="External"/><Relationship Id="rId17" Type="http://schemas.openxmlformats.org/officeDocument/2006/relationships/hyperlink" Target="https://z-upload.facebook.com/centerformigrantadvocacyph/posts/5738688989586903" TargetMode="External"/><Relationship Id="rId2" Type="http://schemas.openxmlformats.org/officeDocument/2006/relationships/hyperlink" Target="https://www.officialgazette.gov.ph/downloads/2021/12dec/20211230-RA-11641-RRD.pdf" TargetMode="External"/><Relationship Id="rId16" Type="http://schemas.openxmlformats.org/officeDocument/2006/relationships/hyperlink" Target="https://legacy.senate.gov.ph/lis/bill_res.aspx?congress=19&amp;q=SBN-781," TargetMode="External"/><Relationship Id="rId1" Type="http://schemas.openxmlformats.org/officeDocument/2006/relationships/hyperlink" Target="http://www.chr.gov.ph" TargetMode="External"/><Relationship Id="rId6" Type="http://schemas.openxmlformats.org/officeDocument/2006/relationships/hyperlink" Target="https://www.righttolifeph.online/uploads/cms_uploads/a2021-005.pdf" TargetMode="External"/><Relationship Id="rId11" Type="http://schemas.openxmlformats.org/officeDocument/2006/relationships/hyperlink" Target="https://www.officialgazette.gov.ph/downloads/2020/09sep/20200911-RA-11494-RRD.pdf" TargetMode="External"/><Relationship Id="rId5" Type="http://schemas.openxmlformats.org/officeDocument/2006/relationships/hyperlink" Target="https://www.pna.gov.ph/articles/1192423" TargetMode="External"/><Relationship Id="rId15" Type="http://schemas.openxmlformats.org/officeDocument/2006/relationships/hyperlink" Target="https://www.congress.gov.ph/press/details.php?pressid=10161" TargetMode="External"/><Relationship Id="rId10" Type="http://schemas.openxmlformats.org/officeDocument/2006/relationships/hyperlink" Target="https://www.officialgazette.gov.ph/downloads/2020/03mar/20200324-RA-11469-RRD.pdf" TargetMode="External"/><Relationship Id="rId4" Type="http://schemas.openxmlformats.org/officeDocument/2006/relationships/hyperlink" Target="https://chr.gov.ph/statement-of-the-commission-on-human-rights-on-the-brutal-killing-of-a-filipina-migrant-worker-in-kuwait/" TargetMode="External"/><Relationship Id="rId9" Type="http://schemas.openxmlformats.org/officeDocument/2006/relationships/hyperlink" Target="https://www.dlsu.edu.ph/wp-content/uploads/pdf/research/journals/apssr/2021-June-vol21-2/14-Community-of-Care-Amid-Pandemic-Inequality-The-Case-of-Filipino-Migrant-Domestic-Workers-in-the-UK-Italy-and-Hong-Kong" TargetMode="External"/><Relationship Id="rId14" Type="http://schemas.openxmlformats.org/officeDocument/2006/relationships/hyperlink" Target="http://ble.dole.gov.ph/wp-content/uploads/2022/06/JOINT-MEMORANDUM-CIRCULAR-NO-001-SERIES-OF-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uSe/hpO9+e6d83cF8k2aOIT+OqA==">AMUW2mWOKULzcN4kVF+fu+LDN6/vJzy2+653kSKU3znItCbiqmlBXjuKe7a0Qvbd1yAcBFwmlMA0K24gqTds6TchuZkHLIV+gknw+RahLwWfumIOg9kl+u1tUZoDQyvyw/DM1ffB6VyIr7R9PARpBLC5/S2L6CdCia7u0xnFkgLd/6CC3nquRAYDA2BZ7v0XVOw7H9R7S9naIDISDd2/bk8PmeVo88s+ww==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4220</Words>
  <Characters>24057</Characters>
  <Application>Microsoft Office Word</Application>
  <DocSecurity>0</DocSecurity>
  <Lines>200</Lines>
  <Paragraphs>56</Paragraphs>
  <ScaleCrop>false</ScaleCrop>
  <Company/>
  <LinksUpToDate>false</LinksUpToDate>
  <CharactersWithSpaces>28221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2023-02-25T17:18:00Z</dcterms:created>
  <dcterms:modified xsi:type="dcterms:W3CDTF">2023-02-26T05:07:00Z</dcterms:modified>
</cp:coreProperties>
</file>