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BF0A8"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Shadow Report to the Committee on Economic, Social and Cultural Rights (CESCR)</w:t>
      </w:r>
    </w:p>
    <w:p w14:paraId="3E1C3080" w14:textId="77777777" w:rsidR="00EE33FC" w:rsidRPr="00EE33FC" w:rsidRDefault="00EE33FC" w:rsidP="00EE33FC">
      <w:p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b/>
          <w:bCs/>
          <w:color w:val="1B1C1D"/>
          <w:kern w:val="0"/>
          <w:sz w:val="24"/>
          <w:szCs w:val="24"/>
          <w:bdr w:val="none" w:sz="0" w:space="0" w:color="auto" w:frame="1"/>
          <w14:ligatures w14:val="none"/>
        </w:rPr>
        <w:t>Regarding the Arab Republic of Egypt's Implementation of the International Covenant on Economic, Social and Cultural Rights (ICESCR)</w:t>
      </w:r>
    </w:p>
    <w:p w14:paraId="5A7D85AD" w14:textId="77777777" w:rsidR="00EE33FC" w:rsidRPr="00EE33FC" w:rsidRDefault="00EE33FC" w:rsidP="00EE33FC">
      <w:pPr>
        <w:spacing w:after="100" w:afterAutospacing="1"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Submitted by: Cairo 52 Legal Research Institute</w:t>
      </w:r>
    </w:p>
    <w:p w14:paraId="1C7E1C43" w14:textId="77777777" w:rsidR="00EE33FC" w:rsidRPr="00EE33FC" w:rsidRDefault="00EE33FC" w:rsidP="00EE33FC">
      <w:pPr>
        <w:spacing w:after="100" w:afterAutospacing="1"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Date: October 24, 2025</w:t>
      </w:r>
    </w:p>
    <w:p w14:paraId="2D0EE4B9"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Introduction</w:t>
      </w:r>
    </w:p>
    <w:p w14:paraId="2F695165"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Cairo 52 Legal Research Institute (Cairo 52), established in 2020, is a non-governmental policy and research institute dedicated to the fundamental human rights of gender and sexual minorities in the Middle East and North Africa (MENA) region.¹ Our institutional ethos is firmly rooted in the principle of intersectionality, advocating for sexual and bodily freedoms for marginalized and stigmatized groups, including LGBTQ+ individuals, sex workers, people living with HIV (PLHIV), and women.² We provide legal assistance, conduct research, engage in alternative media initiatives, and pursue strategic litigation to promote human rights as delineated by both domestic and international legislation.³</w:t>
      </w:r>
    </w:p>
    <w:p w14:paraId="76644E67"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report is submitted to the Committee on Economic, Social and Cultural Rights (CESCR) in anticipation of its 79th session in February 2026, during which it is scheduled to adopt its List of Issues regarding the Arab Republic of Egypt.</w:t>
      </w:r>
    </w:p>
    <w:p w14:paraId="0120C6E6"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information contained in this report must be contextualized within a persistent pattern of recommendations and grave findings from UN mechanisms. During its 3rd Universal Periodic Review (UPR) cycle (2019), Egypt endorsed recommendations aimed at providing healthcare without discrimination and enhancing its human rights framework.⁴ However, in its 4th UPR cycle (2024–2025), Egypt "noted" (rejected) all recommendations related to sexual orientation and gender identity,⁵ including those urging the repeal of discriminatory laws⁶ and the protection of individuals belonging to sexual and gender minorities from violence.⁷</w:t>
      </w:r>
    </w:p>
    <w:p w14:paraId="617B143C"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rejection corresponds with recent alarming findings from UN Treaty Bodies.⁸ In its March 2023 Concluding Observations (CCPR/C/EGY/CO/5), the Human Rights Committee expressed profound concern regarding the use of vague anti-terrorism laws to suppress actual or perceived dissent against the Government.⁹ The Committee urged Egypt to "take steps to ensure that existing legislation invoking vague notions of morality... is not arbitrarily employed to arrest and detain individuals based on their actual or perceived sexual orientation or gender identity" and to investigate all incidents of related violence.¹⁰</w:t>
      </w:r>
    </w:p>
    <w:p w14:paraId="49C421DB"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Similarly, in its December 2023 Concluding Observations (CAT/C/EGY/CO/5), the Committee Against Torture underscored that torture is "systemic," perpetuated by impunity, and specifically targets LGBTQI+ individuals, including the continued practice of forced anal examinations¹¹ and virginity testing¹²—a procedure lacking medical justification that constitutes torture.¹³ These findings are echoed by UN human rights experts, who have warned </w:t>
      </w:r>
      <w:r w:rsidRPr="00EE33FC">
        <w:rPr>
          <w:rFonts w:ascii="Arial" w:eastAsia="Times New Roman" w:hAnsi="Arial" w:cs="Arial"/>
          <w:color w:val="1B1C1D"/>
          <w:kern w:val="0"/>
          <w:sz w:val="24"/>
          <w:szCs w:val="24"/>
          <w14:ligatures w14:val="none"/>
        </w:rPr>
        <w:lastRenderedPageBreak/>
        <w:t>that practices such as "conversion therapy" are unscientific, harmful,¹⁴ and "can amount to torture".¹⁵</w:t>
      </w:r>
    </w:p>
    <w:p w14:paraId="0453AE9F"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shadow report builds upon these findings, positing that the persecution of sexual and gender minorities is not incidental but is instrumentalized by the state through the intersectional weaponization of "vice" and "morality" laws.¹⁶</w:t>
      </w:r>
    </w:p>
    <w:p w14:paraId="195EB7FF" w14:textId="77777777" w:rsidR="00EE33FC" w:rsidRPr="00EE33FC" w:rsidRDefault="00EE33FC" w:rsidP="00EE33FC">
      <w:pPr>
        <w:numPr>
          <w:ilvl w:val="0"/>
          <w:numId w:val="11"/>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report will illustrate how the ambiguous interpretation of laws such as Law 10/1961 ("Combating of Prostitution") and Article 25 of the Cybercrime Law ("violating family principles") acts as a legal pretext for infringing upon the private lives, sexual freedoms, and due process rights of transgender individuals, queer individuals, sex workers, and online content creators.¹⁷ This strategy, employed to deflect attention from economic crises and bolster state legitimacy,¹⁸ results in systemic violations of rights to non-discrimination (Art. 2), health (Art. 12), work (Art. 6-7), education (Art. 13), an adequate standard of living (Art. 11), family life (Art. 10), and cultural participation (Art. 15).</w:t>
      </w:r>
    </w:p>
    <w:p w14:paraId="61C567E2"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2: Non-Discrimination</w:t>
      </w:r>
    </w:p>
    <w:p w14:paraId="6D2F366B"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Article 2(2) of the ICESCR obligates State Parties to ensure that the rights articulated in the Covenant are exercised without discrimination of any kind.¹⁹ The CESCR has clarified that the prohibition of discrimination based on "other status" encompasses sexual orientation and gender identity.²⁰</w:t>
      </w:r>
    </w:p>
    <w:p w14:paraId="4747A799"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There are no laws in Egypt that provide protection against discrimination based on sexual orientation or gender identity in employment, housing, healthcare, or education.²¹ Instead, the state actively employs discriminatory legal frameworks, despite Egypt's constitutional guarantees of equality (Articles 9 and 53)²² and its recent rejection of all UPR recommendations pertaining to sexual orientation and gender identity.²³</w:t>
      </w:r>
    </w:p>
    <w:p w14:paraId="22F574D2"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Law 10/1961 ("Combating of Prostitution") employs gendered terminology ("prostitution" for women, "debauchery" for men)²⁴ and has been judicially interpreted to eliminate the requirement for financial proof,²⁵ transforming it into a mechanism for policing any non-normative sexuality perceived as "habitual" or "indiscriminate".²⁶</w:t>
      </w:r>
    </w:p>
    <w:p w14:paraId="3D8F66C5"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interpretation disproportionately targets women suspected of engaging in sex work (who constituted 83 out of 116 arrests documented by Cairo 52's media observatory in 2024, including 2 transgender women)²⁷ and is utilized for the de facto criminalization of queer men and transgender women under the "debauchery" provision,²⁸ despite the law's ostensible focus on commercial sex. Notably, cisgender heterosexual male clients are consistently treated as witnesses, underscoring the law's patriarchal bias.²⁹</w:t>
      </w:r>
    </w:p>
    <w:p w14:paraId="41665C2C"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Cybercrime Law (Law 175/2018), particularly the ambiguous Article 25 ("violating family principles or values"),³⁰ has emerged as a primary tool for intersectional persecution in the digital realm.³¹ Lacking any clear definition,³² this article grants excessive discretion to authorities.³³ It is weaponized against several groups.</w:t>
      </w:r>
    </w:p>
    <w:p w14:paraId="0EEADE34" w14:textId="77777777" w:rsidR="00EE33FC" w:rsidRPr="00EE33FC" w:rsidRDefault="00EE33FC" w:rsidP="00EE33FC">
      <w:pPr>
        <w:numPr>
          <w:ilvl w:val="0"/>
          <w:numId w:val="12"/>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Authorities target </w:t>
      </w:r>
      <w:r w:rsidRPr="00EE33FC">
        <w:rPr>
          <w:rFonts w:ascii="Arial" w:eastAsia="Times New Roman" w:hAnsi="Arial" w:cs="Arial"/>
          <w:color w:val="1B1C1D"/>
          <w:kern w:val="0"/>
          <w:sz w:val="24"/>
          <w:szCs w:val="24"/>
          <w:bdr w:val="none" w:sz="0" w:space="0" w:color="auto" w:frame="1"/>
          <w14:ligatures w14:val="none"/>
        </w:rPr>
        <w:t>Women and TikTok Influencers</w:t>
      </w:r>
      <w:r w:rsidRPr="00EE33FC">
        <w:rPr>
          <w:rFonts w:ascii="Arial" w:eastAsia="Times New Roman" w:hAnsi="Arial" w:cs="Arial"/>
          <w:color w:val="1B1C1D"/>
          <w:kern w:val="0"/>
          <w:sz w:val="24"/>
          <w:szCs w:val="24"/>
          <w14:ligatures w14:val="none"/>
        </w:rPr>
        <w:t xml:space="preserve"> for online expression, dancing, or attire deemed "immoral" or contrary to "family values," exemplified by high-profile "TikTok girls" cases.³⁴ These prosecutions often rely on populist sentiment rather than clear legal standards,³⁵ disproportionately </w:t>
      </w:r>
      <w:r w:rsidRPr="00EE33FC">
        <w:rPr>
          <w:rFonts w:ascii="Arial" w:eastAsia="Times New Roman" w:hAnsi="Arial" w:cs="Arial"/>
          <w:color w:val="1B1C1D"/>
          <w:kern w:val="0"/>
          <w:sz w:val="24"/>
          <w:szCs w:val="24"/>
          <w14:ligatures w14:val="none"/>
        </w:rPr>
        <w:lastRenderedPageBreak/>
        <w:t xml:space="preserve">affecting women from lower socio-economic backgrounds.³⁶ For </w:t>
      </w:r>
      <w:r w:rsidRPr="00EE33FC">
        <w:rPr>
          <w:rFonts w:ascii="Arial" w:eastAsia="Times New Roman" w:hAnsi="Arial" w:cs="Arial"/>
          <w:color w:val="1B1C1D"/>
          <w:kern w:val="0"/>
          <w:sz w:val="24"/>
          <w:szCs w:val="24"/>
          <w:bdr w:val="none" w:sz="0" w:space="0" w:color="auto" w:frame="1"/>
          <w14:ligatures w14:val="none"/>
        </w:rPr>
        <w:t>LGBTQ+ Individuals</w:t>
      </w:r>
      <w:r w:rsidRPr="00EE33FC">
        <w:rPr>
          <w:rFonts w:ascii="Arial" w:eastAsia="Times New Roman" w:hAnsi="Arial" w:cs="Arial"/>
          <w:color w:val="1B1C1D"/>
          <w:kern w:val="0"/>
          <w:sz w:val="24"/>
          <w:szCs w:val="24"/>
          <w14:ligatures w14:val="none"/>
        </w:rPr>
        <w:t xml:space="preserve">, recent judicial interpretations indicate a dangerous shift from de facto to explicit de jure criminalization.³⁷ Economic Courts now explicitly interpret Article 25 in conjunction with "debauchery" to criminalize homosexual acts themselves as violations of "family values," invoking religious interpretations.³⁸ This change removes the previous legal fiction of prosecution solely for alleged sex work.³⁹ The law is also used against </w:t>
      </w:r>
      <w:r w:rsidRPr="00EE33FC">
        <w:rPr>
          <w:rFonts w:ascii="Arial" w:eastAsia="Times New Roman" w:hAnsi="Arial" w:cs="Arial"/>
          <w:color w:val="1B1C1D"/>
          <w:kern w:val="0"/>
          <w:sz w:val="24"/>
          <w:szCs w:val="24"/>
          <w:bdr w:val="none" w:sz="0" w:space="0" w:color="auto" w:frame="1"/>
          <w14:ligatures w14:val="none"/>
        </w:rPr>
        <w:t>Women Suspected of Engaging in Sex Work</w:t>
      </w:r>
      <w:r w:rsidRPr="00EE33FC">
        <w:rPr>
          <w:rFonts w:ascii="Arial" w:eastAsia="Times New Roman" w:hAnsi="Arial" w:cs="Arial"/>
          <w:color w:val="1B1C1D"/>
          <w:kern w:val="0"/>
          <w:sz w:val="24"/>
          <w:szCs w:val="24"/>
          <w14:ligatures w14:val="none"/>
        </w:rPr>
        <w:t>; with its introduction, Egyptian authorities initiated campaigns targeting so-called "digital prostitution," primarily focusing on women deemed immoral by rigid social standards.⁴⁰</w:t>
      </w:r>
    </w:p>
    <w:p w14:paraId="635B18AD"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selective and ambiguous application results in significant due process violations, as noted by the Human Rights Committee.⁴¹ The lack of legal certainty renders it impossible for individuals to anticipate what conduct may be deemed criminal.⁴² Women, both transgender and cisgender, along with queer men, are often adversely affected by this vagueness, facing prosecution without substantive evidence of wrongdoing.</w:t>
      </w:r>
    </w:p>
    <w:p w14:paraId="38CE8FFF"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Arrests, particularly those stemming from digital entrapment targeting LGBTQ+ individuals (129 out of 232 LGBTQ+ arrests between 2013-2017 occurred via applications;⁴³ 28 out of 45 vice cases in Cairo 52's 2024 legal aid involved digital surveillance),⁴⁴ blur the distinction between revealing and inciting criminal activity.⁴⁵ Coerced access to digital devices without warrants⁴⁶ and the questionable utilization of digital forensic analysis⁴⁷ further undermine fair trial rights.</w:t>
      </w:r>
    </w:p>
    <w:p w14:paraId="6776F9BC"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Supreme Administrative Court's 2023 ruling permitting dismissal from public employment based solely on suspicion of homosexuality exemplifies the erosion of due process,⁴⁸ as the digital evidence used in the case was obtained illegally by the accused's ex-wife from his private phone and was never publicly available.⁴⁹ Migration Law No. 89/1961 is similarly wielded to arbitrarily deport foreigners suspected of being queer, circumventing judicial review.⁵⁰</w:t>
      </w:r>
    </w:p>
    <w:p w14:paraId="5A5781CE" w14:textId="77777777" w:rsidR="00EE33FC" w:rsidRPr="00EE33FC" w:rsidRDefault="00EE33FC" w:rsidP="00EE33FC">
      <w:pPr>
        <w:numPr>
          <w:ilvl w:val="0"/>
          <w:numId w:val="12"/>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systemic discrimination, facilitated by vague laws applied intersectionally, contravenes the fundamental principles of Article 2 of the Covenant.</w:t>
      </w:r>
    </w:p>
    <w:p w14:paraId="6A1B93E0"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12: The Right to the Highest Attainable Standard of Physical and Mental Health</w:t>
      </w:r>
    </w:p>
    <w:p w14:paraId="3F04E2A0" w14:textId="77777777"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Article 12 guarantees every individual's right to the highest attainable standard of physical and mental health.⁵¹ Egypt markedly fails to uphold this right for transgender and intersex individuals and PLHIV, prioritizing discriminatory "morality" narratives, frequently enforced through vice laws, over evidence-based public health approaches.⁵²</w:t>
      </w:r>
    </w:p>
    <w:p w14:paraId="3976DD55" w14:textId="77777777" w:rsidR="00EE33FC" w:rsidRPr="00EE33FC" w:rsidRDefault="00EE33FC" w:rsidP="00EE33FC">
      <w:pPr>
        <w:numPr>
          <w:ilvl w:val="0"/>
          <w:numId w:val="13"/>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bdr w:val="none" w:sz="0" w:space="0" w:color="auto" w:frame="1"/>
          <w14:ligatures w14:val="none"/>
        </w:rPr>
        <w:t>Transgender Individuals:</w:t>
      </w:r>
      <w:r w:rsidRPr="00EE33FC">
        <w:rPr>
          <w:rFonts w:ascii="Arial" w:eastAsia="Times New Roman" w:hAnsi="Arial" w:cs="Arial"/>
          <w:color w:val="1B1C1D"/>
          <w:kern w:val="0"/>
          <w:sz w:val="24"/>
          <w:szCs w:val="24"/>
          <w14:ligatures w14:val="none"/>
        </w:rPr>
        <w:t xml:space="preserve"> Egypt enforces a medical policy, codified in Article 43 of the Medical Syndicate's 2003 code of ethics, that prohibits medical practitioners from performing "sex change" operations (interpreted as gender-affirming healthcare for transgender individuals) while allowing "sex correction" (for intersex individuals) only with approval from a dysfunctional review committee.⁵³ This policy, heavily influenced by religious interpretations distinguishing between biological (intersex) and mental (transgender) conditions,⁵⁴ effectively bans access to gender-affirming healthcare through official channels.⁵⁵</w:t>
      </w:r>
    </w:p>
    <w:p w14:paraId="2015CB1D" w14:textId="77777777"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A 2024 Cairo 52 survey indicated that 77% of 104 transgender individuals lack access to gender-affirming healthcare (GAH).⁵⁶ The primary barriers identified include financial constraints (31%), absence of GAH services (24%), living with unsupportive families (23.3%), and societal fears (10.7%).⁵⁷ Notably, 84% of respondents reported prior experience with GAH but subsequently discontinued it.⁵⁸ Another study with a sample size of 133 found that only 22.7% had accessed GAH, citing similar barriers, including financial constraints, stigma, familial rejection, and insufficient services or information.⁵⁹</w:t>
      </w:r>
    </w:p>
    <w:p w14:paraId="7F1DEB14" w14:textId="77777777"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71.5% of participants in the Cairo 52 study reported experiencing stigma or discrimination in medical facilities.⁶⁰ A separate study found that 62.5% of respondents experienced similar issues.⁶¹ Participants recounted instances of misgendering, ridicule, denial of service, and voyeurism during examinations.⁶² Such discrimination is exacerbated by fears of authorities, as highlighted by the Committee Against Torture, which discourages individuals from seeking redress.⁶³</w:t>
      </w:r>
    </w:p>
    <w:p w14:paraId="39D04C69" w14:textId="69FEF622"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With GAH excluded from insurance coverage, 82% of individuals pay out-of-pocket.⁶⁴ Estimated transition costs range from 150,000 to over 500,000 EGP,⁶⁵ a prohibitive amount given high unemployment rates (37.6% and 73.1% reported in studies)⁶⁶ and low wages.⁶⁷ This situation compels individuals to rely on perilous underground clinics⁶⁸ or do-it-yourself hormone replacement therapy (HRT),⁶⁹ with information primarily sourced from friends (35.8%</w:t>
      </w:r>
      <w:r w:rsidR="00005435">
        <w:rPr>
          <w:rFonts w:ascii="Arial" w:eastAsia="Times New Roman" w:hAnsi="Arial" w:cs="Arial"/>
          <w:color w:val="1B1C1D"/>
          <w:kern w:val="0"/>
          <w:sz w:val="24"/>
          <w:szCs w:val="24"/>
          <w:lang w:val="en-GB"/>
          <w14:ligatures w14:val="none"/>
        </w:rPr>
        <w:t>-</w:t>
      </w:r>
      <w:r w:rsidRPr="00EE33FC">
        <w:rPr>
          <w:rFonts w:ascii="Arial" w:eastAsia="Times New Roman" w:hAnsi="Arial" w:cs="Arial"/>
          <w:color w:val="1B1C1D"/>
          <w:kern w:val="0"/>
          <w:sz w:val="24"/>
          <w:szCs w:val="24"/>
          <w14:ligatures w14:val="none"/>
        </w:rPr>
        <w:t>37%) and online groups (21.3%</w:t>
      </w:r>
      <w:r w:rsidR="00005435">
        <w:rPr>
          <w:rFonts w:ascii="Arial" w:eastAsia="Times New Roman" w:hAnsi="Arial" w:cs="Arial"/>
          <w:color w:val="1B1C1D"/>
          <w:kern w:val="0"/>
          <w:sz w:val="24"/>
          <w:szCs w:val="24"/>
          <w:lang w:val="en-GB"/>
          <w14:ligatures w14:val="none"/>
        </w:rPr>
        <w:t>-</w:t>
      </w:r>
      <w:r w:rsidRPr="00EE33FC">
        <w:rPr>
          <w:rFonts w:ascii="Arial" w:eastAsia="Times New Roman" w:hAnsi="Arial" w:cs="Arial"/>
          <w:color w:val="1B1C1D"/>
          <w:kern w:val="0"/>
          <w:sz w:val="24"/>
          <w:szCs w:val="24"/>
          <w14:ligatures w14:val="none"/>
        </w:rPr>
        <w:t>24%), rather than from medical professionals (2.7%</w:t>
      </w:r>
      <w:r w:rsidR="00394746">
        <w:rPr>
          <w:rFonts w:ascii="Arial" w:eastAsia="Times New Roman" w:hAnsi="Arial" w:cs="Arial"/>
          <w:color w:val="1B1C1D"/>
          <w:kern w:val="0"/>
          <w:sz w:val="24"/>
          <w:szCs w:val="24"/>
          <w:lang w:val="en-GB"/>
          <w14:ligatures w14:val="none"/>
        </w:rPr>
        <w:t>-</w:t>
      </w:r>
      <w:r w:rsidRPr="00EE33FC">
        <w:rPr>
          <w:rFonts w:ascii="Arial" w:eastAsia="Times New Roman" w:hAnsi="Arial" w:cs="Arial"/>
          <w:color w:val="1B1C1D"/>
          <w:kern w:val="0"/>
          <w:sz w:val="24"/>
          <w:szCs w:val="24"/>
          <w14:ligatures w14:val="none"/>
        </w:rPr>
        <w:t>4%).⁷⁰ Only 23% attempted to access public facilities, citing disorganization, discrimination, and unqualified staff as barriers.⁷¹ The Qasr Al-Aini gender clinic accommodates over 50 individuals for merely 35 available slots monthly,⁷² with group sessions lasting less than five minutes.⁷³</w:t>
      </w:r>
    </w:p>
    <w:p w14:paraId="07103296" w14:textId="77777777"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lack of access to GAH directly affects legal gender recognition (LGR), which often necessitates proof of completed surgeries.⁷⁴ This situation places individuals in a vulnerable state, adversely impacting their mental health.⁷⁵ Recently, Egypt introduced a new invasive DNA testing policy for LGR to ensure that only intersex individuals can access it,⁷⁶ effectively weaponizing healthcare against transgender individuals, who are now unable to obtain LGR even after completing medical transition.⁷⁷</w:t>
      </w:r>
    </w:p>
    <w:p w14:paraId="13716130" w14:textId="77777777" w:rsidR="00EE33FC" w:rsidRPr="00EE33FC" w:rsidRDefault="00EE33FC" w:rsidP="00EE33FC">
      <w:pPr>
        <w:numPr>
          <w:ilvl w:val="0"/>
          <w:numId w:val="13"/>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bdr w:val="none" w:sz="0" w:space="0" w:color="auto" w:frame="1"/>
          <w14:ligatures w14:val="none"/>
        </w:rPr>
        <w:t>Intersex Individuals:</w:t>
      </w:r>
      <w:r w:rsidRPr="00EE33FC">
        <w:rPr>
          <w:rFonts w:ascii="Arial" w:eastAsia="Times New Roman" w:hAnsi="Arial" w:cs="Arial"/>
          <w:color w:val="1B1C1D"/>
          <w:kern w:val="0"/>
          <w:sz w:val="24"/>
          <w:szCs w:val="24"/>
          <w14:ligatures w14:val="none"/>
        </w:rPr>
        <w:t xml:space="preserve"> While "sex correction" is permitted,⁷⁸ Egypt lacks unified policies or specialized centers for intersex care.⁷⁹ Decisions regarding medically unnecessary infant surgeries are often arbitrary,⁸⁰ influenced by parental pressure, a lack of resources for proper testing,⁸¹ and societal bias favoring male assignment.⁸² There is minimal psychological support available.⁸³ Adults seeking care encounter bureaucratic obstacles and prohibitive costs.⁸⁴ Female genital mutilation (FGM), practiced on 87% of females,⁸⁵ complicates subsequent surgeries for intersex individuals misassigned female at birth, as it can diminish the chances of successful genital reconstruction.⁸⁶ Overall, policy tends to focus on enforcing binary gender norms rather than ensuring well-being.⁸⁷</w:t>
      </w:r>
    </w:p>
    <w:p w14:paraId="7FAA26DB" w14:textId="77777777" w:rsidR="00EE33FC" w:rsidRPr="00EE33FC" w:rsidRDefault="00EE33FC" w:rsidP="00EE33FC">
      <w:pPr>
        <w:numPr>
          <w:ilvl w:val="0"/>
          <w:numId w:val="13"/>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bdr w:val="none" w:sz="0" w:space="0" w:color="auto" w:frame="1"/>
          <w14:ligatures w14:val="none"/>
        </w:rPr>
        <w:t>Pseudo-Scientific Practices: "Conversion Therapy"</w:t>
      </w:r>
      <w:r w:rsidRPr="00EE33FC">
        <w:rPr>
          <w:rFonts w:ascii="Arial" w:eastAsia="Times New Roman" w:hAnsi="Arial" w:cs="Arial"/>
          <w:color w:val="1B1C1D"/>
          <w:kern w:val="0"/>
          <w:sz w:val="24"/>
          <w:szCs w:val="24"/>
          <w14:ligatures w14:val="none"/>
        </w:rPr>
        <w:t xml:space="preserve">: A "profitable pseudo-conversion therapy industry has emerged" in Egypt,⁸⁸ posing a severe threat to the physical and mental health of queer individuals, particularly youth. These practices, which encompass any effort to change or suppress a </w:t>
      </w:r>
      <w:r w:rsidRPr="00EE33FC">
        <w:rPr>
          <w:rFonts w:ascii="Arial" w:eastAsia="Times New Roman" w:hAnsi="Arial" w:cs="Arial"/>
          <w:color w:val="1B1C1D"/>
          <w:kern w:val="0"/>
          <w:sz w:val="24"/>
          <w:szCs w:val="24"/>
          <w14:ligatures w14:val="none"/>
        </w:rPr>
        <w:lastRenderedPageBreak/>
        <w:t>person's sexual orientation or gender identity,⁸⁹ are promoted under misleading terms such as "treating homosexuality" or "recovery".⁹⁰</w:t>
      </w:r>
    </w:p>
    <w:p w14:paraId="3DA19725" w14:textId="01816E87"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This industry is actively endorsed by state-aligned religious authorities. Al-Azhar has issued fatwas encouraging "healing" through prayer and marriage⁹¹ and has called on parents to subject children to these practices "as early as possible".⁹² The Coptic Orthodox Church organized a "diploma" in 2021 to train individuals in conversion therapy, led by US-based practitioner Richard Cohen,⁹³ while the Evangelical Church opened a similar school in 2020.⁹⁴ These practices are carried out by licensed psychiatrists and public figures,⁹⁵ including</w:t>
      </w:r>
      <w:r w:rsidR="002F5A20">
        <w:rPr>
          <w:rFonts w:ascii="Arial" w:eastAsia="Times New Roman" w:hAnsi="Arial" w:cs="Arial"/>
          <w:color w:val="1B1C1D"/>
          <w:kern w:val="0"/>
          <w:sz w:val="24"/>
          <w:szCs w:val="24"/>
          <w:lang w:val="en-GB"/>
          <w14:ligatures w14:val="none"/>
        </w:rPr>
        <w:t xml:space="preserve"> healthcare providers such as</w:t>
      </w:r>
      <w:r w:rsidRPr="00EE33FC">
        <w:rPr>
          <w:rFonts w:ascii="Arial" w:eastAsia="Times New Roman" w:hAnsi="Arial" w:cs="Arial"/>
          <w:color w:val="1B1C1D"/>
          <w:kern w:val="0"/>
          <w:sz w:val="24"/>
          <w:szCs w:val="24"/>
          <w14:ligatures w14:val="none"/>
        </w:rPr>
        <w:t xml:space="preserve"> Ousim Wasfi,⁹⁶ Heba Kotb,⁹⁷ Shahab El-Hawary,⁹⁸ and Gamal Feroiz</w:t>
      </w:r>
      <w:r w:rsidR="002F5A20">
        <w:rPr>
          <w:rFonts w:ascii="Arial" w:eastAsia="Times New Roman" w:hAnsi="Arial" w:cs="Arial"/>
          <w:color w:val="1B1C1D"/>
          <w:kern w:val="0"/>
          <w:sz w:val="24"/>
          <w:szCs w:val="24"/>
          <w:lang w:val="en-GB"/>
          <w14:ligatures w14:val="none"/>
        </w:rPr>
        <w:t>, who are considered to be media darlings as they are often invited to talk shows to speak about “healing homosexuals.”</w:t>
      </w:r>
      <w:r w:rsidRPr="00EE33FC">
        <w:rPr>
          <w:rFonts w:ascii="Arial" w:eastAsia="Times New Roman" w:hAnsi="Arial" w:cs="Arial"/>
          <w:color w:val="1B1C1D"/>
          <w:kern w:val="0"/>
          <w:sz w:val="24"/>
          <w:szCs w:val="24"/>
          <w14:ligatures w14:val="none"/>
        </w:rPr>
        <w:t>⁹⁹</w:t>
      </w:r>
    </w:p>
    <w:p w14:paraId="7B303C62" w14:textId="65607069"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An investigation by </w:t>
      </w:r>
      <w:r w:rsidR="00AC0F34">
        <w:rPr>
          <w:rFonts w:ascii="Arial" w:eastAsia="Times New Roman" w:hAnsi="Arial" w:cs="Arial"/>
          <w:color w:val="1B1C1D"/>
          <w:kern w:val="0"/>
          <w:sz w:val="24"/>
          <w:szCs w:val="24"/>
          <w:lang w:val="en-GB"/>
          <w14:ligatures w14:val="none"/>
        </w:rPr>
        <w:t xml:space="preserve">local group </w:t>
      </w:r>
      <w:r w:rsidRPr="00EE33FC">
        <w:rPr>
          <w:rFonts w:ascii="Arial" w:eastAsia="Times New Roman" w:hAnsi="Arial" w:cs="Arial"/>
          <w:color w:val="1B1C1D"/>
          <w:kern w:val="0"/>
          <w:sz w:val="24"/>
          <w:szCs w:val="24"/>
          <w14:ligatures w14:val="none"/>
        </w:rPr>
        <w:t>Atyaf documented survivor testimonials, revealing methods that include: prescribing powerful and inappropriate medications, such as sedatives and antidepressants¹⁰⁰ like Seroxat;¹⁰¹ employing pseudo-scientific techniques like hypnosis¹⁰² and degrading procedures such as forced anal examinations, which practitioner Heba Kotb has admitted to using;¹⁰³ and utilizing "religious and ethical sermons"¹⁰⁴ and telling patients they are "sick," "against nature,"¹⁰⁵ and "going to hell".¹⁰⁶</w:t>
      </w:r>
    </w:p>
    <w:p w14:paraId="0489628F" w14:textId="525C0A2A" w:rsidR="00EE33FC" w:rsidRPr="00EE33FC" w:rsidRDefault="00EE33FC" w:rsidP="00EE33FC">
      <w:pPr>
        <w:numPr>
          <w:ilvl w:val="0"/>
          <w:numId w:val="13"/>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These practices are universally condemned by global health bodies.¹⁰⁷ The World Health Organization (WHO),¹⁰⁸ the American Psychiatric Association (APA),¹⁰⁹ and the World Psychiatric Association (WPA)¹¹⁰ have all affirmed that homosexuality is not a disease, disorder, or illness and that efforts to "cure" it are unscientific and harmful. The Pan American Health Organization deemed these practices a "serious threat to health and human rights,"¹¹¹ and UN experts have stated they "can amount to torture".¹¹² The harms are significant, leading to severe depression, anxiety, self-loathing,¹¹³ and suicidal ideation.¹¹⁴ </w:t>
      </w:r>
      <w:r w:rsidR="00AC0F34">
        <w:rPr>
          <w:rFonts w:ascii="Arial" w:eastAsia="Times New Roman" w:hAnsi="Arial" w:cs="Arial"/>
          <w:color w:val="1B1C1D"/>
          <w:kern w:val="0"/>
          <w:sz w:val="24"/>
          <w:szCs w:val="24"/>
          <w:lang w:val="en-GB"/>
          <w14:ligatures w14:val="none"/>
        </w:rPr>
        <w:t>The</w:t>
      </w:r>
      <w:r w:rsidRPr="00EE33FC">
        <w:rPr>
          <w:rFonts w:ascii="Arial" w:eastAsia="Times New Roman" w:hAnsi="Arial" w:cs="Arial"/>
          <w:color w:val="1B1C1D"/>
          <w:kern w:val="0"/>
          <w:sz w:val="24"/>
          <w:szCs w:val="24"/>
          <w14:ligatures w14:val="none"/>
        </w:rPr>
        <w:t xml:space="preserve"> investigation documented Egyptian survivors who experienced "self-loathing"¹¹⁵ and severe depression resulting from the "terror"¹¹⁶ of the "treatment" they endured as </w:t>
      </w:r>
      <w:r w:rsidR="00AC0F34" w:rsidRPr="00EE33FC">
        <w:rPr>
          <w:rFonts w:ascii="Arial" w:eastAsia="Times New Roman" w:hAnsi="Arial" w:cs="Arial"/>
          <w:color w:val="1B1C1D"/>
          <w:kern w:val="0"/>
          <w:sz w:val="24"/>
          <w:szCs w:val="24"/>
          <w14:ligatures w14:val="none"/>
        </w:rPr>
        <w:t>minors. ¹</w:t>
      </w:r>
      <w:r w:rsidRPr="00EE33FC">
        <w:rPr>
          <w:rFonts w:ascii="Arial" w:eastAsia="Times New Roman" w:hAnsi="Arial" w:cs="Arial"/>
          <w:color w:val="1B1C1D"/>
          <w:kern w:val="0"/>
          <w:sz w:val="24"/>
          <w:szCs w:val="24"/>
          <w14:ligatures w14:val="none"/>
        </w:rPr>
        <w:t>¹⁷</w:t>
      </w:r>
    </w:p>
    <w:p w14:paraId="2596AB3E" w14:textId="77777777" w:rsidR="00EE33FC" w:rsidRPr="00EE33FC" w:rsidRDefault="00EE33FC" w:rsidP="00EE33FC">
      <w:pPr>
        <w:numPr>
          <w:ilvl w:val="0"/>
          <w:numId w:val="13"/>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bdr w:val="none" w:sz="0" w:space="0" w:color="auto" w:frame="1"/>
          <w14:ligatures w14:val="none"/>
        </w:rPr>
        <w:t>People Living with HIV (PLHIV):</w:t>
      </w:r>
      <w:r w:rsidRPr="00EE33FC">
        <w:rPr>
          <w:rFonts w:ascii="Arial" w:eastAsia="Times New Roman" w:hAnsi="Arial" w:cs="Arial"/>
          <w:color w:val="1B1C1D"/>
          <w:kern w:val="0"/>
          <w:sz w:val="24"/>
          <w:szCs w:val="24"/>
          <w14:ligatures w14:val="none"/>
        </w:rPr>
        <w:t xml:space="preserve"> Despite a fivefold increase in infections between 2010 (5,400) and 2021 (30,000),¹¹⁸ HIV remains politically neglected.¹¹⁹ The national strategy emphasizes treatment over prevention, lacks transparency, and excludes key populations from consultation.¹²⁰ This stands in stark contrast to the successful Hepatitis C campaign, which reduced prevalence from 10% to 0.38%,¹²¹ indicating capacity but a lack of political will due to HIV's association with marginalized groups targeted by vice laws.¹²² PLHIV experience stigma even within healthcare settings, as evidenced by negative attitudes reported in studies,¹²³ and housing discrimination, with 1 in 5 individuals forced to leave their homes in 2019.¹²⁴ The criminalization of HIV transmission has increased, with recent prosecutions occurring under "public obscenity" laws derived from vice frameworks,¹²⁵ further hindering testing and disclosure.¹²⁶ Medication shortages were reported during the COVID-19 pandemic and again in March 2024.¹²⁷</w:t>
      </w:r>
    </w:p>
    <w:p w14:paraId="20343235"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6 &amp; 7: The Right to Work and Just and Favourable Conditions of Work</w:t>
      </w:r>
    </w:p>
    <w:p w14:paraId="0D76D613" w14:textId="77777777" w:rsidR="00EE33FC" w:rsidRPr="00EE33FC" w:rsidRDefault="00EE33FC" w:rsidP="00EE33FC">
      <w:pPr>
        <w:numPr>
          <w:ilvl w:val="0"/>
          <w:numId w:val="14"/>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Articles 6 and 7 guarantee the right to work, including the opportunity to earn a living through freely chosen employment, and the right to just and favorable </w:t>
      </w:r>
      <w:r w:rsidRPr="00EE33FC">
        <w:rPr>
          <w:rFonts w:ascii="Arial" w:eastAsia="Times New Roman" w:hAnsi="Arial" w:cs="Arial"/>
          <w:color w:val="1B1C1D"/>
          <w:kern w:val="0"/>
          <w:sz w:val="24"/>
          <w:szCs w:val="24"/>
          <w14:ligatures w14:val="none"/>
        </w:rPr>
        <w:lastRenderedPageBreak/>
        <w:t>working conditions.¹²⁸ Egypt violates these rights through direct discrimination, an intersectional application of morality laws, and the failure to provide legal protection for individuals based on sexual orientation, gender identity, and expression (SOGIESC) as well as sex workers.</w:t>
      </w:r>
    </w:p>
    <w:p w14:paraId="22FF60EF" w14:textId="77777777" w:rsidR="00EE33FC" w:rsidRPr="00EE33FC" w:rsidRDefault="00EE33FC" w:rsidP="00EE33FC">
      <w:pPr>
        <w:numPr>
          <w:ilvl w:val="0"/>
          <w:numId w:val="14"/>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Unemployment rates among transgender individuals are alarmingly high (73.1% in one Cairo 52 survey,¹²⁹ 37.6% in another¹³⁰), despite considerable educational attainment (56.3% holding university degrees in one study¹³¹). The primary barrier for unemployed transgender individuals is inconsistent official documentation (39.7%), which is directly linked to the lack of accessible LGR.¹³² Discrimination based on gender identity is cited by 26.92% of employed transgender individuals as a significant barrier they encounter.¹³³ Sex workers, particularly women and transgender women, face a constant threat of arrest under Law 10/1961,¹³⁴ rendering them more vulnerable to exploitation from clients or pimps, as they cannot report abuse to authorities due to fear of arrest.¹³⁵</w:t>
      </w:r>
    </w:p>
    <w:p w14:paraId="3A3675FC" w14:textId="77777777" w:rsidR="00EE33FC" w:rsidRPr="00EE33FC" w:rsidRDefault="00EE33FC" w:rsidP="00EE33FC">
      <w:pPr>
        <w:numPr>
          <w:ilvl w:val="0"/>
          <w:numId w:val="14"/>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Among the small percentage of employed transgender individuals (28.8% in one study),¹³⁶ employment is often precarious, with only 46.15% working full-time.¹³⁷ Incomes are exceedingly low: 45.4% earn between 3,000-5,000 EGP per month, and 18.18% earn less than 3,000 EGP,¹³⁸ which is well below the estimated living wage of over 10,000 EGP.¹³⁹ The majority are employed in the private sector (84%), indicating exclusion from government jobs (8%) and civil society positions (12%).¹⁴⁰ Sex workers operate entirely outside labor protections, making them susceptible to exploitation and devoid of social security.¹⁴¹</w:t>
      </w:r>
    </w:p>
    <w:p w14:paraId="5659111F" w14:textId="41E24BA1" w:rsidR="00EE33FC" w:rsidRPr="00EE33FC" w:rsidRDefault="00EE33FC" w:rsidP="00BD7F2E">
      <w:pPr>
        <w:numPr>
          <w:ilvl w:val="0"/>
          <w:numId w:val="14"/>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Law 10/1961 ("Debauchery") and Cybercrime Law 175/2018 are frequently employed against LGBTQ+ individuals and sex workers,¹⁴² creating a climate of fear.¹⁴³ The Cairo 52 report documented 154 arrests related to sex work in media reports in 2023¹⁴⁴ and 116 in 2024.¹⁴⁵ </w:t>
      </w:r>
      <w:r w:rsidR="00BD7F2E">
        <w:rPr>
          <w:rFonts w:ascii="Arial" w:eastAsia="Times New Roman" w:hAnsi="Arial" w:cs="Arial"/>
          <w:color w:val="1B1C1D"/>
          <w:kern w:val="0"/>
          <w:sz w:val="24"/>
          <w:szCs w:val="24"/>
          <w:lang w:val="en-GB"/>
          <w14:ligatures w14:val="none"/>
        </w:rPr>
        <w:t>Majority of those arrests target women who are suspected of engaging in sex work, even if there is no to little evidence to prove such engagement</w:t>
      </w:r>
      <w:r w:rsidR="00BD7F2E" w:rsidRPr="00EE33FC">
        <w:rPr>
          <w:rFonts w:ascii="Arial" w:eastAsia="Times New Roman" w:hAnsi="Arial" w:cs="Arial"/>
          <w:color w:val="1B1C1D"/>
          <w:kern w:val="0"/>
          <w:sz w:val="24"/>
          <w:szCs w:val="24"/>
          <w14:ligatures w14:val="none"/>
        </w:rPr>
        <w:t>¹⁴⁶</w:t>
      </w:r>
      <w:r w:rsidR="00BD7F2E">
        <w:rPr>
          <w:rFonts w:ascii="Arial" w:eastAsia="Times New Roman" w:hAnsi="Arial" w:cs="Arial"/>
          <w:color w:val="1B1C1D"/>
          <w:kern w:val="0"/>
          <w:sz w:val="24"/>
          <w:szCs w:val="24"/>
          <w:lang w:val="en-GB"/>
          <w14:ligatures w14:val="none"/>
        </w:rPr>
        <w:t xml:space="preserve"> </w:t>
      </w:r>
      <w:r w:rsidR="00BD7F2E" w:rsidRPr="00EE33FC">
        <w:rPr>
          <w:rFonts w:ascii="Arial" w:eastAsia="Times New Roman" w:hAnsi="Arial" w:cs="Arial"/>
          <w:color w:val="1B1C1D"/>
          <w:kern w:val="0"/>
          <w:sz w:val="24"/>
          <w:szCs w:val="24"/>
          <w14:ligatures w14:val="none"/>
        </w:rPr>
        <w:t>¹⁴⁷</w:t>
      </w:r>
      <w:r w:rsidRPr="00EE33FC">
        <w:rPr>
          <w:rFonts w:ascii="Arial" w:eastAsia="Times New Roman" w:hAnsi="Arial" w:cs="Arial"/>
          <w:color w:val="1B1C1D"/>
          <w:kern w:val="0"/>
          <w:sz w:val="24"/>
          <w:szCs w:val="24"/>
          <w14:ligatures w14:val="none"/>
        </w:rPr>
        <w:t>LGBTQ+ individuals, particularly queer men and transgender women, are specifically targeted due to their identities under "debauchery,"¹⁴⁸ often through means of digital entrapment.¹⁴⁹ In 2024, 11 queer individuals were arrested; all were working independently.¹⁵⁰ A conviction for "debauchery" or related charges is classified as a "dishonorable offense,"¹⁵¹ legally barring individuals from public service.¹⁵² The 2023 Supreme Administrative Court ruling established that suspicion alone is sufficient for dismissal, demonstrating a clear violation of due process and the right to work.¹⁵³ The targeting of TikTok influencers under clauses pertaining to "family values" also adversely affects the right to earn a living through online content creation, disproportionately impacting women seeking economic independence.¹⁵⁴</w:t>
      </w:r>
    </w:p>
    <w:p w14:paraId="31F2C487"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13: The Right to Education</w:t>
      </w:r>
    </w:p>
    <w:p w14:paraId="496A48F5" w14:textId="77777777" w:rsidR="00EE33FC" w:rsidRPr="00EE33FC" w:rsidRDefault="00EE33FC" w:rsidP="00EE33FC">
      <w:pPr>
        <w:numPr>
          <w:ilvl w:val="0"/>
          <w:numId w:val="15"/>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Article 13 recognizes the right of all individuals to education.¹⁵⁵ Educational institutions in Egypt represent hostile environments for transgender students, violating this right through discrimination, lack of safety, and failure to accommodate gender identity.¹⁵⁶</w:t>
      </w:r>
    </w:p>
    <w:p w14:paraId="0D7DB7A6" w14:textId="4C2118A3" w:rsidR="00EE33FC" w:rsidRPr="00EE33FC" w:rsidRDefault="00BF59D9" w:rsidP="00EE33FC">
      <w:pPr>
        <w:numPr>
          <w:ilvl w:val="0"/>
          <w:numId w:val="15"/>
        </w:numPr>
        <w:spacing w:after="120" w:line="240" w:lineRule="auto"/>
        <w:rPr>
          <w:rFonts w:ascii="Arial" w:eastAsia="Times New Roman" w:hAnsi="Arial" w:cs="Arial"/>
          <w:color w:val="1B1C1D"/>
          <w:kern w:val="0"/>
          <w:sz w:val="24"/>
          <w:szCs w:val="24"/>
          <w14:ligatures w14:val="none"/>
        </w:rPr>
      </w:pPr>
      <w:r>
        <w:rPr>
          <w:rFonts w:ascii="Arial" w:eastAsia="Times New Roman" w:hAnsi="Arial" w:cs="Arial"/>
          <w:color w:val="1B1C1D"/>
          <w:kern w:val="0"/>
          <w:sz w:val="24"/>
          <w:szCs w:val="24"/>
          <w:lang w:val="en-GB"/>
          <w14:ligatures w14:val="none"/>
        </w:rPr>
        <w:t xml:space="preserve">According to a Cairo 52 survey, </w:t>
      </w:r>
      <w:r w:rsidR="00EE33FC" w:rsidRPr="00EE33FC">
        <w:rPr>
          <w:rFonts w:ascii="Arial" w:eastAsia="Times New Roman" w:hAnsi="Arial" w:cs="Arial"/>
          <w:color w:val="1B1C1D"/>
          <w:kern w:val="0"/>
          <w:sz w:val="24"/>
          <w:szCs w:val="24"/>
          <w14:ligatures w14:val="none"/>
        </w:rPr>
        <w:t xml:space="preserve">Transgender students rated their overall educational experiences with a mean score of only 2 out of </w:t>
      </w:r>
      <w:proofErr w:type="gramStart"/>
      <w:r w:rsidR="00EE33FC" w:rsidRPr="00EE33FC">
        <w:rPr>
          <w:rFonts w:ascii="Arial" w:eastAsia="Times New Roman" w:hAnsi="Arial" w:cs="Arial"/>
          <w:color w:val="1B1C1D"/>
          <w:kern w:val="0"/>
          <w:sz w:val="24"/>
          <w:szCs w:val="24"/>
          <w14:ligatures w14:val="none"/>
        </w:rPr>
        <w:t>5.¹</w:t>
      </w:r>
      <w:proofErr w:type="gramEnd"/>
      <w:r w:rsidR="00EE33FC" w:rsidRPr="00EE33FC">
        <w:rPr>
          <w:rFonts w:ascii="Arial" w:eastAsia="Times New Roman" w:hAnsi="Arial" w:cs="Arial"/>
          <w:color w:val="1B1C1D"/>
          <w:kern w:val="0"/>
          <w:sz w:val="24"/>
          <w:szCs w:val="24"/>
          <w14:ligatures w14:val="none"/>
        </w:rPr>
        <w:t xml:space="preserve">⁵⁷ 67% rated </w:t>
      </w:r>
      <w:r w:rsidR="00EE33FC" w:rsidRPr="00EE33FC">
        <w:rPr>
          <w:rFonts w:ascii="Arial" w:eastAsia="Times New Roman" w:hAnsi="Arial" w:cs="Arial"/>
          <w:color w:val="1B1C1D"/>
          <w:kern w:val="0"/>
          <w:sz w:val="24"/>
          <w:szCs w:val="24"/>
          <w14:ligatures w14:val="none"/>
        </w:rPr>
        <w:lastRenderedPageBreak/>
        <w:t>their experiences negatively (below 3</w:t>
      </w:r>
      <w:proofErr w:type="gramStart"/>
      <w:r w:rsidR="00EE33FC" w:rsidRPr="00EE33FC">
        <w:rPr>
          <w:rFonts w:ascii="Arial" w:eastAsia="Times New Roman" w:hAnsi="Arial" w:cs="Arial"/>
          <w:color w:val="1B1C1D"/>
          <w:kern w:val="0"/>
          <w:sz w:val="24"/>
          <w:szCs w:val="24"/>
          <w14:ligatures w14:val="none"/>
        </w:rPr>
        <w:t>).¹</w:t>
      </w:r>
      <w:proofErr w:type="gramEnd"/>
      <w:r w:rsidR="00EE33FC" w:rsidRPr="00EE33FC">
        <w:rPr>
          <w:rFonts w:ascii="Arial" w:eastAsia="Times New Roman" w:hAnsi="Arial" w:cs="Arial"/>
          <w:color w:val="1B1C1D"/>
          <w:kern w:val="0"/>
          <w:sz w:val="24"/>
          <w:szCs w:val="24"/>
          <w14:ligatures w14:val="none"/>
        </w:rPr>
        <w:t xml:space="preserve">⁵⁸ Only 12.9% reported positive experiences (above 3), primarily by concealing their </w:t>
      </w:r>
      <w:proofErr w:type="gramStart"/>
      <w:r w:rsidR="00EE33FC" w:rsidRPr="00EE33FC">
        <w:rPr>
          <w:rFonts w:ascii="Arial" w:eastAsia="Times New Roman" w:hAnsi="Arial" w:cs="Arial"/>
          <w:color w:val="1B1C1D"/>
          <w:kern w:val="0"/>
          <w:sz w:val="24"/>
          <w:szCs w:val="24"/>
          <w14:ligatures w14:val="none"/>
        </w:rPr>
        <w:t>identities.¹</w:t>
      </w:r>
      <w:proofErr w:type="gramEnd"/>
      <w:r w:rsidR="00EE33FC" w:rsidRPr="00EE33FC">
        <w:rPr>
          <w:rFonts w:ascii="Arial" w:eastAsia="Times New Roman" w:hAnsi="Arial" w:cs="Arial"/>
          <w:color w:val="1B1C1D"/>
          <w:kern w:val="0"/>
          <w:sz w:val="24"/>
          <w:szCs w:val="24"/>
          <w14:ligatures w14:val="none"/>
        </w:rPr>
        <w:t>⁵⁹</w:t>
      </w:r>
    </w:p>
    <w:p w14:paraId="2AFB0A36" w14:textId="77777777" w:rsidR="00EE33FC" w:rsidRPr="00EE33FC" w:rsidRDefault="00EE33FC" w:rsidP="00EE33FC">
      <w:pPr>
        <w:numPr>
          <w:ilvl w:val="0"/>
          <w:numId w:val="15"/>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Participants reported routine harassment, misgendering, and bullying from peers, and alarmingly, sometimes from faculty, including professors.¹⁶⁰ This aligns with broader studies documenting high rates of bullying in Egyptian schools¹⁶¹ and the concerns expressed by the Committee on the Rights of the Child regarding violence against children.¹⁶² This hostile climate contributes to social isolation, psychological distress, truancy, and dropout rates.¹⁶³ 55% stated that their gender identity negatively impacted their education.¹⁶⁴</w:t>
      </w:r>
    </w:p>
    <w:p w14:paraId="7BC38837" w14:textId="77777777" w:rsidR="00EE33FC" w:rsidRPr="00EE33FC" w:rsidRDefault="00EE33FC" w:rsidP="00EE33FC">
      <w:pPr>
        <w:numPr>
          <w:ilvl w:val="0"/>
          <w:numId w:val="15"/>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Schools and universities lack anti-discrimination policies, gender-sensitive protocols, trained counselors, and inclusive curricula.¹⁶⁵ The disparity between legal documentation and gender identity creates administrative barriers.¹⁶⁶ The Ministry of Education actively promotes anti-LGBTQ+ sentiment through school directives.¹⁶⁷ In 2022, the Ministry of Education issued a directive to combat "rising homosexual ideas" by instructing schools to hold religious lessons and awareness programs to "safeguard" youth.¹⁶⁸</w:t>
      </w:r>
    </w:p>
    <w:p w14:paraId="174D9494"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11: The Right to an Adequate Standard of Living (including Housing)</w:t>
      </w:r>
    </w:p>
    <w:p w14:paraId="1649A924" w14:textId="77777777" w:rsidR="00EE33FC" w:rsidRPr="00EE33FC" w:rsidRDefault="00EE33FC" w:rsidP="00EE33FC">
      <w:pPr>
        <w:numPr>
          <w:ilvl w:val="0"/>
          <w:numId w:val="16"/>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Article 11 recognizes the right to an adequate standard of living, which includes adequate housing.¹⁶⁹ Transgender individuals in Egypt experience significant housing insecurity due to discrimination, economic instability, and a lack of legal protections. This situation aligns with broader concerns expressed by the Special Rapporteur on adequate housing regarding forced evictions in Egypt.¹⁷⁰</w:t>
      </w:r>
    </w:p>
    <w:p w14:paraId="22EA8679" w14:textId="3A19CF02" w:rsidR="00EE33FC" w:rsidRPr="00EE33FC" w:rsidRDefault="00BF59D9" w:rsidP="00EE33FC">
      <w:pPr>
        <w:numPr>
          <w:ilvl w:val="0"/>
          <w:numId w:val="16"/>
        </w:numPr>
        <w:spacing w:after="120" w:line="240" w:lineRule="auto"/>
        <w:rPr>
          <w:rFonts w:ascii="Arial" w:eastAsia="Times New Roman" w:hAnsi="Arial" w:cs="Arial"/>
          <w:color w:val="1B1C1D"/>
          <w:kern w:val="0"/>
          <w:sz w:val="24"/>
          <w:szCs w:val="24"/>
          <w14:ligatures w14:val="none"/>
        </w:rPr>
      </w:pPr>
      <w:r>
        <w:rPr>
          <w:rFonts w:ascii="Arial" w:eastAsia="Times New Roman" w:hAnsi="Arial" w:cs="Arial"/>
          <w:color w:val="1B1C1D"/>
          <w:kern w:val="0"/>
          <w:sz w:val="24"/>
          <w:szCs w:val="24"/>
          <w:lang w:val="en-GB"/>
          <w14:ligatures w14:val="none"/>
        </w:rPr>
        <w:t>According to a Cairo 52 survey, a</w:t>
      </w:r>
      <w:r w:rsidR="00EE33FC" w:rsidRPr="00EE33FC">
        <w:rPr>
          <w:rFonts w:ascii="Arial" w:eastAsia="Times New Roman" w:hAnsi="Arial" w:cs="Arial"/>
          <w:color w:val="1B1C1D"/>
          <w:kern w:val="0"/>
          <w:sz w:val="24"/>
          <w:szCs w:val="24"/>
          <w14:ligatures w14:val="none"/>
        </w:rPr>
        <w:t>lthough 39.7% of transgender individuals live independently, their experiences are predominantly negative, with a mean satisfaction rating of ~1.2/5.¹⁷¹ A substantial 86.5% reported negative or mixed experiences, which include conflicts, threats of eviction, and living in unsafe environments.¹⁷² Key challenges include housing costs (54%/52.5%),¹⁷³ discrimination based on gender identity (54%/52.5%),¹⁷⁴ and mismatched documentation that hinders lease agreements (37.8%/35%).¹⁷⁵</w:t>
      </w:r>
    </w:p>
    <w:p w14:paraId="1A3592DF" w14:textId="77777777" w:rsidR="00EE33FC" w:rsidRPr="00EE33FC" w:rsidRDefault="00EE33FC" w:rsidP="00EE33FC">
      <w:pPr>
        <w:numPr>
          <w:ilvl w:val="0"/>
          <w:numId w:val="16"/>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Approximately 60% of transgender individuals reside with family, but for 82%, this arrangement is not voluntary (55.7% "no," 26.2% "to some extent").¹⁷⁶ The primary factor driving this situation is economic hardship, with 75.4% citing financial reasons,¹⁷⁷ which compels reliance on family environments that may be unsupportive or abusive.¹⁷⁸ A significant 82.8% of all respondents reported experiences of violence or stigma from family or community members.¹⁷⁹</w:t>
      </w:r>
    </w:p>
    <w:p w14:paraId="1450305C" w14:textId="77777777" w:rsidR="00EE33FC" w:rsidRPr="00EE33FC" w:rsidRDefault="00EE33FC" w:rsidP="00EE33FC">
      <w:pPr>
        <w:numPr>
          <w:ilvl w:val="0"/>
          <w:numId w:val="16"/>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lack of safe and stable housing intersects with barriers in employment and healthcare, perpetuating cycles of vulnerability.¹⁸⁰ The absence of anti-discrimination legislation deprives individuals of legal recourse against landlords or family members who evict them,¹⁸¹ a reality exacerbated by state indifference or complicity in acts of persecution.¹⁸²</w:t>
      </w:r>
    </w:p>
    <w:p w14:paraId="635BE780"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10: Protection of the Family</w:t>
      </w:r>
    </w:p>
    <w:p w14:paraId="57CD0E89" w14:textId="77777777" w:rsidR="00EE33FC" w:rsidRPr="00EE33FC" w:rsidRDefault="00EE33FC" w:rsidP="00EE33FC">
      <w:pPr>
        <w:numPr>
          <w:ilvl w:val="0"/>
          <w:numId w:val="17"/>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Article 10 emphasizes the necessity of providing the broadest possible protection and assistance to families.¹⁸³ However, state policies, the enforcement of vice laws, and prevailing societal norms in Egypt actively </w:t>
      </w:r>
      <w:r w:rsidRPr="00EE33FC">
        <w:rPr>
          <w:rFonts w:ascii="Arial" w:eastAsia="Times New Roman" w:hAnsi="Arial" w:cs="Arial"/>
          <w:color w:val="1B1C1D"/>
          <w:kern w:val="0"/>
          <w:sz w:val="24"/>
          <w:szCs w:val="24"/>
          <w14:ligatures w14:val="none"/>
        </w:rPr>
        <w:lastRenderedPageBreak/>
        <w:t>undermine the family lives and formation rights of individuals with diverse sexual orientations, gender identities, and expressions (SOGIESC).</w:t>
      </w:r>
    </w:p>
    <w:p w14:paraId="70B39354" w14:textId="77777777" w:rsidR="00EE33FC" w:rsidRPr="00EE33FC" w:rsidRDefault="00EE33FC" w:rsidP="00EE33FC">
      <w:pPr>
        <w:numPr>
          <w:ilvl w:val="0"/>
          <w:numId w:val="17"/>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Family rejection is a significant contributor to hardship, cited as a major barrier to accessing healthcare by 23.3% of respondents in one study.¹⁸⁴ This rejection often results in involuntary cohabitation.¹⁸⁵ Over 82.8% of transgender individuals report experiencing violence or stigma from their families or communities.¹⁸⁶ This violence is actively encouraged by state-sanctioned actors.¹⁸⁷ Both the Coptic Orthodox Church and Al-Azhar promote anti-LGBTQ+ ideologies and explicitly endorse "conversion therapy" (as detailed under Art. 12),¹⁸⁸ encouraging parents to subject their children to these harmful practices.¹⁸⁹ This constitutes a form of parental violence¹⁹⁰ and a violation of the Egyptian Child Law (Art. 96),¹⁹¹ which is meant to protect children from "violence," "abuse," or conditions that "threaten" their "health".¹⁹² Survivor testimonials confirm this, with minors being forced into these "treatments" by their families.¹⁹³</w:t>
      </w:r>
    </w:p>
    <w:p w14:paraId="3427FD7F" w14:textId="77777777" w:rsidR="00EE33FC" w:rsidRPr="00EE33FC" w:rsidRDefault="00EE33FC" w:rsidP="00EE33FC">
      <w:pPr>
        <w:numPr>
          <w:ilvl w:val="0"/>
          <w:numId w:val="17"/>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state fails to protect individuals from this familial violence¹⁹⁴ and actively engages in disrupting family units. The prosecution of LGBTQ+ individuals under vice laws frequently involves the disclosure of personal information, leading to social ostracization.¹⁹⁵ The state refuses to acknowledge same-sex relationships¹⁹⁶ and obstructs efforts to reflect transgender parents' identities on their children's documents, fearing such recognition would imply acknowledgment of same-sex couples.¹⁹⁷ The ambiguous definition of "family values" in Cybercrime Law Article 25 is weaponized by the judiciary to criminalize SOGIESC identities, undermining the right to form families on their own terms.¹⁹⁸ Two documented cases by Cairo 52 illustrate the use of Egyptian embassies abroad to pursue queer women seeking asylum, highlighting state complicity in transnational repression targeting family "honor".¹⁹⁹</w:t>
      </w:r>
    </w:p>
    <w:p w14:paraId="7D34ADE6"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Article 15: The Right to Take Part in Cultural Life</w:t>
      </w:r>
    </w:p>
    <w:p w14:paraId="69005CAB" w14:textId="77777777" w:rsidR="00EE33FC" w:rsidRPr="00EE33FC" w:rsidRDefault="00EE33FC" w:rsidP="00EE33FC">
      <w:pPr>
        <w:numPr>
          <w:ilvl w:val="0"/>
          <w:numId w:val="18"/>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Article 15 affirms the right of all individuals to participate in cultural life.²⁰⁰ However, Egypt actively suppresses the cultural expression and participation of LGBTQ+ individuals and others deemed "immoral" through censorship, criminalization under vague vice laws, and the promotion of a hostile public sphere.</w:t>
      </w:r>
    </w:p>
    <w:p w14:paraId="4DEFFFBC" w14:textId="77777777" w:rsidR="00EE33FC" w:rsidRPr="00EE33FC" w:rsidRDefault="00EE33FC" w:rsidP="00EE33FC">
      <w:pPr>
        <w:numPr>
          <w:ilvl w:val="0"/>
          <w:numId w:val="18"/>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Vague laws that criminalize content considered "against public morals" (Penal Code Art. 178)²⁰¹ or that violate "family values" (Cybercrime Law Art. 25)²⁰² are employed to regulate online expression. This was particularly evident during the intersectional crackdown on TikTok influencers, predominantly women from less privileged backgrounds, targeted for dancing or self-expression deemed "immoral".²⁰³ Given that Egypt has a substantial TikTok user base (41.3 million users aged 18 and older),²⁰⁴ it serves as a critical platform for youth culture;²⁰⁵ however, the state threatens platform bans and arrests creators, invoking moral panic.²⁰⁶ Between January and March 2025, TikTok reportedly removed 2.9 million videos from Egypt for guideline violations.²⁰⁷ This policing of online culture adversely affects freedom of expression and the right to participate in contemporary cultural forms.</w:t>
      </w:r>
    </w:p>
    <w:p w14:paraId="0B32B38E" w14:textId="77777777" w:rsidR="00EE33FC" w:rsidRPr="00EE33FC" w:rsidRDefault="00EE33FC" w:rsidP="00EE33FC">
      <w:pPr>
        <w:numPr>
          <w:ilvl w:val="0"/>
          <w:numId w:val="18"/>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The crackdown in 2017 following the Mashrou' Leila concert, during which rainbow flags were displayed, resulted in over 75 arrests²⁰⁸ and underscored </w:t>
      </w:r>
      <w:r w:rsidRPr="00EE33FC">
        <w:rPr>
          <w:rFonts w:ascii="Arial" w:eastAsia="Times New Roman" w:hAnsi="Arial" w:cs="Arial"/>
          <w:color w:val="1B1C1D"/>
          <w:kern w:val="0"/>
          <w:sz w:val="24"/>
          <w:szCs w:val="24"/>
          <w14:ligatures w14:val="none"/>
        </w:rPr>
        <w:lastRenderedPageBreak/>
        <w:t>the state's intolerance for any public visibility of LGBTQ+ symbols or identities.²⁰⁹ State media portrayed participants negatively,²¹⁰ and the Supreme Council for Media Regulation prohibited LGBTQ+ individuals from appearing in media unless they "repent".²¹¹ This event also marked a shift in public discourse; where the narrative surrounding the 2001 Queen Boat arrests was "kill them",²¹² the post-2017 narrative divided the community into "agents of the West" and "victims" who required "treatment".²¹³ This "victim" narrative, while appearing compassionate, serves to normalize and legitimize harmful practices like conversion therapy.²¹⁴</w:t>
      </w:r>
    </w:p>
    <w:p w14:paraId="331F0369" w14:textId="77777777" w:rsidR="00EE33FC" w:rsidRPr="00EE33FC" w:rsidRDefault="00EE33FC" w:rsidP="00EE33FC">
      <w:pPr>
        <w:numPr>
          <w:ilvl w:val="0"/>
          <w:numId w:val="18"/>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State surveillance of online platforms and the use of digital entrapment under the guise of vice laws render digital spaces unsafe for LGBTQ+ cultural expression and community building.²¹⁵ A substantial 63.4% of transgender individuals reported being targeted by online hate speech.²¹⁶ Technology companies, such as Meta, have faced criticism for inadequately moderating anti-LGBTQ+ content in Arabic.²¹⁷ This state-sanctioned hostility inhibits LGBTQ+ Egyptians from freely participating in or contributing to the cultural life of their country.²¹⁸</w:t>
      </w:r>
    </w:p>
    <w:p w14:paraId="47D2AF28"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Conclusion and Recommendations</w:t>
      </w:r>
    </w:p>
    <w:p w14:paraId="78966D77"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The evidence presented illustrates a pattern of systemic and often severe violations of the economic, social, and cultural rights of marginalized populations in Egypt, particularly LGBTQ+ individuals, sex workers, and people living with HIV (PLHIV).²¹⁹ These violations arise from discriminatory laws, arbitrary enforcement practices rooted in ambiguous "morality" and "vice" narratives, limited access to essential services such as healthcare and justice, and a social environment that is either hostile or neglected by the state.²²⁰ This reality starkly contrasts with Egypt's obligations under the International Covenant on Economic, Social and Cultural Rights (ICESCR) and its own constitutional guarantees.²²¹</w:t>
      </w:r>
    </w:p>
    <w:p w14:paraId="3DF26990"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Based on our research and direct engagement with affected communities, the Cairo 52 Legal Research Institute urges the Committee to recommend the following actions to the Government of Egypt:</w:t>
      </w:r>
    </w:p>
    <w:p w14:paraId="17C8928E" w14:textId="77777777" w:rsidR="00EE33FC" w:rsidRPr="00EE33FC" w:rsidRDefault="00EE33FC" w:rsidP="00EE33FC">
      <w:pPr>
        <w:numPr>
          <w:ilvl w:val="0"/>
          <w:numId w:val="19"/>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b/>
          <w:bCs/>
          <w:color w:val="1B1C1D"/>
          <w:kern w:val="0"/>
          <w:sz w:val="24"/>
          <w:szCs w:val="24"/>
          <w:bdr w:val="none" w:sz="0" w:space="0" w:color="auto" w:frame="1"/>
          <w14:ligatures w14:val="none"/>
        </w:rPr>
        <w:t>Legal Reform &amp; Due Process:</w:t>
      </w:r>
      <w:r w:rsidRPr="00EE33FC">
        <w:rPr>
          <w:rFonts w:ascii="Arial" w:eastAsia="Times New Roman" w:hAnsi="Arial" w:cs="Arial"/>
          <w:color w:val="1B1C1D"/>
          <w:kern w:val="0"/>
          <w:sz w:val="24"/>
          <w:szCs w:val="24"/>
          <w14:ligatures w14:val="none"/>
        </w:rPr>
        <w:t xml:space="preserve"> Repeal or fundamentally amend ambiguous provisions in Law 10/1961 (Art. 1a, 9c), the Penal Code (Art. 178, 269bis), and Cybercrime Law 175/2018 (Art. 25) that enable the arbitrary arrest and prosecution of individuals based on perceived SOGIESC, sex work, or online expression.²²² Ensure all criminal laws adhere to principles of legal certainty to guarantee due process rights, consistent with the Human Rights Committee's 2023 concerns.²²³ End the discriminatory enforcement of these laws against specific groups.</w:t>
      </w:r>
    </w:p>
    <w:p w14:paraId="04AB11E1" w14:textId="071C780A"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Establish a clear, accessible, and administrative (non-judicial) process for legal gender recognition, eliminating reliance on discriminatory DNA requirements²²⁴ and </w:t>
      </w:r>
      <w:r w:rsidR="009747F9">
        <w:rPr>
          <w:rFonts w:ascii="Arial" w:eastAsia="Times New Roman" w:hAnsi="Arial" w:cs="Arial"/>
          <w:color w:val="1B1C1D"/>
          <w:kern w:val="0"/>
          <w:sz w:val="24"/>
          <w:szCs w:val="24"/>
          <w:lang w:val="en-GB"/>
          <w14:ligatures w14:val="none"/>
        </w:rPr>
        <w:t xml:space="preserve">religious </w:t>
      </w:r>
      <w:r w:rsidRPr="00EE33FC">
        <w:rPr>
          <w:rFonts w:ascii="Arial" w:eastAsia="Times New Roman" w:hAnsi="Arial" w:cs="Arial"/>
          <w:color w:val="1B1C1D"/>
          <w:kern w:val="0"/>
          <w:sz w:val="24"/>
          <w:szCs w:val="24"/>
          <w14:ligatures w14:val="none"/>
        </w:rPr>
        <w:t>interpretations.²²⁵ Address the recent closure of administrative loopholes (Directive 25/2024).²²⁶</w:t>
      </w:r>
    </w:p>
    <w:p w14:paraId="31D9925F"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Enact comprehensive anti-discrimination legislation that explicitly prohibits discrimination based on sexual orientation, gender identity, gender expression, and sex characteristics in all areas covered by the Covenant, including employment, housing, education, and healthcare, as recommended by the Human Rights Committee.²²⁷</w:t>
      </w:r>
    </w:p>
    <w:p w14:paraId="02D111BE" w14:textId="77777777" w:rsidR="00EE33FC" w:rsidRPr="00EE33FC" w:rsidRDefault="00EE33FC" w:rsidP="00EE33FC">
      <w:pPr>
        <w:numPr>
          <w:ilvl w:val="0"/>
          <w:numId w:val="19"/>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b/>
          <w:bCs/>
          <w:color w:val="1B1C1D"/>
          <w:kern w:val="0"/>
          <w:sz w:val="24"/>
          <w:szCs w:val="24"/>
          <w:bdr w:val="none" w:sz="0" w:space="0" w:color="auto" w:frame="1"/>
          <w14:ligatures w14:val="none"/>
        </w:rPr>
        <w:lastRenderedPageBreak/>
        <w:t>Right to Health:</w:t>
      </w:r>
      <w:r w:rsidRPr="00EE33FC">
        <w:rPr>
          <w:rFonts w:ascii="Arial" w:eastAsia="Times New Roman" w:hAnsi="Arial" w:cs="Arial"/>
          <w:color w:val="1B1C1D"/>
          <w:kern w:val="0"/>
          <w:sz w:val="24"/>
          <w:szCs w:val="24"/>
          <w14:ligatures w14:val="none"/>
        </w:rPr>
        <w:t xml:space="preserve"> Repeal Article 43 of the Medical Syndicate's Code of Ethics²²⁸ and develop national medical guidelines for Gender Affirming Healthcare (GAH) aligned with international standards (e.g., ICD-11),²²⁹ removing religious authorities from medical decision-making.²³⁰ Ensure GAH is accessible and affordable, including through inclusion in public health insurance.²³¹</w:t>
      </w:r>
    </w:p>
    <w:p w14:paraId="29A26796"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Prohibit and criminalize the practice, promotion, and advertisement of "conversion therapy"²³² in all medical, psychiatric, and religious settings, recognizing it as a pseudo-scientific, harmful practice²³³ that constitutes a form of torture, in line with findings from the UN Committee Against Torture and the UN Special Rapporteur on SOGI.²³⁴</w:t>
      </w:r>
    </w:p>
    <w:p w14:paraId="566CBCDC"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Establish specialized, accessible healthcare centers for transgender and intersex individuals,²³⁵ ensuring that staff are adequately trained²³⁶ and that protocols protect bodily autonomy, particularly for intersex infants.²³⁷ Expand mental health support services.²³⁸</w:t>
      </w:r>
    </w:p>
    <w:p w14:paraId="24962CD3"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Reform the HIV response to prioritize prevention,²³⁹ combat stigma (including within healthcare),²⁴⁰ ensure consistent access to medication,²⁴¹ and meaningfully consult key populations.²⁴² Adopt public health-oriented approaches and decriminalize HIV transmission.²⁴³</w:t>
      </w:r>
    </w:p>
    <w:p w14:paraId="30425985" w14:textId="77777777" w:rsidR="00EE33FC" w:rsidRPr="00EE33FC" w:rsidRDefault="00EE33FC" w:rsidP="00EE33FC">
      <w:pPr>
        <w:numPr>
          <w:ilvl w:val="0"/>
          <w:numId w:val="19"/>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b/>
          <w:bCs/>
          <w:color w:val="1B1C1D"/>
          <w:kern w:val="0"/>
          <w:sz w:val="24"/>
          <w:szCs w:val="24"/>
          <w:bdr w:val="none" w:sz="0" w:space="0" w:color="auto" w:frame="1"/>
          <w14:ligatures w14:val="none"/>
        </w:rPr>
        <w:t>Right to Work, Education, &amp; Housing:</w:t>
      </w:r>
      <w:r w:rsidRPr="00EE33FC">
        <w:rPr>
          <w:rFonts w:ascii="Arial" w:eastAsia="Times New Roman" w:hAnsi="Arial" w:cs="Arial"/>
          <w:color w:val="1B1C1D"/>
          <w:kern w:val="0"/>
          <w:sz w:val="24"/>
          <w:szCs w:val="24"/>
          <w14:ligatures w14:val="none"/>
        </w:rPr>
        <w:t xml:space="preserve"> Enforce anti-discrimination principles in public sector employment and repeal judicial precedents that permit dismissal based on suspicion of SOGIESC.²⁴⁴ Implement economic empowerment programs targeting unemployment among transgender individuals.²⁴⁵</w:t>
      </w:r>
    </w:p>
    <w:p w14:paraId="7C710600"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Implement anti-bullying and non-discrimination policies within educational institutions²⁴⁶ and repeal the 2022 Ministry of Education directive that actively promotes anti-LGBTQ+ sentiment in schools.²⁴⁷ Provide training for staff and ensure curricula are inclusive and rights-based, addressing concerns raised by the Committee on the Rights of the Child.²⁴⁸</w:t>
      </w:r>
    </w:p>
    <w:p w14:paraId="1700212B"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Address housing discrimination through the establishment of legal protections and support for secure housing options, particularly for individuals facing familial rejection or economic hardship,²⁴⁹ in accordance with the recommendations of the Special Rapporteur on adequate housing.²⁵⁰</w:t>
      </w:r>
    </w:p>
    <w:p w14:paraId="7B052923" w14:textId="77777777" w:rsidR="00EE33FC" w:rsidRPr="00EE33FC" w:rsidRDefault="00EE33FC" w:rsidP="00EE33FC">
      <w:pPr>
        <w:numPr>
          <w:ilvl w:val="0"/>
          <w:numId w:val="19"/>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b/>
          <w:bCs/>
          <w:color w:val="1B1C1D"/>
          <w:kern w:val="0"/>
          <w:sz w:val="24"/>
          <w:szCs w:val="24"/>
          <w:bdr w:val="none" w:sz="0" w:space="0" w:color="auto" w:frame="1"/>
          <w14:ligatures w14:val="none"/>
        </w:rPr>
        <w:t>Accountability and Civil Society:</w:t>
      </w:r>
      <w:r w:rsidRPr="00EE33FC">
        <w:rPr>
          <w:rFonts w:ascii="Arial" w:eastAsia="Times New Roman" w:hAnsi="Arial" w:cs="Arial"/>
          <w:color w:val="1B1C1D"/>
          <w:kern w:val="0"/>
          <w:sz w:val="24"/>
          <w:szCs w:val="24"/>
          <w14:ligatures w14:val="none"/>
        </w:rPr>
        <w:t xml:space="preserve"> Ensure accountability for abuses by law enforcement, including arbitrary arrests, digital entrapment under vice laws, illegal searches, and immediately cease the practice of forced anal examinations, which has been condemned by the Committee Against Torture as a form of torture.²⁵¹</w:t>
      </w:r>
    </w:p>
    <w:p w14:paraId="10081E9A"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Enforce Article 96 of the Child Law²⁵² to protect minors from being subjected to these practices by guardians.²⁵³</w:t>
      </w:r>
    </w:p>
    <w:p w14:paraId="228AA93A"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End impunity for both state and non-state actors targeting marginalized groups.</w:t>
      </w:r>
    </w:p>
    <w:p w14:paraId="3C8AE126"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Cease harassment and restrictions on civil society organizations engaged in human rights advocacy, particularly those serving key populations impacted by vice laws,²⁵⁴ and establish safe channels for their meaningful participation in policy-making.²⁵⁵</w:t>
      </w:r>
    </w:p>
    <w:p w14:paraId="36EC48CB"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Enhance transparency in data collection and reporting related to key populations, vice crime arrests, and public health.²⁵⁶</w:t>
      </w:r>
    </w:p>
    <w:p w14:paraId="21B1735B" w14:textId="77777777" w:rsidR="00EE33FC" w:rsidRPr="00EE33FC" w:rsidRDefault="00EE33FC" w:rsidP="00EE33FC">
      <w:pPr>
        <w:numPr>
          <w:ilvl w:val="0"/>
          <w:numId w:val="19"/>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remains committed to monitoring the situation and collaborating with stakeholders to advance the economic, social, and cultural rights of all individuals in Egypt.</w:t>
      </w:r>
    </w:p>
    <w:p w14:paraId="2FA33B35" w14:textId="77777777" w:rsidR="00EE33FC" w:rsidRPr="00EE33FC" w:rsidRDefault="00000000" w:rsidP="00EE33FC">
      <w:pPr>
        <w:spacing w:after="120" w:line="240" w:lineRule="auto"/>
        <w:rPr>
          <w:rFonts w:ascii="Arial" w:eastAsia="Times New Roman" w:hAnsi="Arial" w:cs="Arial"/>
          <w:color w:val="1B1C1D"/>
          <w:kern w:val="0"/>
          <w:sz w:val="24"/>
          <w:szCs w:val="24"/>
          <w14:ligatures w14:val="none"/>
        </w:rPr>
      </w:pPr>
      <w:r>
        <w:rPr>
          <w:rFonts w:ascii="Arial" w:eastAsia="Times New Roman" w:hAnsi="Arial" w:cs="Arial"/>
          <w:color w:val="1B1C1D"/>
          <w:kern w:val="0"/>
          <w:sz w:val="24"/>
          <w:szCs w:val="24"/>
          <w14:ligatures w14:val="none"/>
        </w:rPr>
        <w:pict w14:anchorId="46762AC0">
          <v:rect id="_x0000_i1025" style="width:0;height:1.5pt" o:hralign="center" o:hrstd="t" o:hrnoshade="t" o:hr="t" fillcolor="#1b1c1d" stroked="f"/>
        </w:pict>
      </w:r>
    </w:p>
    <w:p w14:paraId="24232F3B" w14:textId="77777777" w:rsidR="00EE33FC" w:rsidRPr="00EE33FC" w:rsidRDefault="00EE33FC" w:rsidP="00EE33FC">
      <w:pPr>
        <w:spacing w:after="0" w:line="240" w:lineRule="auto"/>
        <w:outlineLvl w:val="2"/>
        <w:rPr>
          <w:rFonts w:ascii="Arial" w:eastAsia="Times New Roman" w:hAnsi="Arial" w:cs="Arial"/>
          <w:b/>
          <w:bCs/>
          <w:color w:val="1B1C1D"/>
          <w:kern w:val="0"/>
          <w:sz w:val="27"/>
          <w:szCs w:val="27"/>
          <w14:ligatures w14:val="none"/>
        </w:rPr>
      </w:pPr>
      <w:r w:rsidRPr="00EE33FC">
        <w:rPr>
          <w:rFonts w:ascii="Arial" w:eastAsia="Times New Roman" w:hAnsi="Arial" w:cs="Arial"/>
          <w:b/>
          <w:bCs/>
          <w:color w:val="1B1C1D"/>
          <w:kern w:val="0"/>
          <w:sz w:val="27"/>
          <w:szCs w:val="27"/>
          <w:bdr w:val="none" w:sz="0" w:space="0" w:color="auto" w:frame="1"/>
          <w14:ligatures w14:val="none"/>
        </w:rPr>
        <w:t>Footnotes</w:t>
      </w:r>
    </w:p>
    <w:p w14:paraId="74D7AF2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Legal Research Institute, </w:t>
      </w:r>
      <w:r w:rsidRPr="00EE33FC">
        <w:rPr>
          <w:rFonts w:ascii="Arial" w:eastAsia="Times New Roman" w:hAnsi="Arial" w:cs="Arial"/>
          <w:i/>
          <w:iCs/>
          <w:color w:val="1B1C1D"/>
          <w:kern w:val="0"/>
          <w:sz w:val="24"/>
          <w:szCs w:val="24"/>
          <w:bdr w:val="none" w:sz="0" w:space="0" w:color="auto" w:frame="1"/>
          <w14:ligatures w14:val="none"/>
        </w:rPr>
        <w:t>Annual Report 2024</w:t>
      </w:r>
      <w:r w:rsidRPr="00EE33FC">
        <w:rPr>
          <w:rFonts w:ascii="Arial" w:eastAsia="Times New Roman" w:hAnsi="Arial" w:cs="Arial"/>
          <w:color w:val="1B1C1D"/>
          <w:kern w:val="0"/>
          <w:sz w:val="24"/>
          <w:szCs w:val="24"/>
          <w14:ligatures w14:val="none"/>
        </w:rPr>
        <w:t xml:space="preserve"> (Cairo: Cairo 52 Legal Research Institute, July 2025), 4.</w:t>
      </w:r>
    </w:p>
    <w:p w14:paraId="1166E79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Nora, Dana Abbas, and Jay. </w:t>
      </w:r>
      <w:r w:rsidRPr="00EE33FC">
        <w:rPr>
          <w:rFonts w:ascii="Arial" w:eastAsia="Times New Roman" w:hAnsi="Arial" w:cs="Arial"/>
          <w:i/>
          <w:iCs/>
          <w:color w:val="1B1C1D"/>
          <w:kern w:val="0"/>
          <w:sz w:val="24"/>
          <w:szCs w:val="24"/>
          <w:bdr w:val="none" w:sz="0" w:space="0" w:color="auto" w:frame="1"/>
          <w14:ligatures w14:val="none"/>
        </w:rPr>
        <w:t>Between Stigma and Survival: A Data-Driven Mixed Methods Analysis of Transgender Experiences, Rights and Priorities in the MENA Region</w:t>
      </w:r>
      <w:r w:rsidRPr="00EE33FC">
        <w:rPr>
          <w:rFonts w:ascii="Arial" w:eastAsia="Times New Roman" w:hAnsi="Arial" w:cs="Arial"/>
          <w:color w:val="1B1C1D"/>
          <w:kern w:val="0"/>
          <w:sz w:val="24"/>
          <w:szCs w:val="24"/>
          <w14:ligatures w14:val="none"/>
        </w:rPr>
        <w:t xml:space="preserve"> (Cairo: Cairo 52 Legal Research Institute, August 2025), 2.</w:t>
      </w:r>
    </w:p>
    <w:p w14:paraId="33CEB0A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Legal Research Institute, </w:t>
      </w:r>
      <w:r w:rsidRPr="00EE33FC">
        <w:rPr>
          <w:rFonts w:ascii="Arial" w:eastAsia="Times New Roman" w:hAnsi="Arial" w:cs="Arial"/>
          <w:i/>
          <w:iCs/>
          <w:color w:val="1B1C1D"/>
          <w:kern w:val="0"/>
          <w:sz w:val="24"/>
          <w:szCs w:val="24"/>
          <w:bdr w:val="none" w:sz="0" w:space="0" w:color="auto" w:frame="1"/>
          <w14:ligatures w14:val="none"/>
        </w:rPr>
        <w:t>Annual Report 2024</w:t>
      </w:r>
      <w:r w:rsidRPr="00EE33FC">
        <w:rPr>
          <w:rFonts w:ascii="Arial" w:eastAsia="Times New Roman" w:hAnsi="Arial" w:cs="Arial"/>
          <w:color w:val="1B1C1D"/>
          <w:kern w:val="0"/>
          <w:sz w:val="24"/>
          <w:szCs w:val="24"/>
          <w14:ligatures w14:val="none"/>
        </w:rPr>
        <w:t>, 4.</w:t>
      </w:r>
    </w:p>
    <w:p w14:paraId="1B5C67CA"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Legal Research Institute and Tahrir Institute for Middle East Policy, "Joint Stakeholder Submission to the UN Human Rights Council's 4th Universal Periodic Review - EGYPT: Transgender and Intersex Right to Health," UPR 4th Cycle, 2024, 2.</w:t>
      </w:r>
    </w:p>
    <w:p w14:paraId="430677CA"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Report of the Working Group on the Universal Periodic Review: Egypt - Addendum</w:t>
      </w:r>
      <w:r w:rsidRPr="00EE33FC">
        <w:rPr>
          <w:rFonts w:ascii="Arial" w:eastAsia="Times New Roman" w:hAnsi="Arial" w:cs="Arial"/>
          <w:color w:val="1B1C1D"/>
          <w:kern w:val="0"/>
          <w:sz w:val="24"/>
          <w:szCs w:val="24"/>
          <w14:ligatures w14:val="none"/>
        </w:rPr>
        <w:t>, A/HRC/59/16/Add.1 (13 June 2025), 11.</w:t>
      </w:r>
    </w:p>
    <w:p w14:paraId="6A2E5E31"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Report of the Working Group on the Universal Periodic Review: Egypt - Addendum</w:t>
      </w:r>
      <w:r w:rsidRPr="00EE33FC">
        <w:rPr>
          <w:rFonts w:ascii="Arial" w:eastAsia="Times New Roman" w:hAnsi="Arial" w:cs="Arial"/>
          <w:color w:val="1B1C1D"/>
          <w:kern w:val="0"/>
          <w:sz w:val="24"/>
          <w:szCs w:val="24"/>
          <w14:ligatures w14:val="none"/>
        </w:rPr>
        <w:t>, A/HRC/59/16/Add.1 (13 June 2025), 11 (Recommendation 42.331 refers generally to reviewing laws inconsistent with international obligations).</w:t>
      </w:r>
    </w:p>
    <w:p w14:paraId="0FE06787"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Report of the Working Group on the Universal Periodic Review: Egypt - Addendum</w:t>
      </w:r>
      <w:r w:rsidRPr="00EE33FC">
        <w:rPr>
          <w:rFonts w:ascii="Arial" w:eastAsia="Times New Roman" w:hAnsi="Arial" w:cs="Arial"/>
          <w:color w:val="1B1C1D"/>
          <w:kern w:val="0"/>
          <w:sz w:val="24"/>
          <w:szCs w:val="24"/>
          <w14:ligatures w14:val="none"/>
        </w:rPr>
        <w:t>, A/HRC/59/16/Add.1 (13 June 2025), 11 (Recommendation 42.328).</w:t>
      </w:r>
    </w:p>
    <w:p w14:paraId="2EF064D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See </w:t>
      </w: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xml:space="preserve">, CCPR/C/EGY/CO/5 (14 April 2023) and </w:t>
      </w: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CAT/C/EGY/CO/5 (12 December 2023).</w:t>
      </w:r>
    </w:p>
    <w:p w14:paraId="5759217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CCPR/C/EGY/CO/5 (14 April 2023), 4 (para. 13).</w:t>
      </w:r>
    </w:p>
    <w:p w14:paraId="11657CC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CCPR/C/EGY/CO/5 (14 April 2023), 3 (para. 10e).</w:t>
      </w:r>
    </w:p>
    <w:p w14:paraId="7D7131D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CAT/C/EGY/CO/5 (12 December 2023), 12 (para. 42).</w:t>
      </w:r>
    </w:p>
    <w:p w14:paraId="7A90EFF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Legal Research Institute, Middle East Democracy Center, and International Service for Human Rights, "Joint Stakeholder Submission to the UN Human Rights Council's 4th Universal Periodic Review - EGYPT: Vice Laws," UPR 4th Cycle, 2024, 9-10.</w:t>
      </w:r>
    </w:p>
    <w:p w14:paraId="2553F828"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CAT/C/EGY/CO/5 (12 December 2023), 9 (para. 35).</w:t>
      </w:r>
    </w:p>
    <w:p w14:paraId="2163ED6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w:t>
      </w:r>
      <w:r w:rsidRPr="00EE33FC">
        <w:rPr>
          <w:rFonts w:ascii="Arial" w:eastAsia="Times New Roman" w:hAnsi="Arial" w:cs="Arial"/>
          <w:color w:val="1B1C1D"/>
          <w:kern w:val="0"/>
          <w:sz w:val="24"/>
          <w:szCs w:val="24"/>
          <w14:ligatures w14:val="none"/>
        </w:rPr>
        <w:t>” [Testimonies from the Hell of Homosexuality Treatment Clinics in Egypt], (October 2024), 9.</w:t>
      </w:r>
    </w:p>
    <w:p w14:paraId="1196435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4CA2DED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 xml:space="preserve">Noralla, Nora, </w:t>
      </w:r>
      <w:r w:rsidRPr="00EE33FC">
        <w:rPr>
          <w:rFonts w:ascii="Arial" w:eastAsia="Times New Roman" w:hAnsi="Arial" w:cs="Arial"/>
          <w:i/>
          <w:iCs/>
          <w:color w:val="1B1C1D"/>
          <w:kern w:val="0"/>
          <w:sz w:val="24"/>
          <w:szCs w:val="24"/>
          <w:bdr w:val="none" w:sz="0" w:space="0" w:color="auto" w:frame="1"/>
          <w14:ligatures w14:val="none"/>
        </w:rPr>
        <w:t>Criminalized and Marginalized: A Socio-Legal Analysis of HIV Key Populations and People Living with HIV in Egypt</w:t>
      </w:r>
      <w:r w:rsidRPr="00EE33FC">
        <w:rPr>
          <w:rFonts w:ascii="Arial" w:eastAsia="Times New Roman" w:hAnsi="Arial" w:cs="Arial"/>
          <w:color w:val="1B1C1D"/>
          <w:kern w:val="0"/>
          <w:sz w:val="24"/>
          <w:szCs w:val="24"/>
          <w14:ligatures w14:val="none"/>
        </w:rPr>
        <w:t xml:space="preserve"> (Cairo: Cairo 52 Legal Research Institute, Oct. 2025), 4.</w:t>
      </w:r>
    </w:p>
    <w:p w14:paraId="1F4B9D5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et al., "Joint Stakeholder Submission...Egypt Vice Laws," 3;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8, 12.</w:t>
      </w:r>
    </w:p>
    <w:p w14:paraId="32E01E7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4.</w:t>
      </w:r>
    </w:p>
    <w:p w14:paraId="5AFECCB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International Covenant on Economic, Social and Cultural Rights, art. 2, para. 2, Dec. 16, 1966, 993 U.N.T.S. 3.</w:t>
      </w:r>
    </w:p>
    <w:p w14:paraId="7BFFAB5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Committee on Economic, Social and Cultural Rights, General Comment No. 20: Non-discrimination in economic, social and cultural rights (art. 2, para. 2), U.N. Doc. E/C.12/GC/20 (2009), para. 32.</w:t>
      </w:r>
    </w:p>
    <w:p w14:paraId="1A5D3147"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Abbas, and Jay, </w:t>
      </w:r>
      <w:r w:rsidRPr="00EE33FC">
        <w:rPr>
          <w:rFonts w:ascii="Arial" w:eastAsia="Times New Roman" w:hAnsi="Arial" w:cs="Arial"/>
          <w:i/>
          <w:iCs/>
          <w:color w:val="1B1C1D"/>
          <w:kern w:val="0"/>
          <w:sz w:val="24"/>
          <w:szCs w:val="24"/>
          <w:bdr w:val="none" w:sz="0" w:space="0" w:color="auto" w:frame="1"/>
          <w14:ligatures w14:val="none"/>
        </w:rPr>
        <w:t>Between Stigma and Survival</w:t>
      </w:r>
      <w:r w:rsidRPr="00EE33FC">
        <w:rPr>
          <w:rFonts w:ascii="Arial" w:eastAsia="Times New Roman" w:hAnsi="Arial" w:cs="Arial"/>
          <w:color w:val="1B1C1D"/>
          <w:kern w:val="0"/>
          <w:sz w:val="24"/>
          <w:szCs w:val="24"/>
          <w14:ligatures w14:val="none"/>
        </w:rPr>
        <w:t>, 9.</w:t>
      </w:r>
    </w:p>
    <w:p w14:paraId="0438304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xml:space="preserve">, CCPR/C/EGY/CO/5 (14 April 2023), 2; </w:t>
      </w:r>
      <w:r w:rsidRPr="00EE33FC">
        <w:rPr>
          <w:rFonts w:ascii="Arial" w:eastAsia="Times New Roman" w:hAnsi="Arial" w:cs="Arial"/>
          <w:i/>
          <w:iCs/>
          <w:color w:val="1B1C1D"/>
          <w:kern w:val="0"/>
          <w:sz w:val="24"/>
          <w:szCs w:val="24"/>
          <w:bdr w:val="none" w:sz="0" w:space="0" w:color="auto" w:frame="1"/>
          <w14:ligatures w14:val="none"/>
        </w:rPr>
        <w:t>Concluding observations on the combined second to fourth periodic reports of Egypt</w:t>
      </w:r>
      <w:r w:rsidRPr="00EE33FC">
        <w:rPr>
          <w:rFonts w:ascii="Arial" w:eastAsia="Times New Roman" w:hAnsi="Arial" w:cs="Arial"/>
          <w:color w:val="1B1C1D"/>
          <w:kern w:val="0"/>
          <w:sz w:val="24"/>
          <w:szCs w:val="24"/>
          <w14:ligatures w14:val="none"/>
        </w:rPr>
        <w:t>, E/C.12/EGY/CO/2-4 (13 December 2013), 2.</w:t>
      </w:r>
    </w:p>
    <w:p w14:paraId="7AA0280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Report of the Working Group on the Universal Periodic Review: Egypt - Addendum</w:t>
      </w:r>
      <w:r w:rsidRPr="00EE33FC">
        <w:rPr>
          <w:rFonts w:ascii="Arial" w:eastAsia="Times New Roman" w:hAnsi="Arial" w:cs="Arial"/>
          <w:color w:val="1B1C1D"/>
          <w:kern w:val="0"/>
          <w:sz w:val="24"/>
          <w:szCs w:val="24"/>
          <w14:ligatures w14:val="none"/>
        </w:rPr>
        <w:t>, A/HRC/59/16/Add.1 (13 June 2025), 11 (see recommendations 42.328, 42.329, 42.330).</w:t>
      </w:r>
    </w:p>
    <w:p w14:paraId="6D2D268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Law No. 10 of 1961 on the Combating of Prostitution;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5.</w:t>
      </w:r>
    </w:p>
    <w:p w14:paraId="782CF97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Nora, "A Litigation Guide on Crimes of Sex Working and Homosexuality (Prostitution and Debauchery)," (Cairo: Cairo 52 Legal Research Institute, June 25, 2021).</w:t>
      </w:r>
    </w:p>
    <w:p w14:paraId="706B290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6.</w:t>
      </w:r>
    </w:p>
    <w:p w14:paraId="5A114FC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Legal Research Institute, "Media Observatory of Arrests Based on Sex Work: Data Analysis 2024," Draft, 2025, 13.</w:t>
      </w:r>
    </w:p>
    <w:p w14:paraId="652D55B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12.</w:t>
      </w:r>
    </w:p>
    <w:p w14:paraId="173EF71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9.</w:t>
      </w:r>
    </w:p>
    <w:p w14:paraId="659A3FD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Law No. 175 of 2018 Regarding Anti-Cyber and Information Technology Crimes, art. 25.</w:t>
      </w:r>
    </w:p>
    <w:p w14:paraId="698FF91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"Digital Persecution: Surveillance in Queer Digital Spaces," </w:t>
      </w:r>
      <w:r w:rsidRPr="00EE33FC">
        <w:rPr>
          <w:rFonts w:ascii="Arial" w:eastAsia="Times New Roman" w:hAnsi="Arial" w:cs="Arial"/>
          <w:i/>
          <w:iCs/>
          <w:color w:val="1B1C1D"/>
          <w:kern w:val="0"/>
          <w:sz w:val="24"/>
          <w:szCs w:val="24"/>
          <w:bdr w:val="none" w:sz="0" w:space="0" w:color="auto" w:frame="1"/>
          <w14:ligatures w14:val="none"/>
        </w:rPr>
        <w:t>The Tahrir Institute for Middle East Policy</w:t>
      </w:r>
      <w:r w:rsidRPr="00EE33FC">
        <w:rPr>
          <w:rFonts w:ascii="Arial" w:eastAsia="Times New Roman" w:hAnsi="Arial" w:cs="Arial"/>
          <w:color w:val="1B1C1D"/>
          <w:kern w:val="0"/>
          <w:sz w:val="24"/>
          <w:szCs w:val="24"/>
          <w14:ligatures w14:val="none"/>
        </w:rPr>
        <w:t>, August 25, 2023.</w:t>
      </w:r>
    </w:p>
    <w:p w14:paraId="5352D27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Nora, </w:t>
      </w:r>
      <w:r w:rsidRPr="00EE33FC">
        <w:rPr>
          <w:rFonts w:ascii="Arial" w:eastAsia="Times New Roman" w:hAnsi="Arial" w:cs="Arial"/>
          <w:i/>
          <w:iCs/>
          <w:color w:val="1B1C1D"/>
          <w:kern w:val="0"/>
          <w:sz w:val="24"/>
          <w:szCs w:val="24"/>
          <w:bdr w:val="none" w:sz="0" w:space="0" w:color="auto" w:frame="1"/>
          <w14:ligatures w14:val="none"/>
        </w:rPr>
        <w:t>Sexually Guilty: Custom Morality and the Persecution of the LGBTQ Community in Egypt</w:t>
      </w:r>
      <w:r w:rsidRPr="00EE33FC">
        <w:rPr>
          <w:rFonts w:ascii="Arial" w:eastAsia="Times New Roman" w:hAnsi="Arial" w:cs="Arial"/>
          <w:color w:val="1B1C1D"/>
          <w:kern w:val="0"/>
          <w:sz w:val="24"/>
          <w:szCs w:val="24"/>
          <w14:ligatures w14:val="none"/>
        </w:rPr>
        <w:t xml:space="preserve"> (Cairo: Cairo 52 Legal Research Institute, June 2023), 27.</w:t>
      </w:r>
    </w:p>
    <w:p w14:paraId="2B6148D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w:t>
      </w:r>
    </w:p>
    <w:p w14:paraId="4E354F7A"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w:t>
      </w:r>
    </w:p>
    <w:p w14:paraId="6E36EB8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w:t>
      </w:r>
    </w:p>
    <w:p w14:paraId="4BF7D0E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Salma Khattab, "'Egyptian family values' pursue TikTok application and its influencers," </w:t>
      </w:r>
      <w:r w:rsidRPr="00EE33FC">
        <w:rPr>
          <w:rFonts w:ascii="Arial" w:eastAsia="Times New Roman" w:hAnsi="Arial" w:cs="Arial"/>
          <w:i/>
          <w:iCs/>
          <w:color w:val="1B1C1D"/>
          <w:kern w:val="0"/>
          <w:sz w:val="24"/>
          <w:szCs w:val="24"/>
          <w:bdr w:val="none" w:sz="0" w:space="0" w:color="auto" w:frame="1"/>
          <w14:ligatures w14:val="none"/>
        </w:rPr>
        <w:t>BBC News Arabic</w:t>
      </w:r>
      <w:r w:rsidRPr="00EE33FC">
        <w:rPr>
          <w:rFonts w:ascii="Arial" w:eastAsia="Times New Roman" w:hAnsi="Arial" w:cs="Arial"/>
          <w:color w:val="1B1C1D"/>
          <w:kern w:val="0"/>
          <w:sz w:val="24"/>
          <w:szCs w:val="24"/>
          <w14:ligatures w14:val="none"/>
        </w:rPr>
        <w:t xml:space="preserve">, August 6, 2025; Mariam Amer, "TikTok on Trial: Freedom of Expression between the Hammer of Law and the Anvil of Censorship," </w:t>
      </w:r>
      <w:r w:rsidRPr="00EE33FC">
        <w:rPr>
          <w:rFonts w:ascii="Arial" w:eastAsia="Times New Roman" w:hAnsi="Arial" w:cs="Arial"/>
          <w:i/>
          <w:iCs/>
          <w:color w:val="1B1C1D"/>
          <w:kern w:val="0"/>
          <w:sz w:val="24"/>
          <w:szCs w:val="24"/>
          <w:bdr w:val="none" w:sz="0" w:space="0" w:color="auto" w:frame="1"/>
          <w14:ligatures w14:val="none"/>
        </w:rPr>
        <w:t>Sout Al Omam</w:t>
      </w:r>
      <w:r w:rsidRPr="00EE33FC">
        <w:rPr>
          <w:rFonts w:ascii="Arial" w:eastAsia="Times New Roman" w:hAnsi="Arial" w:cs="Arial"/>
          <w:color w:val="1B1C1D"/>
          <w:kern w:val="0"/>
          <w:sz w:val="24"/>
          <w:szCs w:val="24"/>
          <w14:ligatures w14:val="none"/>
        </w:rPr>
        <w:t>, August 19, 2025.</w:t>
      </w:r>
    </w:p>
    <w:p w14:paraId="7D15DC7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"Egypt's Economic Courts: Homosexuality is Explicitly Criminalized Under Cybercrime Law," Cairo 52 Legal Research Institute, January 24, 2024.</w:t>
      </w:r>
    </w:p>
    <w:p w14:paraId="4AB6F9E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"Egypt's Economic Courts."</w:t>
      </w:r>
    </w:p>
    <w:p w14:paraId="689DC96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Noralla, "Egypt's Economic Courts."</w:t>
      </w:r>
    </w:p>
    <w:p w14:paraId="0843DD32"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8.</w:t>
      </w:r>
    </w:p>
    <w:p w14:paraId="2E896EC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CCPR/C/EGY/CO/5 (14 April 2023), 11 (para. 39).</w:t>
      </w:r>
    </w:p>
    <w:p w14:paraId="696C8BA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w:t>
      </w:r>
    </w:p>
    <w:p w14:paraId="043790EB"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"Digital Persecution."</w:t>
      </w:r>
    </w:p>
    <w:p w14:paraId="62BF40C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Legal Research Institute, </w:t>
      </w:r>
      <w:r w:rsidRPr="00EE33FC">
        <w:rPr>
          <w:rFonts w:ascii="Arial" w:eastAsia="Times New Roman" w:hAnsi="Arial" w:cs="Arial"/>
          <w:i/>
          <w:iCs/>
          <w:color w:val="1B1C1D"/>
          <w:kern w:val="0"/>
          <w:sz w:val="24"/>
          <w:szCs w:val="24"/>
          <w:bdr w:val="none" w:sz="0" w:space="0" w:color="auto" w:frame="1"/>
          <w14:ligatures w14:val="none"/>
        </w:rPr>
        <w:t>Legal Unit Annual Activities Report for 2024</w:t>
      </w:r>
      <w:r w:rsidRPr="00EE33FC">
        <w:rPr>
          <w:rFonts w:ascii="Arial" w:eastAsia="Times New Roman" w:hAnsi="Arial" w:cs="Arial"/>
          <w:color w:val="1B1C1D"/>
          <w:kern w:val="0"/>
          <w:sz w:val="24"/>
          <w:szCs w:val="24"/>
          <w14:ligatures w14:val="none"/>
        </w:rPr>
        <w:t xml:space="preserve"> (Cairo: Cairo 52 Legal Research Institute, July 2025), 2.</w:t>
      </w:r>
    </w:p>
    <w:p w14:paraId="5E247E49"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w:t>
      </w:r>
    </w:p>
    <w:p w14:paraId="390DA39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8.</w:t>
      </w:r>
    </w:p>
    <w:p w14:paraId="5B4AA9DB"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8.</w:t>
      </w:r>
    </w:p>
    <w:p w14:paraId="5A631F0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 Noralla, "Egypt's Supreme Administrative Court: Engagement in Homosexual Acts is Grounds for Dismissal from Public Office," Cairo 52 Legal Research Institute, March 7, 2024.</w:t>
      </w:r>
    </w:p>
    <w:p w14:paraId="27A9718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"Egypt's Supreme Administrative Court."</w:t>
      </w:r>
    </w:p>
    <w:p w14:paraId="2A7463A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 Noralla, "Your Kind Is Not Welcome Here: A Study on the Treatment of Queer Foreigners by the Egyptian Authorities," (Cairo: Cairo 52 Legal Research Institute, November 27, 2023), 5–7.</w:t>
      </w:r>
    </w:p>
    <w:p w14:paraId="4E1F552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ICESCR, art. 12.</w:t>
      </w:r>
    </w:p>
    <w:p w14:paraId="2311C8E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 Cairo 52 Legal Research Institute and Tahrir Institute for Middle East Policy, "Joint Stakeholder Submission to the UN Human Rights Council's 4th Universal Periodic Review - EGYPT: Transgender and Intersex Right to Health," UPR 4th Cycle, 2024, 3.</w:t>
      </w:r>
    </w:p>
    <w:p w14:paraId="7C56023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Medical Syndicate Code of Ethics (2003), art. 43; Noralla, Nora, 'Gender Trouble in the Land of the Nile: Transgender Identities, the Judiciary and Islam in Egypt', </w:t>
      </w:r>
      <w:r w:rsidRPr="00EE33FC">
        <w:rPr>
          <w:rFonts w:ascii="Arial" w:eastAsia="Times New Roman" w:hAnsi="Arial" w:cs="Arial"/>
          <w:i/>
          <w:iCs/>
          <w:color w:val="1B1C1D"/>
          <w:kern w:val="0"/>
          <w:sz w:val="24"/>
          <w:szCs w:val="24"/>
          <w:bdr w:val="none" w:sz="0" w:space="0" w:color="auto" w:frame="1"/>
          <w14:ligatures w14:val="none"/>
        </w:rPr>
        <w:t>Yearbook of Islamic and Middle Eastern Law Online</w:t>
      </w:r>
      <w:r w:rsidRPr="00EE33FC">
        <w:rPr>
          <w:rFonts w:ascii="Arial" w:eastAsia="Times New Roman" w:hAnsi="Arial" w:cs="Arial"/>
          <w:color w:val="1B1C1D"/>
          <w:kern w:val="0"/>
          <w:sz w:val="24"/>
          <w:szCs w:val="24"/>
          <w14:ligatures w14:val="none"/>
        </w:rPr>
        <w:t xml:space="preserve"> 1 (2023): 17-18; Noralla, Nora, 'Access Denied: A qualitative Study on Transgender Health Policy in Egypt', </w:t>
      </w:r>
      <w:r w:rsidRPr="00EE33FC">
        <w:rPr>
          <w:rFonts w:ascii="Arial" w:eastAsia="Times New Roman" w:hAnsi="Arial" w:cs="Arial"/>
          <w:i/>
          <w:iCs/>
          <w:color w:val="1B1C1D"/>
          <w:kern w:val="0"/>
          <w:sz w:val="24"/>
          <w:szCs w:val="24"/>
          <w:bdr w:val="none" w:sz="0" w:space="0" w:color="auto" w:frame="1"/>
          <w14:ligatures w14:val="none"/>
        </w:rPr>
        <w:t>Social Science &amp; Medicine</w:t>
      </w:r>
      <w:r w:rsidRPr="00EE33FC">
        <w:rPr>
          <w:rFonts w:ascii="Arial" w:eastAsia="Times New Roman" w:hAnsi="Arial" w:cs="Arial"/>
          <w:color w:val="1B1C1D"/>
          <w:kern w:val="0"/>
          <w:sz w:val="24"/>
          <w:szCs w:val="24"/>
          <w14:ligatures w14:val="none"/>
        </w:rPr>
        <w:t xml:space="preserve"> 348 (2024): 116867, 4.</w:t>
      </w:r>
    </w:p>
    <w:p w14:paraId="0A9EE05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'Gender Trouble,' 6, 15-16; Noralla, Nora, 'Transgender Legal Recognition in North Africa: Between the Hammer of Sharia and the Anvil of the Judiciary', </w:t>
      </w:r>
      <w:r w:rsidRPr="00EE33FC">
        <w:rPr>
          <w:rFonts w:ascii="Arial" w:eastAsia="Times New Roman" w:hAnsi="Arial" w:cs="Arial"/>
          <w:i/>
          <w:iCs/>
          <w:color w:val="1B1C1D"/>
          <w:kern w:val="0"/>
          <w:sz w:val="24"/>
          <w:szCs w:val="24"/>
          <w:bdr w:val="none" w:sz="0" w:space="0" w:color="auto" w:frame="1"/>
          <w14:ligatures w14:val="none"/>
        </w:rPr>
        <w:t>Arab Law Quarterly</w:t>
      </w:r>
      <w:r w:rsidRPr="00EE33FC">
        <w:rPr>
          <w:rFonts w:ascii="Arial" w:eastAsia="Times New Roman" w:hAnsi="Arial" w:cs="Arial"/>
          <w:color w:val="1B1C1D"/>
          <w:kern w:val="0"/>
          <w:sz w:val="24"/>
          <w:szCs w:val="24"/>
          <w14:ligatures w14:val="none"/>
        </w:rPr>
        <w:t xml:space="preserve"> (2024): 1–45, 28-30; Cairo 52 and TIMEP, "Joint Stakeholder Submission...Transgender and Intersex Right to Health," 4.</w:t>
      </w:r>
    </w:p>
    <w:p w14:paraId="0C10B7C8"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'Access Denied,' 4, 8;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10.</w:t>
      </w:r>
    </w:p>
    <w:p w14:paraId="78672F2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Nora, </w:t>
      </w:r>
      <w:r w:rsidRPr="00EE33FC">
        <w:rPr>
          <w:rFonts w:ascii="Arial" w:eastAsia="Times New Roman" w:hAnsi="Arial" w:cs="Arial"/>
          <w:i/>
          <w:iCs/>
          <w:color w:val="1B1C1D"/>
          <w:kern w:val="0"/>
          <w:sz w:val="24"/>
          <w:szCs w:val="24"/>
          <w:bdr w:val="none" w:sz="0" w:space="0" w:color="auto" w:frame="1"/>
          <w14:ligatures w14:val="none"/>
        </w:rPr>
        <w:t>Understanding the Needs and Challenges of Transgender People Accessing Gender-affirming Healthcare in Egypt: A Mixed Methods Study</w:t>
      </w:r>
      <w:r w:rsidRPr="00EE33FC">
        <w:rPr>
          <w:rFonts w:ascii="Arial" w:eastAsia="Times New Roman" w:hAnsi="Arial" w:cs="Arial"/>
          <w:color w:val="1B1C1D"/>
          <w:kern w:val="0"/>
          <w:sz w:val="24"/>
          <w:szCs w:val="24"/>
          <w14:ligatures w14:val="none"/>
        </w:rPr>
        <w:t xml:space="preserve"> (Cairo: Cairo 52 Legal Research Institute, March 2024), 17.</w:t>
      </w:r>
    </w:p>
    <w:p w14:paraId="2988A73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17.</w:t>
      </w:r>
    </w:p>
    <w:p w14:paraId="7A82A2F1"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17.</w:t>
      </w:r>
    </w:p>
    <w:p w14:paraId="00B1F4D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Nora, "You shall not transition: a quantitative analysis of the challenges encountered by transgender individuals following the prohibition of gender-affirming healthcare in Egypt," </w:t>
      </w:r>
      <w:r w:rsidRPr="00EE33FC">
        <w:rPr>
          <w:rFonts w:ascii="Arial" w:eastAsia="Times New Roman" w:hAnsi="Arial" w:cs="Arial"/>
          <w:i/>
          <w:iCs/>
          <w:color w:val="1B1C1D"/>
          <w:kern w:val="0"/>
          <w:sz w:val="24"/>
          <w:szCs w:val="24"/>
          <w:bdr w:val="none" w:sz="0" w:space="0" w:color="auto" w:frame="1"/>
          <w14:ligatures w14:val="none"/>
        </w:rPr>
        <w:t>International Journal of Transgender Health</w:t>
      </w:r>
      <w:r w:rsidRPr="00EE33FC">
        <w:rPr>
          <w:rFonts w:ascii="Arial" w:eastAsia="Times New Roman" w:hAnsi="Arial" w:cs="Arial"/>
          <w:color w:val="1B1C1D"/>
          <w:kern w:val="0"/>
          <w:sz w:val="24"/>
          <w:szCs w:val="24"/>
          <w14:ligatures w14:val="none"/>
        </w:rPr>
        <w:t xml:space="preserve"> (October 8, 2025): 1, 7.</w:t>
      </w:r>
    </w:p>
    <w:p w14:paraId="460A5DD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27.</w:t>
      </w:r>
    </w:p>
    <w:p w14:paraId="16BE6EA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"You shall not transition," 1, 10.</w:t>
      </w:r>
    </w:p>
    <w:p w14:paraId="22A8ADE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27-28; Noralla, 'Access Denied,' 10.</w:t>
      </w:r>
    </w:p>
    <w:p w14:paraId="3C25371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lastRenderedPageBreak/>
        <w:t>Concluding observations on the fifth periodic report of Egypt</w:t>
      </w:r>
      <w:r w:rsidRPr="00EE33FC">
        <w:rPr>
          <w:rFonts w:ascii="Arial" w:eastAsia="Times New Roman" w:hAnsi="Arial" w:cs="Arial"/>
          <w:color w:val="1B1C1D"/>
          <w:kern w:val="0"/>
          <w:sz w:val="24"/>
          <w:szCs w:val="24"/>
          <w14:ligatures w14:val="none"/>
        </w:rPr>
        <w:t>, CAT/C/EGY/CO/5 (12 December 2023), 9 (para. 35).</w:t>
      </w:r>
    </w:p>
    <w:p w14:paraId="7ABF269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20.</w:t>
      </w:r>
    </w:p>
    <w:p w14:paraId="1238B31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20; Noralla, "You shall not transition," 8.</w:t>
      </w:r>
    </w:p>
    <w:p w14:paraId="243B6EC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xml:space="preserve">, 19; Cairo 52 Legal Research Institute, </w:t>
      </w:r>
      <w:r w:rsidRPr="00EE33FC">
        <w:rPr>
          <w:rFonts w:ascii="Arial" w:eastAsia="Times New Roman" w:hAnsi="Arial" w:cs="Arial"/>
          <w:i/>
          <w:iCs/>
          <w:color w:val="1B1C1D"/>
          <w:kern w:val="0"/>
          <w:sz w:val="24"/>
          <w:szCs w:val="24"/>
          <w:bdr w:val="none" w:sz="0" w:space="0" w:color="auto" w:frame="1"/>
          <w14:ligatures w14:val="none"/>
        </w:rPr>
        <w:t>Systematically marginalized: a quantitative study on Transgender access to socioeconomic and spatial rights in Egypt</w:t>
      </w:r>
      <w:r w:rsidRPr="00EE33FC">
        <w:rPr>
          <w:rFonts w:ascii="Arial" w:eastAsia="Times New Roman" w:hAnsi="Arial" w:cs="Arial"/>
          <w:color w:val="1B1C1D"/>
          <w:kern w:val="0"/>
          <w:sz w:val="24"/>
          <w:szCs w:val="24"/>
          <w14:ligatures w14:val="none"/>
        </w:rPr>
        <w:t xml:space="preserve"> (Draft Report, July 2025), 9; Noralla, "You shall not transition," 6.</w:t>
      </w:r>
    </w:p>
    <w:p w14:paraId="1715473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19.</w:t>
      </w:r>
    </w:p>
    <w:p w14:paraId="265B00E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and TIMEP, "Joint Stakeholder Submission...Transgender and Intersex Right to Health," 4.</w:t>
      </w:r>
    </w:p>
    <w:p w14:paraId="0C3E363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'Access Denied,' 5;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10.</w:t>
      </w:r>
    </w:p>
    <w:p w14:paraId="49B1F04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22, 25; Noralla, 'Access Denied,' 5, 9.</w:t>
      </w:r>
    </w:p>
    <w:p w14:paraId="4A5CDFD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"You shall not transition," 11.</w:t>
      </w:r>
    </w:p>
    <w:p w14:paraId="680500F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Adam Samy, "From the Hospital Gate to the Clinic Door: A Trans Man Confronts the Medical System at Qasr Al-Aini," Cairo 52 Legal Research Institute, August 1, 2025, 1.</w:t>
      </w:r>
    </w:p>
    <w:p w14:paraId="2303023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Samy, "From the Hospital Gate," 2.</w:t>
      </w:r>
    </w:p>
    <w:p w14:paraId="45789C78"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9.</w:t>
      </w:r>
    </w:p>
    <w:p w14:paraId="3F17930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9.</w:t>
      </w:r>
    </w:p>
    <w:p w14:paraId="0670D29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Nora, "Policies of Erasure: How the MENA's Region Intersex People Are Made Invisible," </w:t>
      </w:r>
      <w:r w:rsidRPr="00EE33FC">
        <w:rPr>
          <w:rFonts w:ascii="Arial" w:eastAsia="Times New Roman" w:hAnsi="Arial" w:cs="Arial"/>
          <w:i/>
          <w:iCs/>
          <w:color w:val="1B1C1D"/>
          <w:kern w:val="0"/>
          <w:sz w:val="24"/>
          <w:szCs w:val="24"/>
          <w:bdr w:val="none" w:sz="0" w:space="0" w:color="auto" w:frame="1"/>
          <w14:ligatures w14:val="none"/>
        </w:rPr>
        <w:t>The Tahrir Institute for Middle East Policy</w:t>
      </w:r>
      <w:r w:rsidRPr="00EE33FC">
        <w:rPr>
          <w:rFonts w:ascii="Arial" w:eastAsia="Times New Roman" w:hAnsi="Arial" w:cs="Arial"/>
          <w:color w:val="1B1C1D"/>
          <w:kern w:val="0"/>
          <w:sz w:val="24"/>
          <w:szCs w:val="24"/>
          <w14:ligatures w14:val="none"/>
        </w:rPr>
        <w:t>, April 20, 2023, 3.</w:t>
      </w:r>
    </w:p>
    <w:p w14:paraId="314C545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 Moves to Close a Loophole Allowing Transgender Individuals Access to Legal Gender Recognition," Cairo 52 Legal Research Institute, December 12, 2024, 3.</w:t>
      </w:r>
    </w:p>
    <w:p w14:paraId="584C1A6B"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'Gender Trouble,' 17.</w:t>
      </w:r>
    </w:p>
    <w:p w14:paraId="7A9E570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3.</w:t>
      </w:r>
    </w:p>
    <w:p w14:paraId="277DB7C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3.</w:t>
      </w:r>
    </w:p>
    <w:p w14:paraId="1D00407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4; Cairo 52 and TIMEP, "Joint Stakeholder Submission...Transgender and Intersex Right to Health," 6.</w:t>
      </w:r>
    </w:p>
    <w:p w14:paraId="2DB5A95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5.</w:t>
      </w:r>
    </w:p>
    <w:p w14:paraId="2D2D2F9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and TIMEP, "Joint Stakeholder Submission...Transgender and Intersex Right to Health," 7.</w:t>
      </w:r>
    </w:p>
    <w:p w14:paraId="398873C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6.</w:t>
      </w:r>
    </w:p>
    <w:p w14:paraId="42CF4A2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and TIMEP, "Joint Stakeholder Submission...Transgender and Intersex Right to Health," 7.</w:t>
      </w:r>
    </w:p>
    <w:p w14:paraId="255D7DD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and TIMEP, "Joint Stakeholder Submission...Transgender and Intersex Right to Health," 7.</w:t>
      </w:r>
    </w:p>
    <w:p w14:paraId="0EB22EC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7.</w:t>
      </w:r>
    </w:p>
    <w:p w14:paraId="64B9313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4</w:t>
      </w:r>
      <w:r w:rsidRPr="00EE33FC">
        <w:rPr>
          <w:rFonts w:ascii="Arial" w:eastAsia="Times New Roman" w:hAnsi="Arial" w:cs="Arial"/>
          <w:color w:val="1B1C1D"/>
          <w:kern w:val="0"/>
          <w:sz w:val="24"/>
          <w:szCs w:val="24"/>
          <w14:ligatures w14:val="none"/>
        </w:rPr>
        <w:t>.</w:t>
      </w:r>
    </w:p>
    <w:p w14:paraId="2FA17879"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وجوه مختلفة، عنف واحد: كتيب حملة مناهضة العلاج التحويلي</w:t>
      </w:r>
      <w:r w:rsidRPr="00EE33FC">
        <w:rPr>
          <w:rFonts w:ascii="Arial" w:eastAsia="Times New Roman" w:hAnsi="Arial" w:cs="Arial"/>
          <w:color w:val="1B1C1D"/>
          <w:kern w:val="0"/>
          <w:sz w:val="24"/>
          <w:szCs w:val="24"/>
          <w14:ligatures w14:val="none"/>
        </w:rPr>
        <w:t>” [Different Faces, Same Violence: Anti-Conversion Therapy Campaign Booklet], (October 2024), 5.</w:t>
      </w:r>
    </w:p>
    <w:p w14:paraId="609798F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Atyaf, “</w:t>
      </w:r>
      <w:r w:rsidRPr="00EE33FC">
        <w:rPr>
          <w:rFonts w:ascii="Arial" w:eastAsia="Times New Roman" w:hAnsi="Arial" w:cs="Arial"/>
          <w:color w:val="1B1C1D"/>
          <w:kern w:val="0"/>
          <w:sz w:val="24"/>
          <w:szCs w:val="24"/>
          <w:rtl/>
          <w14:ligatures w14:val="none"/>
        </w:rPr>
        <w:t>وجوه مختلفة، عنف واحد,” 7</w:t>
      </w:r>
      <w:r w:rsidRPr="00EE33FC">
        <w:rPr>
          <w:rFonts w:ascii="Arial" w:eastAsia="Times New Roman" w:hAnsi="Arial" w:cs="Arial"/>
          <w:color w:val="1B1C1D"/>
          <w:kern w:val="0"/>
          <w:sz w:val="24"/>
          <w:szCs w:val="24"/>
          <w14:ligatures w14:val="none"/>
        </w:rPr>
        <w:t>.</w:t>
      </w:r>
    </w:p>
    <w:p w14:paraId="32D421D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6</w:t>
      </w:r>
      <w:r w:rsidRPr="00EE33FC">
        <w:rPr>
          <w:rFonts w:ascii="Arial" w:eastAsia="Times New Roman" w:hAnsi="Arial" w:cs="Arial"/>
          <w:color w:val="1B1C1D"/>
          <w:kern w:val="0"/>
          <w:sz w:val="24"/>
          <w:szCs w:val="24"/>
          <w14:ligatures w14:val="none"/>
        </w:rPr>
        <w:t>.</w:t>
      </w:r>
    </w:p>
    <w:p w14:paraId="0F23BE8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6</w:t>
      </w:r>
      <w:r w:rsidRPr="00EE33FC">
        <w:rPr>
          <w:rFonts w:ascii="Arial" w:eastAsia="Times New Roman" w:hAnsi="Arial" w:cs="Arial"/>
          <w:color w:val="1B1C1D"/>
          <w:kern w:val="0"/>
          <w:sz w:val="24"/>
          <w:szCs w:val="24"/>
          <w14:ligatures w14:val="none"/>
        </w:rPr>
        <w:t>.</w:t>
      </w:r>
    </w:p>
    <w:p w14:paraId="69501C9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 Noralla, "The Quiet and Dangerous Anti-LGBTQ+ Ideology of The Egyptian Coptic Orthodox Church," </w:t>
      </w:r>
      <w:r w:rsidRPr="00EE33FC">
        <w:rPr>
          <w:rFonts w:ascii="Arial" w:eastAsia="Times New Roman" w:hAnsi="Arial" w:cs="Arial"/>
          <w:i/>
          <w:iCs/>
          <w:color w:val="1B1C1D"/>
          <w:kern w:val="0"/>
          <w:sz w:val="24"/>
          <w:szCs w:val="24"/>
          <w:bdr w:val="none" w:sz="0" w:space="0" w:color="auto" w:frame="1"/>
          <w14:ligatures w14:val="none"/>
        </w:rPr>
        <w:t>The Tahrir Institute for Middle East Policy</w:t>
      </w:r>
      <w:r w:rsidRPr="00EE33FC">
        <w:rPr>
          <w:rFonts w:ascii="Arial" w:eastAsia="Times New Roman" w:hAnsi="Arial" w:cs="Arial"/>
          <w:color w:val="1B1C1D"/>
          <w:kern w:val="0"/>
          <w:sz w:val="24"/>
          <w:szCs w:val="24"/>
          <w14:ligatures w14:val="none"/>
        </w:rPr>
        <w:t>, March 13, 2024, 4.</w:t>
      </w:r>
    </w:p>
    <w:p w14:paraId="416518B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6</w:t>
      </w:r>
      <w:r w:rsidRPr="00EE33FC">
        <w:rPr>
          <w:rFonts w:ascii="Arial" w:eastAsia="Times New Roman" w:hAnsi="Arial" w:cs="Arial"/>
          <w:color w:val="1B1C1D"/>
          <w:kern w:val="0"/>
          <w:sz w:val="24"/>
          <w:szCs w:val="24"/>
          <w14:ligatures w14:val="none"/>
        </w:rPr>
        <w:t>.</w:t>
      </w:r>
    </w:p>
    <w:p w14:paraId="5E71A16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484A01D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5A34DCD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3908C7C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20E4BC1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02108AF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4FAEBEBA"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7</w:t>
      </w:r>
      <w:r w:rsidRPr="00EE33FC">
        <w:rPr>
          <w:rFonts w:ascii="Arial" w:eastAsia="Times New Roman" w:hAnsi="Arial" w:cs="Arial"/>
          <w:color w:val="1B1C1D"/>
          <w:kern w:val="0"/>
          <w:sz w:val="24"/>
          <w:szCs w:val="24"/>
          <w14:ligatures w14:val="none"/>
        </w:rPr>
        <w:t>.</w:t>
      </w:r>
    </w:p>
    <w:p w14:paraId="7DD7BF7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8</w:t>
      </w:r>
      <w:r w:rsidRPr="00EE33FC">
        <w:rPr>
          <w:rFonts w:ascii="Arial" w:eastAsia="Times New Roman" w:hAnsi="Arial" w:cs="Arial"/>
          <w:color w:val="1B1C1D"/>
          <w:kern w:val="0"/>
          <w:sz w:val="24"/>
          <w:szCs w:val="24"/>
          <w14:ligatures w14:val="none"/>
        </w:rPr>
        <w:t>.</w:t>
      </w:r>
    </w:p>
    <w:p w14:paraId="58D9E7B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8</w:t>
      </w:r>
      <w:r w:rsidRPr="00EE33FC">
        <w:rPr>
          <w:rFonts w:ascii="Arial" w:eastAsia="Times New Roman" w:hAnsi="Arial" w:cs="Arial"/>
          <w:color w:val="1B1C1D"/>
          <w:kern w:val="0"/>
          <w:sz w:val="24"/>
          <w:szCs w:val="24"/>
          <w14:ligatures w14:val="none"/>
        </w:rPr>
        <w:t>.</w:t>
      </w:r>
    </w:p>
    <w:p w14:paraId="3A9A3DA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8</w:t>
      </w:r>
      <w:r w:rsidRPr="00EE33FC">
        <w:rPr>
          <w:rFonts w:ascii="Arial" w:eastAsia="Times New Roman" w:hAnsi="Arial" w:cs="Arial"/>
          <w:color w:val="1B1C1D"/>
          <w:kern w:val="0"/>
          <w:sz w:val="24"/>
          <w:szCs w:val="24"/>
          <w14:ligatures w14:val="none"/>
        </w:rPr>
        <w:t>.</w:t>
      </w:r>
    </w:p>
    <w:p w14:paraId="4A3C0D0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8</w:t>
      </w:r>
      <w:r w:rsidRPr="00EE33FC">
        <w:rPr>
          <w:rFonts w:ascii="Arial" w:eastAsia="Times New Roman" w:hAnsi="Arial" w:cs="Arial"/>
          <w:color w:val="1B1C1D"/>
          <w:kern w:val="0"/>
          <w:sz w:val="24"/>
          <w:szCs w:val="24"/>
          <w14:ligatures w14:val="none"/>
        </w:rPr>
        <w:t>.</w:t>
      </w:r>
    </w:p>
    <w:p w14:paraId="7CCCABD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8</w:t>
      </w:r>
      <w:r w:rsidRPr="00EE33FC">
        <w:rPr>
          <w:rFonts w:ascii="Arial" w:eastAsia="Times New Roman" w:hAnsi="Arial" w:cs="Arial"/>
          <w:color w:val="1B1C1D"/>
          <w:kern w:val="0"/>
          <w:sz w:val="24"/>
          <w:szCs w:val="24"/>
          <w14:ligatures w14:val="none"/>
        </w:rPr>
        <w:t>.</w:t>
      </w:r>
    </w:p>
    <w:p w14:paraId="52E86EC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39EFB4AB"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3BF2EA2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710E82F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54C2DD3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52ACD27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4B129FA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2484B38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11E6EE7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10</w:t>
      </w:r>
      <w:r w:rsidRPr="00EE33FC">
        <w:rPr>
          <w:rFonts w:ascii="Arial" w:eastAsia="Times New Roman" w:hAnsi="Arial" w:cs="Arial"/>
          <w:color w:val="1B1C1D"/>
          <w:kern w:val="0"/>
          <w:sz w:val="24"/>
          <w:szCs w:val="24"/>
          <w14:ligatures w14:val="none"/>
        </w:rPr>
        <w:t>.</w:t>
      </w:r>
    </w:p>
    <w:p w14:paraId="6356670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10</w:t>
      </w:r>
      <w:r w:rsidRPr="00EE33FC">
        <w:rPr>
          <w:rFonts w:ascii="Arial" w:eastAsia="Times New Roman" w:hAnsi="Arial" w:cs="Arial"/>
          <w:color w:val="1B1C1D"/>
          <w:kern w:val="0"/>
          <w:sz w:val="24"/>
          <w:szCs w:val="24"/>
          <w14:ligatures w14:val="none"/>
        </w:rPr>
        <w:t>.</w:t>
      </w:r>
    </w:p>
    <w:p w14:paraId="04BC3D2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10</w:t>
      </w:r>
      <w:r w:rsidRPr="00EE33FC">
        <w:rPr>
          <w:rFonts w:ascii="Arial" w:eastAsia="Times New Roman" w:hAnsi="Arial" w:cs="Arial"/>
          <w:color w:val="1B1C1D"/>
          <w:kern w:val="0"/>
          <w:sz w:val="24"/>
          <w:szCs w:val="24"/>
          <w14:ligatures w14:val="none"/>
        </w:rPr>
        <w:t>.</w:t>
      </w:r>
    </w:p>
    <w:p w14:paraId="4483F74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w:t>
      </w:r>
    </w:p>
    <w:p w14:paraId="15B282B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w:t>
      </w:r>
    </w:p>
    <w:p w14:paraId="7C4E509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11–12; Youm7, “</w:t>
      </w:r>
      <w:r w:rsidRPr="00EE33FC">
        <w:rPr>
          <w:rFonts w:ascii="Arial" w:eastAsia="Times New Roman" w:hAnsi="Arial" w:cs="Arial"/>
          <w:color w:val="1B1C1D"/>
          <w:kern w:val="0"/>
          <w:sz w:val="24"/>
          <w:szCs w:val="24"/>
          <w:rtl/>
          <w14:ligatures w14:val="none"/>
        </w:rPr>
        <w:t>الصحة تطلق حملة زي أي مرض للتوعية بفيروس نقص المناعة البشرى الإيدز</w:t>
      </w:r>
      <w:r w:rsidRPr="00EE33FC">
        <w:rPr>
          <w:rFonts w:ascii="Arial" w:eastAsia="Times New Roman" w:hAnsi="Arial" w:cs="Arial"/>
          <w:color w:val="1B1C1D"/>
          <w:kern w:val="0"/>
          <w:sz w:val="24"/>
          <w:szCs w:val="24"/>
          <w14:ligatures w14:val="none"/>
        </w:rPr>
        <w:t>” [Ministry of Health Launches Awareness Campaign 'Like Any Disease' for HIV/AIDS], November 29, 2022.</w:t>
      </w:r>
    </w:p>
    <w:p w14:paraId="6377B3E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11–12; World Health Organization, “Egypt Becomes the First Country...,” October 9, 2023.</w:t>
      </w:r>
    </w:p>
    <w:p w14:paraId="023EBF7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12.</w:t>
      </w:r>
    </w:p>
    <w:p w14:paraId="3C4380A2"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 xml:space="preserve">M.M. Aziz, S.S. Abdelrheem, and H.M. Mohammed, "Stigma and discrimination against people living with HIV...," </w:t>
      </w:r>
      <w:r w:rsidRPr="00EE33FC">
        <w:rPr>
          <w:rFonts w:ascii="Arial" w:eastAsia="Times New Roman" w:hAnsi="Arial" w:cs="Arial"/>
          <w:i/>
          <w:iCs/>
          <w:color w:val="1B1C1D"/>
          <w:kern w:val="0"/>
          <w:sz w:val="24"/>
          <w:szCs w:val="24"/>
          <w:bdr w:val="none" w:sz="0" w:space="0" w:color="auto" w:frame="1"/>
          <w14:ligatures w14:val="none"/>
        </w:rPr>
        <w:t>BMC Health Services Research</w:t>
      </w:r>
      <w:r w:rsidRPr="00EE33FC">
        <w:rPr>
          <w:rFonts w:ascii="Arial" w:eastAsia="Times New Roman" w:hAnsi="Arial" w:cs="Arial"/>
          <w:color w:val="1B1C1D"/>
          <w:kern w:val="0"/>
          <w:sz w:val="24"/>
          <w:szCs w:val="24"/>
          <w14:ligatures w14:val="none"/>
        </w:rPr>
        <w:t xml:space="preserve"> 23, no. 663 (2023).</w:t>
      </w:r>
    </w:p>
    <w:p w14:paraId="04AAA93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12.</w:t>
      </w:r>
    </w:p>
    <w:p w14:paraId="222B403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Masrawy, “</w:t>
      </w:r>
      <w:r w:rsidRPr="00EE33FC">
        <w:rPr>
          <w:rFonts w:ascii="Arial" w:eastAsia="Times New Roman" w:hAnsi="Arial" w:cs="Arial"/>
          <w:color w:val="1B1C1D"/>
          <w:kern w:val="0"/>
          <w:sz w:val="24"/>
          <w:szCs w:val="24"/>
          <w:rtl/>
          <w14:ligatures w14:val="none"/>
        </w:rPr>
        <w:t>فيديوهات وفعل فاضح.. الحكم على شاب نقل عدوى الإيدز لزوجته وطفلته بكفر الشيخ</w:t>
      </w:r>
      <w:r w:rsidRPr="00EE33FC">
        <w:rPr>
          <w:rFonts w:ascii="Arial" w:eastAsia="Times New Roman" w:hAnsi="Arial" w:cs="Arial"/>
          <w:color w:val="1B1C1D"/>
          <w:kern w:val="0"/>
          <w:sz w:val="24"/>
          <w:szCs w:val="24"/>
          <w14:ligatures w14:val="none"/>
        </w:rPr>
        <w:t>” [Videos and obscene act.. Ruling against a young man who transmitted HIV infection to his wife and daughter in Kafr El-Sheikh], February 28, 2024.</w:t>
      </w:r>
    </w:p>
    <w:p w14:paraId="704C04A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12.</w:t>
      </w:r>
    </w:p>
    <w:p w14:paraId="2F5C5A9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Human Rights Watch, “</w:t>
      </w:r>
      <w:r w:rsidRPr="00EE33FC">
        <w:rPr>
          <w:rFonts w:ascii="Arial" w:eastAsia="Times New Roman" w:hAnsi="Arial" w:cs="Arial"/>
          <w:color w:val="1B1C1D"/>
          <w:kern w:val="0"/>
          <w:sz w:val="24"/>
          <w:szCs w:val="24"/>
          <w:rtl/>
          <w14:ligatures w14:val="none"/>
        </w:rPr>
        <w:t>مصر: ‘كورونا’ يهدد علاج حاملي الفيروس المسبب لـ ‘الإيدز</w:t>
      </w:r>
      <w:r w:rsidRPr="00EE33FC">
        <w:rPr>
          <w:rFonts w:ascii="Arial" w:eastAsia="Times New Roman" w:hAnsi="Arial" w:cs="Arial"/>
          <w:color w:val="1B1C1D"/>
          <w:kern w:val="0"/>
          <w:sz w:val="24"/>
          <w:szCs w:val="24"/>
          <w14:ligatures w14:val="none"/>
        </w:rPr>
        <w:t>’” [Egypt: 'Corona' Threatens Treatment for Carriers of the Virus Causing 'AIDS'], April 22, 2020; Facebook Post, March 20, 2024.</w:t>
      </w:r>
    </w:p>
    <w:p w14:paraId="050CCC9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ICESCR, arts. 6, 7.</w:t>
      </w:r>
    </w:p>
    <w:p w14:paraId="5711A65A"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 9.</w:t>
      </w:r>
    </w:p>
    <w:p w14:paraId="5B27C14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"You shall not transition," 1, 6.</w:t>
      </w:r>
    </w:p>
    <w:p w14:paraId="1F2FBBC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"You shall not transition," 6.</w:t>
      </w:r>
    </w:p>
    <w:p w14:paraId="0543B77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11.</w:t>
      </w:r>
    </w:p>
    <w:p w14:paraId="11E1C82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10.</w:t>
      </w:r>
    </w:p>
    <w:p w14:paraId="1DC7CF3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5–7.</w:t>
      </w:r>
    </w:p>
    <w:p w14:paraId="15663FEA"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5.</w:t>
      </w:r>
    </w:p>
    <w:p w14:paraId="0EAEA4F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17 (Table 1 shows 27% employment rate).</w:t>
      </w:r>
    </w:p>
    <w:p w14:paraId="5CFA561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9.</w:t>
      </w:r>
    </w:p>
    <w:p w14:paraId="0AC688F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12.</w:t>
      </w:r>
    </w:p>
    <w:p w14:paraId="7D80BA2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9; Alternative Policy Solutions, “Public Spending..,” 2025.</w:t>
      </w:r>
    </w:p>
    <w:p w14:paraId="4E71546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13.</w:t>
      </w:r>
    </w:p>
    <w:p w14:paraId="6CBF300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5.</w:t>
      </w:r>
    </w:p>
    <w:p w14:paraId="7DA37DF8"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Nora. "Politics, Society and Public Morals: How Does a 'Debauchery' Charge Service All?" </w:t>
      </w:r>
      <w:r w:rsidRPr="00EE33FC">
        <w:rPr>
          <w:rFonts w:ascii="Arial" w:eastAsia="Times New Roman" w:hAnsi="Arial" w:cs="Arial"/>
          <w:i/>
          <w:iCs/>
          <w:color w:val="1B1C1D"/>
          <w:kern w:val="0"/>
          <w:sz w:val="24"/>
          <w:szCs w:val="24"/>
          <w:bdr w:val="none" w:sz="0" w:space="0" w:color="auto" w:frame="1"/>
          <w14:ligatures w14:val="none"/>
        </w:rPr>
        <w:t>The Tahrir Institute for Middle East Policy</w:t>
      </w:r>
      <w:r w:rsidRPr="00EE33FC">
        <w:rPr>
          <w:rFonts w:ascii="Arial" w:eastAsia="Times New Roman" w:hAnsi="Arial" w:cs="Arial"/>
          <w:color w:val="1B1C1D"/>
          <w:kern w:val="0"/>
          <w:sz w:val="24"/>
          <w:szCs w:val="24"/>
          <w14:ligatures w14:val="none"/>
        </w:rPr>
        <w:t xml:space="preserve">, March 10, 2023;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8.</w:t>
      </w:r>
    </w:p>
    <w:p w14:paraId="0424A11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Tahrir Institute for Middle East Policy, "TIMEP Brief: LGBTQ Human Rights in Egypt," July 17, 2019.</w:t>
      </w:r>
    </w:p>
    <w:p w14:paraId="0C44849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Ali, Fatma. </w:t>
      </w:r>
      <w:r w:rsidRPr="00EE33FC">
        <w:rPr>
          <w:rFonts w:ascii="Arial" w:eastAsia="Times New Roman" w:hAnsi="Arial" w:cs="Arial"/>
          <w:i/>
          <w:iCs/>
          <w:color w:val="1B1C1D"/>
          <w:kern w:val="0"/>
          <w:sz w:val="24"/>
          <w:szCs w:val="24"/>
          <w:bdr w:val="none" w:sz="0" w:space="0" w:color="auto" w:frame="1"/>
          <w14:ligatures w14:val="none"/>
        </w:rPr>
        <w:t>Media Observatory of Arrests Based on Sex Work from January 2023 to December 2023</w:t>
      </w:r>
      <w:r w:rsidRPr="00EE33FC">
        <w:rPr>
          <w:rFonts w:ascii="Arial" w:eastAsia="Times New Roman" w:hAnsi="Arial" w:cs="Arial"/>
          <w:color w:val="1B1C1D"/>
          <w:kern w:val="0"/>
          <w:sz w:val="24"/>
          <w:szCs w:val="24"/>
          <w14:ligatures w14:val="none"/>
        </w:rPr>
        <w:t xml:space="preserve"> (Cairo: Cairo 52 Legal Research Institute, June 2024), 7.</w:t>
      </w:r>
    </w:p>
    <w:p w14:paraId="3B9E4B4D"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Legal Research Institute, "Media Observatory of Arrests Based on Sex Work: Data Analysis 2024," Draft, 2025, 8.</w:t>
      </w:r>
    </w:p>
    <w:p w14:paraId="42BB8B4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Ali, </w:t>
      </w:r>
      <w:r w:rsidRPr="00EE33FC">
        <w:rPr>
          <w:rFonts w:ascii="Arial" w:eastAsia="Times New Roman" w:hAnsi="Arial" w:cs="Arial"/>
          <w:i/>
          <w:iCs/>
          <w:color w:val="1B1C1D"/>
          <w:kern w:val="0"/>
          <w:sz w:val="24"/>
          <w:szCs w:val="24"/>
          <w:bdr w:val="none" w:sz="0" w:space="0" w:color="auto" w:frame="1"/>
          <w14:ligatures w14:val="none"/>
        </w:rPr>
        <w:t>Media Observatory 2023</w:t>
      </w:r>
      <w:r w:rsidRPr="00EE33FC">
        <w:rPr>
          <w:rFonts w:ascii="Arial" w:eastAsia="Times New Roman" w:hAnsi="Arial" w:cs="Arial"/>
          <w:color w:val="1B1C1D"/>
          <w:kern w:val="0"/>
          <w:sz w:val="24"/>
          <w:szCs w:val="24"/>
          <w14:ligatures w14:val="none"/>
        </w:rPr>
        <w:t>, 9.</w:t>
      </w:r>
    </w:p>
    <w:p w14:paraId="2FDB3FD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"Media Observatory 2024," 15.</w:t>
      </w:r>
    </w:p>
    <w:p w14:paraId="092D108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"Politics, Society and Public Morals"; Nada Hamdy, "Arrest of a homosexual network..," </w:t>
      </w:r>
      <w:r w:rsidRPr="00EE33FC">
        <w:rPr>
          <w:rFonts w:ascii="Arial" w:eastAsia="Times New Roman" w:hAnsi="Arial" w:cs="Arial"/>
          <w:i/>
          <w:iCs/>
          <w:color w:val="1B1C1D"/>
          <w:kern w:val="0"/>
          <w:sz w:val="24"/>
          <w:szCs w:val="24"/>
          <w:bdr w:val="none" w:sz="0" w:space="0" w:color="auto" w:frame="1"/>
          <w14:ligatures w14:val="none"/>
        </w:rPr>
        <w:t>Ad-Dustour</w:t>
      </w:r>
      <w:r w:rsidRPr="00EE33FC">
        <w:rPr>
          <w:rFonts w:ascii="Arial" w:eastAsia="Times New Roman" w:hAnsi="Arial" w:cs="Arial"/>
          <w:color w:val="1B1C1D"/>
          <w:kern w:val="0"/>
          <w:sz w:val="24"/>
          <w:szCs w:val="24"/>
          <w14:ligatures w14:val="none"/>
        </w:rPr>
        <w:t>, August 13, 2025.</w:t>
      </w:r>
    </w:p>
    <w:p w14:paraId="20DF89F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"Digital Persecution"; D. A. Hamid, </w:t>
      </w:r>
      <w:r w:rsidRPr="00EE33FC">
        <w:rPr>
          <w:rFonts w:ascii="Arial" w:eastAsia="Times New Roman" w:hAnsi="Arial" w:cs="Arial"/>
          <w:i/>
          <w:iCs/>
          <w:color w:val="1B1C1D"/>
          <w:kern w:val="0"/>
          <w:sz w:val="24"/>
          <w:szCs w:val="24"/>
          <w:bdr w:val="none" w:sz="0" w:space="0" w:color="auto" w:frame="1"/>
          <w14:ligatures w14:val="none"/>
        </w:rPr>
        <w:t>The Trap: Punishing Sexual Difference in Egypt</w:t>
      </w:r>
      <w:r w:rsidRPr="00EE33FC">
        <w:rPr>
          <w:rFonts w:ascii="Arial" w:eastAsia="Times New Roman" w:hAnsi="Arial" w:cs="Arial"/>
          <w:color w:val="1B1C1D"/>
          <w:kern w:val="0"/>
          <w:sz w:val="24"/>
          <w:szCs w:val="24"/>
          <w14:ligatures w14:val="none"/>
        </w:rPr>
        <w:t xml:space="preserve"> (Egyptian Initiative for Personal Rights, 2017), 7; Cairo 52 Legal Research Institute, </w:t>
      </w:r>
      <w:r w:rsidRPr="00EE33FC">
        <w:rPr>
          <w:rFonts w:ascii="Arial" w:eastAsia="Times New Roman" w:hAnsi="Arial" w:cs="Arial"/>
          <w:i/>
          <w:iCs/>
          <w:color w:val="1B1C1D"/>
          <w:kern w:val="0"/>
          <w:sz w:val="24"/>
          <w:szCs w:val="24"/>
          <w:bdr w:val="none" w:sz="0" w:space="0" w:color="auto" w:frame="1"/>
          <w14:ligatures w14:val="none"/>
        </w:rPr>
        <w:t>Legal Unit Annual Activities Report for 2024</w:t>
      </w:r>
      <w:r w:rsidRPr="00EE33FC">
        <w:rPr>
          <w:rFonts w:ascii="Arial" w:eastAsia="Times New Roman" w:hAnsi="Arial" w:cs="Arial"/>
          <w:color w:val="1B1C1D"/>
          <w:kern w:val="0"/>
          <w:sz w:val="24"/>
          <w:szCs w:val="24"/>
          <w14:ligatures w14:val="none"/>
        </w:rPr>
        <w:t xml:space="preserve"> (Cairo: Cairo 52 Legal Research Institute, July 2025), 2.</w:t>
      </w:r>
    </w:p>
    <w:p w14:paraId="3ABDC0A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"Media Observatory 2024," 16.</w:t>
      </w:r>
    </w:p>
    <w:p w14:paraId="1C945EF2"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7.</w:t>
      </w:r>
    </w:p>
    <w:p w14:paraId="030B3E1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Egyptian Lawyers Syndicate, “</w:t>
      </w:r>
      <w:r w:rsidRPr="00EE33FC">
        <w:rPr>
          <w:rFonts w:ascii="Arial" w:eastAsia="Times New Roman" w:hAnsi="Arial" w:cs="Arial"/>
          <w:color w:val="1B1C1D"/>
          <w:kern w:val="0"/>
          <w:sz w:val="24"/>
          <w:szCs w:val="24"/>
          <w:rtl/>
          <w14:ligatures w14:val="none"/>
        </w:rPr>
        <w:t>الجرائم المخلة بالشرف والأمانة وأثرها علي الوظيفة العامة</w:t>
      </w:r>
      <w:r w:rsidRPr="00EE33FC">
        <w:rPr>
          <w:rFonts w:ascii="Arial" w:eastAsia="Times New Roman" w:hAnsi="Arial" w:cs="Arial"/>
          <w:color w:val="1B1C1D"/>
          <w:kern w:val="0"/>
          <w:sz w:val="24"/>
          <w:szCs w:val="24"/>
          <w14:ligatures w14:val="none"/>
        </w:rPr>
        <w:t>” [Crimes Violating Honor and Trust and Their Effect on Public Office], June 30, 2020.</w:t>
      </w:r>
    </w:p>
    <w:p w14:paraId="61589E9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"Egypt's Supreme Administrative Court";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9.</w:t>
      </w:r>
    </w:p>
    <w:p w14:paraId="1FC9CCB9"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 Amer, "TikTok on Trial."</w:t>
      </w:r>
    </w:p>
    <w:p w14:paraId="1BBF9DF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ICESCR, art. 13.</w:t>
      </w:r>
    </w:p>
    <w:p w14:paraId="211BCE8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7.</w:t>
      </w:r>
    </w:p>
    <w:p w14:paraId="42CE8A3A"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7.</w:t>
      </w:r>
    </w:p>
    <w:p w14:paraId="0899989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7.</w:t>
      </w:r>
    </w:p>
    <w:p w14:paraId="07803B5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8.</w:t>
      </w:r>
    </w:p>
    <w:p w14:paraId="5D723C72"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8.</w:t>
      </w:r>
    </w:p>
    <w:p w14:paraId="0285BD3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Fatma E. Mohammed et al., "Bullying Among Early Adolescent Egyptian School Students," </w:t>
      </w:r>
      <w:r w:rsidRPr="00EE33FC">
        <w:rPr>
          <w:rFonts w:ascii="Arial" w:eastAsia="Times New Roman" w:hAnsi="Arial" w:cs="Arial"/>
          <w:i/>
          <w:iCs/>
          <w:color w:val="1B1C1D"/>
          <w:kern w:val="0"/>
          <w:sz w:val="24"/>
          <w:szCs w:val="24"/>
          <w:bdr w:val="none" w:sz="0" w:space="0" w:color="auto" w:frame="1"/>
          <w14:ligatures w14:val="none"/>
        </w:rPr>
        <w:t>Egyptian Journal of Community Medicine</w:t>
      </w:r>
      <w:r w:rsidRPr="00EE33FC">
        <w:rPr>
          <w:rFonts w:ascii="Arial" w:eastAsia="Times New Roman" w:hAnsi="Arial" w:cs="Arial"/>
          <w:color w:val="1B1C1D"/>
          <w:kern w:val="0"/>
          <w:sz w:val="24"/>
          <w:szCs w:val="24"/>
          <w14:ligatures w14:val="none"/>
        </w:rPr>
        <w:t xml:space="preserve"> 39, no. 3 (2021): 119; M. Ancukiewicz and J. Senczyszyn, "Bullying of LGBTQ+ children...," </w:t>
      </w:r>
      <w:r w:rsidRPr="00EE33FC">
        <w:rPr>
          <w:rFonts w:ascii="Arial" w:eastAsia="Times New Roman" w:hAnsi="Arial" w:cs="Arial"/>
          <w:i/>
          <w:iCs/>
          <w:color w:val="1B1C1D"/>
          <w:kern w:val="0"/>
          <w:sz w:val="24"/>
          <w:szCs w:val="24"/>
          <w:bdr w:val="none" w:sz="0" w:space="0" w:color="auto" w:frame="1"/>
          <w14:ligatures w14:val="none"/>
        </w:rPr>
        <w:t>Frontiers in Psychiatry</w:t>
      </w:r>
      <w:r w:rsidRPr="00EE33FC">
        <w:rPr>
          <w:rFonts w:ascii="Arial" w:eastAsia="Times New Roman" w:hAnsi="Arial" w:cs="Arial"/>
          <w:color w:val="1B1C1D"/>
          <w:kern w:val="0"/>
          <w:sz w:val="24"/>
          <w:szCs w:val="24"/>
          <w14:ligatures w14:val="none"/>
        </w:rPr>
        <w:t xml:space="preserve"> 15 (2024).</w:t>
      </w:r>
    </w:p>
    <w:p w14:paraId="5FB83AE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United Nations Committee on the Rights of the Child, </w:t>
      </w:r>
      <w:r w:rsidRPr="00EE33FC">
        <w:rPr>
          <w:rFonts w:ascii="Arial" w:eastAsia="Times New Roman" w:hAnsi="Arial" w:cs="Arial"/>
          <w:i/>
          <w:iCs/>
          <w:color w:val="1B1C1D"/>
          <w:kern w:val="0"/>
          <w:sz w:val="24"/>
          <w:szCs w:val="24"/>
          <w:bdr w:val="none" w:sz="0" w:space="0" w:color="auto" w:frame="1"/>
          <w14:ligatures w14:val="none"/>
        </w:rPr>
        <w:t>Concluding observations on the combined fifth and sixth periodic reports of Egypt</w:t>
      </w:r>
      <w:r w:rsidRPr="00EE33FC">
        <w:rPr>
          <w:rFonts w:ascii="Arial" w:eastAsia="Times New Roman" w:hAnsi="Arial" w:cs="Arial"/>
          <w:color w:val="1B1C1D"/>
          <w:kern w:val="0"/>
          <w:sz w:val="24"/>
          <w:szCs w:val="24"/>
          <w14:ligatures w14:val="none"/>
        </w:rPr>
        <w:t>, CRC/C/EGY/CO/5-6 (24 May 2024), para. 28.</w:t>
      </w:r>
    </w:p>
    <w:p w14:paraId="39B9511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Ancukiewicz and Senczyszyn, "Bullying of LGBTQ+ children."</w:t>
      </w:r>
    </w:p>
    <w:p w14:paraId="1567E82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9.</w:t>
      </w:r>
    </w:p>
    <w:p w14:paraId="4E41ADA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ReportOUT, Submission to IE SOGI Call for Input on Education, September 2025, 4.</w:t>
      </w:r>
    </w:p>
    <w:p w14:paraId="48AFD42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8.</w:t>
      </w:r>
    </w:p>
    <w:p w14:paraId="1C6BD3D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8.</w:t>
      </w:r>
    </w:p>
    <w:p w14:paraId="6FAB6F0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8.</w:t>
      </w:r>
    </w:p>
    <w:p w14:paraId="1ECEF35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ICESCR, art. 11.</w:t>
      </w:r>
    </w:p>
    <w:p w14:paraId="04598F32"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Report of the Special Rapporteur on adequate housing as a component of the right to an adequate standard of living, and on the right to non-discrimination in this context, on her mission to Egypt</w:t>
      </w:r>
      <w:r w:rsidRPr="00EE33FC">
        <w:rPr>
          <w:rFonts w:ascii="Arial" w:eastAsia="Times New Roman" w:hAnsi="Arial" w:cs="Arial"/>
          <w:color w:val="1B1C1D"/>
          <w:kern w:val="0"/>
          <w:sz w:val="24"/>
          <w:szCs w:val="24"/>
          <w14:ligatures w14:val="none"/>
        </w:rPr>
        <w:t>, A/HRC/40/61/Add.2 (3 October 2019), 1, 18.</w:t>
      </w:r>
    </w:p>
    <w:p w14:paraId="7AD7350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14–15.</w:t>
      </w:r>
    </w:p>
    <w:p w14:paraId="2D1AFCE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15.</w:t>
      </w:r>
    </w:p>
    <w:p w14:paraId="7F65FBC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15.</w:t>
      </w:r>
    </w:p>
    <w:p w14:paraId="06788F15"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15.</w:t>
      </w:r>
    </w:p>
    <w:p w14:paraId="5A15DC4A"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15.</w:t>
      </w:r>
    </w:p>
    <w:p w14:paraId="13B0DD8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16.</w:t>
      </w:r>
    </w:p>
    <w:p w14:paraId="0330157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16.</w:t>
      </w:r>
    </w:p>
    <w:p w14:paraId="66B3FBE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16.</w:t>
      </w:r>
    </w:p>
    <w:p w14:paraId="21D4857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20.</w:t>
      </w:r>
    </w:p>
    <w:p w14:paraId="711048C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14.</w:t>
      </w:r>
    </w:p>
    <w:p w14:paraId="18C5808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14.</w:t>
      </w:r>
    </w:p>
    <w:p w14:paraId="6BE1247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Amnesty International, "Human rights in Egypt," April 29, 2025.</w:t>
      </w:r>
    </w:p>
    <w:p w14:paraId="373FFBF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ICESCR, art. 10.</w:t>
      </w:r>
    </w:p>
    <w:p w14:paraId="2CB2D2F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17.</w:t>
      </w:r>
    </w:p>
    <w:p w14:paraId="6354B841"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16.</w:t>
      </w:r>
    </w:p>
    <w:p w14:paraId="442D83F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20.</w:t>
      </w:r>
    </w:p>
    <w:p w14:paraId="212D236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"The Quiet and Dangerous Anti-LGBTQ+ Ideology," 2.</w:t>
      </w:r>
    </w:p>
    <w:p w14:paraId="5BB308F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"The Quiet and Dangerous Anti-LGBTQ+ Ideology," 2.</w:t>
      </w:r>
    </w:p>
    <w:p w14:paraId="7E6CE06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"The Quiet and Dangerous Anti-LGBTQ+ Ideology," 3-4.</w:t>
      </w:r>
    </w:p>
    <w:p w14:paraId="31EA7B8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"The Quiet and Dangerous Anti-LGBTQ+ Ideology," 6.</w:t>
      </w:r>
    </w:p>
    <w:p w14:paraId="0B90EFD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"The Quiet and Dangerous Anti-LGBTQ+ Ideology," 6.</w:t>
      </w:r>
    </w:p>
    <w:p w14:paraId="524DB4C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"The Quiet and Dangerous Anti-LGBTQ+ Ideology," 7.</w:t>
      </w:r>
    </w:p>
    <w:p w14:paraId="0A1C9CB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10</w:t>
      </w:r>
      <w:r w:rsidRPr="00EE33FC">
        <w:rPr>
          <w:rFonts w:ascii="Arial" w:eastAsia="Times New Roman" w:hAnsi="Arial" w:cs="Arial"/>
          <w:color w:val="1B1C1D"/>
          <w:kern w:val="0"/>
          <w:sz w:val="24"/>
          <w:szCs w:val="24"/>
          <w14:ligatures w14:val="none"/>
        </w:rPr>
        <w:t>.</w:t>
      </w:r>
    </w:p>
    <w:p w14:paraId="06B6013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 Noralla, "Inside Egypt's Feminist Washing," </w:t>
      </w:r>
      <w:r w:rsidRPr="00EE33FC">
        <w:rPr>
          <w:rFonts w:ascii="Arial" w:eastAsia="Times New Roman" w:hAnsi="Arial" w:cs="Arial"/>
          <w:i/>
          <w:iCs/>
          <w:color w:val="1B1C1D"/>
          <w:kern w:val="0"/>
          <w:sz w:val="24"/>
          <w:szCs w:val="24"/>
          <w:bdr w:val="none" w:sz="0" w:space="0" w:color="auto" w:frame="1"/>
          <w14:ligatures w14:val="none"/>
        </w:rPr>
        <w:t>The Tahrir Institute for Middle East Policy</w:t>
      </w:r>
      <w:r w:rsidRPr="00EE33FC">
        <w:rPr>
          <w:rFonts w:ascii="Arial" w:eastAsia="Times New Roman" w:hAnsi="Arial" w:cs="Arial"/>
          <w:color w:val="1B1C1D"/>
          <w:kern w:val="0"/>
          <w:sz w:val="24"/>
          <w:szCs w:val="24"/>
          <w14:ligatures w14:val="none"/>
        </w:rPr>
        <w:t>, September 26, 2022.</w:t>
      </w:r>
    </w:p>
    <w:p w14:paraId="0F5851F4"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Scott Long, "The Trials of Culture." (This source could not be fully verified for specific claims about state disruption of families).</w:t>
      </w:r>
    </w:p>
    <w:p w14:paraId="4A4CA40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Wikipedia, "LGBTQ rights in Egypt." (This source confirms lack of recognition for same-sex relationships).</w:t>
      </w:r>
    </w:p>
    <w:p w14:paraId="793C943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 Moves to Close a Loophole," 2.</w:t>
      </w:r>
    </w:p>
    <w:p w14:paraId="240E609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"Egypt's Economic Courts."</w:t>
      </w:r>
    </w:p>
    <w:p w14:paraId="569B4DDA"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Legal Research Institute, </w:t>
      </w:r>
      <w:r w:rsidRPr="00EE33FC">
        <w:rPr>
          <w:rFonts w:ascii="Arial" w:eastAsia="Times New Roman" w:hAnsi="Arial" w:cs="Arial"/>
          <w:i/>
          <w:iCs/>
          <w:color w:val="1B1C1D"/>
          <w:kern w:val="0"/>
          <w:sz w:val="24"/>
          <w:szCs w:val="24"/>
          <w:bdr w:val="none" w:sz="0" w:space="0" w:color="auto" w:frame="1"/>
          <w14:ligatures w14:val="none"/>
        </w:rPr>
        <w:t>Legal Unit Annual Activities Report for 2023</w:t>
      </w:r>
      <w:r w:rsidRPr="00EE33FC">
        <w:rPr>
          <w:rFonts w:ascii="Arial" w:eastAsia="Times New Roman" w:hAnsi="Arial" w:cs="Arial"/>
          <w:color w:val="1B1C1D"/>
          <w:kern w:val="0"/>
          <w:sz w:val="24"/>
          <w:szCs w:val="24"/>
          <w14:ligatures w14:val="none"/>
        </w:rPr>
        <w:t xml:space="preserve"> (Cairo: Cairo 52 Legal Research Institute, May 2024), 12.</w:t>
      </w:r>
    </w:p>
    <w:p w14:paraId="1F06805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ICESCR, art. 15.</w:t>
      </w:r>
    </w:p>
    <w:p w14:paraId="57770CE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Egypt Penal Code, art. 178;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6.</w:t>
      </w:r>
    </w:p>
    <w:p w14:paraId="0D37F98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Egypt Cybercrime Law, art. 25; Noralla, "Egypt's Economic Courts."</w:t>
      </w:r>
    </w:p>
    <w:p w14:paraId="376D701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7.</w:t>
      </w:r>
    </w:p>
    <w:p w14:paraId="7C70E77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Mahmoud Samy, "Security campaign... Will Egypt succeed in 'taming' TikTok?," </w:t>
      </w:r>
      <w:r w:rsidRPr="00EE33FC">
        <w:rPr>
          <w:rFonts w:ascii="Arial" w:eastAsia="Times New Roman" w:hAnsi="Arial" w:cs="Arial"/>
          <w:i/>
          <w:iCs/>
          <w:color w:val="1B1C1D"/>
          <w:kern w:val="0"/>
          <w:sz w:val="24"/>
          <w:szCs w:val="24"/>
          <w:bdr w:val="none" w:sz="0" w:space="0" w:color="auto" w:frame="1"/>
          <w14:ligatures w14:val="none"/>
        </w:rPr>
        <w:t>Al Jazeera</w:t>
      </w:r>
      <w:r w:rsidRPr="00EE33FC">
        <w:rPr>
          <w:rFonts w:ascii="Arial" w:eastAsia="Times New Roman" w:hAnsi="Arial" w:cs="Arial"/>
          <w:color w:val="1B1C1D"/>
          <w:kern w:val="0"/>
          <w:sz w:val="24"/>
          <w:szCs w:val="24"/>
          <w14:ligatures w14:val="none"/>
        </w:rPr>
        <w:t>, August 5, 2025.</w:t>
      </w:r>
    </w:p>
    <w:p w14:paraId="126D597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M. Oraby, "Law, the State, and Public Order" (Source not provided, claim about TikTok as youth culture platform based on user numbers).</w:t>
      </w:r>
    </w:p>
    <w:p w14:paraId="080CEBF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Samy, "Security campaign"; Abd Al-Karim Salim, "'TikTok' between blocking and regulation in Egypt," </w:t>
      </w:r>
      <w:r w:rsidRPr="00EE33FC">
        <w:rPr>
          <w:rFonts w:ascii="Arial" w:eastAsia="Times New Roman" w:hAnsi="Arial" w:cs="Arial"/>
          <w:i/>
          <w:iCs/>
          <w:color w:val="1B1C1D"/>
          <w:kern w:val="0"/>
          <w:sz w:val="24"/>
          <w:szCs w:val="24"/>
          <w:bdr w:val="none" w:sz="0" w:space="0" w:color="auto" w:frame="1"/>
          <w14:ligatures w14:val="none"/>
        </w:rPr>
        <w:t>Al Araby Al Jadeed</w:t>
      </w:r>
      <w:r w:rsidRPr="00EE33FC">
        <w:rPr>
          <w:rFonts w:ascii="Arial" w:eastAsia="Times New Roman" w:hAnsi="Arial" w:cs="Arial"/>
          <w:color w:val="1B1C1D"/>
          <w:kern w:val="0"/>
          <w:sz w:val="24"/>
          <w:szCs w:val="24"/>
          <w14:ligatures w14:val="none"/>
        </w:rPr>
        <w:t>, August 19, 2025; Khattab, "'Egyptian family values'."</w:t>
      </w:r>
    </w:p>
    <w:p w14:paraId="72C61BA1"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Khattab, "'Egyptian family values'."</w:t>
      </w:r>
    </w:p>
    <w:p w14:paraId="351EDDB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Tahrir Institute for Middle East Policy, "TIMEP Brief: LGBTQ Human Rights."</w:t>
      </w:r>
    </w:p>
    <w:p w14:paraId="7C2C4A1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 G. Gunkel, "The Politics of Sexuality..." (Source details incomplete, claim about state intolerance verified elsewhere).</w:t>
      </w:r>
    </w:p>
    <w:p w14:paraId="4A2305F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Gunkel, "The Politics of Sexuality..."</w:t>
      </w:r>
    </w:p>
    <w:p w14:paraId="3CA86B6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Gunkel, "The Politics of Sexuality..."</w:t>
      </w:r>
    </w:p>
    <w:p w14:paraId="242E5C9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Long, "Trials of Culture."</w:t>
      </w:r>
    </w:p>
    <w:p w14:paraId="21A2C97A"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Gunkel, "The Politics of Sexuality..."</w:t>
      </w:r>
    </w:p>
    <w:p w14:paraId="7D17FEC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Gunkel, "The Politics of Sexuality..."</w:t>
      </w:r>
    </w:p>
    <w:p w14:paraId="1C95C747"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Noralla, "Digital Persecution."</w:t>
      </w:r>
    </w:p>
    <w:p w14:paraId="390A9E1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20.</w:t>
      </w:r>
    </w:p>
    <w:p w14:paraId="675F09FA"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"Digital Persecution," 6.</w:t>
      </w:r>
    </w:p>
    <w:p w14:paraId="440EBC2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"Digital Persecution," 5.</w:t>
      </w:r>
    </w:p>
    <w:p w14:paraId="0455C39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w:t>
      </w:r>
    </w:p>
    <w:p w14:paraId="693D6F5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14–15.</w:t>
      </w:r>
    </w:p>
    <w:p w14:paraId="74E6381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2.</w:t>
      </w:r>
    </w:p>
    <w:p w14:paraId="3F03E85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3, 15.</w:t>
      </w:r>
    </w:p>
    <w:p w14:paraId="13F4F47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et al., "Joint Stakeholder Submission...Egypt Vice Laws," 4, 7.</w:t>
      </w:r>
    </w:p>
    <w:p w14:paraId="3752A50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 Moves to Close a Loophole," 1.</w:t>
      </w:r>
    </w:p>
    <w:p w14:paraId="789137A2"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"Transgender Legal Recognition in North Africa," 41–43; Noralla, 'Gender Trouble,' 27-28.</w:t>
      </w:r>
    </w:p>
    <w:p w14:paraId="76102FFE"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"Egypt Moves to Close a Loophole," 3.</w:t>
      </w:r>
    </w:p>
    <w:p w14:paraId="660E241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xml:space="preserve">, 22; 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xml:space="preserve">, 30; </w:t>
      </w: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CCPR/C/EGY/CO/5 (14 April 2023), 3 (para. 10a).</w:t>
      </w:r>
    </w:p>
    <w:p w14:paraId="478AD008"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'Access Denied,' 8.</w:t>
      </w:r>
    </w:p>
    <w:p w14:paraId="335BA8A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30.</w:t>
      </w:r>
    </w:p>
    <w:p w14:paraId="5E62287F"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"Transgender Legal Recognition in North Africa," 41.</w:t>
      </w:r>
    </w:p>
    <w:p w14:paraId="76B8667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30.</w:t>
      </w:r>
    </w:p>
    <w:p w14:paraId="1B3F5393"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6775E360"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وجوه مختلفة، عنف واحد,” 10</w:t>
      </w:r>
      <w:r w:rsidRPr="00EE33FC">
        <w:rPr>
          <w:rFonts w:ascii="Arial" w:eastAsia="Times New Roman" w:hAnsi="Arial" w:cs="Arial"/>
          <w:color w:val="1B1C1D"/>
          <w:kern w:val="0"/>
          <w:sz w:val="24"/>
          <w:szCs w:val="24"/>
          <w14:ligatures w14:val="none"/>
        </w:rPr>
        <w:t>.</w:t>
      </w:r>
    </w:p>
    <w:p w14:paraId="30A0C3D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CAT/C/EGY/CO/5 (12 December 2023), 9; Atyaf, “</w:t>
      </w:r>
      <w:r w:rsidRPr="00EE33FC">
        <w:rPr>
          <w:rFonts w:ascii="Arial" w:eastAsia="Times New Roman" w:hAnsi="Arial" w:cs="Arial"/>
          <w:color w:val="1B1C1D"/>
          <w:kern w:val="0"/>
          <w:sz w:val="24"/>
          <w:szCs w:val="24"/>
          <w:rtl/>
          <w14:ligatures w14:val="none"/>
        </w:rPr>
        <w:t>شهادات من جحيم عيادات علاج المثلية في مصر,” 9</w:t>
      </w:r>
      <w:r w:rsidRPr="00EE33FC">
        <w:rPr>
          <w:rFonts w:ascii="Arial" w:eastAsia="Times New Roman" w:hAnsi="Arial" w:cs="Arial"/>
          <w:color w:val="1B1C1D"/>
          <w:kern w:val="0"/>
          <w:sz w:val="24"/>
          <w:szCs w:val="24"/>
          <w14:ligatures w14:val="none"/>
        </w:rPr>
        <w:t>.</w:t>
      </w:r>
    </w:p>
    <w:p w14:paraId="22854959"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and TIMEP, "Joint Stakeholder Submission...Transgender and Intersex Right to Health," 8.</w:t>
      </w:r>
    </w:p>
    <w:p w14:paraId="6E5BB10C"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Cairo 52 and TIMEP, "Joint Stakeholder Submission...Transgender and Intersex Right to Health," 8.</w:t>
      </w:r>
    </w:p>
    <w:p w14:paraId="4EA411C5"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Noralla, "Policies of Erasure," 7.</w:t>
      </w:r>
    </w:p>
    <w:p w14:paraId="074A8883"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Understanding the Needs</w:t>
      </w:r>
      <w:r w:rsidRPr="00EE33FC">
        <w:rPr>
          <w:rFonts w:ascii="Arial" w:eastAsia="Times New Roman" w:hAnsi="Arial" w:cs="Arial"/>
          <w:color w:val="1B1C1D"/>
          <w:kern w:val="0"/>
          <w:sz w:val="24"/>
          <w:szCs w:val="24"/>
          <w14:ligatures w14:val="none"/>
        </w:rPr>
        <w:t>, 31.</w:t>
      </w:r>
    </w:p>
    <w:p w14:paraId="5163CA2D"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15.</w:t>
      </w:r>
    </w:p>
    <w:p w14:paraId="7C50103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12.</w:t>
      </w:r>
    </w:p>
    <w:p w14:paraId="268AEF17"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w:t>
      </w:r>
    </w:p>
    <w:p w14:paraId="3B03086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11.</w:t>
      </w:r>
    </w:p>
    <w:p w14:paraId="7E66BA26"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12.</w:t>
      </w:r>
    </w:p>
    <w:p w14:paraId="4600365F"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"Egypt's Supreme Administrative Court"; 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9.</w:t>
      </w:r>
    </w:p>
    <w:p w14:paraId="1132AA04"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21.</w:t>
      </w:r>
    </w:p>
    <w:p w14:paraId="5FB10436"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ReportOUT, Submission to IE SOGI Call for Input on Education, 5.</w:t>
      </w:r>
    </w:p>
    <w:p w14:paraId="24FB84A1"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8.</w:t>
      </w:r>
    </w:p>
    <w:p w14:paraId="601BD560"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lastRenderedPageBreak/>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xml:space="preserve">, 22; UN Committee on the Rights of the Child, </w:t>
      </w:r>
      <w:r w:rsidRPr="00EE33FC">
        <w:rPr>
          <w:rFonts w:ascii="Arial" w:eastAsia="Times New Roman" w:hAnsi="Arial" w:cs="Arial"/>
          <w:i/>
          <w:iCs/>
          <w:color w:val="1B1C1D"/>
          <w:kern w:val="0"/>
          <w:sz w:val="24"/>
          <w:szCs w:val="24"/>
          <w:bdr w:val="none" w:sz="0" w:space="0" w:color="auto" w:frame="1"/>
          <w14:ligatures w14:val="none"/>
        </w:rPr>
        <w:t>Concluding observations...Egypt</w:t>
      </w:r>
      <w:r w:rsidRPr="00EE33FC">
        <w:rPr>
          <w:rFonts w:ascii="Arial" w:eastAsia="Times New Roman" w:hAnsi="Arial" w:cs="Arial"/>
          <w:color w:val="1B1C1D"/>
          <w:kern w:val="0"/>
          <w:sz w:val="24"/>
          <w:szCs w:val="24"/>
          <w14:ligatures w14:val="none"/>
        </w:rPr>
        <w:t>, CRC/C/EGY/CO/5-6 (24 May 2024), para. 28.</w:t>
      </w:r>
    </w:p>
    <w:p w14:paraId="26D5A941"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Systematically marginalized</w:t>
      </w:r>
      <w:r w:rsidRPr="00EE33FC">
        <w:rPr>
          <w:rFonts w:ascii="Arial" w:eastAsia="Times New Roman" w:hAnsi="Arial" w:cs="Arial"/>
          <w:color w:val="1B1C1D"/>
          <w:kern w:val="0"/>
          <w:sz w:val="24"/>
          <w:szCs w:val="24"/>
          <w14:ligatures w14:val="none"/>
        </w:rPr>
        <w:t>, 22.</w:t>
      </w:r>
    </w:p>
    <w:p w14:paraId="6DCAF33C"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i/>
          <w:iCs/>
          <w:color w:val="1B1C1D"/>
          <w:kern w:val="0"/>
          <w:sz w:val="24"/>
          <w:szCs w:val="24"/>
          <w:bdr w:val="none" w:sz="0" w:space="0" w:color="auto" w:frame="1"/>
          <w14:ligatures w14:val="none"/>
        </w:rPr>
        <w:t>Report of the Special Rapporteur on adequate housing...on her mission to Egypt</w:t>
      </w:r>
      <w:r w:rsidRPr="00EE33FC">
        <w:rPr>
          <w:rFonts w:ascii="Arial" w:eastAsia="Times New Roman" w:hAnsi="Arial" w:cs="Arial"/>
          <w:color w:val="1B1C1D"/>
          <w:kern w:val="0"/>
          <w:sz w:val="24"/>
          <w:szCs w:val="24"/>
          <w14:ligatures w14:val="none"/>
        </w:rPr>
        <w:t>, A/HRC/40/61/Add.1 (12 February 2019), 18.</w:t>
      </w:r>
    </w:p>
    <w:p w14:paraId="1DE22FB9"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Human Rights Watch, “Egypt: Security Forces Abuse, Torture LGBT People,” October 1, 2020; Cairo 52 et al., "Joint Stakeholder Submission...Egypt Vice Laws," 9-10; </w:t>
      </w: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CAT/C/EGY/CO/5 (12 December 2023), 12 (para. 42).</w:t>
      </w:r>
    </w:p>
    <w:p w14:paraId="094D877B" w14:textId="77777777" w:rsidR="00EE33FC" w:rsidRPr="00EE33FC" w:rsidRDefault="00EE33FC" w:rsidP="00EE33FC">
      <w:pPr>
        <w:numPr>
          <w:ilvl w:val="0"/>
          <w:numId w:val="20"/>
        </w:numPr>
        <w:spacing w:after="12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Atyaf, “</w:t>
      </w:r>
      <w:r w:rsidRPr="00EE33FC">
        <w:rPr>
          <w:rFonts w:ascii="Arial" w:eastAsia="Times New Roman" w:hAnsi="Arial" w:cs="Arial"/>
          <w:color w:val="1B1C1D"/>
          <w:kern w:val="0"/>
          <w:sz w:val="24"/>
          <w:szCs w:val="24"/>
          <w:rtl/>
          <w14:ligatures w14:val="none"/>
        </w:rPr>
        <w:t>شهادات من جحيم عيادات علاج المثلية في مصر,” 10</w:t>
      </w:r>
      <w:r w:rsidRPr="00EE33FC">
        <w:rPr>
          <w:rFonts w:ascii="Arial" w:eastAsia="Times New Roman" w:hAnsi="Arial" w:cs="Arial"/>
          <w:color w:val="1B1C1D"/>
          <w:kern w:val="0"/>
          <w:sz w:val="24"/>
          <w:szCs w:val="24"/>
          <w14:ligatures w14:val="none"/>
        </w:rPr>
        <w:t>.</w:t>
      </w:r>
    </w:p>
    <w:p w14:paraId="7E5320CB"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Cairo 52, </w:t>
      </w:r>
      <w:r w:rsidRPr="00EE33FC">
        <w:rPr>
          <w:rFonts w:ascii="Arial" w:eastAsia="Times New Roman" w:hAnsi="Arial" w:cs="Arial"/>
          <w:i/>
          <w:iCs/>
          <w:color w:val="1B1C1D"/>
          <w:kern w:val="0"/>
          <w:sz w:val="24"/>
          <w:szCs w:val="24"/>
          <w:bdr w:val="none" w:sz="0" w:space="0" w:color="auto" w:frame="1"/>
          <w14:ligatures w14:val="none"/>
        </w:rPr>
        <w:t>Legal Unit Annual Activities Report for 2023</w:t>
      </w:r>
      <w:r w:rsidRPr="00EE33FC">
        <w:rPr>
          <w:rFonts w:ascii="Arial" w:eastAsia="Times New Roman" w:hAnsi="Arial" w:cs="Arial"/>
          <w:color w:val="1B1C1D"/>
          <w:kern w:val="0"/>
          <w:sz w:val="24"/>
          <w:szCs w:val="24"/>
          <w14:ligatures w14:val="none"/>
        </w:rPr>
        <w:t>, 11.</w:t>
      </w:r>
    </w:p>
    <w:p w14:paraId="561E04E7"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xml:space="preserve">, 14; </w:t>
      </w:r>
      <w:r w:rsidRPr="00EE33FC">
        <w:rPr>
          <w:rFonts w:ascii="Arial" w:eastAsia="Times New Roman" w:hAnsi="Arial" w:cs="Arial"/>
          <w:i/>
          <w:iCs/>
          <w:color w:val="1B1C1D"/>
          <w:kern w:val="0"/>
          <w:sz w:val="24"/>
          <w:szCs w:val="24"/>
          <w:bdr w:val="none" w:sz="0" w:space="0" w:color="auto" w:frame="1"/>
          <w14:ligatures w14:val="none"/>
        </w:rPr>
        <w:t>Concluding observations on the fifth periodic report of Egypt</w:t>
      </w:r>
      <w:r w:rsidRPr="00EE33FC">
        <w:rPr>
          <w:rFonts w:ascii="Arial" w:eastAsia="Times New Roman" w:hAnsi="Arial" w:cs="Arial"/>
          <w:color w:val="1B1C1D"/>
          <w:kern w:val="0"/>
          <w:sz w:val="24"/>
          <w:szCs w:val="24"/>
          <w14:ligatures w14:val="none"/>
        </w:rPr>
        <w:t>, CCPR/C/EGY/CO/5 (14 April 2023), 13 (para. 49).</w:t>
      </w:r>
    </w:p>
    <w:p w14:paraId="58AF072E"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15.</w:t>
      </w:r>
    </w:p>
    <w:p w14:paraId="4DB353D1" w14:textId="77777777" w:rsidR="00EE33FC" w:rsidRPr="00EE33FC" w:rsidRDefault="00EE33FC" w:rsidP="00EE33FC">
      <w:pPr>
        <w:numPr>
          <w:ilvl w:val="0"/>
          <w:numId w:val="20"/>
        </w:numPr>
        <w:spacing w:after="0" w:line="240" w:lineRule="auto"/>
        <w:rPr>
          <w:rFonts w:ascii="Arial" w:eastAsia="Times New Roman" w:hAnsi="Arial" w:cs="Arial"/>
          <w:color w:val="1B1C1D"/>
          <w:kern w:val="0"/>
          <w:sz w:val="24"/>
          <w:szCs w:val="24"/>
          <w14:ligatures w14:val="none"/>
        </w:rPr>
      </w:pPr>
      <w:r w:rsidRPr="00EE33FC">
        <w:rPr>
          <w:rFonts w:ascii="Arial" w:eastAsia="Times New Roman" w:hAnsi="Arial" w:cs="Arial"/>
          <w:color w:val="1B1C1D"/>
          <w:kern w:val="0"/>
          <w:sz w:val="24"/>
          <w:szCs w:val="24"/>
          <w14:ligatures w14:val="none"/>
        </w:rPr>
        <w:t xml:space="preserve">Noralla, </w:t>
      </w:r>
      <w:r w:rsidRPr="00EE33FC">
        <w:rPr>
          <w:rFonts w:ascii="Arial" w:eastAsia="Times New Roman" w:hAnsi="Arial" w:cs="Arial"/>
          <w:i/>
          <w:iCs/>
          <w:color w:val="1B1C1D"/>
          <w:kern w:val="0"/>
          <w:sz w:val="24"/>
          <w:szCs w:val="24"/>
          <w:bdr w:val="none" w:sz="0" w:space="0" w:color="auto" w:frame="1"/>
          <w14:ligatures w14:val="none"/>
        </w:rPr>
        <w:t>Criminalized and Marginalized</w:t>
      </w:r>
      <w:r w:rsidRPr="00EE33FC">
        <w:rPr>
          <w:rFonts w:ascii="Arial" w:eastAsia="Times New Roman" w:hAnsi="Arial" w:cs="Arial"/>
          <w:color w:val="1B1C1D"/>
          <w:kern w:val="0"/>
          <w:sz w:val="24"/>
          <w:szCs w:val="24"/>
          <w14:ligatures w14:val="none"/>
        </w:rPr>
        <w:t>, 15–16.</w:t>
      </w:r>
    </w:p>
    <w:p w14:paraId="1B755D39" w14:textId="77777777" w:rsidR="00416006" w:rsidRPr="00EE33FC" w:rsidRDefault="00416006" w:rsidP="00EE33FC"/>
    <w:sectPr w:rsidR="00416006" w:rsidRPr="00EE3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141B"/>
    <w:multiLevelType w:val="multilevel"/>
    <w:tmpl w:val="01103870"/>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569AD"/>
    <w:multiLevelType w:val="multilevel"/>
    <w:tmpl w:val="B546E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D6FD9"/>
    <w:multiLevelType w:val="multilevel"/>
    <w:tmpl w:val="5190641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5F5342"/>
    <w:multiLevelType w:val="multilevel"/>
    <w:tmpl w:val="B0705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B51B3A"/>
    <w:multiLevelType w:val="multilevel"/>
    <w:tmpl w:val="4E3269F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5817FF"/>
    <w:multiLevelType w:val="multilevel"/>
    <w:tmpl w:val="A34E7A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75B85"/>
    <w:multiLevelType w:val="multilevel"/>
    <w:tmpl w:val="8DB49CC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BD0EF4"/>
    <w:multiLevelType w:val="multilevel"/>
    <w:tmpl w:val="9C1E9D2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167A8B"/>
    <w:multiLevelType w:val="multilevel"/>
    <w:tmpl w:val="FFF857D8"/>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B91455"/>
    <w:multiLevelType w:val="multilevel"/>
    <w:tmpl w:val="594E9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E51925"/>
    <w:multiLevelType w:val="multilevel"/>
    <w:tmpl w:val="99DAC97A"/>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51029C"/>
    <w:multiLevelType w:val="multilevel"/>
    <w:tmpl w:val="AD844444"/>
    <w:lvl w:ilvl="0">
      <w:start w:val="2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2D1548"/>
    <w:multiLevelType w:val="multilevel"/>
    <w:tmpl w:val="4DBEFA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83186D"/>
    <w:multiLevelType w:val="multilevel"/>
    <w:tmpl w:val="9B78D3B6"/>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A10C1B"/>
    <w:multiLevelType w:val="multilevel"/>
    <w:tmpl w:val="21A88D7C"/>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6B31EA"/>
    <w:multiLevelType w:val="multilevel"/>
    <w:tmpl w:val="4872BC3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B7323C"/>
    <w:multiLevelType w:val="multilevel"/>
    <w:tmpl w:val="DD0EF8F4"/>
    <w:lvl w:ilvl="0">
      <w:start w:val="2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343165A"/>
    <w:multiLevelType w:val="multilevel"/>
    <w:tmpl w:val="52C2494E"/>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9F707B"/>
    <w:multiLevelType w:val="multilevel"/>
    <w:tmpl w:val="F41C74DC"/>
    <w:lvl w:ilvl="0">
      <w:start w:val="2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0E2FCB"/>
    <w:multiLevelType w:val="multilevel"/>
    <w:tmpl w:val="6CE89ADC"/>
    <w:lvl w:ilvl="0">
      <w:start w:val="2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1584511">
    <w:abstractNumId w:val="3"/>
  </w:num>
  <w:num w:numId="2" w16cid:durableId="927614749">
    <w:abstractNumId w:val="2"/>
  </w:num>
  <w:num w:numId="3" w16cid:durableId="793521100">
    <w:abstractNumId w:val="15"/>
  </w:num>
  <w:num w:numId="4" w16cid:durableId="1563563662">
    <w:abstractNumId w:val="17"/>
  </w:num>
  <w:num w:numId="5" w16cid:durableId="1023704247">
    <w:abstractNumId w:val="18"/>
  </w:num>
  <w:num w:numId="6" w16cid:durableId="1745645881">
    <w:abstractNumId w:val="10"/>
  </w:num>
  <w:num w:numId="7" w16cid:durableId="880557358">
    <w:abstractNumId w:val="19"/>
  </w:num>
  <w:num w:numId="8" w16cid:durableId="973683531">
    <w:abstractNumId w:val="11"/>
  </w:num>
  <w:num w:numId="9" w16cid:durableId="915633279">
    <w:abstractNumId w:val="16"/>
  </w:num>
  <w:num w:numId="10" w16cid:durableId="1803185954">
    <w:abstractNumId w:val="5"/>
  </w:num>
  <w:num w:numId="11" w16cid:durableId="1114985452">
    <w:abstractNumId w:val="9"/>
  </w:num>
  <w:num w:numId="12" w16cid:durableId="659240096">
    <w:abstractNumId w:val="12"/>
  </w:num>
  <w:num w:numId="13" w16cid:durableId="2095734921">
    <w:abstractNumId w:val="4"/>
  </w:num>
  <w:num w:numId="14" w16cid:durableId="627277703">
    <w:abstractNumId w:val="7"/>
  </w:num>
  <w:num w:numId="15" w16cid:durableId="205259793">
    <w:abstractNumId w:val="6"/>
  </w:num>
  <w:num w:numId="16" w16cid:durableId="1058672883">
    <w:abstractNumId w:val="8"/>
  </w:num>
  <w:num w:numId="17" w16cid:durableId="635451701">
    <w:abstractNumId w:val="14"/>
  </w:num>
  <w:num w:numId="18" w16cid:durableId="871920410">
    <w:abstractNumId w:val="13"/>
  </w:num>
  <w:num w:numId="19" w16cid:durableId="1231114231">
    <w:abstractNumId w:val="0"/>
  </w:num>
  <w:num w:numId="20" w16cid:durableId="11324769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MwMbI0MzUwNjYztTRT0lEKTi0uzszPAykwrgUA2UiDdCwAAAA="/>
  </w:docVars>
  <w:rsids>
    <w:rsidRoot w:val="00863590"/>
    <w:rsid w:val="00005435"/>
    <w:rsid w:val="000E2489"/>
    <w:rsid w:val="00246232"/>
    <w:rsid w:val="002775C0"/>
    <w:rsid w:val="002F5A20"/>
    <w:rsid w:val="00394746"/>
    <w:rsid w:val="003D1644"/>
    <w:rsid w:val="00416006"/>
    <w:rsid w:val="0066282B"/>
    <w:rsid w:val="006664BA"/>
    <w:rsid w:val="006A523B"/>
    <w:rsid w:val="006C6A6E"/>
    <w:rsid w:val="006E5E0A"/>
    <w:rsid w:val="00860D5A"/>
    <w:rsid w:val="00863590"/>
    <w:rsid w:val="008B19C5"/>
    <w:rsid w:val="008D353C"/>
    <w:rsid w:val="009747F9"/>
    <w:rsid w:val="009E048C"/>
    <w:rsid w:val="00A103A9"/>
    <w:rsid w:val="00A15689"/>
    <w:rsid w:val="00AC0F34"/>
    <w:rsid w:val="00AD0180"/>
    <w:rsid w:val="00B00F93"/>
    <w:rsid w:val="00B22962"/>
    <w:rsid w:val="00BB2EB3"/>
    <w:rsid w:val="00BD7F2E"/>
    <w:rsid w:val="00BF59D9"/>
    <w:rsid w:val="00C7446D"/>
    <w:rsid w:val="00CC7F0F"/>
    <w:rsid w:val="00D54402"/>
    <w:rsid w:val="00EE33FC"/>
    <w:rsid w:val="00F6103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095BC"/>
  <w15:chartTrackingRefBased/>
  <w15:docId w15:val="{25EDBFEF-06D4-423A-8FFA-4C8DF425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64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8635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35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5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5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5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5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5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5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644"/>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8635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35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5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5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5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5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5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590"/>
    <w:rPr>
      <w:rFonts w:eastAsiaTheme="majorEastAsia" w:cstheme="majorBidi"/>
      <w:color w:val="272727" w:themeColor="text1" w:themeTint="D8"/>
    </w:rPr>
  </w:style>
  <w:style w:type="paragraph" w:styleId="Title">
    <w:name w:val="Title"/>
    <w:basedOn w:val="Normal"/>
    <w:next w:val="Normal"/>
    <w:link w:val="TitleChar"/>
    <w:uiPriority w:val="10"/>
    <w:qFormat/>
    <w:rsid w:val="008635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5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5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5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590"/>
    <w:pPr>
      <w:spacing w:before="160"/>
      <w:jc w:val="center"/>
    </w:pPr>
    <w:rPr>
      <w:i/>
      <w:iCs/>
      <w:color w:val="404040" w:themeColor="text1" w:themeTint="BF"/>
    </w:rPr>
  </w:style>
  <w:style w:type="character" w:customStyle="1" w:styleId="QuoteChar">
    <w:name w:val="Quote Char"/>
    <w:basedOn w:val="DefaultParagraphFont"/>
    <w:link w:val="Quote"/>
    <w:uiPriority w:val="29"/>
    <w:rsid w:val="00863590"/>
    <w:rPr>
      <w:i/>
      <w:iCs/>
      <w:color w:val="404040" w:themeColor="text1" w:themeTint="BF"/>
    </w:rPr>
  </w:style>
  <w:style w:type="paragraph" w:styleId="ListParagraph">
    <w:name w:val="List Paragraph"/>
    <w:basedOn w:val="Normal"/>
    <w:uiPriority w:val="34"/>
    <w:qFormat/>
    <w:rsid w:val="00863590"/>
    <w:pPr>
      <w:ind w:left="720"/>
      <w:contextualSpacing/>
    </w:pPr>
  </w:style>
  <w:style w:type="character" w:styleId="IntenseEmphasis">
    <w:name w:val="Intense Emphasis"/>
    <w:basedOn w:val="DefaultParagraphFont"/>
    <w:uiPriority w:val="21"/>
    <w:qFormat/>
    <w:rsid w:val="00863590"/>
    <w:rPr>
      <w:i/>
      <w:iCs/>
      <w:color w:val="0F4761" w:themeColor="accent1" w:themeShade="BF"/>
    </w:rPr>
  </w:style>
  <w:style w:type="paragraph" w:styleId="IntenseQuote">
    <w:name w:val="Intense Quote"/>
    <w:basedOn w:val="Normal"/>
    <w:next w:val="Normal"/>
    <w:link w:val="IntenseQuoteChar"/>
    <w:uiPriority w:val="30"/>
    <w:qFormat/>
    <w:rsid w:val="008635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590"/>
    <w:rPr>
      <w:i/>
      <w:iCs/>
      <w:color w:val="0F4761" w:themeColor="accent1" w:themeShade="BF"/>
    </w:rPr>
  </w:style>
  <w:style w:type="character" w:styleId="IntenseReference">
    <w:name w:val="Intense Reference"/>
    <w:basedOn w:val="DefaultParagraphFont"/>
    <w:uiPriority w:val="32"/>
    <w:qFormat/>
    <w:rsid w:val="00863590"/>
    <w:rPr>
      <w:b/>
      <w:bCs/>
      <w:smallCaps/>
      <w:color w:val="0F4761" w:themeColor="accent1" w:themeShade="BF"/>
      <w:spacing w:val="5"/>
    </w:rPr>
  </w:style>
  <w:style w:type="paragraph" w:styleId="NormalWeb">
    <w:name w:val="Normal (Web)"/>
    <w:basedOn w:val="Normal"/>
    <w:uiPriority w:val="99"/>
    <w:semiHidden/>
    <w:unhideWhenUsed/>
    <w:rsid w:val="000E248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E2489"/>
    <w:rPr>
      <w:b/>
      <w:bCs/>
    </w:rPr>
  </w:style>
  <w:style w:type="character" w:styleId="Hyperlink">
    <w:name w:val="Hyperlink"/>
    <w:basedOn w:val="DefaultParagraphFont"/>
    <w:uiPriority w:val="99"/>
    <w:semiHidden/>
    <w:unhideWhenUsed/>
    <w:rsid w:val="000E24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20</Pages>
  <Words>7925</Words>
  <Characters>48351</Characters>
  <Application>Microsoft Office Word</Application>
  <DocSecurity>0</DocSecurity>
  <Lines>882</Lines>
  <Paragraphs>336</Paragraphs>
  <ScaleCrop>false</ScaleCrop>
  <Company/>
  <LinksUpToDate>false</LinksUpToDate>
  <CharactersWithSpaces>55929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Noralla</dc:creator>
  <cp:keywords/>
  <dc:description/>
  <cp:lastModifiedBy>Nora Noralla</cp:lastModifiedBy>
  <cp:revision>26</cp:revision>
  <dcterms:created xsi:type="dcterms:W3CDTF">2025-10-24T16:01:00Z</dcterms:created>
  <dcterms:modified xsi:type="dcterms:W3CDTF">2025-11-16T14:23:00Z</dcterms:modified>
</cp:coreProperties>
</file>