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12BE" w14:paraId="6EBC89A5" w14:textId="77777777">
        <w:trPr>
          <w:cantSplit/>
          <w:trHeight w:hRule="exact" w:val="851"/>
        </w:trPr>
        <w:tc>
          <w:tcPr>
            <w:tcW w:w="1276" w:type="dxa"/>
            <w:tcBorders>
              <w:bottom w:val="single" w:sz="4" w:space="0" w:color="auto"/>
            </w:tcBorders>
            <w:vAlign w:val="bottom"/>
          </w:tcPr>
          <w:p w14:paraId="3B7137BB" w14:textId="77777777" w:rsidR="007125A6" w:rsidRDefault="007125A6">
            <w:pPr>
              <w:spacing w:after="80"/>
            </w:pPr>
          </w:p>
        </w:tc>
        <w:tc>
          <w:tcPr>
            <w:tcW w:w="2268" w:type="dxa"/>
            <w:tcBorders>
              <w:bottom w:val="single" w:sz="4" w:space="0" w:color="auto"/>
            </w:tcBorders>
            <w:vAlign w:val="bottom"/>
          </w:tcPr>
          <w:p w14:paraId="0173D9E1" w14:textId="05EE8072" w:rsidR="007125A6" w:rsidRDefault="007125A6">
            <w:pPr>
              <w:spacing w:after="80" w:line="300" w:lineRule="exact"/>
              <w:rPr>
                <w:b/>
                <w:sz w:val="24"/>
                <w:szCs w:val="24"/>
              </w:rPr>
            </w:pPr>
          </w:p>
        </w:tc>
        <w:tc>
          <w:tcPr>
            <w:tcW w:w="6095" w:type="dxa"/>
            <w:gridSpan w:val="2"/>
            <w:tcBorders>
              <w:bottom w:val="single" w:sz="4" w:space="0" w:color="auto"/>
            </w:tcBorders>
            <w:vAlign w:val="bottom"/>
          </w:tcPr>
          <w:p w14:paraId="547A3127" w14:textId="77777777" w:rsidR="007125A6" w:rsidRDefault="00A57DB8">
            <w:pPr>
              <w:suppressAutoHyphens w:val="0"/>
              <w:spacing w:after="20"/>
              <w:jc w:val="right"/>
            </w:pPr>
            <w:r>
              <w:rPr>
                <w:sz w:val="40"/>
              </w:rPr>
              <w:t>CRPD</w:t>
            </w:r>
            <w:r>
              <w:t>/C/IRL/RQ/1</w:t>
            </w:r>
          </w:p>
        </w:tc>
      </w:tr>
      <w:tr w:rsidR="002512BE" w14:paraId="5E6CE55D" w14:textId="77777777">
        <w:trPr>
          <w:cantSplit/>
          <w:trHeight w:hRule="exact" w:val="2835"/>
        </w:trPr>
        <w:tc>
          <w:tcPr>
            <w:tcW w:w="1276" w:type="dxa"/>
            <w:tcBorders>
              <w:top w:val="single" w:sz="4" w:space="0" w:color="auto"/>
              <w:bottom w:val="single" w:sz="12" w:space="0" w:color="auto"/>
            </w:tcBorders>
          </w:tcPr>
          <w:p w14:paraId="51F97A7F" w14:textId="16BDAEFB" w:rsidR="007125A6" w:rsidRDefault="007125A6">
            <w:pPr>
              <w:spacing w:before="120"/>
              <w:jc w:val="center"/>
            </w:pPr>
          </w:p>
        </w:tc>
        <w:tc>
          <w:tcPr>
            <w:tcW w:w="5528" w:type="dxa"/>
            <w:gridSpan w:val="2"/>
            <w:tcBorders>
              <w:top w:val="single" w:sz="4" w:space="0" w:color="auto"/>
              <w:bottom w:val="single" w:sz="12" w:space="0" w:color="auto"/>
            </w:tcBorders>
          </w:tcPr>
          <w:p w14:paraId="6ADD4834" w14:textId="4740A9C4" w:rsidR="007125A6" w:rsidRDefault="00677F71">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4627EC93" w14:textId="77777777" w:rsidR="007125A6" w:rsidRPr="00686963" w:rsidRDefault="00A57DB8">
            <w:pPr>
              <w:suppressAutoHyphens w:val="0"/>
              <w:spacing w:before="240" w:line="240" w:lineRule="exact"/>
              <w:rPr>
                <w:lang w:val="en-US"/>
              </w:rPr>
            </w:pPr>
            <w:r w:rsidRPr="00686963">
              <w:rPr>
                <w:lang w:val="en-US"/>
              </w:rPr>
              <w:t>Distr.: General</w:t>
            </w:r>
          </w:p>
          <w:p w14:paraId="04AB9CA5" w14:textId="77777777" w:rsidR="007125A6" w:rsidRPr="00686963" w:rsidRDefault="00A57DB8">
            <w:pPr>
              <w:suppressAutoHyphens w:val="0"/>
              <w:rPr>
                <w:lang w:val="en-US"/>
              </w:rPr>
            </w:pPr>
            <w:r w:rsidRPr="00686963">
              <w:rPr>
                <w:lang w:val="en-US"/>
              </w:rPr>
              <w:t>30 July 2026</w:t>
            </w:r>
          </w:p>
          <w:p w14:paraId="46A5263B" w14:textId="77777777" w:rsidR="007125A6" w:rsidRPr="00686963" w:rsidRDefault="007125A6">
            <w:pPr>
              <w:suppressAutoHyphens w:val="0"/>
              <w:rPr>
                <w:lang w:val="en-US"/>
              </w:rPr>
            </w:pPr>
          </w:p>
          <w:p w14:paraId="68173C30" w14:textId="2496E413" w:rsidR="007125A6" w:rsidRPr="00686963" w:rsidRDefault="00A57DB8" w:rsidP="00677F71">
            <w:pPr>
              <w:suppressAutoHyphens w:val="0"/>
              <w:rPr>
                <w:lang w:val="en-US"/>
              </w:rPr>
            </w:pPr>
            <w:r w:rsidRPr="00686963">
              <w:rPr>
                <w:lang w:val="en-US"/>
              </w:rPr>
              <w:t>Original: English</w:t>
            </w:r>
          </w:p>
        </w:tc>
      </w:tr>
    </w:tbl>
    <w:p w14:paraId="12A7F828" w14:textId="77777777" w:rsidR="007125A6" w:rsidRDefault="00A57DB8">
      <w:pPr>
        <w:spacing w:before="120"/>
        <w:rPr>
          <w:b/>
          <w:sz w:val="24"/>
        </w:rPr>
      </w:pPr>
      <w:r>
        <w:rPr>
          <w:b/>
          <w:sz w:val="24"/>
        </w:rPr>
        <w:t>Committee on the Rights of Persons with Disabilities</w:t>
      </w:r>
    </w:p>
    <w:p w14:paraId="227DDB38" w14:textId="2B522F94" w:rsidR="007125A6" w:rsidRDefault="00A57DB8" w:rsidP="002A5398">
      <w:pPr>
        <w:pStyle w:val="HMG"/>
      </w:pPr>
      <w:r>
        <w:tab/>
      </w:r>
      <w:r>
        <w:tab/>
      </w:r>
      <w:r w:rsidR="002A5398">
        <w:t xml:space="preserve">Replies of Ireland to the list of issues </w:t>
      </w:r>
      <w:r w:rsidR="002A5398" w:rsidRPr="00617F96">
        <w:t>in relation to its</w:t>
      </w:r>
      <w:r>
        <w:t xml:space="preserve"> </w:t>
      </w:r>
      <w:r w:rsidR="002A5398">
        <w:t>initial report</w:t>
      </w:r>
      <w:r>
        <w:rPr>
          <w:rStyle w:val="FootnoteReference"/>
          <w:b w:val="0"/>
          <w:sz w:val="20"/>
          <w:vertAlign w:val="baseline"/>
        </w:rPr>
        <w:footnoteReference w:customMarkFollows="1" w:id="2"/>
        <w:t>*</w:t>
      </w:r>
      <w:r w:rsidR="000B1D43">
        <w:rPr>
          <w:b w:val="0"/>
          <w:sz w:val="20"/>
        </w:rPr>
        <w:t xml:space="preserve"> </w:t>
      </w:r>
      <w:r w:rsidR="000B1D43" w:rsidRPr="000B1D43">
        <w:rPr>
          <w:rFonts w:eastAsia="Calibri"/>
          <w:b w:val="0"/>
          <w:bCs/>
          <w:color w:val="000000"/>
          <w:sz w:val="20"/>
        </w:rPr>
        <w:footnoteReference w:customMarkFollows="1" w:id="3"/>
        <w:t>**</w:t>
      </w:r>
    </w:p>
    <w:p w14:paraId="514FBCC6" w14:textId="604B17D9" w:rsidR="007125A6" w:rsidRDefault="00A57DB8">
      <w:pPr>
        <w:pStyle w:val="SingleTxtG"/>
        <w:jc w:val="right"/>
      </w:pPr>
      <w:r>
        <w:t xml:space="preserve"> </w:t>
      </w:r>
      <w:r w:rsidR="00CF305B">
        <w:t xml:space="preserve">[Date received: </w:t>
      </w:r>
      <w:r w:rsidR="00686963">
        <w:t>30 July 2026</w:t>
      </w:r>
      <w:r w:rsidR="00CF305B">
        <w:t>]</w:t>
      </w:r>
    </w:p>
    <w:p w14:paraId="42CCC3B9" w14:textId="7DD807CD" w:rsidR="00686963" w:rsidRDefault="00686963">
      <w:pPr>
        <w:suppressAutoHyphens w:val="0"/>
        <w:spacing w:after="200" w:line="276" w:lineRule="auto"/>
        <w:rPr>
          <w:rFonts w:eastAsiaTheme="minorHAnsi"/>
        </w:rPr>
      </w:pPr>
      <w:r>
        <w:br w:type="page"/>
      </w:r>
    </w:p>
    <w:p w14:paraId="13422D47" w14:textId="7EB325A7" w:rsidR="00686963" w:rsidRPr="00686963" w:rsidRDefault="00653906" w:rsidP="00653906">
      <w:pPr>
        <w:pStyle w:val="H1G"/>
        <w:rPr>
          <w:lang w:val="en-IE" w:eastAsia="en-IE"/>
        </w:rPr>
      </w:pPr>
      <w:r>
        <w:rPr>
          <w:lang w:val="en-IE" w:eastAsia="en-IE"/>
        </w:rPr>
        <w:lastRenderedPageBreak/>
        <w:tab/>
      </w:r>
      <w:r w:rsidR="00E8096C">
        <w:rPr>
          <w:lang w:val="en-IE" w:eastAsia="en-IE"/>
        </w:rPr>
        <w:t>I.</w:t>
      </w:r>
      <w:r>
        <w:rPr>
          <w:lang w:val="en-IE" w:eastAsia="en-IE"/>
        </w:rPr>
        <w:tab/>
      </w:r>
      <w:r w:rsidR="00686963" w:rsidRPr="00686963">
        <w:rPr>
          <w:lang w:val="en-IE" w:eastAsia="en-IE"/>
        </w:rPr>
        <w:t xml:space="preserve">Introduction </w:t>
      </w:r>
    </w:p>
    <w:p w14:paraId="6CCFB55D" w14:textId="77777777" w:rsidR="00686963" w:rsidRPr="00686963" w:rsidRDefault="00686963" w:rsidP="00E8096C">
      <w:pPr>
        <w:pStyle w:val="SingleTxtG"/>
        <w:numPr>
          <w:ilvl w:val="0"/>
          <w:numId w:val="27"/>
        </w:numPr>
        <w:tabs>
          <w:tab w:val="clear" w:pos="2268"/>
          <w:tab w:val="clear" w:pos="2835"/>
        </w:tabs>
        <w:ind w:left="1134" w:firstLine="0"/>
        <w:rPr>
          <w:lang w:val="en-IE" w:eastAsia="en-IE"/>
        </w:rPr>
      </w:pPr>
      <w:r w:rsidRPr="00686963">
        <w:rPr>
          <w:lang w:val="en-IE" w:eastAsia="en-IE"/>
        </w:rPr>
        <w:t xml:space="preserve">A non-exhaustive list of measures addressing the list of issues** is provided. Superscript numbers denote supporting documents in the Annex***. </w:t>
      </w:r>
    </w:p>
    <w:p w14:paraId="776D8FF1" w14:textId="77777777" w:rsidR="00686963" w:rsidRPr="00686963" w:rsidRDefault="00686963" w:rsidP="00E90ABC">
      <w:pPr>
        <w:pStyle w:val="SingleTxtG"/>
        <w:numPr>
          <w:ilvl w:val="0"/>
          <w:numId w:val="27"/>
        </w:numPr>
        <w:tabs>
          <w:tab w:val="clear" w:pos="2268"/>
          <w:tab w:val="clear" w:pos="2835"/>
        </w:tabs>
        <w:ind w:left="1134" w:firstLine="0"/>
        <w:rPr>
          <w:lang w:val="en-IE" w:eastAsia="en-IE"/>
        </w:rPr>
      </w:pPr>
      <w:r w:rsidRPr="00686963">
        <w:rPr>
          <w:lang w:val="en-IE" w:eastAsia="en-IE"/>
        </w:rPr>
        <w:t xml:space="preserve">Consultation to support with the further realisation of the </w:t>
      </w:r>
      <w:r w:rsidRPr="008456EC">
        <w:rPr>
          <w:i/>
          <w:iCs/>
          <w:lang w:val="en-IE" w:eastAsia="en-IE"/>
        </w:rPr>
        <w:t>United Nations Convention on the Rights of Persons with Disabilities (UNCRPD)</w:t>
      </w:r>
      <w:r w:rsidRPr="00686963">
        <w:rPr>
          <w:lang w:val="en-IE" w:eastAsia="en-IE"/>
        </w:rPr>
        <w:t xml:space="preserve"> continues in Ireland. </w:t>
      </w:r>
      <w:r w:rsidRPr="008456EC">
        <w:rPr>
          <w:i/>
          <w:iCs/>
          <w:lang w:val="en-IE" w:eastAsia="en-IE"/>
        </w:rPr>
        <w:t>The National Human Rights Strategy for Disabled People 2025–2030 (The Strategy 2025-2030)</w:t>
      </w:r>
      <w:r w:rsidRPr="00686963">
        <w:rPr>
          <w:vertAlign w:val="superscript"/>
          <w:lang w:val="en-IE" w:eastAsia="en-IE"/>
        </w:rPr>
        <w:t>1</w:t>
      </w:r>
      <w:r w:rsidRPr="00686963">
        <w:rPr>
          <w:lang w:val="en-IE" w:eastAsia="en-IE"/>
        </w:rPr>
        <w:t xml:space="preserve"> is the whole-of-government blueprint for UNCRPD implementation and was informed through an extensive consultation process</w:t>
      </w:r>
      <w:r w:rsidRPr="00686963">
        <w:rPr>
          <w:vertAlign w:val="superscript"/>
          <w:lang w:val="en-IE" w:eastAsia="en-IE"/>
        </w:rPr>
        <w:t>2</w:t>
      </w:r>
      <w:r w:rsidRPr="00686963">
        <w:rPr>
          <w:lang w:val="en-IE" w:eastAsia="en-IE"/>
        </w:rPr>
        <w:t>.</w:t>
      </w:r>
    </w:p>
    <w:p w14:paraId="413804C4" w14:textId="77777777" w:rsidR="00686963" w:rsidRPr="00686963" w:rsidRDefault="00686963" w:rsidP="00E90ABC">
      <w:pPr>
        <w:pStyle w:val="SingleTxtG"/>
        <w:numPr>
          <w:ilvl w:val="0"/>
          <w:numId w:val="27"/>
        </w:numPr>
        <w:tabs>
          <w:tab w:val="clear" w:pos="2268"/>
          <w:tab w:val="clear" w:pos="2835"/>
        </w:tabs>
        <w:ind w:left="1134" w:firstLine="0"/>
        <w:rPr>
          <w:lang w:val="en-IE" w:eastAsia="en-IE"/>
        </w:rPr>
      </w:pPr>
      <w:r w:rsidRPr="00686963">
        <w:rPr>
          <w:lang w:val="en-IE" w:eastAsia="en-IE"/>
        </w:rPr>
        <w:t xml:space="preserve">In July 2026, consultations were held with stakeholders through mechanisms developed under the Strategy 2025-2030. Opportunities were provided to provide perspectives on CRPD implementation. </w:t>
      </w:r>
    </w:p>
    <w:p w14:paraId="4837E2C6" w14:textId="69B6E751" w:rsidR="00686963" w:rsidRPr="00686963" w:rsidRDefault="00E8096C" w:rsidP="00E8096C">
      <w:pPr>
        <w:pStyle w:val="H1G"/>
        <w:rPr>
          <w:lang w:val="en-IE" w:eastAsia="en-IE"/>
        </w:rPr>
      </w:pPr>
      <w:r>
        <w:rPr>
          <w:lang w:val="en-IE" w:eastAsia="en-IE"/>
        </w:rPr>
        <w:tab/>
        <w:t>II.</w:t>
      </w:r>
      <w:r>
        <w:rPr>
          <w:lang w:val="en-IE" w:eastAsia="en-IE"/>
        </w:rPr>
        <w:tab/>
      </w:r>
      <w:r w:rsidR="00686963" w:rsidRPr="00686963">
        <w:rPr>
          <w:lang w:val="en-IE" w:eastAsia="en-IE"/>
        </w:rPr>
        <w:t>Replies</w:t>
      </w:r>
      <w:r w:rsidR="002B1AE3">
        <w:rPr>
          <w:lang w:val="en-IE" w:eastAsia="en-IE"/>
        </w:rPr>
        <w:t xml:space="preserve"> to List of issues (CRPD/C/IRL/Q/1)</w:t>
      </w:r>
    </w:p>
    <w:p w14:paraId="2303A0D2" w14:textId="7EFDDDC5" w:rsidR="00686963" w:rsidRPr="00686963" w:rsidRDefault="003A0EE0" w:rsidP="002B1AE3">
      <w:pPr>
        <w:pStyle w:val="H23G"/>
        <w:rPr>
          <w:lang w:val="en-IE" w:eastAsia="en-IE"/>
        </w:rPr>
      </w:pPr>
      <w:r>
        <w:rPr>
          <w:lang w:val="en-IE" w:eastAsia="en-IE"/>
        </w:rPr>
        <w:tab/>
      </w:r>
      <w:r>
        <w:rPr>
          <w:lang w:val="en-IE" w:eastAsia="en-IE"/>
        </w:rPr>
        <w:tab/>
      </w:r>
      <w:r w:rsidR="00686963" w:rsidRPr="00686963">
        <w:rPr>
          <w:lang w:val="en-IE" w:eastAsia="en-IE"/>
        </w:rPr>
        <w:t>Reply to paragraph 1(a)</w:t>
      </w:r>
    </w:p>
    <w:p w14:paraId="5D3D586D"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 xml:space="preserve">While Ireland keeps reservations and declarations under continuous review, currently there are no proposals to withdraw these reservations and declarations to UNCRPD and the rationale remains unchanged as stated in Ireland’s State Report </w:t>
      </w:r>
      <w:r w:rsidRPr="00686963">
        <w:rPr>
          <w:i/>
          <w:iCs/>
          <w:lang w:val="en-IE" w:eastAsia="en-IE"/>
        </w:rPr>
        <w:t>(CRPD/C/IRL/1, paras. 152, 153 and 371).</w:t>
      </w:r>
    </w:p>
    <w:p w14:paraId="739CA549" w14:textId="627CBF07" w:rsidR="00686963" w:rsidRPr="00686963" w:rsidRDefault="003A0EE0" w:rsidP="003A0EE0">
      <w:pPr>
        <w:pStyle w:val="H23G"/>
        <w:rPr>
          <w:lang w:val="en-IE" w:eastAsia="en-IE"/>
        </w:rPr>
      </w:pPr>
      <w:r>
        <w:rPr>
          <w:lang w:val="en-IE" w:eastAsia="en-IE"/>
        </w:rPr>
        <w:tab/>
      </w:r>
      <w:r>
        <w:rPr>
          <w:lang w:val="en-IE" w:eastAsia="en-IE"/>
        </w:rPr>
        <w:tab/>
      </w:r>
      <w:r w:rsidR="00686963" w:rsidRPr="00686963">
        <w:rPr>
          <w:lang w:val="en-IE" w:eastAsia="en-IE"/>
        </w:rPr>
        <w:t>Reply to paragraph 1(b)</w:t>
      </w:r>
    </w:p>
    <w:p w14:paraId="5B7DC8B2"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Ireland has a dualist system under which international agreements, to which Ireland becomes a party, do not become part of domestic law unless so determined by the Oireachtas (the Irish Parliament) through legislation. The Convention is given effect in Ireland through a range of legislation, policies and strategies aimed at progressing the rights of disabled people.</w:t>
      </w:r>
    </w:p>
    <w:p w14:paraId="03893327"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While Ireland has not chosen to incorporate the Convention directly into its domestic law, the rights provided for by the Convention are given effect through relevant provisions of the Constitution and domestic legislation, complemented by a range of policies and strategies aimed at advancing the rights of disabled people.</w:t>
      </w:r>
    </w:p>
    <w:p w14:paraId="417C1484"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 xml:space="preserve">Ireland’s legal framework provides extensive human rights protection, along with a robust system of domestic judicial remedies.  </w:t>
      </w:r>
      <w:proofErr w:type="gramStart"/>
      <w:r w:rsidRPr="00686963">
        <w:rPr>
          <w:lang w:val="en-IE" w:eastAsia="en-IE"/>
        </w:rPr>
        <w:t>In particular, many</w:t>
      </w:r>
      <w:proofErr w:type="gramEnd"/>
      <w:r w:rsidRPr="00686963">
        <w:rPr>
          <w:lang w:val="en-IE" w:eastAsia="en-IE"/>
        </w:rPr>
        <w:t xml:space="preserve"> of the Convention provisions have counterparts in the Constitution.  Articles 40 – 44</w:t>
      </w:r>
      <w:r w:rsidRPr="00686963">
        <w:rPr>
          <w:vertAlign w:val="superscript"/>
          <w:lang w:val="en-IE" w:eastAsia="en-IE"/>
        </w:rPr>
        <w:t>3</w:t>
      </w:r>
      <w:r w:rsidRPr="00686963">
        <w:rPr>
          <w:lang w:val="en-IE" w:eastAsia="en-IE"/>
        </w:rPr>
        <w:t xml:space="preserve"> afford express protection for fundamental rights, including life, liberty, equality before the law and freedom of expression. The Irish Courts have further recognised many derived rights arising from the Constitution, including privacy, bodily integrity and autonomy.</w:t>
      </w:r>
    </w:p>
    <w:p w14:paraId="502BF261"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 xml:space="preserve">While domestic legislation implements rights protected by the Convention, Ireland recognises there is a need for ongoing review of the existing legislative framework in this area. </w:t>
      </w:r>
      <w:r w:rsidRPr="00686963">
        <w:rPr>
          <w:i/>
          <w:iCs/>
          <w:lang w:val="en-IE" w:eastAsia="en-IE"/>
        </w:rPr>
        <w:t>The Strategy 2025-2030</w:t>
      </w:r>
      <w:r w:rsidRPr="00686963">
        <w:rPr>
          <w:i/>
          <w:iCs/>
          <w:vertAlign w:val="superscript"/>
          <w:lang w:val="en-IE" w:eastAsia="en-IE"/>
        </w:rPr>
        <w:t>1</w:t>
      </w:r>
      <w:r w:rsidRPr="00686963">
        <w:rPr>
          <w:lang w:val="en-IE" w:eastAsia="en-IE"/>
        </w:rPr>
        <w:t xml:space="preserve"> therefore includes a non-exhaustive Legislative Programme to ensure the legislative framework protecting the human rights of disabled people continues to improve.</w:t>
      </w:r>
    </w:p>
    <w:p w14:paraId="40FE58B1" w14:textId="77777777" w:rsidR="00686963" w:rsidRPr="00686963" w:rsidRDefault="00686963" w:rsidP="003A0EE0">
      <w:pPr>
        <w:pStyle w:val="SingleTxtG"/>
        <w:numPr>
          <w:ilvl w:val="0"/>
          <w:numId w:val="27"/>
        </w:numPr>
        <w:tabs>
          <w:tab w:val="clear" w:pos="2268"/>
          <w:tab w:val="clear" w:pos="2835"/>
        </w:tabs>
        <w:ind w:left="1134" w:firstLine="0"/>
        <w:rPr>
          <w:lang w:val="en-IE" w:eastAsia="en-IE"/>
        </w:rPr>
      </w:pPr>
      <w:r w:rsidRPr="00686963">
        <w:rPr>
          <w:lang w:val="en-IE" w:eastAsia="en-IE"/>
        </w:rPr>
        <w:t>The Optional Protocol to UNCRPD entered into force with respect to Ireland in November 2024.</w:t>
      </w:r>
    </w:p>
    <w:p w14:paraId="46F4F2A1" w14:textId="692950A5" w:rsidR="00686963" w:rsidRPr="00686963" w:rsidRDefault="00543B63" w:rsidP="00543B63">
      <w:pPr>
        <w:pStyle w:val="H23G"/>
        <w:rPr>
          <w:lang w:val="en-IE" w:eastAsia="en-IE"/>
        </w:rPr>
      </w:pPr>
      <w:r>
        <w:rPr>
          <w:lang w:val="en-IE" w:eastAsia="en-IE"/>
        </w:rPr>
        <w:tab/>
      </w:r>
      <w:r>
        <w:rPr>
          <w:lang w:val="en-IE" w:eastAsia="en-IE"/>
        </w:rPr>
        <w:tab/>
      </w:r>
      <w:r w:rsidR="00686963" w:rsidRPr="00686963">
        <w:rPr>
          <w:lang w:val="en-IE" w:eastAsia="en-IE"/>
        </w:rPr>
        <w:t>Reply to paragraph 1(c)</w:t>
      </w:r>
    </w:p>
    <w:p w14:paraId="3E0CEC6C" w14:textId="77777777" w:rsidR="00686963" w:rsidRPr="00686963" w:rsidRDefault="00686963" w:rsidP="00543B63">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1(b).</w:t>
      </w:r>
    </w:p>
    <w:p w14:paraId="10D6AE39" w14:textId="77777777" w:rsidR="00686963" w:rsidRPr="00686963" w:rsidRDefault="00686963" w:rsidP="00543B63">
      <w:pPr>
        <w:pStyle w:val="SingleTxtG"/>
        <w:numPr>
          <w:ilvl w:val="0"/>
          <w:numId w:val="27"/>
        </w:numPr>
        <w:tabs>
          <w:tab w:val="clear" w:pos="2268"/>
          <w:tab w:val="clear" w:pos="2835"/>
        </w:tabs>
        <w:ind w:left="1134" w:firstLine="0"/>
        <w:rPr>
          <w:lang w:val="en-IE" w:eastAsia="en-IE"/>
        </w:rPr>
      </w:pPr>
      <w:r w:rsidRPr="00686963">
        <w:rPr>
          <w:lang w:val="en-IE" w:eastAsia="en-IE"/>
        </w:rPr>
        <w:t>The Mental Health Act 2026</w:t>
      </w:r>
      <w:r w:rsidRPr="00686963">
        <w:rPr>
          <w:vertAlign w:val="superscript"/>
          <w:lang w:val="en-IE" w:eastAsia="en-IE"/>
        </w:rPr>
        <w:t>4</w:t>
      </w:r>
      <w:r w:rsidRPr="00686963">
        <w:rPr>
          <w:lang w:val="en-IE" w:eastAsia="en-IE"/>
        </w:rPr>
        <w:t xml:space="preserve"> (the 2026 Act) was signed into law in May 2026 and will eventually replace the Mental Health Act 2001. A concentrated effort was made to remove stigmatising language in the 2026 Act, including the replacement of the word ‘patient’ with ‘person’ throughout the Act, the renaming of ‘mental health tribunals’ to ‘mental health review boards’, and the replacement of references to ‘detention’ with ‘involuntary admission’. Furthermore, the 2026 Act adopts a narrower definition of the term </w:t>
      </w:r>
      <w:r w:rsidRPr="00686963">
        <w:rPr>
          <w:lang w:val="en-IE" w:eastAsia="en-IE"/>
        </w:rPr>
        <w:lastRenderedPageBreak/>
        <w:t>‘mental disorder’, which explicitly precludes admission solely on the grounds of a diagnosis of intellectual disability and which decouples the term ‘mental disorder’ from the criteria for involuntary admission.</w:t>
      </w:r>
    </w:p>
    <w:p w14:paraId="243D2724" w14:textId="123DA1CB" w:rsidR="00686963" w:rsidRPr="00686963" w:rsidRDefault="00543B63" w:rsidP="00543B63">
      <w:pPr>
        <w:pStyle w:val="H23G"/>
        <w:rPr>
          <w:lang w:val="en-IE" w:eastAsia="en-IE"/>
        </w:rPr>
      </w:pPr>
      <w:r>
        <w:rPr>
          <w:lang w:val="en-IE" w:eastAsia="en-IE"/>
        </w:rPr>
        <w:tab/>
      </w:r>
      <w:r>
        <w:rPr>
          <w:lang w:val="en-IE" w:eastAsia="en-IE"/>
        </w:rPr>
        <w:tab/>
      </w:r>
      <w:r w:rsidR="00686963" w:rsidRPr="00686963">
        <w:rPr>
          <w:lang w:val="en-IE" w:eastAsia="en-IE"/>
        </w:rPr>
        <w:t>Reply to paragraph 1(d)</w:t>
      </w:r>
    </w:p>
    <w:p w14:paraId="59135F20" w14:textId="77777777" w:rsidR="00686963" w:rsidRPr="00686963" w:rsidRDefault="00686963" w:rsidP="006B2CFD">
      <w:pPr>
        <w:pStyle w:val="SingleTxtG"/>
        <w:numPr>
          <w:ilvl w:val="0"/>
          <w:numId w:val="27"/>
        </w:numPr>
        <w:tabs>
          <w:tab w:val="clear" w:pos="2268"/>
          <w:tab w:val="clear" w:pos="2835"/>
        </w:tabs>
        <w:ind w:left="1134" w:firstLine="0"/>
        <w:rPr>
          <w:lang w:val="en-IE" w:eastAsia="en-IE"/>
        </w:rPr>
      </w:pPr>
      <w:r w:rsidRPr="00686963">
        <w:rPr>
          <w:lang w:val="en-IE" w:eastAsia="en-IE"/>
        </w:rPr>
        <w:t>In April 2023 the Assisted Decision-Making (Capacity) Act 2015 (the 2015 Act)</w:t>
      </w:r>
      <w:r w:rsidRPr="00686963">
        <w:rPr>
          <w:vertAlign w:val="superscript"/>
          <w:lang w:val="en-IE" w:eastAsia="en-IE"/>
        </w:rPr>
        <w:t>5</w:t>
      </w:r>
      <w:r w:rsidRPr="00686963">
        <w:rPr>
          <w:lang w:val="en-IE" w:eastAsia="en-IE"/>
        </w:rPr>
        <w:t>, along with most of the Assisted Decision-Making (Capacity) (Amendment) Act 2022</w:t>
      </w:r>
      <w:r w:rsidRPr="00686963">
        <w:rPr>
          <w:vertAlign w:val="superscript"/>
          <w:lang w:val="en-IE" w:eastAsia="en-IE"/>
        </w:rPr>
        <w:t>6</w:t>
      </w:r>
      <w:r w:rsidRPr="00686963">
        <w:rPr>
          <w:lang w:val="en-IE" w:eastAsia="en-IE"/>
        </w:rPr>
        <w:t>, was commenced, bringing about an end to wardship in Ireland for adults, by repealing the Lunacy Regulation (Ireland) Act 1871 and, on a phased basis, replacing the wards of court system with the new process for appointing tiered decision support arrangements that is now in effect. A capacity declaration in respect of all remaining wards must be completed by October 2027 to enable them to discharge from wardship.  The 2015 Act provides a modern statutory framework to support decision-making by adults with capacity difficulties which implements a rights-based approach to capacity, privileging a person’s will and preferences. It also places individuals at the centre of decisions that affect them and provides for the necessary supports to enable persons with capacity difficulties to retain as much control as possible over their own affairs and the decisions which affect them.</w:t>
      </w:r>
    </w:p>
    <w:p w14:paraId="30FEA522" w14:textId="68E69F93" w:rsidR="00686963" w:rsidRPr="00686963" w:rsidRDefault="00D7189E" w:rsidP="006B2CFD">
      <w:pPr>
        <w:pStyle w:val="H23G"/>
        <w:rPr>
          <w:lang w:val="en-IE" w:eastAsia="en-IE"/>
        </w:rPr>
      </w:pPr>
      <w:r>
        <w:rPr>
          <w:lang w:val="en-IE" w:eastAsia="en-IE"/>
        </w:rPr>
        <w:tab/>
      </w:r>
      <w:r>
        <w:rPr>
          <w:lang w:val="en-IE" w:eastAsia="en-IE"/>
        </w:rPr>
        <w:tab/>
      </w:r>
      <w:r w:rsidR="00686963" w:rsidRPr="00686963">
        <w:rPr>
          <w:lang w:val="en-IE" w:eastAsia="en-IE"/>
        </w:rPr>
        <w:t>Reply to paragraph 1(e)</w:t>
      </w:r>
    </w:p>
    <w:p w14:paraId="3411C7FE" w14:textId="77777777" w:rsidR="00686963" w:rsidRPr="00686963" w:rsidRDefault="00686963" w:rsidP="00D7189E">
      <w:pPr>
        <w:pStyle w:val="SingleTxtG"/>
        <w:numPr>
          <w:ilvl w:val="0"/>
          <w:numId w:val="27"/>
        </w:numPr>
        <w:tabs>
          <w:tab w:val="clear" w:pos="2268"/>
          <w:tab w:val="clear" w:pos="2835"/>
        </w:tabs>
        <w:ind w:left="1134" w:firstLine="0"/>
        <w:rPr>
          <w:lang w:val="en-IE" w:eastAsia="en-IE"/>
        </w:rPr>
      </w:pPr>
      <w:r w:rsidRPr="00686963">
        <w:rPr>
          <w:i/>
          <w:iCs/>
          <w:lang w:val="en-IE" w:eastAsia="en-IE"/>
        </w:rPr>
        <w:t>The Strategy 2025-2030</w:t>
      </w:r>
      <w:r w:rsidRPr="00686963">
        <w:rPr>
          <w:i/>
          <w:iCs/>
          <w:vertAlign w:val="superscript"/>
          <w:lang w:val="en-IE" w:eastAsia="en-IE"/>
        </w:rPr>
        <w:t>1</w:t>
      </w:r>
      <w:r w:rsidRPr="00686963">
        <w:rPr>
          <w:lang w:val="en-IE" w:eastAsia="en-IE"/>
        </w:rPr>
        <w:t xml:space="preserve"> contains commitments across five pillars: Inclusive Learning and Education, Employment, Independent Living and Active Participation in Society, Wellbeing and Health, and Transport and Mobility. Its first Action Plan</w:t>
      </w:r>
      <w:r w:rsidRPr="00686963">
        <w:rPr>
          <w:vertAlign w:val="superscript"/>
          <w:lang w:val="en-IE" w:eastAsia="en-IE"/>
        </w:rPr>
        <w:t>7</w:t>
      </w:r>
      <w:r w:rsidRPr="00686963">
        <w:rPr>
          <w:lang w:val="en-IE" w:eastAsia="en-IE"/>
        </w:rPr>
        <w:t xml:space="preserve"> has been developed with each pillar operating on a sectoral basis, with Government Departments taking a co-leadership approach, based on areas of joint responsibility and where collaboration will be productive and beneficial to disabled people.</w:t>
      </w:r>
    </w:p>
    <w:p w14:paraId="29322F6B" w14:textId="77777777" w:rsidR="00686963" w:rsidRPr="00686963" w:rsidRDefault="00686963" w:rsidP="00D7189E">
      <w:pPr>
        <w:pStyle w:val="SingleTxtG"/>
        <w:numPr>
          <w:ilvl w:val="0"/>
          <w:numId w:val="27"/>
        </w:numPr>
        <w:tabs>
          <w:tab w:val="clear" w:pos="2268"/>
          <w:tab w:val="clear" w:pos="2835"/>
        </w:tabs>
        <w:ind w:left="1134" w:firstLine="0"/>
        <w:rPr>
          <w:lang w:val="en-IE" w:eastAsia="en-IE"/>
        </w:rPr>
      </w:pPr>
      <w:r w:rsidRPr="00686963">
        <w:rPr>
          <w:i/>
          <w:iCs/>
          <w:lang w:val="en-IE" w:eastAsia="en-IE"/>
        </w:rPr>
        <w:t>The Strategy 2025-2030</w:t>
      </w:r>
      <w:r w:rsidRPr="00686963">
        <w:rPr>
          <w:vertAlign w:val="superscript"/>
          <w:lang w:val="en-IE" w:eastAsia="en-IE"/>
        </w:rPr>
        <w:t>1</w:t>
      </w:r>
      <w:r w:rsidRPr="00686963">
        <w:rPr>
          <w:lang w:val="en-IE" w:eastAsia="en-IE"/>
        </w:rPr>
        <w:t xml:space="preserve"> has a dedicated Delivery and Monitoring Committee, chaired by the Taoiseach (Prime Minister), with representation from DPOs and other disability stakeholders who oversee its implementation. The structures developed under </w:t>
      </w:r>
      <w:r w:rsidRPr="00686963">
        <w:rPr>
          <w:i/>
          <w:iCs/>
          <w:lang w:val="en-IE" w:eastAsia="en-IE"/>
        </w:rPr>
        <w:t>The Strategy 2025-2030</w:t>
      </w:r>
      <w:r w:rsidRPr="00686963">
        <w:rPr>
          <w:lang w:val="en-IE" w:eastAsia="en-IE"/>
        </w:rPr>
        <w:t xml:space="preserve"> are the monitoring mechanisms for implementation of the Convention. A DPO Group has been established as a core element of the delivery and monitoring structures. Members of this group were selected through an open application process for a one-year term and are assigned, based on their own interests, to the Strategy monitoring structures, including the group examining evaluation metrics and the individual Pillar groups.  They also assess biannual progress reports and provide collective feedback to the Delivery and Monitoring Committee.</w:t>
      </w:r>
    </w:p>
    <w:p w14:paraId="343239F4" w14:textId="7A341A4D" w:rsidR="00686963" w:rsidRPr="00686963" w:rsidRDefault="00D7189E" w:rsidP="00D7189E">
      <w:pPr>
        <w:pStyle w:val="H23G"/>
        <w:rPr>
          <w:lang w:val="en-IE" w:eastAsia="en-IE"/>
        </w:rPr>
      </w:pPr>
      <w:r>
        <w:rPr>
          <w:lang w:val="en-IE" w:eastAsia="en-IE"/>
        </w:rPr>
        <w:tab/>
      </w:r>
      <w:r>
        <w:rPr>
          <w:lang w:val="en-IE" w:eastAsia="en-IE"/>
        </w:rPr>
        <w:tab/>
      </w:r>
      <w:r w:rsidR="00686963" w:rsidRPr="00686963">
        <w:rPr>
          <w:lang w:val="en-IE" w:eastAsia="en-IE"/>
        </w:rPr>
        <w:t>Reply to paragraph 2(a)</w:t>
      </w:r>
    </w:p>
    <w:p w14:paraId="05E61DC3" w14:textId="77777777" w:rsidR="00686963" w:rsidRPr="00686963" w:rsidRDefault="00686963" w:rsidP="00D7189E">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1(e).</w:t>
      </w:r>
    </w:p>
    <w:p w14:paraId="68106654" w14:textId="77777777" w:rsidR="00686963" w:rsidRPr="00686963" w:rsidRDefault="00686963" w:rsidP="00D7189E">
      <w:pPr>
        <w:pStyle w:val="SingleTxtG"/>
        <w:numPr>
          <w:ilvl w:val="0"/>
          <w:numId w:val="27"/>
        </w:numPr>
        <w:tabs>
          <w:tab w:val="clear" w:pos="2268"/>
          <w:tab w:val="clear" w:pos="2835"/>
        </w:tabs>
        <w:ind w:left="1134" w:firstLine="0"/>
        <w:rPr>
          <w:lang w:val="en-IE" w:eastAsia="en-IE"/>
        </w:rPr>
      </w:pPr>
      <w:r w:rsidRPr="00686963">
        <w:rPr>
          <w:i/>
          <w:iCs/>
          <w:lang w:val="en-IE" w:eastAsia="en-IE"/>
        </w:rPr>
        <w:t>Participation Matters</w:t>
      </w:r>
      <w:r w:rsidRPr="00686963">
        <w:rPr>
          <w:lang w:val="en-IE" w:eastAsia="en-IE"/>
        </w:rPr>
        <w:t xml:space="preserve"> guidelines</w:t>
      </w:r>
      <w:r w:rsidRPr="00686963">
        <w:rPr>
          <w:vertAlign w:val="superscript"/>
          <w:lang w:val="en-IE" w:eastAsia="en-IE"/>
        </w:rPr>
        <w:t>8</w:t>
      </w:r>
      <w:r w:rsidRPr="00686963">
        <w:rPr>
          <w:lang w:val="en-IE" w:eastAsia="en-IE"/>
        </w:rPr>
        <w:t xml:space="preserve"> support public officials to meaningfully consult with and involve DPOs in policy development and other decision-making processes.</w:t>
      </w:r>
    </w:p>
    <w:p w14:paraId="26C9BC57" w14:textId="534204CC" w:rsidR="00686963" w:rsidRPr="00686963" w:rsidRDefault="00A075C3" w:rsidP="00A075C3">
      <w:pPr>
        <w:pStyle w:val="H23G"/>
        <w:rPr>
          <w:lang w:val="en-IE" w:eastAsia="en-IE"/>
        </w:rPr>
      </w:pPr>
      <w:r>
        <w:rPr>
          <w:lang w:val="en-IE" w:eastAsia="en-IE"/>
        </w:rPr>
        <w:tab/>
      </w:r>
      <w:r>
        <w:rPr>
          <w:lang w:val="en-IE" w:eastAsia="en-IE"/>
        </w:rPr>
        <w:tab/>
      </w:r>
      <w:r w:rsidR="00686963" w:rsidRPr="00686963">
        <w:rPr>
          <w:lang w:val="en-IE" w:eastAsia="en-IE"/>
        </w:rPr>
        <w:t>Reply to paragraph 2(b)</w:t>
      </w:r>
    </w:p>
    <w:p w14:paraId="244B25A2" w14:textId="77777777" w:rsidR="00686963" w:rsidRPr="00686963" w:rsidRDefault="00686963" w:rsidP="00A075C3">
      <w:pPr>
        <w:pStyle w:val="SingleTxtG"/>
        <w:numPr>
          <w:ilvl w:val="0"/>
          <w:numId w:val="27"/>
        </w:numPr>
        <w:tabs>
          <w:tab w:val="clear" w:pos="2268"/>
          <w:tab w:val="clear" w:pos="2835"/>
        </w:tabs>
        <w:ind w:left="1134" w:firstLine="0"/>
        <w:rPr>
          <w:lang w:val="en-IE" w:eastAsia="en-IE"/>
        </w:rPr>
      </w:pPr>
      <w:r w:rsidRPr="00686963">
        <w:rPr>
          <w:lang w:val="en-IE" w:eastAsia="en-IE"/>
        </w:rPr>
        <w:t xml:space="preserve">Under </w:t>
      </w:r>
      <w:r w:rsidRPr="00686963">
        <w:rPr>
          <w:i/>
          <w:iCs/>
          <w:lang w:val="en-IE" w:eastAsia="en-IE"/>
        </w:rPr>
        <w:t>The Strategy 2025-2030</w:t>
      </w:r>
      <w:r w:rsidRPr="00686963">
        <w:rPr>
          <w:i/>
          <w:iCs/>
          <w:vertAlign w:val="superscript"/>
          <w:lang w:val="en-IE" w:eastAsia="en-IE"/>
        </w:rPr>
        <w:t>1</w:t>
      </w:r>
      <w:r w:rsidRPr="00686963">
        <w:rPr>
          <w:lang w:val="en-IE" w:eastAsia="en-IE"/>
        </w:rPr>
        <w:t>, a new mechanism was launched in May 2026 to provide funding to strengthen DPO capacity to engage with Government. In line with budgetary procedures, the funding will be granted on an annual basis.</w:t>
      </w:r>
    </w:p>
    <w:p w14:paraId="08E9C7B5" w14:textId="2337D1A4" w:rsidR="00686963" w:rsidRPr="00686963" w:rsidRDefault="00A075C3" w:rsidP="00A075C3">
      <w:pPr>
        <w:pStyle w:val="H23G"/>
        <w:rPr>
          <w:lang w:val="en-IE" w:eastAsia="en-IE"/>
        </w:rPr>
      </w:pPr>
      <w:r>
        <w:rPr>
          <w:lang w:val="en-IE" w:eastAsia="en-IE"/>
        </w:rPr>
        <w:tab/>
      </w:r>
      <w:r>
        <w:rPr>
          <w:lang w:val="en-IE" w:eastAsia="en-IE"/>
        </w:rPr>
        <w:tab/>
      </w:r>
      <w:r w:rsidR="00686963" w:rsidRPr="00686963">
        <w:rPr>
          <w:lang w:val="en-IE" w:eastAsia="en-IE"/>
        </w:rPr>
        <w:t>Reply to paragraph 3(a)</w:t>
      </w:r>
    </w:p>
    <w:p w14:paraId="0B9F2E6B" w14:textId="77777777" w:rsidR="00686963" w:rsidRPr="00686963" w:rsidRDefault="00686963" w:rsidP="00A075C3">
      <w:pPr>
        <w:pStyle w:val="SingleTxtG"/>
        <w:numPr>
          <w:ilvl w:val="0"/>
          <w:numId w:val="27"/>
        </w:numPr>
        <w:tabs>
          <w:tab w:val="clear" w:pos="2268"/>
          <w:tab w:val="clear" w:pos="2835"/>
        </w:tabs>
        <w:ind w:left="1134" w:firstLine="0"/>
        <w:rPr>
          <w:lang w:val="en-IE" w:eastAsia="en-IE"/>
        </w:rPr>
      </w:pPr>
      <w:r w:rsidRPr="00686963">
        <w:rPr>
          <w:lang w:val="en-IE" w:eastAsia="en-IE"/>
        </w:rPr>
        <w:t>In November 2024, Government approved the publication of the General Scheme of the Equality (Miscellaneous Provisions) Bill</w:t>
      </w:r>
      <w:r w:rsidRPr="00686963">
        <w:rPr>
          <w:vertAlign w:val="superscript"/>
          <w:lang w:val="en-IE" w:eastAsia="en-IE"/>
        </w:rPr>
        <w:t>9</w:t>
      </w:r>
      <w:r w:rsidRPr="00686963">
        <w:rPr>
          <w:lang w:val="en-IE" w:eastAsia="en-IE"/>
        </w:rPr>
        <w:t>, with proposed changes to the definition of reasonable accommodation and provisions addressing discrimination. The Joint Oireachtas Committee on Children and Equality undertook pre-legislative scrutiny of the General Scheme and issued its report in October 2025. These recommendations are under consideration.</w:t>
      </w:r>
    </w:p>
    <w:p w14:paraId="2F833095" w14:textId="40A888A9" w:rsidR="00686963" w:rsidRPr="00686963" w:rsidRDefault="00A075C3" w:rsidP="00A075C3">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3(b)</w:t>
      </w:r>
    </w:p>
    <w:p w14:paraId="56EB96A0" w14:textId="77777777" w:rsidR="00686963" w:rsidRPr="00686963" w:rsidRDefault="00686963" w:rsidP="00A075C3">
      <w:pPr>
        <w:pStyle w:val="SingleTxtG"/>
        <w:numPr>
          <w:ilvl w:val="0"/>
          <w:numId w:val="27"/>
        </w:numPr>
        <w:tabs>
          <w:tab w:val="clear" w:pos="2268"/>
          <w:tab w:val="clear" w:pos="2835"/>
        </w:tabs>
        <w:ind w:left="1134" w:firstLine="0"/>
        <w:rPr>
          <w:lang w:val="en-IE" w:eastAsia="en-IE"/>
        </w:rPr>
      </w:pPr>
      <w:r w:rsidRPr="00686963">
        <w:rPr>
          <w:lang w:val="en-IE" w:eastAsia="en-IE"/>
        </w:rPr>
        <w:t>A review of the Disability Act 2005</w:t>
      </w:r>
      <w:r w:rsidRPr="00686963">
        <w:rPr>
          <w:vertAlign w:val="superscript"/>
          <w:lang w:val="en-IE" w:eastAsia="en-IE"/>
        </w:rPr>
        <w:t>10</w:t>
      </w:r>
      <w:r w:rsidRPr="00686963">
        <w:rPr>
          <w:lang w:val="en-IE" w:eastAsia="en-IE"/>
        </w:rPr>
        <w:t xml:space="preserve"> is underway with the intention of advancing UNCRPD implementation.</w:t>
      </w:r>
    </w:p>
    <w:p w14:paraId="26FE5171" w14:textId="77777777" w:rsidR="00686963" w:rsidRPr="00686963" w:rsidRDefault="00686963" w:rsidP="00AE498E">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the </w:t>
      </w:r>
      <w:r w:rsidRPr="00AE498E">
        <w:rPr>
          <w:i/>
          <w:iCs/>
          <w:lang w:val="en-IE" w:eastAsia="en-IE"/>
        </w:rPr>
        <w:t>National Traveller and Roma Inclusion Strategy II 2024-2028</w:t>
      </w:r>
      <w:r w:rsidRPr="00AE498E">
        <w:rPr>
          <w:i/>
          <w:iCs/>
          <w:vertAlign w:val="superscript"/>
          <w:lang w:val="en-IE" w:eastAsia="en-IE"/>
        </w:rPr>
        <w:t>11</w:t>
      </w:r>
      <w:r w:rsidRPr="00686963">
        <w:rPr>
          <w:lang w:val="en-IE" w:eastAsia="en-IE"/>
        </w:rPr>
        <w:t>.</w:t>
      </w:r>
    </w:p>
    <w:p w14:paraId="05872350" w14:textId="77777777" w:rsidR="00686963" w:rsidRPr="00686963" w:rsidRDefault="00686963" w:rsidP="00AE498E">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3(a).</w:t>
      </w:r>
    </w:p>
    <w:p w14:paraId="54AC9C01" w14:textId="10A7A3FC" w:rsidR="00686963" w:rsidRPr="00686963" w:rsidRDefault="00AE498E" w:rsidP="00AE498E">
      <w:pPr>
        <w:pStyle w:val="H23G"/>
        <w:rPr>
          <w:lang w:val="en-IE" w:eastAsia="en-IE"/>
        </w:rPr>
      </w:pPr>
      <w:r>
        <w:rPr>
          <w:lang w:val="en-IE" w:eastAsia="en-IE"/>
        </w:rPr>
        <w:tab/>
      </w:r>
      <w:r>
        <w:rPr>
          <w:lang w:val="en-IE" w:eastAsia="en-IE"/>
        </w:rPr>
        <w:tab/>
      </w:r>
      <w:r w:rsidR="00686963" w:rsidRPr="00686963">
        <w:rPr>
          <w:lang w:val="en-IE" w:eastAsia="en-IE"/>
        </w:rPr>
        <w:t>Reply to paragraph 4(a)</w:t>
      </w:r>
    </w:p>
    <w:p w14:paraId="7CE9B6C4" w14:textId="77777777" w:rsidR="00686963" w:rsidRPr="00686963" w:rsidRDefault="00686963" w:rsidP="00AE498E">
      <w:pPr>
        <w:pStyle w:val="SingleTxtG"/>
        <w:numPr>
          <w:ilvl w:val="0"/>
          <w:numId w:val="27"/>
        </w:numPr>
        <w:tabs>
          <w:tab w:val="clear" w:pos="2268"/>
          <w:tab w:val="clear" w:pos="2835"/>
        </w:tabs>
        <w:ind w:left="1134" w:firstLine="0"/>
        <w:rPr>
          <w:lang w:val="en-IE" w:eastAsia="en-IE"/>
        </w:rPr>
      </w:pPr>
      <w:r w:rsidRPr="00686963">
        <w:rPr>
          <w:i/>
          <w:iCs/>
          <w:lang w:val="en-IE" w:eastAsia="en-IE"/>
        </w:rPr>
        <w:t>The National Strategy for Women and Girls</w:t>
      </w:r>
      <w:r w:rsidRPr="00686963">
        <w:rPr>
          <w:i/>
          <w:iCs/>
          <w:vertAlign w:val="superscript"/>
          <w:lang w:val="en-IE" w:eastAsia="en-IE"/>
        </w:rPr>
        <w:t>12</w:t>
      </w:r>
      <w:r w:rsidRPr="00686963">
        <w:rPr>
          <w:lang w:val="en-IE" w:eastAsia="en-IE"/>
        </w:rPr>
        <w:t xml:space="preserve"> is a whole-of-government framework to advance gender equality across public policy. It utilises an intersectional approach to address disadvantages of protected groups including disabled women.</w:t>
      </w:r>
    </w:p>
    <w:p w14:paraId="2D156654" w14:textId="77777777" w:rsidR="00686963" w:rsidRPr="00686963" w:rsidRDefault="00686963" w:rsidP="007E7B2F">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priority action SFN.I. in </w:t>
      </w:r>
      <w:r w:rsidRPr="007E7B2F">
        <w:rPr>
          <w:i/>
          <w:iCs/>
          <w:lang w:val="en-IE" w:eastAsia="en-IE"/>
        </w:rPr>
        <w:t>The Strategy 2025-2030’s Action Plan</w:t>
      </w:r>
      <w:r w:rsidRPr="007E7B2F">
        <w:rPr>
          <w:i/>
          <w:iCs/>
          <w:vertAlign w:val="superscript"/>
          <w:lang w:val="en-IE" w:eastAsia="en-IE"/>
        </w:rPr>
        <w:t>7</w:t>
      </w:r>
      <w:r w:rsidRPr="00686963">
        <w:rPr>
          <w:lang w:val="en-IE" w:eastAsia="en-IE"/>
        </w:rPr>
        <w:t>.</w:t>
      </w:r>
    </w:p>
    <w:p w14:paraId="2903785D" w14:textId="77777777" w:rsidR="00686963" w:rsidRPr="00686963" w:rsidRDefault="00686963" w:rsidP="007E7B2F">
      <w:pPr>
        <w:pStyle w:val="SingleTxtG"/>
        <w:numPr>
          <w:ilvl w:val="0"/>
          <w:numId w:val="27"/>
        </w:numPr>
        <w:tabs>
          <w:tab w:val="clear" w:pos="2268"/>
          <w:tab w:val="clear" w:pos="2835"/>
        </w:tabs>
        <w:ind w:left="1134" w:firstLine="0"/>
        <w:rPr>
          <w:lang w:val="en-IE" w:eastAsia="en-IE"/>
        </w:rPr>
      </w:pPr>
      <w:r w:rsidRPr="00686963">
        <w:rPr>
          <w:lang w:val="en-IE" w:eastAsia="en-IE"/>
        </w:rPr>
        <w:t xml:space="preserve">Ireland’s </w:t>
      </w:r>
      <w:r w:rsidRPr="00686963">
        <w:rPr>
          <w:i/>
          <w:iCs/>
          <w:lang w:val="en-IE" w:eastAsia="en-IE"/>
        </w:rPr>
        <w:t>4th National Action Plan on Women Peace and Security, (2025-2030)</w:t>
      </w:r>
      <w:r w:rsidRPr="00686963">
        <w:rPr>
          <w:i/>
          <w:iCs/>
          <w:vertAlign w:val="superscript"/>
          <w:lang w:val="en-IE" w:eastAsia="en-IE"/>
        </w:rPr>
        <w:t>13</w:t>
      </w:r>
      <w:r w:rsidRPr="00686963">
        <w:rPr>
          <w:lang w:val="en-IE" w:eastAsia="en-IE"/>
        </w:rPr>
        <w:t>, recognises the importance of full, equal and meaningful participation of disabled women and girls in conflict prevention, resolution and peacebuilding. It takes an intersectional approach, acknowledging how disability, class, sexuality, and gender identity can compound the risks faced by women and girls affected by conflict.</w:t>
      </w:r>
    </w:p>
    <w:p w14:paraId="34BFDA12" w14:textId="63CDB7A6" w:rsidR="00686963" w:rsidRPr="00686963" w:rsidRDefault="0047566A" w:rsidP="0047566A">
      <w:pPr>
        <w:pStyle w:val="H23G"/>
        <w:rPr>
          <w:lang w:val="en-IE" w:eastAsia="en-IE"/>
        </w:rPr>
      </w:pPr>
      <w:r>
        <w:rPr>
          <w:lang w:val="en-IE" w:eastAsia="en-IE"/>
        </w:rPr>
        <w:tab/>
      </w:r>
      <w:r>
        <w:rPr>
          <w:lang w:val="en-IE" w:eastAsia="en-IE"/>
        </w:rPr>
        <w:tab/>
      </w:r>
      <w:r w:rsidR="00686963" w:rsidRPr="00686963">
        <w:rPr>
          <w:lang w:val="en-IE" w:eastAsia="en-IE"/>
        </w:rPr>
        <w:t>Reply to paragraph 4(b)</w:t>
      </w:r>
    </w:p>
    <w:p w14:paraId="3F1DBB28" w14:textId="77777777" w:rsidR="00686963" w:rsidRPr="0047566A" w:rsidRDefault="00686963" w:rsidP="0047566A">
      <w:pPr>
        <w:pStyle w:val="SingleTxtG"/>
        <w:numPr>
          <w:ilvl w:val="0"/>
          <w:numId w:val="27"/>
        </w:numPr>
        <w:tabs>
          <w:tab w:val="clear" w:pos="2268"/>
          <w:tab w:val="clear" w:pos="2835"/>
        </w:tabs>
        <w:ind w:left="1134" w:firstLine="0"/>
        <w:rPr>
          <w:i/>
          <w:iCs/>
          <w:lang w:val="en-IE" w:eastAsia="en-IE"/>
        </w:rPr>
      </w:pPr>
      <w:r w:rsidRPr="00686963">
        <w:rPr>
          <w:lang w:val="en-IE" w:eastAsia="en-IE"/>
        </w:rPr>
        <w:t xml:space="preserve">See priority actions 9.1-9.4 in </w:t>
      </w:r>
      <w:r w:rsidRPr="0047566A">
        <w:rPr>
          <w:i/>
          <w:iCs/>
          <w:lang w:val="en-IE" w:eastAsia="en-IE"/>
        </w:rPr>
        <w:t xml:space="preserve">The Strategy 2025-2030’s </w:t>
      </w:r>
      <w:r w:rsidRPr="0047566A">
        <w:rPr>
          <w:i/>
          <w:iCs/>
          <w:color w:val="000000" w:themeColor="text1"/>
          <w:lang w:val="en-IE" w:eastAsia="en-IE"/>
        </w:rPr>
        <w:t>Action Plan</w:t>
      </w:r>
      <w:r w:rsidRPr="0047566A">
        <w:rPr>
          <w:i/>
          <w:iCs/>
          <w:color w:val="000000" w:themeColor="text1"/>
          <w:vertAlign w:val="superscript"/>
          <w:lang w:val="en-IE" w:eastAsia="en-IE"/>
        </w:rPr>
        <w:t>7</w:t>
      </w:r>
      <w:r w:rsidRPr="0047566A">
        <w:rPr>
          <w:i/>
          <w:iCs/>
          <w:lang w:val="en-IE" w:eastAsia="en-IE"/>
        </w:rPr>
        <w:t>.</w:t>
      </w:r>
    </w:p>
    <w:p w14:paraId="72A1C678" w14:textId="77777777" w:rsidR="00686963" w:rsidRPr="00686963" w:rsidRDefault="00686963" w:rsidP="0047566A">
      <w:pPr>
        <w:pStyle w:val="SingleTxtG"/>
        <w:numPr>
          <w:ilvl w:val="0"/>
          <w:numId w:val="27"/>
        </w:numPr>
        <w:tabs>
          <w:tab w:val="clear" w:pos="2268"/>
          <w:tab w:val="clear" w:pos="2835"/>
        </w:tabs>
        <w:ind w:left="1134" w:firstLine="0"/>
        <w:rPr>
          <w:lang w:val="en-IE" w:eastAsia="en-IE"/>
        </w:rPr>
      </w:pPr>
      <w:r w:rsidRPr="00686963">
        <w:rPr>
          <w:lang w:val="en-IE" w:eastAsia="en-IE"/>
        </w:rPr>
        <w:t xml:space="preserve">Under the </w:t>
      </w:r>
      <w:r w:rsidRPr="00686963">
        <w:rPr>
          <w:i/>
          <w:iCs/>
          <w:lang w:val="en-IE" w:eastAsia="en-IE"/>
        </w:rPr>
        <w:t>National Strategy for Women and Girls</w:t>
      </w:r>
      <w:r w:rsidRPr="00686963">
        <w:rPr>
          <w:i/>
          <w:iCs/>
          <w:vertAlign w:val="superscript"/>
          <w:lang w:val="en-IE" w:eastAsia="en-IE"/>
        </w:rPr>
        <w:t>12</w:t>
      </w:r>
      <w:r w:rsidRPr="00686963">
        <w:rPr>
          <w:lang w:val="en-IE" w:eastAsia="en-IE"/>
        </w:rPr>
        <w:t xml:space="preserve"> there is a clear objective and commitment to support women to enter and participate in political life.</w:t>
      </w:r>
    </w:p>
    <w:p w14:paraId="369F42ED" w14:textId="1A62075D" w:rsidR="00686963" w:rsidRPr="00686963" w:rsidRDefault="003E3665" w:rsidP="003E3665">
      <w:pPr>
        <w:pStyle w:val="H23G"/>
        <w:rPr>
          <w:lang w:val="en-IE" w:eastAsia="en-IE"/>
        </w:rPr>
      </w:pPr>
      <w:r>
        <w:rPr>
          <w:lang w:val="en-IE" w:eastAsia="en-IE"/>
        </w:rPr>
        <w:tab/>
      </w:r>
      <w:r>
        <w:rPr>
          <w:lang w:val="en-IE" w:eastAsia="en-IE"/>
        </w:rPr>
        <w:tab/>
      </w:r>
      <w:r w:rsidR="00686963" w:rsidRPr="00686963">
        <w:rPr>
          <w:lang w:val="en-IE" w:eastAsia="en-IE"/>
        </w:rPr>
        <w:t>Reply to paragraph 5(a)</w:t>
      </w:r>
    </w:p>
    <w:p w14:paraId="16D755C4" w14:textId="77777777" w:rsidR="00686963" w:rsidRPr="00686963" w:rsidRDefault="00686963" w:rsidP="003E3665">
      <w:pPr>
        <w:pStyle w:val="SingleTxtG"/>
        <w:numPr>
          <w:ilvl w:val="0"/>
          <w:numId w:val="27"/>
        </w:numPr>
        <w:tabs>
          <w:tab w:val="clear" w:pos="2268"/>
          <w:tab w:val="clear" w:pos="2835"/>
        </w:tabs>
        <w:ind w:left="1134" w:firstLine="0"/>
        <w:rPr>
          <w:lang w:val="en-IE" w:eastAsia="en-IE"/>
        </w:rPr>
      </w:pPr>
      <w:r w:rsidRPr="003E3665">
        <w:rPr>
          <w:i/>
          <w:iCs/>
          <w:lang w:val="en-IE" w:eastAsia="en-IE"/>
        </w:rPr>
        <w:t>The Participation of Children and Young People in Decision-making: Action Plan 2024-2028</w:t>
      </w:r>
      <w:r w:rsidRPr="003E3665">
        <w:rPr>
          <w:i/>
          <w:iCs/>
          <w:vertAlign w:val="superscript"/>
          <w:lang w:val="en-IE" w:eastAsia="en-IE"/>
        </w:rPr>
        <w:t>14</w:t>
      </w:r>
      <w:r w:rsidRPr="00686963">
        <w:rPr>
          <w:lang w:val="en-IE" w:eastAsia="en-IE"/>
        </w:rPr>
        <w:t xml:space="preserve"> contains commitments to support disabled children in expressing views.</w:t>
      </w:r>
    </w:p>
    <w:p w14:paraId="5E02079C" w14:textId="77777777" w:rsidR="00686963" w:rsidRPr="00686963" w:rsidRDefault="00686963" w:rsidP="003E3665">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actions A1.1 and A1.2 under the </w:t>
      </w:r>
      <w:r w:rsidRPr="003E3665">
        <w:rPr>
          <w:i/>
          <w:iCs/>
          <w:lang w:val="en-IE" w:eastAsia="en-IE"/>
        </w:rPr>
        <w:t>Action Plan for Disability Services 2024-2026</w:t>
      </w:r>
      <w:r w:rsidRPr="003E3665">
        <w:rPr>
          <w:i/>
          <w:iCs/>
          <w:vertAlign w:val="superscript"/>
          <w:lang w:val="en-IE" w:eastAsia="en-IE"/>
        </w:rPr>
        <w:t>15</w:t>
      </w:r>
      <w:r w:rsidRPr="00686963">
        <w:rPr>
          <w:lang w:val="en-IE" w:eastAsia="en-IE"/>
        </w:rPr>
        <w:t>.</w:t>
      </w:r>
    </w:p>
    <w:p w14:paraId="60405D68" w14:textId="6890B51A" w:rsidR="00686963" w:rsidRPr="00686963" w:rsidRDefault="003E3665" w:rsidP="003E3665">
      <w:pPr>
        <w:pStyle w:val="H23G"/>
        <w:rPr>
          <w:lang w:val="en-IE" w:eastAsia="en-IE"/>
        </w:rPr>
      </w:pPr>
      <w:r>
        <w:rPr>
          <w:lang w:val="en-IE" w:eastAsia="en-IE"/>
        </w:rPr>
        <w:tab/>
      </w:r>
      <w:r>
        <w:rPr>
          <w:lang w:val="en-IE" w:eastAsia="en-IE"/>
        </w:rPr>
        <w:tab/>
      </w:r>
      <w:r w:rsidR="00686963" w:rsidRPr="00686963">
        <w:rPr>
          <w:lang w:val="en-IE" w:eastAsia="en-IE"/>
        </w:rPr>
        <w:t>Reply to paragraph 5(b)</w:t>
      </w:r>
    </w:p>
    <w:p w14:paraId="204C43F0" w14:textId="77777777" w:rsidR="00686963" w:rsidRPr="00686963" w:rsidRDefault="00686963" w:rsidP="00AB1D0B">
      <w:pPr>
        <w:pStyle w:val="SingleTxtG"/>
        <w:numPr>
          <w:ilvl w:val="0"/>
          <w:numId w:val="27"/>
        </w:numPr>
        <w:tabs>
          <w:tab w:val="clear" w:pos="2268"/>
          <w:tab w:val="clear" w:pos="2835"/>
        </w:tabs>
        <w:ind w:left="1134" w:firstLine="0"/>
        <w:rPr>
          <w:lang w:val="en-IE" w:eastAsia="en-IE"/>
        </w:rPr>
      </w:pPr>
      <w:r w:rsidRPr="00686963">
        <w:rPr>
          <w:lang w:val="en-IE" w:eastAsia="en-IE"/>
        </w:rPr>
        <w:t>The National Youth Assembly of Ireland has accommodation measures to enable participation of delegates with additional requirements.</w:t>
      </w:r>
    </w:p>
    <w:p w14:paraId="28D709E8" w14:textId="77777777" w:rsidR="00686963" w:rsidRPr="00686963" w:rsidRDefault="00686963" w:rsidP="00AB1D0B">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priority action CS.SE.1 in </w:t>
      </w:r>
      <w:r w:rsidRPr="00AB1D0B">
        <w:rPr>
          <w:i/>
          <w:iCs/>
          <w:lang w:val="en-IE" w:eastAsia="en-IE"/>
        </w:rPr>
        <w:t>The Strategy 2025-2030’s Action Plan</w:t>
      </w:r>
      <w:r w:rsidRPr="00AB1D0B">
        <w:rPr>
          <w:i/>
          <w:iCs/>
          <w:vertAlign w:val="superscript"/>
          <w:lang w:val="en-IE" w:eastAsia="en-IE"/>
        </w:rPr>
        <w:t>7</w:t>
      </w:r>
      <w:r w:rsidRPr="00686963">
        <w:rPr>
          <w:lang w:val="en-IE" w:eastAsia="en-IE"/>
        </w:rPr>
        <w:t>.</w:t>
      </w:r>
    </w:p>
    <w:p w14:paraId="5CA3DA34" w14:textId="77777777" w:rsidR="00686963" w:rsidRPr="00686963" w:rsidRDefault="00686963" w:rsidP="00AB1D0B">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5(a).</w:t>
      </w:r>
    </w:p>
    <w:p w14:paraId="5D958A39" w14:textId="26541822" w:rsidR="00686963" w:rsidRPr="00686963" w:rsidRDefault="00AB1D0B" w:rsidP="00AB1D0B">
      <w:pPr>
        <w:pStyle w:val="H23G"/>
        <w:rPr>
          <w:lang w:val="en-IE" w:eastAsia="en-IE"/>
        </w:rPr>
      </w:pPr>
      <w:r>
        <w:rPr>
          <w:lang w:val="en-IE" w:eastAsia="en-IE"/>
        </w:rPr>
        <w:tab/>
      </w:r>
      <w:r>
        <w:rPr>
          <w:lang w:val="en-IE" w:eastAsia="en-IE"/>
        </w:rPr>
        <w:tab/>
      </w:r>
      <w:r w:rsidR="00686963" w:rsidRPr="00686963">
        <w:rPr>
          <w:lang w:val="en-IE" w:eastAsia="en-IE"/>
        </w:rPr>
        <w:t>Reply to paragraph 6</w:t>
      </w:r>
    </w:p>
    <w:p w14:paraId="4CE49B13" w14:textId="77777777" w:rsidR="00686963" w:rsidRPr="00686963" w:rsidRDefault="00686963" w:rsidP="00AB1D0B">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priority actions 5.1 and 21.3 in </w:t>
      </w:r>
      <w:r w:rsidRPr="00AB1D0B">
        <w:rPr>
          <w:i/>
          <w:iCs/>
          <w:lang w:val="en-IE" w:eastAsia="en-IE"/>
        </w:rPr>
        <w:t>The Strategy 2025-2030’s</w:t>
      </w:r>
      <w:r w:rsidRPr="00AB1D0B">
        <w:rPr>
          <w:i/>
          <w:iCs/>
          <w:color w:val="000000" w:themeColor="text1"/>
          <w:lang w:val="en-IE" w:eastAsia="en-IE"/>
        </w:rPr>
        <w:t xml:space="preserve"> Action Plan</w:t>
      </w:r>
      <w:r w:rsidRPr="00AB1D0B">
        <w:rPr>
          <w:i/>
          <w:iCs/>
          <w:color w:val="000000" w:themeColor="text1"/>
          <w:vertAlign w:val="superscript"/>
          <w:lang w:val="en-IE" w:eastAsia="en-IE"/>
        </w:rPr>
        <w:t>7</w:t>
      </w:r>
      <w:r w:rsidRPr="00686963">
        <w:rPr>
          <w:lang w:val="en-IE" w:eastAsia="en-IE"/>
        </w:rPr>
        <w:t>.</w:t>
      </w:r>
    </w:p>
    <w:p w14:paraId="791E1718"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In March 2026, the National Disability Authority (NDA) launched an introductory eLearning module</w:t>
      </w:r>
      <w:r w:rsidRPr="00686963">
        <w:rPr>
          <w:vertAlign w:val="superscript"/>
          <w:lang w:val="en-IE" w:eastAsia="en-IE"/>
        </w:rPr>
        <w:t>16</w:t>
      </w:r>
      <w:r w:rsidRPr="00686963">
        <w:rPr>
          <w:lang w:val="en-IE" w:eastAsia="en-IE"/>
        </w:rPr>
        <w:t xml:space="preserve"> supporting public bodies to understand disability equality and deliver inclusive public services.</w:t>
      </w:r>
    </w:p>
    <w:p w14:paraId="1268E2D7"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Through the Work and Access scheme</w:t>
      </w:r>
      <w:r w:rsidRPr="00686963">
        <w:rPr>
          <w:vertAlign w:val="superscript"/>
          <w:lang w:val="en-IE" w:eastAsia="en-IE"/>
        </w:rPr>
        <w:t>17</w:t>
      </w:r>
      <w:r w:rsidRPr="00686963">
        <w:rPr>
          <w:lang w:val="en-IE" w:eastAsia="en-IE"/>
        </w:rPr>
        <w:t>, employers can receive up to €20,000 annually to deliver disability awareness, equality, and rights-based training for staff.</w:t>
      </w:r>
    </w:p>
    <w:p w14:paraId="28B1DDF9" w14:textId="008E9259"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7(a)</w:t>
      </w:r>
    </w:p>
    <w:p w14:paraId="4A9D5ADE"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Implementation of the Directive has been advanced on a “mainstream first” basis, with implementation and oversight led by organisations already engaging in oversight of products and services within the scope of the Directive. These bodies are supported by the advice and guidance of the NDA.</w:t>
      </w:r>
    </w:p>
    <w:p w14:paraId="3D9C5731" w14:textId="6999979A"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7(b)</w:t>
      </w:r>
    </w:p>
    <w:p w14:paraId="31C9B9FC"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7(a).</w:t>
      </w:r>
    </w:p>
    <w:p w14:paraId="22F0C174"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lastRenderedPageBreak/>
        <w:t>The NDA is the National Monitoring Body for monitoring compliance with and reporting on the EU Web Accessibility Directive.</w:t>
      </w:r>
    </w:p>
    <w:p w14:paraId="1CF05851" w14:textId="3949C487"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7(c)</w:t>
      </w:r>
    </w:p>
    <w:p w14:paraId="4B78E1B5"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F43FC1">
        <w:rPr>
          <w:i/>
          <w:iCs/>
          <w:lang w:val="en-IE" w:eastAsia="en-IE"/>
        </w:rPr>
        <w:t>The Customer Communications Toolkit for the Public Service – A Universal Design Approach</w:t>
      </w:r>
      <w:r w:rsidRPr="00F43FC1">
        <w:rPr>
          <w:i/>
          <w:iCs/>
          <w:vertAlign w:val="superscript"/>
          <w:lang w:val="en-IE" w:eastAsia="en-IE"/>
        </w:rPr>
        <w:t>18</w:t>
      </w:r>
      <w:r w:rsidRPr="00686963">
        <w:rPr>
          <w:lang w:val="en-IE" w:eastAsia="en-IE"/>
        </w:rPr>
        <w:t xml:space="preserve"> provides guidance to inform the design and procurement of customer communications.</w:t>
      </w:r>
    </w:p>
    <w:p w14:paraId="48D25DCD" w14:textId="51173D16"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7(d)</w:t>
      </w:r>
    </w:p>
    <w:p w14:paraId="49656102"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priority actions 22.10-22.11 in </w:t>
      </w:r>
      <w:r w:rsidRPr="00F43FC1">
        <w:rPr>
          <w:i/>
          <w:iCs/>
          <w:lang w:val="en-IE" w:eastAsia="en-IE"/>
        </w:rPr>
        <w:t xml:space="preserve">The Strategy 2025-2030’s </w:t>
      </w:r>
      <w:r w:rsidRPr="00F43FC1">
        <w:rPr>
          <w:i/>
          <w:iCs/>
          <w:color w:val="000000" w:themeColor="text1"/>
          <w:lang w:val="en-IE" w:eastAsia="en-IE"/>
        </w:rPr>
        <w:t>Action Plan</w:t>
      </w:r>
      <w:r w:rsidRPr="00F43FC1">
        <w:rPr>
          <w:i/>
          <w:iCs/>
          <w:color w:val="000000" w:themeColor="text1"/>
          <w:vertAlign w:val="superscript"/>
          <w:lang w:val="en-IE" w:eastAsia="en-IE"/>
        </w:rPr>
        <w:t>7</w:t>
      </w:r>
      <w:r w:rsidRPr="00686963">
        <w:rPr>
          <w:lang w:val="en-IE" w:eastAsia="en-IE"/>
        </w:rPr>
        <w:t>.</w:t>
      </w:r>
    </w:p>
    <w:p w14:paraId="386ABE61" w14:textId="46347D10"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7(e)</w:t>
      </w:r>
    </w:p>
    <w:p w14:paraId="72165392"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 xml:space="preserve">Under </w:t>
      </w:r>
      <w:r w:rsidRPr="00686963">
        <w:rPr>
          <w:i/>
          <w:iCs/>
          <w:lang w:val="en-IE" w:eastAsia="en-IE"/>
        </w:rPr>
        <w:t>The Strategy 2025-2030</w:t>
      </w:r>
      <w:r w:rsidRPr="00686963">
        <w:rPr>
          <w:vertAlign w:val="superscript"/>
          <w:lang w:val="en-IE" w:eastAsia="en-IE"/>
        </w:rPr>
        <w:t>1</w:t>
      </w:r>
      <w:r w:rsidRPr="00686963">
        <w:rPr>
          <w:lang w:val="en-IE" w:eastAsia="en-IE"/>
        </w:rPr>
        <w:t>, Irish Sign Language (ISL) has been identified as a priority policy area. A working group has been established to consider the recommendations of the NDA on the operation of the ISL Act 2017 and any subsequent reports, with a focus on increasing the supply of ISL interpreters.</w:t>
      </w:r>
    </w:p>
    <w:p w14:paraId="1DFC1B09" w14:textId="44459144" w:rsidR="00686963" w:rsidRPr="00686963" w:rsidRDefault="00F43FC1" w:rsidP="00F43FC1">
      <w:pPr>
        <w:pStyle w:val="H23G"/>
        <w:rPr>
          <w:lang w:val="en-IE" w:eastAsia="en-IE"/>
        </w:rPr>
      </w:pPr>
      <w:r>
        <w:rPr>
          <w:lang w:val="en-IE" w:eastAsia="en-IE"/>
        </w:rPr>
        <w:tab/>
      </w:r>
      <w:r>
        <w:rPr>
          <w:lang w:val="en-IE" w:eastAsia="en-IE"/>
        </w:rPr>
        <w:tab/>
      </w:r>
      <w:r w:rsidR="00686963" w:rsidRPr="00686963">
        <w:rPr>
          <w:lang w:val="en-IE" w:eastAsia="en-IE"/>
        </w:rPr>
        <w:t>Reply to paragraph 8</w:t>
      </w:r>
    </w:p>
    <w:p w14:paraId="6BA5DEAA"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Reviews of serious adult safeguarding incidents are an important feature of Ireland’s safeguarding system. The National Independent Review Panel (NIRP), established in 2017, is the mechanism for undertaking these reviews. The NIRP is independent in its functions, making findings and recommendations and producing objective reports that are independent of the Health Service Executive (HSE) and other service providers.</w:t>
      </w:r>
    </w:p>
    <w:p w14:paraId="555C1B04"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In December 2025 the Department of Health (DoH) published a National Policy Framework for Adult Safeguarding in the Health and Social Care Sector</w:t>
      </w:r>
      <w:r w:rsidRPr="00686963">
        <w:rPr>
          <w:vertAlign w:val="superscript"/>
          <w:lang w:val="en-IE" w:eastAsia="en-IE"/>
        </w:rPr>
        <w:t>19</w:t>
      </w:r>
      <w:r w:rsidRPr="00686963">
        <w:rPr>
          <w:lang w:val="en-IE" w:eastAsia="en-IE"/>
        </w:rPr>
        <w:t xml:space="preserve"> which commits to strengthening the NIRP process and placing it on a statutory footing.</w:t>
      </w:r>
    </w:p>
    <w:p w14:paraId="49853AA6"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Forthcoming legislation will require that all adult safeguarding incidents that reach a defined criteria must be referred to the NIRP for review.</w:t>
      </w:r>
    </w:p>
    <w:p w14:paraId="1727D61D" w14:textId="77777777" w:rsidR="00686963" w:rsidRPr="00686963" w:rsidRDefault="00686963" w:rsidP="00F43FC1">
      <w:pPr>
        <w:pStyle w:val="SingleTxtG"/>
        <w:numPr>
          <w:ilvl w:val="0"/>
          <w:numId w:val="27"/>
        </w:numPr>
        <w:tabs>
          <w:tab w:val="clear" w:pos="2268"/>
          <w:tab w:val="clear" w:pos="2835"/>
        </w:tabs>
        <w:ind w:left="1134" w:firstLine="0"/>
        <w:rPr>
          <w:lang w:val="en-IE" w:eastAsia="en-IE"/>
        </w:rPr>
      </w:pPr>
      <w:r w:rsidRPr="00686963">
        <w:rPr>
          <w:lang w:val="en-IE" w:eastAsia="en-IE"/>
        </w:rPr>
        <w:t>Under the Patient Safety (Notifiable Incidents and Open Disclosure) Act 2023</w:t>
      </w:r>
      <w:r w:rsidRPr="00686963">
        <w:rPr>
          <w:vertAlign w:val="superscript"/>
          <w:lang w:val="en-IE" w:eastAsia="en-IE"/>
        </w:rPr>
        <w:t>20</w:t>
      </w:r>
      <w:r w:rsidRPr="00686963">
        <w:rPr>
          <w:lang w:val="en-IE" w:eastAsia="en-IE"/>
        </w:rPr>
        <w:t>, health services are required to inform HIQA of notifiable incidents.</w:t>
      </w:r>
    </w:p>
    <w:p w14:paraId="38FB2A62" w14:textId="678ACCD6" w:rsidR="00686963" w:rsidRPr="00686963" w:rsidRDefault="00720202" w:rsidP="00720202">
      <w:pPr>
        <w:pStyle w:val="H23G"/>
        <w:rPr>
          <w:lang w:val="en-IE" w:eastAsia="en-IE"/>
        </w:rPr>
      </w:pPr>
      <w:r>
        <w:rPr>
          <w:lang w:val="en-IE" w:eastAsia="en-IE"/>
        </w:rPr>
        <w:tab/>
      </w:r>
      <w:r>
        <w:rPr>
          <w:lang w:val="en-IE" w:eastAsia="en-IE"/>
        </w:rPr>
        <w:tab/>
      </w:r>
      <w:r w:rsidR="00686963" w:rsidRPr="00686963">
        <w:rPr>
          <w:lang w:val="en-IE" w:eastAsia="en-IE"/>
        </w:rPr>
        <w:t>Reply to paragraph 9(a)</w:t>
      </w:r>
    </w:p>
    <w:p w14:paraId="1695CB72" w14:textId="77777777" w:rsidR="00686963" w:rsidRPr="00686963" w:rsidRDefault="00686963" w:rsidP="00720202">
      <w:pPr>
        <w:pStyle w:val="SingleTxtG"/>
        <w:numPr>
          <w:ilvl w:val="0"/>
          <w:numId w:val="27"/>
        </w:numPr>
        <w:tabs>
          <w:tab w:val="clear" w:pos="2268"/>
          <w:tab w:val="clear" w:pos="2835"/>
        </w:tabs>
        <w:ind w:left="1134" w:firstLine="0"/>
        <w:rPr>
          <w:lang w:val="en-IE" w:eastAsia="en-IE"/>
        </w:rPr>
      </w:pPr>
      <w:r w:rsidRPr="00686963">
        <w:rPr>
          <w:lang w:val="en-IE" w:eastAsia="en-IE"/>
        </w:rPr>
        <w:t>The Department of Defence ensures that disabled people receive accessible communications on emergency‑related plans and strategies through multiple mediums.</w:t>
      </w:r>
    </w:p>
    <w:p w14:paraId="0BAA7FBA" w14:textId="77777777" w:rsidR="00686963" w:rsidRPr="00686963" w:rsidRDefault="00686963" w:rsidP="00720202">
      <w:pPr>
        <w:pStyle w:val="SingleTxtG"/>
        <w:numPr>
          <w:ilvl w:val="0"/>
          <w:numId w:val="27"/>
        </w:numPr>
        <w:tabs>
          <w:tab w:val="clear" w:pos="2268"/>
          <w:tab w:val="clear" w:pos="2835"/>
        </w:tabs>
        <w:ind w:left="1134" w:firstLine="0"/>
        <w:rPr>
          <w:lang w:val="en-IE" w:eastAsia="en-IE"/>
        </w:rPr>
      </w:pPr>
      <w:r w:rsidRPr="00686963">
        <w:rPr>
          <w:lang w:val="en-IE" w:eastAsia="en-IE"/>
        </w:rPr>
        <w:t>Gov.ie conducts testing and quality‑control reviews on relevant webpage content and consults the NDA to ensure accessibility, accuracy, and compliance with universal design principles.</w:t>
      </w:r>
    </w:p>
    <w:p w14:paraId="26F2B599" w14:textId="77777777" w:rsidR="00686963" w:rsidRPr="00686963" w:rsidRDefault="00686963" w:rsidP="00720202">
      <w:pPr>
        <w:pStyle w:val="SingleTxtG"/>
        <w:numPr>
          <w:ilvl w:val="0"/>
          <w:numId w:val="27"/>
        </w:numPr>
        <w:tabs>
          <w:tab w:val="clear" w:pos="2268"/>
          <w:tab w:val="clear" w:pos="2835"/>
        </w:tabs>
        <w:ind w:left="1134" w:firstLine="0"/>
        <w:rPr>
          <w:lang w:val="en-IE" w:eastAsia="en-IE"/>
        </w:rPr>
      </w:pPr>
      <w:r w:rsidRPr="00686963">
        <w:rPr>
          <w:lang w:val="en-IE" w:eastAsia="en-IE"/>
        </w:rPr>
        <w:t>The 2026 NDA Annual Conference</w:t>
      </w:r>
      <w:r w:rsidRPr="00686963">
        <w:rPr>
          <w:vertAlign w:val="superscript"/>
          <w:lang w:val="en-IE" w:eastAsia="en-IE"/>
        </w:rPr>
        <w:t>21</w:t>
      </w:r>
      <w:r w:rsidRPr="00686963">
        <w:rPr>
          <w:lang w:val="en-IE" w:eastAsia="en-IE"/>
        </w:rPr>
        <w:t xml:space="preserve"> will consider disability inclusive responses to emergencies in line with Article 11.</w:t>
      </w:r>
    </w:p>
    <w:p w14:paraId="1419DCF4" w14:textId="7D85BF86" w:rsidR="00686963" w:rsidRPr="00686963" w:rsidRDefault="00FA1C87" w:rsidP="00FA1C87">
      <w:pPr>
        <w:pStyle w:val="H23G"/>
        <w:rPr>
          <w:lang w:val="en-IE" w:eastAsia="en-IE"/>
        </w:rPr>
      </w:pPr>
      <w:r>
        <w:rPr>
          <w:lang w:val="en-IE" w:eastAsia="en-IE"/>
        </w:rPr>
        <w:tab/>
      </w:r>
      <w:r>
        <w:rPr>
          <w:lang w:val="en-IE" w:eastAsia="en-IE"/>
        </w:rPr>
        <w:tab/>
      </w:r>
      <w:r w:rsidR="00686963" w:rsidRPr="00686963">
        <w:rPr>
          <w:lang w:val="en-IE" w:eastAsia="en-IE"/>
        </w:rPr>
        <w:t>Reply to paragraph 9(b)</w:t>
      </w:r>
    </w:p>
    <w:p w14:paraId="3F3E489E" w14:textId="77777777" w:rsidR="00686963" w:rsidRPr="00686963" w:rsidRDefault="00686963" w:rsidP="00FA1C87">
      <w:pPr>
        <w:pStyle w:val="SingleTxtG"/>
        <w:numPr>
          <w:ilvl w:val="0"/>
          <w:numId w:val="27"/>
        </w:numPr>
        <w:tabs>
          <w:tab w:val="clear" w:pos="2268"/>
          <w:tab w:val="clear" w:pos="2835"/>
        </w:tabs>
        <w:ind w:left="1134" w:firstLine="0"/>
        <w:rPr>
          <w:lang w:val="en-IE" w:eastAsia="en-IE"/>
        </w:rPr>
      </w:pPr>
      <w:r w:rsidRPr="00686963">
        <w:rPr>
          <w:lang w:val="en-IE" w:eastAsia="en-IE"/>
        </w:rPr>
        <w:t>See Action ISL.2.7. under the</w:t>
      </w:r>
      <w:r w:rsidRPr="00686963">
        <w:rPr>
          <w:bCs/>
          <w:lang w:val="en-IE" w:eastAsia="en-IE"/>
        </w:rPr>
        <w:t xml:space="preserve"> </w:t>
      </w:r>
      <w:r w:rsidRPr="00FA1C87">
        <w:rPr>
          <w:bCs/>
          <w:i/>
          <w:iCs/>
          <w:lang w:val="en-IE" w:eastAsia="en-IE"/>
        </w:rPr>
        <w:t xml:space="preserve">Strategy 2025-2030’s </w:t>
      </w:r>
      <w:r w:rsidRPr="00FA1C87">
        <w:rPr>
          <w:i/>
          <w:iCs/>
          <w:color w:val="000000" w:themeColor="text1"/>
          <w:lang w:val="en-IE" w:eastAsia="en-IE"/>
        </w:rPr>
        <w:t>Action Plan</w:t>
      </w:r>
      <w:r w:rsidRPr="00FA1C87">
        <w:rPr>
          <w:i/>
          <w:iCs/>
          <w:color w:val="000000" w:themeColor="text1"/>
          <w:vertAlign w:val="superscript"/>
          <w:lang w:val="en-IE" w:eastAsia="en-IE"/>
        </w:rPr>
        <w:t>7</w:t>
      </w:r>
      <w:r w:rsidRPr="00686963">
        <w:rPr>
          <w:color w:val="000000" w:themeColor="text1"/>
          <w:lang w:val="en-IE" w:eastAsia="en-IE"/>
        </w:rPr>
        <w:t>.</w:t>
      </w:r>
    </w:p>
    <w:p w14:paraId="3F81BCAD" w14:textId="3103AF76" w:rsidR="00686963" w:rsidRPr="00686963" w:rsidRDefault="00FA1C87" w:rsidP="00FA1C87">
      <w:pPr>
        <w:pStyle w:val="H23G"/>
        <w:rPr>
          <w:lang w:val="en-IE" w:eastAsia="en-IE"/>
        </w:rPr>
      </w:pPr>
      <w:r>
        <w:rPr>
          <w:lang w:val="en-IE" w:eastAsia="en-IE"/>
        </w:rPr>
        <w:tab/>
      </w:r>
      <w:r>
        <w:rPr>
          <w:lang w:val="en-IE" w:eastAsia="en-IE"/>
        </w:rPr>
        <w:tab/>
      </w:r>
      <w:r w:rsidR="00686963" w:rsidRPr="00686963">
        <w:rPr>
          <w:lang w:val="en-IE" w:eastAsia="en-IE"/>
        </w:rPr>
        <w:t>Reply to paragraph 9(c)</w:t>
      </w:r>
    </w:p>
    <w:p w14:paraId="6F300E7D" w14:textId="77777777" w:rsidR="00686963" w:rsidRPr="00686963" w:rsidRDefault="00686963" w:rsidP="00FA1C87">
      <w:pPr>
        <w:pStyle w:val="SingleTxtG"/>
        <w:numPr>
          <w:ilvl w:val="0"/>
          <w:numId w:val="27"/>
        </w:numPr>
        <w:tabs>
          <w:tab w:val="clear" w:pos="2268"/>
          <w:tab w:val="clear" w:pos="2835"/>
        </w:tabs>
        <w:ind w:left="1134" w:firstLine="0"/>
        <w:rPr>
          <w:lang w:val="en-IE" w:eastAsia="en-IE"/>
        </w:rPr>
      </w:pPr>
      <w:r w:rsidRPr="00686963">
        <w:rPr>
          <w:lang w:val="en-IE" w:eastAsia="en-IE"/>
        </w:rPr>
        <w:t>Implementation of the National Broadband Plan is progressing nationwide, strengthening access to emergency communication services, including voice, text, and next-generation emergency communications.</w:t>
      </w:r>
    </w:p>
    <w:p w14:paraId="6247FF55" w14:textId="5273D868" w:rsidR="00686963" w:rsidRPr="00686963" w:rsidRDefault="00FA1C87" w:rsidP="00FA1C87">
      <w:pPr>
        <w:pStyle w:val="H23G"/>
        <w:rPr>
          <w:lang w:val="en-IE" w:eastAsia="en-IE"/>
        </w:rPr>
      </w:pPr>
      <w:r>
        <w:rPr>
          <w:lang w:val="en-IE" w:eastAsia="en-IE"/>
        </w:rPr>
        <w:tab/>
      </w:r>
      <w:r>
        <w:rPr>
          <w:lang w:val="en-IE" w:eastAsia="en-IE"/>
        </w:rPr>
        <w:tab/>
      </w:r>
      <w:r w:rsidR="00686963" w:rsidRPr="00686963">
        <w:rPr>
          <w:lang w:val="en-IE" w:eastAsia="en-IE"/>
        </w:rPr>
        <w:t>Reply to paragraph 9(d)</w:t>
      </w:r>
    </w:p>
    <w:p w14:paraId="7F1B4D6C" w14:textId="77777777" w:rsidR="00686963" w:rsidRPr="00686963" w:rsidRDefault="00686963" w:rsidP="00FA1C87">
      <w:pPr>
        <w:pStyle w:val="SingleTxtG"/>
        <w:numPr>
          <w:ilvl w:val="0"/>
          <w:numId w:val="27"/>
        </w:numPr>
        <w:tabs>
          <w:tab w:val="clear" w:pos="2268"/>
          <w:tab w:val="clear" w:pos="2835"/>
        </w:tabs>
        <w:ind w:left="1134" w:firstLine="0"/>
        <w:rPr>
          <w:lang w:val="en-IE" w:eastAsia="en-IE"/>
        </w:rPr>
      </w:pPr>
      <w:r w:rsidRPr="00686963">
        <w:rPr>
          <w:lang w:val="en-IE" w:eastAsia="en-IE"/>
        </w:rPr>
        <w:t>Ireland’s COVID-19 Evaluation is an independent non-statutory entity. Through this evaluation, a nationwide public consultation occurred which invited individuals, families, workers, carers, communities and businesses to share their experiences of the pandemic</w:t>
      </w:r>
      <w:r w:rsidRPr="00686963">
        <w:rPr>
          <w:vertAlign w:val="superscript"/>
          <w:lang w:val="en-IE" w:eastAsia="en-IE"/>
        </w:rPr>
        <w:t>22</w:t>
      </w:r>
      <w:r w:rsidRPr="00686963">
        <w:rPr>
          <w:lang w:val="en-IE" w:eastAsia="en-IE"/>
        </w:rPr>
        <w:t>.</w:t>
      </w:r>
    </w:p>
    <w:p w14:paraId="2E707FAA" w14:textId="738679BF" w:rsidR="00686963" w:rsidRPr="00686963" w:rsidRDefault="00FA1C87" w:rsidP="00FA1C87">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10(a)</w:t>
      </w:r>
    </w:p>
    <w:p w14:paraId="2CDE6165" w14:textId="77777777" w:rsidR="00686963" w:rsidRPr="00686963" w:rsidRDefault="00686963" w:rsidP="00FA1C87">
      <w:pPr>
        <w:pStyle w:val="SingleTxtG"/>
        <w:numPr>
          <w:ilvl w:val="0"/>
          <w:numId w:val="27"/>
        </w:numPr>
        <w:tabs>
          <w:tab w:val="clear" w:pos="2268"/>
          <w:tab w:val="clear" w:pos="2835"/>
        </w:tabs>
        <w:ind w:left="1134" w:firstLine="0"/>
        <w:rPr>
          <w:lang w:val="en-IE" w:eastAsia="en-IE"/>
        </w:rPr>
      </w:pPr>
      <w:r w:rsidRPr="00686963">
        <w:rPr>
          <w:lang w:val="en-IE" w:eastAsia="en-IE"/>
        </w:rPr>
        <w:t>The 2015 Act</w:t>
      </w:r>
      <w:r w:rsidRPr="00686963">
        <w:rPr>
          <w:vertAlign w:val="superscript"/>
          <w:lang w:val="en-IE" w:eastAsia="en-IE"/>
        </w:rPr>
        <w:t xml:space="preserve">5 </w:t>
      </w:r>
      <w:r w:rsidRPr="00686963">
        <w:rPr>
          <w:lang w:val="en-IE" w:eastAsia="en-IE"/>
        </w:rPr>
        <w:t>is underpinned by a set of guiding principles that are rooted in human rights, including the presumption of capacity. Where a relevant person’s capacity is in question, even after all necessary supports have been provided, an assessment of their capacity is based on their ability to make a specific decision at a specific time i.e. the functional approach to the assessment of capacity (Section 3). The capacity assessment must only consider the issue and circumstances in which the decision is being made at a specific point in time. There must be a valid reason before assessing a relevant person’s capacity. Any intervention made must: be proportionate, must take into account the person’s known will and preferences, and must be made in a manner that minimises the restriction of the person's rights and freedom of action, must have due regard to a relevant person’s rights to dignity, bodily integrity, privacy, autonomy, and control over their financial affairs and property; must respect the individual's right for private and family life, and home (Section 8). This approach ensures that an individual who may have complex capacity support needs is appropriately supported in decision-making, in line with their will and preferences, whilst enabling that person to retain as much decision-making autonomy as is possible. A statutory review of the operation and effectiveness of all aspects of the 2015 Act will commence in 2026 and will be informed by stakeholder consultation including those with diminished decision-making capacity. It will also be informed by a report published on the experiences of persons leaving wardship</w:t>
      </w:r>
      <w:r w:rsidRPr="00686963">
        <w:rPr>
          <w:vertAlign w:val="superscript"/>
          <w:lang w:val="en-IE" w:eastAsia="en-IE"/>
        </w:rPr>
        <w:t>23</w:t>
      </w:r>
      <w:r w:rsidRPr="00686963">
        <w:rPr>
          <w:lang w:val="en-IE" w:eastAsia="en-IE"/>
        </w:rPr>
        <w:t>.</w:t>
      </w:r>
    </w:p>
    <w:p w14:paraId="5F5E90F2" w14:textId="30479E57"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10(b)</w:t>
      </w:r>
    </w:p>
    <w:p w14:paraId="49EB6B35"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To support those who wish to make a directive, an approved template form which may be used or adapted is available on the websites of the Decision Support Service (DSS), the HSE and from Citizens Information sources.</w:t>
      </w:r>
    </w:p>
    <w:p w14:paraId="01F4F5B9" w14:textId="3EBEFF40"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10(c)</w:t>
      </w:r>
    </w:p>
    <w:p w14:paraId="2D8369DD"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The 2015 Act</w:t>
      </w:r>
      <w:r w:rsidRPr="00686963">
        <w:rPr>
          <w:rFonts w:eastAsia="Calibri"/>
          <w:vertAlign w:val="superscript"/>
          <w:lang w:val="en-IE" w:eastAsia="en-IE"/>
        </w:rPr>
        <w:t>5</w:t>
      </w:r>
      <w:r w:rsidRPr="00686963">
        <w:rPr>
          <w:lang w:val="en-IE" w:eastAsia="en-IE"/>
        </w:rPr>
        <w:t xml:space="preserve"> does not confer any new or additional jurisdiction on the High Court. To avoid uncertainty arising following the repeal of the Lunacy Regulation (Ireland) Act 1871 and the winding down of the wardship jurisdiction, section 4(5) of the 2015 Act as amended, recognises the inherent jurisdiction of the High Court to make orders for the care, treatment or detention of persons who lack capacity.  The Courts have emphasised that the jurisdiction should only be utilised in exceptional circumstances where fundamental constitutional rights are at stake and only where there is a statutory lacuna. In addition, the exercise of this exceptional jurisdiction is subject to the Constitutional imperative to vindicate personal rights (Article 40.3.2 of the Constitution), which requires attendant safeguards and ongoing review procedures for any order made.  The principles that inform the 2015 Act are also relevant in considering what is required to vindicate personal rights, including the obligation to give effect, in so far as practicable, to known will and preferences.</w:t>
      </w:r>
    </w:p>
    <w:p w14:paraId="25810AD9"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Recognising that there is a need for a dedicated statutory framework to vindicate the right to liberty of people accessing health and social care services, the Protection of Liberty Safeguards are being developed. The legislation will set out clear criteria for when a deprivation of liberty will be lawful, establish an independent process for determining whether a care arrangement that involves a deprivation of a person’s liberty is justified and provide a series of safeguards to protect the individual’s right to liberty.</w:t>
      </w:r>
    </w:p>
    <w:p w14:paraId="6289DCDB"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DoH has undertaken work to develop broad policy proposals which will shape this legislation. This work has been supported by an Expert Advisory Group, comprising legal, clinical and advocacy experts. DoH has engaged in a process of consultation with stakeholders in 2025 and final policy proposals are being developed to frame the drafting of a General Scheme of the Bill this year. The standards and principles of the Convention will inform final proposals.</w:t>
      </w:r>
    </w:p>
    <w:p w14:paraId="0B885830" w14:textId="5CCD5E9B"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10(d)</w:t>
      </w:r>
    </w:p>
    <w:p w14:paraId="08ABDE0A"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The Mental Health Act 2026</w:t>
      </w:r>
      <w:r w:rsidRPr="00686963">
        <w:rPr>
          <w:vertAlign w:val="superscript"/>
          <w:lang w:val="en-IE" w:eastAsia="en-IE"/>
        </w:rPr>
        <w:t>4</w:t>
      </w:r>
      <w:r w:rsidRPr="00686963">
        <w:rPr>
          <w:lang w:val="en-IE" w:eastAsia="en-IE"/>
        </w:rPr>
        <w:t xml:space="preserve"> contains an amendment to the Non-Fatal Offences Against the Person Act 1997</w:t>
      </w:r>
      <w:r w:rsidRPr="00686963">
        <w:rPr>
          <w:vertAlign w:val="superscript"/>
          <w:lang w:val="en-IE" w:eastAsia="en-IE"/>
        </w:rPr>
        <w:t>24</w:t>
      </w:r>
      <w:r w:rsidRPr="00686963">
        <w:rPr>
          <w:lang w:val="en-IE" w:eastAsia="en-IE"/>
        </w:rPr>
        <w:t xml:space="preserve"> to ensure that children may consent to mental health treatment on the same basis as consent for physical health treatment. Part 4 of the 2026 Act contains </w:t>
      </w:r>
      <w:r w:rsidRPr="00686963">
        <w:rPr>
          <w:lang w:val="en-IE" w:eastAsia="en-IE"/>
        </w:rPr>
        <w:lastRenderedPageBreak/>
        <w:t xml:space="preserve">detailed provisions regarding young people aged 16 and 17 years consenting to, or refusing to consent to, admission and treatment to registered acute mental health services, including detailed provisions about what should happen where a young person lacks the necessary capacity to </w:t>
      </w:r>
      <w:proofErr w:type="gramStart"/>
      <w:r w:rsidRPr="00686963">
        <w:rPr>
          <w:lang w:val="en-IE" w:eastAsia="en-IE"/>
        </w:rPr>
        <w:t>make a decision</w:t>
      </w:r>
      <w:proofErr w:type="gramEnd"/>
      <w:r w:rsidRPr="00686963">
        <w:rPr>
          <w:lang w:val="en-IE" w:eastAsia="en-IE"/>
        </w:rPr>
        <w:t>.</w:t>
      </w:r>
    </w:p>
    <w:p w14:paraId="6193F6F5" w14:textId="0A3C5230"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10(e)</w:t>
      </w:r>
    </w:p>
    <w:p w14:paraId="04760F37"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As part of the discharge from wardship process as described in Part 6 of the 2015 Act</w:t>
      </w:r>
      <w:r w:rsidRPr="00686963">
        <w:rPr>
          <w:vertAlign w:val="superscript"/>
          <w:lang w:val="en-IE" w:eastAsia="en-IE"/>
        </w:rPr>
        <w:t>5</w:t>
      </w:r>
      <w:r w:rsidRPr="00686963">
        <w:rPr>
          <w:lang w:val="en-IE" w:eastAsia="en-IE"/>
        </w:rPr>
        <w:t xml:space="preserve">, a functional capacity assessment is carried out which helps to inform the decision of the Wardship Court regarding what decision support arrangement, if any, should be put in place in respect of the former ward of court once they have transitioned out of wardship. Where the Court determines that the ward lacks the capacity to make certain decisions, they will be discharged with either a co-decision-making agreement or a decision-making representation order, depending on their level of capacity and support needs. Where the wardship court declares that the ward lacks capacity to make certain decisions, this declaration will be kept under review by the Circuit Court </w:t>
      </w:r>
      <w:r w:rsidRPr="00686963">
        <w:rPr>
          <w:bCs/>
          <w:lang w:val="en-IE" w:eastAsia="en-IE"/>
        </w:rPr>
        <w:t>as provided for in section 55A</w:t>
      </w:r>
      <w:r w:rsidRPr="00686963">
        <w:rPr>
          <w:lang w:val="en-IE" w:eastAsia="en-IE"/>
        </w:rPr>
        <w:t xml:space="preserve">. A co-decision-maker can jointly </w:t>
      </w:r>
      <w:proofErr w:type="gramStart"/>
      <w:r w:rsidRPr="00686963">
        <w:rPr>
          <w:lang w:val="en-IE" w:eastAsia="en-IE"/>
        </w:rPr>
        <w:t>make a decision</w:t>
      </w:r>
      <w:proofErr w:type="gramEnd"/>
      <w:r w:rsidRPr="00686963">
        <w:rPr>
          <w:lang w:val="en-IE" w:eastAsia="en-IE"/>
        </w:rPr>
        <w:t xml:space="preserve"> with the relevant </w:t>
      </w:r>
      <w:proofErr w:type="gramStart"/>
      <w:r w:rsidRPr="00686963">
        <w:rPr>
          <w:lang w:val="en-IE" w:eastAsia="en-IE"/>
        </w:rPr>
        <w:t>person, and</w:t>
      </w:r>
      <w:proofErr w:type="gramEnd"/>
      <w:r w:rsidRPr="00686963">
        <w:rPr>
          <w:lang w:val="en-IE" w:eastAsia="en-IE"/>
        </w:rPr>
        <w:t xml:space="preserve"> can also gather and explain material to the relevant person, and communicate the decision on behalf of the relevant person.  A decision-making representation order is the highest tier of decision support arrangement in which a decision-making representative can take decisions on behalf of the relevant person.  However, in accordance with the principles of the 2015 Act, any decisions taken by a decision-making representative must give effect to the relevant person’s known will and preferences.</w:t>
      </w:r>
    </w:p>
    <w:p w14:paraId="40326E46"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Decision support arrangements under Parts 4, 5 and 7 of the 2015 Act are overseen and supervised by the DSS to ensure that the arrangement is working as intended.  This includes, inter alia, a review of the arrangement to ensure that it remains necessary and appropriate and that the decision supporter has performed and continues to be likely to perform his or her functions. It also includes the requirement for the decision supporter to make regular reports to the DSS on the performance of their functions.</w:t>
      </w:r>
    </w:p>
    <w:p w14:paraId="69BD3D3B"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The Office of the Accountant of the Courts of Justice acts in accordance with the instructions set out in the High Court Order on the release of funds belonging to the relevant person/former Ward of Court. Once funds are released from the Court, responsibility for safeguarding assets rests directly with the Relevant Person or their Co-decision maker or Decision-Making Representative, in line with the Court Order.</w:t>
      </w:r>
    </w:p>
    <w:p w14:paraId="1BE2FD6B"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 xml:space="preserve">It is not intended to put a formal complaints mechanism in place concerning investment decisions taken on behalf of former Wards of Court. However, Courts Service staff are available to the Ward of Court/relevant person, their </w:t>
      </w:r>
      <w:proofErr w:type="gramStart"/>
      <w:r w:rsidRPr="00686963">
        <w:rPr>
          <w:lang w:val="en-IE" w:eastAsia="en-IE"/>
        </w:rPr>
        <w:t>Committee</w:t>
      </w:r>
      <w:proofErr w:type="gramEnd"/>
      <w:r w:rsidRPr="00686963">
        <w:rPr>
          <w:lang w:val="en-IE" w:eastAsia="en-IE"/>
        </w:rPr>
        <w:t xml:space="preserve"> and/or Co-decision maker or Decision-Making Representative to respond to any queries they may have. All queries will be dealt with sensitively in confidence and promptly to assist the relevant person in the transition out of wardship.</w:t>
      </w:r>
    </w:p>
    <w:p w14:paraId="6E20A472"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The Courts Service have engaged with Committees and Wards of Court/Relevant Persons, both in advance of the implementation of the 2015 Act and since its implementation. This includes an event for Wards of Court committees and families held in March 2026. A recent report by the NDA recognised that an extensive, multi-strand information campaign was undertaken to inform wards of court and their families about the discharge process</w:t>
      </w:r>
      <w:r w:rsidRPr="00686963">
        <w:rPr>
          <w:vertAlign w:val="superscript"/>
          <w:lang w:val="en-IE" w:eastAsia="en-IE"/>
        </w:rPr>
        <w:t>23</w:t>
      </w:r>
      <w:r w:rsidRPr="00686963">
        <w:rPr>
          <w:lang w:val="en-IE" w:eastAsia="en-IE"/>
        </w:rPr>
        <w:t>.</w:t>
      </w:r>
    </w:p>
    <w:p w14:paraId="56A31E37" w14:textId="184E87B6"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11(a)</w:t>
      </w:r>
    </w:p>
    <w:p w14:paraId="4ACAFBB9" w14:textId="77777777" w:rsidR="00686963" w:rsidRPr="00686963" w:rsidRDefault="00686963" w:rsidP="00ED51EB">
      <w:pPr>
        <w:pStyle w:val="SingleTxtG"/>
        <w:numPr>
          <w:ilvl w:val="0"/>
          <w:numId w:val="27"/>
        </w:numPr>
        <w:tabs>
          <w:tab w:val="clear" w:pos="2268"/>
          <w:tab w:val="clear" w:pos="2835"/>
        </w:tabs>
        <w:ind w:left="1134" w:firstLine="0"/>
        <w:rPr>
          <w:lang w:val="en-IE" w:eastAsia="en-IE"/>
        </w:rPr>
      </w:pPr>
      <w:r w:rsidRPr="00686963">
        <w:rPr>
          <w:lang w:val="en-IE" w:eastAsia="en-IE"/>
        </w:rPr>
        <w:t>Ireland strives to improve access to justice for disabled people. Measures to respond to the recommendations of this study include:</w:t>
      </w:r>
    </w:p>
    <w:p w14:paraId="6827B694" w14:textId="77777777" w:rsidR="00686963" w:rsidRPr="00686963" w:rsidRDefault="00686963" w:rsidP="00125D98">
      <w:pPr>
        <w:pStyle w:val="SingleTxtG"/>
        <w:numPr>
          <w:ilvl w:val="0"/>
          <w:numId w:val="28"/>
        </w:numPr>
        <w:tabs>
          <w:tab w:val="clear" w:pos="1701"/>
        </w:tabs>
        <w:ind w:left="1134" w:firstLine="567"/>
        <w:rPr>
          <w:i/>
          <w:iCs/>
          <w:lang w:val="en-IE" w:eastAsia="en-IE"/>
        </w:rPr>
      </w:pPr>
      <w:r w:rsidRPr="00686963">
        <w:rPr>
          <w:lang w:val="en-IE" w:eastAsia="en-IE"/>
        </w:rPr>
        <w:t xml:space="preserve">See Priority Actions 13.1 and 13.2 in </w:t>
      </w:r>
      <w:r w:rsidRPr="00686963">
        <w:rPr>
          <w:i/>
          <w:iCs/>
          <w:color w:val="000000" w:themeColor="text1"/>
          <w:lang w:val="en-IE" w:eastAsia="en-IE"/>
        </w:rPr>
        <w:t>The Strategy 2025-2030</w:t>
      </w:r>
      <w:r w:rsidRPr="00686963">
        <w:rPr>
          <w:lang w:val="en-IE" w:eastAsia="en-IE"/>
        </w:rPr>
        <w:t xml:space="preserve">’s </w:t>
      </w:r>
      <w:r w:rsidRPr="00686963">
        <w:rPr>
          <w:i/>
          <w:iCs/>
          <w:color w:val="000000" w:themeColor="text1"/>
          <w:lang w:val="en-IE" w:eastAsia="en-IE"/>
        </w:rPr>
        <w:t>Action Plan</w:t>
      </w:r>
      <w:r w:rsidRPr="00686963">
        <w:rPr>
          <w:i/>
          <w:iCs/>
          <w:color w:val="000000" w:themeColor="text1"/>
          <w:vertAlign w:val="superscript"/>
          <w:lang w:val="en-IE" w:eastAsia="en-IE"/>
        </w:rPr>
        <w:t>7</w:t>
      </w:r>
      <w:r w:rsidRPr="00686963">
        <w:rPr>
          <w:i/>
          <w:iCs/>
          <w:color w:val="000000" w:themeColor="text1"/>
          <w:lang w:val="en-IE" w:eastAsia="en-IE"/>
        </w:rPr>
        <w:t>.</w:t>
      </w:r>
    </w:p>
    <w:p w14:paraId="56944BD1" w14:textId="68BF5641" w:rsidR="00686963" w:rsidRPr="00686963" w:rsidRDefault="00686963" w:rsidP="00125D98">
      <w:pPr>
        <w:pStyle w:val="SingleTxtG"/>
        <w:numPr>
          <w:ilvl w:val="0"/>
          <w:numId w:val="28"/>
        </w:numPr>
        <w:tabs>
          <w:tab w:val="clear" w:pos="1701"/>
        </w:tabs>
        <w:ind w:left="1134" w:firstLine="567"/>
        <w:rPr>
          <w:bCs/>
          <w:lang w:val="en-IE" w:eastAsia="en-IE"/>
        </w:rPr>
      </w:pPr>
      <w:r w:rsidRPr="00686963">
        <w:rPr>
          <w:lang w:val="en-IE"/>
        </w:rPr>
        <w:t>The 2015 Act</w:t>
      </w:r>
      <w:r w:rsidRPr="00686963">
        <w:rPr>
          <w:vertAlign w:val="superscript"/>
          <w:lang w:val="en-IE"/>
        </w:rPr>
        <w:t>5</w:t>
      </w:r>
      <w:r w:rsidRPr="00686963">
        <w:rPr>
          <w:lang w:val="en-IE"/>
        </w:rPr>
        <w:t xml:space="preserve"> is underpinned by several key principles, one of which is a presumption of decision-making capacity.  People must be supported to make their own </w:t>
      </w:r>
      <w:r w:rsidRPr="00686963">
        <w:rPr>
          <w:lang w:val="en-IE" w:eastAsia="en-IE"/>
        </w:rPr>
        <w:t>decisions</w:t>
      </w:r>
      <w:r w:rsidRPr="00686963">
        <w:rPr>
          <w:lang w:val="en-IE"/>
        </w:rPr>
        <w:t xml:space="preserve">, with action only taken where </w:t>
      </w:r>
      <w:proofErr w:type="gramStart"/>
      <w:r w:rsidRPr="00686963">
        <w:rPr>
          <w:lang w:val="en-IE"/>
        </w:rPr>
        <w:t>absolutely necessary</w:t>
      </w:r>
      <w:proofErr w:type="gramEnd"/>
      <w:r w:rsidRPr="00686963">
        <w:rPr>
          <w:lang w:val="en-IE"/>
        </w:rPr>
        <w:t xml:space="preserve">, and in a way that is the least restrictive of a person’s rights and freedoms.  </w:t>
      </w:r>
      <w:r w:rsidRPr="00686963">
        <w:rPr>
          <w:bCs/>
          <w:lang w:val="en-IE" w:eastAsia="en-IE"/>
        </w:rPr>
        <w:t>The DSS has a statutory role to promote public awareness and public confidence regarding the Act and related matters, carried out through robust direct engagement with a wide range of stakeholders.</w:t>
      </w:r>
    </w:p>
    <w:p w14:paraId="122D7B07" w14:textId="77777777" w:rsidR="00686963" w:rsidRPr="00686963" w:rsidRDefault="00686963" w:rsidP="00125D98">
      <w:pPr>
        <w:pStyle w:val="SingleTxtG"/>
        <w:numPr>
          <w:ilvl w:val="0"/>
          <w:numId w:val="28"/>
        </w:numPr>
        <w:tabs>
          <w:tab w:val="clear" w:pos="1701"/>
        </w:tabs>
        <w:ind w:left="1134" w:firstLine="567"/>
        <w:rPr>
          <w:lang w:val="en-IE" w:eastAsia="en-IE"/>
        </w:rPr>
      </w:pPr>
      <w:r w:rsidRPr="00686963">
        <w:rPr>
          <w:lang w:val="en-IE" w:eastAsia="en-IE"/>
        </w:rPr>
        <w:lastRenderedPageBreak/>
        <w:t>See reply to paragraph 1(b).</w:t>
      </w:r>
    </w:p>
    <w:p w14:paraId="75D576CF" w14:textId="77777777" w:rsidR="00686963" w:rsidRPr="00686963" w:rsidRDefault="00686963" w:rsidP="00125D98">
      <w:pPr>
        <w:pStyle w:val="SingleTxtG"/>
        <w:numPr>
          <w:ilvl w:val="0"/>
          <w:numId w:val="28"/>
        </w:numPr>
        <w:tabs>
          <w:tab w:val="clear" w:pos="1701"/>
        </w:tabs>
        <w:ind w:left="1134" w:firstLine="567"/>
        <w:rPr>
          <w:lang w:val="en-IE" w:eastAsia="en-IE"/>
        </w:rPr>
      </w:pPr>
      <w:r w:rsidRPr="00686963">
        <w:rPr>
          <w:lang w:val="en-IE" w:eastAsia="en-IE"/>
        </w:rPr>
        <w:t xml:space="preserve">See reply to </w:t>
      </w:r>
      <w:r w:rsidRPr="00686963">
        <w:rPr>
          <w:lang w:val="en-IE"/>
        </w:rPr>
        <w:t>paragraph</w:t>
      </w:r>
      <w:r w:rsidRPr="00686963">
        <w:rPr>
          <w:lang w:val="en-IE" w:eastAsia="en-IE"/>
        </w:rPr>
        <w:t xml:space="preserve"> 3(b).</w:t>
      </w:r>
    </w:p>
    <w:p w14:paraId="27B56D95" w14:textId="50C8C4B5" w:rsidR="00686963" w:rsidRPr="00686963" w:rsidRDefault="00ED51EB" w:rsidP="00ED51EB">
      <w:pPr>
        <w:pStyle w:val="H23G"/>
        <w:rPr>
          <w:lang w:val="en-IE" w:eastAsia="en-IE"/>
        </w:rPr>
      </w:pPr>
      <w:r>
        <w:rPr>
          <w:lang w:val="en-IE" w:eastAsia="en-IE"/>
        </w:rPr>
        <w:tab/>
      </w:r>
      <w:r>
        <w:rPr>
          <w:lang w:val="en-IE" w:eastAsia="en-IE"/>
        </w:rPr>
        <w:tab/>
      </w:r>
      <w:r w:rsidR="00686963" w:rsidRPr="00686963">
        <w:rPr>
          <w:lang w:val="en-IE" w:eastAsia="en-IE"/>
        </w:rPr>
        <w:t>Reply to paragraph 11(b)</w:t>
      </w:r>
    </w:p>
    <w:p w14:paraId="7639A386" w14:textId="77777777" w:rsidR="00686963" w:rsidRPr="00ED51EB" w:rsidRDefault="00686963" w:rsidP="00ED51EB">
      <w:pPr>
        <w:pStyle w:val="SingleTxtG"/>
        <w:numPr>
          <w:ilvl w:val="0"/>
          <w:numId w:val="27"/>
        </w:numPr>
        <w:tabs>
          <w:tab w:val="clear" w:pos="2268"/>
          <w:tab w:val="clear" w:pos="2835"/>
        </w:tabs>
        <w:ind w:left="1134" w:firstLine="0"/>
      </w:pPr>
      <w:r w:rsidRPr="00ED51EB">
        <w:t xml:space="preserve">The Assisted Decision-Making (Capacity) (Amendment) Act 20226 amended the Juries Act 1976 under the heading “Other persons” in Part I of the First Schedule. The wording: “A person who suffers or has suffered from mental illness or mental disability and on account of that </w:t>
      </w:r>
      <w:r w:rsidRPr="00ED51EB">
        <w:rPr>
          <w:lang w:val="en-IE" w:eastAsia="en-IE"/>
        </w:rPr>
        <w:t>condition</w:t>
      </w:r>
      <w:r w:rsidRPr="00ED51EB">
        <w:t xml:space="preserve"> either—(a) is resident in a hospital or other similar institution, or (b) regularly attends for treatment by a medical practitioner” is ineligible for jury service, was replaced by “A person who does not, in the opinion of the court, have sufficient mental or intellectual capacity to serve as a juror.”.</w:t>
      </w:r>
    </w:p>
    <w:p w14:paraId="1C4346F0" w14:textId="77777777" w:rsidR="00686963" w:rsidRPr="00686963" w:rsidRDefault="00686963" w:rsidP="00F40392">
      <w:pPr>
        <w:pStyle w:val="SingleTxtG"/>
        <w:numPr>
          <w:ilvl w:val="0"/>
          <w:numId w:val="27"/>
        </w:numPr>
        <w:tabs>
          <w:tab w:val="clear" w:pos="2268"/>
          <w:tab w:val="clear" w:pos="2835"/>
        </w:tabs>
        <w:ind w:left="1134" w:firstLine="0"/>
        <w:rPr>
          <w:lang w:val="en-IE" w:eastAsia="en-IE"/>
        </w:rPr>
      </w:pPr>
      <w:r w:rsidRPr="00686963">
        <w:rPr>
          <w:lang w:val="en-IE" w:eastAsia="en-IE"/>
        </w:rPr>
        <w:t>The Department of Justice Home Affairs and Migration (DoJHAM) is undertaking a review of jury service. The consultation process for this review includes questions related to capacity. Responses to this consultation have been received and are being considered.</w:t>
      </w:r>
    </w:p>
    <w:p w14:paraId="4F2A8E68" w14:textId="0844AEA0" w:rsidR="00686963" w:rsidRPr="00686963" w:rsidRDefault="004277E7" w:rsidP="004277E7">
      <w:pPr>
        <w:pStyle w:val="H23G"/>
        <w:rPr>
          <w:lang w:val="en-IE" w:eastAsia="en-IE"/>
        </w:rPr>
      </w:pPr>
      <w:r>
        <w:rPr>
          <w:lang w:val="en-IE" w:eastAsia="en-IE"/>
        </w:rPr>
        <w:tab/>
      </w:r>
      <w:r>
        <w:rPr>
          <w:lang w:val="en-IE" w:eastAsia="en-IE"/>
        </w:rPr>
        <w:tab/>
      </w:r>
      <w:r w:rsidR="00686963" w:rsidRPr="00686963">
        <w:rPr>
          <w:lang w:val="en-IE" w:eastAsia="en-IE"/>
        </w:rPr>
        <w:t>Reply to paragraph 11(c)</w:t>
      </w:r>
    </w:p>
    <w:p w14:paraId="2EA60386" w14:textId="77777777" w:rsidR="00686963" w:rsidRPr="00686963" w:rsidRDefault="00686963" w:rsidP="004277E7">
      <w:pPr>
        <w:pStyle w:val="SingleTxtG"/>
        <w:numPr>
          <w:ilvl w:val="0"/>
          <w:numId w:val="27"/>
        </w:numPr>
        <w:tabs>
          <w:tab w:val="clear" w:pos="2268"/>
          <w:tab w:val="clear" w:pos="2835"/>
        </w:tabs>
        <w:ind w:left="1134" w:firstLine="0"/>
        <w:rPr>
          <w:lang w:val="en-IE" w:eastAsia="en-IE"/>
        </w:rPr>
      </w:pPr>
      <w:r w:rsidRPr="00686963">
        <w:rPr>
          <w:lang w:val="en-IE" w:eastAsia="en-IE"/>
        </w:rPr>
        <w:t>The Criminal Evidence Act 1992</w:t>
      </w:r>
      <w:r w:rsidRPr="00686963">
        <w:rPr>
          <w:vertAlign w:val="superscript"/>
          <w:lang w:val="en-IE" w:eastAsia="en-IE"/>
        </w:rPr>
        <w:t>25</w:t>
      </w:r>
      <w:r w:rsidRPr="00686963">
        <w:rPr>
          <w:lang w:val="en-IE" w:eastAsia="en-IE"/>
        </w:rPr>
        <w:t xml:space="preserve"> provides for support measures for witnesses for certain offences under Part III of the Act.</w:t>
      </w:r>
    </w:p>
    <w:p w14:paraId="4542C4C6" w14:textId="45F40844" w:rsidR="00686963" w:rsidRPr="00686963" w:rsidRDefault="004277E7" w:rsidP="004277E7">
      <w:pPr>
        <w:pStyle w:val="H23G"/>
        <w:rPr>
          <w:lang w:val="en-IE" w:eastAsia="en-IE"/>
        </w:rPr>
      </w:pPr>
      <w:r>
        <w:rPr>
          <w:lang w:val="en-IE" w:eastAsia="en-IE"/>
        </w:rPr>
        <w:tab/>
      </w:r>
      <w:r>
        <w:rPr>
          <w:lang w:val="en-IE" w:eastAsia="en-IE"/>
        </w:rPr>
        <w:tab/>
      </w:r>
      <w:r w:rsidR="00686963" w:rsidRPr="00686963">
        <w:rPr>
          <w:lang w:val="en-IE" w:eastAsia="en-IE"/>
        </w:rPr>
        <w:t>Reply to paragraph 11(d)</w:t>
      </w:r>
    </w:p>
    <w:p w14:paraId="2D83CA08" w14:textId="77777777" w:rsidR="00686963" w:rsidRPr="00686963" w:rsidRDefault="00686963" w:rsidP="009067CE">
      <w:pPr>
        <w:pStyle w:val="SingleTxtG"/>
        <w:numPr>
          <w:ilvl w:val="0"/>
          <w:numId w:val="27"/>
        </w:numPr>
        <w:tabs>
          <w:tab w:val="clear" w:pos="2268"/>
          <w:tab w:val="clear" w:pos="2835"/>
        </w:tabs>
        <w:ind w:left="1134" w:firstLine="0"/>
        <w:rPr>
          <w:lang w:val="en-IE" w:eastAsia="en-IE"/>
        </w:rPr>
      </w:pPr>
      <w:r w:rsidRPr="00686963">
        <w:rPr>
          <w:lang w:val="en-IE" w:eastAsia="en-IE"/>
        </w:rPr>
        <w:t>Measures being implemented in response to recommendations, include:</w:t>
      </w:r>
    </w:p>
    <w:p w14:paraId="64505314" w14:textId="34B67C55" w:rsidR="00686963" w:rsidRPr="00686963" w:rsidRDefault="00686963" w:rsidP="000B7F94">
      <w:pPr>
        <w:pStyle w:val="SingleTxtG"/>
        <w:numPr>
          <w:ilvl w:val="0"/>
          <w:numId w:val="29"/>
        </w:numPr>
        <w:tabs>
          <w:tab w:val="clear" w:pos="1701"/>
        </w:tabs>
        <w:ind w:left="1134" w:firstLine="567"/>
        <w:rPr>
          <w:lang w:val="en-IE" w:eastAsia="en-IE"/>
        </w:rPr>
      </w:pPr>
      <w:r w:rsidRPr="00686963">
        <w:rPr>
          <w:lang w:val="en-IE" w:eastAsia="en-IE"/>
        </w:rPr>
        <w:t xml:space="preserve">Recommendation 1.2 is linked to </w:t>
      </w:r>
      <w:r w:rsidRPr="009067CE">
        <w:rPr>
          <w:i/>
          <w:iCs/>
          <w:lang w:val="en-IE" w:eastAsia="en-IE"/>
        </w:rPr>
        <w:t>Action 1.3.1 under Zero</w:t>
      </w:r>
      <w:r w:rsidR="009067CE" w:rsidRPr="009067CE">
        <w:rPr>
          <w:i/>
          <w:iCs/>
          <w:lang w:val="en-IE" w:eastAsia="en-IE"/>
        </w:rPr>
        <w:t xml:space="preserve"> </w:t>
      </w:r>
      <w:r w:rsidRPr="009067CE">
        <w:rPr>
          <w:i/>
          <w:iCs/>
          <w:lang w:val="en-IE" w:eastAsia="en-IE"/>
        </w:rPr>
        <w:t xml:space="preserve">Tolerance </w:t>
      </w:r>
      <w:proofErr w:type="gramStart"/>
      <w:r w:rsidRPr="009067CE">
        <w:rPr>
          <w:i/>
          <w:iCs/>
          <w:lang w:val="en-IE" w:eastAsia="en-IE"/>
        </w:rPr>
        <w:t>The</w:t>
      </w:r>
      <w:proofErr w:type="gramEnd"/>
      <w:r w:rsidRPr="009067CE">
        <w:rPr>
          <w:i/>
          <w:iCs/>
          <w:lang w:val="en-IE" w:eastAsia="en-IE"/>
        </w:rPr>
        <w:t xml:space="preserve"> Third National Strategy on Domestic, Sexual</w:t>
      </w:r>
      <w:r w:rsidR="009067CE" w:rsidRPr="009067CE">
        <w:rPr>
          <w:i/>
          <w:iCs/>
          <w:lang w:val="en-IE" w:eastAsia="en-IE"/>
        </w:rPr>
        <w:t xml:space="preserve"> </w:t>
      </w:r>
      <w:r w:rsidRPr="009067CE">
        <w:rPr>
          <w:i/>
          <w:iCs/>
          <w:lang w:val="en-IE" w:eastAsia="en-IE"/>
        </w:rPr>
        <w:t>and Gender-Based Violence Implementation Plan</w:t>
      </w:r>
      <w:r w:rsidR="009067CE" w:rsidRPr="009067CE">
        <w:rPr>
          <w:i/>
          <w:iCs/>
          <w:lang w:val="en-IE" w:eastAsia="en-IE"/>
        </w:rPr>
        <w:t xml:space="preserve"> </w:t>
      </w:r>
      <w:r w:rsidRPr="009067CE">
        <w:rPr>
          <w:i/>
          <w:iCs/>
          <w:lang w:val="en-IE" w:eastAsia="en-IE"/>
        </w:rPr>
        <w:t>2025-2026</w:t>
      </w:r>
      <w:r w:rsidRPr="009067CE">
        <w:rPr>
          <w:i/>
          <w:iCs/>
          <w:vertAlign w:val="superscript"/>
          <w:lang w:val="en-IE" w:eastAsia="en-IE"/>
        </w:rPr>
        <w:t>26 (</w:t>
      </w:r>
      <w:r w:rsidRPr="009067CE">
        <w:rPr>
          <w:i/>
          <w:iCs/>
          <w:lang w:val="en-IE" w:eastAsia="en-IE"/>
        </w:rPr>
        <w:t>hereinafter</w:t>
      </w:r>
      <w:r w:rsidRPr="009067CE">
        <w:rPr>
          <w:i/>
          <w:iCs/>
          <w:vertAlign w:val="superscript"/>
          <w:lang w:val="en-IE" w:eastAsia="en-IE"/>
        </w:rPr>
        <w:t xml:space="preserve"> </w:t>
      </w:r>
      <w:r w:rsidRPr="009067CE">
        <w:rPr>
          <w:i/>
          <w:iCs/>
          <w:lang w:val="en-IE" w:eastAsia="en-IE"/>
        </w:rPr>
        <w:t>referred to as the DSGBV</w:t>
      </w:r>
      <w:r w:rsidR="009067CE" w:rsidRPr="009067CE">
        <w:rPr>
          <w:i/>
          <w:iCs/>
          <w:lang w:val="en-IE" w:eastAsia="en-IE"/>
        </w:rPr>
        <w:t xml:space="preserve"> </w:t>
      </w:r>
      <w:r w:rsidRPr="009067CE">
        <w:rPr>
          <w:i/>
          <w:iCs/>
          <w:lang w:val="en-IE" w:eastAsia="en-IE"/>
        </w:rPr>
        <w:t>Implementation plan 2025-2026).</w:t>
      </w:r>
    </w:p>
    <w:p w14:paraId="78901E13" w14:textId="77777777" w:rsidR="00686963" w:rsidRPr="00686963" w:rsidRDefault="00686963" w:rsidP="000B7F94">
      <w:pPr>
        <w:pStyle w:val="SingleTxtG"/>
        <w:numPr>
          <w:ilvl w:val="0"/>
          <w:numId w:val="29"/>
        </w:numPr>
        <w:tabs>
          <w:tab w:val="clear" w:pos="1701"/>
        </w:tabs>
        <w:ind w:left="1134" w:firstLine="567"/>
        <w:rPr>
          <w:lang w:val="en-IE" w:eastAsia="en-IE"/>
        </w:rPr>
      </w:pPr>
      <w:r w:rsidRPr="00686963">
        <w:rPr>
          <w:lang w:val="en-IE" w:eastAsia="en-IE"/>
        </w:rPr>
        <w:t>Recommendation 1.4 is linked to collaboration across Government Departments, State Agencies and service providers to develop Domestic, Sexual and Gender Based Violence (DSGBV) training to support the sector to address the diverse needs and circumstances of victim-survivors of DSGBV.</w:t>
      </w:r>
    </w:p>
    <w:p w14:paraId="4BDEA9C0" w14:textId="77777777" w:rsidR="00686963" w:rsidRPr="00686963" w:rsidRDefault="00686963" w:rsidP="000B7F94">
      <w:pPr>
        <w:pStyle w:val="SingleTxtG"/>
        <w:numPr>
          <w:ilvl w:val="0"/>
          <w:numId w:val="29"/>
        </w:numPr>
        <w:tabs>
          <w:tab w:val="clear" w:pos="1701"/>
        </w:tabs>
        <w:ind w:left="1134" w:firstLine="567"/>
        <w:rPr>
          <w:lang w:val="en-IE" w:eastAsia="en-IE"/>
        </w:rPr>
      </w:pPr>
      <w:r w:rsidRPr="00686963">
        <w:rPr>
          <w:lang w:val="en-IE" w:eastAsia="en-IE"/>
        </w:rPr>
        <w:t>Recommendation 2.1 is linked to the development of mandatory training for frontline personnel includes coercive control, stalking, civil orders and non-fatal strangulation and suffocation.</w:t>
      </w:r>
    </w:p>
    <w:p w14:paraId="329664FA" w14:textId="7B8C10D9" w:rsidR="00686963" w:rsidRPr="000B7F94" w:rsidRDefault="00686963" w:rsidP="000B7F94">
      <w:pPr>
        <w:pStyle w:val="SingleTxtG"/>
        <w:numPr>
          <w:ilvl w:val="0"/>
          <w:numId w:val="29"/>
        </w:numPr>
        <w:tabs>
          <w:tab w:val="clear" w:pos="1701"/>
        </w:tabs>
        <w:ind w:left="1134" w:firstLine="567"/>
        <w:rPr>
          <w:i/>
          <w:iCs/>
          <w:lang w:val="en-IE" w:eastAsia="en-IE"/>
        </w:rPr>
      </w:pPr>
      <w:r w:rsidRPr="000B7F94">
        <w:rPr>
          <w:lang w:val="en-IE" w:eastAsia="en-IE"/>
        </w:rPr>
        <w:t>Recommendation 5.6 is linked to Action 3.2.5</w:t>
      </w:r>
      <w:r w:rsidR="000B7F94" w:rsidRPr="000B7F94">
        <w:rPr>
          <w:lang w:val="en-IE" w:eastAsia="en-IE"/>
        </w:rPr>
        <w:t xml:space="preserve"> </w:t>
      </w:r>
      <w:r w:rsidRPr="000B7F94">
        <w:rPr>
          <w:lang w:val="en-IE" w:eastAsia="en-IE"/>
        </w:rPr>
        <w:t xml:space="preserve">under the </w:t>
      </w:r>
      <w:r w:rsidRPr="000B7F94">
        <w:rPr>
          <w:i/>
          <w:iCs/>
          <w:lang w:val="en-IE" w:eastAsia="en-IE"/>
        </w:rPr>
        <w:t>DSGBV Implementation plan 2025-2026</w:t>
      </w:r>
      <w:r w:rsidRPr="000B7F94">
        <w:rPr>
          <w:i/>
          <w:iCs/>
          <w:vertAlign w:val="superscript"/>
          <w:lang w:val="en-IE" w:eastAsia="en-IE"/>
        </w:rPr>
        <w:t>26</w:t>
      </w:r>
      <w:r w:rsidRPr="000B7F94">
        <w:rPr>
          <w:i/>
          <w:iCs/>
          <w:lang w:val="en-IE" w:eastAsia="en-IE"/>
        </w:rPr>
        <w:t>.</w:t>
      </w:r>
    </w:p>
    <w:p w14:paraId="61ADE767" w14:textId="4809E144" w:rsidR="00686963" w:rsidRPr="00686963" w:rsidRDefault="00A92C22" w:rsidP="00A92C22">
      <w:pPr>
        <w:pStyle w:val="H23G"/>
        <w:rPr>
          <w:lang w:val="en-IE" w:eastAsia="en-IE"/>
        </w:rPr>
      </w:pPr>
      <w:r>
        <w:rPr>
          <w:lang w:val="en-IE" w:eastAsia="en-IE"/>
        </w:rPr>
        <w:tab/>
      </w:r>
      <w:r>
        <w:rPr>
          <w:lang w:val="en-IE" w:eastAsia="en-IE"/>
        </w:rPr>
        <w:tab/>
      </w:r>
      <w:r w:rsidR="00686963" w:rsidRPr="00686963">
        <w:rPr>
          <w:lang w:val="en-IE" w:eastAsia="en-IE"/>
        </w:rPr>
        <w:t>Reply to paragraph 11(e)</w:t>
      </w:r>
    </w:p>
    <w:p w14:paraId="67933BAC"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See replies to paragraphs 11(a) and 11(b).</w:t>
      </w:r>
    </w:p>
    <w:p w14:paraId="16652CD9"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 xml:space="preserve">Supports are available to meet individual needs of those accessing proceedings.  Each office has a dedicated access </w:t>
      </w:r>
      <w:proofErr w:type="gramStart"/>
      <w:r w:rsidRPr="00686963">
        <w:rPr>
          <w:lang w:val="en-IE" w:eastAsia="en-IE"/>
        </w:rPr>
        <w:t>officer</w:t>
      </w:r>
      <w:proofErr w:type="gramEnd"/>
      <w:r w:rsidRPr="00686963">
        <w:rPr>
          <w:lang w:val="en-IE" w:eastAsia="en-IE"/>
        </w:rPr>
        <w:t xml:space="preserve"> and any individual can make contact prior to making an application or attending court to seek support.</w:t>
      </w:r>
    </w:p>
    <w:p w14:paraId="427641DF"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i/>
          <w:iCs/>
          <w:lang w:val="en-IE" w:eastAsia="en-IE"/>
        </w:rPr>
        <w:t>The Courts Service Public Sector Duty Action Plan 2024-2027</w:t>
      </w:r>
      <w:r w:rsidRPr="00686963">
        <w:rPr>
          <w:i/>
          <w:iCs/>
          <w:vertAlign w:val="superscript"/>
          <w:lang w:val="en-IE" w:eastAsia="en-IE"/>
        </w:rPr>
        <w:t>27</w:t>
      </w:r>
      <w:r w:rsidRPr="00686963">
        <w:rPr>
          <w:vertAlign w:val="superscript"/>
          <w:lang w:val="en-IE" w:eastAsia="en-IE"/>
        </w:rPr>
        <w:t xml:space="preserve"> </w:t>
      </w:r>
      <w:r w:rsidRPr="00686963">
        <w:rPr>
          <w:lang w:val="en-IE" w:eastAsia="en-IE"/>
        </w:rPr>
        <w:t>outlines their commitment to continue providing ISL interpretation services in criminal, civil and family law court proceedings.</w:t>
      </w:r>
    </w:p>
    <w:p w14:paraId="4DC9D4F6"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Courts Service policy provides that all newly constructed or refurbished buildings wholly reflect the specific requirements and aspirations of relevant law and good industry practice, including key building standards with respect to the needs of disabled persons, as well as guidance from the NDA on universal design principles.</w:t>
      </w:r>
    </w:p>
    <w:p w14:paraId="216BADD9" w14:textId="49AF14F0" w:rsidR="00686963" w:rsidRPr="00686963" w:rsidRDefault="00A92C22" w:rsidP="00A92C22">
      <w:pPr>
        <w:pStyle w:val="H23G"/>
        <w:rPr>
          <w:lang w:val="en-IE" w:eastAsia="en-IE"/>
        </w:rPr>
      </w:pPr>
      <w:r>
        <w:rPr>
          <w:lang w:val="en-IE" w:eastAsia="en-IE"/>
        </w:rPr>
        <w:tab/>
      </w:r>
      <w:r>
        <w:rPr>
          <w:lang w:val="en-IE" w:eastAsia="en-IE"/>
        </w:rPr>
        <w:tab/>
      </w:r>
      <w:r w:rsidR="00686963" w:rsidRPr="00686963">
        <w:rPr>
          <w:lang w:val="en-IE" w:eastAsia="en-IE"/>
        </w:rPr>
        <w:t>Reply to paragraph 11(f)</w:t>
      </w:r>
    </w:p>
    <w:p w14:paraId="3AF911FC"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Commitment 13 of </w:t>
      </w:r>
      <w:r w:rsidRPr="00A92C22">
        <w:rPr>
          <w:i/>
          <w:iCs/>
          <w:lang w:val="en-IE" w:eastAsia="en-IE"/>
        </w:rPr>
        <w:t>The Strategy 2025-2030</w:t>
      </w:r>
      <w:r w:rsidRPr="00A92C22">
        <w:rPr>
          <w:i/>
          <w:iCs/>
          <w:vertAlign w:val="superscript"/>
          <w:lang w:val="en-IE" w:eastAsia="en-IE"/>
        </w:rPr>
        <w:t>1</w:t>
      </w:r>
      <w:r w:rsidRPr="00686963">
        <w:rPr>
          <w:lang w:val="en-IE" w:eastAsia="en-IE"/>
        </w:rPr>
        <w:t>.</w:t>
      </w:r>
    </w:p>
    <w:p w14:paraId="0033B436"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All judicial education and training programmes are grounded in the principles of procedural justice and fairness, ensuring that accessibility and inclusivity remain central to the development of training for the Irish judiciary.</w:t>
      </w:r>
    </w:p>
    <w:p w14:paraId="285C1BF9" w14:textId="28F62D0E" w:rsidR="00686963" w:rsidRPr="00686963" w:rsidRDefault="00A92C22" w:rsidP="00A92C22">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11(g)</w:t>
      </w:r>
    </w:p>
    <w:p w14:paraId="70A9D9E6"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The review of the Civil Legal Aid Scheme</w:t>
      </w:r>
      <w:r w:rsidRPr="00686963">
        <w:rPr>
          <w:vertAlign w:val="superscript"/>
          <w:lang w:val="en-IE" w:eastAsia="en-IE"/>
        </w:rPr>
        <w:t>28</w:t>
      </w:r>
      <w:r w:rsidRPr="00686963">
        <w:rPr>
          <w:lang w:val="en-IE" w:eastAsia="en-IE"/>
        </w:rPr>
        <w:t xml:space="preserve"> was published in July 2025. Its recommendations are under consideration with due regard to the findings from Ireland’s first legal needs survey completed with the support of the European Commission and the OECD.</w:t>
      </w:r>
    </w:p>
    <w:p w14:paraId="46CB156F" w14:textId="7DD6169A" w:rsidR="00686963" w:rsidRPr="00686963" w:rsidRDefault="00A92C22" w:rsidP="00A92C22">
      <w:pPr>
        <w:pStyle w:val="H23G"/>
        <w:rPr>
          <w:lang w:val="en-IE" w:eastAsia="en-IE"/>
        </w:rPr>
      </w:pPr>
      <w:r>
        <w:rPr>
          <w:lang w:val="en-IE" w:eastAsia="en-IE"/>
        </w:rPr>
        <w:tab/>
      </w:r>
      <w:r>
        <w:rPr>
          <w:lang w:val="en-IE" w:eastAsia="en-IE"/>
        </w:rPr>
        <w:tab/>
      </w:r>
      <w:r w:rsidR="00686963" w:rsidRPr="00686963">
        <w:rPr>
          <w:lang w:val="en-IE" w:eastAsia="en-IE"/>
        </w:rPr>
        <w:t>Reply to paragraph 12(a)</w:t>
      </w:r>
    </w:p>
    <w:p w14:paraId="780214FE"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A person is only detained in an acute mental health service for as long as they are deemed to have a 'mental disorder' within the meaning of the Mental Health Act 2001</w:t>
      </w:r>
      <w:r w:rsidRPr="00686963">
        <w:rPr>
          <w:vertAlign w:val="superscript"/>
          <w:lang w:val="en-IE" w:eastAsia="en-IE"/>
        </w:rPr>
        <w:t>29</w:t>
      </w:r>
      <w:r w:rsidRPr="00686963">
        <w:rPr>
          <w:lang w:val="en-IE" w:eastAsia="en-IE"/>
        </w:rPr>
        <w:t>. The Mental Health Act 2026</w:t>
      </w:r>
      <w:r w:rsidRPr="00686963">
        <w:rPr>
          <w:vertAlign w:val="superscript"/>
          <w:lang w:val="en-IE" w:eastAsia="en-IE"/>
        </w:rPr>
        <w:t>4</w:t>
      </w:r>
      <w:r w:rsidRPr="00686963">
        <w:rPr>
          <w:lang w:val="en-IE" w:eastAsia="en-IE"/>
        </w:rPr>
        <w:t xml:space="preserve"> states that admission should only occur when it is necessary and subject to the legal safeguards in the Act. A consultant psychiatrist will be compelled to discharge a person as soon as he or she no longer meets the criteria for involuntary admission. The Act also reduces the maximum length of an involuntary order to three months. Thereafter, the order must be renewed and that renewal order assessed by a mental health review board.</w:t>
      </w:r>
    </w:p>
    <w:p w14:paraId="02EC5408"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10(c).</w:t>
      </w:r>
    </w:p>
    <w:p w14:paraId="6F235730" w14:textId="512D6FAA" w:rsidR="00686963" w:rsidRPr="00686963" w:rsidRDefault="00A92C22" w:rsidP="00A92C22">
      <w:pPr>
        <w:pStyle w:val="H23G"/>
        <w:rPr>
          <w:lang w:val="en-IE" w:eastAsia="en-IE"/>
        </w:rPr>
      </w:pPr>
      <w:r>
        <w:rPr>
          <w:lang w:val="en-IE" w:eastAsia="en-IE"/>
        </w:rPr>
        <w:tab/>
      </w:r>
      <w:r>
        <w:rPr>
          <w:lang w:val="en-IE" w:eastAsia="en-IE"/>
        </w:rPr>
        <w:tab/>
      </w:r>
      <w:r w:rsidR="00686963" w:rsidRPr="00686963">
        <w:rPr>
          <w:lang w:val="en-IE" w:eastAsia="en-IE"/>
        </w:rPr>
        <w:t>Reply to paragraph 12(b)</w:t>
      </w:r>
    </w:p>
    <w:p w14:paraId="39D4D1A9"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criteria for involuntary admission in the Mental Health Act </w:t>
      </w:r>
      <w:proofErr w:type="gramStart"/>
      <w:r w:rsidRPr="00686963">
        <w:rPr>
          <w:lang w:val="en-IE" w:eastAsia="en-IE"/>
        </w:rPr>
        <w:t>is</w:t>
      </w:r>
      <w:proofErr w:type="gramEnd"/>
      <w:r w:rsidRPr="00686963">
        <w:rPr>
          <w:lang w:val="en-IE" w:eastAsia="en-IE"/>
        </w:rPr>
        <w:t xml:space="preserve"> based on either the presence of risk or the requirement for treatment. Involuntary admission is not based on whether a person has passed or failed a functional capacity assessment. There is a presumption of capacity in place for each involuntarily admitted person.</w:t>
      </w:r>
    </w:p>
    <w:p w14:paraId="347C18BC"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The Criminal Law (Insanity) Act 2006</w:t>
      </w:r>
      <w:r w:rsidRPr="00686963">
        <w:rPr>
          <w:vertAlign w:val="superscript"/>
          <w:lang w:val="en-IE" w:eastAsia="en-IE"/>
        </w:rPr>
        <w:t xml:space="preserve">30 </w:t>
      </w:r>
      <w:r w:rsidRPr="00686963">
        <w:rPr>
          <w:lang w:val="en-IE" w:eastAsia="en-IE"/>
        </w:rPr>
        <w:t>does not prescribe “impairment” or “functional capacity” as autonomous grounds for detention.</w:t>
      </w:r>
    </w:p>
    <w:p w14:paraId="17CDC40F"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See replies to paragraphs 12(a) and 12(c).</w:t>
      </w:r>
    </w:p>
    <w:p w14:paraId="4BE72C2B"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10(c).</w:t>
      </w:r>
    </w:p>
    <w:p w14:paraId="69230A4D" w14:textId="3C12F172" w:rsidR="00686963" w:rsidRPr="00686963" w:rsidRDefault="00A92C22" w:rsidP="00A92C22">
      <w:pPr>
        <w:pStyle w:val="H23G"/>
        <w:rPr>
          <w:lang w:val="en-IE" w:eastAsia="en-IE"/>
        </w:rPr>
      </w:pPr>
      <w:r>
        <w:rPr>
          <w:lang w:val="en-IE" w:eastAsia="en-IE"/>
        </w:rPr>
        <w:tab/>
      </w:r>
      <w:r>
        <w:rPr>
          <w:lang w:val="en-IE" w:eastAsia="en-IE"/>
        </w:rPr>
        <w:tab/>
      </w:r>
      <w:r w:rsidR="00686963" w:rsidRPr="00686963">
        <w:rPr>
          <w:lang w:val="en-IE" w:eastAsia="en-IE"/>
        </w:rPr>
        <w:t>Reply to paragraph 12(c)</w:t>
      </w:r>
    </w:p>
    <w:p w14:paraId="004F1480"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The Mental Health Act 2026</w:t>
      </w:r>
      <w:r w:rsidRPr="00686963">
        <w:rPr>
          <w:vertAlign w:val="superscript"/>
          <w:lang w:val="en-IE" w:eastAsia="en-IE"/>
        </w:rPr>
        <w:t>4</w:t>
      </w:r>
      <w:r w:rsidRPr="00686963">
        <w:rPr>
          <w:lang w:val="en-IE" w:eastAsia="en-IE"/>
        </w:rPr>
        <w:t xml:space="preserve"> decouples the term 'mental disorder' from the criteria for involuntary admission. Ireland believes the retention of 'mental disorder' is necessary to ensure there is a legal distinction between mental health difficulties that are more severe and may require involuntary admission and other, less severe forms of mental health difficulties.</w:t>
      </w:r>
    </w:p>
    <w:p w14:paraId="74D234E2"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The Mental Health (Criminal Law) Review Board was established under the Criminal Law (Insanity) Act 2006</w:t>
      </w:r>
      <w:r w:rsidRPr="00686963">
        <w:rPr>
          <w:vertAlign w:val="superscript"/>
          <w:lang w:val="en-IE" w:eastAsia="en-IE"/>
        </w:rPr>
        <w:t>30</w:t>
      </w:r>
      <w:r w:rsidRPr="00686963">
        <w:rPr>
          <w:lang w:val="en-IE" w:eastAsia="en-IE"/>
        </w:rPr>
        <w:t xml:space="preserve">. It is independent in the exercise of its functions and reviews the detention of patients who are detained under the Criminal Law (Insanity) Act </w:t>
      </w:r>
      <w:proofErr w:type="gramStart"/>
      <w:r w:rsidRPr="00686963">
        <w:rPr>
          <w:lang w:val="en-IE" w:eastAsia="en-IE"/>
        </w:rPr>
        <w:t>2006 ,</w:t>
      </w:r>
      <w:proofErr w:type="gramEnd"/>
      <w:r w:rsidRPr="00686963">
        <w:rPr>
          <w:lang w:val="en-IE" w:eastAsia="en-IE"/>
        </w:rPr>
        <w:t xml:space="preserve"> as amended. The Act, as amended, provides the statutory basis for, among other things, the detention in a designated centre and review of persons found not guilty by reason of insanity or unfit to be tried. The Review Board must review the detention of each patient at intervals of not greater than six months. Following such review, and in accordance with the Act, the Board may order the continued detention, conditional discharge or unconditional discharge of a patient.</w:t>
      </w:r>
    </w:p>
    <w:p w14:paraId="3F43BFC2" w14:textId="77777777" w:rsidR="00686963" w:rsidRPr="00686963" w:rsidRDefault="00686963" w:rsidP="00A92C22">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12(b).</w:t>
      </w:r>
    </w:p>
    <w:p w14:paraId="637E68DF" w14:textId="3AD2BD97" w:rsidR="00686963" w:rsidRPr="00686963" w:rsidRDefault="00FF61BF" w:rsidP="00A92C22">
      <w:pPr>
        <w:pStyle w:val="H23G"/>
        <w:rPr>
          <w:lang w:val="en-IE" w:eastAsia="en-IE"/>
        </w:rPr>
      </w:pPr>
      <w:r>
        <w:rPr>
          <w:lang w:val="en-IE" w:eastAsia="en-IE"/>
        </w:rPr>
        <w:tab/>
      </w:r>
      <w:r>
        <w:rPr>
          <w:lang w:val="en-IE" w:eastAsia="en-IE"/>
        </w:rPr>
        <w:tab/>
      </w:r>
      <w:r w:rsidR="00686963" w:rsidRPr="00686963">
        <w:rPr>
          <w:lang w:val="en-IE" w:eastAsia="en-IE"/>
        </w:rPr>
        <w:t>Reply to paragraph 12(d)</w:t>
      </w:r>
    </w:p>
    <w:p w14:paraId="038A2522" w14:textId="77777777" w:rsidR="00686963" w:rsidRPr="00686963" w:rsidRDefault="00686963" w:rsidP="00FF61BF">
      <w:pPr>
        <w:pStyle w:val="SingleTxtG"/>
        <w:numPr>
          <w:ilvl w:val="0"/>
          <w:numId w:val="27"/>
        </w:numPr>
        <w:tabs>
          <w:tab w:val="clear" w:pos="2268"/>
          <w:tab w:val="clear" w:pos="2835"/>
        </w:tabs>
        <w:ind w:left="1134" w:firstLine="0"/>
        <w:rPr>
          <w:lang w:val="en-IE" w:eastAsia="en-IE"/>
        </w:rPr>
      </w:pPr>
      <w:r w:rsidRPr="00686963">
        <w:rPr>
          <w:lang w:val="en-IE" w:eastAsia="en-IE"/>
        </w:rPr>
        <w:t>Prisoner care and rehabilitation is a core aim of Irish Prison Service (IPS) and involves input by general and specialist services provided by the IPS and in-reaching statutory and non-statutory services.</w:t>
      </w:r>
    </w:p>
    <w:p w14:paraId="65BF2EF7" w14:textId="77777777" w:rsidR="00686963" w:rsidRPr="00686963" w:rsidRDefault="00686963" w:rsidP="00FF61BF">
      <w:pPr>
        <w:pStyle w:val="SingleTxtG"/>
        <w:numPr>
          <w:ilvl w:val="0"/>
          <w:numId w:val="27"/>
        </w:numPr>
        <w:tabs>
          <w:tab w:val="clear" w:pos="2268"/>
          <w:tab w:val="clear" w:pos="2835"/>
        </w:tabs>
        <w:ind w:left="1134" w:firstLine="0"/>
        <w:rPr>
          <w:lang w:val="en-IE" w:eastAsia="en-IE"/>
        </w:rPr>
      </w:pPr>
      <w:r w:rsidRPr="00686963">
        <w:rPr>
          <w:lang w:val="en-IE" w:eastAsia="en-IE"/>
        </w:rPr>
        <w:t>See Priority Action 13.1 in The Strategy 2025-2030</w:t>
      </w:r>
      <w:r w:rsidRPr="00686963">
        <w:rPr>
          <w:bCs/>
          <w:lang w:val="en-IE" w:eastAsia="en-IE"/>
        </w:rPr>
        <w:t xml:space="preserve">’s </w:t>
      </w:r>
      <w:r w:rsidRPr="00686963">
        <w:rPr>
          <w:lang w:val="en-IE" w:eastAsia="en-IE"/>
        </w:rPr>
        <w:t>Action Plan</w:t>
      </w:r>
      <w:r w:rsidRPr="00686963">
        <w:rPr>
          <w:vertAlign w:val="superscript"/>
          <w:lang w:val="en-IE" w:eastAsia="en-IE"/>
        </w:rPr>
        <w:t>7</w:t>
      </w:r>
      <w:r w:rsidRPr="00686963">
        <w:rPr>
          <w:lang w:val="en-IE" w:eastAsia="en-IE"/>
        </w:rPr>
        <w:t>.</w:t>
      </w:r>
    </w:p>
    <w:p w14:paraId="3E2D4D8E" w14:textId="5D8569CC" w:rsidR="00686963" w:rsidRPr="00686963" w:rsidRDefault="00FF61BF" w:rsidP="00FF61BF">
      <w:pPr>
        <w:pStyle w:val="H23G"/>
        <w:rPr>
          <w:lang w:val="en-IE" w:eastAsia="en-IE"/>
        </w:rPr>
      </w:pPr>
      <w:r>
        <w:rPr>
          <w:lang w:val="en-IE" w:eastAsia="en-IE"/>
        </w:rPr>
        <w:tab/>
      </w:r>
      <w:r>
        <w:rPr>
          <w:lang w:val="en-IE" w:eastAsia="en-IE"/>
        </w:rPr>
        <w:tab/>
      </w:r>
      <w:r w:rsidR="00686963" w:rsidRPr="00686963">
        <w:rPr>
          <w:lang w:val="en-IE" w:eastAsia="en-IE"/>
        </w:rPr>
        <w:t>Reply to paragraph 12(e)</w:t>
      </w:r>
    </w:p>
    <w:p w14:paraId="6B05163A" w14:textId="77777777" w:rsidR="00686963" w:rsidRPr="00686963" w:rsidRDefault="00686963" w:rsidP="00806FC2">
      <w:pPr>
        <w:pStyle w:val="SingleTxtG"/>
        <w:numPr>
          <w:ilvl w:val="0"/>
          <w:numId w:val="27"/>
        </w:numPr>
        <w:tabs>
          <w:tab w:val="clear" w:pos="2268"/>
          <w:tab w:val="clear" w:pos="2835"/>
        </w:tabs>
        <w:ind w:left="1134" w:firstLine="0"/>
        <w:rPr>
          <w:lang w:val="en-IE" w:eastAsia="en-IE"/>
        </w:rPr>
      </w:pPr>
      <w:r w:rsidRPr="00686963">
        <w:rPr>
          <w:lang w:val="en-IE" w:eastAsia="en-IE"/>
        </w:rPr>
        <w:t>Access to community-based services is being expanded through increased budget provision for Respite, Personal Assistance and Home Support in 2026.</w:t>
      </w:r>
    </w:p>
    <w:p w14:paraId="3D32A083" w14:textId="77777777" w:rsidR="00686963" w:rsidRPr="00686963" w:rsidRDefault="00686963" w:rsidP="00806FC2">
      <w:pPr>
        <w:pStyle w:val="SingleTxtG"/>
        <w:numPr>
          <w:ilvl w:val="0"/>
          <w:numId w:val="27"/>
        </w:numPr>
        <w:tabs>
          <w:tab w:val="clear" w:pos="2268"/>
          <w:tab w:val="clear" w:pos="2835"/>
        </w:tabs>
        <w:ind w:left="1134" w:firstLine="0"/>
        <w:rPr>
          <w:lang w:val="en-IE" w:eastAsia="en-IE"/>
        </w:rPr>
      </w:pPr>
      <w:r w:rsidRPr="00686963">
        <w:rPr>
          <w:lang w:val="en-IE" w:eastAsia="en-IE"/>
        </w:rPr>
        <w:t>See replies to paragraphs 12(a) and 17(a).</w:t>
      </w:r>
    </w:p>
    <w:p w14:paraId="5A449BBA" w14:textId="77777777" w:rsidR="00686963" w:rsidRPr="00686963" w:rsidRDefault="00686963" w:rsidP="00806FC2">
      <w:pPr>
        <w:pStyle w:val="SingleTxtG"/>
        <w:numPr>
          <w:ilvl w:val="0"/>
          <w:numId w:val="27"/>
        </w:numPr>
        <w:tabs>
          <w:tab w:val="clear" w:pos="2268"/>
          <w:tab w:val="clear" w:pos="2835"/>
        </w:tabs>
        <w:ind w:left="1134" w:firstLine="0"/>
        <w:rPr>
          <w:lang w:val="en-IE" w:eastAsia="en-IE"/>
        </w:rPr>
      </w:pPr>
      <w:r w:rsidRPr="00686963">
        <w:rPr>
          <w:lang w:val="en-IE" w:eastAsia="en-IE"/>
        </w:rPr>
        <w:lastRenderedPageBreak/>
        <w:t>The regulator, the Health Information and Quality Authority (HIQA), published updated guidance</w:t>
      </w:r>
      <w:r w:rsidRPr="00686963">
        <w:rPr>
          <w:vertAlign w:val="superscript"/>
          <w:lang w:val="en-IE" w:eastAsia="en-IE"/>
        </w:rPr>
        <w:t>31</w:t>
      </w:r>
      <w:r w:rsidRPr="00686963">
        <w:rPr>
          <w:lang w:val="en-IE" w:eastAsia="en-IE"/>
        </w:rPr>
        <w:t xml:space="preserve"> on the use of restrictive practices in residential facilities in May 2025.</w:t>
      </w:r>
    </w:p>
    <w:p w14:paraId="329E73CE" w14:textId="2C9A641F"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13(a)</w:t>
      </w:r>
    </w:p>
    <w:p w14:paraId="03CD7590"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General Scheme of the Places of Detention Bill</w:t>
      </w:r>
      <w:r w:rsidRPr="00686963">
        <w:rPr>
          <w:vertAlign w:val="superscript"/>
          <w:lang w:val="en-IE" w:eastAsia="en-IE"/>
        </w:rPr>
        <w:t>32</w:t>
      </w:r>
      <w:r w:rsidRPr="00686963">
        <w:rPr>
          <w:lang w:val="en-IE" w:eastAsia="en-IE"/>
        </w:rPr>
        <w:t xml:space="preserve"> is being drafted and will provide for National Preventive Mechanisms to visit and inspect places where people are deprived of their liberty, referred to in the legislation as places of detention.</w:t>
      </w:r>
    </w:p>
    <w:p w14:paraId="0561AD78" w14:textId="0A4D3393"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13(b)</w:t>
      </w:r>
    </w:p>
    <w:p w14:paraId="0F4896C2"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Health Act 2007</w:t>
      </w:r>
      <w:r w:rsidRPr="00686963">
        <w:rPr>
          <w:vertAlign w:val="superscript"/>
          <w:lang w:val="en-IE" w:eastAsia="en-IE"/>
        </w:rPr>
        <w:t>33</w:t>
      </w:r>
      <w:r w:rsidRPr="00686963">
        <w:rPr>
          <w:lang w:val="en-IE" w:eastAsia="en-IE"/>
        </w:rPr>
        <w:t xml:space="preserve"> (as amended) – establishes HIQA and the Office of the Chief Inspector of Social Services, setting out statutory powers for registration, inspection, monitoring and enforcement of designated centres for older people/nursing homes.</w:t>
      </w:r>
    </w:p>
    <w:p w14:paraId="6ECC52DC"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Health Act 2007 (Care and Welfare of Residents in Designated Centres for Older People) Regulations 2013</w:t>
      </w:r>
      <w:r w:rsidRPr="00686963">
        <w:rPr>
          <w:vertAlign w:val="superscript"/>
          <w:lang w:val="en-IE" w:eastAsia="en-IE"/>
        </w:rPr>
        <w:t>34</w:t>
      </w:r>
      <w:r w:rsidRPr="00686963">
        <w:rPr>
          <w:lang w:val="en-IE" w:eastAsia="en-IE"/>
        </w:rPr>
        <w:t xml:space="preserve"> set out legally binding requirements all nursing homes must adhere to relating to governance, staffing, premises, clinical care, infection control, residents’ rights, safeguarding and quality systems.</w:t>
      </w:r>
    </w:p>
    <w:p w14:paraId="52295BC5" w14:textId="398F1CFA"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13(c)</w:t>
      </w:r>
    </w:p>
    <w:p w14:paraId="17B26797"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Ireland is committed to age-appropriate inpatient mental health treatment and minimising admissions of children to adult units, while acknowledging that, in exceptional circumstances, it may be necessary, where there is a clear clinical imperative, to admit a small number of children to adult units, for the shortest time possible.</w:t>
      </w:r>
    </w:p>
    <w:p w14:paraId="323CC939"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All admissions of under 18’s to adult units are notified to the Mental Health Commission and to a HSE National Child and Adolescent Mental Health Lead Manager. In each case, the young person receives continuous one-to-one nursing care in line with the Mental Health Commission (MHC) Code of Practice.</w:t>
      </w:r>
    </w:p>
    <w:p w14:paraId="6100607A"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Admissions to adult units have fallen from 247 in 2008 to five HSE admissions in 2025, despite rising demand for Children and Adolescent Mental Health Services (CAMHS).</w:t>
      </w:r>
    </w:p>
    <w:p w14:paraId="293FBB07" w14:textId="1E8D419A"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13(d)</w:t>
      </w:r>
    </w:p>
    <w:p w14:paraId="0CF6C2CE"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Electro-convulsive treatment</w:t>
      </w:r>
      <w:r w:rsidRPr="00686963">
        <w:rPr>
          <w:i/>
          <w:iCs/>
          <w:lang w:val="en-IE" w:eastAsia="en-IE"/>
        </w:rPr>
        <w:t xml:space="preserve"> (</w:t>
      </w:r>
      <w:r w:rsidRPr="00686963">
        <w:rPr>
          <w:lang w:val="en-IE" w:eastAsia="en-IE"/>
        </w:rPr>
        <w:t>ECT) usage is highly regulated by the MHC and will continue to be under the Mental Health Act 2026</w:t>
      </w:r>
      <w:r w:rsidRPr="00686963">
        <w:rPr>
          <w:vertAlign w:val="superscript"/>
          <w:lang w:val="en-IE" w:eastAsia="en-IE"/>
        </w:rPr>
        <w:t>4</w:t>
      </w:r>
      <w:r w:rsidRPr="00686963">
        <w:rPr>
          <w:lang w:val="en-IE" w:eastAsia="en-IE"/>
        </w:rPr>
        <w:t>. The Act prohibits the administration of ECT to children and provides for ECT only where the person consents to its administration, or where the person lacks capacity, a legally recognised substitute decision-maker consents on his or her behalf.</w:t>
      </w:r>
    </w:p>
    <w:p w14:paraId="719C0258"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Psychosurgery</w:t>
      </w:r>
      <w:r w:rsidRPr="00686963" w:rsidDel="008F6030">
        <w:rPr>
          <w:lang w:val="en-IE" w:eastAsia="en-IE"/>
        </w:rPr>
        <w:t xml:space="preserve"> </w:t>
      </w:r>
      <w:r w:rsidRPr="00686963">
        <w:rPr>
          <w:lang w:val="en-IE" w:eastAsia="en-IE"/>
        </w:rPr>
        <w:t>does not occur in Ireland and there are no facilities or expertise in the country to administer this practise.</w:t>
      </w:r>
    </w:p>
    <w:p w14:paraId="338C444E" w14:textId="3288FD2E"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13(e)</w:t>
      </w:r>
    </w:p>
    <w:p w14:paraId="27252E11"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Mental Health Act 2026</w:t>
      </w:r>
      <w:r w:rsidRPr="00686963">
        <w:rPr>
          <w:vertAlign w:val="superscript"/>
          <w:lang w:val="en-IE" w:eastAsia="en-IE"/>
        </w:rPr>
        <w:t>4</w:t>
      </w:r>
      <w:r w:rsidRPr="00686963">
        <w:rPr>
          <w:lang w:val="en-IE" w:eastAsia="en-IE"/>
        </w:rPr>
        <w:t xml:space="preserve"> contains extensive protections regarding the application of a restrictive practice on an adult or on a child. Any restrictive intervention which compromises a person’s liberty should be the safest and least restrictive option of last resort necessary to manage the immediate situation, be proportionate to the assessed risk, and employed for the shortest possible duration. The use of restrictive practices is highly regulated in line with the Rules made by the MHC, and this will continue to be the case under the Mental Health Act 2026.</w:t>
      </w:r>
    </w:p>
    <w:p w14:paraId="586511D3"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In December 2024, the Department of Education and Youth (DEY) published the</w:t>
      </w:r>
      <w:r w:rsidRPr="00686963">
        <w:rPr>
          <w:i/>
          <w:iCs/>
          <w:lang w:val="en-IE" w:eastAsia="en-IE"/>
        </w:rPr>
        <w:t xml:space="preserve"> Understanding Behaviours of Concern and Responding to Crisis Situations in Schools</w:t>
      </w:r>
      <w:r w:rsidRPr="00686963">
        <w:rPr>
          <w:lang w:val="en-IE" w:eastAsia="en-IE"/>
        </w:rPr>
        <w:t xml:space="preserve"> guidelines</w:t>
      </w:r>
      <w:r w:rsidRPr="00686963">
        <w:rPr>
          <w:vertAlign w:val="superscript"/>
          <w:lang w:val="en-IE" w:eastAsia="en-IE"/>
        </w:rPr>
        <w:t>35</w:t>
      </w:r>
      <w:r w:rsidRPr="00686963">
        <w:rPr>
          <w:lang w:val="en-IE" w:eastAsia="en-IE"/>
        </w:rPr>
        <w:t>.</w:t>
      </w:r>
    </w:p>
    <w:p w14:paraId="3869A8B7"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12(e).</w:t>
      </w:r>
    </w:p>
    <w:p w14:paraId="14CB4C1B" w14:textId="5DD8D485" w:rsidR="00686963" w:rsidRPr="00686963" w:rsidRDefault="00E97F0E" w:rsidP="00E97F0E">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14(a)</w:t>
      </w:r>
    </w:p>
    <w:p w14:paraId="56335FC7"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 xml:space="preserve">Combatting DSGBV and supporting victims and survivors underpin the </w:t>
      </w:r>
      <w:r w:rsidRPr="00686963">
        <w:rPr>
          <w:i/>
          <w:iCs/>
          <w:lang w:val="en-IE" w:eastAsia="en-IE"/>
        </w:rPr>
        <w:t>Third National Strategy on DSGBV</w:t>
      </w:r>
      <w:r w:rsidRPr="00686963">
        <w:rPr>
          <w:i/>
          <w:iCs/>
          <w:vertAlign w:val="superscript"/>
          <w:lang w:val="en-IE" w:eastAsia="en-IE"/>
        </w:rPr>
        <w:t>36</w:t>
      </w:r>
      <w:r w:rsidRPr="00686963">
        <w:rPr>
          <w:lang w:val="en-IE" w:eastAsia="en-IE"/>
        </w:rPr>
        <w:t>. A key element of achieving the Strategy’s aims is through robust legislation.</w:t>
      </w:r>
    </w:p>
    <w:p w14:paraId="0BEE496F"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operation of Acts which legislate for such incidents including the Domestic Violence Act 2018</w:t>
      </w:r>
      <w:r w:rsidRPr="00686963">
        <w:rPr>
          <w:vertAlign w:val="superscript"/>
          <w:lang w:val="en-IE" w:eastAsia="en-IE"/>
        </w:rPr>
        <w:t>37</w:t>
      </w:r>
      <w:r w:rsidRPr="00686963">
        <w:rPr>
          <w:lang w:val="en-IE" w:eastAsia="en-IE"/>
        </w:rPr>
        <w:t>, the Non-Fatal Offences Against the Person Act 1997</w:t>
      </w:r>
      <w:r w:rsidRPr="00686963">
        <w:rPr>
          <w:vertAlign w:val="superscript"/>
          <w:lang w:val="en-IE" w:eastAsia="en-IE"/>
        </w:rPr>
        <w:t>38</w:t>
      </w:r>
      <w:r w:rsidRPr="00686963">
        <w:rPr>
          <w:lang w:val="en-IE" w:eastAsia="en-IE"/>
        </w:rPr>
        <w:t>, the Criminal Damage Act 1991</w:t>
      </w:r>
      <w:r w:rsidRPr="00686963">
        <w:rPr>
          <w:vertAlign w:val="superscript"/>
          <w:lang w:val="en-IE" w:eastAsia="en-IE"/>
        </w:rPr>
        <w:t xml:space="preserve">39 </w:t>
      </w:r>
      <w:r w:rsidRPr="00686963">
        <w:rPr>
          <w:lang w:val="en-IE" w:eastAsia="en-IE"/>
        </w:rPr>
        <w:t>and all criminal legislation, are kept under constant review to ensure that they are achieving their intended purpose and drawing on developments in research and international practice to do so.</w:t>
      </w:r>
    </w:p>
    <w:p w14:paraId="138CD832" w14:textId="70A08B14"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14(b)</w:t>
      </w:r>
    </w:p>
    <w:p w14:paraId="1D4EAE70"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 xml:space="preserve">Under the </w:t>
      </w:r>
      <w:r w:rsidRPr="00686963">
        <w:rPr>
          <w:i/>
          <w:iCs/>
          <w:lang w:val="en-IE" w:eastAsia="en-IE"/>
        </w:rPr>
        <w:t>DSGBV Implementation plan 2025-2026</w:t>
      </w:r>
      <w:r w:rsidRPr="00686963">
        <w:rPr>
          <w:i/>
          <w:iCs/>
          <w:vertAlign w:val="superscript"/>
          <w:lang w:val="en-IE" w:eastAsia="en-IE"/>
        </w:rPr>
        <w:t>26</w:t>
      </w:r>
      <w:r w:rsidRPr="00686963">
        <w:rPr>
          <w:lang w:val="en-IE" w:eastAsia="en-IE"/>
        </w:rPr>
        <w:t>, a commitment was made to create guidelines for the design of refuges to ensure communal areas, staff facilities, support services, and accommodation units are accessible, including the requirement for at least one wheelchair-accessible bedroom unit per refuge, interconnected to an adjacent unit to permit diverse family and support needs.</w:t>
      </w:r>
    </w:p>
    <w:p w14:paraId="6E86C1F8"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To develop the Fourth National Strategy, DoJHAM will consult stakeholders including disabled people.</w:t>
      </w:r>
    </w:p>
    <w:p w14:paraId="327EB8DB" w14:textId="57EE516B"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14(c)</w:t>
      </w:r>
    </w:p>
    <w:p w14:paraId="42868113"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Under the Children First Act 2015</w:t>
      </w:r>
      <w:r w:rsidRPr="00686963">
        <w:rPr>
          <w:vertAlign w:val="superscript"/>
          <w:lang w:val="en-IE" w:eastAsia="en-IE"/>
        </w:rPr>
        <w:t>40</w:t>
      </w:r>
      <w:r w:rsidRPr="00686963">
        <w:rPr>
          <w:lang w:val="en-IE" w:eastAsia="en-IE"/>
        </w:rPr>
        <w:t xml:space="preserve"> and Children First National Guidance</w:t>
      </w:r>
      <w:r w:rsidRPr="00686963">
        <w:rPr>
          <w:vertAlign w:val="superscript"/>
          <w:lang w:val="en-IE" w:eastAsia="en-IE"/>
        </w:rPr>
        <w:t>41</w:t>
      </w:r>
      <w:r w:rsidRPr="00686963">
        <w:rPr>
          <w:lang w:val="en-IE" w:eastAsia="en-IE"/>
        </w:rPr>
        <w:t>, providers of relevant services have a legal duty to keep children safe from harm while they are using their service. This includes residential centres providing care to disabled children, which are specified as a relevant service under the Act. The Act requires a range of professions to report to Tusla where they know, believe, or have reasonable grounds to suspect that a child has been harmed, is being harmed, or is at risk of being harmed. Children First National Guidance, issued under the Act notes that those with relevant responsibilities under Children First should be alert that disabled children may be particularly vulnerable to harm.</w:t>
      </w:r>
    </w:p>
    <w:p w14:paraId="3D1295BC"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Providers of relevant services must undertake periodic risk assessments of the potential for harm to children in their care; and must develop Child Safeguarding Statements outlining the policies and procedures which are in place to manage the risks that have been identified.</w:t>
      </w:r>
    </w:p>
    <w:p w14:paraId="0D07335A"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Work is underway to implement several recommendations of a Garda Vetting Review Group, established with a primary focus to deliberate and formulate recommendations to strengthen vetting legislation.</w:t>
      </w:r>
    </w:p>
    <w:p w14:paraId="6849C64E"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14(c) (Adult Safeguarding Legislation).</w:t>
      </w:r>
    </w:p>
    <w:p w14:paraId="71498A88" w14:textId="0D2B5840" w:rsidR="00686963" w:rsidRPr="00686963" w:rsidRDefault="00E97F0E" w:rsidP="00E97F0E">
      <w:pPr>
        <w:pStyle w:val="H23G"/>
        <w:rPr>
          <w:lang w:val="en-IE" w:eastAsia="en-IE"/>
        </w:rPr>
      </w:pPr>
      <w:r>
        <w:rPr>
          <w:lang w:val="en-IE" w:eastAsia="en-IE"/>
        </w:rPr>
        <w:tab/>
      </w:r>
      <w:r>
        <w:rPr>
          <w:lang w:val="en-IE" w:eastAsia="en-IE"/>
        </w:rPr>
        <w:tab/>
      </w:r>
      <w:r w:rsidR="00686963" w:rsidRPr="00686963">
        <w:rPr>
          <w:lang w:val="en-IE" w:eastAsia="en-IE"/>
        </w:rPr>
        <w:t>Reply to paragraph 14(c) (Adult Safeguarding Legislation)</w:t>
      </w:r>
    </w:p>
    <w:p w14:paraId="2D546856"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Government approved Ireland’s first ever National Policy Framework for Adult Safeguarding in the Health and Social Care sector in 2025</w:t>
      </w:r>
      <w:r w:rsidRPr="00686963">
        <w:rPr>
          <w:vertAlign w:val="superscript"/>
          <w:lang w:val="en-IE" w:eastAsia="en-IE"/>
        </w:rPr>
        <w:t>19</w:t>
      </w:r>
      <w:r w:rsidRPr="00686963">
        <w:rPr>
          <w:lang w:val="en-IE" w:eastAsia="en-IE"/>
        </w:rPr>
        <w:t>. This includes both legislative and non-legislative measures that will expand and strengthen existing supports and protections for adults at risk of harm across the health and social care sector. Legislation is in preparation to underpin these commitments and an implementation plan for delivering on the broader commitments in the Policy Framework will be published in 2026.</w:t>
      </w:r>
    </w:p>
    <w:p w14:paraId="1A33787F" w14:textId="77777777" w:rsidR="00686963" w:rsidRPr="00686963" w:rsidRDefault="00686963" w:rsidP="00E97F0E">
      <w:pPr>
        <w:pStyle w:val="SingleTxtG"/>
        <w:numPr>
          <w:ilvl w:val="0"/>
          <w:numId w:val="27"/>
        </w:numPr>
        <w:tabs>
          <w:tab w:val="clear" w:pos="2268"/>
          <w:tab w:val="clear" w:pos="2835"/>
        </w:tabs>
        <w:ind w:left="1134" w:firstLine="0"/>
        <w:rPr>
          <w:lang w:val="en-IE" w:eastAsia="en-IE"/>
        </w:rPr>
      </w:pPr>
      <w:r w:rsidRPr="00686963">
        <w:rPr>
          <w:lang w:val="en-IE" w:eastAsia="en-IE"/>
        </w:rPr>
        <w:t>The Policy Framework aligns with the standards and principles of the Convention. The aims of the policy framework are to uphold the autonomy rights of adults at risk to make their own decisions about their own lives, to foster a culture of safeguarding so that all settings and environments are safe and to support adults at risk and to protect them against abuse. The principles of person-centredness, empowerment, proportionality, accountability and a human rights-based approach are central to this policy framework, implementation and legislation.</w:t>
      </w:r>
    </w:p>
    <w:p w14:paraId="46FE0DBB" w14:textId="45EE2BA6" w:rsidR="00686963" w:rsidRPr="00686963" w:rsidRDefault="007E32AD" w:rsidP="007E32AD">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14(d)</w:t>
      </w:r>
    </w:p>
    <w:p w14:paraId="1B619AF3"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 xml:space="preserve">Following a serious sexual assault at a HSE nursing home in 2020, the HSE commissioned two independent reviews. The review reports were published in July 2023. The first was a review of the investigations into the assault and to make recommendations, which are being implemented. The second was a wider review of adult safeguarding of the HSE’s adult safeguarding policy, procedures, structures and options for the future of safeguarding in health and social care settings. In 2024 the HSE published a report of the findings: </w:t>
      </w:r>
      <w:r w:rsidRPr="00686963">
        <w:rPr>
          <w:i/>
          <w:iCs/>
          <w:lang w:val="en-IE" w:eastAsia="en-IE"/>
        </w:rPr>
        <w:t>Moving Forward: Adult Safeguarding in the Health Service Executive</w:t>
      </w:r>
      <w:r w:rsidRPr="00686963">
        <w:rPr>
          <w:i/>
          <w:iCs/>
          <w:vertAlign w:val="superscript"/>
          <w:lang w:val="en-IE" w:eastAsia="en-IE"/>
        </w:rPr>
        <w:t>42</w:t>
      </w:r>
      <w:r w:rsidRPr="00686963">
        <w:rPr>
          <w:lang w:val="en-IE" w:eastAsia="en-IE"/>
        </w:rPr>
        <w:t>.</w:t>
      </w:r>
    </w:p>
    <w:p w14:paraId="0A8211DB"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The Commission of Investigation (certain matters relative to a disability service in the South-East and related matters), “the Farrelly Commission” concluded its work in May 2025</w:t>
      </w:r>
      <w:r w:rsidRPr="00686963">
        <w:rPr>
          <w:vertAlign w:val="superscript"/>
          <w:lang w:val="en-IE" w:eastAsia="en-IE"/>
        </w:rPr>
        <w:t>43</w:t>
      </w:r>
      <w:r w:rsidRPr="00686963">
        <w:rPr>
          <w:lang w:val="en-IE" w:eastAsia="en-IE"/>
        </w:rPr>
        <w:t>. The Minister has engaged an expert to undertake a non-statutory safeguarding exercise to identify learnings from the Commission’s findings to inform current safeguarding policies and practices. The individuals referenced in the Commission’s statement and/or their representatives have been invited to participate in this exercise, if they wish to share their lived experience.</w:t>
      </w:r>
    </w:p>
    <w:p w14:paraId="3AF3AD2A"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8.</w:t>
      </w:r>
    </w:p>
    <w:p w14:paraId="0B72180D" w14:textId="1DBAF200" w:rsidR="00686963" w:rsidRPr="00686963" w:rsidRDefault="007E32AD" w:rsidP="007E32AD">
      <w:pPr>
        <w:pStyle w:val="H23G"/>
        <w:rPr>
          <w:lang w:val="en-IE" w:eastAsia="en-IE"/>
        </w:rPr>
      </w:pPr>
      <w:r>
        <w:rPr>
          <w:lang w:val="en-IE" w:eastAsia="en-IE"/>
        </w:rPr>
        <w:tab/>
      </w:r>
      <w:r>
        <w:rPr>
          <w:lang w:val="en-IE" w:eastAsia="en-IE"/>
        </w:rPr>
        <w:tab/>
      </w:r>
      <w:r w:rsidR="00686963" w:rsidRPr="00686963">
        <w:rPr>
          <w:lang w:val="en-IE" w:eastAsia="en-IE"/>
        </w:rPr>
        <w:t>Reply to paragraph 14(e)</w:t>
      </w:r>
    </w:p>
    <w:p w14:paraId="33116099"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Third National Action Plan to Prevent and Combat Human Trafficking 2023–2027</w:t>
      </w:r>
      <w:r w:rsidRPr="00686963">
        <w:rPr>
          <w:vertAlign w:val="superscript"/>
          <w:lang w:val="en-IE" w:eastAsia="en-IE"/>
        </w:rPr>
        <w:t>44</w:t>
      </w:r>
      <w:r w:rsidRPr="00686963">
        <w:rPr>
          <w:lang w:val="en-IE" w:eastAsia="en-IE"/>
        </w:rPr>
        <w:t xml:space="preserve"> adopts a victim-centred approach and embeds a commitment to non-discrimination, including based upon disability.</w:t>
      </w:r>
    </w:p>
    <w:p w14:paraId="3CB39810"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The HSE Anti Human Trafficking Team (AHTT) provides health-led identification and support. Where disability is identified or suspected, needs are assessed, including through specialist input where required, and appropriate referrals are made.</w:t>
      </w:r>
    </w:p>
    <w:p w14:paraId="50DD666B"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Ireland is progressing transposition of the amended EU Anti-Trafficking Directive 2024, which will strengthen disability-sensitive identification, protection, and support measures.</w:t>
      </w:r>
    </w:p>
    <w:p w14:paraId="58AEF115" w14:textId="3EACEBCE" w:rsidR="00686963" w:rsidRPr="00686963" w:rsidRDefault="007E32AD" w:rsidP="007E32AD">
      <w:pPr>
        <w:pStyle w:val="H23G"/>
        <w:rPr>
          <w:lang w:val="en-IE" w:eastAsia="en-IE"/>
        </w:rPr>
      </w:pPr>
      <w:r>
        <w:rPr>
          <w:lang w:val="en-IE" w:eastAsia="en-IE"/>
        </w:rPr>
        <w:tab/>
      </w:r>
      <w:r>
        <w:rPr>
          <w:lang w:val="en-IE" w:eastAsia="en-IE"/>
        </w:rPr>
        <w:tab/>
      </w:r>
      <w:r w:rsidR="00686963" w:rsidRPr="00686963">
        <w:rPr>
          <w:lang w:val="en-IE" w:eastAsia="en-IE"/>
        </w:rPr>
        <w:t>Reply to paragraph 15</w:t>
      </w:r>
    </w:p>
    <w:p w14:paraId="4A63A724"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Carrying out any medical procedure on a person without their consent is an assault and punishable by criminal law. The Non-Fatal Offences Against the Person Act 1997</w:t>
      </w:r>
      <w:r w:rsidRPr="00686963">
        <w:rPr>
          <w:vertAlign w:val="superscript"/>
          <w:lang w:val="en-IE" w:eastAsia="en-IE"/>
        </w:rPr>
        <w:t>45</w:t>
      </w:r>
      <w:r w:rsidRPr="00686963">
        <w:rPr>
          <w:lang w:val="en-IE" w:eastAsia="en-IE"/>
        </w:rPr>
        <w:t xml:space="preserve"> sets out the law on consent, which could give rise to a claim for trespass against the person and/or professional negligence. The HSE National Consent Policy</w:t>
      </w:r>
      <w:r w:rsidRPr="00686963">
        <w:rPr>
          <w:vertAlign w:val="superscript"/>
          <w:lang w:val="en-IE" w:eastAsia="en-IE"/>
        </w:rPr>
        <w:t>46</w:t>
      </w:r>
      <w:r w:rsidRPr="00686963">
        <w:rPr>
          <w:lang w:val="en-IE" w:eastAsia="en-IE"/>
        </w:rPr>
        <w:t xml:space="preserve"> sets out guidelines in this area.</w:t>
      </w:r>
    </w:p>
    <w:p w14:paraId="3C25B02B" w14:textId="2528982B" w:rsidR="00686963" w:rsidRPr="00686963" w:rsidRDefault="007E32AD" w:rsidP="007E32AD">
      <w:pPr>
        <w:pStyle w:val="H23G"/>
        <w:rPr>
          <w:lang w:val="en-IE" w:eastAsia="en-IE"/>
        </w:rPr>
      </w:pPr>
      <w:r>
        <w:rPr>
          <w:lang w:val="en-IE" w:eastAsia="en-IE"/>
        </w:rPr>
        <w:tab/>
      </w:r>
      <w:r>
        <w:rPr>
          <w:lang w:val="en-IE" w:eastAsia="en-IE"/>
        </w:rPr>
        <w:tab/>
      </w:r>
      <w:r w:rsidR="00686963" w:rsidRPr="00686963">
        <w:rPr>
          <w:lang w:val="en-IE" w:eastAsia="en-IE"/>
        </w:rPr>
        <w:t>Reply to paragraph 16(a)</w:t>
      </w:r>
    </w:p>
    <w:p w14:paraId="0CE44235"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The International Protection Bill 2026</w:t>
      </w:r>
      <w:r w:rsidRPr="00686963">
        <w:rPr>
          <w:vertAlign w:val="superscript"/>
          <w:lang w:val="en-IE" w:eastAsia="en-IE"/>
        </w:rPr>
        <w:t>47</w:t>
      </w:r>
      <w:r w:rsidRPr="00686963">
        <w:rPr>
          <w:lang w:val="en-IE" w:eastAsia="en-IE"/>
        </w:rPr>
        <w:t xml:space="preserve"> will give effect to Directive (EU) 2024/1346, laying down standards for the reception of applicants for international protection, with Sections 27 and 28 providing for health and vulnerability assessments.</w:t>
      </w:r>
    </w:p>
    <w:p w14:paraId="64B894AE" w14:textId="08314D68" w:rsidR="00686963" w:rsidRPr="00686963" w:rsidRDefault="007E32AD" w:rsidP="007E32AD">
      <w:pPr>
        <w:pStyle w:val="H23G"/>
        <w:rPr>
          <w:lang w:val="en-IE" w:eastAsia="en-IE"/>
        </w:rPr>
      </w:pPr>
      <w:r>
        <w:rPr>
          <w:lang w:val="en-IE" w:eastAsia="en-IE"/>
        </w:rPr>
        <w:tab/>
      </w:r>
      <w:r>
        <w:rPr>
          <w:lang w:val="en-IE" w:eastAsia="en-IE"/>
        </w:rPr>
        <w:tab/>
      </w:r>
      <w:r w:rsidR="00686963" w:rsidRPr="00686963">
        <w:rPr>
          <w:lang w:val="en-IE" w:eastAsia="en-IE"/>
        </w:rPr>
        <w:t>Reply to paragraph 16(b)</w:t>
      </w:r>
    </w:p>
    <w:p w14:paraId="182CC728"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DoJHAM’s mandatory induction training for new staff outlines DoJHAM’s duty to provide reasonable accommodations and their role in that process.</w:t>
      </w:r>
    </w:p>
    <w:p w14:paraId="08E10B3F"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Trained International Protection Accommodation Services (IPAS) Assessment Officers conduct voluntary Vulnerability Assessments which determine the special reception needs of families, couples and single females. Where applicants state that they, or their child, have a special need, including a medical need, a disability or other serious vulnerability, they are signposted to relevant services.</w:t>
      </w:r>
    </w:p>
    <w:p w14:paraId="3C792ED4" w14:textId="77777777" w:rsidR="00686963" w:rsidRPr="00686963" w:rsidRDefault="00686963" w:rsidP="007E32AD">
      <w:pPr>
        <w:pStyle w:val="SingleTxtG"/>
        <w:numPr>
          <w:ilvl w:val="0"/>
          <w:numId w:val="27"/>
        </w:numPr>
        <w:tabs>
          <w:tab w:val="clear" w:pos="2268"/>
          <w:tab w:val="clear" w:pos="2835"/>
        </w:tabs>
        <w:ind w:left="1134" w:firstLine="0"/>
        <w:rPr>
          <w:lang w:val="en-IE" w:eastAsia="en-IE"/>
        </w:rPr>
      </w:pPr>
      <w:r w:rsidRPr="00686963">
        <w:rPr>
          <w:lang w:val="en-IE" w:eastAsia="en-IE"/>
        </w:rPr>
        <w:t>The International Protection Office (IPO) takes a person-centred approach to disabled or otherwise vulnerable applicants. Applicants are asked whether there are any health issues or whether circumstances may affect their ability to participate fully in the process, enabling the IPO to identify potential vulnerabilities and consider appropriate procedural accommodations where required.</w:t>
      </w:r>
    </w:p>
    <w:p w14:paraId="5B85432A" w14:textId="2713D2C5" w:rsidR="00686963" w:rsidRPr="00686963" w:rsidRDefault="007E32AD" w:rsidP="007E32AD">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16(c)</w:t>
      </w:r>
    </w:p>
    <w:p w14:paraId="226E8371"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Residents in IPAS accommodation centres are entitled to a medical card and GP services within the local community. Specialist health and social care services for families are accessed through primary care, GP referral, and emergency services.</w:t>
      </w:r>
    </w:p>
    <w:p w14:paraId="04B55015"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International Protection Applicants may contact the Resident Welfare Team at IPAS at any time if additional supports are required or they develop a vulnerability during the application process.</w:t>
      </w:r>
    </w:p>
    <w:p w14:paraId="3ACDFACA"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16(b).</w:t>
      </w:r>
    </w:p>
    <w:p w14:paraId="21A82046" w14:textId="18DD0DE0" w:rsidR="00686963" w:rsidRPr="00686963" w:rsidRDefault="006556B7" w:rsidP="006556B7">
      <w:pPr>
        <w:pStyle w:val="H23G"/>
        <w:rPr>
          <w:lang w:val="en-IE" w:eastAsia="en-IE"/>
        </w:rPr>
      </w:pPr>
      <w:r>
        <w:rPr>
          <w:lang w:val="en-IE" w:eastAsia="en-IE"/>
        </w:rPr>
        <w:tab/>
      </w:r>
      <w:r>
        <w:rPr>
          <w:lang w:val="en-IE" w:eastAsia="en-IE"/>
        </w:rPr>
        <w:tab/>
      </w:r>
      <w:r w:rsidR="00686963" w:rsidRPr="00686963">
        <w:rPr>
          <w:lang w:val="en-IE" w:eastAsia="en-IE"/>
        </w:rPr>
        <w:t>Reply to paragraph 16(d)</w:t>
      </w:r>
    </w:p>
    <w:p w14:paraId="49EAD0FB"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16(b).</w:t>
      </w:r>
    </w:p>
    <w:p w14:paraId="506005D3"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During the application process, applicants are asked whether any health issues or circumstances may affect their ability to fully participate in the process. This enables the IPO to identify potential vulnerabilities and consider appropriate accommodation placements. Applicants may contact IPAS via its Helpdesk at any time if a vulnerability arises or information changes.  While medical services are mainstreamed, IPAS engages directly with the HSE National Social Inclusion Office regarding individual applicants where required.</w:t>
      </w:r>
    </w:p>
    <w:p w14:paraId="4D7CE055" w14:textId="60E123A7" w:rsidR="00686963" w:rsidRPr="00686963" w:rsidRDefault="006556B7" w:rsidP="006556B7">
      <w:pPr>
        <w:pStyle w:val="H23G"/>
        <w:rPr>
          <w:lang w:val="en-IE" w:eastAsia="en-IE"/>
        </w:rPr>
      </w:pPr>
      <w:r>
        <w:rPr>
          <w:lang w:val="en-IE" w:eastAsia="en-IE"/>
        </w:rPr>
        <w:tab/>
      </w:r>
      <w:r>
        <w:rPr>
          <w:lang w:val="en-IE" w:eastAsia="en-IE"/>
        </w:rPr>
        <w:tab/>
      </w:r>
      <w:r w:rsidR="00686963" w:rsidRPr="00686963">
        <w:rPr>
          <w:lang w:val="en-IE" w:eastAsia="en-IE"/>
        </w:rPr>
        <w:t>Reply to paragraph 16(e)</w:t>
      </w:r>
    </w:p>
    <w:p w14:paraId="4AB70B79"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Transport to medical services is provided for applicants.</w:t>
      </w:r>
    </w:p>
    <w:p w14:paraId="6B3FFEB1"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In some larger IPAS Centres, in-reach medical or health care services may be provided.</w:t>
      </w:r>
    </w:p>
    <w:p w14:paraId="111AAF0F"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Where applicants indicate a current or ongoing health need, they are referred to a HSE Team in the IPO for initial review.  The HSE will notify the IPAS Assessment Officer if an applicant indicates they have an urgent health need. The Assessment Officer will then determine if the applicant requires priority accommodation and will make a recommendation and offer accommodation immediately or as soon as available.</w:t>
      </w:r>
    </w:p>
    <w:p w14:paraId="47BA9583"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Where a vulnerability emerges or is advised to IPAS after a person or family has been accommodated and accessible or more suitable accommodation is required on medical grounds, they are asked to submit a referral form under the IPAS Protocol for Medical Transfer. This enables medical professionals to outline accommodation requirements including mobility, proximity to hospital or other services which are then used by IPAS to identify the most suitable accommodation available within its portfolio.</w:t>
      </w:r>
    </w:p>
    <w:p w14:paraId="0230B638" w14:textId="690F5D96" w:rsidR="00686963" w:rsidRPr="00686963" w:rsidRDefault="00D35698" w:rsidP="00D35698">
      <w:pPr>
        <w:pStyle w:val="H23G"/>
        <w:rPr>
          <w:lang w:val="en-IE" w:eastAsia="en-IE"/>
        </w:rPr>
      </w:pPr>
      <w:r>
        <w:rPr>
          <w:lang w:val="en-IE" w:eastAsia="en-IE"/>
        </w:rPr>
        <w:tab/>
      </w:r>
      <w:r>
        <w:rPr>
          <w:lang w:val="en-IE" w:eastAsia="en-IE"/>
        </w:rPr>
        <w:tab/>
      </w:r>
      <w:r w:rsidR="00686963" w:rsidRPr="00686963">
        <w:rPr>
          <w:lang w:val="en-IE" w:eastAsia="en-IE"/>
        </w:rPr>
        <w:t>Reply to paragraph 16(f)</w:t>
      </w:r>
    </w:p>
    <w:p w14:paraId="21CB2B68"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All international protection applicants are entitled to voluntary vulnerability assessment or triage on arrival. Currently, vulnerability assessments are provided to families and single females on arrival and vulnerability triage is provided to all single males on arrival to identify people with specific needs.</w:t>
      </w:r>
    </w:p>
    <w:p w14:paraId="0A4CFCF1"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16(b).</w:t>
      </w:r>
    </w:p>
    <w:p w14:paraId="2E4A44D1" w14:textId="53861192" w:rsidR="00686963" w:rsidRPr="00686963" w:rsidRDefault="00D35698" w:rsidP="00D35698">
      <w:pPr>
        <w:pStyle w:val="H23G"/>
        <w:rPr>
          <w:lang w:val="en-IE" w:eastAsia="en-IE"/>
        </w:rPr>
      </w:pPr>
      <w:r>
        <w:rPr>
          <w:lang w:val="en-IE" w:eastAsia="en-IE"/>
        </w:rPr>
        <w:tab/>
      </w:r>
      <w:r>
        <w:rPr>
          <w:lang w:val="en-IE" w:eastAsia="en-IE"/>
        </w:rPr>
        <w:tab/>
      </w:r>
      <w:r w:rsidR="00686963" w:rsidRPr="00686963">
        <w:rPr>
          <w:lang w:val="en-IE" w:eastAsia="en-IE"/>
        </w:rPr>
        <w:t>Reply to paragraph 17(a)</w:t>
      </w:r>
    </w:p>
    <w:p w14:paraId="723EC949"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In April 2025, 1,335 individuals remained in HSE tracked congregated settings. From 2020 to 2025, 454 individuals moved from congregated settings to homes in the community.</w:t>
      </w:r>
    </w:p>
    <w:p w14:paraId="6DBCDAAC"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In 2026, the HSE National Service Plan allocated €3m to support the transition of 58 people from congregated settings to more appropriate homes in the community. Decongregation is progressing and continues to demonstrate positive results for service users who have transitioned to community-based alternatives.</w:t>
      </w:r>
    </w:p>
    <w:p w14:paraId="011DDAB8" w14:textId="77777777" w:rsidR="00686963" w:rsidRPr="00686963" w:rsidRDefault="00686963" w:rsidP="00D3569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17(b).</w:t>
      </w:r>
    </w:p>
    <w:p w14:paraId="04442AAC" w14:textId="37828DFA" w:rsidR="00686963" w:rsidRPr="00686963" w:rsidRDefault="00D35698" w:rsidP="00D35698">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17(b)</w:t>
      </w:r>
    </w:p>
    <w:p w14:paraId="4625BB5C" w14:textId="77777777" w:rsidR="00686963" w:rsidRPr="00686963" w:rsidRDefault="00686963" w:rsidP="00282584">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updated Implementation Plan for the </w:t>
      </w:r>
      <w:r w:rsidRPr="00686963">
        <w:rPr>
          <w:i/>
          <w:iCs/>
          <w:lang w:val="en-IE" w:eastAsia="en-IE"/>
        </w:rPr>
        <w:t>National Housing Strategy for Disabled People 2022 – 2027</w:t>
      </w:r>
      <w:r w:rsidRPr="00686963">
        <w:rPr>
          <w:vertAlign w:val="superscript"/>
          <w:lang w:val="en-IE" w:eastAsia="en-IE"/>
        </w:rPr>
        <w:t>48</w:t>
      </w:r>
      <w:r w:rsidRPr="00686963">
        <w:rPr>
          <w:lang w:val="en-IE" w:eastAsia="en-IE"/>
        </w:rPr>
        <w:t xml:space="preserve"> is being advanced for approval and publication in Q3 2026.</w:t>
      </w:r>
    </w:p>
    <w:p w14:paraId="30919F13" w14:textId="77777777" w:rsidR="00686963" w:rsidRPr="00686963" w:rsidRDefault="00686963" w:rsidP="00282584">
      <w:pPr>
        <w:pStyle w:val="SingleTxtG"/>
        <w:numPr>
          <w:ilvl w:val="0"/>
          <w:numId w:val="27"/>
        </w:numPr>
        <w:tabs>
          <w:tab w:val="clear" w:pos="2268"/>
          <w:tab w:val="clear" w:pos="2835"/>
        </w:tabs>
        <w:ind w:left="1134" w:firstLine="0"/>
        <w:rPr>
          <w:lang w:val="en-IE" w:eastAsia="en-IE"/>
        </w:rPr>
      </w:pPr>
      <w:r w:rsidRPr="00686963">
        <w:rPr>
          <w:lang w:val="en-IE" w:eastAsia="en-IE"/>
        </w:rPr>
        <w:t>The National Standards Authority of Ireland are developing a National Universal Design Standard for housing in collaboration with stakeholders</w:t>
      </w:r>
      <w:r w:rsidRPr="00686963">
        <w:rPr>
          <w:vertAlign w:val="superscript"/>
          <w:lang w:val="en-IE" w:eastAsia="en-IE"/>
        </w:rPr>
        <w:t>49</w:t>
      </w:r>
      <w:r w:rsidRPr="00686963">
        <w:rPr>
          <w:lang w:val="en-IE" w:eastAsia="en-IE"/>
        </w:rPr>
        <w:t>.</w:t>
      </w:r>
    </w:p>
    <w:p w14:paraId="092195C9" w14:textId="57C728A1" w:rsidR="00686963" w:rsidRPr="00686963" w:rsidRDefault="002D1242" w:rsidP="002D1242">
      <w:pPr>
        <w:pStyle w:val="H23G"/>
        <w:rPr>
          <w:lang w:val="en-IE" w:eastAsia="en-IE"/>
        </w:rPr>
      </w:pPr>
      <w:r>
        <w:rPr>
          <w:lang w:val="en-IE" w:eastAsia="en-IE"/>
        </w:rPr>
        <w:tab/>
      </w:r>
      <w:r>
        <w:rPr>
          <w:lang w:val="en-IE" w:eastAsia="en-IE"/>
        </w:rPr>
        <w:tab/>
      </w:r>
      <w:r w:rsidR="00686963" w:rsidRPr="00686963">
        <w:rPr>
          <w:lang w:val="en-IE" w:eastAsia="en-IE"/>
        </w:rPr>
        <w:t>Reply to paragraph 17(c)</w:t>
      </w:r>
    </w:p>
    <w:p w14:paraId="687C0194"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The HSE National Service Plan</w:t>
      </w:r>
      <w:r w:rsidRPr="00686963">
        <w:rPr>
          <w:vertAlign w:val="superscript"/>
          <w:lang w:val="en-IE" w:eastAsia="en-IE"/>
        </w:rPr>
        <w:t>50</w:t>
      </w:r>
      <w:r w:rsidRPr="00686963">
        <w:rPr>
          <w:lang w:val="en-IE" w:eastAsia="en-IE"/>
        </w:rPr>
        <w:t xml:space="preserve"> allocated €10m in 2026 to the under-65s work programme. €8m will enable 45 people inappropriately placed in a nursing home to transition to more appropriate living arrangements. €2m will provide Enhanced Quality of Life Supports (EQLS) to those who remain in nursing home settings.</w:t>
      </w:r>
    </w:p>
    <w:p w14:paraId="7855887E"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The work of the Under-65s Integrated Steering Committee and project team, has increased awareness across HSE Acutes, Older Persons and Disability services of the need to prevent nursing home admissions for under-65s.</w:t>
      </w:r>
    </w:p>
    <w:p w14:paraId="0462420A"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The National Clinical Programme for People with a Disability (NCPPD) is developing A Place to Call Home - a rights-based model to support disabled adults of any age to live, age and thrive in their own communities. This work will set out community-based alternatives to nursing home admission for under-65s.</w:t>
      </w:r>
    </w:p>
    <w:p w14:paraId="41FF3BA0" w14:textId="18F14763" w:rsidR="00686963" w:rsidRPr="00686963" w:rsidRDefault="002D1242" w:rsidP="002D1242">
      <w:pPr>
        <w:pStyle w:val="H23G"/>
        <w:rPr>
          <w:lang w:val="en-IE" w:eastAsia="en-IE"/>
        </w:rPr>
      </w:pPr>
      <w:r>
        <w:rPr>
          <w:lang w:val="en-IE" w:eastAsia="en-IE"/>
        </w:rPr>
        <w:tab/>
      </w:r>
      <w:r>
        <w:rPr>
          <w:lang w:val="en-IE" w:eastAsia="en-IE"/>
        </w:rPr>
        <w:tab/>
      </w:r>
      <w:r w:rsidR="00686963" w:rsidRPr="00686963">
        <w:rPr>
          <w:lang w:val="en-IE" w:eastAsia="en-IE"/>
        </w:rPr>
        <w:t>Reply to paragraph 17(d)</w:t>
      </w:r>
    </w:p>
    <w:p w14:paraId="779F31E1"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Work is underway to develop a national framework on supports for community living, including personal assistance.</w:t>
      </w:r>
    </w:p>
    <w:p w14:paraId="68E32CE2" w14:textId="19AEC877" w:rsidR="00686963" w:rsidRPr="00686963" w:rsidRDefault="008A7EFA" w:rsidP="002D1242">
      <w:pPr>
        <w:pStyle w:val="H23G"/>
        <w:rPr>
          <w:lang w:val="en-IE" w:eastAsia="en-IE"/>
        </w:rPr>
      </w:pPr>
      <w:r>
        <w:rPr>
          <w:lang w:val="en-IE" w:eastAsia="en-IE"/>
        </w:rPr>
        <w:tab/>
      </w:r>
      <w:r>
        <w:rPr>
          <w:lang w:val="en-IE" w:eastAsia="en-IE"/>
        </w:rPr>
        <w:tab/>
      </w:r>
      <w:r w:rsidR="00686963" w:rsidRPr="00686963">
        <w:rPr>
          <w:lang w:val="en-IE" w:eastAsia="en-IE"/>
        </w:rPr>
        <w:t>Reply to paragraph 17(e)</w:t>
      </w:r>
    </w:p>
    <w:p w14:paraId="6E3DD3EF"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Pilot evaluation commenced in May 2025 with </w:t>
      </w:r>
      <w:proofErr w:type="gramStart"/>
      <w:r w:rsidRPr="00686963">
        <w:rPr>
          <w:lang w:val="en-IE" w:eastAsia="en-IE"/>
        </w:rPr>
        <w:t>a findings</w:t>
      </w:r>
      <w:proofErr w:type="gramEnd"/>
      <w:r w:rsidRPr="00686963">
        <w:rPr>
          <w:lang w:val="en-IE" w:eastAsia="en-IE"/>
        </w:rPr>
        <w:t xml:space="preserve"> report nearing finalisation which will assist in informing next steps.</w:t>
      </w:r>
    </w:p>
    <w:p w14:paraId="5761617C" w14:textId="77EA175F" w:rsidR="00686963" w:rsidRPr="00686963" w:rsidRDefault="008A7EFA" w:rsidP="008A7EFA">
      <w:pPr>
        <w:pStyle w:val="H23G"/>
        <w:rPr>
          <w:lang w:val="en-IE" w:eastAsia="en-IE"/>
        </w:rPr>
      </w:pPr>
      <w:r>
        <w:rPr>
          <w:lang w:val="en-IE" w:eastAsia="en-IE"/>
        </w:rPr>
        <w:tab/>
      </w:r>
      <w:r>
        <w:rPr>
          <w:lang w:val="en-IE" w:eastAsia="en-IE"/>
        </w:rPr>
        <w:tab/>
      </w:r>
      <w:r w:rsidR="00686963" w:rsidRPr="00686963">
        <w:rPr>
          <w:lang w:val="en-IE" w:eastAsia="en-IE"/>
        </w:rPr>
        <w:t>Reply to paragraph 17(f)</w:t>
      </w:r>
    </w:p>
    <w:p w14:paraId="4DE5ADC2"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Commitment 17 under </w:t>
      </w:r>
      <w:r w:rsidRPr="00686963">
        <w:rPr>
          <w:i/>
          <w:iCs/>
          <w:lang w:val="en-IE" w:eastAsia="en-IE"/>
        </w:rPr>
        <w:t>The Strategy 2025-2030</w:t>
      </w:r>
      <w:r w:rsidRPr="00686963">
        <w:rPr>
          <w:color w:val="000000" w:themeColor="text1"/>
          <w:vertAlign w:val="superscript"/>
          <w:lang w:val="en-IE" w:eastAsia="en-IE"/>
        </w:rPr>
        <w:t>1</w:t>
      </w:r>
      <w:r w:rsidRPr="00686963">
        <w:rPr>
          <w:lang w:val="en-IE" w:eastAsia="en-IE"/>
        </w:rPr>
        <w:t>.</w:t>
      </w:r>
    </w:p>
    <w:p w14:paraId="7F47D1E6"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5(a).</w:t>
      </w:r>
    </w:p>
    <w:p w14:paraId="014C7060"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See action 2.17 of the HSE Roadmap for Service Improvement 2023-2026</w:t>
      </w:r>
      <w:r w:rsidRPr="00686963">
        <w:rPr>
          <w:vertAlign w:val="superscript"/>
          <w:lang w:val="en-IE" w:eastAsia="en-IE"/>
        </w:rPr>
        <w:t>51</w:t>
      </w:r>
      <w:r w:rsidRPr="00686963">
        <w:rPr>
          <w:lang w:val="en-IE" w:eastAsia="en-IE"/>
        </w:rPr>
        <w:t>.</w:t>
      </w:r>
    </w:p>
    <w:p w14:paraId="7C98BFFC" w14:textId="40E5E0AB" w:rsidR="00686963" w:rsidRPr="00686963" w:rsidRDefault="008A7EFA" w:rsidP="008A7EFA">
      <w:pPr>
        <w:pStyle w:val="H23G"/>
        <w:rPr>
          <w:lang w:val="en-IE" w:eastAsia="en-IE"/>
        </w:rPr>
      </w:pPr>
      <w:r>
        <w:rPr>
          <w:lang w:val="en-IE" w:eastAsia="en-IE"/>
        </w:rPr>
        <w:tab/>
      </w:r>
      <w:r>
        <w:rPr>
          <w:lang w:val="en-IE" w:eastAsia="en-IE"/>
        </w:rPr>
        <w:tab/>
      </w:r>
      <w:r w:rsidR="00686963" w:rsidRPr="00686963">
        <w:rPr>
          <w:lang w:val="en-IE" w:eastAsia="en-IE"/>
        </w:rPr>
        <w:t>Reply to paragraph 18(a)</w:t>
      </w:r>
    </w:p>
    <w:p w14:paraId="0B0A3224"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The HSE provide a range of aids and appliances to disabled people. Eligibility may be based on clinical need, demand, medical card eligibility, Long Term Illness (LTI) eligibility, priority listing, compassionate grounds, or a combination of these.</w:t>
      </w:r>
    </w:p>
    <w:p w14:paraId="213251D7"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24.</w:t>
      </w:r>
    </w:p>
    <w:p w14:paraId="4F7C0610" w14:textId="3F4E8924" w:rsidR="00686963" w:rsidRPr="00686963" w:rsidRDefault="008A7EFA" w:rsidP="008A7EFA">
      <w:pPr>
        <w:pStyle w:val="H23G"/>
        <w:rPr>
          <w:lang w:val="en-IE" w:eastAsia="en-IE"/>
        </w:rPr>
      </w:pPr>
      <w:r>
        <w:rPr>
          <w:lang w:val="en-IE" w:eastAsia="en-IE"/>
        </w:rPr>
        <w:tab/>
      </w:r>
      <w:r>
        <w:rPr>
          <w:lang w:val="en-IE" w:eastAsia="en-IE"/>
        </w:rPr>
        <w:tab/>
      </w:r>
      <w:r w:rsidR="00686963" w:rsidRPr="00686963">
        <w:rPr>
          <w:lang w:val="en-IE" w:eastAsia="en-IE"/>
        </w:rPr>
        <w:t>Reply to paragraph 18(b)</w:t>
      </w:r>
    </w:p>
    <w:p w14:paraId="640161BC"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The National Transport Authority (NTA) has statutory responsibility for developing accessible public transport infrastructure. Three disability representatives sit on its Transport Users Advisory Group (TUAG).</w:t>
      </w:r>
    </w:p>
    <w:p w14:paraId="240F65E8"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 xml:space="preserve">In developing the </w:t>
      </w:r>
      <w:r w:rsidRPr="00686963">
        <w:rPr>
          <w:i/>
          <w:iCs/>
          <w:lang w:val="en-IE" w:eastAsia="en-IE"/>
        </w:rPr>
        <w:t>Sustainable Mobility Policy Action Plan 2026–2030</w:t>
      </w:r>
      <w:r w:rsidRPr="00686963">
        <w:rPr>
          <w:i/>
          <w:iCs/>
          <w:vertAlign w:val="superscript"/>
          <w:lang w:val="en-IE" w:eastAsia="en-IE"/>
        </w:rPr>
        <w:t>52</w:t>
      </w:r>
      <w:r w:rsidRPr="00686963">
        <w:rPr>
          <w:lang w:val="en-IE" w:eastAsia="en-IE"/>
        </w:rPr>
        <w:t>, and the National Policy Statement on Shared Mobility and the Provision of Hubs, direct input was sought from DPOs, supported through accessible materials.</w:t>
      </w:r>
    </w:p>
    <w:p w14:paraId="7DC52B60"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See Priority Action 22.4 in The Strategy 2025-2030</w:t>
      </w:r>
      <w:r w:rsidRPr="00686963">
        <w:rPr>
          <w:bCs/>
          <w:lang w:val="en-IE" w:eastAsia="en-IE"/>
        </w:rPr>
        <w:t xml:space="preserve">’s </w:t>
      </w:r>
      <w:r w:rsidRPr="00686963">
        <w:rPr>
          <w:lang w:val="en-IE" w:eastAsia="en-IE"/>
        </w:rPr>
        <w:t>Action Plan</w:t>
      </w:r>
      <w:r w:rsidRPr="00686963">
        <w:rPr>
          <w:vertAlign w:val="superscript"/>
          <w:lang w:val="en-IE" w:eastAsia="en-IE"/>
        </w:rPr>
        <w:t>7</w:t>
      </w:r>
      <w:r w:rsidRPr="00686963">
        <w:rPr>
          <w:lang w:val="en-IE" w:eastAsia="en-IE"/>
        </w:rPr>
        <w:t>.</w:t>
      </w:r>
    </w:p>
    <w:p w14:paraId="6B174171" w14:textId="50468699" w:rsidR="00686963" w:rsidRPr="00686963" w:rsidRDefault="008A7EFA" w:rsidP="008A7EFA">
      <w:pPr>
        <w:pStyle w:val="H23G"/>
        <w:rPr>
          <w:lang w:val="en-IE" w:eastAsia="en-IE"/>
        </w:rPr>
      </w:pPr>
      <w:r>
        <w:rPr>
          <w:lang w:val="en-IE" w:eastAsia="en-IE"/>
        </w:rPr>
        <w:tab/>
      </w:r>
      <w:r>
        <w:rPr>
          <w:lang w:val="en-IE" w:eastAsia="en-IE"/>
        </w:rPr>
        <w:tab/>
      </w:r>
      <w:r w:rsidR="00686963" w:rsidRPr="00686963">
        <w:rPr>
          <w:lang w:val="en-IE" w:eastAsia="en-IE"/>
        </w:rPr>
        <w:t>Reply to paragraph 19(a)</w:t>
      </w:r>
    </w:p>
    <w:p w14:paraId="76366E5B" w14:textId="77777777" w:rsidR="00686963" w:rsidRPr="00686963" w:rsidRDefault="00686963" w:rsidP="008A7EFA">
      <w:pPr>
        <w:pStyle w:val="SingleTxtG"/>
        <w:numPr>
          <w:ilvl w:val="0"/>
          <w:numId w:val="27"/>
        </w:numPr>
        <w:tabs>
          <w:tab w:val="clear" w:pos="2268"/>
          <w:tab w:val="clear" w:pos="2835"/>
        </w:tabs>
        <w:ind w:left="1134" w:firstLine="0"/>
        <w:rPr>
          <w:lang w:val="en-IE" w:eastAsia="en-IE"/>
        </w:rPr>
      </w:pPr>
      <w:r w:rsidRPr="00686963">
        <w:rPr>
          <w:lang w:val="en-IE" w:eastAsia="en-IE"/>
        </w:rPr>
        <w:t>Gov.ie is compliant with WCAG 2.1 AA guidelines and is utilised by Government Departments to provide information on a wide range of topics including recent public consultations e.g. the Cost of Disability and the Review of the Disability Act 2005.</w:t>
      </w:r>
    </w:p>
    <w:p w14:paraId="21347EE3" w14:textId="77777777" w:rsidR="00686963" w:rsidRPr="00686963" w:rsidRDefault="00686963" w:rsidP="008A7EFA">
      <w:pPr>
        <w:pStyle w:val="SingleTxtG"/>
        <w:numPr>
          <w:ilvl w:val="0"/>
          <w:numId w:val="27"/>
        </w:numPr>
        <w:tabs>
          <w:tab w:val="clear" w:pos="2268"/>
          <w:tab w:val="clear" w:pos="2835"/>
        </w:tabs>
        <w:ind w:left="1134" w:firstLine="0"/>
        <w:rPr>
          <w:bCs/>
          <w:lang w:val="en-IE" w:eastAsia="en-IE"/>
        </w:rPr>
      </w:pPr>
      <w:r w:rsidRPr="00686963">
        <w:rPr>
          <w:bCs/>
          <w:lang w:val="en-IE" w:eastAsia="en-IE"/>
        </w:rPr>
        <w:lastRenderedPageBreak/>
        <w:t xml:space="preserve">See </w:t>
      </w:r>
      <w:r w:rsidRPr="008A7EFA">
        <w:rPr>
          <w:lang w:val="en-IE" w:eastAsia="en-IE"/>
        </w:rPr>
        <w:t>priority</w:t>
      </w:r>
      <w:r w:rsidRPr="00686963">
        <w:rPr>
          <w:bCs/>
          <w:lang w:val="en-IE" w:eastAsia="en-IE"/>
        </w:rPr>
        <w:t xml:space="preserve"> action CS.A.1 in </w:t>
      </w:r>
      <w:r w:rsidRPr="00686963">
        <w:rPr>
          <w:lang w:val="en-IE" w:eastAsia="en-IE"/>
        </w:rPr>
        <w:t>The Strategy 2025-2030</w:t>
      </w:r>
      <w:r w:rsidRPr="00686963">
        <w:rPr>
          <w:bCs/>
          <w:lang w:val="en-IE" w:eastAsia="en-IE"/>
        </w:rPr>
        <w:t xml:space="preserve">’s </w:t>
      </w:r>
      <w:r w:rsidRPr="00686963">
        <w:rPr>
          <w:lang w:val="en-IE" w:eastAsia="en-IE"/>
        </w:rPr>
        <w:t>Action Plan</w:t>
      </w:r>
      <w:r w:rsidRPr="00686963">
        <w:rPr>
          <w:vertAlign w:val="superscript"/>
          <w:lang w:val="en-IE" w:eastAsia="en-IE"/>
        </w:rPr>
        <w:t>7</w:t>
      </w:r>
      <w:r w:rsidRPr="00686963">
        <w:rPr>
          <w:lang w:val="en-IE" w:eastAsia="en-IE"/>
        </w:rPr>
        <w:t>.</w:t>
      </w:r>
    </w:p>
    <w:p w14:paraId="44759FD6" w14:textId="18C7F489" w:rsidR="00686963" w:rsidRPr="00686963" w:rsidRDefault="00A62AE1" w:rsidP="00A62AE1">
      <w:pPr>
        <w:pStyle w:val="H23G"/>
        <w:rPr>
          <w:lang w:val="en-IE" w:eastAsia="en-IE"/>
        </w:rPr>
      </w:pPr>
      <w:r>
        <w:rPr>
          <w:lang w:val="en-IE" w:eastAsia="en-IE"/>
        </w:rPr>
        <w:tab/>
      </w:r>
      <w:r>
        <w:rPr>
          <w:lang w:val="en-IE" w:eastAsia="en-IE"/>
        </w:rPr>
        <w:tab/>
      </w:r>
      <w:r w:rsidR="00686963" w:rsidRPr="00686963">
        <w:rPr>
          <w:lang w:val="en-IE" w:eastAsia="en-IE"/>
        </w:rPr>
        <w:t>Reply to paragraph 19(b)</w:t>
      </w:r>
    </w:p>
    <w:p w14:paraId="6F81B493"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7(e).</w:t>
      </w:r>
    </w:p>
    <w:p w14:paraId="40B6B844" w14:textId="3EA9540F" w:rsidR="00686963" w:rsidRPr="00686963" w:rsidRDefault="00A62AE1" w:rsidP="00A62AE1">
      <w:pPr>
        <w:pStyle w:val="H23G"/>
        <w:rPr>
          <w:lang w:val="en-IE" w:eastAsia="en-IE"/>
        </w:rPr>
      </w:pPr>
      <w:r>
        <w:rPr>
          <w:lang w:val="en-IE" w:eastAsia="en-IE"/>
        </w:rPr>
        <w:tab/>
      </w:r>
      <w:r>
        <w:rPr>
          <w:lang w:val="en-IE" w:eastAsia="en-IE"/>
        </w:rPr>
        <w:tab/>
      </w:r>
      <w:r w:rsidR="00686963" w:rsidRPr="00686963">
        <w:rPr>
          <w:lang w:val="en-IE" w:eastAsia="en-IE"/>
        </w:rPr>
        <w:t>Reply to paragraph 19(c)</w:t>
      </w:r>
    </w:p>
    <w:p w14:paraId="3CC7DC79"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Coimisiún na Meán is mandated to prepare media service rules for broadcasters on providing accessible services, including subtitling and captioning standards, which are considered when assessing if broadcasters have met targets for accessible services.</w:t>
      </w:r>
    </w:p>
    <w:p w14:paraId="5A61EAA4"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Sound and Vision Scheme requires funded programmes to provide subtitling in line with An </w:t>
      </w:r>
      <w:proofErr w:type="gramStart"/>
      <w:r w:rsidRPr="00686963">
        <w:rPr>
          <w:lang w:val="en-IE" w:eastAsia="en-IE"/>
        </w:rPr>
        <w:t>Coimisiún guidelines</w:t>
      </w:r>
      <w:proofErr w:type="gramEnd"/>
      <w:r w:rsidRPr="00686963">
        <w:rPr>
          <w:lang w:val="en-IE" w:eastAsia="en-IE"/>
        </w:rPr>
        <w:t>.</w:t>
      </w:r>
    </w:p>
    <w:p w14:paraId="797389DD"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A Digital Transformation Scheme provides grants to support digital accessibility training and enhance technology to incorporate accessibility features including ISL interpretation.</w:t>
      </w:r>
    </w:p>
    <w:p w14:paraId="31A60A5E" w14:textId="030F4693" w:rsidR="00686963" w:rsidRPr="00686963" w:rsidRDefault="00A62AE1" w:rsidP="00A62AE1">
      <w:pPr>
        <w:pStyle w:val="H23G"/>
        <w:rPr>
          <w:lang w:val="en-IE" w:eastAsia="en-IE"/>
        </w:rPr>
      </w:pPr>
      <w:r>
        <w:rPr>
          <w:lang w:val="en-IE" w:eastAsia="en-IE"/>
        </w:rPr>
        <w:tab/>
      </w:r>
      <w:r>
        <w:rPr>
          <w:lang w:val="en-IE" w:eastAsia="en-IE"/>
        </w:rPr>
        <w:tab/>
      </w:r>
      <w:r w:rsidR="00686963" w:rsidRPr="00686963">
        <w:rPr>
          <w:lang w:val="en-IE" w:eastAsia="en-IE"/>
        </w:rPr>
        <w:t>Reply to paragraph 20</w:t>
      </w:r>
    </w:p>
    <w:p w14:paraId="49E87823"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 xml:space="preserve">Ireland is working towards implementing the European Health Data Space (EHDS) Regulation in line with the mandated timelines which creates a common framework for the primary (patient care and treatment) and secondary use (e.g., research, policymaking) of electronic health data. It builds on protections established under the GDPR for personal data and establishes additional rights and obligations for access to and control of electronic health data for all patients and healthcare professionals. The EHDS provides for a role for supervisory authorities under GDPR in monitoring and enforcing compliance with patient rights in respect of personal electronic health data. Under the Regulation, electronic health data access and support services, including the complaints mechanism, must be accessible, </w:t>
      </w:r>
      <w:proofErr w:type="gramStart"/>
      <w:r w:rsidRPr="00686963">
        <w:rPr>
          <w:lang w:val="en-IE" w:eastAsia="en-IE"/>
        </w:rPr>
        <w:t>in particular for</w:t>
      </w:r>
      <w:proofErr w:type="gramEnd"/>
      <w:r w:rsidRPr="00686963">
        <w:rPr>
          <w:lang w:val="en-IE" w:eastAsia="en-IE"/>
        </w:rPr>
        <w:t xml:space="preserve"> disabled people. The recently enacted Health Information Act 2026</w:t>
      </w:r>
      <w:r w:rsidRPr="00686963">
        <w:rPr>
          <w:color w:val="000000"/>
          <w:vertAlign w:val="superscript"/>
          <w:lang w:val="en-IE" w:eastAsia="en-IE"/>
        </w:rPr>
        <w:t>53</w:t>
      </w:r>
      <w:r w:rsidRPr="00686963">
        <w:rPr>
          <w:lang w:val="en-IE" w:eastAsia="en-IE"/>
        </w:rPr>
        <w:t xml:space="preserve"> is the first in a planned suite of legislative measures to give full effect to the EHDS Regulation.</w:t>
      </w:r>
    </w:p>
    <w:p w14:paraId="114E0AF3" w14:textId="1DC0C86F" w:rsidR="00686963" w:rsidRPr="00686963" w:rsidRDefault="00E1033B" w:rsidP="00E1033B">
      <w:pPr>
        <w:pStyle w:val="H23G"/>
        <w:rPr>
          <w:lang w:val="en-IE" w:eastAsia="en-IE"/>
        </w:rPr>
      </w:pPr>
      <w:r>
        <w:rPr>
          <w:lang w:val="en-IE" w:eastAsia="en-IE"/>
        </w:rPr>
        <w:tab/>
      </w:r>
      <w:r>
        <w:rPr>
          <w:lang w:val="en-IE" w:eastAsia="en-IE"/>
        </w:rPr>
        <w:tab/>
      </w:r>
      <w:r w:rsidR="00686963" w:rsidRPr="00686963">
        <w:rPr>
          <w:lang w:val="en-IE" w:eastAsia="en-IE"/>
        </w:rPr>
        <w:t>Reply to paragraph 21(a)</w:t>
      </w:r>
    </w:p>
    <w:p w14:paraId="7A06BD81"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Signs of Safety</w:t>
      </w:r>
      <w:r w:rsidRPr="00686963">
        <w:rPr>
          <w:vertAlign w:val="superscript"/>
          <w:lang w:val="en-IE" w:eastAsia="en-IE"/>
        </w:rPr>
        <w:t>54</w:t>
      </w:r>
      <w:r w:rsidRPr="00686963">
        <w:rPr>
          <w:lang w:val="en-IE" w:eastAsia="en-IE"/>
        </w:rPr>
        <w:t xml:space="preserve"> is the national approach to assessment and intervention in child protection and welfare practice in Tusla. Complicating factors such as disability are noted as part of this approach however, the focus is always on the impact of the harm causing behaviour on the child. The Signs of Safety approach asks practitioners to maintain a stance of inquiry and a humble light holding of judgement so we can be open to multiple possibilities. As part of this approach Tusla work with all the stakeholders around the child to develop a safety plan that meets the child’s needs, this includes disability services or any other supports that the child or family may be availing of. Tusla’s approach is to keep the child at home with their family if possible and to seek care options only where the safety of the child cannot be afforded at home with an agreed safety plan.</w:t>
      </w:r>
    </w:p>
    <w:p w14:paraId="6FA0E4AA"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Tusla does not currently collect disability-related data.</w:t>
      </w:r>
    </w:p>
    <w:p w14:paraId="333F5C5D" w14:textId="4E9FD3D8" w:rsidR="00686963" w:rsidRPr="00686963" w:rsidRDefault="00E1033B" w:rsidP="00E1033B">
      <w:pPr>
        <w:pStyle w:val="H23G"/>
        <w:rPr>
          <w:lang w:val="en-IE" w:eastAsia="en-IE"/>
        </w:rPr>
      </w:pPr>
      <w:r>
        <w:rPr>
          <w:lang w:val="en-IE" w:eastAsia="en-IE"/>
        </w:rPr>
        <w:tab/>
      </w:r>
      <w:r>
        <w:rPr>
          <w:lang w:val="en-IE" w:eastAsia="en-IE"/>
        </w:rPr>
        <w:tab/>
      </w:r>
      <w:r w:rsidR="00686963" w:rsidRPr="00686963">
        <w:rPr>
          <w:lang w:val="en-IE" w:eastAsia="en-IE"/>
        </w:rPr>
        <w:t>Reply to paragraph 21(b)</w:t>
      </w:r>
    </w:p>
    <w:p w14:paraId="20C72511"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University of Limerick is leading on a Disabled Parents Community of Practice Project</w:t>
      </w:r>
      <w:r w:rsidRPr="00686963">
        <w:rPr>
          <w:vertAlign w:val="superscript"/>
          <w:lang w:val="en-IE" w:eastAsia="en-IE"/>
        </w:rPr>
        <w:t>55</w:t>
      </w:r>
      <w:r w:rsidRPr="00686963">
        <w:rPr>
          <w:lang w:val="en-IE" w:eastAsia="en-IE"/>
        </w:rPr>
        <w:t xml:space="preserve"> to enhance the knowledge, skills and confidence of professionals supporting disabled parents.</w:t>
      </w:r>
    </w:p>
    <w:p w14:paraId="12E5C962"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Children's Disability Network Teams (CDNTs) provide universal, targeted and individualised supports to children and young people with complex needs aged 0–18 and their families, including disabled parents.</w:t>
      </w:r>
    </w:p>
    <w:p w14:paraId="75F50AE9" w14:textId="7DFDC90C" w:rsidR="00686963" w:rsidRPr="00686963" w:rsidRDefault="00E1033B" w:rsidP="00E1033B">
      <w:pPr>
        <w:pStyle w:val="H23G"/>
        <w:rPr>
          <w:lang w:val="en-IE" w:eastAsia="en-IE"/>
        </w:rPr>
      </w:pPr>
      <w:r>
        <w:rPr>
          <w:lang w:val="en-IE" w:eastAsia="en-IE"/>
        </w:rPr>
        <w:tab/>
      </w:r>
      <w:r>
        <w:rPr>
          <w:lang w:val="en-IE" w:eastAsia="en-IE"/>
        </w:rPr>
        <w:tab/>
      </w:r>
      <w:r w:rsidR="00686963" w:rsidRPr="00686963">
        <w:rPr>
          <w:lang w:val="en-IE" w:eastAsia="en-IE"/>
        </w:rPr>
        <w:t>Reply to paragraph 21(c)</w:t>
      </w:r>
    </w:p>
    <w:p w14:paraId="54B089C6"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21(b).</w:t>
      </w:r>
    </w:p>
    <w:p w14:paraId="13A257F6" w14:textId="77777777" w:rsidR="00686963" w:rsidRPr="00686963" w:rsidRDefault="00686963" w:rsidP="00E1033B">
      <w:pPr>
        <w:pStyle w:val="SingleTxtG"/>
        <w:numPr>
          <w:ilvl w:val="0"/>
          <w:numId w:val="27"/>
        </w:numPr>
        <w:tabs>
          <w:tab w:val="clear" w:pos="2268"/>
          <w:tab w:val="clear" w:pos="2835"/>
        </w:tabs>
        <w:ind w:left="1134" w:firstLine="0"/>
        <w:rPr>
          <w:lang w:val="en-IE" w:eastAsia="en-IE"/>
        </w:rPr>
      </w:pPr>
      <w:r w:rsidRPr="00686963">
        <w:rPr>
          <w:lang w:val="en-IE" w:eastAsia="en-IE"/>
        </w:rPr>
        <w:t>See Action 83 of the Autism Innovation Strategy</w:t>
      </w:r>
      <w:r w:rsidRPr="00686963">
        <w:rPr>
          <w:vertAlign w:val="superscript"/>
          <w:lang w:val="en-IE" w:eastAsia="en-IE"/>
        </w:rPr>
        <w:t>56</w:t>
      </w:r>
      <w:r w:rsidRPr="00686963">
        <w:rPr>
          <w:lang w:val="en-IE" w:eastAsia="en-IE"/>
        </w:rPr>
        <w:t>.</w:t>
      </w:r>
    </w:p>
    <w:p w14:paraId="03D87F4F" w14:textId="0B13E61C" w:rsidR="00686963" w:rsidRPr="00686963" w:rsidRDefault="00E1033B" w:rsidP="00E1033B">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21(d)</w:t>
      </w:r>
    </w:p>
    <w:p w14:paraId="2398BD23"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The Irish Family Planning Association Speakeasy Programme supports parents and professionals to build confidence and skills discussing sexual and reproductive health, healthy relationships and consent with children and young people with intellectual disabilities.</w:t>
      </w:r>
    </w:p>
    <w:p w14:paraId="359CAD79"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Social, Personal and Health Education, including Relationships and Sexuality, is a mandatory part of the Primary and Post-Primary curriculum in Ireland.</w:t>
      </w:r>
    </w:p>
    <w:p w14:paraId="660980AB" w14:textId="72835F6F" w:rsidR="00686963" w:rsidRPr="00686963" w:rsidRDefault="008815CE" w:rsidP="008815CE">
      <w:pPr>
        <w:pStyle w:val="H23G"/>
        <w:rPr>
          <w:lang w:val="en-IE" w:eastAsia="en-IE"/>
        </w:rPr>
      </w:pPr>
      <w:r>
        <w:rPr>
          <w:lang w:val="en-IE" w:eastAsia="en-IE"/>
        </w:rPr>
        <w:tab/>
      </w:r>
      <w:r>
        <w:rPr>
          <w:lang w:val="en-IE" w:eastAsia="en-IE"/>
        </w:rPr>
        <w:tab/>
      </w:r>
      <w:r w:rsidR="00686963" w:rsidRPr="00686963">
        <w:rPr>
          <w:lang w:val="en-IE" w:eastAsia="en-IE"/>
        </w:rPr>
        <w:t>Reply to paragraph 22(a)</w:t>
      </w:r>
    </w:p>
    <w:p w14:paraId="1599FD09"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The Review of the Education for Persons with Special Educational Needs Act 2004 (EPSEN) identified 51 recommendations for reform across 16 themes</w:t>
      </w:r>
      <w:r w:rsidRPr="00686963">
        <w:rPr>
          <w:vertAlign w:val="superscript"/>
          <w:lang w:val="en-IE" w:eastAsia="en-IE"/>
        </w:rPr>
        <w:t>57</w:t>
      </w:r>
      <w:r w:rsidRPr="00686963">
        <w:rPr>
          <w:lang w:val="en-IE" w:eastAsia="en-IE"/>
        </w:rPr>
        <w:t>. An implementation plan for these recommendations will be published in 2026.</w:t>
      </w:r>
    </w:p>
    <w:p w14:paraId="6F156289" w14:textId="79222491" w:rsidR="00686963" w:rsidRPr="00686963" w:rsidRDefault="00BA132D" w:rsidP="00BA132D">
      <w:pPr>
        <w:pStyle w:val="H23G"/>
        <w:rPr>
          <w:lang w:val="en-IE" w:eastAsia="en-IE"/>
        </w:rPr>
      </w:pPr>
      <w:r>
        <w:rPr>
          <w:lang w:val="en-IE" w:eastAsia="en-IE"/>
        </w:rPr>
        <w:tab/>
      </w:r>
      <w:r>
        <w:rPr>
          <w:lang w:val="en-IE" w:eastAsia="en-IE"/>
        </w:rPr>
        <w:tab/>
      </w:r>
      <w:r>
        <w:rPr>
          <w:lang w:val="en-IE" w:eastAsia="en-IE"/>
        </w:rPr>
        <w:tab/>
      </w:r>
      <w:r w:rsidR="00686963" w:rsidRPr="00686963">
        <w:rPr>
          <w:lang w:val="en-IE" w:eastAsia="en-IE"/>
        </w:rPr>
        <w:t>Reply to paragraph 22(b)</w:t>
      </w:r>
    </w:p>
    <w:p w14:paraId="227225B8"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National Council for Special Education (NCSE) published </w:t>
      </w:r>
      <w:r w:rsidRPr="00686963">
        <w:rPr>
          <w:i/>
          <w:iCs/>
          <w:lang w:val="en-IE" w:eastAsia="en-IE"/>
        </w:rPr>
        <w:t>“An Inclusive Education for an Inclusive Society”</w:t>
      </w:r>
      <w:r w:rsidRPr="00686963">
        <w:rPr>
          <w:color w:val="000000" w:themeColor="text1"/>
          <w:vertAlign w:val="superscript"/>
          <w:lang w:val="en-IE" w:eastAsia="en-IE"/>
        </w:rPr>
        <w:t>58</w:t>
      </w:r>
      <w:r w:rsidRPr="00686963">
        <w:rPr>
          <w:lang w:val="en-IE" w:eastAsia="en-IE"/>
        </w:rPr>
        <w:t xml:space="preserve"> in 2024 examining how existing good practices could be incorporated and developed in the design of an inclusive education system where children could learn in their local school alongside siblings and peers. DEY is implementing and developing actions that address aspects of the NCSE recommendations. While many actions are at an early stage and will take considerable time to deliver, cumulatively, they address the identified need for the adoption of a more inclusive education system and could be viewed as key enablers of such a system. The European Commission’s DG Reform Office provided €0.5 million in consultancy support to help shape the response to this policy advice, leading to the publication of a roadmap for inclusion</w:t>
      </w:r>
      <w:r w:rsidRPr="00686963">
        <w:rPr>
          <w:color w:val="000000" w:themeColor="text1"/>
          <w:vertAlign w:val="superscript"/>
          <w:lang w:val="en-IE" w:eastAsia="en-IE"/>
        </w:rPr>
        <w:t>59</w:t>
      </w:r>
      <w:r w:rsidRPr="00686963">
        <w:rPr>
          <w:color w:val="000000" w:themeColor="text1"/>
          <w:lang w:val="en-IE" w:eastAsia="en-IE"/>
        </w:rPr>
        <w:t>.</w:t>
      </w:r>
    </w:p>
    <w:p w14:paraId="101DD8BE"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Special schools will continue to play a vital role in meeting the needs of children with the most complex educational needs well into the future and will continue to be supported and resourced. As part of a broader focus on system-level needs, DEY will examine how best to support special schools to meet the diverse range of needs of the children they support.</w:t>
      </w:r>
    </w:p>
    <w:p w14:paraId="6C5B817D" w14:textId="3AAC4C31" w:rsidR="00686963" w:rsidRPr="00686963" w:rsidRDefault="0025779B" w:rsidP="0025779B">
      <w:pPr>
        <w:pStyle w:val="H23G"/>
        <w:rPr>
          <w:lang w:val="en-IE" w:eastAsia="en-IE"/>
        </w:rPr>
      </w:pPr>
      <w:r>
        <w:rPr>
          <w:lang w:val="en-IE" w:eastAsia="en-IE"/>
        </w:rPr>
        <w:tab/>
      </w:r>
      <w:r>
        <w:rPr>
          <w:lang w:val="en-IE" w:eastAsia="en-IE"/>
        </w:rPr>
        <w:tab/>
      </w:r>
      <w:r w:rsidR="00686963" w:rsidRPr="00686963">
        <w:rPr>
          <w:lang w:val="en-IE" w:eastAsia="en-IE"/>
        </w:rPr>
        <w:t>Reply to paragraph 22(c)</w:t>
      </w:r>
    </w:p>
    <w:p w14:paraId="0D839AA4"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The Midterm review</w:t>
      </w:r>
      <w:r w:rsidRPr="00686963">
        <w:rPr>
          <w:vertAlign w:val="superscript"/>
          <w:lang w:val="en-IE" w:eastAsia="en-IE"/>
        </w:rPr>
        <w:t>60</w:t>
      </w:r>
      <w:r w:rsidRPr="00686963">
        <w:rPr>
          <w:lang w:val="en-IE" w:eastAsia="en-IE"/>
        </w:rPr>
        <w:t xml:space="preserve"> of the National Access Plan published in May 2026 identified that new disabled entrants to higher education reached 16.3% in 2024/25, exceeding the 16% target for the lifetime of the plan.</w:t>
      </w:r>
    </w:p>
    <w:p w14:paraId="296933EF" w14:textId="44766234" w:rsidR="00686963" w:rsidRPr="00686963" w:rsidRDefault="0025779B" w:rsidP="0025779B">
      <w:pPr>
        <w:pStyle w:val="H23G"/>
        <w:rPr>
          <w:lang w:val="en-IE" w:eastAsia="en-IE"/>
        </w:rPr>
      </w:pPr>
      <w:r>
        <w:rPr>
          <w:lang w:val="en-IE" w:eastAsia="en-IE"/>
        </w:rPr>
        <w:tab/>
      </w:r>
      <w:r>
        <w:rPr>
          <w:lang w:val="en-IE" w:eastAsia="en-IE"/>
        </w:rPr>
        <w:tab/>
      </w:r>
      <w:r w:rsidR="00686963" w:rsidRPr="00686963">
        <w:rPr>
          <w:lang w:val="en-IE" w:eastAsia="en-IE"/>
        </w:rPr>
        <w:t>Reply to paragraph 22(d)</w:t>
      </w:r>
    </w:p>
    <w:p w14:paraId="43FA27EC"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Forward planning for special schools and special class placements is a continual process involving collaboration between DEY and the NCSE. For 2025/26, over 30,500 students with more complex needs are enrolled in special classes and special schools, almost 12,500 more than 2020. The National Development Plan (NDP) Sectoral Investment Plan 2026–2030 for Education and Youth ensures special education provision remains central to DEY’s capital investment strategy over the coming years.</w:t>
      </w:r>
    </w:p>
    <w:p w14:paraId="6EDA693D" w14:textId="77777777"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In September 2021, Reduced School Day (RSD) Guidelines</w:t>
      </w:r>
      <w:r w:rsidRPr="00686963">
        <w:rPr>
          <w:vertAlign w:val="superscript"/>
          <w:lang w:val="en-IE" w:eastAsia="en-IE"/>
        </w:rPr>
        <w:t>61</w:t>
      </w:r>
      <w:r w:rsidRPr="00686963">
        <w:rPr>
          <w:lang w:val="en-IE" w:eastAsia="en-IE"/>
        </w:rPr>
        <w:t xml:space="preserve"> came into effect in January 2022. Tusla Educational Support Services (TESS) and the NCSE work with DEY to ensure the effective operation of the RSD scheme and that all students are supported as much as possible to attend the full school day.</w:t>
      </w:r>
    </w:p>
    <w:p w14:paraId="5B3A49A2" w14:textId="1F2775CA" w:rsidR="00686963" w:rsidRPr="00686963" w:rsidRDefault="0025779B" w:rsidP="0025779B">
      <w:pPr>
        <w:pStyle w:val="H23G"/>
        <w:rPr>
          <w:lang w:val="en-IE" w:eastAsia="en-IE"/>
        </w:rPr>
      </w:pPr>
      <w:r>
        <w:rPr>
          <w:lang w:val="en-IE" w:eastAsia="en-IE"/>
        </w:rPr>
        <w:tab/>
      </w:r>
      <w:r>
        <w:rPr>
          <w:lang w:val="en-IE" w:eastAsia="en-IE"/>
        </w:rPr>
        <w:tab/>
      </w:r>
      <w:r w:rsidR="00686963" w:rsidRPr="00686963">
        <w:rPr>
          <w:lang w:val="en-IE" w:eastAsia="en-IE"/>
        </w:rPr>
        <w:t>Reply to paragraph 22(e)</w:t>
      </w:r>
    </w:p>
    <w:p w14:paraId="6627C263" w14:textId="753574B6" w:rsidR="00686963" w:rsidRPr="00686963" w:rsidRDefault="00686963" w:rsidP="0042461E">
      <w:pPr>
        <w:pStyle w:val="SingleTxtG"/>
        <w:numPr>
          <w:ilvl w:val="0"/>
          <w:numId w:val="27"/>
        </w:numPr>
        <w:tabs>
          <w:tab w:val="clear" w:pos="2268"/>
          <w:tab w:val="clear" w:pos="2835"/>
        </w:tabs>
        <w:ind w:left="1134" w:firstLine="0"/>
        <w:rPr>
          <w:lang w:val="en-IE" w:eastAsia="en-IE"/>
        </w:rPr>
      </w:pPr>
      <w:r w:rsidRPr="00686963">
        <w:rPr>
          <w:lang w:val="en-IE" w:eastAsia="en-IE"/>
        </w:rPr>
        <w:t>Available data</w:t>
      </w:r>
      <w:r w:rsidRPr="00686963">
        <w:rPr>
          <w:color w:val="000000" w:themeColor="text1"/>
          <w:vertAlign w:val="superscript"/>
          <w:lang w:val="en-IE" w:eastAsia="en-IE"/>
        </w:rPr>
        <w:t xml:space="preserve">62 </w:t>
      </w:r>
      <w:r w:rsidRPr="00686963">
        <w:rPr>
          <w:lang w:val="en-IE" w:eastAsia="en-IE"/>
        </w:rPr>
        <w:t>indicates that Ireland’s education system does not have difficulties in recruitment or retention of SNAs. The role of the SNA is to support teachers in assisting with care needs, ensuring children can access an education that meets their needs. The SNA role is not to provide additional tuition – this is the role of the special education teacher.</w:t>
      </w:r>
    </w:p>
    <w:p w14:paraId="5FB0BDF8" w14:textId="498F2200" w:rsidR="00686963" w:rsidRPr="00686963" w:rsidRDefault="0042461E" w:rsidP="0042461E">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22(f)</w:t>
      </w:r>
    </w:p>
    <w:p w14:paraId="1A74BDB8"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Access and Inclusion Model (AIM) Level 3 supports provide learning opportunities for pre-school educators for courses regarding disability and inclusion.</w:t>
      </w:r>
    </w:p>
    <w:p w14:paraId="0B9F0188"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Levels 4-7 of AIM provide targeted supports that parents or guardians and the pre-school provider can apply for to help meet individual children’s needs.</w:t>
      </w:r>
    </w:p>
    <w:p w14:paraId="215281B1" w14:textId="2D9B16EC" w:rsidR="00686963" w:rsidRPr="00686963" w:rsidRDefault="002F0969" w:rsidP="002F0969">
      <w:pPr>
        <w:pStyle w:val="H23G"/>
        <w:rPr>
          <w:lang w:val="en-IE" w:eastAsia="en-IE"/>
        </w:rPr>
      </w:pPr>
      <w:r>
        <w:rPr>
          <w:lang w:val="en-IE" w:eastAsia="en-IE"/>
        </w:rPr>
        <w:tab/>
      </w:r>
      <w:r>
        <w:rPr>
          <w:lang w:val="en-IE" w:eastAsia="en-IE"/>
        </w:rPr>
        <w:tab/>
      </w:r>
      <w:r w:rsidR="00686963" w:rsidRPr="00686963">
        <w:rPr>
          <w:lang w:val="en-IE" w:eastAsia="en-IE"/>
        </w:rPr>
        <w:t>Reply to paragraph 22(g)</w:t>
      </w:r>
    </w:p>
    <w:p w14:paraId="75461979"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NCSE supports training in ISL by providing funding for Visiting Teachers who wish to undertake further ISL study.</w:t>
      </w:r>
    </w:p>
    <w:p w14:paraId="1D4C1D50"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7(e).</w:t>
      </w:r>
    </w:p>
    <w:p w14:paraId="731D2C86" w14:textId="6C4269D7" w:rsidR="00686963" w:rsidRPr="00686963" w:rsidRDefault="002F0969" w:rsidP="002F0969">
      <w:pPr>
        <w:pStyle w:val="H23G"/>
        <w:rPr>
          <w:lang w:val="en-IE" w:eastAsia="en-IE"/>
        </w:rPr>
      </w:pPr>
      <w:r>
        <w:rPr>
          <w:lang w:val="en-IE" w:eastAsia="en-IE"/>
        </w:rPr>
        <w:tab/>
      </w:r>
      <w:r>
        <w:rPr>
          <w:lang w:val="en-IE" w:eastAsia="en-IE"/>
        </w:rPr>
        <w:tab/>
      </w:r>
      <w:r w:rsidR="00686963" w:rsidRPr="00686963">
        <w:rPr>
          <w:lang w:val="en-IE" w:eastAsia="en-IE"/>
        </w:rPr>
        <w:t>Reply to paragraph 23(a)</w:t>
      </w:r>
    </w:p>
    <w:p w14:paraId="4142153A"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3B18DB">
        <w:rPr>
          <w:i/>
          <w:iCs/>
          <w:lang w:val="en-IE" w:eastAsia="en-IE"/>
        </w:rPr>
        <w:t>The Path to Universal Healthcare – Sláintecare (Sláintecare 2025+),</w:t>
      </w:r>
      <w:r w:rsidRPr="00686963">
        <w:rPr>
          <w:lang w:val="en-IE" w:eastAsia="en-IE"/>
        </w:rPr>
        <w:t xml:space="preserve"> was approved by Government in May 2025</w:t>
      </w:r>
      <w:r w:rsidRPr="00686963">
        <w:rPr>
          <w:vertAlign w:val="superscript"/>
          <w:lang w:val="en-IE" w:eastAsia="en-IE"/>
        </w:rPr>
        <w:t>63</w:t>
      </w:r>
      <w:r w:rsidRPr="00686963">
        <w:rPr>
          <w:lang w:val="en-IE" w:eastAsia="en-IE"/>
        </w:rPr>
        <w:t>.</w:t>
      </w:r>
    </w:p>
    <w:p w14:paraId="1F35385A"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i/>
          <w:iCs/>
          <w:lang w:val="en-IE" w:eastAsia="en-IE"/>
        </w:rPr>
        <w:t>The Action Plan for Disability Services 2024-2026</w:t>
      </w:r>
      <w:r w:rsidRPr="00686963">
        <w:rPr>
          <w:i/>
          <w:iCs/>
          <w:vertAlign w:val="superscript"/>
          <w:lang w:val="en-IE" w:eastAsia="en-IE"/>
        </w:rPr>
        <w:t>15</w:t>
      </w:r>
      <w:r w:rsidRPr="00686963">
        <w:rPr>
          <w:lang w:val="en-IE" w:eastAsia="en-IE"/>
        </w:rPr>
        <w:t xml:space="preserve"> sets out targets for developing necessary capacity in specialist disability services.</w:t>
      </w:r>
    </w:p>
    <w:p w14:paraId="697EB5AA" w14:textId="27814716" w:rsidR="00686963" w:rsidRPr="00686963" w:rsidRDefault="003B18DB" w:rsidP="003B18DB">
      <w:pPr>
        <w:pStyle w:val="H23G"/>
        <w:rPr>
          <w:lang w:val="en-IE" w:eastAsia="en-IE"/>
        </w:rPr>
      </w:pPr>
      <w:r>
        <w:rPr>
          <w:lang w:val="en-IE" w:eastAsia="en-IE"/>
        </w:rPr>
        <w:tab/>
      </w:r>
      <w:r>
        <w:rPr>
          <w:lang w:val="en-IE" w:eastAsia="en-IE"/>
        </w:rPr>
        <w:tab/>
      </w:r>
      <w:r w:rsidR="00686963" w:rsidRPr="00686963">
        <w:rPr>
          <w:lang w:val="en-IE" w:eastAsia="en-IE"/>
        </w:rPr>
        <w:t>Reply to paragraph 23(b)</w:t>
      </w:r>
    </w:p>
    <w:p w14:paraId="3D0C20D0"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Patient Advocacy Service commissioned directly by the DoH, supports patients, including disabled patients and their families, in making complaints about services received in public acute hospitals or nursing homes.</w:t>
      </w:r>
    </w:p>
    <w:p w14:paraId="15538E2D" w14:textId="77777777" w:rsidR="00686963" w:rsidRPr="00686963" w:rsidRDefault="00686963" w:rsidP="008E2318">
      <w:pPr>
        <w:pStyle w:val="SingleTxtG"/>
        <w:numPr>
          <w:ilvl w:val="0"/>
          <w:numId w:val="27"/>
        </w:numPr>
        <w:tabs>
          <w:tab w:val="clear" w:pos="2268"/>
          <w:tab w:val="clear" w:pos="2835"/>
        </w:tabs>
        <w:ind w:left="1134" w:firstLine="0"/>
        <w:rPr>
          <w:bCs/>
          <w:lang w:val="en-IE" w:eastAsia="en-IE"/>
        </w:rPr>
      </w:pPr>
      <w:r w:rsidRPr="00686963">
        <w:rPr>
          <w:bCs/>
          <w:lang w:val="en-IE" w:eastAsia="en-IE"/>
        </w:rPr>
        <w:t xml:space="preserve">See Priority Action 14.1 in </w:t>
      </w:r>
      <w:r w:rsidRPr="003B18DB">
        <w:rPr>
          <w:i/>
          <w:iCs/>
          <w:lang w:val="en-IE" w:eastAsia="en-IE"/>
        </w:rPr>
        <w:t>The Strategy 2025-2030</w:t>
      </w:r>
      <w:r w:rsidRPr="003B18DB">
        <w:rPr>
          <w:bCs/>
          <w:i/>
          <w:iCs/>
          <w:lang w:val="en-IE" w:eastAsia="en-IE"/>
        </w:rPr>
        <w:t xml:space="preserve">’s </w:t>
      </w:r>
      <w:r w:rsidRPr="003B18DB">
        <w:rPr>
          <w:i/>
          <w:iCs/>
          <w:lang w:val="en-IE" w:eastAsia="en-IE"/>
        </w:rPr>
        <w:t>Action Plan</w:t>
      </w:r>
      <w:r w:rsidRPr="003B18DB">
        <w:rPr>
          <w:i/>
          <w:iCs/>
          <w:vertAlign w:val="superscript"/>
          <w:lang w:val="en-IE" w:eastAsia="en-IE"/>
        </w:rPr>
        <w:t>7</w:t>
      </w:r>
      <w:r w:rsidRPr="00686963">
        <w:rPr>
          <w:lang w:val="en-IE" w:eastAsia="en-IE"/>
        </w:rPr>
        <w:t>.</w:t>
      </w:r>
    </w:p>
    <w:p w14:paraId="37333BA4" w14:textId="6CBB8ECA" w:rsidR="00686963" w:rsidRPr="00686963" w:rsidRDefault="008E2318" w:rsidP="008E2318">
      <w:pPr>
        <w:pStyle w:val="H23G"/>
        <w:rPr>
          <w:lang w:val="en-IE" w:eastAsia="en-IE"/>
        </w:rPr>
      </w:pPr>
      <w:r>
        <w:rPr>
          <w:lang w:val="en-IE" w:eastAsia="en-IE"/>
        </w:rPr>
        <w:tab/>
      </w:r>
      <w:r>
        <w:rPr>
          <w:lang w:val="en-IE" w:eastAsia="en-IE"/>
        </w:rPr>
        <w:tab/>
      </w:r>
      <w:r w:rsidR="00686963" w:rsidRPr="00686963">
        <w:rPr>
          <w:lang w:val="en-IE" w:eastAsia="en-IE"/>
        </w:rPr>
        <w:t>Reply to paragraph 23(c)</w:t>
      </w:r>
    </w:p>
    <w:p w14:paraId="4383CFC1"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i/>
          <w:iCs/>
          <w:lang w:val="en-IE" w:eastAsia="en-IE"/>
        </w:rPr>
        <w:t>The National Sexual Health Strategy, 2025-2035</w:t>
      </w:r>
      <w:r w:rsidRPr="00686963">
        <w:rPr>
          <w:i/>
          <w:iCs/>
          <w:vertAlign w:val="superscript"/>
          <w:lang w:val="en-IE" w:eastAsia="en-IE"/>
        </w:rPr>
        <w:t>64</w:t>
      </w:r>
      <w:r w:rsidRPr="00686963">
        <w:rPr>
          <w:lang w:val="en-IE" w:eastAsia="en-IE"/>
        </w:rPr>
        <w:t xml:space="preserve"> supports accessible sexual health promotion and education, sexual health services, contraception and unplanned pregnancy services.</w:t>
      </w:r>
    </w:p>
    <w:p w14:paraId="32C5FC66"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bCs/>
          <w:lang w:val="en-IE" w:eastAsia="en-IE"/>
        </w:rPr>
        <w:t xml:space="preserve">See Priority Action 20.1 in </w:t>
      </w:r>
      <w:r w:rsidRPr="00686963">
        <w:rPr>
          <w:lang w:val="en-IE" w:eastAsia="en-IE"/>
        </w:rPr>
        <w:t>The Strategy 2025-2030</w:t>
      </w:r>
      <w:r w:rsidRPr="00686963">
        <w:rPr>
          <w:bCs/>
          <w:lang w:val="en-IE" w:eastAsia="en-IE"/>
        </w:rPr>
        <w:t xml:space="preserve">’s </w:t>
      </w:r>
      <w:r w:rsidRPr="00686963">
        <w:rPr>
          <w:lang w:val="en-IE" w:eastAsia="en-IE"/>
        </w:rPr>
        <w:t>Action Plan</w:t>
      </w:r>
      <w:r w:rsidRPr="00686963">
        <w:rPr>
          <w:vertAlign w:val="superscript"/>
          <w:lang w:val="en-IE" w:eastAsia="en-IE"/>
        </w:rPr>
        <w:t>7</w:t>
      </w:r>
      <w:r w:rsidRPr="00686963">
        <w:rPr>
          <w:lang w:val="en-IE" w:eastAsia="en-IE"/>
        </w:rPr>
        <w:t>.</w:t>
      </w:r>
    </w:p>
    <w:p w14:paraId="2EC42F6D" w14:textId="3C4EF985" w:rsidR="00686963" w:rsidRPr="00686963" w:rsidRDefault="008E2318" w:rsidP="008E2318">
      <w:pPr>
        <w:pStyle w:val="H23G"/>
        <w:rPr>
          <w:lang w:val="en-IE" w:eastAsia="en-IE"/>
        </w:rPr>
      </w:pPr>
      <w:r>
        <w:rPr>
          <w:lang w:val="en-IE" w:eastAsia="en-IE"/>
        </w:rPr>
        <w:tab/>
      </w:r>
      <w:r>
        <w:rPr>
          <w:lang w:val="en-IE" w:eastAsia="en-IE"/>
        </w:rPr>
        <w:tab/>
      </w:r>
      <w:r w:rsidR="00686963" w:rsidRPr="00686963">
        <w:rPr>
          <w:lang w:val="en-IE" w:eastAsia="en-IE"/>
        </w:rPr>
        <w:t>Reply to paragraph 23(d)</w:t>
      </w:r>
    </w:p>
    <w:p w14:paraId="375C21C5"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Disability (Amendment) Bill 2026</w:t>
      </w:r>
      <w:r w:rsidRPr="00686963">
        <w:rPr>
          <w:vertAlign w:val="superscript"/>
          <w:lang w:val="en-IE" w:eastAsia="en-IE"/>
        </w:rPr>
        <w:t>65</w:t>
      </w:r>
      <w:r w:rsidRPr="00686963">
        <w:rPr>
          <w:lang w:val="en-IE" w:eastAsia="en-IE"/>
        </w:rPr>
        <w:t xml:space="preserve"> sets out targeted enhancements to streamline and improve the AON process.</w:t>
      </w:r>
    </w:p>
    <w:p w14:paraId="64884CBE"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Non-legislative activities to support AON reform include:</w:t>
      </w:r>
    </w:p>
    <w:p w14:paraId="5BF50E7B" w14:textId="77777777" w:rsidR="00686963" w:rsidRPr="00686963" w:rsidRDefault="00686963" w:rsidP="008E2318">
      <w:pPr>
        <w:pStyle w:val="SingleTxtG"/>
        <w:numPr>
          <w:ilvl w:val="0"/>
          <w:numId w:val="30"/>
        </w:numPr>
        <w:ind w:left="1134" w:firstLine="567"/>
        <w:rPr>
          <w:lang w:val="en-IE" w:eastAsia="en-IE"/>
        </w:rPr>
      </w:pPr>
      <w:r w:rsidRPr="00686963">
        <w:rPr>
          <w:lang w:val="en-IE" w:eastAsia="en-IE"/>
        </w:rPr>
        <w:t>A Single Point of Access, to streamline waiting lists.</w:t>
      </w:r>
    </w:p>
    <w:p w14:paraId="2D72CF41" w14:textId="202BA391" w:rsidR="00686963" w:rsidRPr="008E2318" w:rsidRDefault="00686963" w:rsidP="008E2318">
      <w:pPr>
        <w:pStyle w:val="SingleTxtG"/>
        <w:numPr>
          <w:ilvl w:val="0"/>
          <w:numId w:val="30"/>
        </w:numPr>
        <w:ind w:left="1134" w:firstLine="567"/>
        <w:rPr>
          <w:lang w:val="en-IE" w:eastAsia="en-IE"/>
        </w:rPr>
      </w:pPr>
      <w:r w:rsidRPr="008E2318">
        <w:rPr>
          <w:lang w:val="en-IE" w:eastAsia="en-IE"/>
        </w:rPr>
        <w:t>The Autism Assessment and Intervention Protocol establishing</w:t>
      </w:r>
      <w:r w:rsidR="008E2318" w:rsidRPr="008E2318">
        <w:rPr>
          <w:lang w:val="en-IE" w:eastAsia="en-IE"/>
        </w:rPr>
        <w:t xml:space="preserve"> </w:t>
      </w:r>
      <w:r w:rsidRPr="008E2318">
        <w:rPr>
          <w:lang w:val="en-IE" w:eastAsia="en-IE"/>
        </w:rPr>
        <w:t>a specific autism assessment process.</w:t>
      </w:r>
    </w:p>
    <w:p w14:paraId="2EA941D7" w14:textId="3AC3BC31" w:rsidR="00686963" w:rsidRPr="00686963" w:rsidRDefault="008E2318" w:rsidP="008E2318">
      <w:pPr>
        <w:pStyle w:val="H23G"/>
        <w:rPr>
          <w:lang w:val="en-IE" w:eastAsia="en-IE"/>
        </w:rPr>
      </w:pPr>
      <w:r>
        <w:rPr>
          <w:lang w:val="en-IE" w:eastAsia="en-IE"/>
        </w:rPr>
        <w:tab/>
      </w:r>
      <w:r>
        <w:rPr>
          <w:lang w:val="en-IE" w:eastAsia="en-IE"/>
        </w:rPr>
        <w:tab/>
      </w:r>
      <w:r w:rsidR="00686963" w:rsidRPr="00686963">
        <w:rPr>
          <w:lang w:val="en-IE" w:eastAsia="en-IE"/>
        </w:rPr>
        <w:t>Reply to paragraph 23(e)</w:t>
      </w:r>
    </w:p>
    <w:p w14:paraId="2E4FAE1F"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HSE Child and Youth Mental Health Office published a three-year action plan in 2025</w:t>
      </w:r>
      <w:r w:rsidRPr="00686963">
        <w:rPr>
          <w:vertAlign w:val="superscript"/>
          <w:lang w:val="en-IE" w:eastAsia="en-IE"/>
        </w:rPr>
        <w:t>66</w:t>
      </w:r>
      <w:r w:rsidRPr="00686963">
        <w:rPr>
          <w:lang w:val="en-IE" w:eastAsia="en-IE"/>
        </w:rPr>
        <w:t xml:space="preserve"> to improve youth mental health care, including CAMHS. The plan incorporates all recommendations from the Maskey Report, the MHC Report and HSE audits on prescribing practice and adherence to CAMHS operational guidelines. Significant new funding, including for staffing, has been provided for youth mental health since 2023.</w:t>
      </w:r>
    </w:p>
    <w:p w14:paraId="41D7AD02" w14:textId="2884CF79" w:rsidR="00686963" w:rsidRPr="00686963" w:rsidRDefault="008E2318" w:rsidP="008E2318">
      <w:pPr>
        <w:pStyle w:val="H23G"/>
        <w:rPr>
          <w:lang w:val="en-IE" w:eastAsia="en-IE"/>
        </w:rPr>
      </w:pPr>
      <w:r>
        <w:rPr>
          <w:lang w:val="en-IE" w:eastAsia="en-IE"/>
        </w:rPr>
        <w:tab/>
      </w:r>
      <w:r>
        <w:rPr>
          <w:lang w:val="en-IE" w:eastAsia="en-IE"/>
        </w:rPr>
        <w:tab/>
      </w:r>
      <w:r w:rsidR="00686963" w:rsidRPr="00686963">
        <w:rPr>
          <w:lang w:val="en-IE" w:eastAsia="en-IE"/>
        </w:rPr>
        <w:t>Reply to paragraph 23(f)</w:t>
      </w:r>
    </w:p>
    <w:p w14:paraId="0A150617"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A quality improvement plan of services for people with mental health difficulties who are deaf is under development.</w:t>
      </w:r>
    </w:p>
    <w:p w14:paraId="63974418"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The HSE provides specific training for staff supporting Deaf and hard-of-hearing service users.</w:t>
      </w:r>
    </w:p>
    <w:p w14:paraId="3D1C3F36" w14:textId="77777777" w:rsidR="00686963" w:rsidRPr="00686963" w:rsidRDefault="00686963" w:rsidP="008E2318">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7(e).</w:t>
      </w:r>
    </w:p>
    <w:p w14:paraId="61957C2D" w14:textId="2CDD2051" w:rsidR="00686963" w:rsidRPr="00686963" w:rsidRDefault="00C84110" w:rsidP="00C84110">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24</w:t>
      </w:r>
    </w:p>
    <w:p w14:paraId="3EC9C741"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The work of the Working Group on Assistive Technology was interrupted by Covid-19. In 2024, Ireland entered a five-year Global Agreement with WHO to strengthen equitable access to assistive technology, focusing on innovation in people-centred, rights-based service delivery models.</w:t>
      </w:r>
    </w:p>
    <w:p w14:paraId="5DEDDA95"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A WHO assessment of Ireland’s assistive technology provision, published in April 2026</w:t>
      </w:r>
      <w:r w:rsidRPr="00686963">
        <w:rPr>
          <w:vertAlign w:val="superscript"/>
          <w:lang w:val="en-IE" w:eastAsia="en-IE"/>
        </w:rPr>
        <w:t>67</w:t>
      </w:r>
      <w:r w:rsidRPr="00686963">
        <w:rPr>
          <w:lang w:val="en-IE" w:eastAsia="en-IE"/>
        </w:rPr>
        <w:t>, made 45 recommendations under the WHO 5P Framework to improve access. Ireland is considering these recommendations.</w:t>
      </w:r>
    </w:p>
    <w:p w14:paraId="33758F6F" w14:textId="4245C190" w:rsidR="00686963" w:rsidRPr="00686963" w:rsidRDefault="00C84110" w:rsidP="00C84110">
      <w:pPr>
        <w:pStyle w:val="H23G"/>
        <w:rPr>
          <w:lang w:val="en-IE" w:eastAsia="en-IE"/>
        </w:rPr>
      </w:pPr>
      <w:r>
        <w:rPr>
          <w:lang w:val="en-IE" w:eastAsia="en-IE"/>
        </w:rPr>
        <w:tab/>
      </w:r>
      <w:r>
        <w:rPr>
          <w:lang w:val="en-IE" w:eastAsia="en-IE"/>
        </w:rPr>
        <w:tab/>
      </w:r>
      <w:r w:rsidR="00686963" w:rsidRPr="00686963">
        <w:rPr>
          <w:lang w:val="en-IE" w:eastAsia="en-IE"/>
        </w:rPr>
        <w:t>Reply to paragraph 25(a)</w:t>
      </w:r>
    </w:p>
    <w:p w14:paraId="400C6293"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 xml:space="preserve">Pillar 2 of </w:t>
      </w:r>
      <w:r w:rsidRPr="00686963">
        <w:rPr>
          <w:i/>
          <w:iCs/>
          <w:lang w:val="en-IE" w:eastAsia="en-IE"/>
        </w:rPr>
        <w:t>The Strategy 2025-2030</w:t>
      </w:r>
      <w:r w:rsidRPr="00686963">
        <w:rPr>
          <w:vertAlign w:val="superscript"/>
          <w:lang w:val="en-IE" w:eastAsia="en-IE"/>
        </w:rPr>
        <w:t>1</w:t>
      </w:r>
      <w:r w:rsidRPr="00686963">
        <w:rPr>
          <w:lang w:val="en-IE" w:eastAsia="en-IE"/>
        </w:rPr>
        <w:t xml:space="preserve"> provides for a whole-of-government approach to substantially reduce the employment gap between disabled people and the wider workforce.</w:t>
      </w:r>
    </w:p>
    <w:p w14:paraId="362E85A8"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The WorkAbility and Work and Access programmes will be expanded to improve employment of disabled people, with a goal of reaching at least the EU average.</w:t>
      </w:r>
    </w:p>
    <w:p w14:paraId="31CA5938"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A National Transitions Policy will support students moving through education, into adult life and entering the world of work.</w:t>
      </w:r>
    </w:p>
    <w:p w14:paraId="3ACD955B"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26(c).</w:t>
      </w:r>
    </w:p>
    <w:p w14:paraId="7FF1CE9A" w14:textId="64639664" w:rsidR="00686963" w:rsidRPr="00686963" w:rsidRDefault="00C84110" w:rsidP="00C84110">
      <w:pPr>
        <w:pStyle w:val="H23G"/>
        <w:rPr>
          <w:lang w:val="en-IE" w:eastAsia="en-IE"/>
        </w:rPr>
      </w:pPr>
      <w:r>
        <w:rPr>
          <w:lang w:val="en-IE" w:eastAsia="en-IE"/>
        </w:rPr>
        <w:tab/>
      </w:r>
      <w:r>
        <w:rPr>
          <w:lang w:val="en-IE" w:eastAsia="en-IE"/>
        </w:rPr>
        <w:tab/>
      </w:r>
      <w:r w:rsidR="00686963" w:rsidRPr="00686963">
        <w:rPr>
          <w:lang w:val="en-IE" w:eastAsia="en-IE"/>
        </w:rPr>
        <w:t>Reply to paragraph 25(b)</w:t>
      </w:r>
    </w:p>
    <w:p w14:paraId="7A8FE98C"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4(a).</w:t>
      </w:r>
    </w:p>
    <w:p w14:paraId="4EDB0388" w14:textId="7F4BD279" w:rsidR="00686963" w:rsidRPr="00686963" w:rsidRDefault="00C84110" w:rsidP="00C84110">
      <w:pPr>
        <w:pStyle w:val="H23G"/>
        <w:rPr>
          <w:lang w:val="en-IE" w:eastAsia="en-IE"/>
        </w:rPr>
      </w:pPr>
      <w:r>
        <w:rPr>
          <w:lang w:val="en-IE" w:eastAsia="en-IE"/>
        </w:rPr>
        <w:tab/>
      </w:r>
      <w:r>
        <w:rPr>
          <w:lang w:val="en-IE" w:eastAsia="en-IE"/>
        </w:rPr>
        <w:tab/>
      </w:r>
      <w:r w:rsidR="00686963" w:rsidRPr="00686963">
        <w:rPr>
          <w:lang w:val="en-IE" w:eastAsia="en-IE"/>
        </w:rPr>
        <w:t>Reply to paragraph 25(c)</w:t>
      </w:r>
    </w:p>
    <w:p w14:paraId="4323468E"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Adult day service users have and are supported to achieve Person-Centred Plans. Service providers tailor supports to people with a range of needs, wishes and aspirations. Where individuals lack capacity to participate in integrated, mainstream, education programmes, specialist service providers working with DEY will arrange for the continuation or development of tailored, specialist, education programmes to complement the delivery of the New Directions policy.</w:t>
      </w:r>
    </w:p>
    <w:p w14:paraId="3B56A0BC"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Rehabilitative training (RT) programmes are funded by the HSE to develop life, social and basic work skills for disabled people. These courses can be a pathway to mainstream education or training options.</w:t>
      </w:r>
    </w:p>
    <w:p w14:paraId="6B9E8F91" w14:textId="1E966596" w:rsidR="00686963" w:rsidRPr="00686963" w:rsidRDefault="00C84110" w:rsidP="00C84110">
      <w:pPr>
        <w:pStyle w:val="H23G"/>
        <w:rPr>
          <w:lang w:val="en-IE" w:eastAsia="en-IE"/>
        </w:rPr>
      </w:pPr>
      <w:r>
        <w:rPr>
          <w:lang w:val="en-IE" w:eastAsia="en-IE"/>
        </w:rPr>
        <w:tab/>
      </w:r>
      <w:r>
        <w:rPr>
          <w:lang w:val="en-IE" w:eastAsia="en-IE"/>
        </w:rPr>
        <w:tab/>
      </w:r>
      <w:r w:rsidR="00686963" w:rsidRPr="00686963">
        <w:rPr>
          <w:lang w:val="en-IE" w:eastAsia="en-IE"/>
        </w:rPr>
        <w:t>Reply to paragraph 25(d)</w:t>
      </w:r>
    </w:p>
    <w:p w14:paraId="3CF69800"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The NDA has published Good Practice Guidance for Commissioners of both Autism</w:t>
      </w:r>
      <w:r w:rsidRPr="00686963">
        <w:rPr>
          <w:vertAlign w:val="superscript"/>
          <w:lang w:val="en-IE" w:eastAsia="en-IE"/>
        </w:rPr>
        <w:t>68</w:t>
      </w:r>
      <w:r w:rsidRPr="00686963">
        <w:rPr>
          <w:lang w:val="en-IE" w:eastAsia="en-IE"/>
        </w:rPr>
        <w:t xml:space="preserve"> and Disability Training</w:t>
      </w:r>
      <w:r w:rsidRPr="00686963">
        <w:rPr>
          <w:vertAlign w:val="superscript"/>
          <w:lang w:val="en-IE" w:eastAsia="en-IE"/>
        </w:rPr>
        <w:t>69</w:t>
      </w:r>
      <w:r w:rsidRPr="00686963">
        <w:rPr>
          <w:lang w:val="en-IE" w:eastAsia="en-IE"/>
        </w:rPr>
        <w:t xml:space="preserve"> in the Public Sector.</w:t>
      </w:r>
    </w:p>
    <w:p w14:paraId="5B32083F"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6.</w:t>
      </w:r>
    </w:p>
    <w:p w14:paraId="468457AD" w14:textId="3B03C495" w:rsidR="00686963" w:rsidRPr="00686963" w:rsidRDefault="00C84110" w:rsidP="00C84110">
      <w:pPr>
        <w:pStyle w:val="H23G"/>
        <w:rPr>
          <w:lang w:val="en-IE" w:eastAsia="en-IE"/>
        </w:rPr>
      </w:pPr>
      <w:r>
        <w:rPr>
          <w:lang w:val="en-IE" w:eastAsia="en-IE"/>
        </w:rPr>
        <w:tab/>
      </w:r>
      <w:r>
        <w:rPr>
          <w:lang w:val="en-IE" w:eastAsia="en-IE"/>
        </w:rPr>
        <w:tab/>
      </w:r>
      <w:r w:rsidR="00686963" w:rsidRPr="00686963">
        <w:rPr>
          <w:lang w:val="en-IE" w:eastAsia="en-IE"/>
        </w:rPr>
        <w:t>Reply to paragraph 26(a)</w:t>
      </w:r>
    </w:p>
    <w:p w14:paraId="5E2472D8"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w:t>
      </w:r>
      <w:r w:rsidRPr="00686963">
        <w:rPr>
          <w:i/>
          <w:iCs/>
          <w:lang w:val="en-IE" w:eastAsia="en-IE"/>
        </w:rPr>
        <w:t>Roadmap for Social Inclusion 2020–2025</w:t>
      </w:r>
      <w:r w:rsidRPr="00686963">
        <w:rPr>
          <w:i/>
          <w:iCs/>
          <w:vertAlign w:val="superscript"/>
          <w:lang w:val="en-IE" w:eastAsia="en-IE"/>
        </w:rPr>
        <w:t>70</w:t>
      </w:r>
      <w:r w:rsidRPr="00686963">
        <w:rPr>
          <w:lang w:val="en-IE" w:eastAsia="en-IE"/>
        </w:rPr>
        <w:t xml:space="preserve"> has driven continued monitoring of poverty outcomes for disabled people, with the latest 2025 data showing that while the deprivation rate for 'people unable to work due to long standing health problems' has remained relatively stable (at 39.2% in 2025 compared with 38.5% in 2024), both the consistent poverty rate (dropping from 19.0% to 13.9%) and the at risk of poverty rate (from 32.5% to 28.4%) have improved over the same period. In response, and building on commitments under the Roadmap, the Government has introduced further poverty‑alleviation social welfare measures. Budget 2026 saw increases to the Carer’s Allowance income disregard; increases to the income limit for Carer’s Benefit; eligibility for Back to Work Family Dividend extended to recipients of Disability Allowance or Blind Pension when taking up work; extension of the Wage Subsidy Scheme to more disabled people and a 20% increase in investment in disability services. </w:t>
      </w:r>
      <w:r w:rsidRPr="00686963">
        <w:rPr>
          <w:i/>
          <w:iCs/>
          <w:lang w:val="en-IE" w:eastAsia="en-IE"/>
        </w:rPr>
        <w:t>The Roadmap for Social Inclusion 2026-2030</w:t>
      </w:r>
      <w:r w:rsidRPr="00686963">
        <w:rPr>
          <w:i/>
          <w:iCs/>
          <w:vertAlign w:val="superscript"/>
          <w:lang w:val="en-IE" w:eastAsia="en-IE"/>
        </w:rPr>
        <w:t>71</w:t>
      </w:r>
      <w:r w:rsidRPr="00686963">
        <w:rPr>
          <w:i/>
          <w:iCs/>
          <w:lang w:val="en-IE" w:eastAsia="en-IE"/>
        </w:rPr>
        <w:t xml:space="preserve"> </w:t>
      </w:r>
      <w:r w:rsidRPr="00686963">
        <w:rPr>
          <w:lang w:val="en-IE" w:eastAsia="en-IE"/>
        </w:rPr>
        <w:t>builds on the previous Strategy and includes actions targeting disabled people, including women and girls.</w:t>
      </w:r>
    </w:p>
    <w:p w14:paraId="3756B0FF" w14:textId="77777777" w:rsidR="00686963" w:rsidRPr="00686963" w:rsidRDefault="00686963" w:rsidP="00C84110">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26(b).</w:t>
      </w:r>
    </w:p>
    <w:p w14:paraId="50886278" w14:textId="450FE132" w:rsidR="00686963" w:rsidRPr="00686963" w:rsidRDefault="00C84110" w:rsidP="00C84110">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26(b)</w:t>
      </w:r>
    </w:p>
    <w:p w14:paraId="1B3686E3"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Weekly Disability Allowance rates have increased by €51 since Budget 2021.</w:t>
      </w:r>
    </w:p>
    <w:p w14:paraId="15E17E85"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In February 2026, a public consultation launched on the Cost of Disability</w:t>
      </w:r>
      <w:r w:rsidRPr="00686963">
        <w:rPr>
          <w:vertAlign w:val="superscript"/>
          <w:lang w:val="en-IE" w:eastAsia="en-IE"/>
        </w:rPr>
        <w:t>72</w:t>
      </w:r>
      <w:r w:rsidRPr="00686963">
        <w:rPr>
          <w:lang w:val="en-IE" w:eastAsia="en-IE"/>
        </w:rPr>
        <w:t>, with over 1,100 submissions received followed by a stakeholder Summit held in May 2026. The Programme for Government commits to introducing a permanent Annual Cost of Disability Support Payment and the consultation sought views on its design. The consultation submissions and Summit will inform the approach to this payment.</w:t>
      </w:r>
    </w:p>
    <w:p w14:paraId="06BF75CF"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From September 2026 people moving from Disability Allowance or Blind Pension to take up work will keep their Fuel Allowance for five years.</w:t>
      </w:r>
    </w:p>
    <w:p w14:paraId="7A17303B"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Disability Allowance or Blind Pension Recipients with children are now eligible for Back to Work Family Dividend when taking up employment.</w:t>
      </w:r>
    </w:p>
    <w:p w14:paraId="7A10707B" w14:textId="10390026" w:rsidR="00686963" w:rsidRPr="00686963" w:rsidRDefault="00E238D8" w:rsidP="00E238D8">
      <w:pPr>
        <w:pStyle w:val="H23G"/>
        <w:rPr>
          <w:lang w:val="en-IE" w:eastAsia="en-IE"/>
        </w:rPr>
      </w:pPr>
      <w:r>
        <w:rPr>
          <w:lang w:val="en-IE" w:eastAsia="en-IE"/>
        </w:rPr>
        <w:tab/>
      </w:r>
      <w:r>
        <w:rPr>
          <w:lang w:val="en-IE" w:eastAsia="en-IE"/>
        </w:rPr>
        <w:tab/>
      </w:r>
      <w:r w:rsidR="00686963" w:rsidRPr="00686963">
        <w:rPr>
          <w:lang w:val="en-IE" w:eastAsia="en-IE"/>
        </w:rPr>
        <w:t>Reply to paragraph 26(c)</w:t>
      </w:r>
    </w:p>
    <w:p w14:paraId="63B80A6E"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The earnings disregard has increased from €120 in Budget 2021 to €165 currently, enabling Disability Allowance recipients to earn more without affecting their payment.</w:t>
      </w:r>
    </w:p>
    <w:p w14:paraId="2674FF98"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Under the Make Work Pay initiative, people whose Disability Allowance ceases due to employment may retain their Free Travel entitlement for up to five years.</w:t>
      </w:r>
    </w:p>
    <w:p w14:paraId="717E37B1"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People who have been on a disability payment for at least a year can retain a medical card for a further three years on return to work, subject to eligibility conditions.</w:t>
      </w:r>
    </w:p>
    <w:p w14:paraId="122B7A77"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26(a).</w:t>
      </w:r>
    </w:p>
    <w:p w14:paraId="5F00764E" w14:textId="2FCF5FCB" w:rsidR="00686963" w:rsidRPr="00686963" w:rsidRDefault="00D73CC0" w:rsidP="00D73CC0">
      <w:pPr>
        <w:pStyle w:val="H23G"/>
        <w:rPr>
          <w:lang w:val="en-IE" w:eastAsia="en-IE"/>
        </w:rPr>
      </w:pPr>
      <w:r>
        <w:rPr>
          <w:lang w:val="en-IE" w:eastAsia="en-IE"/>
        </w:rPr>
        <w:tab/>
      </w:r>
      <w:r>
        <w:rPr>
          <w:lang w:val="en-IE" w:eastAsia="en-IE"/>
        </w:rPr>
        <w:tab/>
      </w:r>
      <w:r w:rsidR="00686963" w:rsidRPr="00686963">
        <w:rPr>
          <w:lang w:val="en-IE" w:eastAsia="en-IE"/>
        </w:rPr>
        <w:t>Reply to paragraph 26(d)</w:t>
      </w:r>
    </w:p>
    <w:p w14:paraId="2FC781F4"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The Department of Social Protection is reviewing means testing across all its social assistance schemes. The outcome of this review will inform decisions regarding any further changes to means testing.</w:t>
      </w:r>
    </w:p>
    <w:p w14:paraId="5A7FDB98" w14:textId="5060B0E9" w:rsidR="00686963" w:rsidRPr="00686963" w:rsidRDefault="00D73CC0" w:rsidP="00D73CC0">
      <w:pPr>
        <w:pStyle w:val="H23G"/>
        <w:rPr>
          <w:lang w:val="en-IE" w:eastAsia="en-IE"/>
        </w:rPr>
      </w:pPr>
      <w:r>
        <w:rPr>
          <w:lang w:val="en-IE" w:eastAsia="en-IE"/>
        </w:rPr>
        <w:tab/>
      </w:r>
      <w:r>
        <w:rPr>
          <w:lang w:val="en-IE" w:eastAsia="en-IE"/>
        </w:rPr>
        <w:tab/>
      </w:r>
      <w:r w:rsidR="00686963" w:rsidRPr="00686963">
        <w:rPr>
          <w:lang w:val="en-IE" w:eastAsia="en-IE"/>
        </w:rPr>
        <w:t>Reply to paragraph 26(e)</w:t>
      </w:r>
    </w:p>
    <w:p w14:paraId="7618323A"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While people in receipt of the State Pension who also have a disability do not qualify for Disability Allowance, Budget 2026 provided for:</w:t>
      </w:r>
    </w:p>
    <w:p w14:paraId="194BDD60" w14:textId="77777777" w:rsidR="00686963" w:rsidRPr="00686963" w:rsidRDefault="00686963" w:rsidP="00FB7E8A">
      <w:pPr>
        <w:pStyle w:val="SingleTxtG"/>
        <w:numPr>
          <w:ilvl w:val="0"/>
          <w:numId w:val="31"/>
        </w:numPr>
        <w:ind w:left="1134" w:firstLine="567"/>
        <w:rPr>
          <w:lang w:val="en-IE" w:eastAsia="en-IE"/>
        </w:rPr>
      </w:pPr>
      <w:r w:rsidRPr="00686963">
        <w:rPr>
          <w:lang w:val="en-IE" w:eastAsia="en-IE"/>
        </w:rPr>
        <w:t>€10 increase in the maximum weekly rate of all State Pensions from January with proportionate increases for people getting a reduced rate.</w:t>
      </w:r>
    </w:p>
    <w:p w14:paraId="0E785A8F" w14:textId="77777777" w:rsidR="00686963" w:rsidRPr="00686963" w:rsidRDefault="00686963" w:rsidP="00FB7E8A">
      <w:pPr>
        <w:pStyle w:val="SingleTxtG"/>
        <w:numPr>
          <w:ilvl w:val="0"/>
          <w:numId w:val="31"/>
        </w:numPr>
        <w:ind w:left="1134" w:firstLine="567"/>
        <w:rPr>
          <w:lang w:val="en-IE" w:eastAsia="en-IE"/>
        </w:rPr>
      </w:pPr>
      <w:r w:rsidRPr="00686963">
        <w:rPr>
          <w:lang w:val="en-IE" w:eastAsia="en-IE"/>
        </w:rPr>
        <w:t>€5 increase in weekly Fuel Allowance which will provide an additional €140 during the annual fuel allowance season.</w:t>
      </w:r>
    </w:p>
    <w:p w14:paraId="3A36D9A5" w14:textId="77777777" w:rsidR="00686963" w:rsidRPr="00686963" w:rsidRDefault="00686963" w:rsidP="00FB7E8A">
      <w:pPr>
        <w:pStyle w:val="SingleTxtG"/>
        <w:numPr>
          <w:ilvl w:val="0"/>
          <w:numId w:val="31"/>
        </w:numPr>
        <w:ind w:left="1134" w:firstLine="567"/>
        <w:rPr>
          <w:lang w:val="en-IE" w:eastAsia="en-IE"/>
        </w:rPr>
      </w:pPr>
      <w:r w:rsidRPr="00686963">
        <w:rPr>
          <w:lang w:val="en-IE" w:eastAsia="en-IE"/>
        </w:rPr>
        <w:t>A Christmas Bonus paid in December 2025.</w:t>
      </w:r>
    </w:p>
    <w:p w14:paraId="251F5B62" w14:textId="747850C7" w:rsidR="00686963" w:rsidRPr="00686963" w:rsidRDefault="00FB7E8A" w:rsidP="00FB7E8A">
      <w:pPr>
        <w:pStyle w:val="H23G"/>
        <w:rPr>
          <w:lang w:val="en-IE" w:eastAsia="en-IE"/>
        </w:rPr>
      </w:pPr>
      <w:r>
        <w:rPr>
          <w:lang w:val="en-IE" w:eastAsia="en-IE"/>
        </w:rPr>
        <w:tab/>
      </w:r>
      <w:r>
        <w:rPr>
          <w:lang w:val="en-IE" w:eastAsia="en-IE"/>
        </w:rPr>
        <w:tab/>
      </w:r>
      <w:r w:rsidR="00686963" w:rsidRPr="00686963">
        <w:rPr>
          <w:lang w:val="en-IE" w:eastAsia="en-IE"/>
        </w:rPr>
        <w:t>Reply to paragraph 27(a)</w:t>
      </w:r>
    </w:p>
    <w:p w14:paraId="3F01858F"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The Local Democracy Taskforce considered mechanisms to make the role of local Government councillor more attractive to people from diverse backgrounds. Its report has been presented to the Minister. An implementation plan of the Taskforce is being drafted.</w:t>
      </w:r>
    </w:p>
    <w:p w14:paraId="386D9950"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7(e).</w:t>
      </w:r>
    </w:p>
    <w:p w14:paraId="02518AB7" w14:textId="295F5704" w:rsidR="00686963" w:rsidRPr="00686963" w:rsidRDefault="00FB7E8A" w:rsidP="00FB7E8A">
      <w:pPr>
        <w:pStyle w:val="H23G"/>
        <w:rPr>
          <w:lang w:val="en-IE" w:eastAsia="en-IE"/>
        </w:rPr>
      </w:pPr>
      <w:r>
        <w:rPr>
          <w:lang w:val="en-IE" w:eastAsia="en-IE"/>
        </w:rPr>
        <w:tab/>
      </w:r>
      <w:r>
        <w:rPr>
          <w:lang w:val="en-IE" w:eastAsia="en-IE"/>
        </w:rPr>
        <w:tab/>
      </w:r>
      <w:r w:rsidR="00686963" w:rsidRPr="00686963">
        <w:rPr>
          <w:lang w:val="en-IE" w:eastAsia="en-IE"/>
        </w:rPr>
        <w:t>Reply to paragraph 27(b)</w:t>
      </w:r>
    </w:p>
    <w:p w14:paraId="0D4338F8"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Supports for disabled voters are publicised online and in newspapers before electoral events.</w:t>
      </w:r>
    </w:p>
    <w:p w14:paraId="66ED3532"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Under the Electoral Act 1992</w:t>
      </w:r>
      <w:r w:rsidRPr="00686963">
        <w:rPr>
          <w:vertAlign w:val="superscript"/>
          <w:lang w:val="en-IE" w:eastAsia="en-IE"/>
        </w:rPr>
        <w:t>73</w:t>
      </w:r>
      <w:r w:rsidRPr="00686963">
        <w:rPr>
          <w:lang w:val="en-IE" w:eastAsia="en-IE"/>
        </w:rPr>
        <w:t>, Returning Officers must publicly notify voters of inaccessible polling stations before electoral events.</w:t>
      </w:r>
    </w:p>
    <w:p w14:paraId="351EAB5A" w14:textId="77777777" w:rsidR="00686963" w:rsidRPr="00686963" w:rsidRDefault="00686963" w:rsidP="00FB7E8A">
      <w:pPr>
        <w:pStyle w:val="SingleTxtG"/>
        <w:numPr>
          <w:ilvl w:val="0"/>
          <w:numId w:val="27"/>
        </w:numPr>
        <w:tabs>
          <w:tab w:val="clear" w:pos="2268"/>
          <w:tab w:val="clear" w:pos="2835"/>
        </w:tabs>
        <w:ind w:left="1134" w:firstLine="0"/>
        <w:rPr>
          <w:lang w:val="en-IE" w:eastAsia="en-IE"/>
        </w:rPr>
      </w:pPr>
      <w:r w:rsidRPr="00686963">
        <w:rPr>
          <w:lang w:val="en-IE" w:eastAsia="en-IE"/>
        </w:rPr>
        <w:t>A Working Group on Disability Voting discusses emerging technology to assist disabled voters to cast their vote in secret.</w:t>
      </w:r>
    </w:p>
    <w:p w14:paraId="4A28E1AF" w14:textId="5CEE9D12" w:rsidR="00686963" w:rsidRPr="00686963" w:rsidRDefault="00FB7E8A" w:rsidP="00FB7E8A">
      <w:pPr>
        <w:pStyle w:val="H23G"/>
        <w:rPr>
          <w:lang w:val="en-IE" w:eastAsia="en-IE"/>
        </w:rPr>
      </w:pPr>
      <w:r>
        <w:rPr>
          <w:lang w:val="en-IE" w:eastAsia="en-IE"/>
        </w:rPr>
        <w:lastRenderedPageBreak/>
        <w:tab/>
      </w:r>
      <w:r>
        <w:rPr>
          <w:lang w:val="en-IE" w:eastAsia="en-IE"/>
        </w:rPr>
        <w:tab/>
      </w:r>
      <w:r w:rsidR="00686963" w:rsidRPr="00686963">
        <w:rPr>
          <w:lang w:val="en-IE" w:eastAsia="en-IE"/>
        </w:rPr>
        <w:t>Reply to paragraph 27(c)</w:t>
      </w:r>
    </w:p>
    <w:p w14:paraId="1D66D0B7" w14:textId="77777777" w:rsidR="00686963" w:rsidRPr="00686963" w:rsidRDefault="00686963" w:rsidP="00831072">
      <w:pPr>
        <w:pStyle w:val="SingleTxtG"/>
        <w:numPr>
          <w:ilvl w:val="0"/>
          <w:numId w:val="27"/>
        </w:numPr>
        <w:tabs>
          <w:tab w:val="clear" w:pos="2268"/>
          <w:tab w:val="clear" w:pos="2835"/>
        </w:tabs>
        <w:ind w:left="1134" w:firstLine="0"/>
        <w:rPr>
          <w:lang w:val="en-IE" w:eastAsia="en-IE"/>
        </w:rPr>
      </w:pPr>
      <w:r w:rsidRPr="00686963">
        <w:rPr>
          <w:lang w:val="en-IE" w:eastAsia="en-IE"/>
        </w:rPr>
        <w:t>Where a voter avails of a special vote, their ballot paper is delivered by a Special Presiding Officer at their facility of residence.</w:t>
      </w:r>
    </w:p>
    <w:p w14:paraId="0C61C3AA" w14:textId="77777777" w:rsidR="00686963" w:rsidRPr="00686963" w:rsidRDefault="00686963" w:rsidP="00831072">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27(b).</w:t>
      </w:r>
    </w:p>
    <w:p w14:paraId="4BE278B6" w14:textId="4EFCC760"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27(d)</w:t>
      </w:r>
    </w:p>
    <w:p w14:paraId="4A3DCAC3"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An Coimisiún Toghcháin promotes participation in elections and referendums through education and awareness initiatives, including engagement with under-represented groups. It plans to publish an Education and Public Engagement Strategy in 2026.</w:t>
      </w:r>
    </w:p>
    <w:p w14:paraId="3F988337"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Civic, Social and Political Education is a mandatory Junior Cycle subject that promotes active citizenship based on an understanding of human rights and social responsibility, building on learning from primary school.</w:t>
      </w:r>
    </w:p>
    <w:p w14:paraId="57DADE47" w14:textId="71DA70C9"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28(a)</w:t>
      </w:r>
    </w:p>
    <w:p w14:paraId="028E3A57"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For many Arts Council funding schemes, applicants can request disability access costs including assistive technology, support workers and administrative support within their funding application.</w:t>
      </w:r>
    </w:p>
    <w:p w14:paraId="2560C857"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Further Education Training (FET) supports artistic, intellectual, and creative potential in programmes through accessible materials, inclusive teaching approaches, assistive technologies and flexible learning environments.</w:t>
      </w:r>
    </w:p>
    <w:p w14:paraId="0CF275F2"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i/>
          <w:iCs/>
          <w:lang w:val="en-IE" w:eastAsia="en-IE"/>
        </w:rPr>
        <w:t>I am Creative</w:t>
      </w:r>
      <w:r w:rsidRPr="00686963">
        <w:rPr>
          <w:lang w:val="en-IE" w:eastAsia="en-IE"/>
        </w:rPr>
        <w:t xml:space="preserve"> is an arts and creativity education programme for young people attending special educational settings</w:t>
      </w:r>
      <w:r w:rsidRPr="00686963">
        <w:rPr>
          <w:vertAlign w:val="superscript"/>
          <w:lang w:val="en-IE" w:eastAsia="en-IE"/>
        </w:rPr>
        <w:t>74</w:t>
      </w:r>
      <w:r w:rsidRPr="00686963">
        <w:rPr>
          <w:lang w:val="en-IE" w:eastAsia="en-IE"/>
        </w:rPr>
        <w:t>.</w:t>
      </w:r>
    </w:p>
    <w:p w14:paraId="37C6F50F" w14:textId="2DEC07AC"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28(b)</w:t>
      </w:r>
    </w:p>
    <w:p w14:paraId="66B41710" w14:textId="77777777" w:rsidR="00686963" w:rsidRPr="00686963" w:rsidRDefault="00686963" w:rsidP="00F615A4">
      <w:pPr>
        <w:pStyle w:val="SingleTxtG"/>
        <w:numPr>
          <w:ilvl w:val="0"/>
          <w:numId w:val="27"/>
        </w:numPr>
        <w:tabs>
          <w:tab w:val="clear" w:pos="2268"/>
          <w:tab w:val="clear" w:pos="2835"/>
        </w:tabs>
        <w:ind w:left="1134" w:firstLine="0"/>
        <w:rPr>
          <w:i/>
          <w:iCs/>
          <w:lang w:val="en-IE" w:eastAsia="en-IE"/>
        </w:rPr>
      </w:pPr>
      <w:r w:rsidRPr="00686963">
        <w:rPr>
          <w:i/>
          <w:iCs/>
          <w:lang w:val="en-IE" w:eastAsia="en-IE"/>
        </w:rPr>
        <w:t>The Social Inclusion and Community Activation Programme 2018-2023</w:t>
      </w:r>
      <w:r w:rsidRPr="00686963">
        <w:rPr>
          <w:i/>
          <w:iCs/>
          <w:vertAlign w:val="superscript"/>
          <w:lang w:val="en-IE" w:eastAsia="en-IE"/>
        </w:rPr>
        <w:t>75</w:t>
      </w:r>
      <w:r w:rsidRPr="00686963">
        <w:rPr>
          <w:lang w:val="en-IE" w:eastAsia="en-IE"/>
        </w:rPr>
        <w:t xml:space="preserve"> supported 11,077 individuals under the People with Disabilities Target Group.</w:t>
      </w:r>
    </w:p>
    <w:p w14:paraId="25E5C01E"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i/>
          <w:iCs/>
          <w:lang w:val="en-IE" w:eastAsia="en-IE"/>
        </w:rPr>
        <w:t>Tourism Action Plan 2019-2021</w:t>
      </w:r>
      <w:r w:rsidRPr="00686963">
        <w:rPr>
          <w:lang w:val="en-IE" w:eastAsia="en-IE"/>
        </w:rPr>
        <w:t xml:space="preserve"> has been succeeded by the </w:t>
      </w:r>
      <w:r w:rsidRPr="00686963">
        <w:rPr>
          <w:i/>
          <w:iCs/>
          <w:lang w:val="en-IE" w:eastAsia="en-IE"/>
        </w:rPr>
        <w:t>"A New Era for Irish Tourism”</w:t>
      </w:r>
      <w:r w:rsidRPr="00686963">
        <w:rPr>
          <w:vertAlign w:val="superscript"/>
          <w:lang w:val="en-IE" w:eastAsia="en-IE"/>
        </w:rPr>
        <w:t>76</w:t>
      </w:r>
      <w:r w:rsidRPr="00686963">
        <w:rPr>
          <w:lang w:val="en-IE" w:eastAsia="en-IE"/>
        </w:rPr>
        <w:t xml:space="preserve"> – the new National Tourism Policy, which includes policy objectives regarding inclusive and accessible tourism.</w:t>
      </w:r>
    </w:p>
    <w:p w14:paraId="7A0809AC"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i/>
          <w:iCs/>
          <w:lang w:val="en-IE" w:eastAsia="en-IE"/>
        </w:rPr>
        <w:t>The National Sports Policy 2018-2027</w:t>
      </w:r>
      <w:r w:rsidRPr="00686963">
        <w:rPr>
          <w:i/>
          <w:iCs/>
          <w:vertAlign w:val="superscript"/>
          <w:lang w:val="en-IE" w:eastAsia="en-IE"/>
        </w:rPr>
        <w:t>77</w:t>
      </w:r>
      <w:r w:rsidRPr="00686963">
        <w:rPr>
          <w:lang w:val="en-IE" w:eastAsia="en-IE"/>
        </w:rPr>
        <w:t xml:space="preserve"> commits to closing participation gaps and ensuring equitable access to sport. The Irish Sports Monitor (ISM), which measures sports participation in Ireland, identified that participation among disabled people reached a record high of 34% in 2025.</w:t>
      </w:r>
    </w:p>
    <w:p w14:paraId="21681654"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i/>
          <w:iCs/>
          <w:lang w:val="en-IE" w:eastAsia="en-IE"/>
        </w:rPr>
        <w:t>Ireland’s ‘Policy on Participation in Sport by People with Disabilities’</w:t>
      </w:r>
      <w:r w:rsidRPr="00686963">
        <w:rPr>
          <w:i/>
          <w:iCs/>
          <w:vertAlign w:val="superscript"/>
          <w:lang w:val="en-IE" w:eastAsia="en-IE"/>
        </w:rPr>
        <w:t>78</w:t>
      </w:r>
      <w:r w:rsidRPr="00686963">
        <w:rPr>
          <w:i/>
          <w:iCs/>
          <w:lang w:val="en-IE" w:eastAsia="en-IE"/>
        </w:rPr>
        <w:t xml:space="preserve"> </w:t>
      </w:r>
      <w:r w:rsidRPr="00686963">
        <w:rPr>
          <w:lang w:val="en-IE" w:eastAsia="en-IE"/>
        </w:rPr>
        <w:t>embeds inclusion across the sports sector through equitable participation opportunities, removing barriers, and collaborating with disability organisations and state bodies. 1,400 clubs, 80+ sport and activities, and 160+ gyms and leisure centres have adapted the Sport Inclusion Disability Charter committing to making their organisations more inclusive for disabled people.</w:t>
      </w:r>
    </w:p>
    <w:p w14:paraId="34884668" w14:textId="296839AE"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28(c)</w:t>
      </w:r>
    </w:p>
    <w:p w14:paraId="6B01DCB8"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Budget 2026 allocated €1.14m to the Sign Language Interpreting Service (SLIS), including €0.40m for the ISL Voucher Scheme.</w:t>
      </w:r>
    </w:p>
    <w:p w14:paraId="043DFB2E" w14:textId="5CF4717E"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29(a)</w:t>
      </w:r>
    </w:p>
    <w:p w14:paraId="58D9C503"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 xml:space="preserve">See priority actions CS.RD.1-CS.RD.5. in </w:t>
      </w:r>
      <w:r w:rsidRPr="00686963">
        <w:rPr>
          <w:i/>
          <w:iCs/>
          <w:lang w:val="en-IE" w:eastAsia="en-IE"/>
        </w:rPr>
        <w:t xml:space="preserve">The Strategy 2025-2030’s </w:t>
      </w:r>
      <w:r w:rsidRPr="00686963">
        <w:rPr>
          <w:i/>
          <w:iCs/>
          <w:color w:val="000000" w:themeColor="text1"/>
          <w:lang w:val="en-IE" w:eastAsia="en-IE"/>
        </w:rPr>
        <w:t>Action Plan</w:t>
      </w:r>
      <w:r w:rsidRPr="00686963">
        <w:rPr>
          <w:i/>
          <w:iCs/>
          <w:color w:val="000000" w:themeColor="text1"/>
          <w:vertAlign w:val="superscript"/>
          <w:lang w:val="en-IE" w:eastAsia="en-IE"/>
        </w:rPr>
        <w:t>7</w:t>
      </w:r>
      <w:r w:rsidRPr="00686963">
        <w:rPr>
          <w:i/>
          <w:iCs/>
          <w:color w:val="000000" w:themeColor="text1"/>
          <w:lang w:val="en-IE" w:eastAsia="en-IE"/>
        </w:rPr>
        <w:t>.</w:t>
      </w:r>
    </w:p>
    <w:p w14:paraId="3567F1DC" w14:textId="7E534B27"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29(b)</w:t>
      </w:r>
    </w:p>
    <w:p w14:paraId="6FB662BB"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F615A4">
        <w:rPr>
          <w:i/>
          <w:iCs/>
          <w:lang w:val="en-IE" w:eastAsia="en-IE"/>
        </w:rPr>
        <w:t>The National Equality Data Strategy 2026-2031</w:t>
      </w:r>
      <w:r w:rsidRPr="00F615A4">
        <w:rPr>
          <w:i/>
          <w:iCs/>
          <w:vertAlign w:val="superscript"/>
          <w:lang w:val="en-IE" w:eastAsia="en-IE"/>
        </w:rPr>
        <w:t>79</w:t>
      </w:r>
      <w:r w:rsidRPr="00686963">
        <w:rPr>
          <w:lang w:val="en-IE" w:eastAsia="en-IE"/>
        </w:rPr>
        <w:t xml:space="preserve"> has commenced.</w:t>
      </w:r>
    </w:p>
    <w:p w14:paraId="42F689A8"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 xml:space="preserve">Ireland is finalising a Statutory Instrument to transpose the EU Directives on Standards for Equality Bodies into Irish law which will enable the Irish Human Rights and </w:t>
      </w:r>
      <w:r w:rsidRPr="00686963">
        <w:rPr>
          <w:lang w:val="en-IE" w:eastAsia="en-IE"/>
        </w:rPr>
        <w:lastRenderedPageBreak/>
        <w:t>Equality Commission (IHREC) to fulfil duties relating to data collection and access to equality data mandated by the Directive.</w:t>
      </w:r>
    </w:p>
    <w:p w14:paraId="6C4DE806" w14:textId="766AA83A"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30(a)</w:t>
      </w:r>
    </w:p>
    <w:p w14:paraId="03CB2159"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Ireland endorsed the Amman-Berlin Declaration in 2025</w:t>
      </w:r>
      <w:r w:rsidRPr="00686963">
        <w:rPr>
          <w:vertAlign w:val="superscript"/>
          <w:lang w:val="en-IE" w:eastAsia="en-IE"/>
        </w:rPr>
        <w:t>80</w:t>
      </w:r>
      <w:r w:rsidRPr="00686963">
        <w:rPr>
          <w:lang w:val="en-IE" w:eastAsia="en-IE"/>
        </w:rPr>
        <w:t>.</w:t>
      </w:r>
    </w:p>
    <w:p w14:paraId="22CB0DDA"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The Department of Foreign Affairs and Trade (DFAT) applies OECD standards and tools including the OECD DAC Disability Policy Marker to monitor and review its application to better understand the full, effective use of our Official Development Assistance (ODA) spend towards disability inclusion.</w:t>
      </w:r>
    </w:p>
    <w:p w14:paraId="62DF38B6"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DFAT contributed to consultations to develop a handbook for the OECD-DAC policy marker on the inclusion and empowerment of disabled people.</w:t>
      </w:r>
    </w:p>
    <w:p w14:paraId="288F9A20"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Ireland's campaign for membership of the Human Rights Council (2027-2029) includes a thematic focus on rights of disabled persons in conflict.</w:t>
      </w:r>
    </w:p>
    <w:p w14:paraId="281888B4"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4(a).</w:t>
      </w:r>
    </w:p>
    <w:p w14:paraId="718FD7D8" w14:textId="6172A493"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30(b)</w:t>
      </w:r>
    </w:p>
    <w:p w14:paraId="365870FB"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In 2024, Ireland partnered with the Global Disability Fund (GDF) to support countries in designing and implementing CRPD-compliant policies and services.</w:t>
      </w:r>
    </w:p>
    <w:p w14:paraId="79F31C3B"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DFAT co-hosts an Irish development NGO event annually to strengthen the implementation of programmes and practices which advance the rights of disabled people in developing and humanitarian contexts.</w:t>
      </w:r>
    </w:p>
    <w:p w14:paraId="7E8EF579"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DFAT has facilitated engagement between representative organisations, disabled persons and Irish Ministers on implementing Ireland's International Development Policy, at international fora on disability inclusion in development cooperation.</w:t>
      </w:r>
    </w:p>
    <w:p w14:paraId="45745156" w14:textId="41228867"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31(a)</w:t>
      </w:r>
    </w:p>
    <w:p w14:paraId="1A61231E"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See reply to paragraph 1(e).</w:t>
      </w:r>
    </w:p>
    <w:p w14:paraId="0746A089" w14:textId="7E9DF26E" w:rsidR="00686963" w:rsidRPr="00686963" w:rsidRDefault="00F615A4" w:rsidP="00F615A4">
      <w:pPr>
        <w:pStyle w:val="H23G"/>
        <w:rPr>
          <w:lang w:val="en-IE" w:eastAsia="en-IE"/>
        </w:rPr>
      </w:pPr>
      <w:r>
        <w:rPr>
          <w:lang w:val="en-IE" w:eastAsia="en-IE"/>
        </w:rPr>
        <w:tab/>
      </w:r>
      <w:r>
        <w:rPr>
          <w:lang w:val="en-IE" w:eastAsia="en-IE"/>
        </w:rPr>
        <w:tab/>
      </w:r>
      <w:r w:rsidR="00686963" w:rsidRPr="00686963">
        <w:rPr>
          <w:lang w:val="en-IE" w:eastAsia="en-IE"/>
        </w:rPr>
        <w:t>Reply to paragraph 31(b)</w:t>
      </w:r>
    </w:p>
    <w:p w14:paraId="3B895327" w14:textId="77777777" w:rsidR="00686963" w:rsidRPr="00686963" w:rsidRDefault="00686963" w:rsidP="00F615A4">
      <w:pPr>
        <w:pStyle w:val="SingleTxtG"/>
        <w:numPr>
          <w:ilvl w:val="0"/>
          <w:numId w:val="27"/>
        </w:numPr>
        <w:tabs>
          <w:tab w:val="clear" w:pos="2268"/>
          <w:tab w:val="clear" w:pos="2835"/>
        </w:tabs>
        <w:ind w:left="1134" w:firstLine="0"/>
        <w:rPr>
          <w:lang w:val="en-IE" w:eastAsia="en-IE"/>
        </w:rPr>
      </w:pPr>
      <w:r w:rsidRPr="00686963">
        <w:rPr>
          <w:lang w:val="en-IE" w:eastAsia="en-IE"/>
        </w:rPr>
        <w:t xml:space="preserve">The Department of Children, Disability and Equality holds quarterly meetings with IHREC to provide updates on the implementation of </w:t>
      </w:r>
      <w:r w:rsidRPr="00686963">
        <w:rPr>
          <w:i/>
          <w:iCs/>
          <w:lang w:val="en-IE" w:eastAsia="en-IE"/>
        </w:rPr>
        <w:t>The Strategy 2025-2030</w:t>
      </w:r>
      <w:r w:rsidRPr="00686963">
        <w:rPr>
          <w:i/>
          <w:iCs/>
          <w:vertAlign w:val="superscript"/>
          <w:lang w:val="en-IE" w:eastAsia="en-IE"/>
        </w:rPr>
        <w:t>1</w:t>
      </w:r>
      <w:r w:rsidRPr="00686963">
        <w:rPr>
          <w:lang w:val="en-IE" w:eastAsia="en-IE"/>
        </w:rPr>
        <w:t>.</w:t>
      </w:r>
    </w:p>
    <w:p w14:paraId="63B02C4C" w14:textId="3F77FC8A" w:rsidR="007125A6" w:rsidRPr="00686963" w:rsidRDefault="00686963" w:rsidP="00686963">
      <w:pPr>
        <w:spacing w:before="240"/>
        <w:ind w:left="1134" w:right="1134"/>
        <w:jc w:val="center"/>
        <w:rPr>
          <w:u w:val="single"/>
          <w:lang w:val="en-IE"/>
        </w:rPr>
      </w:pPr>
      <w:r>
        <w:rPr>
          <w:u w:val="single"/>
          <w:lang w:val="en-IE"/>
        </w:rPr>
        <w:tab/>
      </w:r>
      <w:r>
        <w:rPr>
          <w:u w:val="single"/>
          <w:lang w:val="en-IE"/>
        </w:rPr>
        <w:tab/>
      </w:r>
      <w:r>
        <w:rPr>
          <w:u w:val="single"/>
          <w:lang w:val="en-IE"/>
        </w:rPr>
        <w:tab/>
      </w:r>
      <w:r>
        <w:rPr>
          <w:u w:val="single"/>
          <w:lang w:val="en-IE"/>
        </w:rPr>
        <w:tab/>
      </w:r>
    </w:p>
    <w:sectPr w:rsidR="007125A6" w:rsidRPr="0068696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6D167" w14:textId="77777777" w:rsidR="00F31008" w:rsidRDefault="00F31008"/>
  </w:endnote>
  <w:endnote w:type="continuationSeparator" w:id="0">
    <w:p w14:paraId="6EC01363" w14:textId="77777777" w:rsidR="00F31008" w:rsidRDefault="00F31008">
      <w:pPr>
        <w:pStyle w:val="Footer"/>
      </w:pPr>
    </w:p>
  </w:endnote>
  <w:endnote w:type="continuationNotice" w:id="1">
    <w:p w14:paraId="047C7B60" w14:textId="77777777" w:rsidR="00F31008" w:rsidRDefault="00F310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CBEEF" w14:textId="54464AF2" w:rsidR="007125A6" w:rsidRDefault="00A57DB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r w:rsidR="000A468D">
      <w:t>GE.26-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DD8FA" w14:textId="353DAB53" w:rsidR="007125A6" w:rsidRDefault="000A468D">
    <w:pPr>
      <w:pStyle w:val="Footer"/>
      <w:tabs>
        <w:tab w:val="right" w:pos="9639"/>
      </w:tabs>
      <w:rPr>
        <w:sz w:val="20"/>
      </w:rPr>
    </w:pPr>
    <w:r>
      <w:t>GE.26-</w:t>
    </w:r>
    <w:r w:rsidR="00CF305B">
      <w:tab/>
    </w:r>
    <w:r w:rsidR="00CF305B">
      <w:rPr>
        <w:b/>
        <w:sz w:val="18"/>
      </w:rPr>
      <w:fldChar w:fldCharType="begin"/>
    </w:r>
    <w:r w:rsidR="00CF305B">
      <w:rPr>
        <w:b/>
        <w:sz w:val="18"/>
      </w:rPr>
      <w:instrText xml:space="preserve"> PAGE  \* MERGEFORMAT </w:instrText>
    </w:r>
    <w:r w:rsidR="00CF305B">
      <w:rPr>
        <w:b/>
        <w:sz w:val="18"/>
      </w:rPr>
      <w:fldChar w:fldCharType="separate"/>
    </w:r>
    <w:r w:rsidR="00CF305B">
      <w:rPr>
        <w:b/>
        <w:noProof/>
        <w:sz w:val="18"/>
      </w:rPr>
      <w:t>1</w:t>
    </w:r>
    <w:r w:rsidR="00CF30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51C2" w14:textId="64907D91" w:rsidR="007125A6" w:rsidRDefault="00A57DB8">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219CE665" wp14:editId="1B3F74F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0A468D">
      <w:rPr>
        <w:sz w:val="20"/>
      </w:rPr>
      <w:t>26-</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512BE" w14:paraId="789BBDA4" w14:textId="77777777">
      <w:tc>
        <w:tcPr>
          <w:tcW w:w="1848" w:type="dxa"/>
          <w:vAlign w:val="bottom"/>
        </w:tcPr>
        <w:p w14:paraId="5F9D6B86" w14:textId="77777777" w:rsidR="007125A6" w:rsidRDefault="00A57DB8">
          <w:pPr>
            <w:pStyle w:val="Footer"/>
            <w:spacing w:before="120" w:after="120"/>
            <w:jc w:val="right"/>
          </w:pPr>
          <w:r>
            <w:rPr>
              <w:noProof/>
              <w:sz w:val="20"/>
              <w:lang w:val="fr-CH" w:eastAsia="fr-CH"/>
            </w:rPr>
            <w:drawing>
              <wp:inline distT="0" distB="0" distL="0" distR="0" wp14:anchorId="6C767A52" wp14:editId="183F9926">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532CAD3" w14:textId="77777777" w:rsidR="007125A6" w:rsidRDefault="007125A6">
          <w:pPr>
            <w:pStyle w:val="Footer"/>
            <w:jc w:val="right"/>
          </w:pPr>
        </w:p>
      </w:tc>
    </w:tr>
  </w:tbl>
  <w:p w14:paraId="09C7373D" w14:textId="77777777" w:rsidR="007125A6" w:rsidRDefault="00712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9D6AF" w14:textId="77777777" w:rsidR="00F31008" w:rsidRDefault="00F31008">
      <w:pPr>
        <w:pStyle w:val="Footer"/>
        <w:tabs>
          <w:tab w:val="right" w:pos="2155"/>
        </w:tabs>
        <w:spacing w:after="80" w:line="240" w:lineRule="atLeast"/>
        <w:ind w:left="680"/>
        <w:rPr>
          <w:u w:val="single"/>
        </w:rPr>
      </w:pPr>
      <w:r>
        <w:rPr>
          <w:u w:val="single"/>
        </w:rPr>
        <w:tab/>
      </w:r>
    </w:p>
  </w:footnote>
  <w:footnote w:type="continuationSeparator" w:id="0">
    <w:p w14:paraId="179993AF" w14:textId="77777777" w:rsidR="00F31008" w:rsidRDefault="00F31008">
      <w:pPr>
        <w:pStyle w:val="Footer"/>
        <w:tabs>
          <w:tab w:val="right" w:pos="2155"/>
        </w:tabs>
        <w:spacing w:after="80" w:line="240" w:lineRule="atLeast"/>
        <w:ind w:left="680"/>
        <w:rPr>
          <w:u w:val="single"/>
        </w:rPr>
      </w:pPr>
      <w:r>
        <w:rPr>
          <w:u w:val="single"/>
        </w:rPr>
        <w:tab/>
      </w:r>
    </w:p>
  </w:footnote>
  <w:footnote w:type="continuationNotice" w:id="1">
    <w:p w14:paraId="59929952" w14:textId="77777777" w:rsidR="00F31008" w:rsidRDefault="00F31008">
      <w:pPr>
        <w:rPr>
          <w:sz w:val="2"/>
          <w:szCs w:val="2"/>
        </w:rPr>
      </w:pPr>
    </w:p>
  </w:footnote>
  <w:footnote w:id="2">
    <w:p w14:paraId="5AE2F5EF" w14:textId="77777777" w:rsidR="002A5398" w:rsidRPr="00E57D91" w:rsidRDefault="00A57DB8" w:rsidP="002A5398">
      <w:pPr>
        <w:pStyle w:val="FootnoteText"/>
      </w:pPr>
      <w:r>
        <w:tab/>
      </w:r>
      <w:r w:rsidRPr="000863F9">
        <w:rPr>
          <w:rStyle w:val="FootnoteReference"/>
          <w:sz w:val="20"/>
          <w:vertAlign w:val="baseline"/>
        </w:rPr>
        <w:t>*</w:t>
      </w:r>
      <w:r>
        <w:rPr>
          <w:sz w:val="20"/>
        </w:rPr>
        <w:tab/>
      </w:r>
      <w:r w:rsidRPr="00E57D91">
        <w:t>The present document is being issued without formal editing.</w:t>
      </w:r>
    </w:p>
  </w:footnote>
  <w:footnote w:id="3">
    <w:p w14:paraId="0AF80388" w14:textId="263BFD9E" w:rsidR="000B1D43" w:rsidRPr="00273F36" w:rsidRDefault="000B1D43" w:rsidP="000B1D43">
      <w:pPr>
        <w:pStyle w:val="FootnoteText"/>
      </w:pPr>
      <w:r>
        <w:rPr>
          <w:rStyle w:val="FootnoteReference"/>
        </w:rPr>
        <w:tab/>
      </w:r>
      <w:r w:rsidRPr="00273F36">
        <w:rPr>
          <w:rStyle w:val="FootnoteReference"/>
          <w:sz w:val="20"/>
          <w:vertAlign w:val="baseline"/>
        </w:rPr>
        <w:t>**</w:t>
      </w:r>
      <w:r>
        <w:rPr>
          <w:rStyle w:val="FootnoteReference"/>
          <w:sz w:val="20"/>
          <w:vertAlign w:val="baseline"/>
        </w:rPr>
        <w:tab/>
      </w:r>
      <w:r w:rsidRPr="00DC33A8">
        <w:rPr>
          <w:szCs w:val="18"/>
          <w:lang w:val="en-US"/>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BC9D6" w14:textId="77777777" w:rsidR="007125A6" w:rsidRDefault="00CF305B">
    <w:pPr>
      <w:pStyle w:val="Header"/>
    </w:pPr>
    <w:r>
      <w:t>CRPD/C/IRL/RQ/1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5A373" w14:textId="77777777" w:rsidR="007125A6" w:rsidRDefault="00CF305B">
    <w:pPr>
      <w:pStyle w:val="Header"/>
      <w:jc w:val="right"/>
    </w:pPr>
    <w:r>
      <w:t>CRPD/C/IRL/RQ/1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72C5" w14:textId="77777777" w:rsidR="007125A6" w:rsidRDefault="007125A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04AFA"/>
    <w:multiLevelType w:val="hybridMultilevel"/>
    <w:tmpl w:val="B99E6CF8"/>
    <w:lvl w:ilvl="0" w:tplc="C6821820">
      <w:start w:val="1"/>
      <w:numFmt w:val="lowerLetter"/>
      <w:lvlText w:val="%1."/>
      <w:lvlJc w:val="left"/>
      <w:pPr>
        <w:ind w:left="2214" w:hanging="360"/>
      </w:pPr>
      <w:rPr>
        <w:rFonts w:ascii="Times New Roman" w:eastAsiaTheme="minorHAnsi" w:hAnsi="Times New Roman" w:cs="Times New Roman"/>
      </w:rPr>
    </w:lvl>
    <w:lvl w:ilvl="1" w:tplc="18090019" w:tentative="1">
      <w:start w:val="1"/>
      <w:numFmt w:val="lowerLetter"/>
      <w:lvlText w:val="%2."/>
      <w:lvlJc w:val="left"/>
      <w:pPr>
        <w:ind w:left="2934" w:hanging="360"/>
      </w:pPr>
    </w:lvl>
    <w:lvl w:ilvl="2" w:tplc="1809001B" w:tentative="1">
      <w:start w:val="1"/>
      <w:numFmt w:val="lowerRoman"/>
      <w:lvlText w:val="%3."/>
      <w:lvlJc w:val="right"/>
      <w:pPr>
        <w:ind w:left="3654" w:hanging="180"/>
      </w:pPr>
    </w:lvl>
    <w:lvl w:ilvl="3" w:tplc="1809000F" w:tentative="1">
      <w:start w:val="1"/>
      <w:numFmt w:val="decimal"/>
      <w:lvlText w:val="%4."/>
      <w:lvlJc w:val="left"/>
      <w:pPr>
        <w:ind w:left="4374" w:hanging="360"/>
      </w:pPr>
    </w:lvl>
    <w:lvl w:ilvl="4" w:tplc="18090019" w:tentative="1">
      <w:start w:val="1"/>
      <w:numFmt w:val="lowerLetter"/>
      <w:lvlText w:val="%5."/>
      <w:lvlJc w:val="left"/>
      <w:pPr>
        <w:ind w:left="5094" w:hanging="360"/>
      </w:pPr>
    </w:lvl>
    <w:lvl w:ilvl="5" w:tplc="1809001B" w:tentative="1">
      <w:start w:val="1"/>
      <w:numFmt w:val="lowerRoman"/>
      <w:lvlText w:val="%6."/>
      <w:lvlJc w:val="right"/>
      <w:pPr>
        <w:ind w:left="5814" w:hanging="180"/>
      </w:pPr>
    </w:lvl>
    <w:lvl w:ilvl="6" w:tplc="1809000F" w:tentative="1">
      <w:start w:val="1"/>
      <w:numFmt w:val="decimal"/>
      <w:lvlText w:val="%7."/>
      <w:lvlJc w:val="left"/>
      <w:pPr>
        <w:ind w:left="6534" w:hanging="360"/>
      </w:pPr>
    </w:lvl>
    <w:lvl w:ilvl="7" w:tplc="18090019" w:tentative="1">
      <w:start w:val="1"/>
      <w:numFmt w:val="lowerLetter"/>
      <w:lvlText w:val="%8."/>
      <w:lvlJc w:val="left"/>
      <w:pPr>
        <w:ind w:left="7254" w:hanging="360"/>
      </w:pPr>
    </w:lvl>
    <w:lvl w:ilvl="8" w:tplc="1809001B" w:tentative="1">
      <w:start w:val="1"/>
      <w:numFmt w:val="lowerRoman"/>
      <w:lvlText w:val="%9."/>
      <w:lvlJc w:val="right"/>
      <w:pPr>
        <w:ind w:left="7974" w:hanging="180"/>
      </w:pPr>
    </w:lvl>
  </w:abstractNum>
  <w:abstractNum w:abstractNumId="11" w15:restartNumberingAfterBreak="0">
    <w:nsid w:val="010C49F8"/>
    <w:multiLevelType w:val="hybridMultilevel"/>
    <w:tmpl w:val="FFD08D26"/>
    <w:lvl w:ilvl="0" w:tplc="A3020A5A">
      <w:start w:val="1"/>
      <w:numFmt w:val="decimal"/>
      <w:lvlText w:val="%1."/>
      <w:lvlJc w:val="left"/>
      <w:pPr>
        <w:tabs>
          <w:tab w:val="num" w:pos="0"/>
        </w:tabs>
        <w:ind w:left="1134" w:firstLine="0"/>
      </w:pPr>
      <w:rPr>
        <w:rFonts w:ascii="Times New Roman" w:hAnsi="Times New Roman" w:hint="default"/>
        <w:b w:val="0"/>
        <w:i w:val="0"/>
        <w:sz w:val="20"/>
      </w:rPr>
    </w:lvl>
    <w:lvl w:ilvl="1" w:tplc="7520C9D4" w:tentative="1">
      <w:start w:val="1"/>
      <w:numFmt w:val="lowerLetter"/>
      <w:lvlText w:val="%2."/>
      <w:lvlJc w:val="left"/>
      <w:pPr>
        <w:tabs>
          <w:tab w:val="num" w:pos="1440"/>
        </w:tabs>
        <w:ind w:left="1440" w:hanging="360"/>
      </w:pPr>
    </w:lvl>
    <w:lvl w:ilvl="2" w:tplc="40ECF9EE" w:tentative="1">
      <w:start w:val="1"/>
      <w:numFmt w:val="lowerRoman"/>
      <w:lvlText w:val="%3."/>
      <w:lvlJc w:val="right"/>
      <w:pPr>
        <w:tabs>
          <w:tab w:val="num" w:pos="2160"/>
        </w:tabs>
        <w:ind w:left="2160" w:hanging="180"/>
      </w:pPr>
    </w:lvl>
    <w:lvl w:ilvl="3" w:tplc="BF04B216" w:tentative="1">
      <w:start w:val="1"/>
      <w:numFmt w:val="decimal"/>
      <w:lvlText w:val="%4."/>
      <w:lvlJc w:val="left"/>
      <w:pPr>
        <w:tabs>
          <w:tab w:val="num" w:pos="2880"/>
        </w:tabs>
        <w:ind w:left="2880" w:hanging="360"/>
      </w:pPr>
    </w:lvl>
    <w:lvl w:ilvl="4" w:tplc="665A1962" w:tentative="1">
      <w:start w:val="1"/>
      <w:numFmt w:val="lowerLetter"/>
      <w:lvlText w:val="%5."/>
      <w:lvlJc w:val="left"/>
      <w:pPr>
        <w:tabs>
          <w:tab w:val="num" w:pos="3600"/>
        </w:tabs>
        <w:ind w:left="3600" w:hanging="360"/>
      </w:pPr>
    </w:lvl>
    <w:lvl w:ilvl="5" w:tplc="20E8BC54" w:tentative="1">
      <w:start w:val="1"/>
      <w:numFmt w:val="lowerRoman"/>
      <w:lvlText w:val="%6."/>
      <w:lvlJc w:val="right"/>
      <w:pPr>
        <w:tabs>
          <w:tab w:val="num" w:pos="4320"/>
        </w:tabs>
        <w:ind w:left="4320" w:hanging="180"/>
      </w:pPr>
    </w:lvl>
    <w:lvl w:ilvl="6" w:tplc="6D8C03B4" w:tentative="1">
      <w:start w:val="1"/>
      <w:numFmt w:val="decimal"/>
      <w:lvlText w:val="%7."/>
      <w:lvlJc w:val="left"/>
      <w:pPr>
        <w:tabs>
          <w:tab w:val="num" w:pos="5040"/>
        </w:tabs>
        <w:ind w:left="5040" w:hanging="360"/>
      </w:pPr>
    </w:lvl>
    <w:lvl w:ilvl="7" w:tplc="5186F3DE" w:tentative="1">
      <w:start w:val="1"/>
      <w:numFmt w:val="lowerLetter"/>
      <w:lvlText w:val="%8."/>
      <w:lvlJc w:val="left"/>
      <w:pPr>
        <w:tabs>
          <w:tab w:val="num" w:pos="5760"/>
        </w:tabs>
        <w:ind w:left="5760" w:hanging="360"/>
      </w:pPr>
    </w:lvl>
    <w:lvl w:ilvl="8" w:tplc="10D4E1A6"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8CA2B11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7B8B6DE" w:tentative="1">
      <w:start w:val="1"/>
      <w:numFmt w:val="lowerLetter"/>
      <w:lvlText w:val="%2."/>
      <w:lvlJc w:val="left"/>
      <w:pPr>
        <w:tabs>
          <w:tab w:val="num" w:pos="1440"/>
        </w:tabs>
        <w:ind w:left="1440" w:hanging="360"/>
      </w:pPr>
    </w:lvl>
    <w:lvl w:ilvl="2" w:tplc="FED24E94" w:tentative="1">
      <w:start w:val="1"/>
      <w:numFmt w:val="lowerRoman"/>
      <w:lvlText w:val="%3."/>
      <w:lvlJc w:val="right"/>
      <w:pPr>
        <w:tabs>
          <w:tab w:val="num" w:pos="2160"/>
        </w:tabs>
        <w:ind w:left="2160" w:hanging="180"/>
      </w:pPr>
    </w:lvl>
    <w:lvl w:ilvl="3" w:tplc="D332B3BE" w:tentative="1">
      <w:start w:val="1"/>
      <w:numFmt w:val="decimal"/>
      <w:lvlText w:val="%4."/>
      <w:lvlJc w:val="left"/>
      <w:pPr>
        <w:tabs>
          <w:tab w:val="num" w:pos="2880"/>
        </w:tabs>
        <w:ind w:left="2880" w:hanging="360"/>
      </w:pPr>
    </w:lvl>
    <w:lvl w:ilvl="4" w:tplc="2508F48C" w:tentative="1">
      <w:start w:val="1"/>
      <w:numFmt w:val="lowerLetter"/>
      <w:lvlText w:val="%5."/>
      <w:lvlJc w:val="left"/>
      <w:pPr>
        <w:tabs>
          <w:tab w:val="num" w:pos="3600"/>
        </w:tabs>
        <w:ind w:left="3600" w:hanging="360"/>
      </w:pPr>
    </w:lvl>
    <w:lvl w:ilvl="5" w:tplc="24761ED0" w:tentative="1">
      <w:start w:val="1"/>
      <w:numFmt w:val="lowerRoman"/>
      <w:lvlText w:val="%6."/>
      <w:lvlJc w:val="right"/>
      <w:pPr>
        <w:tabs>
          <w:tab w:val="num" w:pos="4320"/>
        </w:tabs>
        <w:ind w:left="4320" w:hanging="180"/>
      </w:pPr>
    </w:lvl>
    <w:lvl w:ilvl="6" w:tplc="96F226AA" w:tentative="1">
      <w:start w:val="1"/>
      <w:numFmt w:val="decimal"/>
      <w:lvlText w:val="%7."/>
      <w:lvlJc w:val="left"/>
      <w:pPr>
        <w:tabs>
          <w:tab w:val="num" w:pos="5040"/>
        </w:tabs>
        <w:ind w:left="5040" w:hanging="360"/>
      </w:pPr>
    </w:lvl>
    <w:lvl w:ilvl="7" w:tplc="93F25018" w:tentative="1">
      <w:start w:val="1"/>
      <w:numFmt w:val="lowerLetter"/>
      <w:lvlText w:val="%8."/>
      <w:lvlJc w:val="left"/>
      <w:pPr>
        <w:tabs>
          <w:tab w:val="num" w:pos="5760"/>
        </w:tabs>
        <w:ind w:left="5760" w:hanging="360"/>
      </w:pPr>
    </w:lvl>
    <w:lvl w:ilvl="8" w:tplc="0CE04046"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AF04C422">
      <w:start w:val="1"/>
      <w:numFmt w:val="bullet"/>
      <w:lvlText w:val="•"/>
      <w:lvlJc w:val="left"/>
      <w:pPr>
        <w:tabs>
          <w:tab w:val="num" w:pos="2268"/>
        </w:tabs>
        <w:ind w:left="2268" w:hanging="170"/>
      </w:pPr>
      <w:rPr>
        <w:rFonts w:ascii="Times New Roman" w:hAnsi="Times New Roman" w:cs="Times New Roman" w:hint="default"/>
      </w:rPr>
    </w:lvl>
    <w:lvl w:ilvl="1" w:tplc="07E069DE" w:tentative="1">
      <w:start w:val="1"/>
      <w:numFmt w:val="bullet"/>
      <w:lvlText w:val="o"/>
      <w:lvlJc w:val="left"/>
      <w:pPr>
        <w:tabs>
          <w:tab w:val="num" w:pos="1440"/>
        </w:tabs>
        <w:ind w:left="1440" w:hanging="360"/>
      </w:pPr>
      <w:rPr>
        <w:rFonts w:ascii="Courier New" w:hAnsi="Courier New" w:hint="default"/>
      </w:rPr>
    </w:lvl>
    <w:lvl w:ilvl="2" w:tplc="EF6C9D42" w:tentative="1">
      <w:start w:val="1"/>
      <w:numFmt w:val="bullet"/>
      <w:lvlText w:val=""/>
      <w:lvlJc w:val="left"/>
      <w:pPr>
        <w:tabs>
          <w:tab w:val="num" w:pos="2160"/>
        </w:tabs>
        <w:ind w:left="2160" w:hanging="360"/>
      </w:pPr>
      <w:rPr>
        <w:rFonts w:ascii="Wingdings" w:hAnsi="Wingdings" w:hint="default"/>
      </w:rPr>
    </w:lvl>
    <w:lvl w:ilvl="3" w:tplc="67882BF8" w:tentative="1">
      <w:start w:val="1"/>
      <w:numFmt w:val="bullet"/>
      <w:lvlText w:val=""/>
      <w:lvlJc w:val="left"/>
      <w:pPr>
        <w:tabs>
          <w:tab w:val="num" w:pos="2880"/>
        </w:tabs>
        <w:ind w:left="2880" w:hanging="360"/>
      </w:pPr>
      <w:rPr>
        <w:rFonts w:ascii="Symbol" w:hAnsi="Symbol" w:hint="default"/>
      </w:rPr>
    </w:lvl>
    <w:lvl w:ilvl="4" w:tplc="26420E96" w:tentative="1">
      <w:start w:val="1"/>
      <w:numFmt w:val="bullet"/>
      <w:lvlText w:val="o"/>
      <w:lvlJc w:val="left"/>
      <w:pPr>
        <w:tabs>
          <w:tab w:val="num" w:pos="3600"/>
        </w:tabs>
        <w:ind w:left="3600" w:hanging="360"/>
      </w:pPr>
      <w:rPr>
        <w:rFonts w:ascii="Courier New" w:hAnsi="Courier New" w:hint="default"/>
      </w:rPr>
    </w:lvl>
    <w:lvl w:ilvl="5" w:tplc="EE7A73BE" w:tentative="1">
      <w:start w:val="1"/>
      <w:numFmt w:val="bullet"/>
      <w:lvlText w:val=""/>
      <w:lvlJc w:val="left"/>
      <w:pPr>
        <w:tabs>
          <w:tab w:val="num" w:pos="4320"/>
        </w:tabs>
        <w:ind w:left="4320" w:hanging="360"/>
      </w:pPr>
      <w:rPr>
        <w:rFonts w:ascii="Wingdings" w:hAnsi="Wingdings" w:hint="default"/>
      </w:rPr>
    </w:lvl>
    <w:lvl w:ilvl="6" w:tplc="C61A7474" w:tentative="1">
      <w:start w:val="1"/>
      <w:numFmt w:val="bullet"/>
      <w:lvlText w:val=""/>
      <w:lvlJc w:val="left"/>
      <w:pPr>
        <w:tabs>
          <w:tab w:val="num" w:pos="5040"/>
        </w:tabs>
        <w:ind w:left="5040" w:hanging="360"/>
      </w:pPr>
      <w:rPr>
        <w:rFonts w:ascii="Symbol" w:hAnsi="Symbol" w:hint="default"/>
      </w:rPr>
    </w:lvl>
    <w:lvl w:ilvl="7" w:tplc="17D48890" w:tentative="1">
      <w:start w:val="1"/>
      <w:numFmt w:val="bullet"/>
      <w:lvlText w:val="o"/>
      <w:lvlJc w:val="left"/>
      <w:pPr>
        <w:tabs>
          <w:tab w:val="num" w:pos="5760"/>
        </w:tabs>
        <w:ind w:left="5760" w:hanging="360"/>
      </w:pPr>
      <w:rPr>
        <w:rFonts w:ascii="Courier New" w:hAnsi="Courier New" w:hint="default"/>
      </w:rPr>
    </w:lvl>
    <w:lvl w:ilvl="8" w:tplc="9CA8500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B6A20C8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A024F3C" w:tentative="1">
      <w:start w:val="1"/>
      <w:numFmt w:val="bullet"/>
      <w:lvlText w:val="o"/>
      <w:lvlJc w:val="left"/>
      <w:pPr>
        <w:tabs>
          <w:tab w:val="num" w:pos="1440"/>
        </w:tabs>
        <w:ind w:left="1440" w:hanging="360"/>
      </w:pPr>
      <w:rPr>
        <w:rFonts w:ascii="Courier New" w:hAnsi="Courier New" w:hint="default"/>
      </w:rPr>
    </w:lvl>
    <w:lvl w:ilvl="2" w:tplc="3D2ABE04" w:tentative="1">
      <w:start w:val="1"/>
      <w:numFmt w:val="bullet"/>
      <w:lvlText w:val=""/>
      <w:lvlJc w:val="left"/>
      <w:pPr>
        <w:tabs>
          <w:tab w:val="num" w:pos="2160"/>
        </w:tabs>
        <w:ind w:left="2160" w:hanging="360"/>
      </w:pPr>
      <w:rPr>
        <w:rFonts w:ascii="Wingdings" w:hAnsi="Wingdings" w:hint="default"/>
      </w:rPr>
    </w:lvl>
    <w:lvl w:ilvl="3" w:tplc="20C44402" w:tentative="1">
      <w:start w:val="1"/>
      <w:numFmt w:val="bullet"/>
      <w:lvlText w:val=""/>
      <w:lvlJc w:val="left"/>
      <w:pPr>
        <w:tabs>
          <w:tab w:val="num" w:pos="2880"/>
        </w:tabs>
        <w:ind w:left="2880" w:hanging="360"/>
      </w:pPr>
      <w:rPr>
        <w:rFonts w:ascii="Symbol" w:hAnsi="Symbol" w:hint="default"/>
      </w:rPr>
    </w:lvl>
    <w:lvl w:ilvl="4" w:tplc="8D241ED2" w:tentative="1">
      <w:start w:val="1"/>
      <w:numFmt w:val="bullet"/>
      <w:lvlText w:val="o"/>
      <w:lvlJc w:val="left"/>
      <w:pPr>
        <w:tabs>
          <w:tab w:val="num" w:pos="3600"/>
        </w:tabs>
        <w:ind w:left="3600" w:hanging="360"/>
      </w:pPr>
      <w:rPr>
        <w:rFonts w:ascii="Courier New" w:hAnsi="Courier New" w:hint="default"/>
      </w:rPr>
    </w:lvl>
    <w:lvl w:ilvl="5" w:tplc="D8780D34" w:tentative="1">
      <w:start w:val="1"/>
      <w:numFmt w:val="bullet"/>
      <w:lvlText w:val=""/>
      <w:lvlJc w:val="left"/>
      <w:pPr>
        <w:tabs>
          <w:tab w:val="num" w:pos="4320"/>
        </w:tabs>
        <w:ind w:left="4320" w:hanging="360"/>
      </w:pPr>
      <w:rPr>
        <w:rFonts w:ascii="Wingdings" w:hAnsi="Wingdings" w:hint="default"/>
      </w:rPr>
    </w:lvl>
    <w:lvl w:ilvl="6" w:tplc="E444C3BE" w:tentative="1">
      <w:start w:val="1"/>
      <w:numFmt w:val="bullet"/>
      <w:lvlText w:val=""/>
      <w:lvlJc w:val="left"/>
      <w:pPr>
        <w:tabs>
          <w:tab w:val="num" w:pos="5040"/>
        </w:tabs>
        <w:ind w:left="5040" w:hanging="360"/>
      </w:pPr>
      <w:rPr>
        <w:rFonts w:ascii="Symbol" w:hAnsi="Symbol" w:hint="default"/>
      </w:rPr>
    </w:lvl>
    <w:lvl w:ilvl="7" w:tplc="E0022D48" w:tentative="1">
      <w:start w:val="1"/>
      <w:numFmt w:val="bullet"/>
      <w:lvlText w:val="o"/>
      <w:lvlJc w:val="left"/>
      <w:pPr>
        <w:tabs>
          <w:tab w:val="num" w:pos="5760"/>
        </w:tabs>
        <w:ind w:left="5760" w:hanging="360"/>
      </w:pPr>
      <w:rPr>
        <w:rFonts w:ascii="Courier New" w:hAnsi="Courier New" w:hint="default"/>
      </w:rPr>
    </w:lvl>
    <w:lvl w:ilvl="8" w:tplc="9B5E0F8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991658EC">
      <w:start w:val="1"/>
      <w:numFmt w:val="bullet"/>
      <w:pStyle w:val="Bullet2G"/>
      <w:lvlText w:val="•"/>
      <w:lvlJc w:val="left"/>
      <w:pPr>
        <w:tabs>
          <w:tab w:val="num" w:pos="2268"/>
        </w:tabs>
        <w:ind w:left="2268" w:hanging="170"/>
      </w:pPr>
      <w:rPr>
        <w:rFonts w:ascii="Times New Roman" w:hAnsi="Times New Roman" w:cs="Times New Roman" w:hint="default"/>
      </w:rPr>
    </w:lvl>
    <w:lvl w:ilvl="1" w:tplc="E6107E0A" w:tentative="1">
      <w:start w:val="1"/>
      <w:numFmt w:val="bullet"/>
      <w:lvlText w:val="o"/>
      <w:lvlJc w:val="left"/>
      <w:pPr>
        <w:tabs>
          <w:tab w:val="num" w:pos="3708"/>
        </w:tabs>
        <w:ind w:left="3708" w:hanging="360"/>
      </w:pPr>
      <w:rPr>
        <w:rFonts w:ascii="Courier New" w:hAnsi="Courier New" w:hint="default"/>
      </w:rPr>
    </w:lvl>
    <w:lvl w:ilvl="2" w:tplc="A7E0ED6A" w:tentative="1">
      <w:start w:val="1"/>
      <w:numFmt w:val="bullet"/>
      <w:lvlText w:val=""/>
      <w:lvlJc w:val="left"/>
      <w:pPr>
        <w:tabs>
          <w:tab w:val="num" w:pos="4428"/>
        </w:tabs>
        <w:ind w:left="4428" w:hanging="360"/>
      </w:pPr>
      <w:rPr>
        <w:rFonts w:ascii="Wingdings" w:hAnsi="Wingdings" w:hint="default"/>
      </w:rPr>
    </w:lvl>
    <w:lvl w:ilvl="3" w:tplc="7C4E55CC" w:tentative="1">
      <w:start w:val="1"/>
      <w:numFmt w:val="bullet"/>
      <w:lvlText w:val=""/>
      <w:lvlJc w:val="left"/>
      <w:pPr>
        <w:tabs>
          <w:tab w:val="num" w:pos="5148"/>
        </w:tabs>
        <w:ind w:left="5148" w:hanging="360"/>
      </w:pPr>
      <w:rPr>
        <w:rFonts w:ascii="Symbol" w:hAnsi="Symbol" w:hint="default"/>
      </w:rPr>
    </w:lvl>
    <w:lvl w:ilvl="4" w:tplc="ED3CA322" w:tentative="1">
      <w:start w:val="1"/>
      <w:numFmt w:val="bullet"/>
      <w:lvlText w:val="o"/>
      <w:lvlJc w:val="left"/>
      <w:pPr>
        <w:tabs>
          <w:tab w:val="num" w:pos="5868"/>
        </w:tabs>
        <w:ind w:left="5868" w:hanging="360"/>
      </w:pPr>
      <w:rPr>
        <w:rFonts w:ascii="Courier New" w:hAnsi="Courier New" w:hint="default"/>
      </w:rPr>
    </w:lvl>
    <w:lvl w:ilvl="5" w:tplc="E9B0C6CE" w:tentative="1">
      <w:start w:val="1"/>
      <w:numFmt w:val="bullet"/>
      <w:lvlText w:val=""/>
      <w:lvlJc w:val="left"/>
      <w:pPr>
        <w:tabs>
          <w:tab w:val="num" w:pos="6588"/>
        </w:tabs>
        <w:ind w:left="6588" w:hanging="360"/>
      </w:pPr>
      <w:rPr>
        <w:rFonts w:ascii="Wingdings" w:hAnsi="Wingdings" w:hint="default"/>
      </w:rPr>
    </w:lvl>
    <w:lvl w:ilvl="6" w:tplc="7214FA0A" w:tentative="1">
      <w:start w:val="1"/>
      <w:numFmt w:val="bullet"/>
      <w:lvlText w:val=""/>
      <w:lvlJc w:val="left"/>
      <w:pPr>
        <w:tabs>
          <w:tab w:val="num" w:pos="7308"/>
        </w:tabs>
        <w:ind w:left="7308" w:hanging="360"/>
      </w:pPr>
      <w:rPr>
        <w:rFonts w:ascii="Symbol" w:hAnsi="Symbol" w:hint="default"/>
      </w:rPr>
    </w:lvl>
    <w:lvl w:ilvl="7" w:tplc="FFB0B6AC" w:tentative="1">
      <w:start w:val="1"/>
      <w:numFmt w:val="bullet"/>
      <w:lvlText w:val="o"/>
      <w:lvlJc w:val="left"/>
      <w:pPr>
        <w:tabs>
          <w:tab w:val="num" w:pos="8028"/>
        </w:tabs>
        <w:ind w:left="8028" w:hanging="360"/>
      </w:pPr>
      <w:rPr>
        <w:rFonts w:ascii="Courier New" w:hAnsi="Courier New" w:hint="default"/>
      </w:rPr>
    </w:lvl>
    <w:lvl w:ilvl="8" w:tplc="95B26C5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CA6844"/>
    <w:multiLevelType w:val="hybridMultilevel"/>
    <w:tmpl w:val="9E64FB1A"/>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438E6CB7"/>
    <w:multiLevelType w:val="hybridMultilevel"/>
    <w:tmpl w:val="CA9E908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A461FA"/>
    <w:multiLevelType w:val="hybridMultilevel"/>
    <w:tmpl w:val="08D419C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68AD07B2"/>
    <w:multiLevelType w:val="hybridMultilevel"/>
    <w:tmpl w:val="7FEE3222"/>
    <w:lvl w:ilvl="0" w:tplc="3B78C322">
      <w:start w:val="1"/>
      <w:numFmt w:val="bullet"/>
      <w:pStyle w:val="Bullet1G"/>
      <w:lvlText w:val="•"/>
      <w:lvlJc w:val="left"/>
      <w:pPr>
        <w:tabs>
          <w:tab w:val="num" w:pos="1701"/>
        </w:tabs>
        <w:ind w:left="1701" w:hanging="170"/>
      </w:pPr>
      <w:rPr>
        <w:rFonts w:ascii="Times New Roman" w:hAnsi="Times New Roman" w:cs="Times New Roman" w:hint="default"/>
      </w:rPr>
    </w:lvl>
    <w:lvl w:ilvl="1" w:tplc="6BF87F92" w:tentative="1">
      <w:start w:val="1"/>
      <w:numFmt w:val="bullet"/>
      <w:lvlText w:val="o"/>
      <w:lvlJc w:val="left"/>
      <w:pPr>
        <w:tabs>
          <w:tab w:val="num" w:pos="3141"/>
        </w:tabs>
        <w:ind w:left="3141" w:hanging="360"/>
      </w:pPr>
      <w:rPr>
        <w:rFonts w:ascii="Courier New" w:hAnsi="Courier New" w:hint="default"/>
      </w:rPr>
    </w:lvl>
    <w:lvl w:ilvl="2" w:tplc="83783CAC" w:tentative="1">
      <w:start w:val="1"/>
      <w:numFmt w:val="bullet"/>
      <w:lvlText w:val=""/>
      <w:lvlJc w:val="left"/>
      <w:pPr>
        <w:tabs>
          <w:tab w:val="num" w:pos="3861"/>
        </w:tabs>
        <w:ind w:left="3861" w:hanging="360"/>
      </w:pPr>
      <w:rPr>
        <w:rFonts w:ascii="Wingdings" w:hAnsi="Wingdings" w:hint="default"/>
      </w:rPr>
    </w:lvl>
    <w:lvl w:ilvl="3" w:tplc="23A266E8" w:tentative="1">
      <w:start w:val="1"/>
      <w:numFmt w:val="bullet"/>
      <w:lvlText w:val=""/>
      <w:lvlJc w:val="left"/>
      <w:pPr>
        <w:tabs>
          <w:tab w:val="num" w:pos="4581"/>
        </w:tabs>
        <w:ind w:left="4581" w:hanging="360"/>
      </w:pPr>
      <w:rPr>
        <w:rFonts w:ascii="Symbol" w:hAnsi="Symbol" w:hint="default"/>
      </w:rPr>
    </w:lvl>
    <w:lvl w:ilvl="4" w:tplc="48FE9246" w:tentative="1">
      <w:start w:val="1"/>
      <w:numFmt w:val="bullet"/>
      <w:lvlText w:val="o"/>
      <w:lvlJc w:val="left"/>
      <w:pPr>
        <w:tabs>
          <w:tab w:val="num" w:pos="5301"/>
        </w:tabs>
        <w:ind w:left="5301" w:hanging="360"/>
      </w:pPr>
      <w:rPr>
        <w:rFonts w:ascii="Courier New" w:hAnsi="Courier New" w:hint="default"/>
      </w:rPr>
    </w:lvl>
    <w:lvl w:ilvl="5" w:tplc="F3269EC4" w:tentative="1">
      <w:start w:val="1"/>
      <w:numFmt w:val="bullet"/>
      <w:lvlText w:val=""/>
      <w:lvlJc w:val="left"/>
      <w:pPr>
        <w:tabs>
          <w:tab w:val="num" w:pos="6021"/>
        </w:tabs>
        <w:ind w:left="6021" w:hanging="360"/>
      </w:pPr>
      <w:rPr>
        <w:rFonts w:ascii="Wingdings" w:hAnsi="Wingdings" w:hint="default"/>
      </w:rPr>
    </w:lvl>
    <w:lvl w:ilvl="6" w:tplc="5890E606" w:tentative="1">
      <w:start w:val="1"/>
      <w:numFmt w:val="bullet"/>
      <w:lvlText w:val=""/>
      <w:lvlJc w:val="left"/>
      <w:pPr>
        <w:tabs>
          <w:tab w:val="num" w:pos="6741"/>
        </w:tabs>
        <w:ind w:left="6741" w:hanging="360"/>
      </w:pPr>
      <w:rPr>
        <w:rFonts w:ascii="Symbol" w:hAnsi="Symbol" w:hint="default"/>
      </w:rPr>
    </w:lvl>
    <w:lvl w:ilvl="7" w:tplc="38A230EC" w:tentative="1">
      <w:start w:val="1"/>
      <w:numFmt w:val="bullet"/>
      <w:lvlText w:val="o"/>
      <w:lvlJc w:val="left"/>
      <w:pPr>
        <w:tabs>
          <w:tab w:val="num" w:pos="7461"/>
        </w:tabs>
        <w:ind w:left="7461" w:hanging="360"/>
      </w:pPr>
      <w:rPr>
        <w:rFonts w:ascii="Courier New" w:hAnsi="Courier New" w:hint="default"/>
      </w:rPr>
    </w:lvl>
    <w:lvl w:ilvl="8" w:tplc="5EA2D51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006BFB"/>
    <w:multiLevelType w:val="hybridMultilevel"/>
    <w:tmpl w:val="AB521C64"/>
    <w:lvl w:ilvl="0" w:tplc="4F5E375E">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4" w15:restartNumberingAfterBreak="0">
    <w:nsid w:val="71EF2E32"/>
    <w:multiLevelType w:val="hybridMultilevel"/>
    <w:tmpl w:val="2E8641B2"/>
    <w:lvl w:ilvl="0" w:tplc="90C66E48">
      <w:start w:val="1"/>
      <w:numFmt w:val="decimal"/>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075DEB"/>
    <w:multiLevelType w:val="hybridMultilevel"/>
    <w:tmpl w:val="188C0620"/>
    <w:lvl w:ilvl="0" w:tplc="6BAC0EE4">
      <w:start w:val="1"/>
      <w:numFmt w:val="lowerLetter"/>
      <w:lvlText w:val="(%1)"/>
      <w:lvlJc w:val="left"/>
      <w:pPr>
        <w:ind w:left="1854" w:hanging="360"/>
      </w:pPr>
      <w:rPr>
        <w:rFonts w:hint="default"/>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7C330548"/>
    <w:multiLevelType w:val="hybridMultilevel"/>
    <w:tmpl w:val="76980722"/>
    <w:lvl w:ilvl="0" w:tplc="53C8731C">
      <w:start w:val="1"/>
      <w:numFmt w:val="decimal"/>
      <w:lvlText w:val="%1."/>
      <w:lvlJc w:val="left"/>
      <w:pPr>
        <w:ind w:left="1494" w:hanging="473"/>
      </w:pPr>
      <w:rPr>
        <w:rFonts w:hint="default"/>
      </w:rPr>
    </w:lvl>
    <w:lvl w:ilvl="1" w:tplc="FFFFFFFF">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981887377">
    <w:abstractNumId w:val="22"/>
  </w:num>
  <w:num w:numId="2" w16cid:durableId="1907377459">
    <w:abstractNumId w:val="15"/>
  </w:num>
  <w:num w:numId="3" w16cid:durableId="560290989">
    <w:abstractNumId w:val="12"/>
  </w:num>
  <w:num w:numId="4" w16cid:durableId="234320255">
    <w:abstractNumId w:val="8"/>
  </w:num>
  <w:num w:numId="5" w16cid:durableId="637884552">
    <w:abstractNumId w:val="3"/>
  </w:num>
  <w:num w:numId="6" w16cid:durableId="2002662275">
    <w:abstractNumId w:val="2"/>
  </w:num>
  <w:num w:numId="7" w16cid:durableId="1443038678">
    <w:abstractNumId w:val="1"/>
  </w:num>
  <w:num w:numId="8" w16cid:durableId="1407073885">
    <w:abstractNumId w:val="0"/>
  </w:num>
  <w:num w:numId="9" w16cid:durableId="240651003">
    <w:abstractNumId w:val="9"/>
  </w:num>
  <w:num w:numId="10" w16cid:durableId="518592094">
    <w:abstractNumId w:val="7"/>
  </w:num>
  <w:num w:numId="11" w16cid:durableId="1201359282">
    <w:abstractNumId w:val="6"/>
  </w:num>
  <w:num w:numId="12" w16cid:durableId="205993675">
    <w:abstractNumId w:val="5"/>
  </w:num>
  <w:num w:numId="13" w16cid:durableId="2034266032">
    <w:abstractNumId w:val="4"/>
  </w:num>
  <w:num w:numId="14" w16cid:durableId="682584791">
    <w:abstractNumId w:val="14"/>
  </w:num>
  <w:num w:numId="15" w16cid:durableId="1024135727">
    <w:abstractNumId w:val="13"/>
  </w:num>
  <w:num w:numId="16" w16cid:durableId="1300919856">
    <w:abstractNumId w:val="11"/>
  </w:num>
  <w:num w:numId="17" w16cid:durableId="2075853465">
    <w:abstractNumId w:val="19"/>
  </w:num>
  <w:num w:numId="18" w16cid:durableId="647903625">
    <w:abstractNumId w:val="20"/>
  </w:num>
  <w:num w:numId="19" w16cid:durableId="218126521">
    <w:abstractNumId w:val="18"/>
  </w:num>
  <w:num w:numId="20" w16cid:durableId="1516844766">
    <w:abstractNumId w:val="25"/>
  </w:num>
  <w:num w:numId="21" w16cid:durableId="780421664">
    <w:abstractNumId w:val="22"/>
  </w:num>
  <w:num w:numId="22" w16cid:durableId="1470517119">
    <w:abstractNumId w:val="15"/>
  </w:num>
  <w:num w:numId="23" w16cid:durableId="242495698">
    <w:abstractNumId w:val="12"/>
  </w:num>
  <w:num w:numId="24" w16cid:durableId="1406873944">
    <w:abstractNumId w:val="24"/>
  </w:num>
  <w:num w:numId="25" w16cid:durableId="1094279930">
    <w:abstractNumId w:val="27"/>
  </w:num>
  <w:num w:numId="26" w16cid:durableId="227113726">
    <w:abstractNumId w:val="10"/>
  </w:num>
  <w:num w:numId="27" w16cid:durableId="1086457608">
    <w:abstractNumId w:val="21"/>
  </w:num>
  <w:num w:numId="28" w16cid:durableId="1117409017">
    <w:abstractNumId w:val="26"/>
  </w:num>
  <w:num w:numId="29" w16cid:durableId="442575285">
    <w:abstractNumId w:val="17"/>
  </w:num>
  <w:num w:numId="30" w16cid:durableId="1300114273">
    <w:abstractNumId w:val="23"/>
  </w:num>
  <w:num w:numId="31" w16cid:durableId="1183758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863F9"/>
    <w:rsid w:val="000A468D"/>
    <w:rsid w:val="000B1D43"/>
    <w:rsid w:val="000B7F94"/>
    <w:rsid w:val="00125D98"/>
    <w:rsid w:val="002151A0"/>
    <w:rsid w:val="002512BE"/>
    <w:rsid w:val="0025779B"/>
    <w:rsid w:val="00282584"/>
    <w:rsid w:val="002A5398"/>
    <w:rsid w:val="002B1AE3"/>
    <w:rsid w:val="002D1242"/>
    <w:rsid w:val="002F0969"/>
    <w:rsid w:val="00396F36"/>
    <w:rsid w:val="003A0EE0"/>
    <w:rsid w:val="003B18DB"/>
    <w:rsid w:val="003E3665"/>
    <w:rsid w:val="00423147"/>
    <w:rsid w:val="0042461E"/>
    <w:rsid w:val="004277E7"/>
    <w:rsid w:val="0047566A"/>
    <w:rsid w:val="00543B63"/>
    <w:rsid w:val="005A3436"/>
    <w:rsid w:val="005F1E6F"/>
    <w:rsid w:val="00617F96"/>
    <w:rsid w:val="00653906"/>
    <w:rsid w:val="006556B7"/>
    <w:rsid w:val="00657578"/>
    <w:rsid w:val="006640A8"/>
    <w:rsid w:val="00677F71"/>
    <w:rsid w:val="00686963"/>
    <w:rsid w:val="006B2CFD"/>
    <w:rsid w:val="007125A6"/>
    <w:rsid w:val="00720202"/>
    <w:rsid w:val="007B1AB5"/>
    <w:rsid w:val="007E32AD"/>
    <w:rsid w:val="007E7B2F"/>
    <w:rsid w:val="00806FC2"/>
    <w:rsid w:val="00831072"/>
    <w:rsid w:val="008456EC"/>
    <w:rsid w:val="008815CE"/>
    <w:rsid w:val="008A7EFA"/>
    <w:rsid w:val="008E2318"/>
    <w:rsid w:val="009067CE"/>
    <w:rsid w:val="00A075C3"/>
    <w:rsid w:val="00A57DB8"/>
    <w:rsid w:val="00A62AE1"/>
    <w:rsid w:val="00A92C22"/>
    <w:rsid w:val="00AB1D0B"/>
    <w:rsid w:val="00AE498E"/>
    <w:rsid w:val="00B33395"/>
    <w:rsid w:val="00BA132D"/>
    <w:rsid w:val="00BF3B84"/>
    <w:rsid w:val="00C65391"/>
    <w:rsid w:val="00C84110"/>
    <w:rsid w:val="00C95E2E"/>
    <w:rsid w:val="00CF305B"/>
    <w:rsid w:val="00D35698"/>
    <w:rsid w:val="00D7189E"/>
    <w:rsid w:val="00D73CC0"/>
    <w:rsid w:val="00E1033B"/>
    <w:rsid w:val="00E238D8"/>
    <w:rsid w:val="00E57D91"/>
    <w:rsid w:val="00E8096C"/>
    <w:rsid w:val="00E90ABC"/>
    <w:rsid w:val="00E97F0E"/>
    <w:rsid w:val="00EA00FA"/>
    <w:rsid w:val="00ED51EB"/>
    <w:rsid w:val="00F31008"/>
    <w:rsid w:val="00F40392"/>
    <w:rsid w:val="00F43FC1"/>
    <w:rsid w:val="00F615A4"/>
    <w:rsid w:val="00FA1C87"/>
    <w:rsid w:val="00FB7E8A"/>
    <w:rsid w:val="00FF61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333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2026-07-30T18:07:56Z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6B7DB0-09CB-4817-8767-AFE7813275CB}">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2.xml><?xml version="1.0" encoding="utf-8"?>
<ds:datastoreItem xmlns:ds="http://schemas.openxmlformats.org/officeDocument/2006/customXml" ds:itemID="{53C7B7F1-336C-408D-BA8D-B371ABDC6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7B86-8B9F-41CD-ADA6-C530A9CE0974}">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9393</Words>
  <Characters>53546</Characters>
  <Application>Microsoft Office Word</Application>
  <DocSecurity>0</DocSecurity>
  <Lines>446</Lines>
  <Paragraphs>125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62814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CRPD/C/IRL/RQ/1</dc:title>
  <dc:creator>Gloria</dc:creator>
  <cp:lastModifiedBy>Robert OUKO</cp:lastModifiedBy>
  <cp:revision>3</cp:revision>
  <cp:lastPrinted>2017-10-25T12:09:00Z</cp:lastPrinted>
  <dcterms:created xsi:type="dcterms:W3CDTF">2026-08-04T15:13:00Z</dcterms:created>
  <dcterms:modified xsi:type="dcterms:W3CDTF">2026-08-04T15:14:00Z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Ireland</vt:lpwstr>
  </property>
  <property fmtid="{D5CDD505-2E9C-101B-9397-08002B2CF9AE}" pid="9" name="countw">
    <vt:lpwstr>Ireland</vt:lpwstr>
  </property>
  <property fmtid="{D5CDD505-2E9C-101B-9397-08002B2CF9AE}" pid="10" name="countwd">
    <vt:lpwstr>Ireland</vt:lpwstr>
  </property>
  <property fmtid="{D5CDD505-2E9C-101B-9397-08002B2CF9AE}" pid="11" name="date">
    <vt:lpwstr>30 July 2026</vt:lpwstr>
  </property>
  <property fmtid="{D5CDD505-2E9C-101B-9397-08002B2CF9AE}" pid="12" name="Date-Generated">
    <vt:filetime>2026-07-30T16:04:30Z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174200</vt:r8>
  </property>
  <property fmtid="{D5CDD505-2E9C-101B-9397-08002B2CF9AE}" pid="22" name="Org">
    <vt:lpwstr>OHCHR</vt:lpwstr>
  </property>
  <property fmtid="{D5CDD505-2E9C-101B-9397-08002B2CF9AE}" pid="23" name="prep">
    <vt:lpwstr>initial report of Ireland</vt:lpwstr>
  </property>
  <property fmtid="{D5CDD505-2E9C-101B-9397-08002B2CF9AE}" pid="24" name="preps">
    <vt:lpwstr>initial report of Ireland</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C/IRL/RQ/1</vt:lpwstr>
  </property>
  <property fmtid="{D5CDD505-2E9C-101B-9397-08002B2CF9AE}" pid="33" name="symh">
    <vt:lpwstr>CRPD/C/IRL/RQ/1</vt:lpwstr>
  </property>
  <property fmtid="{D5CDD505-2E9C-101B-9397-08002B2CF9AE}" pid="34" name="Title">
    <vt:lpwstr>CRPD/C/IRL/RQ/1</vt:lpwstr>
  </property>
  <property fmtid="{D5CDD505-2E9C-101B-9397-08002B2CF9AE}" pid="35" name="tlang">
    <vt:lpwstr/>
  </property>
  <property fmtid="{D5CDD505-2E9C-101B-9397-08002B2CF9AE}" pid="36" name="virs">
    <vt:lpwstr>Arabic, English, French and Spanish only</vt:lpwstr>
  </property>
</Properties>
</file>