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3AC4F1" w14:textId="77777777" w:rsidR="00674F1E" w:rsidRDefault="00674F1E" w:rsidP="00674F1E">
      <w:pPr>
        <w:pStyle w:val="Header"/>
        <w:tabs>
          <w:tab w:val="left" w:pos="720"/>
        </w:tabs>
        <w:spacing w:before="100" w:beforeAutospacing="1" w:after="100" w:afterAutospacing="1"/>
        <w:ind w:left="-1418" w:right="-1370"/>
        <w:jc w:val="center"/>
      </w:pPr>
      <w:bookmarkStart w:id="0" w:name="_GoBack"/>
      <w:bookmarkEnd w:id="0"/>
      <w:r>
        <w:rPr>
          <w:noProof/>
          <w:lang w:val="en-GB" w:eastAsia="en-GB"/>
        </w:rPr>
        <w:drawing>
          <wp:inline distT="0" distB="0" distL="0" distR="0" wp14:anchorId="1AB42906" wp14:editId="65950045">
            <wp:extent cx="1352550" cy="78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ama logo 80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352550" cy="787400"/>
                    </a:xfrm>
                    <a:prstGeom prst="rect">
                      <a:avLst/>
                    </a:prstGeom>
                    <a:noFill/>
                    <a:ln>
                      <a:noFill/>
                    </a:ln>
                  </pic:spPr>
                </pic:pic>
              </a:graphicData>
            </a:graphic>
          </wp:inline>
        </w:drawing>
      </w:r>
    </w:p>
    <w:p w14:paraId="4BA23FC5" w14:textId="77777777" w:rsidR="00674F1E" w:rsidRDefault="00674F1E" w:rsidP="00674F1E">
      <w:pPr>
        <w:spacing w:before="100" w:beforeAutospacing="1" w:after="100" w:afterAutospacing="1"/>
      </w:pPr>
    </w:p>
    <w:p w14:paraId="2A7549D3" w14:textId="77777777" w:rsidR="00674F1E" w:rsidRDefault="00674F1E" w:rsidP="00674F1E">
      <w:pPr>
        <w:spacing w:before="100" w:beforeAutospacing="1" w:after="100" w:afterAutospacing="1"/>
      </w:pPr>
    </w:p>
    <w:p w14:paraId="709DF4A6" w14:textId="77777777" w:rsidR="00674F1E" w:rsidRDefault="00674F1E" w:rsidP="00674F1E">
      <w:pPr>
        <w:spacing w:before="100" w:beforeAutospacing="1" w:after="100" w:afterAutospacing="1"/>
      </w:pPr>
    </w:p>
    <w:p w14:paraId="76BF6BB4" w14:textId="77777777" w:rsidR="00674F1E" w:rsidRDefault="00674F1E" w:rsidP="00674F1E">
      <w:pPr>
        <w:spacing w:before="100" w:beforeAutospacing="1" w:after="100" w:afterAutospacing="1"/>
      </w:pPr>
    </w:p>
    <w:p w14:paraId="2893CBB5" w14:textId="77777777" w:rsidR="00674F1E" w:rsidRDefault="00674F1E" w:rsidP="00674F1E">
      <w:pPr>
        <w:spacing w:before="100" w:beforeAutospacing="1" w:after="100" w:afterAutospacing="1"/>
      </w:pPr>
    </w:p>
    <w:p w14:paraId="48FAA736" w14:textId="77777777" w:rsidR="00674F1E" w:rsidRDefault="00674F1E" w:rsidP="00674F1E">
      <w:pPr>
        <w:spacing w:before="100" w:beforeAutospacing="1" w:after="100" w:afterAutospacing="1"/>
      </w:pPr>
    </w:p>
    <w:p w14:paraId="52ED8EE5" w14:textId="77777777" w:rsidR="00674F1E" w:rsidRDefault="00674F1E" w:rsidP="00674F1E">
      <w:pPr>
        <w:spacing w:before="100" w:beforeAutospacing="1" w:after="100" w:afterAutospacing="1"/>
      </w:pPr>
    </w:p>
    <w:p w14:paraId="7E8FBD95" w14:textId="77777777" w:rsidR="00674F1E" w:rsidRPr="00CF54EB" w:rsidRDefault="00674F1E" w:rsidP="00674F1E">
      <w:pPr>
        <w:spacing w:before="100" w:beforeAutospacing="1" w:after="100" w:afterAutospacing="1"/>
        <w:ind w:left="198"/>
        <w:jc w:val="center"/>
        <w:rPr>
          <w:rFonts w:eastAsia="Times New Roman" w:cs="Tahoma"/>
          <w:b/>
          <w:bCs/>
          <w:sz w:val="48"/>
          <w:szCs w:val="48"/>
          <w:lang w:val="en-NZ"/>
        </w:rPr>
      </w:pPr>
      <w:r w:rsidRPr="00CF54EB">
        <w:rPr>
          <w:rFonts w:eastAsia="Times New Roman" w:cs="Tahoma"/>
          <w:b/>
          <w:bCs/>
          <w:sz w:val="48"/>
          <w:szCs w:val="48"/>
          <w:lang w:val="en-NZ"/>
        </w:rPr>
        <w:t>Iraq</w:t>
      </w:r>
    </w:p>
    <w:p w14:paraId="6B68E786" w14:textId="77777777" w:rsidR="00674F1E" w:rsidRPr="00DA0D51" w:rsidRDefault="00674F1E" w:rsidP="00674F1E">
      <w:pPr>
        <w:spacing w:before="100" w:beforeAutospacing="1" w:after="100" w:afterAutospacing="1"/>
        <w:ind w:left="198"/>
        <w:jc w:val="center"/>
        <w:rPr>
          <w:rFonts w:eastAsia="Times New Roman" w:cs="Tahoma"/>
          <w:b/>
          <w:bCs/>
          <w:sz w:val="32"/>
          <w:szCs w:val="32"/>
          <w:lang w:val="en-NZ"/>
        </w:rPr>
      </w:pPr>
    </w:p>
    <w:p w14:paraId="3286FD30" w14:textId="77777777" w:rsidR="00674F1E" w:rsidRPr="00DA0D51" w:rsidRDefault="00674F1E" w:rsidP="00674F1E">
      <w:pPr>
        <w:spacing w:before="100" w:beforeAutospacing="1" w:after="100" w:afterAutospacing="1"/>
        <w:ind w:left="198"/>
        <w:jc w:val="center"/>
        <w:rPr>
          <w:rFonts w:eastAsia="Times New Roman" w:cs="Tahoma"/>
          <w:b/>
          <w:bCs/>
          <w:sz w:val="32"/>
          <w:szCs w:val="32"/>
          <w:lang w:val="en-NZ"/>
        </w:rPr>
      </w:pPr>
    </w:p>
    <w:p w14:paraId="7FABD780" w14:textId="77777777" w:rsidR="00674F1E" w:rsidRPr="00DA0D51" w:rsidRDefault="00674F1E" w:rsidP="00674F1E">
      <w:pPr>
        <w:spacing w:before="100" w:beforeAutospacing="1" w:after="100" w:afterAutospacing="1"/>
        <w:ind w:left="198"/>
        <w:jc w:val="center"/>
        <w:rPr>
          <w:rFonts w:eastAsia="Times New Roman" w:cs="Times New Roman"/>
          <w:b/>
          <w:bCs/>
          <w:sz w:val="28"/>
          <w:szCs w:val="28"/>
          <w:lang w:val="en-US"/>
        </w:rPr>
      </w:pPr>
      <w:r w:rsidRPr="00DA0D51">
        <w:rPr>
          <w:rFonts w:eastAsia="Times New Roman" w:cs="Times New Roman"/>
          <w:b/>
          <w:bCs/>
          <w:sz w:val="28"/>
          <w:szCs w:val="28"/>
          <w:lang w:val="en-US"/>
        </w:rPr>
        <w:t xml:space="preserve">Submission to the List of Issues to be taken up in </w:t>
      </w:r>
      <w:r w:rsidRPr="00DA0D51">
        <w:rPr>
          <w:rFonts w:eastAsia="Times New Roman" w:cs="Times New Roman"/>
          <w:b/>
          <w:bCs/>
          <w:sz w:val="28"/>
          <w:szCs w:val="28"/>
          <w:lang w:val="en-NZ"/>
        </w:rPr>
        <w:t>connection</w:t>
      </w:r>
      <w:r w:rsidRPr="00DA0D51">
        <w:rPr>
          <w:rFonts w:eastAsia="Times New Roman" w:cs="Times New Roman"/>
          <w:b/>
          <w:bCs/>
          <w:sz w:val="28"/>
          <w:szCs w:val="28"/>
          <w:lang w:val="en-US"/>
        </w:rPr>
        <w:t xml:space="preserve">  with the consideration of </w:t>
      </w:r>
      <w:r>
        <w:rPr>
          <w:rFonts w:eastAsia="Times New Roman" w:cs="Times New Roman"/>
          <w:b/>
          <w:bCs/>
          <w:sz w:val="28"/>
          <w:szCs w:val="28"/>
          <w:lang w:val="en-US"/>
        </w:rPr>
        <w:t>Iraq’s sixth periodic report</w:t>
      </w:r>
      <w:r w:rsidRPr="00DA0D51">
        <w:rPr>
          <w:rFonts w:eastAsia="Times New Roman" w:cs="Times New Roman"/>
          <w:b/>
          <w:bCs/>
          <w:sz w:val="28"/>
          <w:szCs w:val="28"/>
          <w:lang w:val="en-US"/>
        </w:rPr>
        <w:t xml:space="preserve"> by the </w:t>
      </w:r>
      <w:r>
        <w:rPr>
          <w:rFonts w:eastAsia="Times New Roman" w:cs="Times New Roman"/>
          <w:b/>
          <w:bCs/>
          <w:sz w:val="28"/>
          <w:szCs w:val="28"/>
          <w:lang w:val="en-US"/>
        </w:rPr>
        <w:t>Human Rights Committee</w:t>
      </w:r>
    </w:p>
    <w:p w14:paraId="7E774B1F" w14:textId="77777777" w:rsidR="00674F1E" w:rsidRDefault="00674F1E" w:rsidP="00674F1E">
      <w:pPr>
        <w:spacing w:before="100" w:beforeAutospacing="1" w:after="100" w:afterAutospacing="1"/>
        <w:jc w:val="center"/>
        <w:rPr>
          <w:b/>
          <w:bCs/>
          <w:sz w:val="28"/>
          <w:lang w:val="en-US"/>
        </w:rPr>
      </w:pPr>
    </w:p>
    <w:p w14:paraId="4189EDC1" w14:textId="77777777" w:rsidR="00674F1E" w:rsidRDefault="00674F1E" w:rsidP="00674F1E">
      <w:pPr>
        <w:spacing w:before="100" w:beforeAutospacing="1" w:after="100" w:afterAutospacing="1"/>
        <w:jc w:val="center"/>
        <w:rPr>
          <w:b/>
          <w:bCs/>
          <w:sz w:val="28"/>
          <w:lang w:val="en-US"/>
        </w:rPr>
      </w:pPr>
    </w:p>
    <w:p w14:paraId="6372EAF0" w14:textId="77777777" w:rsidR="00674F1E" w:rsidRDefault="00674F1E" w:rsidP="00674F1E">
      <w:pPr>
        <w:spacing w:before="100" w:beforeAutospacing="1" w:after="100" w:afterAutospacing="1"/>
        <w:jc w:val="center"/>
        <w:rPr>
          <w:b/>
          <w:bCs/>
          <w:sz w:val="28"/>
          <w:lang w:val="en-US"/>
        </w:rPr>
      </w:pPr>
    </w:p>
    <w:p w14:paraId="4AABF39F" w14:textId="77777777" w:rsidR="00674F1E" w:rsidRPr="00F5746D" w:rsidRDefault="00674F1E" w:rsidP="00674F1E">
      <w:pPr>
        <w:spacing w:before="100" w:beforeAutospacing="1" w:after="100" w:afterAutospacing="1"/>
        <w:jc w:val="center"/>
        <w:rPr>
          <w:b/>
          <w:bCs/>
          <w:sz w:val="28"/>
          <w:lang w:val="en-US"/>
        </w:rPr>
      </w:pPr>
    </w:p>
    <w:p w14:paraId="41ADECF5" w14:textId="2DCE12BA" w:rsidR="00674F1E" w:rsidRPr="00E63550" w:rsidRDefault="00674F1E" w:rsidP="00857B84">
      <w:pPr>
        <w:spacing w:before="100" w:beforeAutospacing="1" w:after="100" w:afterAutospacing="1"/>
        <w:jc w:val="center"/>
        <w:rPr>
          <w:b/>
          <w:bCs/>
          <w:sz w:val="24"/>
          <w:szCs w:val="24"/>
          <w:lang w:val="en-US"/>
        </w:rPr>
      </w:pPr>
      <w:r>
        <w:rPr>
          <w:b/>
          <w:bCs/>
          <w:lang w:val="en-US"/>
        </w:rPr>
        <w:t xml:space="preserve"> </w:t>
      </w:r>
      <w:r w:rsidRPr="00E63550">
        <w:rPr>
          <w:b/>
          <w:bCs/>
          <w:sz w:val="24"/>
          <w:szCs w:val="24"/>
          <w:lang w:val="en-US"/>
        </w:rPr>
        <w:t>Alkarama</w:t>
      </w:r>
      <w:r w:rsidR="00857B84">
        <w:rPr>
          <w:b/>
          <w:bCs/>
          <w:sz w:val="24"/>
          <w:szCs w:val="24"/>
          <w:lang w:val="en-US"/>
        </w:rPr>
        <w:t xml:space="preserve"> </w:t>
      </w:r>
      <w:r w:rsidRPr="00E63550">
        <w:rPr>
          <w:b/>
          <w:bCs/>
          <w:sz w:val="24"/>
          <w:szCs w:val="24"/>
          <w:lang w:val="en-US"/>
        </w:rPr>
        <w:t xml:space="preserve">– </w:t>
      </w:r>
      <w:r w:rsidR="00823137">
        <w:rPr>
          <w:b/>
          <w:bCs/>
          <w:sz w:val="24"/>
          <w:szCs w:val="24"/>
          <w:lang w:val="en-US"/>
        </w:rPr>
        <w:t>26</w:t>
      </w:r>
      <w:r>
        <w:rPr>
          <w:b/>
          <w:bCs/>
          <w:sz w:val="24"/>
          <w:szCs w:val="24"/>
          <w:lang w:val="en-US"/>
        </w:rPr>
        <w:t xml:space="preserve"> </w:t>
      </w:r>
      <w:r w:rsidR="00957EF4">
        <w:rPr>
          <w:b/>
          <w:bCs/>
          <w:sz w:val="24"/>
          <w:szCs w:val="24"/>
          <w:lang w:val="en-US"/>
        </w:rPr>
        <w:t xml:space="preserve">May </w:t>
      </w:r>
      <w:r>
        <w:rPr>
          <w:b/>
          <w:bCs/>
          <w:sz w:val="24"/>
          <w:szCs w:val="24"/>
          <w:lang w:val="en-US"/>
        </w:rPr>
        <w:t>2020</w:t>
      </w:r>
    </w:p>
    <w:p w14:paraId="486856CF" w14:textId="77777777" w:rsidR="00674F1E" w:rsidRDefault="00674F1E" w:rsidP="00674F1E">
      <w:pPr>
        <w:spacing w:before="100" w:beforeAutospacing="1" w:after="100" w:afterAutospacing="1"/>
        <w:jc w:val="center"/>
        <w:rPr>
          <w:b/>
          <w:bCs/>
          <w:lang w:val="en-US"/>
        </w:rPr>
      </w:pPr>
    </w:p>
    <w:p w14:paraId="65D71AF0" w14:textId="77777777" w:rsidR="00674F1E" w:rsidRDefault="00674F1E" w:rsidP="00674F1E">
      <w:pPr>
        <w:pStyle w:val="Heading1"/>
        <w:spacing w:before="100" w:beforeAutospacing="1" w:after="100" w:afterAutospacing="1"/>
      </w:pPr>
      <w:r w:rsidRPr="00696CAE">
        <w:br w:type="page"/>
      </w:r>
      <w:bookmarkStart w:id="1" w:name="_Toc222224482"/>
      <w:bookmarkStart w:id="2" w:name="_Toc222226005"/>
      <w:bookmarkStart w:id="3" w:name="_Toc222895123"/>
      <w:bookmarkStart w:id="4" w:name="_Toc40878959"/>
      <w:r w:rsidRPr="00696CAE">
        <w:lastRenderedPageBreak/>
        <w:t>Table of contents</w:t>
      </w:r>
      <w:bookmarkEnd w:id="1"/>
      <w:bookmarkEnd w:id="2"/>
      <w:bookmarkEnd w:id="3"/>
      <w:bookmarkEnd w:id="4"/>
    </w:p>
    <w:p w14:paraId="1BA1DB69" w14:textId="77777777" w:rsidR="0037712D" w:rsidRDefault="00674F1E">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r w:rsidRPr="00CA1F0D">
        <w:rPr>
          <w:rFonts w:ascii="Tahoma" w:hAnsi="Tahoma" w:cs="Tahoma"/>
          <w:i/>
          <w:iCs/>
          <w:caps w:val="0"/>
        </w:rPr>
        <w:fldChar w:fldCharType="begin"/>
      </w:r>
      <w:r w:rsidRPr="00CA1F0D">
        <w:rPr>
          <w:rFonts w:ascii="Tahoma" w:hAnsi="Tahoma" w:cs="Tahoma"/>
          <w:i/>
          <w:iCs/>
          <w:caps w:val="0"/>
        </w:rPr>
        <w:instrText xml:space="preserve"> TOC \o "1-3" \h \z \u </w:instrText>
      </w:r>
      <w:r w:rsidRPr="00CA1F0D">
        <w:rPr>
          <w:rFonts w:ascii="Tahoma" w:hAnsi="Tahoma" w:cs="Tahoma"/>
          <w:i/>
          <w:iCs/>
          <w:caps w:val="0"/>
        </w:rPr>
        <w:fldChar w:fldCharType="separate"/>
      </w:r>
      <w:hyperlink w:anchor="_Toc40878959" w:history="1">
        <w:r w:rsidR="0037712D" w:rsidRPr="002301C2">
          <w:rPr>
            <w:rStyle w:val="Hyperlink"/>
            <w:noProof/>
          </w:rPr>
          <w:t>1.</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Table of contents</w:t>
        </w:r>
        <w:r w:rsidR="0037712D">
          <w:rPr>
            <w:noProof/>
            <w:webHidden/>
          </w:rPr>
          <w:tab/>
        </w:r>
        <w:r w:rsidR="0037712D">
          <w:rPr>
            <w:noProof/>
            <w:webHidden/>
          </w:rPr>
          <w:fldChar w:fldCharType="begin"/>
        </w:r>
        <w:r w:rsidR="0037712D">
          <w:rPr>
            <w:noProof/>
            <w:webHidden/>
          </w:rPr>
          <w:instrText xml:space="preserve"> PAGEREF _Toc40878959 \h </w:instrText>
        </w:r>
        <w:r w:rsidR="0037712D">
          <w:rPr>
            <w:noProof/>
            <w:webHidden/>
          </w:rPr>
        </w:r>
        <w:r w:rsidR="0037712D">
          <w:rPr>
            <w:noProof/>
            <w:webHidden/>
          </w:rPr>
          <w:fldChar w:fldCharType="separate"/>
        </w:r>
        <w:r w:rsidR="00361EFB">
          <w:rPr>
            <w:noProof/>
            <w:webHidden/>
          </w:rPr>
          <w:t>2</w:t>
        </w:r>
        <w:r w:rsidR="0037712D">
          <w:rPr>
            <w:noProof/>
            <w:webHidden/>
          </w:rPr>
          <w:fldChar w:fldCharType="end"/>
        </w:r>
      </w:hyperlink>
    </w:p>
    <w:p w14:paraId="2B6B072A"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0" w:history="1">
        <w:r w:rsidR="0037712D" w:rsidRPr="002301C2">
          <w:rPr>
            <w:rStyle w:val="Hyperlink"/>
            <w:noProof/>
          </w:rPr>
          <w:t>2.</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Introduction</w:t>
        </w:r>
        <w:r w:rsidR="0037712D">
          <w:rPr>
            <w:noProof/>
            <w:webHidden/>
          </w:rPr>
          <w:tab/>
        </w:r>
        <w:r w:rsidR="0037712D">
          <w:rPr>
            <w:noProof/>
            <w:webHidden/>
          </w:rPr>
          <w:fldChar w:fldCharType="begin"/>
        </w:r>
        <w:r w:rsidR="0037712D">
          <w:rPr>
            <w:noProof/>
            <w:webHidden/>
          </w:rPr>
          <w:instrText xml:space="preserve"> PAGEREF _Toc40878960 \h </w:instrText>
        </w:r>
        <w:r w:rsidR="0037712D">
          <w:rPr>
            <w:noProof/>
            <w:webHidden/>
          </w:rPr>
        </w:r>
        <w:r w:rsidR="0037712D">
          <w:rPr>
            <w:noProof/>
            <w:webHidden/>
          </w:rPr>
          <w:fldChar w:fldCharType="separate"/>
        </w:r>
        <w:r w:rsidR="00361EFB">
          <w:rPr>
            <w:noProof/>
            <w:webHidden/>
          </w:rPr>
          <w:t>3</w:t>
        </w:r>
        <w:r w:rsidR="0037712D">
          <w:rPr>
            <w:noProof/>
            <w:webHidden/>
          </w:rPr>
          <w:fldChar w:fldCharType="end"/>
        </w:r>
      </w:hyperlink>
    </w:p>
    <w:p w14:paraId="43FE9CB1"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1" w:history="1">
        <w:r w:rsidR="0037712D" w:rsidRPr="002301C2">
          <w:rPr>
            <w:rStyle w:val="Hyperlink"/>
            <w:noProof/>
          </w:rPr>
          <w:t>3.</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The Violations of the Right to Life (Article 6 of the Covenant)</w:t>
        </w:r>
        <w:r w:rsidR="0037712D">
          <w:rPr>
            <w:noProof/>
            <w:webHidden/>
          </w:rPr>
          <w:tab/>
        </w:r>
        <w:r w:rsidR="0037712D">
          <w:rPr>
            <w:noProof/>
            <w:webHidden/>
          </w:rPr>
          <w:fldChar w:fldCharType="begin"/>
        </w:r>
        <w:r w:rsidR="0037712D">
          <w:rPr>
            <w:noProof/>
            <w:webHidden/>
          </w:rPr>
          <w:instrText xml:space="preserve"> PAGEREF _Toc40878961 \h </w:instrText>
        </w:r>
        <w:r w:rsidR="0037712D">
          <w:rPr>
            <w:noProof/>
            <w:webHidden/>
          </w:rPr>
        </w:r>
        <w:r w:rsidR="0037712D">
          <w:rPr>
            <w:noProof/>
            <w:webHidden/>
          </w:rPr>
          <w:fldChar w:fldCharType="separate"/>
        </w:r>
        <w:r w:rsidR="00361EFB">
          <w:rPr>
            <w:noProof/>
            <w:webHidden/>
          </w:rPr>
          <w:t>3</w:t>
        </w:r>
        <w:r w:rsidR="0037712D">
          <w:rPr>
            <w:noProof/>
            <w:webHidden/>
          </w:rPr>
          <w:fldChar w:fldCharType="end"/>
        </w:r>
      </w:hyperlink>
    </w:p>
    <w:p w14:paraId="19CE0240"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2" w:history="1">
        <w:r w:rsidR="0037712D" w:rsidRPr="002301C2">
          <w:rPr>
            <w:rStyle w:val="Hyperlink"/>
            <w:noProof/>
          </w:rPr>
          <w:t>4.</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The Right to Freedom of Opinion and Expression (Article 19)</w:t>
        </w:r>
        <w:r w:rsidR="0037712D">
          <w:rPr>
            <w:noProof/>
            <w:webHidden/>
          </w:rPr>
          <w:tab/>
        </w:r>
        <w:r w:rsidR="0037712D">
          <w:rPr>
            <w:noProof/>
            <w:webHidden/>
          </w:rPr>
          <w:fldChar w:fldCharType="begin"/>
        </w:r>
        <w:r w:rsidR="0037712D">
          <w:rPr>
            <w:noProof/>
            <w:webHidden/>
          </w:rPr>
          <w:instrText xml:space="preserve"> PAGEREF _Toc40878962 \h </w:instrText>
        </w:r>
        <w:r w:rsidR="0037712D">
          <w:rPr>
            <w:noProof/>
            <w:webHidden/>
          </w:rPr>
        </w:r>
        <w:r w:rsidR="0037712D">
          <w:rPr>
            <w:noProof/>
            <w:webHidden/>
          </w:rPr>
          <w:fldChar w:fldCharType="separate"/>
        </w:r>
        <w:r w:rsidR="00361EFB">
          <w:rPr>
            <w:noProof/>
            <w:webHidden/>
          </w:rPr>
          <w:t>4</w:t>
        </w:r>
        <w:r w:rsidR="0037712D">
          <w:rPr>
            <w:noProof/>
            <w:webHidden/>
          </w:rPr>
          <w:fldChar w:fldCharType="end"/>
        </w:r>
      </w:hyperlink>
    </w:p>
    <w:p w14:paraId="0F3923D3"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3" w:history="1">
        <w:r w:rsidR="0037712D" w:rsidRPr="002301C2">
          <w:rPr>
            <w:rStyle w:val="Hyperlink"/>
            <w:noProof/>
          </w:rPr>
          <w:t>5.</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The Right to Freedom of Peaceful Assembly (Article 21)</w:t>
        </w:r>
        <w:r w:rsidR="0037712D">
          <w:rPr>
            <w:noProof/>
            <w:webHidden/>
          </w:rPr>
          <w:tab/>
        </w:r>
        <w:r w:rsidR="0037712D">
          <w:rPr>
            <w:noProof/>
            <w:webHidden/>
          </w:rPr>
          <w:fldChar w:fldCharType="begin"/>
        </w:r>
        <w:r w:rsidR="0037712D">
          <w:rPr>
            <w:noProof/>
            <w:webHidden/>
          </w:rPr>
          <w:instrText xml:space="preserve"> PAGEREF _Toc40878963 \h </w:instrText>
        </w:r>
        <w:r w:rsidR="0037712D">
          <w:rPr>
            <w:noProof/>
            <w:webHidden/>
          </w:rPr>
        </w:r>
        <w:r w:rsidR="0037712D">
          <w:rPr>
            <w:noProof/>
            <w:webHidden/>
          </w:rPr>
          <w:fldChar w:fldCharType="separate"/>
        </w:r>
        <w:r w:rsidR="00361EFB">
          <w:rPr>
            <w:noProof/>
            <w:webHidden/>
          </w:rPr>
          <w:t>4</w:t>
        </w:r>
        <w:r w:rsidR="0037712D">
          <w:rPr>
            <w:noProof/>
            <w:webHidden/>
          </w:rPr>
          <w:fldChar w:fldCharType="end"/>
        </w:r>
      </w:hyperlink>
    </w:p>
    <w:p w14:paraId="1E200F93"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4" w:history="1">
        <w:r w:rsidR="0037712D" w:rsidRPr="002301C2">
          <w:rPr>
            <w:rStyle w:val="Hyperlink"/>
            <w:noProof/>
          </w:rPr>
          <w:t>6.</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The Practice of Torture and the Breaches of the Right to Physical Integrity (articles 7 &amp; 10 of the Covenant)</w:t>
        </w:r>
        <w:r w:rsidR="0037712D">
          <w:rPr>
            <w:noProof/>
            <w:webHidden/>
          </w:rPr>
          <w:tab/>
        </w:r>
        <w:r w:rsidR="0037712D">
          <w:rPr>
            <w:noProof/>
            <w:webHidden/>
          </w:rPr>
          <w:fldChar w:fldCharType="begin"/>
        </w:r>
        <w:r w:rsidR="0037712D">
          <w:rPr>
            <w:noProof/>
            <w:webHidden/>
          </w:rPr>
          <w:instrText xml:space="preserve"> PAGEREF _Toc40878964 \h </w:instrText>
        </w:r>
        <w:r w:rsidR="0037712D">
          <w:rPr>
            <w:noProof/>
            <w:webHidden/>
          </w:rPr>
        </w:r>
        <w:r w:rsidR="0037712D">
          <w:rPr>
            <w:noProof/>
            <w:webHidden/>
          </w:rPr>
          <w:fldChar w:fldCharType="separate"/>
        </w:r>
        <w:r w:rsidR="00361EFB">
          <w:rPr>
            <w:noProof/>
            <w:webHidden/>
          </w:rPr>
          <w:t>6</w:t>
        </w:r>
        <w:r w:rsidR="0037712D">
          <w:rPr>
            <w:noProof/>
            <w:webHidden/>
          </w:rPr>
          <w:fldChar w:fldCharType="end"/>
        </w:r>
      </w:hyperlink>
    </w:p>
    <w:p w14:paraId="4F023D8A"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5" w:history="1">
        <w:r w:rsidR="0037712D" w:rsidRPr="002301C2">
          <w:rPr>
            <w:rStyle w:val="Hyperlink"/>
            <w:noProof/>
          </w:rPr>
          <w:t>7.</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The Practice of Arbitrary Detention and the Infringements of Fair Trial Rights (articles 9 &amp; 14 of the Covenant)</w:t>
        </w:r>
        <w:r w:rsidR="0037712D">
          <w:rPr>
            <w:noProof/>
            <w:webHidden/>
          </w:rPr>
          <w:tab/>
        </w:r>
        <w:r w:rsidR="0037712D">
          <w:rPr>
            <w:noProof/>
            <w:webHidden/>
          </w:rPr>
          <w:fldChar w:fldCharType="begin"/>
        </w:r>
        <w:r w:rsidR="0037712D">
          <w:rPr>
            <w:noProof/>
            <w:webHidden/>
          </w:rPr>
          <w:instrText xml:space="preserve"> PAGEREF _Toc40878965 \h </w:instrText>
        </w:r>
        <w:r w:rsidR="0037712D">
          <w:rPr>
            <w:noProof/>
            <w:webHidden/>
          </w:rPr>
        </w:r>
        <w:r w:rsidR="0037712D">
          <w:rPr>
            <w:noProof/>
            <w:webHidden/>
          </w:rPr>
          <w:fldChar w:fldCharType="separate"/>
        </w:r>
        <w:r w:rsidR="00361EFB">
          <w:rPr>
            <w:noProof/>
            <w:webHidden/>
          </w:rPr>
          <w:t>7</w:t>
        </w:r>
        <w:r w:rsidR="0037712D">
          <w:rPr>
            <w:noProof/>
            <w:webHidden/>
          </w:rPr>
          <w:fldChar w:fldCharType="end"/>
        </w:r>
      </w:hyperlink>
    </w:p>
    <w:p w14:paraId="23FFA762" w14:textId="77777777" w:rsidR="0037712D" w:rsidRDefault="005A4AA5">
      <w:pPr>
        <w:pStyle w:val="TOC1"/>
        <w:tabs>
          <w:tab w:val="left" w:pos="440"/>
          <w:tab w:val="right" w:leader="dot" w:pos="9061"/>
        </w:tabs>
        <w:rPr>
          <w:rFonts w:asciiTheme="minorHAnsi" w:eastAsiaTheme="minorEastAsia" w:hAnsiTheme="minorHAnsi" w:cstheme="minorBidi"/>
          <w:b w:val="0"/>
          <w:bCs w:val="0"/>
          <w:caps w:val="0"/>
          <w:noProof/>
          <w:sz w:val="22"/>
          <w:szCs w:val="22"/>
          <w:lang w:val="fr-CH" w:eastAsia="fr-CH"/>
        </w:rPr>
      </w:pPr>
      <w:hyperlink w:anchor="_Toc40878966" w:history="1">
        <w:r w:rsidR="0037712D" w:rsidRPr="002301C2">
          <w:rPr>
            <w:rStyle w:val="Hyperlink"/>
            <w:noProof/>
          </w:rPr>
          <w:t>8.</w:t>
        </w:r>
        <w:r w:rsidR="0037712D">
          <w:rPr>
            <w:rFonts w:asciiTheme="minorHAnsi" w:eastAsiaTheme="minorEastAsia" w:hAnsiTheme="minorHAnsi" w:cstheme="minorBidi"/>
            <w:b w:val="0"/>
            <w:bCs w:val="0"/>
            <w:caps w:val="0"/>
            <w:noProof/>
            <w:sz w:val="22"/>
            <w:szCs w:val="22"/>
            <w:lang w:val="fr-CH" w:eastAsia="fr-CH"/>
          </w:rPr>
          <w:tab/>
        </w:r>
        <w:r w:rsidR="0037712D" w:rsidRPr="002301C2">
          <w:rPr>
            <w:rStyle w:val="Hyperlink"/>
            <w:noProof/>
          </w:rPr>
          <w:t>The Rights to Freedom of Opinion and Expression and the Use of the Anti-Terrorism Law to Silence Political Opponents</w:t>
        </w:r>
        <w:r w:rsidR="0037712D">
          <w:rPr>
            <w:noProof/>
            <w:webHidden/>
          </w:rPr>
          <w:tab/>
        </w:r>
        <w:r w:rsidR="0037712D">
          <w:rPr>
            <w:noProof/>
            <w:webHidden/>
          </w:rPr>
          <w:fldChar w:fldCharType="begin"/>
        </w:r>
        <w:r w:rsidR="0037712D">
          <w:rPr>
            <w:noProof/>
            <w:webHidden/>
          </w:rPr>
          <w:instrText xml:space="preserve"> PAGEREF _Toc40878966 \h </w:instrText>
        </w:r>
        <w:r w:rsidR="0037712D">
          <w:rPr>
            <w:noProof/>
            <w:webHidden/>
          </w:rPr>
        </w:r>
        <w:r w:rsidR="0037712D">
          <w:rPr>
            <w:noProof/>
            <w:webHidden/>
          </w:rPr>
          <w:fldChar w:fldCharType="separate"/>
        </w:r>
        <w:r w:rsidR="00361EFB">
          <w:rPr>
            <w:noProof/>
            <w:webHidden/>
          </w:rPr>
          <w:t>8</w:t>
        </w:r>
        <w:r w:rsidR="0037712D">
          <w:rPr>
            <w:noProof/>
            <w:webHidden/>
          </w:rPr>
          <w:fldChar w:fldCharType="end"/>
        </w:r>
      </w:hyperlink>
    </w:p>
    <w:p w14:paraId="5979A058" w14:textId="77777777" w:rsidR="00674F1E" w:rsidRDefault="00674F1E" w:rsidP="00674F1E">
      <w:pPr>
        <w:spacing w:before="100" w:beforeAutospacing="1" w:after="100" w:afterAutospacing="1"/>
      </w:pPr>
      <w:r w:rsidRPr="00CA1F0D">
        <w:rPr>
          <w:rFonts w:cs="Tahoma"/>
          <w:i/>
          <w:iCs/>
          <w:caps/>
          <w:szCs w:val="24"/>
        </w:rPr>
        <w:fldChar w:fldCharType="end"/>
      </w:r>
    </w:p>
    <w:p w14:paraId="2A0922D7" w14:textId="77777777" w:rsidR="00674F1E" w:rsidRDefault="00674F1E" w:rsidP="00674F1E">
      <w:pPr>
        <w:spacing w:before="100" w:beforeAutospacing="1" w:after="100" w:afterAutospacing="1"/>
        <w:jc w:val="left"/>
      </w:pPr>
    </w:p>
    <w:p w14:paraId="3B8A67E6" w14:textId="77777777" w:rsidR="00674F1E" w:rsidRPr="007D1A0F" w:rsidRDefault="00674F1E" w:rsidP="00674F1E">
      <w:pPr>
        <w:spacing w:before="100" w:beforeAutospacing="1" w:after="100" w:afterAutospacing="1"/>
        <w:jc w:val="left"/>
        <w:rPr>
          <w:b/>
          <w:bCs/>
        </w:rPr>
      </w:pPr>
      <w:r w:rsidRPr="007D1A0F">
        <w:rPr>
          <w:b/>
          <w:bCs/>
        </w:rPr>
        <w:br w:type="page"/>
      </w:r>
    </w:p>
    <w:p w14:paraId="47C0BB92" w14:textId="77777777" w:rsidR="00674F1E" w:rsidRPr="00F90301" w:rsidRDefault="00674F1E" w:rsidP="00674F1E">
      <w:pPr>
        <w:pStyle w:val="Heading1"/>
        <w:spacing w:before="100" w:beforeAutospacing="1" w:after="100" w:afterAutospacing="1"/>
      </w:pPr>
      <w:bookmarkStart w:id="5" w:name="_Toc40878960"/>
      <w:r>
        <w:lastRenderedPageBreak/>
        <w:t>Introduction</w:t>
      </w:r>
      <w:bookmarkEnd w:id="5"/>
    </w:p>
    <w:p w14:paraId="47E8A1C9" w14:textId="07F95D8C" w:rsidR="00674F1E" w:rsidRPr="008550AB" w:rsidRDefault="00674F1E" w:rsidP="00674F1E">
      <w:pPr>
        <w:spacing w:before="100" w:beforeAutospacing="1" w:after="100" w:afterAutospacing="1"/>
      </w:pPr>
      <w:r w:rsidRPr="008550AB">
        <w:t xml:space="preserve">In the context of its contribution to the </w:t>
      </w:r>
      <w:r>
        <w:t xml:space="preserve">sixth </w:t>
      </w:r>
      <w:r w:rsidRPr="008550AB">
        <w:t xml:space="preserve">review of Iraq by the </w:t>
      </w:r>
      <w:r>
        <w:t>Human Rights Committee</w:t>
      </w:r>
      <w:r w:rsidRPr="008550AB">
        <w:t>,</w:t>
      </w:r>
      <w:r>
        <w:t xml:space="preserve"> </w:t>
      </w:r>
      <w:r w:rsidRPr="008550AB">
        <w:t xml:space="preserve">Alkarama would like to provide suggestions of questions with the objective of strengthening the dialogue which will take place during the review of the State Party in </w:t>
      </w:r>
      <w:r w:rsidR="00957EF4">
        <w:t>2021.</w:t>
      </w:r>
    </w:p>
    <w:p w14:paraId="42937C61" w14:textId="479FFF6E" w:rsidR="00674F1E" w:rsidRDefault="00674F1E" w:rsidP="00674F1E">
      <w:pPr>
        <w:spacing w:before="100" w:beforeAutospacing="1" w:after="100" w:afterAutospacing="1"/>
      </w:pPr>
      <w:r w:rsidRPr="008550AB">
        <w:t>Alkarama has carefully reviewed Iraq’s national report (</w:t>
      </w:r>
      <w:r>
        <w:t xml:space="preserve">CCPR/C/IRQ/6), submitted </w:t>
      </w:r>
      <w:r w:rsidR="00957EF4">
        <w:t xml:space="preserve">eight </w:t>
      </w:r>
      <w:r>
        <w:t xml:space="preserve">months </w:t>
      </w:r>
      <w:r w:rsidR="00957EF4">
        <w:t>after its</w:t>
      </w:r>
      <w:r>
        <w:t xml:space="preserve"> due date, </w:t>
      </w:r>
      <w:r w:rsidRPr="008550AB">
        <w:t>and</w:t>
      </w:r>
      <w:r>
        <w:t xml:space="preserve"> regrets that its authorities seem to keep denying all human rights violations that continue to occur in the country, hindering </w:t>
      </w:r>
      <w:r w:rsidR="00957EF4">
        <w:t xml:space="preserve">cooperation in good faith with </w:t>
      </w:r>
      <w:r>
        <w:t>this Committee.</w:t>
      </w:r>
    </w:p>
    <w:p w14:paraId="2F175F58" w14:textId="3F02C58C" w:rsidR="00674F1E" w:rsidRDefault="00674F1E" w:rsidP="00674F1E">
      <w:pPr>
        <w:spacing w:before="100" w:beforeAutospacing="1" w:after="100" w:afterAutospacing="1"/>
        <w:rPr>
          <w:lang w:val="en-US"/>
        </w:rPr>
      </w:pPr>
      <w:r>
        <w:rPr>
          <w:lang w:val="en-US"/>
        </w:rPr>
        <w:t>H</w:t>
      </w:r>
      <w:r w:rsidRPr="00FB3A30">
        <w:rPr>
          <w:lang w:val="en-US"/>
        </w:rPr>
        <w:t xml:space="preserve">uman rights violations and breaches to the International Covenant on Civil and Political Rights (ICCPR) </w:t>
      </w:r>
      <w:r>
        <w:rPr>
          <w:lang w:val="en-US"/>
        </w:rPr>
        <w:t>remain</w:t>
      </w:r>
      <w:r w:rsidRPr="00FB3A30">
        <w:rPr>
          <w:lang w:val="en-US"/>
        </w:rPr>
        <w:t xml:space="preserve"> widespread and systematic in the country. </w:t>
      </w:r>
      <w:r w:rsidR="00957EF4">
        <w:rPr>
          <w:lang w:val="en-US"/>
        </w:rPr>
        <w:t>Decades of armed conflict and the government’s i</w:t>
      </w:r>
      <w:r>
        <w:rPr>
          <w:lang w:val="en-US"/>
        </w:rPr>
        <w:t>nab</w:t>
      </w:r>
      <w:r w:rsidR="00957EF4">
        <w:rPr>
          <w:lang w:val="en-US"/>
        </w:rPr>
        <w:t>ility and</w:t>
      </w:r>
      <w:r>
        <w:rPr>
          <w:lang w:val="en-US"/>
        </w:rPr>
        <w:t xml:space="preserve"> unwilling</w:t>
      </w:r>
      <w:r w:rsidR="00957EF4">
        <w:rPr>
          <w:lang w:val="en-US"/>
        </w:rPr>
        <w:t>ness</w:t>
      </w:r>
      <w:r>
        <w:rPr>
          <w:lang w:val="en-US"/>
        </w:rPr>
        <w:t xml:space="preserve"> to address the ensuing challenges</w:t>
      </w:r>
      <w:r w:rsidR="00957EF4">
        <w:rPr>
          <w:lang w:val="en-US"/>
        </w:rPr>
        <w:t xml:space="preserve"> have led to the continued perpetration of </w:t>
      </w:r>
      <w:r>
        <w:rPr>
          <w:lang w:val="en-US"/>
        </w:rPr>
        <w:t xml:space="preserve">serious human rights violations and </w:t>
      </w:r>
      <w:r w:rsidR="00957EF4">
        <w:rPr>
          <w:lang w:val="en-US"/>
        </w:rPr>
        <w:t xml:space="preserve">a pervasive climate of </w:t>
      </w:r>
      <w:r>
        <w:rPr>
          <w:lang w:val="en-US"/>
        </w:rPr>
        <w:t xml:space="preserve">impunity. </w:t>
      </w:r>
    </w:p>
    <w:p w14:paraId="2EB17F19" w14:textId="6ACC9820" w:rsidR="00674F1E" w:rsidRDefault="00674F1E" w:rsidP="00857B84">
      <w:pPr>
        <w:pStyle w:val="UPRparagraph"/>
        <w:numPr>
          <w:ilvl w:val="0"/>
          <w:numId w:val="0"/>
        </w:numPr>
        <w:spacing w:before="100" w:beforeAutospacing="1" w:after="100" w:afterAutospacing="1"/>
        <w:rPr>
          <w:lang w:val="en-US"/>
        </w:rPr>
      </w:pPr>
      <w:r>
        <w:rPr>
          <w:lang w:val="en-US"/>
        </w:rPr>
        <w:t>Over the years</w:t>
      </w:r>
      <w:r w:rsidR="00957EF4">
        <w:rPr>
          <w:lang w:val="en-US"/>
        </w:rPr>
        <w:t>,</w:t>
      </w:r>
      <w:r>
        <w:rPr>
          <w:lang w:val="en-US"/>
        </w:rPr>
        <w:t xml:space="preserve"> the State Party received numerous recommendations from different UN bodies; however, the situation remains critical and a further deterioration is foreseeable. </w:t>
      </w:r>
      <w:r w:rsidRPr="00FB3A30">
        <w:rPr>
          <w:lang w:val="en-GB"/>
        </w:rPr>
        <w:t>Sustained effo</w:t>
      </w:r>
      <w:r>
        <w:rPr>
          <w:lang w:val="en-GB"/>
        </w:rPr>
        <w:t xml:space="preserve">rts should therefore be made by </w:t>
      </w:r>
      <w:r w:rsidR="00857B84">
        <w:rPr>
          <w:lang w:val="en-GB"/>
        </w:rPr>
        <w:t xml:space="preserve">the </w:t>
      </w:r>
      <w:r>
        <w:rPr>
          <w:lang w:val="en-GB"/>
        </w:rPr>
        <w:t>Iraq</w:t>
      </w:r>
      <w:r w:rsidR="00857B84">
        <w:rPr>
          <w:lang w:val="en-GB"/>
        </w:rPr>
        <w:t>i Government</w:t>
      </w:r>
      <w:r>
        <w:rPr>
          <w:lang w:val="en-GB"/>
        </w:rPr>
        <w:t xml:space="preserve"> to address the issues presented in this report, with the aim to uphold human rights standards enshrined in the ICCPR.</w:t>
      </w:r>
      <w:r w:rsidRPr="00F3072A">
        <w:rPr>
          <w:lang w:val="en-US"/>
        </w:rPr>
        <w:t xml:space="preserve"> </w:t>
      </w:r>
    </w:p>
    <w:p w14:paraId="6A65AA89" w14:textId="77777777" w:rsidR="00674F1E" w:rsidRDefault="00674F1E" w:rsidP="00674F1E">
      <w:pPr>
        <w:pStyle w:val="UPRparagraph"/>
        <w:numPr>
          <w:ilvl w:val="0"/>
          <w:numId w:val="0"/>
        </w:numPr>
        <w:spacing w:before="100" w:beforeAutospacing="1" w:after="100" w:afterAutospacing="1"/>
        <w:rPr>
          <w:lang w:val="en-US"/>
        </w:rPr>
      </w:pPr>
    </w:p>
    <w:p w14:paraId="594C3C69" w14:textId="77777777" w:rsidR="00674F1E" w:rsidRPr="00F90301" w:rsidRDefault="00674F1E" w:rsidP="00674F1E">
      <w:pPr>
        <w:pStyle w:val="Heading1"/>
        <w:spacing w:before="100" w:beforeAutospacing="1" w:after="100" w:afterAutospacing="1"/>
      </w:pPr>
      <w:bookmarkStart w:id="6" w:name="_Toc40878961"/>
      <w:r>
        <w:t>The Violations of the Right to Life (Article 6 of the Covenant)</w:t>
      </w:r>
      <w:bookmarkEnd w:id="6"/>
    </w:p>
    <w:p w14:paraId="5CB65E89" w14:textId="13CB9292" w:rsidR="00674F1E" w:rsidRDefault="00674F1E" w:rsidP="00961AE1">
      <w:pPr>
        <w:spacing w:before="100" w:beforeAutospacing="1" w:after="100" w:afterAutospacing="1"/>
        <w:rPr>
          <w:i/>
          <w:iCs/>
          <w:szCs w:val="20"/>
        </w:rPr>
      </w:pPr>
      <w:r>
        <w:t>According to Iraq’s report, the use of death penalty in the context of the Counter-Terrorism Act No. 13 of 2005 is consistent with international standards governing the use of this kind of penalty, “</w:t>
      </w:r>
      <w:r w:rsidRPr="002B0741">
        <w:rPr>
          <w:i/>
          <w:iCs/>
        </w:rPr>
        <w:t>because those acts [of terror] constitute the most serious crimes that prejudice the right of life</w:t>
      </w:r>
      <w:r>
        <w:t>”</w:t>
      </w:r>
      <w:r w:rsidR="00957EF4">
        <w:t>.</w:t>
      </w:r>
      <w:r>
        <w:rPr>
          <w:rStyle w:val="FootnoteReference"/>
        </w:rPr>
        <w:footnoteReference w:id="1"/>
      </w:r>
      <w:r>
        <w:t xml:space="preserve"> The report also clarifies that article 2 of the mentioned act focuses not </w:t>
      </w:r>
      <w:r w:rsidR="00957EF4">
        <w:t>o</w:t>
      </w:r>
      <w:r>
        <w:t xml:space="preserve">n the nature of act itself, but on the criminal intent, </w:t>
      </w:r>
      <w:r w:rsidR="00957EF4">
        <w:t xml:space="preserve">which, under </w:t>
      </w:r>
      <w:r>
        <w:t>art</w:t>
      </w:r>
      <w:r w:rsidR="00957EF4">
        <w:t>icle</w:t>
      </w:r>
      <w:r>
        <w:t xml:space="preserve"> 1, </w:t>
      </w:r>
      <w:r w:rsidR="00957EF4">
        <w:t>is</w:t>
      </w:r>
      <w:r>
        <w:t xml:space="preserve"> to </w:t>
      </w:r>
      <w:r w:rsidRPr="002B1A81">
        <w:t>“</w:t>
      </w:r>
      <w:r>
        <w:rPr>
          <w:i/>
          <w:iCs/>
          <w:szCs w:val="20"/>
        </w:rPr>
        <w:t>disturb the</w:t>
      </w:r>
      <w:r w:rsidRPr="002B1A81">
        <w:rPr>
          <w:i/>
          <w:iCs/>
          <w:szCs w:val="20"/>
        </w:rPr>
        <w:t xml:space="preserve"> peac</w:t>
      </w:r>
      <w:r>
        <w:rPr>
          <w:i/>
          <w:iCs/>
          <w:szCs w:val="20"/>
        </w:rPr>
        <w:t xml:space="preserve">e, stability or national unity </w:t>
      </w:r>
      <w:r w:rsidRPr="006846FC">
        <w:rPr>
          <w:i/>
          <w:iCs/>
          <w:szCs w:val="20"/>
        </w:rPr>
        <w:t>or to bring about horror and fear among people and to create chaos to</w:t>
      </w:r>
      <w:r>
        <w:rPr>
          <w:i/>
          <w:iCs/>
          <w:szCs w:val="20"/>
        </w:rPr>
        <w:t xml:space="preserve"> </w:t>
      </w:r>
      <w:r w:rsidRPr="006846FC">
        <w:rPr>
          <w:i/>
          <w:iCs/>
          <w:szCs w:val="20"/>
        </w:rPr>
        <w:t>achieve terrorist goals</w:t>
      </w:r>
      <w:r>
        <w:rPr>
          <w:i/>
          <w:iCs/>
          <w:szCs w:val="20"/>
        </w:rPr>
        <w:t>”.</w:t>
      </w:r>
    </w:p>
    <w:p w14:paraId="5B55982B" w14:textId="60243040" w:rsidR="00674F1E" w:rsidRDefault="00674F1E" w:rsidP="00674F1E">
      <w:pPr>
        <w:spacing w:before="100" w:beforeAutospacing="1" w:after="100" w:afterAutospacing="1"/>
        <w:rPr>
          <w:szCs w:val="20"/>
        </w:rPr>
      </w:pPr>
      <w:r>
        <w:rPr>
          <w:szCs w:val="20"/>
        </w:rPr>
        <w:t xml:space="preserve">However, this broad and ambiguous definition, followed by examples </w:t>
      </w:r>
      <w:r w:rsidR="00957EF4">
        <w:rPr>
          <w:szCs w:val="20"/>
        </w:rPr>
        <w:t xml:space="preserve">of acts </w:t>
      </w:r>
      <w:r>
        <w:rPr>
          <w:szCs w:val="20"/>
        </w:rPr>
        <w:t xml:space="preserve">considered </w:t>
      </w:r>
      <w:r w:rsidR="00957EF4">
        <w:rPr>
          <w:szCs w:val="20"/>
        </w:rPr>
        <w:t>to be “terrorist”,</w:t>
      </w:r>
      <w:r>
        <w:rPr>
          <w:szCs w:val="20"/>
        </w:rPr>
        <w:t xml:space="preserve"> in articles 2 and 3, such as </w:t>
      </w:r>
      <w:r>
        <w:rPr>
          <w:i/>
          <w:iCs/>
          <w:szCs w:val="20"/>
        </w:rPr>
        <w:t>“attempt to use force of violence to overthrow the regime or form of government</w:t>
      </w:r>
      <w:r w:rsidRPr="006846FC">
        <w:rPr>
          <w:i/>
          <w:iCs/>
          <w:szCs w:val="20"/>
        </w:rPr>
        <w:t>”</w:t>
      </w:r>
      <w:r w:rsidR="00957EF4">
        <w:rPr>
          <w:i/>
          <w:iCs/>
          <w:szCs w:val="20"/>
        </w:rPr>
        <w:t>,</w:t>
      </w:r>
      <w:r w:rsidRPr="006846FC">
        <w:rPr>
          <w:rStyle w:val="FootnoteReference"/>
          <w:i/>
          <w:iCs/>
          <w:szCs w:val="20"/>
        </w:rPr>
        <w:footnoteReference w:id="2"/>
      </w:r>
      <w:r w:rsidRPr="006846FC">
        <w:rPr>
          <w:i/>
          <w:iCs/>
          <w:szCs w:val="20"/>
        </w:rPr>
        <w:t xml:space="preserve"> “prevent its [public property, public places, etc.] use for the purpose for which it was prepared</w:t>
      </w:r>
      <w:r w:rsidR="00957EF4">
        <w:rPr>
          <w:i/>
          <w:iCs/>
          <w:szCs w:val="20"/>
        </w:rPr>
        <w:t>,</w:t>
      </w:r>
      <w:r w:rsidRPr="006846FC">
        <w:rPr>
          <w:i/>
          <w:iCs/>
          <w:szCs w:val="20"/>
        </w:rPr>
        <w:t>”</w:t>
      </w:r>
      <w:r>
        <w:rPr>
          <w:rStyle w:val="FootnoteReference"/>
          <w:szCs w:val="20"/>
        </w:rPr>
        <w:footnoteReference w:id="3"/>
      </w:r>
      <w:r w:rsidRPr="006846FC">
        <w:rPr>
          <w:szCs w:val="20"/>
        </w:rPr>
        <w:t xml:space="preserve"> </w:t>
      </w:r>
      <w:r>
        <w:rPr>
          <w:szCs w:val="20"/>
        </w:rPr>
        <w:t>d</w:t>
      </w:r>
      <w:r w:rsidRPr="006846FC">
        <w:rPr>
          <w:szCs w:val="20"/>
        </w:rPr>
        <w:t xml:space="preserve">o not meet the threshold </w:t>
      </w:r>
      <w:r w:rsidR="00957EF4">
        <w:rPr>
          <w:szCs w:val="20"/>
        </w:rPr>
        <w:t>of</w:t>
      </w:r>
      <w:r>
        <w:rPr>
          <w:szCs w:val="20"/>
        </w:rPr>
        <w:t xml:space="preserve"> </w:t>
      </w:r>
      <w:r w:rsidR="00957EF4">
        <w:rPr>
          <w:szCs w:val="20"/>
        </w:rPr>
        <w:t>the</w:t>
      </w:r>
      <w:r>
        <w:rPr>
          <w:szCs w:val="20"/>
        </w:rPr>
        <w:t xml:space="preserve"> </w:t>
      </w:r>
      <w:r w:rsidRPr="006846FC">
        <w:rPr>
          <w:i/>
          <w:iCs/>
          <w:szCs w:val="20"/>
        </w:rPr>
        <w:t>“most serious crimes”</w:t>
      </w:r>
      <w:r>
        <w:rPr>
          <w:szCs w:val="20"/>
        </w:rPr>
        <w:t xml:space="preserve"> under international law.</w:t>
      </w:r>
    </w:p>
    <w:p w14:paraId="7DBB80C2" w14:textId="653D6381" w:rsidR="00674F1E" w:rsidRDefault="00674F1E" w:rsidP="00674F1E">
      <w:pPr>
        <w:spacing w:before="100" w:beforeAutospacing="1" w:after="100" w:afterAutospacing="1"/>
        <w:rPr>
          <w:szCs w:val="20"/>
        </w:rPr>
      </w:pPr>
      <w:r>
        <w:rPr>
          <w:szCs w:val="20"/>
        </w:rPr>
        <w:t xml:space="preserve">Furthermore, </w:t>
      </w:r>
      <w:r w:rsidR="00957EF4">
        <w:rPr>
          <w:szCs w:val="20"/>
        </w:rPr>
        <w:t xml:space="preserve">we recall that </w:t>
      </w:r>
      <w:r>
        <w:rPr>
          <w:szCs w:val="20"/>
        </w:rPr>
        <w:t xml:space="preserve">capital punishment may only be carried out under due process and fair trial standards, provided by article 14 of the ICCPR. Even though there is an effort from Iraq to fight terrorism and bring ISIL terrorist fighters to justice, its justice system is known – and </w:t>
      </w:r>
      <w:r w:rsidR="00957EF4">
        <w:rPr>
          <w:szCs w:val="20"/>
        </w:rPr>
        <w:t xml:space="preserve">strongly </w:t>
      </w:r>
      <w:r>
        <w:rPr>
          <w:szCs w:val="20"/>
        </w:rPr>
        <w:t xml:space="preserve">criticised by human rights defenders </w:t>
      </w:r>
      <w:r w:rsidR="00957EF4">
        <w:rPr>
          <w:szCs w:val="20"/>
        </w:rPr>
        <w:t>–</w:t>
      </w:r>
      <w:r>
        <w:rPr>
          <w:szCs w:val="20"/>
        </w:rPr>
        <w:t xml:space="preserve"> to </w:t>
      </w:r>
      <w:r w:rsidR="00957EF4">
        <w:rPr>
          <w:szCs w:val="20"/>
        </w:rPr>
        <w:t xml:space="preserve">systematically violate fair </w:t>
      </w:r>
      <w:r>
        <w:rPr>
          <w:szCs w:val="20"/>
        </w:rPr>
        <w:t>trials</w:t>
      </w:r>
      <w:r w:rsidR="00957EF4">
        <w:rPr>
          <w:szCs w:val="20"/>
        </w:rPr>
        <w:t xml:space="preserve"> standards</w:t>
      </w:r>
      <w:r>
        <w:rPr>
          <w:szCs w:val="20"/>
        </w:rPr>
        <w:t>, ordinarily</w:t>
      </w:r>
      <w:r w:rsidR="00957EF4">
        <w:rPr>
          <w:szCs w:val="20"/>
        </w:rPr>
        <w:t xml:space="preserve"> admitting</w:t>
      </w:r>
      <w:r>
        <w:rPr>
          <w:szCs w:val="20"/>
        </w:rPr>
        <w:t xml:space="preserve"> confessions </w:t>
      </w:r>
      <w:r w:rsidR="00957EF4">
        <w:rPr>
          <w:szCs w:val="20"/>
        </w:rPr>
        <w:t>extracted under torture with no material evidence, and</w:t>
      </w:r>
      <w:r>
        <w:rPr>
          <w:szCs w:val="20"/>
        </w:rPr>
        <w:t xml:space="preserve"> no access to legal representation</w:t>
      </w:r>
      <w:r w:rsidR="00957EF4">
        <w:rPr>
          <w:szCs w:val="20"/>
        </w:rPr>
        <w:t>.</w:t>
      </w:r>
      <w:r>
        <w:rPr>
          <w:szCs w:val="20"/>
        </w:rPr>
        <w:t xml:space="preserve"> </w:t>
      </w:r>
    </w:p>
    <w:p w14:paraId="1D479C32" w14:textId="4F6FF72D" w:rsidR="00674F1E" w:rsidRDefault="00674F1E" w:rsidP="00674F1E">
      <w:pPr>
        <w:spacing w:before="100" w:beforeAutospacing="1" w:after="100" w:afterAutospacing="1"/>
        <w:rPr>
          <w:szCs w:val="20"/>
        </w:rPr>
      </w:pPr>
      <w:r>
        <w:rPr>
          <w:szCs w:val="20"/>
        </w:rPr>
        <w:t>A recent r</w:t>
      </w:r>
      <w:r w:rsidR="00957EF4">
        <w:rPr>
          <w:szCs w:val="20"/>
        </w:rPr>
        <w:t>e</w:t>
      </w:r>
      <w:r>
        <w:rPr>
          <w:szCs w:val="20"/>
        </w:rPr>
        <w:t xml:space="preserve">port from the UNAMI </w:t>
      </w:r>
      <w:r w:rsidR="00957EF4">
        <w:rPr>
          <w:szCs w:val="20"/>
        </w:rPr>
        <w:t xml:space="preserve">highlights </w:t>
      </w:r>
      <w:r>
        <w:rPr>
          <w:szCs w:val="20"/>
        </w:rPr>
        <w:t>a</w:t>
      </w:r>
      <w:r w:rsidR="00957EF4">
        <w:rPr>
          <w:szCs w:val="20"/>
        </w:rPr>
        <w:t xml:space="preserve"> broad</w:t>
      </w:r>
      <w:r>
        <w:rPr>
          <w:szCs w:val="20"/>
        </w:rPr>
        <w:t xml:space="preserve"> range of </w:t>
      </w:r>
      <w:r w:rsidR="00957EF4">
        <w:rPr>
          <w:szCs w:val="20"/>
        </w:rPr>
        <w:t xml:space="preserve">due process </w:t>
      </w:r>
      <w:r>
        <w:rPr>
          <w:szCs w:val="20"/>
        </w:rPr>
        <w:t>violations during trials under</w:t>
      </w:r>
      <w:r w:rsidR="00957EF4">
        <w:rPr>
          <w:szCs w:val="20"/>
        </w:rPr>
        <w:t xml:space="preserve"> the</w:t>
      </w:r>
      <w:r>
        <w:rPr>
          <w:szCs w:val="20"/>
        </w:rPr>
        <w:t xml:space="preserve"> anti-terrorism law, and find</w:t>
      </w:r>
      <w:r w:rsidR="00957EF4">
        <w:rPr>
          <w:szCs w:val="20"/>
        </w:rPr>
        <w:t>s that</w:t>
      </w:r>
      <w:r>
        <w:rPr>
          <w:szCs w:val="20"/>
        </w:rPr>
        <w:t xml:space="preserve"> death penalty</w:t>
      </w:r>
      <w:r w:rsidR="00957EF4">
        <w:rPr>
          <w:szCs w:val="20"/>
        </w:rPr>
        <w:t xml:space="preserve"> is systematically handed over</w:t>
      </w:r>
      <w:r>
        <w:rPr>
          <w:szCs w:val="20"/>
        </w:rPr>
        <w:t xml:space="preserve"> following unfair trials</w:t>
      </w:r>
      <w:r w:rsidR="00957EF4">
        <w:rPr>
          <w:szCs w:val="20"/>
        </w:rPr>
        <w:t>.</w:t>
      </w:r>
      <w:r>
        <w:rPr>
          <w:rStyle w:val="FootnoteReference"/>
          <w:szCs w:val="20"/>
        </w:rPr>
        <w:footnoteReference w:id="4"/>
      </w:r>
    </w:p>
    <w:p w14:paraId="5F3FFE9B" w14:textId="77777777" w:rsidR="00674F1E" w:rsidRPr="00A44FDD" w:rsidRDefault="00674F1E" w:rsidP="00674F1E">
      <w:pPr>
        <w:pStyle w:val="UPRparagraph"/>
        <w:numPr>
          <w:ilvl w:val="0"/>
          <w:numId w:val="0"/>
        </w:numPr>
        <w:spacing w:before="100" w:beforeAutospacing="1" w:after="100" w:afterAutospacing="1"/>
        <w:rPr>
          <w:b/>
          <w:bCs/>
          <w:i/>
          <w:iCs/>
          <w:lang w:val="en-GB"/>
        </w:rPr>
      </w:pPr>
      <w:r w:rsidRPr="00A44FDD">
        <w:rPr>
          <w:b/>
          <w:bCs/>
          <w:i/>
          <w:iCs/>
          <w:lang w:val="en-GB"/>
        </w:rPr>
        <w:t>Question</w:t>
      </w:r>
      <w:r>
        <w:rPr>
          <w:b/>
          <w:bCs/>
          <w:i/>
          <w:iCs/>
          <w:lang w:val="en-GB"/>
        </w:rPr>
        <w:t>s</w:t>
      </w:r>
      <w:r w:rsidRPr="00A44FDD">
        <w:rPr>
          <w:b/>
          <w:bCs/>
          <w:i/>
          <w:iCs/>
          <w:lang w:val="en-GB"/>
        </w:rPr>
        <w:t>:</w:t>
      </w:r>
    </w:p>
    <w:p w14:paraId="35177559" w14:textId="500BAE5C" w:rsidR="00674F1E" w:rsidRPr="00846534" w:rsidRDefault="00674F1E" w:rsidP="00AA4428">
      <w:pPr>
        <w:numPr>
          <w:ilvl w:val="0"/>
          <w:numId w:val="3"/>
        </w:numPr>
        <w:rPr>
          <w:i/>
          <w:iCs/>
        </w:rPr>
      </w:pPr>
      <w:r>
        <w:rPr>
          <w:i/>
          <w:iCs/>
        </w:rPr>
        <w:t xml:space="preserve"> </w:t>
      </w:r>
      <w:r w:rsidR="00AA4428">
        <w:rPr>
          <w:i/>
          <w:iCs/>
        </w:rPr>
        <w:t xml:space="preserve">How are </w:t>
      </w:r>
      <w:r w:rsidRPr="00846534">
        <w:rPr>
          <w:i/>
          <w:iCs/>
        </w:rPr>
        <w:t>the crimes mentioned in the articles 2</w:t>
      </w:r>
      <w:r>
        <w:rPr>
          <w:i/>
          <w:iCs/>
        </w:rPr>
        <w:t xml:space="preserve"> and 3 of the</w:t>
      </w:r>
      <w:r w:rsidRPr="00846534">
        <w:rPr>
          <w:i/>
          <w:iCs/>
        </w:rPr>
        <w:t xml:space="preserve"> Counter-Terrorism Act No. 13 compatible</w:t>
      </w:r>
      <w:r w:rsidR="00AA4428">
        <w:rPr>
          <w:i/>
          <w:iCs/>
        </w:rPr>
        <w:t>s</w:t>
      </w:r>
      <w:r w:rsidRPr="00846534">
        <w:rPr>
          <w:i/>
          <w:iCs/>
        </w:rPr>
        <w:t xml:space="preserve"> with article 6 of the ICCPR? </w:t>
      </w:r>
    </w:p>
    <w:p w14:paraId="5FFDA688" w14:textId="77777777" w:rsidR="00674F1E" w:rsidRDefault="00674F1E" w:rsidP="00674F1E">
      <w:pPr>
        <w:rPr>
          <w:i/>
          <w:iCs/>
        </w:rPr>
      </w:pPr>
    </w:p>
    <w:p w14:paraId="20EA8906" w14:textId="49A911A2" w:rsidR="00674F1E" w:rsidRPr="006C3D10" w:rsidRDefault="00674F1E" w:rsidP="00674F1E">
      <w:pPr>
        <w:numPr>
          <w:ilvl w:val="0"/>
          <w:numId w:val="3"/>
        </w:numPr>
        <w:rPr>
          <w:i/>
          <w:iCs/>
        </w:rPr>
      </w:pPr>
      <w:r>
        <w:rPr>
          <w:i/>
          <w:iCs/>
        </w:rPr>
        <w:t xml:space="preserve">Is the State Party revising the anti-terrorism </w:t>
      </w:r>
      <w:r w:rsidR="00957EF4">
        <w:rPr>
          <w:i/>
          <w:iCs/>
        </w:rPr>
        <w:t xml:space="preserve">act </w:t>
      </w:r>
      <w:r>
        <w:rPr>
          <w:i/>
          <w:iCs/>
        </w:rPr>
        <w:t xml:space="preserve">to comply with international </w:t>
      </w:r>
      <w:r w:rsidR="00957EF4">
        <w:rPr>
          <w:i/>
          <w:iCs/>
        </w:rPr>
        <w:t>human rights standards</w:t>
      </w:r>
      <w:r w:rsidR="007A136F">
        <w:rPr>
          <w:i/>
          <w:iCs/>
        </w:rPr>
        <w:t>? Is the State Party considering to</w:t>
      </w:r>
      <w:r>
        <w:rPr>
          <w:i/>
          <w:iCs/>
        </w:rPr>
        <w:t xml:space="preserve"> abolish the death penalty</w:t>
      </w:r>
      <w:r w:rsidR="007A136F">
        <w:rPr>
          <w:i/>
          <w:iCs/>
        </w:rPr>
        <w:t>? What steps have been taken</w:t>
      </w:r>
      <w:r>
        <w:rPr>
          <w:i/>
          <w:iCs/>
        </w:rPr>
        <w:t xml:space="preserve"> </w:t>
      </w:r>
      <w:r w:rsidR="007A136F">
        <w:rPr>
          <w:i/>
          <w:iCs/>
        </w:rPr>
        <w:t>to</w:t>
      </w:r>
      <w:r>
        <w:rPr>
          <w:i/>
          <w:iCs/>
        </w:rPr>
        <w:t xml:space="preserve"> ensur</w:t>
      </w:r>
      <w:r w:rsidR="007A136F">
        <w:rPr>
          <w:i/>
          <w:iCs/>
        </w:rPr>
        <w:t>e</w:t>
      </w:r>
      <w:r>
        <w:rPr>
          <w:i/>
          <w:iCs/>
        </w:rPr>
        <w:t xml:space="preserve"> the right of a fair trial?</w:t>
      </w:r>
    </w:p>
    <w:p w14:paraId="609767F2" w14:textId="77777777" w:rsidR="00674F1E" w:rsidRPr="00F90301" w:rsidRDefault="00674F1E" w:rsidP="00674F1E">
      <w:pPr>
        <w:rPr>
          <w:i/>
          <w:iCs/>
        </w:rPr>
      </w:pPr>
    </w:p>
    <w:p w14:paraId="3F033139" w14:textId="520B2153" w:rsidR="00674F1E" w:rsidRPr="007A136F" w:rsidRDefault="00674F1E" w:rsidP="00463E58">
      <w:pPr>
        <w:numPr>
          <w:ilvl w:val="0"/>
          <w:numId w:val="3"/>
        </w:numPr>
        <w:rPr>
          <w:i/>
          <w:iCs/>
        </w:rPr>
      </w:pPr>
      <w:r>
        <w:rPr>
          <w:i/>
          <w:iCs/>
        </w:rPr>
        <w:t>What has the State Party to say about the allegations of violations</w:t>
      </w:r>
      <w:r w:rsidR="007A136F">
        <w:rPr>
          <w:i/>
          <w:iCs/>
        </w:rPr>
        <w:t xml:space="preserve"> of fair trial and due process guarantees</w:t>
      </w:r>
      <w:r>
        <w:rPr>
          <w:i/>
          <w:iCs/>
        </w:rPr>
        <w:t xml:space="preserve"> in its justice system? </w:t>
      </w:r>
      <w:r w:rsidRPr="006C3D10">
        <w:rPr>
          <w:i/>
          <w:iCs/>
        </w:rPr>
        <w:t>Is the State Party taking concrete measures</w:t>
      </w:r>
      <w:r>
        <w:rPr>
          <w:i/>
          <w:iCs/>
        </w:rPr>
        <w:t xml:space="preserve"> to ensure that the death penalty is applied only after a due and fair process?</w:t>
      </w:r>
    </w:p>
    <w:p w14:paraId="78842E05" w14:textId="77777777" w:rsidR="00674F1E" w:rsidRDefault="00674F1E" w:rsidP="00674F1E">
      <w:pPr>
        <w:rPr>
          <w:i/>
          <w:iCs/>
        </w:rPr>
      </w:pPr>
    </w:p>
    <w:p w14:paraId="01E67F9D" w14:textId="77777777" w:rsidR="00674F1E" w:rsidRDefault="00674F1E" w:rsidP="00674F1E">
      <w:pPr>
        <w:pStyle w:val="ListParagraph"/>
        <w:rPr>
          <w:i/>
          <w:iCs/>
        </w:rPr>
      </w:pPr>
    </w:p>
    <w:p w14:paraId="02BA5F03" w14:textId="77777777" w:rsidR="00674F1E" w:rsidRDefault="00674F1E" w:rsidP="00674F1E">
      <w:pPr>
        <w:pStyle w:val="Heading1"/>
      </w:pPr>
      <w:bookmarkStart w:id="7" w:name="_Toc40878962"/>
      <w:r w:rsidRPr="0048102E">
        <w:t>The Right to Freedom of Opinion and Expression (Article 19)</w:t>
      </w:r>
      <w:bookmarkEnd w:id="7"/>
    </w:p>
    <w:p w14:paraId="42DBB9AD" w14:textId="77777777" w:rsidR="00674F1E" w:rsidRDefault="00674F1E" w:rsidP="00674F1E">
      <w:pPr>
        <w:rPr>
          <w:lang w:val="en-US"/>
        </w:rPr>
      </w:pPr>
    </w:p>
    <w:p w14:paraId="026F0C8C" w14:textId="100A46B2" w:rsidR="00674F1E" w:rsidRDefault="00674F1E" w:rsidP="00674F1E">
      <w:pPr>
        <w:rPr>
          <w:lang w:val="en-US"/>
        </w:rPr>
      </w:pPr>
      <w:r>
        <w:rPr>
          <w:lang w:val="en-US"/>
        </w:rPr>
        <w:t>Alkarama takes note of the reference to the Rights of Journalists Act No. 21 made by the State Party in its r</w:t>
      </w:r>
      <w:r w:rsidR="007A136F">
        <w:rPr>
          <w:lang w:val="en-US"/>
        </w:rPr>
        <w:t>e</w:t>
      </w:r>
      <w:r>
        <w:rPr>
          <w:lang w:val="en-US"/>
        </w:rPr>
        <w:t xml:space="preserve">port, which </w:t>
      </w:r>
      <w:r w:rsidRPr="005108D1">
        <w:rPr>
          <w:lang w:val="en-US"/>
        </w:rPr>
        <w:t>“</w:t>
      </w:r>
      <w:r w:rsidRPr="005108D1">
        <w:rPr>
          <w:i/>
          <w:iCs/>
          <w:lang w:val="en-US"/>
        </w:rPr>
        <w:t>ensure that journalists are able to perform their work with freedom and easy”</w:t>
      </w:r>
      <w:r>
        <w:rPr>
          <w:lang w:val="en-US"/>
        </w:rPr>
        <w:t>, and “</w:t>
      </w:r>
      <w:r w:rsidRPr="005108D1">
        <w:rPr>
          <w:i/>
          <w:iCs/>
          <w:lang w:val="en-US"/>
        </w:rPr>
        <w:t>envisages penalties for anyone who assaults journalists while engaged in their professional duties or by any reason thereof</w:t>
      </w:r>
      <w:r>
        <w:rPr>
          <w:lang w:val="en-US"/>
        </w:rPr>
        <w:t>”</w:t>
      </w:r>
      <w:r w:rsidR="007A136F">
        <w:rPr>
          <w:lang w:val="en-US"/>
        </w:rPr>
        <w:t>.</w:t>
      </w:r>
      <w:r>
        <w:rPr>
          <w:rStyle w:val="FootnoteReference"/>
          <w:lang w:val="en-US"/>
        </w:rPr>
        <w:footnoteReference w:id="5"/>
      </w:r>
      <w:r>
        <w:rPr>
          <w:lang w:val="en-US"/>
        </w:rPr>
        <w:t xml:space="preserve"> This act, however, as much as the training provided for staff at the Ministry of Interior “</w:t>
      </w:r>
      <w:r w:rsidRPr="006C4ED7">
        <w:rPr>
          <w:i/>
          <w:iCs/>
          <w:lang w:val="en-US"/>
        </w:rPr>
        <w:t>to improve their skills in dealing with protesters and the media</w:t>
      </w:r>
      <w:r>
        <w:rPr>
          <w:lang w:val="en-US"/>
        </w:rPr>
        <w:t>”</w:t>
      </w:r>
      <w:r>
        <w:rPr>
          <w:rStyle w:val="FootnoteReference"/>
          <w:lang w:val="en-US"/>
        </w:rPr>
        <w:footnoteReference w:id="6"/>
      </w:r>
      <w:r>
        <w:rPr>
          <w:lang w:val="en-US"/>
        </w:rPr>
        <w:t xml:space="preserve"> mentioned, does not seem to have changed the continuous oppressing environment for journalists in Iraq.</w:t>
      </w:r>
    </w:p>
    <w:p w14:paraId="7940F580" w14:textId="77777777" w:rsidR="00674F1E" w:rsidRPr="00373AAC" w:rsidRDefault="00674F1E" w:rsidP="00674F1E">
      <w:pPr>
        <w:rPr>
          <w:lang w:val="en-US"/>
        </w:rPr>
      </w:pPr>
    </w:p>
    <w:p w14:paraId="4C173ADE" w14:textId="7771A6B5" w:rsidR="00674F1E" w:rsidRDefault="00674F1E" w:rsidP="00674F1E">
      <w:pPr>
        <w:rPr>
          <w:lang w:val="en-US"/>
        </w:rPr>
      </w:pPr>
      <w:r>
        <w:rPr>
          <w:lang w:val="en-US"/>
        </w:rPr>
        <w:t xml:space="preserve">Although the Iraqi Constitution protects freedom of </w:t>
      </w:r>
      <w:r w:rsidR="007A136F">
        <w:rPr>
          <w:lang w:val="en-US"/>
        </w:rPr>
        <w:t>opinion</w:t>
      </w:r>
      <w:r>
        <w:rPr>
          <w:lang w:val="en-US"/>
        </w:rPr>
        <w:t xml:space="preserve"> and expression, and the State party affirms in its r</w:t>
      </w:r>
      <w:r w:rsidR="007A136F">
        <w:rPr>
          <w:lang w:val="en-US"/>
        </w:rPr>
        <w:t>e</w:t>
      </w:r>
      <w:r>
        <w:rPr>
          <w:lang w:val="en-US"/>
        </w:rPr>
        <w:t>port that the “</w:t>
      </w:r>
      <w:r w:rsidRPr="007B5956">
        <w:rPr>
          <w:i/>
          <w:iCs/>
          <w:lang w:val="en-US"/>
        </w:rPr>
        <w:t>exercise of the right to freedom of opinion and expression is the cornerstone of the democratic system that has been growing steadily since 2003</w:t>
      </w:r>
      <w:r>
        <w:rPr>
          <w:lang w:val="en-US"/>
        </w:rPr>
        <w:t>”</w:t>
      </w:r>
      <w:r w:rsidR="007A136F">
        <w:rPr>
          <w:lang w:val="en-US"/>
        </w:rPr>
        <w:t>,</w:t>
      </w:r>
      <w:r>
        <w:rPr>
          <w:rStyle w:val="FootnoteReference"/>
          <w:lang w:val="en-US"/>
        </w:rPr>
        <w:footnoteReference w:id="7"/>
      </w:r>
      <w:r>
        <w:rPr>
          <w:lang w:val="en-US"/>
        </w:rPr>
        <w:t xml:space="preserve"> Alkarama is concerned about the increased political persecution against dissenting voices in Iraq. There is an ostensible practice of targeting Iraqis who criticize officials or the government for retaliatory attacks.</w:t>
      </w:r>
    </w:p>
    <w:p w14:paraId="323A41DF" w14:textId="77777777" w:rsidR="00674F1E" w:rsidRDefault="00674F1E" w:rsidP="00674F1E">
      <w:pPr>
        <w:rPr>
          <w:lang w:val="en-US"/>
        </w:rPr>
      </w:pPr>
    </w:p>
    <w:p w14:paraId="7FFDDF13" w14:textId="5E1565CA" w:rsidR="00674F1E" w:rsidRDefault="00674F1E" w:rsidP="00674F1E">
      <w:pPr>
        <w:rPr>
          <w:lang w:val="en-US"/>
        </w:rPr>
      </w:pPr>
      <w:r>
        <w:rPr>
          <w:lang w:val="en-US"/>
        </w:rPr>
        <w:t>In 2017</w:t>
      </w:r>
      <w:r w:rsidR="007A136F">
        <w:rPr>
          <w:lang w:val="en-US"/>
        </w:rPr>
        <w:t>,</w:t>
      </w:r>
      <w:r>
        <w:rPr>
          <w:lang w:val="en-US"/>
        </w:rPr>
        <w:t xml:space="preserve"> Alkarama brought to the attention of the UN Special Rapporteur on Freedom of Expression the case of Samir Al Daami, an Iraqi-Norwegian political commentator who was arrested in October 2017, after publishing a post on Facebook the day before criticizing Iraq’s prime minister Haider al-Abadi’s energy policy. He was held </w:t>
      </w:r>
      <w:r w:rsidRPr="00463E58">
        <w:rPr>
          <w:i/>
          <w:iCs/>
          <w:lang w:val="en-US"/>
        </w:rPr>
        <w:t>incommunicado</w:t>
      </w:r>
      <w:r>
        <w:rPr>
          <w:lang w:val="en-US"/>
        </w:rPr>
        <w:t xml:space="preserve"> and released after nearly two months in prison</w:t>
      </w:r>
      <w:r w:rsidR="007A136F">
        <w:rPr>
          <w:lang w:val="en-US"/>
        </w:rPr>
        <w:t>.</w:t>
      </w:r>
      <w:r>
        <w:rPr>
          <w:rStyle w:val="FootnoteReference"/>
          <w:lang w:val="en-US"/>
        </w:rPr>
        <w:footnoteReference w:id="8"/>
      </w:r>
    </w:p>
    <w:p w14:paraId="4963DEA7" w14:textId="77777777" w:rsidR="00674F1E" w:rsidRDefault="00674F1E" w:rsidP="00674F1E">
      <w:pPr>
        <w:rPr>
          <w:lang w:val="en-US"/>
        </w:rPr>
      </w:pPr>
    </w:p>
    <w:p w14:paraId="133E3D3B" w14:textId="73B1A4B4" w:rsidR="00674F1E" w:rsidRDefault="00674F1E" w:rsidP="00857B84">
      <w:pPr>
        <w:rPr>
          <w:lang w:val="en-US"/>
        </w:rPr>
      </w:pPr>
      <w:r>
        <w:rPr>
          <w:lang w:val="en-US"/>
        </w:rPr>
        <w:t xml:space="preserve">Following the same pattern, </w:t>
      </w:r>
      <w:r w:rsidR="00857B84">
        <w:rPr>
          <w:lang w:val="en-US"/>
        </w:rPr>
        <w:t xml:space="preserve">on 30 November 2019, </w:t>
      </w:r>
      <w:r>
        <w:rPr>
          <w:lang w:val="en-US"/>
        </w:rPr>
        <w:t>the journalist Khalil Abed Khalil Al Jumaili, posted in his personal Facebook page “</w:t>
      </w:r>
      <w:r w:rsidRPr="00E31BAC">
        <w:rPr>
          <w:i/>
          <w:iCs/>
          <w:lang w:val="en-US"/>
        </w:rPr>
        <w:t>the blood of the Martyrs in Nasiriyah is more honorable than all the murderous politicians</w:t>
      </w:r>
      <w:r>
        <w:rPr>
          <w:lang w:val="en-US"/>
        </w:rPr>
        <w:t>”, referring to the massacre in Nasiriyah in Dhi Qar Province, allegedly conducted by Security Forces of the State Party. At 8pm of the same day</w:t>
      </w:r>
      <w:r w:rsidR="007A136F">
        <w:rPr>
          <w:lang w:val="en-US"/>
        </w:rPr>
        <w:t>,</w:t>
      </w:r>
      <w:r>
        <w:rPr>
          <w:lang w:val="en-US"/>
        </w:rPr>
        <w:t xml:space="preserve"> members of the Iraqi National Intelligence Service stormed into his house and took him to an unknown place. A few days later, Al Jumaili’s brother tried to post about the arrest on Twitter, but was threatened by officers of Al Halbousi who told him not to publish anything or he would not see his brother again. Al Jumaili was released on 6 January 2020.</w:t>
      </w:r>
    </w:p>
    <w:p w14:paraId="55BFB0E9" w14:textId="77777777" w:rsidR="00674F1E" w:rsidRDefault="00674F1E" w:rsidP="00674F1E">
      <w:pPr>
        <w:tabs>
          <w:tab w:val="left" w:pos="540"/>
        </w:tabs>
        <w:suppressAutoHyphens/>
        <w:autoSpaceDN w:val="0"/>
        <w:spacing w:before="100" w:beforeAutospacing="1" w:after="100" w:afterAutospacing="1"/>
        <w:ind w:right="567"/>
        <w:textAlignment w:val="baseline"/>
        <w:rPr>
          <w:rFonts w:eastAsia="Times New Roman" w:cs="Times New Roman"/>
          <w:b/>
          <w:bCs/>
          <w:i/>
          <w:iCs/>
          <w:kern w:val="3"/>
          <w:lang w:eastAsia="zh-CN"/>
        </w:rPr>
      </w:pPr>
      <w:r w:rsidRPr="00A44FDD">
        <w:rPr>
          <w:rFonts w:eastAsia="Times New Roman" w:cs="Times New Roman"/>
          <w:b/>
          <w:bCs/>
          <w:i/>
          <w:iCs/>
          <w:kern w:val="3"/>
          <w:lang w:eastAsia="zh-CN"/>
        </w:rPr>
        <w:t>Question</w:t>
      </w:r>
      <w:r>
        <w:rPr>
          <w:rFonts w:eastAsia="Times New Roman" w:cs="Times New Roman"/>
          <w:b/>
          <w:bCs/>
          <w:i/>
          <w:iCs/>
          <w:kern w:val="3"/>
          <w:lang w:eastAsia="zh-CN"/>
        </w:rPr>
        <w:t>s</w:t>
      </w:r>
      <w:r w:rsidRPr="00A44FDD">
        <w:rPr>
          <w:rFonts w:eastAsia="Times New Roman" w:cs="Times New Roman"/>
          <w:b/>
          <w:bCs/>
          <w:i/>
          <w:iCs/>
          <w:kern w:val="3"/>
          <w:lang w:eastAsia="zh-CN"/>
        </w:rPr>
        <w:t>:</w:t>
      </w:r>
    </w:p>
    <w:p w14:paraId="35F2C87E" w14:textId="7C7D7736" w:rsidR="00674F1E" w:rsidRDefault="00674F1E" w:rsidP="00674F1E">
      <w:pPr>
        <w:numPr>
          <w:ilvl w:val="0"/>
          <w:numId w:val="4"/>
        </w:numPr>
        <w:rPr>
          <w:i/>
          <w:iCs/>
        </w:rPr>
      </w:pPr>
      <w:r w:rsidRPr="004C2835">
        <w:rPr>
          <w:i/>
          <w:iCs/>
        </w:rPr>
        <w:t>What measures is the State Party taking to ensure the</w:t>
      </w:r>
      <w:r w:rsidR="007A136F">
        <w:rPr>
          <w:i/>
          <w:iCs/>
        </w:rPr>
        <w:t xml:space="preserve"> protection of the right to</w:t>
      </w:r>
      <w:r w:rsidRPr="004C2835">
        <w:rPr>
          <w:i/>
          <w:iCs/>
        </w:rPr>
        <w:t xml:space="preserve"> freedom of opinion and expression provided in article 38 of the Iraqi Constitution and 19 of the ICCPR?</w:t>
      </w:r>
    </w:p>
    <w:p w14:paraId="3E024830" w14:textId="77777777" w:rsidR="00674F1E" w:rsidRDefault="00674F1E" w:rsidP="00674F1E">
      <w:pPr>
        <w:ind w:left="720"/>
        <w:rPr>
          <w:i/>
          <w:iCs/>
        </w:rPr>
      </w:pPr>
    </w:p>
    <w:p w14:paraId="78983F0A" w14:textId="745353A4" w:rsidR="00674F1E" w:rsidRDefault="00674F1E" w:rsidP="00674F1E">
      <w:pPr>
        <w:numPr>
          <w:ilvl w:val="0"/>
          <w:numId w:val="4"/>
        </w:numPr>
        <w:rPr>
          <w:i/>
          <w:iCs/>
        </w:rPr>
      </w:pPr>
      <w:r>
        <w:rPr>
          <w:i/>
          <w:iCs/>
        </w:rPr>
        <w:t>Have any legal action</w:t>
      </w:r>
      <w:r w:rsidR="007A136F">
        <w:rPr>
          <w:i/>
          <w:iCs/>
        </w:rPr>
        <w:t>s</w:t>
      </w:r>
      <w:r>
        <w:rPr>
          <w:i/>
          <w:iCs/>
        </w:rPr>
        <w:t xml:space="preserve"> been taken by the Ministry of the Interior concerning abuses against journalists? What measures have been taken to ensure accountability for perpetrators? </w:t>
      </w:r>
    </w:p>
    <w:p w14:paraId="03B7482A" w14:textId="77777777" w:rsidR="00674F1E" w:rsidRDefault="00674F1E" w:rsidP="00674F1E">
      <w:pPr>
        <w:rPr>
          <w:i/>
          <w:iCs/>
        </w:rPr>
      </w:pPr>
    </w:p>
    <w:p w14:paraId="29582B88" w14:textId="77777777" w:rsidR="00674F1E" w:rsidRDefault="00674F1E" w:rsidP="00674F1E"/>
    <w:p w14:paraId="368AC3B1" w14:textId="77777777" w:rsidR="00674F1E" w:rsidRPr="004C2835" w:rsidRDefault="00674F1E" w:rsidP="00674F1E">
      <w:pPr>
        <w:pStyle w:val="Heading1"/>
      </w:pPr>
      <w:bookmarkStart w:id="8" w:name="_Toc40878963"/>
      <w:r>
        <w:t xml:space="preserve">The Right to Freedom of </w:t>
      </w:r>
      <w:r w:rsidR="007A136F">
        <w:t xml:space="preserve">Peaceful </w:t>
      </w:r>
      <w:r>
        <w:t>Assembly (Article 21)</w:t>
      </w:r>
      <w:bookmarkEnd w:id="8"/>
    </w:p>
    <w:p w14:paraId="04823B7D" w14:textId="77777777" w:rsidR="00674F1E" w:rsidRDefault="00674F1E" w:rsidP="00674F1E"/>
    <w:p w14:paraId="1330EA41" w14:textId="511FEA5F" w:rsidR="00674F1E" w:rsidRDefault="00674F1E" w:rsidP="00674F1E">
      <w:r>
        <w:t>In October 2019</w:t>
      </w:r>
      <w:r w:rsidR="007A136F">
        <w:t>,</w:t>
      </w:r>
      <w:r>
        <w:t xml:space="preserve"> </w:t>
      </w:r>
      <w:r w:rsidR="007A136F">
        <w:t>a</w:t>
      </w:r>
      <w:r>
        <w:t xml:space="preserve"> wave of protests rose in Iraq and continued for months, with thousands of demonstrators demanding better public services, the end of corruption and more job opportunities. Even though the right to peaceful assembly should be protected through article 21 </w:t>
      </w:r>
      <w:r w:rsidR="007A136F">
        <w:t>I</w:t>
      </w:r>
      <w:r>
        <w:t>CCPR, security personnel answered using excessive force and violence against demonstrators, causing injuries and</w:t>
      </w:r>
      <w:r w:rsidR="007A136F">
        <w:t xml:space="preserve"> hundreds of</w:t>
      </w:r>
      <w:r>
        <w:t xml:space="preserve"> death</w:t>
      </w:r>
      <w:r w:rsidR="007A136F">
        <w:t>s.</w:t>
      </w:r>
      <w:r>
        <w:rPr>
          <w:rStyle w:val="FootnoteReference"/>
        </w:rPr>
        <w:footnoteReference w:id="9"/>
      </w:r>
    </w:p>
    <w:p w14:paraId="09C29B11" w14:textId="77777777" w:rsidR="00674F1E" w:rsidRDefault="00674F1E" w:rsidP="00674F1E">
      <w:pPr>
        <w:tabs>
          <w:tab w:val="left" w:pos="540"/>
        </w:tabs>
        <w:suppressAutoHyphens/>
        <w:autoSpaceDN w:val="0"/>
        <w:spacing w:before="100" w:beforeAutospacing="1" w:after="100" w:afterAutospacing="1"/>
        <w:ind w:right="567"/>
        <w:textAlignment w:val="baseline"/>
        <w:rPr>
          <w:rFonts w:eastAsia="Times New Roman" w:cs="Times New Roman"/>
          <w:b/>
          <w:bCs/>
          <w:i/>
          <w:iCs/>
          <w:kern w:val="3"/>
          <w:lang w:eastAsia="zh-CN"/>
        </w:rPr>
      </w:pPr>
      <w:r w:rsidRPr="00A44FDD">
        <w:rPr>
          <w:rFonts w:eastAsia="Times New Roman" w:cs="Times New Roman"/>
          <w:b/>
          <w:bCs/>
          <w:i/>
          <w:iCs/>
          <w:kern w:val="3"/>
          <w:lang w:eastAsia="zh-CN"/>
        </w:rPr>
        <w:t>Question</w:t>
      </w:r>
      <w:r>
        <w:rPr>
          <w:rFonts w:eastAsia="Times New Roman" w:cs="Times New Roman"/>
          <w:b/>
          <w:bCs/>
          <w:i/>
          <w:iCs/>
          <w:kern w:val="3"/>
          <w:lang w:eastAsia="zh-CN"/>
        </w:rPr>
        <w:t>s</w:t>
      </w:r>
      <w:r w:rsidRPr="00A44FDD">
        <w:rPr>
          <w:rFonts w:eastAsia="Times New Roman" w:cs="Times New Roman"/>
          <w:b/>
          <w:bCs/>
          <w:i/>
          <w:iCs/>
          <w:kern w:val="3"/>
          <w:lang w:eastAsia="zh-CN"/>
        </w:rPr>
        <w:t>:</w:t>
      </w:r>
    </w:p>
    <w:p w14:paraId="09C39A7E" w14:textId="506F0F95" w:rsidR="00674F1E" w:rsidRDefault="00674F1E" w:rsidP="00463E58">
      <w:pPr>
        <w:ind w:left="709" w:hanging="349"/>
        <w:jc w:val="left"/>
        <w:rPr>
          <w:i/>
          <w:iCs/>
        </w:rPr>
      </w:pPr>
      <w:r>
        <w:rPr>
          <w:i/>
          <w:iCs/>
        </w:rPr>
        <w:t xml:space="preserve">6.   </w:t>
      </w:r>
      <w:r w:rsidRPr="0064674E">
        <w:rPr>
          <w:i/>
          <w:iCs/>
        </w:rPr>
        <w:t xml:space="preserve">What measures </w:t>
      </w:r>
      <w:r w:rsidR="007A136F">
        <w:rPr>
          <w:i/>
          <w:iCs/>
        </w:rPr>
        <w:t xml:space="preserve">has </w:t>
      </w:r>
      <w:r w:rsidRPr="0064674E">
        <w:rPr>
          <w:i/>
          <w:iCs/>
        </w:rPr>
        <w:t>the State party take</w:t>
      </w:r>
      <w:r w:rsidR="007A136F">
        <w:rPr>
          <w:i/>
          <w:iCs/>
        </w:rPr>
        <w:t>n</w:t>
      </w:r>
      <w:r w:rsidRPr="0064674E">
        <w:rPr>
          <w:i/>
          <w:iCs/>
        </w:rPr>
        <w:t xml:space="preserve"> to guarantee the right to freedom of</w:t>
      </w:r>
      <w:r>
        <w:rPr>
          <w:i/>
          <w:iCs/>
        </w:rPr>
        <w:t xml:space="preserve"> </w:t>
      </w:r>
      <w:r w:rsidRPr="0064674E">
        <w:rPr>
          <w:i/>
          <w:iCs/>
        </w:rPr>
        <w:t>peaceful assembly as prescribed by Article 21 of the ICCPR?</w:t>
      </w:r>
    </w:p>
    <w:p w14:paraId="21BF33B9" w14:textId="77777777" w:rsidR="00674F1E" w:rsidRDefault="00674F1E" w:rsidP="00674F1E"/>
    <w:p w14:paraId="3F2FFCE6" w14:textId="5628C903" w:rsidR="00674F1E" w:rsidRDefault="007A136F" w:rsidP="00B435D0">
      <w:r>
        <w:t xml:space="preserve">During the </w:t>
      </w:r>
      <w:r w:rsidR="00674F1E">
        <w:t>protests, cases of arbitrary detention and enforced disappearances</w:t>
      </w:r>
      <w:r>
        <w:t xml:space="preserve"> have also sharply increased</w:t>
      </w:r>
      <w:r w:rsidR="00674F1E">
        <w:t xml:space="preserve">. </w:t>
      </w:r>
      <w:r>
        <w:t>O</w:t>
      </w:r>
      <w:r w:rsidR="00674F1E" w:rsidRPr="00C94F44">
        <w:t>n 29 November</w:t>
      </w:r>
      <w:r>
        <w:t>,</w:t>
      </w:r>
      <w:r w:rsidR="00674F1E" w:rsidRPr="00C94F44">
        <w:t xml:space="preserve"> </w:t>
      </w:r>
      <w:r w:rsidR="00674F1E">
        <w:t>t</w:t>
      </w:r>
      <w:r w:rsidR="00674F1E" w:rsidRPr="00C94F44">
        <w:t>he Iraqi High Commission for Human Rights updated its infor</w:t>
      </w:r>
      <w:r w:rsidR="00674F1E">
        <w:t xml:space="preserve">mation </w:t>
      </w:r>
      <w:r>
        <w:t>o</w:t>
      </w:r>
      <w:r w:rsidR="00674F1E">
        <w:t>n its social media page</w:t>
      </w:r>
      <w:r w:rsidR="00674F1E" w:rsidRPr="00C94F44">
        <w:t>, indicating that the number of arrests was up to 187 protestors in 4 different cities</w:t>
      </w:r>
      <w:r>
        <w:t>.</w:t>
      </w:r>
      <w:r w:rsidR="00674F1E">
        <w:rPr>
          <w:rStyle w:val="FootnoteReference"/>
        </w:rPr>
        <w:footnoteReference w:id="10"/>
      </w:r>
      <w:r w:rsidR="00674F1E" w:rsidRPr="00C94F44">
        <w:t xml:space="preserve"> </w:t>
      </w:r>
      <w:r w:rsidR="00674F1E">
        <w:t xml:space="preserve">Alkarama submitted to the Committee on Enforced Disappearances a number of cases of protesters who were </w:t>
      </w:r>
      <w:r w:rsidR="00B435D0">
        <w:t>forcibly</w:t>
      </w:r>
      <w:r w:rsidR="00674F1E">
        <w:t xml:space="preserve"> disappeared and detained for interrogation about their participation in the </w:t>
      </w:r>
      <w:r>
        <w:t>demonstrations.</w:t>
      </w:r>
    </w:p>
    <w:p w14:paraId="2F05E257" w14:textId="77777777" w:rsidR="00674F1E" w:rsidRDefault="00674F1E" w:rsidP="00674F1E"/>
    <w:p w14:paraId="0FC8F4D5" w14:textId="24A90740" w:rsidR="00674F1E" w:rsidRDefault="00674F1E" w:rsidP="00B435D0">
      <w:pPr>
        <w:rPr>
          <w:lang w:val="en-US"/>
        </w:rPr>
      </w:pPr>
      <w:r>
        <w:rPr>
          <w:lang w:val="en-US"/>
        </w:rPr>
        <w:t>On 5 November 2019</w:t>
      </w:r>
      <w:r w:rsidR="007A136F">
        <w:rPr>
          <w:lang w:val="en-US"/>
        </w:rPr>
        <w:t>,</w:t>
      </w:r>
      <w:r>
        <w:rPr>
          <w:lang w:val="en-US"/>
        </w:rPr>
        <w:t xml:space="preserve"> </w:t>
      </w:r>
      <w:r w:rsidRPr="0057093C">
        <w:rPr>
          <w:lang w:val="en-US"/>
        </w:rPr>
        <w:t>Shakir Ra'ed Ni'ema Al Khafaji</w:t>
      </w:r>
      <w:r>
        <w:rPr>
          <w:lang w:val="en-US"/>
        </w:rPr>
        <w:t xml:space="preserve">, 15 years old, was returning home after participating in a protest in Al Tahrir square when his phone was powered off and he disappeared. </w:t>
      </w:r>
      <w:r w:rsidRPr="00F50F68">
        <w:rPr>
          <w:lang w:val="en-US"/>
        </w:rPr>
        <w:t>The family believe</w:t>
      </w:r>
      <w:r w:rsidR="00B435D0">
        <w:rPr>
          <w:lang w:val="en-US"/>
        </w:rPr>
        <w:t>s</w:t>
      </w:r>
      <w:r w:rsidRPr="00F50F68">
        <w:rPr>
          <w:lang w:val="en-US"/>
        </w:rPr>
        <w:t xml:space="preserve"> he was abducted by Iraqi security forces or by a state sponsored militia giving the arising number of arrests in the same nature committed by these actors. </w:t>
      </w:r>
      <w:r>
        <w:rPr>
          <w:lang w:val="en-US"/>
        </w:rPr>
        <w:t>He was released on 28 December 2019.</w:t>
      </w:r>
    </w:p>
    <w:p w14:paraId="2B653EF6" w14:textId="77777777" w:rsidR="00674F1E" w:rsidRDefault="00674F1E" w:rsidP="00674F1E">
      <w:pPr>
        <w:rPr>
          <w:lang w:val="en-US"/>
        </w:rPr>
      </w:pPr>
    </w:p>
    <w:p w14:paraId="662D23F4" w14:textId="77777777" w:rsidR="00674F1E" w:rsidRPr="00E40019" w:rsidRDefault="00674F1E" w:rsidP="00674F1E">
      <w:pPr>
        <w:rPr>
          <w:lang w:val="en-US"/>
        </w:rPr>
      </w:pPr>
      <w:r w:rsidRPr="00E40019">
        <w:rPr>
          <w:lang w:val="en-US"/>
        </w:rPr>
        <w:t xml:space="preserve">Omar Kate'e Kazim Al-Ekaili </w:t>
      </w:r>
      <w:r>
        <w:rPr>
          <w:lang w:val="en-US"/>
        </w:rPr>
        <w:t>was</w:t>
      </w:r>
      <w:r w:rsidRPr="00E40019">
        <w:rPr>
          <w:lang w:val="en-US"/>
        </w:rPr>
        <w:t xml:space="preserve"> a driv</w:t>
      </w:r>
      <w:r>
        <w:rPr>
          <w:lang w:val="en-US"/>
        </w:rPr>
        <w:t xml:space="preserve">ing force in the demonstrations, sending videos about the protests to NGOs and </w:t>
      </w:r>
      <w:r w:rsidR="007A136F">
        <w:rPr>
          <w:lang w:val="en-US"/>
        </w:rPr>
        <w:t xml:space="preserve">the </w:t>
      </w:r>
      <w:r>
        <w:rPr>
          <w:lang w:val="en-US"/>
        </w:rPr>
        <w:t>media. He was arrested by intelligence officers wearing civilian clothes on 21 November 2019 when leaving Al Tahrir square. He had received death threats days before his abduction. The case has not yet been clarified.</w:t>
      </w:r>
    </w:p>
    <w:p w14:paraId="6CC93782" w14:textId="77777777" w:rsidR="00674F1E" w:rsidRPr="00E40019" w:rsidRDefault="00674F1E" w:rsidP="00674F1E">
      <w:pPr>
        <w:rPr>
          <w:lang w:val="en-US"/>
        </w:rPr>
      </w:pPr>
    </w:p>
    <w:p w14:paraId="7E635755" w14:textId="77777777" w:rsidR="00674F1E" w:rsidRDefault="00674F1E" w:rsidP="00674F1E">
      <w:pPr>
        <w:rPr>
          <w:lang w:val="en-US"/>
        </w:rPr>
      </w:pPr>
      <w:r>
        <w:rPr>
          <w:lang w:val="en-US"/>
        </w:rPr>
        <w:t xml:space="preserve">On 26 November 2019, </w:t>
      </w:r>
      <w:r w:rsidRPr="000B6E26">
        <w:rPr>
          <w:lang w:val="en-US"/>
        </w:rPr>
        <w:t>Ali Khodr Abed Al Abbas</w:t>
      </w:r>
      <w:r w:rsidRPr="00F50F68">
        <w:rPr>
          <w:lang w:val="en-US"/>
        </w:rPr>
        <w:t xml:space="preserve"> </w:t>
      </w:r>
      <w:r w:rsidRPr="000B6E26">
        <w:rPr>
          <w:lang w:val="en-US"/>
        </w:rPr>
        <w:t>A</w:t>
      </w:r>
      <w:r>
        <w:rPr>
          <w:lang w:val="en-US"/>
        </w:rPr>
        <w:t xml:space="preserve">l Sudani, 16 years old, on his way to participate in a protest in Al Tahrir square, was arrested with other protesters holding Iraqi flags by the </w:t>
      </w:r>
      <w:r w:rsidRPr="00F50F68">
        <w:rPr>
          <w:lang w:val="en-US"/>
        </w:rPr>
        <w:t>by members of Intelligence Agency affiliated to Baghdad Operations</w:t>
      </w:r>
      <w:r>
        <w:rPr>
          <w:lang w:val="en-US"/>
        </w:rPr>
        <w:t xml:space="preserve">. He was held </w:t>
      </w:r>
      <w:r w:rsidRPr="00463E58">
        <w:rPr>
          <w:i/>
          <w:iCs/>
          <w:lang w:val="en-US"/>
        </w:rPr>
        <w:t>incommunicado</w:t>
      </w:r>
      <w:r>
        <w:rPr>
          <w:lang w:val="en-US"/>
        </w:rPr>
        <w:t xml:space="preserve"> and released on 15 December 2019.</w:t>
      </w:r>
    </w:p>
    <w:p w14:paraId="441A414E" w14:textId="77777777" w:rsidR="00674F1E" w:rsidRPr="0057093C" w:rsidRDefault="00674F1E" w:rsidP="00674F1E">
      <w:pPr>
        <w:rPr>
          <w:lang w:val="en-US"/>
        </w:rPr>
      </w:pPr>
    </w:p>
    <w:p w14:paraId="3E4816B1" w14:textId="3AD5A703" w:rsidR="00674F1E" w:rsidRDefault="007A136F" w:rsidP="00674F1E">
      <w:r>
        <w:t>We note however that t</w:t>
      </w:r>
      <w:r w:rsidR="00674F1E">
        <w:t>his practi</w:t>
      </w:r>
      <w:r>
        <w:t>c</w:t>
      </w:r>
      <w:r w:rsidR="00674F1E">
        <w:t xml:space="preserve">e of retaliation against protesters </w:t>
      </w:r>
      <w:r>
        <w:t>is not new</w:t>
      </w:r>
      <w:r w:rsidR="00674F1E">
        <w:t xml:space="preserve">. Already in 2018, Alkarama registered similar cases of </w:t>
      </w:r>
      <w:r>
        <w:t>enforced disappearances, torture,</w:t>
      </w:r>
      <w:r w:rsidR="00674F1E">
        <w:t xml:space="preserve"> and arbitrary detentions.</w:t>
      </w:r>
    </w:p>
    <w:p w14:paraId="6E9B5778" w14:textId="77777777" w:rsidR="00674F1E" w:rsidRDefault="00674F1E" w:rsidP="00674F1E"/>
    <w:p w14:paraId="58778842" w14:textId="6D025208" w:rsidR="00674F1E" w:rsidRDefault="00674F1E" w:rsidP="00674F1E">
      <w:r>
        <w:t xml:space="preserve">As an example, </w:t>
      </w:r>
      <w:r w:rsidR="007A136F">
        <w:t>i</w:t>
      </w:r>
      <w:r>
        <w:t>n July 2018 two political activists participating to a peaceful manifestation, Karim Al Shammari and Safaa Al Khafaji, were beaten with wooden sticks and batons and forced into a car by the Federal Police, where they were again severely beaten. Due to the injuries, Al Shammari and Al Khafaji were unable to move after they were allowed to leave the car</w:t>
      </w:r>
      <w:r w:rsidR="007A136F">
        <w:t>.</w:t>
      </w:r>
      <w:r>
        <w:rPr>
          <w:rStyle w:val="FootnoteReference"/>
        </w:rPr>
        <w:footnoteReference w:id="11"/>
      </w:r>
    </w:p>
    <w:p w14:paraId="7CB33AF1" w14:textId="77777777" w:rsidR="00674F1E" w:rsidRDefault="00674F1E" w:rsidP="00674F1E">
      <w:pPr>
        <w:tabs>
          <w:tab w:val="left" w:pos="540"/>
        </w:tabs>
        <w:suppressAutoHyphens/>
        <w:autoSpaceDN w:val="0"/>
        <w:spacing w:before="100" w:beforeAutospacing="1" w:after="100" w:afterAutospacing="1"/>
        <w:ind w:right="567"/>
        <w:textAlignment w:val="baseline"/>
        <w:rPr>
          <w:rFonts w:eastAsia="Times New Roman" w:cs="Times New Roman"/>
          <w:b/>
          <w:bCs/>
          <w:i/>
          <w:iCs/>
          <w:kern w:val="3"/>
          <w:lang w:eastAsia="zh-CN"/>
        </w:rPr>
      </w:pPr>
      <w:r w:rsidRPr="00A44FDD">
        <w:rPr>
          <w:rFonts w:eastAsia="Times New Roman" w:cs="Times New Roman"/>
          <w:b/>
          <w:bCs/>
          <w:i/>
          <w:iCs/>
          <w:kern w:val="3"/>
          <w:lang w:eastAsia="zh-CN"/>
        </w:rPr>
        <w:t>Question</w:t>
      </w:r>
      <w:r>
        <w:rPr>
          <w:rFonts w:eastAsia="Times New Roman" w:cs="Times New Roman"/>
          <w:b/>
          <w:bCs/>
          <w:i/>
          <w:iCs/>
          <w:kern w:val="3"/>
          <w:lang w:eastAsia="zh-CN"/>
        </w:rPr>
        <w:t>s</w:t>
      </w:r>
      <w:r w:rsidRPr="00A44FDD">
        <w:rPr>
          <w:rFonts w:eastAsia="Times New Roman" w:cs="Times New Roman"/>
          <w:b/>
          <w:bCs/>
          <w:i/>
          <w:iCs/>
          <w:kern w:val="3"/>
          <w:lang w:eastAsia="zh-CN"/>
        </w:rPr>
        <w:t>:</w:t>
      </w:r>
    </w:p>
    <w:p w14:paraId="02E93022" w14:textId="0D11E37D" w:rsidR="00674F1E" w:rsidRDefault="00674F1E" w:rsidP="00463E58">
      <w:pPr>
        <w:ind w:left="851" w:hanging="425"/>
        <w:rPr>
          <w:i/>
          <w:iCs/>
        </w:rPr>
      </w:pPr>
      <w:r>
        <w:rPr>
          <w:i/>
          <w:iCs/>
        </w:rPr>
        <w:t xml:space="preserve">7.   </w:t>
      </w:r>
      <w:r w:rsidRPr="0064674E">
        <w:rPr>
          <w:i/>
          <w:iCs/>
        </w:rPr>
        <w:t xml:space="preserve">What measures </w:t>
      </w:r>
      <w:r w:rsidR="007A136F">
        <w:rPr>
          <w:i/>
          <w:iCs/>
        </w:rPr>
        <w:t>has</w:t>
      </w:r>
      <w:r w:rsidRPr="0064674E">
        <w:rPr>
          <w:i/>
          <w:iCs/>
        </w:rPr>
        <w:t xml:space="preserve"> the State party take</w:t>
      </w:r>
      <w:r w:rsidR="007A136F">
        <w:rPr>
          <w:i/>
          <w:iCs/>
        </w:rPr>
        <w:t>n</w:t>
      </w:r>
      <w:r w:rsidRPr="0064674E">
        <w:rPr>
          <w:i/>
          <w:iCs/>
        </w:rPr>
        <w:t xml:space="preserve"> to guarantee the right to freedom of</w:t>
      </w:r>
      <w:r>
        <w:rPr>
          <w:i/>
          <w:iCs/>
        </w:rPr>
        <w:t xml:space="preserve"> </w:t>
      </w:r>
      <w:r w:rsidRPr="0064674E">
        <w:rPr>
          <w:i/>
          <w:iCs/>
        </w:rPr>
        <w:t>peaceful assembly as prescribed by Article 21 of the ICCPR?</w:t>
      </w:r>
    </w:p>
    <w:p w14:paraId="46E83023" w14:textId="77777777" w:rsidR="00674F1E" w:rsidRDefault="00674F1E" w:rsidP="00674F1E">
      <w:pPr>
        <w:ind w:left="426"/>
        <w:rPr>
          <w:lang w:val="en-US"/>
        </w:rPr>
      </w:pPr>
    </w:p>
    <w:p w14:paraId="548B99DD" w14:textId="0250D927" w:rsidR="00674F1E" w:rsidRDefault="00674F1E" w:rsidP="00463E58">
      <w:pPr>
        <w:ind w:left="851" w:hanging="425"/>
        <w:rPr>
          <w:i/>
          <w:iCs/>
          <w:lang w:val="en-US"/>
        </w:rPr>
      </w:pPr>
      <w:r>
        <w:rPr>
          <w:lang w:val="en-US"/>
        </w:rPr>
        <w:t>8.</w:t>
      </w:r>
      <w:r>
        <w:rPr>
          <w:lang w:val="en-US"/>
        </w:rPr>
        <w:tab/>
        <w:t xml:space="preserve"> </w:t>
      </w:r>
      <w:r w:rsidRPr="007514F8">
        <w:rPr>
          <w:i/>
          <w:iCs/>
          <w:lang w:val="en-US"/>
        </w:rPr>
        <w:t xml:space="preserve">Is the State Party conducting any investigation on cases of the protests-related violence, enforced disappearances and arbitrary detentions? </w:t>
      </w:r>
    </w:p>
    <w:p w14:paraId="0A9A9A64" w14:textId="77777777" w:rsidR="00674F1E" w:rsidRDefault="00674F1E" w:rsidP="00674F1E">
      <w:pPr>
        <w:ind w:left="426"/>
        <w:rPr>
          <w:i/>
          <w:iCs/>
          <w:lang w:val="en-US"/>
        </w:rPr>
      </w:pPr>
    </w:p>
    <w:p w14:paraId="68219F67" w14:textId="7032F368" w:rsidR="00674F1E" w:rsidRPr="006C4ED7" w:rsidRDefault="00674F1E" w:rsidP="00463E58">
      <w:pPr>
        <w:ind w:left="709" w:hanging="425"/>
        <w:rPr>
          <w:lang w:val="en-US"/>
        </w:rPr>
      </w:pPr>
      <w:r>
        <w:rPr>
          <w:i/>
          <w:iCs/>
          <w:lang w:val="en-US"/>
        </w:rPr>
        <w:t xml:space="preserve">9. </w:t>
      </w:r>
      <w:r w:rsidR="00463E58">
        <w:rPr>
          <w:i/>
          <w:iCs/>
          <w:lang w:val="en-US"/>
        </w:rPr>
        <w:t xml:space="preserve">    </w:t>
      </w:r>
      <w:r w:rsidRPr="007514F8">
        <w:rPr>
          <w:i/>
          <w:iCs/>
          <w:lang w:val="en-US"/>
        </w:rPr>
        <w:t>Which measures will the State Party take to ensure</w:t>
      </w:r>
      <w:r>
        <w:rPr>
          <w:i/>
          <w:iCs/>
          <w:lang w:val="en-US"/>
        </w:rPr>
        <w:t xml:space="preserve"> the accountability of perpetrators, including State</w:t>
      </w:r>
      <w:r w:rsidR="007A136F">
        <w:rPr>
          <w:i/>
          <w:iCs/>
          <w:lang w:val="en-US"/>
        </w:rPr>
        <w:t>-sponsored militias</w:t>
      </w:r>
      <w:r>
        <w:rPr>
          <w:i/>
          <w:iCs/>
          <w:lang w:val="en-US"/>
        </w:rPr>
        <w:t>?</w:t>
      </w:r>
      <w:r>
        <w:rPr>
          <w:lang w:val="en-US"/>
        </w:rPr>
        <w:t xml:space="preserve"> </w:t>
      </w:r>
    </w:p>
    <w:p w14:paraId="6CED31A5" w14:textId="77777777" w:rsidR="00674F1E" w:rsidRDefault="00674F1E" w:rsidP="00674F1E"/>
    <w:p w14:paraId="6296711D" w14:textId="77777777" w:rsidR="00674F1E" w:rsidRDefault="00674F1E" w:rsidP="00674F1E">
      <w:pPr>
        <w:pStyle w:val="Heading1"/>
        <w:spacing w:before="100" w:beforeAutospacing="1" w:after="100" w:afterAutospacing="1"/>
      </w:pPr>
      <w:bookmarkStart w:id="9" w:name="_Toc40878964"/>
      <w:r>
        <w:t>The Practice of Torture and the Breaches of the Right to Physical Integrity (articles 7 &amp; 10 of the Covenant)</w:t>
      </w:r>
      <w:bookmarkEnd w:id="9"/>
    </w:p>
    <w:p w14:paraId="0F850555" w14:textId="12DE5EAF" w:rsidR="00C961F7" w:rsidRPr="00E42780" w:rsidRDefault="00674F1E" w:rsidP="00B435D0">
      <w:pPr>
        <w:spacing w:before="100" w:beforeAutospacing="1" w:after="100" w:afterAutospacing="1"/>
      </w:pPr>
      <w:r w:rsidRPr="00E42780">
        <w:t>With regard to the prohibition of torture, we take note of the provisions prohibiting torture mentioned by Iraq in its report</w:t>
      </w:r>
      <w:r w:rsidR="007A136F" w:rsidRPr="00E42780">
        <w:t>.</w:t>
      </w:r>
      <w:r w:rsidRPr="00E42780">
        <w:rPr>
          <w:rStyle w:val="FootnoteReference"/>
        </w:rPr>
        <w:footnoteReference w:id="12"/>
      </w:r>
      <w:r w:rsidRPr="00E42780">
        <w:t xml:space="preserve"> </w:t>
      </w:r>
      <w:r w:rsidR="00937A7C" w:rsidRPr="00E42780">
        <w:t xml:space="preserve">Concerning the anti-torture bill cited, however, Alkarama notes that </w:t>
      </w:r>
      <w:r w:rsidR="00ED528A" w:rsidRPr="00E42780">
        <w:t xml:space="preserve">the </w:t>
      </w:r>
      <w:r w:rsidR="00ED528A" w:rsidRPr="0052177C">
        <w:rPr>
          <w:szCs w:val="20"/>
        </w:rPr>
        <w:t>draft</w:t>
      </w:r>
      <w:r w:rsidR="00937A7C" w:rsidRPr="0052177C">
        <w:rPr>
          <w:szCs w:val="20"/>
        </w:rPr>
        <w:t xml:space="preserve"> </w:t>
      </w:r>
      <w:r w:rsidR="00937A7C" w:rsidRPr="0052177C">
        <w:t>fails</w:t>
      </w:r>
      <w:r w:rsidR="00937A7C" w:rsidRPr="00E42780">
        <w:t xml:space="preserve"> to meet international standards, contrarily to what the State Party </w:t>
      </w:r>
      <w:r w:rsidR="00B435D0" w:rsidRPr="00E42780">
        <w:t>claims</w:t>
      </w:r>
      <w:r w:rsidR="00937A7C" w:rsidRPr="00E42780">
        <w:t>.</w:t>
      </w:r>
    </w:p>
    <w:p w14:paraId="2DC3733D" w14:textId="77E30FD3" w:rsidR="008472EB" w:rsidRPr="00E42780" w:rsidRDefault="00937A7C" w:rsidP="008472EB">
      <w:pPr>
        <w:spacing w:before="100" w:beforeAutospacing="1" w:after="100" w:afterAutospacing="1"/>
        <w:rPr>
          <w:szCs w:val="20"/>
        </w:rPr>
      </w:pPr>
      <w:r w:rsidRPr="00E42780">
        <w:t>According to Iraq’</w:t>
      </w:r>
      <w:r w:rsidR="00B435D0" w:rsidRPr="00E42780">
        <w:t>s</w:t>
      </w:r>
      <w:r w:rsidRPr="00E42780">
        <w:t xml:space="preserve"> government, </w:t>
      </w:r>
      <w:r w:rsidRPr="00E42780">
        <w:rPr>
          <w:i/>
          <w:iCs/>
          <w:szCs w:val="20"/>
        </w:rPr>
        <w:t>“the bill includes a definition of torture and inhuman or degrading treatment that is consistent with the Convention and with the views of the Committee”</w:t>
      </w:r>
      <w:r w:rsidRPr="00E42780">
        <w:rPr>
          <w:szCs w:val="20"/>
        </w:rPr>
        <w:t>.</w:t>
      </w:r>
      <w:r w:rsidRPr="00E42780">
        <w:rPr>
          <w:rStyle w:val="FootnoteReference"/>
        </w:rPr>
        <w:footnoteReference w:id="13"/>
      </w:r>
      <w:r w:rsidRPr="00E42780">
        <w:rPr>
          <w:szCs w:val="20"/>
        </w:rPr>
        <w:t xml:space="preserve"> </w:t>
      </w:r>
      <w:r w:rsidR="008472EB" w:rsidRPr="00E42780">
        <w:rPr>
          <w:szCs w:val="20"/>
        </w:rPr>
        <w:t>A</w:t>
      </w:r>
      <w:r w:rsidRPr="00E42780">
        <w:rPr>
          <w:szCs w:val="20"/>
        </w:rPr>
        <w:t>rticle 2 of the Ant</w:t>
      </w:r>
      <w:r w:rsidR="008472EB" w:rsidRPr="00E42780">
        <w:rPr>
          <w:szCs w:val="20"/>
        </w:rPr>
        <w:t>i</w:t>
      </w:r>
      <w:r w:rsidRPr="00E42780">
        <w:rPr>
          <w:szCs w:val="20"/>
        </w:rPr>
        <w:t>-Torture law draft</w:t>
      </w:r>
      <w:r w:rsidR="008472EB" w:rsidRPr="00E42780">
        <w:rPr>
          <w:szCs w:val="20"/>
        </w:rPr>
        <w:t xml:space="preserve"> defines torture as “</w:t>
      </w:r>
      <w:r w:rsidR="008472EB" w:rsidRPr="00E42780">
        <w:rPr>
          <w:i/>
          <w:iCs/>
          <w:szCs w:val="20"/>
        </w:rPr>
        <w:t>any act or inaction of an investigator, constituting an assault, which takes place in order to obtain a confession from a person during the stages of arrest, investigation or detention and which causes harm as a result of physical or psychological pain or suffering or inhuman or degrading treatment</w:t>
      </w:r>
      <w:r w:rsidR="008472EB" w:rsidRPr="00E42780">
        <w:rPr>
          <w:szCs w:val="20"/>
        </w:rPr>
        <w:t xml:space="preserve">”. </w:t>
      </w:r>
    </w:p>
    <w:p w14:paraId="50501D05" w14:textId="564B2E88" w:rsidR="00937A7C" w:rsidRPr="00ED528A" w:rsidRDefault="008472EB" w:rsidP="0052177C">
      <w:pPr>
        <w:spacing w:before="100" w:beforeAutospacing="1" w:after="100" w:afterAutospacing="1"/>
        <w:rPr>
          <w:highlight w:val="yellow"/>
        </w:rPr>
      </w:pPr>
      <w:r w:rsidRPr="00E42780">
        <w:rPr>
          <w:szCs w:val="20"/>
        </w:rPr>
        <w:t xml:space="preserve">This definition is nonetheless substantially more limited than the one </w:t>
      </w:r>
      <w:r w:rsidR="00762D25" w:rsidRPr="00E42780">
        <w:rPr>
          <w:szCs w:val="20"/>
        </w:rPr>
        <w:t>contained</w:t>
      </w:r>
      <w:r w:rsidRPr="00E42780">
        <w:rPr>
          <w:szCs w:val="20"/>
        </w:rPr>
        <w:t xml:space="preserve"> in article 1 of UNCAT</w:t>
      </w:r>
      <w:r w:rsidR="005C32F9" w:rsidRPr="00E42780">
        <w:rPr>
          <w:szCs w:val="20"/>
        </w:rPr>
        <w:t xml:space="preserve">. While the bill restricts </w:t>
      </w:r>
      <w:r w:rsidR="00ED528A" w:rsidRPr="0052177C">
        <w:rPr>
          <w:szCs w:val="20"/>
        </w:rPr>
        <w:t>torture to</w:t>
      </w:r>
      <w:r w:rsidR="0052177C" w:rsidRPr="0052177C">
        <w:rPr>
          <w:szCs w:val="20"/>
        </w:rPr>
        <w:t xml:space="preserve"> any</w:t>
      </w:r>
      <w:r w:rsidR="005C32F9" w:rsidRPr="0052177C">
        <w:rPr>
          <w:szCs w:val="20"/>
        </w:rPr>
        <w:t xml:space="preserve"> act or omission </w:t>
      </w:r>
      <w:r w:rsidR="005C32F9" w:rsidRPr="00E42780">
        <w:rPr>
          <w:szCs w:val="20"/>
        </w:rPr>
        <w:t xml:space="preserve">with the aim of extracting a confession within the context of arrest, investigation or detention, UNCAT also includes torture </w:t>
      </w:r>
      <w:r w:rsidR="00E42780" w:rsidRPr="00E42780">
        <w:rPr>
          <w:szCs w:val="20"/>
        </w:rPr>
        <w:t>as a form</w:t>
      </w:r>
      <w:r w:rsidR="005C32F9" w:rsidRPr="00E42780">
        <w:rPr>
          <w:szCs w:val="20"/>
        </w:rPr>
        <w:t xml:space="preserve"> of punishment, intimidation and coercion</w:t>
      </w:r>
      <w:r w:rsidR="00551500" w:rsidRPr="0052177C">
        <w:rPr>
          <w:szCs w:val="20"/>
        </w:rPr>
        <w:t>, of the victim or a third person</w:t>
      </w:r>
      <w:r w:rsidR="005C32F9" w:rsidRPr="0052177C">
        <w:rPr>
          <w:szCs w:val="20"/>
        </w:rPr>
        <w:t xml:space="preserve">. </w:t>
      </w:r>
      <w:r w:rsidR="009A3102" w:rsidRPr="0052177C">
        <w:rPr>
          <w:szCs w:val="20"/>
        </w:rPr>
        <w:t xml:space="preserve">Furthermore, </w:t>
      </w:r>
      <w:r w:rsidR="005C32F9" w:rsidRPr="0052177C">
        <w:rPr>
          <w:szCs w:val="20"/>
        </w:rPr>
        <w:t xml:space="preserve">the draft </w:t>
      </w:r>
      <w:r w:rsidR="0052177C" w:rsidRPr="0052177C">
        <w:rPr>
          <w:szCs w:val="20"/>
        </w:rPr>
        <w:t>restricts the act of torture as having been committed only by the investigating</w:t>
      </w:r>
      <w:r w:rsidR="005C32F9" w:rsidRPr="0052177C">
        <w:rPr>
          <w:szCs w:val="20"/>
        </w:rPr>
        <w:t xml:space="preserve"> </w:t>
      </w:r>
      <w:r w:rsidR="0052177C" w:rsidRPr="0052177C">
        <w:rPr>
          <w:szCs w:val="20"/>
        </w:rPr>
        <w:t>officer</w:t>
      </w:r>
      <w:r w:rsidR="005C32F9" w:rsidRPr="0052177C">
        <w:rPr>
          <w:szCs w:val="20"/>
        </w:rPr>
        <w:t xml:space="preserve">, while UNCAT includes </w:t>
      </w:r>
      <w:r w:rsidR="0052177C" w:rsidRPr="0052177C">
        <w:rPr>
          <w:szCs w:val="20"/>
        </w:rPr>
        <w:t xml:space="preserve">also </w:t>
      </w:r>
      <w:r w:rsidR="005C32F9" w:rsidRPr="0052177C">
        <w:rPr>
          <w:szCs w:val="20"/>
        </w:rPr>
        <w:t xml:space="preserve">any person acting </w:t>
      </w:r>
      <w:r w:rsidR="00551500" w:rsidRPr="0052177C">
        <w:rPr>
          <w:i/>
          <w:iCs/>
          <w:szCs w:val="20"/>
        </w:rPr>
        <w:t>“</w:t>
      </w:r>
      <w:r w:rsidR="005C32F9" w:rsidRPr="0052177C">
        <w:rPr>
          <w:i/>
          <w:iCs/>
          <w:szCs w:val="20"/>
        </w:rPr>
        <w:t>with the consent or acquiescence of a public official or other person acting in an official capacity</w:t>
      </w:r>
      <w:r w:rsidR="00551500" w:rsidRPr="0052177C">
        <w:rPr>
          <w:i/>
          <w:iCs/>
          <w:szCs w:val="20"/>
        </w:rPr>
        <w:t>”</w:t>
      </w:r>
      <w:r w:rsidR="005C32F9" w:rsidRPr="0052177C">
        <w:rPr>
          <w:szCs w:val="20"/>
        </w:rPr>
        <w:t>.</w:t>
      </w:r>
    </w:p>
    <w:p w14:paraId="488B3DF1" w14:textId="77777777" w:rsidR="00674F1E" w:rsidRPr="00E42780" w:rsidRDefault="00674F1E" w:rsidP="00674F1E">
      <w:pPr>
        <w:spacing w:before="100" w:beforeAutospacing="1" w:after="100" w:afterAutospacing="1"/>
        <w:rPr>
          <w:b/>
          <w:bCs/>
          <w:i/>
          <w:iCs/>
        </w:rPr>
      </w:pPr>
      <w:r w:rsidRPr="00E42780">
        <w:rPr>
          <w:b/>
          <w:bCs/>
          <w:i/>
          <w:iCs/>
        </w:rPr>
        <w:t>Question:</w:t>
      </w:r>
    </w:p>
    <w:p w14:paraId="6F928FCB" w14:textId="342A868C" w:rsidR="007B42CC" w:rsidRDefault="00674F1E" w:rsidP="00674F1E">
      <w:pPr>
        <w:spacing w:before="100" w:beforeAutospacing="1" w:after="100" w:afterAutospacing="1"/>
        <w:ind w:left="360"/>
        <w:rPr>
          <w:i/>
          <w:iCs/>
        </w:rPr>
      </w:pPr>
      <w:r w:rsidRPr="00E42780">
        <w:rPr>
          <w:i/>
          <w:iCs/>
        </w:rPr>
        <w:t xml:space="preserve">10.   </w:t>
      </w:r>
      <w:r w:rsidR="007B42CC" w:rsidRPr="00E42780">
        <w:rPr>
          <w:i/>
          <w:iCs/>
        </w:rPr>
        <w:t>How is the definition of torture of article 2 of the Anti-Torture bill compatible with international standards, notably article 2 of UNCAT?</w:t>
      </w:r>
    </w:p>
    <w:p w14:paraId="034D80A0" w14:textId="5CE310F4" w:rsidR="00674F1E" w:rsidRDefault="00674F1E" w:rsidP="00674F1E">
      <w:pPr>
        <w:spacing w:before="100" w:beforeAutospacing="1" w:after="100" w:afterAutospacing="1"/>
      </w:pPr>
      <w:r>
        <w:t xml:space="preserve">Although the prohibition of all forms of psychological and physical torture </w:t>
      </w:r>
      <w:r w:rsidRPr="00833CC2">
        <w:t>is enshrined in Iraqi’s</w:t>
      </w:r>
      <w:r>
        <w:t xml:space="preserve"> Constitution, the </w:t>
      </w:r>
      <w:r w:rsidRPr="004D79DB">
        <w:t>widespread character of the practice of secret detention and enforced disappearance</w:t>
      </w:r>
      <w:r>
        <w:t xml:space="preserve"> </w:t>
      </w:r>
      <w:r w:rsidRPr="004D79DB">
        <w:t>creates a breeding ground for the systematic use of torture against detainees.</w:t>
      </w:r>
      <w:r>
        <w:t xml:space="preserve"> </w:t>
      </w:r>
      <w:r w:rsidR="007143CC">
        <w:t>These past few</w:t>
      </w:r>
      <w:r>
        <w:t xml:space="preserve"> years</w:t>
      </w:r>
      <w:r w:rsidR="007143CC">
        <w:t>,</w:t>
      </w:r>
      <w:r>
        <w:t xml:space="preserve"> Alkarama has submitted numerous cases</w:t>
      </w:r>
      <w:r w:rsidR="007143CC">
        <w:t xml:space="preserve"> to</w:t>
      </w:r>
      <w:r>
        <w:t xml:space="preserve"> the </w:t>
      </w:r>
      <w:r w:rsidRPr="00ED0440">
        <w:t>Special Rapporteur on Torture and other Cruel, Inhumane, and Degrading Treatment</w:t>
      </w:r>
      <w:r>
        <w:t xml:space="preserve"> highlighting </w:t>
      </w:r>
      <w:r w:rsidR="007143CC">
        <w:t xml:space="preserve">a </w:t>
      </w:r>
      <w:r>
        <w:t>pattern of torture</w:t>
      </w:r>
      <w:r w:rsidR="007143CC">
        <w:t xml:space="preserve"> against detainees,</w:t>
      </w:r>
      <w:r>
        <w:t xml:space="preserve"> </w:t>
      </w:r>
      <w:r w:rsidR="007143CC">
        <w:t xml:space="preserve">including during periods of </w:t>
      </w:r>
      <w:r>
        <w:t xml:space="preserve">enforced disappearance. </w:t>
      </w:r>
    </w:p>
    <w:p w14:paraId="4F4C3F22" w14:textId="5CA87DB4" w:rsidR="00674F1E" w:rsidRDefault="00674F1E" w:rsidP="00674F1E">
      <w:pPr>
        <w:spacing w:before="100" w:beforeAutospacing="1" w:after="100" w:afterAutospacing="1"/>
      </w:pPr>
      <w:r w:rsidRPr="00843D28">
        <w:t>Al-Khafaji</w:t>
      </w:r>
      <w:r>
        <w:t>, Al-Sudani and Al-Jumaili</w:t>
      </w:r>
      <w:r w:rsidRPr="00833CC2">
        <w:t xml:space="preserve">, </w:t>
      </w:r>
      <w:r w:rsidR="007143CC">
        <w:t>above-</w:t>
      </w:r>
      <w:r>
        <w:t xml:space="preserve">mentioned, </w:t>
      </w:r>
      <w:r w:rsidRPr="00833CC2">
        <w:t xml:space="preserve">reported the </w:t>
      </w:r>
      <w:r>
        <w:t>circumstances of their disappearances</w:t>
      </w:r>
      <w:r w:rsidRPr="00833CC2">
        <w:t xml:space="preserve"> </w:t>
      </w:r>
      <w:r>
        <w:t>after they were released. They</w:t>
      </w:r>
      <w:r w:rsidR="007143CC">
        <w:t xml:space="preserve"> testified having been</w:t>
      </w:r>
      <w:r>
        <w:t xml:space="preserve"> subjected to torture, handcuffed and blindfolded during the whole </w:t>
      </w:r>
      <w:r w:rsidR="007143CC">
        <w:t xml:space="preserve">period </w:t>
      </w:r>
      <w:r>
        <w:t>of their detention and received threatens of further arrest and disappearance if they participate or show support to demonstrations</w:t>
      </w:r>
      <w:r w:rsidR="007143CC">
        <w:t>.</w:t>
      </w:r>
      <w:r>
        <w:rPr>
          <w:rStyle w:val="FootnoteReference"/>
        </w:rPr>
        <w:footnoteReference w:id="14"/>
      </w:r>
    </w:p>
    <w:p w14:paraId="3B1EE05C" w14:textId="46EB3FF0" w:rsidR="00674F1E" w:rsidRDefault="00674F1E" w:rsidP="00674F1E">
      <w:pPr>
        <w:spacing w:before="100" w:beforeAutospacing="1" w:after="100" w:afterAutospacing="1"/>
      </w:pPr>
      <w:r>
        <w:t xml:space="preserve">On 14 November 2019 Qutiaba Sudani and his brother Omar Sudani were stopped by militia members wearing military uniform, who forced them into a Toyota Car – </w:t>
      </w:r>
      <w:r w:rsidR="007143CC">
        <w:t xml:space="preserve">a </w:t>
      </w:r>
      <w:r>
        <w:t>model used by</w:t>
      </w:r>
      <w:r w:rsidR="007143CC">
        <w:t xml:space="preserve"> militiamen affiliated with</w:t>
      </w:r>
      <w:r>
        <w:t xml:space="preserve"> the Popular Mobilization Forces – and took them to an unknown </w:t>
      </w:r>
      <w:r w:rsidR="007143CC">
        <w:t>location</w:t>
      </w:r>
      <w:r>
        <w:t xml:space="preserve">. Both brothers were subjected to torture, including electrocution, hanging from the hands and severe beating, while been asked about the reason of their participation in the protests and who was behind the organisation of the manifestations. Omar Sudani </w:t>
      </w:r>
      <w:r w:rsidR="007143CC">
        <w:t xml:space="preserve">stated that he </w:t>
      </w:r>
      <w:r>
        <w:t>could hear his brother being tortured.</w:t>
      </w:r>
    </w:p>
    <w:p w14:paraId="2A91EE35" w14:textId="01EBDE9A" w:rsidR="00674F1E" w:rsidRDefault="00674F1E" w:rsidP="00C23686">
      <w:pPr>
        <w:spacing w:before="100" w:beforeAutospacing="1" w:after="100" w:afterAutospacing="1"/>
      </w:pPr>
      <w:r>
        <w:t xml:space="preserve">Even though there is a striking number of alleged victims of acts of torture and inhuman treatment, as the examples cited above, allegations of torture are rarely considered in court and investigated, medical </w:t>
      </w:r>
      <w:r w:rsidR="007143CC">
        <w:t>expertise</w:t>
      </w:r>
      <w:r>
        <w:t xml:space="preserve"> </w:t>
      </w:r>
      <w:r w:rsidR="00C23686">
        <w:t>is</w:t>
      </w:r>
      <w:r>
        <w:t xml:space="preserve"> almost inexistent and perpetrators are usually left unpunished.</w:t>
      </w:r>
    </w:p>
    <w:p w14:paraId="3B6C375A" w14:textId="7ACCD678" w:rsidR="00674F1E" w:rsidRDefault="00674F1E" w:rsidP="00755B8C">
      <w:pPr>
        <w:spacing w:before="100" w:beforeAutospacing="1" w:after="100" w:afterAutospacing="1"/>
      </w:pPr>
      <w:r>
        <w:t xml:space="preserve">The legal framework also contributes to impunity. </w:t>
      </w:r>
      <w:r w:rsidR="00551500">
        <w:t>The Anti-Torture bill do</w:t>
      </w:r>
      <w:r w:rsidR="00C23686">
        <w:t>es</w:t>
      </w:r>
      <w:r w:rsidR="00551500">
        <w:t xml:space="preserve"> not </w:t>
      </w:r>
      <w:r w:rsidR="00C23686">
        <w:t>e</w:t>
      </w:r>
      <w:r w:rsidR="00551500">
        <w:t>stablish a minimum prison sentence, except if the torture leads to death</w:t>
      </w:r>
      <w:r w:rsidR="00551500">
        <w:rPr>
          <w:rStyle w:val="FootnoteReference"/>
        </w:rPr>
        <w:footnoteReference w:id="15"/>
      </w:r>
      <w:r w:rsidR="00551500">
        <w:t xml:space="preserve">.  </w:t>
      </w:r>
      <w:r>
        <w:t>The Criminal Code, in its article 332, determine</w:t>
      </w:r>
      <w:r w:rsidR="00C23686">
        <w:t>s</w:t>
      </w:r>
      <w:r>
        <w:t xml:space="preserve"> that a public official who cruelly treats a person may be punished by a period of detention not exceeding 1 year plus a fine not exceeding 100 dinars or by only one of those penalties.</w:t>
      </w:r>
      <w:r w:rsidR="00551500">
        <w:t xml:space="preserve"> </w:t>
      </w:r>
      <w:r>
        <w:t xml:space="preserve">Considering that torture is considered one of the most serious crimes in international law, the penalty appears to be disproportionate and weak, not intending to properly punish or discourage the practice – remarkably when crimes less severe, </w:t>
      </w:r>
      <w:r w:rsidR="007143CC">
        <w:t>such as the crime of</w:t>
      </w:r>
      <w:r>
        <w:t xml:space="preserve"> </w:t>
      </w:r>
      <w:r w:rsidR="007143CC">
        <w:t>“</w:t>
      </w:r>
      <w:r>
        <w:t>vandalism</w:t>
      </w:r>
      <w:r w:rsidR="007143CC">
        <w:t>”</w:t>
      </w:r>
      <w:r>
        <w:t xml:space="preserve"> under the Anti-Terrorism law, are treated in the State Party as “most serious crimes” and punished by death penalty.</w:t>
      </w:r>
      <w:r w:rsidR="00551500" w:rsidRPr="00551500">
        <w:t xml:space="preserve"> </w:t>
      </w:r>
    </w:p>
    <w:p w14:paraId="41945834" w14:textId="77777777" w:rsidR="00674F1E" w:rsidRPr="00C96B6B" w:rsidRDefault="00674F1E" w:rsidP="00674F1E">
      <w:pPr>
        <w:tabs>
          <w:tab w:val="left" w:pos="540"/>
        </w:tabs>
        <w:suppressAutoHyphens/>
        <w:autoSpaceDN w:val="0"/>
        <w:spacing w:before="100" w:beforeAutospacing="1" w:after="100" w:afterAutospacing="1"/>
        <w:textAlignment w:val="baseline"/>
        <w:rPr>
          <w:rFonts w:eastAsia="Times New Roman" w:cs="Times New Roman"/>
          <w:b/>
          <w:bCs/>
          <w:i/>
          <w:iCs/>
          <w:kern w:val="3"/>
          <w:lang w:eastAsia="zh-CN"/>
        </w:rPr>
      </w:pPr>
      <w:r w:rsidRPr="00A44FDD">
        <w:rPr>
          <w:rFonts w:eastAsia="Times New Roman" w:cs="Times New Roman"/>
          <w:b/>
          <w:bCs/>
          <w:i/>
          <w:iCs/>
          <w:kern w:val="3"/>
          <w:lang w:eastAsia="zh-CN"/>
        </w:rPr>
        <w:t>Question</w:t>
      </w:r>
      <w:r>
        <w:rPr>
          <w:rFonts w:eastAsia="Times New Roman" w:cs="Times New Roman"/>
          <w:b/>
          <w:bCs/>
          <w:i/>
          <w:iCs/>
          <w:kern w:val="3"/>
          <w:lang w:eastAsia="zh-CN"/>
        </w:rPr>
        <w:t>s:</w:t>
      </w:r>
    </w:p>
    <w:p w14:paraId="73089AEE" w14:textId="7EBEE465" w:rsidR="00674F1E" w:rsidRDefault="00B36AB8" w:rsidP="00B36AB8">
      <w:pPr>
        <w:ind w:left="851" w:hanging="491"/>
        <w:rPr>
          <w:rFonts w:cs="Tahoma"/>
          <w:bCs/>
          <w:i/>
          <w:iCs/>
        </w:rPr>
      </w:pPr>
      <w:r>
        <w:rPr>
          <w:rFonts w:cs="Tahoma"/>
          <w:bCs/>
          <w:i/>
          <w:iCs/>
        </w:rPr>
        <w:t xml:space="preserve">11.   </w:t>
      </w:r>
      <w:r w:rsidR="00674F1E" w:rsidRPr="00C2194D">
        <w:rPr>
          <w:rFonts w:cs="Tahoma"/>
          <w:bCs/>
          <w:i/>
          <w:iCs/>
        </w:rPr>
        <w:t>How is Iraq making sure that the crime of torture by government officials does not remain unpunished?</w:t>
      </w:r>
    </w:p>
    <w:p w14:paraId="2C2C86B6" w14:textId="77777777" w:rsidR="00674F1E" w:rsidRDefault="00674F1E" w:rsidP="00674F1E">
      <w:pPr>
        <w:ind w:left="360"/>
        <w:rPr>
          <w:rFonts w:cs="Tahoma"/>
          <w:bCs/>
          <w:i/>
          <w:iCs/>
        </w:rPr>
      </w:pPr>
    </w:p>
    <w:p w14:paraId="4338BD79" w14:textId="04CE7082" w:rsidR="00674F1E" w:rsidRDefault="00B36AB8" w:rsidP="00B36AB8">
      <w:pPr>
        <w:ind w:left="851" w:hanging="491"/>
        <w:rPr>
          <w:rFonts w:cs="Tahoma"/>
          <w:bCs/>
          <w:i/>
          <w:iCs/>
        </w:rPr>
      </w:pPr>
      <w:r>
        <w:rPr>
          <w:rFonts w:cs="Tahoma"/>
          <w:bCs/>
          <w:i/>
          <w:iCs/>
        </w:rPr>
        <w:t xml:space="preserve">12.   </w:t>
      </w:r>
      <w:r w:rsidR="00674F1E">
        <w:rPr>
          <w:rFonts w:cs="Tahoma"/>
          <w:bCs/>
          <w:i/>
          <w:iCs/>
        </w:rPr>
        <w:t xml:space="preserve">What measures is the Sate Party taking to strengthen </w:t>
      </w:r>
      <w:r w:rsidR="007143CC">
        <w:rPr>
          <w:rFonts w:cs="Tahoma"/>
          <w:bCs/>
          <w:i/>
          <w:iCs/>
        </w:rPr>
        <w:t xml:space="preserve">its legal </w:t>
      </w:r>
      <w:r w:rsidR="00674F1E">
        <w:rPr>
          <w:rFonts w:cs="Tahoma"/>
          <w:bCs/>
          <w:i/>
          <w:iCs/>
        </w:rPr>
        <w:t xml:space="preserve">protection </w:t>
      </w:r>
      <w:r w:rsidR="007143CC">
        <w:rPr>
          <w:rFonts w:cs="Tahoma"/>
          <w:bCs/>
          <w:i/>
          <w:iCs/>
        </w:rPr>
        <w:t xml:space="preserve">framework </w:t>
      </w:r>
      <w:r w:rsidR="00674F1E">
        <w:rPr>
          <w:rFonts w:cs="Tahoma"/>
          <w:bCs/>
          <w:i/>
          <w:iCs/>
        </w:rPr>
        <w:t>against torture?</w:t>
      </w:r>
    </w:p>
    <w:p w14:paraId="72C99E20" w14:textId="77777777" w:rsidR="00674F1E" w:rsidRDefault="00674F1E" w:rsidP="00674F1E">
      <w:pPr>
        <w:ind w:left="360"/>
        <w:rPr>
          <w:rFonts w:cs="Tahoma"/>
          <w:bCs/>
          <w:i/>
          <w:iCs/>
        </w:rPr>
      </w:pPr>
    </w:p>
    <w:p w14:paraId="3BC4234B" w14:textId="480F0F65" w:rsidR="00674F1E" w:rsidRDefault="00674F1E" w:rsidP="00B36AB8">
      <w:pPr>
        <w:ind w:left="851" w:hanging="491"/>
        <w:rPr>
          <w:rFonts w:cs="Tahoma"/>
          <w:bCs/>
          <w:i/>
          <w:iCs/>
        </w:rPr>
      </w:pPr>
      <w:r>
        <w:rPr>
          <w:rFonts w:cs="Tahoma"/>
          <w:bCs/>
          <w:i/>
          <w:iCs/>
        </w:rPr>
        <w:t xml:space="preserve">13. </w:t>
      </w:r>
      <w:r w:rsidR="00B36AB8">
        <w:rPr>
          <w:rFonts w:cs="Tahoma"/>
          <w:bCs/>
          <w:i/>
          <w:iCs/>
        </w:rPr>
        <w:t xml:space="preserve">  </w:t>
      </w:r>
      <w:r>
        <w:rPr>
          <w:rFonts w:cs="Tahoma"/>
          <w:bCs/>
          <w:i/>
          <w:iCs/>
        </w:rPr>
        <w:t>Could the State Party provide details of number of complaints, investigations, prosecutions and sanctions related to acts of torture committed by state agents?</w:t>
      </w:r>
    </w:p>
    <w:p w14:paraId="6E8ABCD9" w14:textId="77777777" w:rsidR="00674F1E" w:rsidRDefault="00674F1E" w:rsidP="00674F1E">
      <w:pPr>
        <w:ind w:left="360"/>
        <w:rPr>
          <w:rFonts w:cs="Tahoma"/>
          <w:bCs/>
          <w:i/>
          <w:iCs/>
        </w:rPr>
      </w:pPr>
    </w:p>
    <w:p w14:paraId="5B7BD168" w14:textId="7C4CE73B" w:rsidR="00674F1E" w:rsidRDefault="00674F1E" w:rsidP="00B36AB8">
      <w:pPr>
        <w:ind w:left="851" w:hanging="491"/>
        <w:rPr>
          <w:rFonts w:cs="Tahoma"/>
          <w:bCs/>
          <w:i/>
          <w:iCs/>
        </w:rPr>
      </w:pPr>
      <w:r>
        <w:rPr>
          <w:rFonts w:cs="Tahoma"/>
          <w:bCs/>
          <w:i/>
          <w:iCs/>
        </w:rPr>
        <w:t xml:space="preserve">14. </w:t>
      </w:r>
      <w:r w:rsidR="00B36AB8">
        <w:rPr>
          <w:rFonts w:cs="Tahoma"/>
          <w:bCs/>
          <w:i/>
          <w:iCs/>
        </w:rPr>
        <w:t xml:space="preserve">  </w:t>
      </w:r>
      <w:r>
        <w:rPr>
          <w:rFonts w:cs="Tahoma"/>
          <w:bCs/>
          <w:i/>
          <w:iCs/>
        </w:rPr>
        <w:t>Could the State Party explain how article 332 of the Criminal Code, which punishes torture with only one year detention and/or fine, is in accordance with the principle of proportionality?</w:t>
      </w:r>
    </w:p>
    <w:p w14:paraId="381D774C" w14:textId="77777777" w:rsidR="00674F1E" w:rsidRDefault="00674F1E" w:rsidP="00674F1E">
      <w:pPr>
        <w:ind w:left="360"/>
        <w:rPr>
          <w:rFonts w:cs="Tahoma"/>
          <w:bCs/>
          <w:i/>
          <w:iCs/>
        </w:rPr>
      </w:pPr>
    </w:p>
    <w:p w14:paraId="5D766364" w14:textId="77777777" w:rsidR="00674F1E" w:rsidRPr="006C3D10" w:rsidRDefault="00674F1E" w:rsidP="00674F1E">
      <w:pPr>
        <w:pStyle w:val="Heading1"/>
        <w:spacing w:before="100" w:beforeAutospacing="1" w:after="100" w:afterAutospacing="1"/>
      </w:pPr>
      <w:bookmarkStart w:id="10" w:name="_Toc40878965"/>
      <w:r w:rsidRPr="00F14FCB">
        <w:t>The Practice of Arbitrary Detention and the</w:t>
      </w:r>
      <w:r>
        <w:t xml:space="preserve"> Infringements of Fair Trial</w:t>
      </w:r>
      <w:r w:rsidRPr="00DF340E">
        <w:t xml:space="preserve"> Right</w:t>
      </w:r>
      <w:r>
        <w:t>s</w:t>
      </w:r>
      <w:r w:rsidRPr="00DF340E">
        <w:t xml:space="preserve"> (articles 9 &amp; 14 of the Covenant</w:t>
      </w:r>
      <w:r>
        <w:t>)</w:t>
      </w:r>
      <w:bookmarkEnd w:id="10"/>
    </w:p>
    <w:p w14:paraId="21CFE9CB" w14:textId="76AE5FF3" w:rsidR="00674F1E" w:rsidRDefault="00674F1E" w:rsidP="00C23686">
      <w:pPr>
        <w:spacing w:before="100" w:beforeAutospacing="1" w:after="100" w:afterAutospacing="1"/>
      </w:pPr>
      <w:r>
        <w:t xml:space="preserve">Torture is not only a form of reprisal but also a regular interrogation practice, widely used by security services after arrest and during interrogation. The use of torture to obtain confessions </w:t>
      </w:r>
      <w:r w:rsidR="00C23686">
        <w:t>is</w:t>
      </w:r>
      <w:r>
        <w:t xml:space="preserve"> not rare, and, in most cases, will be the sole evidence </w:t>
      </w:r>
      <w:r w:rsidR="007143CC">
        <w:t>for</w:t>
      </w:r>
      <w:r>
        <w:t xml:space="preserve"> </w:t>
      </w:r>
      <w:r w:rsidR="007143CC">
        <w:t>verdicts issued</w:t>
      </w:r>
      <w:r>
        <w:t xml:space="preserve"> by the flawed justice system.</w:t>
      </w:r>
    </w:p>
    <w:p w14:paraId="4048CAE4" w14:textId="1AA3D38F" w:rsidR="00674F1E" w:rsidRDefault="00674F1E" w:rsidP="00674F1E">
      <w:pPr>
        <w:tabs>
          <w:tab w:val="left" w:pos="540"/>
        </w:tabs>
        <w:suppressAutoHyphens/>
        <w:autoSpaceDN w:val="0"/>
        <w:spacing w:before="100" w:beforeAutospacing="1" w:after="100" w:afterAutospacing="1"/>
        <w:textAlignment w:val="baseline"/>
      </w:pPr>
      <w:r>
        <w:t xml:space="preserve">Convictions based only </w:t>
      </w:r>
      <w:r w:rsidR="007143CC">
        <w:t>o</w:t>
      </w:r>
      <w:r>
        <w:t xml:space="preserve">n confessions are allowed by article 181 of the Iraqi Criminal Procedure Code. The </w:t>
      </w:r>
      <w:r w:rsidR="007143CC">
        <w:t>disposition states</w:t>
      </w:r>
      <w:r>
        <w:t xml:space="preserve"> that, if the court is satisfied of the truth of the accused confession it can issue a judgement without any further evidence. Considering the heavy sentences which defendants are usually charged</w:t>
      </w:r>
      <w:r w:rsidR="00C23686">
        <w:t xml:space="preserve"> with</w:t>
      </w:r>
      <w:r>
        <w:t xml:space="preserve"> under the Anti-Terrorism Law, and the </w:t>
      </w:r>
      <w:r w:rsidR="007143CC">
        <w:t xml:space="preserve">fact that torture is widespread and systematic, </w:t>
      </w:r>
      <w:r>
        <w:t>it seems not only disproportionate, but also raises doubts</w:t>
      </w:r>
      <w:r w:rsidR="007143CC">
        <w:t xml:space="preserve"> as to</w:t>
      </w:r>
      <w:r>
        <w:t xml:space="preserve"> the legality of the whole process.</w:t>
      </w:r>
      <w:r w:rsidRPr="00AE12C0">
        <w:rPr>
          <w:rFonts w:eastAsia="Times New Roman" w:cs="Times New Roman"/>
          <w:kern w:val="3"/>
          <w:lang w:eastAsia="zh-CN"/>
        </w:rPr>
        <w:t xml:space="preserve"> </w:t>
      </w:r>
    </w:p>
    <w:p w14:paraId="61D682E5" w14:textId="77777777" w:rsidR="00674F1E" w:rsidRDefault="00674F1E" w:rsidP="00674F1E">
      <w:pPr>
        <w:tabs>
          <w:tab w:val="left" w:pos="540"/>
        </w:tabs>
        <w:suppressAutoHyphens/>
        <w:autoSpaceDN w:val="0"/>
        <w:spacing w:before="100" w:beforeAutospacing="1" w:after="100" w:afterAutospacing="1"/>
        <w:ind w:right="-1"/>
        <w:textAlignment w:val="baseline"/>
        <w:rPr>
          <w:rFonts w:eastAsia="Times New Roman" w:cs="Times New Roman"/>
          <w:kern w:val="3"/>
          <w:lang w:eastAsia="zh-CN"/>
        </w:rPr>
      </w:pPr>
      <w:r>
        <w:rPr>
          <w:rFonts w:eastAsia="Times New Roman" w:cs="Times New Roman"/>
          <w:kern w:val="3"/>
          <w:lang w:eastAsia="zh-CN"/>
        </w:rPr>
        <w:t>Alkarama will now raise an example of cases that show Iraq’s blatant disrespect for due process guarantees.</w:t>
      </w:r>
    </w:p>
    <w:p w14:paraId="7D687AC2" w14:textId="3F90FA16" w:rsidR="00674F1E" w:rsidRDefault="00674F1E" w:rsidP="002242E5">
      <w:pPr>
        <w:tabs>
          <w:tab w:val="left" w:pos="540"/>
        </w:tabs>
        <w:suppressAutoHyphens/>
        <w:autoSpaceDN w:val="0"/>
        <w:spacing w:before="100" w:beforeAutospacing="1" w:after="100" w:afterAutospacing="1"/>
        <w:ind w:right="-1"/>
        <w:textAlignment w:val="baseline"/>
        <w:rPr>
          <w:rFonts w:eastAsia="Times New Roman" w:cs="Times New Roman"/>
          <w:kern w:val="3"/>
          <w:lang w:eastAsia="zh-CN"/>
        </w:rPr>
      </w:pPr>
      <w:r>
        <w:rPr>
          <w:rFonts w:eastAsia="Times New Roman" w:cs="Times New Roman"/>
          <w:kern w:val="3"/>
          <w:lang w:eastAsia="zh-CN"/>
        </w:rPr>
        <w:t>Between November 2011 and March 2012 19 people allegedly having some connection with former Vice-president of Iraqi, Tariq al-Hashimi, were arrested by Iraqi security forces. The</w:t>
      </w:r>
      <w:r w:rsidR="002242E5">
        <w:rPr>
          <w:rFonts w:eastAsia="Times New Roman" w:cs="Times New Roman"/>
          <w:kern w:val="3"/>
          <w:lang w:eastAsia="zh-CN"/>
        </w:rPr>
        <w:t>ir</w:t>
      </w:r>
      <w:r>
        <w:rPr>
          <w:rFonts w:eastAsia="Times New Roman" w:cs="Times New Roman"/>
          <w:kern w:val="3"/>
          <w:lang w:eastAsia="zh-CN"/>
        </w:rPr>
        <w:t xml:space="preserve"> case was submitted to the Working Group on Arbitrary Detention</w:t>
      </w:r>
      <w:r w:rsidR="00E42780">
        <w:rPr>
          <w:rFonts w:eastAsia="Times New Roman" w:cs="Times New Roman"/>
          <w:kern w:val="3"/>
          <w:lang w:eastAsia="zh-CN"/>
        </w:rPr>
        <w:t xml:space="preserve"> (WGAD)</w:t>
      </w:r>
      <w:r>
        <w:rPr>
          <w:rFonts w:eastAsia="Times New Roman" w:cs="Times New Roman"/>
          <w:kern w:val="3"/>
          <w:lang w:eastAsia="zh-CN"/>
        </w:rPr>
        <w:t xml:space="preserve">. Among the detainees is Rasha Nemer Jaafar Al-Husseini, arrested on 27 December 2011 late </w:t>
      </w:r>
      <w:r w:rsidR="002242E5">
        <w:rPr>
          <w:rFonts w:eastAsia="Times New Roman" w:cs="Times New Roman"/>
          <w:kern w:val="3"/>
          <w:lang w:eastAsia="zh-CN"/>
        </w:rPr>
        <w:t xml:space="preserve">at </w:t>
      </w:r>
      <w:r>
        <w:rPr>
          <w:rFonts w:eastAsia="Times New Roman" w:cs="Times New Roman"/>
          <w:kern w:val="3"/>
          <w:lang w:eastAsia="zh-CN"/>
        </w:rPr>
        <w:t xml:space="preserve">night at her house without ever being presented a warrant. She </w:t>
      </w:r>
      <w:r w:rsidR="002242E5">
        <w:rPr>
          <w:rFonts w:eastAsia="Times New Roman" w:cs="Times New Roman"/>
          <w:kern w:val="3"/>
          <w:lang w:eastAsia="zh-CN"/>
        </w:rPr>
        <w:t>was</w:t>
      </w:r>
      <w:r>
        <w:rPr>
          <w:rFonts w:eastAsia="Times New Roman" w:cs="Times New Roman"/>
          <w:kern w:val="3"/>
          <w:lang w:eastAsia="zh-CN"/>
        </w:rPr>
        <w:t xml:space="preserve"> not </w:t>
      </w:r>
      <w:r w:rsidR="002242E5">
        <w:rPr>
          <w:rFonts w:eastAsia="Times New Roman" w:cs="Times New Roman"/>
          <w:kern w:val="3"/>
          <w:lang w:eastAsia="zh-CN"/>
        </w:rPr>
        <w:t>allowed</w:t>
      </w:r>
      <w:r>
        <w:rPr>
          <w:rFonts w:eastAsia="Times New Roman" w:cs="Times New Roman"/>
          <w:kern w:val="3"/>
          <w:lang w:eastAsia="zh-CN"/>
        </w:rPr>
        <w:t xml:space="preserve"> to receive any visits from her family or any legal counsel until April 2012. During these first</w:t>
      </w:r>
      <w:r w:rsidR="002242E5">
        <w:rPr>
          <w:rFonts w:eastAsia="Times New Roman" w:cs="Times New Roman"/>
          <w:kern w:val="3"/>
          <w:lang w:eastAsia="zh-CN"/>
        </w:rPr>
        <w:t xml:space="preserve"> three</w:t>
      </w:r>
      <w:r>
        <w:rPr>
          <w:rFonts w:eastAsia="Times New Roman" w:cs="Times New Roman"/>
          <w:kern w:val="3"/>
          <w:lang w:eastAsia="zh-CN"/>
        </w:rPr>
        <w:t xml:space="preserve"> months, she was allegedly subjected to severe torture, including rape, aiming </w:t>
      </w:r>
      <w:r w:rsidR="002242E5">
        <w:rPr>
          <w:rFonts w:eastAsia="Times New Roman" w:cs="Times New Roman"/>
          <w:kern w:val="3"/>
          <w:lang w:eastAsia="zh-CN"/>
        </w:rPr>
        <w:t xml:space="preserve">at </w:t>
      </w:r>
      <w:r>
        <w:rPr>
          <w:rFonts w:eastAsia="Times New Roman" w:cs="Times New Roman"/>
          <w:kern w:val="3"/>
          <w:lang w:eastAsia="zh-CN"/>
        </w:rPr>
        <w:t>extract</w:t>
      </w:r>
      <w:r w:rsidR="002242E5">
        <w:rPr>
          <w:rFonts w:eastAsia="Times New Roman" w:cs="Times New Roman"/>
          <w:kern w:val="3"/>
          <w:lang w:eastAsia="zh-CN"/>
        </w:rPr>
        <w:t>ing confessions</w:t>
      </w:r>
      <w:r>
        <w:rPr>
          <w:rFonts w:eastAsia="Times New Roman" w:cs="Times New Roman"/>
          <w:kern w:val="3"/>
          <w:lang w:eastAsia="zh-CN"/>
        </w:rPr>
        <w:t xml:space="preserve"> to</w:t>
      </w:r>
      <w:r w:rsidR="002242E5">
        <w:rPr>
          <w:rFonts w:eastAsia="Times New Roman" w:cs="Times New Roman"/>
          <w:kern w:val="3"/>
          <w:lang w:eastAsia="zh-CN"/>
        </w:rPr>
        <w:t xml:space="preserve"> be </w:t>
      </w:r>
      <w:r>
        <w:rPr>
          <w:rFonts w:eastAsia="Times New Roman" w:cs="Times New Roman"/>
          <w:kern w:val="3"/>
          <w:lang w:eastAsia="zh-CN"/>
        </w:rPr>
        <w:t>use</w:t>
      </w:r>
      <w:r w:rsidR="002242E5">
        <w:rPr>
          <w:rFonts w:eastAsia="Times New Roman" w:cs="Times New Roman"/>
          <w:kern w:val="3"/>
          <w:lang w:eastAsia="zh-CN"/>
        </w:rPr>
        <w:t>d against her</w:t>
      </w:r>
      <w:r>
        <w:rPr>
          <w:rFonts w:eastAsia="Times New Roman" w:cs="Times New Roman"/>
          <w:kern w:val="3"/>
          <w:lang w:eastAsia="zh-CN"/>
        </w:rPr>
        <w:t xml:space="preserve"> in her trial. Every measure taken by her or by her lawyer to denounce the torture suffered, either to the medico-judicial committee or to the General Prosecutor of the Central Criminal Court of Iraq </w:t>
      </w:r>
      <w:r w:rsidR="002242E5">
        <w:rPr>
          <w:rFonts w:eastAsia="Times New Roman" w:cs="Times New Roman"/>
          <w:kern w:val="3"/>
          <w:lang w:eastAsia="zh-CN"/>
        </w:rPr>
        <w:t>was</w:t>
      </w:r>
      <w:r>
        <w:rPr>
          <w:rFonts w:eastAsia="Times New Roman" w:cs="Times New Roman"/>
          <w:kern w:val="3"/>
          <w:lang w:eastAsia="zh-CN"/>
        </w:rPr>
        <w:t xml:space="preserve"> dismissed and no investigation was reportedly opened. She was </w:t>
      </w:r>
      <w:r w:rsidR="002242E5">
        <w:rPr>
          <w:rFonts w:eastAsia="Times New Roman" w:cs="Times New Roman"/>
          <w:kern w:val="3"/>
          <w:lang w:eastAsia="zh-CN"/>
        </w:rPr>
        <w:t>sentenced</w:t>
      </w:r>
      <w:r>
        <w:rPr>
          <w:rFonts w:eastAsia="Times New Roman" w:cs="Times New Roman"/>
          <w:kern w:val="3"/>
          <w:lang w:eastAsia="zh-CN"/>
        </w:rPr>
        <w:t xml:space="preserve"> to </w:t>
      </w:r>
      <w:r w:rsidR="002242E5">
        <w:rPr>
          <w:rFonts w:eastAsia="Times New Roman" w:cs="Times New Roman"/>
          <w:kern w:val="3"/>
          <w:lang w:eastAsia="zh-CN"/>
        </w:rPr>
        <w:t xml:space="preserve">the </w:t>
      </w:r>
      <w:r>
        <w:rPr>
          <w:rFonts w:eastAsia="Times New Roman" w:cs="Times New Roman"/>
          <w:kern w:val="3"/>
          <w:lang w:eastAsia="zh-CN"/>
        </w:rPr>
        <w:t>death penalty under the Anti-T</w:t>
      </w:r>
      <w:r w:rsidR="002242E5">
        <w:rPr>
          <w:rFonts w:eastAsia="Times New Roman" w:cs="Times New Roman"/>
          <w:kern w:val="3"/>
          <w:lang w:eastAsia="zh-CN"/>
        </w:rPr>
        <w:t>errorism law; the only evidence</w:t>
      </w:r>
      <w:r>
        <w:rPr>
          <w:rFonts w:eastAsia="Times New Roman" w:cs="Times New Roman"/>
          <w:kern w:val="3"/>
          <w:lang w:eastAsia="zh-CN"/>
        </w:rPr>
        <w:t xml:space="preserve"> being her confessions, extracted under torture. The appeal </w:t>
      </w:r>
      <w:r w:rsidR="002242E5">
        <w:rPr>
          <w:rFonts w:eastAsia="Times New Roman" w:cs="Times New Roman"/>
          <w:kern w:val="3"/>
          <w:lang w:eastAsia="zh-CN"/>
        </w:rPr>
        <w:t>fil</w:t>
      </w:r>
      <w:r>
        <w:rPr>
          <w:rFonts w:eastAsia="Times New Roman" w:cs="Times New Roman"/>
          <w:kern w:val="3"/>
          <w:lang w:eastAsia="zh-CN"/>
        </w:rPr>
        <w:t>ed by her lawyer in November 2014 is still pending.</w:t>
      </w:r>
    </w:p>
    <w:p w14:paraId="2C3A5013" w14:textId="3C980FEE" w:rsidR="00674F1E" w:rsidRDefault="00674F1E" w:rsidP="002242E5">
      <w:pPr>
        <w:spacing w:before="100" w:beforeAutospacing="1" w:after="100" w:afterAutospacing="1"/>
        <w:rPr>
          <w:lang w:val="en-US"/>
        </w:rPr>
      </w:pPr>
      <w:r>
        <w:rPr>
          <w:lang w:val="en-US"/>
        </w:rPr>
        <w:t xml:space="preserve">All other 18 </w:t>
      </w:r>
      <w:r w:rsidR="002242E5">
        <w:rPr>
          <w:lang w:val="en-US"/>
        </w:rPr>
        <w:t>individuals in the case</w:t>
      </w:r>
      <w:r>
        <w:rPr>
          <w:lang w:val="en-US"/>
        </w:rPr>
        <w:t xml:space="preserve"> </w:t>
      </w:r>
      <w:r w:rsidR="002242E5">
        <w:rPr>
          <w:lang w:val="en-US"/>
        </w:rPr>
        <w:t>had</w:t>
      </w:r>
      <w:r>
        <w:rPr>
          <w:lang w:val="en-US"/>
        </w:rPr>
        <w:t xml:space="preserve"> a similar pattern. None of them w</w:t>
      </w:r>
      <w:r w:rsidR="002242E5">
        <w:rPr>
          <w:lang w:val="en-US"/>
        </w:rPr>
        <w:t>as</w:t>
      </w:r>
      <w:r>
        <w:rPr>
          <w:lang w:val="en-US"/>
        </w:rPr>
        <w:t xml:space="preserve"> given a warrant or w</w:t>
      </w:r>
      <w:r w:rsidR="002242E5">
        <w:rPr>
          <w:lang w:val="en-US"/>
        </w:rPr>
        <w:t>as</w:t>
      </w:r>
      <w:r>
        <w:rPr>
          <w:lang w:val="en-US"/>
        </w:rPr>
        <w:t xml:space="preserve"> informed of the reason for the arrest. Six of them were held </w:t>
      </w:r>
      <w:r w:rsidRPr="00B36AB8">
        <w:rPr>
          <w:i/>
          <w:iCs/>
          <w:lang w:val="en-US"/>
        </w:rPr>
        <w:t>incommunicado</w:t>
      </w:r>
      <w:r>
        <w:rPr>
          <w:lang w:val="en-US"/>
        </w:rPr>
        <w:t xml:space="preserve"> for a period from three months to two years. They were all subjected to torture, through severe beatings, electrocution and threats of rape directed to mothers and sisters, but no investigation was opened into the allegations. None of the victims w</w:t>
      </w:r>
      <w:r w:rsidR="002242E5">
        <w:rPr>
          <w:lang w:val="en-US"/>
        </w:rPr>
        <w:t>as</w:t>
      </w:r>
      <w:r>
        <w:rPr>
          <w:lang w:val="en-US"/>
        </w:rPr>
        <w:t xml:space="preserve"> allowed </w:t>
      </w:r>
      <w:r w:rsidR="002242E5">
        <w:rPr>
          <w:lang w:val="en-US"/>
        </w:rPr>
        <w:t>access to</w:t>
      </w:r>
      <w:r>
        <w:rPr>
          <w:lang w:val="en-US"/>
        </w:rPr>
        <w:t xml:space="preserve"> have a lawyer present during the interrogation, and confessions of </w:t>
      </w:r>
      <w:r w:rsidR="002242E5">
        <w:rPr>
          <w:lang w:val="en-US"/>
        </w:rPr>
        <w:t>four</w:t>
      </w:r>
      <w:r>
        <w:rPr>
          <w:lang w:val="en-US"/>
        </w:rPr>
        <w:t xml:space="preserve"> detainees, obtained under torture, were broadcast on television.</w:t>
      </w:r>
    </w:p>
    <w:p w14:paraId="541EBC72" w14:textId="290A7DC3" w:rsidR="00674F1E" w:rsidRPr="002270DD" w:rsidRDefault="00674F1E" w:rsidP="00E42780">
      <w:pPr>
        <w:tabs>
          <w:tab w:val="left" w:pos="540"/>
        </w:tabs>
        <w:suppressAutoHyphens/>
        <w:autoSpaceDN w:val="0"/>
        <w:spacing w:before="100" w:beforeAutospacing="1" w:after="100" w:afterAutospacing="1"/>
        <w:ind w:right="-1"/>
        <w:textAlignment w:val="baseline"/>
      </w:pPr>
      <w:r>
        <w:rPr>
          <w:lang w:val="en-US"/>
        </w:rPr>
        <w:t xml:space="preserve">On 3 August 2017 </w:t>
      </w:r>
      <w:r w:rsidRPr="00730B13">
        <w:t xml:space="preserve">the UN </w:t>
      </w:r>
      <w:r w:rsidR="00E42780">
        <w:t>WGAD</w:t>
      </w:r>
      <w:r w:rsidRPr="00730B13">
        <w:t xml:space="preserve"> issued an Opinion (No. 33/2017)</w:t>
      </w:r>
      <w:r w:rsidR="007143CC">
        <w:t>,</w:t>
      </w:r>
      <w:r w:rsidRPr="00730B13">
        <w:rPr>
          <w:rStyle w:val="FootnoteReference"/>
          <w:rFonts w:eastAsia="Times New Roman" w:cs="Times New Roman"/>
          <w:kern w:val="3"/>
          <w:lang w:eastAsia="zh-CN"/>
        </w:rPr>
        <w:footnoteReference w:id="16"/>
      </w:r>
      <w:r w:rsidRPr="00730B13">
        <w:rPr>
          <w:lang w:val="en-US"/>
        </w:rPr>
        <w:t xml:space="preserve"> which underlined that “</w:t>
      </w:r>
      <w:r w:rsidRPr="00730B13">
        <w:rPr>
          <w:i/>
          <w:iCs/>
          <w:lang w:val="en-US"/>
        </w:rPr>
        <w:t>the death sentences passed against the 19 individuals based on confessions extracted under torture are a particularly grave miscarriage of justice</w:t>
      </w:r>
      <w:r w:rsidRPr="00730B13">
        <w:rPr>
          <w:lang w:val="en-US"/>
        </w:rPr>
        <w:t>” and concluded that their deprivation of liberty constitute</w:t>
      </w:r>
      <w:r w:rsidR="002242E5">
        <w:rPr>
          <w:lang w:val="en-US"/>
        </w:rPr>
        <w:t>s</w:t>
      </w:r>
      <w:r w:rsidRPr="00730B13">
        <w:rPr>
          <w:lang w:val="en-US"/>
        </w:rPr>
        <w:t xml:space="preserve"> a violation of articles 2-3, 6-7, 9-10, 14, 16 and 26 of the CCPR. </w:t>
      </w:r>
      <w:r w:rsidRPr="00730B13">
        <w:t xml:space="preserve">WGAD consequently requested Iraq to </w:t>
      </w:r>
      <w:r w:rsidRPr="00730B13">
        <w:rPr>
          <w:rStyle w:val="Strong"/>
          <w:b w:val="0"/>
          <w:bCs w:val="0"/>
        </w:rPr>
        <w:t>immediately release</w:t>
      </w:r>
      <w:r>
        <w:rPr>
          <w:rStyle w:val="Strong"/>
          <w:b w:val="0"/>
          <w:bCs w:val="0"/>
        </w:rPr>
        <w:t xml:space="preserve"> all 19 individuals and accord them an enforceable right of compensation and reparations.</w:t>
      </w:r>
      <w:r w:rsidRPr="002270DD">
        <w:t xml:space="preserve"> </w:t>
      </w:r>
      <w:r>
        <w:t>However, to date, not all of the individuals were released</w:t>
      </w:r>
      <w:r w:rsidRPr="002270DD">
        <w:t xml:space="preserve"> </w:t>
      </w:r>
      <w:r>
        <w:t>and the Opinion has not been implemented.</w:t>
      </w:r>
    </w:p>
    <w:p w14:paraId="3A304F8F" w14:textId="77777777" w:rsidR="00674F1E" w:rsidRPr="006839FD" w:rsidRDefault="00674F1E" w:rsidP="00674F1E">
      <w:pPr>
        <w:tabs>
          <w:tab w:val="left" w:pos="540"/>
        </w:tabs>
        <w:suppressAutoHyphens/>
        <w:autoSpaceDN w:val="0"/>
        <w:spacing w:before="100" w:beforeAutospacing="1" w:after="100" w:afterAutospacing="1"/>
        <w:textAlignment w:val="baseline"/>
        <w:rPr>
          <w:rFonts w:eastAsia="Times New Roman" w:cs="Times New Roman"/>
          <w:b/>
          <w:bCs/>
          <w:i/>
          <w:iCs/>
          <w:kern w:val="3"/>
          <w:lang w:eastAsia="zh-CN"/>
        </w:rPr>
      </w:pPr>
      <w:r w:rsidRPr="00A44FDD">
        <w:rPr>
          <w:rFonts w:eastAsia="Times New Roman" w:cs="Times New Roman"/>
          <w:b/>
          <w:bCs/>
          <w:i/>
          <w:iCs/>
          <w:kern w:val="3"/>
          <w:lang w:eastAsia="zh-CN"/>
        </w:rPr>
        <w:t>Question</w:t>
      </w:r>
      <w:r>
        <w:rPr>
          <w:rFonts w:eastAsia="Times New Roman" w:cs="Times New Roman"/>
          <w:b/>
          <w:bCs/>
          <w:i/>
          <w:iCs/>
          <w:kern w:val="3"/>
          <w:lang w:eastAsia="zh-CN"/>
        </w:rPr>
        <w:t>s:</w:t>
      </w:r>
    </w:p>
    <w:p w14:paraId="6A68FB3C" w14:textId="41B328D0" w:rsidR="00674F1E" w:rsidRPr="00F14FCB" w:rsidRDefault="00B36AB8" w:rsidP="00B36AB8">
      <w:pPr>
        <w:ind w:left="709" w:right="-1" w:hanging="567"/>
        <w:rPr>
          <w:rFonts w:cs="Tahoma"/>
          <w:bCs/>
          <w:i/>
          <w:iCs/>
        </w:rPr>
      </w:pPr>
      <w:r>
        <w:rPr>
          <w:rFonts w:cs="Tahoma"/>
          <w:bCs/>
          <w:i/>
          <w:iCs/>
        </w:rPr>
        <w:t xml:space="preserve">15.     </w:t>
      </w:r>
      <w:r w:rsidR="00674F1E" w:rsidRPr="00F14FCB">
        <w:rPr>
          <w:rFonts w:cs="Tahoma"/>
          <w:bCs/>
          <w:i/>
          <w:iCs/>
        </w:rPr>
        <w:t>Is the State Party considering amending article 181 of the Criminal Procedure Code in order to reduce court’s prerogative to rule based only in confessions and avoid an unfair trial, especially under the Anti-Terrorism law, where the sentences are considerably heavy?</w:t>
      </w:r>
    </w:p>
    <w:p w14:paraId="587B2847" w14:textId="77777777" w:rsidR="00674F1E" w:rsidRDefault="00674F1E" w:rsidP="00B36AB8">
      <w:pPr>
        <w:ind w:left="709" w:right="-1" w:hanging="567"/>
        <w:rPr>
          <w:rFonts w:cs="Tahoma"/>
          <w:bCs/>
          <w:i/>
          <w:iCs/>
        </w:rPr>
      </w:pPr>
    </w:p>
    <w:p w14:paraId="07C512D3" w14:textId="11FF5FED" w:rsidR="00674F1E" w:rsidRDefault="00B36AB8" w:rsidP="00B36AB8">
      <w:pPr>
        <w:tabs>
          <w:tab w:val="left" w:pos="426"/>
        </w:tabs>
        <w:suppressAutoHyphens/>
        <w:autoSpaceDN w:val="0"/>
        <w:ind w:left="709" w:right="-1" w:hanging="567"/>
        <w:textAlignment w:val="baseline"/>
        <w:rPr>
          <w:rFonts w:eastAsia="Times New Roman" w:cs="Times New Roman"/>
          <w:i/>
          <w:iCs/>
          <w:kern w:val="3"/>
          <w:lang w:eastAsia="zh-CN"/>
        </w:rPr>
      </w:pPr>
      <w:r>
        <w:rPr>
          <w:rFonts w:eastAsia="Times New Roman" w:cs="Times New Roman"/>
          <w:i/>
          <w:iCs/>
          <w:kern w:val="3"/>
          <w:lang w:eastAsia="zh-CN"/>
        </w:rPr>
        <w:t xml:space="preserve">16.    </w:t>
      </w:r>
      <w:r w:rsidR="00674F1E">
        <w:rPr>
          <w:rFonts w:eastAsia="Times New Roman" w:cs="Times New Roman"/>
          <w:i/>
          <w:iCs/>
          <w:kern w:val="3"/>
          <w:lang w:eastAsia="zh-CN"/>
        </w:rPr>
        <w:t xml:space="preserve">Is the State Party considering reviewing trials and convictions based on confessions obtained under torture or releasing persons convicted </w:t>
      </w:r>
      <w:r w:rsidR="002242E5">
        <w:rPr>
          <w:rFonts w:eastAsia="Times New Roman" w:cs="Times New Roman"/>
          <w:i/>
          <w:iCs/>
          <w:kern w:val="3"/>
          <w:lang w:eastAsia="zh-CN"/>
        </w:rPr>
        <w:t>based on</w:t>
      </w:r>
      <w:r w:rsidR="00674F1E">
        <w:rPr>
          <w:rFonts w:eastAsia="Times New Roman" w:cs="Times New Roman"/>
          <w:i/>
          <w:iCs/>
          <w:kern w:val="3"/>
          <w:lang w:eastAsia="zh-CN"/>
        </w:rPr>
        <w:t xml:space="preserve"> these confessions? What measures have been taken concerning the hundreds of people still detained in the context of unfair trials?</w:t>
      </w:r>
    </w:p>
    <w:p w14:paraId="408AC763" w14:textId="77777777" w:rsidR="00B36AB8" w:rsidRDefault="00B36AB8" w:rsidP="00B36AB8">
      <w:pPr>
        <w:tabs>
          <w:tab w:val="left" w:pos="426"/>
        </w:tabs>
        <w:suppressAutoHyphens/>
        <w:autoSpaceDN w:val="0"/>
        <w:ind w:left="709" w:right="-1" w:hanging="567"/>
        <w:textAlignment w:val="baseline"/>
        <w:rPr>
          <w:rFonts w:eastAsia="Times New Roman" w:cs="Times New Roman"/>
          <w:i/>
          <w:iCs/>
          <w:kern w:val="3"/>
          <w:lang w:eastAsia="zh-CN"/>
        </w:rPr>
      </w:pPr>
    </w:p>
    <w:p w14:paraId="12F55FD4" w14:textId="40495391" w:rsidR="00674F1E" w:rsidRDefault="00674F1E" w:rsidP="002242E5">
      <w:pPr>
        <w:tabs>
          <w:tab w:val="left" w:pos="360"/>
        </w:tabs>
        <w:suppressAutoHyphens/>
        <w:autoSpaceDN w:val="0"/>
        <w:ind w:left="709" w:right="-1" w:hanging="567"/>
        <w:textAlignment w:val="baseline"/>
        <w:rPr>
          <w:rFonts w:eastAsia="Times New Roman" w:cs="Times New Roman"/>
          <w:i/>
          <w:iCs/>
          <w:kern w:val="3"/>
          <w:lang w:eastAsia="zh-CN"/>
        </w:rPr>
      </w:pPr>
      <w:r>
        <w:rPr>
          <w:rFonts w:eastAsia="Times New Roman" w:cs="Times New Roman"/>
          <w:i/>
          <w:iCs/>
          <w:kern w:val="3"/>
          <w:lang w:eastAsia="zh-CN"/>
        </w:rPr>
        <w:t xml:space="preserve">17.   </w:t>
      </w:r>
      <w:r w:rsidR="00B36AB8">
        <w:rPr>
          <w:rFonts w:eastAsia="Times New Roman" w:cs="Times New Roman"/>
          <w:i/>
          <w:iCs/>
          <w:kern w:val="3"/>
          <w:lang w:eastAsia="zh-CN"/>
        </w:rPr>
        <w:t xml:space="preserve">  </w:t>
      </w:r>
      <w:r>
        <w:rPr>
          <w:rFonts w:eastAsia="Times New Roman" w:cs="Times New Roman"/>
          <w:i/>
          <w:iCs/>
          <w:kern w:val="3"/>
          <w:lang w:eastAsia="zh-CN"/>
        </w:rPr>
        <w:t xml:space="preserve">Is the State Party considering a reform of its criminal system to ensure the right </w:t>
      </w:r>
      <w:r w:rsidR="002242E5">
        <w:rPr>
          <w:rFonts w:eastAsia="Times New Roman" w:cs="Times New Roman"/>
          <w:i/>
          <w:iCs/>
          <w:kern w:val="3"/>
          <w:lang w:eastAsia="zh-CN"/>
        </w:rPr>
        <w:t xml:space="preserve">to </w:t>
      </w:r>
      <w:r>
        <w:rPr>
          <w:rFonts w:eastAsia="Times New Roman" w:cs="Times New Roman"/>
          <w:i/>
          <w:iCs/>
          <w:kern w:val="3"/>
          <w:lang w:eastAsia="zh-CN"/>
        </w:rPr>
        <w:t xml:space="preserve">a fair legal </w:t>
      </w:r>
      <w:r w:rsidR="00B36AB8">
        <w:rPr>
          <w:rFonts w:eastAsia="Times New Roman" w:cs="Times New Roman"/>
          <w:i/>
          <w:iCs/>
          <w:kern w:val="3"/>
          <w:lang w:eastAsia="zh-CN"/>
        </w:rPr>
        <w:t xml:space="preserve">  </w:t>
      </w:r>
      <w:r>
        <w:rPr>
          <w:rFonts w:eastAsia="Times New Roman" w:cs="Times New Roman"/>
          <w:i/>
          <w:iCs/>
          <w:kern w:val="3"/>
          <w:lang w:eastAsia="zh-CN"/>
        </w:rPr>
        <w:t>proceeding to every defendant, even the ones accused of terrorism?</w:t>
      </w:r>
    </w:p>
    <w:p w14:paraId="586BF45F" w14:textId="77777777" w:rsidR="00B36AB8" w:rsidRDefault="00B36AB8" w:rsidP="00B36AB8">
      <w:pPr>
        <w:tabs>
          <w:tab w:val="left" w:pos="567"/>
          <w:tab w:val="left" w:pos="851"/>
        </w:tabs>
        <w:suppressAutoHyphens/>
        <w:autoSpaceDN w:val="0"/>
        <w:ind w:left="709" w:right="-1" w:hanging="567"/>
        <w:textAlignment w:val="baseline"/>
        <w:rPr>
          <w:rFonts w:eastAsia="Times New Roman" w:cs="Times New Roman"/>
          <w:i/>
          <w:iCs/>
          <w:kern w:val="3"/>
          <w:lang w:eastAsia="zh-CN"/>
        </w:rPr>
      </w:pPr>
    </w:p>
    <w:p w14:paraId="014626E7" w14:textId="13D12275" w:rsidR="00674F1E" w:rsidRDefault="00674F1E" w:rsidP="00B36AB8">
      <w:pPr>
        <w:tabs>
          <w:tab w:val="left" w:pos="567"/>
          <w:tab w:val="left" w:pos="851"/>
        </w:tabs>
        <w:suppressAutoHyphens/>
        <w:autoSpaceDN w:val="0"/>
        <w:ind w:left="709" w:right="-1" w:hanging="567"/>
        <w:textAlignment w:val="baseline"/>
        <w:rPr>
          <w:rFonts w:eastAsia="Times New Roman" w:cs="Times New Roman"/>
          <w:i/>
          <w:iCs/>
          <w:kern w:val="3"/>
          <w:lang w:eastAsia="zh-CN"/>
        </w:rPr>
      </w:pPr>
      <w:r>
        <w:rPr>
          <w:rFonts w:eastAsia="Times New Roman" w:cs="Times New Roman"/>
          <w:i/>
          <w:iCs/>
          <w:kern w:val="3"/>
          <w:lang w:eastAsia="zh-CN"/>
        </w:rPr>
        <w:t xml:space="preserve">18. </w:t>
      </w:r>
      <w:r w:rsidR="00B36AB8">
        <w:rPr>
          <w:rFonts w:eastAsia="Times New Roman" w:cs="Times New Roman"/>
          <w:i/>
          <w:iCs/>
          <w:kern w:val="3"/>
          <w:lang w:eastAsia="zh-CN"/>
        </w:rPr>
        <w:t xml:space="preserve">   </w:t>
      </w:r>
      <w:r w:rsidRPr="00F45C3A">
        <w:rPr>
          <w:i/>
          <w:iCs/>
        </w:rPr>
        <w:t xml:space="preserve">Is the State Party going to comply with the </w:t>
      </w:r>
      <w:r>
        <w:rPr>
          <w:i/>
          <w:iCs/>
        </w:rPr>
        <w:t>Opinions of the WGAD by releasing all 19 victims?</w:t>
      </w:r>
    </w:p>
    <w:p w14:paraId="7B4F2383" w14:textId="77777777" w:rsidR="00674F1E" w:rsidRDefault="00674F1E" w:rsidP="00B36AB8">
      <w:pPr>
        <w:tabs>
          <w:tab w:val="left" w:pos="709"/>
        </w:tabs>
        <w:suppressAutoHyphens/>
        <w:autoSpaceDN w:val="0"/>
        <w:ind w:left="709" w:right="-1" w:hanging="567"/>
        <w:textAlignment w:val="baseline"/>
        <w:rPr>
          <w:rFonts w:eastAsia="Times New Roman" w:cs="Times New Roman"/>
          <w:i/>
          <w:iCs/>
          <w:kern w:val="3"/>
          <w:lang w:eastAsia="zh-CN"/>
        </w:rPr>
      </w:pPr>
    </w:p>
    <w:p w14:paraId="26125041" w14:textId="28264CF0" w:rsidR="00674F1E" w:rsidRDefault="00674F1E" w:rsidP="002242E5">
      <w:pPr>
        <w:tabs>
          <w:tab w:val="left" w:pos="709"/>
        </w:tabs>
        <w:suppressAutoHyphens/>
        <w:autoSpaceDN w:val="0"/>
        <w:ind w:left="709" w:right="-1" w:hanging="567"/>
        <w:textAlignment w:val="baseline"/>
        <w:rPr>
          <w:rFonts w:cs="Tahoma"/>
          <w:bCs/>
          <w:i/>
          <w:iCs/>
        </w:rPr>
      </w:pPr>
      <w:r>
        <w:rPr>
          <w:rFonts w:eastAsia="Times New Roman" w:cs="Times New Roman"/>
          <w:i/>
          <w:iCs/>
          <w:kern w:val="3"/>
          <w:lang w:eastAsia="zh-CN"/>
        </w:rPr>
        <w:t xml:space="preserve">19.  </w:t>
      </w:r>
      <w:r w:rsidR="00B36AB8">
        <w:rPr>
          <w:rFonts w:eastAsia="Times New Roman" w:cs="Times New Roman"/>
          <w:i/>
          <w:iCs/>
          <w:kern w:val="3"/>
          <w:lang w:eastAsia="zh-CN"/>
        </w:rPr>
        <w:t xml:space="preserve">  </w:t>
      </w:r>
      <w:r>
        <w:rPr>
          <w:rFonts w:cs="Tahoma"/>
          <w:bCs/>
          <w:i/>
          <w:iCs/>
        </w:rPr>
        <w:t>Could the State Party inform if there is any ongoing investigation of the violations committed against the 19 individuals mentioned</w:t>
      </w:r>
      <w:r w:rsidR="002242E5" w:rsidRPr="002242E5">
        <w:rPr>
          <w:rFonts w:cs="Tahoma"/>
          <w:bCs/>
          <w:i/>
          <w:iCs/>
        </w:rPr>
        <w:t xml:space="preserve"> </w:t>
      </w:r>
      <w:r w:rsidR="002242E5">
        <w:rPr>
          <w:rFonts w:cs="Tahoma"/>
          <w:bCs/>
          <w:i/>
          <w:iCs/>
        </w:rPr>
        <w:t>above</w:t>
      </w:r>
      <w:r>
        <w:rPr>
          <w:rFonts w:cs="Tahoma"/>
          <w:bCs/>
          <w:i/>
          <w:iCs/>
        </w:rPr>
        <w:t>?</w:t>
      </w:r>
    </w:p>
    <w:p w14:paraId="2D574884" w14:textId="77777777" w:rsidR="00B36AB8" w:rsidRDefault="00B36AB8" w:rsidP="00B36AB8">
      <w:pPr>
        <w:tabs>
          <w:tab w:val="left" w:pos="709"/>
        </w:tabs>
        <w:suppressAutoHyphens/>
        <w:autoSpaceDN w:val="0"/>
        <w:ind w:left="709" w:right="-1" w:hanging="567"/>
        <w:textAlignment w:val="baseline"/>
        <w:rPr>
          <w:rFonts w:cs="Tahoma"/>
          <w:bCs/>
          <w:i/>
          <w:iCs/>
        </w:rPr>
      </w:pPr>
    </w:p>
    <w:p w14:paraId="62A187AD" w14:textId="11317C79" w:rsidR="00674F1E" w:rsidRDefault="00674F1E" w:rsidP="00B36AB8">
      <w:pPr>
        <w:tabs>
          <w:tab w:val="left" w:pos="709"/>
        </w:tabs>
        <w:suppressAutoHyphens/>
        <w:autoSpaceDN w:val="0"/>
        <w:ind w:left="709" w:right="-1" w:hanging="567"/>
        <w:textAlignment w:val="baseline"/>
        <w:rPr>
          <w:rFonts w:cs="Tahoma"/>
          <w:bCs/>
          <w:i/>
          <w:iCs/>
        </w:rPr>
      </w:pPr>
      <w:r>
        <w:rPr>
          <w:rFonts w:cs="Tahoma"/>
          <w:bCs/>
          <w:i/>
          <w:iCs/>
        </w:rPr>
        <w:t xml:space="preserve">20.  </w:t>
      </w:r>
      <w:r w:rsidR="00B36AB8">
        <w:rPr>
          <w:rFonts w:cs="Tahoma"/>
          <w:bCs/>
          <w:i/>
          <w:iCs/>
        </w:rPr>
        <w:t xml:space="preserve">   </w:t>
      </w:r>
      <w:r>
        <w:rPr>
          <w:rFonts w:cs="Tahoma"/>
          <w:bCs/>
          <w:i/>
          <w:iCs/>
        </w:rPr>
        <w:t>Could the State Party inform if and what measures were taken aiming to compensate and repair the victims?</w:t>
      </w:r>
    </w:p>
    <w:p w14:paraId="271009DE" w14:textId="77777777" w:rsidR="00B36AB8" w:rsidRDefault="00B36AB8" w:rsidP="00B36AB8">
      <w:pPr>
        <w:tabs>
          <w:tab w:val="left" w:pos="709"/>
        </w:tabs>
        <w:suppressAutoHyphens/>
        <w:autoSpaceDN w:val="0"/>
        <w:ind w:left="709" w:right="-1" w:hanging="567"/>
        <w:textAlignment w:val="baseline"/>
        <w:rPr>
          <w:rFonts w:cs="Tahoma"/>
          <w:bCs/>
          <w:i/>
          <w:iCs/>
        </w:rPr>
      </w:pPr>
    </w:p>
    <w:p w14:paraId="297D20CB" w14:textId="5923A8C9" w:rsidR="00674F1E" w:rsidRPr="00CA2BC8" w:rsidRDefault="00674F1E" w:rsidP="00B36AB8">
      <w:pPr>
        <w:tabs>
          <w:tab w:val="left" w:pos="540"/>
        </w:tabs>
        <w:suppressAutoHyphens/>
        <w:autoSpaceDN w:val="0"/>
        <w:ind w:left="709" w:right="-1" w:hanging="567"/>
        <w:textAlignment w:val="baseline"/>
        <w:rPr>
          <w:i/>
          <w:iCs/>
        </w:rPr>
      </w:pPr>
      <w:r>
        <w:rPr>
          <w:i/>
          <w:iCs/>
        </w:rPr>
        <w:t xml:space="preserve">21.  </w:t>
      </w:r>
      <w:r w:rsidR="00B36AB8">
        <w:rPr>
          <w:i/>
          <w:iCs/>
        </w:rPr>
        <w:t xml:space="preserve">  </w:t>
      </w:r>
      <w:r>
        <w:rPr>
          <w:i/>
          <w:iCs/>
        </w:rPr>
        <w:t>What steps will the State party take to remedy similar cases of arbitrary detention following unfair trials?</w:t>
      </w:r>
    </w:p>
    <w:p w14:paraId="37E694F6" w14:textId="77777777" w:rsidR="00674F1E" w:rsidRDefault="00674F1E" w:rsidP="00B36AB8">
      <w:pPr>
        <w:tabs>
          <w:tab w:val="left" w:pos="540"/>
        </w:tabs>
        <w:suppressAutoHyphens/>
        <w:autoSpaceDN w:val="0"/>
        <w:ind w:right="567"/>
        <w:textAlignment w:val="baseline"/>
        <w:rPr>
          <w:i/>
          <w:iCs/>
        </w:rPr>
      </w:pPr>
    </w:p>
    <w:p w14:paraId="23ED71C4" w14:textId="2D4FBC0B" w:rsidR="00674F1E" w:rsidRPr="00CA2BC8" w:rsidRDefault="00674F1E" w:rsidP="00674F1E">
      <w:pPr>
        <w:pStyle w:val="Heading1"/>
        <w:spacing w:before="100" w:beforeAutospacing="1" w:after="100" w:afterAutospacing="1"/>
      </w:pPr>
      <w:bookmarkStart w:id="11" w:name="_Toc40878966"/>
      <w:r>
        <w:t xml:space="preserve">The Rights to Freedom of Opinion and </w:t>
      </w:r>
      <w:r w:rsidRPr="00DF340E">
        <w:t xml:space="preserve">Expression </w:t>
      </w:r>
      <w:r>
        <w:t xml:space="preserve">and the Use of the Anti-Terrorism Law to </w:t>
      </w:r>
      <w:r w:rsidR="007143CC">
        <w:t xml:space="preserve">Silence </w:t>
      </w:r>
      <w:r>
        <w:t>Political Opponents</w:t>
      </w:r>
      <w:bookmarkEnd w:id="11"/>
    </w:p>
    <w:p w14:paraId="67324238" w14:textId="64BFDEAA" w:rsidR="00674F1E" w:rsidRDefault="00674F1E" w:rsidP="007F3756">
      <w:pPr>
        <w:tabs>
          <w:tab w:val="left" w:pos="540"/>
        </w:tabs>
        <w:suppressAutoHyphens/>
        <w:autoSpaceDN w:val="0"/>
        <w:spacing w:before="100" w:beforeAutospacing="1" w:after="100" w:afterAutospacing="1"/>
        <w:textAlignment w:val="baseline"/>
        <w:rPr>
          <w:rFonts w:eastAsia="Times New Roman" w:cs="Times New Roman"/>
          <w:kern w:val="3"/>
          <w:lang w:eastAsia="zh-CN"/>
        </w:rPr>
      </w:pPr>
      <w:r>
        <w:rPr>
          <w:rFonts w:eastAsia="Times New Roman" w:cs="Times New Roman"/>
          <w:kern w:val="3"/>
          <w:lang w:eastAsia="zh-CN"/>
        </w:rPr>
        <w:t>Over the last years, Alkarama has observed with great concern that Iraqi authorities have used the Anti-Terrorism law for various reasons, putting under the scope of terrorism any act</w:t>
      </w:r>
      <w:r w:rsidR="007143CC">
        <w:rPr>
          <w:rFonts w:eastAsia="Times New Roman" w:cs="Times New Roman"/>
          <w:kern w:val="3"/>
          <w:lang w:eastAsia="zh-CN"/>
        </w:rPr>
        <w:t xml:space="preserve">, including </w:t>
      </w:r>
      <w:r w:rsidR="007F3756">
        <w:rPr>
          <w:rFonts w:eastAsia="Times New Roman" w:cs="Times New Roman"/>
          <w:kern w:val="3"/>
          <w:lang w:eastAsia="zh-CN"/>
        </w:rPr>
        <w:t>the</w:t>
      </w:r>
      <w:r w:rsidR="007143CC">
        <w:rPr>
          <w:rFonts w:eastAsia="Times New Roman" w:cs="Times New Roman"/>
          <w:kern w:val="3"/>
          <w:lang w:eastAsia="zh-CN"/>
        </w:rPr>
        <w:t xml:space="preserve"> peaceful criticism</w:t>
      </w:r>
      <w:r w:rsidR="007F3756">
        <w:rPr>
          <w:rFonts w:eastAsia="Times New Roman" w:cs="Times New Roman"/>
          <w:kern w:val="3"/>
          <w:lang w:eastAsia="zh-CN"/>
        </w:rPr>
        <w:t xml:space="preserve"> of</w:t>
      </w:r>
      <w:r>
        <w:rPr>
          <w:rFonts w:eastAsia="Times New Roman" w:cs="Times New Roman"/>
          <w:kern w:val="3"/>
          <w:lang w:eastAsia="zh-CN"/>
        </w:rPr>
        <w:t xml:space="preserve"> the Government.</w:t>
      </w:r>
    </w:p>
    <w:p w14:paraId="0E234C44" w14:textId="77777777" w:rsidR="00674F1E" w:rsidRDefault="00674F1E" w:rsidP="00674F1E">
      <w:pPr>
        <w:tabs>
          <w:tab w:val="left" w:pos="540"/>
        </w:tabs>
        <w:suppressAutoHyphens/>
        <w:autoSpaceDN w:val="0"/>
        <w:spacing w:before="100" w:beforeAutospacing="1" w:after="100" w:afterAutospacing="1"/>
        <w:textAlignment w:val="baseline"/>
        <w:rPr>
          <w:rFonts w:eastAsia="Times New Roman" w:cs="Times New Roman"/>
          <w:kern w:val="3"/>
          <w:lang w:eastAsia="zh-CN"/>
        </w:rPr>
      </w:pPr>
      <w:r>
        <w:rPr>
          <w:rFonts w:eastAsia="Times New Roman" w:cs="Times New Roman"/>
          <w:kern w:val="3"/>
          <w:lang w:eastAsia="zh-CN"/>
        </w:rPr>
        <w:t xml:space="preserve">In the cases cited below, all 19 citizens were sentenced to death under the Anti-Terrorism Law. These cases serve as an example to demonstrate how the Anti-Terrorism Law has been utilised to neutralise opponents of the Government and critics of its policies, or, in this case, as a reprisal for their past filiation with the former government.  </w:t>
      </w:r>
    </w:p>
    <w:p w14:paraId="7B319215" w14:textId="77777777" w:rsidR="00674F1E" w:rsidRPr="007D5259" w:rsidRDefault="00674F1E" w:rsidP="00674F1E">
      <w:pPr>
        <w:tabs>
          <w:tab w:val="left" w:pos="540"/>
        </w:tabs>
        <w:suppressAutoHyphens/>
        <w:autoSpaceDN w:val="0"/>
        <w:spacing w:before="100" w:beforeAutospacing="1" w:after="100" w:afterAutospacing="1"/>
        <w:textAlignment w:val="baseline"/>
        <w:rPr>
          <w:rFonts w:eastAsia="Times New Roman" w:cs="Times New Roman"/>
          <w:b/>
          <w:bCs/>
          <w:i/>
          <w:iCs/>
          <w:kern w:val="3"/>
          <w:lang w:eastAsia="zh-CN"/>
        </w:rPr>
      </w:pPr>
      <w:r w:rsidRPr="007D5259">
        <w:rPr>
          <w:rFonts w:eastAsia="Times New Roman" w:cs="Times New Roman"/>
          <w:b/>
          <w:bCs/>
          <w:i/>
          <w:iCs/>
          <w:kern w:val="3"/>
          <w:lang w:eastAsia="zh-CN"/>
        </w:rPr>
        <w:t>Question</w:t>
      </w:r>
      <w:r>
        <w:rPr>
          <w:rFonts w:eastAsia="Times New Roman" w:cs="Times New Roman"/>
          <w:b/>
          <w:bCs/>
          <w:i/>
          <w:iCs/>
          <w:kern w:val="3"/>
          <w:lang w:eastAsia="zh-CN"/>
        </w:rPr>
        <w:t>s</w:t>
      </w:r>
      <w:r w:rsidRPr="007D5259">
        <w:rPr>
          <w:rFonts w:eastAsia="Times New Roman" w:cs="Times New Roman"/>
          <w:b/>
          <w:bCs/>
          <w:i/>
          <w:iCs/>
          <w:kern w:val="3"/>
          <w:lang w:eastAsia="zh-CN"/>
        </w:rPr>
        <w:t>:</w:t>
      </w:r>
    </w:p>
    <w:p w14:paraId="37BE377A" w14:textId="77777777" w:rsidR="00674F1E" w:rsidRDefault="00674F1E" w:rsidP="00674F1E">
      <w:pPr>
        <w:tabs>
          <w:tab w:val="left" w:pos="709"/>
        </w:tabs>
        <w:suppressAutoHyphens/>
        <w:autoSpaceDN w:val="0"/>
        <w:ind w:left="360"/>
        <w:textAlignment w:val="baseline"/>
        <w:rPr>
          <w:rFonts w:eastAsia="Times New Roman" w:cs="Times New Roman"/>
          <w:i/>
          <w:iCs/>
          <w:kern w:val="3"/>
          <w:lang w:eastAsia="zh-CN"/>
        </w:rPr>
      </w:pPr>
      <w:r>
        <w:rPr>
          <w:rFonts w:eastAsia="Times New Roman" w:cs="Times New Roman"/>
          <w:i/>
          <w:iCs/>
          <w:kern w:val="3"/>
          <w:lang w:eastAsia="zh-CN"/>
        </w:rPr>
        <w:t>24.  What is the State party doing to prevent the Anti-Terrorism Law from being used against government critics and opponents?</w:t>
      </w:r>
    </w:p>
    <w:p w14:paraId="176302F0" w14:textId="77777777" w:rsidR="00674F1E" w:rsidRDefault="00674F1E" w:rsidP="00674F1E">
      <w:pPr>
        <w:tabs>
          <w:tab w:val="left" w:pos="540"/>
        </w:tabs>
        <w:suppressAutoHyphens/>
        <w:autoSpaceDN w:val="0"/>
        <w:ind w:left="714"/>
        <w:textAlignment w:val="baseline"/>
        <w:rPr>
          <w:rFonts w:eastAsia="Times New Roman" w:cs="Times New Roman"/>
          <w:i/>
          <w:iCs/>
          <w:kern w:val="3"/>
          <w:lang w:eastAsia="zh-CN"/>
        </w:rPr>
      </w:pPr>
    </w:p>
    <w:p w14:paraId="4C746CD4" w14:textId="3466B183" w:rsidR="00674F1E" w:rsidRPr="004A3A19" w:rsidRDefault="00674F1E" w:rsidP="00674F1E">
      <w:pPr>
        <w:tabs>
          <w:tab w:val="left" w:pos="709"/>
        </w:tabs>
        <w:suppressAutoHyphens/>
        <w:autoSpaceDN w:val="0"/>
        <w:ind w:left="360"/>
        <w:textAlignment w:val="baseline"/>
        <w:rPr>
          <w:rFonts w:eastAsia="Times New Roman" w:cs="Times New Roman"/>
          <w:i/>
          <w:iCs/>
          <w:kern w:val="3"/>
          <w:lang w:eastAsia="zh-CN"/>
        </w:rPr>
      </w:pPr>
      <w:r>
        <w:rPr>
          <w:rFonts w:eastAsia="Times New Roman" w:cs="Times New Roman"/>
          <w:i/>
          <w:iCs/>
          <w:kern w:val="3"/>
          <w:lang w:eastAsia="zh-CN"/>
        </w:rPr>
        <w:t xml:space="preserve">25.  How is the State party </w:t>
      </w:r>
      <w:r w:rsidR="007143CC">
        <w:rPr>
          <w:rFonts w:eastAsia="Times New Roman" w:cs="Times New Roman"/>
          <w:i/>
          <w:iCs/>
          <w:kern w:val="3"/>
          <w:lang w:eastAsia="zh-CN"/>
        </w:rPr>
        <w:t>resolving</w:t>
      </w:r>
      <w:r>
        <w:rPr>
          <w:rFonts w:eastAsia="Times New Roman" w:cs="Times New Roman"/>
          <w:i/>
          <w:iCs/>
          <w:kern w:val="3"/>
          <w:lang w:eastAsia="zh-CN"/>
        </w:rPr>
        <w:t xml:space="preserve"> cases of wrongful condemnations on political </w:t>
      </w:r>
      <w:r w:rsidR="007143CC">
        <w:rPr>
          <w:rFonts w:eastAsia="Times New Roman" w:cs="Times New Roman"/>
          <w:i/>
          <w:iCs/>
          <w:kern w:val="3"/>
          <w:lang w:eastAsia="zh-CN"/>
        </w:rPr>
        <w:t>grounds</w:t>
      </w:r>
      <w:r>
        <w:rPr>
          <w:rFonts w:eastAsia="Times New Roman" w:cs="Times New Roman"/>
          <w:i/>
          <w:iCs/>
          <w:kern w:val="3"/>
          <w:lang w:eastAsia="zh-CN"/>
        </w:rPr>
        <w:t>?</w:t>
      </w:r>
    </w:p>
    <w:p w14:paraId="2C5A2E6F" w14:textId="77777777" w:rsidR="00BB2CE2" w:rsidRPr="00674F1E" w:rsidRDefault="005A4AA5">
      <w:pPr>
        <w:rPr>
          <w:lang w:val="en-US"/>
        </w:rPr>
      </w:pPr>
    </w:p>
    <w:sectPr w:rsidR="00BB2CE2" w:rsidRPr="00674F1E" w:rsidSect="00A26B10">
      <w:headerReference w:type="default" r:id="rId9"/>
      <w:footerReference w:type="default" r:id="rId10"/>
      <w:footerReference w:type="first" r:id="rId11"/>
      <w:pgSz w:w="11906" w:h="16838"/>
      <w:pgMar w:top="1417" w:right="1417" w:bottom="1417" w:left="1418" w:header="567" w:footer="391"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F726F" w16cex:dateUtc="2020-05-20T07:10:00Z"/>
  <w16cex:commentExtensible w16cex:durableId="226F728D" w16cex:dateUtc="2020-05-20T07:10:00Z"/>
  <w16cex:commentExtensible w16cex:durableId="226F74B6" w16cex:dateUtc="2020-05-20T07:19:00Z"/>
  <w16cex:commentExtensible w16cex:durableId="226F750C" w16cex:dateUtc="2020-05-20T0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09ED1C5" w16cid:durableId="226F726F"/>
  <w16cid:commentId w16cid:paraId="07E2296B" w16cid:durableId="226F728D"/>
  <w16cid:commentId w16cid:paraId="0A5B9FDA" w16cid:durableId="226F74B6"/>
  <w16cid:commentId w16cid:paraId="78102796" w16cid:durableId="226F750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BA9CF" w14:textId="77777777" w:rsidR="00254292" w:rsidRDefault="00254292" w:rsidP="00674F1E">
      <w:r>
        <w:separator/>
      </w:r>
    </w:p>
  </w:endnote>
  <w:endnote w:type="continuationSeparator" w:id="0">
    <w:p w14:paraId="1AE33B0D" w14:textId="77777777" w:rsidR="00254292" w:rsidRDefault="00254292" w:rsidP="0067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4CA78" w14:textId="1DC224EC" w:rsidR="00AE12C0" w:rsidRPr="00C158BD" w:rsidRDefault="00F01996" w:rsidP="00B876E8">
    <w:pPr>
      <w:pStyle w:val="Footer"/>
      <w:jc w:val="right"/>
      <w:rPr>
        <w:sz w:val="18"/>
        <w:szCs w:val="18"/>
      </w:rPr>
    </w:pPr>
    <w:r w:rsidRPr="00C158BD">
      <w:rPr>
        <w:sz w:val="18"/>
        <w:szCs w:val="18"/>
      </w:rPr>
      <w:fldChar w:fldCharType="begin"/>
    </w:r>
    <w:r w:rsidRPr="00C158BD">
      <w:rPr>
        <w:sz w:val="18"/>
        <w:szCs w:val="18"/>
      </w:rPr>
      <w:instrText xml:space="preserve"> PAGE   \* MERGEFORMAT </w:instrText>
    </w:r>
    <w:r w:rsidRPr="00C158BD">
      <w:rPr>
        <w:sz w:val="18"/>
        <w:szCs w:val="18"/>
      </w:rPr>
      <w:fldChar w:fldCharType="separate"/>
    </w:r>
    <w:r w:rsidR="005A4AA5">
      <w:rPr>
        <w:noProof/>
        <w:sz w:val="18"/>
        <w:szCs w:val="18"/>
      </w:rPr>
      <w:t>2</w:t>
    </w:r>
    <w:r w:rsidRPr="00C158BD">
      <w:rPr>
        <w:sz w:val="18"/>
        <w:szCs w:val="18"/>
      </w:rPr>
      <w:fldChar w:fldCharType="end"/>
    </w:r>
  </w:p>
  <w:p w14:paraId="30782587" w14:textId="4043EDCB" w:rsidR="00AE12C0" w:rsidRPr="00C158BD" w:rsidRDefault="00F01996" w:rsidP="00857B84">
    <w:pPr>
      <w:pStyle w:val="Header"/>
      <w:jc w:val="center"/>
      <w:rPr>
        <w:rFonts w:ascii="Arial" w:hAnsi="Arial" w:cs="Arial"/>
        <w:sz w:val="18"/>
        <w:szCs w:val="18"/>
        <w:lang w:val="fr-CH"/>
      </w:rPr>
    </w:pPr>
    <w:r w:rsidRPr="00C158BD">
      <w:rPr>
        <w:rFonts w:ascii="Arial" w:hAnsi="Arial" w:cs="Arial"/>
        <w:sz w:val="18"/>
        <w:szCs w:val="18"/>
        <w:lang w:val="fr-CH"/>
      </w:rPr>
      <w:t>Alkarama</w:t>
    </w:r>
    <w:r w:rsidR="00857B84">
      <w:rPr>
        <w:rFonts w:ascii="Arial" w:hAnsi="Arial" w:cs="Arial"/>
        <w:sz w:val="18"/>
        <w:szCs w:val="18"/>
        <w:lang w:val="fr-CH"/>
      </w:rPr>
      <w:t xml:space="preserve"> </w:t>
    </w:r>
    <w:r w:rsidRPr="00C158BD">
      <w:rPr>
        <w:rFonts w:ascii="Arial" w:hAnsi="Arial" w:cs="Arial"/>
        <w:sz w:val="18"/>
        <w:szCs w:val="18"/>
        <w:lang w:val="fr-CH"/>
      </w:rPr>
      <w:t xml:space="preserve">– </w:t>
    </w:r>
    <w:r w:rsidR="00A43DD8">
      <w:rPr>
        <w:rFonts w:ascii="Arial" w:hAnsi="Arial" w:cs="Arial"/>
        <w:sz w:val="18"/>
        <w:szCs w:val="18"/>
        <w:lang w:val="fr-CH"/>
      </w:rPr>
      <w:t>2bis Chemin des Vignes, 1209</w:t>
    </w:r>
    <w:r w:rsidRPr="00C158BD">
      <w:rPr>
        <w:rFonts w:ascii="Arial" w:hAnsi="Arial" w:cs="Arial"/>
        <w:sz w:val="18"/>
        <w:szCs w:val="18"/>
        <w:lang w:val="fr-CH"/>
      </w:rPr>
      <w:t xml:space="preserve"> Genève – Switzerland</w:t>
    </w:r>
  </w:p>
  <w:p w14:paraId="0C446DE9" w14:textId="715C9C1C" w:rsidR="00AE12C0" w:rsidRPr="00C158BD" w:rsidRDefault="00F01996" w:rsidP="00857B84">
    <w:pPr>
      <w:pStyle w:val="Header"/>
      <w:spacing w:before="20"/>
      <w:jc w:val="center"/>
      <w:rPr>
        <w:rFonts w:ascii="Arial" w:hAnsi="Arial"/>
        <w:sz w:val="18"/>
        <w:szCs w:val="18"/>
        <w:lang w:val="fr-CH"/>
      </w:rPr>
    </w:pPr>
    <w:r w:rsidRPr="00C158BD">
      <w:rPr>
        <w:rFonts w:ascii="Arial Narrow" w:hAnsi="Arial Narrow"/>
        <w:sz w:val="18"/>
        <w:szCs w:val="18"/>
        <w:lang w:val="en-US"/>
      </w:rPr>
      <w:sym w:font="Wingdings" w:char="0028"/>
    </w:r>
    <w:r w:rsidRPr="00C158BD">
      <w:rPr>
        <w:rFonts w:ascii="Arial" w:hAnsi="Arial"/>
        <w:sz w:val="18"/>
        <w:szCs w:val="18"/>
        <w:lang w:val="fr-CH"/>
      </w:rPr>
      <w:t xml:space="preserve"> +41 22 734 10 06 –</w:t>
    </w:r>
    <w:r w:rsidR="00857B84">
      <w:rPr>
        <w:rFonts w:ascii="Arial" w:hAnsi="Arial"/>
        <w:sz w:val="18"/>
        <w:szCs w:val="18"/>
        <w:lang w:val="fr-CH"/>
      </w:rPr>
      <w:t xml:space="preserve"> </w:t>
    </w:r>
    <w:r w:rsidRPr="00C158BD">
      <w:rPr>
        <w:rFonts w:ascii="Arial" w:hAnsi="Arial"/>
        <w:sz w:val="18"/>
        <w:szCs w:val="18"/>
        <w:lang w:val="en-US"/>
      </w:rPr>
      <w:sym w:font="Wingdings" w:char="002A"/>
    </w:r>
    <w:r w:rsidRPr="00C158BD">
      <w:rPr>
        <w:rFonts w:ascii="Arial" w:hAnsi="Arial"/>
        <w:sz w:val="18"/>
        <w:szCs w:val="18"/>
        <w:lang w:val="fr-CH"/>
      </w:rPr>
      <w:t xml:space="preserve"> </w:t>
    </w:r>
    <w:r w:rsidR="00857B84">
      <w:rPr>
        <w:rFonts w:ascii="Arial" w:hAnsi="Arial"/>
        <w:sz w:val="18"/>
        <w:szCs w:val="18"/>
        <w:lang w:val="fr-CH"/>
      </w:rPr>
      <w:t>info</w:t>
    </w:r>
    <w:r w:rsidRPr="00C158BD">
      <w:rPr>
        <w:rFonts w:ascii="Arial" w:hAnsi="Arial"/>
        <w:sz w:val="18"/>
        <w:szCs w:val="18"/>
        <w:lang w:val="fr-CH"/>
      </w:rPr>
      <w:t xml:space="preserve">@alkarama.org – </w:t>
    </w:r>
    <w:r w:rsidRPr="00C158BD">
      <w:rPr>
        <w:rFonts w:ascii="Arial" w:hAnsi="Arial"/>
        <w:sz w:val="18"/>
        <w:szCs w:val="18"/>
        <w:lang w:val="en-US"/>
      </w:rPr>
      <w:sym w:font="Wingdings" w:char="0038"/>
    </w:r>
    <w:r w:rsidRPr="00C158BD">
      <w:rPr>
        <w:rFonts w:ascii="Arial" w:hAnsi="Arial"/>
        <w:sz w:val="18"/>
        <w:szCs w:val="18"/>
        <w:lang w:val="fr-CH"/>
      </w:rPr>
      <w:t xml:space="preserve"> www.alkarama.org</w:t>
    </w:r>
  </w:p>
  <w:p w14:paraId="38392A29" w14:textId="77777777" w:rsidR="00AE12C0" w:rsidRPr="00C158BD" w:rsidRDefault="005A4AA5" w:rsidP="00B876E8">
    <w:pPr>
      <w:pStyle w:val="Header"/>
      <w:spacing w:before="20"/>
      <w:jc w:val="center"/>
      <w:rPr>
        <w:rFonts w:ascii="Arial" w:hAnsi="Arial"/>
        <w:sz w:val="18"/>
        <w:szCs w:val="18"/>
        <w:lang w:val="fr-CH"/>
      </w:rPr>
    </w:pPr>
  </w:p>
  <w:p w14:paraId="04132850" w14:textId="77777777" w:rsidR="00AE12C0" w:rsidRPr="00C158BD" w:rsidRDefault="005A4AA5">
    <w:pPr>
      <w:pStyle w:val="Footer"/>
      <w:rPr>
        <w:sz w:val="18"/>
        <w:szCs w:val="18"/>
        <w:lang w:val="fr-CH"/>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65420" w14:textId="0F397138" w:rsidR="00AE12C0" w:rsidRPr="002D2FAA" w:rsidRDefault="00F01996" w:rsidP="00857B84">
    <w:pPr>
      <w:pStyle w:val="Header"/>
      <w:jc w:val="center"/>
      <w:rPr>
        <w:rFonts w:ascii="Arial" w:hAnsi="Arial" w:cs="Arial"/>
        <w:lang w:val="fr-CH"/>
      </w:rPr>
    </w:pPr>
    <w:r w:rsidRPr="002D2FAA">
      <w:rPr>
        <w:rFonts w:ascii="Arial" w:hAnsi="Arial" w:cs="Arial"/>
        <w:lang w:val="fr-CH"/>
      </w:rPr>
      <w:t>Alkarama</w:t>
    </w:r>
    <w:r w:rsidR="00857B84">
      <w:rPr>
        <w:rFonts w:ascii="Arial" w:hAnsi="Arial" w:cs="Arial"/>
        <w:lang w:val="fr-CH"/>
      </w:rPr>
      <w:t xml:space="preserve"> </w:t>
    </w:r>
    <w:r w:rsidRPr="002D2FAA">
      <w:rPr>
        <w:rFonts w:ascii="Arial" w:hAnsi="Arial" w:cs="Arial"/>
        <w:lang w:val="fr-CH"/>
      </w:rPr>
      <w:t>–</w:t>
    </w:r>
    <w:r w:rsidR="00857B84">
      <w:rPr>
        <w:rFonts w:ascii="Arial" w:hAnsi="Arial" w:cs="Arial"/>
        <w:lang w:val="fr-CH"/>
      </w:rPr>
      <w:t xml:space="preserve"> </w:t>
    </w:r>
    <w:r w:rsidR="002D2FAA">
      <w:rPr>
        <w:rFonts w:ascii="Arial" w:hAnsi="Arial" w:cs="Arial"/>
        <w:lang w:val="fr-CH"/>
      </w:rPr>
      <w:t>2</w:t>
    </w:r>
    <w:r w:rsidR="002D2FAA" w:rsidRPr="002D2FAA">
      <w:rPr>
        <w:rFonts w:ascii="Arial" w:hAnsi="Arial" w:cs="Arial"/>
        <w:lang w:val="fr-CH"/>
      </w:rPr>
      <w:t>bis</w:t>
    </w:r>
    <w:r w:rsidR="002D2FAA">
      <w:rPr>
        <w:rFonts w:ascii="Arial" w:hAnsi="Arial" w:cs="Arial"/>
        <w:lang w:val="fr-CH"/>
      </w:rPr>
      <w:t>,</w:t>
    </w:r>
    <w:r w:rsidR="002D2FAA" w:rsidRPr="002D2FAA">
      <w:rPr>
        <w:rFonts w:ascii="Arial" w:hAnsi="Arial" w:cs="Arial"/>
        <w:lang w:val="fr-CH"/>
      </w:rPr>
      <w:t xml:space="preserve"> C</w:t>
    </w:r>
    <w:r w:rsidR="002D2FAA" w:rsidRPr="00B36AB8">
      <w:rPr>
        <w:rFonts w:ascii="Arial" w:hAnsi="Arial" w:cs="Arial"/>
        <w:lang w:val="fr-CH"/>
      </w:rPr>
      <w:t>hemin des Vignes</w:t>
    </w:r>
    <w:r w:rsidRPr="002D2FAA">
      <w:rPr>
        <w:rFonts w:ascii="Arial" w:hAnsi="Arial" w:cs="Arial"/>
        <w:lang w:val="fr-CH"/>
      </w:rPr>
      <w:t>, 12</w:t>
    </w:r>
    <w:r w:rsidR="002D2FAA">
      <w:rPr>
        <w:rFonts w:ascii="Arial" w:hAnsi="Arial" w:cs="Arial"/>
        <w:lang w:val="fr-CH"/>
      </w:rPr>
      <w:t>09</w:t>
    </w:r>
    <w:r w:rsidRPr="002D2FAA">
      <w:rPr>
        <w:rFonts w:ascii="Arial" w:hAnsi="Arial" w:cs="Arial"/>
        <w:lang w:val="fr-CH"/>
      </w:rPr>
      <w:t xml:space="preserve">  Genève  Switzerland</w:t>
    </w:r>
  </w:p>
  <w:p w14:paraId="6CE63D3E" w14:textId="48EEC502" w:rsidR="00AE12C0" w:rsidRPr="002D2FAA" w:rsidRDefault="00F01996" w:rsidP="00857B84">
    <w:pPr>
      <w:pStyle w:val="Header"/>
      <w:spacing w:before="20"/>
      <w:jc w:val="center"/>
      <w:rPr>
        <w:rFonts w:ascii="Arial" w:hAnsi="Arial"/>
        <w:lang w:val="fr-CH"/>
      </w:rPr>
    </w:pPr>
    <w:r>
      <w:rPr>
        <w:rFonts w:ascii="Arial Narrow" w:hAnsi="Arial Narrow"/>
        <w:lang w:val="en-US"/>
      </w:rPr>
      <w:sym w:font="Wingdings" w:char="0028"/>
    </w:r>
    <w:r w:rsidRPr="002D2FAA">
      <w:rPr>
        <w:rFonts w:ascii="Arial" w:hAnsi="Arial"/>
        <w:lang w:val="fr-CH"/>
      </w:rPr>
      <w:t xml:space="preserve"> +41 22 734 10 06 – </w:t>
    </w:r>
    <w:r>
      <w:rPr>
        <w:rFonts w:ascii="Arial" w:hAnsi="Arial"/>
        <w:lang w:val="en-US"/>
      </w:rPr>
      <w:sym w:font="Wingdings" w:char="002A"/>
    </w:r>
    <w:r w:rsidRPr="002D2FAA">
      <w:rPr>
        <w:rFonts w:ascii="Arial" w:hAnsi="Arial"/>
        <w:lang w:val="fr-CH"/>
      </w:rPr>
      <w:t xml:space="preserve"> </w:t>
    </w:r>
    <w:r w:rsidR="00857B84">
      <w:rPr>
        <w:rFonts w:ascii="Arial" w:hAnsi="Arial"/>
        <w:lang w:val="fr-CH"/>
      </w:rPr>
      <w:t>info</w:t>
    </w:r>
    <w:r w:rsidRPr="002D2FAA">
      <w:rPr>
        <w:rFonts w:ascii="Arial" w:hAnsi="Arial"/>
        <w:lang w:val="fr-CH"/>
      </w:rPr>
      <w:t xml:space="preserve">@alkarama.org – </w:t>
    </w:r>
    <w:r>
      <w:rPr>
        <w:rFonts w:ascii="Arial" w:hAnsi="Arial"/>
        <w:lang w:val="en-US"/>
      </w:rPr>
      <w:sym w:font="Wingdings" w:char="0038"/>
    </w:r>
    <w:r w:rsidRPr="002D2FAA">
      <w:rPr>
        <w:rFonts w:ascii="Arial" w:hAnsi="Arial"/>
        <w:lang w:val="fr-CH"/>
      </w:rPr>
      <w:t xml:space="preserve"> www.alkarama.org</w:t>
    </w:r>
  </w:p>
  <w:p w14:paraId="57C869C2" w14:textId="77777777" w:rsidR="00AE12C0" w:rsidRPr="00273712" w:rsidRDefault="005A4AA5">
    <w:pPr>
      <w:pStyle w:val="Footer"/>
      <w:rPr>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012AE" w14:textId="77777777" w:rsidR="00254292" w:rsidRDefault="00254292" w:rsidP="00674F1E">
      <w:r>
        <w:separator/>
      </w:r>
    </w:p>
  </w:footnote>
  <w:footnote w:type="continuationSeparator" w:id="0">
    <w:p w14:paraId="6B985967" w14:textId="77777777" w:rsidR="00254292" w:rsidRDefault="00254292" w:rsidP="00674F1E">
      <w:r>
        <w:continuationSeparator/>
      </w:r>
    </w:p>
  </w:footnote>
  <w:footnote w:id="1">
    <w:p w14:paraId="67B5F70B" w14:textId="00926421"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Para. 26. CCPR/C/IRQ/6.</w:t>
      </w:r>
    </w:p>
  </w:footnote>
  <w:footnote w:id="2">
    <w:p w14:paraId="4AD35BF4" w14:textId="0B1804A2"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Art. 3 Counter-Terrorism Act No. 13 of 2005.</w:t>
      </w:r>
    </w:p>
  </w:footnote>
  <w:footnote w:id="3">
    <w:p w14:paraId="297B7C41" w14:textId="337668A3"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Art. 2 Co</w:t>
      </w:r>
      <w:r>
        <w:rPr>
          <w:lang w:val="en-GB"/>
        </w:rPr>
        <w:t>u</w:t>
      </w:r>
      <w:r w:rsidRPr="00664BF4">
        <w:rPr>
          <w:lang w:val="en-GB"/>
        </w:rPr>
        <w:t>nter-Terrorism Act No. 13 of 2005.</w:t>
      </w:r>
    </w:p>
  </w:footnote>
  <w:footnote w:id="4">
    <w:p w14:paraId="015A9093" w14:textId="6098F384"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 xml:space="preserve">UNAMI / OHCHR, </w:t>
      </w:r>
      <w:r w:rsidRPr="00664BF4">
        <w:rPr>
          <w:i/>
          <w:iCs/>
          <w:lang w:val="en-GB"/>
        </w:rPr>
        <w:t>Human Rights in the Administration of Justice in Iraq: Trials under the anti-terrorism laws and implications for justice, accountability and social cohesion in the aftermath of ISIL</w:t>
      </w:r>
      <w:r w:rsidRPr="00664BF4">
        <w:rPr>
          <w:lang w:val="en-GB"/>
        </w:rPr>
        <w:t xml:space="preserve">, January 2020, </w:t>
      </w:r>
      <w:hyperlink r:id="rId1" w:history="1">
        <w:r w:rsidRPr="00664BF4">
          <w:rPr>
            <w:rStyle w:val="Hyperlink"/>
            <w:lang w:val="en-GB"/>
          </w:rPr>
          <w:t>https://news.un.org/en/story/2020/01/1056312</w:t>
        </w:r>
      </w:hyperlink>
      <w:r w:rsidRPr="00664BF4">
        <w:rPr>
          <w:lang w:val="en-GB"/>
        </w:rPr>
        <w:t xml:space="preserve"> (last accessed on 14 </w:t>
      </w:r>
      <w:r w:rsidR="00957EF4">
        <w:rPr>
          <w:lang w:val="en-GB"/>
        </w:rPr>
        <w:t>May</w:t>
      </w:r>
      <w:r w:rsidRPr="00664BF4">
        <w:rPr>
          <w:lang w:val="en-GB"/>
        </w:rPr>
        <w:t xml:space="preserve"> 2020).</w:t>
      </w:r>
    </w:p>
  </w:footnote>
  <w:footnote w:id="5">
    <w:p w14:paraId="0A690B68" w14:textId="66C2FD48" w:rsidR="00674F1E" w:rsidRPr="00674F1E" w:rsidRDefault="00674F1E" w:rsidP="00DE719C">
      <w:pPr>
        <w:pStyle w:val="FootnoteText"/>
        <w:rPr>
          <w:lang w:val="fr-CH"/>
        </w:rPr>
      </w:pPr>
      <w:r w:rsidRPr="00664BF4">
        <w:rPr>
          <w:rStyle w:val="FootnoteReference"/>
          <w:lang w:val="en-GB"/>
        </w:rPr>
        <w:footnoteRef/>
      </w:r>
      <w:r w:rsidRPr="00674F1E">
        <w:rPr>
          <w:lang w:val="fr-CH"/>
        </w:rPr>
        <w:t xml:space="preserve"> </w:t>
      </w:r>
      <w:r w:rsidR="00DE719C">
        <w:rPr>
          <w:lang w:val="fr-CH"/>
        </w:rPr>
        <w:t xml:space="preserve">  </w:t>
      </w:r>
      <w:r w:rsidRPr="00674F1E">
        <w:rPr>
          <w:lang w:val="fr-CH"/>
        </w:rPr>
        <w:t>Para. 241. CCPR/C/IRQ/6.</w:t>
      </w:r>
    </w:p>
  </w:footnote>
  <w:footnote w:id="6">
    <w:p w14:paraId="7AE74A81" w14:textId="617BB215" w:rsidR="00674F1E" w:rsidRPr="00674F1E" w:rsidRDefault="00674F1E" w:rsidP="00DE719C">
      <w:pPr>
        <w:pStyle w:val="FootnoteText"/>
        <w:rPr>
          <w:lang w:val="fr-CH"/>
        </w:rPr>
      </w:pPr>
      <w:r w:rsidRPr="00664BF4">
        <w:rPr>
          <w:rStyle w:val="FootnoteReference"/>
          <w:lang w:val="en-GB"/>
        </w:rPr>
        <w:footnoteRef/>
      </w:r>
      <w:r w:rsidRPr="00674F1E">
        <w:rPr>
          <w:lang w:val="fr-CH"/>
        </w:rPr>
        <w:t xml:space="preserve"> </w:t>
      </w:r>
      <w:r w:rsidR="00DE719C">
        <w:rPr>
          <w:lang w:val="fr-CH"/>
        </w:rPr>
        <w:t xml:space="preserve">  </w:t>
      </w:r>
      <w:r w:rsidRPr="00674F1E">
        <w:rPr>
          <w:lang w:val="fr-CH"/>
        </w:rPr>
        <w:t>Para. 243. CCPR/C/IRQ/6.</w:t>
      </w:r>
    </w:p>
  </w:footnote>
  <w:footnote w:id="7">
    <w:p w14:paraId="16222546" w14:textId="616BC44A" w:rsidR="00674F1E" w:rsidRPr="00674F1E" w:rsidRDefault="00674F1E" w:rsidP="00DE719C">
      <w:pPr>
        <w:pStyle w:val="FootnoteText"/>
        <w:rPr>
          <w:lang w:val="fr-CH"/>
        </w:rPr>
      </w:pPr>
      <w:r w:rsidRPr="00664BF4">
        <w:rPr>
          <w:rStyle w:val="FootnoteReference"/>
          <w:lang w:val="en-GB"/>
        </w:rPr>
        <w:footnoteRef/>
      </w:r>
      <w:r w:rsidRPr="00674F1E">
        <w:rPr>
          <w:lang w:val="fr-CH"/>
        </w:rPr>
        <w:t xml:space="preserve"> </w:t>
      </w:r>
      <w:r w:rsidR="00DE719C">
        <w:rPr>
          <w:lang w:val="fr-CH"/>
        </w:rPr>
        <w:t xml:space="preserve">  </w:t>
      </w:r>
      <w:r w:rsidRPr="00674F1E">
        <w:rPr>
          <w:lang w:val="fr-CH"/>
        </w:rPr>
        <w:t xml:space="preserve">Para. 240. CCPR/C/IRQ/6. </w:t>
      </w:r>
    </w:p>
  </w:footnote>
  <w:footnote w:id="8">
    <w:p w14:paraId="36FCA79A" w14:textId="7E5643F7"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 xml:space="preserve">Alkarama, </w:t>
      </w:r>
      <w:r w:rsidRPr="00664BF4">
        <w:rPr>
          <w:i/>
          <w:iCs/>
          <w:lang w:val="en-GB"/>
        </w:rPr>
        <w:t>Iraq : Journalist and political commentator Samir Al Daami released after nearly two months in prison, 19 December 2017</w:t>
      </w:r>
      <w:r w:rsidRPr="00664BF4">
        <w:rPr>
          <w:lang w:val="en-GB"/>
        </w:rPr>
        <w:t xml:space="preserve">, </w:t>
      </w:r>
      <w:hyperlink r:id="rId2" w:history="1">
        <w:r w:rsidRPr="00664BF4">
          <w:rPr>
            <w:rStyle w:val="Hyperlink"/>
            <w:lang w:val="en-GB"/>
          </w:rPr>
          <w:t>https://www.alkarama.org/en/articles/iraq-journalist-and-political-commentator-samir-al-daami-released-after-nearly-two-months</w:t>
        </w:r>
      </w:hyperlink>
      <w:r w:rsidRPr="00664BF4">
        <w:rPr>
          <w:lang w:val="en-GB"/>
        </w:rPr>
        <w:t xml:space="preserve"> (last accessed on 14 Mai 2020).</w:t>
      </w:r>
    </w:p>
  </w:footnote>
  <w:footnote w:id="9">
    <w:p w14:paraId="15B68921" w14:textId="7353F37E"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 xml:space="preserve">UN News, </w:t>
      </w:r>
      <w:r w:rsidRPr="00664BF4">
        <w:rPr>
          <w:i/>
          <w:iCs/>
          <w:lang w:val="en-GB"/>
        </w:rPr>
        <w:t>Iraq protests: UN calls for national talks to break ‘vicious cycle’ of violence, 30 October 2019</w:t>
      </w:r>
      <w:r w:rsidRPr="00664BF4">
        <w:rPr>
          <w:lang w:val="en-GB"/>
        </w:rPr>
        <w:t xml:space="preserve">, </w:t>
      </w:r>
      <w:hyperlink r:id="rId3" w:history="1">
        <w:r w:rsidRPr="00664BF4">
          <w:rPr>
            <w:rStyle w:val="Hyperlink"/>
            <w:lang w:val="en-GB"/>
          </w:rPr>
          <w:t>https://news.un.org/en/story/2019/10/1050221</w:t>
        </w:r>
      </w:hyperlink>
      <w:r w:rsidRPr="00664BF4">
        <w:rPr>
          <w:lang w:val="en-GB"/>
        </w:rPr>
        <w:t xml:space="preserve"> (last accessed on 14 Mai 2020).</w:t>
      </w:r>
    </w:p>
  </w:footnote>
  <w:footnote w:id="10">
    <w:p w14:paraId="16B763B9" w14:textId="7264A63B" w:rsidR="00674F1E" w:rsidRPr="00664BF4" w:rsidRDefault="00674F1E" w:rsidP="00DE719C">
      <w:pPr>
        <w:pStyle w:val="FootnoteText"/>
        <w:rPr>
          <w:lang w:val="en-GB"/>
        </w:rPr>
      </w:pPr>
      <w:r w:rsidRPr="00664BF4">
        <w:rPr>
          <w:rStyle w:val="FootnoteReference"/>
          <w:lang w:val="en-GB"/>
        </w:rPr>
        <w:footnoteRef/>
      </w:r>
      <w:r w:rsidR="00DE719C">
        <w:rPr>
          <w:lang w:val="en-GB"/>
        </w:rPr>
        <w:t xml:space="preserve"> </w:t>
      </w:r>
      <w:r w:rsidRPr="00664BF4">
        <w:rPr>
          <w:lang w:val="en-GB"/>
        </w:rPr>
        <w:t>Iraqi High Commission For Human Rights official Facebook’s page, https://www.facebook.com/213437619211187/posts/542282292993383?sfns=mo (last accessed on 15 Mai 2020).</w:t>
      </w:r>
    </w:p>
  </w:footnote>
  <w:footnote w:id="11">
    <w:p w14:paraId="1479748B" w14:textId="76B11C76" w:rsidR="00674F1E" w:rsidRPr="00664BF4" w:rsidRDefault="00674F1E" w:rsidP="00DE719C">
      <w:pPr>
        <w:pStyle w:val="FootnoteText"/>
        <w:rPr>
          <w:lang w:val="en-GB"/>
        </w:rPr>
      </w:pPr>
      <w:r w:rsidRPr="00664BF4">
        <w:rPr>
          <w:rStyle w:val="FootnoteReference"/>
          <w:lang w:val="en-GB"/>
        </w:rPr>
        <w:footnoteRef/>
      </w:r>
      <w:r w:rsidRPr="00664BF4">
        <w:rPr>
          <w:lang w:val="en-GB"/>
        </w:rPr>
        <w:t xml:space="preserve"> </w:t>
      </w:r>
      <w:r w:rsidR="00DE719C">
        <w:rPr>
          <w:lang w:val="en-GB"/>
        </w:rPr>
        <w:t xml:space="preserve"> </w:t>
      </w:r>
      <w:r w:rsidRPr="00664BF4">
        <w:rPr>
          <w:lang w:val="en-GB"/>
        </w:rPr>
        <w:t xml:space="preserve">Alkarama, </w:t>
      </w:r>
      <w:r w:rsidRPr="00664BF4">
        <w:rPr>
          <w:i/>
          <w:iCs/>
          <w:lang w:val="en-GB"/>
        </w:rPr>
        <w:t xml:space="preserve">Use of excessive force by security forces in Iraq results in several deaths and hundreds of injuries of peaceful protesters, </w:t>
      </w:r>
      <w:r w:rsidRPr="00664BF4">
        <w:rPr>
          <w:lang w:val="en-GB"/>
        </w:rPr>
        <w:t xml:space="preserve">8 August 2018, </w:t>
      </w:r>
      <w:hyperlink r:id="rId4" w:history="1">
        <w:r w:rsidRPr="00664BF4">
          <w:rPr>
            <w:rStyle w:val="Hyperlink"/>
            <w:lang w:val="en-GB"/>
          </w:rPr>
          <w:t>https://www.alkarama.org/en/articles/use-excessive-force-security-forces-iraq-results-several-deaths-and-hundreds-injuries</w:t>
        </w:r>
      </w:hyperlink>
      <w:r w:rsidRPr="00664BF4">
        <w:rPr>
          <w:lang w:val="en-GB"/>
        </w:rPr>
        <w:t xml:space="preserve"> (last accessed on 14 Mai 2020).</w:t>
      </w:r>
    </w:p>
  </w:footnote>
  <w:footnote w:id="12">
    <w:p w14:paraId="1278C527" w14:textId="38D5D1A8" w:rsidR="00674F1E" w:rsidRPr="0052177C" w:rsidRDefault="00674F1E" w:rsidP="00DE719C">
      <w:pPr>
        <w:pStyle w:val="FootnoteText"/>
        <w:rPr>
          <w:lang w:val="en-US"/>
        </w:rPr>
      </w:pPr>
      <w:r w:rsidRPr="00664BF4">
        <w:rPr>
          <w:rStyle w:val="FootnoteReference"/>
          <w:lang w:val="en-GB"/>
        </w:rPr>
        <w:footnoteRef/>
      </w:r>
      <w:r w:rsidRPr="0052177C">
        <w:rPr>
          <w:lang w:val="en-US"/>
        </w:rPr>
        <w:t xml:space="preserve">  </w:t>
      </w:r>
      <w:r w:rsidR="00DE719C">
        <w:rPr>
          <w:lang w:val="en-US"/>
        </w:rPr>
        <w:t xml:space="preserve"> </w:t>
      </w:r>
      <w:r w:rsidRPr="0052177C">
        <w:rPr>
          <w:lang w:val="en-US"/>
        </w:rPr>
        <w:t>Para</w:t>
      </w:r>
      <w:r w:rsidR="00937A7C" w:rsidRPr="0052177C">
        <w:rPr>
          <w:lang w:val="en-US"/>
        </w:rPr>
        <w:t>s</w:t>
      </w:r>
      <w:r w:rsidRPr="0052177C">
        <w:rPr>
          <w:lang w:val="en-US"/>
        </w:rPr>
        <w:t>. 113-130, CCPR/C/IRQ/6.</w:t>
      </w:r>
    </w:p>
  </w:footnote>
  <w:footnote w:id="13">
    <w:p w14:paraId="20D7CC7D" w14:textId="313AD3A3" w:rsidR="00937A7C" w:rsidRPr="00937A7C" w:rsidRDefault="00937A7C" w:rsidP="00DE719C">
      <w:pPr>
        <w:pStyle w:val="FootnoteText"/>
      </w:pPr>
      <w:r>
        <w:rPr>
          <w:rStyle w:val="FootnoteReference"/>
        </w:rPr>
        <w:footnoteRef/>
      </w:r>
      <w:r>
        <w:t xml:space="preserve"> </w:t>
      </w:r>
      <w:r w:rsidR="00DE719C" w:rsidRPr="00DE719C">
        <w:rPr>
          <w:lang w:val="en-US"/>
        </w:rPr>
        <w:t xml:space="preserve"> </w:t>
      </w:r>
      <w:r w:rsidR="00DE719C">
        <w:rPr>
          <w:lang w:val="en-US"/>
        </w:rPr>
        <w:t xml:space="preserve"> </w:t>
      </w:r>
      <w:r w:rsidRPr="00E42780">
        <w:rPr>
          <w:lang w:val="en-US"/>
        </w:rPr>
        <w:t>Para. 114, CCPR/C/IRQ/6.</w:t>
      </w:r>
    </w:p>
  </w:footnote>
  <w:footnote w:id="14">
    <w:p w14:paraId="3E3015AD" w14:textId="04B51031" w:rsidR="00674F1E" w:rsidRPr="00664BF4" w:rsidRDefault="00674F1E" w:rsidP="00DE719C">
      <w:pPr>
        <w:pStyle w:val="FootnoteText"/>
        <w:rPr>
          <w:lang w:val="en-GB"/>
        </w:rPr>
      </w:pPr>
      <w:r w:rsidRPr="00664BF4">
        <w:rPr>
          <w:rStyle w:val="FootnoteReference"/>
          <w:lang w:val="en-GB"/>
        </w:rPr>
        <w:footnoteRef/>
      </w:r>
      <w:r w:rsidR="00DE719C">
        <w:rPr>
          <w:lang w:val="en-GB"/>
        </w:rPr>
        <w:t xml:space="preserve"> </w:t>
      </w:r>
      <w:r w:rsidRPr="00664BF4">
        <w:rPr>
          <w:lang w:val="en-GB"/>
        </w:rPr>
        <w:t xml:space="preserve">Alkarama, </w:t>
      </w:r>
      <w:r w:rsidRPr="00664BF4">
        <w:rPr>
          <w:i/>
          <w:iCs/>
          <w:lang w:val="en-GB"/>
        </w:rPr>
        <w:t xml:space="preserve">Iraq: Releasing of disappeared activists and protesters, including girl, minor, and journalist, </w:t>
      </w:r>
      <w:hyperlink r:id="rId5" w:history="1">
        <w:r w:rsidRPr="00664BF4">
          <w:rPr>
            <w:rStyle w:val="Hyperlink"/>
            <w:i/>
            <w:iCs/>
            <w:lang w:val="en-GB"/>
          </w:rPr>
          <w:t>https://www.alkarama.org/en/articles/iraq-releasing-activists-and-protesters-including-girl-minor-and-journalist</w:t>
        </w:r>
      </w:hyperlink>
      <w:r w:rsidRPr="00664BF4">
        <w:rPr>
          <w:i/>
          <w:iCs/>
          <w:lang w:val="en-GB"/>
        </w:rPr>
        <w:t xml:space="preserve"> </w:t>
      </w:r>
      <w:r w:rsidRPr="00664BF4">
        <w:rPr>
          <w:lang w:val="en-GB"/>
        </w:rPr>
        <w:t>(last accessed on 14 Mai 2020).</w:t>
      </w:r>
    </w:p>
  </w:footnote>
  <w:footnote w:id="15">
    <w:p w14:paraId="4417F192" w14:textId="48E1B9A8" w:rsidR="00551500" w:rsidRPr="00551500" w:rsidRDefault="00551500" w:rsidP="00DE719C">
      <w:pPr>
        <w:pStyle w:val="FootnoteText"/>
        <w:rPr>
          <w:lang w:val="en-US"/>
        </w:rPr>
      </w:pPr>
      <w:r>
        <w:rPr>
          <w:rStyle w:val="FootnoteReference"/>
        </w:rPr>
        <w:footnoteRef/>
      </w:r>
      <w:r>
        <w:t xml:space="preserve"> </w:t>
      </w:r>
      <w:r w:rsidR="00DE719C" w:rsidRPr="00DE719C">
        <w:rPr>
          <w:lang w:val="en-US"/>
        </w:rPr>
        <w:t xml:space="preserve">  </w:t>
      </w:r>
      <w:r w:rsidRPr="00551500">
        <w:rPr>
          <w:lang w:val="en-US"/>
        </w:rPr>
        <w:t>Draft Anti-Torture law, art. 13.</w:t>
      </w:r>
    </w:p>
  </w:footnote>
  <w:footnote w:id="16">
    <w:p w14:paraId="37476398" w14:textId="169C2DB6" w:rsidR="00674F1E" w:rsidRPr="00664BF4" w:rsidRDefault="00674F1E" w:rsidP="00DE719C">
      <w:pPr>
        <w:pStyle w:val="FootnoteText"/>
        <w:jc w:val="left"/>
        <w:rPr>
          <w:i/>
          <w:iCs/>
          <w:lang w:val="en-GB"/>
        </w:rPr>
      </w:pPr>
      <w:r w:rsidRPr="00664BF4">
        <w:rPr>
          <w:rStyle w:val="FootnoteReference"/>
          <w:lang w:val="en-GB"/>
        </w:rPr>
        <w:footnoteRef/>
      </w:r>
      <w:r w:rsidR="00DE719C">
        <w:rPr>
          <w:lang w:val="en-GB"/>
        </w:rPr>
        <w:t xml:space="preserve">  </w:t>
      </w:r>
      <w:r w:rsidRPr="00664BF4">
        <w:rPr>
          <w:lang w:val="en-GB"/>
        </w:rPr>
        <w:t xml:space="preserve"> Working Group on Arbitrary Detention, </w:t>
      </w:r>
      <w:r w:rsidRPr="00664BF4">
        <w:rPr>
          <w:i/>
          <w:iCs/>
          <w:lang w:val="en-GB"/>
        </w:rPr>
        <w:t>Opinions adopted by the Working Group on Arbitrary</w:t>
      </w:r>
    </w:p>
    <w:p w14:paraId="48C48FF7" w14:textId="77777777" w:rsidR="00674F1E" w:rsidRPr="00664BF4" w:rsidRDefault="00674F1E" w:rsidP="00DE719C">
      <w:pPr>
        <w:pStyle w:val="FootnoteText"/>
        <w:jc w:val="left"/>
        <w:rPr>
          <w:lang w:val="en-GB"/>
        </w:rPr>
      </w:pPr>
      <w:r w:rsidRPr="00664BF4">
        <w:rPr>
          <w:i/>
          <w:iCs/>
          <w:lang w:val="en-GB"/>
        </w:rPr>
        <w:t>Detention at its 78th session, 19-28 April 2017</w:t>
      </w:r>
      <w:r w:rsidRPr="00664BF4">
        <w:rPr>
          <w:lang w:val="en-GB"/>
        </w:rPr>
        <w:t>, A/HRC/WGAD/2017/33.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CD2AC" w14:textId="77777777" w:rsidR="00AE12C0" w:rsidRDefault="005A4AA5">
    <w:pPr>
      <w:pStyle w:val="Header"/>
      <w:jc w:val="right"/>
    </w:pPr>
  </w:p>
  <w:p w14:paraId="4B7AD20C" w14:textId="77777777" w:rsidR="00AE12C0" w:rsidRPr="006F2A9F" w:rsidRDefault="005A4AA5" w:rsidP="00B03317">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1552"/>
    <w:multiLevelType w:val="hybridMultilevel"/>
    <w:tmpl w:val="23FCBF0E"/>
    <w:lvl w:ilvl="0" w:tplc="C728E858">
      <w:start w:val="4"/>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3BB26CC3"/>
    <w:multiLevelType w:val="multilevel"/>
    <w:tmpl w:val="AC407F90"/>
    <w:styleLink w:val="WW8Num2"/>
    <w:lvl w:ilvl="0">
      <w:start w:val="1"/>
      <w:numFmt w:val="decimal"/>
      <w:pStyle w:val="UPRparagraph"/>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4AB377FC"/>
    <w:multiLevelType w:val="hybridMultilevel"/>
    <w:tmpl w:val="3912B526"/>
    <w:lvl w:ilvl="0" w:tplc="100C000F">
      <w:start w:val="1"/>
      <w:numFmt w:val="decimal"/>
      <w:lvlText w:val="%1."/>
      <w:lvlJc w:val="left"/>
      <w:pPr>
        <w:ind w:left="644"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74F07A40"/>
    <w:multiLevelType w:val="multilevel"/>
    <w:tmpl w:val="3FDC648C"/>
    <w:lvl w:ilvl="0">
      <w:start w:val="1"/>
      <w:numFmt w:val="decimal"/>
      <w:pStyle w:val="Heading1"/>
      <w:lvlText w:val="%1."/>
      <w:lvlJc w:val="left"/>
      <w:pPr>
        <w:ind w:left="720" w:hanging="360"/>
      </w:pPr>
    </w:lvl>
    <w:lvl w:ilvl="1">
      <w:start w:val="2"/>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F1E"/>
    <w:rsid w:val="002242E5"/>
    <w:rsid w:val="00254292"/>
    <w:rsid w:val="00273712"/>
    <w:rsid w:val="002D2FAA"/>
    <w:rsid w:val="00361EFB"/>
    <w:rsid w:val="0037712D"/>
    <w:rsid w:val="00441D92"/>
    <w:rsid w:val="00463E58"/>
    <w:rsid w:val="004C4130"/>
    <w:rsid w:val="0052177C"/>
    <w:rsid w:val="00551500"/>
    <w:rsid w:val="0057637A"/>
    <w:rsid w:val="005A4AA5"/>
    <w:rsid w:val="005C32F9"/>
    <w:rsid w:val="00674F1E"/>
    <w:rsid w:val="00692A3B"/>
    <w:rsid w:val="007143CC"/>
    <w:rsid w:val="007518C6"/>
    <w:rsid w:val="0075545D"/>
    <w:rsid w:val="00755B8C"/>
    <w:rsid w:val="00762D25"/>
    <w:rsid w:val="007A136F"/>
    <w:rsid w:val="007B42CC"/>
    <w:rsid w:val="007F3756"/>
    <w:rsid w:val="00823137"/>
    <w:rsid w:val="00837A1D"/>
    <w:rsid w:val="008472EB"/>
    <w:rsid w:val="00857B84"/>
    <w:rsid w:val="00937A7C"/>
    <w:rsid w:val="00957EF4"/>
    <w:rsid w:val="00961AE1"/>
    <w:rsid w:val="00992E3F"/>
    <w:rsid w:val="009A3102"/>
    <w:rsid w:val="00A43DD8"/>
    <w:rsid w:val="00AA4428"/>
    <w:rsid w:val="00B36AB8"/>
    <w:rsid w:val="00B435D0"/>
    <w:rsid w:val="00C23686"/>
    <w:rsid w:val="00C961F7"/>
    <w:rsid w:val="00DA6A5F"/>
    <w:rsid w:val="00DB2176"/>
    <w:rsid w:val="00DE719C"/>
    <w:rsid w:val="00E42780"/>
    <w:rsid w:val="00ED528A"/>
    <w:rsid w:val="00F01996"/>
    <w:rsid w:val="00FA0918"/>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FB15FE"/>
  <w15:chartTrackingRefBased/>
  <w15:docId w15:val="{0BD7F523-E358-49F1-80C8-AFF530902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F1E"/>
    <w:pPr>
      <w:spacing w:after="0" w:line="240" w:lineRule="auto"/>
      <w:jc w:val="both"/>
    </w:pPr>
    <w:rPr>
      <w:rFonts w:ascii="Tahoma" w:eastAsia="Calibri" w:hAnsi="Tahoma" w:cs="Helvetica"/>
      <w:sz w:val="20"/>
      <w:lang w:val="en-GB"/>
    </w:rPr>
  </w:style>
  <w:style w:type="paragraph" w:styleId="Heading1">
    <w:name w:val="heading 1"/>
    <w:basedOn w:val="Normal"/>
    <w:next w:val="Normal"/>
    <w:link w:val="Heading1Char"/>
    <w:uiPriority w:val="9"/>
    <w:qFormat/>
    <w:rsid w:val="00674F1E"/>
    <w:pPr>
      <w:keepNext/>
      <w:numPr>
        <w:numId w:val="1"/>
      </w:numPr>
      <w:pBdr>
        <w:bottom w:val="single" w:sz="12" w:space="1" w:color="auto"/>
      </w:pBdr>
      <w:shd w:val="clear" w:color="auto" w:fill="FFFFFF"/>
      <w:outlineLvl w:val="0"/>
    </w:pPr>
    <w:rPr>
      <w:rFonts w:eastAsia="Times New Roman" w:cs="Times New Roman"/>
      <w:b/>
      <w:bCs/>
      <w:kern w:val="32"/>
      <w:sz w:val="24"/>
      <w:szCs w:val="32"/>
      <w:lang w:val="en-US"/>
    </w:rPr>
  </w:style>
  <w:style w:type="paragraph" w:styleId="Heading2">
    <w:name w:val="heading 2"/>
    <w:basedOn w:val="Normal"/>
    <w:next w:val="Normal"/>
    <w:link w:val="Heading2Char"/>
    <w:uiPriority w:val="9"/>
    <w:qFormat/>
    <w:rsid w:val="00674F1E"/>
    <w:pPr>
      <w:keepNext/>
      <w:numPr>
        <w:ilvl w:val="1"/>
        <w:numId w:val="1"/>
      </w:numPr>
      <w:shd w:val="clear" w:color="auto" w:fill="FFFFFF"/>
      <w:outlineLvl w:val="1"/>
    </w:pPr>
    <w:rPr>
      <w:rFonts w:eastAsia="Times New Roman" w:cs="Times New Roman"/>
      <w:b/>
      <w:bCs/>
      <w:iCs/>
      <w:sz w:val="22"/>
      <w:szCs w:val="28"/>
      <w:lang w:val="x-none"/>
    </w:rPr>
  </w:style>
  <w:style w:type="paragraph" w:styleId="Heading3">
    <w:name w:val="heading 3"/>
    <w:basedOn w:val="Normal"/>
    <w:next w:val="Normal"/>
    <w:link w:val="Heading3Char"/>
    <w:uiPriority w:val="9"/>
    <w:qFormat/>
    <w:rsid w:val="00674F1E"/>
    <w:pPr>
      <w:keepNext/>
      <w:numPr>
        <w:ilvl w:val="2"/>
        <w:numId w:val="1"/>
      </w:numPr>
      <w:outlineLvl w:val="2"/>
    </w:pPr>
    <w:rPr>
      <w:b/>
      <w:szCs w:val="26"/>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F1E"/>
    <w:rPr>
      <w:rFonts w:ascii="Tahoma" w:eastAsia="Times New Roman" w:hAnsi="Tahoma" w:cs="Times New Roman"/>
      <w:b/>
      <w:bCs/>
      <w:kern w:val="32"/>
      <w:sz w:val="24"/>
      <w:szCs w:val="32"/>
      <w:shd w:val="clear" w:color="auto" w:fill="FFFFFF"/>
      <w:lang w:val="en-US"/>
    </w:rPr>
  </w:style>
  <w:style w:type="character" w:customStyle="1" w:styleId="Heading2Char">
    <w:name w:val="Heading 2 Char"/>
    <w:basedOn w:val="DefaultParagraphFont"/>
    <w:link w:val="Heading2"/>
    <w:uiPriority w:val="9"/>
    <w:rsid w:val="00674F1E"/>
    <w:rPr>
      <w:rFonts w:ascii="Tahoma" w:eastAsia="Times New Roman" w:hAnsi="Tahoma" w:cs="Times New Roman"/>
      <w:b/>
      <w:bCs/>
      <w:iCs/>
      <w:szCs w:val="28"/>
      <w:shd w:val="clear" w:color="auto" w:fill="FFFFFF"/>
      <w:lang w:val="x-none"/>
    </w:rPr>
  </w:style>
  <w:style w:type="character" w:customStyle="1" w:styleId="Heading3Char">
    <w:name w:val="Heading 3 Char"/>
    <w:basedOn w:val="DefaultParagraphFont"/>
    <w:link w:val="Heading3"/>
    <w:uiPriority w:val="9"/>
    <w:rsid w:val="00674F1E"/>
    <w:rPr>
      <w:rFonts w:ascii="Tahoma" w:eastAsia="Calibri" w:hAnsi="Tahoma" w:cs="Helvetica"/>
      <w:b/>
      <w:sz w:val="20"/>
      <w:szCs w:val="26"/>
      <w:lang w:val="fr-FR" w:eastAsia="fr-FR"/>
    </w:rPr>
  </w:style>
  <w:style w:type="paragraph" w:styleId="Header">
    <w:name w:val="header"/>
    <w:basedOn w:val="Normal"/>
    <w:link w:val="HeaderChar"/>
    <w:uiPriority w:val="99"/>
    <w:unhideWhenUsed/>
    <w:rsid w:val="00674F1E"/>
    <w:pPr>
      <w:tabs>
        <w:tab w:val="center" w:pos="4536"/>
        <w:tab w:val="right" w:pos="9072"/>
      </w:tabs>
    </w:pPr>
    <w:rPr>
      <w:rFonts w:cs="Times New Roman"/>
      <w:szCs w:val="20"/>
      <w:lang w:val="x-none" w:eastAsia="x-none"/>
    </w:rPr>
  </w:style>
  <w:style w:type="character" w:customStyle="1" w:styleId="HeaderChar">
    <w:name w:val="Header Char"/>
    <w:basedOn w:val="DefaultParagraphFont"/>
    <w:link w:val="Header"/>
    <w:uiPriority w:val="99"/>
    <w:rsid w:val="00674F1E"/>
    <w:rPr>
      <w:rFonts w:ascii="Tahoma" w:eastAsia="Calibri" w:hAnsi="Tahoma" w:cs="Times New Roman"/>
      <w:sz w:val="20"/>
      <w:szCs w:val="20"/>
      <w:lang w:val="x-none" w:eastAsia="x-none"/>
    </w:rPr>
  </w:style>
  <w:style w:type="paragraph" w:styleId="Footer">
    <w:name w:val="footer"/>
    <w:basedOn w:val="Normal"/>
    <w:link w:val="FooterChar"/>
    <w:uiPriority w:val="99"/>
    <w:unhideWhenUsed/>
    <w:rsid w:val="00674F1E"/>
    <w:pPr>
      <w:tabs>
        <w:tab w:val="center" w:pos="4536"/>
        <w:tab w:val="right" w:pos="9072"/>
      </w:tabs>
    </w:pPr>
    <w:rPr>
      <w:rFonts w:cs="Times New Roman"/>
      <w:lang w:val="x-none"/>
    </w:rPr>
  </w:style>
  <w:style w:type="character" w:customStyle="1" w:styleId="FooterChar">
    <w:name w:val="Footer Char"/>
    <w:basedOn w:val="DefaultParagraphFont"/>
    <w:link w:val="Footer"/>
    <w:uiPriority w:val="99"/>
    <w:rsid w:val="00674F1E"/>
    <w:rPr>
      <w:rFonts w:ascii="Tahoma" w:eastAsia="Calibri" w:hAnsi="Tahoma" w:cs="Times New Roman"/>
      <w:sz w:val="20"/>
      <w:lang w:val="x-none"/>
    </w:rPr>
  </w:style>
  <w:style w:type="paragraph" w:styleId="TOC1">
    <w:name w:val="toc 1"/>
    <w:basedOn w:val="Normal"/>
    <w:next w:val="Normal"/>
    <w:autoRedefine/>
    <w:uiPriority w:val="39"/>
    <w:unhideWhenUsed/>
    <w:qFormat/>
    <w:rsid w:val="00674F1E"/>
    <w:pPr>
      <w:spacing w:before="120" w:after="120"/>
      <w:jc w:val="left"/>
    </w:pPr>
    <w:rPr>
      <w:rFonts w:ascii="Calibri" w:hAnsi="Calibri" w:cs="Times New Roman"/>
      <w:b/>
      <w:bCs/>
      <w:caps/>
      <w:szCs w:val="24"/>
    </w:rPr>
  </w:style>
  <w:style w:type="character" w:styleId="Hyperlink">
    <w:name w:val="Hyperlink"/>
    <w:uiPriority w:val="99"/>
    <w:unhideWhenUsed/>
    <w:rsid w:val="00674F1E"/>
    <w:rPr>
      <w:color w:val="0000FF"/>
      <w:u w:val="single"/>
    </w:rPr>
  </w:style>
  <w:style w:type="paragraph" w:styleId="FootnoteText">
    <w:name w:val="footnote text"/>
    <w:basedOn w:val="Normal"/>
    <w:link w:val="FootnoteTextChar"/>
    <w:uiPriority w:val="9"/>
    <w:qFormat/>
    <w:rsid w:val="00674F1E"/>
    <w:rPr>
      <w:rFonts w:cs="Times New Roman"/>
      <w:sz w:val="16"/>
      <w:szCs w:val="20"/>
      <w:lang w:val="x-none"/>
    </w:rPr>
  </w:style>
  <w:style w:type="character" w:customStyle="1" w:styleId="FootnoteTextChar">
    <w:name w:val="Footnote Text Char"/>
    <w:basedOn w:val="DefaultParagraphFont"/>
    <w:link w:val="FootnoteText"/>
    <w:uiPriority w:val="9"/>
    <w:rsid w:val="00674F1E"/>
    <w:rPr>
      <w:rFonts w:ascii="Tahoma" w:eastAsia="Calibri" w:hAnsi="Tahoma" w:cs="Times New Roman"/>
      <w:sz w:val="16"/>
      <w:szCs w:val="20"/>
      <w:lang w:val="x-none"/>
    </w:rPr>
  </w:style>
  <w:style w:type="character" w:styleId="FootnoteReference">
    <w:name w:val="footnote reference"/>
    <w:uiPriority w:val="99"/>
    <w:semiHidden/>
    <w:unhideWhenUsed/>
    <w:rsid w:val="00674F1E"/>
    <w:rPr>
      <w:vertAlign w:val="superscript"/>
    </w:rPr>
  </w:style>
  <w:style w:type="paragraph" w:customStyle="1" w:styleId="UPRparagraph">
    <w:name w:val="UPR paragraph"/>
    <w:basedOn w:val="Normal"/>
    <w:qFormat/>
    <w:rsid w:val="00674F1E"/>
    <w:pPr>
      <w:numPr>
        <w:numId w:val="2"/>
      </w:numPr>
      <w:tabs>
        <w:tab w:val="left" w:pos="540"/>
      </w:tabs>
      <w:suppressAutoHyphens/>
      <w:autoSpaceDN w:val="0"/>
      <w:spacing w:after="120"/>
      <w:textAlignment w:val="baseline"/>
    </w:pPr>
    <w:rPr>
      <w:rFonts w:eastAsia="Times New Roman" w:cs="Times New Roman"/>
      <w:kern w:val="3"/>
      <w:lang w:val="fr-FR" w:eastAsia="zh-CN"/>
    </w:rPr>
  </w:style>
  <w:style w:type="numbering" w:customStyle="1" w:styleId="WW8Num2">
    <w:name w:val="WW8Num2"/>
    <w:basedOn w:val="NoList"/>
    <w:rsid w:val="00674F1E"/>
    <w:pPr>
      <w:numPr>
        <w:numId w:val="2"/>
      </w:numPr>
    </w:pPr>
  </w:style>
  <w:style w:type="character" w:styleId="Strong">
    <w:name w:val="Strong"/>
    <w:uiPriority w:val="22"/>
    <w:qFormat/>
    <w:rsid w:val="00674F1E"/>
    <w:rPr>
      <w:b/>
      <w:bCs/>
    </w:rPr>
  </w:style>
  <w:style w:type="paragraph" w:styleId="ListParagraph">
    <w:name w:val="List Paragraph"/>
    <w:basedOn w:val="Normal"/>
    <w:uiPriority w:val="34"/>
    <w:qFormat/>
    <w:rsid w:val="00674F1E"/>
    <w:pPr>
      <w:ind w:left="708"/>
    </w:pPr>
  </w:style>
  <w:style w:type="paragraph" w:styleId="BalloonText">
    <w:name w:val="Balloon Text"/>
    <w:basedOn w:val="Normal"/>
    <w:link w:val="BalloonTextChar"/>
    <w:uiPriority w:val="99"/>
    <w:semiHidden/>
    <w:unhideWhenUsed/>
    <w:rsid w:val="00957E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EF4"/>
    <w:rPr>
      <w:rFonts w:ascii="Times New Roman" w:eastAsia="Calibri" w:hAnsi="Times New Roman" w:cs="Times New Roman"/>
      <w:sz w:val="18"/>
      <w:szCs w:val="18"/>
      <w:lang w:val="en-GB"/>
    </w:rPr>
  </w:style>
  <w:style w:type="character" w:styleId="CommentReference">
    <w:name w:val="annotation reference"/>
    <w:basedOn w:val="DefaultParagraphFont"/>
    <w:uiPriority w:val="99"/>
    <w:semiHidden/>
    <w:unhideWhenUsed/>
    <w:rsid w:val="00957EF4"/>
    <w:rPr>
      <w:sz w:val="16"/>
      <w:szCs w:val="16"/>
    </w:rPr>
  </w:style>
  <w:style w:type="paragraph" w:styleId="CommentText">
    <w:name w:val="annotation text"/>
    <w:basedOn w:val="Normal"/>
    <w:link w:val="CommentTextChar"/>
    <w:uiPriority w:val="99"/>
    <w:semiHidden/>
    <w:unhideWhenUsed/>
    <w:rsid w:val="00957EF4"/>
    <w:rPr>
      <w:szCs w:val="20"/>
    </w:rPr>
  </w:style>
  <w:style w:type="character" w:customStyle="1" w:styleId="CommentTextChar">
    <w:name w:val="Comment Text Char"/>
    <w:basedOn w:val="DefaultParagraphFont"/>
    <w:link w:val="CommentText"/>
    <w:uiPriority w:val="99"/>
    <w:semiHidden/>
    <w:rsid w:val="00957EF4"/>
    <w:rPr>
      <w:rFonts w:ascii="Tahoma" w:eastAsia="Calibri" w:hAnsi="Tahoma" w:cs="Helvetica"/>
      <w:sz w:val="20"/>
      <w:szCs w:val="20"/>
      <w:lang w:val="en-GB"/>
    </w:rPr>
  </w:style>
  <w:style w:type="paragraph" w:styleId="CommentSubject">
    <w:name w:val="annotation subject"/>
    <w:basedOn w:val="CommentText"/>
    <w:next w:val="CommentText"/>
    <w:link w:val="CommentSubjectChar"/>
    <w:uiPriority w:val="99"/>
    <w:semiHidden/>
    <w:unhideWhenUsed/>
    <w:rsid w:val="00957EF4"/>
    <w:rPr>
      <w:b/>
      <w:bCs/>
    </w:rPr>
  </w:style>
  <w:style w:type="character" w:customStyle="1" w:styleId="CommentSubjectChar">
    <w:name w:val="Comment Subject Char"/>
    <w:basedOn w:val="CommentTextChar"/>
    <w:link w:val="CommentSubject"/>
    <w:uiPriority w:val="99"/>
    <w:semiHidden/>
    <w:rsid w:val="00957EF4"/>
    <w:rPr>
      <w:rFonts w:ascii="Tahoma" w:eastAsia="Calibri" w:hAnsi="Tahoma" w:cs="Helvetica"/>
      <w:b/>
      <w:bCs/>
      <w:sz w:val="20"/>
      <w:szCs w:val="20"/>
      <w:lang w:val="en-GB"/>
    </w:rPr>
  </w:style>
  <w:style w:type="paragraph" w:styleId="Revision">
    <w:name w:val="Revision"/>
    <w:hidden/>
    <w:uiPriority w:val="99"/>
    <w:semiHidden/>
    <w:rsid w:val="00957EF4"/>
    <w:pPr>
      <w:spacing w:after="0" w:line="240" w:lineRule="auto"/>
    </w:pPr>
    <w:rPr>
      <w:rFonts w:ascii="Tahoma" w:eastAsia="Calibri" w:hAnsi="Tahoma" w:cs="Helvetica"/>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news.un.org/en/story/2019/10/1050221" TargetMode="External"/><Relationship Id="rId2" Type="http://schemas.openxmlformats.org/officeDocument/2006/relationships/hyperlink" Target="https://www.alkarama.org/en/articles/iraq-journalist-and-political-commentator-samir-al-daami-released-after-nearly-two-months" TargetMode="External"/><Relationship Id="rId1" Type="http://schemas.openxmlformats.org/officeDocument/2006/relationships/hyperlink" Target="https://news.un.org/en/story/2020/01/1056312" TargetMode="External"/><Relationship Id="rId5" Type="http://schemas.openxmlformats.org/officeDocument/2006/relationships/hyperlink" Target="https://www.alkarama.org/en/articles/iraq-releasing-activists-and-protesters-including-girl-minor-and-journalist" TargetMode="External"/><Relationship Id="rId4" Type="http://schemas.openxmlformats.org/officeDocument/2006/relationships/hyperlink" Target="https://www.alkarama.org/en/articles/use-excessive-force-security-forces-iraq-results-several-deaths-and-hundreds-inju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B1FC7B-2162-41B5-8CC4-6F567D88DC31}">
  <ds:schemaRefs>
    <ds:schemaRef ds:uri="http://schemas.openxmlformats.org/officeDocument/2006/bibliography"/>
  </ds:schemaRefs>
</ds:datastoreItem>
</file>

<file path=customXml/itemProps2.xml><?xml version="1.0" encoding="utf-8"?>
<ds:datastoreItem xmlns:ds="http://schemas.openxmlformats.org/officeDocument/2006/customXml" ds:itemID="{72252E71-7C5E-47FD-A858-6CB5718EF455}"/>
</file>

<file path=customXml/itemProps3.xml><?xml version="1.0" encoding="utf-8"?>
<ds:datastoreItem xmlns:ds="http://schemas.openxmlformats.org/officeDocument/2006/customXml" ds:itemID="{F7195396-E9A0-454A-96B6-DB55BE060573}"/>
</file>

<file path=customXml/itemProps4.xml><?xml version="1.0" encoding="utf-8"?>
<ds:datastoreItem xmlns:ds="http://schemas.openxmlformats.org/officeDocument/2006/customXml" ds:itemID="{96BE255D-184B-4EBD-BBAE-D3F1234063CD}"/>
</file>

<file path=docProps/app.xml><?xml version="1.0" encoding="utf-8"?>
<Properties xmlns="http://schemas.openxmlformats.org/officeDocument/2006/extended-properties" xmlns:vt="http://schemas.openxmlformats.org/officeDocument/2006/docPropsVTypes">
  <Template>Normal.dotm</Template>
  <TotalTime>1</TotalTime>
  <Pages>15</Pages>
  <Words>3253</Words>
  <Characters>18023</Characters>
  <Application>Microsoft Office Word</Application>
  <DocSecurity>4</DocSecurity>
  <Lines>310</Lines>
  <Paragraphs>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ALK</dc:creator>
  <cp:keywords/>
  <dc:description/>
  <cp:lastModifiedBy>ROSNIANSKY Cherry Lou</cp:lastModifiedBy>
  <cp:revision>2</cp:revision>
  <cp:lastPrinted>2020-05-26T10:03:00Z</cp:lastPrinted>
  <dcterms:created xsi:type="dcterms:W3CDTF">2020-05-26T14:32:00Z</dcterms:created>
  <dcterms:modified xsi:type="dcterms:W3CDTF">2020-05-26T14:32:00Z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