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Bookman Old Style" w:cs="Bookman Old Style" w:eastAsia="Bookman Old Style" w:hAnsi="Bookman Old Style"/>
          <w:b w:val="1"/>
        </w:rPr>
      </w:pPr>
      <w:r w:rsidDel="00000000" w:rsidR="00000000" w:rsidRPr="00000000">
        <w:rPr>
          <w:rFonts w:ascii="Bookman Old Style" w:cs="Bookman Old Style" w:eastAsia="Bookman Old Style" w:hAnsi="Bookman Old Style"/>
          <w:b w:val="1"/>
          <w:rtl w:val="0"/>
        </w:rPr>
        <w:t xml:space="preserve">The Rights of Intersex People in Vietnam</w:t>
      </w:r>
    </w:p>
    <w:p w:rsidR="00000000" w:rsidDel="00000000" w:rsidP="00000000" w:rsidRDefault="00000000" w:rsidRPr="00000000" w14:paraId="00000002">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3">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4">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5">
      <w:pPr>
        <w:jc w:val="center"/>
        <w:rPr>
          <w:rFonts w:ascii="Bookman Old Style" w:cs="Bookman Old Style" w:eastAsia="Bookman Old Style" w:hAnsi="Bookman Old Sty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2218218</wp:posOffset>
            </wp:positionH>
            <wp:positionV relativeFrom="paragraph">
              <wp:posOffset>136624</wp:posOffset>
            </wp:positionV>
            <wp:extent cx="1327150" cy="1231900"/>
            <wp:effectExtent b="0" l="0" r="0" t="0"/>
            <wp:wrapSquare wrapText="bothSides" distB="0" distT="0" distL="114300" distR="114300"/>
            <wp:docPr id="1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27150" cy="1231900"/>
                    </a:xfrm>
                    <a:prstGeom prst="rect"/>
                    <a:ln/>
                  </pic:spPr>
                </pic:pic>
              </a:graphicData>
            </a:graphic>
          </wp:anchor>
        </w:drawing>
      </w:r>
    </w:p>
    <w:p w:rsidR="00000000" w:rsidDel="00000000" w:rsidP="00000000" w:rsidRDefault="00000000" w:rsidRPr="00000000" w14:paraId="00000006">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7">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8">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9">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A">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B">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C">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D">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E">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0F">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NGO submission by:</w:t>
      </w:r>
    </w:p>
    <w:p w:rsidR="00000000" w:rsidDel="00000000" w:rsidP="00000000" w:rsidRDefault="00000000" w:rsidRPr="00000000" w14:paraId="00000015">
      <w:pPr>
        <w:jc w:val="center"/>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Intersex Asia</w:t>
      </w:r>
    </w:p>
    <w:p w:rsidR="00000000" w:rsidDel="00000000" w:rsidP="00000000" w:rsidRDefault="00000000" w:rsidRPr="00000000" w14:paraId="00000016">
      <w:pPr>
        <w:jc w:val="center"/>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17">
      <w:pPr>
        <w:shd w:fill="ffffff" w:val="clear"/>
        <w:jc w:val="center"/>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Submitted to Committee on Rights of Persons with Disabilities for consideration at the 32nd Session, 2025</w:t>
      </w:r>
    </w:p>
    <w:p w:rsidR="00000000" w:rsidDel="00000000" w:rsidP="00000000" w:rsidRDefault="00000000" w:rsidRPr="00000000" w14:paraId="00000018">
      <w:pPr>
        <w:jc w:val="center"/>
        <w:rPr>
          <w:rFonts w:ascii="Bookman Old Style" w:cs="Bookman Old Style" w:eastAsia="Bookman Old Style" w:hAnsi="Bookman Old Style"/>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Bookman Old Style" w:cs="Bookman Old Style" w:eastAsia="Bookman Old Style" w:hAnsi="Bookman Old Style"/>
          <w:b w:val="1"/>
          <w:i w:val="0"/>
          <w:smallCaps w:val="0"/>
          <w:strike w:val="0"/>
          <w:color w:val="2f5496"/>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2f5496"/>
          <w:sz w:val="24"/>
          <w:szCs w:val="24"/>
          <w:u w:val="none"/>
          <w:shd w:fill="auto" w:val="clear"/>
          <w:vertAlign w:val="baseline"/>
          <w:rtl w:val="0"/>
        </w:rPr>
        <w:t xml:space="preserve">Table of Contents</w:t>
      </w:r>
    </w:p>
    <w:p w:rsidR="00000000" w:rsidDel="00000000" w:rsidP="00000000" w:rsidRDefault="00000000" w:rsidRPr="00000000" w14:paraId="0000001A">
      <w:pPr>
        <w:jc w:val="both"/>
        <w:rPr>
          <w:rFonts w:ascii="Bookman Old Style" w:cs="Bookman Old Style" w:eastAsia="Bookman Old Style" w:hAnsi="Bookman Old Styl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B">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1fob9te">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Keywords</w:t>
              <w:tab/>
              <w:t xml:space="preserve">1</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3znysh7">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I. Introduction</w:t>
              <w:tab/>
              <w:t xml:space="preserve">2</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II. Intersex and the Convention on the Rights of Persons with Disabilities</w:t>
              <w:tab/>
              <w:t xml:space="preserve">2</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III. Discrimination against intersex people</w:t>
              <w:tab/>
              <w:t xml:space="preserve">3</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1t3h5sf">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V. Harmful practices in healthcare</w:t>
              <w:tab/>
              <w:t xml:space="preserve">4</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2s8eyo1">
            <w:r w:rsidDel="00000000" w:rsidR="00000000" w:rsidRPr="00000000">
              <w:rPr>
                <w:rFonts w:ascii="Bookman Old Style" w:cs="Bookman Old Style" w:eastAsia="Bookman Old Style" w:hAnsi="Bookman Old Style"/>
                <w:b w:val="0"/>
                <w:i w:val="0"/>
                <w:smallCaps w:val="1"/>
                <w:strike w:val="0"/>
                <w:color w:val="000000"/>
                <w:sz w:val="24"/>
                <w:szCs w:val="24"/>
                <w:u w:val="none"/>
                <w:shd w:fill="auto" w:val="clear"/>
                <w:vertAlign w:val="baseline"/>
                <w:rtl w:val="0"/>
              </w:rPr>
              <w:t xml:space="preserve">VI. Suggested Recommendations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jc w:val="both"/>
        <w:rPr>
          <w:rFonts w:ascii="Bookman Old Style" w:cs="Bookman Old Style" w:eastAsia="Bookman Old Style" w:hAnsi="Bookman Old Style"/>
        </w:rPr>
        <w:sectPr>
          <w:footerReference r:id="rId9" w:type="default"/>
          <w:footerReference r:id="rId10" w:type="first"/>
          <w:footerReference r:id="rId11" w:type="even"/>
          <w:pgSz w:h="16840" w:w="11900" w:orient="portrait"/>
          <w:pgMar w:bottom="1417" w:top="1417" w:left="1417" w:right="1417" w:header="708" w:footer="708"/>
          <w:pgNumType w:start="1"/>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jc w:val="both"/>
        <w:rPr>
          <w:rFonts w:ascii="Bookman Old Style" w:cs="Bookman Old Style" w:eastAsia="Bookman Old Style" w:hAnsi="Bookman Old Style"/>
          <w:b w:val="1"/>
          <w:sz w:val="24"/>
          <w:szCs w:val="24"/>
        </w:rPr>
      </w:pPr>
      <w:bookmarkStart w:colFirst="0" w:colLast="0" w:name="_heading=h.30j0zll" w:id="0"/>
      <w:bookmarkEnd w:id="0"/>
      <w:r w:rsidDel="00000000" w:rsidR="00000000" w:rsidRPr="00000000">
        <w:rPr>
          <w:rFonts w:ascii="Bookman Old Style" w:cs="Bookman Old Style" w:eastAsia="Bookman Old Style" w:hAnsi="Bookman Old Style"/>
          <w:sz w:val="24"/>
          <w:szCs w:val="24"/>
          <w:rtl w:val="0"/>
        </w:rPr>
        <w:t xml:space="preserve">Executive summary</w:t>
      </w:r>
      <w:r w:rsidDel="00000000" w:rsidR="00000000" w:rsidRPr="00000000">
        <w:rPr>
          <w:rtl w:val="0"/>
        </w:rPr>
      </w:r>
    </w:p>
    <w:p w:rsidR="00000000" w:rsidDel="00000000" w:rsidP="00000000" w:rsidRDefault="00000000" w:rsidRPr="00000000" w14:paraId="00000024">
      <w:pPr>
        <w:pStyle w:val="Heading2"/>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5">
      <w:pPr>
        <w:spacing w:after="240" w:line="360" w:lineRule="auto"/>
        <w:jc w:val="both"/>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Intersex refers to the experiences of persons born with bodies that do not meet the normative definition of male and female. Intersex people in Vietnam are often faced with discrimination, stigmatisation, and bullying and through this may struggle with access to education, employment, identity documents and marriage. Furthermore, intersex children are at risk of being subjected to unnecessary medical interventions without their prior, free, and fully informed consent at an age that they are not sufficiently mature to provide consent. Therefore, Intersex people in Vietnam seek protection under Articles 5, 15, 16, 17, 18, 23, 24, 25, 27 and 29 of the Convention on the Rights of Persons with Disabilities, and General Comments No. 4 and No. 6.</w:t>
      </w:r>
    </w:p>
    <w:p w:rsidR="00000000" w:rsidDel="00000000" w:rsidP="00000000" w:rsidRDefault="00000000" w:rsidRPr="00000000" w14:paraId="00000026">
      <w:pPr>
        <w:pStyle w:val="Heading2"/>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7">
      <w:pPr>
        <w:pStyle w:val="Heading2"/>
        <w:jc w:val="both"/>
        <w:rPr>
          <w:rFonts w:ascii="Bookman Old Style" w:cs="Bookman Old Style" w:eastAsia="Bookman Old Style" w:hAnsi="Bookman Old Style"/>
          <w:sz w:val="24"/>
          <w:szCs w:val="24"/>
        </w:rPr>
      </w:pPr>
      <w:bookmarkStart w:colFirst="0" w:colLast="0" w:name="_heading=h.1fob9te" w:id="1"/>
      <w:bookmarkEnd w:id="1"/>
      <w:r w:rsidDel="00000000" w:rsidR="00000000" w:rsidRPr="00000000">
        <w:rPr>
          <w:rFonts w:ascii="Bookman Old Style" w:cs="Bookman Old Style" w:eastAsia="Bookman Old Style" w:hAnsi="Bookman Old Style"/>
          <w:sz w:val="24"/>
          <w:szCs w:val="24"/>
          <w:rtl w:val="0"/>
        </w:rPr>
        <w:t xml:space="preserve">Keywords</w:t>
      </w:r>
    </w:p>
    <w:p w:rsidR="00000000" w:rsidDel="00000000" w:rsidP="00000000" w:rsidRDefault="00000000" w:rsidRPr="00000000" w14:paraId="00000028">
      <w:pPr>
        <w:shd w:fill="ffffff" w:val="clear"/>
        <w:spacing w:after="280" w:before="280" w:lineRule="auto"/>
        <w:jc w:val="both"/>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color w:val="000007"/>
          <w:rtl w:val="0"/>
        </w:rPr>
        <w:t xml:space="preserve">Prior, free and fully informed autonomous consent, intersex, sex diversity, sex registration, healthcare, psychological integrity, physical integrity, rights of the child, self-determination, sex characteristics </w:t>
      </w:r>
      <w:r w:rsidDel="00000000" w:rsidR="00000000" w:rsidRPr="00000000">
        <w:rPr>
          <w:rtl w:val="0"/>
        </w:rPr>
      </w:r>
    </w:p>
    <w:p w:rsidR="00000000" w:rsidDel="00000000" w:rsidP="00000000" w:rsidRDefault="00000000" w:rsidRPr="00000000" w14:paraId="00000029">
      <w:pPr>
        <w:jc w:val="both"/>
        <w:rPr>
          <w:rFonts w:ascii="Bookman Old Style" w:cs="Bookman Old Style" w:eastAsia="Bookman Old Style" w:hAnsi="Bookman Old Style"/>
          <w:color w:val="2f5496"/>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2"/>
        <w:jc w:val="both"/>
        <w:rPr>
          <w:rFonts w:ascii="Bookman Old Style" w:cs="Bookman Old Style" w:eastAsia="Bookman Old Style" w:hAnsi="Bookman Old Style"/>
          <w:sz w:val="24"/>
          <w:szCs w:val="24"/>
        </w:rPr>
      </w:pPr>
      <w:bookmarkStart w:colFirst="0" w:colLast="0" w:name="_heading=h.3znysh7" w:id="2"/>
      <w:bookmarkEnd w:id="2"/>
      <w:r w:rsidDel="00000000" w:rsidR="00000000" w:rsidRPr="00000000">
        <w:rPr>
          <w:rFonts w:ascii="Bookman Old Style" w:cs="Bookman Old Style" w:eastAsia="Bookman Old Style" w:hAnsi="Bookman Old Style"/>
          <w:sz w:val="24"/>
          <w:szCs w:val="24"/>
          <w:rtl w:val="0"/>
        </w:rPr>
        <w:t xml:space="preserve">I. Introduction</w:t>
      </w:r>
    </w:p>
    <w:p w:rsidR="00000000" w:rsidDel="00000000" w:rsidP="00000000" w:rsidRDefault="00000000" w:rsidRPr="00000000" w14:paraId="0000002B">
      <w:pPr>
        <w:jc w:val="both"/>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This NGO report is a submi</w:t>
      </w:r>
      <w:r w:rsidDel="00000000" w:rsidR="00000000" w:rsidRPr="00000000">
        <w:rPr>
          <w:rFonts w:ascii="Bookman Old Style" w:cs="Bookman Old Style" w:eastAsia="Bookman Old Style" w:hAnsi="Bookman Old Style"/>
          <w:rtl w:val="0"/>
        </w:rPr>
        <w:t xml:space="preserve">ssion by</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r w:rsidDel="00000000" w:rsidR="00000000" w:rsidRPr="00000000">
        <w:rPr>
          <w:rFonts w:ascii="Bookman Old Style" w:cs="Bookman Old Style" w:eastAsia="Bookman Old Style" w:hAnsi="Bookman Old Style"/>
          <w:rtl w:val="0"/>
        </w:rPr>
        <w:t xml:space="preserve">Intersex Asia</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aimed at informing the Committee on the Rights of Persons with Disabilities about issues faced by intersex people in </w:t>
      </w:r>
      <w:r w:rsidDel="00000000" w:rsidR="00000000" w:rsidRPr="00000000">
        <w:rPr>
          <w:rFonts w:ascii="Bookman Old Style" w:cs="Bookman Old Style" w:eastAsia="Bookman Old Style" w:hAnsi="Bookman Old Style"/>
          <w:rtl w:val="0"/>
        </w:rPr>
        <w:t xml:space="preserve">Vietnam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r w:rsidDel="00000000" w:rsidR="00000000" w:rsidRPr="00000000">
        <w:rPr>
          <w:rFonts w:ascii="Bookman Old Style" w:cs="Bookman Old Style" w:eastAsia="Bookman Old Style" w:hAnsi="Bookman Old Style"/>
          <w:rtl w:val="0"/>
        </w:rPr>
        <w:t xml:space="preserve">Intersex Asia</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would appreciate the consideration of these issues by the Committee on the Rights of Persons with Disabilities in the dialogue with the State Party during the </w:t>
      </w:r>
      <w:r w:rsidDel="00000000" w:rsidR="00000000" w:rsidRPr="00000000">
        <w:rPr>
          <w:rFonts w:ascii="Bookman Old Style" w:cs="Bookman Old Style" w:eastAsia="Bookman Old Style" w:hAnsi="Bookman Old Style"/>
          <w:rtl w:val="0"/>
        </w:rPr>
        <w:t xml:space="preserve">3</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2</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tl w:val="0"/>
        </w:rPr>
        <w:t xml:space="preserve">nd</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session of CRPD in which the </w:t>
      </w:r>
      <w:r w:rsidDel="00000000" w:rsidR="00000000" w:rsidRPr="00000000">
        <w:rPr>
          <w:rFonts w:ascii="Bookman Old Style" w:cs="Bookman Old Style" w:eastAsia="Bookman Old Style" w:hAnsi="Bookman Old Style"/>
          <w:rtl w:val="0"/>
        </w:rPr>
        <w:t xml:space="preserve">periodic report from Vietnam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will be considered.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This report discusses how intersex relates to the Convention, and recent policy and legal developments in </w:t>
      </w:r>
      <w:r w:rsidDel="00000000" w:rsidR="00000000" w:rsidRPr="00000000">
        <w:rPr>
          <w:rFonts w:ascii="Bookman Old Style" w:cs="Bookman Old Style" w:eastAsia="Bookman Old Style" w:hAnsi="Bookman Old Style"/>
          <w:rtl w:val="0"/>
        </w:rPr>
        <w:t xml:space="preserve">Vietnam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Followed by a discussion of human rights violations against intersex people under the Convention on the Rights of Persons with Disabilities and introduces suggestions for improvements and recommendations to the State Party.</w:t>
      </w:r>
    </w:p>
    <w:p w:rsidR="00000000" w:rsidDel="00000000" w:rsidP="00000000" w:rsidRDefault="00000000" w:rsidRPr="00000000" w14:paraId="0000002F">
      <w:pPr>
        <w:jc w:val="both"/>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30">
      <w:pPr>
        <w:jc w:val="both"/>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31">
      <w:pPr>
        <w:pStyle w:val="Heading2"/>
        <w:jc w:val="both"/>
        <w:rPr>
          <w:rFonts w:ascii="Bookman Old Style" w:cs="Bookman Old Style" w:eastAsia="Bookman Old Style" w:hAnsi="Bookman Old Style"/>
          <w:sz w:val="24"/>
          <w:szCs w:val="24"/>
        </w:rPr>
      </w:pPr>
      <w:bookmarkStart w:colFirst="0" w:colLast="0" w:name="_heading=h.2et92p0" w:id="3"/>
      <w:bookmarkEnd w:id="3"/>
      <w:r w:rsidDel="00000000" w:rsidR="00000000" w:rsidRPr="00000000">
        <w:rPr>
          <w:rFonts w:ascii="Bookman Old Style" w:cs="Bookman Old Style" w:eastAsia="Bookman Old Style" w:hAnsi="Bookman Old Style"/>
          <w:sz w:val="24"/>
          <w:szCs w:val="24"/>
          <w:rtl w:val="0"/>
        </w:rPr>
        <w:t xml:space="preserve">II. Intersex and the Convention on the Rights of Persons with Disabilities</w:t>
      </w:r>
    </w:p>
    <w:p w:rsidR="00000000" w:rsidDel="00000000" w:rsidP="00000000" w:rsidRDefault="00000000" w:rsidRPr="00000000" w14:paraId="00000032">
      <w:pPr>
        <w:jc w:val="both"/>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Intersex people in </w:t>
      </w:r>
      <w:r w:rsidDel="00000000" w:rsidR="00000000" w:rsidRPr="00000000">
        <w:rPr>
          <w:rFonts w:ascii="Bookman Old Style" w:cs="Bookman Old Style" w:eastAsia="Bookman Old Style" w:hAnsi="Bookman Old Style"/>
          <w:rtl w:val="0"/>
        </w:rPr>
        <w:t xml:space="preserve">Vietnam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seek protection under Articles 5, 15, 16, 17, 18, 23, 24, 25, 27 and 29 of the Convention on the Rights of Persons with Disabilities, and General Comments No. 4 and No. 6.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Intersex refers to the experiences of persons born with bodies that do not meet the normative definition of male and female.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The Convention </w:t>
      </w:r>
      <w:r w:rsidDel="00000000" w:rsidR="00000000" w:rsidRPr="00000000">
        <w:rPr>
          <w:rFonts w:ascii="Bookman Old Style" w:cs="Bookman Old Style" w:eastAsia="Bookman Old Style" w:hAnsi="Bookman Old Style"/>
          <w:rtl w:val="0"/>
        </w:rPr>
        <w:t xml:space="preserve">on</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the Rights of People with Disabilities addresses many of the human rights violations intersex persons experience globally. By approaching disability from a social perspective as described in General Comment No. 6 Article 2 and 3 intersex falls under the Convention on the Rights of Persons with Disabilities. Many intersex persons are not born differently abled or with long-term impairments, even though some require medical care. However, society treats intersex people as disabled by approaching intersex through a medical model and ‘reducing’ intersex people to an ‘impairment’ leading to medical interventions that can lead to long term impairments and requiring life time medical care. These interventions are often conducted without prior, free and fully informed autonomous consent. Some intersex people experience multiple and intersecting forms of discrimination on the perception of disability. However, the violation of their human rights based on intersex is very similar to the (potential) violation of human rights of all intersex people. Therefore, the NGO’s request the Committee to consider all intersex people when making recommendations, and not only those who are confronted by intersecting forms of discrimination based on disability.</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38">
      <w:pPr>
        <w:jc w:val="both"/>
        <w:rPr>
          <w:rFonts w:ascii="Bookman Old Style" w:cs="Bookman Old Style" w:eastAsia="Bookman Old Style" w:hAnsi="Bookman Old Style"/>
          <w:color w:val="2f5496"/>
        </w:rPr>
      </w:pPr>
      <w:r w:rsidDel="00000000" w:rsidR="00000000" w:rsidRPr="00000000">
        <w:rPr>
          <w:rtl w:val="0"/>
        </w:rPr>
      </w:r>
    </w:p>
    <w:p w:rsidR="00000000" w:rsidDel="00000000" w:rsidP="00000000" w:rsidRDefault="00000000" w:rsidRPr="00000000" w14:paraId="00000039">
      <w:pPr>
        <w:pStyle w:val="Heading2"/>
        <w:jc w:val="both"/>
        <w:rPr>
          <w:rFonts w:ascii="Bookman Old Style" w:cs="Bookman Old Style" w:eastAsia="Bookman Old Style" w:hAnsi="Bookman Old Style"/>
          <w:sz w:val="24"/>
          <w:szCs w:val="24"/>
        </w:rPr>
      </w:pPr>
      <w:bookmarkStart w:colFirst="0" w:colLast="0" w:name="_heading=h.3dy6vkm" w:id="4"/>
      <w:bookmarkEnd w:id="4"/>
      <w:r w:rsidDel="00000000" w:rsidR="00000000" w:rsidRPr="00000000">
        <w:rPr>
          <w:rFonts w:ascii="Bookman Old Style" w:cs="Bookman Old Style" w:eastAsia="Bookman Old Style" w:hAnsi="Bookman Old Style"/>
          <w:sz w:val="24"/>
          <w:szCs w:val="24"/>
          <w:rtl w:val="0"/>
        </w:rPr>
        <w:t xml:space="preserve">III. Discrimination against intersex people</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In spite of the guarantee of protection of human </w:t>
      </w:r>
      <w:r w:rsidDel="00000000" w:rsidR="00000000" w:rsidRPr="00000000">
        <w:rPr>
          <w:rFonts w:ascii="Bookman Old Style" w:cs="Bookman Old Style" w:eastAsia="Bookman Old Style" w:hAnsi="Bookman Old Style"/>
          <w:rtl w:val="0"/>
        </w:rPr>
        <w:t xml:space="preserve">rights under Chapter 2: “Human Rights and Citizen’s Fundamental Rights and Duties”</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r w:rsidDel="00000000" w:rsidR="00000000" w:rsidRPr="00000000">
        <w:rPr>
          <w:rFonts w:ascii="Bookman Old Style" w:cs="Bookman Old Style" w:eastAsia="Bookman Old Style" w:hAnsi="Bookman Old Style"/>
          <w:rtl w:val="0"/>
        </w:rPr>
        <w:t xml:space="preserve">of the Constitution</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intersex people often encounter discrimination, bullying and stigmatisation. There are no specific anti-discrimination laws for intersex people as exist for other minorities. This is opposed to Article 5 of the Convention on equality and non-discrimination. These issues are often also faced by the parents of intersex children, both in the family, society and in health care. The emancipation of intersex persons in </w:t>
      </w:r>
      <w:r w:rsidDel="00000000" w:rsidR="00000000" w:rsidRPr="00000000">
        <w:rPr>
          <w:rFonts w:ascii="Bookman Old Style" w:cs="Bookman Old Style" w:eastAsia="Bookman Old Style" w:hAnsi="Bookman Old Style"/>
          <w:rtl w:val="0"/>
        </w:rPr>
        <w:t xml:space="preserve">Vietnam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will require the involvement of organisations that represent intersex people. However, </w:t>
      </w:r>
      <w:r w:rsidDel="00000000" w:rsidR="00000000" w:rsidRPr="00000000">
        <w:rPr>
          <w:rFonts w:ascii="Bookman Old Style" w:cs="Bookman Old Style" w:eastAsia="Bookman Old Style" w:hAnsi="Bookman Old Style"/>
          <w:rtl w:val="0"/>
        </w:rPr>
        <w:t xml:space="preserve">there is no thriving interex-led organisation in the country</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r w:rsidDel="00000000" w:rsidR="00000000" w:rsidRPr="00000000">
        <w:rPr>
          <w:rFonts w:ascii="Bookman Old Style" w:cs="Bookman Old Style" w:eastAsia="Bookman Old Style" w:hAnsi="Bookman Old Style"/>
          <w:rtl w:val="0"/>
        </w:rPr>
        <w:t xml:space="preserve">It is</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recommended the State Party allocate financial resources to support organisations representing intersex persons, and develop mechanisms to ensure the full, inclusive, strategic and active involvement participation of organisations of intersex persons in the planning and implementation of all legislation and measures that affect the lives of intersex persons.</w:t>
      </w:r>
    </w:p>
    <w:p w:rsidR="00000000" w:rsidDel="00000000" w:rsidP="00000000" w:rsidRDefault="00000000" w:rsidRPr="00000000" w14:paraId="0000003C">
      <w:pPr>
        <w:jc w:val="both"/>
        <w:rPr>
          <w:rFonts w:ascii="Bookman Old Style" w:cs="Bookman Old Style" w:eastAsia="Bookman Old Style" w:hAnsi="Bookman Old Style"/>
          <w:color w:val="000000"/>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rtl w:val="0"/>
        </w:rPr>
        <w:t xml:space="preserve">Intersex Asia</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has received reports that intersex people in </w:t>
      </w:r>
      <w:r w:rsidDel="00000000" w:rsidR="00000000" w:rsidRPr="00000000">
        <w:rPr>
          <w:rFonts w:ascii="Bookman Old Style" w:cs="Bookman Old Style" w:eastAsia="Bookman Old Style" w:hAnsi="Bookman Old Style"/>
          <w:rtl w:val="0"/>
        </w:rPr>
        <w:t xml:space="preserve">Vietnam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face issues receiving education and finding employment due to bullying. </w:t>
      </w:r>
      <w:r w:rsidDel="00000000" w:rsidR="00000000" w:rsidRPr="00000000">
        <w:rPr>
          <w:rFonts w:ascii="Bookman Old Style" w:cs="Bookman Old Style" w:eastAsia="Bookman Old Style" w:hAnsi="Bookman Old Style"/>
          <w:rtl w:val="0"/>
        </w:rPr>
        <w:t xml:space="preserve">According to an assessment by Kaleidoscope Australia Human Rights Foundation and iSEE, Vietnam, currently, there is no anti-discrimination legislation to protect sexual and gender minority students as well as gender non-conforming students from discrimination and violence in educational settings.</w:t>
      </w:r>
      <w:r w:rsidDel="00000000" w:rsidR="00000000" w:rsidRPr="00000000">
        <w:rPr>
          <w:rFonts w:ascii="Bookman Old Style" w:cs="Bookman Old Style" w:eastAsia="Bookman Old Style" w:hAnsi="Bookman Old Style"/>
          <w:vertAlign w:val="superscript"/>
        </w:rPr>
        <w:footnoteReference w:customMarkFollows="0" w:id="1"/>
      </w:r>
      <w:r w:rsidDel="00000000" w:rsidR="00000000" w:rsidRPr="00000000">
        <w:rPr>
          <w:rFonts w:ascii="Bookman Old Style" w:cs="Bookman Old Style" w:eastAsia="Bookman Old Style" w:hAnsi="Bookman Old Style"/>
          <w:rtl w:val="0"/>
        </w:rPr>
        <w:t xml:space="preserve"> A recent study on school violence based on gender with LGBTI+ students (UNESCO, 2015) in 20 countries in Asia, including Vietnam, showed that 70% of responses experienced verbal bullying (name calling and teases), the highest compared to other countries in the survey being Australia, China, Hong Kong, Japan, Korea, Thailand.</w:t>
      </w:r>
      <w:r w:rsidDel="00000000" w:rsidR="00000000" w:rsidRPr="00000000">
        <w:rPr>
          <w:rFonts w:ascii="Bookman Old Style" w:cs="Bookman Old Style" w:eastAsia="Bookman Old Style" w:hAnsi="Bookman Old Style"/>
          <w:vertAlign w:val="superscript"/>
        </w:rPr>
        <w:footnoteReference w:customMarkFollows="0" w:id="2"/>
      </w:r>
      <w:r w:rsidDel="00000000" w:rsidR="00000000" w:rsidRPr="00000000">
        <w:rPr>
          <w:rFonts w:ascii="Bookman Old Style" w:cs="Bookman Old Style" w:eastAsia="Bookman Old Style" w:hAnsi="Bookman Old Style"/>
          <w:rtl w:val="0"/>
        </w:rPr>
        <w:t xml:space="preserve"> In Vietnam, results of the mass survey ‘Is it because I am LGBT’, iSEE 2016 showed that more than half of responses reflect that these children had been bullied by friends, and nearly a quarter of students had been harassed, bullied by teachers, and school officials because they were considered to be LGBT.</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This practice is contrary Article 24 of the Convention on education and General Comment no. 4 Article 10, 12 (e, f), 13 and 15 on the right to inclusive education, Convention Article 27 on work and employment, and Convention Article 29 on participation in political and public life.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rtl w:val="0"/>
        </w:rPr>
        <w:t xml:space="preserve">The Vietnamese Ministry of Education and Training has not yet acknowledged any form of school violence based on GIESC, nor has any official data reports of school bullying and violence against LGBTI+ students. In 2021, Vietnam’s MOET produced guidelines for an LGBTQ+ inclusive sex education curriculum, but it has not yet been implemented in schools</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25"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rtl w:val="0"/>
        </w:rPr>
        <w:t xml:space="preserve">On 24 November 2015, Viet Nam approved a new Civil Code which amends the 2005 Civil Code . Under the old Civil Code, Article 36 stated that “the redetermination of the gender of a person shall be performed in cases where his/ her gender is affected with inborn defects or has not been properly shaped, which needs the medical intervention to clearly determine the gender”. After three years of establishing the Civil Code 2005, Vietnam has issued Decree No. 88/2008/ND-CP “On Sex Reassignment”. In 24 November 2015, the Vietnam National Assembly approved a new Civil Code which amends the 2005 Civil Code and maintains the spirit of Article 36: Right to re-determine gender identity. Vietnam has not implemented specific legal gender recognition procedures for intersex individuals. In Vietnam, legal gender recognition is generally based on a binary understanding of gender, allowing individuals to change their legal gender marker from male to female or vice versa through a process that requires medical documentation, including proof of sex reassignment surgery. Under current Vietnamese law, intersex children who were recognized as having “congenital sex defects or of unidentifiable sex” at birth and underwent surgery to “normalize” their genitals to conform to their identified gender are allowed to change the gender marker on their birth certificate. Furthermore, while some intersex individuals may be able to amend their registered sex on civil documents such as ID cards and passports, this option is only available to those who were identified as intersex at birth (the term used is ‘diagnosed’) and who have undergone so-called “sex normalizing” surgeries to conform to dominant ideas of male or female bodies. This requirement for invasive and irreversible surgery violates the intersex person’s right to self-determination and bodily autonomy. Therefore, the current legal framework in Vietnam places significant limitations on the rights of intersex individuals to self-determination and bodily autonomy. Intersex Asia</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has received reports that some intersex persons experience difficulties in obtaining identity documents, which is opposed to Article 18 of the Convention on the right to obtain, possess and utilise documentation of their nationality or other documentation of identification. </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pStyle w:val="Heading2"/>
        <w:jc w:val="both"/>
        <w:rPr>
          <w:rFonts w:ascii="Bookman Old Style" w:cs="Bookman Old Style" w:eastAsia="Bookman Old Style" w:hAnsi="Bookman Old Style"/>
          <w:sz w:val="24"/>
          <w:szCs w:val="24"/>
        </w:rPr>
      </w:pPr>
      <w:bookmarkStart w:colFirst="0" w:colLast="0" w:name="_heading=h.1t3h5sf" w:id="5"/>
      <w:bookmarkEnd w:id="5"/>
      <w:r w:rsidDel="00000000" w:rsidR="00000000" w:rsidRPr="00000000">
        <w:rPr>
          <w:rFonts w:ascii="Bookman Old Style" w:cs="Bookman Old Style" w:eastAsia="Bookman Old Style" w:hAnsi="Bookman Old Style"/>
          <w:sz w:val="24"/>
          <w:szCs w:val="24"/>
          <w:rtl w:val="0"/>
        </w:rPr>
        <w:t xml:space="preserve">V. Harmful practices in healthcare</w:t>
      </w:r>
    </w:p>
    <w:p w:rsidR="00000000" w:rsidDel="00000000" w:rsidP="00000000" w:rsidRDefault="00000000" w:rsidRPr="00000000" w14:paraId="00000044">
      <w:pPr>
        <w:jc w:val="both"/>
        <w:rPr>
          <w:rFonts w:ascii="Bookman Old Style" w:cs="Bookman Old Style" w:eastAsia="Bookman Old Style" w:hAnsi="Bookman Old Style"/>
          <w:color w:val="000000"/>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rtl w:val="0"/>
        </w:rPr>
        <w:t xml:space="preserve">In Vietnam, the age of consent for medical treatment varies depending on the type of medical treatment and the age of the child. For general medical treatment, there is no specific age of consent in Vietnamese law. However, the Civil Code 2015 (Article 20) provides that individuals who have reached the age of 18 years are considered to have full legal capacity to perform civil acts, including consenting to medical treatment. For individuals under the age of 18, the consent of their parents or legal guardians is typically required for medical treatment (Article 21). Decree No. 88/2008 only allows “sex reassignment” procedures only for individuals having specific intersex characteristics, which are described as “persons with congenital sex defects or of unidentifiable sex.” This document even allows: “The medical examination and treatment establishment shall decide on the age for performing surgery of the person requesting sex assignment, ensuring the earliest age (point 3 Article 9, Decree 88/2008)”. In such conditions, they violate multiple human rights standards, including intersex children’s rights. According to these provisions, intersex infants and children are not safeguarded against medically unnecessary and nonconsensual surgeries since they are not legally capable of providing consent for any medical treatment. </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As a solution to the issues faced by intersex persons, several hospitals offer medical treatment aimed at fitting the bodies of intersex children within the normative definition of male and female. This type of health care for intersex children is based on ‘predict and control’: when an intersex child is born, health professionals try to predict the future gender of the child and control the outcome of this prediction </w:t>
      </w:r>
      <w:r w:rsidDel="00000000" w:rsidR="00000000" w:rsidRPr="00000000">
        <w:rPr>
          <w:rFonts w:ascii="Bookman Old Style" w:cs="Bookman Old Style" w:eastAsia="Bookman Old Style" w:hAnsi="Bookman Old Style"/>
          <w:rtl w:val="0"/>
        </w:rPr>
        <w:t xml:space="preserve">using</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medically unnecessary and irreversible surgery, treatment with hormones, other normalising treatments and psychological support, without the prior, free and fully informed autonomous consent of the child. In some cases, these decisions are made in conference with the wishes of the parents. This predict and control method is a violation of the right of self-determination of the child and of the right to the highest attainable standard of physical and mental health. The term ‘predict’ is misleading, as it is very uncertain at the young age in which surgery is oftentimes conducted, how the identity of the child will develop in the future. This practice is a violation of Convention Article 15 on the right to freedom from torture or cruel, inhuman or degrading treatment or punishment, Article 16 (1, 2) on the right to freedom from exploitation, violence and abuse, Article 17 on protecting the integrity of the person, Article 25 on health which requires free and informed consent, and General Comment 6 Article 66.</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In 2013, the Special Rapporteur on torture and other cruel, inhuman or degrading treatment or punishment called on states to repeal any law allowing intrusive and irreversible treatments, including forced genital-normalising surgery, involuntary sterilisation, “reparative therapies” or “conversion therapies”, when enforced or administered without the free and informed consent of the person concerned. He also called upon them to outlaw forced or coerced sterilisation in all circumstances.</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4"/>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This statement is in line with Article 15 of the Convention.</w:t>
      </w:r>
    </w:p>
    <w:p w:rsidR="00000000" w:rsidDel="00000000" w:rsidP="00000000" w:rsidRDefault="00000000" w:rsidRPr="00000000" w14:paraId="00000048">
      <w:pPr>
        <w:jc w:val="both"/>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Health professionals often believe that sex assignment through medical and surgical intervention of intersex children is not an issue.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5"/>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However, recent European research has shown that five per cent of </w:t>
      </w:r>
      <w:r w:rsidDel="00000000" w:rsidR="00000000" w:rsidRPr="00000000">
        <w:rPr>
          <w:rFonts w:ascii="Bookman Old Style" w:cs="Bookman Old Style" w:eastAsia="Bookman Old Style" w:hAnsi="Bookman Old Style"/>
          <w:b w:val="1"/>
          <w:i w:val="1"/>
          <w:smallCaps w:val="0"/>
          <w:strike w:val="0"/>
          <w:color w:val="000000"/>
          <w:sz w:val="24"/>
          <w:szCs w:val="24"/>
          <w:u w:val="none"/>
          <w:shd w:fill="auto" w:val="clear"/>
          <w:vertAlign w:val="baseline"/>
          <w:rtl w:val="0"/>
        </w:rPr>
        <w:t xml:space="preserve">all </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intersex children change their assigned gender, including those with forms of sex diversity that are usually not recognized at birth. In about 80% of those cases, the shift occurs before puberty.</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6"/>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It is impossible to predict which of the children will belong to the group that will reject the assigned sex. Therefore, 'normalising treatment' is a violation of all intersex children. Parents may not realise that they are de facto opting for experimental treatment for their children.</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7"/>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This is a violation of Article 15 of the convention which states that “no one shall be subjected without his or her free consent to medical or scientific experimentation”. </w:t>
      </w:r>
      <w:r w:rsidDel="00000000" w:rsidR="00000000" w:rsidRPr="00000000">
        <w:rPr>
          <w:rFonts w:ascii="Bookman Old Style" w:cs="Bookman Old Style" w:eastAsia="Bookman Old Style" w:hAnsi="Bookman Old Style"/>
          <w:rtl w:val="0"/>
        </w:rPr>
        <w:t xml:space="preserve">It is</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therefore highly recommended the government to protect children against unproven and unscientific medical treatments.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Consequences of surgical and medical interventions can be severe and irreversible: unnecessary surgery at a young age often leads to lifelong physical and mental health issues due to the irreversible character.</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8"/>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When children grow older, and their identity becomes clear, they might be confronted with a body that goes contrary to their identity, as a consequence of medical interventions. They will never be able to alter this. Therefore, it is not surprising that the recent European intersex study mentioned above showed that the number of participants with psychological problems is 4.3 times higher than in the control group and that the number of participants who attempted suicide is 3.5 times higher than in the control group. Moreover, the researchers state that in reality the percentage of suicide attempts might be higher because a significant number of respondents refused to answer the question about suicide.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9"/>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It is unknown whether psychological problems and the high percentage of suicide attempts are symptoms of the DSD diagnoses (DSD stands for Disorders of Sex Development, the medical term used for intersex people). Percentages for mental health issues and suicide attempts are also greatly increased in sexually abused children.</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10"/>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Some medical treatments and studies (including a test described as ‘clitoral sensory testing and vibratory sensory testing’</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11"/>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for intersex children can be classified as sexual abuse.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12"/>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Scientists and agencies consider the medical treatment undergone by a group of intersex children to be comparable to Female Genital Mutilation (FGM).</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13"/>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A growing number of intersex people claim to have experienced medical attention as (sexual) abuse.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superscript"/>
        </w:rPr>
        <w:footnoteReference w:customMarkFollows="0" w:id="14"/>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All this research suggests that medical attention is likely the cause, and not the diagnosis itself. The NGO’s recommend the State Party prohibits and criminalises the practice of non-necessary medical interventions on intersex persons, in the absence of prior, free and fully informed autonomous consent provided at a sufficiently mature age to guarantee bodily integrity, autonomy and self-determination to the children concerned and that supported decision-making mechanisms and strengthened safeguards are provided. It also recommends that the State party raise awareness of such practices as harmful.</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Medical staff is often insufficiently trained in intersex matters, which leads to difficulties for intersex persons in accessing health care and with being treated respectfully. Medical staff is often not familiar with the difference between intersex and transgender people</w:t>
      </w:r>
      <w:r w:rsidDel="00000000" w:rsidR="00000000" w:rsidRPr="00000000">
        <w:rPr>
          <w:rFonts w:ascii="Bookman Old Style" w:cs="Bookman Old Style" w:eastAsia="Bookman Old Style" w:hAnsi="Bookman Old Style"/>
          <w:rtl w:val="0"/>
        </w:rPr>
        <w:t xml:space="preserv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These practices are in clear violation of Article 25 of the Convention and General Comment no. 6 Article 66 on health. </w:t>
      </w:r>
      <w:r w:rsidDel="00000000" w:rsidR="00000000" w:rsidRPr="00000000">
        <w:rPr>
          <w:rFonts w:ascii="Bookman Old Style" w:cs="Bookman Old Style" w:eastAsia="Bookman Old Style" w:hAnsi="Bookman Old Style"/>
          <w:rtl w:val="0"/>
        </w:rPr>
        <w:t xml:space="preserve">It is</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recommended the State Party raises awareness of such practices as harmful, ensures the training of relevant professionals, and provide families with intersex children with adequate counselling and support. Adopt plans and allocate resources to ensure that mainstream health services, including sexual and reproductive health services and information, are accessible to intersex persons. Health professionals in mainstream health services should be trained in communicating with and treating intersex persons in health-care settings, observing the right to prior, free and fully informed autonomous consent and other rights enshrined in the Convention. </w:t>
      </w:r>
    </w:p>
    <w:p w:rsidR="00000000" w:rsidDel="00000000" w:rsidP="00000000" w:rsidRDefault="00000000" w:rsidRPr="00000000" w14:paraId="00000053">
      <w:pPr>
        <w:pStyle w:val="Heading2"/>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bookmarkStart w:colFirst="0" w:colLast="0" w:name="_heading=h.4d34og8" w:id="6"/>
      <w:bookmarkEnd w:id="6"/>
      <w:r w:rsidDel="00000000" w:rsidR="00000000" w:rsidRPr="00000000">
        <w:rPr>
          <w:rtl w:val="0"/>
        </w:rPr>
      </w:r>
    </w:p>
    <w:p w:rsidR="00000000" w:rsidDel="00000000" w:rsidP="00000000" w:rsidRDefault="00000000" w:rsidRPr="00000000" w14:paraId="00000054">
      <w:pPr>
        <w:pStyle w:val="Heading2"/>
        <w:jc w:val="both"/>
        <w:rPr>
          <w:rFonts w:ascii="Bookman Old Style" w:cs="Bookman Old Style" w:eastAsia="Bookman Old Style" w:hAnsi="Bookman Old Style"/>
          <w:sz w:val="24"/>
          <w:szCs w:val="24"/>
        </w:rPr>
      </w:pPr>
      <w:bookmarkStart w:colFirst="0" w:colLast="0" w:name="_heading=h.2s8eyo1" w:id="7"/>
      <w:bookmarkEnd w:id="7"/>
      <w:r w:rsidDel="00000000" w:rsidR="00000000" w:rsidRPr="00000000">
        <w:rPr>
          <w:rFonts w:ascii="Bookman Old Style" w:cs="Bookman Old Style" w:eastAsia="Bookman Old Style" w:hAnsi="Bookman Old Style"/>
          <w:sz w:val="24"/>
          <w:szCs w:val="24"/>
          <w:rtl w:val="0"/>
        </w:rPr>
        <w:t xml:space="preserve">VI. Suggested Recommendations</w:t>
      </w:r>
    </w:p>
    <w:p w:rsidR="00000000" w:rsidDel="00000000" w:rsidP="00000000" w:rsidRDefault="00000000" w:rsidRPr="00000000" w14:paraId="00000055">
      <w:pPr>
        <w:jc w:val="both"/>
        <w:rPr>
          <w:rFonts w:ascii="Bookman Old Style" w:cs="Bookman Old Style" w:eastAsia="Bookman Old Style" w:hAnsi="Bookman Old Style"/>
          <w:color w:val="000000"/>
        </w:rPr>
      </w:pPr>
      <w:r w:rsidDel="00000000" w:rsidR="00000000" w:rsidRPr="00000000">
        <w:rPr>
          <w:rtl w:val="0"/>
        </w:rPr>
      </w:r>
    </w:p>
    <w:p w:rsidR="00000000" w:rsidDel="00000000" w:rsidP="00000000" w:rsidRDefault="00000000" w:rsidRPr="00000000" w14:paraId="00000056">
      <w:pPr>
        <w:jc w:val="both"/>
        <w:rPr>
          <w:rFonts w:ascii="Bookman Old Style" w:cs="Bookman Old Style" w:eastAsia="Bookman Old Style" w:hAnsi="Bookman Old Style"/>
          <w:color w:val="000000"/>
        </w:rPr>
      </w:pPr>
      <w:r w:rsidDel="00000000" w:rsidR="00000000" w:rsidRPr="00000000">
        <w:rPr>
          <w:rFonts w:ascii="Bookman Old Style" w:cs="Bookman Old Style" w:eastAsia="Bookman Old Style" w:hAnsi="Bookman Old Style"/>
          <w:rtl w:val="0"/>
        </w:rPr>
        <w:t xml:space="preserve">Intersex Asia</w:t>
      </w:r>
      <w:r w:rsidDel="00000000" w:rsidR="00000000" w:rsidRPr="00000000">
        <w:rPr>
          <w:rFonts w:ascii="Bookman Old Style" w:cs="Bookman Old Style" w:eastAsia="Bookman Old Style" w:hAnsi="Bookman Old Style"/>
          <w:color w:val="000000"/>
          <w:rtl w:val="0"/>
        </w:rPr>
        <w:t xml:space="preserve"> respectfully request the Committee on the Rights of Persons with Disabilities to make the following recommendations to the </w:t>
      </w:r>
      <w:r w:rsidDel="00000000" w:rsidR="00000000" w:rsidRPr="00000000">
        <w:rPr>
          <w:rFonts w:ascii="Bookman Old Style" w:cs="Bookman Old Style" w:eastAsia="Bookman Old Style" w:hAnsi="Bookman Old Style"/>
          <w:rtl w:val="0"/>
        </w:rPr>
        <w:t xml:space="preserve">State party</w:t>
      </w:r>
      <w:r w:rsidDel="00000000" w:rsidR="00000000" w:rsidRPr="00000000">
        <w:rPr>
          <w:rFonts w:ascii="Bookman Old Style" w:cs="Bookman Old Style" w:eastAsia="Bookman Old Style" w:hAnsi="Bookman Old Style"/>
          <w:color w:val="000000"/>
          <w:rtl w:val="0"/>
        </w:rPr>
        <w:t xml:space="preserve">:</w:t>
      </w:r>
    </w:p>
    <w:p w:rsidR="00000000" w:rsidDel="00000000" w:rsidP="00000000" w:rsidRDefault="00000000" w:rsidRPr="00000000" w14:paraId="00000057">
      <w:pPr>
        <w:jc w:val="both"/>
        <w:rPr>
          <w:rFonts w:ascii="Bookman Old Style" w:cs="Bookman Old Style" w:eastAsia="Bookman Old Style" w:hAnsi="Bookman Old Style"/>
          <w:color w:val="000000"/>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Prohibit and criminalise the practice of non-necessary medical interventions on intersex persons, in the absence of prior, free and fully informed autonomous consent provided at a sufficiently mature age to guarantee bodily integrity, autonomy and self-determination and that supported decision-making mechanisms and strengthened safeguards are provided. Also, raise awareness of such practices as harmful, ensures the training of relevant professionals, and provide families with intersex children with adequate counselling and support.</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Establish measures to guarantee the right to life of intersex persons, and ensure equal access to justice and to safeguard intersex people from abuse, ill-treatment, sexual violence and exploitation.</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Adopt plans and allocate resources to ensure that mainstream health services, including sexual and reproductive health services and information, are accessible to intersex persons. Health professionals in mainstream health services should be trained in communicating with and treating intersex persons in health-care settings, observing the right to prior, free and fully informed autonomous consent and other rights enshrined in the Convention. </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Develop a comprehensive and coordinated legislative and policy framework for inclusive education that ensures teachers and all other professionals and persons in contact with children understand the concept of inclusion and are able to enhance inclusive education for intersex children to prevent exclusion from education on the basis of intersex. Also, conduct awareness-raising campaigns aimed at education and employment to the general public, schools and the families of persons with intersex.</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Develop a comprehensive and coordinated legislative and policy framework to ensure all intersex persons have access to identity documents and marriage on the basis of equality.</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Allocate financial resources to support organisations representing intersex persons, and develop mechanisms to ensure the full, inclusive, strategic and active participation of organisations of intersex persons in the planning and implementation of all legislation and measures that affect the lives of intersex persons.</w:t>
      </w:r>
    </w:p>
    <w:sectPr>
      <w:footerReference r:id="rId12" w:type="default"/>
      <w:footerReference r:id="rId13" w:type="first"/>
      <w:type w:val="nextPage"/>
      <w:pgSz w:h="16840" w:w="11900" w:orient="portrait"/>
      <w:pgMar w:bottom="1417" w:top="1417" w:left="1417" w:right="1417"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Bookman Old Styl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bookmarkStart w:colFirst="0" w:colLast="0" w:name="_heading=h.17dp8vu" w:id="8"/>
      <w:bookmarkEnd w:id="8"/>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OII Europe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Statement of OII Europeon Intersex, Disability and the UN Convention on the Rights of People with Disabilities. April 2015. https://oiieurope.org/wp-content/uploads/2015/05/CRPD_2015_Statement_OII_Europe.pdf</w:t>
      </w:r>
    </w:p>
  </w:footnote>
  <w:footnote w:id="4">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Report of the Special Rapporteur on torture and other cruel, inhuman or degrading treatment or punishment, Juan E. Medez, Human Rights Council, 1 February 2013 (A/HRC/22/53).</w:t>
      </w:r>
      <w:r w:rsidDel="00000000" w:rsidR="00000000" w:rsidRPr="00000000">
        <w:rPr>
          <w:rtl w:val="0"/>
        </w:rPr>
      </w:r>
    </w:p>
  </w:footnote>
  <w:footnote w:id="5">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E.g.: “For physicians it is obvious and unequivocal that a person with CAH and an XX karyotype has a female gender identity</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 Binet A, Lardy H, Geslin D, Francois-Fiquet C, Poli-Merol ML.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Should we question early feminizing genitoplasty for patients with congenital adrenal hyperplasia and XX karyotype? Journal of Pediatric Surgery. 2016;51(3):465-468.</w:t>
      </w:r>
    </w:p>
  </w:footnote>
  <w:footnote w:id="6">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Falhammar H, Claahsen-van der Grinten HL, Reisch N, Slowikowska-Hilczer J, Nordenstrom A, Roehle R, et al.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Health status in 1040 adults with disorders of sex development (DSD): a European multicenter study. Endocrine Connections. 2018. (https://doi.org/10.1530/ec-18-0031).</w:t>
      </w:r>
    </w:p>
  </w:footnote>
  <w:footnote w:id="7">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Liao L-M, Wood D, Creighton SM.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Parental choice on normalising cosmetic genital surgery. BMJ. 2015;351. </w:t>
      </w:r>
    </w:p>
  </w:footnote>
  <w:footnote w:id="8">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Falhammar H, Claahsen-van der Grinten HL, Reisch N, Slowikowska-Hilczer J, Nordenstrom A, Roehle R, et al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Health status in 1040 adults with disorders of sex development (DSD): a European multicenter study. Endocrine Connections. 2018. (https://doi.org/10.1530/ec-18-0031).</w:t>
      </w:r>
    </w:p>
  </w:footnote>
  <w:footnote w:id="9">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Falhammar H, Claahsen-van der Grinten HL, Reisch N, Slowikowska-Hilczer J, Nordenstrom A, Roehle R, et al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Health status in 1040 adults with disorders of sex development (DSD): a European multicenter study. Endocrine Connections. 2018. https://doi.org/10.1530/ec-18-0031.</w:t>
      </w:r>
    </w:p>
  </w:footnote>
  <w:footnote w:id="10">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Browne A, Finkelhor 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Impact of child sexual abuse: A review of the research. Psychological Bulletin. 1986;99(1):66. https://doi.org/10.1037//0033-2909.99.1.66. 4.</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Cook A, Spinazzola J, Ford J, Lanktree C, Blaustein M, Cloitre M, et al.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Complex trauma in children and adolescents. Psychiatric annals. 2005;35(5):390-398. https://doi.org/10.3928/00485713-20050501-05.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Fergusson DM, Horwood LJ, Lynskey MT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Childhood Sexual Abuse and Psychiatric Disorder in Young Adulthood: II. Psychiatric Outcomes of Childhood Sexual Abuse. Journal of the American Academy of Child &amp; Adolescent Psychiatry. 1996;35(10):1365-1374. https://doi.org/10.1097/00004583-199610000-00024 </w:t>
      </w:r>
    </w:p>
  </w:footnote>
  <w:footnote w:id="11">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Yang J, Felsen D, Poppas DP</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Nerve sparing ventral clitoroplasty: analysis of clitoral sensitivity and viability. The Journal of urology. 2007;178(4):1598-1601. https://doi.org/10.1016/j.juro.2007.05.097 </w:t>
      </w:r>
    </w:p>
  </w:footnote>
  <w:footnote w:id="12">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Alexander 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 Medical Management of Intersexed Children: An Analogue for Childhood Sexual Abuse Rohnert Park, CA, USA: Intersex Society of North America; 1997. URL: http://www.isna.org/articles/analog.</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Dreger AD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Rejecting the Tranquilizing Drug of Gradualism in Intersex Care [Blog]. 2015 [bewerkt 21 november 2015; geraadpleegd 24 november 2015]. URL: http://www.alicedreger.com/DSD_human_rights.</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Jones T, Hart B, Carpenter M, Ansara G, Leonard W, Lucke J</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Intersex: Stories and Statistics from Australia: Open Book Publishers; 2016. https://doi.org/10.11647/OBP.0089.</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Knight K, Tamar-Mattis 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 want to be like nature made me": Medically Unnecessary Surgeries on Intersex Children in the US. New York, NY, USA: Human Rights Watch / interAct, July 2017. Nr. 978-1-6231-35027.</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Wiesemann C</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Ethical Guidelines for the Clinical Management of Intersex. Sexual Development. 2010;4(4-5):300-303. https://doi.org/10.1159/000316232.</w:t>
      </w:r>
    </w:p>
  </w:footnote>
  <w:footnote w:id="13">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Dreger AD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“Ambiguous Sex”—or Ambivalent Medicine?: Ethical Issues in the Treatment of Intersexuality. Hastings Center Report. 1998;28(3):24-35. https://doi.org/10.2307/3528648.</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Earp BD, Steinfeld R</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Genital Autonomy and Sexual Well-being. Current Sexual Health Reports. 2018;10(1):7-17. https://doi.org/10.1007/s11930-018-0141-x.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Ehrenreich N, Barr M</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Intersex Surgery, Female Genital Cutting, and the Selective Condemnation of "Cultural Practices". Harvard Civil Rights-Civil Liberties Law Review. 2005;40:71.</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Fraser S, Reisel 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Constructing the female body: using female genital mutilation law to address genital-normalizing surgery on intersex children in the United States. International Journal of Human Rights in Healthcare. 2016;9(1). https://doi.org/10.1108/IJHRH-05-2015-0014.</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Office of the United Nations High Commissioner for Human Rights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Good practices and major challenges in preventing and eliminating female genital mutilation - Report of the Office of the United Nations High Commissioner for Human Rights. United Nations - General Assembly, 2015. Rapport Nr. A/HRC/29/20.</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Pūras 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Report of the Special Rapporteur on the right of everyone to the enjoyment of the highest attainable standard of physical and mental health. United Nations, General Assembly, 4 april 2016. Nr. A/HRC/32/33. </w:t>
      </w:r>
    </w:p>
  </w:footnote>
  <w:footnote w:id="14">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Blair 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When Doctors Get It Wrong. Narrative Inquiry in Bioethics. 2015;5(2):89-92. https://doi.org/10.1353/nib.2015.0029.</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Frader JE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 Pediatrician's View. Narrative Inquiry in Bioethics. 2015;5(2):139-142. https://doi.org/10.1353/nib.2015.0040.</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Meoded Danon 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Time matters for intersex bodies: Between socio-medical time and somatic time. Social Science &amp; Medicine. 2018;208:89-97. https://doi.org/10.1016/j.socscimed.2018.05.019.</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Monro S, Crocetti D, Yeadon-Lee T, Garland F, Travis M</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Intersex, Variations of Sex Characteristics, and DSD: The Need for Change. Huddersfield, UK: University of Huddersfield, October 2017. Nr. 978-1-86218-151-9.</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Viloria H</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Born both: an intersex life. New York, NY, USA: Hachette Books; 2017. </w:t>
      </w:r>
    </w:p>
  </w:footnote>
  <w:footnote w:id="1">
    <w:p w:rsidR="00000000" w:rsidDel="00000000" w:rsidP="00000000" w:rsidRDefault="00000000" w:rsidRPr="00000000" w14:paraId="0000007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Submission to the UN Universal Periodic Review regarding the protection of the rights of LGBTI persons in Vietnam, 32nd session of the Universal Periodic Review (January–February 2019), Compiled by the Kaleidoscope Human Rights Foundation and iSEE: https://uprdoc.ohchr.org/uprweb/downloadfile.aspx?filename=5972&amp;file= EnglishTranslation </w:t>
      </w:r>
    </w:p>
  </w:footnote>
  <w:footnote w:id="2">
    <w:p w:rsidR="00000000" w:rsidDel="00000000" w:rsidP="00000000" w:rsidRDefault="00000000" w:rsidRPr="00000000" w14:paraId="0000007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UNESCO, Reaching Out, Preventing and Addressing SOGIE related school violence in Vietnam, Volume II, 2016, </w:t>
      </w:r>
      <w:hyperlink r:id="rId1">
        <w:r w:rsidDel="00000000" w:rsidR="00000000" w:rsidRPr="00000000">
          <w:rPr>
            <w:color w:val="1155cc"/>
            <w:sz w:val="20"/>
            <w:szCs w:val="20"/>
            <w:u w:val="single"/>
            <w:rtl w:val="0"/>
          </w:rPr>
          <w:t xml:space="preserve">https://tvlgbt.s3.ap-southeast-1.amazonaws.com/1b609143-c59a-43aa-8811-f25b0277fb76.pdf</w:t>
        </w:r>
      </w:hyperlink>
      <w:r w:rsidDel="00000000" w:rsidR="00000000" w:rsidRPr="00000000">
        <w:rPr>
          <w:sz w:val="20"/>
          <w:szCs w:val="20"/>
          <w:rtl w:val="0"/>
        </w:rPr>
        <w:t xml:space="preserve"> </w:t>
      </w:r>
    </w:p>
  </w:footnote>
  <w:footnote w:id="3">
    <w:p w:rsidR="00000000" w:rsidDel="00000000" w:rsidP="00000000" w:rsidRDefault="00000000" w:rsidRPr="00000000" w14:paraId="0000007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Full Action Plan, MOET 2021: https://luatvietnam.vn/chinh-sach/quyet-dinh-383-qd-bgddt-bo-giao-duc-va-dao-tao- 216295-d1.html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01E79"/>
  </w:style>
  <w:style w:type="paragraph" w:styleId="Heading1">
    <w:name w:val="heading 1"/>
    <w:basedOn w:val="Normal"/>
    <w:next w:val="Normal"/>
    <w:link w:val="Heading1Char"/>
    <w:uiPriority w:val="9"/>
    <w:qFormat w:val="1"/>
    <w:rsid w:val="002A279B"/>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E12F98"/>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61E93"/>
    <w:pPr>
      <w:ind w:left="720"/>
      <w:contextualSpacing w:val="1"/>
    </w:pPr>
  </w:style>
  <w:style w:type="paragraph" w:styleId="FootnoteText">
    <w:name w:val="footnote text"/>
    <w:basedOn w:val="Normal"/>
    <w:link w:val="FootnoteTextChar"/>
    <w:uiPriority w:val="99"/>
    <w:semiHidden w:val="1"/>
    <w:unhideWhenUsed w:val="1"/>
    <w:rsid w:val="00702F2C"/>
    <w:rPr>
      <w:sz w:val="20"/>
      <w:szCs w:val="20"/>
    </w:rPr>
  </w:style>
  <w:style w:type="character" w:styleId="FootnoteTextChar" w:customStyle="1">
    <w:name w:val="Footnote Text Char"/>
    <w:basedOn w:val="DefaultParagraphFont"/>
    <w:link w:val="FootnoteText"/>
    <w:uiPriority w:val="99"/>
    <w:semiHidden w:val="1"/>
    <w:rsid w:val="00702F2C"/>
    <w:rPr>
      <w:sz w:val="20"/>
      <w:szCs w:val="20"/>
    </w:rPr>
  </w:style>
  <w:style w:type="character" w:styleId="FootnoteReference">
    <w:name w:val="footnote reference"/>
    <w:basedOn w:val="DefaultParagraphFont"/>
    <w:uiPriority w:val="99"/>
    <w:semiHidden w:val="1"/>
    <w:unhideWhenUsed w:val="1"/>
    <w:rsid w:val="00702F2C"/>
    <w:rPr>
      <w:vertAlign w:val="superscript"/>
    </w:rPr>
  </w:style>
  <w:style w:type="character" w:styleId="Hyperlink">
    <w:name w:val="Hyperlink"/>
    <w:basedOn w:val="DefaultParagraphFont"/>
    <w:uiPriority w:val="99"/>
    <w:unhideWhenUsed w:val="1"/>
    <w:rsid w:val="00702F2C"/>
    <w:rPr>
      <w:color w:val="0000ff"/>
      <w:u w:val="single"/>
    </w:rPr>
  </w:style>
  <w:style w:type="paragraph" w:styleId="NormalWeb">
    <w:name w:val="Normal (Web)"/>
    <w:basedOn w:val="Normal"/>
    <w:uiPriority w:val="99"/>
    <w:unhideWhenUsed w:val="1"/>
    <w:rsid w:val="003169DB"/>
    <w:pPr>
      <w:spacing w:after="100" w:afterAutospacing="1" w:before="100" w:beforeAutospacing="1"/>
    </w:pPr>
    <w:rPr>
      <w:rFonts w:ascii="Times New Roman" w:cs="Times New Roman" w:eastAsia="Times New Roman" w:hAnsi="Times New Roman"/>
      <w:lang w:eastAsia="nl-NL"/>
    </w:rPr>
  </w:style>
  <w:style w:type="character" w:styleId="Heading2Char" w:customStyle="1">
    <w:name w:val="Heading 2 Char"/>
    <w:basedOn w:val="DefaultParagraphFont"/>
    <w:link w:val="Heading2"/>
    <w:uiPriority w:val="9"/>
    <w:rsid w:val="00E12F98"/>
    <w:rPr>
      <w:rFonts w:asciiTheme="majorHAnsi" w:cstheme="majorBidi" w:eastAsiaTheme="majorEastAsia" w:hAnsiTheme="majorHAnsi"/>
      <w:color w:val="2f5496" w:themeColor="accent1" w:themeShade="0000BF"/>
      <w:sz w:val="26"/>
      <w:szCs w:val="26"/>
    </w:rPr>
  </w:style>
  <w:style w:type="character" w:styleId="Heading1Char" w:customStyle="1">
    <w:name w:val="Heading 1 Char"/>
    <w:basedOn w:val="DefaultParagraphFont"/>
    <w:link w:val="Heading1"/>
    <w:uiPriority w:val="9"/>
    <w:rsid w:val="002A279B"/>
    <w:rPr>
      <w:rFonts w:asciiTheme="majorHAnsi" w:cstheme="majorBidi" w:eastAsiaTheme="majorEastAsia" w:hAnsiTheme="majorHAnsi"/>
      <w:color w:val="2f5496" w:themeColor="accent1" w:themeShade="0000BF"/>
      <w:sz w:val="32"/>
      <w:szCs w:val="32"/>
    </w:rPr>
  </w:style>
  <w:style w:type="character" w:styleId="UnresolvedMention">
    <w:name w:val="Unresolved Mention"/>
    <w:basedOn w:val="DefaultParagraphFont"/>
    <w:uiPriority w:val="99"/>
    <w:semiHidden w:val="1"/>
    <w:unhideWhenUsed w:val="1"/>
    <w:rsid w:val="002A279B"/>
    <w:rPr>
      <w:color w:val="605e5c"/>
      <w:shd w:color="auto" w:fill="e1dfdd" w:val="clear"/>
    </w:rPr>
  </w:style>
  <w:style w:type="character" w:styleId="FollowedHyperlink">
    <w:name w:val="FollowedHyperlink"/>
    <w:basedOn w:val="DefaultParagraphFont"/>
    <w:uiPriority w:val="99"/>
    <w:semiHidden w:val="1"/>
    <w:unhideWhenUsed w:val="1"/>
    <w:rsid w:val="00CB6268"/>
    <w:rPr>
      <w:color w:val="954f72" w:themeColor="followedHyperlink"/>
      <w:u w:val="single"/>
    </w:rPr>
  </w:style>
  <w:style w:type="paragraph" w:styleId="BalloonText">
    <w:name w:val="Balloon Text"/>
    <w:basedOn w:val="Normal"/>
    <w:link w:val="BalloonTextChar"/>
    <w:uiPriority w:val="99"/>
    <w:semiHidden w:val="1"/>
    <w:unhideWhenUsed w:val="1"/>
    <w:rsid w:val="00200B7C"/>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200B7C"/>
    <w:rPr>
      <w:rFonts w:ascii="Times New Roman" w:cs="Times New Roman" w:hAnsi="Times New Roman"/>
      <w:sz w:val="18"/>
      <w:szCs w:val="18"/>
    </w:rPr>
  </w:style>
  <w:style w:type="paragraph" w:styleId="Footer">
    <w:name w:val="footer"/>
    <w:basedOn w:val="Normal"/>
    <w:link w:val="FooterChar"/>
    <w:uiPriority w:val="99"/>
    <w:unhideWhenUsed w:val="1"/>
    <w:rsid w:val="00BB3253"/>
    <w:pPr>
      <w:tabs>
        <w:tab w:val="center" w:pos="4536"/>
        <w:tab w:val="right" w:pos="9072"/>
      </w:tabs>
    </w:pPr>
  </w:style>
  <w:style w:type="character" w:styleId="FooterChar" w:customStyle="1">
    <w:name w:val="Footer Char"/>
    <w:basedOn w:val="DefaultParagraphFont"/>
    <w:link w:val="Footer"/>
    <w:uiPriority w:val="99"/>
    <w:rsid w:val="00BB3253"/>
  </w:style>
  <w:style w:type="character" w:styleId="PageNumber">
    <w:name w:val="page number"/>
    <w:basedOn w:val="DefaultParagraphFont"/>
    <w:uiPriority w:val="99"/>
    <w:semiHidden w:val="1"/>
    <w:unhideWhenUsed w:val="1"/>
    <w:rsid w:val="00BB3253"/>
  </w:style>
  <w:style w:type="paragraph" w:styleId="Header">
    <w:name w:val="header"/>
    <w:basedOn w:val="Normal"/>
    <w:link w:val="HeaderChar"/>
    <w:uiPriority w:val="99"/>
    <w:unhideWhenUsed w:val="1"/>
    <w:rsid w:val="00BB3253"/>
    <w:pPr>
      <w:tabs>
        <w:tab w:val="center" w:pos="4536"/>
        <w:tab w:val="right" w:pos="9072"/>
      </w:tabs>
    </w:pPr>
  </w:style>
  <w:style w:type="character" w:styleId="HeaderChar" w:customStyle="1">
    <w:name w:val="Header Char"/>
    <w:basedOn w:val="DefaultParagraphFont"/>
    <w:link w:val="Header"/>
    <w:uiPriority w:val="99"/>
    <w:rsid w:val="00BB3253"/>
  </w:style>
  <w:style w:type="paragraph" w:styleId="TOCHeading">
    <w:name w:val="TOC Heading"/>
    <w:basedOn w:val="Heading1"/>
    <w:next w:val="Normal"/>
    <w:uiPriority w:val="39"/>
    <w:unhideWhenUsed w:val="1"/>
    <w:qFormat w:val="1"/>
    <w:rsid w:val="00BB3253"/>
    <w:pPr>
      <w:spacing w:before="480" w:line="276" w:lineRule="auto"/>
      <w:outlineLvl w:val="9"/>
    </w:pPr>
    <w:rPr>
      <w:b w:val="1"/>
      <w:bCs w:val="1"/>
      <w:sz w:val="28"/>
      <w:szCs w:val="28"/>
      <w:lang w:eastAsia="nl-NL"/>
    </w:rPr>
  </w:style>
  <w:style w:type="paragraph" w:styleId="TOC2">
    <w:name w:val="toc 2"/>
    <w:basedOn w:val="Normal"/>
    <w:next w:val="Normal"/>
    <w:autoRedefine w:val="1"/>
    <w:uiPriority w:val="39"/>
    <w:unhideWhenUsed w:val="1"/>
    <w:rsid w:val="00BB3253"/>
    <w:pPr>
      <w:ind w:left="240"/>
    </w:pPr>
    <w:rPr>
      <w:rFonts w:cstheme="minorHAnsi"/>
      <w:smallCaps w:val="1"/>
      <w:sz w:val="20"/>
      <w:szCs w:val="20"/>
    </w:rPr>
  </w:style>
  <w:style w:type="paragraph" w:styleId="TOC1">
    <w:name w:val="toc 1"/>
    <w:basedOn w:val="Normal"/>
    <w:next w:val="Normal"/>
    <w:autoRedefine w:val="1"/>
    <w:uiPriority w:val="39"/>
    <w:semiHidden w:val="1"/>
    <w:unhideWhenUsed w:val="1"/>
    <w:rsid w:val="00BB3253"/>
    <w:pPr>
      <w:spacing w:after="120" w:before="120"/>
    </w:pPr>
    <w:rPr>
      <w:rFonts w:cstheme="minorHAnsi"/>
      <w:b w:val="1"/>
      <w:bCs w:val="1"/>
      <w:caps w:val="1"/>
      <w:sz w:val="20"/>
      <w:szCs w:val="20"/>
    </w:rPr>
  </w:style>
  <w:style w:type="paragraph" w:styleId="TOC3">
    <w:name w:val="toc 3"/>
    <w:basedOn w:val="Normal"/>
    <w:next w:val="Normal"/>
    <w:autoRedefine w:val="1"/>
    <w:uiPriority w:val="39"/>
    <w:semiHidden w:val="1"/>
    <w:unhideWhenUsed w:val="1"/>
    <w:rsid w:val="00BB3253"/>
    <w:pPr>
      <w:ind w:left="480"/>
    </w:pPr>
    <w:rPr>
      <w:rFonts w:cstheme="minorHAnsi"/>
      <w:i w:val="1"/>
      <w:iCs w:val="1"/>
      <w:sz w:val="20"/>
      <w:szCs w:val="20"/>
    </w:rPr>
  </w:style>
  <w:style w:type="paragraph" w:styleId="TOC4">
    <w:name w:val="toc 4"/>
    <w:basedOn w:val="Normal"/>
    <w:next w:val="Normal"/>
    <w:autoRedefine w:val="1"/>
    <w:uiPriority w:val="39"/>
    <w:semiHidden w:val="1"/>
    <w:unhideWhenUsed w:val="1"/>
    <w:rsid w:val="00BB3253"/>
    <w:pPr>
      <w:ind w:left="720"/>
    </w:pPr>
    <w:rPr>
      <w:rFonts w:cstheme="minorHAnsi"/>
      <w:sz w:val="18"/>
      <w:szCs w:val="18"/>
    </w:rPr>
  </w:style>
  <w:style w:type="paragraph" w:styleId="TOC5">
    <w:name w:val="toc 5"/>
    <w:basedOn w:val="Normal"/>
    <w:next w:val="Normal"/>
    <w:autoRedefine w:val="1"/>
    <w:uiPriority w:val="39"/>
    <w:semiHidden w:val="1"/>
    <w:unhideWhenUsed w:val="1"/>
    <w:rsid w:val="00BB3253"/>
    <w:pPr>
      <w:ind w:left="960"/>
    </w:pPr>
    <w:rPr>
      <w:rFonts w:cstheme="minorHAnsi"/>
      <w:sz w:val="18"/>
      <w:szCs w:val="18"/>
    </w:rPr>
  </w:style>
  <w:style w:type="paragraph" w:styleId="TOC6">
    <w:name w:val="toc 6"/>
    <w:basedOn w:val="Normal"/>
    <w:next w:val="Normal"/>
    <w:autoRedefine w:val="1"/>
    <w:uiPriority w:val="39"/>
    <w:semiHidden w:val="1"/>
    <w:unhideWhenUsed w:val="1"/>
    <w:rsid w:val="00BB3253"/>
    <w:pPr>
      <w:ind w:left="1200"/>
    </w:pPr>
    <w:rPr>
      <w:rFonts w:cstheme="minorHAnsi"/>
      <w:sz w:val="18"/>
      <w:szCs w:val="18"/>
    </w:rPr>
  </w:style>
  <w:style w:type="paragraph" w:styleId="TOC7">
    <w:name w:val="toc 7"/>
    <w:basedOn w:val="Normal"/>
    <w:next w:val="Normal"/>
    <w:autoRedefine w:val="1"/>
    <w:uiPriority w:val="39"/>
    <w:semiHidden w:val="1"/>
    <w:unhideWhenUsed w:val="1"/>
    <w:rsid w:val="00BB3253"/>
    <w:pPr>
      <w:ind w:left="1440"/>
    </w:pPr>
    <w:rPr>
      <w:rFonts w:cstheme="minorHAnsi"/>
      <w:sz w:val="18"/>
      <w:szCs w:val="18"/>
    </w:rPr>
  </w:style>
  <w:style w:type="paragraph" w:styleId="TOC8">
    <w:name w:val="toc 8"/>
    <w:basedOn w:val="Normal"/>
    <w:next w:val="Normal"/>
    <w:autoRedefine w:val="1"/>
    <w:uiPriority w:val="39"/>
    <w:semiHidden w:val="1"/>
    <w:unhideWhenUsed w:val="1"/>
    <w:rsid w:val="00BB3253"/>
    <w:pPr>
      <w:ind w:left="1680"/>
    </w:pPr>
    <w:rPr>
      <w:rFonts w:cstheme="minorHAnsi"/>
      <w:sz w:val="18"/>
      <w:szCs w:val="18"/>
    </w:rPr>
  </w:style>
  <w:style w:type="paragraph" w:styleId="TOC9">
    <w:name w:val="toc 9"/>
    <w:basedOn w:val="Normal"/>
    <w:next w:val="Normal"/>
    <w:autoRedefine w:val="1"/>
    <w:uiPriority w:val="39"/>
    <w:semiHidden w:val="1"/>
    <w:unhideWhenUsed w:val="1"/>
    <w:rsid w:val="00BB3253"/>
    <w:pPr>
      <w:ind w:left="1920"/>
    </w:pPr>
    <w:rPr>
      <w:rFonts w:cstheme="minorHAnsi"/>
      <w:sz w:val="18"/>
      <w:szCs w:val="18"/>
    </w:rPr>
  </w:style>
  <w:style w:type="character" w:styleId="CommentReference">
    <w:name w:val="annotation reference"/>
    <w:basedOn w:val="DefaultParagraphFont"/>
    <w:uiPriority w:val="99"/>
    <w:semiHidden w:val="1"/>
    <w:unhideWhenUsed w:val="1"/>
    <w:rsid w:val="00E80CFF"/>
    <w:rPr>
      <w:sz w:val="16"/>
      <w:szCs w:val="16"/>
    </w:rPr>
  </w:style>
  <w:style w:type="paragraph" w:styleId="CommentText">
    <w:name w:val="annotation text"/>
    <w:basedOn w:val="Normal"/>
    <w:link w:val="CommentTextChar"/>
    <w:uiPriority w:val="99"/>
    <w:semiHidden w:val="1"/>
    <w:unhideWhenUsed w:val="1"/>
    <w:rsid w:val="00E80CFF"/>
    <w:rPr>
      <w:sz w:val="20"/>
      <w:szCs w:val="20"/>
    </w:rPr>
  </w:style>
  <w:style w:type="character" w:styleId="CommentTextChar" w:customStyle="1">
    <w:name w:val="Comment Text Char"/>
    <w:basedOn w:val="DefaultParagraphFont"/>
    <w:link w:val="CommentText"/>
    <w:uiPriority w:val="99"/>
    <w:semiHidden w:val="1"/>
    <w:rsid w:val="00E80CFF"/>
    <w:rPr>
      <w:sz w:val="20"/>
      <w:szCs w:val="20"/>
    </w:rPr>
  </w:style>
  <w:style w:type="paragraph" w:styleId="CommentSubject">
    <w:name w:val="annotation subject"/>
    <w:basedOn w:val="CommentText"/>
    <w:next w:val="CommentText"/>
    <w:link w:val="CommentSubjectChar"/>
    <w:uiPriority w:val="99"/>
    <w:semiHidden w:val="1"/>
    <w:unhideWhenUsed w:val="1"/>
    <w:rsid w:val="00E80CFF"/>
    <w:rPr>
      <w:b w:val="1"/>
      <w:bCs w:val="1"/>
    </w:rPr>
  </w:style>
  <w:style w:type="character" w:styleId="CommentSubjectChar" w:customStyle="1">
    <w:name w:val="Comment Subject Char"/>
    <w:basedOn w:val="CommentTextChar"/>
    <w:link w:val="CommentSubject"/>
    <w:uiPriority w:val="99"/>
    <w:semiHidden w:val="1"/>
    <w:rsid w:val="00E80CFF"/>
    <w:rPr>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3" Type="http://schemas.openxmlformats.org/officeDocument/2006/relationships/footer" Target="footer5.xml"/><Relationship Id="rId8" Type="http://schemas.openxmlformats.org/officeDocument/2006/relationships/image" Target="media/image1.png"/><Relationship Id="rId3" Type="http://schemas.openxmlformats.org/officeDocument/2006/relationships/fontTable" Target="fontTable.xml"/><Relationship Id="rId12" Type="http://schemas.openxmlformats.org/officeDocument/2006/relationships/footer" Target="footer4.xml"/><Relationship Id="rId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tvlgbt.s3.ap-southeast-1.amazonaws.com/1b609143-c59a-43aa-8811-f25b0277fb76.pdf"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LfUWAHxro+W/ZHw5iy1IFOAn+Q==">CgMxLjAyCWguMzBqMHpsbDIJaC4xZm9iOXRlMgloLjN6bnlzaDcyCWguMmV0OTJwMDIJaC4zZHk2dmttMgloLjF0M2g1c2YyCWguNGQzNG9nODIJaC4yczhleW8xMgloLjE3ZHA4dnU4AHIhMTBndEFySDh2Z0Y3dWltZFA5WGZyOVFsTDFxLVFxd2VN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2025-01-31T11:03:43+00:00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09C80C4-1CB2-4101-8833-CEE53A82EA9A}"/>
</file>

<file path=customXML/itemProps3.xml><?xml version="1.0" encoding="utf-8"?>
<ds:datastoreItem xmlns:ds="http://schemas.openxmlformats.org/officeDocument/2006/customXml" ds:itemID="{58FB8010-7BBA-4B48-B156-ECF98AC3BDCF}"/>
</file>

<file path=customXML/itemProps4.xml><?xml version="1.0" encoding="utf-8"?>
<ds:datastoreItem xmlns:ds="http://schemas.openxmlformats.org/officeDocument/2006/customXml" ds:itemID="{63EA2402-C199-4642-8DDD-9181848C0A97}"/>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Annelies Tukker</dc:creator>
  <dcterms:created xsi:type="dcterms:W3CDTF">2019-07-26T13:27:00Z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