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808" w:rsidRPr="00DD0B6F" w:rsidRDefault="00971808" w:rsidP="00971808">
      <w:pPr>
        <w:bidi/>
        <w:jc w:val="center"/>
        <w:rPr>
          <w:rFonts w:ascii="Traditional Arabic" w:hAnsi="Traditional Arabic" w:cs="Traditional Arabic"/>
          <w:b/>
          <w:bCs/>
          <w:sz w:val="24"/>
          <w:szCs w:val="24"/>
          <w:u w:val="single"/>
          <w:rtl/>
        </w:rPr>
      </w:pPr>
      <w:r w:rsidRPr="00DD0B6F">
        <w:rPr>
          <w:rFonts w:ascii="Traditional Arabic" w:hAnsi="Traditional Arabic" w:cs="Traditional Arabic"/>
          <w:b/>
          <w:bCs/>
          <w:sz w:val="24"/>
          <w:szCs w:val="24"/>
          <w:u w:val="single"/>
          <w:rtl/>
        </w:rPr>
        <w:t>مرفق رقم (1)</w:t>
      </w:r>
    </w:p>
    <w:p w:rsidR="00971808" w:rsidRPr="00DD0B6F" w:rsidRDefault="00971808" w:rsidP="00971808">
      <w:pPr>
        <w:keepNext/>
        <w:bidi/>
        <w:jc w:val="center"/>
        <w:outlineLvl w:val="0"/>
        <w:rPr>
          <w:rFonts w:ascii="Traditional Arabic" w:hAnsi="Traditional Arabic" w:cs="Traditional Arabic"/>
          <w:b/>
          <w:bCs/>
          <w:sz w:val="24"/>
          <w:szCs w:val="24"/>
          <w:u w:val="single"/>
          <w:rtl/>
        </w:rPr>
      </w:pPr>
      <w:r w:rsidRPr="00DD0B6F">
        <w:rPr>
          <w:rFonts w:ascii="Traditional Arabic" w:hAnsi="Traditional Arabic" w:cs="Traditional Arabic"/>
          <w:b/>
          <w:bCs/>
          <w:sz w:val="24"/>
          <w:szCs w:val="24"/>
          <w:u w:val="single"/>
          <w:rtl/>
        </w:rPr>
        <w:t>الجداول الخاصة بقائمة المسائل الخاصة بالعهد الدولي للحقوق الاقتصادية والثقافية والاجتماعية</w:t>
      </w:r>
    </w:p>
    <w:p w:rsidR="00971808" w:rsidRPr="00DD0B6F" w:rsidRDefault="00971808" w:rsidP="00971808">
      <w:pPr>
        <w:bidi/>
        <w:spacing w:after="0"/>
        <w:rPr>
          <w:rFonts w:ascii="Traditional Arabic" w:hAnsi="Traditional Arabic" w:cs="Traditional Arabic"/>
          <w:sz w:val="24"/>
          <w:szCs w:val="24"/>
          <w:rtl/>
        </w:rPr>
      </w:pPr>
    </w:p>
    <w:p w:rsidR="00971808" w:rsidRPr="00DD0B6F" w:rsidRDefault="00971808" w:rsidP="00971808">
      <w:pPr>
        <w:numPr>
          <w:ilvl w:val="0"/>
          <w:numId w:val="3"/>
        </w:numPr>
        <w:bidi/>
        <w:spacing w:after="0"/>
        <w:ind w:left="-270"/>
        <w:contextualSpacing/>
        <w:rPr>
          <w:rFonts w:ascii="Traditional Arabic" w:hAnsi="Traditional Arabic" w:cs="Traditional Arabic"/>
          <w:b/>
          <w:bCs/>
          <w:sz w:val="24"/>
          <w:szCs w:val="24"/>
          <w:rtl/>
        </w:rPr>
      </w:pP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جدول رقم (1) نسب الفقر بين الأفراد وفقاً لأنماط الاستهلاك الشهري في فلسطين, 2011, </w:t>
      </w:r>
      <w:r w:rsidRPr="00DD0B6F">
        <w:rPr>
          <w:rFonts w:ascii="Traditional Arabic" w:hAnsi="Traditional Arabic" w:cs="Traditional Arabic"/>
          <w:b/>
          <w:bCs/>
          <w:sz w:val="24"/>
          <w:szCs w:val="24"/>
          <w:vertAlign w:val="superscript"/>
          <w:rtl/>
        </w:rPr>
        <w:footnoteReference w:id="1"/>
      </w: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>2017</w:t>
      </w:r>
      <w:r w:rsidR="003A2530"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>:</w:t>
      </w:r>
    </w:p>
    <w:tbl>
      <w:tblPr>
        <w:bidiVisual/>
        <w:tblW w:w="10080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3245"/>
        <w:gridCol w:w="1670"/>
        <w:gridCol w:w="1558"/>
        <w:gridCol w:w="1702"/>
        <w:gridCol w:w="1905"/>
      </w:tblGrid>
      <w:tr w:rsidR="00971808" w:rsidRPr="00DD0B6F" w:rsidTr="00971808">
        <w:trPr>
          <w:trHeight w:val="262"/>
          <w:jc w:val="right"/>
        </w:trPr>
        <w:tc>
          <w:tcPr>
            <w:tcW w:w="1008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0" w:type="dxa"/>
            </w:tcMar>
            <w:vAlign w:val="center"/>
          </w:tcPr>
          <w:p w:rsidR="00971808" w:rsidRPr="00DD0B6F" w:rsidRDefault="00971808" w:rsidP="00971808">
            <w:pPr>
              <w:bidi/>
              <w:spacing w:after="0"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</w:tr>
      <w:tr w:rsidR="00971808" w:rsidRPr="00DD0B6F" w:rsidTr="00971808">
        <w:trPr>
          <w:trHeight w:val="248"/>
          <w:jc w:val="right"/>
        </w:trPr>
        <w:tc>
          <w:tcPr>
            <w:tcW w:w="3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المنطقة</w:t>
            </w:r>
          </w:p>
        </w:tc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الفقر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الفقر المدقع</w:t>
            </w:r>
          </w:p>
        </w:tc>
      </w:tr>
      <w:tr w:rsidR="00971808" w:rsidRPr="00DD0B6F" w:rsidTr="00971808">
        <w:trPr>
          <w:trHeight w:val="204"/>
          <w:jc w:val="right"/>
        </w:trPr>
        <w:tc>
          <w:tcPr>
            <w:tcW w:w="3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</w:rPr>
            </w:pP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2011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2017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2011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2017</w:t>
            </w:r>
          </w:p>
        </w:tc>
      </w:tr>
      <w:tr w:rsidR="00971808" w:rsidRPr="00DD0B6F" w:rsidTr="00971808">
        <w:trPr>
          <w:trHeight w:val="90"/>
          <w:jc w:val="right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فلسطين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25.8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29.2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12.9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16.8</w:t>
            </w:r>
          </w:p>
        </w:tc>
      </w:tr>
    </w:tbl>
    <w:tbl>
      <w:tblPr>
        <w:tblW w:w="1017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383"/>
        <w:gridCol w:w="844"/>
        <w:gridCol w:w="843"/>
        <w:gridCol w:w="843"/>
        <w:gridCol w:w="843"/>
        <w:gridCol w:w="843"/>
        <w:gridCol w:w="842"/>
        <w:gridCol w:w="843"/>
        <w:gridCol w:w="843"/>
        <w:gridCol w:w="842"/>
        <w:gridCol w:w="1203"/>
      </w:tblGrid>
      <w:tr w:rsidR="00971808" w:rsidRPr="00DD0B6F" w:rsidTr="00971808">
        <w:trPr>
          <w:trHeight w:val="275"/>
        </w:trPr>
        <w:tc>
          <w:tcPr>
            <w:tcW w:w="10172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-  جدول رقم (2) إجمالي أنماط توزيع استهلاك الأسر في فلسطين، 2011، 2017</w:t>
            </w:r>
            <w:r w:rsidR="003A2530"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:</w:t>
            </w:r>
          </w:p>
        </w:tc>
      </w:tr>
      <w:tr w:rsidR="00971808" w:rsidRPr="00DD0B6F" w:rsidTr="00971808">
        <w:trPr>
          <w:trHeight w:val="474"/>
        </w:trPr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أغنى 10% لأفقر 10%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90%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80%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70%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60%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50%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40%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30%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20%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10%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أفقر</w:t>
            </w:r>
          </w:p>
        </w:tc>
      </w:tr>
      <w:tr w:rsidR="00971808" w:rsidRPr="00DD0B6F" w:rsidTr="00971808">
        <w:trPr>
          <w:trHeight w:val="230"/>
        </w:trPr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4.8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78.7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64.7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52.5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42.3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32.7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24.4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16.7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10.2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4.4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2011</w:t>
            </w:r>
          </w:p>
        </w:tc>
      </w:tr>
      <w:tr w:rsidR="00971808" w:rsidRPr="00DD0B6F" w:rsidTr="00971808">
        <w:trPr>
          <w:trHeight w:val="230"/>
        </w:trPr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4.5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82.1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66.5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53.3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41.8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31.8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23.4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15.8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9.4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4.0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2017</w:t>
            </w:r>
          </w:p>
        </w:tc>
      </w:tr>
    </w:tbl>
    <w:p w:rsidR="00971808" w:rsidRPr="00DD0B6F" w:rsidRDefault="00971808" w:rsidP="00971808">
      <w:pPr>
        <w:pBdr>
          <w:top w:val="nil"/>
          <w:left w:val="nil"/>
          <w:bottom w:val="nil"/>
          <w:right w:val="nil"/>
          <w:between w:val="nil"/>
          <w:bar w:val="nil"/>
        </w:pBdr>
        <w:bidi/>
        <w:ind w:left="-270"/>
        <w:contextualSpacing/>
        <w:jc w:val="both"/>
        <w:rPr>
          <w:rFonts w:ascii="Traditional Arabic" w:hAnsi="Traditional Arabic" w:cs="Traditional Arabic"/>
          <w:sz w:val="24"/>
          <w:szCs w:val="24"/>
        </w:rPr>
      </w:pPr>
    </w:p>
    <w:p w:rsidR="00971808" w:rsidRPr="00DD0B6F" w:rsidRDefault="00971808" w:rsidP="0097180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bidi/>
        <w:ind w:left="-360"/>
        <w:contextualSpacing/>
        <w:jc w:val="both"/>
        <w:rPr>
          <w:rFonts w:ascii="Traditional Arabic" w:hAnsi="Traditional Arabic" w:cs="Traditional Arabic"/>
          <w:sz w:val="24"/>
          <w:szCs w:val="24"/>
        </w:rPr>
      </w:pP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جدول رقم (3) الشرائح الضريبية لضريبة الدخل للأفراد والشركات: </w:t>
      </w:r>
    </w:p>
    <w:p w:rsidR="003A2530" w:rsidRPr="00DD0B6F" w:rsidRDefault="003A2530" w:rsidP="003A2530">
      <w:pPr>
        <w:pBdr>
          <w:top w:val="nil"/>
          <w:left w:val="nil"/>
          <w:bottom w:val="nil"/>
          <w:right w:val="nil"/>
          <w:between w:val="nil"/>
          <w:bar w:val="nil"/>
        </w:pBdr>
        <w:bidi/>
        <w:ind w:left="-360"/>
        <w:contextualSpacing/>
        <w:jc w:val="both"/>
        <w:rPr>
          <w:rFonts w:ascii="Traditional Arabic" w:hAnsi="Traditional Arabic" w:cs="Traditional Arabic"/>
          <w:sz w:val="24"/>
          <w:szCs w:val="24"/>
        </w:rPr>
      </w:pPr>
    </w:p>
    <w:tbl>
      <w:tblPr>
        <w:tblStyle w:val="TableGrid"/>
        <w:bidiVisual/>
        <w:tblW w:w="0" w:type="auto"/>
        <w:tblInd w:w="1790" w:type="dxa"/>
        <w:tblLook w:val="04A0" w:firstRow="1" w:lastRow="0" w:firstColumn="1" w:lastColumn="0" w:noHBand="0" w:noVBand="1"/>
      </w:tblPr>
      <w:tblGrid>
        <w:gridCol w:w="2880"/>
        <w:gridCol w:w="2700"/>
      </w:tblGrid>
      <w:tr w:rsidR="00971808" w:rsidRPr="00DD0B6F" w:rsidTr="00971808">
        <w:trPr>
          <w:trHeight w:val="404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71808" w:rsidRPr="00DD0B6F" w:rsidRDefault="00971808" w:rsidP="0097180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(الدخل الخاضع للضريبة) / شيكل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:rsidR="00971808" w:rsidRPr="00DD0B6F" w:rsidRDefault="00971808" w:rsidP="0097180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النسبة %</w:t>
            </w:r>
          </w:p>
        </w:tc>
      </w:tr>
      <w:tr w:rsidR="00971808" w:rsidRPr="00DD0B6F" w:rsidTr="00971808">
        <w:trPr>
          <w:trHeight w:val="350"/>
        </w:trPr>
        <w:tc>
          <w:tcPr>
            <w:tcW w:w="2880" w:type="dxa"/>
            <w:tcBorders>
              <w:bottom w:val="single" w:sz="4" w:space="0" w:color="auto"/>
            </w:tcBorders>
          </w:tcPr>
          <w:p w:rsidR="00971808" w:rsidRPr="00DD0B6F" w:rsidRDefault="00971808" w:rsidP="00971808">
            <w:pPr>
              <w:bidi/>
              <w:ind w:right="1844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الافراد:</w:t>
            </w:r>
          </w:p>
        </w:tc>
        <w:tc>
          <w:tcPr>
            <w:tcW w:w="2700" w:type="dxa"/>
          </w:tcPr>
          <w:p w:rsidR="00971808" w:rsidRPr="00DD0B6F" w:rsidRDefault="00971808" w:rsidP="00971808">
            <w:pPr>
              <w:bidi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971808" w:rsidRPr="00DD0B6F" w:rsidTr="00971808">
        <w:tc>
          <w:tcPr>
            <w:tcW w:w="2880" w:type="dxa"/>
            <w:tcBorders>
              <w:top w:val="single" w:sz="4" w:space="0" w:color="auto"/>
            </w:tcBorders>
          </w:tcPr>
          <w:p w:rsidR="00971808" w:rsidRPr="00DD0B6F" w:rsidRDefault="00971808" w:rsidP="00971808">
            <w:pPr>
              <w:bidi/>
              <w:ind w:left="1152" w:right="72" w:hanging="360"/>
              <w:contextualSpacing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1-75,000</w:t>
            </w:r>
          </w:p>
        </w:tc>
        <w:tc>
          <w:tcPr>
            <w:tcW w:w="2700" w:type="dxa"/>
          </w:tcPr>
          <w:p w:rsidR="00971808" w:rsidRPr="00DD0B6F" w:rsidRDefault="00971808" w:rsidP="00971808">
            <w:pPr>
              <w:bidi/>
              <w:ind w:left="1664" w:right="342" w:hanging="99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5%</w:t>
            </w:r>
          </w:p>
        </w:tc>
      </w:tr>
      <w:tr w:rsidR="00971808" w:rsidRPr="00DD0B6F" w:rsidTr="00971808">
        <w:tc>
          <w:tcPr>
            <w:tcW w:w="2880" w:type="dxa"/>
          </w:tcPr>
          <w:p w:rsidR="00971808" w:rsidRPr="00DD0B6F" w:rsidRDefault="00971808" w:rsidP="0097180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75,001-150,000</w:t>
            </w:r>
          </w:p>
        </w:tc>
        <w:tc>
          <w:tcPr>
            <w:tcW w:w="2700" w:type="dxa"/>
          </w:tcPr>
          <w:p w:rsidR="00971808" w:rsidRPr="00DD0B6F" w:rsidRDefault="00971808" w:rsidP="00971808">
            <w:pPr>
              <w:bidi/>
              <w:ind w:right="342" w:firstLine="1062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10%</w:t>
            </w:r>
          </w:p>
        </w:tc>
      </w:tr>
      <w:tr w:rsidR="00971808" w:rsidRPr="00DD0B6F" w:rsidTr="00971808">
        <w:tc>
          <w:tcPr>
            <w:tcW w:w="2880" w:type="dxa"/>
          </w:tcPr>
          <w:p w:rsidR="00971808" w:rsidRPr="00DD0B6F" w:rsidRDefault="00971808" w:rsidP="00971808">
            <w:pPr>
              <w:bidi/>
              <w:ind w:firstLine="792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150,001 فأكثر</w:t>
            </w:r>
          </w:p>
        </w:tc>
        <w:tc>
          <w:tcPr>
            <w:tcW w:w="2700" w:type="dxa"/>
          </w:tcPr>
          <w:p w:rsidR="00971808" w:rsidRPr="00DD0B6F" w:rsidRDefault="00971808" w:rsidP="00971808">
            <w:pPr>
              <w:keepNext/>
              <w:bidi/>
              <w:ind w:right="342" w:firstLine="1062"/>
              <w:jc w:val="center"/>
              <w:outlineLvl w:val="1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15%</w:t>
            </w:r>
          </w:p>
        </w:tc>
      </w:tr>
      <w:tr w:rsidR="00971808" w:rsidRPr="00DD0B6F" w:rsidTr="00971808">
        <w:tc>
          <w:tcPr>
            <w:tcW w:w="2880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lastRenderedPageBreak/>
              <w:t>الشركات:</w:t>
            </w:r>
          </w:p>
        </w:tc>
        <w:tc>
          <w:tcPr>
            <w:tcW w:w="2700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</w:tr>
      <w:tr w:rsidR="00971808" w:rsidRPr="00DD0B6F" w:rsidTr="00971808">
        <w:tc>
          <w:tcPr>
            <w:tcW w:w="2880" w:type="dxa"/>
          </w:tcPr>
          <w:p w:rsidR="00971808" w:rsidRPr="00DD0B6F" w:rsidRDefault="00971808" w:rsidP="00971808">
            <w:pPr>
              <w:bidi/>
              <w:ind w:firstLine="882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الشركات </w:t>
            </w:r>
          </w:p>
        </w:tc>
        <w:tc>
          <w:tcPr>
            <w:tcW w:w="2700" w:type="dxa"/>
          </w:tcPr>
          <w:p w:rsidR="00971808" w:rsidRPr="00DD0B6F" w:rsidRDefault="00971808" w:rsidP="00971808">
            <w:pPr>
              <w:bidi/>
              <w:ind w:firstLine="1062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15%</w:t>
            </w:r>
          </w:p>
        </w:tc>
      </w:tr>
      <w:tr w:rsidR="00971808" w:rsidRPr="00DD0B6F" w:rsidTr="00971808">
        <w:tc>
          <w:tcPr>
            <w:tcW w:w="2880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شركات الاتصالات والشركات التي تتمتع بامتياز او احتكار. </w:t>
            </w:r>
          </w:p>
        </w:tc>
        <w:tc>
          <w:tcPr>
            <w:tcW w:w="2700" w:type="dxa"/>
          </w:tcPr>
          <w:p w:rsidR="00971808" w:rsidRPr="00DD0B6F" w:rsidRDefault="00971808" w:rsidP="00971808">
            <w:pPr>
              <w:bidi/>
              <w:ind w:firstLine="1062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20%</w:t>
            </w:r>
          </w:p>
        </w:tc>
      </w:tr>
    </w:tbl>
    <w:p w:rsidR="00971808" w:rsidRPr="00DD0B6F" w:rsidRDefault="00971808" w:rsidP="00971808">
      <w:pPr>
        <w:bidi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:rsidR="00971808" w:rsidRPr="00DD0B6F" w:rsidRDefault="00971808" w:rsidP="00971808">
      <w:pPr>
        <w:numPr>
          <w:ilvl w:val="0"/>
          <w:numId w:val="3"/>
        </w:numPr>
        <w:bidi/>
        <w:contextualSpacing/>
        <w:rPr>
          <w:rFonts w:ascii="Traditional Arabic" w:hAnsi="Traditional Arabic" w:cs="Traditional Arabic"/>
          <w:b/>
          <w:bCs/>
          <w:sz w:val="24"/>
          <w:szCs w:val="24"/>
        </w:rPr>
      </w:pP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>جدول رقم (4) يوضح الإنفاق حسب تصنيف وظائف الحكومة الرئيسية على مستوى فلسطين لموازنة 2022:</w:t>
      </w:r>
    </w:p>
    <w:p w:rsidR="009E4481" w:rsidRPr="00DD0B6F" w:rsidRDefault="009E4481" w:rsidP="009E4481">
      <w:pPr>
        <w:bidi/>
        <w:ind w:left="90"/>
        <w:contextualSpacing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tbl>
      <w:tblPr>
        <w:bidiVisual/>
        <w:tblW w:w="8810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209"/>
        <w:gridCol w:w="2198"/>
        <w:gridCol w:w="1883"/>
        <w:gridCol w:w="2520"/>
      </w:tblGrid>
      <w:tr w:rsidR="00971808" w:rsidRPr="00DD0B6F" w:rsidTr="00971808">
        <w:trPr>
          <w:trHeight w:val="657"/>
          <w:jc w:val="right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الوظيفة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موازنة 2022 (مليون دولار)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نسبة من اجمالي الموازنة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نسبة من الناتج المحلي الاجمالي</w:t>
            </w:r>
          </w:p>
        </w:tc>
      </w:tr>
      <w:tr w:rsidR="00971808" w:rsidRPr="00DD0B6F" w:rsidTr="00971808">
        <w:trPr>
          <w:trHeight w:val="317"/>
          <w:jc w:val="right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الصحة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662.3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11.3%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3.6%</w:t>
            </w:r>
          </w:p>
        </w:tc>
      </w:tr>
      <w:tr w:rsidR="00971808" w:rsidRPr="00DD0B6F" w:rsidTr="00971808">
        <w:trPr>
          <w:trHeight w:val="317"/>
          <w:jc w:val="right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التعليم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999.3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17.0%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5.4%</w:t>
            </w:r>
          </w:p>
        </w:tc>
      </w:tr>
      <w:tr w:rsidR="00971808" w:rsidRPr="00DD0B6F" w:rsidTr="00971808">
        <w:trPr>
          <w:trHeight w:val="317"/>
          <w:jc w:val="right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الدفاع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1031.4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17.5%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5.6%</w:t>
            </w:r>
          </w:p>
        </w:tc>
      </w:tr>
      <w:tr w:rsidR="00971808" w:rsidRPr="00DD0B6F" w:rsidTr="00971808">
        <w:trPr>
          <w:trHeight w:val="317"/>
          <w:jc w:val="right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النظام العام والسلامة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132.5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2.3%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0.7%</w:t>
            </w:r>
          </w:p>
        </w:tc>
      </w:tr>
      <w:tr w:rsidR="00971808" w:rsidRPr="00DD0B6F" w:rsidTr="00971808">
        <w:trPr>
          <w:trHeight w:val="317"/>
          <w:jc w:val="right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الشؤون الاقتصادية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350.0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5.9%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1.9%</w:t>
            </w:r>
          </w:p>
        </w:tc>
      </w:tr>
      <w:tr w:rsidR="00971808" w:rsidRPr="00DD0B6F" w:rsidTr="00971808">
        <w:trPr>
          <w:trHeight w:val="317"/>
          <w:jc w:val="right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الحماية الاجتماعية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1050.2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17.8%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5.7%</w:t>
            </w:r>
          </w:p>
        </w:tc>
      </w:tr>
      <w:tr w:rsidR="00971808" w:rsidRPr="00DD0B6F" w:rsidTr="00971808">
        <w:trPr>
          <w:trHeight w:val="657"/>
          <w:jc w:val="right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خدمات الجمهور العام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593.8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10.1%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3.2%</w:t>
            </w:r>
          </w:p>
        </w:tc>
      </w:tr>
      <w:tr w:rsidR="00971808" w:rsidRPr="00DD0B6F" w:rsidTr="00971808">
        <w:trPr>
          <w:trHeight w:val="657"/>
          <w:jc w:val="right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شؤون الإسكان والمجتمع المحلي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164.3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2.8%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0.9%</w:t>
            </w:r>
          </w:p>
        </w:tc>
      </w:tr>
      <w:tr w:rsidR="00971808" w:rsidRPr="00DD0B6F" w:rsidTr="00971808">
        <w:trPr>
          <w:trHeight w:val="317"/>
          <w:jc w:val="right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حماية البيئة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4.3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0.1%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0.0%</w:t>
            </w:r>
          </w:p>
        </w:tc>
      </w:tr>
      <w:tr w:rsidR="00971808" w:rsidRPr="00DD0B6F" w:rsidTr="00971808">
        <w:trPr>
          <w:trHeight w:val="657"/>
          <w:jc w:val="right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الترفيه والثقافة والدين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150.0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2.5%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0.8%</w:t>
            </w:r>
          </w:p>
        </w:tc>
      </w:tr>
      <w:tr w:rsidR="00971808" w:rsidRPr="00DD0B6F" w:rsidTr="00971808">
        <w:trPr>
          <w:trHeight w:val="1216"/>
          <w:jc w:val="right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نفقات أخرى (صافي الإقراض، دفوعات متخصصة ومنح تطويرية </w:t>
            </w:r>
            <w:proofErr w:type="gramStart"/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خارجية )</w:t>
            </w:r>
            <w:proofErr w:type="gramEnd"/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746.9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12.7%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4.1%</w:t>
            </w:r>
          </w:p>
        </w:tc>
      </w:tr>
      <w:tr w:rsidR="00971808" w:rsidRPr="00DD0B6F" w:rsidTr="00971808">
        <w:trPr>
          <w:trHeight w:val="317"/>
          <w:jc w:val="right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الإجمالي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5884.9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100.0%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val="fr-FR"/>
              </w:rPr>
              <w:t>32.0%</w:t>
            </w:r>
          </w:p>
        </w:tc>
      </w:tr>
    </w:tbl>
    <w:p w:rsidR="003F6E46" w:rsidRPr="00DD0B6F" w:rsidRDefault="003F6E46" w:rsidP="003A2530">
      <w:pPr>
        <w:bidi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:rsidR="003F6E46" w:rsidRPr="00DD0B6F" w:rsidRDefault="003F6E46" w:rsidP="003F6E46">
      <w:pPr>
        <w:bidi/>
        <w:ind w:left="90"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</w:p>
    <w:p w:rsidR="00971808" w:rsidRPr="00DD0B6F" w:rsidRDefault="00971808" w:rsidP="003F6E46">
      <w:pPr>
        <w:numPr>
          <w:ilvl w:val="0"/>
          <w:numId w:val="3"/>
        </w:numPr>
        <w:bidi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lastRenderedPageBreak/>
        <w:t>جدول رقم (5) المستويات المطلقة للإنفاق الاجتماعي المعدلة حسب التضخم:</w:t>
      </w:r>
    </w:p>
    <w:p w:rsidR="00971808" w:rsidRPr="00DD0B6F" w:rsidRDefault="00971808" w:rsidP="00971808">
      <w:pPr>
        <w:bidi/>
        <w:ind w:left="90"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tbl>
      <w:tblPr>
        <w:bidiVisual/>
        <w:tblW w:w="808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519"/>
        <w:gridCol w:w="1076"/>
        <w:gridCol w:w="1077"/>
        <w:gridCol w:w="1078"/>
        <w:gridCol w:w="1077"/>
        <w:gridCol w:w="1127"/>
        <w:gridCol w:w="1127"/>
      </w:tblGrid>
      <w:tr w:rsidR="00971808" w:rsidRPr="00DD0B6F" w:rsidTr="00971808">
        <w:trPr>
          <w:trHeight w:val="255"/>
        </w:trPr>
        <w:tc>
          <w:tcPr>
            <w:tcW w:w="1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المنطقة والمحافظة</w:t>
            </w:r>
          </w:p>
        </w:tc>
        <w:tc>
          <w:tcPr>
            <w:tcW w:w="323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معدل الأجر الشهري للذين يتقاضون</w:t>
            </w:r>
          </w:p>
        </w:tc>
        <w:tc>
          <w:tcPr>
            <w:tcW w:w="333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عدد المستخدمين بأجر الذين يتقاضون </w:t>
            </w:r>
          </w:p>
        </w:tc>
      </w:tr>
      <w:tr w:rsidR="00971808" w:rsidRPr="00DD0B6F" w:rsidTr="00971808">
        <w:trPr>
          <w:trHeight w:val="255"/>
        </w:trPr>
        <w:tc>
          <w:tcPr>
            <w:tcW w:w="1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2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اقل من 1,450 شيكل</w:t>
            </w:r>
          </w:p>
        </w:tc>
        <w:tc>
          <w:tcPr>
            <w:tcW w:w="33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اقل من 1,450 شيكل</w:t>
            </w:r>
          </w:p>
        </w:tc>
      </w:tr>
      <w:tr w:rsidR="00971808" w:rsidRPr="00DD0B6F" w:rsidTr="00971808">
        <w:trPr>
          <w:trHeight w:val="248"/>
        </w:trPr>
        <w:tc>
          <w:tcPr>
            <w:tcW w:w="1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ذكور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اناث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كلا الجنسين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ذكور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اناث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كلا الجنسين</w:t>
            </w:r>
          </w:p>
        </w:tc>
      </w:tr>
      <w:tr w:rsidR="00971808" w:rsidRPr="00DD0B6F" w:rsidTr="00971808">
        <w:trPr>
          <w:trHeight w:val="972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الضفة الغربية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  1,179 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  1,024 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  1,098 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  9,300 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 10,200 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 19,500 </w:t>
            </w:r>
          </w:p>
        </w:tc>
      </w:tr>
      <w:tr w:rsidR="00971808" w:rsidRPr="00DD0B6F" w:rsidTr="00971808">
        <w:trPr>
          <w:trHeight w:val="248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قطاع غزة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     659 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     615 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     655 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80,700 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   7,600 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 88,300 </w:t>
            </w:r>
          </w:p>
        </w:tc>
      </w:tr>
      <w:tr w:rsidR="00971808" w:rsidRPr="00DD0B6F" w:rsidTr="00971808">
        <w:trPr>
          <w:trHeight w:val="226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فلسطين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    713 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    849 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    735 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90,000 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  17,800 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107,800 </w:t>
            </w:r>
          </w:p>
        </w:tc>
      </w:tr>
    </w:tbl>
    <w:p w:rsidR="00971808" w:rsidRPr="00DD0B6F" w:rsidRDefault="00971808" w:rsidP="009E4481">
      <w:pPr>
        <w:bidi/>
        <w:ind w:left="90"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:rsidR="00971808" w:rsidRPr="00DD0B6F" w:rsidRDefault="00971808" w:rsidP="0097180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930"/>
          <w:tab w:val="left" w:pos="2608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bidi/>
        <w:spacing w:after="120" w:line="360" w:lineRule="exact"/>
        <w:ind w:left="180" w:right="-90"/>
        <w:jc w:val="both"/>
        <w:rPr>
          <w:rFonts w:ascii="Traditional Arabic" w:eastAsia="Arial Unicode MS" w:hAnsi="Traditional Arabic" w:cs="Traditional Arabic"/>
          <w:b/>
          <w:bCs/>
          <w:color w:val="000000"/>
          <w:kern w:val="14"/>
          <w:sz w:val="24"/>
          <w:szCs w:val="24"/>
          <w:u w:color="000000"/>
          <w:bdr w:val="nil"/>
          <w:lang w:val="ar-SA"/>
        </w:rPr>
      </w:pPr>
      <w:r w:rsidRPr="00DD0B6F">
        <w:rPr>
          <w:rFonts w:ascii="Traditional Arabic" w:eastAsia="Arial Unicode MS" w:hAnsi="Traditional Arabic" w:cs="Traditional Arabic"/>
          <w:b/>
          <w:bCs/>
          <w:color w:val="000000"/>
          <w:kern w:val="14"/>
          <w:sz w:val="24"/>
          <w:szCs w:val="24"/>
          <w:u w:color="000000"/>
          <w:bdr w:val="nil"/>
          <w:rtl/>
        </w:rPr>
        <w:t>جدول رقم (6)</w:t>
      </w:r>
      <w:r w:rsidRPr="00DD0B6F">
        <w:rPr>
          <w:rFonts w:ascii="Traditional Arabic" w:eastAsia="Arial Unicode MS" w:hAnsi="Traditional Arabic" w:cs="Traditional Arabic"/>
          <w:b/>
          <w:bCs/>
          <w:color w:val="000000"/>
          <w:kern w:val="14"/>
          <w:sz w:val="24"/>
          <w:szCs w:val="24"/>
          <w:u w:color="000000"/>
          <w:bdr w:val="nil"/>
          <w:rtl/>
          <w:lang w:val="ar-SA"/>
        </w:rPr>
        <w:t xml:space="preserve"> إجمالي القضايا التحقيقية المقيدة على سجل نيابة جرائم الفساد منذ انشائها منذ عام 2010 ولغاية 2021:</w:t>
      </w:r>
    </w:p>
    <w:p w:rsidR="009E4481" w:rsidRPr="00DD0B6F" w:rsidRDefault="009E4481" w:rsidP="009E4481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930"/>
          <w:tab w:val="left" w:pos="2608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bidi/>
        <w:spacing w:after="120" w:line="360" w:lineRule="exact"/>
        <w:ind w:left="180" w:right="-90"/>
        <w:jc w:val="both"/>
        <w:rPr>
          <w:rFonts w:ascii="Traditional Arabic" w:eastAsia="Arial Unicode MS" w:hAnsi="Traditional Arabic" w:cs="Traditional Arabic"/>
          <w:b/>
          <w:bCs/>
          <w:color w:val="000000"/>
          <w:kern w:val="14"/>
          <w:sz w:val="24"/>
          <w:szCs w:val="24"/>
          <w:u w:color="000000"/>
          <w:bdr w:val="nil"/>
          <w:rtl/>
          <w:lang w:val="ar-SA"/>
        </w:rPr>
      </w:pPr>
    </w:p>
    <w:tbl>
      <w:tblPr>
        <w:tblStyle w:val="TableGrid"/>
        <w:bidiVisual/>
        <w:tblW w:w="9327" w:type="dxa"/>
        <w:jc w:val="center"/>
        <w:tblLayout w:type="fixed"/>
        <w:tblLook w:val="04A0" w:firstRow="1" w:lastRow="0" w:firstColumn="1" w:lastColumn="0" w:noHBand="0" w:noVBand="1"/>
      </w:tblPr>
      <w:tblGrid>
        <w:gridCol w:w="1047"/>
        <w:gridCol w:w="1170"/>
        <w:gridCol w:w="1088"/>
        <w:gridCol w:w="1080"/>
        <w:gridCol w:w="990"/>
        <w:gridCol w:w="1170"/>
        <w:gridCol w:w="1260"/>
        <w:gridCol w:w="1522"/>
      </w:tblGrid>
      <w:tr w:rsidR="00971808" w:rsidRPr="00DD0B6F" w:rsidTr="00971808">
        <w:trPr>
          <w:jc w:val="center"/>
        </w:trPr>
        <w:tc>
          <w:tcPr>
            <w:tcW w:w="1047" w:type="dxa"/>
            <w:vMerge w:val="restart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التفصيل</w:t>
            </w:r>
          </w:p>
        </w:tc>
        <w:tc>
          <w:tcPr>
            <w:tcW w:w="2258" w:type="dxa"/>
            <w:gridSpan w:val="2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القضايا التحقيقية الواردة</w:t>
            </w:r>
          </w:p>
        </w:tc>
        <w:tc>
          <w:tcPr>
            <w:tcW w:w="4500" w:type="dxa"/>
            <w:gridSpan w:val="4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 xml:space="preserve">القضايا التحقيقية المنجزة حسب نتيجة القرار </w:t>
            </w:r>
          </w:p>
        </w:tc>
        <w:tc>
          <w:tcPr>
            <w:tcW w:w="1522" w:type="dxa"/>
            <w:vMerge w:val="restart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قضايا لا تزال قيد التحقيق</w:t>
            </w:r>
          </w:p>
        </w:tc>
      </w:tr>
      <w:tr w:rsidR="00971808" w:rsidRPr="00DD0B6F" w:rsidTr="00971808">
        <w:trPr>
          <w:jc w:val="center"/>
        </w:trPr>
        <w:tc>
          <w:tcPr>
            <w:tcW w:w="1047" w:type="dxa"/>
            <w:vMerge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قبل عام 2021</w:t>
            </w:r>
          </w:p>
        </w:tc>
        <w:tc>
          <w:tcPr>
            <w:tcW w:w="1088" w:type="dxa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خلال عام 2021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إحالة الى القضاء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 xml:space="preserve">حفظ 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عدم اختصاص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ضمها إلى ملف آخر</w:t>
            </w:r>
          </w:p>
        </w:tc>
        <w:tc>
          <w:tcPr>
            <w:tcW w:w="1522" w:type="dxa"/>
            <w:vMerge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</w:p>
        </w:tc>
      </w:tr>
      <w:tr w:rsidR="00971808" w:rsidRPr="00DD0B6F" w:rsidTr="00971808">
        <w:trPr>
          <w:jc w:val="center"/>
        </w:trPr>
        <w:tc>
          <w:tcPr>
            <w:tcW w:w="1047" w:type="dxa"/>
            <w:shd w:val="clear" w:color="auto" w:fill="auto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العدد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601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82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264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152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37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12</w:t>
            </w:r>
          </w:p>
        </w:tc>
        <w:tc>
          <w:tcPr>
            <w:tcW w:w="1522" w:type="dxa"/>
            <w:vMerge w:val="restart"/>
            <w:shd w:val="clear" w:color="auto" w:fill="auto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218</w:t>
            </w:r>
          </w:p>
        </w:tc>
      </w:tr>
      <w:tr w:rsidR="00971808" w:rsidRPr="00DD0B6F" w:rsidTr="00971808">
        <w:trPr>
          <w:jc w:val="center"/>
        </w:trPr>
        <w:tc>
          <w:tcPr>
            <w:tcW w:w="1047" w:type="dxa"/>
            <w:shd w:val="clear" w:color="auto" w:fill="auto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المجموع</w:t>
            </w:r>
          </w:p>
        </w:tc>
        <w:tc>
          <w:tcPr>
            <w:tcW w:w="2258" w:type="dxa"/>
            <w:gridSpan w:val="2"/>
            <w:shd w:val="clear" w:color="auto" w:fill="auto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683</w:t>
            </w:r>
          </w:p>
        </w:tc>
        <w:tc>
          <w:tcPr>
            <w:tcW w:w="4500" w:type="dxa"/>
            <w:gridSpan w:val="4"/>
            <w:shd w:val="clear" w:color="auto" w:fill="auto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  <w:t>465</w:t>
            </w:r>
          </w:p>
        </w:tc>
        <w:tc>
          <w:tcPr>
            <w:tcW w:w="1522" w:type="dxa"/>
            <w:vMerge/>
            <w:shd w:val="clear" w:color="auto" w:fill="auto"/>
            <w:vAlign w:val="center"/>
          </w:tcPr>
          <w:p w:rsidR="00971808" w:rsidRPr="00DD0B6F" w:rsidRDefault="00971808" w:rsidP="00971808">
            <w:pPr>
              <w:tabs>
                <w:tab w:val="left" w:pos="1930"/>
                <w:tab w:val="left" w:pos="2592"/>
                <w:tab w:val="left" w:pos="3254"/>
                <w:tab w:val="left" w:pos="3917"/>
                <w:tab w:val="left" w:pos="4579"/>
                <w:tab w:val="left" w:pos="5242"/>
                <w:tab w:val="left" w:pos="5904"/>
                <w:tab w:val="left" w:pos="6566"/>
              </w:tabs>
              <w:bidi/>
              <w:spacing w:after="120" w:line="360" w:lineRule="exact"/>
              <w:ind w:left="450" w:right="-90"/>
              <w:jc w:val="both"/>
              <w:rPr>
                <w:rFonts w:ascii="Traditional Arabic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rtl/>
                <w:lang w:val="ar-SA"/>
              </w:rPr>
            </w:pPr>
          </w:p>
        </w:tc>
      </w:tr>
    </w:tbl>
    <w:p w:rsidR="00971808" w:rsidRPr="00DD0B6F" w:rsidRDefault="00971808" w:rsidP="0097180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bidi/>
        <w:spacing w:after="120" w:line="360" w:lineRule="exact"/>
        <w:ind w:right="-90"/>
        <w:jc w:val="both"/>
        <w:rPr>
          <w:rFonts w:ascii="Traditional Arabic" w:eastAsia="Arial Unicode MS" w:hAnsi="Traditional Arabic" w:cs="Traditional Arabic"/>
          <w:color w:val="000000"/>
          <w:kern w:val="14"/>
          <w:sz w:val="24"/>
          <w:szCs w:val="24"/>
          <w:u w:color="000000"/>
          <w:bdr w:val="nil"/>
          <w:rtl/>
          <w:lang w:val="ar-SA"/>
        </w:rPr>
      </w:pPr>
    </w:p>
    <w:p w:rsidR="00971808" w:rsidRPr="00DD0B6F" w:rsidRDefault="00971808" w:rsidP="00971808">
      <w:pPr>
        <w:numPr>
          <w:ilvl w:val="0"/>
          <w:numId w:val="3"/>
        </w:numPr>
        <w:bidi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>جدول رقم (7) القضايا الواردة إلى محكمة جرائم الفساد والأحكام الصادرة فيها منذ انشائها:</w:t>
      </w:r>
    </w:p>
    <w:p w:rsidR="009E4481" w:rsidRPr="00DD0B6F" w:rsidRDefault="009E4481" w:rsidP="009E4481">
      <w:pPr>
        <w:bidi/>
        <w:ind w:left="90"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</w:p>
    <w:tbl>
      <w:tblPr>
        <w:tblStyle w:val="TableGrid"/>
        <w:bidiVisual/>
        <w:tblW w:w="9501" w:type="dxa"/>
        <w:jc w:val="center"/>
        <w:tblLook w:val="04A0" w:firstRow="1" w:lastRow="0" w:firstColumn="1" w:lastColumn="0" w:noHBand="0" w:noVBand="1"/>
      </w:tblPr>
      <w:tblGrid>
        <w:gridCol w:w="1338"/>
        <w:gridCol w:w="1066"/>
        <w:gridCol w:w="1286"/>
        <w:gridCol w:w="961"/>
        <w:gridCol w:w="909"/>
        <w:gridCol w:w="1170"/>
        <w:gridCol w:w="1279"/>
        <w:gridCol w:w="1492"/>
      </w:tblGrid>
      <w:tr w:rsidR="00971808" w:rsidRPr="00DD0B6F" w:rsidTr="00971808">
        <w:trPr>
          <w:jc w:val="center"/>
        </w:trPr>
        <w:tc>
          <w:tcPr>
            <w:tcW w:w="1338" w:type="dxa"/>
            <w:vMerge w:val="restart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التفصيل</w:t>
            </w:r>
          </w:p>
        </w:tc>
        <w:tc>
          <w:tcPr>
            <w:tcW w:w="2352" w:type="dxa"/>
            <w:gridSpan w:val="2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القضايا الواردة</w:t>
            </w:r>
          </w:p>
        </w:tc>
        <w:tc>
          <w:tcPr>
            <w:tcW w:w="4319" w:type="dxa"/>
            <w:gridSpan w:val="4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القضايا المفصولة بحكم</w:t>
            </w:r>
          </w:p>
        </w:tc>
        <w:tc>
          <w:tcPr>
            <w:tcW w:w="1492" w:type="dxa"/>
            <w:vMerge w:val="restart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القضايا المؤجلة إلى عام 2022</w:t>
            </w:r>
          </w:p>
        </w:tc>
      </w:tr>
      <w:tr w:rsidR="00971808" w:rsidRPr="00DD0B6F" w:rsidTr="00971808">
        <w:trPr>
          <w:jc w:val="center"/>
        </w:trPr>
        <w:tc>
          <w:tcPr>
            <w:tcW w:w="1338" w:type="dxa"/>
            <w:vMerge/>
            <w:shd w:val="clear" w:color="auto" w:fill="BFBFBF" w:themeFill="background1" w:themeFillShade="BF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66" w:type="dxa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قبل عام 2021</w:t>
            </w:r>
          </w:p>
        </w:tc>
        <w:tc>
          <w:tcPr>
            <w:tcW w:w="1286" w:type="dxa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خلال عام 2021</w:t>
            </w:r>
          </w:p>
        </w:tc>
        <w:tc>
          <w:tcPr>
            <w:tcW w:w="961" w:type="dxa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إدانة</w:t>
            </w:r>
          </w:p>
        </w:tc>
        <w:tc>
          <w:tcPr>
            <w:tcW w:w="909" w:type="dxa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براءة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عدم اختصاص</w:t>
            </w:r>
          </w:p>
        </w:tc>
        <w:tc>
          <w:tcPr>
            <w:tcW w:w="1279" w:type="dxa"/>
            <w:shd w:val="clear" w:color="auto" w:fill="D9D9D9" w:themeFill="background1" w:themeFillShade="D9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انقضاء نتيجة وفاة المتهم</w:t>
            </w:r>
          </w:p>
        </w:tc>
        <w:tc>
          <w:tcPr>
            <w:tcW w:w="1492" w:type="dxa"/>
            <w:vMerge/>
            <w:shd w:val="clear" w:color="auto" w:fill="BFBFBF" w:themeFill="background1" w:themeFillShade="BF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971808" w:rsidRPr="00DD0B6F" w:rsidTr="00971808">
        <w:trPr>
          <w:jc w:val="center"/>
        </w:trPr>
        <w:tc>
          <w:tcPr>
            <w:tcW w:w="1338" w:type="dxa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المجموع</w:t>
            </w:r>
          </w:p>
        </w:tc>
        <w:tc>
          <w:tcPr>
            <w:tcW w:w="2352" w:type="dxa"/>
            <w:gridSpan w:val="2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283</w:t>
            </w:r>
          </w:p>
        </w:tc>
        <w:tc>
          <w:tcPr>
            <w:tcW w:w="4319" w:type="dxa"/>
            <w:gridSpan w:val="4"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208</w:t>
            </w:r>
          </w:p>
        </w:tc>
        <w:tc>
          <w:tcPr>
            <w:tcW w:w="1492" w:type="dxa"/>
            <w:vMerge/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</w:tbl>
    <w:p w:rsidR="008630B5" w:rsidRPr="00DD0B6F" w:rsidRDefault="008630B5" w:rsidP="003A2530">
      <w:pPr>
        <w:bidi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:rsidR="008630B5" w:rsidRPr="00DD0B6F" w:rsidRDefault="008630B5" w:rsidP="008630B5">
      <w:pPr>
        <w:bidi/>
        <w:ind w:left="90"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</w:p>
    <w:p w:rsidR="00971808" w:rsidRPr="00DD0B6F" w:rsidRDefault="00971808" w:rsidP="00971808">
      <w:pPr>
        <w:numPr>
          <w:ilvl w:val="0"/>
          <w:numId w:val="3"/>
        </w:numPr>
        <w:bidi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>جدول رقم (8) طلبات الحماية المقدمة لهيئة مكافحة الفساد خلال الفترة ما بين 2019 وحتى نهاية العام 2021:</w:t>
      </w:r>
    </w:p>
    <w:p w:rsidR="009E4481" w:rsidRPr="00DD0B6F" w:rsidRDefault="009E4481" w:rsidP="009E4481">
      <w:pPr>
        <w:bidi/>
        <w:ind w:left="90"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</w:p>
    <w:tbl>
      <w:tblPr>
        <w:tblStyle w:val="TableGrid1"/>
        <w:bidiVisual/>
        <w:tblW w:w="0" w:type="auto"/>
        <w:tblLook w:val="04A0" w:firstRow="1" w:lastRow="0" w:firstColumn="1" w:lastColumn="0" w:noHBand="0" w:noVBand="1"/>
      </w:tblPr>
      <w:tblGrid>
        <w:gridCol w:w="2036"/>
        <w:gridCol w:w="1204"/>
        <w:gridCol w:w="1170"/>
        <w:gridCol w:w="1080"/>
      </w:tblGrid>
      <w:tr w:rsidR="00971808" w:rsidRPr="00DD0B6F" w:rsidTr="00971808">
        <w:tc>
          <w:tcPr>
            <w:tcW w:w="2036" w:type="dxa"/>
            <w:shd w:val="clear" w:color="auto" w:fill="D9D9D9" w:themeFill="background1" w:themeFillShade="D9"/>
          </w:tcPr>
          <w:p w:rsidR="00971808" w:rsidRPr="00DD0B6F" w:rsidRDefault="00971808" w:rsidP="00971808">
            <w:pPr>
              <w:keepNext/>
              <w:bidi/>
              <w:jc w:val="both"/>
              <w:outlineLvl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نوع الحماية</w:t>
            </w:r>
          </w:p>
        </w:tc>
        <w:tc>
          <w:tcPr>
            <w:tcW w:w="1204" w:type="dxa"/>
            <w:shd w:val="clear" w:color="auto" w:fill="D9D9D9" w:themeFill="background1" w:themeFillShade="D9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2021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2020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2019</w:t>
            </w:r>
          </w:p>
        </w:tc>
      </w:tr>
      <w:tr w:rsidR="00971808" w:rsidRPr="00DD0B6F" w:rsidTr="00971808">
        <w:tc>
          <w:tcPr>
            <w:tcW w:w="2036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وظيفية</w:t>
            </w:r>
          </w:p>
        </w:tc>
        <w:tc>
          <w:tcPr>
            <w:tcW w:w="1204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29</w:t>
            </w:r>
          </w:p>
        </w:tc>
        <w:tc>
          <w:tcPr>
            <w:tcW w:w="1170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15</w:t>
            </w:r>
          </w:p>
        </w:tc>
        <w:tc>
          <w:tcPr>
            <w:tcW w:w="1080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6</w:t>
            </w:r>
          </w:p>
        </w:tc>
      </w:tr>
      <w:tr w:rsidR="00971808" w:rsidRPr="00DD0B6F" w:rsidTr="00971808">
        <w:tc>
          <w:tcPr>
            <w:tcW w:w="2036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شخصية</w:t>
            </w:r>
          </w:p>
        </w:tc>
        <w:tc>
          <w:tcPr>
            <w:tcW w:w="1204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18</w:t>
            </w:r>
          </w:p>
        </w:tc>
        <w:tc>
          <w:tcPr>
            <w:tcW w:w="1170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080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971808" w:rsidRPr="00DD0B6F" w:rsidTr="00971808">
        <w:tc>
          <w:tcPr>
            <w:tcW w:w="2036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قانونية</w:t>
            </w:r>
          </w:p>
        </w:tc>
        <w:tc>
          <w:tcPr>
            <w:tcW w:w="1204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1170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080" w:type="dxa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971808" w:rsidRPr="00DD0B6F" w:rsidTr="00971808">
        <w:tc>
          <w:tcPr>
            <w:tcW w:w="2036" w:type="dxa"/>
            <w:shd w:val="clear" w:color="auto" w:fill="D9D9D9" w:themeFill="background1" w:themeFillShade="D9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المجموع الكلي (71)</w:t>
            </w:r>
          </w:p>
        </w:tc>
        <w:tc>
          <w:tcPr>
            <w:tcW w:w="1204" w:type="dxa"/>
            <w:shd w:val="clear" w:color="auto" w:fill="D9D9D9" w:themeFill="background1" w:themeFillShade="D9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42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23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:rsidR="00971808" w:rsidRPr="00DD0B6F" w:rsidRDefault="00971808" w:rsidP="00971808">
            <w:pPr>
              <w:bidi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6</w:t>
            </w:r>
          </w:p>
        </w:tc>
      </w:tr>
    </w:tbl>
    <w:p w:rsidR="00971808" w:rsidRPr="00DD0B6F" w:rsidRDefault="00971808">
      <w:pPr>
        <w:rPr>
          <w:rFonts w:ascii="Traditional Arabic" w:hAnsi="Traditional Arabic" w:cs="Traditional Arabic"/>
          <w:sz w:val="24"/>
          <w:szCs w:val="24"/>
        </w:rPr>
      </w:pPr>
    </w:p>
    <w:p w:rsidR="00971808" w:rsidRPr="00DD0B6F" w:rsidRDefault="00971808" w:rsidP="008630B5">
      <w:pPr>
        <w:numPr>
          <w:ilvl w:val="0"/>
          <w:numId w:val="3"/>
        </w:numPr>
        <w:bidi/>
        <w:spacing w:after="200" w:line="276" w:lineRule="auto"/>
        <w:ind w:right="-90"/>
        <w:rPr>
          <w:rFonts w:ascii="Traditional Arabic" w:eastAsia="Arial Unicode MS" w:hAnsi="Traditional Arabic" w:cs="Traditional Arabic"/>
          <w:b/>
          <w:bCs/>
          <w:color w:val="000000"/>
          <w:sz w:val="24"/>
          <w:szCs w:val="24"/>
          <w:u w:color="000000"/>
          <w:bdr w:val="nil"/>
          <w:rtl/>
          <w14:textOutline w14:w="0" w14:cap="flat" w14:cmpd="sng" w14:algn="ctr">
            <w14:noFill/>
            <w14:prstDash w14:val="solid"/>
            <w14:bevel/>
          </w14:textOutline>
        </w:rPr>
      </w:pPr>
      <w:r w:rsidRPr="00DD0B6F">
        <w:rPr>
          <w:rFonts w:ascii="Traditional Arabic" w:hAnsi="Traditional Arabic" w:cs="Traditional Arabic"/>
          <w:b/>
          <w:bCs/>
          <w:color w:val="44546A" w:themeColor="text2"/>
          <w:sz w:val="24"/>
          <w:szCs w:val="24"/>
          <w:rtl/>
        </w:rPr>
        <w:t xml:space="preserve">جدول رقم (9) </w:t>
      </w:r>
      <w:r w:rsidRPr="00DD0B6F">
        <w:rPr>
          <w:rFonts w:ascii="Traditional Arabic" w:eastAsia="Arial Unicode MS" w:hAnsi="Traditional Arabic" w:cs="Traditional Arabic"/>
          <w:b/>
          <w:bCs/>
          <w:color w:val="000000"/>
          <w:sz w:val="24"/>
          <w:szCs w:val="24"/>
          <w:u w:color="00000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 xml:space="preserve">توزيع عدد ونسبة مراكز الرعاية الصحية الأولية حسب القطاع المقدم للخدمة، فلسطين </w:t>
      </w:r>
      <w:r w:rsidRPr="00DD0B6F">
        <w:rPr>
          <w:rFonts w:ascii="Traditional Arabic" w:eastAsia="Arial Unicode MS" w:hAnsi="Traditional Arabic" w:cs="Traditional Arabic"/>
          <w:b/>
          <w:bCs/>
          <w:color w:val="000000"/>
          <w:sz w:val="24"/>
          <w:szCs w:val="24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2021</w:t>
      </w:r>
      <w:r w:rsidR="008630B5" w:rsidRPr="00DD0B6F">
        <w:rPr>
          <w:rFonts w:ascii="Traditional Arabic" w:eastAsia="Arial Unicode MS" w:hAnsi="Traditional Arabic" w:cs="Traditional Arabic"/>
          <w:b/>
          <w:bCs/>
          <w:color w:val="000000"/>
          <w:sz w:val="24"/>
          <w:szCs w:val="24"/>
          <w:u w:color="000000"/>
          <w:bdr w:val="nil"/>
          <w:rtl/>
          <w14:textOutline w14:w="0" w14:cap="flat" w14:cmpd="sng" w14:algn="ctr">
            <w14:noFill/>
            <w14:prstDash w14:val="solid"/>
            <w14:bevel/>
          </w14:textOutline>
        </w:rPr>
        <w:t>:</w:t>
      </w:r>
    </w:p>
    <w:tbl>
      <w:tblPr>
        <w:tblStyle w:val="TableGrid1"/>
        <w:bidiVisual/>
        <w:tblW w:w="11063" w:type="dxa"/>
        <w:jc w:val="center"/>
        <w:tblLayout w:type="fixed"/>
        <w:tblLook w:val="04A0" w:firstRow="1" w:lastRow="0" w:firstColumn="1" w:lastColumn="0" w:noHBand="0" w:noVBand="1"/>
      </w:tblPr>
      <w:tblGrid>
        <w:gridCol w:w="1375"/>
        <w:gridCol w:w="1314"/>
        <w:gridCol w:w="1957"/>
        <w:gridCol w:w="3312"/>
        <w:gridCol w:w="1559"/>
        <w:gridCol w:w="1546"/>
      </w:tblGrid>
      <w:tr w:rsidR="00971808" w:rsidRPr="00DD0B6F" w:rsidTr="00B67E86">
        <w:trPr>
          <w:trHeight w:val="1090"/>
          <w:jc w:val="center"/>
        </w:trPr>
        <w:tc>
          <w:tcPr>
            <w:tcW w:w="1271" w:type="dxa"/>
          </w:tcPr>
          <w:p w:rsidR="00971808" w:rsidRPr="00DD0B6F" w:rsidRDefault="00971808" w:rsidP="00971808">
            <w:pPr>
              <w:keepNext/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outlineLvl w:val="7"/>
              <w:rPr>
                <w:rFonts w:ascii="Traditional Arabic" w:hAnsi="Traditional Arabic" w:cs="Traditional Arabic"/>
                <w:b/>
                <w:bCs/>
                <w:color w:val="17444D"/>
                <w:sz w:val="24"/>
                <w:szCs w:val="24"/>
                <w:u w:color="17444D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sz w:val="24"/>
                <w:szCs w:val="24"/>
                <w:u w:color="17444D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فلسطين</w:t>
            </w:r>
          </w:p>
        </w:tc>
        <w:tc>
          <w:tcPr>
            <w:tcW w:w="1215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sz w:val="24"/>
                <w:szCs w:val="24"/>
                <w:u w:color="17444D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وزارة الصحة</w:t>
            </w:r>
          </w:p>
        </w:tc>
        <w:tc>
          <w:tcPr>
            <w:tcW w:w="1810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sz w:val="24"/>
                <w:szCs w:val="24"/>
                <w:u w:color="17444D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وكالة غوث وتشغيل اللاجئين</w:t>
            </w:r>
          </w:p>
        </w:tc>
        <w:tc>
          <w:tcPr>
            <w:tcW w:w="3063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sz w:val="24"/>
                <w:szCs w:val="24"/>
                <w:u w:color="17444D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المنظمات غير الحكومية</w:t>
            </w:r>
          </w:p>
        </w:tc>
        <w:tc>
          <w:tcPr>
            <w:tcW w:w="1442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sz w:val="24"/>
                <w:szCs w:val="24"/>
                <w:u w:color="17444D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الخدمات الطبية العسكرية</w:t>
            </w:r>
          </w:p>
        </w:tc>
        <w:tc>
          <w:tcPr>
            <w:tcW w:w="1430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sz w:val="24"/>
                <w:szCs w:val="24"/>
                <w:u w:color="17444D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المجموع</w:t>
            </w:r>
          </w:p>
        </w:tc>
      </w:tr>
      <w:tr w:rsidR="00971808" w:rsidRPr="00DD0B6F" w:rsidTr="00B67E86">
        <w:trPr>
          <w:trHeight w:val="317"/>
          <w:jc w:val="center"/>
        </w:trPr>
        <w:tc>
          <w:tcPr>
            <w:tcW w:w="1271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sz w:val="24"/>
                <w:szCs w:val="24"/>
                <w:u w:color="17444D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العدد</w:t>
            </w:r>
          </w:p>
        </w:tc>
        <w:tc>
          <w:tcPr>
            <w:tcW w:w="1215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491</w:t>
            </w:r>
          </w:p>
        </w:tc>
        <w:tc>
          <w:tcPr>
            <w:tcW w:w="1810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65</w:t>
            </w:r>
          </w:p>
        </w:tc>
        <w:tc>
          <w:tcPr>
            <w:tcW w:w="3063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192</w:t>
            </w:r>
          </w:p>
        </w:tc>
        <w:tc>
          <w:tcPr>
            <w:tcW w:w="1442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</w:t>
            </w:r>
          </w:p>
        </w:tc>
        <w:tc>
          <w:tcPr>
            <w:tcW w:w="1430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color w:val="17444D"/>
                <w:sz w:val="24"/>
                <w:szCs w:val="24"/>
                <w:u w:color="17444D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765</w:t>
            </w:r>
          </w:p>
        </w:tc>
      </w:tr>
      <w:tr w:rsidR="00971808" w:rsidRPr="00DD0B6F" w:rsidTr="00B67E86">
        <w:trPr>
          <w:trHeight w:val="704"/>
          <w:jc w:val="center"/>
        </w:trPr>
        <w:tc>
          <w:tcPr>
            <w:tcW w:w="1271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sz w:val="24"/>
                <w:szCs w:val="24"/>
                <w:u w:color="17444D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النسبة المئوية</w:t>
            </w:r>
          </w:p>
        </w:tc>
        <w:tc>
          <w:tcPr>
            <w:tcW w:w="1215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64.2</w:t>
            </w: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  <w:tc>
          <w:tcPr>
            <w:tcW w:w="1810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8.5</w:t>
            </w: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  <w:tc>
          <w:tcPr>
            <w:tcW w:w="3063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25.1</w:t>
            </w: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  <w:tc>
          <w:tcPr>
            <w:tcW w:w="1442" w:type="dxa"/>
          </w:tcPr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2.2</w:t>
            </w: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  <w:tc>
          <w:tcPr>
            <w:tcW w:w="1430" w:type="dxa"/>
          </w:tcPr>
          <w:p w:rsidR="00971808" w:rsidRPr="00DD0B6F" w:rsidRDefault="00971808" w:rsidP="00971808">
            <w:pPr>
              <w:shd w:val="clear" w:color="auto" w:fill="FFFFFF" w:themeFill="background1"/>
              <w:bidi/>
              <w:spacing w:line="276" w:lineRule="auto"/>
              <w:ind w:right="-90"/>
              <w:rPr>
                <w:rFonts w:ascii="Traditional Arabic" w:eastAsia="Al Nile" w:hAnsi="Traditional Arabic" w:cs="Traditional Arabic"/>
                <w:color w:val="000000"/>
                <w:sz w:val="24"/>
                <w:szCs w:val="24"/>
                <w:u w:color="000000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color w:val="17444D"/>
                <w:sz w:val="24"/>
                <w:szCs w:val="24"/>
                <w:u w:color="17444D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100</w:t>
            </w:r>
          </w:p>
          <w:p w:rsidR="00971808" w:rsidRPr="00DD0B6F" w:rsidRDefault="00971808" w:rsidP="00971808">
            <w:pPr>
              <w:shd w:val="clear" w:color="auto" w:fill="FFFFFF" w:themeFill="background1"/>
              <w:tabs>
                <w:tab w:val="left" w:pos="601"/>
              </w:tabs>
              <w:bidi/>
              <w:spacing w:line="276" w:lineRule="auto"/>
              <w:ind w:left="90" w:right="-90"/>
              <w:jc w:val="both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eastAsia="Sakkal Majalla" w:hAnsi="Traditional Arabic" w:cs="Traditional Arabic"/>
                <w:color w:val="17444D"/>
                <w:sz w:val="24"/>
                <w:szCs w:val="24"/>
                <w:u w:color="17444D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</w:tr>
    </w:tbl>
    <w:p w:rsidR="00971808" w:rsidRPr="00DD0B6F" w:rsidRDefault="00971808" w:rsidP="00971808">
      <w:pPr>
        <w:shd w:val="clear" w:color="auto" w:fill="FFFFFF" w:themeFill="background1"/>
        <w:bidi/>
        <w:rPr>
          <w:rFonts w:ascii="Traditional Arabic" w:hAnsi="Traditional Arabic" w:cs="Traditional Arabic"/>
          <w:sz w:val="24"/>
          <w:szCs w:val="24"/>
        </w:rPr>
      </w:pPr>
    </w:p>
    <w:p w:rsidR="00971808" w:rsidRPr="00DD0B6F" w:rsidRDefault="00971808" w:rsidP="00971808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after="0" w:line="276" w:lineRule="auto"/>
        <w:ind w:right="-90"/>
        <w:jc w:val="both"/>
        <w:rPr>
          <w:rFonts w:ascii="Traditional Arabic" w:eastAsia="Arial Unicode MS" w:hAnsi="Traditional Arabic" w:cs="Traditional Arabic"/>
          <w:b/>
          <w:bCs/>
          <w:color w:val="000000"/>
          <w:sz w:val="24"/>
          <w:szCs w:val="24"/>
          <w:u w:color="00000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  <w:r w:rsidRPr="00DD0B6F">
        <w:rPr>
          <w:rFonts w:ascii="Traditional Arabic" w:eastAsia="Arial Unicode MS" w:hAnsi="Traditional Arabic" w:cs="Traditional Arabic"/>
          <w:b/>
          <w:bCs/>
          <w:color w:val="000000"/>
          <w:sz w:val="24"/>
          <w:szCs w:val="24"/>
          <w:u w:color="00000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>جدول (10) توزيع المستشفيات غير التابعة لوزارة الصحة حسب القطاع المالك، فلسطين 2021</w:t>
      </w:r>
      <w:r w:rsidR="008630B5" w:rsidRPr="00DD0B6F">
        <w:rPr>
          <w:rFonts w:ascii="Traditional Arabic" w:eastAsia="Arial Unicode MS" w:hAnsi="Traditional Arabic" w:cs="Traditional Arabic"/>
          <w:b/>
          <w:bCs/>
          <w:color w:val="000000"/>
          <w:sz w:val="24"/>
          <w:szCs w:val="24"/>
          <w:u w:color="00000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>:</w:t>
      </w:r>
    </w:p>
    <w:p w:rsidR="009E4481" w:rsidRPr="00DD0B6F" w:rsidRDefault="009E4481" w:rsidP="009E4481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after="0" w:line="276" w:lineRule="auto"/>
        <w:ind w:right="-90"/>
        <w:jc w:val="both"/>
        <w:rPr>
          <w:rFonts w:ascii="Traditional Arabic" w:eastAsia="Al Nile" w:hAnsi="Traditional Arabic" w:cs="Traditional Arabic"/>
          <w:b/>
          <w:bCs/>
          <w:color w:val="000000"/>
          <w:sz w:val="24"/>
          <w:szCs w:val="24"/>
          <w:u w:color="00000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</w:p>
    <w:tbl>
      <w:tblPr>
        <w:bidiVisual/>
        <w:tblW w:w="9217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429"/>
        <w:gridCol w:w="1345"/>
        <w:gridCol w:w="1441"/>
        <w:gridCol w:w="1387"/>
        <w:gridCol w:w="2180"/>
        <w:gridCol w:w="1435"/>
      </w:tblGrid>
      <w:tr w:rsidR="00971808" w:rsidRPr="00DD0B6F" w:rsidTr="00971808">
        <w:trPr>
          <w:trHeight w:val="704"/>
          <w:jc w:val="center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outlineLvl w:val="2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  <w:lang w:val="ar-SA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kern w:val="14"/>
                <w:sz w:val="24"/>
                <w:szCs w:val="24"/>
                <w:u w:color="17444D"/>
                <w:bdr w:val="nil"/>
                <w:rtl/>
                <w:lang w:val="ar-SA"/>
              </w:rPr>
              <w:t>القطاع المالك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kern w:val="14"/>
                <w:sz w:val="24"/>
                <w:szCs w:val="24"/>
                <w:u w:color="17444D"/>
                <w:bdr w:val="nil"/>
                <w:rtl/>
                <w:lang w:val="ar-SA"/>
              </w:rPr>
              <w:t>الخاص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kern w:val="14"/>
                <w:sz w:val="24"/>
                <w:szCs w:val="24"/>
                <w:u w:color="17444D"/>
                <w:bdr w:val="nil"/>
                <w:rtl/>
                <w:lang w:val="ar-SA"/>
              </w:rPr>
              <w:t>غير الحكومي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contextualSpacing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kern w:val="14"/>
                <w:sz w:val="24"/>
                <w:szCs w:val="24"/>
                <w:u w:color="17444D"/>
                <w:bdr w:val="nil"/>
                <w:rtl/>
                <w:lang w:val="ar-SA"/>
              </w:rPr>
              <w:t>وكالة الغوث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kern w:val="14"/>
                <w:sz w:val="24"/>
                <w:szCs w:val="24"/>
                <w:u w:color="17444D"/>
                <w:bdr w:val="nil"/>
                <w:rtl/>
                <w:lang w:val="ar-SA"/>
              </w:rPr>
              <w:t>الخدمات الطبية العسكرية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kern w:val="14"/>
                <w:sz w:val="24"/>
                <w:szCs w:val="24"/>
                <w:u w:color="17444D"/>
                <w:bdr w:val="nil"/>
                <w:rtl/>
                <w:lang w:val="ar-SA"/>
              </w:rPr>
              <w:t>المجموع</w:t>
            </w:r>
          </w:p>
        </w:tc>
      </w:tr>
      <w:tr w:rsidR="00971808" w:rsidRPr="00DD0B6F" w:rsidTr="00971808">
        <w:trPr>
          <w:trHeight w:val="317"/>
          <w:jc w:val="center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contextualSpacing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kern w:val="14"/>
                <w:sz w:val="24"/>
                <w:szCs w:val="24"/>
                <w:u w:color="17444D"/>
                <w:bdr w:val="nil"/>
                <w:rtl/>
                <w:lang w:val="ar-SA"/>
              </w:rPr>
              <w:t>العدد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  <w:rtl/>
                <w:lang w:val="ar-SA"/>
              </w:rPr>
              <w:t>19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outlineLvl w:val="3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  <w:lang w:val="ar-SA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  <w:rtl/>
                <w:lang w:val="ar-SA"/>
              </w:rPr>
              <w:t>38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  <w:rtl/>
                <w:lang w:val="ar-SA"/>
              </w:rPr>
              <w:t>1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  <w:rtl/>
                <w:lang w:val="ar-SA"/>
              </w:rPr>
              <w:t>2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outlineLvl w:val="2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  <w:lang w:val="ar-SA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kern w:val="14"/>
                <w:sz w:val="24"/>
                <w:szCs w:val="24"/>
                <w:u w:color="17444D"/>
                <w:bdr w:val="nil"/>
                <w:rtl/>
                <w:lang w:val="ar-SA"/>
              </w:rPr>
              <w:t>60</w:t>
            </w:r>
          </w:p>
        </w:tc>
      </w:tr>
      <w:tr w:rsidR="00971808" w:rsidRPr="00DD0B6F" w:rsidTr="00971808">
        <w:trPr>
          <w:trHeight w:val="704"/>
          <w:jc w:val="center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contextualSpacing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kern w:val="14"/>
                <w:sz w:val="24"/>
                <w:szCs w:val="24"/>
                <w:u w:color="17444D"/>
                <w:bdr w:val="nil"/>
                <w:rtl/>
                <w:lang w:val="ar-SA"/>
              </w:rPr>
              <w:t>النسبة المئوية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  <w:rtl/>
                <w:lang w:val="ar-SA"/>
              </w:rPr>
              <w:t>32%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  <w:rtl/>
                <w:lang w:val="ar-SA"/>
              </w:rPr>
              <w:t>63%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  <w:rtl/>
                <w:lang w:val="ar-SA"/>
              </w:rPr>
              <w:t>2</w:t>
            </w: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  <w:t>%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  <w:rtl/>
                <w:lang w:val="ar-SA"/>
              </w:rPr>
              <w:t>3</w:t>
            </w: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  <w:t>%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both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kern w:val="14"/>
                <w:sz w:val="24"/>
                <w:szCs w:val="24"/>
                <w:u w:color="17444D"/>
                <w:bdr w:val="nil"/>
                <w:rtl/>
                <w:lang w:val="ar-SA"/>
              </w:rPr>
              <w:t>100%</w:t>
            </w:r>
          </w:p>
        </w:tc>
      </w:tr>
    </w:tbl>
    <w:p w:rsidR="00971808" w:rsidRPr="00DD0B6F" w:rsidRDefault="00971808" w:rsidP="00971808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after="0" w:line="276" w:lineRule="auto"/>
        <w:ind w:right="-90"/>
        <w:rPr>
          <w:rFonts w:ascii="Traditional Arabic" w:eastAsia="Al Nile" w:hAnsi="Traditional Arabic" w:cs="Traditional Arabic"/>
          <w:b/>
          <w:bCs/>
          <w:color w:val="000000"/>
          <w:sz w:val="24"/>
          <w:szCs w:val="24"/>
          <w:u w:color="00000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</w:p>
    <w:p w:rsidR="009E4481" w:rsidRPr="00DD0B6F" w:rsidRDefault="009E4481" w:rsidP="009E4481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after="0" w:line="276" w:lineRule="auto"/>
        <w:ind w:right="-90"/>
        <w:rPr>
          <w:rFonts w:ascii="Traditional Arabic" w:eastAsia="Al Nile" w:hAnsi="Traditional Arabic" w:cs="Traditional Arabic"/>
          <w:b/>
          <w:bCs/>
          <w:color w:val="000000"/>
          <w:sz w:val="24"/>
          <w:szCs w:val="24"/>
          <w:u w:color="00000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</w:p>
    <w:p w:rsidR="009E4481" w:rsidRPr="00DD0B6F" w:rsidRDefault="009E4481" w:rsidP="009E4481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after="0" w:line="276" w:lineRule="auto"/>
        <w:ind w:right="-90"/>
        <w:rPr>
          <w:rFonts w:ascii="Traditional Arabic" w:eastAsia="Al Nile" w:hAnsi="Traditional Arabic" w:cs="Traditional Arabic"/>
          <w:b/>
          <w:bCs/>
          <w:color w:val="000000"/>
          <w:sz w:val="24"/>
          <w:szCs w:val="24"/>
          <w:u w:color="00000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</w:p>
    <w:p w:rsidR="009E4481" w:rsidRPr="00DD0B6F" w:rsidRDefault="009E4481" w:rsidP="009E4481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after="0" w:line="276" w:lineRule="auto"/>
        <w:ind w:right="-90"/>
        <w:rPr>
          <w:rFonts w:ascii="Traditional Arabic" w:eastAsia="Arial Unicode MS" w:hAnsi="Traditional Arabic" w:cs="Traditional Arabic"/>
          <w:b/>
          <w:bCs/>
          <w:color w:val="17444D"/>
          <w:sz w:val="24"/>
          <w:szCs w:val="24"/>
          <w:u w:color="17444D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</w:p>
    <w:p w:rsidR="00971808" w:rsidRPr="00DD0B6F" w:rsidRDefault="00971808" w:rsidP="0097180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bidi/>
        <w:spacing w:after="0" w:line="276" w:lineRule="auto"/>
        <w:ind w:right="-90"/>
        <w:contextualSpacing/>
        <w:rPr>
          <w:rFonts w:ascii="Traditional Arabic" w:eastAsia="Al Nile" w:hAnsi="Traditional Arabic" w:cs="Traditional Arabic"/>
          <w:b/>
          <w:bCs/>
          <w:color w:val="17444D"/>
          <w:sz w:val="24"/>
          <w:szCs w:val="24"/>
          <w:u w:color="17444D"/>
          <w:bdr w:val="nil"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  <w:r w:rsidRPr="00DD0B6F">
        <w:rPr>
          <w:rFonts w:ascii="Traditional Arabic" w:eastAsia="Arial Unicode MS" w:hAnsi="Traditional Arabic" w:cs="Traditional Arabic"/>
          <w:b/>
          <w:bCs/>
          <w:color w:val="17444D"/>
          <w:sz w:val="24"/>
          <w:szCs w:val="24"/>
          <w:u w:color="17444D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>جدول (11) أبرز مؤشرات الكوادر البشرية الصحية في القطاع الصحي الفلسطيني، فلسطين 2021</w:t>
      </w:r>
      <w:r w:rsidR="008630B5" w:rsidRPr="00DD0B6F">
        <w:rPr>
          <w:rFonts w:ascii="Traditional Arabic" w:eastAsia="Arial Unicode MS" w:hAnsi="Traditional Arabic" w:cs="Traditional Arabic"/>
          <w:b/>
          <w:bCs/>
          <w:color w:val="17444D"/>
          <w:sz w:val="24"/>
          <w:szCs w:val="24"/>
          <w:u w:color="17444D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>:</w:t>
      </w:r>
    </w:p>
    <w:p w:rsidR="009E4481" w:rsidRPr="00DD0B6F" w:rsidRDefault="009E4481" w:rsidP="009E4481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after="0" w:line="276" w:lineRule="auto"/>
        <w:ind w:left="360" w:right="-90"/>
        <w:contextualSpacing/>
        <w:rPr>
          <w:rFonts w:ascii="Traditional Arabic" w:eastAsia="Al Nile" w:hAnsi="Traditional Arabic" w:cs="Traditional Arabic"/>
          <w:b/>
          <w:bCs/>
          <w:color w:val="17444D"/>
          <w:sz w:val="24"/>
          <w:szCs w:val="24"/>
          <w:u w:color="17444D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</w:p>
    <w:tbl>
      <w:tblPr>
        <w:bidiVisual/>
        <w:tblW w:w="835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25"/>
        <w:gridCol w:w="2731"/>
      </w:tblGrid>
      <w:tr w:rsidR="00971808" w:rsidRPr="00DD0B6F" w:rsidTr="003F6E46">
        <w:trPr>
          <w:trHeight w:val="317"/>
          <w:jc w:val="center"/>
        </w:trPr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center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kern w:val="14"/>
                <w:sz w:val="24"/>
                <w:szCs w:val="24"/>
                <w:u w:color="17444D"/>
                <w:bdr w:val="nil"/>
                <w:rtl/>
                <w:lang w:val="ar-SA"/>
              </w:rPr>
              <w:lastRenderedPageBreak/>
              <w:t xml:space="preserve">المؤشر 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76" w:lineRule="auto"/>
              <w:ind w:right="-90"/>
              <w:jc w:val="center"/>
              <w:rPr>
                <w:rFonts w:ascii="Traditional Arabic" w:eastAsia="Arial Unicode MS" w:hAnsi="Traditional Arabic" w:cs="Traditional Arabic"/>
                <w:b/>
                <w:bCs/>
                <w:color w:val="000000"/>
                <w:kern w:val="14"/>
                <w:sz w:val="24"/>
                <w:szCs w:val="24"/>
                <w:u w:color="000000"/>
                <w:bdr w:val="nil"/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17444D"/>
                <w:kern w:val="14"/>
                <w:sz w:val="24"/>
                <w:szCs w:val="24"/>
                <w:u w:color="17444D"/>
                <w:bdr w:val="nil"/>
                <w:rtl/>
                <w:lang w:val="ar-SA"/>
              </w:rPr>
              <w:t>فلسطين</w:t>
            </w:r>
          </w:p>
        </w:tc>
      </w:tr>
      <w:tr w:rsidR="00971808" w:rsidRPr="00DD0B6F" w:rsidTr="00971808">
        <w:trPr>
          <w:trHeight w:val="317"/>
          <w:jc w:val="center"/>
        </w:trPr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40" w:lineRule="auto"/>
              <w:ind w:right="-90"/>
              <w:jc w:val="center"/>
              <w:rPr>
                <w:rFonts w:ascii="Traditional Arabic" w:eastAsia="Arial Unicode MS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عدد الأطباء العامين لكل 10,000 من السكان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40" w:lineRule="auto"/>
              <w:ind w:right="-90"/>
              <w:jc w:val="center"/>
              <w:rPr>
                <w:rFonts w:ascii="Traditional Arabic" w:eastAsia="Arial Unicode MS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sz w:val="24"/>
                <w:szCs w:val="24"/>
                <w:u w:color="000000"/>
                <w:bdr w:val="ni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14.9</w:t>
            </w:r>
          </w:p>
        </w:tc>
      </w:tr>
      <w:tr w:rsidR="00971808" w:rsidRPr="00DD0B6F" w:rsidTr="00971808">
        <w:trPr>
          <w:trHeight w:val="317"/>
          <w:jc w:val="center"/>
        </w:trPr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40" w:lineRule="auto"/>
              <w:ind w:right="-90"/>
              <w:jc w:val="center"/>
              <w:rPr>
                <w:rFonts w:ascii="Traditional Arabic" w:eastAsia="Arial Unicode MS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عدد الأطباء الأخصائيين لكل 10,000 من السكان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40" w:lineRule="auto"/>
              <w:ind w:right="-90"/>
              <w:jc w:val="center"/>
              <w:rPr>
                <w:rFonts w:ascii="Traditional Arabic" w:eastAsia="Arial Unicode MS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sz w:val="24"/>
                <w:szCs w:val="24"/>
                <w:u w:color="000000"/>
                <w:bdr w:val="ni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6.7</w:t>
            </w:r>
          </w:p>
        </w:tc>
      </w:tr>
      <w:tr w:rsidR="00971808" w:rsidRPr="00DD0B6F" w:rsidTr="00971808">
        <w:trPr>
          <w:trHeight w:val="317"/>
          <w:jc w:val="center"/>
        </w:trPr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40" w:lineRule="auto"/>
              <w:ind w:right="-90"/>
              <w:jc w:val="center"/>
              <w:rPr>
                <w:rFonts w:ascii="Traditional Arabic" w:eastAsia="Arial Unicode MS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عدد أطباء الأسنان لكل 10,000 من السكان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40" w:lineRule="auto"/>
              <w:ind w:right="-90"/>
              <w:jc w:val="center"/>
              <w:rPr>
                <w:rFonts w:ascii="Traditional Arabic" w:eastAsia="Arial Unicode MS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sz w:val="24"/>
                <w:szCs w:val="24"/>
                <w:u w:color="000000"/>
                <w:bdr w:val="ni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8.3</w:t>
            </w:r>
          </w:p>
        </w:tc>
      </w:tr>
      <w:tr w:rsidR="00971808" w:rsidRPr="00DD0B6F" w:rsidTr="00971808">
        <w:trPr>
          <w:trHeight w:val="317"/>
          <w:jc w:val="center"/>
        </w:trPr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40" w:lineRule="auto"/>
              <w:ind w:right="-90"/>
              <w:jc w:val="center"/>
              <w:rPr>
                <w:rFonts w:ascii="Traditional Arabic" w:eastAsia="Arial Unicode MS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عدد الصيادلة لكل 10,000 من السكان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40" w:lineRule="auto"/>
              <w:ind w:right="-90"/>
              <w:jc w:val="center"/>
              <w:rPr>
                <w:rFonts w:ascii="Traditional Arabic" w:eastAsia="Arial Unicode MS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sz w:val="24"/>
                <w:szCs w:val="24"/>
                <w:u w:color="000000"/>
                <w:bdr w:val="ni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17.2</w:t>
            </w:r>
          </w:p>
        </w:tc>
      </w:tr>
      <w:tr w:rsidR="00971808" w:rsidRPr="00DD0B6F" w:rsidTr="00971808">
        <w:trPr>
          <w:trHeight w:val="317"/>
          <w:jc w:val="center"/>
        </w:trPr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40" w:lineRule="auto"/>
              <w:ind w:right="-90"/>
              <w:jc w:val="center"/>
              <w:rPr>
                <w:rFonts w:ascii="Traditional Arabic" w:eastAsia="Arial Unicode MS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عدد التمريض لكل 10,000 من السكان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40" w:lineRule="auto"/>
              <w:ind w:right="-90"/>
              <w:jc w:val="center"/>
              <w:rPr>
                <w:rFonts w:ascii="Traditional Arabic" w:eastAsia="Arial Unicode MS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sz w:val="24"/>
                <w:szCs w:val="24"/>
                <w:u w:color="000000"/>
                <w:bdr w:val="ni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27.9</w:t>
            </w:r>
          </w:p>
        </w:tc>
      </w:tr>
      <w:tr w:rsidR="00971808" w:rsidRPr="00DD0B6F" w:rsidTr="00971808">
        <w:trPr>
          <w:trHeight w:val="317"/>
          <w:jc w:val="center"/>
        </w:trPr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40" w:lineRule="auto"/>
              <w:ind w:right="-90"/>
              <w:jc w:val="center"/>
              <w:rPr>
                <w:rFonts w:ascii="Traditional Arabic" w:eastAsia="Arial Unicode MS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عدد القابلات لكل 10,000 من السكان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40" w:lineRule="auto"/>
              <w:ind w:right="-90"/>
              <w:jc w:val="center"/>
              <w:rPr>
                <w:rFonts w:ascii="Traditional Arabic" w:eastAsia="Arial Unicode MS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sz w:val="24"/>
                <w:szCs w:val="24"/>
                <w:u w:color="000000"/>
                <w:bdr w:val="ni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2.9</w:t>
            </w:r>
          </w:p>
        </w:tc>
      </w:tr>
      <w:tr w:rsidR="00971808" w:rsidRPr="00DD0B6F" w:rsidTr="00971808">
        <w:trPr>
          <w:trHeight w:val="317"/>
          <w:jc w:val="center"/>
        </w:trPr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40" w:lineRule="auto"/>
              <w:ind w:right="-90"/>
              <w:jc w:val="center"/>
              <w:rPr>
                <w:rFonts w:ascii="Traditional Arabic" w:eastAsia="Arial Unicode MS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نسبة التمريض لكل طبيب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bidi/>
              <w:spacing w:after="0" w:line="240" w:lineRule="auto"/>
              <w:ind w:right="-90"/>
              <w:jc w:val="center"/>
              <w:rPr>
                <w:rFonts w:ascii="Traditional Arabic" w:eastAsia="Arial Unicode MS" w:hAnsi="Traditional Arabic" w:cs="Traditional Arabic"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D0B6F">
              <w:rPr>
                <w:rFonts w:ascii="Traditional Arabic" w:eastAsia="Sakkal Majalla" w:hAnsi="Traditional Arabic" w:cs="Traditional Arabic"/>
                <w:b/>
                <w:bCs/>
                <w:color w:val="000000"/>
                <w:sz w:val="24"/>
                <w:szCs w:val="24"/>
                <w:u w:color="000000"/>
                <w:bdr w:val="nil"/>
                <w:rtl/>
                <w:lang w:val="ar-SA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1.3</w:t>
            </w:r>
          </w:p>
        </w:tc>
      </w:tr>
    </w:tbl>
    <w:p w:rsidR="00971808" w:rsidRPr="00DD0B6F" w:rsidRDefault="00971808" w:rsidP="0097180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bidi/>
        <w:spacing w:after="0" w:line="240" w:lineRule="auto"/>
        <w:ind w:right="-90"/>
        <w:rPr>
          <w:rFonts w:ascii="Traditional Arabic" w:eastAsia="Al Nile" w:hAnsi="Traditional Arabic" w:cs="Traditional Arabic"/>
          <w:b/>
          <w:bCs/>
          <w:color w:val="17444D"/>
          <w:sz w:val="24"/>
          <w:szCs w:val="24"/>
          <w:u w:color="17444D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</w:p>
    <w:p w:rsidR="00971808" w:rsidRPr="00DD0B6F" w:rsidRDefault="00971808" w:rsidP="00971808">
      <w:pPr>
        <w:numPr>
          <w:ilvl w:val="0"/>
          <w:numId w:val="3"/>
        </w:numPr>
        <w:bidi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>جدول رقم (12</w:t>
      </w:r>
      <w:r w:rsidR="009E4481"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>) يوضح</w:t>
      </w: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معدلات الالتحاق الإجمالية حسب الجنس والمنطقة والمرحلة:</w:t>
      </w:r>
    </w:p>
    <w:p w:rsidR="009E4481" w:rsidRPr="00DD0B6F" w:rsidRDefault="009E4481" w:rsidP="009E4481">
      <w:pPr>
        <w:bidi/>
        <w:ind w:left="90"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tbl>
      <w:tblPr>
        <w:bidiVisual/>
        <w:tblW w:w="885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159"/>
        <w:gridCol w:w="2899"/>
        <w:gridCol w:w="2660"/>
        <w:gridCol w:w="2138"/>
      </w:tblGrid>
      <w:tr w:rsidR="00971808" w:rsidRPr="00DD0B6F" w:rsidTr="00971808">
        <w:trPr>
          <w:trHeight w:val="432"/>
          <w:jc w:val="center"/>
        </w:trPr>
        <w:tc>
          <w:tcPr>
            <w:tcW w:w="88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معدل الالتحاق الإجمالي 2021/2022</w:t>
            </w:r>
          </w:p>
        </w:tc>
      </w:tr>
      <w:tr w:rsidR="00971808" w:rsidRPr="00DD0B6F" w:rsidTr="00971808">
        <w:trPr>
          <w:trHeight w:val="427"/>
          <w:jc w:val="center"/>
        </w:trPr>
        <w:tc>
          <w:tcPr>
            <w:tcW w:w="115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الجنس</w:t>
            </w:r>
          </w:p>
        </w:tc>
        <w:tc>
          <w:tcPr>
            <w:tcW w:w="7697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الضفة الغربية</w:t>
            </w:r>
          </w:p>
        </w:tc>
      </w:tr>
      <w:tr w:rsidR="00971808" w:rsidRPr="00DD0B6F" w:rsidTr="00971808">
        <w:trPr>
          <w:trHeight w:val="422"/>
          <w:jc w:val="center"/>
        </w:trPr>
        <w:tc>
          <w:tcPr>
            <w:tcW w:w="1159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المرحلة الأساسية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المرحلة الثانوية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كافة المراحل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ذكور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99.2%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68.6%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92.1%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اناث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102.3%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93.9%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100.3%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الكلي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100.7%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81.0%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96.1%</w:t>
            </w:r>
          </w:p>
        </w:tc>
      </w:tr>
      <w:tr w:rsidR="00971808" w:rsidRPr="00DD0B6F" w:rsidTr="00971808">
        <w:trPr>
          <w:trHeight w:val="422"/>
          <w:jc w:val="center"/>
        </w:trPr>
        <w:tc>
          <w:tcPr>
            <w:tcW w:w="11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الجنس</w:t>
            </w:r>
          </w:p>
        </w:tc>
        <w:tc>
          <w:tcPr>
            <w:tcW w:w="7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قطاع غزة</w:t>
            </w:r>
          </w:p>
        </w:tc>
      </w:tr>
      <w:tr w:rsidR="00971808" w:rsidRPr="00DD0B6F" w:rsidTr="00971808">
        <w:trPr>
          <w:trHeight w:val="422"/>
          <w:jc w:val="center"/>
        </w:trPr>
        <w:tc>
          <w:tcPr>
            <w:tcW w:w="11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المرحلة الأساسية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المرحلة الثانوية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كافة المراحل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ذكور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97.1%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78.8%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93.1%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اناث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98.4%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93.2%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97.3%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الكلي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97.7%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85.8%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95.2%</w:t>
            </w:r>
          </w:p>
        </w:tc>
      </w:tr>
      <w:tr w:rsidR="00971808" w:rsidRPr="00DD0B6F" w:rsidTr="00971808">
        <w:trPr>
          <w:trHeight w:val="387"/>
          <w:jc w:val="center"/>
        </w:trPr>
        <w:tc>
          <w:tcPr>
            <w:tcW w:w="11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الجنس</w:t>
            </w:r>
          </w:p>
        </w:tc>
        <w:tc>
          <w:tcPr>
            <w:tcW w:w="7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فلسطين</w:t>
            </w:r>
          </w:p>
        </w:tc>
      </w:tr>
      <w:tr w:rsidR="00971808" w:rsidRPr="00DD0B6F" w:rsidTr="00971808">
        <w:trPr>
          <w:trHeight w:val="422"/>
          <w:jc w:val="center"/>
        </w:trPr>
        <w:tc>
          <w:tcPr>
            <w:tcW w:w="11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المرحلة الأساسية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المرحلة الثانوية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كافة المراحل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ذكور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98.3%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72.8%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92.5%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اناث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100.6%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93.6%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99.0%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الكلي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99.4%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83.0%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numPr>
                <w:ilvl w:val="0"/>
                <w:numId w:val="3"/>
              </w:numPr>
              <w:bidi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95.7%</w:t>
            </w:r>
          </w:p>
        </w:tc>
      </w:tr>
    </w:tbl>
    <w:p w:rsidR="00971808" w:rsidRPr="00DD0B6F" w:rsidRDefault="00971808" w:rsidP="00971808">
      <w:pPr>
        <w:bidi/>
        <w:ind w:left="90"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:rsidR="00971808" w:rsidRPr="00DD0B6F" w:rsidRDefault="00971808" w:rsidP="00971808">
      <w:pPr>
        <w:bidi/>
        <w:ind w:left="90"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:rsidR="00971808" w:rsidRPr="00DD0B6F" w:rsidRDefault="00971808" w:rsidP="00971808">
      <w:pPr>
        <w:bidi/>
        <w:ind w:left="90"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:rsidR="00971808" w:rsidRPr="00DD0B6F" w:rsidRDefault="00971808" w:rsidP="00971808">
      <w:pPr>
        <w:numPr>
          <w:ilvl w:val="0"/>
          <w:numId w:val="3"/>
        </w:numPr>
        <w:bidi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جدول رقم (13) يوضح نسب التسرب حسب الجنس والمنطقة والمرحلة التعليمية للعام الدراسي 2021/2022: </w:t>
      </w:r>
    </w:p>
    <w:p w:rsidR="00971808" w:rsidRPr="00DD0B6F" w:rsidRDefault="00971808" w:rsidP="00971808">
      <w:pPr>
        <w:bidi/>
        <w:ind w:left="90"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tbl>
      <w:tblPr>
        <w:bidiVisual/>
        <w:tblW w:w="88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157"/>
        <w:gridCol w:w="2898"/>
        <w:gridCol w:w="2660"/>
        <w:gridCol w:w="2141"/>
      </w:tblGrid>
      <w:tr w:rsidR="00971808" w:rsidRPr="00DD0B6F" w:rsidTr="003F6E46">
        <w:trPr>
          <w:trHeight w:val="432"/>
        </w:trPr>
        <w:tc>
          <w:tcPr>
            <w:tcW w:w="88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نسب التسرب 2021/2022</w:t>
            </w:r>
          </w:p>
        </w:tc>
      </w:tr>
      <w:tr w:rsidR="00971808" w:rsidRPr="00DD0B6F" w:rsidTr="003F6E46">
        <w:trPr>
          <w:trHeight w:val="427"/>
        </w:trPr>
        <w:tc>
          <w:tcPr>
            <w:tcW w:w="115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الجنس</w:t>
            </w:r>
          </w:p>
        </w:tc>
        <w:tc>
          <w:tcPr>
            <w:tcW w:w="7699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الضفة الغربية</w:t>
            </w:r>
          </w:p>
        </w:tc>
      </w:tr>
      <w:tr w:rsidR="00971808" w:rsidRPr="00DD0B6F" w:rsidTr="003F6E46">
        <w:trPr>
          <w:trHeight w:val="427"/>
        </w:trPr>
        <w:tc>
          <w:tcPr>
            <w:tcW w:w="115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71808" w:rsidRPr="00DD0B6F" w:rsidRDefault="00971808" w:rsidP="00971808">
            <w:pPr>
              <w:bidi/>
              <w:ind w:left="90"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المرحلة الأساسية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المرحلة الثانوية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كافة المراحل</w:t>
            </w:r>
          </w:p>
        </w:tc>
      </w:tr>
      <w:tr w:rsidR="00971808" w:rsidRPr="00DD0B6F" w:rsidTr="00971808">
        <w:trPr>
          <w:trHeight w:val="395"/>
        </w:trPr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ذكور</w:t>
            </w:r>
          </w:p>
        </w:tc>
        <w:tc>
          <w:tcPr>
            <w:tcW w:w="289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0.8%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3.1%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1.2%</w:t>
            </w:r>
          </w:p>
        </w:tc>
      </w:tr>
      <w:tr w:rsidR="00971808" w:rsidRPr="00DD0B6F" w:rsidTr="00971808">
        <w:trPr>
          <w:trHeight w:val="390"/>
        </w:trPr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اناث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0.2%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1.8%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0.5%</w:t>
            </w:r>
          </w:p>
        </w:tc>
      </w:tr>
      <w:tr w:rsidR="00971808" w:rsidRPr="00DD0B6F" w:rsidTr="00971808">
        <w:trPr>
          <w:trHeight w:val="390"/>
        </w:trPr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الكلي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0.5%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2.4%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0.9%</w:t>
            </w:r>
          </w:p>
        </w:tc>
      </w:tr>
      <w:tr w:rsidR="00971808" w:rsidRPr="00DD0B6F" w:rsidTr="003F6E46">
        <w:trPr>
          <w:trHeight w:val="422"/>
        </w:trPr>
        <w:tc>
          <w:tcPr>
            <w:tcW w:w="11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الجنس</w:t>
            </w:r>
          </w:p>
        </w:tc>
        <w:tc>
          <w:tcPr>
            <w:tcW w:w="7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قطاع غزة</w:t>
            </w:r>
          </w:p>
        </w:tc>
      </w:tr>
      <w:tr w:rsidR="00971808" w:rsidRPr="00DD0B6F" w:rsidTr="003F6E46">
        <w:trPr>
          <w:trHeight w:val="427"/>
        </w:trPr>
        <w:tc>
          <w:tcPr>
            <w:tcW w:w="11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71808" w:rsidRPr="00DD0B6F" w:rsidRDefault="00971808" w:rsidP="00971808">
            <w:pPr>
              <w:bidi/>
              <w:ind w:left="90"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المرحلة الأساسية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المرحلة الثانوية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كافة المراحل</w:t>
            </w:r>
          </w:p>
        </w:tc>
      </w:tr>
      <w:tr w:rsidR="00971808" w:rsidRPr="00DD0B6F" w:rsidTr="00971808">
        <w:trPr>
          <w:trHeight w:val="395"/>
        </w:trPr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ذكور</w:t>
            </w:r>
          </w:p>
        </w:tc>
        <w:tc>
          <w:tcPr>
            <w:tcW w:w="289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0.7%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3.0%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1.1%</w:t>
            </w:r>
          </w:p>
        </w:tc>
      </w:tr>
      <w:tr w:rsidR="00971808" w:rsidRPr="00DD0B6F" w:rsidTr="00971808">
        <w:trPr>
          <w:trHeight w:val="390"/>
        </w:trPr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اناث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0.1%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1.3%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0.4%</w:t>
            </w:r>
          </w:p>
        </w:tc>
      </w:tr>
      <w:tr w:rsidR="00971808" w:rsidRPr="00DD0B6F" w:rsidTr="00971808">
        <w:trPr>
          <w:trHeight w:val="390"/>
        </w:trPr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الكلي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0.4%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2.1%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0.7%</w:t>
            </w:r>
          </w:p>
        </w:tc>
      </w:tr>
      <w:tr w:rsidR="00971808" w:rsidRPr="00DD0B6F" w:rsidTr="003F6E46">
        <w:trPr>
          <w:trHeight w:val="387"/>
        </w:trPr>
        <w:tc>
          <w:tcPr>
            <w:tcW w:w="11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lastRenderedPageBreak/>
              <w:t>الجنس</w:t>
            </w:r>
          </w:p>
        </w:tc>
        <w:tc>
          <w:tcPr>
            <w:tcW w:w="7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فلسطين</w:t>
            </w:r>
          </w:p>
        </w:tc>
      </w:tr>
      <w:tr w:rsidR="00971808" w:rsidRPr="00DD0B6F" w:rsidTr="003F6E46">
        <w:trPr>
          <w:trHeight w:val="427"/>
        </w:trPr>
        <w:tc>
          <w:tcPr>
            <w:tcW w:w="11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71808" w:rsidRPr="00DD0B6F" w:rsidRDefault="00971808" w:rsidP="00971808">
            <w:pPr>
              <w:bidi/>
              <w:ind w:left="90"/>
              <w:contextualSpacing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المرحلة الأساسية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المرحلة الثانوية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كافة المراحل</w:t>
            </w:r>
          </w:p>
        </w:tc>
      </w:tr>
      <w:tr w:rsidR="00971808" w:rsidRPr="00DD0B6F" w:rsidTr="00971808">
        <w:trPr>
          <w:trHeight w:val="395"/>
        </w:trPr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ذكور</w:t>
            </w:r>
          </w:p>
        </w:tc>
        <w:tc>
          <w:tcPr>
            <w:tcW w:w="289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0.7%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3.1%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1.1%</w:t>
            </w:r>
          </w:p>
        </w:tc>
      </w:tr>
      <w:tr w:rsidR="00971808" w:rsidRPr="00DD0B6F" w:rsidTr="00971808">
        <w:trPr>
          <w:trHeight w:val="390"/>
        </w:trPr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اناث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0.2%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1.6%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0.5%</w:t>
            </w:r>
          </w:p>
        </w:tc>
      </w:tr>
      <w:tr w:rsidR="00971808" w:rsidRPr="00DD0B6F" w:rsidTr="00971808">
        <w:trPr>
          <w:trHeight w:val="390"/>
        </w:trPr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الكلي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0.5%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2.2%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0.8%</w:t>
            </w:r>
          </w:p>
        </w:tc>
      </w:tr>
    </w:tbl>
    <w:p w:rsidR="00971808" w:rsidRPr="00DD0B6F" w:rsidRDefault="00971808" w:rsidP="00971808">
      <w:pPr>
        <w:bidi/>
        <w:ind w:left="90"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:rsidR="00971808" w:rsidRPr="00DD0B6F" w:rsidRDefault="00971808" w:rsidP="0097180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bidi/>
        <w:ind w:left="270" w:right="-90" w:hanging="270"/>
        <w:jc w:val="both"/>
        <w:rPr>
          <w:rFonts w:ascii="Traditional Arabic" w:eastAsia="Arial Unicode MS" w:hAnsi="Traditional Arabic" w:cs="Traditional Arabic"/>
          <w:sz w:val="24"/>
          <w:szCs w:val="24"/>
          <w:u w:color="000000"/>
          <w:bdr w:val="nil"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جدول رقم (14) </w:t>
      </w:r>
      <w:r w:rsidRPr="00DD0B6F">
        <w:rPr>
          <w:rFonts w:ascii="Traditional Arabic" w:eastAsia="Arial Unicode MS" w:hAnsi="Traditional Arabic" w:cs="Traditional Arabic"/>
          <w:b/>
          <w:bCs/>
          <w:sz w:val="24"/>
          <w:szCs w:val="24"/>
          <w:bdr w:val="nil"/>
          <w:rtl/>
        </w:rPr>
        <w:t>حول</w:t>
      </w:r>
      <w:r w:rsidRPr="00DD0B6F">
        <w:rPr>
          <w:rFonts w:ascii="Traditional Arabic" w:eastAsia="Arial Unicode MS" w:hAnsi="Traditional Arabic" w:cs="Traditional Arabic"/>
          <w:sz w:val="24"/>
          <w:szCs w:val="24"/>
          <w:bdr w:val="nil"/>
          <w:rtl/>
        </w:rPr>
        <w:t xml:space="preserve"> </w:t>
      </w:r>
      <w:r w:rsidRPr="00DD0B6F">
        <w:rPr>
          <w:rFonts w:ascii="Traditional Arabic" w:eastAsia="Arial Unicode MS" w:hAnsi="Traditional Arabic" w:cs="Traditional Arabic"/>
          <w:b/>
          <w:bCs/>
          <w:sz w:val="24"/>
          <w:szCs w:val="24"/>
          <w:bdr w:val="nil"/>
          <w:rtl/>
        </w:rPr>
        <w:t xml:space="preserve">نسب الاتمام حسب الجنس والمرحلة التعليمية للعام الدراسي 2021/2022:  </w:t>
      </w:r>
    </w:p>
    <w:tbl>
      <w:tblPr>
        <w:bidiVisual/>
        <w:tblW w:w="88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91"/>
        <w:gridCol w:w="1893"/>
        <w:gridCol w:w="2622"/>
        <w:gridCol w:w="2750"/>
      </w:tblGrid>
      <w:tr w:rsidR="00971808" w:rsidRPr="00DD0B6F" w:rsidTr="003F6E46">
        <w:trPr>
          <w:trHeight w:val="432"/>
        </w:trPr>
        <w:tc>
          <w:tcPr>
            <w:tcW w:w="88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keepNext/>
              <w:bidi/>
              <w:ind w:left="360"/>
              <w:jc w:val="both"/>
              <w:outlineLvl w:val="8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معدلات </w:t>
            </w:r>
            <w:r w:rsidR="009E4481"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الإتمام 2021</w:t>
            </w: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/2022</w:t>
            </w:r>
          </w:p>
        </w:tc>
      </w:tr>
      <w:tr w:rsidR="00971808" w:rsidRPr="00DD0B6F" w:rsidTr="003F6E46">
        <w:trPr>
          <w:trHeight w:val="427"/>
        </w:trPr>
        <w:tc>
          <w:tcPr>
            <w:tcW w:w="8856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فلسطين </w:t>
            </w:r>
          </w:p>
        </w:tc>
      </w:tr>
      <w:tr w:rsidR="00971808" w:rsidRPr="00DD0B6F" w:rsidTr="003F6E46">
        <w:trPr>
          <w:trHeight w:val="422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الجنس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أساسية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ثانوية دنيا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ثانوية عليا</w:t>
            </w:r>
          </w:p>
        </w:tc>
      </w:tr>
      <w:tr w:rsidR="00971808" w:rsidRPr="00DD0B6F" w:rsidTr="00971808">
        <w:trPr>
          <w:trHeight w:val="39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ذكور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%98.9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%89.5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%52.2</w:t>
            </w:r>
          </w:p>
        </w:tc>
      </w:tr>
      <w:tr w:rsidR="00971808" w:rsidRPr="00DD0B6F" w:rsidTr="00971808">
        <w:trPr>
          <w:trHeight w:val="39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اناث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%99.5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%97.5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%75.3</w:t>
            </w:r>
          </w:p>
        </w:tc>
      </w:tr>
      <w:tr w:rsidR="00971808" w:rsidRPr="00DD0B6F" w:rsidTr="00971808">
        <w:trPr>
          <w:trHeight w:val="39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الكلي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%99.2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%93.3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971808" w:rsidRPr="00DD0B6F" w:rsidRDefault="00971808" w:rsidP="00971808">
            <w:pPr>
              <w:bidi/>
              <w:ind w:left="36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%63.3</w:t>
            </w:r>
          </w:p>
        </w:tc>
      </w:tr>
    </w:tbl>
    <w:p w:rsidR="00971808" w:rsidRPr="00DD0B6F" w:rsidRDefault="00971808" w:rsidP="00971808">
      <w:pPr>
        <w:bidi/>
        <w:ind w:left="90"/>
        <w:contextualSpacing/>
        <w:jc w:val="both"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:rsidR="00971808" w:rsidRPr="00DD0B6F" w:rsidRDefault="00971808" w:rsidP="008630B5">
      <w:pPr>
        <w:numPr>
          <w:ilvl w:val="0"/>
          <w:numId w:val="6"/>
        </w:numPr>
        <w:bidi/>
        <w:contextualSpacing/>
        <w:rPr>
          <w:rFonts w:ascii="Traditional Arabic" w:hAnsi="Traditional Arabic" w:cs="Traditional Arabic"/>
          <w:b/>
          <w:bCs/>
          <w:sz w:val="24"/>
          <w:szCs w:val="24"/>
        </w:rPr>
      </w:pP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>جدول رقم (15) يوضح معدل الالتحاق بالتعليم لدى الأطفال ذوي الإعاقة (6-17 سنة) حسب الجنس والعمر</w:t>
      </w:r>
      <w:r w:rsidR="008630B5"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>:</w:t>
      </w:r>
    </w:p>
    <w:p w:rsidR="009E4481" w:rsidRPr="00DD0B6F" w:rsidRDefault="009E4481" w:rsidP="009E4481">
      <w:pPr>
        <w:bidi/>
        <w:ind w:left="785"/>
        <w:contextualSpacing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tbl>
      <w:tblPr>
        <w:bidiVisual/>
        <w:tblW w:w="885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685"/>
        <w:gridCol w:w="1914"/>
        <w:gridCol w:w="1672"/>
        <w:gridCol w:w="1912"/>
        <w:gridCol w:w="1673"/>
      </w:tblGrid>
      <w:tr w:rsidR="00971808" w:rsidRPr="00DD0B6F" w:rsidTr="003F6E46">
        <w:trPr>
          <w:trHeight w:val="911"/>
          <w:jc w:val="center"/>
        </w:trPr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العمر</w:t>
            </w:r>
          </w:p>
        </w:tc>
        <w:tc>
          <w:tcPr>
            <w:tcW w:w="3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ملتحق أو سبق له الالتحاق بالتعليم</w:t>
            </w:r>
          </w:p>
        </w:tc>
        <w:tc>
          <w:tcPr>
            <w:tcW w:w="3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لم يلتحق ابداً</w:t>
            </w:r>
          </w:p>
        </w:tc>
      </w:tr>
      <w:tr w:rsidR="00971808" w:rsidRPr="00DD0B6F" w:rsidTr="003F6E46">
        <w:trPr>
          <w:trHeight w:val="387"/>
          <w:jc w:val="center"/>
        </w:trPr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ذكور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اناث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ذكور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اناث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49.6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45.5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50.4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54.5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56.4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56.5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43.6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43.5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56.6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58.9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43.4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41.1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61.7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59.8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38.3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40.2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64.0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62.4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36.0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37.6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65.4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62.8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34.6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37.2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68.0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64.7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32.0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35.3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70.2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64.2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29.8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35.8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70.0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63.7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30.0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36.3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68.5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62.1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31.5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37.9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74.0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65.8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26.0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34.2</w:t>
            </w:r>
          </w:p>
        </w:tc>
      </w:tr>
      <w:tr w:rsidR="00971808" w:rsidRPr="00DD0B6F" w:rsidTr="00971808">
        <w:trPr>
          <w:trHeight w:val="390"/>
          <w:jc w:val="center"/>
        </w:trPr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71.5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60.5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28.5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1808" w:rsidRPr="00DD0B6F" w:rsidRDefault="00971808" w:rsidP="00971808">
            <w:pPr>
              <w:bidi/>
              <w:ind w:left="180"/>
              <w:jc w:val="both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39.5</w:t>
            </w:r>
          </w:p>
        </w:tc>
      </w:tr>
    </w:tbl>
    <w:p w:rsidR="00971808" w:rsidRPr="00DD0B6F" w:rsidRDefault="00971808" w:rsidP="00971808">
      <w:pPr>
        <w:bidi/>
        <w:ind w:left="180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</w:p>
    <w:p w:rsidR="00971808" w:rsidRPr="00DD0B6F" w:rsidRDefault="001D3CD9" w:rsidP="001D3CD9">
      <w:pPr>
        <w:pStyle w:val="ListParagraph"/>
        <w:numPr>
          <w:ilvl w:val="0"/>
          <w:numId w:val="6"/>
        </w:numPr>
        <w:bidi/>
        <w:jc w:val="lowKashida"/>
        <w:rPr>
          <w:rFonts w:ascii="Traditional Arabic" w:hAnsi="Traditional Arabic" w:cs="Traditional Arabic"/>
          <w:b/>
          <w:bCs/>
          <w:sz w:val="24"/>
          <w:szCs w:val="24"/>
          <w:lang w:val="en-GB"/>
        </w:rPr>
      </w:pPr>
      <w:r w:rsidRPr="00DD0B6F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جدول رقم (16) يوضح المشاريع</w:t>
      </w: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  <w:lang w:val="en-GB"/>
        </w:rPr>
        <w:t xml:space="preserve"> المنفذة</w:t>
      </w: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  <w:lang w:val="en-GB"/>
        </w:rPr>
        <w:t xml:space="preserve"> من قبل وزارة الاشغال العامة والإسكان والمتعلقة ببناء </w:t>
      </w:r>
      <w:r w:rsidR="009E4481" w:rsidRPr="00DD0B6F">
        <w:rPr>
          <w:rFonts w:ascii="Traditional Arabic" w:hAnsi="Traditional Arabic" w:cs="Traditional Arabic"/>
          <w:b/>
          <w:bCs/>
          <w:sz w:val="24"/>
          <w:szCs w:val="24"/>
          <w:rtl/>
          <w:lang w:val="en-GB"/>
        </w:rPr>
        <w:t>وتأهيل عدد</w:t>
      </w: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  <w:lang w:val="en-GB"/>
        </w:rPr>
        <w:t xml:space="preserve"> من المساكن المتضررة في المحافظات الجنوبية من خلال حصولها على تمويل من عدة جهات ساهم في تعزيز صمود السكان وإعادة إعمار الوحدات السكنية المدمرة كلياً وجزئياً</w:t>
      </w: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  <w:lang w:val="en-GB"/>
        </w:rPr>
        <w:t xml:space="preserve"> </w:t>
      </w: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  <w:lang w:val="en-GB"/>
        </w:rPr>
        <w:t>والتي تم الانتهاء من التنفيذ والتسليم للمستفيدين</w:t>
      </w: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  <w:lang w:val="en-GB"/>
        </w:rPr>
        <w:t xml:space="preserve">: </w:t>
      </w:r>
    </w:p>
    <w:p w:rsidR="009E4481" w:rsidRPr="00DD0B6F" w:rsidRDefault="009E4481" w:rsidP="009E4481">
      <w:pPr>
        <w:pStyle w:val="ListParagraph"/>
        <w:bidi/>
        <w:ind w:left="785"/>
        <w:jc w:val="lowKashida"/>
        <w:rPr>
          <w:rFonts w:ascii="Traditional Arabic" w:hAnsi="Traditional Arabic" w:cs="Traditional Arabic"/>
          <w:b/>
          <w:bCs/>
          <w:sz w:val="24"/>
          <w:szCs w:val="24"/>
          <w:lang w:val="en-GB"/>
        </w:rPr>
      </w:pPr>
    </w:p>
    <w:tbl>
      <w:tblPr>
        <w:tblStyle w:val="GridTable4-Accent3"/>
        <w:tblpPr w:leftFromText="180" w:rightFromText="180" w:vertAnchor="text" w:tblpXSpec="center" w:tblpY="1"/>
        <w:bidiVisual/>
        <w:tblW w:w="5000" w:type="pct"/>
        <w:tblLayout w:type="fixed"/>
        <w:tblLook w:val="04A0" w:firstRow="1" w:lastRow="0" w:firstColumn="1" w:lastColumn="0" w:noHBand="0" w:noVBand="1"/>
      </w:tblPr>
      <w:tblGrid>
        <w:gridCol w:w="1373"/>
        <w:gridCol w:w="138"/>
        <w:gridCol w:w="1457"/>
        <w:gridCol w:w="870"/>
        <w:gridCol w:w="1019"/>
        <w:gridCol w:w="1307"/>
        <w:gridCol w:w="3186"/>
      </w:tblGrid>
      <w:tr w:rsidR="008630B5" w:rsidRPr="00DD0B6F" w:rsidTr="008630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pct"/>
            <w:gridSpan w:val="2"/>
            <w:shd w:val="clear" w:color="auto" w:fill="D9D9D9" w:themeFill="background1" w:themeFillShade="D9"/>
          </w:tcPr>
          <w:p w:rsidR="001D3CD9" w:rsidRPr="001D3CD9" w:rsidRDefault="001D3CD9" w:rsidP="001D3CD9">
            <w:pPr>
              <w:bidi/>
              <w:jc w:val="lowKashida"/>
              <w:rPr>
                <w:rFonts w:ascii="Traditional Arabic" w:eastAsia="Times New Roman" w:hAnsi="Traditional Arabic" w:cs="Traditional Arabic"/>
                <w:color w:val="auto"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color w:val="auto"/>
                <w:sz w:val="24"/>
                <w:szCs w:val="24"/>
                <w:rtl/>
              </w:rPr>
              <w:t>الجهات الشريكة</w:t>
            </w:r>
          </w:p>
        </w:tc>
        <w:tc>
          <w:tcPr>
            <w:tcW w:w="779" w:type="pct"/>
            <w:shd w:val="clear" w:color="auto" w:fill="D9D9D9" w:themeFill="background1" w:themeFillShade="D9"/>
            <w:hideMark/>
          </w:tcPr>
          <w:p w:rsidR="001D3CD9" w:rsidRPr="001D3CD9" w:rsidRDefault="001D3CD9" w:rsidP="001D3CD9">
            <w:pPr>
              <w:bidi/>
              <w:jc w:val="lowKashid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color w:val="auto"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color w:val="auto"/>
                <w:sz w:val="24"/>
                <w:szCs w:val="24"/>
                <w:rtl/>
              </w:rPr>
              <w:t>عدد المستفيدين</w:t>
            </w:r>
          </w:p>
        </w:tc>
        <w:tc>
          <w:tcPr>
            <w:tcW w:w="465" w:type="pct"/>
            <w:shd w:val="clear" w:color="auto" w:fill="D9D9D9" w:themeFill="background1" w:themeFillShade="D9"/>
            <w:hideMark/>
          </w:tcPr>
          <w:p w:rsidR="001D3CD9" w:rsidRPr="001D3CD9" w:rsidRDefault="001D3CD9" w:rsidP="001D3CD9">
            <w:pPr>
              <w:bidi/>
              <w:jc w:val="lowKashid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color w:val="auto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color w:val="auto"/>
                <w:sz w:val="24"/>
                <w:szCs w:val="24"/>
                <w:rtl/>
              </w:rPr>
              <w:t>سنة التنفيذ</w:t>
            </w:r>
          </w:p>
        </w:tc>
        <w:tc>
          <w:tcPr>
            <w:tcW w:w="545" w:type="pct"/>
            <w:shd w:val="clear" w:color="auto" w:fill="D9D9D9" w:themeFill="background1" w:themeFillShade="D9"/>
            <w:hideMark/>
          </w:tcPr>
          <w:p w:rsidR="001D3CD9" w:rsidRPr="001D3CD9" w:rsidRDefault="001D3CD9" w:rsidP="001D3CD9">
            <w:pPr>
              <w:bidi/>
              <w:jc w:val="lowKashid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color w:val="auto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color w:val="auto"/>
                <w:sz w:val="24"/>
                <w:szCs w:val="24"/>
                <w:rtl/>
              </w:rPr>
              <w:t>قيمة المنحة (مليون$)</w:t>
            </w:r>
          </w:p>
        </w:tc>
        <w:tc>
          <w:tcPr>
            <w:tcW w:w="699" w:type="pct"/>
            <w:shd w:val="clear" w:color="auto" w:fill="D9D9D9" w:themeFill="background1" w:themeFillShade="D9"/>
            <w:hideMark/>
          </w:tcPr>
          <w:p w:rsidR="001D3CD9" w:rsidRPr="001D3CD9" w:rsidRDefault="001D3CD9" w:rsidP="001D3CD9">
            <w:pPr>
              <w:bidi/>
              <w:jc w:val="lowKashid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color w:val="auto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color w:val="auto"/>
                <w:sz w:val="24"/>
                <w:szCs w:val="24"/>
                <w:rtl/>
              </w:rPr>
              <w:t>الجهة الممولة</w:t>
            </w:r>
          </w:p>
        </w:tc>
        <w:tc>
          <w:tcPr>
            <w:tcW w:w="1703" w:type="pct"/>
            <w:shd w:val="clear" w:color="auto" w:fill="D9D9D9" w:themeFill="background1" w:themeFillShade="D9"/>
            <w:hideMark/>
          </w:tcPr>
          <w:p w:rsidR="001D3CD9" w:rsidRPr="001D3CD9" w:rsidRDefault="001D3CD9" w:rsidP="001D3CD9">
            <w:pPr>
              <w:bidi/>
              <w:jc w:val="lowKashid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color w:val="auto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color w:val="auto"/>
                <w:sz w:val="24"/>
                <w:szCs w:val="24"/>
                <w:rtl/>
              </w:rPr>
              <w:t>وصف مختصر للمشروع/ ملاحظات</w:t>
            </w:r>
          </w:p>
        </w:tc>
      </w:tr>
      <w:tr w:rsidR="001D3CD9" w:rsidRPr="00DD0B6F" w:rsidTr="008630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D9D9D9" w:themeFill="background1" w:themeFillShade="D9"/>
          </w:tcPr>
          <w:p w:rsidR="001D3CD9" w:rsidRPr="001D3CD9" w:rsidRDefault="001D3CD9" w:rsidP="001D3CD9">
            <w:pPr>
              <w:bidi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المنحة الكويتية</w:t>
            </w:r>
          </w:p>
        </w:tc>
      </w:tr>
      <w:tr w:rsidR="001D3CD9" w:rsidRPr="00DD0B6F" w:rsidTr="008630B5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pct"/>
          </w:tcPr>
          <w:p w:rsidR="001D3CD9" w:rsidRPr="001D3CD9" w:rsidRDefault="001D3CD9" w:rsidP="001D3CD9">
            <w:pPr>
              <w:bidi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الفريق الوطني لإعادة إعمار قطاع غزة</w:t>
            </w:r>
          </w:p>
        </w:tc>
        <w:tc>
          <w:tcPr>
            <w:tcW w:w="853" w:type="pct"/>
            <w:gridSpan w:val="2"/>
          </w:tcPr>
          <w:p w:rsidR="001D3CD9" w:rsidRPr="001D3CD9" w:rsidRDefault="001D3CD9" w:rsidP="001D3CD9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2253</w:t>
            </w:r>
          </w:p>
        </w:tc>
        <w:tc>
          <w:tcPr>
            <w:tcW w:w="465" w:type="pct"/>
          </w:tcPr>
          <w:p w:rsidR="001D3CD9" w:rsidRPr="001D3CD9" w:rsidRDefault="001D3CD9" w:rsidP="001D3CD9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highlight w:val="yellow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2015-2019</w:t>
            </w:r>
          </w:p>
        </w:tc>
        <w:tc>
          <w:tcPr>
            <w:tcW w:w="545" w:type="pct"/>
          </w:tcPr>
          <w:p w:rsidR="001D3CD9" w:rsidRPr="001D3CD9" w:rsidRDefault="001D3CD9" w:rsidP="001D3CD9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75</w:t>
            </w:r>
          </w:p>
        </w:tc>
        <w:tc>
          <w:tcPr>
            <w:tcW w:w="699" w:type="pct"/>
          </w:tcPr>
          <w:p w:rsidR="001D3CD9" w:rsidRPr="001D3CD9" w:rsidRDefault="001D3CD9" w:rsidP="001D3CD9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الصندوق الكويتي للتنمية</w:t>
            </w:r>
          </w:p>
        </w:tc>
        <w:tc>
          <w:tcPr>
            <w:tcW w:w="1703" w:type="pct"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تم إعادة بناء 2253 وحدة سكنية مدمرة بالكامل</w:t>
            </w:r>
          </w:p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بمساحة 100-150 متر مربع للوحدة الواحدة</w:t>
            </w:r>
          </w:p>
        </w:tc>
      </w:tr>
      <w:tr w:rsidR="001D3CD9" w:rsidRPr="00DD0B6F" w:rsidTr="009E4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D9D9D9" w:themeFill="background1" w:themeFillShade="D9"/>
          </w:tcPr>
          <w:p w:rsidR="001D3CD9" w:rsidRPr="001D3CD9" w:rsidRDefault="001D3CD9" w:rsidP="001D3CD9">
            <w:pPr>
              <w:numPr>
                <w:ilvl w:val="0"/>
                <w:numId w:val="8"/>
              </w:numPr>
              <w:bidi/>
              <w:ind w:left="360"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zh-CN"/>
              </w:rPr>
            </w:pPr>
            <w:r w:rsidRPr="001D3CD9">
              <w:rPr>
                <w:rFonts w:ascii="Traditional Arabic" w:eastAsia="SimSun" w:hAnsi="Traditional Arabic" w:cs="Traditional Arabic"/>
                <w:sz w:val="24"/>
                <w:szCs w:val="24"/>
                <w:rtl/>
                <w:lang w:eastAsia="zh-CN"/>
              </w:rPr>
              <w:lastRenderedPageBreak/>
              <w:t>مدينة سمو الشيخ حمد السكنية-المرحلة الأولى</w:t>
            </w:r>
          </w:p>
        </w:tc>
      </w:tr>
      <w:tr w:rsidR="001D3CD9" w:rsidRPr="00DD0B6F" w:rsidTr="008630B5">
        <w:trPr>
          <w:trHeight w:val="5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pct"/>
            <w:gridSpan w:val="2"/>
            <w:hideMark/>
          </w:tcPr>
          <w:p w:rsidR="001D3CD9" w:rsidRPr="001D3CD9" w:rsidRDefault="001D3CD9" w:rsidP="001D3CD9">
            <w:pPr>
              <w:bidi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اللجنة القطرية لإعادة اعمار غزة</w:t>
            </w:r>
          </w:p>
        </w:tc>
        <w:tc>
          <w:tcPr>
            <w:tcW w:w="779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1060</w:t>
            </w:r>
          </w:p>
        </w:tc>
        <w:tc>
          <w:tcPr>
            <w:tcW w:w="465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2013-2016</w:t>
            </w:r>
          </w:p>
        </w:tc>
        <w:tc>
          <w:tcPr>
            <w:tcW w:w="545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50.9</w:t>
            </w:r>
          </w:p>
        </w:tc>
        <w:tc>
          <w:tcPr>
            <w:tcW w:w="699" w:type="pct"/>
            <w:hideMark/>
          </w:tcPr>
          <w:p w:rsidR="001D3CD9" w:rsidRPr="001D3CD9" w:rsidRDefault="001D3CD9" w:rsidP="001D3CD9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دولة قطر</w:t>
            </w:r>
          </w:p>
        </w:tc>
        <w:tc>
          <w:tcPr>
            <w:tcW w:w="1703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53 عمارة (مساحة 130م</w:t>
            </w: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vertAlign w:val="superscript"/>
                <w:rtl/>
              </w:rPr>
              <w:t>2</w:t>
            </w: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 xml:space="preserve"> وعدد 20 شقة في العمارة).</w:t>
            </w:r>
          </w:p>
        </w:tc>
      </w:tr>
      <w:tr w:rsidR="001D3CD9" w:rsidRPr="00DD0B6F" w:rsidTr="009E4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D9D9D9" w:themeFill="background1" w:themeFillShade="D9"/>
          </w:tcPr>
          <w:p w:rsidR="001D3CD9" w:rsidRPr="001D3CD9" w:rsidRDefault="001D3CD9" w:rsidP="001D3CD9">
            <w:pPr>
              <w:numPr>
                <w:ilvl w:val="0"/>
                <w:numId w:val="8"/>
              </w:numPr>
              <w:bidi/>
              <w:ind w:left="360"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zh-CN"/>
              </w:rPr>
            </w:pPr>
            <w:r w:rsidRPr="001D3CD9">
              <w:rPr>
                <w:rFonts w:ascii="Traditional Arabic" w:eastAsia="SimSun" w:hAnsi="Traditional Arabic" w:cs="Traditional Arabic"/>
                <w:sz w:val="24"/>
                <w:szCs w:val="24"/>
                <w:rtl/>
                <w:lang w:eastAsia="zh-CN"/>
              </w:rPr>
              <w:t>مدينة سمو الشيخ حمد السكنية-المرحلة الثانية</w:t>
            </w:r>
          </w:p>
        </w:tc>
      </w:tr>
      <w:tr w:rsidR="001D3CD9" w:rsidRPr="00DD0B6F" w:rsidTr="008630B5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pct"/>
            <w:gridSpan w:val="2"/>
            <w:hideMark/>
          </w:tcPr>
          <w:p w:rsidR="001D3CD9" w:rsidRPr="001D3CD9" w:rsidRDefault="001D3CD9" w:rsidP="001D3CD9">
            <w:pPr>
              <w:bidi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اللجنة القطرية لإعادة اعمار غزة</w:t>
            </w:r>
          </w:p>
        </w:tc>
        <w:tc>
          <w:tcPr>
            <w:tcW w:w="779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1264</w:t>
            </w:r>
          </w:p>
        </w:tc>
        <w:tc>
          <w:tcPr>
            <w:tcW w:w="465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2014-2017</w:t>
            </w:r>
          </w:p>
        </w:tc>
        <w:tc>
          <w:tcPr>
            <w:tcW w:w="545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56.90</w:t>
            </w:r>
          </w:p>
        </w:tc>
        <w:tc>
          <w:tcPr>
            <w:tcW w:w="699" w:type="pct"/>
            <w:hideMark/>
          </w:tcPr>
          <w:p w:rsidR="001D3CD9" w:rsidRPr="001D3CD9" w:rsidRDefault="001D3CD9" w:rsidP="001D3CD9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دولة قطر</w:t>
            </w:r>
          </w:p>
        </w:tc>
        <w:tc>
          <w:tcPr>
            <w:tcW w:w="1703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12 عمارة (مساحة 130 م2 عدد 20 شقة بالعمارة)،</w:t>
            </w:r>
          </w:p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 xml:space="preserve"> 16 عمارة (مساحة 115م2 عدد 20 شقة في العمارة)،</w:t>
            </w:r>
          </w:p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 xml:space="preserve"> 15 عمارة (مساحة 115م2 عدد 22 شقة في العمارة)،</w:t>
            </w:r>
          </w:p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 xml:space="preserve"> 17 عمارة (مساحة 100م2 عدد 22 شقة بالعمارة)</w:t>
            </w:r>
          </w:p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بالإضافة الى اعمال البنية التحتية المرافقة.</w:t>
            </w:r>
          </w:p>
        </w:tc>
      </w:tr>
      <w:tr w:rsidR="001D3CD9" w:rsidRPr="00DD0B6F" w:rsidTr="009E4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D9D9D9" w:themeFill="background1" w:themeFillShade="D9"/>
          </w:tcPr>
          <w:p w:rsidR="001D3CD9" w:rsidRPr="001D3CD9" w:rsidRDefault="001D3CD9" w:rsidP="001D3CD9">
            <w:pPr>
              <w:numPr>
                <w:ilvl w:val="0"/>
                <w:numId w:val="8"/>
              </w:numPr>
              <w:bidi/>
              <w:ind w:left="360"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zh-CN"/>
              </w:rPr>
            </w:pPr>
            <w:r w:rsidRPr="001D3CD9">
              <w:rPr>
                <w:rFonts w:ascii="Traditional Arabic" w:eastAsia="SimSun" w:hAnsi="Traditional Arabic" w:cs="Traditional Arabic"/>
                <w:sz w:val="24"/>
                <w:szCs w:val="24"/>
                <w:rtl/>
                <w:lang w:eastAsia="zh-CN"/>
              </w:rPr>
              <w:t>مشروع إسكان الحالات الاجتماعية وذوي الهدم الكلي-</w:t>
            </w:r>
            <w:proofErr w:type="spellStart"/>
            <w:r w:rsidRPr="001D3CD9">
              <w:rPr>
                <w:rFonts w:ascii="Traditional Arabic" w:eastAsia="SimSun" w:hAnsi="Traditional Arabic" w:cs="Traditional Arabic"/>
                <w:sz w:val="24"/>
                <w:szCs w:val="24"/>
                <w:rtl/>
                <w:lang w:eastAsia="zh-CN"/>
              </w:rPr>
              <w:t>تيكا</w:t>
            </w:r>
            <w:proofErr w:type="spellEnd"/>
          </w:p>
        </w:tc>
      </w:tr>
      <w:tr w:rsidR="001D3CD9" w:rsidRPr="00DD0B6F" w:rsidTr="008630B5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pct"/>
            <w:gridSpan w:val="2"/>
            <w:hideMark/>
          </w:tcPr>
          <w:p w:rsidR="001D3CD9" w:rsidRPr="001D3CD9" w:rsidRDefault="001D3CD9" w:rsidP="001D3CD9">
            <w:pPr>
              <w:bidi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وكالة التنسيق والتعاون التركية-</w:t>
            </w:r>
            <w:proofErr w:type="spellStart"/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تيكا</w:t>
            </w:r>
            <w:proofErr w:type="spellEnd"/>
          </w:p>
        </w:tc>
        <w:tc>
          <w:tcPr>
            <w:tcW w:w="779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320</w:t>
            </w:r>
          </w:p>
        </w:tc>
        <w:tc>
          <w:tcPr>
            <w:tcW w:w="465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2015-2017</w:t>
            </w:r>
          </w:p>
        </w:tc>
        <w:tc>
          <w:tcPr>
            <w:tcW w:w="545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13.2</w:t>
            </w:r>
          </w:p>
        </w:tc>
        <w:tc>
          <w:tcPr>
            <w:tcW w:w="699" w:type="pct"/>
            <w:hideMark/>
          </w:tcPr>
          <w:p w:rsidR="001D3CD9" w:rsidRPr="001D3CD9" w:rsidRDefault="001D3CD9" w:rsidP="001D3CD9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تركيا</w:t>
            </w:r>
          </w:p>
        </w:tc>
        <w:tc>
          <w:tcPr>
            <w:tcW w:w="1703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en-GB"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en-GB"/>
              </w:rPr>
              <w:t>إنشاء 20 عمارة سكنية تضم 320 وحدة سكنية على أراضي مشروع إسكان الهدى-جحر الديك.</w:t>
            </w:r>
          </w:p>
        </w:tc>
      </w:tr>
      <w:tr w:rsidR="001D3CD9" w:rsidRPr="00DD0B6F" w:rsidTr="009E4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D9D9D9" w:themeFill="background1" w:themeFillShade="D9"/>
          </w:tcPr>
          <w:p w:rsidR="001D3CD9" w:rsidRPr="001D3CD9" w:rsidRDefault="001D3CD9" w:rsidP="001D3CD9">
            <w:pPr>
              <w:numPr>
                <w:ilvl w:val="0"/>
                <w:numId w:val="8"/>
              </w:numPr>
              <w:bidi/>
              <w:ind w:left="360"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en-GB"/>
              </w:rPr>
            </w:pPr>
            <w:r w:rsidRPr="001D3CD9">
              <w:rPr>
                <w:rFonts w:ascii="Traditional Arabic" w:eastAsia="SimSun" w:hAnsi="Traditional Arabic" w:cs="Traditional Arabic"/>
                <w:sz w:val="24"/>
                <w:szCs w:val="24"/>
                <w:rtl/>
                <w:lang w:eastAsia="zh-CN"/>
              </w:rPr>
              <w:t>مشروع إنشاء عمارات سكنية لذوي الدخل المحدود-مشروع تطوير قرية وادي غزة</w:t>
            </w:r>
          </w:p>
        </w:tc>
      </w:tr>
      <w:tr w:rsidR="001D3CD9" w:rsidRPr="00DD0B6F" w:rsidTr="008630B5">
        <w:trPr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pct"/>
            <w:gridSpan w:val="2"/>
            <w:hideMark/>
          </w:tcPr>
          <w:p w:rsidR="001D3CD9" w:rsidRPr="001D3CD9" w:rsidRDefault="001D3CD9" w:rsidP="001D3CD9">
            <w:pPr>
              <w:bidi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مؤسسة التعاون</w:t>
            </w:r>
          </w:p>
        </w:tc>
        <w:tc>
          <w:tcPr>
            <w:tcW w:w="779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124</w:t>
            </w:r>
          </w:p>
        </w:tc>
        <w:tc>
          <w:tcPr>
            <w:tcW w:w="465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2014-2018</w:t>
            </w:r>
          </w:p>
        </w:tc>
        <w:tc>
          <w:tcPr>
            <w:tcW w:w="545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4.7</w:t>
            </w:r>
          </w:p>
        </w:tc>
        <w:tc>
          <w:tcPr>
            <w:tcW w:w="699" w:type="pct"/>
            <w:hideMark/>
          </w:tcPr>
          <w:p w:rsidR="001D3CD9" w:rsidRPr="001D3CD9" w:rsidRDefault="001D3CD9" w:rsidP="001D3CD9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الصندوق الكويتي للتنمية</w:t>
            </w:r>
          </w:p>
        </w:tc>
        <w:tc>
          <w:tcPr>
            <w:tcW w:w="1703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 xml:space="preserve">المشروع عبارة عن انشاء مجاورة سكنية تضم 6 عمارات سكنية ضمن </w:t>
            </w:r>
            <w:r w:rsidRPr="001D3CD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-مشروع تطوير قرية وادي غزة</w:t>
            </w: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.</w:t>
            </w:r>
          </w:p>
        </w:tc>
      </w:tr>
      <w:tr w:rsidR="001D3CD9" w:rsidRPr="00DD0B6F" w:rsidTr="009E44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D9D9D9" w:themeFill="background1" w:themeFillShade="D9"/>
          </w:tcPr>
          <w:p w:rsidR="001D3CD9" w:rsidRPr="001D3CD9" w:rsidRDefault="001D3CD9" w:rsidP="001D3CD9">
            <w:pPr>
              <w:numPr>
                <w:ilvl w:val="0"/>
                <w:numId w:val="8"/>
              </w:numPr>
              <w:bidi/>
              <w:ind w:left="360"/>
              <w:rPr>
                <w:rFonts w:ascii="Traditional Arabic" w:eastAsia="Times New Roman" w:hAnsi="Traditional Arabic" w:cs="Traditional Arabic"/>
                <w:sz w:val="24"/>
                <w:szCs w:val="24"/>
                <w:rtl/>
                <w:lang w:eastAsia="zh-CN"/>
              </w:rPr>
            </w:pPr>
            <w:r w:rsidRPr="001D3CD9">
              <w:rPr>
                <w:rFonts w:ascii="Traditional Arabic" w:eastAsia="SimSun" w:hAnsi="Traditional Arabic" w:cs="Traditional Arabic"/>
                <w:sz w:val="24"/>
                <w:szCs w:val="24"/>
                <w:rtl/>
                <w:lang w:eastAsia="zh-CN"/>
              </w:rPr>
              <w:t>مشروع مدينة الأمل لسمو الشيخ حمد السكنية</w:t>
            </w:r>
          </w:p>
        </w:tc>
      </w:tr>
      <w:tr w:rsidR="001D3CD9" w:rsidRPr="00DD0B6F" w:rsidTr="008630B5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pct"/>
            <w:gridSpan w:val="2"/>
            <w:hideMark/>
          </w:tcPr>
          <w:p w:rsidR="001D3CD9" w:rsidRPr="001D3CD9" w:rsidRDefault="001D3CD9" w:rsidP="001D3CD9">
            <w:pPr>
              <w:bidi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اللجنة القطرية لإعادة اعمار غزة</w:t>
            </w:r>
          </w:p>
        </w:tc>
        <w:tc>
          <w:tcPr>
            <w:tcW w:w="779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288</w:t>
            </w:r>
          </w:p>
        </w:tc>
        <w:tc>
          <w:tcPr>
            <w:tcW w:w="465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2014-2018</w:t>
            </w:r>
          </w:p>
        </w:tc>
        <w:tc>
          <w:tcPr>
            <w:tcW w:w="545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</w:rPr>
            </w:pPr>
            <w:r w:rsidRPr="001D3CD9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25.00</w:t>
            </w:r>
          </w:p>
        </w:tc>
        <w:tc>
          <w:tcPr>
            <w:tcW w:w="699" w:type="pct"/>
            <w:hideMark/>
          </w:tcPr>
          <w:p w:rsidR="001D3CD9" w:rsidRPr="001D3CD9" w:rsidRDefault="001D3CD9" w:rsidP="001D3CD9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دولة قطر</w:t>
            </w:r>
          </w:p>
        </w:tc>
        <w:tc>
          <w:tcPr>
            <w:tcW w:w="1703" w:type="pct"/>
            <w:hideMark/>
          </w:tcPr>
          <w:p w:rsidR="001D3CD9" w:rsidRPr="001D3CD9" w:rsidRDefault="001D3CD9" w:rsidP="001D3CD9">
            <w:pPr>
              <w:bidi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1D3CD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يتكون المشروع من 40 عمارة سكنية تضم 400 وحدة سكنية على مساحة 110 دونم – مدينة الزهراء بالإضافة إلى المرافق والخدمات العامة، إضافة إلى البنية التحتية والطرق الداخلية، وتبلغ موازنة المشروع حوالي 25.0 مليون دولار وقد تم بدء تنفيذ مشاريع بقيمة 12.41 مليون دولار، وتشمل: 24 عمارة سكنية بالإضافة إلى البنية التحتية والمرافق والخدمات العامة.</w:t>
            </w:r>
          </w:p>
        </w:tc>
      </w:tr>
    </w:tbl>
    <w:p w:rsidR="001D3CD9" w:rsidRPr="00DD0B6F" w:rsidRDefault="001D3CD9" w:rsidP="001D3CD9">
      <w:pPr>
        <w:shd w:val="clear" w:color="auto" w:fill="FFFFFF" w:themeFill="background1"/>
        <w:bidi/>
        <w:rPr>
          <w:rFonts w:ascii="Traditional Arabic" w:hAnsi="Traditional Arabic" w:cs="Traditional Arabic"/>
          <w:sz w:val="24"/>
          <w:szCs w:val="24"/>
          <w:rtl/>
        </w:rPr>
      </w:pPr>
    </w:p>
    <w:p w:rsidR="009E4481" w:rsidRPr="00DD0B6F" w:rsidRDefault="009E4481" w:rsidP="009E4481">
      <w:pPr>
        <w:shd w:val="clear" w:color="auto" w:fill="FFFFFF" w:themeFill="background1"/>
        <w:bidi/>
        <w:rPr>
          <w:rFonts w:ascii="Traditional Arabic" w:hAnsi="Traditional Arabic" w:cs="Traditional Arabic"/>
          <w:sz w:val="24"/>
          <w:szCs w:val="24"/>
          <w:rtl/>
        </w:rPr>
      </w:pPr>
    </w:p>
    <w:p w:rsidR="009E4481" w:rsidRPr="00DD0B6F" w:rsidRDefault="009E4481" w:rsidP="009E4481">
      <w:pPr>
        <w:shd w:val="clear" w:color="auto" w:fill="FFFFFF" w:themeFill="background1"/>
        <w:bidi/>
        <w:rPr>
          <w:rFonts w:ascii="Traditional Arabic" w:hAnsi="Traditional Arabic" w:cs="Traditional Arabic"/>
          <w:sz w:val="24"/>
          <w:szCs w:val="24"/>
        </w:rPr>
      </w:pPr>
    </w:p>
    <w:p w:rsidR="008630B5" w:rsidRPr="00DD0B6F" w:rsidRDefault="008630B5" w:rsidP="00B67E86">
      <w:pPr>
        <w:pStyle w:val="ListParagraph"/>
        <w:numPr>
          <w:ilvl w:val="0"/>
          <w:numId w:val="6"/>
        </w:numPr>
        <w:shd w:val="clear" w:color="auto" w:fill="FFFFFF" w:themeFill="background1"/>
        <w:bidi/>
        <w:rPr>
          <w:rFonts w:ascii="Traditional Arabic" w:hAnsi="Traditional Arabic" w:cs="Traditional Arabic"/>
          <w:b/>
          <w:bCs/>
          <w:sz w:val="24"/>
          <w:szCs w:val="24"/>
          <w:rtl/>
        </w:rPr>
      </w:pPr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lastRenderedPageBreak/>
        <w:t>جدول رقم (17</w:t>
      </w:r>
      <w:proofErr w:type="gramStart"/>
      <w:r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) </w:t>
      </w:r>
      <w:r w:rsidR="00B67E86"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يوضح</w:t>
      </w:r>
      <w:proofErr w:type="gramEnd"/>
      <w:r w:rsidR="00B67E86" w:rsidRPr="00DD0B6F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</w:t>
      </w:r>
      <w:r w:rsidR="00B67E86" w:rsidRPr="00DD0B6F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مشاريع المنحة الإيطالية لتطوير حي الندى وإعادة إعمار برج المجمع الايطالي في قطاع غزة والتي بدأت أعمالها في عام 2018 بقيمة 16,200,000 يورو</w:t>
      </w:r>
      <w:r w:rsidR="00B67E86" w:rsidRPr="00DD0B6F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:</w:t>
      </w:r>
    </w:p>
    <w:tbl>
      <w:tblPr>
        <w:tblStyle w:val="TableGridLight"/>
        <w:bidiVisual/>
        <w:tblW w:w="8918" w:type="dxa"/>
        <w:tblLook w:val="04A0" w:firstRow="1" w:lastRow="0" w:firstColumn="1" w:lastColumn="0" w:noHBand="0" w:noVBand="1"/>
      </w:tblPr>
      <w:tblGrid>
        <w:gridCol w:w="5996"/>
        <w:gridCol w:w="2922"/>
      </w:tblGrid>
      <w:tr w:rsidR="008630B5" w:rsidRPr="00DD0B6F" w:rsidTr="008630B5">
        <w:trPr>
          <w:trHeight w:val="365"/>
        </w:trPr>
        <w:tc>
          <w:tcPr>
            <w:tcW w:w="5996" w:type="dxa"/>
            <w:shd w:val="clear" w:color="auto" w:fill="D9D9D9" w:themeFill="background1" w:themeFillShade="D9"/>
          </w:tcPr>
          <w:p w:rsidR="008630B5" w:rsidRPr="00DD0B6F" w:rsidRDefault="008630B5" w:rsidP="008630B5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مشاريع المنحة الإيطالية</w:t>
            </w:r>
          </w:p>
        </w:tc>
        <w:tc>
          <w:tcPr>
            <w:tcW w:w="2922" w:type="dxa"/>
            <w:shd w:val="clear" w:color="auto" w:fill="D9D9D9" w:themeFill="background1" w:themeFillShade="D9"/>
          </w:tcPr>
          <w:p w:rsidR="008630B5" w:rsidRPr="00DD0B6F" w:rsidRDefault="008630B5" w:rsidP="00F3522B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المبلغ (مليون يورو)</w:t>
            </w:r>
          </w:p>
        </w:tc>
      </w:tr>
      <w:tr w:rsidR="008630B5" w:rsidRPr="00DD0B6F" w:rsidTr="00F3522B">
        <w:trPr>
          <w:trHeight w:val="353"/>
        </w:trPr>
        <w:tc>
          <w:tcPr>
            <w:tcW w:w="5996" w:type="dxa"/>
          </w:tcPr>
          <w:p w:rsidR="008630B5" w:rsidRPr="00DD0B6F" w:rsidRDefault="008630B5" w:rsidP="008630B5">
            <w:pPr>
              <w:pStyle w:val="ListParagraph"/>
              <w:numPr>
                <w:ilvl w:val="0"/>
                <w:numId w:val="9"/>
              </w:numPr>
              <w:bidi/>
              <w:contextualSpacing w:val="0"/>
              <w:jc w:val="lowKashida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مشروع ترميم أضرار 281 وحدة سكنية</w:t>
            </w:r>
          </w:p>
        </w:tc>
        <w:tc>
          <w:tcPr>
            <w:tcW w:w="2922" w:type="dxa"/>
          </w:tcPr>
          <w:p w:rsidR="008630B5" w:rsidRPr="00DD0B6F" w:rsidRDefault="008630B5" w:rsidP="00F3522B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1.2</w:t>
            </w:r>
          </w:p>
        </w:tc>
      </w:tr>
      <w:tr w:rsidR="008630B5" w:rsidRPr="00DD0B6F" w:rsidTr="00F3522B">
        <w:trPr>
          <w:trHeight w:val="353"/>
        </w:trPr>
        <w:tc>
          <w:tcPr>
            <w:tcW w:w="5996" w:type="dxa"/>
          </w:tcPr>
          <w:p w:rsidR="008630B5" w:rsidRPr="00DD0B6F" w:rsidRDefault="008630B5" w:rsidP="008630B5">
            <w:pPr>
              <w:pStyle w:val="ListParagraph"/>
              <w:numPr>
                <w:ilvl w:val="0"/>
                <w:numId w:val="9"/>
              </w:numPr>
              <w:bidi/>
              <w:contextualSpacing w:val="0"/>
              <w:jc w:val="lowKashida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مشروع صيانة 17 بناية مدمرة بشكل جزئي</w:t>
            </w:r>
          </w:p>
        </w:tc>
        <w:tc>
          <w:tcPr>
            <w:tcW w:w="2922" w:type="dxa"/>
          </w:tcPr>
          <w:p w:rsidR="008630B5" w:rsidRPr="00DD0B6F" w:rsidRDefault="008630B5" w:rsidP="00F3522B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8630B5" w:rsidRPr="00DD0B6F" w:rsidTr="00F3522B">
        <w:trPr>
          <w:trHeight w:val="731"/>
        </w:trPr>
        <w:tc>
          <w:tcPr>
            <w:tcW w:w="5996" w:type="dxa"/>
          </w:tcPr>
          <w:p w:rsidR="008630B5" w:rsidRPr="00DD0B6F" w:rsidRDefault="008630B5" w:rsidP="008630B5">
            <w:pPr>
              <w:pStyle w:val="ListParagraph"/>
              <w:numPr>
                <w:ilvl w:val="0"/>
                <w:numId w:val="9"/>
              </w:numPr>
              <w:bidi/>
              <w:contextualSpacing w:val="0"/>
              <w:jc w:val="lowKashida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مشروع انشاء 75 وحدة سكنية /11 عمارة في حي الندى (المرحلة الأولى)</w:t>
            </w:r>
          </w:p>
        </w:tc>
        <w:tc>
          <w:tcPr>
            <w:tcW w:w="2922" w:type="dxa"/>
          </w:tcPr>
          <w:p w:rsidR="008630B5" w:rsidRPr="00DD0B6F" w:rsidRDefault="008630B5" w:rsidP="00F3522B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4.2</w:t>
            </w:r>
          </w:p>
        </w:tc>
      </w:tr>
      <w:tr w:rsidR="008630B5" w:rsidRPr="00DD0B6F" w:rsidTr="00F3522B">
        <w:trPr>
          <w:trHeight w:val="719"/>
        </w:trPr>
        <w:tc>
          <w:tcPr>
            <w:tcW w:w="5996" w:type="dxa"/>
          </w:tcPr>
          <w:p w:rsidR="008630B5" w:rsidRPr="00DD0B6F" w:rsidRDefault="008630B5" w:rsidP="008630B5">
            <w:pPr>
              <w:pStyle w:val="ListParagraph"/>
              <w:numPr>
                <w:ilvl w:val="0"/>
                <w:numId w:val="9"/>
              </w:numPr>
              <w:bidi/>
              <w:contextualSpacing w:val="0"/>
              <w:jc w:val="lowKashida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مشروع صيانة 4 بنايات متضررة بشكل بليغ في حي الندى</w:t>
            </w:r>
          </w:p>
        </w:tc>
        <w:tc>
          <w:tcPr>
            <w:tcW w:w="2922" w:type="dxa"/>
          </w:tcPr>
          <w:p w:rsidR="008630B5" w:rsidRPr="00DD0B6F" w:rsidRDefault="008630B5" w:rsidP="00F3522B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0.506</w:t>
            </w:r>
          </w:p>
        </w:tc>
      </w:tr>
      <w:tr w:rsidR="008630B5" w:rsidRPr="00DD0B6F" w:rsidTr="00F3522B">
        <w:trPr>
          <w:trHeight w:val="353"/>
        </w:trPr>
        <w:tc>
          <w:tcPr>
            <w:tcW w:w="5996" w:type="dxa"/>
          </w:tcPr>
          <w:p w:rsidR="008630B5" w:rsidRPr="00DD0B6F" w:rsidRDefault="008630B5" w:rsidP="008630B5">
            <w:pPr>
              <w:pStyle w:val="ListParagraph"/>
              <w:numPr>
                <w:ilvl w:val="0"/>
                <w:numId w:val="9"/>
              </w:numPr>
              <w:bidi/>
              <w:contextualSpacing w:val="0"/>
              <w:jc w:val="lowKashida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مشروع البنية التحتية والموقع العام (مشار إليه في بند البنية التحتية)</w:t>
            </w:r>
          </w:p>
        </w:tc>
        <w:tc>
          <w:tcPr>
            <w:tcW w:w="2922" w:type="dxa"/>
          </w:tcPr>
          <w:p w:rsidR="008630B5" w:rsidRPr="00DD0B6F" w:rsidRDefault="008630B5" w:rsidP="00F3522B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2.2</w:t>
            </w:r>
          </w:p>
        </w:tc>
      </w:tr>
      <w:tr w:rsidR="008630B5" w:rsidRPr="00DD0B6F" w:rsidTr="00F3522B">
        <w:trPr>
          <w:trHeight w:val="719"/>
        </w:trPr>
        <w:tc>
          <w:tcPr>
            <w:tcW w:w="5996" w:type="dxa"/>
          </w:tcPr>
          <w:p w:rsidR="008630B5" w:rsidRPr="00DD0B6F" w:rsidRDefault="008630B5" w:rsidP="008630B5">
            <w:pPr>
              <w:pStyle w:val="ListParagraph"/>
              <w:numPr>
                <w:ilvl w:val="0"/>
                <w:numId w:val="9"/>
              </w:numPr>
              <w:bidi/>
              <w:contextualSpacing w:val="0"/>
              <w:jc w:val="lowKashida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مشروع انشاء 111 وحدة سكنية/ 12 عمارة في حي الندى (المرحلة الثانية والثالثة)</w:t>
            </w:r>
          </w:p>
        </w:tc>
        <w:tc>
          <w:tcPr>
            <w:tcW w:w="2922" w:type="dxa"/>
          </w:tcPr>
          <w:p w:rsidR="008630B5" w:rsidRPr="00DD0B6F" w:rsidRDefault="008630B5" w:rsidP="00F3522B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3.3</w:t>
            </w:r>
          </w:p>
        </w:tc>
      </w:tr>
      <w:tr w:rsidR="008630B5" w:rsidRPr="00DD0B6F" w:rsidTr="00F3522B">
        <w:trPr>
          <w:trHeight w:val="353"/>
        </w:trPr>
        <w:tc>
          <w:tcPr>
            <w:tcW w:w="5996" w:type="dxa"/>
          </w:tcPr>
          <w:p w:rsidR="008630B5" w:rsidRPr="00DD0B6F" w:rsidRDefault="008630B5" w:rsidP="008630B5">
            <w:pPr>
              <w:pStyle w:val="ListParagraph"/>
              <w:numPr>
                <w:ilvl w:val="0"/>
                <w:numId w:val="9"/>
              </w:numPr>
              <w:bidi/>
              <w:contextualSpacing w:val="0"/>
              <w:jc w:val="lowKashida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sz w:val="24"/>
                <w:szCs w:val="24"/>
                <w:rtl/>
              </w:rPr>
              <w:t>مشروع إعادة بناء المجمع الإيطالي</w:t>
            </w:r>
          </w:p>
        </w:tc>
        <w:tc>
          <w:tcPr>
            <w:tcW w:w="2922" w:type="dxa"/>
          </w:tcPr>
          <w:p w:rsidR="008630B5" w:rsidRPr="00DD0B6F" w:rsidRDefault="008630B5" w:rsidP="00F3522B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D0B6F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3.3</w:t>
            </w:r>
          </w:p>
        </w:tc>
      </w:tr>
    </w:tbl>
    <w:p w:rsidR="008630B5" w:rsidRPr="00DD0B6F" w:rsidRDefault="008630B5" w:rsidP="008630B5">
      <w:pPr>
        <w:pStyle w:val="ListParagraph"/>
        <w:shd w:val="clear" w:color="auto" w:fill="FFFFFF" w:themeFill="background1"/>
        <w:bidi/>
        <w:ind w:left="785"/>
        <w:rPr>
          <w:rFonts w:ascii="Traditional Arabic" w:hAnsi="Traditional Arabic" w:cs="Traditional Arabic"/>
          <w:sz w:val="24"/>
          <w:szCs w:val="24"/>
        </w:rPr>
      </w:pPr>
      <w:bookmarkStart w:id="0" w:name="_GoBack"/>
      <w:bookmarkEnd w:id="0"/>
    </w:p>
    <w:sectPr w:rsidR="008630B5" w:rsidRPr="00DD0B6F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808" w:rsidRDefault="00971808" w:rsidP="00971808">
      <w:pPr>
        <w:spacing w:after="0" w:line="240" w:lineRule="auto"/>
      </w:pPr>
      <w:r>
        <w:separator/>
      </w:r>
    </w:p>
  </w:endnote>
  <w:endnote w:type="continuationSeparator" w:id="0">
    <w:p w:rsidR="00971808" w:rsidRDefault="00971808" w:rsidP="00971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Al N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97181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D4489" w:rsidRDefault="002D448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0B6F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2D4489" w:rsidRDefault="002D44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808" w:rsidRDefault="00971808" w:rsidP="00971808">
      <w:pPr>
        <w:spacing w:after="0" w:line="240" w:lineRule="auto"/>
      </w:pPr>
      <w:r>
        <w:separator/>
      </w:r>
    </w:p>
  </w:footnote>
  <w:footnote w:type="continuationSeparator" w:id="0">
    <w:p w:rsidR="00971808" w:rsidRDefault="00971808" w:rsidP="00971808">
      <w:pPr>
        <w:spacing w:after="0" w:line="240" w:lineRule="auto"/>
      </w:pPr>
      <w:r>
        <w:continuationSeparator/>
      </w:r>
    </w:p>
  </w:footnote>
  <w:footnote w:id="1">
    <w:p w:rsidR="00971808" w:rsidRPr="00A0076A" w:rsidRDefault="00971808" w:rsidP="00971808">
      <w:pPr>
        <w:bidi/>
        <w:jc w:val="both"/>
        <w:rPr>
          <w:rFonts w:ascii="Traditional Arabic" w:hAnsi="Traditional Arabic" w:cs="Traditional Arabic"/>
          <w:rtl/>
        </w:rPr>
      </w:pPr>
      <w:r w:rsidRPr="00A0076A">
        <w:rPr>
          <w:rStyle w:val="FootnoteReference"/>
          <w:rFonts w:ascii="Traditional Arabic" w:hAnsi="Traditional Arabic" w:cs="Traditional Arabic"/>
        </w:rPr>
        <w:footnoteRef/>
      </w:r>
      <w:r w:rsidRPr="00A0076A">
        <w:rPr>
          <w:rFonts w:ascii="Traditional Arabic" w:hAnsi="Traditional Arabic" w:cs="Traditional Arabic"/>
        </w:rPr>
        <w:t xml:space="preserve"> </w:t>
      </w:r>
      <w:r w:rsidRPr="00A0076A">
        <w:rPr>
          <w:rFonts w:ascii="Traditional Arabic" w:hAnsi="Traditional Arabic" w:cs="Traditional Arabic"/>
          <w:rtl/>
        </w:rPr>
        <w:t xml:space="preserve">المصدر: الجهاز المركزي للإحصاء الفلسطيني، 2011-2017.  النتائج الرئيسية لمستويات المعيشة في فلسطين (الإنفاق والاستهلاك والفقر)، 2022. </w:t>
      </w:r>
    </w:p>
    <w:p w:rsidR="00971808" w:rsidRDefault="00971808" w:rsidP="00971808">
      <w:pPr>
        <w:pStyle w:val="FootnoteText"/>
        <w:bidi/>
        <w:jc w:val="both"/>
        <w:rPr>
          <w:rtl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B5CA5"/>
    <w:multiLevelType w:val="hybridMultilevel"/>
    <w:tmpl w:val="F9A86F84"/>
    <w:numStyleLink w:val="ImportedStyle6"/>
  </w:abstractNum>
  <w:abstractNum w:abstractNumId="1" w15:restartNumberingAfterBreak="0">
    <w:nsid w:val="425E4926"/>
    <w:multiLevelType w:val="hybridMultilevel"/>
    <w:tmpl w:val="F9A86F84"/>
    <w:styleLink w:val="ImportedStyle6"/>
    <w:lvl w:ilvl="0" w:tplc="83863770">
      <w:start w:val="1"/>
      <w:numFmt w:val="bullet"/>
      <w:lvlText w:val="-"/>
      <w:lvlJc w:val="left"/>
      <w:pPr>
        <w:ind w:left="270" w:hanging="27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0A0E75A">
      <w:start w:val="1"/>
      <w:numFmt w:val="bullet"/>
      <w:lvlText w:val="-"/>
      <w:lvlJc w:val="left"/>
      <w:pPr>
        <w:ind w:left="990" w:hanging="27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DE67C76">
      <w:start w:val="1"/>
      <w:numFmt w:val="bullet"/>
      <w:lvlText w:val="-"/>
      <w:lvlJc w:val="left"/>
      <w:pPr>
        <w:ind w:left="1710" w:hanging="27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90236F2">
      <w:start w:val="1"/>
      <w:numFmt w:val="bullet"/>
      <w:lvlText w:val="-"/>
      <w:lvlJc w:val="left"/>
      <w:pPr>
        <w:ind w:left="2430" w:hanging="27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B2A148">
      <w:start w:val="1"/>
      <w:numFmt w:val="bullet"/>
      <w:lvlText w:val="-"/>
      <w:lvlJc w:val="left"/>
      <w:pPr>
        <w:ind w:left="3150" w:hanging="27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12C8E0">
      <w:start w:val="1"/>
      <w:numFmt w:val="bullet"/>
      <w:lvlText w:val="-"/>
      <w:lvlJc w:val="left"/>
      <w:pPr>
        <w:ind w:left="3870" w:hanging="27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6FE022C">
      <w:start w:val="1"/>
      <w:numFmt w:val="bullet"/>
      <w:lvlText w:val="-"/>
      <w:lvlJc w:val="left"/>
      <w:pPr>
        <w:ind w:left="4590" w:hanging="27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C36AF3A">
      <w:start w:val="1"/>
      <w:numFmt w:val="bullet"/>
      <w:lvlText w:val="-"/>
      <w:lvlJc w:val="left"/>
      <w:pPr>
        <w:ind w:left="5310" w:hanging="27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3446324">
      <w:start w:val="1"/>
      <w:numFmt w:val="bullet"/>
      <w:lvlText w:val="-"/>
      <w:lvlJc w:val="left"/>
      <w:pPr>
        <w:ind w:left="6030" w:hanging="27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4A23747C"/>
    <w:multiLevelType w:val="hybridMultilevel"/>
    <w:tmpl w:val="28860146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4D455A"/>
    <w:multiLevelType w:val="hybridMultilevel"/>
    <w:tmpl w:val="019614D8"/>
    <w:lvl w:ilvl="0" w:tplc="FAD44904">
      <w:start w:val="16"/>
      <w:numFmt w:val="bullet"/>
      <w:lvlText w:val="-"/>
      <w:lvlJc w:val="left"/>
      <w:pPr>
        <w:ind w:left="90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4" w15:restartNumberingAfterBreak="0">
    <w:nsid w:val="6EF4432F"/>
    <w:multiLevelType w:val="hybridMultilevel"/>
    <w:tmpl w:val="3E021B98"/>
    <w:styleLink w:val="ImportedStyle13"/>
    <w:lvl w:ilvl="0" w:tplc="FCE69DB6">
      <w:start w:val="1"/>
      <w:numFmt w:val="arabicAlpha"/>
      <w:lvlText w:val="(%1)"/>
      <w:lvlJc w:val="left"/>
      <w:pPr>
        <w:ind w:left="45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832DB8A">
      <w:start w:val="1"/>
      <w:numFmt w:val="lowerLetter"/>
      <w:lvlText w:val="%2."/>
      <w:lvlJc w:val="left"/>
      <w:pPr>
        <w:ind w:left="1470" w:hanging="39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6563C84">
      <w:start w:val="1"/>
      <w:numFmt w:val="lowerRoman"/>
      <w:lvlText w:val="%3."/>
      <w:lvlJc w:val="left"/>
      <w:pPr>
        <w:ind w:left="2186" w:hanging="3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3E09626">
      <w:start w:val="1"/>
      <w:numFmt w:val="decimal"/>
      <w:lvlText w:val="%4."/>
      <w:lvlJc w:val="left"/>
      <w:pPr>
        <w:ind w:left="2910" w:hanging="39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722F52A">
      <w:start w:val="1"/>
      <w:numFmt w:val="lowerLetter"/>
      <w:lvlText w:val="%5."/>
      <w:lvlJc w:val="left"/>
      <w:pPr>
        <w:ind w:left="3630" w:hanging="39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E9E9A30">
      <w:start w:val="1"/>
      <w:numFmt w:val="lowerRoman"/>
      <w:lvlText w:val="%6."/>
      <w:lvlJc w:val="left"/>
      <w:pPr>
        <w:ind w:left="4346" w:hanging="3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94EE770">
      <w:start w:val="1"/>
      <w:numFmt w:val="decimal"/>
      <w:lvlText w:val="%7."/>
      <w:lvlJc w:val="left"/>
      <w:pPr>
        <w:ind w:left="5070" w:hanging="39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8A2ED82">
      <w:start w:val="1"/>
      <w:numFmt w:val="lowerLetter"/>
      <w:lvlText w:val="%8."/>
      <w:lvlJc w:val="left"/>
      <w:pPr>
        <w:ind w:left="5790" w:hanging="39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27620B8">
      <w:start w:val="1"/>
      <w:numFmt w:val="lowerRoman"/>
      <w:lvlText w:val="%9."/>
      <w:lvlJc w:val="left"/>
      <w:pPr>
        <w:ind w:left="6506" w:hanging="3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75B57B26"/>
    <w:multiLevelType w:val="hybridMultilevel"/>
    <w:tmpl w:val="620CE7B6"/>
    <w:styleLink w:val="ImportedStyle3"/>
    <w:lvl w:ilvl="0" w:tplc="D278C1C0">
      <w:start w:val="1"/>
      <w:numFmt w:val="bullet"/>
      <w:lvlText w:val="-"/>
      <w:lvlJc w:val="left"/>
      <w:pPr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B2C5158">
      <w:start w:val="1"/>
      <w:numFmt w:val="bullet"/>
      <w:lvlText w:val="o"/>
      <w:lvlJc w:val="left"/>
      <w:pPr>
        <w:ind w:left="840" w:hanging="39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B6810EA">
      <w:start w:val="1"/>
      <w:numFmt w:val="bullet"/>
      <w:lvlText w:val="▪"/>
      <w:lvlJc w:val="left"/>
      <w:pPr>
        <w:ind w:left="1560" w:hanging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12C836">
      <w:start w:val="1"/>
      <w:numFmt w:val="bullet"/>
      <w:lvlText w:val="•"/>
      <w:lvlJc w:val="left"/>
      <w:pPr>
        <w:ind w:left="2280" w:hanging="39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E9AC86E">
      <w:start w:val="1"/>
      <w:numFmt w:val="bullet"/>
      <w:lvlText w:val="o"/>
      <w:lvlJc w:val="left"/>
      <w:pPr>
        <w:ind w:left="3000" w:hanging="39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7BC419A">
      <w:start w:val="1"/>
      <w:numFmt w:val="bullet"/>
      <w:lvlText w:val="▪"/>
      <w:lvlJc w:val="left"/>
      <w:pPr>
        <w:ind w:left="3720" w:hanging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47CD826">
      <w:start w:val="1"/>
      <w:numFmt w:val="bullet"/>
      <w:lvlText w:val="•"/>
      <w:lvlJc w:val="left"/>
      <w:pPr>
        <w:ind w:left="4440" w:hanging="39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2E44132">
      <w:start w:val="1"/>
      <w:numFmt w:val="bullet"/>
      <w:lvlText w:val="o"/>
      <w:lvlJc w:val="left"/>
      <w:pPr>
        <w:ind w:left="5160" w:hanging="39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DA09008">
      <w:start w:val="1"/>
      <w:numFmt w:val="bullet"/>
      <w:lvlText w:val="▪"/>
      <w:lvlJc w:val="left"/>
      <w:pPr>
        <w:ind w:left="5880" w:hanging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5B617FF"/>
    <w:multiLevelType w:val="hybridMultilevel"/>
    <w:tmpl w:val="F9A86F84"/>
    <w:numStyleLink w:val="ImportedStyle11"/>
  </w:abstractNum>
  <w:abstractNum w:abstractNumId="7" w15:restartNumberingAfterBreak="0">
    <w:nsid w:val="76463A26"/>
    <w:multiLevelType w:val="hybridMultilevel"/>
    <w:tmpl w:val="24E83CD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lvl w:ilvl="0" w:tplc="7ACA07D0">
        <w:start w:val="1"/>
        <w:numFmt w:val="bullet"/>
        <w:lvlText w:val="-"/>
        <w:lvlJc w:val="left"/>
        <w:pPr>
          <w:ind w:left="45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2544474">
        <w:start w:val="1"/>
        <w:numFmt w:val="bullet"/>
        <w:lvlText w:val="-"/>
        <w:lvlJc w:val="left"/>
        <w:pPr>
          <w:ind w:left="108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BC41C80">
        <w:start w:val="1"/>
        <w:numFmt w:val="bullet"/>
        <w:lvlText w:val="-"/>
        <w:lvlJc w:val="left"/>
        <w:pPr>
          <w:ind w:left="180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27A06A4">
        <w:start w:val="1"/>
        <w:numFmt w:val="bullet"/>
        <w:lvlText w:val="-"/>
        <w:lvlJc w:val="left"/>
        <w:pPr>
          <w:ind w:left="252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D9E4A20">
        <w:start w:val="1"/>
        <w:numFmt w:val="bullet"/>
        <w:lvlText w:val="-"/>
        <w:lvlJc w:val="left"/>
        <w:pPr>
          <w:ind w:left="324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2C635DA">
        <w:start w:val="1"/>
        <w:numFmt w:val="bullet"/>
        <w:lvlText w:val="-"/>
        <w:lvlJc w:val="left"/>
        <w:pPr>
          <w:ind w:left="396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96C512A">
        <w:start w:val="1"/>
        <w:numFmt w:val="bullet"/>
        <w:lvlText w:val="-"/>
        <w:lvlJc w:val="left"/>
        <w:pPr>
          <w:ind w:left="468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F9ADFF0">
        <w:start w:val="1"/>
        <w:numFmt w:val="bullet"/>
        <w:lvlText w:val="-"/>
        <w:lvlJc w:val="left"/>
        <w:pPr>
          <w:ind w:left="540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0E4D9E4">
        <w:start w:val="1"/>
        <w:numFmt w:val="bullet"/>
        <w:lvlText w:val="-"/>
        <w:lvlJc w:val="left"/>
        <w:pPr>
          <w:ind w:left="612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3"/>
  </w:num>
  <w:num w:numId="4">
    <w:abstractNumId w:val="4"/>
  </w:num>
  <w:num w:numId="5">
    <w:abstractNumId w:val="5"/>
  </w:num>
  <w:num w:numId="6">
    <w:abstractNumId w:val="6"/>
    <w:lvlOverride w:ilvl="0">
      <w:lvl w:ilvl="0" w:tplc="418E6990">
        <w:start w:val="1"/>
        <w:numFmt w:val="bullet"/>
        <w:lvlText w:val="-"/>
        <w:lvlJc w:val="left"/>
        <w:pPr>
          <w:ind w:left="785" w:hanging="42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1D44048" w:tentative="1">
        <w:start w:val="1"/>
        <w:numFmt w:val="bullet"/>
        <w:lvlText w:val="o"/>
        <w:lvlJc w:val="left"/>
        <w:pPr>
          <w:ind w:left="1440" w:hanging="360"/>
        </w:pPr>
        <w:rPr>
          <w:rFonts w:ascii="Courier New" w:hAnsi="Courier New" w:cs="Courier New" w:hint="default"/>
        </w:rPr>
      </w:lvl>
    </w:lvlOverride>
    <w:lvlOverride w:ilvl="2">
      <w:lvl w:ilvl="2" w:tplc="5808837E" w:tentative="1">
        <w:start w:val="1"/>
        <w:numFmt w:val="bullet"/>
        <w:lvlText w:val=""/>
        <w:lvlJc w:val="left"/>
        <w:pPr>
          <w:ind w:left="2160" w:hanging="360"/>
        </w:pPr>
        <w:rPr>
          <w:rFonts w:ascii="Wingdings" w:hAnsi="Wingdings" w:hint="default"/>
        </w:rPr>
      </w:lvl>
    </w:lvlOverride>
    <w:lvlOverride w:ilvl="3">
      <w:lvl w:ilvl="3" w:tplc="DF74161E" w:tentative="1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</w:rPr>
      </w:lvl>
    </w:lvlOverride>
    <w:lvlOverride w:ilvl="4">
      <w:lvl w:ilvl="4" w:tplc="CE9A660E" w:tentative="1">
        <w:start w:val="1"/>
        <w:numFmt w:val="bullet"/>
        <w:lvlText w:val="o"/>
        <w:lvlJc w:val="left"/>
        <w:pPr>
          <w:ind w:left="3600" w:hanging="360"/>
        </w:pPr>
        <w:rPr>
          <w:rFonts w:ascii="Courier New" w:hAnsi="Courier New" w:cs="Courier New" w:hint="default"/>
        </w:rPr>
      </w:lvl>
    </w:lvlOverride>
    <w:lvlOverride w:ilvl="5">
      <w:lvl w:ilvl="5" w:tplc="8AF2EDAA" w:tentative="1">
        <w:start w:val="1"/>
        <w:numFmt w:val="bullet"/>
        <w:lvlText w:val=""/>
        <w:lvlJc w:val="left"/>
        <w:pPr>
          <w:ind w:left="4320" w:hanging="360"/>
        </w:pPr>
        <w:rPr>
          <w:rFonts w:ascii="Wingdings" w:hAnsi="Wingdings" w:hint="default"/>
        </w:rPr>
      </w:lvl>
    </w:lvlOverride>
    <w:lvlOverride w:ilvl="6">
      <w:lvl w:ilvl="6" w:tplc="586EEDA6" w:tentative="1">
        <w:start w:val="1"/>
        <w:numFmt w:val="bullet"/>
        <w:lvlText w:val=""/>
        <w:lvlJc w:val="left"/>
        <w:pPr>
          <w:ind w:left="5040" w:hanging="360"/>
        </w:pPr>
        <w:rPr>
          <w:rFonts w:ascii="Symbol" w:hAnsi="Symbol" w:hint="default"/>
        </w:rPr>
      </w:lvl>
    </w:lvlOverride>
    <w:lvlOverride w:ilvl="7">
      <w:lvl w:ilvl="7" w:tplc="A0B24DDC" w:tentative="1">
        <w:start w:val="1"/>
        <w:numFmt w:val="bullet"/>
        <w:lvlText w:val="o"/>
        <w:lvlJc w:val="left"/>
        <w:pPr>
          <w:ind w:left="5760" w:hanging="360"/>
        </w:pPr>
        <w:rPr>
          <w:rFonts w:ascii="Courier New" w:hAnsi="Courier New" w:cs="Courier New" w:hint="default"/>
        </w:rPr>
      </w:lvl>
    </w:lvlOverride>
    <w:lvlOverride w:ilvl="8">
      <w:lvl w:ilvl="8" w:tplc="450660C0" w:tentative="1">
        <w:start w:val="1"/>
        <w:numFmt w:val="bullet"/>
        <w:lvlText w:val=""/>
        <w:lvlJc w:val="left"/>
        <w:pPr>
          <w:ind w:left="6480" w:hanging="360"/>
        </w:pPr>
        <w:rPr>
          <w:rFonts w:ascii="Wingdings" w:hAnsi="Wingdings" w:hint="default"/>
        </w:rPr>
      </w:lvl>
    </w:lvlOverride>
  </w:num>
  <w:num w:numId="7">
    <w:abstractNumId w:val="0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808"/>
    <w:rsid w:val="001D3CD9"/>
    <w:rsid w:val="002D4489"/>
    <w:rsid w:val="003A2530"/>
    <w:rsid w:val="003F6E46"/>
    <w:rsid w:val="008402E0"/>
    <w:rsid w:val="008630B5"/>
    <w:rsid w:val="00971808"/>
    <w:rsid w:val="009E4481"/>
    <w:rsid w:val="00A9356A"/>
    <w:rsid w:val="00B67E86"/>
    <w:rsid w:val="00DD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14EC33-9924-4D38-B74E-E192CF870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7180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7180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71808"/>
    <w:rPr>
      <w:vertAlign w:val="superscript"/>
    </w:rPr>
  </w:style>
  <w:style w:type="numbering" w:customStyle="1" w:styleId="ImportedStyle6">
    <w:name w:val="Imported Style 6"/>
    <w:rsid w:val="00971808"/>
    <w:pPr>
      <w:numPr>
        <w:numId w:val="1"/>
      </w:numPr>
    </w:pPr>
  </w:style>
  <w:style w:type="table" w:styleId="TableGrid">
    <w:name w:val="Table Grid"/>
    <w:basedOn w:val="TableNormal"/>
    <w:uiPriority w:val="39"/>
    <w:rsid w:val="0097180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7180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808"/>
    <w:pPr>
      <w:ind w:left="720"/>
      <w:contextualSpacing/>
    </w:pPr>
  </w:style>
  <w:style w:type="numbering" w:customStyle="1" w:styleId="ImportedStyle13">
    <w:name w:val="Imported Style 13"/>
    <w:rsid w:val="00971808"/>
    <w:pPr>
      <w:numPr>
        <w:numId w:val="4"/>
      </w:numPr>
    </w:pPr>
  </w:style>
  <w:style w:type="numbering" w:customStyle="1" w:styleId="ImportedStyle3">
    <w:name w:val="Imported Style 3"/>
    <w:rsid w:val="00971808"/>
    <w:pPr>
      <w:numPr>
        <w:numId w:val="5"/>
      </w:numPr>
    </w:pPr>
  </w:style>
  <w:style w:type="numbering" w:customStyle="1" w:styleId="ImportedStyle11">
    <w:name w:val="Imported Style 11"/>
    <w:rsid w:val="00971808"/>
    <w:pPr>
      <w:numPr>
        <w:numId w:val="1"/>
      </w:numPr>
    </w:pPr>
  </w:style>
  <w:style w:type="table" w:customStyle="1" w:styleId="1-11">
    <w:name w:val="جدول شبكة 1 فاتح - تمييز 11"/>
    <w:basedOn w:val="TableNormal"/>
    <w:uiPriority w:val="46"/>
    <w:rsid w:val="001D3CD9"/>
    <w:pPr>
      <w:spacing w:after="0" w:line="240" w:lineRule="auto"/>
    </w:p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3">
    <w:name w:val="Grid Table 4 Accent 3"/>
    <w:basedOn w:val="TableNormal"/>
    <w:uiPriority w:val="49"/>
    <w:rsid w:val="008630B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eGridLight">
    <w:name w:val="Grid Table Light"/>
    <w:basedOn w:val="TableNormal"/>
    <w:uiPriority w:val="40"/>
    <w:rsid w:val="008630B5"/>
    <w:pPr>
      <w:spacing w:after="0" w:line="240" w:lineRule="auto"/>
    </w:pPr>
    <w:rPr>
      <w:lang w:val="en-GB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2D44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489"/>
  </w:style>
  <w:style w:type="paragraph" w:styleId="Footer">
    <w:name w:val="footer"/>
    <w:basedOn w:val="Normal"/>
    <w:link w:val="FooterChar"/>
    <w:uiPriority w:val="99"/>
    <w:unhideWhenUsed/>
    <w:rsid w:val="002D44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4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0F96A-56CE-4B36-AB7E-59F1B7BF2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Miral Hammoudeh</dc:creator>
  <cp:keywords/>
  <dc:description/>
  <cp:lastModifiedBy>Miral Hammoudeh</cp:lastModifiedBy>
  <cp:revision>4</cp:revision>
  <dcterms:created xsi:type="dcterms:W3CDTF">2023-04-05T08:43:00Z</dcterms:created>
  <dcterms:modified xsi:type="dcterms:W3CDTF">2023-04-05T10:27:00Z</dcterms:modified>
</cp:coreProperties>
</file>