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229" w:rsidRDefault="00B36229" w:rsidP="002A33BA">
      <w:pPr>
        <w:jc w:val="both"/>
        <w:rPr>
          <w:rFonts w:ascii="Garamond" w:hAnsi="Garamond"/>
          <w:sz w:val="24"/>
          <w:szCs w:val="24"/>
        </w:rPr>
      </w:pPr>
      <w:bookmarkStart w:id="0" w:name="_GoBack"/>
      <w:bookmarkEnd w:id="0"/>
    </w:p>
    <w:p w:rsidR="00B36229" w:rsidRDefault="00B36229" w:rsidP="00B36229">
      <w:pPr>
        <w:pStyle w:val="NoSpacing"/>
        <w:spacing w:line="360" w:lineRule="auto"/>
        <w:jc w:val="center"/>
        <w:rPr>
          <w:rFonts w:ascii="Garamond" w:hAnsi="Garamond"/>
          <w:sz w:val="36"/>
          <w:szCs w:val="36"/>
        </w:rPr>
      </w:pPr>
      <w:r>
        <w:rPr>
          <w:rFonts w:ascii="Garamond" w:hAnsi="Garamond"/>
          <w:sz w:val="36"/>
          <w:szCs w:val="36"/>
        </w:rPr>
        <w:t>INFORME ALTERNATIVO PARA EL COMITÉ CONTRA LA TORTURA</w:t>
      </w:r>
    </w:p>
    <w:p w:rsidR="00B36229" w:rsidRDefault="00B36229" w:rsidP="00B36229">
      <w:pPr>
        <w:pStyle w:val="NoSpacing"/>
        <w:spacing w:line="360" w:lineRule="auto"/>
        <w:rPr>
          <w:rFonts w:ascii="Garamond" w:hAnsi="Garamond"/>
          <w:sz w:val="36"/>
          <w:szCs w:val="36"/>
        </w:rPr>
      </w:pPr>
    </w:p>
    <w:p w:rsidR="00B36229" w:rsidRPr="002710F8" w:rsidRDefault="00B36229" w:rsidP="00B36229">
      <w:pPr>
        <w:pStyle w:val="NoSpacing"/>
        <w:spacing w:line="360" w:lineRule="auto"/>
        <w:jc w:val="center"/>
        <w:rPr>
          <w:rFonts w:ascii="Garamond" w:hAnsi="Garamond"/>
          <w:b/>
          <w:sz w:val="36"/>
          <w:szCs w:val="36"/>
        </w:rPr>
      </w:pPr>
      <w:r>
        <w:rPr>
          <w:rFonts w:ascii="Garamond" w:hAnsi="Garamond"/>
          <w:b/>
          <w:sz w:val="36"/>
          <w:szCs w:val="36"/>
        </w:rPr>
        <w:t>Tratos crueles, inhumanos o degradantes en la atención de la salud reproductiva de las mujeres. Informe alternativo en el marco del séptimo informe periódico de México en virtud del artículo 19 de la Convención.</w:t>
      </w:r>
    </w:p>
    <w:p w:rsidR="00B36229" w:rsidRDefault="00B36229" w:rsidP="00B36229">
      <w:pPr>
        <w:pStyle w:val="NoSpacing"/>
        <w:spacing w:line="360" w:lineRule="auto"/>
        <w:jc w:val="center"/>
        <w:rPr>
          <w:rFonts w:ascii="Garamond" w:hAnsi="Garamond"/>
          <w:sz w:val="36"/>
          <w:szCs w:val="36"/>
        </w:rPr>
      </w:pPr>
    </w:p>
    <w:p w:rsidR="00B36229" w:rsidRPr="00721D60" w:rsidRDefault="00B36229" w:rsidP="00B36229">
      <w:pPr>
        <w:pStyle w:val="NoSpacing"/>
        <w:spacing w:line="360" w:lineRule="auto"/>
        <w:jc w:val="center"/>
        <w:rPr>
          <w:rFonts w:ascii="Garamond" w:hAnsi="Garamond"/>
          <w:sz w:val="36"/>
          <w:szCs w:val="36"/>
        </w:rPr>
      </w:pPr>
      <w:r w:rsidRPr="00721D60">
        <w:rPr>
          <w:rFonts w:ascii="Garamond" w:hAnsi="Garamond"/>
          <w:sz w:val="36"/>
          <w:szCs w:val="36"/>
        </w:rPr>
        <w:t>Grupo de Informaci</w:t>
      </w:r>
      <w:r>
        <w:rPr>
          <w:rFonts w:ascii="Garamond" w:hAnsi="Garamond"/>
          <w:sz w:val="36"/>
          <w:szCs w:val="36"/>
        </w:rPr>
        <w:t>ón en Reproducción Elegida (GIRE), A.C.</w:t>
      </w:r>
    </w:p>
    <w:p w:rsidR="00B36229" w:rsidRDefault="00B36229" w:rsidP="00B36229">
      <w:pPr>
        <w:pStyle w:val="NoSpacing"/>
        <w:spacing w:line="360" w:lineRule="auto"/>
        <w:jc w:val="both"/>
        <w:rPr>
          <w:rFonts w:ascii="Garamond" w:hAnsi="Garamond"/>
          <w:sz w:val="24"/>
          <w:szCs w:val="24"/>
        </w:rPr>
      </w:pPr>
    </w:p>
    <w:p w:rsidR="00B36229" w:rsidRDefault="00B36229" w:rsidP="00B36229">
      <w:pPr>
        <w:pStyle w:val="NoSpacing"/>
        <w:spacing w:line="360" w:lineRule="auto"/>
        <w:jc w:val="center"/>
        <w:rPr>
          <w:rFonts w:ascii="Garamond" w:hAnsi="Garamond"/>
          <w:sz w:val="36"/>
          <w:szCs w:val="36"/>
        </w:rPr>
      </w:pPr>
      <w:r>
        <w:rPr>
          <w:rFonts w:ascii="Garamond" w:hAnsi="Garamond"/>
          <w:sz w:val="36"/>
          <w:szCs w:val="36"/>
        </w:rPr>
        <w:t>66° Sesión</w:t>
      </w:r>
    </w:p>
    <w:p w:rsidR="00B36229" w:rsidRDefault="00B36229" w:rsidP="00B36229">
      <w:pPr>
        <w:pStyle w:val="NoSpacing"/>
        <w:spacing w:line="360" w:lineRule="auto"/>
        <w:jc w:val="center"/>
        <w:rPr>
          <w:rFonts w:ascii="Garamond" w:hAnsi="Garamond"/>
          <w:sz w:val="36"/>
          <w:szCs w:val="36"/>
        </w:rPr>
      </w:pPr>
      <w:r>
        <w:rPr>
          <w:rFonts w:ascii="Garamond" w:hAnsi="Garamond"/>
          <w:sz w:val="36"/>
          <w:szCs w:val="36"/>
        </w:rPr>
        <w:t>23 de abril al 19 de mayo de 2019</w:t>
      </w:r>
    </w:p>
    <w:p w:rsidR="00B36229" w:rsidRDefault="00B36229" w:rsidP="002A33BA">
      <w:pPr>
        <w:jc w:val="both"/>
        <w:rPr>
          <w:rFonts w:ascii="Garamond" w:hAnsi="Garamond"/>
          <w:sz w:val="24"/>
          <w:szCs w:val="24"/>
        </w:rPr>
      </w:pPr>
    </w:p>
    <w:p w:rsidR="00B36229" w:rsidRDefault="00B36229" w:rsidP="002A33BA">
      <w:pPr>
        <w:jc w:val="both"/>
        <w:rPr>
          <w:rFonts w:ascii="Garamond" w:hAnsi="Garamond"/>
          <w:sz w:val="24"/>
          <w:szCs w:val="24"/>
        </w:rPr>
      </w:pPr>
    </w:p>
    <w:p w:rsidR="00B36229" w:rsidRDefault="00B36229" w:rsidP="00B36229">
      <w:pPr>
        <w:jc w:val="right"/>
        <w:rPr>
          <w:rFonts w:ascii="Garamond" w:hAnsi="Garamond"/>
          <w:sz w:val="24"/>
          <w:szCs w:val="24"/>
        </w:rPr>
      </w:pPr>
      <w:r>
        <w:rPr>
          <w:rFonts w:ascii="Garamond" w:hAnsi="Garamond"/>
          <w:noProof/>
          <w:sz w:val="24"/>
          <w:szCs w:val="24"/>
          <w:lang w:val="en-GB" w:eastAsia="en-GB"/>
        </w:rPr>
        <w:drawing>
          <wp:inline distT="0" distB="0" distL="0" distR="0" wp14:anchorId="11B0ABEB" wp14:editId="41C01FA7">
            <wp:extent cx="2810510" cy="20300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0510" cy="2030095"/>
                    </a:xfrm>
                    <a:prstGeom prst="rect">
                      <a:avLst/>
                    </a:prstGeom>
                    <a:noFill/>
                  </pic:spPr>
                </pic:pic>
              </a:graphicData>
            </a:graphic>
          </wp:inline>
        </w:drawing>
      </w:r>
    </w:p>
    <w:p w:rsidR="00B36229" w:rsidRDefault="00B36229" w:rsidP="002A33BA">
      <w:pPr>
        <w:jc w:val="both"/>
        <w:rPr>
          <w:rFonts w:ascii="Garamond" w:hAnsi="Garamond"/>
          <w:sz w:val="24"/>
          <w:szCs w:val="24"/>
        </w:rPr>
      </w:pPr>
    </w:p>
    <w:p w:rsidR="00B36229" w:rsidRDefault="00B36229" w:rsidP="002A33BA">
      <w:pPr>
        <w:jc w:val="both"/>
        <w:rPr>
          <w:rFonts w:ascii="Garamond" w:hAnsi="Garamond"/>
          <w:sz w:val="24"/>
          <w:szCs w:val="24"/>
        </w:rPr>
      </w:pPr>
    </w:p>
    <w:p w:rsidR="00B36229" w:rsidRDefault="00B36229" w:rsidP="002A33BA">
      <w:pPr>
        <w:jc w:val="both"/>
        <w:rPr>
          <w:rFonts w:ascii="Garamond" w:hAnsi="Garamond"/>
          <w:sz w:val="24"/>
          <w:szCs w:val="24"/>
        </w:rPr>
      </w:pPr>
    </w:p>
    <w:p w:rsidR="002A33BA" w:rsidRDefault="002A33BA" w:rsidP="002A33BA">
      <w:pPr>
        <w:jc w:val="both"/>
        <w:rPr>
          <w:rFonts w:ascii="Garamond" w:hAnsi="Garamond"/>
          <w:sz w:val="24"/>
          <w:szCs w:val="24"/>
        </w:rPr>
      </w:pPr>
      <w:r>
        <w:rPr>
          <w:rFonts w:ascii="Garamond" w:hAnsi="Garamond"/>
          <w:sz w:val="24"/>
          <w:szCs w:val="24"/>
        </w:rPr>
        <w:t>Comité contra la Tortura</w:t>
      </w:r>
    </w:p>
    <w:p w:rsidR="002A33BA" w:rsidRDefault="002A33BA" w:rsidP="002A33BA">
      <w:pPr>
        <w:pStyle w:val="NoSpacing"/>
        <w:jc w:val="right"/>
        <w:rPr>
          <w:rFonts w:ascii="Garamond" w:hAnsi="Garamond"/>
          <w:b/>
          <w:sz w:val="24"/>
          <w:szCs w:val="24"/>
        </w:rPr>
      </w:pPr>
    </w:p>
    <w:p w:rsidR="002A33BA" w:rsidRDefault="002A33BA" w:rsidP="002A33BA">
      <w:pPr>
        <w:pStyle w:val="NoSpacing"/>
        <w:jc w:val="right"/>
        <w:rPr>
          <w:rFonts w:ascii="Garamond" w:hAnsi="Garamond"/>
          <w:b/>
          <w:sz w:val="24"/>
          <w:szCs w:val="24"/>
        </w:rPr>
      </w:pPr>
    </w:p>
    <w:p w:rsidR="002A33BA" w:rsidRPr="00E12A30" w:rsidRDefault="002A33BA" w:rsidP="002A33BA">
      <w:pPr>
        <w:pStyle w:val="NoSpacing"/>
        <w:jc w:val="right"/>
        <w:rPr>
          <w:rFonts w:ascii="Garamond" w:hAnsi="Garamond"/>
          <w:b/>
          <w:sz w:val="24"/>
          <w:szCs w:val="24"/>
        </w:rPr>
      </w:pPr>
      <w:bookmarkStart w:id="1" w:name="_Hlk4154449"/>
      <w:r w:rsidRPr="00E12A30">
        <w:rPr>
          <w:rFonts w:ascii="Garamond" w:hAnsi="Garamond"/>
          <w:b/>
          <w:sz w:val="24"/>
          <w:szCs w:val="24"/>
        </w:rPr>
        <w:t>Informe alternativo sobre</w:t>
      </w:r>
      <w:r>
        <w:rPr>
          <w:rFonts w:ascii="Garamond" w:hAnsi="Garamond"/>
          <w:b/>
          <w:sz w:val="24"/>
          <w:szCs w:val="24"/>
        </w:rPr>
        <w:t xml:space="preserve"> tratos crueles, inhumanos o degradantes en la atención de la salud reproductiva de las mujeres</w:t>
      </w:r>
      <w:r w:rsidRPr="00E12A30">
        <w:rPr>
          <w:rFonts w:ascii="Garamond" w:hAnsi="Garamond"/>
          <w:b/>
          <w:sz w:val="24"/>
          <w:szCs w:val="24"/>
        </w:rPr>
        <w:t xml:space="preserve">, en el marco del </w:t>
      </w:r>
      <w:r w:rsidR="004A4491">
        <w:rPr>
          <w:rFonts w:ascii="Garamond" w:hAnsi="Garamond"/>
          <w:b/>
          <w:sz w:val="24"/>
          <w:szCs w:val="24"/>
        </w:rPr>
        <w:t xml:space="preserve">séptimo informe periódico de México en virtud del artículo 19 de la Convención </w:t>
      </w:r>
    </w:p>
    <w:p w:rsidR="002A33BA" w:rsidRPr="00E12A30" w:rsidRDefault="002A33BA" w:rsidP="002A33BA">
      <w:pPr>
        <w:pStyle w:val="NoSpacing"/>
        <w:jc w:val="right"/>
        <w:rPr>
          <w:rFonts w:ascii="Garamond" w:hAnsi="Garamond"/>
          <w:sz w:val="24"/>
          <w:szCs w:val="24"/>
        </w:rPr>
      </w:pPr>
      <w:r w:rsidRPr="00E12A30">
        <w:rPr>
          <w:rFonts w:ascii="Garamond" w:hAnsi="Garamond"/>
          <w:sz w:val="24"/>
          <w:szCs w:val="24"/>
        </w:rPr>
        <w:t>6</w:t>
      </w:r>
      <w:r w:rsidR="0058093E">
        <w:rPr>
          <w:rFonts w:ascii="Garamond" w:hAnsi="Garamond"/>
          <w:sz w:val="24"/>
          <w:szCs w:val="24"/>
        </w:rPr>
        <w:t>6</w:t>
      </w:r>
      <w:r w:rsidRPr="00E12A30">
        <w:rPr>
          <w:rFonts w:ascii="Garamond" w:hAnsi="Garamond"/>
          <w:sz w:val="24"/>
          <w:szCs w:val="24"/>
        </w:rPr>
        <w:t>° Sesión</w:t>
      </w:r>
    </w:p>
    <w:p w:rsidR="002A33BA" w:rsidRPr="00E12A30" w:rsidRDefault="004A4491" w:rsidP="002A33BA">
      <w:pPr>
        <w:pStyle w:val="NoSpacing"/>
        <w:jc w:val="right"/>
        <w:rPr>
          <w:rFonts w:ascii="Garamond" w:hAnsi="Garamond"/>
          <w:sz w:val="24"/>
          <w:szCs w:val="24"/>
        </w:rPr>
      </w:pPr>
      <w:r>
        <w:rPr>
          <w:rFonts w:ascii="Garamond" w:hAnsi="Garamond"/>
          <w:sz w:val="24"/>
          <w:szCs w:val="24"/>
        </w:rPr>
        <w:t>23 de abril al 19 de mayo</w:t>
      </w:r>
      <w:r w:rsidR="002A33BA" w:rsidRPr="00E12A30">
        <w:rPr>
          <w:rFonts w:ascii="Garamond" w:hAnsi="Garamond"/>
          <w:sz w:val="24"/>
          <w:szCs w:val="24"/>
        </w:rPr>
        <w:t>, 201</w:t>
      </w:r>
      <w:r>
        <w:rPr>
          <w:rFonts w:ascii="Garamond" w:hAnsi="Garamond"/>
          <w:sz w:val="24"/>
          <w:szCs w:val="24"/>
        </w:rPr>
        <w:t>9</w:t>
      </w:r>
      <w:r w:rsidR="002A33BA" w:rsidRPr="00E12A30">
        <w:rPr>
          <w:rFonts w:ascii="Garamond" w:hAnsi="Garamond"/>
          <w:sz w:val="24"/>
          <w:szCs w:val="24"/>
        </w:rPr>
        <w:t>.</w:t>
      </w:r>
    </w:p>
    <w:bookmarkEnd w:id="1"/>
    <w:p w:rsidR="002A33BA" w:rsidRDefault="002A33BA" w:rsidP="002A33BA">
      <w:pPr>
        <w:pStyle w:val="NoSpacing"/>
        <w:spacing w:line="360" w:lineRule="auto"/>
        <w:jc w:val="right"/>
        <w:rPr>
          <w:rFonts w:ascii="Garamond" w:hAnsi="Garamond"/>
          <w:sz w:val="24"/>
          <w:szCs w:val="24"/>
        </w:rPr>
      </w:pPr>
    </w:p>
    <w:p w:rsidR="002A33BA" w:rsidRDefault="002A33BA" w:rsidP="00844E68">
      <w:pPr>
        <w:pStyle w:val="NoSpacing"/>
        <w:spacing w:line="360" w:lineRule="auto"/>
        <w:jc w:val="both"/>
        <w:rPr>
          <w:rFonts w:ascii="Garamond" w:hAnsi="Garamond"/>
          <w:sz w:val="24"/>
          <w:szCs w:val="24"/>
        </w:rPr>
      </w:pPr>
      <w:r>
        <w:rPr>
          <w:rFonts w:ascii="Garamond" w:hAnsi="Garamond"/>
          <w:sz w:val="24"/>
          <w:szCs w:val="24"/>
        </w:rPr>
        <w:t>Distinguidos miembros del Comité:</w:t>
      </w:r>
    </w:p>
    <w:p w:rsidR="002A33BA" w:rsidRDefault="002A33BA" w:rsidP="00844E68">
      <w:pPr>
        <w:pStyle w:val="NoSpacing"/>
        <w:spacing w:line="360" w:lineRule="auto"/>
        <w:jc w:val="both"/>
        <w:rPr>
          <w:rFonts w:ascii="Garamond" w:hAnsi="Garamond"/>
          <w:sz w:val="24"/>
          <w:szCs w:val="24"/>
        </w:rPr>
      </w:pPr>
    </w:p>
    <w:p w:rsidR="00244D5B" w:rsidRDefault="00844E68" w:rsidP="00844E68">
      <w:pPr>
        <w:spacing w:line="360" w:lineRule="auto"/>
        <w:jc w:val="both"/>
        <w:rPr>
          <w:rFonts w:ascii="Garamond" w:hAnsi="Garamond"/>
          <w:sz w:val="24"/>
          <w:szCs w:val="24"/>
        </w:rPr>
      </w:pPr>
      <w:r>
        <w:rPr>
          <w:rFonts w:ascii="Garamond" w:hAnsi="Garamond"/>
          <w:sz w:val="24"/>
          <w:szCs w:val="24"/>
        </w:rPr>
        <w:t>En México, l</w:t>
      </w:r>
      <w:r w:rsidR="00DE13B9">
        <w:rPr>
          <w:rFonts w:ascii="Garamond" w:hAnsi="Garamond"/>
          <w:sz w:val="24"/>
          <w:szCs w:val="24"/>
        </w:rPr>
        <w:t>os</w:t>
      </w:r>
      <w:r w:rsidR="00244D5B">
        <w:rPr>
          <w:rFonts w:ascii="Garamond" w:hAnsi="Garamond"/>
          <w:sz w:val="24"/>
          <w:szCs w:val="24"/>
        </w:rPr>
        <w:t xml:space="preserve"> </w:t>
      </w:r>
      <w:r w:rsidR="0072356A">
        <w:rPr>
          <w:rFonts w:ascii="Garamond" w:hAnsi="Garamond"/>
          <w:sz w:val="24"/>
          <w:szCs w:val="24"/>
        </w:rPr>
        <w:t>tratos</w:t>
      </w:r>
      <w:r w:rsidR="00244D5B">
        <w:rPr>
          <w:rFonts w:ascii="Garamond" w:hAnsi="Garamond"/>
          <w:sz w:val="24"/>
          <w:szCs w:val="24"/>
        </w:rPr>
        <w:t xml:space="preserve"> crueles, inhumanos o degradantes</w:t>
      </w:r>
      <w:r w:rsidR="00DE13B9">
        <w:rPr>
          <w:rFonts w:ascii="Garamond" w:hAnsi="Garamond"/>
          <w:sz w:val="24"/>
          <w:szCs w:val="24"/>
        </w:rPr>
        <w:t xml:space="preserve"> hacia las niñas y mujeres en </w:t>
      </w:r>
      <w:r w:rsidR="0072356A">
        <w:rPr>
          <w:rFonts w:ascii="Garamond" w:hAnsi="Garamond"/>
          <w:sz w:val="24"/>
          <w:szCs w:val="24"/>
        </w:rPr>
        <w:t>instituciones públicas</w:t>
      </w:r>
      <w:r w:rsidR="00DE13B9">
        <w:rPr>
          <w:rFonts w:ascii="Garamond" w:hAnsi="Garamond"/>
          <w:sz w:val="24"/>
          <w:szCs w:val="24"/>
        </w:rPr>
        <w:t xml:space="preserve"> de atención de salud reproductiva son comunes, sobre todo para </w:t>
      </w:r>
      <w:r w:rsidR="0072356A">
        <w:rPr>
          <w:rFonts w:ascii="Garamond" w:hAnsi="Garamond"/>
          <w:sz w:val="24"/>
          <w:szCs w:val="24"/>
        </w:rPr>
        <w:t xml:space="preserve">las que viven en situaciones de mayor marginación social y económica. </w:t>
      </w:r>
      <w:r w:rsidR="00244D5B">
        <w:rPr>
          <w:rFonts w:ascii="Garamond" w:hAnsi="Garamond"/>
          <w:sz w:val="24"/>
          <w:szCs w:val="24"/>
        </w:rPr>
        <w:t xml:space="preserve"> </w:t>
      </w:r>
    </w:p>
    <w:p w:rsidR="004B6D74" w:rsidRDefault="00A7784F" w:rsidP="00844E68">
      <w:pPr>
        <w:spacing w:line="360" w:lineRule="auto"/>
        <w:jc w:val="both"/>
        <w:rPr>
          <w:rFonts w:ascii="Garamond" w:hAnsi="Garamond"/>
          <w:sz w:val="24"/>
          <w:szCs w:val="24"/>
        </w:rPr>
      </w:pPr>
      <w:r>
        <w:rPr>
          <w:rFonts w:ascii="Garamond" w:hAnsi="Garamond"/>
          <w:sz w:val="24"/>
          <w:szCs w:val="24"/>
        </w:rPr>
        <w:t xml:space="preserve">Muchos de </w:t>
      </w:r>
      <w:r w:rsidR="006B5C0D">
        <w:rPr>
          <w:rFonts w:ascii="Garamond" w:hAnsi="Garamond"/>
          <w:sz w:val="24"/>
          <w:szCs w:val="24"/>
        </w:rPr>
        <w:t xml:space="preserve">estos tratos </w:t>
      </w:r>
      <w:r>
        <w:rPr>
          <w:rFonts w:ascii="Garamond" w:hAnsi="Garamond"/>
          <w:sz w:val="24"/>
          <w:szCs w:val="24"/>
        </w:rPr>
        <w:t>a los que hacemos referencia corresponden a lo que hoy se conoce como violencia obstétrica</w:t>
      </w:r>
      <w:r w:rsidR="00844E68">
        <w:rPr>
          <w:rFonts w:ascii="Garamond" w:hAnsi="Garamond"/>
          <w:sz w:val="24"/>
          <w:szCs w:val="24"/>
        </w:rPr>
        <w:t>;</w:t>
      </w:r>
      <w:r>
        <w:rPr>
          <w:rStyle w:val="FootnoteReference"/>
          <w:rFonts w:ascii="Garamond" w:hAnsi="Garamond"/>
          <w:sz w:val="24"/>
          <w:szCs w:val="24"/>
        </w:rPr>
        <w:footnoteReference w:id="1"/>
      </w:r>
      <w:r>
        <w:rPr>
          <w:rFonts w:ascii="Garamond" w:hAnsi="Garamond"/>
          <w:sz w:val="24"/>
          <w:szCs w:val="24"/>
        </w:rPr>
        <w:t xml:space="preserve"> otros casos</w:t>
      </w:r>
      <w:r w:rsidR="00844E68">
        <w:rPr>
          <w:rFonts w:ascii="Garamond" w:hAnsi="Garamond"/>
          <w:sz w:val="24"/>
          <w:szCs w:val="24"/>
        </w:rPr>
        <w:t xml:space="preserve"> están relacionados a la negativa, por parte de los prestadores de servicios de salud, a proporcionar el </w:t>
      </w:r>
      <w:r w:rsidR="00886EE7">
        <w:rPr>
          <w:rFonts w:ascii="Garamond" w:hAnsi="Garamond"/>
          <w:sz w:val="24"/>
          <w:szCs w:val="24"/>
        </w:rPr>
        <w:t>servicio de aborto bajo las causales permitidas en el marco legal</w:t>
      </w:r>
      <w:r w:rsidR="00844E68">
        <w:rPr>
          <w:rFonts w:ascii="Garamond" w:hAnsi="Garamond"/>
          <w:sz w:val="24"/>
          <w:szCs w:val="24"/>
        </w:rPr>
        <w:t>. Unos y otros tratos</w:t>
      </w:r>
      <w:r w:rsidR="00886EE7">
        <w:rPr>
          <w:rFonts w:ascii="Garamond" w:hAnsi="Garamond"/>
          <w:sz w:val="24"/>
          <w:szCs w:val="24"/>
        </w:rPr>
        <w:t>, provocados por motivos de género,</w:t>
      </w:r>
      <w:r w:rsidR="00844E68">
        <w:rPr>
          <w:rFonts w:ascii="Garamond" w:hAnsi="Garamond"/>
          <w:sz w:val="24"/>
          <w:szCs w:val="24"/>
        </w:rPr>
        <w:t xml:space="preserve"> infligen</w:t>
      </w:r>
      <w:r>
        <w:rPr>
          <w:rFonts w:ascii="Garamond" w:hAnsi="Garamond"/>
          <w:sz w:val="24"/>
          <w:szCs w:val="24"/>
        </w:rPr>
        <w:t xml:space="preserve"> </w:t>
      </w:r>
      <w:r w:rsidR="00386BE0">
        <w:rPr>
          <w:rFonts w:ascii="Garamond" w:hAnsi="Garamond"/>
          <w:sz w:val="24"/>
          <w:szCs w:val="24"/>
        </w:rPr>
        <w:t xml:space="preserve">a las víctimas </w:t>
      </w:r>
      <w:r>
        <w:rPr>
          <w:rFonts w:ascii="Garamond" w:hAnsi="Garamond"/>
          <w:sz w:val="24"/>
          <w:szCs w:val="24"/>
        </w:rPr>
        <w:t>enormes y duraderos sufrimientos físicos y emocionales</w:t>
      </w:r>
      <w:r w:rsidR="00386BE0">
        <w:rPr>
          <w:rFonts w:ascii="Garamond" w:hAnsi="Garamond"/>
          <w:sz w:val="24"/>
          <w:szCs w:val="24"/>
        </w:rPr>
        <w:t>.</w:t>
      </w:r>
      <w:r w:rsidR="00654CC4">
        <w:rPr>
          <w:rStyle w:val="FootnoteReference"/>
          <w:rFonts w:ascii="Garamond" w:hAnsi="Garamond"/>
          <w:sz w:val="24"/>
          <w:szCs w:val="24"/>
        </w:rPr>
        <w:footnoteReference w:id="2"/>
      </w:r>
      <w:r w:rsidR="00844E68">
        <w:rPr>
          <w:rFonts w:ascii="Garamond" w:hAnsi="Garamond"/>
          <w:sz w:val="24"/>
          <w:szCs w:val="24"/>
        </w:rPr>
        <w:t xml:space="preserve"> </w:t>
      </w:r>
    </w:p>
    <w:p w:rsidR="00DE21C5" w:rsidRDefault="00B87B03" w:rsidP="00844E68">
      <w:pPr>
        <w:spacing w:line="360" w:lineRule="auto"/>
        <w:jc w:val="both"/>
        <w:rPr>
          <w:rFonts w:ascii="Garamond" w:hAnsi="Garamond"/>
          <w:sz w:val="24"/>
          <w:szCs w:val="24"/>
        </w:rPr>
      </w:pPr>
      <w:r>
        <w:rPr>
          <w:rFonts w:ascii="Garamond" w:hAnsi="Garamond"/>
          <w:sz w:val="24"/>
          <w:szCs w:val="24"/>
        </w:rPr>
        <w:t>Según datos de</w:t>
      </w:r>
      <w:r w:rsidR="00F0305F">
        <w:rPr>
          <w:rFonts w:ascii="Garamond" w:hAnsi="Garamond"/>
          <w:sz w:val="24"/>
          <w:szCs w:val="24"/>
        </w:rPr>
        <w:t xml:space="preserve"> la Encuesta Nacional sobre la Dinámica de las Relaciones en los Hogares (ENDIREH) 2016, </w:t>
      </w:r>
      <w:r w:rsidR="00734D4E">
        <w:rPr>
          <w:rFonts w:ascii="Garamond" w:hAnsi="Garamond"/>
          <w:sz w:val="24"/>
          <w:szCs w:val="24"/>
        </w:rPr>
        <w:t xml:space="preserve">el 33.4 % de las mujeres de 15 a 49 años que tuvieron un parto, sufrió </w:t>
      </w:r>
      <w:r w:rsidR="00734D4E">
        <w:rPr>
          <w:rFonts w:ascii="Garamond" w:hAnsi="Garamond"/>
          <w:sz w:val="24"/>
          <w:szCs w:val="24"/>
        </w:rPr>
        <w:lastRenderedPageBreak/>
        <w:t>violencia obstétrica.</w:t>
      </w:r>
      <w:r w:rsidR="00654CC4">
        <w:rPr>
          <w:rStyle w:val="FootnoteReference"/>
          <w:rFonts w:ascii="Garamond" w:hAnsi="Garamond"/>
          <w:sz w:val="24"/>
          <w:szCs w:val="24"/>
        </w:rPr>
        <w:footnoteReference w:id="3"/>
      </w:r>
      <w:r w:rsidR="0059292F">
        <w:rPr>
          <w:rFonts w:ascii="Garamond" w:hAnsi="Garamond"/>
          <w:sz w:val="24"/>
          <w:szCs w:val="24"/>
        </w:rPr>
        <w:t xml:space="preserve"> De acuerdo a solicitudes de acceso a la información gubernamental realizadas por GIRE, </w:t>
      </w:r>
      <w:r w:rsidR="00DE4D1E">
        <w:rPr>
          <w:rFonts w:ascii="Garamond" w:hAnsi="Garamond"/>
          <w:sz w:val="24"/>
          <w:szCs w:val="24"/>
        </w:rPr>
        <w:t>de diciembre de 2012 a septiembre de 2017, se presentaron 507 quejas por concepto de violencia obstétrica ante la Comisión Nacional de los Derechos Humanos, y 1,109 quejas por el mismo concepto ante las comisiones locales de d</w:t>
      </w:r>
      <w:r w:rsidR="001A5F7C">
        <w:rPr>
          <w:rFonts w:ascii="Garamond" w:hAnsi="Garamond"/>
          <w:sz w:val="24"/>
          <w:szCs w:val="24"/>
        </w:rPr>
        <w:t>erechos humanos</w:t>
      </w:r>
      <w:r>
        <w:rPr>
          <w:rFonts w:ascii="Garamond" w:hAnsi="Garamond"/>
          <w:sz w:val="24"/>
          <w:szCs w:val="24"/>
        </w:rPr>
        <w:t>.</w:t>
      </w:r>
      <w:r w:rsidR="00654CC4">
        <w:rPr>
          <w:rStyle w:val="FootnoteReference"/>
          <w:rFonts w:ascii="Garamond" w:hAnsi="Garamond"/>
          <w:sz w:val="24"/>
          <w:szCs w:val="24"/>
        </w:rPr>
        <w:footnoteReference w:id="4"/>
      </w:r>
    </w:p>
    <w:p w:rsidR="00DE4D1E" w:rsidRDefault="00DE4D1E" w:rsidP="00844E68">
      <w:pPr>
        <w:spacing w:line="360" w:lineRule="auto"/>
        <w:jc w:val="both"/>
        <w:rPr>
          <w:rFonts w:ascii="Garamond" w:hAnsi="Garamond"/>
          <w:sz w:val="24"/>
          <w:szCs w:val="24"/>
        </w:rPr>
      </w:pPr>
      <w:r>
        <w:rPr>
          <w:rFonts w:ascii="Garamond" w:hAnsi="Garamond"/>
          <w:sz w:val="24"/>
          <w:szCs w:val="24"/>
        </w:rPr>
        <w:t>Por otro lado,</w:t>
      </w:r>
      <w:r w:rsidR="00FC5252">
        <w:rPr>
          <w:rFonts w:ascii="Garamond" w:hAnsi="Garamond"/>
          <w:sz w:val="24"/>
          <w:szCs w:val="24"/>
        </w:rPr>
        <w:t xml:space="preserve"> el marco legal para el acceso al aborto en México es restringido. A pesar de que los códigos penales de cada entidad federativa prevén algunas causales </w:t>
      </w:r>
      <w:r w:rsidR="00612FF9">
        <w:rPr>
          <w:rFonts w:ascii="Garamond" w:hAnsi="Garamond"/>
          <w:sz w:val="24"/>
          <w:szCs w:val="24"/>
        </w:rPr>
        <w:t xml:space="preserve">bajo las cuales se permite el aborto, frecuentemente los prestadores de servicios de salud niegan el acceso a las mujeres bajo consideraciones que </w:t>
      </w:r>
      <w:r w:rsidR="00A71B60">
        <w:rPr>
          <w:rFonts w:ascii="Garamond" w:hAnsi="Garamond"/>
          <w:sz w:val="24"/>
          <w:szCs w:val="24"/>
        </w:rPr>
        <w:t xml:space="preserve">o </w:t>
      </w:r>
      <w:r w:rsidR="00612FF9">
        <w:rPr>
          <w:rFonts w:ascii="Garamond" w:hAnsi="Garamond"/>
          <w:sz w:val="24"/>
          <w:szCs w:val="24"/>
        </w:rPr>
        <w:t xml:space="preserve">no </w:t>
      </w:r>
      <w:r w:rsidR="00612FF9" w:rsidRPr="00A71B60">
        <w:rPr>
          <w:rFonts w:ascii="Garamond" w:hAnsi="Garamond"/>
          <w:sz w:val="24"/>
          <w:szCs w:val="24"/>
        </w:rPr>
        <w:t>están previstas</w:t>
      </w:r>
      <w:r w:rsidR="00612FF9">
        <w:rPr>
          <w:rFonts w:ascii="Garamond" w:hAnsi="Garamond"/>
          <w:sz w:val="24"/>
          <w:szCs w:val="24"/>
        </w:rPr>
        <w:t xml:space="preserve"> en la ley</w:t>
      </w:r>
      <w:r w:rsidR="00A71B60">
        <w:rPr>
          <w:rFonts w:ascii="Garamond" w:hAnsi="Garamond"/>
          <w:sz w:val="24"/>
          <w:szCs w:val="24"/>
        </w:rPr>
        <w:t>, o no son aplicables,</w:t>
      </w:r>
      <w:r w:rsidR="00612FF9">
        <w:rPr>
          <w:rFonts w:ascii="Garamond" w:hAnsi="Garamond"/>
          <w:sz w:val="24"/>
          <w:szCs w:val="24"/>
        </w:rPr>
        <w:t xml:space="preserve"> e impon</w:t>
      </w:r>
      <w:r w:rsidR="00886EE7">
        <w:rPr>
          <w:rFonts w:ascii="Garamond" w:hAnsi="Garamond"/>
          <w:sz w:val="24"/>
          <w:szCs w:val="24"/>
        </w:rPr>
        <w:t>en</w:t>
      </w:r>
      <w:r w:rsidR="00B87B03">
        <w:rPr>
          <w:rFonts w:ascii="Garamond" w:hAnsi="Garamond"/>
          <w:sz w:val="24"/>
          <w:szCs w:val="24"/>
        </w:rPr>
        <w:t xml:space="preserve"> sus creencias personales</w:t>
      </w:r>
      <w:r w:rsidR="00612FF9">
        <w:rPr>
          <w:rFonts w:ascii="Garamond" w:hAnsi="Garamond"/>
          <w:sz w:val="24"/>
          <w:szCs w:val="24"/>
        </w:rPr>
        <w:t xml:space="preserve"> sobre la integridad de las mujeres.</w:t>
      </w:r>
    </w:p>
    <w:p w:rsidR="00EA7A08" w:rsidRDefault="00E83BD4" w:rsidP="00844E68">
      <w:pPr>
        <w:spacing w:line="360" w:lineRule="auto"/>
        <w:jc w:val="both"/>
        <w:rPr>
          <w:rFonts w:ascii="Garamond" w:hAnsi="Garamond"/>
          <w:sz w:val="24"/>
          <w:szCs w:val="24"/>
        </w:rPr>
      </w:pPr>
      <w:r>
        <w:rPr>
          <w:rFonts w:ascii="Garamond" w:hAnsi="Garamond"/>
          <w:sz w:val="24"/>
          <w:szCs w:val="24"/>
        </w:rPr>
        <w:t>Como lo ha expresado el Relator Especial sobre la Tortura y otros tratos o penas crueles, inhumanos o degradantes, si bien en un principio el marco de protección contra la tortura y malos tratos ha sido aplicado en contextos como los interrogatorios, castigo e intimidación de detenidos, la comunidad internacional ha advertido que la tortura y los malos tratos también puede suceder en otros espacios, como los entornos de atención a la salud.</w:t>
      </w:r>
      <w:r w:rsidR="00BD5FE6">
        <w:rPr>
          <w:rStyle w:val="FootnoteReference"/>
          <w:rFonts w:ascii="Garamond" w:hAnsi="Garamond"/>
          <w:sz w:val="24"/>
          <w:szCs w:val="24"/>
        </w:rPr>
        <w:footnoteReference w:id="5"/>
      </w:r>
      <w:r>
        <w:rPr>
          <w:rFonts w:ascii="Garamond" w:hAnsi="Garamond"/>
          <w:sz w:val="24"/>
          <w:szCs w:val="24"/>
        </w:rPr>
        <w:t xml:space="preserve"> </w:t>
      </w:r>
    </w:p>
    <w:p w:rsidR="00386BE0" w:rsidRDefault="00386BE0" w:rsidP="00844E68">
      <w:pPr>
        <w:spacing w:line="360" w:lineRule="auto"/>
        <w:jc w:val="both"/>
        <w:rPr>
          <w:rFonts w:ascii="Garamond" w:hAnsi="Garamond"/>
          <w:sz w:val="24"/>
          <w:szCs w:val="24"/>
        </w:rPr>
      </w:pPr>
      <w:r>
        <w:rPr>
          <w:rFonts w:ascii="Garamond" w:hAnsi="Garamond"/>
          <w:sz w:val="24"/>
          <w:szCs w:val="24"/>
        </w:rPr>
        <w:t>En palabras del R</w:t>
      </w:r>
      <w:r w:rsidRPr="00EC1693">
        <w:rPr>
          <w:rFonts w:ascii="Garamond" w:hAnsi="Garamond"/>
          <w:sz w:val="24"/>
          <w:szCs w:val="24"/>
        </w:rPr>
        <w:t>elato</w:t>
      </w:r>
      <w:r>
        <w:rPr>
          <w:rFonts w:ascii="Garamond" w:hAnsi="Garamond"/>
          <w:sz w:val="24"/>
          <w:szCs w:val="24"/>
        </w:rPr>
        <w:t xml:space="preserve">r, </w:t>
      </w:r>
    </w:p>
    <w:p w:rsidR="00386BE0" w:rsidRPr="00B87B03" w:rsidRDefault="00E83BD4" w:rsidP="00B87B03">
      <w:pPr>
        <w:spacing w:line="360" w:lineRule="auto"/>
        <w:ind w:left="708"/>
        <w:jc w:val="both"/>
        <w:rPr>
          <w:rFonts w:ascii="Garamond" w:hAnsi="Garamond"/>
        </w:rPr>
      </w:pPr>
      <w:r w:rsidRPr="00386BE0">
        <w:rPr>
          <w:rFonts w:ascii="Garamond" w:hAnsi="Garamond"/>
        </w:rPr>
        <w:lastRenderedPageBreak/>
        <w:t>Al parecer, proveedores de servicios de salud no dispensan cuidados</w:t>
      </w:r>
      <w:r w:rsidR="00386BE0" w:rsidRPr="00386BE0">
        <w:rPr>
          <w:rFonts w:ascii="Garamond" w:hAnsi="Garamond"/>
        </w:rPr>
        <w:t xml:space="preserve"> o realizan tratamientos que infligen dolor o sufrimiento grave sin motivos médicos legítimos. Los cuidados médicos que causan graves sufrimientos sin ningún motivo aparente pueden considerarse crueles, inhumanos o degradantes, y si hay participación estatal y una intención específica, constituyen tortura.</w:t>
      </w:r>
      <w:r w:rsidR="00BD5FE6">
        <w:rPr>
          <w:rStyle w:val="FootnoteReference"/>
          <w:rFonts w:ascii="Garamond" w:hAnsi="Garamond"/>
        </w:rPr>
        <w:footnoteReference w:id="6"/>
      </w:r>
      <w:r w:rsidR="00386BE0" w:rsidRPr="00386BE0">
        <w:rPr>
          <w:rFonts w:ascii="Garamond" w:hAnsi="Garamond"/>
        </w:rPr>
        <w:t xml:space="preserve"> </w:t>
      </w:r>
    </w:p>
    <w:p w:rsidR="00B87B03" w:rsidRDefault="00B87B03" w:rsidP="00844E68">
      <w:pPr>
        <w:spacing w:line="360" w:lineRule="auto"/>
        <w:jc w:val="both"/>
        <w:rPr>
          <w:rFonts w:ascii="Garamond" w:hAnsi="Garamond"/>
          <w:sz w:val="24"/>
          <w:szCs w:val="24"/>
        </w:rPr>
      </w:pPr>
      <w:r>
        <w:rPr>
          <w:rFonts w:ascii="Garamond" w:hAnsi="Garamond"/>
          <w:sz w:val="24"/>
          <w:szCs w:val="24"/>
        </w:rPr>
        <w:t>Por su parte, d</w:t>
      </w:r>
      <w:r w:rsidR="00E83BD4">
        <w:rPr>
          <w:rFonts w:ascii="Garamond" w:hAnsi="Garamond"/>
          <w:sz w:val="24"/>
          <w:szCs w:val="24"/>
        </w:rPr>
        <w:t>e acuerdo al artículo 16.1 de la Convención</w:t>
      </w:r>
      <w:r>
        <w:rPr>
          <w:rFonts w:ascii="Garamond" w:hAnsi="Garamond"/>
          <w:sz w:val="24"/>
          <w:szCs w:val="24"/>
        </w:rPr>
        <w:t xml:space="preserve"> contra la Tortura,</w:t>
      </w:r>
      <w:r w:rsidR="006B5C0D">
        <w:rPr>
          <w:rFonts w:ascii="Garamond" w:hAnsi="Garamond"/>
          <w:sz w:val="24"/>
          <w:szCs w:val="24"/>
        </w:rPr>
        <w:t xml:space="preserve"> los Estados Partes están obligados a prohibir todos los tratos o penas crueles, inhumanos o degradantes que no lleguen a ser tortura de acuerdo al artículo 1</w:t>
      </w:r>
      <w:r w:rsidR="00886EE7">
        <w:rPr>
          <w:rFonts w:ascii="Garamond" w:hAnsi="Garamond"/>
          <w:sz w:val="24"/>
          <w:szCs w:val="24"/>
        </w:rPr>
        <w:t>°</w:t>
      </w:r>
      <w:r w:rsidR="006B5C0D">
        <w:rPr>
          <w:rFonts w:ascii="Garamond" w:hAnsi="Garamond"/>
          <w:sz w:val="24"/>
          <w:szCs w:val="24"/>
        </w:rPr>
        <w:t xml:space="preserve"> de la Convención, cuando sean cometidos por funcionarios públicos o personas actuando en el ejercicio de funciones oficiales, o por instigación o con el consentimiento o aquiescencia de tal funcionario o persona.</w:t>
      </w:r>
      <w:r>
        <w:rPr>
          <w:rFonts w:ascii="Garamond" w:hAnsi="Garamond"/>
          <w:sz w:val="24"/>
          <w:szCs w:val="24"/>
        </w:rPr>
        <w:t xml:space="preserve"> </w:t>
      </w:r>
    </w:p>
    <w:p w:rsidR="00654CC4" w:rsidRDefault="007651E8" w:rsidP="00844E68">
      <w:pPr>
        <w:spacing w:line="360" w:lineRule="auto"/>
        <w:jc w:val="both"/>
        <w:rPr>
          <w:rFonts w:ascii="Garamond" w:hAnsi="Garamond"/>
          <w:sz w:val="24"/>
          <w:szCs w:val="24"/>
        </w:rPr>
      </w:pPr>
      <w:r>
        <w:rPr>
          <w:rFonts w:ascii="Garamond" w:hAnsi="Garamond"/>
          <w:sz w:val="24"/>
          <w:szCs w:val="24"/>
        </w:rPr>
        <w:t>Los siguientes casos, que fueron acompañados</w:t>
      </w:r>
      <w:r w:rsidR="00A71B60">
        <w:rPr>
          <w:rFonts w:ascii="Garamond" w:hAnsi="Garamond"/>
          <w:sz w:val="24"/>
          <w:szCs w:val="24"/>
        </w:rPr>
        <w:t xml:space="preserve"> y/o documentados</w:t>
      </w:r>
      <w:r>
        <w:rPr>
          <w:rFonts w:ascii="Garamond" w:hAnsi="Garamond"/>
          <w:sz w:val="24"/>
          <w:szCs w:val="24"/>
        </w:rPr>
        <w:t xml:space="preserve"> por GIRE, son una muestra de </w:t>
      </w:r>
      <w:r w:rsidR="0059292F">
        <w:rPr>
          <w:rFonts w:ascii="Garamond" w:hAnsi="Garamond"/>
          <w:sz w:val="24"/>
          <w:szCs w:val="24"/>
        </w:rPr>
        <w:t>cómo</w:t>
      </w:r>
      <w:r>
        <w:rPr>
          <w:rFonts w:ascii="Garamond" w:hAnsi="Garamond"/>
          <w:sz w:val="24"/>
          <w:szCs w:val="24"/>
        </w:rPr>
        <w:t xml:space="preserve"> se configuran</w:t>
      </w:r>
      <w:r w:rsidR="00B87B03">
        <w:rPr>
          <w:rFonts w:ascii="Garamond" w:hAnsi="Garamond"/>
          <w:sz w:val="24"/>
          <w:szCs w:val="24"/>
        </w:rPr>
        <w:t xml:space="preserve">, como mínimo, tratos inhumanos y </w:t>
      </w:r>
      <w:r>
        <w:rPr>
          <w:rFonts w:ascii="Garamond" w:hAnsi="Garamond"/>
          <w:sz w:val="24"/>
          <w:szCs w:val="24"/>
        </w:rPr>
        <w:t>degradantes</w:t>
      </w:r>
      <w:r w:rsidR="0059292F">
        <w:rPr>
          <w:rFonts w:ascii="Garamond" w:hAnsi="Garamond"/>
          <w:sz w:val="24"/>
          <w:szCs w:val="24"/>
        </w:rPr>
        <w:t xml:space="preserve"> en los entornos de atención a la salud reproductiva de las mujeres</w:t>
      </w:r>
      <w:r w:rsidR="00E83BD4">
        <w:rPr>
          <w:rFonts w:ascii="Garamond" w:hAnsi="Garamond"/>
          <w:sz w:val="24"/>
          <w:szCs w:val="24"/>
        </w:rPr>
        <w:t>.</w:t>
      </w:r>
      <w:r>
        <w:rPr>
          <w:rFonts w:ascii="Garamond" w:hAnsi="Garamond"/>
          <w:sz w:val="24"/>
          <w:szCs w:val="24"/>
        </w:rPr>
        <w:t xml:space="preserve"> La frecuencia y el alcance de las mismas </w:t>
      </w:r>
      <w:r w:rsidR="00EA7A08">
        <w:rPr>
          <w:rFonts w:ascii="Garamond" w:hAnsi="Garamond"/>
          <w:sz w:val="24"/>
          <w:szCs w:val="24"/>
        </w:rPr>
        <w:t>requiere, por parte del Estado mexicano, el abordaje urgente</w:t>
      </w:r>
      <w:r>
        <w:rPr>
          <w:rFonts w:ascii="Garamond" w:hAnsi="Garamond"/>
          <w:sz w:val="24"/>
          <w:szCs w:val="24"/>
        </w:rPr>
        <w:t xml:space="preserve"> </w:t>
      </w:r>
      <w:r w:rsidR="00EA7A08">
        <w:rPr>
          <w:rFonts w:ascii="Garamond" w:hAnsi="Garamond"/>
          <w:sz w:val="24"/>
          <w:szCs w:val="24"/>
        </w:rPr>
        <w:t>de</w:t>
      </w:r>
      <w:r>
        <w:rPr>
          <w:rFonts w:ascii="Garamond" w:hAnsi="Garamond"/>
          <w:sz w:val="24"/>
          <w:szCs w:val="24"/>
        </w:rPr>
        <w:t xml:space="preserve"> las situaciones que contribuyen a generarlas</w:t>
      </w:r>
      <w:r w:rsidR="0059292F">
        <w:rPr>
          <w:rFonts w:ascii="Garamond" w:hAnsi="Garamond"/>
          <w:sz w:val="24"/>
          <w:szCs w:val="24"/>
        </w:rPr>
        <w:t>.</w:t>
      </w:r>
    </w:p>
    <w:p w:rsidR="002A33BA" w:rsidRPr="00734D4E" w:rsidRDefault="00244D5B" w:rsidP="002A33BA">
      <w:pPr>
        <w:rPr>
          <w:rFonts w:ascii="Garamond" w:hAnsi="Garamond"/>
          <w:b/>
          <w:sz w:val="24"/>
          <w:szCs w:val="24"/>
        </w:rPr>
      </w:pPr>
      <w:r w:rsidRPr="00734D4E">
        <w:rPr>
          <w:rFonts w:ascii="Garamond" w:hAnsi="Garamond"/>
          <w:b/>
          <w:sz w:val="24"/>
          <w:szCs w:val="24"/>
        </w:rPr>
        <w:t>Marielos, Sinaloa</w:t>
      </w:r>
      <w:r w:rsidR="00304C63" w:rsidRPr="00734D4E">
        <w:rPr>
          <w:rFonts w:ascii="Garamond" w:hAnsi="Garamond"/>
          <w:b/>
          <w:sz w:val="24"/>
          <w:szCs w:val="24"/>
        </w:rPr>
        <w:t xml:space="preserve">, </w:t>
      </w:r>
      <w:r w:rsidR="00844E68" w:rsidRPr="00734D4E">
        <w:rPr>
          <w:rFonts w:ascii="Garamond" w:hAnsi="Garamond"/>
          <w:b/>
          <w:sz w:val="24"/>
          <w:szCs w:val="24"/>
        </w:rPr>
        <w:t>2015.</w:t>
      </w:r>
    </w:p>
    <w:tbl>
      <w:tblPr>
        <w:tblStyle w:val="TableGrid"/>
        <w:tblW w:w="0" w:type="auto"/>
        <w:tblLook w:val="04A0" w:firstRow="1" w:lastRow="0" w:firstColumn="1" w:lastColumn="0" w:noHBand="0" w:noVBand="1"/>
      </w:tblPr>
      <w:tblGrid>
        <w:gridCol w:w="8828"/>
      </w:tblGrid>
      <w:tr w:rsidR="00844E68" w:rsidTr="00844E68">
        <w:tc>
          <w:tcPr>
            <w:tcW w:w="8828" w:type="dxa"/>
          </w:tcPr>
          <w:p w:rsidR="00C53323" w:rsidRDefault="00C53323" w:rsidP="00C53323">
            <w:pPr>
              <w:spacing w:line="360" w:lineRule="auto"/>
              <w:jc w:val="both"/>
              <w:rPr>
                <w:rFonts w:ascii="Garamond" w:hAnsi="Garamond"/>
                <w:sz w:val="24"/>
                <w:szCs w:val="24"/>
              </w:rPr>
            </w:pPr>
            <w:r w:rsidRPr="00EB185B">
              <w:rPr>
                <w:rFonts w:ascii="Garamond" w:hAnsi="Garamond"/>
                <w:sz w:val="24"/>
                <w:szCs w:val="24"/>
              </w:rPr>
              <w:t>A los 13 años de edad, Marielos tenía cinco meses de embarazo. Por su edad, se trataba de un embarazo de alto riesgo. Tenía una cesárea programada</w:t>
            </w:r>
            <w:r>
              <w:rPr>
                <w:rFonts w:ascii="Garamond" w:hAnsi="Garamond"/>
                <w:sz w:val="24"/>
                <w:szCs w:val="24"/>
              </w:rPr>
              <w:t>.</w:t>
            </w:r>
            <w:r w:rsidRPr="00EB185B">
              <w:rPr>
                <w:rFonts w:ascii="Garamond" w:hAnsi="Garamond"/>
                <w:sz w:val="24"/>
                <w:szCs w:val="24"/>
              </w:rPr>
              <w:t xml:space="preserve"> Sin embargo, un día antes sintió mucho dolor y sus familiares decidieron llevarla a urgencias. En el hospital </w:t>
            </w:r>
            <w:r>
              <w:rPr>
                <w:rFonts w:ascii="Garamond" w:hAnsi="Garamond"/>
                <w:sz w:val="24"/>
                <w:szCs w:val="24"/>
              </w:rPr>
              <w:t>la</w:t>
            </w:r>
            <w:r w:rsidRPr="00EB185B">
              <w:rPr>
                <w:rFonts w:ascii="Garamond" w:hAnsi="Garamond"/>
                <w:sz w:val="24"/>
                <w:szCs w:val="24"/>
              </w:rPr>
              <w:t xml:space="preserve"> mandaron a caminar</w:t>
            </w:r>
            <w:r>
              <w:rPr>
                <w:rFonts w:ascii="Garamond" w:hAnsi="Garamond"/>
                <w:sz w:val="24"/>
                <w:szCs w:val="24"/>
              </w:rPr>
              <w:t xml:space="preserve"> y</w:t>
            </w:r>
            <w:r w:rsidRPr="00EB185B">
              <w:rPr>
                <w:rFonts w:ascii="Garamond" w:hAnsi="Garamond"/>
                <w:sz w:val="24"/>
                <w:szCs w:val="24"/>
              </w:rPr>
              <w:t xml:space="preserve"> a hacer movimientos para </w:t>
            </w:r>
            <w:r>
              <w:rPr>
                <w:rFonts w:ascii="Garamond" w:hAnsi="Garamond"/>
                <w:sz w:val="24"/>
                <w:szCs w:val="24"/>
              </w:rPr>
              <w:t>acelerar el parto. Nadie se dio cuenta de que tenía tres centímetros de dilatación</w:t>
            </w:r>
            <w:r w:rsidRPr="00EB185B">
              <w:rPr>
                <w:rFonts w:ascii="Garamond" w:hAnsi="Garamond"/>
                <w:sz w:val="24"/>
                <w:szCs w:val="24"/>
              </w:rPr>
              <w:t xml:space="preserve">. </w:t>
            </w:r>
            <w:r>
              <w:rPr>
                <w:rFonts w:ascii="Garamond" w:hAnsi="Garamond"/>
                <w:sz w:val="24"/>
                <w:szCs w:val="24"/>
              </w:rPr>
              <w:t>La</w:t>
            </w:r>
            <w:r w:rsidRPr="00EB185B">
              <w:rPr>
                <w:rFonts w:ascii="Garamond" w:hAnsi="Garamond"/>
                <w:sz w:val="24"/>
                <w:szCs w:val="24"/>
              </w:rPr>
              <w:t xml:space="preserve"> hicieron esperar siete horas para la operación a pesar de que </w:t>
            </w:r>
            <w:r>
              <w:rPr>
                <w:rFonts w:ascii="Garamond" w:hAnsi="Garamond"/>
                <w:sz w:val="24"/>
                <w:szCs w:val="24"/>
              </w:rPr>
              <w:t xml:space="preserve">el personal de salud sabía que </w:t>
            </w:r>
            <w:r w:rsidRPr="00EB185B">
              <w:rPr>
                <w:rFonts w:ascii="Garamond" w:hAnsi="Garamond"/>
                <w:sz w:val="24"/>
                <w:szCs w:val="24"/>
              </w:rPr>
              <w:t xml:space="preserve">era de alto riesgo. </w:t>
            </w:r>
            <w:r>
              <w:rPr>
                <w:rFonts w:ascii="Garamond" w:hAnsi="Garamond"/>
                <w:sz w:val="24"/>
                <w:szCs w:val="24"/>
              </w:rPr>
              <w:t xml:space="preserve">Después de la cirugía, Marielos no podría ver bien y se encontraba muy hinchada. El personal de salud decía </w:t>
            </w:r>
            <w:r w:rsidRPr="00EB185B">
              <w:rPr>
                <w:rFonts w:ascii="Garamond" w:hAnsi="Garamond"/>
                <w:sz w:val="24"/>
                <w:szCs w:val="24"/>
              </w:rPr>
              <w:t>que estaba reteniendo líquidos por el embarazo</w:t>
            </w:r>
            <w:r>
              <w:rPr>
                <w:rFonts w:ascii="Garamond" w:hAnsi="Garamond"/>
                <w:sz w:val="24"/>
                <w:szCs w:val="24"/>
              </w:rPr>
              <w:t xml:space="preserve"> y la dieron de alta junto con su</w:t>
            </w:r>
            <w:r w:rsidRPr="00EB185B">
              <w:rPr>
                <w:rFonts w:ascii="Garamond" w:hAnsi="Garamond"/>
                <w:sz w:val="24"/>
                <w:szCs w:val="24"/>
              </w:rPr>
              <w:t xml:space="preserve"> hija como si hubiera sido un parto natural</w:t>
            </w:r>
            <w:r>
              <w:rPr>
                <w:rFonts w:ascii="Garamond" w:hAnsi="Garamond"/>
                <w:sz w:val="24"/>
                <w:szCs w:val="24"/>
              </w:rPr>
              <w:t xml:space="preserve">. </w:t>
            </w:r>
            <w:r w:rsidRPr="00EB185B">
              <w:rPr>
                <w:rFonts w:ascii="Garamond" w:hAnsi="Garamond"/>
                <w:sz w:val="24"/>
                <w:szCs w:val="24"/>
              </w:rPr>
              <w:t>En casa convulsionó</w:t>
            </w:r>
            <w:r>
              <w:rPr>
                <w:rFonts w:ascii="Garamond" w:hAnsi="Garamond"/>
                <w:sz w:val="24"/>
                <w:szCs w:val="24"/>
              </w:rPr>
              <w:t>, por lo que</w:t>
            </w:r>
            <w:r w:rsidRPr="00EB185B">
              <w:rPr>
                <w:rFonts w:ascii="Garamond" w:hAnsi="Garamond"/>
                <w:sz w:val="24"/>
                <w:szCs w:val="24"/>
              </w:rPr>
              <w:t xml:space="preserve"> tuvo que volver al</w:t>
            </w:r>
            <w:r>
              <w:rPr>
                <w:rFonts w:ascii="Garamond" w:hAnsi="Garamond"/>
                <w:sz w:val="24"/>
                <w:szCs w:val="24"/>
              </w:rPr>
              <w:t xml:space="preserve"> </w:t>
            </w:r>
            <w:r w:rsidRPr="00EB185B">
              <w:rPr>
                <w:rFonts w:ascii="Garamond" w:hAnsi="Garamond"/>
                <w:sz w:val="24"/>
                <w:szCs w:val="24"/>
              </w:rPr>
              <w:t>Hospital de Los Mochis</w:t>
            </w:r>
            <w:r>
              <w:rPr>
                <w:rFonts w:ascii="Garamond" w:hAnsi="Garamond"/>
                <w:sz w:val="24"/>
                <w:szCs w:val="24"/>
              </w:rPr>
              <w:t xml:space="preserve">, en donde estuvo en terapia intensiva y la indujeron a </w:t>
            </w:r>
            <w:r w:rsidRPr="00EB185B">
              <w:rPr>
                <w:rFonts w:ascii="Garamond" w:hAnsi="Garamond"/>
                <w:sz w:val="24"/>
                <w:szCs w:val="24"/>
              </w:rPr>
              <w:t>un coma porque todos s</w:t>
            </w:r>
            <w:r>
              <w:rPr>
                <w:rFonts w:ascii="Garamond" w:hAnsi="Garamond"/>
                <w:sz w:val="24"/>
                <w:szCs w:val="24"/>
              </w:rPr>
              <w:t>us</w:t>
            </w:r>
            <w:r w:rsidRPr="00EB185B">
              <w:rPr>
                <w:rFonts w:ascii="Garamond" w:hAnsi="Garamond"/>
                <w:sz w:val="24"/>
                <w:szCs w:val="24"/>
              </w:rPr>
              <w:t xml:space="preserve"> órganos estaban </w:t>
            </w:r>
            <w:r>
              <w:rPr>
                <w:rFonts w:ascii="Garamond" w:hAnsi="Garamond"/>
                <w:sz w:val="24"/>
                <w:szCs w:val="24"/>
              </w:rPr>
              <w:t>fal</w:t>
            </w:r>
            <w:r w:rsidRPr="00EB185B">
              <w:rPr>
                <w:rFonts w:ascii="Garamond" w:hAnsi="Garamond"/>
                <w:sz w:val="24"/>
                <w:szCs w:val="24"/>
              </w:rPr>
              <w:t>l</w:t>
            </w:r>
            <w:r>
              <w:rPr>
                <w:rFonts w:ascii="Garamond" w:hAnsi="Garamond"/>
                <w:sz w:val="24"/>
                <w:szCs w:val="24"/>
              </w:rPr>
              <w:t>ando, su</w:t>
            </w:r>
            <w:r w:rsidRPr="00EB185B">
              <w:rPr>
                <w:rFonts w:ascii="Garamond" w:hAnsi="Garamond"/>
                <w:sz w:val="24"/>
                <w:szCs w:val="24"/>
              </w:rPr>
              <w:t xml:space="preserve"> sangre se empezó a contaminar</w:t>
            </w:r>
            <w:r>
              <w:rPr>
                <w:rFonts w:ascii="Garamond" w:hAnsi="Garamond"/>
                <w:sz w:val="24"/>
                <w:szCs w:val="24"/>
              </w:rPr>
              <w:t xml:space="preserve"> y </w:t>
            </w:r>
            <w:r w:rsidRPr="00EB185B">
              <w:rPr>
                <w:rFonts w:ascii="Garamond" w:hAnsi="Garamond"/>
                <w:sz w:val="24"/>
                <w:szCs w:val="24"/>
              </w:rPr>
              <w:t xml:space="preserve">fue muy difícil conseguir donadores </w:t>
            </w:r>
            <w:r>
              <w:rPr>
                <w:rFonts w:ascii="Garamond" w:hAnsi="Garamond"/>
                <w:sz w:val="24"/>
                <w:szCs w:val="24"/>
              </w:rPr>
              <w:t>debido a su tipo sanguíneo.</w:t>
            </w:r>
            <w:r w:rsidRPr="00EB185B">
              <w:rPr>
                <w:rFonts w:ascii="Garamond" w:hAnsi="Garamond"/>
                <w:sz w:val="24"/>
                <w:szCs w:val="24"/>
              </w:rPr>
              <w:t xml:space="preserve"> </w:t>
            </w:r>
            <w:r>
              <w:rPr>
                <w:rFonts w:ascii="Garamond" w:hAnsi="Garamond"/>
                <w:sz w:val="24"/>
                <w:szCs w:val="24"/>
              </w:rPr>
              <w:t>Marielos señala que el personal médico del Hospital de Los Mochis la trató mal, la hacía sentir menos y le manifestaban que era su culpa que estuviera mal de salud.</w:t>
            </w:r>
          </w:p>
          <w:p w:rsidR="004212DE" w:rsidRDefault="00C53323" w:rsidP="00C53323">
            <w:pPr>
              <w:spacing w:line="360" w:lineRule="auto"/>
              <w:jc w:val="both"/>
              <w:rPr>
                <w:rFonts w:ascii="Garamond" w:hAnsi="Garamond"/>
                <w:sz w:val="24"/>
                <w:szCs w:val="24"/>
              </w:rPr>
            </w:pPr>
            <w:r>
              <w:rPr>
                <w:rFonts w:ascii="Garamond" w:hAnsi="Garamond"/>
                <w:sz w:val="24"/>
                <w:szCs w:val="24"/>
              </w:rPr>
              <w:t>Fue necesario que su caso se hiciera público en los medios de comunicación para que l</w:t>
            </w:r>
            <w:r w:rsidRPr="00EB185B">
              <w:rPr>
                <w:rFonts w:ascii="Garamond" w:hAnsi="Garamond"/>
                <w:sz w:val="24"/>
                <w:szCs w:val="24"/>
              </w:rPr>
              <w:t>a atención mej</w:t>
            </w:r>
            <w:r>
              <w:rPr>
                <w:rFonts w:ascii="Garamond" w:hAnsi="Garamond"/>
                <w:sz w:val="24"/>
                <w:szCs w:val="24"/>
              </w:rPr>
              <w:t xml:space="preserve">orara y Marielos fuera trasladada </w:t>
            </w:r>
            <w:r w:rsidRPr="00EB185B">
              <w:rPr>
                <w:rFonts w:ascii="Garamond" w:hAnsi="Garamond"/>
                <w:sz w:val="24"/>
                <w:szCs w:val="24"/>
              </w:rPr>
              <w:t>a Culiacán</w:t>
            </w:r>
            <w:r>
              <w:rPr>
                <w:rFonts w:ascii="Garamond" w:hAnsi="Garamond"/>
                <w:sz w:val="24"/>
                <w:szCs w:val="24"/>
              </w:rPr>
              <w:t xml:space="preserve">, donde tenían </w:t>
            </w:r>
            <w:r w:rsidRPr="00EB185B">
              <w:rPr>
                <w:rFonts w:ascii="Garamond" w:hAnsi="Garamond"/>
                <w:sz w:val="24"/>
                <w:szCs w:val="24"/>
              </w:rPr>
              <w:t>un aparato que era necesario</w:t>
            </w:r>
            <w:r>
              <w:rPr>
                <w:rFonts w:ascii="Garamond" w:hAnsi="Garamond"/>
                <w:sz w:val="24"/>
                <w:szCs w:val="24"/>
              </w:rPr>
              <w:t xml:space="preserve"> para su tratamiento</w:t>
            </w:r>
            <w:r w:rsidRPr="00EB185B">
              <w:rPr>
                <w:rFonts w:ascii="Garamond" w:hAnsi="Garamond"/>
                <w:sz w:val="24"/>
                <w:szCs w:val="24"/>
              </w:rPr>
              <w:t>. All</w:t>
            </w:r>
            <w:r>
              <w:rPr>
                <w:rFonts w:ascii="Garamond" w:hAnsi="Garamond"/>
                <w:sz w:val="24"/>
                <w:szCs w:val="24"/>
              </w:rPr>
              <w:t>í</w:t>
            </w:r>
            <w:r w:rsidRPr="00EB185B">
              <w:rPr>
                <w:rFonts w:ascii="Garamond" w:hAnsi="Garamond"/>
                <w:sz w:val="24"/>
                <w:szCs w:val="24"/>
              </w:rPr>
              <w:t xml:space="preserve"> pas</w:t>
            </w:r>
            <w:r>
              <w:rPr>
                <w:rFonts w:ascii="Garamond" w:hAnsi="Garamond"/>
                <w:sz w:val="24"/>
                <w:szCs w:val="24"/>
              </w:rPr>
              <w:t>ó</w:t>
            </w:r>
            <w:r w:rsidRPr="00EB185B">
              <w:rPr>
                <w:rFonts w:ascii="Garamond" w:hAnsi="Garamond"/>
                <w:sz w:val="24"/>
                <w:szCs w:val="24"/>
              </w:rPr>
              <w:t xml:space="preserve"> 25 días en coma</w:t>
            </w:r>
            <w:r>
              <w:rPr>
                <w:rFonts w:ascii="Garamond" w:hAnsi="Garamond"/>
                <w:sz w:val="24"/>
                <w:szCs w:val="24"/>
              </w:rPr>
              <w:t>,</w:t>
            </w:r>
            <w:r w:rsidRPr="00EB185B">
              <w:rPr>
                <w:rFonts w:ascii="Garamond" w:hAnsi="Garamond"/>
                <w:sz w:val="24"/>
                <w:szCs w:val="24"/>
              </w:rPr>
              <w:t xml:space="preserve"> en terapia intensiva.</w:t>
            </w:r>
          </w:p>
          <w:p w:rsidR="00723819" w:rsidRDefault="00723819" w:rsidP="00723819">
            <w:pPr>
              <w:spacing w:line="360" w:lineRule="auto"/>
              <w:jc w:val="both"/>
              <w:rPr>
                <w:rFonts w:ascii="Garamond" w:hAnsi="Garamond"/>
                <w:sz w:val="24"/>
                <w:szCs w:val="24"/>
              </w:rPr>
            </w:pPr>
          </w:p>
          <w:p w:rsidR="00BD5FE6" w:rsidRDefault="007651E8" w:rsidP="00723819">
            <w:pPr>
              <w:spacing w:line="360" w:lineRule="auto"/>
              <w:jc w:val="both"/>
              <w:rPr>
                <w:rFonts w:ascii="Garamond" w:hAnsi="Garamond"/>
                <w:sz w:val="24"/>
                <w:szCs w:val="24"/>
              </w:rPr>
            </w:pPr>
            <w:r w:rsidRPr="004B4006">
              <w:rPr>
                <w:rFonts w:ascii="Garamond" w:hAnsi="Garamond"/>
                <w:sz w:val="24"/>
                <w:szCs w:val="24"/>
              </w:rPr>
              <w:t>A consecuencia de los malos tratos</w:t>
            </w:r>
            <w:r w:rsidR="004E1AD8" w:rsidRPr="004B4006">
              <w:rPr>
                <w:rFonts w:ascii="Garamond" w:hAnsi="Garamond"/>
                <w:sz w:val="24"/>
                <w:szCs w:val="24"/>
              </w:rPr>
              <w:t xml:space="preserve"> a los que fue sometida,</w:t>
            </w:r>
            <w:r w:rsidRPr="004B4006">
              <w:rPr>
                <w:rFonts w:ascii="Garamond" w:hAnsi="Garamond"/>
                <w:sz w:val="24"/>
                <w:szCs w:val="24"/>
              </w:rPr>
              <w:t xml:space="preserve"> Marielos </w:t>
            </w:r>
            <w:r w:rsidR="00723819" w:rsidRPr="004B4006">
              <w:rPr>
                <w:rFonts w:ascii="Garamond" w:hAnsi="Garamond"/>
                <w:sz w:val="24"/>
                <w:szCs w:val="24"/>
              </w:rPr>
              <w:t>sufrió daños irreversibles en su salud y</w:t>
            </w:r>
            <w:r w:rsidR="004E1AD8" w:rsidRPr="004B4006">
              <w:rPr>
                <w:rFonts w:ascii="Garamond" w:hAnsi="Garamond"/>
                <w:sz w:val="24"/>
                <w:szCs w:val="24"/>
              </w:rPr>
              <w:t xml:space="preserve"> calidad de vida</w:t>
            </w:r>
            <w:r w:rsidR="00723819" w:rsidRPr="004B4006">
              <w:rPr>
                <w:rFonts w:ascii="Garamond" w:hAnsi="Garamond"/>
                <w:sz w:val="24"/>
                <w:szCs w:val="24"/>
              </w:rPr>
              <w:t>:</w:t>
            </w:r>
            <w:r w:rsidR="004E1AD8" w:rsidRPr="004B4006">
              <w:rPr>
                <w:rFonts w:ascii="Garamond" w:hAnsi="Garamond"/>
                <w:sz w:val="24"/>
                <w:szCs w:val="24"/>
              </w:rPr>
              <w:t xml:space="preserve"> sufre de insuficiencia renal crónica e hipertensión arterial sistémica,</w:t>
            </w:r>
            <w:r w:rsidR="00723819" w:rsidRPr="004B4006">
              <w:rPr>
                <w:rFonts w:ascii="Garamond" w:hAnsi="Garamond"/>
                <w:sz w:val="24"/>
                <w:szCs w:val="24"/>
              </w:rPr>
              <w:t xml:space="preserve"> </w:t>
            </w:r>
            <w:r w:rsidRPr="004B4006">
              <w:rPr>
                <w:rFonts w:ascii="Garamond" w:hAnsi="Garamond"/>
                <w:sz w:val="24"/>
                <w:szCs w:val="24"/>
              </w:rPr>
              <w:t xml:space="preserve">perdió el 50% de visión de cada </w:t>
            </w:r>
            <w:r w:rsidR="00723819" w:rsidRPr="004B4006">
              <w:rPr>
                <w:rFonts w:ascii="Garamond" w:hAnsi="Garamond"/>
                <w:sz w:val="24"/>
                <w:szCs w:val="24"/>
              </w:rPr>
              <w:t>ojo</w:t>
            </w:r>
            <w:r w:rsidR="004E1AD8" w:rsidRPr="004B4006">
              <w:rPr>
                <w:rFonts w:ascii="Garamond" w:hAnsi="Garamond"/>
                <w:sz w:val="24"/>
                <w:szCs w:val="24"/>
              </w:rPr>
              <w:t xml:space="preserve"> y </w:t>
            </w:r>
            <w:r w:rsidRPr="004B4006">
              <w:rPr>
                <w:rFonts w:ascii="Garamond" w:hAnsi="Garamond"/>
                <w:sz w:val="24"/>
                <w:szCs w:val="24"/>
              </w:rPr>
              <w:t>la visión periférica</w:t>
            </w:r>
            <w:r w:rsidR="004E1AD8" w:rsidRPr="004B4006">
              <w:rPr>
                <w:rFonts w:ascii="Garamond" w:hAnsi="Garamond"/>
                <w:sz w:val="24"/>
                <w:szCs w:val="24"/>
              </w:rPr>
              <w:t xml:space="preserve">; </w:t>
            </w:r>
            <w:r w:rsidR="00C53323" w:rsidRPr="004B4006">
              <w:rPr>
                <w:rFonts w:ascii="Garamond" w:hAnsi="Garamond"/>
                <w:sz w:val="24"/>
                <w:szCs w:val="24"/>
              </w:rPr>
              <w:t>padece</w:t>
            </w:r>
            <w:r w:rsidR="00762F5F" w:rsidRPr="004B4006">
              <w:rPr>
                <w:rFonts w:ascii="Garamond" w:hAnsi="Garamond"/>
                <w:sz w:val="24"/>
                <w:szCs w:val="24"/>
              </w:rPr>
              <w:t xml:space="preserve"> fuertes</w:t>
            </w:r>
            <w:r w:rsidR="004212DE" w:rsidRPr="004B4006">
              <w:rPr>
                <w:rFonts w:ascii="Garamond" w:hAnsi="Garamond"/>
                <w:sz w:val="24"/>
                <w:szCs w:val="24"/>
              </w:rPr>
              <w:t xml:space="preserve"> dolores de cabeza</w:t>
            </w:r>
            <w:r w:rsidR="00762F5F" w:rsidRPr="004B4006">
              <w:rPr>
                <w:rFonts w:ascii="Garamond" w:hAnsi="Garamond"/>
                <w:sz w:val="24"/>
                <w:szCs w:val="24"/>
              </w:rPr>
              <w:t xml:space="preserve"> de manera permanente</w:t>
            </w:r>
            <w:r w:rsidR="004E1AD8" w:rsidRPr="004B4006">
              <w:rPr>
                <w:rFonts w:ascii="Garamond" w:hAnsi="Garamond"/>
                <w:sz w:val="24"/>
                <w:szCs w:val="24"/>
              </w:rPr>
              <w:t>, así como depresión</w:t>
            </w:r>
            <w:r w:rsidR="00723819" w:rsidRPr="004B4006">
              <w:rPr>
                <w:rFonts w:ascii="Garamond" w:hAnsi="Garamond"/>
                <w:sz w:val="24"/>
                <w:szCs w:val="24"/>
              </w:rPr>
              <w:t xml:space="preserve">. </w:t>
            </w:r>
            <w:r w:rsidR="004E1AD8" w:rsidRPr="004B4006">
              <w:rPr>
                <w:rFonts w:ascii="Garamond" w:hAnsi="Garamond"/>
                <w:sz w:val="24"/>
                <w:szCs w:val="24"/>
              </w:rPr>
              <w:t xml:space="preserve">A causa de la aplicación de hemodiálisis, tiene problemas musculares en la pierna derecha, lo que le impide caminar con normalidad. </w:t>
            </w:r>
            <w:r w:rsidR="00723819" w:rsidRPr="004B4006">
              <w:rPr>
                <w:rFonts w:ascii="Garamond" w:hAnsi="Garamond"/>
                <w:sz w:val="24"/>
                <w:szCs w:val="24"/>
              </w:rPr>
              <w:t>Además,</w:t>
            </w:r>
            <w:r w:rsidR="00930DC0" w:rsidRPr="004B4006">
              <w:rPr>
                <w:rFonts w:ascii="Garamond" w:hAnsi="Garamond"/>
                <w:sz w:val="24"/>
                <w:szCs w:val="24"/>
              </w:rPr>
              <w:t xml:space="preserve"> </w:t>
            </w:r>
            <w:r w:rsidR="00723819" w:rsidRPr="004B4006">
              <w:rPr>
                <w:rFonts w:ascii="Garamond" w:hAnsi="Garamond"/>
                <w:sz w:val="24"/>
                <w:szCs w:val="24"/>
              </w:rPr>
              <w:t xml:space="preserve">la </w:t>
            </w:r>
            <w:r w:rsidR="00930DC0" w:rsidRPr="004B4006">
              <w:rPr>
                <w:rFonts w:ascii="Garamond" w:hAnsi="Garamond"/>
                <w:sz w:val="24"/>
                <w:szCs w:val="24"/>
              </w:rPr>
              <w:t xml:space="preserve">mayoría de los medicamentos que debe tomar </w:t>
            </w:r>
            <w:r w:rsidR="004212DE" w:rsidRPr="004B4006">
              <w:rPr>
                <w:rFonts w:ascii="Garamond" w:hAnsi="Garamond"/>
                <w:sz w:val="24"/>
                <w:szCs w:val="24"/>
              </w:rPr>
              <w:t>no están cubiertos por el Seguro Popular</w:t>
            </w:r>
            <w:r w:rsidR="00C53323" w:rsidRPr="004B4006">
              <w:rPr>
                <w:rFonts w:ascii="Garamond" w:hAnsi="Garamond"/>
                <w:sz w:val="24"/>
                <w:szCs w:val="24"/>
              </w:rPr>
              <w:t>, de quien es beneficiaria</w:t>
            </w:r>
            <w:r w:rsidR="004212DE" w:rsidRPr="004B4006">
              <w:rPr>
                <w:rFonts w:ascii="Garamond" w:hAnsi="Garamond"/>
                <w:sz w:val="24"/>
                <w:szCs w:val="24"/>
              </w:rPr>
              <w:t xml:space="preserve">. </w:t>
            </w:r>
            <w:r w:rsidR="00086404" w:rsidRPr="004B4006">
              <w:rPr>
                <w:rFonts w:ascii="Garamond" w:hAnsi="Garamond"/>
                <w:sz w:val="24"/>
                <w:szCs w:val="24"/>
              </w:rPr>
              <w:t xml:space="preserve">Ella lamenta mucho que a causa de la violencia obstétrica que </w:t>
            </w:r>
            <w:r w:rsidR="00930DC0" w:rsidRPr="004B4006">
              <w:rPr>
                <w:rFonts w:ascii="Garamond" w:hAnsi="Garamond"/>
                <w:sz w:val="24"/>
                <w:szCs w:val="24"/>
              </w:rPr>
              <w:t>sufrió</w:t>
            </w:r>
            <w:r w:rsidR="00723819" w:rsidRPr="004B4006">
              <w:rPr>
                <w:rFonts w:ascii="Garamond" w:hAnsi="Garamond"/>
                <w:sz w:val="24"/>
                <w:szCs w:val="24"/>
              </w:rPr>
              <w:t>,</w:t>
            </w:r>
            <w:r w:rsidR="00930DC0" w:rsidRPr="004B4006">
              <w:rPr>
                <w:rFonts w:ascii="Garamond" w:hAnsi="Garamond"/>
                <w:sz w:val="24"/>
                <w:szCs w:val="24"/>
              </w:rPr>
              <w:t xml:space="preserve"> no pudo haber estado con su hija recién nacida durante sus primeros meses.</w:t>
            </w:r>
            <w:r w:rsidR="00930DC0">
              <w:rPr>
                <w:rFonts w:ascii="Garamond" w:hAnsi="Garamond"/>
                <w:sz w:val="24"/>
                <w:szCs w:val="24"/>
              </w:rPr>
              <w:t xml:space="preserve"> </w:t>
            </w:r>
          </w:p>
          <w:p w:rsidR="004E1AD8" w:rsidRDefault="004E1AD8" w:rsidP="00723819">
            <w:pPr>
              <w:spacing w:line="360" w:lineRule="auto"/>
              <w:jc w:val="both"/>
              <w:rPr>
                <w:rFonts w:ascii="Garamond" w:hAnsi="Garamond"/>
                <w:sz w:val="24"/>
                <w:szCs w:val="24"/>
              </w:rPr>
            </w:pPr>
          </w:p>
          <w:p w:rsidR="00844E68" w:rsidRDefault="00803763" w:rsidP="00BF6B56">
            <w:pPr>
              <w:spacing w:line="360" w:lineRule="auto"/>
              <w:jc w:val="both"/>
              <w:rPr>
                <w:rFonts w:ascii="Garamond" w:hAnsi="Garamond"/>
                <w:sz w:val="24"/>
                <w:szCs w:val="24"/>
              </w:rPr>
            </w:pPr>
            <w:r>
              <w:rPr>
                <w:rFonts w:ascii="Garamond" w:hAnsi="Garamond"/>
                <w:sz w:val="24"/>
                <w:szCs w:val="24"/>
              </w:rPr>
              <w:t xml:space="preserve">Marielos, acompañada por GIRE, interpuso una queja ante la Comisión Estatal de Derechos Humanos del Estado de Sinaloa. Tras más de un año, la Comisión emitió Recomendación </w:t>
            </w:r>
            <w:r w:rsidR="00B612A8">
              <w:rPr>
                <w:rFonts w:ascii="Garamond" w:hAnsi="Garamond"/>
                <w:sz w:val="24"/>
                <w:szCs w:val="24"/>
              </w:rPr>
              <w:t>al Secretario de Salud del Estado de Sinaloa</w:t>
            </w:r>
            <w:r w:rsidR="00052862">
              <w:rPr>
                <w:rFonts w:ascii="Garamond" w:hAnsi="Garamond"/>
                <w:sz w:val="24"/>
                <w:szCs w:val="24"/>
              </w:rPr>
              <w:t xml:space="preserve">, </w:t>
            </w:r>
            <w:r w:rsidR="00B612A8">
              <w:rPr>
                <w:rFonts w:ascii="Garamond" w:hAnsi="Garamond"/>
                <w:sz w:val="24"/>
                <w:szCs w:val="24"/>
              </w:rPr>
              <w:t>solicitándole brindar atención médica a Marielos hasta su total restablecimiento, brindar capacitación al personal de salud y llevar a cabo acciones conducentes a la reparación del daño.</w:t>
            </w:r>
            <w:r w:rsidR="004E1AD8">
              <w:rPr>
                <w:rFonts w:ascii="Garamond" w:hAnsi="Garamond"/>
                <w:sz w:val="24"/>
                <w:szCs w:val="24"/>
              </w:rPr>
              <w:t xml:space="preserve"> </w:t>
            </w:r>
          </w:p>
        </w:tc>
      </w:tr>
    </w:tbl>
    <w:p w:rsidR="00B150F7" w:rsidRDefault="00B150F7" w:rsidP="00B150F7">
      <w:pPr>
        <w:shd w:val="clear" w:color="auto" w:fill="FFFFFF"/>
        <w:spacing w:after="0" w:line="240" w:lineRule="auto"/>
        <w:jc w:val="both"/>
        <w:rPr>
          <w:rFonts w:ascii="Verdana" w:eastAsia="Times New Roman" w:hAnsi="Verdana" w:cs="Times New Roman"/>
          <w:color w:val="52525F"/>
          <w:sz w:val="21"/>
          <w:szCs w:val="21"/>
          <w:lang w:eastAsia="es-MX"/>
        </w:rPr>
      </w:pPr>
    </w:p>
    <w:p w:rsidR="008E1952" w:rsidRPr="00173E48" w:rsidRDefault="00173E48" w:rsidP="00052862">
      <w:pPr>
        <w:pStyle w:val="NoSpacing"/>
        <w:spacing w:line="360" w:lineRule="auto"/>
        <w:jc w:val="both"/>
        <w:rPr>
          <w:rFonts w:ascii="Garamond" w:hAnsi="Garamond"/>
          <w:sz w:val="24"/>
          <w:szCs w:val="24"/>
        </w:rPr>
      </w:pPr>
      <w:r w:rsidRPr="004B4006">
        <w:rPr>
          <w:rFonts w:ascii="Garamond" w:hAnsi="Garamond"/>
          <w:sz w:val="24"/>
          <w:szCs w:val="24"/>
        </w:rPr>
        <w:t>A la luz de las cuestiones 22 y 23 planteadas por parte del Comité contra la Tortura al Estado mexicano en la Lista de cuestiones previa a la presentación del informe</w:t>
      </w:r>
      <w:r w:rsidR="009D3D7C" w:rsidRPr="004B4006">
        <w:rPr>
          <w:rFonts w:ascii="Garamond" w:hAnsi="Garamond"/>
          <w:sz w:val="24"/>
          <w:szCs w:val="24"/>
        </w:rPr>
        <w:t xml:space="preserve"> (CAT/C/MEX/QPR/7)</w:t>
      </w:r>
      <w:r w:rsidRPr="004B4006">
        <w:rPr>
          <w:rFonts w:ascii="Garamond" w:hAnsi="Garamond"/>
          <w:sz w:val="24"/>
          <w:szCs w:val="24"/>
        </w:rPr>
        <w:t>, es necesario informar que</w:t>
      </w:r>
      <w:r w:rsidR="00F03F43" w:rsidRPr="004B4006">
        <w:rPr>
          <w:rFonts w:ascii="Garamond" w:hAnsi="Garamond"/>
          <w:sz w:val="24"/>
          <w:szCs w:val="24"/>
        </w:rPr>
        <w:t>, desafortunadamente</w:t>
      </w:r>
      <w:r w:rsidR="000404FB" w:rsidRPr="004B4006">
        <w:rPr>
          <w:rFonts w:ascii="Garamond" w:hAnsi="Garamond"/>
          <w:sz w:val="24"/>
          <w:szCs w:val="24"/>
        </w:rPr>
        <w:t>,</w:t>
      </w:r>
      <w:r w:rsidRPr="004B4006">
        <w:rPr>
          <w:rFonts w:ascii="Garamond" w:hAnsi="Garamond"/>
          <w:sz w:val="24"/>
          <w:szCs w:val="24"/>
        </w:rPr>
        <w:t xml:space="preserve"> </w:t>
      </w:r>
      <w:r w:rsidR="000404FB" w:rsidRPr="004B4006">
        <w:rPr>
          <w:rFonts w:ascii="Garamond" w:hAnsi="Garamond"/>
          <w:sz w:val="24"/>
          <w:szCs w:val="24"/>
        </w:rPr>
        <w:t xml:space="preserve">el contenido de la recomendación emitida en el caso de Marielos falló en integrar medidas efectivamente </w:t>
      </w:r>
      <w:r w:rsidR="00052862" w:rsidRPr="004B4006">
        <w:rPr>
          <w:rFonts w:ascii="Garamond" w:hAnsi="Garamond"/>
          <w:sz w:val="24"/>
          <w:szCs w:val="24"/>
        </w:rPr>
        <w:t>encaminadas</w:t>
      </w:r>
      <w:r w:rsidR="000404FB" w:rsidRPr="004B4006">
        <w:rPr>
          <w:rFonts w:ascii="Garamond" w:hAnsi="Garamond"/>
          <w:sz w:val="24"/>
          <w:szCs w:val="24"/>
        </w:rPr>
        <w:t xml:space="preserve"> a </w:t>
      </w:r>
      <w:r w:rsidR="00052862" w:rsidRPr="004B4006">
        <w:rPr>
          <w:rFonts w:ascii="Garamond" w:hAnsi="Garamond"/>
          <w:sz w:val="24"/>
          <w:szCs w:val="24"/>
        </w:rPr>
        <w:t>lograr</w:t>
      </w:r>
      <w:r w:rsidR="000404FB" w:rsidRPr="004B4006">
        <w:rPr>
          <w:rFonts w:ascii="Garamond" w:hAnsi="Garamond"/>
          <w:sz w:val="24"/>
          <w:szCs w:val="24"/>
        </w:rPr>
        <w:t xml:space="preserve"> repara</w:t>
      </w:r>
      <w:r w:rsidR="00052862" w:rsidRPr="004B4006">
        <w:rPr>
          <w:rFonts w:ascii="Garamond" w:hAnsi="Garamond"/>
          <w:sz w:val="24"/>
          <w:szCs w:val="24"/>
        </w:rPr>
        <w:t xml:space="preserve">ción integral de las violaciones a </w:t>
      </w:r>
      <w:r w:rsidR="00EC1693" w:rsidRPr="004B4006">
        <w:rPr>
          <w:rFonts w:ascii="Garamond" w:hAnsi="Garamond"/>
          <w:sz w:val="24"/>
          <w:szCs w:val="24"/>
        </w:rPr>
        <w:t xml:space="preserve">sus </w:t>
      </w:r>
      <w:r w:rsidR="00052862" w:rsidRPr="004B4006">
        <w:rPr>
          <w:rFonts w:ascii="Garamond" w:hAnsi="Garamond"/>
          <w:sz w:val="24"/>
          <w:szCs w:val="24"/>
        </w:rPr>
        <w:t xml:space="preserve">derechos humanos y se perdió la oportunidad de establecer </w:t>
      </w:r>
      <w:r w:rsidR="004038DF" w:rsidRPr="004B4006">
        <w:rPr>
          <w:rFonts w:ascii="Garamond" w:hAnsi="Garamond"/>
          <w:sz w:val="24"/>
          <w:szCs w:val="24"/>
        </w:rPr>
        <w:t>medidas de no repetición.</w:t>
      </w:r>
      <w:r w:rsidR="00052862" w:rsidRPr="004B4006">
        <w:rPr>
          <w:rFonts w:ascii="Garamond" w:hAnsi="Garamond"/>
          <w:sz w:val="24"/>
          <w:szCs w:val="24"/>
        </w:rPr>
        <w:t xml:space="preserve"> Además, debido a problemas de diseño legal e institucional del marco de atención a las víctimas de delitos y de derechos humanos, el cumplimiento de la recomendación emitida sigue sin ser cumplida.</w:t>
      </w:r>
    </w:p>
    <w:p w:rsidR="00BF6B56" w:rsidRDefault="00BF6B56" w:rsidP="00F7467E">
      <w:pPr>
        <w:pStyle w:val="NoSpacing"/>
      </w:pPr>
    </w:p>
    <w:p w:rsidR="006B5C0D" w:rsidRPr="00EA7A08" w:rsidRDefault="006B5C0D" w:rsidP="006B5C0D">
      <w:pPr>
        <w:rPr>
          <w:rFonts w:ascii="Garamond" w:hAnsi="Garamond"/>
          <w:b/>
          <w:sz w:val="24"/>
          <w:szCs w:val="24"/>
        </w:rPr>
      </w:pPr>
      <w:r w:rsidRPr="00EA7A08">
        <w:rPr>
          <w:rFonts w:ascii="Garamond" w:hAnsi="Garamond"/>
          <w:b/>
          <w:sz w:val="24"/>
          <w:szCs w:val="24"/>
        </w:rPr>
        <w:t>María Isaura, Chiapas, 2015.</w:t>
      </w:r>
      <w:r w:rsidR="009D3D7C">
        <w:rPr>
          <w:rStyle w:val="FootnoteReference"/>
          <w:rFonts w:ascii="Garamond" w:hAnsi="Garamond"/>
          <w:b/>
          <w:sz w:val="24"/>
          <w:szCs w:val="24"/>
        </w:rPr>
        <w:footnoteReference w:id="7"/>
      </w:r>
    </w:p>
    <w:tbl>
      <w:tblPr>
        <w:tblStyle w:val="TableGrid"/>
        <w:tblW w:w="0" w:type="auto"/>
        <w:tblLook w:val="04A0" w:firstRow="1" w:lastRow="0" w:firstColumn="1" w:lastColumn="0" w:noHBand="0" w:noVBand="1"/>
      </w:tblPr>
      <w:tblGrid>
        <w:gridCol w:w="8828"/>
      </w:tblGrid>
      <w:tr w:rsidR="006B5C0D" w:rsidTr="00C07262">
        <w:tc>
          <w:tcPr>
            <w:tcW w:w="8828" w:type="dxa"/>
          </w:tcPr>
          <w:p w:rsidR="006B5C0D" w:rsidRPr="00EA7A08" w:rsidRDefault="006B5C0D" w:rsidP="00C07262">
            <w:pPr>
              <w:spacing w:line="360" w:lineRule="auto"/>
              <w:jc w:val="both"/>
              <w:rPr>
                <w:rFonts w:ascii="Garamond" w:hAnsi="Garamond"/>
                <w:sz w:val="24"/>
                <w:szCs w:val="24"/>
              </w:rPr>
            </w:pPr>
            <w:r w:rsidRPr="00EA7A08">
              <w:rPr>
                <w:rFonts w:ascii="Garamond" w:hAnsi="Garamond"/>
                <w:sz w:val="24"/>
                <w:szCs w:val="24"/>
              </w:rPr>
              <w:t>Cuando María Isaura fue atendida en el Hospital Pascasio Gamboa, en Chiapas, con motivo de su segundo parto, le insistieron en la utilización de un método anticonceptivo. Aunque ella no había planeado utilizar un dispositivo intrauterino (</w:t>
            </w:r>
            <w:r>
              <w:rPr>
                <w:rFonts w:ascii="Garamond" w:hAnsi="Garamond"/>
                <w:sz w:val="24"/>
                <w:szCs w:val="24"/>
              </w:rPr>
              <w:t>DIU</w:t>
            </w:r>
            <w:r w:rsidRPr="00EA7A08">
              <w:rPr>
                <w:rFonts w:ascii="Garamond" w:hAnsi="Garamond"/>
                <w:sz w:val="24"/>
                <w:szCs w:val="24"/>
              </w:rPr>
              <w:t xml:space="preserve">), lo aceptó. Pasó año y medio y en septiembre de 2015 se cayó mientras hacía limpieza del expendio de tortas donde trabajaba. Sintió mucho dolor, acompañado de sangrado transvaginal. María Isaura estaba segura de que no estaba embarazada porque traía el </w:t>
            </w:r>
            <w:r>
              <w:rPr>
                <w:rFonts w:ascii="Garamond" w:hAnsi="Garamond"/>
                <w:sz w:val="24"/>
                <w:szCs w:val="24"/>
              </w:rPr>
              <w:t>DIU</w:t>
            </w:r>
            <w:r w:rsidRPr="00EA7A08">
              <w:rPr>
                <w:rFonts w:ascii="Garamond" w:hAnsi="Garamond"/>
                <w:sz w:val="24"/>
                <w:szCs w:val="24"/>
              </w:rPr>
              <w:t xml:space="preserve">. Sin embargo, el dolor aumentaba y sentía ganas de pujar. No sabía que estaba embarazada, que el </w:t>
            </w:r>
            <w:r>
              <w:rPr>
                <w:rFonts w:ascii="Garamond" w:hAnsi="Garamond"/>
                <w:sz w:val="24"/>
                <w:szCs w:val="24"/>
              </w:rPr>
              <w:t>DIU</w:t>
            </w:r>
            <w:r w:rsidRPr="00EA7A08">
              <w:rPr>
                <w:rFonts w:ascii="Garamond" w:hAnsi="Garamond"/>
                <w:sz w:val="24"/>
                <w:szCs w:val="24"/>
              </w:rPr>
              <w:t xml:space="preserve"> había fallado y que estaba experimentando un aborto. Su mamá llamó a una ambulancia de la Cruz Roja. En el hospital, al elaborar la historia clínica, el personal le preguntó de manera insistente qué había hecho para provocarse el aborto. Menos de cuatro horas más tarde, se presentó un agente del ministerio público para entrevistarla. Según la enfermera, María Isaura había solicitado la entrevista. Ella, todavía en la camilla, les aclaró que no había solicitado nada. No obstante, el agente inició con sus preguntas. El interrogatorio duró cerca de tres horas con la intención de que María Isaura “confesara” haberse provocado un aborto. El agente le dijo que regresaría al día siguiente para que firmara su declaración y una enfermera le advirtió que tuviera cuidado al firmar porque había visto cómo “ellos cambian la conversación…ponte a leer todo lo que dijiste…si no, ya te chingaste y te pueden llevar al bote”. Por la mañana, el personal del ministerio público la buscó para que firmara su declaración, a la que habían agregado los testimonios de su madre, hermana y esposo. Sin ningún tipo de respeto ni confidencialidad, la localizaron gritando en la sala “quién es la señora María Isaura, la del aborto”. Cuando finalmente la llevaron al quirófano, la presionaron para que firmara la aceptación de otro dispositivo intrauterino. Ella expresó que el anterior había fallado, que prefería otro método. Los médicos respondieron, “te lo tienes que poner. O te pones uno o te hacemos otra cosa y no sales definitivamente”. Le dio miedo y firmó la autorización. Al día siguiente, la enfermera le dijo que antes de salir debía ir a “ver a su producto”. La llevaron en una silla de ruedas a un cuarto oscuro, encendieron una luz roja y la colocaron frente a una mesa donde había frascos con fetos adentro. La dejaron sola varios minutos frente a ellos. Le mostraron otros fetos y le narraron historias de mujeres que se “deshicieron de sus bebés”. Después, la enfermera se puso unos guantes y abrió la bolsa negra en donde se encontraban los restos con los que ella había llegado al hospital. Colocó los restos fetales en un frasco, lo llenó de un líquido y escribió su nombre completo con letras grandes en una etiqueta que pegó al frasco. Mientras colocaba los restos en el frasco, la enfermera decía “esto queda acá, ya no te lo puedes llevar, nos quedará como experimento”.</w:t>
            </w:r>
          </w:p>
        </w:tc>
      </w:tr>
    </w:tbl>
    <w:p w:rsidR="006B5C0D" w:rsidRDefault="006B5C0D" w:rsidP="00F7467E">
      <w:pPr>
        <w:pStyle w:val="NoSpacing"/>
      </w:pPr>
    </w:p>
    <w:p w:rsidR="00EC1693" w:rsidRPr="004B4006" w:rsidRDefault="009D3D7C" w:rsidP="00EC1693">
      <w:pPr>
        <w:spacing w:line="360" w:lineRule="auto"/>
        <w:jc w:val="both"/>
        <w:rPr>
          <w:rFonts w:ascii="Garamond" w:hAnsi="Garamond"/>
          <w:sz w:val="24"/>
          <w:szCs w:val="24"/>
        </w:rPr>
      </w:pPr>
      <w:r w:rsidRPr="004B4006">
        <w:rPr>
          <w:rFonts w:ascii="Garamond" w:hAnsi="Garamond"/>
          <w:sz w:val="24"/>
          <w:szCs w:val="24"/>
        </w:rPr>
        <w:t xml:space="preserve">El Relator Especial sobre la Tortura y otros tratos o penas crueles, inhumanos o degradantes ha enfatizado en la identificación de prácticas relativas a la salud reproductiva </w:t>
      </w:r>
      <w:r w:rsidR="00EC1693" w:rsidRPr="004B4006">
        <w:rPr>
          <w:rFonts w:ascii="Garamond" w:hAnsi="Garamond"/>
          <w:sz w:val="24"/>
          <w:szCs w:val="24"/>
        </w:rPr>
        <w:t>(como las padecidas por María Isaura) que,</w:t>
      </w:r>
      <w:r w:rsidRPr="004B4006">
        <w:rPr>
          <w:rFonts w:ascii="Garamond" w:hAnsi="Garamond"/>
          <w:sz w:val="24"/>
          <w:szCs w:val="24"/>
        </w:rPr>
        <w:t xml:space="preserve"> a su juicio, contravienen el marco de protección contra la tortura y tratos crueles: </w:t>
      </w:r>
    </w:p>
    <w:p w:rsidR="00A71B60" w:rsidRDefault="00EC1693" w:rsidP="00A71B60">
      <w:pPr>
        <w:spacing w:line="360" w:lineRule="auto"/>
        <w:ind w:left="708"/>
        <w:jc w:val="both"/>
        <w:rPr>
          <w:rFonts w:ascii="Garamond" w:hAnsi="Garamond"/>
        </w:rPr>
      </w:pPr>
      <w:r w:rsidRPr="004B4006">
        <w:rPr>
          <w:rFonts w:ascii="Garamond" w:hAnsi="Garamond"/>
        </w:rPr>
        <w:t>[…]</w:t>
      </w:r>
      <w:r w:rsidR="009D3D7C" w:rsidRPr="004B4006">
        <w:rPr>
          <w:rFonts w:ascii="Garamond" w:hAnsi="Garamond"/>
        </w:rPr>
        <w:t xml:space="preserve">ejemplos de esas violaciones </w:t>
      </w:r>
      <w:r w:rsidRPr="004B4006">
        <w:rPr>
          <w:rFonts w:ascii="Garamond" w:hAnsi="Garamond"/>
        </w:rPr>
        <w:t>son el maltrato y la humillación en entornos institucionales; las esterilizaciones involuntarias; la denegación del acceso a servicios autorizados de salud como el aborto y la atención posaborto […] las infracciones del secreto médico y de la confidencialidad en entornos de atención de la salud, como las denuncias de mujeres presentadas por personal médico cuando hay pruebas de la realización de abortos ilegales; y la práctica de intentar hacer confesar a una mujer como condición para que reciba un tratamiento médico que podría salvar su vida después de un aborto.</w:t>
      </w:r>
      <w:r w:rsidRPr="004B4006">
        <w:rPr>
          <w:rStyle w:val="FootnoteReference"/>
          <w:rFonts w:ascii="Garamond" w:hAnsi="Garamond"/>
        </w:rPr>
        <w:footnoteReference w:id="8"/>
      </w:r>
    </w:p>
    <w:p w:rsidR="00546FA7" w:rsidRDefault="00546FA7" w:rsidP="00A71B60">
      <w:pPr>
        <w:spacing w:line="360" w:lineRule="auto"/>
        <w:jc w:val="both"/>
        <w:rPr>
          <w:rFonts w:ascii="Garamond" w:hAnsi="Garamond"/>
          <w:b/>
          <w:sz w:val="24"/>
          <w:szCs w:val="24"/>
        </w:rPr>
      </w:pPr>
    </w:p>
    <w:p w:rsidR="00244D5B" w:rsidRPr="00A71B60" w:rsidRDefault="00F7467E" w:rsidP="00A71B60">
      <w:pPr>
        <w:spacing w:line="360" w:lineRule="auto"/>
        <w:jc w:val="both"/>
        <w:rPr>
          <w:rFonts w:ascii="Garamond" w:hAnsi="Garamond"/>
        </w:rPr>
      </w:pPr>
      <w:r w:rsidRPr="00886EE7">
        <w:rPr>
          <w:rFonts w:ascii="Garamond" w:hAnsi="Garamond"/>
          <w:b/>
          <w:sz w:val="24"/>
          <w:szCs w:val="24"/>
        </w:rPr>
        <w:t>Maritza</w:t>
      </w:r>
      <w:r w:rsidR="00304C63" w:rsidRPr="00886EE7">
        <w:rPr>
          <w:rFonts w:ascii="Garamond" w:hAnsi="Garamond"/>
          <w:b/>
          <w:sz w:val="24"/>
          <w:szCs w:val="24"/>
        </w:rPr>
        <w:t>,</w:t>
      </w:r>
      <w:r w:rsidR="00304C63" w:rsidRPr="00EA7A08">
        <w:rPr>
          <w:rFonts w:ascii="Garamond" w:hAnsi="Garamond"/>
          <w:b/>
          <w:sz w:val="24"/>
          <w:szCs w:val="24"/>
        </w:rPr>
        <w:t xml:space="preserve"> Ciudad de México, 2018.</w:t>
      </w:r>
    </w:p>
    <w:tbl>
      <w:tblPr>
        <w:tblStyle w:val="TableGrid"/>
        <w:tblW w:w="0" w:type="auto"/>
        <w:tblLook w:val="04A0" w:firstRow="1" w:lastRow="0" w:firstColumn="1" w:lastColumn="0" w:noHBand="0" w:noVBand="1"/>
      </w:tblPr>
      <w:tblGrid>
        <w:gridCol w:w="8828"/>
      </w:tblGrid>
      <w:tr w:rsidR="00244D5B" w:rsidTr="00244D5B">
        <w:tc>
          <w:tcPr>
            <w:tcW w:w="8828" w:type="dxa"/>
          </w:tcPr>
          <w:p w:rsidR="00244D5B" w:rsidRPr="00304C63" w:rsidRDefault="00244D5B" w:rsidP="00EA7A08">
            <w:pPr>
              <w:spacing w:line="360" w:lineRule="auto"/>
              <w:jc w:val="both"/>
              <w:rPr>
                <w:rFonts w:ascii="Garamond" w:hAnsi="Garamond"/>
                <w:sz w:val="24"/>
                <w:szCs w:val="24"/>
              </w:rPr>
            </w:pPr>
            <w:r w:rsidRPr="00304C63">
              <w:rPr>
                <w:rFonts w:ascii="Garamond" w:hAnsi="Garamond"/>
                <w:sz w:val="24"/>
                <w:szCs w:val="24"/>
              </w:rPr>
              <w:t>En abril de 2018, Maritza, que cursaba un embarazo de 15 semanas de gestación, tuvo una hemorragia, por lo que acudió al Hospital de Ginecología y Obstetricia 4 del IMSS. Ahí, le dijeron que la hemorragia se debía a que el cuello del útero se estaba abriendo y la dieron de alta al día siguiente. Unas semanas más tarde, Maritza tuvo otra hemorragia por lo que volvió a acudir al hospital. Esta vez le dijeron que tendrían que practicarle un legrado. Varias horas más tarde, le informaron que sus médicos tratantes consideraban que estaba en condiciones de continuar la gestación y que la situación no ameritaba interrumpir su embarazo. Maritza se preocupó por la atención que recibía, ya que se encontraba recién operada de tumores en la tiroides y estaba por iniciar un tratamiento de yodo para la eliminación de posibles células cancerígenas. Manifestó su temor a una hemorragia más. Por ello, con el acompañamiento del equipo jurídico de GIRE, presentó una demanda de amparo con el fin de garantizar que le fueran proveídos los servicios de salud necesarios, suficientes y adecuados a fin de salvaguardar su integridad y vida. En respuesta, el juez ordenó brindar “atención médica adecuada”. Maritza aclaró que quería interrumpir su embarazo por su estado de salud, a lo que la médica visitante le respondió que eso lo iba a valorar el Consejo de Bioética del hospital para determinar si procedía el aborto o no, y que en caso de que procediera tendría que tener una histerectomía, con el fin de evitar una complicación por los antecedentes de hemorragias. Más tarde, el jefe de piso dijo que no realizarían el procedimiento porque Maritza estaba en condiciones de soportar el embarazo, que debió cuidarse para no embarazarse y que era “criminal matar a un bebé de 15 semanas”. El médico cuestionó a Maritza sobre si su embarazo era deseado porque no le veía “ánimos” de salvarlo. También le dijo que la valoración la hacían con lo que tenían en el expediente, que no sabían de la condición del cáncer en tiroides y que le pidiera al médico oncólogo tratante que expidiera una carta donde señalara el diagnóstico, para que fuera validada por algún oncólogo del IMSS. Solo entonces llamarían a sesión al Consejo de Bioética para resolver el caso nuevamente. El 13 de mayo, Maritza sufrió una tercera hemorragia. Para ese momento, ya temía seriamente por su vida. Al día siguiente y tras una cuarta hemorragia, finalmente le practicaron un legrado de urgencia. Maritza refiere que, al preguntar si consideraba que lo sucedido con su embarazo pudiera haber afectado negativamente su salud, el médico le respondió que lo importante había sido “salvar la vida de su bebé”, y que no sabría decirle más.</w:t>
            </w:r>
          </w:p>
          <w:p w:rsidR="00244D5B" w:rsidRDefault="00244D5B" w:rsidP="002A33BA">
            <w:pPr>
              <w:rPr>
                <w:rFonts w:ascii="Garamond" w:hAnsi="Garamond"/>
                <w:sz w:val="24"/>
                <w:szCs w:val="24"/>
              </w:rPr>
            </w:pPr>
          </w:p>
        </w:tc>
      </w:tr>
    </w:tbl>
    <w:p w:rsidR="00320CF7" w:rsidRPr="004B4006" w:rsidRDefault="00320CF7" w:rsidP="00626333">
      <w:pPr>
        <w:spacing w:line="360" w:lineRule="auto"/>
        <w:jc w:val="both"/>
        <w:rPr>
          <w:rFonts w:ascii="Garamond" w:hAnsi="Garamond"/>
          <w:sz w:val="24"/>
          <w:szCs w:val="24"/>
        </w:rPr>
      </w:pPr>
      <w:r w:rsidRPr="004B4006">
        <w:rPr>
          <w:rFonts w:ascii="Garamond" w:hAnsi="Garamond"/>
          <w:sz w:val="24"/>
          <w:szCs w:val="24"/>
        </w:rPr>
        <w:t xml:space="preserve">De acuerdo al Relator Especial sobre la Tortura y otros tratos crueles, cuando </w:t>
      </w:r>
      <w:r w:rsidR="00626333" w:rsidRPr="004B4006">
        <w:rPr>
          <w:rFonts w:ascii="Garamond" w:hAnsi="Garamond"/>
          <w:sz w:val="24"/>
          <w:szCs w:val="24"/>
        </w:rPr>
        <w:t>el Estado condena a las y los usuarios de servicios de salud a sufrir dolor innecesariamente por no tomar las medidas adecuadas, no sólo se conculca el derecho a la salud sino que también puede estarse incumpliendo una obligación positiva contraída en relación a la prohibición de tortura y malos tratos.</w:t>
      </w:r>
      <w:r w:rsidR="00626333" w:rsidRPr="004B4006">
        <w:rPr>
          <w:rStyle w:val="FootnoteReference"/>
          <w:rFonts w:ascii="Garamond" w:hAnsi="Garamond"/>
          <w:sz w:val="24"/>
          <w:szCs w:val="24"/>
        </w:rPr>
        <w:footnoteReference w:id="9"/>
      </w:r>
      <w:r w:rsidR="00626333" w:rsidRPr="004B4006">
        <w:rPr>
          <w:rFonts w:ascii="Garamond" w:hAnsi="Garamond"/>
          <w:sz w:val="24"/>
          <w:szCs w:val="24"/>
        </w:rPr>
        <w:t xml:space="preserve"> Esta afirmación adquiere volumen en el caso de Maritza, a quien no sólo se le produjo dolor y sufrimiento innecesarios, sino que la actitud omisa del Estado estuvo cerca de causar su muerte.</w:t>
      </w:r>
    </w:p>
    <w:p w:rsidR="00844E68" w:rsidRPr="00A71B60" w:rsidRDefault="00B612A8" w:rsidP="004C075C">
      <w:pPr>
        <w:spacing w:line="360" w:lineRule="auto"/>
        <w:jc w:val="both"/>
        <w:rPr>
          <w:rFonts w:ascii="Garamond" w:hAnsi="Garamond"/>
          <w:b/>
          <w:sz w:val="24"/>
          <w:szCs w:val="24"/>
        </w:rPr>
      </w:pPr>
      <w:r w:rsidRPr="004B4006">
        <w:rPr>
          <w:rFonts w:ascii="Garamond" w:hAnsi="Garamond"/>
          <w:b/>
          <w:sz w:val="24"/>
          <w:szCs w:val="24"/>
        </w:rPr>
        <w:t>RECOMENDACIONES:</w:t>
      </w:r>
    </w:p>
    <w:p w:rsidR="00875C6D" w:rsidRDefault="00875C6D" w:rsidP="004C075C">
      <w:pPr>
        <w:spacing w:line="360" w:lineRule="auto"/>
        <w:jc w:val="both"/>
        <w:rPr>
          <w:rFonts w:ascii="Garamond" w:hAnsi="Garamond"/>
          <w:sz w:val="24"/>
          <w:szCs w:val="24"/>
        </w:rPr>
      </w:pPr>
      <w:r>
        <w:rPr>
          <w:rFonts w:ascii="Garamond" w:hAnsi="Garamond"/>
          <w:sz w:val="24"/>
          <w:szCs w:val="24"/>
        </w:rPr>
        <w:t>Conforme a lo expuesto, esperamos que el Comité contra la Tortura se sirva emitir las siguientes recomendaciones al Estado mexicano:</w:t>
      </w:r>
    </w:p>
    <w:p w:rsidR="00792CB9" w:rsidRDefault="00792CB9" w:rsidP="004C075C">
      <w:pPr>
        <w:spacing w:line="360" w:lineRule="auto"/>
        <w:jc w:val="both"/>
        <w:rPr>
          <w:rFonts w:ascii="Garamond" w:hAnsi="Garamond"/>
          <w:sz w:val="24"/>
          <w:szCs w:val="24"/>
        </w:rPr>
      </w:pPr>
      <w:r>
        <w:rPr>
          <w:rFonts w:ascii="Garamond" w:hAnsi="Garamond"/>
          <w:sz w:val="24"/>
          <w:szCs w:val="24"/>
        </w:rPr>
        <w:t>Aborto:</w:t>
      </w:r>
    </w:p>
    <w:p w:rsidR="00B612A8" w:rsidRPr="00792CB9" w:rsidRDefault="00875C6D" w:rsidP="00792CB9">
      <w:pPr>
        <w:pStyle w:val="ListParagraph"/>
        <w:numPr>
          <w:ilvl w:val="0"/>
          <w:numId w:val="2"/>
        </w:numPr>
        <w:spacing w:line="360" w:lineRule="auto"/>
        <w:jc w:val="both"/>
        <w:rPr>
          <w:rFonts w:ascii="Garamond" w:hAnsi="Garamond"/>
          <w:sz w:val="24"/>
          <w:szCs w:val="24"/>
        </w:rPr>
      </w:pPr>
      <w:r w:rsidRPr="00792CB9">
        <w:rPr>
          <w:rFonts w:ascii="Garamond" w:hAnsi="Garamond"/>
          <w:sz w:val="24"/>
          <w:szCs w:val="24"/>
        </w:rPr>
        <w:t>Despenalizar el aborto voluntario, por lo menos durante el primer trimestre de gestación</w:t>
      </w:r>
      <w:r w:rsidR="004C075C" w:rsidRPr="00792CB9">
        <w:rPr>
          <w:rFonts w:ascii="Garamond" w:hAnsi="Garamond"/>
          <w:sz w:val="24"/>
          <w:szCs w:val="24"/>
        </w:rPr>
        <w:t>.</w:t>
      </w:r>
    </w:p>
    <w:p w:rsidR="00875C6D" w:rsidRDefault="00875C6D" w:rsidP="004C075C">
      <w:pPr>
        <w:pStyle w:val="ListParagraph"/>
        <w:numPr>
          <w:ilvl w:val="0"/>
          <w:numId w:val="2"/>
        </w:numPr>
        <w:spacing w:line="360" w:lineRule="auto"/>
        <w:jc w:val="both"/>
        <w:rPr>
          <w:rFonts w:ascii="Garamond" w:hAnsi="Garamond"/>
          <w:sz w:val="24"/>
          <w:szCs w:val="24"/>
        </w:rPr>
      </w:pPr>
      <w:r>
        <w:rPr>
          <w:rFonts w:ascii="Garamond" w:hAnsi="Garamond"/>
          <w:sz w:val="24"/>
          <w:szCs w:val="24"/>
        </w:rPr>
        <w:t xml:space="preserve">Garantizar </w:t>
      </w:r>
      <w:r w:rsidR="00A71B60">
        <w:rPr>
          <w:rFonts w:ascii="Garamond" w:hAnsi="Garamond"/>
          <w:sz w:val="24"/>
          <w:szCs w:val="24"/>
        </w:rPr>
        <w:t>el acceso a causales de aborto, sin imponer barreras injustificadas</w:t>
      </w:r>
      <w:r w:rsidR="004C075C">
        <w:rPr>
          <w:rFonts w:ascii="Garamond" w:hAnsi="Garamond"/>
          <w:sz w:val="24"/>
          <w:szCs w:val="24"/>
        </w:rPr>
        <w:t>.</w:t>
      </w:r>
    </w:p>
    <w:p w:rsidR="00792CB9" w:rsidRDefault="00792CB9" w:rsidP="004C075C">
      <w:pPr>
        <w:pStyle w:val="ListParagraph"/>
        <w:numPr>
          <w:ilvl w:val="0"/>
          <w:numId w:val="2"/>
        </w:numPr>
        <w:spacing w:line="360" w:lineRule="auto"/>
        <w:jc w:val="both"/>
        <w:rPr>
          <w:rFonts w:ascii="Garamond" w:hAnsi="Garamond"/>
          <w:sz w:val="24"/>
          <w:szCs w:val="24"/>
        </w:rPr>
      </w:pPr>
      <w:r>
        <w:rPr>
          <w:rFonts w:ascii="Garamond" w:hAnsi="Garamond"/>
          <w:sz w:val="24"/>
          <w:szCs w:val="24"/>
        </w:rPr>
        <w:t>Asegurar que se cuenta con personal médico no objetor en todo momento, de manera que se garantice el acceso a servicios de aborto.</w:t>
      </w:r>
    </w:p>
    <w:p w:rsidR="004C075C" w:rsidRDefault="00792CB9" w:rsidP="004C075C">
      <w:pPr>
        <w:spacing w:line="360" w:lineRule="auto"/>
        <w:jc w:val="both"/>
        <w:rPr>
          <w:rFonts w:ascii="Garamond" w:hAnsi="Garamond"/>
          <w:sz w:val="24"/>
          <w:szCs w:val="24"/>
        </w:rPr>
      </w:pPr>
      <w:r>
        <w:rPr>
          <w:rFonts w:ascii="Garamond" w:hAnsi="Garamond"/>
          <w:sz w:val="24"/>
          <w:szCs w:val="24"/>
        </w:rPr>
        <w:t>Violencia obstétrica:</w:t>
      </w:r>
    </w:p>
    <w:p w:rsidR="00792CB9" w:rsidRDefault="00792CB9" w:rsidP="00792CB9">
      <w:pPr>
        <w:pStyle w:val="ListParagraph"/>
        <w:numPr>
          <w:ilvl w:val="0"/>
          <w:numId w:val="3"/>
        </w:numPr>
        <w:spacing w:line="360" w:lineRule="auto"/>
        <w:jc w:val="both"/>
        <w:rPr>
          <w:rFonts w:ascii="Garamond" w:hAnsi="Garamond"/>
          <w:sz w:val="24"/>
          <w:szCs w:val="24"/>
        </w:rPr>
      </w:pPr>
      <w:r>
        <w:rPr>
          <w:rFonts w:ascii="Garamond" w:hAnsi="Garamond"/>
          <w:sz w:val="24"/>
          <w:szCs w:val="24"/>
        </w:rPr>
        <w:t>Garantizar el acceso universal a los servicios de salud obstétrica, en particular durante el trabajo de parto.</w:t>
      </w:r>
    </w:p>
    <w:p w:rsidR="00792CB9" w:rsidRDefault="00792CB9" w:rsidP="00792CB9">
      <w:pPr>
        <w:pStyle w:val="ListParagraph"/>
        <w:numPr>
          <w:ilvl w:val="0"/>
          <w:numId w:val="3"/>
        </w:numPr>
        <w:spacing w:line="360" w:lineRule="auto"/>
        <w:jc w:val="both"/>
        <w:rPr>
          <w:rFonts w:ascii="Garamond" w:hAnsi="Garamond"/>
          <w:sz w:val="24"/>
          <w:szCs w:val="24"/>
        </w:rPr>
      </w:pPr>
      <w:r>
        <w:rPr>
          <w:rFonts w:ascii="Garamond" w:hAnsi="Garamond"/>
          <w:sz w:val="24"/>
          <w:szCs w:val="24"/>
        </w:rPr>
        <w:t>Institucionalizar la capacitación del personal de salud que interviene en la atención obstétrica y evaluar el impacto de dichas acciones.</w:t>
      </w:r>
    </w:p>
    <w:p w:rsidR="00792CB9" w:rsidRDefault="00792CB9" w:rsidP="00792CB9">
      <w:pPr>
        <w:pStyle w:val="ListParagraph"/>
        <w:numPr>
          <w:ilvl w:val="0"/>
          <w:numId w:val="3"/>
        </w:numPr>
        <w:spacing w:line="360" w:lineRule="auto"/>
        <w:jc w:val="both"/>
        <w:rPr>
          <w:rFonts w:ascii="Garamond" w:hAnsi="Garamond"/>
          <w:sz w:val="24"/>
          <w:szCs w:val="24"/>
        </w:rPr>
      </w:pPr>
      <w:r>
        <w:rPr>
          <w:rFonts w:ascii="Garamond" w:hAnsi="Garamond"/>
          <w:sz w:val="24"/>
          <w:szCs w:val="24"/>
        </w:rPr>
        <w:t>Certificar con regularidad las capacidades técnicas del personal de salud.</w:t>
      </w:r>
    </w:p>
    <w:p w:rsidR="00AB0C13" w:rsidRDefault="00AB0C13" w:rsidP="00792CB9">
      <w:pPr>
        <w:pStyle w:val="ListParagraph"/>
        <w:numPr>
          <w:ilvl w:val="0"/>
          <w:numId w:val="3"/>
        </w:numPr>
        <w:spacing w:line="360" w:lineRule="auto"/>
        <w:jc w:val="both"/>
        <w:rPr>
          <w:rFonts w:ascii="Garamond" w:hAnsi="Garamond"/>
          <w:sz w:val="24"/>
          <w:szCs w:val="24"/>
        </w:rPr>
      </w:pPr>
      <w:r>
        <w:rPr>
          <w:rFonts w:ascii="Garamond" w:hAnsi="Garamond"/>
          <w:sz w:val="24"/>
          <w:szCs w:val="24"/>
        </w:rPr>
        <w:t>Dar cumplimiento a la Recomendación General 31/2017 de la Comisión Nacional de los Derechos Humanos sobre violencia obstétrica en el Sistema Nacional de Salud.</w:t>
      </w:r>
    </w:p>
    <w:p w:rsidR="00792CB9" w:rsidRPr="00792CB9" w:rsidRDefault="00792CB9" w:rsidP="00792CB9">
      <w:pPr>
        <w:spacing w:line="360" w:lineRule="auto"/>
        <w:jc w:val="both"/>
        <w:rPr>
          <w:rFonts w:ascii="Garamond" w:hAnsi="Garamond"/>
          <w:sz w:val="24"/>
          <w:szCs w:val="24"/>
        </w:rPr>
      </w:pPr>
      <w:r>
        <w:rPr>
          <w:rFonts w:ascii="Garamond" w:hAnsi="Garamond"/>
          <w:sz w:val="24"/>
          <w:szCs w:val="24"/>
        </w:rPr>
        <w:t>Acceso a la reparación integral por violaciones a derechos humanos:</w:t>
      </w:r>
    </w:p>
    <w:p w:rsidR="0029247D" w:rsidRPr="00792CB9" w:rsidRDefault="004C075C" w:rsidP="00792CB9">
      <w:pPr>
        <w:pStyle w:val="ListParagraph"/>
        <w:numPr>
          <w:ilvl w:val="0"/>
          <w:numId w:val="2"/>
        </w:numPr>
        <w:spacing w:line="360" w:lineRule="auto"/>
        <w:jc w:val="both"/>
        <w:rPr>
          <w:rFonts w:ascii="Garamond" w:hAnsi="Garamond"/>
          <w:sz w:val="24"/>
          <w:szCs w:val="24"/>
        </w:rPr>
      </w:pPr>
      <w:r>
        <w:rPr>
          <w:rFonts w:ascii="Garamond" w:hAnsi="Garamond"/>
          <w:sz w:val="24"/>
          <w:szCs w:val="24"/>
        </w:rPr>
        <w:t xml:space="preserve">Garantizar </w:t>
      </w:r>
      <w:r w:rsidR="00792CB9">
        <w:rPr>
          <w:rFonts w:ascii="Garamond" w:hAnsi="Garamond"/>
          <w:sz w:val="24"/>
          <w:szCs w:val="24"/>
        </w:rPr>
        <w:t>que l</w:t>
      </w:r>
      <w:r>
        <w:rPr>
          <w:rFonts w:ascii="Garamond" w:hAnsi="Garamond"/>
          <w:sz w:val="24"/>
          <w:szCs w:val="24"/>
        </w:rPr>
        <w:t xml:space="preserve">as recomendaciones emitidas por la Comisión Nacional de Derechos Humanos y las comisiones locales </w:t>
      </w:r>
      <w:r w:rsidR="00792CB9">
        <w:rPr>
          <w:rFonts w:ascii="Garamond" w:hAnsi="Garamond"/>
          <w:sz w:val="24"/>
          <w:szCs w:val="24"/>
        </w:rPr>
        <w:t>sean</w:t>
      </w:r>
      <w:r>
        <w:rPr>
          <w:rFonts w:ascii="Garamond" w:hAnsi="Garamond"/>
          <w:sz w:val="24"/>
          <w:szCs w:val="24"/>
        </w:rPr>
        <w:t xml:space="preserve"> acordes a los más altos estándares de derechos humanos, tom</w:t>
      </w:r>
      <w:r w:rsidR="00792CB9">
        <w:rPr>
          <w:rFonts w:ascii="Garamond" w:hAnsi="Garamond"/>
          <w:sz w:val="24"/>
          <w:szCs w:val="24"/>
        </w:rPr>
        <w:t>en</w:t>
      </w:r>
      <w:r>
        <w:rPr>
          <w:rFonts w:ascii="Garamond" w:hAnsi="Garamond"/>
          <w:sz w:val="24"/>
          <w:szCs w:val="24"/>
        </w:rPr>
        <w:t xml:space="preserve"> en cuenta las peticiones de las víctimas y </w:t>
      </w:r>
      <w:r w:rsidR="00792CB9">
        <w:rPr>
          <w:rFonts w:ascii="Garamond" w:hAnsi="Garamond"/>
          <w:sz w:val="24"/>
          <w:szCs w:val="24"/>
        </w:rPr>
        <w:t>se</w:t>
      </w:r>
      <w:r>
        <w:rPr>
          <w:rFonts w:ascii="Garamond" w:hAnsi="Garamond"/>
          <w:sz w:val="24"/>
          <w:szCs w:val="24"/>
        </w:rPr>
        <w:t xml:space="preserve"> d</w:t>
      </w:r>
      <w:r w:rsidR="00792CB9">
        <w:rPr>
          <w:rFonts w:ascii="Garamond" w:hAnsi="Garamond"/>
          <w:sz w:val="24"/>
          <w:szCs w:val="24"/>
        </w:rPr>
        <w:t>é</w:t>
      </w:r>
      <w:r>
        <w:rPr>
          <w:rFonts w:ascii="Garamond" w:hAnsi="Garamond"/>
          <w:sz w:val="24"/>
          <w:szCs w:val="24"/>
        </w:rPr>
        <w:t xml:space="preserve"> seguimiento puntual a su cumplimiento, enfatizando en el señalamiento de medidas de no repetición</w:t>
      </w:r>
      <w:r w:rsidR="00792CB9">
        <w:rPr>
          <w:rFonts w:ascii="Garamond" w:hAnsi="Garamond"/>
          <w:sz w:val="24"/>
          <w:szCs w:val="24"/>
        </w:rPr>
        <w:t>.</w:t>
      </w:r>
    </w:p>
    <w:sectPr w:rsidR="0029247D" w:rsidRPr="00792CB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EDB" w:rsidRDefault="004A3EDB" w:rsidP="00A7784F">
      <w:pPr>
        <w:spacing w:after="0" w:line="240" w:lineRule="auto"/>
      </w:pPr>
      <w:r>
        <w:separator/>
      </w:r>
    </w:p>
  </w:endnote>
  <w:endnote w:type="continuationSeparator" w:id="0">
    <w:p w:rsidR="004A3EDB" w:rsidRDefault="004A3EDB" w:rsidP="00A77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EDB" w:rsidRDefault="004A3EDB" w:rsidP="00A7784F">
      <w:pPr>
        <w:spacing w:after="0" w:line="240" w:lineRule="auto"/>
      </w:pPr>
      <w:r>
        <w:separator/>
      </w:r>
    </w:p>
  </w:footnote>
  <w:footnote w:type="continuationSeparator" w:id="0">
    <w:p w:rsidR="004A3EDB" w:rsidRDefault="004A3EDB" w:rsidP="00A7784F">
      <w:pPr>
        <w:spacing w:after="0" w:line="240" w:lineRule="auto"/>
      </w:pPr>
      <w:r>
        <w:continuationSeparator/>
      </w:r>
    </w:p>
  </w:footnote>
  <w:footnote w:id="1">
    <w:p w:rsidR="00A7784F" w:rsidRPr="00B36229" w:rsidRDefault="00A7784F" w:rsidP="0059292F">
      <w:pPr>
        <w:pStyle w:val="FootnoteText"/>
        <w:jc w:val="both"/>
        <w:rPr>
          <w:rFonts w:ascii="Garamond" w:hAnsi="Garamond"/>
        </w:rPr>
      </w:pPr>
      <w:r>
        <w:rPr>
          <w:rStyle w:val="FootnoteReference"/>
        </w:rPr>
        <w:footnoteRef/>
      </w:r>
      <w:r>
        <w:t xml:space="preserve"> </w:t>
      </w:r>
      <w:r w:rsidR="0059292F" w:rsidRPr="00B36229">
        <w:rPr>
          <w:rFonts w:ascii="Garamond" w:hAnsi="Garamond"/>
        </w:rPr>
        <w:t xml:space="preserve">La violencia obstétrica es una forma específica de violencia contra las mujeres que constituye una violación a los derechos humanos. Se genera en el ámbito de la atención del embarazo, parto y posparto en los servicios de salud públicos y privados, y consiste en cualquier acción u omisión que cause un daño físico o psicológico a la mujer, que se exprese en falta de acceso a servicios de salud reproductiva, un trato cruel, inhumano o degradante, o un abuso de medicalización, menoscabando la capacidad de decidir de manera libre e informada sobre dichos procesos reproductivos. GIRE, </w:t>
      </w:r>
      <w:r w:rsidR="0059292F" w:rsidRPr="00B36229">
        <w:rPr>
          <w:rFonts w:ascii="Garamond" w:hAnsi="Garamond"/>
          <w:i/>
        </w:rPr>
        <w:t>Violencia obstétrica. Un enfoque de derechos humanos</w:t>
      </w:r>
      <w:r w:rsidR="0059292F" w:rsidRPr="00B36229">
        <w:rPr>
          <w:rFonts w:ascii="Garamond" w:hAnsi="Garamond"/>
        </w:rPr>
        <w:t>, 2015, p. 12.</w:t>
      </w:r>
      <w:r w:rsidR="00DE4D1E" w:rsidRPr="00B36229">
        <w:rPr>
          <w:rFonts w:ascii="Garamond" w:hAnsi="Garamond"/>
        </w:rPr>
        <w:t xml:space="preserve"> </w:t>
      </w:r>
      <w:r w:rsidR="0059292F" w:rsidRPr="00B36229">
        <w:rPr>
          <w:rFonts w:ascii="Garamond" w:hAnsi="Garamond"/>
        </w:rPr>
        <w:t>Disponible en</w:t>
      </w:r>
      <w:r w:rsidR="00DE4D1E" w:rsidRPr="00B36229">
        <w:rPr>
          <w:rFonts w:ascii="Garamond" w:hAnsi="Garamond"/>
        </w:rPr>
        <w:t>:</w:t>
      </w:r>
      <w:r w:rsidR="0059292F" w:rsidRPr="00B36229">
        <w:rPr>
          <w:rFonts w:ascii="Garamond" w:hAnsi="Garamond"/>
        </w:rPr>
        <w:t xml:space="preserve"> https://gire.org.mx/wp-content/uploads/2016/07/informeviolenciaobstetrica2015.pdf</w:t>
      </w:r>
    </w:p>
  </w:footnote>
  <w:footnote w:id="2">
    <w:p w:rsidR="00654CC4" w:rsidRPr="00B36229" w:rsidRDefault="00654CC4">
      <w:pPr>
        <w:pStyle w:val="FootnoteText"/>
        <w:rPr>
          <w:rFonts w:ascii="Garamond" w:hAnsi="Garamond"/>
        </w:rPr>
      </w:pPr>
      <w:r w:rsidRPr="00B36229">
        <w:rPr>
          <w:rStyle w:val="FootnoteReference"/>
          <w:rFonts w:ascii="Garamond" w:hAnsi="Garamond"/>
        </w:rPr>
        <w:footnoteRef/>
      </w:r>
      <w:r w:rsidRPr="00B36229">
        <w:rPr>
          <w:rFonts w:ascii="Garamond" w:hAnsi="Garamond"/>
        </w:rPr>
        <w:t xml:space="preserve"> Naciones Unidas, Consejo de Derechos Humanos, </w:t>
      </w:r>
      <w:r w:rsidRPr="00B36229">
        <w:rPr>
          <w:rFonts w:ascii="Garamond" w:hAnsi="Garamond"/>
          <w:i/>
        </w:rPr>
        <w:t>Informe del Relator Especial sobre la tortura y otros tratos o penas crueles, inhumanas y degradantes [A/HRC/22/53],</w:t>
      </w:r>
      <w:r w:rsidRPr="00B36229">
        <w:rPr>
          <w:rFonts w:ascii="Garamond" w:hAnsi="Garamond"/>
        </w:rPr>
        <w:t xml:space="preserve"> 22° periodo de sesiones (2013), párrafo 46.</w:t>
      </w:r>
    </w:p>
  </w:footnote>
  <w:footnote w:id="3">
    <w:p w:rsidR="00654CC4" w:rsidRPr="00B36229" w:rsidRDefault="00654CC4">
      <w:pPr>
        <w:pStyle w:val="FootnoteText"/>
        <w:rPr>
          <w:rFonts w:ascii="Garamond" w:hAnsi="Garamond"/>
        </w:rPr>
      </w:pPr>
      <w:r w:rsidRPr="00B36229">
        <w:rPr>
          <w:rStyle w:val="FootnoteReference"/>
          <w:rFonts w:ascii="Garamond" w:hAnsi="Garamond"/>
        </w:rPr>
        <w:footnoteRef/>
      </w:r>
      <w:r w:rsidRPr="00B36229">
        <w:rPr>
          <w:rFonts w:ascii="Garamond" w:hAnsi="Garamond"/>
        </w:rPr>
        <w:t xml:space="preserve"> INEGI, </w:t>
      </w:r>
      <w:r w:rsidRPr="00B36229">
        <w:rPr>
          <w:rFonts w:ascii="Garamond" w:hAnsi="Garamond"/>
          <w:i/>
        </w:rPr>
        <w:t>ENDIREH</w:t>
      </w:r>
      <w:r w:rsidR="00BD5FE6" w:rsidRPr="00B36229">
        <w:rPr>
          <w:rFonts w:ascii="Garamond" w:hAnsi="Garamond"/>
          <w:i/>
        </w:rPr>
        <w:t xml:space="preserve"> 2016</w:t>
      </w:r>
      <w:r w:rsidR="00BD5FE6" w:rsidRPr="00B36229">
        <w:rPr>
          <w:rFonts w:ascii="Garamond" w:hAnsi="Garamond"/>
        </w:rPr>
        <w:t xml:space="preserve">. Disponible en: http://www.beta.inegi.org.mx/contenidos/proyectos/enchogares/especiales/endireh/2016/doc/endireh2016_presentacion_ejecutiva.pdf </w:t>
      </w:r>
    </w:p>
  </w:footnote>
  <w:footnote w:id="4">
    <w:p w:rsidR="00654CC4" w:rsidRPr="00B36229" w:rsidRDefault="00654CC4">
      <w:pPr>
        <w:pStyle w:val="FootnoteText"/>
        <w:rPr>
          <w:rFonts w:ascii="Garamond" w:hAnsi="Garamond"/>
        </w:rPr>
      </w:pPr>
      <w:r w:rsidRPr="00B36229">
        <w:rPr>
          <w:rStyle w:val="FootnoteReference"/>
          <w:rFonts w:ascii="Garamond" w:hAnsi="Garamond"/>
        </w:rPr>
        <w:footnoteRef/>
      </w:r>
      <w:r w:rsidRPr="00B36229">
        <w:rPr>
          <w:rFonts w:ascii="Garamond" w:hAnsi="Garamond"/>
        </w:rPr>
        <w:t xml:space="preserve"> </w:t>
      </w:r>
      <w:r w:rsidR="00BD5FE6" w:rsidRPr="00B36229">
        <w:rPr>
          <w:rFonts w:ascii="Garamond" w:hAnsi="Garamond"/>
        </w:rPr>
        <w:t xml:space="preserve">GIRE, </w:t>
      </w:r>
      <w:r w:rsidR="00BD5FE6" w:rsidRPr="00B36229">
        <w:rPr>
          <w:rFonts w:ascii="Garamond" w:hAnsi="Garamond"/>
          <w:i/>
        </w:rPr>
        <w:t>La pieza faltante. Justicia reproductiva</w:t>
      </w:r>
      <w:r w:rsidR="00BD5FE6" w:rsidRPr="00B36229">
        <w:rPr>
          <w:rFonts w:ascii="Garamond" w:hAnsi="Garamond"/>
        </w:rPr>
        <w:t xml:space="preserve">, 2018, p. 104 y 105. Disponible en: </w:t>
      </w:r>
      <w:hyperlink r:id="rId1" w:history="1">
        <w:r w:rsidR="00BD5FE6" w:rsidRPr="00B36229">
          <w:rPr>
            <w:rFonts w:ascii="Garamond" w:hAnsi="Garamond"/>
            <w:color w:val="0000FF"/>
            <w:sz w:val="22"/>
            <w:szCs w:val="22"/>
            <w:u w:val="single"/>
          </w:rPr>
          <w:t>http://www.justiciareproductiva.gire.org.mx/assets/pdf/JusticiaReproductiva.pdf</w:t>
        </w:r>
      </w:hyperlink>
    </w:p>
  </w:footnote>
  <w:footnote w:id="5">
    <w:p w:rsidR="00BD5FE6" w:rsidRPr="00B36229" w:rsidRDefault="00BD5FE6">
      <w:pPr>
        <w:pStyle w:val="FootnoteText"/>
        <w:rPr>
          <w:rFonts w:ascii="Garamond" w:hAnsi="Garamond"/>
        </w:rPr>
      </w:pPr>
      <w:r w:rsidRPr="00B36229">
        <w:rPr>
          <w:rStyle w:val="FootnoteReference"/>
          <w:rFonts w:ascii="Garamond" w:hAnsi="Garamond"/>
        </w:rPr>
        <w:footnoteRef/>
      </w:r>
      <w:r w:rsidRPr="00B36229">
        <w:rPr>
          <w:rFonts w:ascii="Garamond" w:hAnsi="Garamond"/>
        </w:rPr>
        <w:t xml:space="preserve"> </w:t>
      </w:r>
      <w:bookmarkStart w:id="2" w:name="_Hlk3976027"/>
      <w:r w:rsidRPr="00B36229">
        <w:rPr>
          <w:rFonts w:ascii="Garamond" w:hAnsi="Garamond"/>
        </w:rPr>
        <w:t>Naciones Unidas, Consejo de Derechos Humanos</w:t>
      </w:r>
      <w:r w:rsidRPr="00B36229">
        <w:rPr>
          <w:rFonts w:ascii="Garamond" w:hAnsi="Garamond"/>
          <w:i/>
        </w:rPr>
        <w:t>, op. cit</w:t>
      </w:r>
      <w:bookmarkEnd w:id="2"/>
      <w:r w:rsidRPr="00B36229">
        <w:rPr>
          <w:rFonts w:ascii="Garamond" w:hAnsi="Garamond"/>
        </w:rPr>
        <w:t>., párrafo 15.</w:t>
      </w:r>
    </w:p>
  </w:footnote>
  <w:footnote w:id="6">
    <w:p w:rsidR="00BD5FE6" w:rsidRPr="00B36229" w:rsidRDefault="00BD5FE6">
      <w:pPr>
        <w:pStyle w:val="FootnoteText"/>
        <w:rPr>
          <w:rFonts w:ascii="Garamond" w:hAnsi="Garamond"/>
        </w:rPr>
      </w:pPr>
      <w:r w:rsidRPr="00B36229">
        <w:rPr>
          <w:rStyle w:val="FootnoteReference"/>
          <w:rFonts w:ascii="Garamond" w:hAnsi="Garamond"/>
        </w:rPr>
        <w:footnoteRef/>
      </w:r>
      <w:r w:rsidRPr="00B36229">
        <w:rPr>
          <w:rFonts w:ascii="Garamond" w:hAnsi="Garamond"/>
        </w:rPr>
        <w:t xml:space="preserve"> </w:t>
      </w:r>
      <w:r w:rsidRPr="00B36229">
        <w:rPr>
          <w:rFonts w:ascii="Garamond" w:hAnsi="Garamond"/>
          <w:i/>
        </w:rPr>
        <w:t>Ibíd</w:t>
      </w:r>
      <w:r w:rsidRPr="00B36229">
        <w:rPr>
          <w:rFonts w:ascii="Garamond" w:hAnsi="Garamond"/>
        </w:rPr>
        <w:t>, párrafo 39.</w:t>
      </w:r>
    </w:p>
  </w:footnote>
  <w:footnote w:id="7">
    <w:p w:rsidR="009D3D7C" w:rsidRPr="00B36229" w:rsidRDefault="009D3D7C">
      <w:pPr>
        <w:pStyle w:val="FootnoteText"/>
        <w:rPr>
          <w:rFonts w:ascii="Garamond" w:hAnsi="Garamond"/>
        </w:rPr>
      </w:pPr>
      <w:r w:rsidRPr="00B36229">
        <w:rPr>
          <w:rStyle w:val="FootnoteReference"/>
          <w:rFonts w:ascii="Garamond" w:hAnsi="Garamond"/>
        </w:rPr>
        <w:footnoteRef/>
      </w:r>
      <w:r w:rsidRPr="00B36229">
        <w:rPr>
          <w:rFonts w:ascii="Garamond" w:hAnsi="Garamond"/>
        </w:rPr>
        <w:t xml:space="preserve"> El caso de María Isaura fue presentado en el </w:t>
      </w:r>
      <w:r w:rsidR="00A71B60" w:rsidRPr="00B36229">
        <w:rPr>
          <w:rFonts w:ascii="Garamond" w:hAnsi="Garamond"/>
        </w:rPr>
        <w:t>Tribunal Simbólico sobre Muerte Materna y Violencia Obstétrica llevado a cabo en la Ciudad de México en mayo de 2016. Véase la Memoria del Tribunal en http://tribunal-simbolico.gire.org.mx.</w:t>
      </w:r>
    </w:p>
  </w:footnote>
  <w:footnote w:id="8">
    <w:p w:rsidR="00EC1693" w:rsidRPr="00B36229" w:rsidRDefault="00EC1693">
      <w:pPr>
        <w:pStyle w:val="FootnoteText"/>
        <w:rPr>
          <w:rFonts w:ascii="Garamond" w:hAnsi="Garamond"/>
        </w:rPr>
      </w:pPr>
      <w:r w:rsidRPr="00B36229">
        <w:rPr>
          <w:rStyle w:val="FootnoteReference"/>
          <w:rFonts w:ascii="Garamond" w:hAnsi="Garamond"/>
        </w:rPr>
        <w:footnoteRef/>
      </w:r>
      <w:r w:rsidRPr="00B36229">
        <w:rPr>
          <w:rFonts w:ascii="Garamond" w:hAnsi="Garamond"/>
        </w:rPr>
        <w:t xml:space="preserve"> Naciones Unidas, Consejo de Derechos Humanos</w:t>
      </w:r>
      <w:r w:rsidRPr="00B36229">
        <w:rPr>
          <w:rFonts w:ascii="Garamond" w:hAnsi="Garamond"/>
          <w:i/>
        </w:rPr>
        <w:t>, op. cit</w:t>
      </w:r>
      <w:r w:rsidRPr="00B36229">
        <w:rPr>
          <w:rFonts w:ascii="Garamond" w:hAnsi="Garamond"/>
        </w:rPr>
        <w:t>, párrafo 46.</w:t>
      </w:r>
    </w:p>
  </w:footnote>
  <w:footnote w:id="9">
    <w:p w:rsidR="00626333" w:rsidRPr="00B36229" w:rsidRDefault="00626333">
      <w:pPr>
        <w:pStyle w:val="FootnoteText"/>
        <w:rPr>
          <w:rFonts w:ascii="Garamond" w:hAnsi="Garamond"/>
        </w:rPr>
      </w:pPr>
      <w:r w:rsidRPr="00B36229">
        <w:rPr>
          <w:rStyle w:val="FootnoteReference"/>
          <w:rFonts w:ascii="Garamond" w:hAnsi="Garamond"/>
        </w:rPr>
        <w:footnoteRef/>
      </w:r>
      <w:r w:rsidR="00792CB9" w:rsidRPr="00B36229">
        <w:rPr>
          <w:rFonts w:ascii="Garamond" w:hAnsi="Garamond"/>
        </w:rPr>
        <w:t xml:space="preserve"> </w:t>
      </w:r>
      <w:r w:rsidR="00792CB9" w:rsidRPr="00B36229">
        <w:rPr>
          <w:rFonts w:ascii="Garamond" w:hAnsi="Garamond"/>
          <w:i/>
        </w:rPr>
        <w:t>Ibíd</w:t>
      </w:r>
      <w:r w:rsidR="00792CB9" w:rsidRPr="00B36229">
        <w:rPr>
          <w:rFonts w:ascii="Garamond" w:hAnsi="Garamond"/>
        </w:rPr>
        <w:t>, párrafo</w:t>
      </w:r>
      <w:r w:rsidRPr="00B36229">
        <w:rPr>
          <w:rFonts w:ascii="Garamond" w:hAnsi="Garamond"/>
        </w:rPr>
        <w:t xml:space="preserve"> 55</w:t>
      </w:r>
      <w:r w:rsidR="00792CB9" w:rsidRPr="00B36229">
        <w:rPr>
          <w:rFonts w:ascii="Garamond" w:hAnsi="Garamon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60415E"/>
    <w:multiLevelType w:val="hybridMultilevel"/>
    <w:tmpl w:val="10D291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578F43A7"/>
    <w:multiLevelType w:val="hybridMultilevel"/>
    <w:tmpl w:val="60367A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7454187E"/>
    <w:multiLevelType w:val="hybridMultilevel"/>
    <w:tmpl w:val="8CD42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D1"/>
    <w:rsid w:val="000404FB"/>
    <w:rsid w:val="00052862"/>
    <w:rsid w:val="0005544F"/>
    <w:rsid w:val="00086404"/>
    <w:rsid w:val="000B19D4"/>
    <w:rsid w:val="000D2283"/>
    <w:rsid w:val="000D6089"/>
    <w:rsid w:val="000F224A"/>
    <w:rsid w:val="00156F9D"/>
    <w:rsid w:val="00173E48"/>
    <w:rsid w:val="00196EA7"/>
    <w:rsid w:val="001977D6"/>
    <w:rsid w:val="001A5F7C"/>
    <w:rsid w:val="00243138"/>
    <w:rsid w:val="00244D5B"/>
    <w:rsid w:val="00256FE1"/>
    <w:rsid w:val="0029247D"/>
    <w:rsid w:val="002A33BA"/>
    <w:rsid w:val="00304C63"/>
    <w:rsid w:val="0030771F"/>
    <w:rsid w:val="0031030D"/>
    <w:rsid w:val="00320CF7"/>
    <w:rsid w:val="003419E3"/>
    <w:rsid w:val="00386BE0"/>
    <w:rsid w:val="003A22AB"/>
    <w:rsid w:val="004038DF"/>
    <w:rsid w:val="004212DE"/>
    <w:rsid w:val="00422D32"/>
    <w:rsid w:val="00493B07"/>
    <w:rsid w:val="004A3EDB"/>
    <w:rsid w:val="004A4491"/>
    <w:rsid w:val="004B4006"/>
    <w:rsid w:val="004B6D74"/>
    <w:rsid w:val="004C075C"/>
    <w:rsid w:val="004E1AD8"/>
    <w:rsid w:val="004F5F64"/>
    <w:rsid w:val="00546FA7"/>
    <w:rsid w:val="0058093E"/>
    <w:rsid w:val="00591FF6"/>
    <w:rsid w:val="0059292F"/>
    <w:rsid w:val="00612FF9"/>
    <w:rsid w:val="00626333"/>
    <w:rsid w:val="00630806"/>
    <w:rsid w:val="00654CC4"/>
    <w:rsid w:val="00667686"/>
    <w:rsid w:val="006B5C0D"/>
    <w:rsid w:val="0072356A"/>
    <w:rsid w:val="00723819"/>
    <w:rsid w:val="00734D4E"/>
    <w:rsid w:val="00762F5F"/>
    <w:rsid w:val="007651E8"/>
    <w:rsid w:val="00785F9E"/>
    <w:rsid w:val="00792CB9"/>
    <w:rsid w:val="007B73D1"/>
    <w:rsid w:val="00803763"/>
    <w:rsid w:val="00806B9B"/>
    <w:rsid w:val="00844E68"/>
    <w:rsid w:val="00847BF3"/>
    <w:rsid w:val="00875C6D"/>
    <w:rsid w:val="00886EE7"/>
    <w:rsid w:val="008E1952"/>
    <w:rsid w:val="00902D5C"/>
    <w:rsid w:val="00930DC0"/>
    <w:rsid w:val="00932088"/>
    <w:rsid w:val="009575FF"/>
    <w:rsid w:val="00967F06"/>
    <w:rsid w:val="0097205D"/>
    <w:rsid w:val="009743CB"/>
    <w:rsid w:val="009A53CD"/>
    <w:rsid w:val="009A6BB1"/>
    <w:rsid w:val="009D3D7C"/>
    <w:rsid w:val="00A16F05"/>
    <w:rsid w:val="00A71B60"/>
    <w:rsid w:val="00A7784F"/>
    <w:rsid w:val="00AB0C13"/>
    <w:rsid w:val="00B150F7"/>
    <w:rsid w:val="00B36229"/>
    <w:rsid w:val="00B47EA3"/>
    <w:rsid w:val="00B612A8"/>
    <w:rsid w:val="00B64BD9"/>
    <w:rsid w:val="00B667EE"/>
    <w:rsid w:val="00B87B03"/>
    <w:rsid w:val="00BB19E4"/>
    <w:rsid w:val="00BD5FE6"/>
    <w:rsid w:val="00BF6B56"/>
    <w:rsid w:val="00C138F2"/>
    <w:rsid w:val="00C53323"/>
    <w:rsid w:val="00C85522"/>
    <w:rsid w:val="00C907B2"/>
    <w:rsid w:val="00CB77B8"/>
    <w:rsid w:val="00D2729D"/>
    <w:rsid w:val="00D475F8"/>
    <w:rsid w:val="00D62F6C"/>
    <w:rsid w:val="00DE13B9"/>
    <w:rsid w:val="00DE21C5"/>
    <w:rsid w:val="00DE4D1E"/>
    <w:rsid w:val="00E25BE1"/>
    <w:rsid w:val="00E324F0"/>
    <w:rsid w:val="00E35546"/>
    <w:rsid w:val="00E45DA6"/>
    <w:rsid w:val="00E83BD4"/>
    <w:rsid w:val="00E92437"/>
    <w:rsid w:val="00EA7A08"/>
    <w:rsid w:val="00EB185B"/>
    <w:rsid w:val="00EC1693"/>
    <w:rsid w:val="00F0305F"/>
    <w:rsid w:val="00F03F43"/>
    <w:rsid w:val="00F313DD"/>
    <w:rsid w:val="00F319EA"/>
    <w:rsid w:val="00F7467E"/>
    <w:rsid w:val="00FB1C89"/>
    <w:rsid w:val="00FC52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F40269-ECAD-4B5F-9E92-926A8C13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Sin espaciado1"/>
    <w:uiPriority w:val="1"/>
    <w:qFormat/>
    <w:rsid w:val="002A33BA"/>
    <w:pPr>
      <w:spacing w:after="0" w:line="240" w:lineRule="auto"/>
    </w:pPr>
  </w:style>
  <w:style w:type="table" w:styleId="TableGrid">
    <w:name w:val="Table Grid"/>
    <w:basedOn w:val="TableNormal"/>
    <w:uiPriority w:val="39"/>
    <w:rsid w:val="00244D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778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784F"/>
    <w:rPr>
      <w:sz w:val="20"/>
      <w:szCs w:val="20"/>
    </w:rPr>
  </w:style>
  <w:style w:type="character" w:styleId="FootnoteReference">
    <w:name w:val="footnote reference"/>
    <w:basedOn w:val="DefaultParagraphFont"/>
    <w:uiPriority w:val="99"/>
    <w:semiHidden/>
    <w:unhideWhenUsed/>
    <w:rsid w:val="00A7784F"/>
    <w:rPr>
      <w:vertAlign w:val="superscript"/>
    </w:rPr>
  </w:style>
  <w:style w:type="paragraph" w:styleId="BalloonText">
    <w:name w:val="Balloon Text"/>
    <w:basedOn w:val="Normal"/>
    <w:link w:val="BalloonTextChar"/>
    <w:uiPriority w:val="99"/>
    <w:semiHidden/>
    <w:unhideWhenUsed/>
    <w:rsid w:val="00CB77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7B8"/>
    <w:rPr>
      <w:rFonts w:ascii="Segoe UI" w:hAnsi="Segoe UI" w:cs="Segoe UI"/>
      <w:sz w:val="18"/>
      <w:szCs w:val="18"/>
    </w:rPr>
  </w:style>
  <w:style w:type="character" w:styleId="Hyperlink">
    <w:name w:val="Hyperlink"/>
    <w:basedOn w:val="DefaultParagraphFont"/>
    <w:uiPriority w:val="99"/>
    <w:unhideWhenUsed/>
    <w:rsid w:val="00BD5FE6"/>
    <w:rPr>
      <w:color w:val="0563C1" w:themeColor="hyperlink"/>
      <w:u w:val="single"/>
    </w:rPr>
  </w:style>
  <w:style w:type="character" w:customStyle="1" w:styleId="UnresolvedMention">
    <w:name w:val="Unresolved Mention"/>
    <w:basedOn w:val="DefaultParagraphFont"/>
    <w:uiPriority w:val="99"/>
    <w:semiHidden/>
    <w:unhideWhenUsed/>
    <w:rsid w:val="00BD5FE6"/>
    <w:rPr>
      <w:color w:val="605E5C"/>
      <w:shd w:val="clear" w:color="auto" w:fill="E1DFDD"/>
    </w:rPr>
  </w:style>
  <w:style w:type="paragraph" w:styleId="ListParagraph">
    <w:name w:val="List Paragraph"/>
    <w:basedOn w:val="Normal"/>
    <w:uiPriority w:val="34"/>
    <w:qFormat/>
    <w:rsid w:val="00B612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7949">
      <w:bodyDiv w:val="1"/>
      <w:marLeft w:val="0"/>
      <w:marRight w:val="0"/>
      <w:marTop w:val="0"/>
      <w:marBottom w:val="0"/>
      <w:divBdr>
        <w:top w:val="none" w:sz="0" w:space="0" w:color="auto"/>
        <w:left w:val="none" w:sz="0" w:space="0" w:color="auto"/>
        <w:bottom w:val="none" w:sz="0" w:space="0" w:color="auto"/>
        <w:right w:val="none" w:sz="0" w:space="0" w:color="auto"/>
      </w:divBdr>
    </w:div>
    <w:div w:id="501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justiciareproductiva.gire.org.mx/assets/pdf/JusticiaReproductiva.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AADDFC-0B3D-4B0E-9797-91136AB5CB94}"/>
</file>

<file path=customXml/itemProps2.xml><?xml version="1.0" encoding="utf-8"?>
<ds:datastoreItem xmlns:ds="http://schemas.openxmlformats.org/officeDocument/2006/customXml" ds:itemID="{0ABA77DF-CFE8-4E79-9043-BD892A8723F2}"/>
</file>

<file path=customXml/itemProps3.xml><?xml version="1.0" encoding="utf-8"?>
<ds:datastoreItem xmlns:ds="http://schemas.openxmlformats.org/officeDocument/2006/customXml" ds:itemID="{0DE6D18D-8252-459A-86F3-54798765C8C5}"/>
</file>

<file path=customXml/itemProps4.xml><?xml version="1.0" encoding="utf-8"?>
<ds:datastoreItem xmlns:ds="http://schemas.openxmlformats.org/officeDocument/2006/customXml" ds:itemID="{76542C77-F16F-4A3C-9A6A-94EE742C7B15}"/>
</file>

<file path=docProps/app.xml><?xml version="1.0" encoding="utf-8"?>
<Properties xmlns="http://schemas.openxmlformats.org/officeDocument/2006/extended-properties" xmlns:vt="http://schemas.openxmlformats.org/officeDocument/2006/docPropsVTypes">
  <Template>Normal.dotm</Template>
  <TotalTime>1</TotalTime>
  <Pages>3</Pages>
  <Words>2375</Words>
  <Characters>13541</Characters>
  <Application>Microsoft Office Word</Application>
  <DocSecurity>4</DocSecurity>
  <Lines>112</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Luna</dc:creator>
  <cp:keywords/>
  <dc:description/>
  <cp:lastModifiedBy>LEOZ INVERNÓN Javier</cp:lastModifiedBy>
  <cp:revision>2</cp:revision>
  <cp:lastPrinted>2019-03-19T15:10:00Z</cp:lastPrinted>
  <dcterms:created xsi:type="dcterms:W3CDTF">2019-03-23T15:07:00Z</dcterms:created>
  <dcterms:modified xsi:type="dcterms:W3CDTF">2019-03-23T15:07:00Z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